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D4867" w14:textId="77777777" w:rsidR="00A219B2" w:rsidRPr="00640A26" w:rsidRDefault="00A219B2" w:rsidP="00A219B2">
      <w:pPr>
        <w:jc w:val="center"/>
        <w:rPr>
          <w:rFonts w:asciiTheme="majorHAnsi" w:hAnsiTheme="majorHAnsi"/>
          <w:b/>
          <w:sz w:val="28"/>
          <w:szCs w:val="28"/>
        </w:rPr>
      </w:pPr>
      <w:bookmarkStart w:id="0" w:name="_GoBack"/>
      <w:bookmarkEnd w:id="0"/>
      <w:r w:rsidRPr="00640A26">
        <w:rPr>
          <w:rFonts w:asciiTheme="majorHAnsi" w:hAnsiTheme="majorHAnsi"/>
          <w:b/>
          <w:noProof/>
          <w:sz w:val="28"/>
          <w:szCs w:val="28"/>
          <w:lang w:eastAsia="en-AU"/>
        </w:rPr>
        <w:drawing>
          <wp:inline distT="0" distB="0" distL="0" distR="0" wp14:anchorId="624718DD" wp14:editId="5C91BDFB">
            <wp:extent cx="3634482" cy="1675269"/>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A_LOGO_Medium Res.JPG"/>
                    <pic:cNvPicPr/>
                  </pic:nvPicPr>
                  <pic:blipFill>
                    <a:blip r:embed="rId16">
                      <a:extLst>
                        <a:ext uri="{28A0092B-C50C-407E-A947-70E740481C1C}">
                          <a14:useLocalDpi xmlns:a14="http://schemas.microsoft.com/office/drawing/2010/main" val="0"/>
                        </a:ext>
                      </a:extLst>
                    </a:blip>
                    <a:stretch>
                      <a:fillRect/>
                    </a:stretch>
                  </pic:blipFill>
                  <pic:spPr>
                    <a:xfrm>
                      <a:off x="0" y="0"/>
                      <a:ext cx="3634482" cy="1675269"/>
                    </a:xfrm>
                    <a:prstGeom prst="rect">
                      <a:avLst/>
                    </a:prstGeom>
                  </pic:spPr>
                </pic:pic>
              </a:graphicData>
            </a:graphic>
          </wp:inline>
        </w:drawing>
      </w:r>
    </w:p>
    <w:p w14:paraId="38FF79BA" w14:textId="77777777" w:rsidR="00A219B2" w:rsidRPr="00640A26" w:rsidRDefault="00A219B2" w:rsidP="00A219B2">
      <w:pPr>
        <w:jc w:val="center"/>
        <w:rPr>
          <w:rFonts w:asciiTheme="majorHAnsi" w:hAnsiTheme="majorHAnsi"/>
          <w:b/>
          <w:sz w:val="28"/>
          <w:szCs w:val="28"/>
        </w:rPr>
      </w:pPr>
    </w:p>
    <w:p w14:paraId="3BED9409" w14:textId="77777777" w:rsidR="00A219B2" w:rsidRDefault="00A219B2" w:rsidP="00A219B2">
      <w:pPr>
        <w:jc w:val="center"/>
        <w:rPr>
          <w:rFonts w:asciiTheme="majorHAnsi" w:hAnsiTheme="majorHAnsi"/>
          <w:b/>
          <w:sz w:val="28"/>
          <w:szCs w:val="28"/>
        </w:rPr>
      </w:pPr>
    </w:p>
    <w:p w14:paraId="2454F157" w14:textId="77777777" w:rsidR="00A219B2" w:rsidRDefault="00A219B2" w:rsidP="00A219B2">
      <w:pPr>
        <w:jc w:val="center"/>
        <w:rPr>
          <w:rFonts w:asciiTheme="majorHAnsi" w:hAnsiTheme="majorHAnsi"/>
          <w:b/>
          <w:sz w:val="28"/>
          <w:szCs w:val="28"/>
        </w:rPr>
      </w:pPr>
    </w:p>
    <w:p w14:paraId="69BB68CD" w14:textId="77777777" w:rsidR="00A219B2" w:rsidRPr="00640A26" w:rsidRDefault="00A219B2" w:rsidP="00A219B2">
      <w:pPr>
        <w:jc w:val="center"/>
        <w:rPr>
          <w:rFonts w:asciiTheme="majorHAnsi" w:hAnsiTheme="majorHAnsi"/>
          <w:b/>
          <w:sz w:val="28"/>
          <w:szCs w:val="28"/>
        </w:rPr>
      </w:pPr>
    </w:p>
    <w:p w14:paraId="55B06447" w14:textId="77777777" w:rsidR="00A219B2" w:rsidRPr="00640A26" w:rsidRDefault="00A219B2" w:rsidP="00A219B2">
      <w:pPr>
        <w:jc w:val="center"/>
        <w:rPr>
          <w:rFonts w:asciiTheme="majorHAnsi" w:hAnsiTheme="majorHAnsi"/>
          <w:b/>
          <w:sz w:val="28"/>
          <w:szCs w:val="28"/>
        </w:rPr>
      </w:pPr>
    </w:p>
    <w:p w14:paraId="4ED82DF7" w14:textId="69406A53" w:rsidR="009C3042" w:rsidRPr="00C613C9" w:rsidRDefault="009401F9" w:rsidP="00A219B2">
      <w:pPr>
        <w:jc w:val="center"/>
        <w:rPr>
          <w:rFonts w:asciiTheme="majorHAnsi" w:hAnsiTheme="majorHAnsi"/>
          <w:b/>
          <w:sz w:val="28"/>
          <w:szCs w:val="28"/>
        </w:rPr>
      </w:pPr>
      <w:r w:rsidRPr="00C613C9">
        <w:rPr>
          <w:rFonts w:asciiTheme="majorHAnsi" w:hAnsiTheme="majorHAnsi"/>
          <w:b/>
          <w:sz w:val="28"/>
          <w:szCs w:val="28"/>
        </w:rPr>
        <w:t>Submission to</w:t>
      </w:r>
      <w:r w:rsidR="009C3042" w:rsidRPr="00C613C9">
        <w:rPr>
          <w:rFonts w:asciiTheme="majorHAnsi" w:hAnsiTheme="majorHAnsi"/>
          <w:b/>
          <w:sz w:val="28"/>
          <w:szCs w:val="28"/>
        </w:rPr>
        <w:t>:</w:t>
      </w:r>
    </w:p>
    <w:p w14:paraId="48B52C7B" w14:textId="77777777" w:rsidR="00C613C9" w:rsidRDefault="009401F9" w:rsidP="00C613C9">
      <w:pPr>
        <w:jc w:val="center"/>
        <w:rPr>
          <w:rFonts w:asciiTheme="majorHAnsi" w:hAnsiTheme="majorHAnsi"/>
          <w:b/>
          <w:sz w:val="36"/>
          <w:szCs w:val="36"/>
        </w:rPr>
      </w:pPr>
      <w:r>
        <w:rPr>
          <w:rFonts w:asciiTheme="majorHAnsi" w:hAnsiTheme="majorHAnsi"/>
          <w:b/>
          <w:sz w:val="36"/>
          <w:szCs w:val="36"/>
        </w:rPr>
        <w:t xml:space="preserve"> </w:t>
      </w:r>
      <w:r w:rsidR="00C613C9">
        <w:rPr>
          <w:rFonts w:asciiTheme="majorHAnsi" w:hAnsiTheme="majorHAnsi"/>
          <w:b/>
          <w:sz w:val="36"/>
          <w:szCs w:val="36"/>
        </w:rPr>
        <w:t xml:space="preserve">The Hon. </w:t>
      </w:r>
      <w:r w:rsidR="00C613C9" w:rsidRPr="00C613C9">
        <w:rPr>
          <w:rFonts w:asciiTheme="majorHAnsi" w:hAnsiTheme="majorHAnsi"/>
          <w:b/>
          <w:sz w:val="36"/>
          <w:szCs w:val="36"/>
        </w:rPr>
        <w:t>Michael McCormack</w:t>
      </w:r>
    </w:p>
    <w:p w14:paraId="69785335" w14:textId="77777777" w:rsidR="00C613C9" w:rsidRDefault="00C613C9" w:rsidP="00C613C9">
      <w:pPr>
        <w:jc w:val="center"/>
        <w:rPr>
          <w:rFonts w:asciiTheme="majorHAnsi" w:hAnsiTheme="majorHAnsi"/>
          <w:b/>
          <w:sz w:val="36"/>
          <w:szCs w:val="36"/>
        </w:rPr>
      </w:pPr>
      <w:r>
        <w:rPr>
          <w:rFonts w:asciiTheme="majorHAnsi" w:hAnsiTheme="majorHAnsi"/>
          <w:b/>
          <w:sz w:val="36"/>
          <w:szCs w:val="36"/>
        </w:rPr>
        <w:t>Minister for Small Business</w:t>
      </w:r>
    </w:p>
    <w:p w14:paraId="6B2131AF" w14:textId="356F9698" w:rsidR="009C3042" w:rsidRPr="00C613C9" w:rsidRDefault="00C613C9" w:rsidP="00A219B2">
      <w:pPr>
        <w:jc w:val="center"/>
        <w:rPr>
          <w:rFonts w:asciiTheme="majorHAnsi" w:hAnsiTheme="majorHAnsi"/>
          <w:b/>
          <w:sz w:val="28"/>
          <w:szCs w:val="28"/>
        </w:rPr>
      </w:pPr>
      <w:r w:rsidRPr="00C613C9">
        <w:rPr>
          <w:rFonts w:asciiTheme="majorHAnsi" w:hAnsiTheme="majorHAnsi"/>
          <w:b/>
          <w:sz w:val="28"/>
          <w:szCs w:val="28"/>
        </w:rPr>
        <w:t>and</w:t>
      </w:r>
    </w:p>
    <w:p w14:paraId="6B03CF88" w14:textId="2F7EAFFF" w:rsidR="00A219B2" w:rsidRDefault="001F2701" w:rsidP="00A219B2">
      <w:pPr>
        <w:jc w:val="center"/>
        <w:rPr>
          <w:rFonts w:asciiTheme="majorHAnsi" w:hAnsiTheme="majorHAnsi"/>
          <w:b/>
          <w:sz w:val="36"/>
          <w:szCs w:val="36"/>
        </w:rPr>
      </w:pPr>
      <w:r>
        <w:rPr>
          <w:rFonts w:asciiTheme="majorHAnsi" w:hAnsiTheme="majorHAnsi"/>
          <w:b/>
          <w:sz w:val="36"/>
          <w:szCs w:val="36"/>
        </w:rPr>
        <w:t>The Hon. Scott Morrison</w:t>
      </w:r>
    </w:p>
    <w:p w14:paraId="2A329E75" w14:textId="0703ACAB" w:rsidR="00C613C9" w:rsidRPr="00640A26" w:rsidRDefault="00C613C9" w:rsidP="00A219B2">
      <w:pPr>
        <w:jc w:val="center"/>
        <w:rPr>
          <w:rFonts w:asciiTheme="majorHAnsi" w:hAnsiTheme="majorHAnsi"/>
          <w:b/>
          <w:sz w:val="36"/>
          <w:szCs w:val="36"/>
        </w:rPr>
      </w:pPr>
      <w:r>
        <w:rPr>
          <w:rFonts w:asciiTheme="majorHAnsi" w:hAnsiTheme="majorHAnsi"/>
          <w:b/>
          <w:sz w:val="36"/>
          <w:szCs w:val="36"/>
        </w:rPr>
        <w:t>Treasurer of the Commonwealth of Australia</w:t>
      </w:r>
    </w:p>
    <w:p w14:paraId="0C3D8926" w14:textId="77777777" w:rsidR="00A219B2" w:rsidRDefault="00A219B2" w:rsidP="00A219B2">
      <w:pPr>
        <w:jc w:val="center"/>
        <w:rPr>
          <w:rFonts w:asciiTheme="majorHAnsi" w:hAnsiTheme="majorHAnsi"/>
          <w:b/>
          <w:sz w:val="36"/>
          <w:szCs w:val="36"/>
        </w:rPr>
      </w:pPr>
    </w:p>
    <w:p w14:paraId="7A92F738" w14:textId="77777777" w:rsidR="00C613C9" w:rsidRDefault="00C613C9" w:rsidP="00A219B2">
      <w:pPr>
        <w:jc w:val="center"/>
        <w:rPr>
          <w:rFonts w:asciiTheme="majorHAnsi" w:hAnsiTheme="majorHAnsi"/>
          <w:b/>
          <w:i/>
          <w:sz w:val="36"/>
          <w:szCs w:val="36"/>
        </w:rPr>
      </w:pPr>
    </w:p>
    <w:p w14:paraId="775D4F14" w14:textId="1BD94E06" w:rsidR="00A219B2" w:rsidRPr="00C613C9" w:rsidRDefault="009C3042" w:rsidP="00A219B2">
      <w:pPr>
        <w:jc w:val="center"/>
        <w:rPr>
          <w:rFonts w:asciiTheme="majorHAnsi" w:hAnsiTheme="majorHAnsi"/>
          <w:b/>
          <w:i/>
          <w:sz w:val="48"/>
          <w:szCs w:val="48"/>
        </w:rPr>
      </w:pPr>
      <w:r w:rsidRPr="00C613C9">
        <w:rPr>
          <w:rFonts w:asciiTheme="majorHAnsi" w:hAnsiTheme="majorHAnsi"/>
          <w:b/>
          <w:i/>
          <w:sz w:val="48"/>
          <w:szCs w:val="48"/>
        </w:rPr>
        <w:t xml:space="preserve">CCA </w:t>
      </w:r>
      <w:r w:rsidR="00E679F8" w:rsidRPr="00C613C9">
        <w:rPr>
          <w:rFonts w:asciiTheme="majorHAnsi" w:hAnsiTheme="majorHAnsi"/>
          <w:b/>
          <w:i/>
          <w:sz w:val="48"/>
          <w:szCs w:val="48"/>
        </w:rPr>
        <w:t>Federal Budget Submission 2017/18</w:t>
      </w:r>
    </w:p>
    <w:p w14:paraId="51AFAB59" w14:textId="77777777" w:rsidR="00A219B2" w:rsidRPr="00640A26" w:rsidRDefault="00A219B2" w:rsidP="00A219B2">
      <w:pPr>
        <w:jc w:val="center"/>
        <w:rPr>
          <w:rFonts w:asciiTheme="majorHAnsi" w:hAnsiTheme="majorHAnsi"/>
          <w:b/>
          <w:sz w:val="28"/>
          <w:szCs w:val="28"/>
        </w:rPr>
      </w:pPr>
    </w:p>
    <w:p w14:paraId="5B4D638D" w14:textId="77777777" w:rsidR="00A219B2" w:rsidRPr="00640A26" w:rsidRDefault="00A219B2" w:rsidP="00A219B2">
      <w:pPr>
        <w:jc w:val="center"/>
        <w:rPr>
          <w:rFonts w:asciiTheme="majorHAnsi" w:hAnsiTheme="majorHAnsi"/>
          <w:b/>
          <w:sz w:val="28"/>
          <w:szCs w:val="28"/>
        </w:rPr>
      </w:pPr>
    </w:p>
    <w:p w14:paraId="42F0F97B" w14:textId="77777777" w:rsidR="00A219B2" w:rsidRPr="00640A26" w:rsidRDefault="00A219B2" w:rsidP="00A219B2">
      <w:pPr>
        <w:jc w:val="center"/>
        <w:rPr>
          <w:rFonts w:asciiTheme="majorHAnsi" w:hAnsiTheme="majorHAnsi"/>
          <w:b/>
          <w:sz w:val="28"/>
          <w:szCs w:val="28"/>
        </w:rPr>
      </w:pPr>
    </w:p>
    <w:p w14:paraId="319FB4AF" w14:textId="77777777" w:rsidR="00A219B2" w:rsidRPr="00640A26" w:rsidRDefault="00A219B2" w:rsidP="00A219B2">
      <w:pPr>
        <w:jc w:val="center"/>
        <w:rPr>
          <w:rFonts w:asciiTheme="majorHAnsi" w:hAnsiTheme="majorHAnsi"/>
          <w:b/>
          <w:sz w:val="28"/>
          <w:szCs w:val="28"/>
        </w:rPr>
      </w:pPr>
    </w:p>
    <w:p w14:paraId="56E35E9C" w14:textId="40DE417F" w:rsidR="00A219B2" w:rsidRDefault="00A219B2" w:rsidP="00A219B2">
      <w:pPr>
        <w:jc w:val="center"/>
        <w:rPr>
          <w:rFonts w:asciiTheme="majorHAnsi" w:hAnsiTheme="majorHAnsi"/>
          <w:b/>
          <w:sz w:val="28"/>
          <w:szCs w:val="28"/>
        </w:rPr>
      </w:pPr>
    </w:p>
    <w:p w14:paraId="298379CF" w14:textId="77777777" w:rsidR="00C613C9" w:rsidRPr="00640A26" w:rsidRDefault="00C613C9" w:rsidP="00A219B2">
      <w:pPr>
        <w:jc w:val="center"/>
        <w:rPr>
          <w:rFonts w:asciiTheme="majorHAnsi" w:hAnsiTheme="majorHAnsi"/>
          <w:b/>
          <w:sz w:val="28"/>
          <w:szCs w:val="28"/>
        </w:rPr>
      </w:pPr>
    </w:p>
    <w:p w14:paraId="12A1A74B" w14:textId="2981327F" w:rsidR="00A219B2" w:rsidRPr="00640A26" w:rsidRDefault="00E679F8" w:rsidP="009C3042">
      <w:pPr>
        <w:jc w:val="center"/>
        <w:rPr>
          <w:rFonts w:asciiTheme="majorHAnsi" w:hAnsiTheme="majorHAnsi"/>
          <w:b/>
          <w:sz w:val="28"/>
          <w:szCs w:val="28"/>
        </w:rPr>
      </w:pPr>
      <w:r>
        <w:rPr>
          <w:rFonts w:asciiTheme="majorHAnsi" w:hAnsiTheme="majorHAnsi"/>
          <w:b/>
          <w:sz w:val="28"/>
          <w:szCs w:val="28"/>
        </w:rPr>
        <w:t>Jan</w:t>
      </w:r>
      <w:r w:rsidR="00CB3379">
        <w:rPr>
          <w:rFonts w:asciiTheme="majorHAnsi" w:hAnsiTheme="majorHAnsi"/>
          <w:b/>
          <w:sz w:val="28"/>
          <w:szCs w:val="28"/>
        </w:rPr>
        <w:t>u</w:t>
      </w:r>
      <w:r>
        <w:rPr>
          <w:rFonts w:asciiTheme="majorHAnsi" w:hAnsiTheme="majorHAnsi"/>
          <w:b/>
          <w:sz w:val="28"/>
          <w:szCs w:val="28"/>
        </w:rPr>
        <w:t>ary 2017</w:t>
      </w:r>
      <w:r w:rsidR="00A219B2" w:rsidRPr="00640A26">
        <w:rPr>
          <w:rFonts w:asciiTheme="majorHAnsi" w:hAnsiTheme="majorHAnsi"/>
          <w:b/>
          <w:sz w:val="28"/>
          <w:szCs w:val="28"/>
        </w:rPr>
        <w:br w:type="page"/>
      </w:r>
    </w:p>
    <w:p w14:paraId="5E9BADB4" w14:textId="77777777" w:rsidR="00A219B2" w:rsidRPr="00640A26" w:rsidRDefault="00A219B2" w:rsidP="00A219B2">
      <w:pPr>
        <w:rPr>
          <w:rFonts w:asciiTheme="majorHAnsi" w:hAnsiTheme="majorHAnsi"/>
          <w:b/>
          <w:sz w:val="28"/>
          <w:szCs w:val="28"/>
        </w:rPr>
      </w:pPr>
      <w:r w:rsidRPr="00640A26">
        <w:rPr>
          <w:rFonts w:asciiTheme="majorHAnsi" w:hAnsiTheme="majorHAnsi"/>
          <w:b/>
          <w:sz w:val="28"/>
          <w:szCs w:val="28"/>
        </w:rPr>
        <w:lastRenderedPageBreak/>
        <w:t>Introduction</w:t>
      </w:r>
    </w:p>
    <w:p w14:paraId="1563BAD8" w14:textId="7EF8C9CD" w:rsidR="00A219B2" w:rsidRPr="00640A26" w:rsidRDefault="00A219B2" w:rsidP="00A219B2">
      <w:r>
        <w:t xml:space="preserve">This </w:t>
      </w:r>
      <w:r w:rsidR="004E1D04">
        <w:t>submission</w:t>
      </w:r>
      <w:r w:rsidR="00F0175A">
        <w:t xml:space="preserve"> outlines nine</w:t>
      </w:r>
      <w:r w:rsidR="007E1336">
        <w:t xml:space="preserve"> </w:t>
      </w:r>
      <w:r w:rsidR="003B4B1E">
        <w:t>measures</w:t>
      </w:r>
      <w:r w:rsidR="007F59DA">
        <w:t xml:space="preserve"> the </w:t>
      </w:r>
      <w:r w:rsidR="008965DD">
        <w:t>Community C</w:t>
      </w:r>
      <w:r w:rsidR="007F59DA">
        <w:t>ouncil for Australia (CCA) believe</w:t>
      </w:r>
      <w:r w:rsidR="00CA0C2B">
        <w:t>s</w:t>
      </w:r>
      <w:r w:rsidR="007F59DA">
        <w:t xml:space="preserve"> will significantly strengthen</w:t>
      </w:r>
      <w:r w:rsidRPr="00640A26">
        <w:t xml:space="preserve"> Australia’s not-for-profit</w:t>
      </w:r>
      <w:r>
        <w:t xml:space="preserve"> </w:t>
      </w:r>
      <w:r w:rsidRPr="00640A26">
        <w:t>(</w:t>
      </w:r>
      <w:r>
        <w:t>NFP</w:t>
      </w:r>
      <w:r w:rsidRPr="00640A26">
        <w:t>)</w:t>
      </w:r>
      <w:r>
        <w:t xml:space="preserve"> sector</w:t>
      </w:r>
      <w:r w:rsidRPr="00640A26">
        <w:t xml:space="preserve"> </w:t>
      </w:r>
      <w:r w:rsidR="0089285C">
        <w:t xml:space="preserve">and drive real economic savings for government </w:t>
      </w:r>
      <w:r w:rsidRPr="00640A26">
        <w:t xml:space="preserve">over the coming financial year and </w:t>
      </w:r>
      <w:r w:rsidR="00A61654">
        <w:t>beyond.</w:t>
      </w:r>
      <w:r w:rsidR="00852458">
        <w:t xml:space="preserve"> </w:t>
      </w:r>
      <w:r w:rsidR="00F374BB">
        <w:t xml:space="preserve"> </w:t>
      </w:r>
      <w:r w:rsidR="007D2911">
        <w:t>These measures have been</w:t>
      </w:r>
      <w:r>
        <w:t xml:space="preserve"> </w:t>
      </w:r>
      <w:r w:rsidR="007D2911">
        <w:t>informed by</w:t>
      </w:r>
      <w:r>
        <w:t xml:space="preserve"> consultation with </w:t>
      </w:r>
      <w:r w:rsidRPr="00640A26">
        <w:t>C</w:t>
      </w:r>
      <w:r w:rsidR="007F59DA">
        <w:t>CA</w:t>
      </w:r>
      <w:r w:rsidRPr="00640A26">
        <w:t xml:space="preserve"> </w:t>
      </w:r>
      <w:r w:rsidR="007D2911">
        <w:t xml:space="preserve">members </w:t>
      </w:r>
      <w:r w:rsidR="00480F53">
        <w:t xml:space="preserve">(listed in </w:t>
      </w:r>
      <w:r w:rsidR="00480F53" w:rsidRPr="00480F53">
        <w:rPr>
          <w:i/>
        </w:rPr>
        <w:t>Attachment A</w:t>
      </w:r>
      <w:r w:rsidR="00480F53">
        <w:t xml:space="preserve">) </w:t>
      </w:r>
      <w:r>
        <w:t xml:space="preserve">and </w:t>
      </w:r>
      <w:r w:rsidRPr="00640A26">
        <w:t xml:space="preserve">key organisations in the </w:t>
      </w:r>
      <w:r>
        <w:t>NFP</w:t>
      </w:r>
      <w:r w:rsidRPr="00640A26">
        <w:t xml:space="preserve"> sector.</w:t>
      </w:r>
      <w:r w:rsidR="00F7617E">
        <w:t xml:space="preserve"> </w:t>
      </w:r>
      <w:r w:rsidRPr="00640A26">
        <w:t xml:space="preserve"> </w:t>
      </w:r>
    </w:p>
    <w:p w14:paraId="2E03ABE3" w14:textId="0AEAF2E2" w:rsidR="007F59DA" w:rsidRDefault="00A219B2" w:rsidP="00A219B2">
      <w:r w:rsidRPr="00640A26">
        <w:t>It is important to note that t</w:t>
      </w:r>
      <w:r>
        <w:t xml:space="preserve">his submission does not </w:t>
      </w:r>
      <w:r w:rsidR="00CA0C2B">
        <w:t>override</w:t>
      </w:r>
      <w:r w:rsidRPr="00640A26">
        <w:t xml:space="preserve"> the policy positions outlined in </w:t>
      </w:r>
      <w:r w:rsidR="00CA0C2B">
        <w:t>any</w:t>
      </w:r>
      <w:r w:rsidRPr="00640A26">
        <w:t xml:space="preserve"> individual </w:t>
      </w:r>
      <w:r w:rsidR="00F0175A">
        <w:t xml:space="preserve">Federal </w:t>
      </w:r>
      <w:r w:rsidRPr="00640A26">
        <w:t xml:space="preserve">budget submissions from </w:t>
      </w:r>
      <w:r w:rsidR="00AE0C93">
        <w:t>CCA</w:t>
      </w:r>
      <w:r w:rsidRPr="00640A26">
        <w:t xml:space="preserve"> members</w:t>
      </w:r>
      <w:r w:rsidR="0089285C">
        <w:t xml:space="preserve">.  </w:t>
      </w:r>
    </w:p>
    <w:p w14:paraId="2DF3E7E0" w14:textId="53B847CF" w:rsidR="0051598E" w:rsidRDefault="00F0175A" w:rsidP="00A219B2">
      <w:r>
        <w:t>The content of this submission includes: a brief background to CCA; a listing of</w:t>
      </w:r>
      <w:r w:rsidR="00CF02D2">
        <w:t xml:space="preserve"> </w:t>
      </w:r>
      <w:r w:rsidR="00480F53">
        <w:t>proposed measures</w:t>
      </w:r>
      <w:r>
        <w:t>;</w:t>
      </w:r>
      <w:r w:rsidR="00F7617E">
        <w:t xml:space="preserve"> </w:t>
      </w:r>
      <w:r w:rsidR="00930219">
        <w:t xml:space="preserve">an overview of the current issues for the </w:t>
      </w:r>
      <w:r w:rsidR="00CA0C2B">
        <w:t>NFP sector;</w:t>
      </w:r>
      <w:r w:rsidR="00930219">
        <w:t xml:space="preserve"> </w:t>
      </w:r>
      <w:r w:rsidR="00DA3D5F">
        <w:t xml:space="preserve">further details </w:t>
      </w:r>
      <w:r w:rsidR="00480F53">
        <w:t>about</w:t>
      </w:r>
      <w:r w:rsidR="00DA3D5F">
        <w:t xml:space="preserve"> </w:t>
      </w:r>
      <w:r w:rsidR="00CA0C2B">
        <w:t>the proposals including likely costs;</w:t>
      </w:r>
      <w:r w:rsidR="007D2911">
        <w:t xml:space="preserve"> and</w:t>
      </w:r>
      <w:r w:rsidR="00CA0C2B">
        <w:t xml:space="preserve"> a </w:t>
      </w:r>
      <w:r w:rsidR="00BF029C">
        <w:t>conclusion</w:t>
      </w:r>
      <w:r w:rsidR="00930219">
        <w:t>.</w:t>
      </w:r>
      <w:r w:rsidR="0051598E">
        <w:t xml:space="preserve">  </w:t>
      </w:r>
    </w:p>
    <w:p w14:paraId="69DF38C8" w14:textId="299A6BD9" w:rsidR="00136601" w:rsidRDefault="007D3351" w:rsidP="00A219B2">
      <w:r>
        <w:t>CCA acknowledg</w:t>
      </w:r>
      <w:r w:rsidR="00A219B2">
        <w:t xml:space="preserve">es the </w:t>
      </w:r>
      <w:r>
        <w:t xml:space="preserve">need for fiscal restraint and </w:t>
      </w:r>
      <w:r w:rsidR="00F0175A">
        <w:t xml:space="preserve">the </w:t>
      </w:r>
      <w:r>
        <w:t>growing demand for government services.  CCA</w:t>
      </w:r>
      <w:r w:rsidR="004E1D04">
        <w:t xml:space="preserve"> </w:t>
      </w:r>
      <w:r w:rsidR="00136601">
        <w:t>proposes a major government revenue boosting measure (</w:t>
      </w:r>
      <w:r w:rsidR="001F27E7">
        <w:t>estate</w:t>
      </w:r>
      <w:r w:rsidR="00136601">
        <w:t xml:space="preserve"> duty) as well as incentives to promote philan</w:t>
      </w:r>
      <w:r>
        <w:t>thropy and strengthen our communities</w:t>
      </w:r>
      <w:r w:rsidR="00136601">
        <w:t xml:space="preserve"> (</w:t>
      </w:r>
      <w:r w:rsidR="00F374BB">
        <w:t>such as the</w:t>
      </w:r>
      <w:r>
        <w:t xml:space="preserve"> </w:t>
      </w:r>
      <w:r w:rsidR="00136601">
        <w:t xml:space="preserve">French 90/10 </w:t>
      </w:r>
      <w:r>
        <w:t xml:space="preserve">superannuation </w:t>
      </w:r>
      <w:r w:rsidR="00136601">
        <w:t>rule).</w:t>
      </w:r>
      <w:r w:rsidR="004E1D04">
        <w:t xml:space="preserve">  </w:t>
      </w:r>
    </w:p>
    <w:p w14:paraId="5B6FC84A" w14:textId="3BF93DB3" w:rsidR="00A219B2" w:rsidRDefault="0089285C" w:rsidP="00A219B2">
      <w:r>
        <w:t xml:space="preserve">If </w:t>
      </w:r>
      <w:r w:rsidR="00A61654">
        <w:t xml:space="preserve">Australia is to </w:t>
      </w:r>
      <w:r w:rsidR="00136601">
        <w:t xml:space="preserve">be a just and fair society where we </w:t>
      </w:r>
      <w:r w:rsidR="007D2911">
        <w:t>increase</w:t>
      </w:r>
      <w:r>
        <w:t xml:space="preserve"> </w:t>
      </w:r>
      <w:r w:rsidR="00F374BB">
        <w:t>collective</w:t>
      </w:r>
      <w:r w:rsidR="00AA5420">
        <w:t xml:space="preserve"> </w:t>
      </w:r>
      <w:r w:rsidR="00AA5420" w:rsidRPr="00F05BC7">
        <w:t>ownership of local</w:t>
      </w:r>
      <w:r w:rsidRPr="00F05BC7">
        <w:t xml:space="preserve"> issues</w:t>
      </w:r>
      <w:r w:rsidR="00A61654" w:rsidRPr="00F05BC7">
        <w:t xml:space="preserve"> and </w:t>
      </w:r>
      <w:r w:rsidR="00DA3D5F" w:rsidRPr="00F05BC7">
        <w:t xml:space="preserve">build </w:t>
      </w:r>
      <w:r w:rsidR="007D3351">
        <w:t>flourishing communities</w:t>
      </w:r>
      <w:r w:rsidRPr="00B24699">
        <w:t xml:space="preserve">, there needs to be </w:t>
      </w:r>
      <w:r w:rsidR="00A219B2" w:rsidRPr="00F05BC7">
        <w:t>a</w:t>
      </w:r>
      <w:r w:rsidR="00AA5420" w:rsidRPr="00F05BC7">
        <w:t xml:space="preserve"> genuine</w:t>
      </w:r>
      <w:r w:rsidR="00A219B2" w:rsidRPr="00F05BC7">
        <w:t xml:space="preserve"> commitment</w:t>
      </w:r>
      <w:r w:rsidR="00932127" w:rsidRPr="00F05BC7">
        <w:t xml:space="preserve"> to</w:t>
      </w:r>
      <w:r w:rsidR="00136601">
        <w:t xml:space="preserve"> supporting reforms across the charities and not-for-profit sector</w:t>
      </w:r>
      <w:r w:rsidR="00A219B2" w:rsidRPr="00F05BC7">
        <w:t xml:space="preserve"> from government and other key stakeholders.</w:t>
      </w:r>
      <w:r w:rsidR="00480F53" w:rsidRPr="00F05BC7">
        <w:t xml:space="preserve">  </w:t>
      </w:r>
      <w:r w:rsidR="00F23DCC">
        <w:t xml:space="preserve">This is not about providing more funding to the sector, but about encouraging </w:t>
      </w:r>
      <w:r w:rsidR="00136601">
        <w:t xml:space="preserve">and supporting </w:t>
      </w:r>
      <w:r w:rsidR="00F23DCC">
        <w:t>more effective and efficient organisations delivering b</w:t>
      </w:r>
      <w:r w:rsidR="007D3351">
        <w:t>etter outcomes for our communities</w:t>
      </w:r>
      <w:r w:rsidR="00F23DCC">
        <w:t xml:space="preserve">.  </w:t>
      </w:r>
    </w:p>
    <w:p w14:paraId="0E1CB263" w14:textId="451E6C4F" w:rsidR="002D19DE" w:rsidRDefault="00A219B2" w:rsidP="00295A23">
      <w:pPr>
        <w:spacing w:before="200"/>
        <w:rPr>
          <w:rFonts w:asciiTheme="majorHAnsi" w:hAnsiTheme="majorHAnsi"/>
          <w:b/>
          <w:sz w:val="28"/>
          <w:szCs w:val="28"/>
        </w:rPr>
      </w:pPr>
      <w:r>
        <w:t>CCA welcomes this opportunity to provide</w:t>
      </w:r>
      <w:r w:rsidRPr="00640A26">
        <w:t xml:space="preserve"> input into the Federal Budget process and </w:t>
      </w:r>
      <w:r w:rsidR="00A61654">
        <w:t>t</w:t>
      </w:r>
      <w:r w:rsidRPr="00640A26">
        <w:t xml:space="preserve">o engage in </w:t>
      </w:r>
      <w:r>
        <w:t>detailed</w:t>
      </w:r>
      <w:r w:rsidR="00295A23">
        <w:t xml:space="preserve"> discussion about any </w:t>
      </w:r>
      <w:r w:rsidRPr="00640A26">
        <w:t xml:space="preserve">issues </w:t>
      </w:r>
      <w:r w:rsidR="00DA3D5F">
        <w:t>this</w:t>
      </w:r>
      <w:r w:rsidRPr="00640A26">
        <w:t xml:space="preserve"> submission</w:t>
      </w:r>
      <w:r w:rsidR="00DA3D5F">
        <w:t xml:space="preserve"> raises</w:t>
      </w:r>
      <w:r w:rsidRPr="00640A26">
        <w:t xml:space="preserve">. </w:t>
      </w:r>
      <w:r w:rsidRPr="00640A26">
        <w:br/>
      </w:r>
    </w:p>
    <w:p w14:paraId="7DF4281F" w14:textId="77777777" w:rsidR="002D19DE" w:rsidRPr="002001BD" w:rsidRDefault="002D19DE" w:rsidP="002D19DE">
      <w:r w:rsidRPr="00B90B3F">
        <w:rPr>
          <w:rFonts w:asciiTheme="majorHAnsi" w:hAnsiTheme="majorHAnsi"/>
          <w:b/>
          <w:sz w:val="28"/>
          <w:szCs w:val="28"/>
        </w:rPr>
        <w:t>The Community Council for Australia</w:t>
      </w:r>
    </w:p>
    <w:p w14:paraId="44F313BF" w14:textId="5A75D855" w:rsidR="00B5337A" w:rsidRPr="003F67E5" w:rsidRDefault="00B5337A" w:rsidP="00B5337A">
      <w:r>
        <w:t>The Community Council for Australia</w:t>
      </w:r>
      <w:r w:rsidRPr="003F67E5">
        <w:t xml:space="preserve"> is an independent non-political</w:t>
      </w:r>
      <w:r w:rsidR="007D2911">
        <w:t xml:space="preserve"> </w:t>
      </w:r>
      <w:r w:rsidRPr="003F67E5">
        <w:t>member</w:t>
      </w:r>
      <w:r w:rsidR="007D2911">
        <w:t xml:space="preserve"> based</w:t>
      </w:r>
      <w:r w:rsidRPr="003F67E5">
        <w:t xml:space="preserve"> organisation dedicated to building flourishing communities by enhancing the extraordinary work undertaken by the </w:t>
      </w:r>
      <w:r>
        <w:t xml:space="preserve">charities and not-for-profit </w:t>
      </w:r>
      <w:r w:rsidRPr="003F67E5">
        <w:t>sector in Australia.</w:t>
      </w:r>
      <w:r>
        <w:t xml:space="preserve"> </w:t>
      </w:r>
      <w:r w:rsidR="00F374BB">
        <w:t xml:space="preserve"> </w:t>
      </w:r>
      <w:r w:rsidRPr="003F67E5">
        <w:t>CCA seeks to change the way governments, communities and not-for-profits relate to one another.</w:t>
      </w:r>
      <w:r>
        <w:t xml:space="preserve"> </w:t>
      </w:r>
      <w:r w:rsidR="00F374BB">
        <w:t xml:space="preserve"> </w:t>
      </w:r>
      <w:r w:rsidR="007D2911">
        <w:t>It does so by providing</w:t>
      </w:r>
      <w:r>
        <w:t xml:space="preserve"> a national </w:t>
      </w:r>
      <w:r w:rsidRPr="003F67E5">
        <w:t xml:space="preserve">voice </w:t>
      </w:r>
      <w:r>
        <w:t>and facilitat</w:t>
      </w:r>
      <w:r w:rsidR="007D2911">
        <w:t>ion</w:t>
      </w:r>
      <w:r>
        <w:t xml:space="preserve"> for sector leaders to act </w:t>
      </w:r>
      <w:r w:rsidRPr="003F67E5">
        <w:t>on common and shared issues affecting the contribution, performance and viability of NFP</w:t>
      </w:r>
      <w:r w:rsidR="007D2911">
        <w:t xml:space="preserve">s </w:t>
      </w:r>
      <w:r w:rsidRPr="003F67E5">
        <w:t>in Australia</w:t>
      </w:r>
      <w:r>
        <w:t xml:space="preserve">. </w:t>
      </w:r>
      <w:r w:rsidR="00BC1703">
        <w:t xml:space="preserve"> </w:t>
      </w:r>
      <w:r>
        <w:t>This includes</w:t>
      </w:r>
      <w:r w:rsidRPr="003F67E5">
        <w:t>:</w:t>
      </w:r>
    </w:p>
    <w:p w14:paraId="3C496672" w14:textId="77777777" w:rsidR="00B5337A" w:rsidRPr="003F67E5" w:rsidRDefault="00B5337A" w:rsidP="0051598E">
      <w:pPr>
        <w:pStyle w:val="ListParagraph"/>
        <w:numPr>
          <w:ilvl w:val="0"/>
          <w:numId w:val="24"/>
        </w:numPr>
        <w:spacing w:line="240" w:lineRule="auto"/>
        <w:ind w:left="1071" w:hanging="357"/>
        <w:contextualSpacing w:val="0"/>
      </w:pPr>
      <w:r w:rsidRPr="003F67E5">
        <w:t xml:space="preserve">promoting the values of the sector and the need for reform </w:t>
      </w:r>
    </w:p>
    <w:p w14:paraId="66EBF802" w14:textId="77777777" w:rsidR="00B5337A" w:rsidRPr="003F67E5" w:rsidRDefault="00B5337A" w:rsidP="0051598E">
      <w:pPr>
        <w:pStyle w:val="ListParagraph"/>
        <w:numPr>
          <w:ilvl w:val="0"/>
          <w:numId w:val="24"/>
        </w:numPr>
        <w:spacing w:line="240" w:lineRule="auto"/>
        <w:ind w:left="1071" w:hanging="357"/>
        <w:contextualSpacing w:val="0"/>
      </w:pPr>
      <w:r w:rsidRPr="003F67E5">
        <w:t>influencing and shaping relevant policy agendas</w:t>
      </w:r>
    </w:p>
    <w:p w14:paraId="05964158" w14:textId="77777777" w:rsidR="00B5337A" w:rsidRDefault="00B5337A" w:rsidP="0051598E">
      <w:pPr>
        <w:pStyle w:val="ListParagraph"/>
        <w:numPr>
          <w:ilvl w:val="0"/>
          <w:numId w:val="24"/>
        </w:numPr>
        <w:spacing w:line="240" w:lineRule="auto"/>
        <w:ind w:left="1071" w:hanging="357"/>
        <w:contextualSpacing w:val="0"/>
      </w:pPr>
      <w:r>
        <w:t>improving the way people invest in the sector</w:t>
      </w:r>
    </w:p>
    <w:p w14:paraId="70556D8F" w14:textId="77777777" w:rsidR="00B5337A" w:rsidRDefault="00B5337A" w:rsidP="0051598E">
      <w:pPr>
        <w:pStyle w:val="ListParagraph"/>
        <w:numPr>
          <w:ilvl w:val="0"/>
          <w:numId w:val="24"/>
        </w:numPr>
        <w:spacing w:line="240" w:lineRule="auto"/>
        <w:ind w:left="1071" w:hanging="357"/>
        <w:contextualSpacing w:val="0"/>
      </w:pPr>
      <w:r w:rsidRPr="00B5337A">
        <w:t>measuring and reporting success in a way that clearly articulates value</w:t>
      </w:r>
    </w:p>
    <w:p w14:paraId="185907AE" w14:textId="35957C5E" w:rsidR="00B5337A" w:rsidRDefault="00B5337A" w:rsidP="0051598E">
      <w:pPr>
        <w:pStyle w:val="ListParagraph"/>
        <w:numPr>
          <w:ilvl w:val="0"/>
          <w:numId w:val="24"/>
        </w:numPr>
        <w:spacing w:line="240" w:lineRule="auto"/>
        <w:ind w:left="1071" w:hanging="357"/>
        <w:contextualSpacing w:val="0"/>
      </w:pPr>
      <w:r>
        <w:t>building collaboration and sector efficiency</w:t>
      </w:r>
    </w:p>
    <w:p w14:paraId="2A8853F0" w14:textId="416065E0" w:rsidR="00B5337A" w:rsidRPr="003F67E5" w:rsidRDefault="00B5337A" w:rsidP="0051598E">
      <w:pPr>
        <w:pStyle w:val="ListParagraph"/>
        <w:numPr>
          <w:ilvl w:val="0"/>
          <w:numId w:val="24"/>
        </w:numPr>
        <w:spacing w:line="240" w:lineRule="auto"/>
        <w:ind w:left="1071" w:hanging="357"/>
        <w:contextualSpacing w:val="0"/>
      </w:pPr>
      <w:r w:rsidRPr="003F67E5">
        <w:t>informing, educating, and assisting organisations in the sector to deal with change and build sustainable futures</w:t>
      </w:r>
    </w:p>
    <w:p w14:paraId="4B08DABB" w14:textId="77777777" w:rsidR="00B5337A" w:rsidRDefault="00B5337A" w:rsidP="0051598E">
      <w:pPr>
        <w:pStyle w:val="ListParagraph"/>
        <w:numPr>
          <w:ilvl w:val="0"/>
          <w:numId w:val="24"/>
        </w:numPr>
        <w:spacing w:line="240" w:lineRule="auto"/>
        <w:ind w:left="1071" w:hanging="357"/>
        <w:contextualSpacing w:val="0"/>
      </w:pPr>
      <w:r>
        <w:t xml:space="preserve">providing a catalyst and mechanism for the sector to work </w:t>
      </w:r>
      <w:r w:rsidRPr="003F67E5">
        <w:t>in partnership with government, business and the broader Australian community to achieve positive change.</w:t>
      </w:r>
    </w:p>
    <w:p w14:paraId="21A9BA1F" w14:textId="26A1EB94" w:rsidR="00B5337A" w:rsidRDefault="00B5337A" w:rsidP="00B5337A">
      <w:r>
        <w:t xml:space="preserve">Our success will drive a more sustainable and effective charities and not-for-profit sector in Australia making an increased contribution to the well-being and </w:t>
      </w:r>
      <w:r w:rsidR="0023720C">
        <w:t xml:space="preserve">resilience </w:t>
      </w:r>
      <w:r>
        <w:t>of all our communities.</w:t>
      </w:r>
    </w:p>
    <w:p w14:paraId="5E7F8831" w14:textId="1969E1C1" w:rsidR="00930219" w:rsidRDefault="00C744BB" w:rsidP="00255FF4">
      <w:pPr>
        <w:spacing w:before="240" w:after="120"/>
        <w:ind w:left="360"/>
        <w:rPr>
          <w:rFonts w:asciiTheme="majorHAnsi" w:hAnsiTheme="majorHAnsi"/>
          <w:b/>
          <w:sz w:val="28"/>
          <w:szCs w:val="28"/>
        </w:rPr>
      </w:pPr>
      <w:r>
        <w:rPr>
          <w:rFonts w:asciiTheme="majorHAnsi" w:hAnsiTheme="majorHAnsi"/>
          <w:b/>
          <w:sz w:val="28"/>
          <w:szCs w:val="28"/>
        </w:rPr>
        <w:lastRenderedPageBreak/>
        <w:t>Summary of proposed budget m</w:t>
      </w:r>
      <w:r w:rsidR="003B4B1E">
        <w:rPr>
          <w:rFonts w:asciiTheme="majorHAnsi" w:hAnsiTheme="majorHAnsi"/>
          <w:b/>
          <w:sz w:val="28"/>
          <w:szCs w:val="28"/>
        </w:rPr>
        <w:t>easures</w:t>
      </w:r>
    </w:p>
    <w:p w14:paraId="5D98AB2C" w14:textId="14E09F67" w:rsidR="00546F99" w:rsidRPr="002D19DE" w:rsidRDefault="00546F99" w:rsidP="00255FF4">
      <w:pPr>
        <w:spacing w:before="240" w:after="120"/>
        <w:ind w:left="360"/>
      </w:pPr>
      <w:r>
        <w:t xml:space="preserve">The following </w:t>
      </w:r>
      <w:r w:rsidR="003B4B1E">
        <w:t xml:space="preserve">proposals </w:t>
      </w:r>
      <w:r w:rsidR="00932127">
        <w:t xml:space="preserve">have </w:t>
      </w:r>
      <w:r w:rsidR="007D3351">
        <w:t xml:space="preserve">been developed through </w:t>
      </w:r>
      <w:r>
        <w:t>extensive discussions and feedback from CC</w:t>
      </w:r>
      <w:r w:rsidR="007E1336">
        <w:t>A members</w:t>
      </w:r>
      <w:r>
        <w:t xml:space="preserve"> and other key stakeholders.  Each</w:t>
      </w:r>
      <w:r w:rsidR="00AA5420">
        <w:t xml:space="preserve"> </w:t>
      </w:r>
      <w:r w:rsidR="007E1336">
        <w:t xml:space="preserve">measure </w:t>
      </w:r>
      <w:r w:rsidR="00F374BB">
        <w:t>would deliver real benefits</w:t>
      </w:r>
      <w:r w:rsidR="00AA5420">
        <w:t xml:space="preserve"> to government over the longer</w:t>
      </w:r>
      <w:r w:rsidR="00754C5B">
        <w:t>-</w:t>
      </w:r>
      <w:r w:rsidR="00AA5420">
        <w:t>term</w:t>
      </w:r>
      <w:r w:rsidR="007D3351">
        <w:t xml:space="preserve"> and strengthen communities (p</w:t>
      </w:r>
      <w:r w:rsidR="004E1D04">
        <w:t>ropos</w:t>
      </w:r>
      <w:r w:rsidR="00BC1703">
        <w:t>ed measure</w:t>
      </w:r>
      <w:r w:rsidR="007D3351">
        <w:t>s</w:t>
      </w:r>
      <w:r w:rsidR="004E1D04">
        <w:t xml:space="preserve"> </w:t>
      </w:r>
      <w:r w:rsidR="007D3351">
        <w:t>are</w:t>
      </w:r>
      <w:r w:rsidR="00AE0C93">
        <w:t xml:space="preserve"> </w:t>
      </w:r>
      <w:r w:rsidR="00AA5420">
        <w:t xml:space="preserve">outlined in </w:t>
      </w:r>
      <w:r w:rsidR="00AE0C93">
        <w:t>more</w:t>
      </w:r>
      <w:r w:rsidR="00AA5420">
        <w:t xml:space="preserve"> detail </w:t>
      </w:r>
      <w:r w:rsidR="007D3351">
        <w:t>on</w:t>
      </w:r>
      <w:r w:rsidR="00A61654">
        <w:t xml:space="preserve"> page four</w:t>
      </w:r>
      <w:r w:rsidR="007D3351">
        <w:t>).</w:t>
      </w:r>
    </w:p>
    <w:p w14:paraId="44EB9BFD" w14:textId="469D0D0E" w:rsidR="00546F99" w:rsidRPr="00F0175A" w:rsidRDefault="00546F99" w:rsidP="00374BFE">
      <w:pPr>
        <w:pStyle w:val="ListParagraph"/>
        <w:numPr>
          <w:ilvl w:val="0"/>
          <w:numId w:val="3"/>
        </w:numPr>
        <w:spacing w:before="240"/>
        <w:ind w:hanging="357"/>
        <w:contextualSpacing w:val="0"/>
        <w:rPr>
          <w:rFonts w:asciiTheme="majorHAnsi" w:hAnsiTheme="majorHAnsi"/>
          <w:b/>
          <w:lang w:val="en-US"/>
        </w:rPr>
      </w:pPr>
      <w:r w:rsidRPr="00F0175A">
        <w:rPr>
          <w:rFonts w:asciiTheme="majorHAnsi" w:hAnsiTheme="majorHAnsi"/>
          <w:b/>
          <w:lang w:val="en-US"/>
        </w:rPr>
        <w:t xml:space="preserve">Provide </w:t>
      </w:r>
      <w:r w:rsidR="00A61654" w:rsidRPr="00F0175A">
        <w:rPr>
          <w:rFonts w:asciiTheme="majorHAnsi" w:hAnsiTheme="majorHAnsi"/>
          <w:b/>
          <w:lang w:val="en-US"/>
        </w:rPr>
        <w:t>Deductible</w:t>
      </w:r>
      <w:r w:rsidRPr="00F0175A">
        <w:rPr>
          <w:rFonts w:asciiTheme="majorHAnsi" w:hAnsiTheme="majorHAnsi"/>
          <w:b/>
          <w:lang w:val="en-US"/>
        </w:rPr>
        <w:t xml:space="preserve"> Gift Recipient (DGR) status to all registered </w:t>
      </w:r>
      <w:r w:rsidR="00A61654" w:rsidRPr="00F0175A">
        <w:rPr>
          <w:rFonts w:asciiTheme="majorHAnsi" w:hAnsiTheme="majorHAnsi"/>
          <w:b/>
          <w:lang w:val="en-US"/>
        </w:rPr>
        <w:t xml:space="preserve">charities with an initial </w:t>
      </w:r>
      <w:r w:rsidR="0019035D" w:rsidRPr="00F0175A">
        <w:rPr>
          <w:rFonts w:asciiTheme="majorHAnsi" w:hAnsiTheme="majorHAnsi"/>
          <w:b/>
          <w:lang w:val="en-US"/>
        </w:rPr>
        <w:t>exemption of</w:t>
      </w:r>
      <w:r w:rsidRPr="00F0175A">
        <w:rPr>
          <w:rFonts w:asciiTheme="majorHAnsi" w:hAnsiTheme="majorHAnsi"/>
          <w:b/>
          <w:lang w:val="en-US"/>
        </w:rPr>
        <w:t xml:space="preserve"> </w:t>
      </w:r>
      <w:r w:rsidR="00A30532" w:rsidRPr="00F0175A">
        <w:rPr>
          <w:rFonts w:asciiTheme="majorHAnsi" w:hAnsiTheme="majorHAnsi"/>
          <w:b/>
          <w:lang w:val="en-US"/>
        </w:rPr>
        <w:t>organisations</w:t>
      </w:r>
      <w:r w:rsidR="00166928" w:rsidRPr="00F0175A">
        <w:rPr>
          <w:rFonts w:asciiTheme="majorHAnsi" w:hAnsiTheme="majorHAnsi"/>
          <w:b/>
          <w:lang w:val="en-US"/>
        </w:rPr>
        <w:t xml:space="preserve"> for the advancement of religion and education</w:t>
      </w:r>
      <w:r w:rsidR="00F23DCC" w:rsidRPr="00F0175A">
        <w:rPr>
          <w:rFonts w:asciiTheme="majorHAnsi" w:hAnsiTheme="majorHAnsi"/>
          <w:b/>
          <w:lang w:val="en-US"/>
        </w:rPr>
        <w:t>.  This measure will</w:t>
      </w:r>
      <w:r w:rsidR="0048279F" w:rsidRPr="00F0175A">
        <w:rPr>
          <w:rFonts w:asciiTheme="majorHAnsi" w:hAnsiTheme="majorHAnsi"/>
          <w:b/>
          <w:lang w:val="en-US"/>
        </w:rPr>
        <w:t xml:space="preserve"> be </w:t>
      </w:r>
      <w:r w:rsidR="004E1D04" w:rsidRPr="00F0175A">
        <w:rPr>
          <w:rFonts w:asciiTheme="majorHAnsi" w:hAnsiTheme="majorHAnsi"/>
          <w:b/>
          <w:lang w:val="en-US"/>
        </w:rPr>
        <w:t xml:space="preserve">completely </w:t>
      </w:r>
      <w:r w:rsidR="0048279F" w:rsidRPr="00F0175A">
        <w:rPr>
          <w:rFonts w:asciiTheme="majorHAnsi" w:hAnsiTheme="majorHAnsi"/>
          <w:b/>
          <w:lang w:val="en-US"/>
        </w:rPr>
        <w:t xml:space="preserve">funded by </w:t>
      </w:r>
      <w:r w:rsidR="007D3351" w:rsidRPr="00F0175A">
        <w:rPr>
          <w:rFonts w:asciiTheme="majorHAnsi" w:hAnsiTheme="majorHAnsi"/>
          <w:b/>
          <w:lang w:val="en-US"/>
        </w:rPr>
        <w:t>recent changes to</w:t>
      </w:r>
      <w:r w:rsidR="002A672C" w:rsidRPr="00F0175A">
        <w:rPr>
          <w:rFonts w:asciiTheme="majorHAnsi" w:hAnsiTheme="majorHAnsi"/>
          <w:b/>
          <w:lang w:val="en-US"/>
        </w:rPr>
        <w:t xml:space="preserve"> </w:t>
      </w:r>
      <w:r w:rsidR="0048279F" w:rsidRPr="00F0175A">
        <w:rPr>
          <w:rFonts w:asciiTheme="majorHAnsi" w:hAnsiTheme="majorHAnsi"/>
          <w:b/>
          <w:lang w:val="en-US"/>
        </w:rPr>
        <w:t>F</w:t>
      </w:r>
      <w:r w:rsidR="00754C5B" w:rsidRPr="00F0175A">
        <w:rPr>
          <w:rFonts w:asciiTheme="majorHAnsi" w:hAnsiTheme="majorHAnsi"/>
          <w:b/>
          <w:lang w:val="en-US"/>
        </w:rPr>
        <w:t xml:space="preserve">ringe </w:t>
      </w:r>
      <w:r w:rsidR="0048279F" w:rsidRPr="00F0175A">
        <w:rPr>
          <w:rFonts w:asciiTheme="majorHAnsi" w:hAnsiTheme="majorHAnsi"/>
          <w:b/>
          <w:lang w:val="en-US"/>
        </w:rPr>
        <w:t>B</w:t>
      </w:r>
      <w:r w:rsidR="00754C5B" w:rsidRPr="00F0175A">
        <w:rPr>
          <w:rFonts w:asciiTheme="majorHAnsi" w:hAnsiTheme="majorHAnsi"/>
          <w:b/>
          <w:lang w:val="en-US"/>
        </w:rPr>
        <w:t xml:space="preserve">enefits </w:t>
      </w:r>
      <w:r w:rsidR="0048279F" w:rsidRPr="00F0175A">
        <w:rPr>
          <w:rFonts w:asciiTheme="majorHAnsi" w:hAnsiTheme="majorHAnsi"/>
          <w:b/>
          <w:lang w:val="en-US"/>
        </w:rPr>
        <w:t>T</w:t>
      </w:r>
      <w:r w:rsidR="00754C5B" w:rsidRPr="00F0175A">
        <w:rPr>
          <w:rFonts w:asciiTheme="majorHAnsi" w:hAnsiTheme="majorHAnsi"/>
          <w:b/>
          <w:lang w:val="en-US"/>
        </w:rPr>
        <w:t>ax (FBT)</w:t>
      </w:r>
      <w:r w:rsidR="0048279F" w:rsidRPr="00F0175A">
        <w:rPr>
          <w:rFonts w:asciiTheme="majorHAnsi" w:hAnsiTheme="majorHAnsi"/>
          <w:b/>
          <w:lang w:val="en-US"/>
        </w:rPr>
        <w:t xml:space="preserve"> </w:t>
      </w:r>
      <w:r w:rsidR="00166928" w:rsidRPr="00F0175A">
        <w:rPr>
          <w:rFonts w:asciiTheme="majorHAnsi" w:hAnsiTheme="majorHAnsi"/>
          <w:b/>
          <w:lang w:val="en-US"/>
        </w:rPr>
        <w:t>concession</w:t>
      </w:r>
      <w:r w:rsidR="00852458" w:rsidRPr="00F0175A">
        <w:rPr>
          <w:rFonts w:asciiTheme="majorHAnsi" w:hAnsiTheme="majorHAnsi"/>
          <w:b/>
          <w:lang w:val="en-US"/>
        </w:rPr>
        <w:t>s</w:t>
      </w:r>
      <w:r w:rsidR="00201B84" w:rsidRPr="00F0175A">
        <w:rPr>
          <w:rFonts w:asciiTheme="majorHAnsi" w:hAnsiTheme="majorHAnsi"/>
          <w:b/>
          <w:lang w:val="en-US"/>
        </w:rPr>
        <w:t xml:space="preserve"> that introduced</w:t>
      </w:r>
      <w:r w:rsidR="007D3351" w:rsidRPr="00F0175A">
        <w:rPr>
          <w:rFonts w:asciiTheme="majorHAnsi" w:hAnsiTheme="majorHAnsi"/>
          <w:b/>
          <w:lang w:val="en-US"/>
        </w:rPr>
        <w:t xml:space="preserve"> the</w:t>
      </w:r>
      <w:r w:rsidR="0048279F" w:rsidRPr="00F0175A">
        <w:rPr>
          <w:rFonts w:asciiTheme="majorHAnsi" w:hAnsiTheme="majorHAnsi"/>
          <w:b/>
          <w:lang w:val="en-US"/>
        </w:rPr>
        <w:t xml:space="preserve"> capping</w:t>
      </w:r>
      <w:r w:rsidR="007D3351" w:rsidRPr="00F0175A">
        <w:rPr>
          <w:rFonts w:asciiTheme="majorHAnsi" w:hAnsiTheme="majorHAnsi"/>
          <w:b/>
          <w:lang w:val="en-US"/>
        </w:rPr>
        <w:t xml:space="preserve"> of</w:t>
      </w:r>
      <w:r w:rsidR="0048279F" w:rsidRPr="00F0175A">
        <w:rPr>
          <w:rFonts w:asciiTheme="majorHAnsi" w:hAnsiTheme="majorHAnsi"/>
          <w:b/>
          <w:lang w:val="en-US"/>
        </w:rPr>
        <w:t xml:space="preserve"> meals </w:t>
      </w:r>
      <w:r w:rsidR="00201B84" w:rsidRPr="00F0175A">
        <w:rPr>
          <w:rFonts w:asciiTheme="majorHAnsi" w:hAnsiTheme="majorHAnsi"/>
          <w:b/>
          <w:lang w:val="en-US"/>
        </w:rPr>
        <w:t>and entertainment expenses.</w:t>
      </w:r>
    </w:p>
    <w:p w14:paraId="5A961AC6" w14:textId="19EE77D7" w:rsidR="00136601" w:rsidRDefault="005176E5" w:rsidP="00374BFE">
      <w:pPr>
        <w:pStyle w:val="ListParagraph"/>
        <w:numPr>
          <w:ilvl w:val="0"/>
          <w:numId w:val="3"/>
        </w:numPr>
        <w:spacing w:before="240"/>
        <w:ind w:hanging="357"/>
        <w:contextualSpacing w:val="0"/>
        <w:rPr>
          <w:rFonts w:asciiTheme="majorHAnsi" w:hAnsiTheme="majorHAnsi"/>
          <w:b/>
          <w:lang w:val="en-US"/>
        </w:rPr>
      </w:pPr>
      <w:r>
        <w:rPr>
          <w:rFonts w:asciiTheme="majorHAnsi" w:hAnsiTheme="majorHAnsi"/>
          <w:b/>
          <w:lang w:val="en-US"/>
        </w:rPr>
        <w:t xml:space="preserve">Introduce </w:t>
      </w:r>
      <w:r w:rsidR="00D75BD5">
        <w:rPr>
          <w:rFonts w:asciiTheme="majorHAnsi" w:hAnsiTheme="majorHAnsi"/>
          <w:b/>
          <w:lang w:val="en-US"/>
        </w:rPr>
        <w:t xml:space="preserve">a </w:t>
      </w:r>
      <w:r w:rsidR="00136601">
        <w:rPr>
          <w:rFonts w:asciiTheme="majorHAnsi" w:hAnsiTheme="majorHAnsi"/>
          <w:b/>
          <w:lang w:val="en-US"/>
        </w:rPr>
        <w:t xml:space="preserve">targeted </w:t>
      </w:r>
      <w:r>
        <w:rPr>
          <w:rFonts w:asciiTheme="majorHAnsi" w:hAnsiTheme="majorHAnsi"/>
          <w:b/>
          <w:lang w:val="en-US"/>
        </w:rPr>
        <w:t>‘</w:t>
      </w:r>
      <w:r w:rsidR="001F27E7">
        <w:rPr>
          <w:rFonts w:asciiTheme="majorHAnsi" w:hAnsiTheme="majorHAnsi"/>
          <w:b/>
          <w:lang w:val="en-US"/>
        </w:rPr>
        <w:t>estate duty</w:t>
      </w:r>
      <w:r>
        <w:rPr>
          <w:rFonts w:asciiTheme="majorHAnsi" w:hAnsiTheme="majorHAnsi"/>
          <w:b/>
          <w:lang w:val="en-US"/>
        </w:rPr>
        <w:t>’</w:t>
      </w:r>
      <w:r w:rsidR="00136601">
        <w:rPr>
          <w:rFonts w:asciiTheme="majorHAnsi" w:hAnsiTheme="majorHAnsi"/>
          <w:b/>
          <w:lang w:val="en-US"/>
        </w:rPr>
        <w:t xml:space="preserve"> for peopl</w:t>
      </w:r>
      <w:r w:rsidR="00D75BD5">
        <w:rPr>
          <w:rFonts w:asciiTheme="majorHAnsi" w:hAnsiTheme="majorHAnsi"/>
          <w:b/>
          <w:lang w:val="en-US"/>
        </w:rPr>
        <w:t>e with estates valued at over $1</w:t>
      </w:r>
      <w:r w:rsidR="00136601">
        <w:rPr>
          <w:rFonts w:asciiTheme="majorHAnsi" w:hAnsiTheme="majorHAnsi"/>
          <w:b/>
          <w:lang w:val="en-US"/>
        </w:rPr>
        <w:t>0 million with appropriate incentives</w:t>
      </w:r>
      <w:r w:rsidR="00F374BB">
        <w:rPr>
          <w:rFonts w:asciiTheme="majorHAnsi" w:hAnsiTheme="majorHAnsi"/>
          <w:b/>
          <w:lang w:val="en-US"/>
        </w:rPr>
        <w:t xml:space="preserve"> for donations to charities, </w:t>
      </w:r>
      <w:r w:rsidR="00136601">
        <w:rPr>
          <w:rFonts w:asciiTheme="majorHAnsi" w:hAnsiTheme="majorHAnsi"/>
          <w:b/>
          <w:lang w:val="en-US"/>
        </w:rPr>
        <w:t xml:space="preserve">safeguards relating to family farms and </w:t>
      </w:r>
      <w:r w:rsidR="00F374BB">
        <w:rPr>
          <w:rFonts w:asciiTheme="majorHAnsi" w:hAnsiTheme="majorHAnsi"/>
          <w:b/>
          <w:lang w:val="en-US"/>
        </w:rPr>
        <w:t xml:space="preserve">mitigation of </w:t>
      </w:r>
      <w:r w:rsidR="00136601">
        <w:rPr>
          <w:rFonts w:asciiTheme="majorHAnsi" w:hAnsiTheme="majorHAnsi"/>
          <w:b/>
          <w:lang w:val="en-US"/>
        </w:rPr>
        <w:t>any potential adverse impacts</w:t>
      </w:r>
      <w:r w:rsidR="008652DE">
        <w:rPr>
          <w:rFonts w:asciiTheme="majorHAnsi" w:hAnsiTheme="majorHAnsi"/>
          <w:b/>
          <w:lang w:val="en-US"/>
        </w:rPr>
        <w:t>.</w:t>
      </w:r>
    </w:p>
    <w:p w14:paraId="79680CCC" w14:textId="5192F6EE" w:rsidR="00F23DCC" w:rsidRDefault="00F23DCC" w:rsidP="00374BFE">
      <w:pPr>
        <w:pStyle w:val="ListParagraph"/>
        <w:numPr>
          <w:ilvl w:val="0"/>
          <w:numId w:val="3"/>
        </w:numPr>
        <w:spacing w:before="240"/>
        <w:ind w:hanging="357"/>
        <w:contextualSpacing w:val="0"/>
        <w:rPr>
          <w:rFonts w:asciiTheme="majorHAnsi" w:hAnsiTheme="majorHAnsi"/>
          <w:b/>
          <w:lang w:val="en-US"/>
        </w:rPr>
      </w:pPr>
      <w:r>
        <w:rPr>
          <w:rFonts w:asciiTheme="majorHAnsi" w:hAnsiTheme="majorHAnsi"/>
          <w:b/>
          <w:lang w:val="en-US"/>
        </w:rPr>
        <w:t xml:space="preserve">Implement the French 90/10 rule providing an option for all </w:t>
      </w:r>
      <w:r w:rsidR="00136601">
        <w:rPr>
          <w:rFonts w:asciiTheme="majorHAnsi" w:hAnsiTheme="majorHAnsi"/>
          <w:b/>
          <w:lang w:val="en-US"/>
        </w:rPr>
        <w:t xml:space="preserve">Australian </w:t>
      </w:r>
      <w:r w:rsidR="00A53539">
        <w:rPr>
          <w:rFonts w:asciiTheme="majorHAnsi" w:hAnsiTheme="majorHAnsi"/>
          <w:b/>
          <w:lang w:val="en-US"/>
        </w:rPr>
        <w:t>employees to invest 5-</w:t>
      </w:r>
      <w:r>
        <w:rPr>
          <w:rFonts w:asciiTheme="majorHAnsi" w:hAnsiTheme="majorHAnsi"/>
          <w:b/>
          <w:lang w:val="en-US"/>
        </w:rPr>
        <w:t xml:space="preserve">10% of their superannuation into </w:t>
      </w:r>
      <w:r w:rsidR="00136601">
        <w:rPr>
          <w:rFonts w:asciiTheme="majorHAnsi" w:hAnsiTheme="majorHAnsi"/>
          <w:b/>
          <w:lang w:val="en-US"/>
        </w:rPr>
        <w:t>a not-for-profit</w:t>
      </w:r>
      <w:r>
        <w:rPr>
          <w:rFonts w:asciiTheme="majorHAnsi" w:hAnsiTheme="majorHAnsi"/>
          <w:b/>
          <w:lang w:val="en-US"/>
        </w:rPr>
        <w:t xml:space="preserve"> social enterprise that </w:t>
      </w:r>
      <w:r w:rsidR="00136601">
        <w:rPr>
          <w:rFonts w:asciiTheme="majorHAnsi" w:hAnsiTheme="majorHAnsi"/>
          <w:b/>
          <w:lang w:val="en-US"/>
        </w:rPr>
        <w:t>benefits</w:t>
      </w:r>
      <w:r>
        <w:rPr>
          <w:rFonts w:asciiTheme="majorHAnsi" w:hAnsiTheme="majorHAnsi"/>
          <w:b/>
          <w:lang w:val="en-US"/>
        </w:rPr>
        <w:t xml:space="preserve"> the community</w:t>
      </w:r>
      <w:r w:rsidR="008652DE">
        <w:rPr>
          <w:rFonts w:asciiTheme="majorHAnsi" w:hAnsiTheme="majorHAnsi"/>
          <w:b/>
          <w:lang w:val="en-US"/>
        </w:rPr>
        <w:t>.</w:t>
      </w:r>
    </w:p>
    <w:p w14:paraId="381DAB40" w14:textId="6D4DABD6" w:rsidR="00546F99" w:rsidRPr="00480F53" w:rsidRDefault="00546F99" w:rsidP="00374BFE">
      <w:pPr>
        <w:pStyle w:val="ListParagraph"/>
        <w:numPr>
          <w:ilvl w:val="0"/>
          <w:numId w:val="3"/>
        </w:numPr>
        <w:spacing w:before="240"/>
        <w:ind w:hanging="357"/>
        <w:contextualSpacing w:val="0"/>
        <w:rPr>
          <w:rFonts w:asciiTheme="majorHAnsi" w:hAnsiTheme="majorHAnsi"/>
          <w:b/>
          <w:lang w:val="en-US"/>
        </w:rPr>
      </w:pPr>
      <w:r w:rsidRPr="00480F53">
        <w:rPr>
          <w:rFonts w:asciiTheme="majorHAnsi" w:hAnsiTheme="majorHAnsi"/>
          <w:b/>
          <w:lang w:val="en-US"/>
        </w:rPr>
        <w:t>Establish a Social Finance Taskforce (as recommended by the Senate Economics Reference</w:t>
      </w:r>
      <w:r w:rsidR="001D6A40" w:rsidRPr="00480F53">
        <w:rPr>
          <w:rFonts w:asciiTheme="majorHAnsi" w:hAnsiTheme="majorHAnsi"/>
          <w:b/>
          <w:lang w:val="en-US"/>
        </w:rPr>
        <w:t>s</w:t>
      </w:r>
      <w:r w:rsidRPr="00480F53">
        <w:rPr>
          <w:rFonts w:asciiTheme="majorHAnsi" w:hAnsiTheme="majorHAnsi"/>
          <w:b/>
          <w:lang w:val="en-US"/>
        </w:rPr>
        <w:t xml:space="preserve"> Committee)</w:t>
      </w:r>
      <w:r w:rsidR="00F218D3" w:rsidRPr="00480F53">
        <w:rPr>
          <w:rFonts w:asciiTheme="majorHAnsi" w:hAnsiTheme="majorHAnsi"/>
          <w:b/>
          <w:lang w:val="en-US"/>
        </w:rPr>
        <w:t xml:space="preserve"> to identify and promote better access to capital</w:t>
      </w:r>
      <w:r w:rsidR="00932127" w:rsidRPr="00480F53">
        <w:rPr>
          <w:rFonts w:asciiTheme="majorHAnsi" w:hAnsiTheme="majorHAnsi"/>
          <w:b/>
          <w:lang w:val="en-US"/>
        </w:rPr>
        <w:t xml:space="preserve"> for NFPs</w:t>
      </w:r>
      <w:r w:rsidR="008652DE">
        <w:rPr>
          <w:rFonts w:asciiTheme="majorHAnsi" w:hAnsiTheme="majorHAnsi"/>
          <w:b/>
          <w:lang w:val="en-US"/>
        </w:rPr>
        <w:t>.</w:t>
      </w:r>
      <w:r w:rsidR="00D54A2C" w:rsidRPr="00480F53">
        <w:rPr>
          <w:rFonts w:asciiTheme="majorHAnsi" w:hAnsiTheme="majorHAnsi"/>
          <w:b/>
          <w:lang w:val="en-US"/>
        </w:rPr>
        <w:t xml:space="preserve">  </w:t>
      </w:r>
    </w:p>
    <w:p w14:paraId="4C266C88" w14:textId="13CB968D" w:rsidR="00263186" w:rsidRPr="00480F53" w:rsidRDefault="00263186" w:rsidP="00374BFE">
      <w:pPr>
        <w:pStyle w:val="ListParagraph"/>
        <w:numPr>
          <w:ilvl w:val="0"/>
          <w:numId w:val="3"/>
        </w:numPr>
        <w:spacing w:before="240"/>
        <w:contextualSpacing w:val="0"/>
        <w:rPr>
          <w:rFonts w:asciiTheme="majorHAnsi" w:hAnsiTheme="majorHAnsi"/>
          <w:b/>
          <w:lang w:val="en-US"/>
        </w:rPr>
      </w:pPr>
      <w:r>
        <w:rPr>
          <w:rFonts w:asciiTheme="majorHAnsi" w:hAnsiTheme="majorHAnsi"/>
          <w:b/>
          <w:lang w:val="en-US"/>
        </w:rPr>
        <w:t>Continue supporting the Australian Charities and Not-for-profits Commission (ACNC) to e</w:t>
      </w:r>
      <w:r w:rsidRPr="00480F53">
        <w:rPr>
          <w:rFonts w:asciiTheme="majorHAnsi" w:hAnsiTheme="majorHAnsi"/>
          <w:b/>
          <w:lang w:val="en-US"/>
        </w:rPr>
        <w:t xml:space="preserve">nsure an independent and effective process </w:t>
      </w:r>
      <w:r>
        <w:rPr>
          <w:rFonts w:asciiTheme="majorHAnsi" w:hAnsiTheme="majorHAnsi"/>
          <w:b/>
          <w:lang w:val="en-US"/>
        </w:rPr>
        <w:t>in</w:t>
      </w:r>
      <w:r w:rsidRPr="00480F53">
        <w:rPr>
          <w:rFonts w:asciiTheme="majorHAnsi" w:hAnsiTheme="majorHAnsi"/>
          <w:b/>
          <w:lang w:val="en-US"/>
        </w:rPr>
        <w:t xml:space="preserve"> determi</w:t>
      </w:r>
      <w:r>
        <w:rPr>
          <w:rFonts w:asciiTheme="majorHAnsi" w:hAnsiTheme="majorHAnsi"/>
          <w:b/>
          <w:lang w:val="en-US"/>
        </w:rPr>
        <w:t>ning</w:t>
      </w:r>
      <w:r w:rsidRPr="00480F53">
        <w:rPr>
          <w:rFonts w:asciiTheme="majorHAnsi" w:hAnsiTheme="majorHAnsi"/>
          <w:b/>
          <w:lang w:val="en-US"/>
        </w:rPr>
        <w:t xml:space="preserve"> charitable status, </w:t>
      </w:r>
      <w:r>
        <w:rPr>
          <w:rFonts w:asciiTheme="majorHAnsi" w:hAnsiTheme="majorHAnsi"/>
          <w:b/>
          <w:lang w:val="en-US"/>
        </w:rPr>
        <w:t>building public confidence in the sector and</w:t>
      </w:r>
      <w:r w:rsidRPr="00480F53">
        <w:rPr>
          <w:rFonts w:asciiTheme="majorHAnsi" w:hAnsiTheme="majorHAnsi"/>
          <w:b/>
          <w:lang w:val="en-US"/>
        </w:rPr>
        <w:t xml:space="preserve"> driv</w:t>
      </w:r>
      <w:r>
        <w:rPr>
          <w:rFonts w:asciiTheme="majorHAnsi" w:hAnsiTheme="majorHAnsi"/>
          <w:b/>
          <w:lang w:val="en-US"/>
        </w:rPr>
        <w:t>ing</w:t>
      </w:r>
      <w:r w:rsidRPr="00480F53">
        <w:rPr>
          <w:rFonts w:asciiTheme="majorHAnsi" w:hAnsiTheme="majorHAnsi"/>
          <w:b/>
          <w:lang w:val="en-US"/>
        </w:rPr>
        <w:t xml:space="preserve"> government red tape reduction</w:t>
      </w:r>
      <w:r w:rsidR="008652DE">
        <w:rPr>
          <w:rFonts w:asciiTheme="majorHAnsi" w:hAnsiTheme="majorHAnsi"/>
          <w:b/>
          <w:lang w:val="en-US"/>
        </w:rPr>
        <w:t>.</w:t>
      </w:r>
    </w:p>
    <w:p w14:paraId="3D69351B" w14:textId="5745DDE5" w:rsidR="00552C3D" w:rsidRPr="00480F53" w:rsidRDefault="0023720C" w:rsidP="00374BFE">
      <w:pPr>
        <w:pStyle w:val="ListParagraph"/>
        <w:numPr>
          <w:ilvl w:val="0"/>
          <w:numId w:val="3"/>
        </w:numPr>
        <w:spacing w:before="240"/>
        <w:ind w:hanging="357"/>
        <w:contextualSpacing w:val="0"/>
        <w:rPr>
          <w:rFonts w:asciiTheme="majorHAnsi" w:hAnsiTheme="majorHAnsi"/>
          <w:b/>
          <w:lang w:val="en-US"/>
        </w:rPr>
      </w:pPr>
      <w:r>
        <w:rPr>
          <w:rFonts w:asciiTheme="majorHAnsi" w:hAnsiTheme="majorHAnsi"/>
          <w:b/>
          <w:lang w:val="en-US"/>
        </w:rPr>
        <w:t xml:space="preserve">Increase philanthropy by </w:t>
      </w:r>
      <w:r w:rsidR="00BC1703">
        <w:rPr>
          <w:rFonts w:asciiTheme="majorHAnsi" w:hAnsiTheme="majorHAnsi"/>
          <w:b/>
          <w:lang w:val="en-US"/>
        </w:rPr>
        <w:t xml:space="preserve">enabling </w:t>
      </w:r>
      <w:r w:rsidR="00552C3D" w:rsidRPr="00480F53">
        <w:rPr>
          <w:rFonts w:asciiTheme="majorHAnsi" w:hAnsiTheme="majorHAnsi"/>
          <w:b/>
          <w:lang w:val="en-US"/>
        </w:rPr>
        <w:t xml:space="preserve">employers to establish </w:t>
      </w:r>
      <w:r w:rsidR="00F0175A">
        <w:rPr>
          <w:rFonts w:asciiTheme="majorHAnsi" w:hAnsiTheme="majorHAnsi"/>
          <w:b/>
          <w:lang w:val="en-US"/>
        </w:rPr>
        <w:t xml:space="preserve">more effective </w:t>
      </w:r>
      <w:r w:rsidR="00552C3D" w:rsidRPr="00480F53">
        <w:rPr>
          <w:rFonts w:asciiTheme="majorHAnsi" w:hAnsiTheme="majorHAnsi"/>
          <w:b/>
          <w:lang w:val="en-US"/>
        </w:rPr>
        <w:t>‘opt out’ sys</w:t>
      </w:r>
      <w:r w:rsidR="004E1D04" w:rsidRPr="00480F53">
        <w:rPr>
          <w:rFonts w:asciiTheme="majorHAnsi" w:hAnsiTheme="majorHAnsi"/>
          <w:b/>
          <w:lang w:val="en-US"/>
        </w:rPr>
        <w:t>tems of workplace giving</w:t>
      </w:r>
      <w:r w:rsidR="008652DE">
        <w:rPr>
          <w:rFonts w:asciiTheme="majorHAnsi" w:hAnsiTheme="majorHAnsi"/>
          <w:b/>
          <w:lang w:val="en-US"/>
        </w:rPr>
        <w:t>.</w:t>
      </w:r>
      <w:r w:rsidR="004E1D04" w:rsidRPr="00480F53">
        <w:rPr>
          <w:rFonts w:asciiTheme="majorHAnsi" w:hAnsiTheme="majorHAnsi"/>
          <w:b/>
          <w:lang w:val="en-US"/>
        </w:rPr>
        <w:t xml:space="preserve"> </w:t>
      </w:r>
    </w:p>
    <w:p w14:paraId="513273DD" w14:textId="07777ECD" w:rsidR="00546F99" w:rsidRPr="00480F53" w:rsidRDefault="003C2C05" w:rsidP="00374BFE">
      <w:pPr>
        <w:pStyle w:val="ListParagraph"/>
        <w:numPr>
          <w:ilvl w:val="0"/>
          <w:numId w:val="3"/>
        </w:numPr>
        <w:spacing w:before="240" w:after="120"/>
        <w:ind w:hanging="357"/>
        <w:contextualSpacing w:val="0"/>
        <w:rPr>
          <w:rFonts w:asciiTheme="majorHAnsi" w:hAnsiTheme="majorHAnsi"/>
          <w:b/>
        </w:rPr>
      </w:pPr>
      <w:r>
        <w:rPr>
          <w:rFonts w:asciiTheme="majorHAnsi" w:hAnsiTheme="majorHAnsi"/>
          <w:b/>
          <w:lang w:val="en-US"/>
        </w:rPr>
        <w:t>B</w:t>
      </w:r>
      <w:r w:rsidR="00D056F1">
        <w:rPr>
          <w:rFonts w:asciiTheme="majorHAnsi" w:hAnsiTheme="majorHAnsi"/>
          <w:b/>
          <w:lang w:val="en-US"/>
        </w:rPr>
        <w:t xml:space="preserve">oost </w:t>
      </w:r>
      <w:r w:rsidR="00BC1703">
        <w:rPr>
          <w:rFonts w:asciiTheme="majorHAnsi" w:hAnsiTheme="majorHAnsi"/>
          <w:b/>
          <w:lang w:val="en-US"/>
        </w:rPr>
        <w:t xml:space="preserve">sector </w:t>
      </w:r>
      <w:r w:rsidR="00D056F1">
        <w:rPr>
          <w:rFonts w:asciiTheme="majorHAnsi" w:hAnsiTheme="majorHAnsi"/>
          <w:b/>
          <w:lang w:val="en-US"/>
        </w:rPr>
        <w:t>investment and productivit</w:t>
      </w:r>
      <w:r w:rsidR="00BC1703">
        <w:rPr>
          <w:rFonts w:asciiTheme="majorHAnsi" w:hAnsiTheme="majorHAnsi"/>
          <w:b/>
          <w:lang w:val="en-US"/>
        </w:rPr>
        <w:t>y</w:t>
      </w:r>
      <w:r>
        <w:rPr>
          <w:rFonts w:asciiTheme="majorHAnsi" w:hAnsiTheme="majorHAnsi"/>
          <w:b/>
          <w:lang w:val="en-US"/>
        </w:rPr>
        <w:t xml:space="preserve"> by increasing certainty in government funding</w:t>
      </w:r>
      <w:r w:rsidR="00EC7D4E">
        <w:rPr>
          <w:rFonts w:asciiTheme="majorHAnsi" w:hAnsiTheme="majorHAnsi"/>
          <w:b/>
          <w:lang w:val="en-US"/>
        </w:rPr>
        <w:t>, concessions, incentives</w:t>
      </w:r>
      <w:r>
        <w:rPr>
          <w:rFonts w:asciiTheme="majorHAnsi" w:hAnsiTheme="majorHAnsi"/>
          <w:b/>
          <w:lang w:val="en-US"/>
        </w:rPr>
        <w:t xml:space="preserve"> and regulation</w:t>
      </w:r>
      <w:r w:rsidR="00EC7D4E">
        <w:rPr>
          <w:rFonts w:asciiTheme="majorHAnsi" w:hAnsiTheme="majorHAnsi"/>
          <w:b/>
          <w:lang w:val="en-US"/>
        </w:rPr>
        <w:t>s</w:t>
      </w:r>
      <w:r w:rsidR="008652DE">
        <w:rPr>
          <w:rFonts w:asciiTheme="majorHAnsi" w:hAnsiTheme="majorHAnsi"/>
          <w:b/>
          <w:lang w:val="en-US"/>
        </w:rPr>
        <w:t>.</w:t>
      </w:r>
      <w:r w:rsidR="00546F99" w:rsidRPr="00480F53">
        <w:rPr>
          <w:rFonts w:asciiTheme="majorHAnsi" w:hAnsiTheme="majorHAnsi"/>
          <w:b/>
          <w:lang w:val="en-US"/>
        </w:rPr>
        <w:t xml:space="preserve"> </w:t>
      </w:r>
    </w:p>
    <w:p w14:paraId="09E4CF20" w14:textId="09049819" w:rsidR="00DD3E30" w:rsidRDefault="00D54A2C" w:rsidP="00374BFE">
      <w:pPr>
        <w:pStyle w:val="ListParagraph"/>
        <w:numPr>
          <w:ilvl w:val="0"/>
          <w:numId w:val="3"/>
        </w:numPr>
        <w:spacing w:before="240"/>
        <w:ind w:hanging="357"/>
        <w:contextualSpacing w:val="0"/>
        <w:rPr>
          <w:rFonts w:asciiTheme="majorHAnsi" w:hAnsiTheme="majorHAnsi"/>
          <w:b/>
          <w:lang w:val="en-US"/>
        </w:rPr>
      </w:pPr>
      <w:r w:rsidRPr="00480F53">
        <w:rPr>
          <w:rFonts w:asciiTheme="majorHAnsi" w:hAnsiTheme="majorHAnsi"/>
          <w:b/>
          <w:lang w:val="en-US"/>
        </w:rPr>
        <w:t xml:space="preserve">Work with the </w:t>
      </w:r>
      <w:r w:rsidR="00D056F1">
        <w:rPr>
          <w:rFonts w:asciiTheme="majorHAnsi" w:hAnsiTheme="majorHAnsi"/>
          <w:b/>
          <w:lang w:val="en-US"/>
        </w:rPr>
        <w:t xml:space="preserve">NFP </w:t>
      </w:r>
      <w:r w:rsidRPr="00480F53">
        <w:rPr>
          <w:rFonts w:asciiTheme="majorHAnsi" w:hAnsiTheme="majorHAnsi"/>
          <w:b/>
          <w:lang w:val="en-US"/>
        </w:rPr>
        <w:t xml:space="preserve">sector </w:t>
      </w:r>
      <w:r w:rsidR="00D056F1">
        <w:rPr>
          <w:rFonts w:asciiTheme="majorHAnsi" w:hAnsiTheme="majorHAnsi"/>
          <w:b/>
          <w:lang w:val="en-US"/>
        </w:rPr>
        <w:t>to develop</w:t>
      </w:r>
      <w:r w:rsidR="003B4B1E" w:rsidRPr="00480F53">
        <w:rPr>
          <w:rFonts w:asciiTheme="majorHAnsi" w:hAnsiTheme="majorHAnsi"/>
          <w:b/>
          <w:lang w:val="en-US"/>
        </w:rPr>
        <w:t xml:space="preserve"> a </w:t>
      </w:r>
      <w:r w:rsidR="00D056F1">
        <w:rPr>
          <w:rFonts w:asciiTheme="majorHAnsi" w:hAnsiTheme="majorHAnsi"/>
          <w:b/>
          <w:lang w:val="en-US"/>
        </w:rPr>
        <w:t>f</w:t>
      </w:r>
      <w:r w:rsidR="003B4B1E" w:rsidRPr="00BC1703">
        <w:rPr>
          <w:rFonts w:asciiTheme="majorHAnsi" w:hAnsiTheme="majorHAnsi"/>
          <w:b/>
          <w:lang w:val="en-US"/>
        </w:rPr>
        <w:t xml:space="preserve">uture </w:t>
      </w:r>
      <w:r w:rsidR="00D056F1">
        <w:rPr>
          <w:rFonts w:asciiTheme="majorHAnsi" w:hAnsiTheme="majorHAnsi"/>
          <w:b/>
          <w:lang w:val="en-US"/>
        </w:rPr>
        <w:t>b</w:t>
      </w:r>
      <w:r w:rsidR="00546F99" w:rsidRPr="00BC1703">
        <w:rPr>
          <w:rFonts w:asciiTheme="majorHAnsi" w:hAnsiTheme="majorHAnsi"/>
          <w:b/>
          <w:lang w:val="en-US"/>
        </w:rPr>
        <w:t xml:space="preserve">lueprint for the </w:t>
      </w:r>
      <w:r w:rsidR="00D056F1">
        <w:rPr>
          <w:rFonts w:asciiTheme="majorHAnsi" w:hAnsiTheme="majorHAnsi"/>
          <w:b/>
          <w:lang w:val="en-US"/>
        </w:rPr>
        <w:t>s</w:t>
      </w:r>
      <w:r w:rsidR="00546F99" w:rsidRPr="00BC1703">
        <w:rPr>
          <w:rFonts w:asciiTheme="majorHAnsi" w:hAnsiTheme="majorHAnsi"/>
          <w:b/>
          <w:lang w:val="en-US"/>
        </w:rPr>
        <w:t>ector</w:t>
      </w:r>
      <w:r w:rsidR="00D056F1">
        <w:rPr>
          <w:rFonts w:asciiTheme="majorHAnsi" w:hAnsiTheme="majorHAnsi"/>
          <w:b/>
          <w:lang w:val="en-US"/>
        </w:rPr>
        <w:t>,</w:t>
      </w:r>
      <w:r w:rsidR="00546F99" w:rsidRPr="00D056F1">
        <w:rPr>
          <w:rFonts w:asciiTheme="majorHAnsi" w:hAnsiTheme="majorHAnsi"/>
          <w:b/>
          <w:lang w:val="en-US"/>
        </w:rPr>
        <w:t xml:space="preserve"> </w:t>
      </w:r>
      <w:r w:rsidR="00546F99" w:rsidRPr="00480F53">
        <w:rPr>
          <w:rFonts w:asciiTheme="majorHAnsi" w:hAnsiTheme="majorHAnsi"/>
          <w:b/>
          <w:lang w:val="en-US"/>
        </w:rPr>
        <w:t>i</w:t>
      </w:r>
      <w:r w:rsidR="00A61654" w:rsidRPr="00480F53">
        <w:rPr>
          <w:rFonts w:asciiTheme="majorHAnsi" w:hAnsiTheme="majorHAnsi"/>
          <w:b/>
          <w:lang w:val="en-US"/>
        </w:rPr>
        <w:t>ncluding extensive consultation;</w:t>
      </w:r>
      <w:r w:rsidR="00546F99" w:rsidRPr="00480F53">
        <w:rPr>
          <w:rFonts w:asciiTheme="majorHAnsi" w:hAnsiTheme="majorHAnsi"/>
          <w:b/>
          <w:lang w:val="en-US"/>
        </w:rPr>
        <w:t xml:space="preserve"> econom</w:t>
      </w:r>
      <w:r w:rsidR="00A61654" w:rsidRPr="00480F53">
        <w:rPr>
          <w:rFonts w:asciiTheme="majorHAnsi" w:hAnsiTheme="majorHAnsi"/>
          <w:b/>
          <w:lang w:val="en-US"/>
        </w:rPr>
        <w:t>ic modeling of future scenarios;</w:t>
      </w:r>
      <w:r w:rsidR="00546F99" w:rsidRPr="00480F53">
        <w:rPr>
          <w:rFonts w:asciiTheme="majorHAnsi" w:hAnsiTheme="majorHAnsi"/>
          <w:b/>
          <w:lang w:val="en-US"/>
        </w:rPr>
        <w:t xml:space="preserve"> </w:t>
      </w:r>
      <w:r w:rsidR="00D056F1">
        <w:rPr>
          <w:rFonts w:asciiTheme="majorHAnsi" w:hAnsiTheme="majorHAnsi"/>
          <w:b/>
          <w:lang w:val="en-US"/>
        </w:rPr>
        <w:t>strategies</w:t>
      </w:r>
      <w:r w:rsidR="00546F99" w:rsidRPr="00480F53">
        <w:rPr>
          <w:rFonts w:asciiTheme="majorHAnsi" w:hAnsiTheme="majorHAnsi"/>
          <w:b/>
          <w:lang w:val="en-US"/>
        </w:rPr>
        <w:t xml:space="preserve"> to capitalise on emerging opportunities</w:t>
      </w:r>
      <w:r w:rsidR="00D056F1">
        <w:rPr>
          <w:rFonts w:asciiTheme="majorHAnsi" w:hAnsiTheme="majorHAnsi"/>
          <w:b/>
          <w:lang w:val="en-US"/>
        </w:rPr>
        <w:t xml:space="preserve"> and respond to </w:t>
      </w:r>
      <w:r w:rsidR="00546F99" w:rsidRPr="00480F53">
        <w:rPr>
          <w:rFonts w:asciiTheme="majorHAnsi" w:hAnsiTheme="majorHAnsi"/>
          <w:b/>
          <w:lang w:val="en-US"/>
        </w:rPr>
        <w:t xml:space="preserve">emerging </w:t>
      </w:r>
      <w:r w:rsidR="00D056F1">
        <w:rPr>
          <w:rFonts w:asciiTheme="majorHAnsi" w:hAnsiTheme="majorHAnsi"/>
          <w:b/>
          <w:lang w:val="en-US"/>
        </w:rPr>
        <w:t xml:space="preserve">risks and </w:t>
      </w:r>
      <w:r w:rsidR="00546F99" w:rsidRPr="00480F53">
        <w:rPr>
          <w:rFonts w:asciiTheme="majorHAnsi" w:hAnsiTheme="majorHAnsi"/>
          <w:b/>
          <w:lang w:val="en-US"/>
        </w:rPr>
        <w:t>limitations</w:t>
      </w:r>
      <w:r w:rsidR="008652DE">
        <w:rPr>
          <w:rFonts w:asciiTheme="majorHAnsi" w:hAnsiTheme="majorHAnsi"/>
          <w:b/>
          <w:lang w:val="en-US"/>
        </w:rPr>
        <w:t>.</w:t>
      </w:r>
    </w:p>
    <w:p w14:paraId="6CC3DBB7" w14:textId="7CE78C25" w:rsidR="00F0175A" w:rsidRPr="00480F53" w:rsidRDefault="00F0175A" w:rsidP="00374BFE">
      <w:pPr>
        <w:pStyle w:val="ListParagraph"/>
        <w:numPr>
          <w:ilvl w:val="0"/>
          <w:numId w:val="3"/>
        </w:numPr>
        <w:spacing w:before="240"/>
        <w:ind w:hanging="357"/>
        <w:contextualSpacing w:val="0"/>
        <w:rPr>
          <w:rFonts w:asciiTheme="majorHAnsi" w:hAnsiTheme="majorHAnsi"/>
          <w:b/>
          <w:lang w:val="en-US"/>
        </w:rPr>
      </w:pPr>
      <w:r>
        <w:rPr>
          <w:rFonts w:asciiTheme="majorHAnsi" w:hAnsiTheme="majorHAnsi"/>
          <w:b/>
          <w:lang w:val="en-US"/>
        </w:rPr>
        <w:t xml:space="preserve">Review the generous tax concessions provided to </w:t>
      </w:r>
      <w:r w:rsidR="003705E3">
        <w:rPr>
          <w:rFonts w:asciiTheme="majorHAnsi" w:hAnsiTheme="majorHAnsi"/>
          <w:b/>
          <w:lang w:val="en-US"/>
        </w:rPr>
        <w:t>gaming, catering, entertainment and hospitality income for mutual organisations (including licensed clubs)</w:t>
      </w:r>
      <w:r w:rsidR="008652DE">
        <w:rPr>
          <w:rFonts w:asciiTheme="majorHAnsi" w:hAnsiTheme="majorHAnsi"/>
          <w:b/>
          <w:lang w:val="en-US"/>
        </w:rPr>
        <w:t>.</w:t>
      </w:r>
      <w:r w:rsidR="003705E3">
        <w:rPr>
          <w:rFonts w:asciiTheme="majorHAnsi" w:hAnsiTheme="majorHAnsi"/>
          <w:b/>
          <w:lang w:val="en-US"/>
        </w:rPr>
        <w:t xml:space="preserve"> </w:t>
      </w:r>
    </w:p>
    <w:p w14:paraId="7A8FE6A2" w14:textId="10916A73" w:rsidR="00D9643D" w:rsidRDefault="00C744BB" w:rsidP="00255FF4">
      <w:pPr>
        <w:spacing w:before="240" w:after="120"/>
        <w:ind w:left="363"/>
      </w:pPr>
      <w:r>
        <w:t>CCA believe</w:t>
      </w:r>
      <w:r w:rsidR="00A61654">
        <w:t>s</w:t>
      </w:r>
      <w:r>
        <w:t xml:space="preserve"> </w:t>
      </w:r>
      <w:r w:rsidR="00546F99" w:rsidRPr="002D19DE">
        <w:t xml:space="preserve">these </w:t>
      </w:r>
      <w:r w:rsidR="00D44F1C">
        <w:t>measures</w:t>
      </w:r>
      <w:r w:rsidR="00546F99" w:rsidRPr="002D19DE">
        <w:t xml:space="preserve"> could </w:t>
      </w:r>
      <w:r w:rsidR="00EF3E47">
        <w:t>be delivered</w:t>
      </w:r>
      <w:r w:rsidR="00D056F1">
        <w:t xml:space="preserve"> within the next two years</w:t>
      </w:r>
      <w:r w:rsidR="00EF3E47">
        <w:t xml:space="preserve"> </w:t>
      </w:r>
      <w:r w:rsidR="00136601">
        <w:t xml:space="preserve">and produce a much stronger government budget position as well as </w:t>
      </w:r>
      <w:r w:rsidR="00201B84">
        <w:t>building capacity and resilience in our communities.</w:t>
      </w:r>
      <w:r w:rsidR="00136601">
        <w:t xml:space="preserve">  Australia cannot afford to ignore growing levels of </w:t>
      </w:r>
      <w:r w:rsidR="00201B84">
        <w:t>debt, increased inequality and the need to support</w:t>
      </w:r>
      <w:r w:rsidR="00136601">
        <w:t xml:space="preserve"> flourishing communities</w:t>
      </w:r>
      <w:r w:rsidR="00D9643D">
        <w:t xml:space="preserve"> </w:t>
      </w:r>
      <w:r w:rsidR="00201B84">
        <w:t>as a basis for improved productivity and well-being</w:t>
      </w:r>
      <w:r w:rsidR="00F374BB">
        <w:t>.</w:t>
      </w:r>
      <w:r w:rsidR="00136601">
        <w:t xml:space="preserve"> </w:t>
      </w:r>
    </w:p>
    <w:p w14:paraId="4441A04E" w14:textId="77777777" w:rsidR="0051598E" w:rsidRDefault="00136601" w:rsidP="0051598E">
      <w:pPr>
        <w:spacing w:before="240"/>
        <w:ind w:left="363"/>
      </w:pPr>
      <w:r>
        <w:t xml:space="preserve">An economy that does not support real growth </w:t>
      </w:r>
      <w:r w:rsidR="00201B84">
        <w:t xml:space="preserve">in opportunity </w:t>
      </w:r>
      <w:r>
        <w:t>is not serving the interests of our community</w:t>
      </w:r>
      <w:r w:rsidR="00201B84">
        <w:t>.  CCA believe</w:t>
      </w:r>
      <w:r w:rsidR="009F368F">
        <w:t>s</w:t>
      </w:r>
      <w:r w:rsidR="00D9643D">
        <w:t xml:space="preserve"> e</w:t>
      </w:r>
      <w:r>
        <w:t>very budget statement needs to be framed by what is going to deliver stronger, fairer,</w:t>
      </w:r>
      <w:r w:rsidR="00D9643D">
        <w:t xml:space="preserve"> more</w:t>
      </w:r>
      <w:r>
        <w:t xml:space="preserve"> creative</w:t>
      </w:r>
      <w:r w:rsidR="00201B84">
        <w:t>, sustainable</w:t>
      </w:r>
      <w:r>
        <w:t xml:space="preserve"> and connected communities.</w:t>
      </w:r>
    </w:p>
    <w:p w14:paraId="1EC7835F" w14:textId="77777777" w:rsidR="0051598E" w:rsidRDefault="0051598E">
      <w:pPr>
        <w:rPr>
          <w:rFonts w:asciiTheme="majorHAnsi" w:hAnsiTheme="majorHAnsi"/>
          <w:b/>
          <w:sz w:val="28"/>
          <w:szCs w:val="28"/>
        </w:rPr>
      </w:pPr>
      <w:r>
        <w:rPr>
          <w:rFonts w:asciiTheme="majorHAnsi" w:hAnsiTheme="majorHAnsi"/>
          <w:b/>
          <w:sz w:val="28"/>
          <w:szCs w:val="28"/>
        </w:rPr>
        <w:br w:type="page"/>
      </w:r>
    </w:p>
    <w:p w14:paraId="7EE4F259" w14:textId="7A5EB80B" w:rsidR="002D19DE" w:rsidRPr="00BE0A7B" w:rsidRDefault="002D19DE" w:rsidP="00C84B58">
      <w:pPr>
        <w:spacing w:before="240" w:after="120"/>
        <w:ind w:left="363"/>
        <w:rPr>
          <w:rFonts w:asciiTheme="majorHAnsi" w:hAnsiTheme="majorHAnsi"/>
          <w:b/>
          <w:sz w:val="28"/>
          <w:szCs w:val="28"/>
        </w:rPr>
      </w:pPr>
      <w:r w:rsidRPr="00BE0A7B">
        <w:rPr>
          <w:rFonts w:asciiTheme="majorHAnsi" w:hAnsiTheme="majorHAnsi"/>
          <w:b/>
          <w:sz w:val="28"/>
          <w:szCs w:val="28"/>
        </w:rPr>
        <w:lastRenderedPageBreak/>
        <w:t>Context</w:t>
      </w:r>
      <w:r>
        <w:rPr>
          <w:rFonts w:asciiTheme="majorHAnsi" w:hAnsiTheme="majorHAnsi"/>
          <w:b/>
          <w:sz w:val="28"/>
          <w:szCs w:val="28"/>
        </w:rPr>
        <w:t>: not-for-profit reform</w:t>
      </w:r>
    </w:p>
    <w:p w14:paraId="30323273" w14:textId="7B630E68" w:rsidR="002D19DE" w:rsidRDefault="002D19DE" w:rsidP="00C84B58">
      <w:pPr>
        <w:ind w:left="360"/>
      </w:pPr>
      <w:r>
        <w:t>The</w:t>
      </w:r>
      <w:r w:rsidR="00CF02D2">
        <w:t xml:space="preserve"> NFP sector </w:t>
      </w:r>
      <w:r>
        <w:t>encompasses over 600,000 organisations</w:t>
      </w:r>
      <w:r w:rsidR="007762EE">
        <w:t xml:space="preserve"> -</w:t>
      </w:r>
      <w:r>
        <w:t xml:space="preserve"> from large to very small, and employ</w:t>
      </w:r>
      <w:r w:rsidR="00CF02D2">
        <w:t>s</w:t>
      </w:r>
      <w:r>
        <w:t xml:space="preserve"> </w:t>
      </w:r>
      <w:r w:rsidR="003A3F48">
        <w:t>well over one million staff (around 10</w:t>
      </w:r>
      <w:r w:rsidR="0037184A">
        <w:t>%</w:t>
      </w:r>
      <w:r>
        <w:t xml:space="preserve"> of all employees in Australia).</w:t>
      </w:r>
      <w:r w:rsidR="00852458">
        <w:t xml:space="preserve"> </w:t>
      </w:r>
      <w:r>
        <w:t xml:space="preserve"> </w:t>
      </w:r>
      <w:r w:rsidR="003A3F48">
        <w:t xml:space="preserve">Australia’s 51,000 charities collectively turn </w:t>
      </w:r>
      <w:r w:rsidR="007A5523">
        <w:t>over more than $130</w:t>
      </w:r>
      <w:r w:rsidR="00797622">
        <w:t xml:space="preserve"> bill</w:t>
      </w:r>
      <w:r w:rsidR="00C91617">
        <w:t>ion</w:t>
      </w:r>
      <w:r w:rsidR="003A3F48">
        <w:t xml:space="preserve"> each year and hold over $260</w:t>
      </w:r>
      <w:r w:rsidR="00C91617">
        <w:t xml:space="preserve"> </w:t>
      </w:r>
      <w:r w:rsidR="003C2C05">
        <w:t>billio</w:t>
      </w:r>
      <w:r w:rsidR="00C91617">
        <w:t xml:space="preserve">n </w:t>
      </w:r>
      <w:r w:rsidR="003C2C05">
        <w:t xml:space="preserve">in </w:t>
      </w:r>
      <w:r w:rsidR="00C91617">
        <w:t>assets.</w:t>
      </w:r>
      <w:r w:rsidR="00C84B58">
        <w:t xml:space="preserve">  </w:t>
      </w:r>
      <w:r w:rsidR="00D44F1C">
        <w:t xml:space="preserve">In the last decade, </w:t>
      </w:r>
      <w:r>
        <w:t xml:space="preserve">sector </w:t>
      </w:r>
      <w:r w:rsidR="007762EE">
        <w:t xml:space="preserve">growth </w:t>
      </w:r>
      <w:r w:rsidR="006C274B">
        <w:t xml:space="preserve">has continued at </w:t>
      </w:r>
      <w:r w:rsidR="00AF4CF2">
        <w:t>more than</w:t>
      </w:r>
      <w:r w:rsidR="00172A8B">
        <w:t xml:space="preserve"> </w:t>
      </w:r>
      <w:r w:rsidR="006C274B">
        <w:t xml:space="preserve">7% a year, </w:t>
      </w:r>
      <w:r w:rsidR="00CF02D2">
        <w:t>a figure that is higher</w:t>
      </w:r>
      <w:r w:rsidR="00172A8B">
        <w:t xml:space="preserve"> than </w:t>
      </w:r>
      <w:r>
        <w:t>any other industry</w:t>
      </w:r>
      <w:r w:rsidR="00D44F1C">
        <w:t xml:space="preserve"> group</w:t>
      </w:r>
      <w:r>
        <w:t xml:space="preserve">.  </w:t>
      </w:r>
    </w:p>
    <w:p w14:paraId="10C631D5" w14:textId="47DE7F59" w:rsidR="002D19DE" w:rsidRDefault="00CF02D2" w:rsidP="002D19DE">
      <w:pPr>
        <w:ind w:left="360"/>
      </w:pPr>
      <w:r>
        <w:t>These facts</w:t>
      </w:r>
      <w:r w:rsidR="002D19DE">
        <w:t xml:space="preserve"> t</w:t>
      </w:r>
      <w:r w:rsidR="00B15439">
        <w:t xml:space="preserve">ell </w:t>
      </w:r>
      <w:r w:rsidR="00D44F1C">
        <w:t xml:space="preserve">only </w:t>
      </w:r>
      <w:r w:rsidR="00B15439">
        <w:t xml:space="preserve">a small part of the story. </w:t>
      </w:r>
      <w:r w:rsidR="002D19DE">
        <w:t xml:space="preserve">The real value of the NFP sector is often </w:t>
      </w:r>
      <w:r w:rsidR="007762EE">
        <w:t xml:space="preserve">in the unmeasured </w:t>
      </w:r>
      <w:r w:rsidR="002D19DE">
        <w:t xml:space="preserve">contribution to </w:t>
      </w:r>
      <w:r w:rsidR="007762EE">
        <w:t>Australian quality of life</w:t>
      </w:r>
      <w:r w:rsidR="006C274B">
        <w:t xml:space="preserve">.  </w:t>
      </w:r>
      <w:r w:rsidR="002D19DE">
        <w:t>NFPs are at the heart of our communities</w:t>
      </w:r>
      <w:r w:rsidR="00326F9C">
        <w:t>;</w:t>
      </w:r>
      <w:r w:rsidR="007762EE">
        <w:t xml:space="preserve"> </w:t>
      </w:r>
      <w:r w:rsidR="00326F9C">
        <w:t>building connection, nurturing spiritual and cultural expression, and enhancing the product</w:t>
      </w:r>
      <w:r w:rsidR="00D9643D">
        <w:t>ivity of all Australians. Collectively</w:t>
      </w:r>
      <w:r w:rsidR="00326F9C">
        <w:t xml:space="preserve">, they make us a more </w:t>
      </w:r>
      <w:r w:rsidR="002D19DE">
        <w:t xml:space="preserve">resilient society.  </w:t>
      </w:r>
    </w:p>
    <w:p w14:paraId="1E7279DE" w14:textId="5EC97207" w:rsidR="00AA5420" w:rsidRDefault="002D19DE" w:rsidP="002D19DE">
      <w:pPr>
        <w:ind w:left="360"/>
      </w:pPr>
      <w:r w:rsidRPr="00B02B81">
        <w:t xml:space="preserve">The </w:t>
      </w:r>
      <w:r w:rsidR="00AA5420">
        <w:t>importance of the NFP sector is now being</w:t>
      </w:r>
      <w:r w:rsidR="007762EE">
        <w:t xml:space="preserve"> internationally</w:t>
      </w:r>
      <w:r w:rsidR="00797622">
        <w:t xml:space="preserve"> recognised </w:t>
      </w:r>
      <w:r w:rsidR="00AA5420">
        <w:t xml:space="preserve">with </w:t>
      </w:r>
      <w:r w:rsidR="00797622">
        <w:t xml:space="preserve">many </w:t>
      </w:r>
      <w:r w:rsidR="00AA5420">
        <w:t>government</w:t>
      </w:r>
      <w:r w:rsidR="00797622">
        <w:t>s</w:t>
      </w:r>
      <w:r w:rsidR="00AA5420">
        <w:t xml:space="preserve"> putting in place measures to </w:t>
      </w:r>
      <w:r w:rsidR="007762EE">
        <w:t xml:space="preserve">increase </w:t>
      </w:r>
      <w:r w:rsidR="00797622">
        <w:t>NFP</w:t>
      </w:r>
      <w:r w:rsidR="00D44F1C">
        <w:t xml:space="preserve"> </w:t>
      </w:r>
      <w:r w:rsidR="00D9643D">
        <w:t xml:space="preserve">investment and </w:t>
      </w:r>
      <w:r w:rsidR="00D44F1C">
        <w:t>productivity</w:t>
      </w:r>
      <w:r w:rsidR="00285E93">
        <w:t>.</w:t>
      </w:r>
      <w:r w:rsidR="00852458">
        <w:t xml:space="preserve"> </w:t>
      </w:r>
      <w:r w:rsidR="00285E93">
        <w:t xml:space="preserve"> </w:t>
      </w:r>
      <w:r w:rsidR="00AA5420">
        <w:t>Smaller government and bigger community is a common theme, driven in part by savings</w:t>
      </w:r>
      <w:r w:rsidR="00EF3E47">
        <w:t>,</w:t>
      </w:r>
      <w:r w:rsidR="00B15439">
        <w:t xml:space="preserve"> </w:t>
      </w:r>
      <w:r w:rsidR="00AA5420">
        <w:t>but also by a commitment to greater civic engagement</w:t>
      </w:r>
      <w:r w:rsidR="00D9643D">
        <w:t xml:space="preserve">, social entrepreneurship </w:t>
      </w:r>
      <w:r w:rsidR="00AA5420">
        <w:t xml:space="preserve">and </w:t>
      </w:r>
      <w:r w:rsidR="00285E93">
        <w:t>productivity within the NFP sector</w:t>
      </w:r>
      <w:r w:rsidR="00AA5420">
        <w:t>.</w:t>
      </w:r>
    </w:p>
    <w:p w14:paraId="28BA0A0C" w14:textId="320CD282" w:rsidR="00285E93" w:rsidRDefault="00285E93" w:rsidP="002D19DE">
      <w:pPr>
        <w:ind w:left="360"/>
      </w:pPr>
      <w:r>
        <w:t>In</w:t>
      </w:r>
      <w:r w:rsidR="00AA5420">
        <w:t xml:space="preserve"> Australia </w:t>
      </w:r>
      <w:r>
        <w:t xml:space="preserve">there are </w:t>
      </w:r>
      <w:r w:rsidR="002D19DE" w:rsidRPr="00B02B81">
        <w:t>current</w:t>
      </w:r>
      <w:r w:rsidR="00B15439">
        <w:t xml:space="preserve">ly </w:t>
      </w:r>
      <w:r w:rsidR="00D44F1C">
        <w:t xml:space="preserve">various </w:t>
      </w:r>
      <w:r w:rsidR="00B15439">
        <w:t>initiatives seeking to</w:t>
      </w:r>
      <w:r w:rsidR="001470D8">
        <w:t>:</w:t>
      </w:r>
      <w:r w:rsidR="00B15439">
        <w:t xml:space="preserve"> </w:t>
      </w:r>
      <w:r w:rsidR="002D19DE">
        <w:t>promot</w:t>
      </w:r>
      <w:r>
        <w:t>e</w:t>
      </w:r>
      <w:r w:rsidR="002D19DE">
        <w:t xml:space="preserve"> social enterprise;</w:t>
      </w:r>
      <w:r w:rsidR="002D19DE" w:rsidRPr="00B02B81">
        <w:t xml:space="preserve"> reduc</w:t>
      </w:r>
      <w:r>
        <w:t>e</w:t>
      </w:r>
      <w:r w:rsidR="002D19DE" w:rsidRPr="00B02B81">
        <w:t xml:space="preserve"> compliance costs for </w:t>
      </w:r>
      <w:r w:rsidR="002D19DE">
        <w:t>NFP</w:t>
      </w:r>
      <w:r w:rsidR="007762EE">
        <w:t>s</w:t>
      </w:r>
      <w:r w:rsidR="002D19DE">
        <w:t>;</w:t>
      </w:r>
      <w:r w:rsidR="002D19DE" w:rsidRPr="00B02B81">
        <w:t xml:space="preserve"> encourag</w:t>
      </w:r>
      <w:r>
        <w:t>e</w:t>
      </w:r>
      <w:r w:rsidR="002D19DE" w:rsidRPr="00B02B81">
        <w:t xml:space="preserve"> a diversification of financing options to build a more sustainable funding base</w:t>
      </w:r>
      <w:r w:rsidR="002D19DE">
        <w:t>;</w:t>
      </w:r>
      <w:r w:rsidR="002D19DE" w:rsidRPr="00B02B81">
        <w:t xml:space="preserve"> streamlin</w:t>
      </w:r>
      <w:r>
        <w:t>e</w:t>
      </w:r>
      <w:r w:rsidR="002D19DE" w:rsidRPr="00B02B81">
        <w:t xml:space="preserve"> and refin</w:t>
      </w:r>
      <w:r>
        <w:t>e</w:t>
      </w:r>
      <w:r w:rsidR="002D19DE" w:rsidRPr="00B02B81">
        <w:t xml:space="preserve"> the regulation of </w:t>
      </w:r>
      <w:r w:rsidR="002D19DE">
        <w:t>NFPs</w:t>
      </w:r>
      <w:r w:rsidR="002D19DE" w:rsidRPr="00B02B81">
        <w:t xml:space="preserve"> and charities</w:t>
      </w:r>
      <w:r w:rsidR="002D19DE">
        <w:t>;</w:t>
      </w:r>
      <w:r w:rsidR="002D19DE" w:rsidRPr="00B02B81">
        <w:t xml:space="preserve"> establish less bureaucratic reporting requirements while building community transparency</w:t>
      </w:r>
      <w:r w:rsidR="002D19DE">
        <w:t>;</w:t>
      </w:r>
      <w:r>
        <w:t xml:space="preserve"> </w:t>
      </w:r>
      <w:r w:rsidR="00EF3E47">
        <w:t>increase philanthropy</w:t>
      </w:r>
      <w:r w:rsidR="001470D8">
        <w:t>;</w:t>
      </w:r>
      <w:r w:rsidR="00EF3E47">
        <w:t xml:space="preserve"> </w:t>
      </w:r>
      <w:r w:rsidR="002D19DE" w:rsidRPr="00B02B81">
        <w:t xml:space="preserve">improve relationships between government and the </w:t>
      </w:r>
      <w:r w:rsidR="002D19DE">
        <w:t xml:space="preserve">NFP </w:t>
      </w:r>
      <w:r w:rsidR="002D19DE" w:rsidRPr="00B02B81">
        <w:t>sector</w:t>
      </w:r>
      <w:r w:rsidR="001470D8">
        <w:t>;</w:t>
      </w:r>
      <w:r w:rsidR="004B1D99">
        <w:t xml:space="preserve"> promote impact investing</w:t>
      </w:r>
      <w:r w:rsidR="001470D8">
        <w:t>;</w:t>
      </w:r>
      <w:r w:rsidR="004B1D99">
        <w:t xml:space="preserve"> and increase sector performance measurement</w:t>
      </w:r>
      <w:r w:rsidR="00EF3E47">
        <w:t xml:space="preserve">.  CCA supports </w:t>
      </w:r>
      <w:r w:rsidR="007762EE">
        <w:t xml:space="preserve">all </w:t>
      </w:r>
      <w:r w:rsidR="00EF3E47">
        <w:t>these activities.</w:t>
      </w:r>
      <w:r>
        <w:t xml:space="preserve"> </w:t>
      </w:r>
    </w:p>
    <w:p w14:paraId="04204462" w14:textId="18199F3A" w:rsidR="002D19DE" w:rsidRDefault="00285E93" w:rsidP="002D19DE">
      <w:pPr>
        <w:ind w:left="360"/>
      </w:pPr>
      <w:r>
        <w:t xml:space="preserve">The </w:t>
      </w:r>
      <w:r w:rsidR="002D19DE">
        <w:t>establishment of the ACNC is the first time the NFP sector has had an independent regulator dedicated to ser</w:t>
      </w:r>
      <w:r>
        <w:t>ving their needs</w:t>
      </w:r>
      <w:r w:rsidR="007762EE">
        <w:t xml:space="preserve"> and enhancing their capacity</w:t>
      </w:r>
      <w:r>
        <w:t>.</w:t>
      </w:r>
      <w:r w:rsidR="00852458">
        <w:t xml:space="preserve"> </w:t>
      </w:r>
      <w:r w:rsidR="00711940">
        <w:t xml:space="preserve"> It has already proved to be</w:t>
      </w:r>
      <w:r>
        <w:t xml:space="preserve"> a </w:t>
      </w:r>
      <w:r w:rsidR="002D19DE">
        <w:t>positive step towards red tape</w:t>
      </w:r>
      <w:r w:rsidR="007762EE">
        <w:t xml:space="preserve"> reductions</w:t>
      </w:r>
      <w:r w:rsidR="006C274B">
        <w:t>, increas</w:t>
      </w:r>
      <w:r w:rsidR="007762EE">
        <w:t>ed</w:t>
      </w:r>
      <w:r w:rsidR="006C274B">
        <w:t xml:space="preserve"> transparency</w:t>
      </w:r>
      <w:r w:rsidR="001470D8">
        <w:t>,</w:t>
      </w:r>
      <w:r w:rsidR="006C274B">
        <w:t xml:space="preserve"> and trust in the community</w:t>
      </w:r>
      <w:r w:rsidR="007762EE">
        <w:t xml:space="preserve"> by prospective volunteers and donors</w:t>
      </w:r>
      <w:r w:rsidR="006C274B">
        <w:t>.</w:t>
      </w:r>
      <w:r w:rsidR="002D19DE">
        <w:t xml:space="preserve"> </w:t>
      </w:r>
      <w:r w:rsidR="00852458">
        <w:t xml:space="preserve"> </w:t>
      </w:r>
      <w:r w:rsidR="00201B84">
        <w:t xml:space="preserve">The national charities register </w:t>
      </w:r>
      <w:r w:rsidR="00D9643D">
        <w:t xml:space="preserve">has </w:t>
      </w:r>
      <w:r w:rsidR="001470D8">
        <w:t xml:space="preserve">also </w:t>
      </w:r>
      <w:r w:rsidR="00D9643D">
        <w:t>prov</w:t>
      </w:r>
      <w:r w:rsidR="00201B84">
        <w:t>ided invaluable information</w:t>
      </w:r>
      <w:r w:rsidR="00D9643D">
        <w:t>.</w:t>
      </w:r>
    </w:p>
    <w:p w14:paraId="610B8241" w14:textId="5FF380F2" w:rsidR="008835D7" w:rsidRDefault="00D9643D" w:rsidP="002D19DE">
      <w:pPr>
        <w:ind w:left="360"/>
        <w:rPr>
          <w:lang w:val="en-US"/>
        </w:rPr>
      </w:pPr>
      <w:r>
        <w:t>While t</w:t>
      </w:r>
      <w:r w:rsidR="002D19DE">
        <w:t>he recent history of the NFP sector is framed by gro</w:t>
      </w:r>
      <w:r>
        <w:t xml:space="preserve">wth and reform, </w:t>
      </w:r>
      <w:r w:rsidR="00B15439">
        <w:t xml:space="preserve">new issues </w:t>
      </w:r>
      <w:r w:rsidR="00201B84">
        <w:t xml:space="preserve">are </w:t>
      </w:r>
      <w:r w:rsidR="00B15439">
        <w:t xml:space="preserve">emerging. </w:t>
      </w:r>
      <w:r w:rsidR="00852458">
        <w:t xml:space="preserve"> </w:t>
      </w:r>
      <w:r w:rsidR="002D19DE">
        <w:t xml:space="preserve">The level of individual </w:t>
      </w:r>
      <w:r w:rsidR="00DD3E30">
        <w:t>philanthropic giving</w:t>
      </w:r>
      <w:r w:rsidR="00E92B0F">
        <w:t xml:space="preserve"> as a percentage of income</w:t>
      </w:r>
      <w:r w:rsidR="00DD3E30">
        <w:t xml:space="preserve"> </w:t>
      </w:r>
      <w:r w:rsidR="00711940">
        <w:t xml:space="preserve">has </w:t>
      </w:r>
      <w:r w:rsidR="006C274B">
        <w:t>still not recovered to the high</w:t>
      </w:r>
      <w:r w:rsidR="00A35566">
        <w:t xml:space="preserve">s of </w:t>
      </w:r>
      <w:r>
        <w:t>2009</w:t>
      </w:r>
      <w:r w:rsidR="00DD3E30">
        <w:t>.</w:t>
      </w:r>
      <w:r w:rsidR="00201B84">
        <w:t xml:space="preserve"> </w:t>
      </w:r>
      <w:r w:rsidR="00DD3E30">
        <w:t xml:space="preserve"> A</w:t>
      </w:r>
      <w:r w:rsidR="00190CBD">
        <w:t>t the same time,</w:t>
      </w:r>
      <w:r w:rsidR="002D19DE">
        <w:t xml:space="preserve"> revenue available to governments is effectively falling in real terms against a backdrop of increasing demands and higher community expectations. </w:t>
      </w:r>
      <w:r>
        <w:t xml:space="preserve">  Competition for fundraising and services has increased.</w:t>
      </w:r>
      <w:r w:rsidR="0051598E">
        <w:t xml:space="preserve">  </w:t>
      </w:r>
      <w:r w:rsidR="003B4B1E">
        <w:rPr>
          <w:lang w:val="en-US"/>
        </w:rPr>
        <w:t xml:space="preserve">In the context of recent changes, the NFP sector is slowly but surely </w:t>
      </w:r>
      <w:r w:rsidR="00C536C3">
        <w:rPr>
          <w:lang w:val="en-US"/>
        </w:rPr>
        <w:t>finding its voice</w:t>
      </w:r>
      <w:r w:rsidR="007762EE">
        <w:rPr>
          <w:lang w:val="en-US"/>
        </w:rPr>
        <w:t xml:space="preserve"> -</w:t>
      </w:r>
      <w:r w:rsidR="00C536C3">
        <w:rPr>
          <w:lang w:val="en-US"/>
        </w:rPr>
        <w:t xml:space="preserve"> building its </w:t>
      </w:r>
      <w:r w:rsidR="00D44F1C">
        <w:rPr>
          <w:lang w:val="en-US"/>
        </w:rPr>
        <w:t xml:space="preserve">collective </w:t>
      </w:r>
      <w:r w:rsidR="00C536C3">
        <w:rPr>
          <w:lang w:val="en-US"/>
        </w:rPr>
        <w:t>power and seeking real reform</w:t>
      </w:r>
      <w:r w:rsidR="00D44F1C">
        <w:rPr>
          <w:lang w:val="en-US"/>
        </w:rPr>
        <w:t xml:space="preserve"> that will provide</w:t>
      </w:r>
      <w:r w:rsidR="00F7617E">
        <w:rPr>
          <w:lang w:val="en-US"/>
        </w:rPr>
        <w:t xml:space="preserve"> </w:t>
      </w:r>
      <w:r w:rsidR="00C744BB">
        <w:rPr>
          <w:lang w:val="en-US"/>
        </w:rPr>
        <w:t>substantial</w:t>
      </w:r>
      <w:r w:rsidR="008835D7">
        <w:rPr>
          <w:lang w:val="en-US"/>
        </w:rPr>
        <w:t xml:space="preserve"> </w:t>
      </w:r>
      <w:r w:rsidR="00285E93">
        <w:rPr>
          <w:lang w:val="en-US"/>
        </w:rPr>
        <w:t>savings to government</w:t>
      </w:r>
      <w:r w:rsidR="00201B84">
        <w:rPr>
          <w:lang w:val="en-US"/>
        </w:rPr>
        <w:t xml:space="preserve"> as well as</w:t>
      </w:r>
      <w:r w:rsidR="00285E93">
        <w:rPr>
          <w:lang w:val="en-US"/>
        </w:rPr>
        <w:t xml:space="preserve"> tangible benefits to the community</w:t>
      </w:r>
      <w:r w:rsidR="00C536C3">
        <w:rPr>
          <w:lang w:val="en-US"/>
        </w:rPr>
        <w:t xml:space="preserve">.  </w:t>
      </w:r>
    </w:p>
    <w:p w14:paraId="6B364F45" w14:textId="7E4AD3B0" w:rsidR="004B1D99" w:rsidRDefault="002D19DE" w:rsidP="004B1D99">
      <w:pPr>
        <w:ind w:left="360"/>
        <w:rPr>
          <w:lang w:val="en-US"/>
        </w:rPr>
      </w:pPr>
      <w:r>
        <w:rPr>
          <w:lang w:val="en-US"/>
        </w:rPr>
        <w:t xml:space="preserve">Given the size of the sector and its critical role in our community, the </w:t>
      </w:r>
      <w:r w:rsidR="003A0045">
        <w:rPr>
          <w:lang w:val="en-US"/>
        </w:rPr>
        <w:t>F</w:t>
      </w:r>
      <w:r>
        <w:rPr>
          <w:lang w:val="en-US"/>
        </w:rPr>
        <w:t xml:space="preserve">ederal </w:t>
      </w:r>
      <w:r w:rsidR="003A0045">
        <w:rPr>
          <w:lang w:val="en-US"/>
        </w:rPr>
        <w:t>G</w:t>
      </w:r>
      <w:r>
        <w:rPr>
          <w:lang w:val="en-US"/>
        </w:rPr>
        <w:t xml:space="preserve">overnment </w:t>
      </w:r>
      <w:r w:rsidR="00D44F1C">
        <w:rPr>
          <w:lang w:val="en-US"/>
        </w:rPr>
        <w:t>can achieve real</w:t>
      </w:r>
      <w:r w:rsidR="008835D7">
        <w:rPr>
          <w:lang w:val="en-US"/>
        </w:rPr>
        <w:t xml:space="preserve"> economic and social benefits if it </w:t>
      </w:r>
      <w:r>
        <w:rPr>
          <w:lang w:val="en-US"/>
        </w:rPr>
        <w:t>chooses to</w:t>
      </w:r>
      <w:r w:rsidR="00C91617">
        <w:rPr>
          <w:lang w:val="en-US"/>
        </w:rPr>
        <w:t xml:space="preserve"> strategically</w:t>
      </w:r>
      <w:r>
        <w:rPr>
          <w:lang w:val="en-US"/>
        </w:rPr>
        <w:t xml:space="preserve"> invest in </w:t>
      </w:r>
      <w:r w:rsidR="008835D7">
        <w:rPr>
          <w:lang w:val="en-US"/>
        </w:rPr>
        <w:t>strengthening our communities and our NFPs</w:t>
      </w:r>
      <w:r w:rsidR="00201B84">
        <w:rPr>
          <w:lang w:val="en-US"/>
        </w:rPr>
        <w:t xml:space="preserve">.  </w:t>
      </w:r>
      <w:r w:rsidR="004B1D99">
        <w:rPr>
          <w:lang w:val="en-US"/>
        </w:rPr>
        <w:t xml:space="preserve">There have been numerous reports and recommendations relating to the NFP sector over the last decade, but </w:t>
      </w:r>
      <w:r w:rsidR="00E92B0F">
        <w:rPr>
          <w:lang w:val="en-US"/>
        </w:rPr>
        <w:t>relatively few have been acted upon.</w:t>
      </w:r>
    </w:p>
    <w:p w14:paraId="77B1DE53" w14:textId="6E3936E2" w:rsidR="00C84B58" w:rsidRDefault="00201B84" w:rsidP="004B1D99">
      <w:pPr>
        <w:ind w:left="360"/>
        <w:rPr>
          <w:rFonts w:asciiTheme="majorHAnsi" w:hAnsiTheme="majorHAnsi"/>
          <w:b/>
          <w:sz w:val="28"/>
          <w:szCs w:val="28"/>
          <w:lang w:val="en-US"/>
        </w:rPr>
      </w:pPr>
      <w:r>
        <w:rPr>
          <w:lang w:val="en-US"/>
        </w:rPr>
        <w:t>S</w:t>
      </w:r>
      <w:r w:rsidR="008835D7">
        <w:rPr>
          <w:lang w:val="en-US"/>
        </w:rPr>
        <w:t>upporting the proposals</w:t>
      </w:r>
      <w:r w:rsidR="002D19DE">
        <w:rPr>
          <w:lang w:val="en-US"/>
        </w:rPr>
        <w:t xml:space="preserve"> outlined in this submission</w:t>
      </w:r>
      <w:r>
        <w:rPr>
          <w:lang w:val="en-US"/>
        </w:rPr>
        <w:t xml:space="preserve"> will make Australia stronger</w:t>
      </w:r>
      <w:r w:rsidR="002D19DE">
        <w:rPr>
          <w:lang w:val="en-US"/>
        </w:rPr>
        <w:t>.</w:t>
      </w:r>
      <w:r w:rsidR="004B1D99">
        <w:rPr>
          <w:lang w:val="en-US"/>
        </w:rPr>
        <w:t xml:space="preserve">  </w:t>
      </w:r>
      <w:r>
        <w:rPr>
          <w:lang w:val="en-US"/>
        </w:rPr>
        <w:t>While s</w:t>
      </w:r>
      <w:r w:rsidR="00D9643D">
        <w:rPr>
          <w:lang w:val="en-US"/>
        </w:rPr>
        <w:t xml:space="preserve">ome </w:t>
      </w:r>
      <w:r>
        <w:rPr>
          <w:lang w:val="en-US"/>
        </w:rPr>
        <w:t xml:space="preserve">reductions in government expenditure may be </w:t>
      </w:r>
      <w:r w:rsidR="00CF02D2">
        <w:rPr>
          <w:lang w:val="en-US"/>
        </w:rPr>
        <w:t>economically prudent</w:t>
      </w:r>
      <w:r>
        <w:rPr>
          <w:lang w:val="en-US"/>
        </w:rPr>
        <w:t xml:space="preserve">, </w:t>
      </w:r>
      <w:r w:rsidR="00E92B0F">
        <w:rPr>
          <w:lang w:val="en-US"/>
        </w:rPr>
        <w:t>achieving a better return on existing government investments should also be a high priority.  In the interests of all Australian communities, government should</w:t>
      </w:r>
      <w:r w:rsidR="00D9643D">
        <w:rPr>
          <w:lang w:val="en-US"/>
        </w:rPr>
        <w:t xml:space="preserve"> avoid </w:t>
      </w:r>
      <w:r w:rsidR="00E92B0F">
        <w:rPr>
          <w:lang w:val="en-US"/>
        </w:rPr>
        <w:t>inflicting any long-term damage on</w:t>
      </w:r>
      <w:r w:rsidR="00190CBD">
        <w:rPr>
          <w:lang w:val="en-US"/>
        </w:rPr>
        <w:t xml:space="preserve"> a sector</w:t>
      </w:r>
      <w:r w:rsidR="00D9643D">
        <w:rPr>
          <w:lang w:val="en-US"/>
        </w:rPr>
        <w:t xml:space="preserve"> that not only holds a vital place in our economy, but also</w:t>
      </w:r>
      <w:r w:rsidR="00190CBD">
        <w:rPr>
          <w:lang w:val="en-US"/>
        </w:rPr>
        <w:t xml:space="preserve"> strengthen</w:t>
      </w:r>
      <w:r w:rsidR="00D9643D">
        <w:rPr>
          <w:lang w:val="en-US"/>
        </w:rPr>
        <w:t>s</w:t>
      </w:r>
      <w:r w:rsidR="00190CBD">
        <w:rPr>
          <w:lang w:val="en-US"/>
        </w:rPr>
        <w:t xml:space="preserve"> communities, build</w:t>
      </w:r>
      <w:r w:rsidR="00D9643D">
        <w:rPr>
          <w:lang w:val="en-US"/>
        </w:rPr>
        <w:t>s</w:t>
      </w:r>
      <w:r w:rsidR="00190CBD">
        <w:rPr>
          <w:lang w:val="en-US"/>
        </w:rPr>
        <w:t xml:space="preserve"> connectedness and increase</w:t>
      </w:r>
      <w:r w:rsidR="00D9643D">
        <w:rPr>
          <w:lang w:val="en-US"/>
        </w:rPr>
        <w:t>s</w:t>
      </w:r>
      <w:r w:rsidR="00190CBD">
        <w:rPr>
          <w:lang w:val="en-US"/>
        </w:rPr>
        <w:t xml:space="preserve"> productivity for all Australians.</w:t>
      </w:r>
      <w:r w:rsidR="00C84B58">
        <w:rPr>
          <w:lang w:val="en-US"/>
        </w:rPr>
        <w:br/>
      </w:r>
      <w:r w:rsidR="00C84B58">
        <w:rPr>
          <w:rFonts w:asciiTheme="majorHAnsi" w:hAnsiTheme="majorHAnsi"/>
          <w:b/>
          <w:sz w:val="28"/>
          <w:szCs w:val="28"/>
          <w:lang w:val="en-US"/>
        </w:rPr>
        <w:br w:type="page"/>
      </w:r>
    </w:p>
    <w:p w14:paraId="7D8EEBFD" w14:textId="33C7165E" w:rsidR="002D19DE" w:rsidRPr="00C744BB" w:rsidRDefault="00C744BB" w:rsidP="003518EF">
      <w:pPr>
        <w:rPr>
          <w:rFonts w:asciiTheme="majorHAnsi" w:hAnsiTheme="majorHAnsi"/>
          <w:b/>
          <w:sz w:val="28"/>
          <w:szCs w:val="28"/>
          <w:lang w:val="en-US"/>
        </w:rPr>
      </w:pPr>
      <w:r w:rsidRPr="00C744BB">
        <w:rPr>
          <w:rFonts w:asciiTheme="majorHAnsi" w:hAnsiTheme="majorHAnsi"/>
          <w:b/>
          <w:sz w:val="28"/>
          <w:szCs w:val="28"/>
          <w:lang w:val="en-US"/>
        </w:rPr>
        <w:t xml:space="preserve">Description of proposed </w:t>
      </w:r>
      <w:r>
        <w:rPr>
          <w:rFonts w:asciiTheme="majorHAnsi" w:hAnsiTheme="majorHAnsi"/>
          <w:b/>
          <w:sz w:val="28"/>
          <w:szCs w:val="28"/>
          <w:lang w:val="en-US"/>
        </w:rPr>
        <w:t xml:space="preserve">budget </w:t>
      </w:r>
      <w:r w:rsidRPr="00C744BB">
        <w:rPr>
          <w:rFonts w:asciiTheme="majorHAnsi" w:hAnsiTheme="majorHAnsi"/>
          <w:b/>
          <w:sz w:val="28"/>
          <w:szCs w:val="28"/>
          <w:lang w:val="en-US"/>
        </w:rPr>
        <w:t>measures</w:t>
      </w:r>
    </w:p>
    <w:p w14:paraId="4A278C0D" w14:textId="2910777F" w:rsidR="00263186" w:rsidRPr="00480F53" w:rsidRDefault="00263186" w:rsidP="00263186">
      <w:pPr>
        <w:pStyle w:val="ListParagraph"/>
        <w:numPr>
          <w:ilvl w:val="0"/>
          <w:numId w:val="7"/>
        </w:numPr>
        <w:spacing w:before="360"/>
        <w:contextualSpacing w:val="0"/>
        <w:rPr>
          <w:rFonts w:asciiTheme="majorHAnsi" w:hAnsiTheme="majorHAnsi"/>
          <w:b/>
          <w:lang w:val="en-US"/>
        </w:rPr>
      </w:pPr>
      <w:r w:rsidRPr="00480F53">
        <w:rPr>
          <w:rFonts w:asciiTheme="majorHAnsi" w:hAnsiTheme="majorHAnsi"/>
          <w:b/>
          <w:lang w:val="en-US"/>
        </w:rPr>
        <w:t>Provide Deductible Gift Recipient (DGR) status to all registered charities with an initial exemption of organisations for the advancement of religion and education.  This measure to be completely funded by limiting Fringe Benefits Tax (FBT) concessions</w:t>
      </w:r>
      <w:r>
        <w:rPr>
          <w:rFonts w:asciiTheme="majorHAnsi" w:hAnsiTheme="majorHAnsi"/>
          <w:b/>
          <w:lang w:val="en-US"/>
        </w:rPr>
        <w:t>;</w:t>
      </w:r>
      <w:r w:rsidRPr="00480F53">
        <w:rPr>
          <w:rFonts w:asciiTheme="majorHAnsi" w:hAnsiTheme="majorHAnsi"/>
          <w:b/>
          <w:lang w:val="en-US"/>
        </w:rPr>
        <w:t xml:space="preserve"> namely capping meals allowances and limiting multiple claiming of FBT concessions.</w:t>
      </w:r>
    </w:p>
    <w:p w14:paraId="57E06F64" w14:textId="5498E406" w:rsidR="00F8432C" w:rsidRDefault="00C744BB" w:rsidP="003A0045">
      <w:pPr>
        <w:ind w:left="360"/>
        <w:rPr>
          <w:lang w:val="en-US"/>
        </w:rPr>
      </w:pPr>
      <w:r w:rsidRPr="00166928">
        <w:rPr>
          <w:lang w:val="en-US"/>
        </w:rPr>
        <w:t>T</w:t>
      </w:r>
      <w:r w:rsidR="00F91C5E" w:rsidRPr="00AB7571">
        <w:rPr>
          <w:lang w:val="en-US"/>
        </w:rPr>
        <w:t xml:space="preserve">he present system of determining </w:t>
      </w:r>
      <w:r w:rsidR="00711940" w:rsidRPr="00166928">
        <w:rPr>
          <w:lang w:val="en-US"/>
        </w:rPr>
        <w:t xml:space="preserve">Deductible Gift Recipient (DGR) </w:t>
      </w:r>
      <w:r w:rsidR="00F91C5E" w:rsidRPr="00AB7571">
        <w:rPr>
          <w:lang w:val="en-US"/>
        </w:rPr>
        <w:t xml:space="preserve">status </w:t>
      </w:r>
      <w:r w:rsidR="004B1D99">
        <w:rPr>
          <w:lang w:val="en-US"/>
        </w:rPr>
        <w:t xml:space="preserve">largely </w:t>
      </w:r>
      <w:r w:rsidR="00F91C5E" w:rsidRPr="00AB7571">
        <w:rPr>
          <w:lang w:val="en-US"/>
        </w:rPr>
        <w:t xml:space="preserve">through the </w:t>
      </w:r>
      <w:r w:rsidR="00200E42" w:rsidRPr="00AB7571">
        <w:rPr>
          <w:lang w:val="en-US"/>
        </w:rPr>
        <w:t>A</w:t>
      </w:r>
      <w:r w:rsidR="00200E42">
        <w:rPr>
          <w:lang w:val="en-US"/>
        </w:rPr>
        <w:t xml:space="preserve">ustralian </w:t>
      </w:r>
      <w:r w:rsidR="00F91C5E" w:rsidRPr="00AB7571">
        <w:rPr>
          <w:lang w:val="en-US"/>
        </w:rPr>
        <w:t>T</w:t>
      </w:r>
      <w:r w:rsidR="00200E42">
        <w:rPr>
          <w:lang w:val="en-US"/>
        </w:rPr>
        <w:t>ax</w:t>
      </w:r>
      <w:r w:rsidR="003A0045">
        <w:rPr>
          <w:lang w:val="en-US"/>
        </w:rPr>
        <w:t>ation</w:t>
      </w:r>
      <w:r w:rsidR="00200E42">
        <w:rPr>
          <w:lang w:val="en-US"/>
        </w:rPr>
        <w:t xml:space="preserve"> </w:t>
      </w:r>
      <w:r w:rsidR="00F91C5E" w:rsidRPr="00AB7571">
        <w:rPr>
          <w:lang w:val="en-US"/>
        </w:rPr>
        <w:t>O</w:t>
      </w:r>
      <w:r w:rsidR="00200E42">
        <w:rPr>
          <w:lang w:val="en-US"/>
        </w:rPr>
        <w:t>ffice (AT</w:t>
      </w:r>
      <w:r w:rsidR="00F8432C">
        <w:rPr>
          <w:lang w:val="en-US"/>
        </w:rPr>
        <w:t>O) favors</w:t>
      </w:r>
      <w:r w:rsidR="00F91C5E" w:rsidRPr="00AB7571">
        <w:rPr>
          <w:lang w:val="en-US"/>
        </w:rPr>
        <w:t xml:space="preserve"> larger </w:t>
      </w:r>
      <w:r w:rsidR="007D2A36">
        <w:rPr>
          <w:lang w:val="en-US"/>
        </w:rPr>
        <w:t>charities</w:t>
      </w:r>
      <w:r w:rsidR="007D2A36" w:rsidRPr="00AB7571">
        <w:rPr>
          <w:lang w:val="en-US"/>
        </w:rPr>
        <w:t xml:space="preserve"> </w:t>
      </w:r>
      <w:r w:rsidR="00F91C5E" w:rsidRPr="00AB7571">
        <w:rPr>
          <w:lang w:val="en-US"/>
        </w:rPr>
        <w:t>that can afford lawyers and lobbyi</w:t>
      </w:r>
      <w:r w:rsidR="003A0045">
        <w:rPr>
          <w:lang w:val="en-US"/>
        </w:rPr>
        <w:t>sts</w:t>
      </w:r>
      <w:r w:rsidR="007D2A36">
        <w:rPr>
          <w:lang w:val="en-US"/>
        </w:rPr>
        <w:t xml:space="preserve"> to assist the progression of their applications</w:t>
      </w:r>
      <w:r w:rsidR="00F91C5E" w:rsidRPr="00AB7571">
        <w:rPr>
          <w:lang w:val="en-US"/>
        </w:rPr>
        <w:t>.</w:t>
      </w:r>
      <w:r w:rsidR="006C01A4">
        <w:rPr>
          <w:lang w:val="en-US"/>
        </w:rPr>
        <w:t xml:space="preserve"> </w:t>
      </w:r>
      <w:r w:rsidR="00A53539">
        <w:rPr>
          <w:lang w:val="en-US"/>
        </w:rPr>
        <w:t xml:space="preserve"> </w:t>
      </w:r>
      <w:r w:rsidR="006C01A4">
        <w:rPr>
          <w:lang w:val="en-US"/>
        </w:rPr>
        <w:t xml:space="preserve">Many smaller NFP </w:t>
      </w:r>
      <w:r w:rsidR="00F05BC7">
        <w:rPr>
          <w:lang w:val="en-US"/>
        </w:rPr>
        <w:t xml:space="preserve">and </w:t>
      </w:r>
      <w:r w:rsidR="006C01A4">
        <w:rPr>
          <w:lang w:val="en-US"/>
        </w:rPr>
        <w:t>charities do not have the c</w:t>
      </w:r>
      <w:r w:rsidR="00DD4777">
        <w:rPr>
          <w:lang w:val="en-US"/>
        </w:rPr>
        <w:t>apacity to apply for DGR status, and hence they cannot access the community support that comes when donations are tax deductible.</w:t>
      </w:r>
      <w:r w:rsidR="00F05BC7">
        <w:rPr>
          <w:lang w:val="en-US"/>
        </w:rPr>
        <w:t xml:space="preserve"> </w:t>
      </w:r>
      <w:r w:rsidR="00A53539">
        <w:rPr>
          <w:lang w:val="en-US"/>
        </w:rPr>
        <w:t xml:space="preserve"> </w:t>
      </w:r>
      <w:r w:rsidR="004B1D99">
        <w:rPr>
          <w:lang w:val="en-US"/>
        </w:rPr>
        <w:t xml:space="preserve">There are up to </w:t>
      </w:r>
      <w:r w:rsidR="00201B84">
        <w:rPr>
          <w:lang w:val="en-US"/>
        </w:rPr>
        <w:t xml:space="preserve">six government agencies involved in determining DGR status.  </w:t>
      </w:r>
      <w:r w:rsidR="003A0045">
        <w:rPr>
          <w:lang w:val="en-US"/>
        </w:rPr>
        <w:t xml:space="preserve">It is </w:t>
      </w:r>
      <w:r w:rsidR="006C01A4">
        <w:rPr>
          <w:lang w:val="en-US"/>
        </w:rPr>
        <w:t xml:space="preserve">a </w:t>
      </w:r>
      <w:r w:rsidR="003A0045">
        <w:rPr>
          <w:lang w:val="en-US"/>
        </w:rPr>
        <w:t xml:space="preserve">complex, costly and inequitable </w:t>
      </w:r>
      <w:r w:rsidR="006C01A4">
        <w:rPr>
          <w:lang w:val="en-US"/>
        </w:rPr>
        <w:t xml:space="preserve">system </w:t>
      </w:r>
      <w:r w:rsidR="003A0045">
        <w:rPr>
          <w:lang w:val="en-US"/>
        </w:rPr>
        <w:t xml:space="preserve">– with </w:t>
      </w:r>
      <w:r w:rsidR="001823C3">
        <w:rPr>
          <w:lang w:val="en-US"/>
        </w:rPr>
        <w:t>less than half of all charities having DGR status</w:t>
      </w:r>
      <w:r w:rsidR="003A0045">
        <w:rPr>
          <w:lang w:val="en-US"/>
        </w:rPr>
        <w:t>.</w:t>
      </w:r>
      <w:r w:rsidR="001823C3">
        <w:rPr>
          <w:lang w:val="en-US"/>
        </w:rPr>
        <w:t xml:space="preserve"> </w:t>
      </w:r>
      <w:r w:rsidR="00A53539">
        <w:rPr>
          <w:lang w:val="en-US"/>
        </w:rPr>
        <w:t xml:space="preserve"> </w:t>
      </w:r>
      <w:r w:rsidR="00542BB9">
        <w:rPr>
          <w:lang w:val="en-US"/>
        </w:rPr>
        <w:t xml:space="preserve">It is difficult to </w:t>
      </w:r>
      <w:r w:rsidR="00F7617E">
        <w:rPr>
          <w:lang w:val="en-US"/>
        </w:rPr>
        <w:t>j</w:t>
      </w:r>
      <w:r w:rsidR="00542BB9">
        <w:rPr>
          <w:lang w:val="en-US"/>
        </w:rPr>
        <w:t>ustify th</w:t>
      </w:r>
      <w:r w:rsidR="008D3B25">
        <w:rPr>
          <w:lang w:val="en-US"/>
        </w:rPr>
        <w:t>e</w:t>
      </w:r>
      <w:r w:rsidR="006C01A4">
        <w:rPr>
          <w:lang w:val="en-US"/>
        </w:rPr>
        <w:t xml:space="preserve"> </w:t>
      </w:r>
      <w:r w:rsidR="00542BB9">
        <w:rPr>
          <w:lang w:val="en-US"/>
        </w:rPr>
        <w:t xml:space="preserve">distribution of DGR </w:t>
      </w:r>
      <w:r w:rsidR="006C01A4">
        <w:rPr>
          <w:lang w:val="en-US"/>
        </w:rPr>
        <w:t>eligibility</w:t>
      </w:r>
      <w:r w:rsidR="00C75E34">
        <w:rPr>
          <w:lang w:val="en-US"/>
        </w:rPr>
        <w:t xml:space="preserve"> given the arbitrary and </w:t>
      </w:r>
      <w:r w:rsidR="006C01A4">
        <w:rPr>
          <w:lang w:val="en-US"/>
        </w:rPr>
        <w:t>ad hoc manner in which it has developed</w:t>
      </w:r>
      <w:r w:rsidR="00C84B58">
        <w:rPr>
          <w:lang w:val="en-US"/>
        </w:rPr>
        <w:t>.  It makes good policy sense that</w:t>
      </w:r>
      <w:r w:rsidR="007D2A36">
        <w:rPr>
          <w:lang w:val="en-US"/>
        </w:rPr>
        <w:t xml:space="preserve"> all d</w:t>
      </w:r>
      <w:r w:rsidR="000774D0">
        <w:rPr>
          <w:lang w:val="en-US"/>
        </w:rPr>
        <w:t>onations made to registered</w:t>
      </w:r>
      <w:r w:rsidR="007D2A36">
        <w:rPr>
          <w:lang w:val="en-US"/>
        </w:rPr>
        <w:t>,</w:t>
      </w:r>
      <w:r w:rsidR="000774D0">
        <w:rPr>
          <w:lang w:val="en-US"/>
        </w:rPr>
        <w:t xml:space="preserve"> complying </w:t>
      </w:r>
      <w:r w:rsidR="000774D0" w:rsidRPr="00166928">
        <w:rPr>
          <w:lang w:val="en-US"/>
        </w:rPr>
        <w:t>ch</w:t>
      </w:r>
      <w:r w:rsidR="000774D0">
        <w:rPr>
          <w:lang w:val="en-US"/>
        </w:rPr>
        <w:t>arities</w:t>
      </w:r>
      <w:r w:rsidR="000774D0" w:rsidRPr="00166928">
        <w:rPr>
          <w:lang w:val="en-US"/>
        </w:rPr>
        <w:t xml:space="preserve"> should be tax deductible</w:t>
      </w:r>
      <w:r w:rsidR="000774D0">
        <w:rPr>
          <w:lang w:val="en-US"/>
        </w:rPr>
        <w:t>.</w:t>
      </w:r>
      <w:r w:rsidR="004B1D99">
        <w:rPr>
          <w:lang w:val="en-US"/>
        </w:rPr>
        <w:t xml:space="preserve">  This is the practice in comparable countries like the UK and Canada.</w:t>
      </w:r>
      <w:r w:rsidR="007A0DC5">
        <w:rPr>
          <w:lang w:val="en-US"/>
        </w:rPr>
        <w:t xml:space="preserve"> </w:t>
      </w:r>
      <w:r w:rsidR="00AE66FD">
        <w:rPr>
          <w:lang w:val="en-US"/>
        </w:rPr>
        <w:t xml:space="preserve"> </w:t>
      </w:r>
    </w:p>
    <w:p w14:paraId="2F822CA0" w14:textId="5DF37C9F" w:rsidR="00AB7571" w:rsidRDefault="00AE66FD">
      <w:pPr>
        <w:ind w:left="360"/>
        <w:rPr>
          <w:lang w:val="en-US"/>
        </w:rPr>
      </w:pPr>
      <w:r>
        <w:rPr>
          <w:lang w:val="en-US"/>
        </w:rPr>
        <w:t>With the A</w:t>
      </w:r>
      <w:r w:rsidR="002A672C">
        <w:rPr>
          <w:lang w:val="en-US"/>
        </w:rPr>
        <w:t>CNC</w:t>
      </w:r>
      <w:r>
        <w:rPr>
          <w:lang w:val="en-US"/>
        </w:rPr>
        <w:t xml:space="preserve"> determining charitable status, this </w:t>
      </w:r>
      <w:r w:rsidR="002A672C">
        <w:rPr>
          <w:lang w:val="en-US"/>
        </w:rPr>
        <w:t xml:space="preserve">measure will </w:t>
      </w:r>
      <w:r>
        <w:rPr>
          <w:lang w:val="en-US"/>
        </w:rPr>
        <w:t xml:space="preserve">deliver a fairer system </w:t>
      </w:r>
      <w:r w:rsidR="002A672C">
        <w:rPr>
          <w:lang w:val="en-US"/>
        </w:rPr>
        <w:t>and</w:t>
      </w:r>
      <w:r>
        <w:rPr>
          <w:lang w:val="en-US"/>
        </w:rPr>
        <w:t xml:space="preserve"> reduce red tape.</w:t>
      </w:r>
      <w:r w:rsidR="00DD4777">
        <w:rPr>
          <w:lang w:val="en-US"/>
        </w:rPr>
        <w:t xml:space="preserve"> </w:t>
      </w:r>
      <w:r w:rsidR="00AB7571">
        <w:rPr>
          <w:lang w:val="en-US"/>
        </w:rPr>
        <w:t>T</w:t>
      </w:r>
      <w:r w:rsidR="00200E42">
        <w:rPr>
          <w:lang w:val="en-US"/>
        </w:rPr>
        <w:t>his policy is feasible with t</w:t>
      </w:r>
      <w:r w:rsidR="00AB7571">
        <w:rPr>
          <w:lang w:val="en-US"/>
        </w:rPr>
        <w:t xml:space="preserve">he </w:t>
      </w:r>
      <w:r w:rsidR="003B4B1E">
        <w:rPr>
          <w:lang w:val="en-US"/>
        </w:rPr>
        <w:t xml:space="preserve">initial </w:t>
      </w:r>
      <w:r w:rsidR="00166928">
        <w:rPr>
          <w:lang w:val="en-US"/>
        </w:rPr>
        <w:t>exemption of</w:t>
      </w:r>
      <w:r w:rsidR="00AB7571">
        <w:rPr>
          <w:lang w:val="en-US"/>
        </w:rPr>
        <w:t xml:space="preserve"> </w:t>
      </w:r>
      <w:r w:rsidR="002C71E9">
        <w:rPr>
          <w:lang w:val="en-US"/>
        </w:rPr>
        <w:t>organisations</w:t>
      </w:r>
      <w:r w:rsidR="00166928">
        <w:rPr>
          <w:lang w:val="en-US"/>
        </w:rPr>
        <w:t xml:space="preserve"> for the advancement of religion and </w:t>
      </w:r>
      <w:r w:rsidR="007D2A36">
        <w:rPr>
          <w:lang w:val="en-US"/>
        </w:rPr>
        <w:t xml:space="preserve">education </w:t>
      </w:r>
      <w:r w:rsidR="00200E42">
        <w:rPr>
          <w:lang w:val="en-US"/>
        </w:rPr>
        <w:t xml:space="preserve">reducing the </w:t>
      </w:r>
      <w:r w:rsidR="00AB7571">
        <w:rPr>
          <w:lang w:val="en-US"/>
        </w:rPr>
        <w:t xml:space="preserve">likely implementation </w:t>
      </w:r>
      <w:r w:rsidR="00200E42">
        <w:rPr>
          <w:lang w:val="en-US"/>
        </w:rPr>
        <w:t xml:space="preserve">costs to </w:t>
      </w:r>
      <w:r w:rsidR="00B15439">
        <w:rPr>
          <w:lang w:val="en-US"/>
        </w:rPr>
        <w:t>approximately $120 million</w:t>
      </w:r>
      <w:r w:rsidR="00190CBD">
        <w:rPr>
          <w:lang w:val="en-US"/>
        </w:rPr>
        <w:t xml:space="preserve"> per annum</w:t>
      </w:r>
      <w:r w:rsidR="00B15439">
        <w:rPr>
          <w:lang w:val="en-US"/>
        </w:rPr>
        <w:t>.</w:t>
      </w:r>
      <w:r w:rsidR="00AB7571">
        <w:rPr>
          <w:lang w:val="en-US"/>
        </w:rPr>
        <w:t xml:space="preserve"> </w:t>
      </w:r>
      <w:r w:rsidR="00166928">
        <w:rPr>
          <w:lang w:val="en-US"/>
        </w:rPr>
        <w:t xml:space="preserve"> </w:t>
      </w:r>
      <w:r w:rsidR="00C84B58">
        <w:rPr>
          <w:lang w:val="en-US"/>
        </w:rPr>
        <w:t>Excluding all schools and all churches for automatic DGR eligibility makes this measure affordable.  At the same time the intent is not to deny DGR</w:t>
      </w:r>
      <w:r w:rsidR="008652DE">
        <w:rPr>
          <w:lang w:val="en-US"/>
        </w:rPr>
        <w:t>, so</w:t>
      </w:r>
      <w:r w:rsidR="00C4208E">
        <w:rPr>
          <w:lang w:val="en-US"/>
        </w:rPr>
        <w:t xml:space="preserve"> </w:t>
      </w:r>
      <w:r w:rsidR="00C84B58">
        <w:rPr>
          <w:lang w:val="en-US"/>
        </w:rPr>
        <w:t>c</w:t>
      </w:r>
      <w:r>
        <w:rPr>
          <w:lang w:val="en-US"/>
        </w:rPr>
        <w:t>urrent e</w:t>
      </w:r>
      <w:r w:rsidR="00166928">
        <w:rPr>
          <w:lang w:val="en-US"/>
        </w:rPr>
        <w:t xml:space="preserve">xemptions for ministers of religion </w:t>
      </w:r>
      <w:r w:rsidR="00CB0052" w:rsidRPr="00C4208E">
        <w:rPr>
          <w:lang w:val="en-US"/>
        </w:rPr>
        <w:t>and other</w:t>
      </w:r>
      <w:r w:rsidR="00166928" w:rsidRPr="00471BD9">
        <w:rPr>
          <w:lang w:val="en-US"/>
        </w:rPr>
        <w:t xml:space="preserve"> concessions</w:t>
      </w:r>
      <w:r w:rsidR="00CB0052" w:rsidRPr="00471BD9">
        <w:rPr>
          <w:lang w:val="en-US"/>
        </w:rPr>
        <w:t xml:space="preserve"> </w:t>
      </w:r>
      <w:r w:rsidR="002C71E9" w:rsidRPr="00471BD9">
        <w:rPr>
          <w:lang w:val="en-US"/>
        </w:rPr>
        <w:t xml:space="preserve">based on religious and educational purposes </w:t>
      </w:r>
      <w:r w:rsidR="00CB0052" w:rsidRPr="00471BD9">
        <w:rPr>
          <w:lang w:val="en-US"/>
        </w:rPr>
        <w:t xml:space="preserve">would </w:t>
      </w:r>
      <w:r w:rsidR="007D2A36" w:rsidRPr="00C4208E">
        <w:rPr>
          <w:lang w:val="en-US"/>
        </w:rPr>
        <w:t xml:space="preserve">continue to </w:t>
      </w:r>
      <w:r w:rsidR="00166928" w:rsidRPr="00471BD9">
        <w:rPr>
          <w:lang w:val="en-US"/>
        </w:rPr>
        <w:t>apply</w:t>
      </w:r>
      <w:r w:rsidRPr="00C4208E">
        <w:rPr>
          <w:lang w:val="en-US"/>
        </w:rPr>
        <w:t>.</w:t>
      </w:r>
    </w:p>
    <w:p w14:paraId="2FF6D50F" w14:textId="5F9D528B" w:rsidR="0048279F" w:rsidRDefault="0048279F" w:rsidP="002D19DE">
      <w:pPr>
        <w:ind w:left="360"/>
        <w:rPr>
          <w:lang w:val="en-US"/>
        </w:rPr>
      </w:pPr>
      <w:r>
        <w:rPr>
          <w:lang w:val="en-US"/>
        </w:rPr>
        <w:t xml:space="preserve">Funding to support this measure could come from </w:t>
      </w:r>
      <w:r w:rsidR="00A53539">
        <w:rPr>
          <w:lang w:val="en-US"/>
        </w:rPr>
        <w:t>savings through the recent capping of</w:t>
      </w:r>
      <w:r>
        <w:rPr>
          <w:lang w:val="en-US"/>
        </w:rPr>
        <w:t xml:space="preserve"> FB</w:t>
      </w:r>
      <w:r w:rsidR="00BB5D6C">
        <w:rPr>
          <w:lang w:val="en-US"/>
        </w:rPr>
        <w:t>T</w:t>
      </w:r>
      <w:r>
        <w:rPr>
          <w:lang w:val="en-US"/>
        </w:rPr>
        <w:t xml:space="preserve"> entitlements for meals </w:t>
      </w:r>
      <w:r w:rsidR="00C84B58">
        <w:rPr>
          <w:lang w:val="en-US"/>
        </w:rPr>
        <w:t>and entertainment expenses</w:t>
      </w:r>
      <w:r w:rsidR="00A53539">
        <w:rPr>
          <w:lang w:val="en-US"/>
        </w:rPr>
        <w:t>.</w:t>
      </w:r>
    </w:p>
    <w:p w14:paraId="2B587F9C" w14:textId="07008408" w:rsidR="00F91C5E" w:rsidRPr="00BB5D6C" w:rsidRDefault="00BB5D6C" w:rsidP="002D19DE">
      <w:pPr>
        <w:ind w:left="360"/>
        <w:rPr>
          <w:b/>
          <w:i/>
          <w:lang w:val="en-US"/>
        </w:rPr>
      </w:pPr>
      <w:r w:rsidRPr="00BB5D6C">
        <w:rPr>
          <w:b/>
          <w:i/>
          <w:lang w:val="en-US"/>
        </w:rPr>
        <w:t xml:space="preserve">This measure </w:t>
      </w:r>
      <w:r w:rsidR="00471915">
        <w:rPr>
          <w:b/>
          <w:i/>
          <w:lang w:val="en-US"/>
        </w:rPr>
        <w:t xml:space="preserve">is estimated to </w:t>
      </w:r>
      <w:r w:rsidRPr="00BB5D6C">
        <w:rPr>
          <w:b/>
          <w:i/>
          <w:lang w:val="en-US"/>
        </w:rPr>
        <w:t>be revenu</w:t>
      </w:r>
      <w:r w:rsidR="00D44F1C">
        <w:rPr>
          <w:b/>
          <w:i/>
          <w:lang w:val="en-US"/>
        </w:rPr>
        <w:t>e neutral in the first instance.  I</w:t>
      </w:r>
      <w:r w:rsidRPr="00BB5D6C">
        <w:rPr>
          <w:b/>
          <w:i/>
          <w:lang w:val="en-US"/>
        </w:rPr>
        <w:t xml:space="preserve">nitial </w:t>
      </w:r>
      <w:r w:rsidR="003B4B1E">
        <w:rPr>
          <w:b/>
          <w:i/>
          <w:lang w:val="en-US"/>
        </w:rPr>
        <w:t xml:space="preserve">projected </w:t>
      </w:r>
      <w:r w:rsidRPr="00BB5D6C">
        <w:rPr>
          <w:b/>
          <w:i/>
          <w:lang w:val="en-US"/>
        </w:rPr>
        <w:t xml:space="preserve">expenditure of </w:t>
      </w:r>
      <w:r w:rsidR="00414CC7">
        <w:rPr>
          <w:b/>
          <w:i/>
          <w:lang w:val="en-US"/>
        </w:rPr>
        <w:t xml:space="preserve">approximately </w:t>
      </w:r>
      <w:r w:rsidR="00DC6802">
        <w:rPr>
          <w:b/>
          <w:i/>
          <w:lang w:val="en-US"/>
        </w:rPr>
        <w:t>$13</w:t>
      </w:r>
      <w:r w:rsidRPr="00BB5D6C">
        <w:rPr>
          <w:b/>
          <w:i/>
          <w:lang w:val="en-US"/>
        </w:rPr>
        <w:t>0 million</w:t>
      </w:r>
      <w:r w:rsidR="00D44F1C">
        <w:rPr>
          <w:b/>
          <w:i/>
          <w:lang w:val="en-US"/>
        </w:rPr>
        <w:t xml:space="preserve"> is</w:t>
      </w:r>
      <w:r w:rsidRPr="00BB5D6C">
        <w:rPr>
          <w:b/>
          <w:i/>
          <w:lang w:val="en-US"/>
        </w:rPr>
        <w:t xml:space="preserve"> offset by </w:t>
      </w:r>
      <w:r w:rsidR="00C744BB">
        <w:rPr>
          <w:b/>
          <w:i/>
          <w:lang w:val="en-US"/>
        </w:rPr>
        <w:t xml:space="preserve">equivalent </w:t>
      </w:r>
      <w:r w:rsidRPr="00BB5D6C">
        <w:rPr>
          <w:b/>
          <w:i/>
          <w:lang w:val="en-US"/>
        </w:rPr>
        <w:t>savings in ending uncapped FBT entitlements.</w:t>
      </w:r>
    </w:p>
    <w:p w14:paraId="0EB6691A" w14:textId="4BE2B420" w:rsidR="00CB7224" w:rsidRPr="0051598E" w:rsidRDefault="005176E5" w:rsidP="0051598E">
      <w:pPr>
        <w:pStyle w:val="ListParagraph"/>
        <w:numPr>
          <w:ilvl w:val="0"/>
          <w:numId w:val="7"/>
        </w:numPr>
        <w:spacing w:before="360"/>
        <w:contextualSpacing w:val="0"/>
        <w:rPr>
          <w:rFonts w:asciiTheme="majorHAnsi" w:hAnsiTheme="majorHAnsi"/>
          <w:b/>
          <w:lang w:val="en-US"/>
        </w:rPr>
      </w:pPr>
      <w:r>
        <w:rPr>
          <w:rFonts w:asciiTheme="majorHAnsi" w:hAnsiTheme="majorHAnsi"/>
          <w:b/>
          <w:lang w:val="en-US"/>
        </w:rPr>
        <w:t xml:space="preserve">Introduce </w:t>
      </w:r>
      <w:r w:rsidR="00D75BD5">
        <w:rPr>
          <w:rFonts w:asciiTheme="majorHAnsi" w:hAnsiTheme="majorHAnsi"/>
          <w:b/>
          <w:lang w:val="en-US"/>
        </w:rPr>
        <w:t xml:space="preserve">a </w:t>
      </w:r>
      <w:r w:rsidR="00CC6AF3" w:rsidRPr="0051598E">
        <w:rPr>
          <w:rFonts w:asciiTheme="majorHAnsi" w:hAnsiTheme="majorHAnsi"/>
          <w:b/>
          <w:lang w:val="en-US"/>
        </w:rPr>
        <w:t xml:space="preserve">targeted </w:t>
      </w:r>
      <w:r>
        <w:rPr>
          <w:rFonts w:asciiTheme="majorHAnsi" w:hAnsiTheme="majorHAnsi"/>
          <w:b/>
          <w:lang w:val="en-US"/>
        </w:rPr>
        <w:t>‘</w:t>
      </w:r>
      <w:r w:rsidR="001F27E7">
        <w:rPr>
          <w:rFonts w:asciiTheme="majorHAnsi" w:hAnsiTheme="majorHAnsi"/>
          <w:b/>
          <w:lang w:val="en-US"/>
        </w:rPr>
        <w:t>estate duty</w:t>
      </w:r>
      <w:r>
        <w:rPr>
          <w:rFonts w:asciiTheme="majorHAnsi" w:hAnsiTheme="majorHAnsi"/>
          <w:b/>
          <w:lang w:val="en-US"/>
        </w:rPr>
        <w:t>’</w:t>
      </w:r>
      <w:r w:rsidR="00CC6AF3" w:rsidRPr="0051598E">
        <w:rPr>
          <w:rFonts w:asciiTheme="majorHAnsi" w:hAnsiTheme="majorHAnsi"/>
          <w:b/>
          <w:lang w:val="en-US"/>
        </w:rPr>
        <w:t xml:space="preserve"> for peopl</w:t>
      </w:r>
      <w:r w:rsidR="00D75BD5">
        <w:rPr>
          <w:rFonts w:asciiTheme="majorHAnsi" w:hAnsiTheme="majorHAnsi"/>
          <w:b/>
          <w:lang w:val="en-US"/>
        </w:rPr>
        <w:t>e with estates valued at over $1</w:t>
      </w:r>
      <w:r w:rsidR="00CC6AF3" w:rsidRPr="0051598E">
        <w:rPr>
          <w:rFonts w:asciiTheme="majorHAnsi" w:hAnsiTheme="majorHAnsi"/>
          <w:b/>
          <w:lang w:val="en-US"/>
        </w:rPr>
        <w:t>0 million with appropriate incentives</w:t>
      </w:r>
      <w:r w:rsidR="00F374BB" w:rsidRPr="0051598E">
        <w:rPr>
          <w:rFonts w:asciiTheme="majorHAnsi" w:hAnsiTheme="majorHAnsi"/>
          <w:b/>
          <w:lang w:val="en-US"/>
        </w:rPr>
        <w:t xml:space="preserve"> for donations to charities, </w:t>
      </w:r>
      <w:r w:rsidR="00CC6AF3" w:rsidRPr="0051598E">
        <w:rPr>
          <w:rFonts w:asciiTheme="majorHAnsi" w:hAnsiTheme="majorHAnsi"/>
          <w:b/>
          <w:lang w:val="en-US"/>
        </w:rPr>
        <w:t xml:space="preserve">safeguards relating to family farms and </w:t>
      </w:r>
      <w:r w:rsidR="00F374BB" w:rsidRPr="0051598E">
        <w:rPr>
          <w:rFonts w:asciiTheme="majorHAnsi" w:hAnsiTheme="majorHAnsi"/>
          <w:b/>
          <w:lang w:val="en-US"/>
        </w:rPr>
        <w:t xml:space="preserve">mitigation of </w:t>
      </w:r>
      <w:r w:rsidR="00CC6AF3" w:rsidRPr="0051598E">
        <w:rPr>
          <w:rFonts w:asciiTheme="majorHAnsi" w:hAnsiTheme="majorHAnsi"/>
          <w:b/>
          <w:lang w:val="en-US"/>
        </w:rPr>
        <w:t>any potential adverse impacts</w:t>
      </w:r>
      <w:r w:rsidR="00471BD9" w:rsidRPr="0051598E">
        <w:rPr>
          <w:rFonts w:asciiTheme="majorHAnsi" w:hAnsiTheme="majorHAnsi"/>
          <w:b/>
          <w:lang w:val="en-US"/>
        </w:rPr>
        <w:t>.</w:t>
      </w:r>
    </w:p>
    <w:p w14:paraId="1BFBB427" w14:textId="01DA82BA" w:rsidR="009102B0" w:rsidRDefault="009102B0" w:rsidP="00CB7224">
      <w:pPr>
        <w:ind w:left="360"/>
        <w:rPr>
          <w:lang w:val="en-US"/>
        </w:rPr>
      </w:pPr>
      <w:r w:rsidRPr="009102B0">
        <w:rPr>
          <w:lang w:val="en-US"/>
        </w:rPr>
        <w:t xml:space="preserve">National </w:t>
      </w:r>
      <w:r w:rsidR="001F27E7">
        <w:rPr>
          <w:lang w:val="en-US"/>
        </w:rPr>
        <w:t>estate</w:t>
      </w:r>
      <w:r w:rsidR="00C84B58">
        <w:rPr>
          <w:lang w:val="en-US"/>
        </w:rPr>
        <w:t xml:space="preserve"> duties</w:t>
      </w:r>
      <w:r>
        <w:rPr>
          <w:lang w:val="en-US"/>
        </w:rPr>
        <w:t xml:space="preserve"> exist in many </w:t>
      </w:r>
      <w:r w:rsidRPr="009102B0">
        <w:rPr>
          <w:lang w:val="en-US"/>
        </w:rPr>
        <w:t>countries</w:t>
      </w:r>
      <w:r>
        <w:rPr>
          <w:lang w:val="en-US"/>
        </w:rPr>
        <w:t xml:space="preserve"> including</w:t>
      </w:r>
      <w:r w:rsidR="00C218C0">
        <w:rPr>
          <w:lang w:val="en-US"/>
        </w:rPr>
        <w:t xml:space="preserve">: </w:t>
      </w:r>
      <w:r w:rsidRPr="009102B0">
        <w:rPr>
          <w:lang w:val="en-US"/>
        </w:rPr>
        <w:t xml:space="preserve">the United Kingdom, Germany, Italy, </w:t>
      </w:r>
      <w:r>
        <w:rPr>
          <w:lang w:val="en-US"/>
        </w:rPr>
        <w:t>Be</w:t>
      </w:r>
      <w:r w:rsidRPr="009102B0">
        <w:rPr>
          <w:lang w:val="en-US"/>
        </w:rPr>
        <w:t>lgium, the Republic of Ireland, France, the Czech Repu</w:t>
      </w:r>
      <w:r w:rsidR="005176E5">
        <w:rPr>
          <w:lang w:val="en-US"/>
        </w:rPr>
        <w:t xml:space="preserve">blic, Canada and </w:t>
      </w:r>
      <w:r w:rsidRPr="009102B0">
        <w:rPr>
          <w:lang w:val="en-US"/>
        </w:rPr>
        <w:t xml:space="preserve">the USA. </w:t>
      </w:r>
      <w:r w:rsidR="00330A38">
        <w:rPr>
          <w:lang w:val="en-US"/>
        </w:rPr>
        <w:t xml:space="preserve"> </w:t>
      </w:r>
      <w:r w:rsidR="00C84B58">
        <w:rPr>
          <w:lang w:val="en-US"/>
        </w:rPr>
        <w:t>Not only do these duties provide substantial government revenue, they also increase philanthropy by offering</w:t>
      </w:r>
      <w:r w:rsidR="005176E5">
        <w:rPr>
          <w:lang w:val="en-US"/>
        </w:rPr>
        <w:t xml:space="preserve"> relief from estate</w:t>
      </w:r>
      <w:r>
        <w:rPr>
          <w:lang w:val="en-US"/>
        </w:rPr>
        <w:t xml:space="preserve"> duties for any money left to charity</w:t>
      </w:r>
      <w:r w:rsidR="00C84B58">
        <w:rPr>
          <w:lang w:val="en-US"/>
        </w:rPr>
        <w:t>.</w:t>
      </w:r>
      <w:r>
        <w:rPr>
          <w:lang w:val="en-US"/>
        </w:rPr>
        <w:t xml:space="preserve"> </w:t>
      </w:r>
      <w:r w:rsidR="00C84B58">
        <w:rPr>
          <w:lang w:val="en-US"/>
        </w:rPr>
        <w:t xml:space="preserve"> </w:t>
      </w:r>
      <w:r>
        <w:rPr>
          <w:lang w:val="en-US"/>
        </w:rPr>
        <w:t>The Henry Review</w:t>
      </w:r>
      <w:r w:rsidRPr="00CB7224">
        <w:rPr>
          <w:lang w:val="en-US"/>
        </w:rPr>
        <w:t xml:space="preserve"> </w:t>
      </w:r>
      <w:r>
        <w:rPr>
          <w:lang w:val="en-US"/>
        </w:rPr>
        <w:t>drew on this internationa</w:t>
      </w:r>
      <w:r w:rsidR="005176E5">
        <w:rPr>
          <w:lang w:val="en-US"/>
        </w:rPr>
        <w:t>l experience in supporting estate</w:t>
      </w:r>
      <w:r>
        <w:rPr>
          <w:lang w:val="en-US"/>
        </w:rPr>
        <w:t xml:space="preserve"> duties as a </w:t>
      </w:r>
      <w:r w:rsidRPr="00CB7224">
        <w:rPr>
          <w:lang w:val="en-US"/>
        </w:rPr>
        <w:t>taxation measure.</w:t>
      </w:r>
      <w:r w:rsidR="005C6727">
        <w:rPr>
          <w:lang w:val="en-US"/>
        </w:rPr>
        <w:t xml:space="preserve">  Among other benefits, estate duties can apply a small brake on growing levels of inequality in our communities.</w:t>
      </w:r>
      <w:r>
        <w:rPr>
          <w:lang w:val="en-US"/>
        </w:rPr>
        <w:t xml:space="preserve">  </w:t>
      </w:r>
    </w:p>
    <w:p w14:paraId="5DABBA6B" w14:textId="061836C7" w:rsidR="00972B74" w:rsidRDefault="00CC6AF3" w:rsidP="00972B74">
      <w:pPr>
        <w:ind w:left="360"/>
        <w:rPr>
          <w:lang w:val="en-US"/>
        </w:rPr>
      </w:pPr>
      <w:r w:rsidRPr="00CB7224">
        <w:rPr>
          <w:lang w:val="en-US"/>
        </w:rPr>
        <w:t>Until 1979, ma</w:t>
      </w:r>
      <w:r w:rsidR="009102B0">
        <w:rPr>
          <w:lang w:val="en-US"/>
        </w:rPr>
        <w:t>ny Australian governments gain</w:t>
      </w:r>
      <w:r w:rsidRPr="00CB7224">
        <w:rPr>
          <w:lang w:val="en-US"/>
        </w:rPr>
        <w:t>ed substantial income through various forms of death</w:t>
      </w:r>
      <w:r w:rsidR="00D75BD5">
        <w:rPr>
          <w:lang w:val="en-US"/>
        </w:rPr>
        <w:t xml:space="preserve"> or estate</w:t>
      </w:r>
      <w:r w:rsidRPr="00CB7224">
        <w:rPr>
          <w:lang w:val="en-US"/>
        </w:rPr>
        <w:t xml:space="preserve"> duties.  </w:t>
      </w:r>
      <w:r w:rsidR="00A53539">
        <w:rPr>
          <w:lang w:val="en-US"/>
        </w:rPr>
        <w:t>It is suggested</w:t>
      </w:r>
      <w:r w:rsidR="009102B0">
        <w:rPr>
          <w:lang w:val="en-US"/>
        </w:rPr>
        <w:t xml:space="preserve"> that death duties </w:t>
      </w:r>
      <w:r w:rsidRPr="00CB7224">
        <w:rPr>
          <w:lang w:val="en-US"/>
        </w:rPr>
        <w:t>end</w:t>
      </w:r>
      <w:r w:rsidR="009102B0">
        <w:rPr>
          <w:lang w:val="en-US"/>
        </w:rPr>
        <w:t>ed</w:t>
      </w:r>
      <w:r w:rsidRPr="00CB7224">
        <w:rPr>
          <w:lang w:val="en-US"/>
        </w:rPr>
        <w:t xml:space="preserve"> b</w:t>
      </w:r>
      <w:r w:rsidR="00D75BD5">
        <w:rPr>
          <w:lang w:val="en-US"/>
        </w:rPr>
        <w:t xml:space="preserve">ecause </w:t>
      </w:r>
      <w:r w:rsidR="00236CEC">
        <w:rPr>
          <w:lang w:val="en-US"/>
        </w:rPr>
        <w:t xml:space="preserve">Premier </w:t>
      </w:r>
      <w:r w:rsidRPr="00CB7224">
        <w:rPr>
          <w:lang w:val="en-US"/>
        </w:rPr>
        <w:t>Joh Bje</w:t>
      </w:r>
      <w:r w:rsidR="00CB7224">
        <w:rPr>
          <w:lang w:val="en-US"/>
        </w:rPr>
        <w:t>lke Peterse</w:t>
      </w:r>
      <w:r w:rsidRPr="00CB7224">
        <w:rPr>
          <w:lang w:val="en-US"/>
        </w:rPr>
        <w:t>n</w:t>
      </w:r>
      <w:r w:rsidR="00D75BD5">
        <w:rPr>
          <w:lang w:val="en-US"/>
        </w:rPr>
        <w:t xml:space="preserve"> wanted to attract retirees to Queensland</w:t>
      </w:r>
      <w:r w:rsidRPr="00CB7224">
        <w:rPr>
          <w:lang w:val="en-US"/>
        </w:rPr>
        <w:t xml:space="preserve"> </w:t>
      </w:r>
      <w:r w:rsidR="00D75BD5">
        <w:rPr>
          <w:lang w:val="en-US"/>
        </w:rPr>
        <w:t>and abolished all death duties.  Other states followed.  Until then</w:t>
      </w:r>
      <w:r w:rsidRPr="00CB7224">
        <w:rPr>
          <w:lang w:val="en-US"/>
        </w:rPr>
        <w:t xml:space="preserve"> the threshold had effectively been lowered over time to a level where many not so rich were also having to pay.</w:t>
      </w:r>
      <w:r w:rsidR="00521580">
        <w:rPr>
          <w:lang w:val="en-US"/>
        </w:rPr>
        <w:t xml:space="preserve">  As a consequence of t</w:t>
      </w:r>
      <w:r w:rsidR="00330A38">
        <w:rPr>
          <w:lang w:val="en-US"/>
        </w:rPr>
        <w:t>hese factors, in the late 1970s</w:t>
      </w:r>
      <w:r w:rsidR="00521580">
        <w:rPr>
          <w:lang w:val="en-US"/>
        </w:rPr>
        <w:t xml:space="preserve"> an </w:t>
      </w:r>
      <w:r w:rsidR="001F27E7">
        <w:rPr>
          <w:lang w:val="en-US"/>
        </w:rPr>
        <w:t>estate</w:t>
      </w:r>
      <w:r w:rsidR="00521580">
        <w:rPr>
          <w:lang w:val="en-US"/>
        </w:rPr>
        <w:t xml:space="preserve"> duty</w:t>
      </w:r>
      <w:r w:rsidR="00C84B58">
        <w:rPr>
          <w:lang w:val="en-US"/>
        </w:rPr>
        <w:t xml:space="preserve"> was no longer seen as fair</w:t>
      </w:r>
      <w:r w:rsidR="00521580">
        <w:rPr>
          <w:lang w:val="en-US"/>
        </w:rPr>
        <w:t xml:space="preserve">.  </w:t>
      </w:r>
    </w:p>
    <w:p w14:paraId="392D7E34" w14:textId="56CBBFF3" w:rsidR="00CC6AF3" w:rsidRPr="00CB7224" w:rsidRDefault="00521580" w:rsidP="00972B74">
      <w:pPr>
        <w:ind w:left="360"/>
        <w:rPr>
          <w:lang w:val="en-US"/>
        </w:rPr>
      </w:pPr>
      <w:r>
        <w:rPr>
          <w:lang w:val="en-US"/>
        </w:rPr>
        <w:t xml:space="preserve">A </w:t>
      </w:r>
      <w:r w:rsidR="00C84B58">
        <w:rPr>
          <w:lang w:val="en-US"/>
        </w:rPr>
        <w:t>better targeted approach could address these previous failings and would be consistent with a fair go for all.</w:t>
      </w:r>
      <w:r>
        <w:rPr>
          <w:lang w:val="en-US"/>
        </w:rPr>
        <w:t xml:space="preserve">  </w:t>
      </w:r>
      <w:r w:rsidR="00CF02D2">
        <w:rPr>
          <w:lang w:val="en-US"/>
        </w:rPr>
        <w:t xml:space="preserve">Using a revised version of capital gains taxes </w:t>
      </w:r>
      <w:r w:rsidR="005C6727">
        <w:rPr>
          <w:lang w:val="en-US"/>
        </w:rPr>
        <w:t xml:space="preserve">and only applying it to those with estates above $10 million (excluding family farms and other appropriate asset exemptions) </w:t>
      </w:r>
      <w:r w:rsidR="00DC6802">
        <w:rPr>
          <w:lang w:val="en-US"/>
        </w:rPr>
        <w:t>offers</w:t>
      </w:r>
      <w:r w:rsidR="00CF02D2">
        <w:rPr>
          <w:lang w:val="en-US"/>
        </w:rPr>
        <w:t xml:space="preserve"> a workable option.  </w:t>
      </w:r>
      <w:r w:rsidR="005C6727">
        <w:rPr>
          <w:lang w:val="en-US"/>
        </w:rPr>
        <w:br/>
      </w:r>
      <w:r w:rsidR="00972B74">
        <w:rPr>
          <w:lang w:val="en-US"/>
        </w:rPr>
        <w:t xml:space="preserve">In </w:t>
      </w:r>
      <w:r w:rsidR="005176E5">
        <w:rPr>
          <w:lang w:val="en-US"/>
        </w:rPr>
        <w:t xml:space="preserve">Belgium estate </w:t>
      </w:r>
      <w:r>
        <w:rPr>
          <w:lang w:val="en-US"/>
        </w:rPr>
        <w:t xml:space="preserve">duties </w:t>
      </w:r>
      <w:r w:rsidR="005176E5">
        <w:rPr>
          <w:lang w:val="en-US"/>
        </w:rPr>
        <w:t>contribute 1.4% of total government revenue which would translate into over $5 billion in Australia.</w:t>
      </w:r>
      <w:r>
        <w:rPr>
          <w:lang w:val="en-US"/>
        </w:rPr>
        <w:t xml:space="preserve">  </w:t>
      </w:r>
    </w:p>
    <w:p w14:paraId="085D2117" w14:textId="738279CA" w:rsidR="00CC6AF3" w:rsidRDefault="00CC6AF3" w:rsidP="00CB7224">
      <w:pPr>
        <w:ind w:left="360"/>
        <w:rPr>
          <w:lang w:val="en-US"/>
        </w:rPr>
      </w:pPr>
      <w:r w:rsidRPr="00CB7224">
        <w:rPr>
          <w:lang w:val="en-US"/>
        </w:rPr>
        <w:t xml:space="preserve">Australia’s growing gap between </w:t>
      </w:r>
      <w:r w:rsidR="005C6727">
        <w:rPr>
          <w:lang w:val="en-US"/>
        </w:rPr>
        <w:t xml:space="preserve">rich and poor, and the gap between </w:t>
      </w:r>
      <w:r w:rsidRPr="00CB7224">
        <w:rPr>
          <w:lang w:val="en-US"/>
        </w:rPr>
        <w:t>government income and demand for government supported</w:t>
      </w:r>
      <w:r w:rsidR="005C6727">
        <w:rPr>
          <w:lang w:val="en-US"/>
        </w:rPr>
        <w:t xml:space="preserve"> services, can </w:t>
      </w:r>
      <w:r w:rsidR="00DC6802">
        <w:rPr>
          <w:lang w:val="en-US"/>
        </w:rPr>
        <w:t xml:space="preserve">both </w:t>
      </w:r>
      <w:r w:rsidR="005C6727">
        <w:rPr>
          <w:lang w:val="en-US"/>
        </w:rPr>
        <w:t>be partially addressed by applying a</w:t>
      </w:r>
      <w:r w:rsidRPr="00CB7224">
        <w:rPr>
          <w:lang w:val="en-US"/>
        </w:rPr>
        <w:t xml:space="preserve"> form of </w:t>
      </w:r>
      <w:r w:rsidR="001F27E7">
        <w:rPr>
          <w:lang w:val="en-US"/>
        </w:rPr>
        <w:t>estate</w:t>
      </w:r>
      <w:r w:rsidRPr="00CB7224">
        <w:rPr>
          <w:lang w:val="en-US"/>
        </w:rPr>
        <w:t xml:space="preserve"> duty</w:t>
      </w:r>
      <w:r w:rsidR="00607BA5">
        <w:rPr>
          <w:lang w:val="en-US"/>
        </w:rPr>
        <w:t xml:space="preserve"> on the richest 1% in our communities. </w:t>
      </w:r>
      <w:r w:rsidR="005176E5">
        <w:rPr>
          <w:lang w:val="en-US"/>
        </w:rPr>
        <w:t xml:space="preserve"> A </w:t>
      </w:r>
      <w:r w:rsidR="00607BA5">
        <w:rPr>
          <w:lang w:val="en-US"/>
        </w:rPr>
        <w:t xml:space="preserve">targeted </w:t>
      </w:r>
      <w:r w:rsidR="005176E5">
        <w:rPr>
          <w:lang w:val="en-US"/>
        </w:rPr>
        <w:t>35</w:t>
      </w:r>
      <w:r w:rsidRPr="00CB7224">
        <w:rPr>
          <w:lang w:val="en-US"/>
        </w:rPr>
        <w:t xml:space="preserve">% </w:t>
      </w:r>
      <w:r w:rsidR="001F27E7">
        <w:rPr>
          <w:lang w:val="en-US"/>
        </w:rPr>
        <w:t>estate</w:t>
      </w:r>
      <w:r w:rsidR="005176E5">
        <w:rPr>
          <w:lang w:val="en-US"/>
        </w:rPr>
        <w:t xml:space="preserve"> duty on all estates over $1</w:t>
      </w:r>
      <w:r w:rsidRPr="00CB7224">
        <w:rPr>
          <w:lang w:val="en-US"/>
        </w:rPr>
        <w:t xml:space="preserve">0 million </w:t>
      </w:r>
      <w:r w:rsidR="00607BA5">
        <w:rPr>
          <w:lang w:val="en-US"/>
        </w:rPr>
        <w:t xml:space="preserve">(with </w:t>
      </w:r>
      <w:r w:rsidR="00DC6802">
        <w:rPr>
          <w:lang w:val="en-US"/>
        </w:rPr>
        <w:t xml:space="preserve">appropriate </w:t>
      </w:r>
      <w:r w:rsidR="00607BA5">
        <w:rPr>
          <w:lang w:val="en-US"/>
        </w:rPr>
        <w:t xml:space="preserve">exemptions) </w:t>
      </w:r>
      <w:r w:rsidRPr="00CB7224">
        <w:rPr>
          <w:lang w:val="en-US"/>
        </w:rPr>
        <w:t xml:space="preserve">would raise </w:t>
      </w:r>
      <w:r w:rsidR="00A53539">
        <w:rPr>
          <w:lang w:val="en-US"/>
        </w:rPr>
        <w:t xml:space="preserve">substantial new government revenue and stimulate philanthropy. </w:t>
      </w:r>
    </w:p>
    <w:p w14:paraId="797DED4E" w14:textId="0C3B2946" w:rsidR="00A53539" w:rsidRPr="00A53539" w:rsidRDefault="005176E5" w:rsidP="00CB7224">
      <w:pPr>
        <w:ind w:left="360"/>
        <w:rPr>
          <w:b/>
          <w:i/>
          <w:lang w:val="en-US"/>
        </w:rPr>
      </w:pPr>
      <w:r>
        <w:rPr>
          <w:b/>
          <w:i/>
          <w:lang w:val="en-US"/>
        </w:rPr>
        <w:t>ATO figures suggest around 25,</w:t>
      </w:r>
      <w:r w:rsidR="00A53539" w:rsidRPr="00A53539">
        <w:rPr>
          <w:b/>
          <w:i/>
          <w:lang w:val="en-US"/>
        </w:rPr>
        <w:t>000 families have a</w:t>
      </w:r>
      <w:r>
        <w:rPr>
          <w:b/>
          <w:i/>
          <w:lang w:val="en-US"/>
        </w:rPr>
        <w:t>ssets above $10 million.  If 4% of these families paid 35</w:t>
      </w:r>
      <w:r w:rsidR="00A53539" w:rsidRPr="00A53539">
        <w:rPr>
          <w:b/>
          <w:i/>
          <w:lang w:val="en-US"/>
        </w:rPr>
        <w:t xml:space="preserve">% in </w:t>
      </w:r>
      <w:r w:rsidR="001F27E7">
        <w:rPr>
          <w:b/>
          <w:i/>
          <w:lang w:val="en-US"/>
        </w:rPr>
        <w:t>estate</w:t>
      </w:r>
      <w:r w:rsidR="00A53539" w:rsidRPr="00A53539">
        <w:rPr>
          <w:b/>
          <w:i/>
          <w:lang w:val="en-US"/>
        </w:rPr>
        <w:t xml:space="preserve"> duties, it would equate to </w:t>
      </w:r>
      <w:r w:rsidR="00521580">
        <w:rPr>
          <w:b/>
          <w:i/>
          <w:lang w:val="en-US"/>
        </w:rPr>
        <w:t xml:space="preserve">a minimum of </w:t>
      </w:r>
      <w:r w:rsidR="001F27E7">
        <w:rPr>
          <w:b/>
          <w:i/>
          <w:lang w:val="en-US"/>
        </w:rPr>
        <w:t>$3.5</w:t>
      </w:r>
      <w:r w:rsidR="00D75BD5">
        <w:rPr>
          <w:b/>
          <w:i/>
          <w:lang w:val="en-US"/>
        </w:rPr>
        <w:t xml:space="preserve"> billion</w:t>
      </w:r>
      <w:r w:rsidR="00A53539" w:rsidRPr="00A53539">
        <w:rPr>
          <w:b/>
          <w:i/>
          <w:lang w:val="en-US"/>
        </w:rPr>
        <w:t>.</w:t>
      </w:r>
    </w:p>
    <w:p w14:paraId="58870727" w14:textId="36DF4329" w:rsidR="00CC6AF3" w:rsidRDefault="00CC6AF3" w:rsidP="00CC6AF3">
      <w:pPr>
        <w:pStyle w:val="ListParagraph"/>
        <w:numPr>
          <w:ilvl w:val="0"/>
          <w:numId w:val="7"/>
        </w:numPr>
        <w:spacing w:before="360"/>
        <w:contextualSpacing w:val="0"/>
        <w:rPr>
          <w:rFonts w:asciiTheme="majorHAnsi" w:hAnsiTheme="majorHAnsi"/>
          <w:b/>
          <w:lang w:val="en-US"/>
        </w:rPr>
      </w:pPr>
      <w:r>
        <w:rPr>
          <w:rFonts w:asciiTheme="majorHAnsi" w:hAnsiTheme="majorHAnsi"/>
          <w:b/>
          <w:lang w:val="en-US"/>
        </w:rPr>
        <w:t>Implement the French 90/10 rule providing an option for all Aust</w:t>
      </w:r>
      <w:r w:rsidR="00A53539">
        <w:rPr>
          <w:rFonts w:asciiTheme="majorHAnsi" w:hAnsiTheme="majorHAnsi"/>
          <w:b/>
          <w:lang w:val="en-US"/>
        </w:rPr>
        <w:t>ralian employees to invest 5-</w:t>
      </w:r>
      <w:r>
        <w:rPr>
          <w:rFonts w:asciiTheme="majorHAnsi" w:hAnsiTheme="majorHAnsi"/>
          <w:b/>
          <w:lang w:val="en-US"/>
        </w:rPr>
        <w:t>10% of their superannuation into a not-for-profit social enterprise that benefits the community</w:t>
      </w:r>
      <w:r w:rsidR="00471BD9">
        <w:rPr>
          <w:rFonts w:asciiTheme="majorHAnsi" w:hAnsiTheme="majorHAnsi"/>
          <w:b/>
          <w:lang w:val="en-US"/>
        </w:rPr>
        <w:t>.</w:t>
      </w:r>
    </w:p>
    <w:p w14:paraId="38BE318F" w14:textId="7DD3AEC0" w:rsidR="00A53539" w:rsidRDefault="00A53539" w:rsidP="00A53539">
      <w:pPr>
        <w:ind w:left="360"/>
        <w:rPr>
          <w:lang w:val="en-US"/>
        </w:rPr>
      </w:pPr>
      <w:r w:rsidRPr="00A86F9C">
        <w:rPr>
          <w:lang w:val="en-US"/>
        </w:rPr>
        <w:t xml:space="preserve">France has required all employees to be given the option of </w:t>
      </w:r>
      <w:r w:rsidRPr="00DC6802">
        <w:rPr>
          <w:rFonts w:cstheme="minorHAnsi"/>
          <w:lang w:val="en-US"/>
        </w:rPr>
        <w:t xml:space="preserve">investing </w:t>
      </w:r>
      <w:r w:rsidR="00C4208E" w:rsidRPr="00DC6802">
        <w:rPr>
          <w:rFonts w:cstheme="minorHAnsi"/>
          <w:b/>
          <w:lang w:val="en-US"/>
        </w:rPr>
        <w:t>5-10%</w:t>
      </w:r>
      <w:r w:rsidRPr="00A86F9C">
        <w:rPr>
          <w:lang w:val="en-US"/>
        </w:rPr>
        <w:t xml:space="preserve"> of their </w:t>
      </w:r>
      <w:r w:rsidR="00A86F9C">
        <w:rPr>
          <w:lang w:val="en-US"/>
        </w:rPr>
        <w:t>superannuation</w:t>
      </w:r>
      <w:r w:rsidRPr="00A86F9C">
        <w:rPr>
          <w:lang w:val="en-US"/>
        </w:rPr>
        <w:t xml:space="preserve"> into ‘solidarity organisations’</w:t>
      </w:r>
      <w:r w:rsidR="00521580">
        <w:rPr>
          <w:lang w:val="en-US"/>
        </w:rPr>
        <w:t xml:space="preserve"> </w:t>
      </w:r>
      <w:r w:rsidRPr="00A86F9C">
        <w:rPr>
          <w:lang w:val="en-US"/>
        </w:rPr>
        <w:t>(the equivalent of our charitie</w:t>
      </w:r>
      <w:r w:rsidR="00A86F9C">
        <w:rPr>
          <w:lang w:val="en-US"/>
        </w:rPr>
        <w:t>s) since 2001.  In</w:t>
      </w:r>
      <w:r w:rsidRPr="00A86F9C">
        <w:rPr>
          <w:lang w:val="en-US"/>
        </w:rPr>
        <w:t xml:space="preserve"> 2008 </w:t>
      </w:r>
      <w:r w:rsidR="00A86F9C">
        <w:rPr>
          <w:lang w:val="en-US"/>
        </w:rPr>
        <w:t>the government regulated that all</w:t>
      </w:r>
      <w:r w:rsidRPr="00A86F9C">
        <w:rPr>
          <w:lang w:val="en-US"/>
        </w:rPr>
        <w:t xml:space="preserve"> super funds needed to provide this option to </w:t>
      </w:r>
      <w:r w:rsidR="00A86F9C">
        <w:rPr>
          <w:lang w:val="en-US"/>
        </w:rPr>
        <w:t>employees</w:t>
      </w:r>
      <w:r w:rsidR="00972B74">
        <w:rPr>
          <w:lang w:val="en-US"/>
        </w:rPr>
        <w:t xml:space="preserve"> and since that time</w:t>
      </w:r>
      <w:r w:rsidRPr="00A86F9C">
        <w:rPr>
          <w:lang w:val="en-US"/>
        </w:rPr>
        <w:t xml:space="preserve"> the amount invested has grown from $700 </w:t>
      </w:r>
      <w:r w:rsidR="005A1558">
        <w:rPr>
          <w:lang w:val="en-US"/>
        </w:rPr>
        <w:t xml:space="preserve">million </w:t>
      </w:r>
      <w:r w:rsidRPr="00A86F9C">
        <w:rPr>
          <w:lang w:val="en-US"/>
        </w:rPr>
        <w:t>to over $5.5 billion.</w:t>
      </w:r>
      <w:r w:rsidR="00521580">
        <w:rPr>
          <w:lang w:val="en-US"/>
        </w:rPr>
        <w:t xml:space="preserve">  This has stimu</w:t>
      </w:r>
      <w:r w:rsidR="005A1558">
        <w:rPr>
          <w:lang w:val="en-US"/>
        </w:rPr>
        <w:t xml:space="preserve">lated social entrepreneurship, created </w:t>
      </w:r>
      <w:r w:rsidR="00521580">
        <w:rPr>
          <w:lang w:val="en-US"/>
        </w:rPr>
        <w:t>opportunities to</w:t>
      </w:r>
      <w:r w:rsidR="005A1558">
        <w:rPr>
          <w:lang w:val="en-US"/>
        </w:rPr>
        <w:t xml:space="preserve"> achieve </w:t>
      </w:r>
      <w:r w:rsidR="00972B74">
        <w:rPr>
          <w:lang w:val="en-US"/>
        </w:rPr>
        <w:t>social impact</w:t>
      </w:r>
      <w:r w:rsidR="005A1558">
        <w:rPr>
          <w:lang w:val="en-US"/>
        </w:rPr>
        <w:t xml:space="preserve">, improved the capital base and capacity of </w:t>
      </w:r>
      <w:r w:rsidR="00521580">
        <w:rPr>
          <w:lang w:val="en-US"/>
        </w:rPr>
        <w:t>solidarity organisations.</w:t>
      </w:r>
    </w:p>
    <w:p w14:paraId="62CD9762" w14:textId="1CDF57CF" w:rsidR="00A86F9C" w:rsidRDefault="00A86F9C" w:rsidP="00A53539">
      <w:pPr>
        <w:ind w:left="360"/>
        <w:rPr>
          <w:lang w:val="en-US"/>
        </w:rPr>
      </w:pPr>
      <w:r>
        <w:rPr>
          <w:lang w:val="en-US"/>
        </w:rPr>
        <w:t xml:space="preserve">The success of the French 90/10 rule shows what can be achieved if Australia chose to provide </w:t>
      </w:r>
      <w:r w:rsidR="00521580">
        <w:rPr>
          <w:lang w:val="en-US"/>
        </w:rPr>
        <w:t>employees</w:t>
      </w:r>
      <w:r>
        <w:rPr>
          <w:lang w:val="en-US"/>
        </w:rPr>
        <w:t xml:space="preserve"> with some choice about how their superannuation contributions are invested.  If just 2% of the MySuper funds were invested this way it would generate around $8.5 billion, or enough to provide housing to over 50,000</w:t>
      </w:r>
      <w:r w:rsidR="00A35566">
        <w:rPr>
          <w:lang w:val="en-US"/>
        </w:rPr>
        <w:t xml:space="preserve"> </w:t>
      </w:r>
      <w:r>
        <w:rPr>
          <w:lang w:val="en-US"/>
        </w:rPr>
        <w:t>Australians</w:t>
      </w:r>
      <w:r w:rsidR="00C218C0">
        <w:rPr>
          <w:lang w:val="en-US"/>
        </w:rPr>
        <w:t xml:space="preserve"> struggling to maintain secure and appropriate housing including the homeless</w:t>
      </w:r>
      <w:r>
        <w:rPr>
          <w:lang w:val="en-US"/>
        </w:rPr>
        <w:t>.</w:t>
      </w:r>
    </w:p>
    <w:p w14:paraId="0959E797" w14:textId="226B3C63" w:rsidR="00A86F9C" w:rsidRDefault="00A86F9C" w:rsidP="00A53539">
      <w:pPr>
        <w:ind w:left="360"/>
        <w:rPr>
          <w:lang w:val="en-US"/>
        </w:rPr>
      </w:pPr>
      <w:r>
        <w:rPr>
          <w:lang w:val="en-US"/>
        </w:rPr>
        <w:t>CCA believe this measure could be transformative in encouraging the charities sector to find ways of establishing social enterprises that strengthen our communities.</w:t>
      </w:r>
    </w:p>
    <w:p w14:paraId="06F854EB" w14:textId="209FB508" w:rsidR="00A86F9C" w:rsidRPr="00A86F9C" w:rsidRDefault="00A86F9C" w:rsidP="00A53539">
      <w:pPr>
        <w:ind w:left="360"/>
        <w:rPr>
          <w:b/>
          <w:i/>
          <w:lang w:val="en-US"/>
        </w:rPr>
      </w:pPr>
      <w:r w:rsidRPr="00A86F9C">
        <w:rPr>
          <w:b/>
          <w:i/>
          <w:lang w:val="en-US"/>
        </w:rPr>
        <w:t xml:space="preserve">This measure has very little government impact as costs are almost non-existent – it is simply </w:t>
      </w:r>
      <w:r>
        <w:rPr>
          <w:b/>
          <w:i/>
          <w:lang w:val="en-US"/>
        </w:rPr>
        <w:t xml:space="preserve">about enabling a different use of </w:t>
      </w:r>
      <w:r w:rsidRPr="00A86F9C">
        <w:rPr>
          <w:b/>
          <w:i/>
          <w:lang w:val="en-US"/>
        </w:rPr>
        <w:t>a very small part of Australia’s $2 trillion superannuation investment pool.</w:t>
      </w:r>
    </w:p>
    <w:p w14:paraId="4B48C3D5" w14:textId="67837220" w:rsidR="00711940" w:rsidRPr="00A53539" w:rsidRDefault="00711940" w:rsidP="00A53539">
      <w:pPr>
        <w:pStyle w:val="ListParagraph"/>
        <w:numPr>
          <w:ilvl w:val="0"/>
          <w:numId w:val="7"/>
        </w:numPr>
        <w:spacing w:before="360"/>
        <w:contextualSpacing w:val="0"/>
        <w:rPr>
          <w:rFonts w:asciiTheme="majorHAnsi" w:hAnsiTheme="majorHAnsi"/>
          <w:b/>
          <w:lang w:val="en-US"/>
        </w:rPr>
      </w:pPr>
      <w:r w:rsidRPr="00A53539">
        <w:rPr>
          <w:rFonts w:asciiTheme="majorHAnsi" w:hAnsiTheme="majorHAnsi"/>
          <w:b/>
          <w:lang w:val="en-US"/>
        </w:rPr>
        <w:t xml:space="preserve">Establish a Social Finance Taskforce (as recommended by the Senate Economics References Committee) to identify and promote better </w:t>
      </w:r>
      <w:r w:rsidR="007D2A36" w:rsidRPr="00A53539">
        <w:rPr>
          <w:rFonts w:asciiTheme="majorHAnsi" w:hAnsiTheme="majorHAnsi"/>
          <w:b/>
          <w:lang w:val="en-US"/>
        </w:rPr>
        <w:t>NFP</w:t>
      </w:r>
      <w:r w:rsidRPr="00A53539">
        <w:rPr>
          <w:rFonts w:asciiTheme="majorHAnsi" w:hAnsiTheme="majorHAnsi"/>
          <w:b/>
          <w:lang w:val="en-US"/>
        </w:rPr>
        <w:t xml:space="preserve"> access to capital.</w:t>
      </w:r>
    </w:p>
    <w:p w14:paraId="418D9B52" w14:textId="77777777" w:rsidR="007031FA" w:rsidRDefault="007031FA" w:rsidP="002D19DE">
      <w:pPr>
        <w:autoSpaceDE w:val="0"/>
        <w:autoSpaceDN w:val="0"/>
        <w:adjustRightInd w:val="0"/>
        <w:spacing w:line="240" w:lineRule="auto"/>
        <w:ind w:left="360"/>
        <w:rPr>
          <w:lang w:val="en-US"/>
        </w:rPr>
      </w:pPr>
      <w:r>
        <w:rPr>
          <w:lang w:val="en-US"/>
        </w:rPr>
        <w:t>In its report</w:t>
      </w:r>
      <w:r w:rsidR="0006273F">
        <w:rPr>
          <w:lang w:val="en-US"/>
        </w:rPr>
        <w:t xml:space="preserve"> </w:t>
      </w:r>
      <w:r>
        <w:rPr>
          <w:lang w:val="en-US"/>
        </w:rPr>
        <w:t>‘</w:t>
      </w:r>
      <w:r w:rsidR="0006273F" w:rsidRPr="007031FA">
        <w:rPr>
          <w:i/>
          <w:lang w:val="en-US"/>
        </w:rPr>
        <w:t>Investing for good: the development of a</w:t>
      </w:r>
      <w:r w:rsidRPr="007031FA">
        <w:rPr>
          <w:i/>
          <w:lang w:val="en-US"/>
        </w:rPr>
        <w:t xml:space="preserve"> </w:t>
      </w:r>
      <w:r w:rsidR="0006273F" w:rsidRPr="007031FA">
        <w:rPr>
          <w:i/>
          <w:lang w:val="en-US"/>
        </w:rPr>
        <w:t>capital market for the not-for-profit sector in</w:t>
      </w:r>
      <w:r>
        <w:rPr>
          <w:i/>
          <w:lang w:val="en-US"/>
        </w:rPr>
        <w:t xml:space="preserve"> </w:t>
      </w:r>
      <w:r w:rsidR="0006273F" w:rsidRPr="007031FA">
        <w:rPr>
          <w:i/>
          <w:lang w:val="en-US"/>
        </w:rPr>
        <w:t>Australia</w:t>
      </w:r>
      <w:r>
        <w:rPr>
          <w:i/>
          <w:lang w:val="en-US"/>
        </w:rPr>
        <w:t>’</w:t>
      </w:r>
      <w:r w:rsidR="0006273F" w:rsidRPr="007031FA">
        <w:rPr>
          <w:lang w:val="en-US"/>
        </w:rPr>
        <w:t xml:space="preserve"> the Senate Economics Reference</w:t>
      </w:r>
      <w:r w:rsidR="00067112">
        <w:rPr>
          <w:lang w:val="en-US"/>
        </w:rPr>
        <w:t>s</w:t>
      </w:r>
      <w:r w:rsidR="0006273F" w:rsidRPr="007031FA">
        <w:rPr>
          <w:lang w:val="en-US"/>
        </w:rPr>
        <w:t xml:space="preserve"> Committee recommended the establishment of a high profile Social Finance Taskforce similar to taskforces established in both th</w:t>
      </w:r>
      <w:r>
        <w:rPr>
          <w:lang w:val="en-US"/>
        </w:rPr>
        <w:t>e UK and Canada.  The following is taken from the Executive Summary of this report:</w:t>
      </w:r>
      <w:r w:rsidR="0006273F" w:rsidRPr="007031FA">
        <w:rPr>
          <w:lang w:val="en-US"/>
        </w:rPr>
        <w:t xml:space="preserve"> </w:t>
      </w:r>
    </w:p>
    <w:p w14:paraId="708C6391" w14:textId="66D9B4AE" w:rsidR="00D740AE" w:rsidRPr="007031FA" w:rsidRDefault="008237CA" w:rsidP="002D19DE">
      <w:pPr>
        <w:autoSpaceDE w:val="0"/>
        <w:autoSpaceDN w:val="0"/>
        <w:adjustRightInd w:val="0"/>
        <w:spacing w:line="240" w:lineRule="auto"/>
        <w:ind w:left="360"/>
        <w:rPr>
          <w:i/>
          <w:lang w:val="en-US"/>
        </w:rPr>
      </w:pPr>
      <w:r>
        <w:rPr>
          <w:i/>
          <w:lang w:val="en-US"/>
        </w:rPr>
        <w:t>‘</w:t>
      </w:r>
      <w:r w:rsidR="00D44F1C">
        <w:rPr>
          <w:i/>
          <w:lang w:val="en-US"/>
        </w:rPr>
        <w:t>T</w:t>
      </w:r>
      <w:r w:rsidR="0006273F" w:rsidRPr="007031FA">
        <w:rPr>
          <w:i/>
          <w:lang w:val="en-US"/>
        </w:rPr>
        <w:t>he Taskforce should build on the</w:t>
      </w:r>
      <w:r w:rsidR="007031FA" w:rsidRPr="007031FA">
        <w:rPr>
          <w:i/>
          <w:lang w:val="en-US"/>
        </w:rPr>
        <w:t xml:space="preserve"> </w:t>
      </w:r>
      <w:r w:rsidR="0006273F" w:rsidRPr="007031FA">
        <w:rPr>
          <w:i/>
          <w:lang w:val="en-US"/>
        </w:rPr>
        <w:t>work of this inquiry and provide recommendations to government on the capacity of</w:t>
      </w:r>
      <w:r w:rsidR="007031FA" w:rsidRPr="007031FA">
        <w:rPr>
          <w:i/>
          <w:lang w:val="en-US"/>
        </w:rPr>
        <w:t xml:space="preserve"> </w:t>
      </w:r>
      <w:r w:rsidR="0006273F" w:rsidRPr="007031FA">
        <w:rPr>
          <w:i/>
          <w:lang w:val="en-US"/>
        </w:rPr>
        <w:t>the sector, its access to capital, enhancing the role of intermediaries and simplifying</w:t>
      </w:r>
      <w:r w:rsidR="007031FA" w:rsidRPr="007031FA">
        <w:rPr>
          <w:i/>
          <w:lang w:val="en-US"/>
        </w:rPr>
        <w:t xml:space="preserve"> </w:t>
      </w:r>
      <w:r w:rsidR="0006273F" w:rsidRPr="007031FA">
        <w:rPr>
          <w:i/>
          <w:lang w:val="en-US"/>
        </w:rPr>
        <w:t>the sector's legislation and regulations.</w:t>
      </w:r>
      <w:r>
        <w:rPr>
          <w:i/>
          <w:lang w:val="en-US"/>
        </w:rPr>
        <w:t>’</w:t>
      </w:r>
    </w:p>
    <w:p w14:paraId="13C76BDD" w14:textId="1441C244" w:rsidR="00607BA5" w:rsidRDefault="007031FA" w:rsidP="002D19DE">
      <w:pPr>
        <w:ind w:left="360"/>
        <w:rPr>
          <w:lang w:val="en-US"/>
        </w:rPr>
      </w:pPr>
      <w:r>
        <w:rPr>
          <w:lang w:val="en-US"/>
        </w:rPr>
        <w:t>CCA</w:t>
      </w:r>
      <w:r w:rsidR="00471915">
        <w:rPr>
          <w:lang w:val="en-US"/>
        </w:rPr>
        <w:t xml:space="preserve"> perceives </w:t>
      </w:r>
      <w:r>
        <w:rPr>
          <w:lang w:val="en-US"/>
        </w:rPr>
        <w:t xml:space="preserve">this role as critical in the development of a longer term sustainable strategy </w:t>
      </w:r>
      <w:r w:rsidR="00471915">
        <w:rPr>
          <w:lang w:val="en-US"/>
        </w:rPr>
        <w:t>to</w:t>
      </w:r>
      <w:r>
        <w:rPr>
          <w:lang w:val="en-US"/>
        </w:rPr>
        <w:t xml:space="preserve"> enhanc</w:t>
      </w:r>
      <w:r w:rsidR="00471915">
        <w:rPr>
          <w:lang w:val="en-US"/>
        </w:rPr>
        <w:t>e</w:t>
      </w:r>
      <w:r>
        <w:rPr>
          <w:lang w:val="en-US"/>
        </w:rPr>
        <w:t xml:space="preserve"> the work of the </w:t>
      </w:r>
      <w:r w:rsidR="00B15439">
        <w:rPr>
          <w:lang w:val="en-US"/>
        </w:rPr>
        <w:t>NFP</w:t>
      </w:r>
      <w:r>
        <w:rPr>
          <w:lang w:val="en-US"/>
        </w:rPr>
        <w:t xml:space="preserve"> sector</w:t>
      </w:r>
      <w:r w:rsidR="00C44C13">
        <w:rPr>
          <w:lang w:val="en-US"/>
        </w:rPr>
        <w:t xml:space="preserve"> while reducing its dependency on </w:t>
      </w:r>
      <w:r w:rsidR="00471915">
        <w:rPr>
          <w:lang w:val="en-US"/>
        </w:rPr>
        <w:t>government</w:t>
      </w:r>
      <w:r w:rsidR="00C44C13">
        <w:rPr>
          <w:lang w:val="en-US"/>
        </w:rPr>
        <w:t>.</w:t>
      </w:r>
      <w:r w:rsidR="00607BA5">
        <w:rPr>
          <w:lang w:val="en-US"/>
        </w:rPr>
        <w:t xml:space="preserve"> T</w:t>
      </w:r>
      <w:r w:rsidR="00471915">
        <w:rPr>
          <w:lang w:val="en-US"/>
        </w:rPr>
        <w:t xml:space="preserve">his group </w:t>
      </w:r>
      <w:r w:rsidR="00607BA5">
        <w:rPr>
          <w:lang w:val="en-US"/>
        </w:rPr>
        <w:t xml:space="preserve">could </w:t>
      </w:r>
      <w:r w:rsidR="00471915">
        <w:rPr>
          <w:lang w:val="en-US"/>
        </w:rPr>
        <w:t xml:space="preserve">also </w:t>
      </w:r>
      <w:r w:rsidR="006C274B">
        <w:rPr>
          <w:lang w:val="en-US"/>
        </w:rPr>
        <w:t>consider the potential use of dead money a</w:t>
      </w:r>
      <w:r w:rsidR="00552C3D">
        <w:rPr>
          <w:lang w:val="en-US"/>
        </w:rPr>
        <w:t>ccounts and unclaimed funds</w:t>
      </w:r>
      <w:r w:rsidR="00607BA5">
        <w:rPr>
          <w:lang w:val="en-US"/>
        </w:rPr>
        <w:t xml:space="preserve"> (as happened in the UK) and work with emerging leadership groups in this area such as </w:t>
      </w:r>
      <w:r w:rsidR="006C274B">
        <w:rPr>
          <w:lang w:val="en-US"/>
        </w:rPr>
        <w:t>Impact Investing Australia.</w:t>
      </w:r>
      <w:r w:rsidR="00607BA5">
        <w:rPr>
          <w:lang w:val="en-US"/>
        </w:rPr>
        <w:t xml:space="preserve">  </w:t>
      </w:r>
    </w:p>
    <w:p w14:paraId="7A914655" w14:textId="20E88873" w:rsidR="00D740AE" w:rsidRDefault="00676339" w:rsidP="002D19DE">
      <w:pPr>
        <w:ind w:left="360"/>
        <w:rPr>
          <w:lang w:val="en-US"/>
        </w:rPr>
      </w:pPr>
      <w:r>
        <w:rPr>
          <w:lang w:val="en-US"/>
        </w:rPr>
        <w:t>T</w:t>
      </w:r>
      <w:r w:rsidR="00FA3D99">
        <w:rPr>
          <w:lang w:val="en-US"/>
        </w:rPr>
        <w:t>his measure would require a two-</w:t>
      </w:r>
      <w:r>
        <w:rPr>
          <w:lang w:val="en-US"/>
        </w:rPr>
        <w:t>year investment from government to support establishment, the preparation of initial reports and implementation of recommendations.</w:t>
      </w:r>
    </w:p>
    <w:p w14:paraId="324427DC" w14:textId="71491C22" w:rsidR="00490881" w:rsidRDefault="00AA5420" w:rsidP="00490881">
      <w:pPr>
        <w:ind w:left="360"/>
        <w:rPr>
          <w:b/>
          <w:i/>
          <w:lang w:val="en-US"/>
        </w:rPr>
      </w:pPr>
      <w:r>
        <w:rPr>
          <w:b/>
          <w:i/>
          <w:lang w:val="en-US"/>
        </w:rPr>
        <w:t>C</w:t>
      </w:r>
      <w:r w:rsidR="00490881">
        <w:rPr>
          <w:b/>
          <w:i/>
          <w:lang w:val="en-US"/>
        </w:rPr>
        <w:t xml:space="preserve">ost to government </w:t>
      </w:r>
      <w:r w:rsidR="00471915">
        <w:rPr>
          <w:b/>
          <w:i/>
          <w:lang w:val="en-US"/>
        </w:rPr>
        <w:t xml:space="preserve">is estimated to </w:t>
      </w:r>
      <w:r w:rsidR="00490881">
        <w:rPr>
          <w:b/>
          <w:i/>
          <w:lang w:val="en-US"/>
        </w:rPr>
        <w:t>be in the order of $</w:t>
      </w:r>
      <w:r w:rsidR="00852458">
        <w:rPr>
          <w:b/>
          <w:i/>
          <w:lang w:val="en-US"/>
        </w:rPr>
        <w:t>1</w:t>
      </w:r>
      <w:r w:rsidR="00490881">
        <w:rPr>
          <w:b/>
          <w:i/>
          <w:lang w:val="en-US"/>
        </w:rPr>
        <w:t xml:space="preserve"> million </w:t>
      </w:r>
      <w:r w:rsidR="00676339">
        <w:rPr>
          <w:b/>
          <w:i/>
          <w:lang w:val="en-US"/>
        </w:rPr>
        <w:t>each year for two years.</w:t>
      </w:r>
      <w:r w:rsidR="00490881">
        <w:rPr>
          <w:b/>
          <w:i/>
          <w:lang w:val="en-US"/>
        </w:rPr>
        <w:t xml:space="preserve"> </w:t>
      </w:r>
    </w:p>
    <w:p w14:paraId="02B1C841" w14:textId="391B11B0" w:rsidR="00263186" w:rsidRPr="00480F53" w:rsidRDefault="00263186" w:rsidP="00263186">
      <w:pPr>
        <w:pStyle w:val="ListParagraph"/>
        <w:numPr>
          <w:ilvl w:val="0"/>
          <w:numId w:val="7"/>
        </w:numPr>
        <w:spacing w:before="360"/>
        <w:contextualSpacing w:val="0"/>
        <w:rPr>
          <w:rFonts w:asciiTheme="majorHAnsi" w:hAnsiTheme="majorHAnsi"/>
          <w:b/>
          <w:lang w:val="en-US"/>
        </w:rPr>
      </w:pPr>
      <w:r>
        <w:rPr>
          <w:rFonts w:asciiTheme="majorHAnsi" w:hAnsiTheme="majorHAnsi"/>
          <w:b/>
          <w:lang w:val="en-US"/>
        </w:rPr>
        <w:t>Continue supporting the Australian Charities and Not-for-profits Commission (ACNC) to e</w:t>
      </w:r>
      <w:r w:rsidRPr="00480F53">
        <w:rPr>
          <w:rFonts w:asciiTheme="majorHAnsi" w:hAnsiTheme="majorHAnsi"/>
          <w:b/>
          <w:lang w:val="en-US"/>
        </w:rPr>
        <w:t xml:space="preserve">nsure an independent and effective process </w:t>
      </w:r>
      <w:r>
        <w:rPr>
          <w:rFonts w:asciiTheme="majorHAnsi" w:hAnsiTheme="majorHAnsi"/>
          <w:b/>
          <w:lang w:val="en-US"/>
        </w:rPr>
        <w:t>in</w:t>
      </w:r>
      <w:r w:rsidRPr="00480F53">
        <w:rPr>
          <w:rFonts w:asciiTheme="majorHAnsi" w:hAnsiTheme="majorHAnsi"/>
          <w:b/>
          <w:lang w:val="en-US"/>
        </w:rPr>
        <w:t xml:space="preserve"> determi</w:t>
      </w:r>
      <w:r>
        <w:rPr>
          <w:rFonts w:asciiTheme="majorHAnsi" w:hAnsiTheme="majorHAnsi"/>
          <w:b/>
          <w:lang w:val="en-US"/>
        </w:rPr>
        <w:t>ning</w:t>
      </w:r>
      <w:r w:rsidRPr="00480F53">
        <w:rPr>
          <w:rFonts w:asciiTheme="majorHAnsi" w:hAnsiTheme="majorHAnsi"/>
          <w:b/>
          <w:lang w:val="en-US"/>
        </w:rPr>
        <w:t xml:space="preserve"> charitable status, </w:t>
      </w:r>
      <w:r>
        <w:rPr>
          <w:rFonts w:asciiTheme="majorHAnsi" w:hAnsiTheme="majorHAnsi"/>
          <w:b/>
          <w:lang w:val="en-US"/>
        </w:rPr>
        <w:t>building public confidence in the sector and</w:t>
      </w:r>
      <w:r w:rsidRPr="00480F53">
        <w:rPr>
          <w:rFonts w:asciiTheme="majorHAnsi" w:hAnsiTheme="majorHAnsi"/>
          <w:b/>
          <w:lang w:val="en-US"/>
        </w:rPr>
        <w:t xml:space="preserve"> driv</w:t>
      </w:r>
      <w:r>
        <w:rPr>
          <w:rFonts w:asciiTheme="majorHAnsi" w:hAnsiTheme="majorHAnsi"/>
          <w:b/>
          <w:lang w:val="en-US"/>
        </w:rPr>
        <w:t>ing</w:t>
      </w:r>
      <w:r w:rsidRPr="00480F53">
        <w:rPr>
          <w:rFonts w:asciiTheme="majorHAnsi" w:hAnsiTheme="majorHAnsi"/>
          <w:b/>
          <w:lang w:val="en-US"/>
        </w:rPr>
        <w:t xml:space="preserve"> government red tape reduction</w:t>
      </w:r>
      <w:r>
        <w:rPr>
          <w:rFonts w:asciiTheme="majorHAnsi" w:hAnsiTheme="majorHAnsi"/>
          <w:b/>
          <w:lang w:val="en-US"/>
        </w:rPr>
        <w:t>.</w:t>
      </w:r>
    </w:p>
    <w:p w14:paraId="5F7280B7" w14:textId="7B1E82CD" w:rsidR="00D00AFF" w:rsidRDefault="006927ED" w:rsidP="00687BB3">
      <w:r>
        <w:t xml:space="preserve">The </w:t>
      </w:r>
      <w:r w:rsidR="00603650">
        <w:t>ACNC</w:t>
      </w:r>
      <w:r w:rsidR="005D3120">
        <w:t xml:space="preserve"> has established a </w:t>
      </w:r>
      <w:r w:rsidR="00603650">
        <w:t xml:space="preserve">positive reputation </w:t>
      </w:r>
      <w:r w:rsidR="007D2A36">
        <w:t>among NFPs</w:t>
      </w:r>
      <w:r w:rsidR="00603650">
        <w:t xml:space="preserve"> and the broader community</w:t>
      </w:r>
      <w:r w:rsidR="007D2A36">
        <w:t>,</w:t>
      </w:r>
      <w:r w:rsidR="00603650">
        <w:t xml:space="preserve"> based upon an outstanding first </w:t>
      </w:r>
      <w:r w:rsidR="004064EE">
        <w:t>t</w:t>
      </w:r>
      <w:r w:rsidR="005C6727">
        <w:t>hree</w:t>
      </w:r>
      <w:r w:rsidR="004064EE">
        <w:t xml:space="preserve"> </w:t>
      </w:r>
      <w:r w:rsidR="00603650">
        <w:t>year</w:t>
      </w:r>
      <w:r w:rsidR="004064EE">
        <w:t>s of operation</w:t>
      </w:r>
      <w:r w:rsidR="00603650">
        <w:t xml:space="preserve">. </w:t>
      </w:r>
      <w:r w:rsidR="00607BA5">
        <w:t xml:space="preserve">  </w:t>
      </w:r>
      <w:r w:rsidR="00687BB3">
        <w:t>The role and function of the A</w:t>
      </w:r>
      <w:r w:rsidR="00607BA5">
        <w:t>CNC has been readily embraced</w:t>
      </w:r>
      <w:r w:rsidR="00A7292D">
        <w:t>.  T</w:t>
      </w:r>
      <w:r w:rsidR="00687BB3">
        <w:t xml:space="preserve">he </w:t>
      </w:r>
      <w:r w:rsidR="00A7292D">
        <w:t xml:space="preserve">NFP </w:t>
      </w:r>
      <w:r w:rsidR="00687BB3">
        <w:t xml:space="preserve">sector and the broader community like what it is doing.  </w:t>
      </w:r>
      <w:r w:rsidR="00234284">
        <w:t>Repeated</w:t>
      </w:r>
      <w:r w:rsidR="00CC7771">
        <w:t xml:space="preserve"> surveys have </w:t>
      </w:r>
      <w:r w:rsidR="00234284">
        <w:t>shown</w:t>
      </w:r>
      <w:r w:rsidR="00CC7771">
        <w:t xml:space="preserve"> that over 80</w:t>
      </w:r>
      <w:r w:rsidR="00471915">
        <w:t>%</w:t>
      </w:r>
      <w:r w:rsidR="00474215">
        <w:t xml:space="preserve"> </w:t>
      </w:r>
      <w:r w:rsidR="00CC7771">
        <w:t>of the sector and 80</w:t>
      </w:r>
      <w:r w:rsidR="00471915">
        <w:t>%</w:t>
      </w:r>
      <w:r w:rsidR="00474215">
        <w:t xml:space="preserve"> </w:t>
      </w:r>
      <w:r w:rsidR="00CC7771">
        <w:t>of the community value having a national regulator of charities (</w:t>
      </w:r>
      <w:r w:rsidR="00CC7771" w:rsidRPr="00554017">
        <w:rPr>
          <w:i/>
        </w:rPr>
        <w:t>Pro Bono News pre-election survey</w:t>
      </w:r>
      <w:r w:rsidR="00474215">
        <w:rPr>
          <w:i/>
        </w:rPr>
        <w:t>;</w:t>
      </w:r>
      <w:r w:rsidR="00474215" w:rsidRPr="00554017">
        <w:rPr>
          <w:i/>
        </w:rPr>
        <w:t xml:space="preserve"> </w:t>
      </w:r>
      <w:r w:rsidR="00CC7771" w:rsidRPr="00554017">
        <w:rPr>
          <w:i/>
        </w:rPr>
        <w:t>ACNC survey of public trust and confidence</w:t>
      </w:r>
      <w:r w:rsidR="00CC7771">
        <w:t>).</w:t>
      </w:r>
      <w:r w:rsidR="005D3120">
        <w:t xml:space="preserve">   </w:t>
      </w:r>
    </w:p>
    <w:p w14:paraId="5C8CDEBE" w14:textId="2534098E" w:rsidR="008A46E8" w:rsidRDefault="008A46E8" w:rsidP="00687BB3">
      <w:r>
        <w:t>More than half a million Australians used the ACNC national charity register to look up charities in the last 12 months.  Of the almost 3000 newly registered charities, over 90% were happy with the process and service provided by the ACNC.</w:t>
      </w:r>
    </w:p>
    <w:p w14:paraId="54F70488" w14:textId="0CAA1E87" w:rsidR="00DC6802" w:rsidRDefault="00554017" w:rsidP="002D19DE">
      <w:pPr>
        <w:ind w:left="360"/>
      </w:pPr>
      <w:r>
        <w:t xml:space="preserve">CCA </w:t>
      </w:r>
      <w:r w:rsidR="005D3120">
        <w:t>support</w:t>
      </w:r>
      <w:r>
        <w:t>s</w:t>
      </w:r>
      <w:r w:rsidR="005D3120">
        <w:t xml:space="preserve"> expanding the role of the ACNC to further strengthen the sector, cut red tape and build public confidence</w:t>
      </w:r>
      <w:r w:rsidR="00DC6802">
        <w:t>.</w:t>
      </w:r>
      <w:r w:rsidR="008A46E8">
        <w:t xml:space="preserve">  </w:t>
      </w:r>
    </w:p>
    <w:p w14:paraId="6F81A70F" w14:textId="21507519" w:rsidR="00CC7771" w:rsidRDefault="00607BA5" w:rsidP="002D19DE">
      <w:pPr>
        <w:ind w:left="360"/>
      </w:pPr>
      <w:r>
        <w:t xml:space="preserve">The current fundraising regulations provide a classic example of unnecessary duplication, red tape and counter-productive </w:t>
      </w:r>
      <w:r w:rsidR="00DC6802">
        <w:t>compliance requirements</w:t>
      </w:r>
      <w:r w:rsidR="008A46E8">
        <w:t xml:space="preserve"> that are costing the charities sector and the community in lost productivity and pointless administrivia.  </w:t>
      </w:r>
      <w:r w:rsidR="00DC6802">
        <w:t xml:space="preserve">The ACNC is </w:t>
      </w:r>
      <w:r w:rsidR="00410EBA">
        <w:t>part of the solution to this mess – combined with the Australian Competition and Consumer Commission they make existing regulations redundant.</w:t>
      </w:r>
    </w:p>
    <w:p w14:paraId="44B0D69C" w14:textId="2649A9BE" w:rsidR="00AE66FD" w:rsidRDefault="00554017" w:rsidP="009E3CFD">
      <w:pPr>
        <w:ind w:left="360"/>
        <w:rPr>
          <w:b/>
          <w:lang w:val="en-US"/>
        </w:rPr>
      </w:pPr>
      <w:r>
        <w:rPr>
          <w:b/>
          <w:i/>
          <w:lang w:val="en-US"/>
        </w:rPr>
        <w:t>T</w:t>
      </w:r>
      <w:r w:rsidR="004063F9">
        <w:rPr>
          <w:b/>
          <w:i/>
          <w:lang w:val="en-US"/>
        </w:rPr>
        <w:t xml:space="preserve">he </w:t>
      </w:r>
      <w:r w:rsidR="00A0481F">
        <w:rPr>
          <w:b/>
          <w:i/>
          <w:lang w:val="en-US"/>
        </w:rPr>
        <w:t>a</w:t>
      </w:r>
      <w:r w:rsidR="004063F9">
        <w:rPr>
          <w:b/>
          <w:i/>
          <w:lang w:val="en-US"/>
        </w:rPr>
        <w:t>n</w:t>
      </w:r>
      <w:r>
        <w:rPr>
          <w:b/>
          <w:i/>
          <w:lang w:val="en-US"/>
        </w:rPr>
        <w:t>nual budget for the ACNC is</w:t>
      </w:r>
      <w:r w:rsidR="004063F9">
        <w:rPr>
          <w:b/>
          <w:i/>
          <w:lang w:val="en-US"/>
        </w:rPr>
        <w:t xml:space="preserve"> less than $15 million per annum, much of which is saved through reduced </w:t>
      </w:r>
      <w:r w:rsidR="00A0481F">
        <w:rPr>
          <w:b/>
          <w:i/>
          <w:lang w:val="en-US"/>
        </w:rPr>
        <w:t xml:space="preserve">requirements </w:t>
      </w:r>
      <w:r w:rsidR="004063F9">
        <w:rPr>
          <w:b/>
          <w:i/>
          <w:lang w:val="en-US"/>
        </w:rPr>
        <w:t xml:space="preserve">for </w:t>
      </w:r>
      <w:r w:rsidR="00A0481F">
        <w:rPr>
          <w:b/>
          <w:i/>
          <w:lang w:val="en-US"/>
        </w:rPr>
        <w:t xml:space="preserve">government </w:t>
      </w:r>
      <w:r w:rsidR="004063F9">
        <w:rPr>
          <w:b/>
          <w:i/>
          <w:lang w:val="en-US"/>
        </w:rPr>
        <w:t>officials</w:t>
      </w:r>
      <w:r w:rsidR="00A0481F">
        <w:rPr>
          <w:b/>
          <w:i/>
          <w:lang w:val="en-US"/>
        </w:rPr>
        <w:t xml:space="preserve"> to undertake similar functions</w:t>
      </w:r>
      <w:r w:rsidR="006C01A4">
        <w:rPr>
          <w:b/>
          <w:i/>
          <w:lang w:val="en-US"/>
        </w:rPr>
        <w:t xml:space="preserve"> within other agencies</w:t>
      </w:r>
      <w:r w:rsidR="00A0481F">
        <w:rPr>
          <w:b/>
          <w:i/>
          <w:lang w:val="en-US"/>
        </w:rPr>
        <w:t>.</w:t>
      </w:r>
      <w:r w:rsidR="00687BB3">
        <w:rPr>
          <w:b/>
          <w:i/>
          <w:lang w:val="en-US"/>
        </w:rPr>
        <w:br/>
      </w:r>
    </w:p>
    <w:p w14:paraId="506150F4" w14:textId="3C904E38" w:rsidR="00263186" w:rsidRPr="00480F53" w:rsidRDefault="00263186" w:rsidP="00263186">
      <w:pPr>
        <w:pStyle w:val="ListParagraph"/>
        <w:numPr>
          <w:ilvl w:val="0"/>
          <w:numId w:val="7"/>
        </w:numPr>
        <w:spacing w:before="360"/>
        <w:contextualSpacing w:val="0"/>
        <w:rPr>
          <w:rFonts w:asciiTheme="majorHAnsi" w:hAnsiTheme="majorHAnsi"/>
          <w:b/>
          <w:lang w:val="en-US"/>
        </w:rPr>
      </w:pPr>
      <w:r>
        <w:rPr>
          <w:rFonts w:asciiTheme="majorHAnsi" w:hAnsiTheme="majorHAnsi"/>
          <w:b/>
          <w:lang w:val="en-US"/>
        </w:rPr>
        <w:t xml:space="preserve">Increase philanthropy by enabling </w:t>
      </w:r>
      <w:r w:rsidRPr="00480F53">
        <w:rPr>
          <w:rFonts w:asciiTheme="majorHAnsi" w:hAnsiTheme="majorHAnsi"/>
          <w:b/>
          <w:lang w:val="en-US"/>
        </w:rPr>
        <w:t xml:space="preserve">employers to establish </w:t>
      </w:r>
      <w:r w:rsidR="00F0175A">
        <w:rPr>
          <w:rFonts w:asciiTheme="majorHAnsi" w:hAnsiTheme="majorHAnsi"/>
          <w:b/>
          <w:lang w:val="en-US"/>
        </w:rPr>
        <w:t xml:space="preserve">more effective </w:t>
      </w:r>
      <w:r w:rsidRPr="00480F53">
        <w:rPr>
          <w:rFonts w:asciiTheme="majorHAnsi" w:hAnsiTheme="majorHAnsi"/>
          <w:b/>
          <w:lang w:val="en-US"/>
        </w:rPr>
        <w:t>‘opt out’ systems of workplace givin</w:t>
      </w:r>
      <w:r w:rsidR="00F0175A">
        <w:rPr>
          <w:rFonts w:asciiTheme="majorHAnsi" w:hAnsiTheme="majorHAnsi"/>
          <w:b/>
          <w:lang w:val="en-US"/>
        </w:rPr>
        <w:t>g</w:t>
      </w:r>
      <w:r w:rsidRPr="00480F53">
        <w:rPr>
          <w:rFonts w:asciiTheme="majorHAnsi" w:hAnsiTheme="majorHAnsi"/>
          <w:b/>
          <w:lang w:val="en-US"/>
        </w:rPr>
        <w:t>.</w:t>
      </w:r>
    </w:p>
    <w:p w14:paraId="5C6035AA" w14:textId="2ABCF77A" w:rsidR="000A7549" w:rsidRDefault="00CA3D33">
      <w:r w:rsidRPr="008835D7">
        <w:rPr>
          <w:lang w:val="en-US"/>
        </w:rPr>
        <w:t>CCA strongly believe</w:t>
      </w:r>
      <w:r>
        <w:rPr>
          <w:lang w:val="en-US"/>
        </w:rPr>
        <w:t>s</w:t>
      </w:r>
      <w:r w:rsidRPr="008835D7">
        <w:rPr>
          <w:lang w:val="en-US"/>
        </w:rPr>
        <w:t xml:space="preserve"> that increased community engagement and </w:t>
      </w:r>
      <w:r w:rsidR="00607BA5">
        <w:rPr>
          <w:lang w:val="en-US"/>
        </w:rPr>
        <w:t>philanthropic contributions to NFPs produce</w:t>
      </w:r>
      <w:r w:rsidRPr="008835D7">
        <w:rPr>
          <w:lang w:val="en-US"/>
        </w:rPr>
        <w:t xml:space="preserve"> a net benefit to governments as well as to </w:t>
      </w:r>
      <w:r>
        <w:rPr>
          <w:lang w:val="en-US"/>
        </w:rPr>
        <w:t>the communities</w:t>
      </w:r>
      <w:r w:rsidR="00B24699">
        <w:rPr>
          <w:lang w:val="en-US"/>
        </w:rPr>
        <w:t xml:space="preserve"> NFPs</w:t>
      </w:r>
      <w:r>
        <w:rPr>
          <w:lang w:val="en-US"/>
        </w:rPr>
        <w:t xml:space="preserve"> serve. </w:t>
      </w:r>
      <w:r w:rsidR="00607BA5">
        <w:rPr>
          <w:lang w:val="en-US"/>
        </w:rPr>
        <w:t xml:space="preserve"> </w:t>
      </w:r>
      <w:r w:rsidR="00A7292D">
        <w:rPr>
          <w:lang w:val="en-US"/>
        </w:rPr>
        <w:t>I</w:t>
      </w:r>
      <w:r w:rsidR="00C13F92" w:rsidRPr="008835D7">
        <w:rPr>
          <w:lang w:val="en-US"/>
        </w:rPr>
        <w:t>t is short</w:t>
      </w:r>
      <w:r w:rsidR="00414CC7">
        <w:rPr>
          <w:lang w:val="en-US"/>
        </w:rPr>
        <w:t>-</w:t>
      </w:r>
      <w:r w:rsidR="00C13F92" w:rsidRPr="008835D7">
        <w:rPr>
          <w:lang w:val="en-US"/>
        </w:rPr>
        <w:t>term</w:t>
      </w:r>
      <w:r w:rsidR="00C13F92">
        <w:rPr>
          <w:lang w:val="en-US"/>
        </w:rPr>
        <w:t xml:space="preserve"> and</w:t>
      </w:r>
      <w:r w:rsidR="00554017">
        <w:rPr>
          <w:lang w:val="en-US"/>
        </w:rPr>
        <w:t xml:space="preserve"> narrow thinking to treat</w:t>
      </w:r>
      <w:r w:rsidR="00C13F92" w:rsidRPr="008835D7">
        <w:rPr>
          <w:lang w:val="en-US"/>
        </w:rPr>
        <w:t xml:space="preserve"> increased philant</w:t>
      </w:r>
      <w:r w:rsidR="00C13F92">
        <w:rPr>
          <w:lang w:val="en-US"/>
        </w:rPr>
        <w:t xml:space="preserve">hropy </w:t>
      </w:r>
      <w:r w:rsidR="00F8432C">
        <w:rPr>
          <w:lang w:val="en-US"/>
        </w:rPr>
        <w:t xml:space="preserve">and social impact investment </w:t>
      </w:r>
      <w:r w:rsidR="00C13F92">
        <w:rPr>
          <w:lang w:val="en-US"/>
        </w:rPr>
        <w:t>as a government</w:t>
      </w:r>
      <w:r w:rsidR="00414CC7">
        <w:rPr>
          <w:lang w:val="en-US"/>
        </w:rPr>
        <w:t xml:space="preserve"> loss</w:t>
      </w:r>
      <w:r w:rsidR="008A46E8">
        <w:rPr>
          <w:lang w:val="en-US"/>
        </w:rPr>
        <w:t xml:space="preserve"> of potential tax revenue</w:t>
      </w:r>
      <w:r w:rsidR="00C13F92">
        <w:rPr>
          <w:lang w:val="en-US"/>
        </w:rPr>
        <w:t xml:space="preserve">. </w:t>
      </w:r>
      <w:r w:rsidR="00190CBD">
        <w:rPr>
          <w:lang w:val="en-US"/>
        </w:rPr>
        <w:t xml:space="preserve"> </w:t>
      </w:r>
      <w:r w:rsidR="00ED1668">
        <w:rPr>
          <w:lang w:val="en-US"/>
        </w:rPr>
        <w:t>The whole community benefits i</w:t>
      </w:r>
      <w:r w:rsidR="00190CBD">
        <w:rPr>
          <w:lang w:val="en-US"/>
        </w:rPr>
        <w:t>f</w:t>
      </w:r>
      <w:r w:rsidR="00703B65">
        <w:rPr>
          <w:lang w:val="en-US"/>
        </w:rPr>
        <w:t xml:space="preserve"> so-called</w:t>
      </w:r>
      <w:r>
        <w:rPr>
          <w:lang w:val="en-US"/>
        </w:rPr>
        <w:t xml:space="preserve"> </w:t>
      </w:r>
      <w:r w:rsidR="00C13F92">
        <w:rPr>
          <w:lang w:val="en-US"/>
        </w:rPr>
        <w:t>‘</w:t>
      </w:r>
      <w:r w:rsidRPr="008835D7">
        <w:rPr>
          <w:lang w:val="en-US"/>
        </w:rPr>
        <w:t>foregone revenue</w:t>
      </w:r>
      <w:r w:rsidR="00C13F92">
        <w:rPr>
          <w:lang w:val="en-US"/>
        </w:rPr>
        <w:t>’</w:t>
      </w:r>
      <w:r w:rsidRPr="008835D7">
        <w:rPr>
          <w:lang w:val="en-US"/>
        </w:rPr>
        <w:t xml:space="preserve"> has been directed to strengthen communities, </w:t>
      </w:r>
      <w:r w:rsidR="00414CC7" w:rsidRPr="008835D7">
        <w:rPr>
          <w:lang w:val="en-US"/>
        </w:rPr>
        <w:t>increas</w:t>
      </w:r>
      <w:r w:rsidR="00414CC7">
        <w:rPr>
          <w:lang w:val="en-US"/>
        </w:rPr>
        <w:t>e</w:t>
      </w:r>
      <w:r w:rsidR="00414CC7" w:rsidRPr="008835D7">
        <w:rPr>
          <w:lang w:val="en-US"/>
        </w:rPr>
        <w:t xml:space="preserve"> </w:t>
      </w:r>
      <w:r w:rsidRPr="008835D7">
        <w:rPr>
          <w:lang w:val="en-US"/>
        </w:rPr>
        <w:t xml:space="preserve">economic and social activity and </w:t>
      </w:r>
      <w:r w:rsidR="00414CC7">
        <w:rPr>
          <w:lang w:val="en-US"/>
        </w:rPr>
        <w:t xml:space="preserve">improve </w:t>
      </w:r>
      <w:r>
        <w:rPr>
          <w:lang w:val="en-US"/>
        </w:rPr>
        <w:t>health and well-being</w:t>
      </w:r>
      <w:r w:rsidR="00B24699">
        <w:rPr>
          <w:lang w:val="en-US"/>
        </w:rPr>
        <w:t xml:space="preserve">. </w:t>
      </w:r>
      <w:r w:rsidR="00521580">
        <w:rPr>
          <w:lang w:val="en-US"/>
        </w:rPr>
        <w:t xml:space="preserve"> </w:t>
      </w:r>
      <w:r w:rsidR="00B24699">
        <w:rPr>
          <w:lang w:val="en-US"/>
        </w:rPr>
        <w:t>This is particularly the case</w:t>
      </w:r>
      <w:r w:rsidRPr="008835D7">
        <w:rPr>
          <w:lang w:val="en-US"/>
        </w:rPr>
        <w:t xml:space="preserve"> if the money involved </w:t>
      </w:r>
      <w:r w:rsidR="00B24699">
        <w:rPr>
          <w:lang w:val="en-US"/>
        </w:rPr>
        <w:t>avoids</w:t>
      </w:r>
      <w:r w:rsidRPr="008835D7">
        <w:rPr>
          <w:lang w:val="en-US"/>
        </w:rPr>
        <w:t xml:space="preserve"> the significant transfer costs of moving into, through</w:t>
      </w:r>
      <w:r>
        <w:rPr>
          <w:lang w:val="en-US"/>
        </w:rPr>
        <w:t>,</w:t>
      </w:r>
      <w:r w:rsidRPr="008835D7">
        <w:rPr>
          <w:lang w:val="en-US"/>
        </w:rPr>
        <w:t xml:space="preserve"> and out of government</w:t>
      </w:r>
      <w:r w:rsidR="00ED1668">
        <w:rPr>
          <w:lang w:val="en-US"/>
        </w:rPr>
        <w:t>.</w:t>
      </w:r>
      <w:r w:rsidR="00554017">
        <w:rPr>
          <w:lang w:val="en-US"/>
        </w:rPr>
        <w:t xml:space="preserve"> Philanthropy </w:t>
      </w:r>
      <w:r w:rsidR="00F8432C">
        <w:rPr>
          <w:lang w:val="en-US"/>
        </w:rPr>
        <w:t xml:space="preserve">and social investment are </w:t>
      </w:r>
      <w:r w:rsidR="00554017">
        <w:rPr>
          <w:lang w:val="en-US"/>
        </w:rPr>
        <w:t>about encouraging</w:t>
      </w:r>
      <w:r w:rsidRPr="008835D7">
        <w:rPr>
          <w:lang w:val="en-US"/>
        </w:rPr>
        <w:t xml:space="preserve"> greater ownership of local issues by strengthening the role of the NFP</w:t>
      </w:r>
      <w:r w:rsidR="00BB1DC1">
        <w:rPr>
          <w:lang w:val="en-US"/>
        </w:rPr>
        <w:t xml:space="preserve">s </w:t>
      </w:r>
      <w:r w:rsidRPr="008835D7">
        <w:rPr>
          <w:lang w:val="en-US"/>
        </w:rPr>
        <w:t>and reducing the size of government.</w:t>
      </w:r>
    </w:p>
    <w:p w14:paraId="1F2F0375" w14:textId="38BC42D2" w:rsidR="00B50E24" w:rsidRPr="004063F9" w:rsidRDefault="004063F9" w:rsidP="004063F9">
      <w:pPr>
        <w:ind w:left="360"/>
      </w:pPr>
      <w:r w:rsidRPr="004063F9">
        <w:t>When in place, ‘</w:t>
      </w:r>
      <w:r w:rsidR="00703B65">
        <w:t>o</w:t>
      </w:r>
      <w:r w:rsidRPr="004063F9">
        <w:t xml:space="preserve">pt out’ systems have ensured much higher levels of success in workplace giving programs.  </w:t>
      </w:r>
      <w:r w:rsidR="00521580">
        <w:t xml:space="preserve">The experience with the French 90/10 superannuation rule shows that once all employees are given the option, the amount being contributed to charitable purposes increases significantly.  </w:t>
      </w:r>
      <w:r w:rsidRPr="004063F9">
        <w:t xml:space="preserve">With the current ‘opt in’ </w:t>
      </w:r>
      <w:r w:rsidR="0067304C">
        <w:t>for existing employee</w:t>
      </w:r>
      <w:r w:rsidR="000D4642">
        <w:t xml:space="preserve"> </w:t>
      </w:r>
      <w:r w:rsidR="00663491">
        <w:t>systems, less than 3.5</w:t>
      </w:r>
      <w:r w:rsidR="00B24699">
        <w:t>%</w:t>
      </w:r>
      <w:r w:rsidR="00663491">
        <w:t xml:space="preserve"> </w:t>
      </w:r>
      <w:r w:rsidRPr="004063F9">
        <w:t>of Australian workers are in a workplace giving program.  If this could increase to 10</w:t>
      </w:r>
      <w:r w:rsidR="00B24699">
        <w:t>%</w:t>
      </w:r>
      <w:r w:rsidRPr="004063F9">
        <w:t xml:space="preserve"> of Australian employees donating 0.5</w:t>
      </w:r>
      <w:r w:rsidR="0037184A">
        <w:t>%</w:t>
      </w:r>
      <w:r w:rsidRPr="004063F9">
        <w:t xml:space="preserve"> of their pre-tax income, over a quarter of a billion dollars would be raised through workplace giving.  This is a very realistic </w:t>
      </w:r>
      <w:r w:rsidR="002D48F0">
        <w:t>target</w:t>
      </w:r>
      <w:r w:rsidR="002D48F0" w:rsidRPr="004063F9">
        <w:t xml:space="preserve"> </w:t>
      </w:r>
      <w:r w:rsidRPr="004063F9">
        <w:t>that would provide a substantial increase in philanthropy and engagement of Australians in the broader NFP sector.</w:t>
      </w:r>
    </w:p>
    <w:p w14:paraId="69476573" w14:textId="78731E15" w:rsidR="005C6727" w:rsidRDefault="004063F9" w:rsidP="004063F9">
      <w:pPr>
        <w:ind w:left="0" w:firstLine="360"/>
        <w:rPr>
          <w:b/>
          <w:i/>
          <w:lang w:val="en-US"/>
        </w:rPr>
      </w:pPr>
      <w:r w:rsidRPr="004063F9">
        <w:rPr>
          <w:b/>
          <w:i/>
          <w:lang w:val="en-US"/>
        </w:rPr>
        <w:t>C</w:t>
      </w:r>
      <w:r w:rsidR="005A1558">
        <w:rPr>
          <w:b/>
          <w:i/>
          <w:lang w:val="en-US"/>
        </w:rPr>
        <w:t>CA anticipates there would be no</w:t>
      </w:r>
      <w:r w:rsidRPr="004063F9">
        <w:rPr>
          <w:b/>
          <w:i/>
          <w:lang w:val="en-US"/>
        </w:rPr>
        <w:t xml:space="preserve"> additional costs to government in this measure.</w:t>
      </w:r>
    </w:p>
    <w:p w14:paraId="28E029C4" w14:textId="77777777" w:rsidR="005C6727" w:rsidRDefault="005C6727">
      <w:pPr>
        <w:rPr>
          <w:b/>
          <w:i/>
          <w:lang w:val="en-US"/>
        </w:rPr>
      </w:pPr>
      <w:r>
        <w:rPr>
          <w:b/>
          <w:i/>
          <w:lang w:val="en-US"/>
        </w:rPr>
        <w:br w:type="page"/>
      </w:r>
    </w:p>
    <w:p w14:paraId="16D27260" w14:textId="4743FFB8" w:rsidR="00263186" w:rsidRPr="00480F53" w:rsidRDefault="003C2C05" w:rsidP="00263186">
      <w:pPr>
        <w:pStyle w:val="ListParagraph"/>
        <w:numPr>
          <w:ilvl w:val="0"/>
          <w:numId w:val="7"/>
        </w:numPr>
        <w:spacing w:before="360" w:after="120"/>
        <w:contextualSpacing w:val="0"/>
        <w:rPr>
          <w:rFonts w:asciiTheme="majorHAnsi" w:hAnsiTheme="majorHAnsi"/>
          <w:b/>
        </w:rPr>
      </w:pPr>
      <w:r>
        <w:rPr>
          <w:rFonts w:asciiTheme="majorHAnsi" w:hAnsiTheme="majorHAnsi"/>
          <w:b/>
          <w:lang w:val="en-US"/>
        </w:rPr>
        <w:t>Boost sector investment and productivity by increasing certainty in government funding</w:t>
      </w:r>
      <w:r w:rsidR="00EC7D4E">
        <w:rPr>
          <w:rFonts w:asciiTheme="majorHAnsi" w:hAnsiTheme="majorHAnsi"/>
          <w:b/>
          <w:lang w:val="en-US"/>
        </w:rPr>
        <w:t>, concessions, incentives</w:t>
      </w:r>
      <w:r>
        <w:rPr>
          <w:rFonts w:asciiTheme="majorHAnsi" w:hAnsiTheme="majorHAnsi"/>
          <w:b/>
          <w:lang w:val="en-US"/>
        </w:rPr>
        <w:t xml:space="preserve"> and regulation</w:t>
      </w:r>
      <w:r w:rsidR="00EC7D4E">
        <w:rPr>
          <w:rFonts w:asciiTheme="majorHAnsi" w:hAnsiTheme="majorHAnsi"/>
          <w:b/>
          <w:lang w:val="en-US"/>
        </w:rPr>
        <w:t>s</w:t>
      </w:r>
      <w:r w:rsidRPr="00480F53">
        <w:rPr>
          <w:rFonts w:asciiTheme="majorHAnsi" w:hAnsiTheme="majorHAnsi"/>
          <w:b/>
          <w:lang w:val="en-US"/>
        </w:rPr>
        <w:t>.</w:t>
      </w:r>
      <w:r w:rsidR="00263186" w:rsidRPr="00480F53">
        <w:rPr>
          <w:rFonts w:asciiTheme="majorHAnsi" w:hAnsiTheme="majorHAnsi"/>
          <w:b/>
          <w:lang w:val="en-US"/>
        </w:rPr>
        <w:t xml:space="preserve"> </w:t>
      </w:r>
    </w:p>
    <w:p w14:paraId="6597FD20" w14:textId="4F8499BB" w:rsidR="005359BB" w:rsidRDefault="005359BB" w:rsidP="00255FF4">
      <w:pPr>
        <w:pStyle w:val="ListParagraph"/>
        <w:spacing w:beforeLines="120" w:before="288" w:after="120"/>
        <w:ind w:left="360"/>
        <w:contextualSpacing w:val="0"/>
        <w:rPr>
          <w:lang w:val="en-US"/>
        </w:rPr>
      </w:pPr>
      <w:r>
        <w:rPr>
          <w:lang w:val="en-US"/>
        </w:rPr>
        <w:t>This measure is focused on achieving</w:t>
      </w:r>
      <w:r w:rsidR="00552C3D">
        <w:rPr>
          <w:lang w:val="en-US"/>
        </w:rPr>
        <w:t xml:space="preserve"> a more stable financial and regulatory framework for all not-for-profits, particularly in relation to government funding and interaction with the sector.</w:t>
      </w:r>
      <w:r w:rsidR="005C6727">
        <w:rPr>
          <w:lang w:val="en-US"/>
        </w:rPr>
        <w:t xml:space="preserve">  </w:t>
      </w:r>
      <w:r w:rsidR="00255FF4">
        <w:rPr>
          <w:lang w:val="en-US"/>
        </w:rPr>
        <w:t>CEO Forums across the country run by CCA with the support of key organisations clearly showed that uncertainty of government funding wa</w:t>
      </w:r>
      <w:r w:rsidR="008A46E8">
        <w:rPr>
          <w:lang w:val="en-US"/>
        </w:rPr>
        <w:t>s a critical barrier to</w:t>
      </w:r>
      <w:r w:rsidR="00255FF4">
        <w:rPr>
          <w:lang w:val="en-US"/>
        </w:rPr>
        <w:t xml:space="preserve"> investment in the future sustainability of organisations.  </w:t>
      </w:r>
      <w:r w:rsidR="007057A9">
        <w:rPr>
          <w:lang w:val="en-US"/>
        </w:rPr>
        <w:t>This applies to not just recurrent government funding, but also tax</w:t>
      </w:r>
      <w:r w:rsidR="0037184A">
        <w:rPr>
          <w:lang w:val="en-US"/>
        </w:rPr>
        <w:t xml:space="preserve"> including</w:t>
      </w:r>
      <w:r w:rsidR="00AF4CF2">
        <w:rPr>
          <w:lang w:val="en-US"/>
        </w:rPr>
        <w:t xml:space="preserve"> </w:t>
      </w:r>
      <w:r w:rsidR="0067304C">
        <w:rPr>
          <w:lang w:val="en-US"/>
        </w:rPr>
        <w:t xml:space="preserve">the </w:t>
      </w:r>
      <w:r w:rsidR="008A46E8">
        <w:rPr>
          <w:lang w:val="en-US"/>
        </w:rPr>
        <w:t>losses</w:t>
      </w:r>
      <w:r w:rsidR="0067304C">
        <w:rPr>
          <w:lang w:val="en-US"/>
        </w:rPr>
        <w:t xml:space="preserve"> associated with </w:t>
      </w:r>
      <w:r w:rsidR="008A46E8">
        <w:rPr>
          <w:lang w:val="en-US"/>
        </w:rPr>
        <w:t xml:space="preserve">recent </w:t>
      </w:r>
      <w:r w:rsidR="0067304C">
        <w:rPr>
          <w:lang w:val="en-US"/>
        </w:rPr>
        <w:t>changes to FBT</w:t>
      </w:r>
      <w:r w:rsidR="007057A9">
        <w:rPr>
          <w:lang w:val="en-US"/>
        </w:rPr>
        <w:t xml:space="preserve"> concessions and incentive programs.  </w:t>
      </w:r>
      <w:r w:rsidR="00255FF4">
        <w:rPr>
          <w:lang w:val="en-US"/>
        </w:rPr>
        <w:t>The government needs to actively consider i</w:t>
      </w:r>
      <w:r w:rsidR="00A7292D">
        <w:rPr>
          <w:lang w:val="en-US"/>
        </w:rPr>
        <w:t>nitiatives such as</w:t>
      </w:r>
      <w:r w:rsidR="00255FF4">
        <w:rPr>
          <w:lang w:val="en-US"/>
        </w:rPr>
        <w:t>:</w:t>
      </w:r>
      <w:r w:rsidR="00A7292D">
        <w:rPr>
          <w:lang w:val="en-US"/>
        </w:rPr>
        <w:t xml:space="preserve"> </w:t>
      </w:r>
    </w:p>
    <w:p w14:paraId="1C9CE19F" w14:textId="4A04582F" w:rsidR="00255FF4" w:rsidRDefault="00255FF4" w:rsidP="002E5824">
      <w:pPr>
        <w:pStyle w:val="ListParagraph"/>
        <w:numPr>
          <w:ilvl w:val="0"/>
          <w:numId w:val="24"/>
        </w:numPr>
        <w:spacing w:before="80"/>
        <w:ind w:left="714" w:hanging="357"/>
        <w:contextualSpacing w:val="0"/>
        <w:rPr>
          <w:lang w:val="en-US"/>
        </w:rPr>
      </w:pPr>
      <w:r>
        <w:rPr>
          <w:lang w:val="en-US"/>
        </w:rPr>
        <w:t xml:space="preserve">an </w:t>
      </w:r>
      <w:r w:rsidR="00A7292D">
        <w:rPr>
          <w:lang w:val="en-US"/>
        </w:rPr>
        <w:t>agreed notice period of six months prior to the ending of</w:t>
      </w:r>
      <w:r w:rsidR="005359BB">
        <w:rPr>
          <w:lang w:val="en-US"/>
        </w:rPr>
        <w:t xml:space="preserve"> any major government contract</w:t>
      </w:r>
      <w:r w:rsidR="007057A9">
        <w:rPr>
          <w:lang w:val="en-US"/>
        </w:rPr>
        <w:t>, incentive or concession</w:t>
      </w:r>
    </w:p>
    <w:p w14:paraId="7C2B2097" w14:textId="23B7E528" w:rsidR="00255FF4" w:rsidRDefault="00255FF4" w:rsidP="002E5824">
      <w:pPr>
        <w:pStyle w:val="ListParagraph"/>
        <w:numPr>
          <w:ilvl w:val="0"/>
          <w:numId w:val="24"/>
        </w:numPr>
        <w:spacing w:before="80"/>
        <w:ind w:left="714" w:hanging="357"/>
        <w:contextualSpacing w:val="0"/>
        <w:rPr>
          <w:lang w:val="en-US"/>
        </w:rPr>
      </w:pPr>
      <w:r>
        <w:rPr>
          <w:lang w:val="en-US"/>
        </w:rPr>
        <w:t>increasing</w:t>
      </w:r>
      <w:r w:rsidR="00A7292D" w:rsidRPr="00255FF4">
        <w:rPr>
          <w:lang w:val="en-US"/>
        </w:rPr>
        <w:t xml:space="preserve"> the time period of government contracts where possi</w:t>
      </w:r>
      <w:r w:rsidR="005359BB">
        <w:rPr>
          <w:lang w:val="en-US"/>
        </w:rPr>
        <w:t>ble to at least five years</w:t>
      </w:r>
    </w:p>
    <w:p w14:paraId="74AAB678" w14:textId="60DF0074" w:rsidR="00255FF4" w:rsidRDefault="00A7292D" w:rsidP="002E5824">
      <w:pPr>
        <w:pStyle w:val="ListParagraph"/>
        <w:numPr>
          <w:ilvl w:val="0"/>
          <w:numId w:val="24"/>
        </w:numPr>
        <w:spacing w:before="80"/>
        <w:ind w:left="714" w:hanging="357"/>
        <w:contextualSpacing w:val="0"/>
        <w:rPr>
          <w:lang w:val="en-US"/>
        </w:rPr>
      </w:pPr>
      <w:r w:rsidRPr="00255FF4">
        <w:rPr>
          <w:lang w:val="en-US"/>
        </w:rPr>
        <w:t>more transparent and accessible process</w:t>
      </w:r>
      <w:r w:rsidR="005359BB">
        <w:rPr>
          <w:lang w:val="en-US"/>
        </w:rPr>
        <w:t>es</w:t>
      </w:r>
      <w:r w:rsidRPr="00255FF4">
        <w:rPr>
          <w:lang w:val="en-US"/>
        </w:rPr>
        <w:t xml:space="preserve"> for review</w:t>
      </w:r>
      <w:r w:rsidR="005359BB">
        <w:rPr>
          <w:lang w:val="en-US"/>
        </w:rPr>
        <w:t>ing the</w:t>
      </w:r>
      <w:r w:rsidR="0067304C">
        <w:rPr>
          <w:lang w:val="en-US"/>
        </w:rPr>
        <w:t xml:space="preserve"> performance of</w:t>
      </w:r>
      <w:r w:rsidRPr="00255FF4">
        <w:rPr>
          <w:lang w:val="en-US"/>
        </w:rPr>
        <w:t xml:space="preserve"> NFPs</w:t>
      </w:r>
    </w:p>
    <w:p w14:paraId="2C06D180" w14:textId="2AB7F35B" w:rsidR="00A7292D" w:rsidRPr="00255FF4" w:rsidRDefault="00255FF4" w:rsidP="002E5824">
      <w:pPr>
        <w:pStyle w:val="ListParagraph"/>
        <w:numPr>
          <w:ilvl w:val="0"/>
          <w:numId w:val="24"/>
        </w:numPr>
        <w:spacing w:before="80"/>
        <w:ind w:left="714" w:hanging="357"/>
        <w:contextualSpacing w:val="0"/>
        <w:rPr>
          <w:lang w:val="en-US"/>
        </w:rPr>
      </w:pPr>
      <w:r>
        <w:rPr>
          <w:lang w:val="en-US"/>
        </w:rPr>
        <w:t>more transparent and accountable process</w:t>
      </w:r>
      <w:r w:rsidR="005359BB">
        <w:rPr>
          <w:lang w:val="en-US"/>
        </w:rPr>
        <w:t>es</w:t>
      </w:r>
      <w:r>
        <w:rPr>
          <w:lang w:val="en-US"/>
        </w:rPr>
        <w:t xml:space="preserve"> for </w:t>
      </w:r>
      <w:r w:rsidR="00A7292D" w:rsidRPr="00255FF4">
        <w:rPr>
          <w:lang w:val="en-US"/>
        </w:rPr>
        <w:t>government funding decision</w:t>
      </w:r>
      <w:r w:rsidR="005359BB">
        <w:rPr>
          <w:lang w:val="en-US"/>
        </w:rPr>
        <w:t xml:space="preserve">s relating to </w:t>
      </w:r>
      <w:r>
        <w:rPr>
          <w:lang w:val="en-US"/>
        </w:rPr>
        <w:t>NFP</w:t>
      </w:r>
      <w:r w:rsidR="005359BB">
        <w:rPr>
          <w:lang w:val="en-US"/>
        </w:rPr>
        <w:t>s.</w:t>
      </w:r>
      <w:r w:rsidR="00A7292D" w:rsidRPr="00255FF4">
        <w:rPr>
          <w:lang w:val="en-US"/>
        </w:rPr>
        <w:t xml:space="preserve"> </w:t>
      </w:r>
    </w:p>
    <w:p w14:paraId="42D74F9C" w14:textId="1698EE67" w:rsidR="002E5824" w:rsidRDefault="00A7292D" w:rsidP="006A1E2C">
      <w:pPr>
        <w:pStyle w:val="ListParagraph"/>
        <w:spacing w:beforeLines="100" w:before="240" w:after="120"/>
        <w:ind w:left="357"/>
        <w:contextualSpacing w:val="0"/>
      </w:pPr>
      <w:r>
        <w:t>Experience in other sectors has shown that where a</w:t>
      </w:r>
      <w:r w:rsidR="00DB6157">
        <w:t>n independent</w:t>
      </w:r>
      <w:r>
        <w:t xml:space="preserve"> feedback process can be established that does not focus on public blame and retribution, system change </w:t>
      </w:r>
      <w:r w:rsidR="00DB6157">
        <w:t xml:space="preserve">in relationships </w:t>
      </w:r>
      <w:r>
        <w:t>can be driven through active feedback and better information exchange.  CCA would like to establish a national feedback exchange program based on regular feedback collections from the NFP sector</w:t>
      </w:r>
      <w:r w:rsidR="002E5824">
        <w:t>.</w:t>
      </w:r>
      <w:r>
        <w:t xml:space="preserve">  </w:t>
      </w:r>
      <w:r w:rsidR="005359BB">
        <w:t xml:space="preserve">Providing </w:t>
      </w:r>
      <w:r w:rsidRPr="00C13F92">
        <w:t>avenue</w:t>
      </w:r>
      <w:r w:rsidR="005359BB">
        <w:t>s</w:t>
      </w:r>
      <w:r w:rsidRPr="00C13F92">
        <w:t xml:space="preserve"> to purs</w:t>
      </w:r>
      <w:r w:rsidR="00DB6157">
        <w:t>ue positive improvements in the</w:t>
      </w:r>
      <w:r w:rsidRPr="00C13F92">
        <w:t xml:space="preserve"> relationship </w:t>
      </w:r>
      <w:r w:rsidR="00DB6157">
        <w:t xml:space="preserve">between governments and the NFP sector </w:t>
      </w:r>
      <w:r w:rsidRPr="00C13F92">
        <w:t xml:space="preserve">is </w:t>
      </w:r>
      <w:r w:rsidR="00DB6157">
        <w:t>important</w:t>
      </w:r>
      <w:r w:rsidR="002E5824">
        <w:t>.</w:t>
      </w:r>
      <w:r w:rsidRPr="00C13F92">
        <w:t xml:space="preserve"> </w:t>
      </w:r>
    </w:p>
    <w:p w14:paraId="388A6570" w14:textId="30205D37" w:rsidR="00A7292D" w:rsidRDefault="002E5824" w:rsidP="006A1E2C">
      <w:pPr>
        <w:pStyle w:val="ListParagraph"/>
        <w:spacing w:beforeLines="100" w:before="240" w:after="120"/>
        <w:ind w:left="357"/>
        <w:contextualSpacing w:val="0"/>
      </w:pPr>
      <w:r>
        <w:t xml:space="preserve">At </w:t>
      </w:r>
      <w:r w:rsidR="005A1558">
        <w:t xml:space="preserve">the </w:t>
      </w:r>
      <w:r>
        <w:t>centre of many concerns is the ability of small and large community organisations to deal with an increasingly uncertain future.</w:t>
      </w:r>
    </w:p>
    <w:p w14:paraId="350BC271" w14:textId="4629477D" w:rsidR="000A7549" w:rsidRDefault="00A7292D" w:rsidP="005C6727">
      <w:pPr>
        <w:ind w:left="360"/>
        <w:rPr>
          <w:rFonts w:asciiTheme="majorHAnsi" w:hAnsiTheme="majorHAnsi"/>
          <w:b/>
          <w:sz w:val="28"/>
          <w:szCs w:val="28"/>
        </w:rPr>
      </w:pPr>
      <w:r w:rsidRPr="00C13F92">
        <w:rPr>
          <w:b/>
          <w:i/>
        </w:rPr>
        <w:t xml:space="preserve">CCA anticipates </w:t>
      </w:r>
      <w:r w:rsidR="005359BB">
        <w:rPr>
          <w:b/>
          <w:i/>
        </w:rPr>
        <w:t xml:space="preserve">these measures would produce savings with very limited </w:t>
      </w:r>
      <w:r w:rsidR="00480F53">
        <w:rPr>
          <w:b/>
          <w:i/>
        </w:rPr>
        <w:t>(</w:t>
      </w:r>
      <w:r w:rsidR="005359BB">
        <w:rPr>
          <w:b/>
          <w:i/>
        </w:rPr>
        <w:t>mostly internal</w:t>
      </w:r>
      <w:r w:rsidR="00480F53">
        <w:rPr>
          <w:b/>
          <w:i/>
        </w:rPr>
        <w:t>)</w:t>
      </w:r>
      <w:r w:rsidR="005359BB">
        <w:rPr>
          <w:b/>
          <w:i/>
        </w:rPr>
        <w:t xml:space="preserve"> outlays</w:t>
      </w:r>
      <w:r w:rsidR="006A1E2C">
        <w:rPr>
          <w:b/>
          <w:i/>
        </w:rPr>
        <w:t>.</w:t>
      </w:r>
      <w:r w:rsidRPr="00C13F92">
        <w:rPr>
          <w:b/>
          <w:i/>
        </w:rPr>
        <w:t xml:space="preserve"> </w:t>
      </w:r>
      <w:r w:rsidR="006A1E2C">
        <w:rPr>
          <w:b/>
          <w:i/>
        </w:rPr>
        <w:br/>
      </w:r>
    </w:p>
    <w:p w14:paraId="33AA7ACC" w14:textId="3B0C447B" w:rsidR="00263186" w:rsidRPr="00480F53" w:rsidRDefault="00263186" w:rsidP="00263186">
      <w:pPr>
        <w:pStyle w:val="ListParagraph"/>
        <w:numPr>
          <w:ilvl w:val="0"/>
          <w:numId w:val="7"/>
        </w:numPr>
        <w:spacing w:before="360"/>
        <w:contextualSpacing w:val="0"/>
        <w:rPr>
          <w:rFonts w:asciiTheme="majorHAnsi" w:hAnsiTheme="majorHAnsi"/>
          <w:b/>
          <w:lang w:val="en-US"/>
        </w:rPr>
      </w:pPr>
      <w:r w:rsidRPr="00480F53">
        <w:rPr>
          <w:rFonts w:asciiTheme="majorHAnsi" w:hAnsiTheme="majorHAnsi"/>
          <w:b/>
          <w:lang w:val="en-US"/>
        </w:rPr>
        <w:t xml:space="preserve">Work with the </w:t>
      </w:r>
      <w:r>
        <w:rPr>
          <w:rFonts w:asciiTheme="majorHAnsi" w:hAnsiTheme="majorHAnsi"/>
          <w:b/>
          <w:lang w:val="en-US"/>
        </w:rPr>
        <w:t xml:space="preserve">NFP </w:t>
      </w:r>
      <w:r w:rsidRPr="00480F53">
        <w:rPr>
          <w:rFonts w:asciiTheme="majorHAnsi" w:hAnsiTheme="majorHAnsi"/>
          <w:b/>
          <w:lang w:val="en-US"/>
        </w:rPr>
        <w:t xml:space="preserve">sector </w:t>
      </w:r>
      <w:r>
        <w:rPr>
          <w:rFonts w:asciiTheme="majorHAnsi" w:hAnsiTheme="majorHAnsi"/>
          <w:b/>
          <w:lang w:val="en-US"/>
        </w:rPr>
        <w:t>to develop</w:t>
      </w:r>
      <w:r w:rsidRPr="00480F53">
        <w:rPr>
          <w:rFonts w:asciiTheme="majorHAnsi" w:hAnsiTheme="majorHAnsi"/>
          <w:b/>
          <w:lang w:val="en-US"/>
        </w:rPr>
        <w:t xml:space="preserve"> a </w:t>
      </w:r>
      <w:r>
        <w:rPr>
          <w:rFonts w:asciiTheme="majorHAnsi" w:hAnsiTheme="majorHAnsi"/>
          <w:b/>
          <w:lang w:val="en-US"/>
        </w:rPr>
        <w:t>f</w:t>
      </w:r>
      <w:r w:rsidRPr="00BC1703">
        <w:rPr>
          <w:rFonts w:asciiTheme="majorHAnsi" w:hAnsiTheme="majorHAnsi"/>
          <w:b/>
          <w:lang w:val="en-US"/>
        </w:rPr>
        <w:t xml:space="preserve">uture </w:t>
      </w:r>
      <w:r>
        <w:rPr>
          <w:rFonts w:asciiTheme="majorHAnsi" w:hAnsiTheme="majorHAnsi"/>
          <w:b/>
          <w:lang w:val="en-US"/>
        </w:rPr>
        <w:t>b</w:t>
      </w:r>
      <w:r w:rsidRPr="00BC1703">
        <w:rPr>
          <w:rFonts w:asciiTheme="majorHAnsi" w:hAnsiTheme="majorHAnsi"/>
          <w:b/>
          <w:lang w:val="en-US"/>
        </w:rPr>
        <w:t xml:space="preserve">lueprint for the </w:t>
      </w:r>
      <w:r>
        <w:rPr>
          <w:rFonts w:asciiTheme="majorHAnsi" w:hAnsiTheme="majorHAnsi"/>
          <w:b/>
          <w:lang w:val="en-US"/>
        </w:rPr>
        <w:t>s</w:t>
      </w:r>
      <w:r w:rsidRPr="00BC1703">
        <w:rPr>
          <w:rFonts w:asciiTheme="majorHAnsi" w:hAnsiTheme="majorHAnsi"/>
          <w:b/>
          <w:lang w:val="en-US"/>
        </w:rPr>
        <w:t>ector</w:t>
      </w:r>
      <w:r>
        <w:rPr>
          <w:rFonts w:asciiTheme="majorHAnsi" w:hAnsiTheme="majorHAnsi"/>
          <w:b/>
          <w:lang w:val="en-US"/>
        </w:rPr>
        <w:t>,</w:t>
      </w:r>
      <w:r w:rsidR="00A35566">
        <w:rPr>
          <w:rFonts w:asciiTheme="majorHAnsi" w:hAnsiTheme="majorHAnsi"/>
          <w:b/>
          <w:lang w:val="en-US"/>
        </w:rPr>
        <w:t xml:space="preserve"> </w:t>
      </w:r>
      <w:r w:rsidRPr="00480F53">
        <w:rPr>
          <w:rFonts w:asciiTheme="majorHAnsi" w:hAnsiTheme="majorHAnsi"/>
          <w:b/>
          <w:lang w:val="en-US"/>
        </w:rPr>
        <w:t xml:space="preserve">including extensive consultation; economic modeling of future scenarios; </w:t>
      </w:r>
      <w:r>
        <w:rPr>
          <w:rFonts w:asciiTheme="majorHAnsi" w:hAnsiTheme="majorHAnsi"/>
          <w:b/>
          <w:lang w:val="en-US"/>
        </w:rPr>
        <w:t>strategies</w:t>
      </w:r>
      <w:r w:rsidRPr="00480F53">
        <w:rPr>
          <w:rFonts w:asciiTheme="majorHAnsi" w:hAnsiTheme="majorHAnsi"/>
          <w:b/>
          <w:lang w:val="en-US"/>
        </w:rPr>
        <w:t xml:space="preserve"> to capitalise on emerging opportunities</w:t>
      </w:r>
      <w:r>
        <w:rPr>
          <w:rFonts w:asciiTheme="majorHAnsi" w:hAnsiTheme="majorHAnsi"/>
          <w:b/>
          <w:lang w:val="en-US"/>
        </w:rPr>
        <w:t xml:space="preserve"> and respond to </w:t>
      </w:r>
      <w:r w:rsidRPr="00480F53">
        <w:rPr>
          <w:rFonts w:asciiTheme="majorHAnsi" w:hAnsiTheme="majorHAnsi"/>
          <w:b/>
          <w:lang w:val="en-US"/>
        </w:rPr>
        <w:t xml:space="preserve">emerging </w:t>
      </w:r>
      <w:r>
        <w:rPr>
          <w:rFonts w:asciiTheme="majorHAnsi" w:hAnsiTheme="majorHAnsi"/>
          <w:b/>
          <w:lang w:val="en-US"/>
        </w:rPr>
        <w:t xml:space="preserve">risks and </w:t>
      </w:r>
      <w:r w:rsidR="00FA3D99">
        <w:rPr>
          <w:rFonts w:asciiTheme="majorHAnsi" w:hAnsiTheme="majorHAnsi"/>
          <w:b/>
          <w:lang w:val="en-US"/>
        </w:rPr>
        <w:t>limitations</w:t>
      </w:r>
      <w:r w:rsidR="00471BD9">
        <w:rPr>
          <w:rFonts w:asciiTheme="majorHAnsi" w:hAnsiTheme="majorHAnsi"/>
          <w:b/>
          <w:lang w:val="en-US"/>
        </w:rPr>
        <w:t>.</w:t>
      </w:r>
    </w:p>
    <w:p w14:paraId="602D3704" w14:textId="6C1731C0" w:rsidR="00CA3D33" w:rsidRDefault="00CA3D33" w:rsidP="00CA3D33">
      <w:pPr>
        <w:ind w:left="360"/>
      </w:pPr>
      <w:r w:rsidRPr="00CA3D33">
        <w:t xml:space="preserve">The future of Australia’s NFP sector is too important to our economy and our communities to </w:t>
      </w:r>
      <w:r w:rsidR="00471915">
        <w:t xml:space="preserve">grow in an ad </w:t>
      </w:r>
      <w:r w:rsidRPr="00CA3D33">
        <w:t xml:space="preserve">hoc </w:t>
      </w:r>
      <w:r w:rsidR="00471915">
        <w:t>manner</w:t>
      </w:r>
      <w:r w:rsidRPr="00CA3D33">
        <w:t xml:space="preserve"> with little </w:t>
      </w:r>
      <w:r w:rsidR="00471915">
        <w:t>comprehensive</w:t>
      </w:r>
      <w:r w:rsidRPr="00CA3D33">
        <w:t xml:space="preserve"> planning or strategic investment.  At present there is no plan, no strategy</w:t>
      </w:r>
      <w:r w:rsidR="00844BAB">
        <w:t xml:space="preserve"> and </w:t>
      </w:r>
      <w:r w:rsidRPr="00CA3D33">
        <w:t>no real projection about the future viability or even the sustainability of the current levels of growth across the NFP sector.</w:t>
      </w:r>
      <w:r w:rsidR="006C07E2">
        <w:t xml:space="preserve">  </w:t>
      </w:r>
      <w:r w:rsidR="006C07E2" w:rsidRPr="006C07E2">
        <w:t>The effective development of a blue print will include developing clear goals and measures of what the NFP sector is seeking to achieve.</w:t>
      </w:r>
    </w:p>
    <w:p w14:paraId="50DC8CF5" w14:textId="7781CBD3" w:rsidR="00F374BB" w:rsidRPr="00CA3D33" w:rsidRDefault="00F374BB" w:rsidP="00F374BB">
      <w:pPr>
        <w:ind w:left="360"/>
      </w:pPr>
      <w:r>
        <w:t xml:space="preserve">Issues to be considered </w:t>
      </w:r>
      <w:r w:rsidR="004B1D99">
        <w:t xml:space="preserve">would </w:t>
      </w:r>
      <w:r>
        <w:t xml:space="preserve">include; performance and productivity measures, better using existing assets, promoting social enterprise, the NFP workforce, </w:t>
      </w:r>
      <w:r w:rsidR="004B1D99">
        <w:t xml:space="preserve">the potential for mergers and collaboration, efficiencies and effectiveness, </w:t>
      </w:r>
      <w:r>
        <w:t>and capacity building.</w:t>
      </w:r>
    </w:p>
    <w:p w14:paraId="5F2A6242" w14:textId="3D57D152" w:rsidR="00CA3D33" w:rsidRPr="00CA3D33" w:rsidRDefault="00CA3D33" w:rsidP="00CA3D33">
      <w:pPr>
        <w:ind w:left="360"/>
      </w:pPr>
      <w:r w:rsidRPr="00CA3D33">
        <w:t xml:space="preserve">CCA has been in discussions with a number of groups who have expressed a strong interest in participating </w:t>
      </w:r>
      <w:r w:rsidR="009E3CFD">
        <w:t xml:space="preserve">in </w:t>
      </w:r>
      <w:r w:rsidRPr="00CA3D33">
        <w:t xml:space="preserve">and contributing to the development of a blueprint for the NFP sector.  With the </w:t>
      </w:r>
      <w:r w:rsidR="00DD5EC9">
        <w:t>F</w:t>
      </w:r>
      <w:r w:rsidRPr="00CA3D33">
        <w:t xml:space="preserve">ederal </w:t>
      </w:r>
      <w:r w:rsidR="00DD5EC9">
        <w:t>G</w:t>
      </w:r>
      <w:r w:rsidRPr="00CA3D33">
        <w:t>overnment as a joint partner and supporter (and not the sole contributor), a forward looking blueprint for the NFP sector could be in place within 12 months.</w:t>
      </w:r>
    </w:p>
    <w:p w14:paraId="78085F75" w14:textId="60ABF374" w:rsidR="00CA3D33" w:rsidRPr="00CA3D33" w:rsidRDefault="00CA3D33" w:rsidP="00CA3D33">
      <w:pPr>
        <w:ind w:left="360"/>
        <w:rPr>
          <w:b/>
          <w:i/>
        </w:rPr>
      </w:pPr>
      <w:r w:rsidRPr="00CA3D33">
        <w:rPr>
          <w:b/>
          <w:i/>
        </w:rPr>
        <w:t>CCA anticipates the cost to government would be in the order of $300,000</w:t>
      </w:r>
      <w:r w:rsidR="00471BD9">
        <w:rPr>
          <w:b/>
          <w:i/>
        </w:rPr>
        <w:t>.</w:t>
      </w:r>
    </w:p>
    <w:p w14:paraId="27309BF6" w14:textId="3FA7A200" w:rsidR="003705E3" w:rsidRPr="00480F53" w:rsidRDefault="003705E3" w:rsidP="00FA3D99">
      <w:pPr>
        <w:pStyle w:val="ListParagraph"/>
        <w:numPr>
          <w:ilvl w:val="0"/>
          <w:numId w:val="7"/>
        </w:numPr>
        <w:spacing w:before="360"/>
        <w:contextualSpacing w:val="0"/>
        <w:rPr>
          <w:rFonts w:asciiTheme="majorHAnsi" w:hAnsiTheme="majorHAnsi"/>
          <w:b/>
          <w:lang w:val="en-US"/>
        </w:rPr>
      </w:pPr>
      <w:r>
        <w:rPr>
          <w:rFonts w:asciiTheme="majorHAnsi" w:hAnsiTheme="majorHAnsi"/>
          <w:b/>
          <w:lang w:val="en-US"/>
        </w:rPr>
        <w:t>Review the generous tax concessions provided to gaming, catering, entertainment and hospitality income for mutual organisations (including licensed clubs)</w:t>
      </w:r>
      <w:r w:rsidR="00471BD9">
        <w:rPr>
          <w:rFonts w:asciiTheme="majorHAnsi" w:hAnsiTheme="majorHAnsi"/>
          <w:b/>
          <w:lang w:val="en-US"/>
        </w:rPr>
        <w:t>.</w:t>
      </w:r>
      <w:r>
        <w:rPr>
          <w:rFonts w:asciiTheme="majorHAnsi" w:hAnsiTheme="majorHAnsi"/>
          <w:b/>
          <w:lang w:val="en-US"/>
        </w:rPr>
        <w:t xml:space="preserve"> </w:t>
      </w:r>
    </w:p>
    <w:p w14:paraId="60B8CA52" w14:textId="4AECF7C6" w:rsidR="00B51743" w:rsidRDefault="00A07E1C" w:rsidP="00B51743">
      <w:pPr>
        <w:ind w:left="360"/>
      </w:pPr>
      <w:r w:rsidRPr="00B51743">
        <w:t>The mutuality principle that rightly applied in the late 1800s in Australia is no longer appropriate or consistent with existing t</w:t>
      </w:r>
      <w:r w:rsidR="007C0664" w:rsidRPr="00B51743">
        <w:t>axation arrangements</w:t>
      </w:r>
      <w:r w:rsidRPr="00B51743">
        <w:t xml:space="preserve">.  </w:t>
      </w:r>
      <w:r w:rsidR="007C0664" w:rsidRPr="00B51743">
        <w:t xml:space="preserve">Questions need to be asked about </w:t>
      </w:r>
      <w:r w:rsidRPr="00B51743">
        <w:t xml:space="preserve">whether </w:t>
      </w:r>
      <w:r w:rsidR="007C0664" w:rsidRPr="00B51743">
        <w:t xml:space="preserve">some </w:t>
      </w:r>
      <w:r w:rsidRPr="00B51743">
        <w:t>licensed gaming clubs should be able to treat over 75% of their income as tax free, even when they have not satisfied the basic requirements of being a not-for-profit organisation that exists to provide a public benefit.  As pointed out in the Not-for-profit Tax Concessions Working Group Repo</w:t>
      </w:r>
      <w:r w:rsidR="00663C7E">
        <w:t>rt (</w:t>
      </w:r>
      <w:r w:rsidR="00B4672F">
        <w:t>May</w:t>
      </w:r>
      <w:r w:rsidRPr="00B51743">
        <w:t xml:space="preserve"> 20</w:t>
      </w:r>
      <w:r w:rsidR="00B4672F">
        <w:t>13</w:t>
      </w:r>
      <w:r w:rsidR="00663C7E">
        <w:t>)</w:t>
      </w:r>
      <w:r w:rsidRPr="00B51743">
        <w:t xml:space="preserve">, </w:t>
      </w:r>
      <w:r w:rsidR="007C0664" w:rsidRPr="00B51743">
        <w:t>the</w:t>
      </w:r>
      <w:r w:rsidRPr="00B51743">
        <w:t xml:space="preserve"> specific </w:t>
      </w:r>
      <w:r w:rsidR="00663C7E">
        <w:t>concern</w:t>
      </w:r>
      <w:r w:rsidR="007C0664" w:rsidRPr="00B51743">
        <w:t xml:space="preserve">s </w:t>
      </w:r>
      <w:r w:rsidR="00663C7E">
        <w:t>with</w:t>
      </w:r>
      <w:r w:rsidRPr="00B51743">
        <w:t xml:space="preserve"> the </w:t>
      </w:r>
      <w:r w:rsidR="007C0664" w:rsidRPr="00B51743">
        <w:t xml:space="preserve">current application of the </w:t>
      </w:r>
      <w:r w:rsidRPr="00B51743">
        <w:t>mutuality principle include:</w:t>
      </w:r>
    </w:p>
    <w:p w14:paraId="7F68546C" w14:textId="77777777" w:rsidR="007C0664" w:rsidRPr="00B51743" w:rsidRDefault="00A07E1C" w:rsidP="00B51743">
      <w:pPr>
        <w:rPr>
          <w:b/>
          <w:i/>
        </w:rPr>
      </w:pPr>
      <w:r w:rsidRPr="00B51743">
        <w:rPr>
          <w:b/>
          <w:i/>
        </w:rPr>
        <w:t xml:space="preserve">– integrity concerns about member and non-member receipts;  </w:t>
      </w:r>
    </w:p>
    <w:p w14:paraId="54BBD3E8" w14:textId="0308B083" w:rsidR="00A07E1C" w:rsidRPr="00B51743" w:rsidRDefault="00A07E1C" w:rsidP="00B51743">
      <w:pPr>
        <w:spacing w:before="80"/>
        <w:rPr>
          <w:b/>
          <w:i/>
        </w:rPr>
      </w:pPr>
      <w:r w:rsidRPr="00B51743">
        <w:rPr>
          <w:b/>
          <w:i/>
        </w:rPr>
        <w:t xml:space="preserve">– competitive neutrality concerns where mutual organisations are trading in competition with taxable businesses;  </w:t>
      </w:r>
    </w:p>
    <w:p w14:paraId="36A6FF64" w14:textId="77777777" w:rsidR="007C0664" w:rsidRPr="00B51743" w:rsidRDefault="00A07E1C" w:rsidP="00B51743">
      <w:pPr>
        <w:spacing w:before="80"/>
        <w:rPr>
          <w:b/>
          <w:i/>
        </w:rPr>
      </w:pPr>
      <w:r w:rsidRPr="00B51743">
        <w:rPr>
          <w:b/>
          <w:i/>
        </w:rPr>
        <w:t xml:space="preserve">– social policy concerns about significant gambling and hospitality receipts of some organisations, which are not subject to income tax at the Commonwealth level; and  </w:t>
      </w:r>
    </w:p>
    <w:p w14:paraId="44BD44BF" w14:textId="2283D59F" w:rsidR="00A07E1C" w:rsidRPr="00B51743" w:rsidRDefault="00A07E1C" w:rsidP="00B51743">
      <w:pPr>
        <w:spacing w:before="80"/>
        <w:rPr>
          <w:b/>
          <w:i/>
        </w:rPr>
      </w:pPr>
      <w:r w:rsidRPr="00B51743">
        <w:rPr>
          <w:b/>
          <w:i/>
        </w:rPr>
        <w:t xml:space="preserve">– concerns about private member benefit. </w:t>
      </w:r>
    </w:p>
    <w:p w14:paraId="340AE362" w14:textId="0A1BFBD8" w:rsidR="00B51743" w:rsidRDefault="00A07E1C" w:rsidP="00B51743">
      <w:pPr>
        <w:ind w:left="360"/>
        <w:rPr>
          <w:b/>
          <w:i/>
        </w:rPr>
      </w:pPr>
      <w:r w:rsidRPr="00B51743">
        <w:rPr>
          <w:b/>
          <w:i/>
        </w:rPr>
        <w:t xml:space="preserve">It is recommended, on public benefit grounds, that the tax law should be amended to treat all member and non-member income of mutual organisations as assessable for taxation purposes in line with normal income tax principles.  </w:t>
      </w:r>
    </w:p>
    <w:p w14:paraId="073758BA" w14:textId="2DB5D721" w:rsidR="00A07E1C" w:rsidRPr="00B51743" w:rsidRDefault="00A07E1C" w:rsidP="00B51743">
      <w:pPr>
        <w:ind w:left="360"/>
        <w:rPr>
          <w:b/>
          <w:i/>
        </w:rPr>
      </w:pPr>
      <w:r w:rsidRPr="00B51743">
        <w:rPr>
          <w:b/>
          <w:i/>
        </w:rPr>
        <w:t>If this recommendation is not supported, all income from gaming, catering, entertainment and hospitality trading activities of mutual organisations shou</w:t>
      </w:r>
      <w:r w:rsidR="007C0664" w:rsidRPr="00B51743">
        <w:rPr>
          <w:b/>
          <w:i/>
        </w:rPr>
        <w:t xml:space="preserve">ld be treated as assessable.  </w:t>
      </w:r>
    </w:p>
    <w:p w14:paraId="1EF9BC55" w14:textId="2E362BF9" w:rsidR="007C0664" w:rsidRDefault="005B1952" w:rsidP="00B51743">
      <w:pPr>
        <w:ind w:left="360"/>
      </w:pPr>
      <w:r>
        <w:t>I</w:t>
      </w:r>
      <w:r w:rsidR="00B51743" w:rsidRPr="00B51743">
        <w:t xml:space="preserve">t is difficult to justify </w:t>
      </w:r>
      <w:r w:rsidR="007C0664" w:rsidRPr="00B51743">
        <w:t>the hundreds of millions of dollars of tax concessions provided to large licensed gaming clubs based on the mutuality principle</w:t>
      </w:r>
      <w:r w:rsidR="00B51743" w:rsidRPr="00B51743">
        <w:t>.  It is time to review these concessions</w:t>
      </w:r>
      <w:r>
        <w:t xml:space="preserve"> taking into account any unintended consequences on smaller mutual organisations</w:t>
      </w:r>
      <w:r w:rsidR="00B51743" w:rsidRPr="00B51743">
        <w:t>.</w:t>
      </w:r>
      <w:r w:rsidR="007C0664" w:rsidRPr="00B51743">
        <w:t xml:space="preserve"> </w:t>
      </w:r>
    </w:p>
    <w:p w14:paraId="6E0075B2" w14:textId="06874566" w:rsidR="005B1952" w:rsidRPr="00CA3D33" w:rsidRDefault="00F04787" w:rsidP="005B1952">
      <w:pPr>
        <w:ind w:left="360"/>
        <w:rPr>
          <w:b/>
          <w:i/>
        </w:rPr>
      </w:pPr>
      <w:r>
        <w:rPr>
          <w:b/>
          <w:i/>
        </w:rPr>
        <w:t>CCA anticipates this measure</w:t>
      </w:r>
      <w:r w:rsidR="005B1952">
        <w:rPr>
          <w:b/>
          <w:i/>
        </w:rPr>
        <w:t xml:space="preserve"> could generate significant additional government revenue.</w:t>
      </w:r>
    </w:p>
    <w:p w14:paraId="2E16BFE3" w14:textId="31124A17" w:rsidR="0051598E" w:rsidRDefault="0051598E">
      <w:pPr>
        <w:rPr>
          <w:rFonts w:asciiTheme="majorHAnsi" w:hAnsiTheme="majorHAnsi"/>
          <w:b/>
          <w:sz w:val="28"/>
          <w:szCs w:val="28"/>
        </w:rPr>
      </w:pPr>
    </w:p>
    <w:p w14:paraId="65234B9C" w14:textId="165AA272" w:rsidR="00A415FC" w:rsidRPr="005B46D2" w:rsidRDefault="00C744BB" w:rsidP="00A415FC">
      <w:pPr>
        <w:rPr>
          <w:rFonts w:asciiTheme="majorHAnsi" w:hAnsiTheme="majorHAnsi"/>
          <w:b/>
          <w:sz w:val="28"/>
          <w:szCs w:val="28"/>
        </w:rPr>
      </w:pPr>
      <w:r>
        <w:rPr>
          <w:rFonts w:asciiTheme="majorHAnsi" w:hAnsiTheme="majorHAnsi"/>
          <w:b/>
          <w:sz w:val="28"/>
          <w:szCs w:val="28"/>
        </w:rPr>
        <w:t>Budget i</w:t>
      </w:r>
      <w:r w:rsidR="00A415FC" w:rsidRPr="005B46D2">
        <w:rPr>
          <w:rFonts w:asciiTheme="majorHAnsi" w:hAnsiTheme="majorHAnsi"/>
          <w:b/>
          <w:sz w:val="28"/>
          <w:szCs w:val="28"/>
        </w:rPr>
        <w:t xml:space="preserve">mplications </w:t>
      </w:r>
      <w:r>
        <w:rPr>
          <w:rFonts w:asciiTheme="majorHAnsi" w:hAnsiTheme="majorHAnsi"/>
          <w:b/>
          <w:sz w:val="28"/>
          <w:szCs w:val="28"/>
        </w:rPr>
        <w:t>(c</w:t>
      </w:r>
      <w:r w:rsidR="00A415FC">
        <w:rPr>
          <w:rFonts w:asciiTheme="majorHAnsi" w:hAnsiTheme="majorHAnsi"/>
          <w:b/>
          <w:sz w:val="28"/>
          <w:szCs w:val="28"/>
        </w:rPr>
        <w:t>ostings)</w:t>
      </w:r>
    </w:p>
    <w:p w14:paraId="7FB9A4EE" w14:textId="3C6976E9" w:rsidR="00FB3888" w:rsidRDefault="00FB3888" w:rsidP="00FB3888">
      <w:r>
        <w:t xml:space="preserve">CCA acknowledges the need to </w:t>
      </w:r>
      <w:r w:rsidR="0066583C">
        <w:t>ensure</w:t>
      </w:r>
      <w:r>
        <w:t xml:space="preserve"> a</w:t>
      </w:r>
      <w:r w:rsidR="0066583C">
        <w:t>n effective</w:t>
      </w:r>
      <w:r>
        <w:t xml:space="preserve"> economic framework for all Australian governments</w:t>
      </w:r>
      <w:r w:rsidR="0066583C">
        <w:t xml:space="preserve"> that serves the needs of our various communities</w:t>
      </w:r>
      <w:r>
        <w:t xml:space="preserve">.  This budget submission has taken into account the need to increase government revenue through sustainable measures that have minimal impact on productivity, </w:t>
      </w:r>
      <w:r w:rsidR="005B1952">
        <w:t>to</w:t>
      </w:r>
      <w:r>
        <w:t xml:space="preserve"> reconsider inappropriate taxation concessions, and pro</w:t>
      </w:r>
      <w:r w:rsidR="005B1952">
        <w:t>mote</w:t>
      </w:r>
      <w:r>
        <w:t xml:space="preserve"> measures that will diversify the income of charities and not-for-profits enabling a</w:t>
      </w:r>
      <w:r w:rsidR="002E5824">
        <w:t xml:space="preserve"> rebuilding of capital, and an expansion in their capacity, </w:t>
      </w:r>
      <w:r>
        <w:t>without increasing government exp</w:t>
      </w:r>
      <w:r w:rsidR="005B1952">
        <w:t>enditure</w:t>
      </w:r>
      <w:r>
        <w:t xml:space="preserve">. </w:t>
      </w:r>
    </w:p>
    <w:p w14:paraId="6A09E130" w14:textId="391BBF1C" w:rsidR="00FB3888" w:rsidRDefault="00FB3888" w:rsidP="00FB3888">
      <w:pPr>
        <w:spacing w:after="80"/>
      </w:pPr>
      <w:r>
        <w:t xml:space="preserve">In considering the specific budget implications of the nine key measures outlined in this submission, CCA has taken a relatively conservative approach to the projection of new income and expenditure for government.  It would be difficult for the real benefit of each recommendation to be costed accurately, including the quantified costs and benefits of increased employee giving.  </w:t>
      </w:r>
      <w:r w:rsidR="005B1952">
        <w:t>Given the complexity of some of the proposed measures and the lack of data about others, t</w:t>
      </w:r>
      <w:r w:rsidR="002E5824">
        <w:t>he initial costs and benefits outlined in this submission</w:t>
      </w:r>
      <w:r>
        <w:t xml:space="preserve"> represents a starting point for further discussion and more detailed economic modelling.  </w:t>
      </w:r>
    </w:p>
    <w:p w14:paraId="7F1E65BB" w14:textId="467625E3" w:rsidR="00775555" w:rsidRDefault="00B96D32" w:rsidP="00775555">
      <w:r>
        <w:t>CCA believes</w:t>
      </w:r>
      <w:r w:rsidR="00A415FC">
        <w:t xml:space="preserve"> the measures proposed in this budget submission will generate significant </w:t>
      </w:r>
      <w:r w:rsidR="00E41BD5">
        <w:t xml:space="preserve">revenue as well as </w:t>
      </w:r>
      <w:r w:rsidR="007842E2">
        <w:t>long</w:t>
      </w:r>
      <w:r w:rsidR="00471915">
        <w:t>-</w:t>
      </w:r>
      <w:r w:rsidR="007842E2">
        <w:t xml:space="preserve">term </w:t>
      </w:r>
      <w:r w:rsidR="009A4CAE">
        <w:t xml:space="preserve">savings for </w:t>
      </w:r>
      <w:r w:rsidR="002E7F88">
        <w:t xml:space="preserve">governments, </w:t>
      </w:r>
      <w:r w:rsidR="00A415FC">
        <w:t>NFPs</w:t>
      </w:r>
      <w:r w:rsidR="002E7F88">
        <w:t xml:space="preserve"> and the communities they serve</w:t>
      </w:r>
      <w:r w:rsidR="009A4CAE">
        <w:t>.</w:t>
      </w:r>
    </w:p>
    <w:p w14:paraId="3F8A9B91" w14:textId="7D573102" w:rsidR="00740F7C" w:rsidRDefault="008B0870" w:rsidP="00740F7C">
      <w:pPr>
        <w:spacing w:before="0"/>
      </w:pPr>
      <w:r w:rsidRPr="00640A26">
        <w:rPr>
          <w:rFonts w:asciiTheme="majorHAnsi" w:hAnsiTheme="majorHAnsi"/>
          <w:b/>
          <w:sz w:val="28"/>
          <w:szCs w:val="28"/>
        </w:rPr>
        <w:t xml:space="preserve">Conclusion </w:t>
      </w:r>
      <w:r>
        <w:rPr>
          <w:rFonts w:asciiTheme="majorHAnsi" w:hAnsiTheme="majorHAnsi"/>
          <w:b/>
          <w:sz w:val="28"/>
          <w:szCs w:val="28"/>
        </w:rPr>
        <w:br/>
      </w:r>
    </w:p>
    <w:p w14:paraId="161FE392" w14:textId="5AD1D94F" w:rsidR="008965DD" w:rsidRDefault="00172A8B" w:rsidP="00740F7C">
      <w:pPr>
        <w:spacing w:before="0"/>
      </w:pPr>
      <w:r>
        <w:t>This submission</w:t>
      </w:r>
      <w:r w:rsidR="008965DD">
        <w:t xml:space="preserve"> promote</w:t>
      </w:r>
      <w:r>
        <w:t>s</w:t>
      </w:r>
      <w:r w:rsidR="008965DD">
        <w:t xml:space="preserve"> </w:t>
      </w:r>
      <w:r>
        <w:t>F</w:t>
      </w:r>
      <w:r w:rsidR="008965DD">
        <w:t xml:space="preserve">ederal </w:t>
      </w:r>
      <w:r>
        <w:t>G</w:t>
      </w:r>
      <w:r w:rsidR="008965DD">
        <w:t xml:space="preserve">overnment measures </w:t>
      </w:r>
      <w:r>
        <w:t>t</w:t>
      </w:r>
      <w:r w:rsidR="00E41BD5">
        <w:t>o strengthen the NFP sector and</w:t>
      </w:r>
      <w:r w:rsidR="008965DD">
        <w:t xml:space="preserve"> </w:t>
      </w:r>
      <w:r w:rsidR="00E52FC5">
        <w:t>deliver</w:t>
      </w:r>
      <w:r w:rsidR="00B85B22">
        <w:t xml:space="preserve"> real economic and social </w:t>
      </w:r>
      <w:r w:rsidR="00E52FC5">
        <w:t>benefits for governments and our comm</w:t>
      </w:r>
      <w:r w:rsidR="002E7F88">
        <w:t>unities</w:t>
      </w:r>
      <w:r w:rsidR="008965DD">
        <w:t xml:space="preserve">. </w:t>
      </w:r>
    </w:p>
    <w:p w14:paraId="606A115C" w14:textId="12F23182" w:rsidR="008B0870" w:rsidRDefault="008965DD" w:rsidP="008B0870">
      <w:r>
        <w:t>There are undoubtedly many i</w:t>
      </w:r>
      <w:r w:rsidR="008B0870">
        <w:t xml:space="preserve">ndividual </w:t>
      </w:r>
      <w:r w:rsidR="00671CFD">
        <w:t>not-for-profit</w:t>
      </w:r>
      <w:r>
        <w:t xml:space="preserve"> organisations </w:t>
      </w:r>
      <w:r w:rsidR="008B0870">
        <w:t xml:space="preserve">(including CCA members) </w:t>
      </w:r>
      <w:r>
        <w:t xml:space="preserve">that </w:t>
      </w:r>
      <w:r w:rsidR="008B0870">
        <w:t xml:space="preserve">will be seeking to have </w:t>
      </w:r>
      <w:r w:rsidR="00E52FC5">
        <w:t xml:space="preserve">the </w:t>
      </w:r>
      <w:r w:rsidR="00740F7C">
        <w:t>Federal G</w:t>
      </w:r>
      <w:r w:rsidR="00E52FC5">
        <w:t xml:space="preserve">overnment fund </w:t>
      </w:r>
      <w:r w:rsidR="008B0870">
        <w:t>specific</w:t>
      </w:r>
      <w:r w:rsidR="002E7F88">
        <w:t xml:space="preserve"> measures</w:t>
      </w:r>
      <w:r w:rsidR="008B0870">
        <w:t xml:space="preserve"> </w:t>
      </w:r>
      <w:r w:rsidR="00E52FC5">
        <w:t>f</w:t>
      </w:r>
      <w:r>
        <w:t>or the benefit of their own clients and communities</w:t>
      </w:r>
      <w:r w:rsidR="008B0870">
        <w:t>.</w:t>
      </w:r>
      <w:r w:rsidR="00295A23">
        <w:t xml:space="preserve"> </w:t>
      </w:r>
      <w:r w:rsidR="000A7549">
        <w:t xml:space="preserve"> </w:t>
      </w:r>
      <w:r w:rsidR="00295A23">
        <w:t xml:space="preserve">Most of these </w:t>
      </w:r>
      <w:r w:rsidR="00E52FC5">
        <w:t xml:space="preserve">budget </w:t>
      </w:r>
      <w:r w:rsidR="00671CFD">
        <w:t>proposals from the not-for-profit</w:t>
      </w:r>
      <w:r w:rsidR="00A27E6B">
        <w:t xml:space="preserve"> sector </w:t>
      </w:r>
      <w:r w:rsidR="00295A23">
        <w:t>are important and have real merit.</w:t>
      </w:r>
    </w:p>
    <w:p w14:paraId="6028CE89" w14:textId="19AAF4EE" w:rsidR="00295A23" w:rsidRDefault="00E41BD5" w:rsidP="008B0870">
      <w:r>
        <w:t>There is a strong case for reform</w:t>
      </w:r>
      <w:r w:rsidR="0028056E">
        <w:t xml:space="preserve"> in the charities and not-for-profit sector</w:t>
      </w:r>
      <w:r>
        <w:t xml:space="preserve">.  </w:t>
      </w:r>
      <w:r w:rsidR="00A27E6B">
        <w:t xml:space="preserve">CCA </w:t>
      </w:r>
      <w:r w:rsidR="00295A23">
        <w:t>believe</w:t>
      </w:r>
      <w:r w:rsidR="00B46A47">
        <w:t>s</w:t>
      </w:r>
      <w:r w:rsidR="00295A23">
        <w:t xml:space="preserve"> that </w:t>
      </w:r>
      <w:r w:rsidR="00956436">
        <w:t xml:space="preserve">over the past two decades, </w:t>
      </w:r>
      <w:r w:rsidR="00B46A47">
        <w:t>the</w:t>
      </w:r>
      <w:r w:rsidR="00A27E6B">
        <w:t xml:space="preserve"> </w:t>
      </w:r>
      <w:r w:rsidR="00B46A47">
        <w:t>NFP</w:t>
      </w:r>
      <w:r w:rsidR="00295A23">
        <w:t xml:space="preserve"> sector</w:t>
      </w:r>
      <w:r w:rsidR="00B46A47">
        <w:t xml:space="preserve"> as a whole</w:t>
      </w:r>
      <w:r w:rsidR="00295A23">
        <w:t xml:space="preserve"> has </w:t>
      </w:r>
      <w:r w:rsidR="00956436">
        <w:t>not benefited from any detailed economic</w:t>
      </w:r>
      <w:r w:rsidR="00295A23">
        <w:t xml:space="preserve"> </w:t>
      </w:r>
      <w:r w:rsidR="00E52FC5">
        <w:t>analysis by</w:t>
      </w:r>
      <w:r w:rsidR="00295A23">
        <w:t xml:space="preserve"> governments across Australia.  This is despite the very considerable contribution the </w:t>
      </w:r>
      <w:r w:rsidR="00B85B22">
        <w:t xml:space="preserve">broader NFP </w:t>
      </w:r>
      <w:r w:rsidR="00295A23">
        <w:t>sector makes in terms of employment, productivity and community resilience.</w:t>
      </w:r>
    </w:p>
    <w:p w14:paraId="18884EFD" w14:textId="43472DC6" w:rsidR="00B85B22" w:rsidRDefault="00F05BC7" w:rsidP="008B0870">
      <w:r>
        <w:t>There is now a</w:t>
      </w:r>
      <w:r w:rsidR="00671CFD">
        <w:t>n</w:t>
      </w:r>
      <w:r>
        <w:t xml:space="preserve"> international trend for governments to</w:t>
      </w:r>
      <w:r w:rsidR="00B85B22">
        <w:t xml:space="preserve"> recognise the importance of driving reform in the way they engage with their commu</w:t>
      </w:r>
      <w:r w:rsidR="00B46A47">
        <w:t>nities and the NFP sector.</w:t>
      </w:r>
      <w:r w:rsidR="00B85B22">
        <w:t xml:space="preserve"> The harsh reality </w:t>
      </w:r>
      <w:r w:rsidR="00EA20B6">
        <w:t>for most governments is that</w:t>
      </w:r>
      <w:r w:rsidR="00DB6157">
        <w:t xml:space="preserve"> government</w:t>
      </w:r>
      <w:r w:rsidR="00EA20B6">
        <w:t xml:space="preserve"> </w:t>
      </w:r>
      <w:r w:rsidR="00B85B22">
        <w:t xml:space="preserve">income levels </w:t>
      </w:r>
      <w:r w:rsidR="00EA20B6">
        <w:t>are stalling</w:t>
      </w:r>
      <w:r w:rsidR="00B85B22">
        <w:t xml:space="preserve"> while demand for serv</w:t>
      </w:r>
      <w:r w:rsidR="00B46A47">
        <w:t xml:space="preserve">ices </w:t>
      </w:r>
      <w:r>
        <w:t xml:space="preserve">continues </w:t>
      </w:r>
      <w:r w:rsidR="00B46A47">
        <w:t>to increase.</w:t>
      </w:r>
      <w:r w:rsidR="00B85B22">
        <w:t xml:space="preserve"> </w:t>
      </w:r>
      <w:r w:rsidR="00554017">
        <w:t xml:space="preserve"> </w:t>
      </w:r>
      <w:r w:rsidR="00B85B22">
        <w:t xml:space="preserve">Part of the solution to this </w:t>
      </w:r>
      <w:r>
        <w:t xml:space="preserve">tension </w:t>
      </w:r>
      <w:r w:rsidR="00B85B22">
        <w:t>is achieving real productivity within government and the NFP sector</w:t>
      </w:r>
      <w:r w:rsidR="00844BAB">
        <w:t>. A</w:t>
      </w:r>
      <w:r w:rsidR="00B85B22">
        <w:t xml:space="preserve">chieving these gains </w:t>
      </w:r>
      <w:r w:rsidR="00844BAB">
        <w:t xml:space="preserve">however, </w:t>
      </w:r>
      <w:r w:rsidR="00B85B22">
        <w:t>requires more than window dressing</w:t>
      </w:r>
      <w:r w:rsidR="00B46A47">
        <w:t xml:space="preserve"> documents and hopeful edicts. </w:t>
      </w:r>
      <w:r w:rsidR="00554017">
        <w:t xml:space="preserve"> </w:t>
      </w:r>
      <w:r w:rsidR="00B85B22">
        <w:t xml:space="preserve">Achieving positive change </w:t>
      </w:r>
      <w:r w:rsidR="00671CFD">
        <w:t xml:space="preserve">will </w:t>
      </w:r>
      <w:r>
        <w:t>require</w:t>
      </w:r>
      <w:r w:rsidR="00B85B22">
        <w:t xml:space="preserve"> </w:t>
      </w:r>
      <w:r>
        <w:t>an</w:t>
      </w:r>
      <w:r w:rsidR="00B85B22">
        <w:t xml:space="preserve"> initial investment</w:t>
      </w:r>
      <w:r>
        <w:t xml:space="preserve"> in time and resources</w:t>
      </w:r>
      <w:r w:rsidR="00671CFD">
        <w:t xml:space="preserve"> to boost productivity</w:t>
      </w:r>
      <w:r w:rsidR="00B85B22">
        <w:t>.</w:t>
      </w:r>
    </w:p>
    <w:p w14:paraId="3FB3CB0F" w14:textId="4AF8E8F6" w:rsidR="00740F7C" w:rsidRDefault="00DB6157" w:rsidP="00F05BC7">
      <w:r>
        <w:t xml:space="preserve">Inequality continues to rise in Australia.  </w:t>
      </w:r>
      <w:r w:rsidR="00740F7C">
        <w:t xml:space="preserve">The case for reform extends to new fairer ways of generating income for government and promoting impact investment to strengthen our communities.  </w:t>
      </w:r>
      <w:r w:rsidR="001F27E7">
        <w:t>Estate</w:t>
      </w:r>
      <w:r w:rsidR="00740F7C">
        <w:t xml:space="preserve"> duties and the French 90/10 rule are two examples of </w:t>
      </w:r>
      <w:r w:rsidR="00671CFD">
        <w:t xml:space="preserve">sustainable </w:t>
      </w:r>
      <w:r w:rsidR="00740F7C">
        <w:t>policies that have the potential to be transformative.</w:t>
      </w:r>
    </w:p>
    <w:p w14:paraId="6B6FF42E" w14:textId="135FA241" w:rsidR="008B0870" w:rsidRDefault="008B0870" w:rsidP="00F05BC7">
      <w:r>
        <w:t xml:space="preserve">The </w:t>
      </w:r>
      <w:r w:rsidR="00B46A47">
        <w:t>NFP</w:t>
      </w:r>
      <w:r>
        <w:t xml:space="preserve"> sector </w:t>
      </w:r>
      <w:r w:rsidR="00E52FC5">
        <w:t xml:space="preserve">is too large and </w:t>
      </w:r>
      <w:r>
        <w:t xml:space="preserve">too important </w:t>
      </w:r>
      <w:r w:rsidR="00E52FC5">
        <w:t>to be left on the margins of economic debates and major policy reforms within</w:t>
      </w:r>
      <w:r>
        <w:t xml:space="preserve"> Australia</w:t>
      </w:r>
      <w:r w:rsidR="00F05BC7">
        <w:t xml:space="preserve">. </w:t>
      </w:r>
      <w:r w:rsidR="000A7549">
        <w:t xml:space="preserve"> Government i</w:t>
      </w:r>
      <w:r>
        <w:t xml:space="preserve">nvestment in enabling NFPs to be more efficient and effective will ultimately deliver </w:t>
      </w:r>
      <w:r w:rsidR="00BE2B34">
        <w:t>stronger, more resilient and productive</w:t>
      </w:r>
      <w:r>
        <w:t xml:space="preserve"> communities across Australia.</w:t>
      </w:r>
    </w:p>
    <w:p w14:paraId="43E6A304" w14:textId="77777777" w:rsidR="00671CFD" w:rsidRDefault="00740F7C" w:rsidP="00740F7C">
      <w:r>
        <w:t xml:space="preserve">Perhaps more importantly, the strength of the NFP sector is what underpins economic, social, and creative capacity in Australia.  </w:t>
      </w:r>
    </w:p>
    <w:p w14:paraId="40F78B3C" w14:textId="5B6B714E" w:rsidR="008B0870" w:rsidRDefault="00740F7C" w:rsidP="00740F7C">
      <w:pPr>
        <w:rPr>
          <w:lang w:val="en-US"/>
        </w:rPr>
      </w:pPr>
      <w:r>
        <w:t>The Federal Budget is the most important policy document a Federal Government produces.  Recognising the role of the NFP sector through implementation of the m</w:t>
      </w:r>
      <w:r w:rsidR="000738AE">
        <w:t xml:space="preserve">easures outlined in this submission </w:t>
      </w:r>
      <w:r>
        <w:t xml:space="preserve">will translate into a fairer budget that will </w:t>
      </w:r>
      <w:r w:rsidR="000738AE">
        <w:t>increase</w:t>
      </w:r>
      <w:r>
        <w:t xml:space="preserve"> productivity and growth, benefitting all Australians.</w:t>
      </w:r>
    </w:p>
    <w:p w14:paraId="73A566D1" w14:textId="77777777" w:rsidR="008965DD" w:rsidRDefault="008965DD" w:rsidP="00AB7571">
      <w:pPr>
        <w:ind w:left="0"/>
        <w:rPr>
          <w:lang w:val="en-US"/>
        </w:rPr>
      </w:pPr>
    </w:p>
    <w:p w14:paraId="2B6660F4" w14:textId="77777777" w:rsidR="008965DD" w:rsidRDefault="008965DD" w:rsidP="008965DD">
      <w:pPr>
        <w:rPr>
          <w:rFonts w:cstheme="minorHAnsi"/>
          <w:b/>
          <w:sz w:val="20"/>
          <w:szCs w:val="20"/>
          <w:u w:val="single"/>
        </w:rPr>
      </w:pPr>
      <w:r>
        <w:rPr>
          <w:rFonts w:cstheme="minorHAnsi"/>
          <w:b/>
          <w:sz w:val="20"/>
          <w:szCs w:val="20"/>
          <w:u w:val="single"/>
        </w:rPr>
        <w:br w:type="page"/>
      </w:r>
    </w:p>
    <w:p w14:paraId="5693A344" w14:textId="59A6EFDF" w:rsidR="002C73FB" w:rsidRDefault="00D66E4F" w:rsidP="005C6727">
      <w:pPr>
        <w:spacing w:beforeLines="60" w:before="144"/>
        <w:rPr>
          <w:rFonts w:asciiTheme="majorHAnsi" w:eastAsia="Times New Roman" w:hAnsiTheme="majorHAnsi" w:cs="Arial"/>
          <w:color w:val="000000"/>
          <w:sz w:val="20"/>
          <w:szCs w:val="20"/>
          <w:lang w:eastAsia="en-AU"/>
        </w:rPr>
      </w:pPr>
      <w:r w:rsidRPr="0066180A">
        <w:rPr>
          <w:rStyle w:val="Heading1Char"/>
        </w:rPr>
        <w:t>Current Membership – Community Council for Australia</w:t>
      </w:r>
      <w:r w:rsidRPr="0066180A">
        <w:rPr>
          <w:rFonts w:cstheme="minorHAnsi"/>
          <w:b/>
          <w:sz w:val="28"/>
          <w:szCs w:val="28"/>
        </w:rPr>
        <w:t xml:space="preserve">   </w:t>
      </w:r>
      <w:r w:rsidRPr="00CC0751">
        <w:rPr>
          <w:rFonts w:asciiTheme="majorHAnsi" w:hAnsiTheme="majorHAnsi"/>
          <w:b/>
          <w:i/>
          <w:sz w:val="28"/>
          <w:szCs w:val="28"/>
        </w:rPr>
        <w:t xml:space="preserve">Attachment </w:t>
      </w:r>
      <w:r w:rsidR="00CC0751" w:rsidRPr="00CC0751">
        <w:rPr>
          <w:rFonts w:asciiTheme="majorHAnsi" w:hAnsiTheme="majorHAnsi"/>
          <w:b/>
          <w:i/>
          <w:sz w:val="28"/>
          <w:szCs w:val="28"/>
        </w:rPr>
        <w:t>A</w:t>
      </w:r>
      <w:r w:rsidR="00663491">
        <w:rPr>
          <w:rFonts w:asciiTheme="majorHAnsi" w:hAnsiTheme="majorHAnsi"/>
          <w:b/>
          <w:i/>
          <w:sz w:val="28"/>
          <w:szCs w:val="28"/>
        </w:rPr>
        <w:br/>
      </w:r>
    </w:p>
    <w:p w14:paraId="744D1740" w14:textId="398F4AC4" w:rsidR="00060937" w:rsidRDefault="00060937" w:rsidP="00060937">
      <w:pPr>
        <w:spacing w:beforeLines="60" w:before="144"/>
        <w:contextualSpacing/>
        <w:rPr>
          <w:rFonts w:asciiTheme="majorHAnsi" w:eastAsia="Times New Roman" w:hAnsiTheme="majorHAnsi" w:cs="Arial"/>
          <w:sz w:val="20"/>
          <w:szCs w:val="20"/>
          <w:lang w:eastAsia="en-AU"/>
        </w:rPr>
      </w:pPr>
    </w:p>
    <w:tbl>
      <w:tblPr>
        <w:tblW w:w="9744" w:type="dxa"/>
        <w:tblLook w:val="04A0" w:firstRow="1" w:lastRow="0" w:firstColumn="1" w:lastColumn="0" w:noHBand="0" w:noVBand="1"/>
      </w:tblPr>
      <w:tblGrid>
        <w:gridCol w:w="4780"/>
        <w:gridCol w:w="1447"/>
        <w:gridCol w:w="1637"/>
        <w:gridCol w:w="1880"/>
      </w:tblGrid>
      <w:tr w:rsidR="00D02360" w:rsidRPr="00512BCC" w14:paraId="55DD6D6E" w14:textId="77777777" w:rsidTr="004448D2">
        <w:trPr>
          <w:trHeight w:val="288"/>
        </w:trPr>
        <w:tc>
          <w:tcPr>
            <w:tcW w:w="97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23712EA" w14:textId="7C545CAF" w:rsidR="00D02360" w:rsidRPr="00512BCC" w:rsidRDefault="00D02360" w:rsidP="00060937">
            <w:pPr>
              <w:contextualSpacing/>
              <w:rPr>
                <w:rFonts w:ascii="Calibri" w:eastAsia="Times New Roman" w:hAnsi="Calibri" w:cs="Calibri"/>
                <w:color w:val="000000"/>
              </w:rPr>
            </w:pPr>
            <w:r w:rsidRPr="00D02360">
              <w:rPr>
                <w:rFonts w:ascii="Calibri" w:eastAsia="Times New Roman" w:hAnsi="Calibri" w:cs="Calibri"/>
                <w:b/>
                <w:color w:val="000000"/>
                <w:sz w:val="28"/>
                <w:szCs w:val="28"/>
              </w:rPr>
              <w:t>Organisation</w:t>
            </w:r>
          </w:p>
        </w:tc>
      </w:tr>
      <w:tr w:rsidR="00060937" w:rsidRPr="00512BCC" w14:paraId="0B952FB8" w14:textId="77777777" w:rsidTr="00D02360">
        <w:trPr>
          <w:trHeight w:val="288"/>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A6F0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Access Australia's National Infertility Network</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14:paraId="7472E0E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Sandra</w:t>
            </w:r>
          </w:p>
        </w:tc>
        <w:tc>
          <w:tcPr>
            <w:tcW w:w="1637" w:type="dxa"/>
            <w:tcBorders>
              <w:top w:val="single" w:sz="4" w:space="0" w:color="auto"/>
              <w:left w:val="nil"/>
              <w:bottom w:val="single" w:sz="4" w:space="0" w:color="auto"/>
              <w:right w:val="single" w:sz="4" w:space="0" w:color="auto"/>
            </w:tcBorders>
            <w:shd w:val="clear" w:color="auto" w:fill="auto"/>
            <w:noWrap/>
            <w:vAlign w:val="bottom"/>
            <w:hideMark/>
          </w:tcPr>
          <w:p w14:paraId="762B951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Dill</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0103D87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4500282E"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7554666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Access Housing</w:t>
            </w:r>
          </w:p>
        </w:tc>
        <w:tc>
          <w:tcPr>
            <w:tcW w:w="1447" w:type="dxa"/>
            <w:tcBorders>
              <w:top w:val="nil"/>
              <w:left w:val="nil"/>
              <w:bottom w:val="single" w:sz="4" w:space="0" w:color="auto"/>
              <w:right w:val="single" w:sz="4" w:space="0" w:color="auto"/>
            </w:tcBorders>
            <w:shd w:val="clear" w:color="auto" w:fill="auto"/>
            <w:noWrap/>
            <w:vAlign w:val="bottom"/>
            <w:hideMark/>
          </w:tcPr>
          <w:p w14:paraId="41EA855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Gary</w:t>
            </w:r>
          </w:p>
        </w:tc>
        <w:tc>
          <w:tcPr>
            <w:tcW w:w="1637" w:type="dxa"/>
            <w:tcBorders>
              <w:top w:val="nil"/>
              <w:left w:val="nil"/>
              <w:bottom w:val="single" w:sz="4" w:space="0" w:color="auto"/>
              <w:right w:val="single" w:sz="4" w:space="0" w:color="auto"/>
            </w:tcBorders>
            <w:shd w:val="clear" w:color="auto" w:fill="auto"/>
            <w:noWrap/>
            <w:vAlign w:val="bottom"/>
            <w:hideMark/>
          </w:tcPr>
          <w:p w14:paraId="5D09D76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Ellender</w:t>
            </w:r>
          </w:p>
        </w:tc>
        <w:tc>
          <w:tcPr>
            <w:tcW w:w="1880" w:type="dxa"/>
            <w:tcBorders>
              <w:top w:val="nil"/>
              <w:left w:val="nil"/>
              <w:bottom w:val="single" w:sz="4" w:space="0" w:color="auto"/>
              <w:right w:val="single" w:sz="4" w:space="0" w:color="auto"/>
            </w:tcBorders>
            <w:shd w:val="clear" w:color="auto" w:fill="auto"/>
            <w:noWrap/>
            <w:vAlign w:val="bottom"/>
            <w:hideMark/>
          </w:tcPr>
          <w:p w14:paraId="5D98ABB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2E8B64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tcPr>
          <w:p w14:paraId="321235FE" w14:textId="77777777" w:rsidR="00060937" w:rsidRPr="00FD21CE" w:rsidRDefault="00060937" w:rsidP="00060937">
            <w:pPr>
              <w:contextualSpacing/>
              <w:rPr>
                <w:rFonts w:ascii="Calibri" w:eastAsia="Times New Roman" w:hAnsi="Calibri" w:cs="Calibri"/>
                <w:color w:val="000000"/>
                <w:highlight w:val="yellow"/>
              </w:rPr>
            </w:pPr>
            <w:r w:rsidRPr="00FD21CE">
              <w:rPr>
                <w:rFonts w:ascii="Calibri" w:hAnsi="Calibri" w:cs="Calibri"/>
                <w:color w:val="000000"/>
                <w:highlight w:val="yellow"/>
              </w:rPr>
              <w:t>Adult Learning Australia</w:t>
            </w:r>
          </w:p>
        </w:tc>
        <w:tc>
          <w:tcPr>
            <w:tcW w:w="1447" w:type="dxa"/>
            <w:tcBorders>
              <w:top w:val="nil"/>
              <w:left w:val="nil"/>
              <w:bottom w:val="single" w:sz="4" w:space="0" w:color="auto"/>
              <w:right w:val="single" w:sz="4" w:space="0" w:color="auto"/>
            </w:tcBorders>
            <w:shd w:val="clear" w:color="auto" w:fill="auto"/>
            <w:noWrap/>
          </w:tcPr>
          <w:p w14:paraId="7FAE1D79" w14:textId="77777777" w:rsidR="00060937" w:rsidRPr="00FD21CE" w:rsidRDefault="00060937" w:rsidP="00060937">
            <w:pPr>
              <w:autoSpaceDE w:val="0"/>
              <w:autoSpaceDN w:val="0"/>
              <w:adjustRightInd w:val="0"/>
              <w:contextualSpacing/>
              <w:rPr>
                <w:rFonts w:ascii="Calibri" w:hAnsi="Calibri" w:cs="Calibri"/>
                <w:color w:val="000000"/>
                <w:highlight w:val="yellow"/>
              </w:rPr>
            </w:pPr>
            <w:r w:rsidRPr="00FD21CE">
              <w:rPr>
                <w:rFonts w:ascii="Calibri" w:hAnsi="Calibri" w:cs="Calibri"/>
                <w:color w:val="000000"/>
                <w:highlight w:val="yellow"/>
              </w:rPr>
              <w:t>Jenny</w:t>
            </w:r>
          </w:p>
        </w:tc>
        <w:tc>
          <w:tcPr>
            <w:tcW w:w="1637" w:type="dxa"/>
            <w:tcBorders>
              <w:top w:val="nil"/>
              <w:left w:val="nil"/>
              <w:bottom w:val="single" w:sz="4" w:space="0" w:color="auto"/>
              <w:right w:val="single" w:sz="4" w:space="0" w:color="auto"/>
            </w:tcBorders>
            <w:shd w:val="clear" w:color="auto" w:fill="auto"/>
            <w:noWrap/>
          </w:tcPr>
          <w:p w14:paraId="55ADA0BE" w14:textId="77777777" w:rsidR="00060937" w:rsidRPr="00FD21CE" w:rsidRDefault="00060937" w:rsidP="00060937">
            <w:pPr>
              <w:autoSpaceDE w:val="0"/>
              <w:autoSpaceDN w:val="0"/>
              <w:adjustRightInd w:val="0"/>
              <w:contextualSpacing/>
              <w:rPr>
                <w:rFonts w:ascii="Calibri" w:hAnsi="Calibri" w:cs="Calibri"/>
                <w:color w:val="000000"/>
                <w:highlight w:val="yellow"/>
              </w:rPr>
            </w:pPr>
            <w:r w:rsidRPr="00FD21CE">
              <w:rPr>
                <w:rFonts w:ascii="Calibri" w:hAnsi="Calibri" w:cs="Calibri"/>
                <w:color w:val="000000"/>
                <w:highlight w:val="yellow"/>
              </w:rPr>
              <w:t>Macaffer</w:t>
            </w:r>
          </w:p>
        </w:tc>
        <w:tc>
          <w:tcPr>
            <w:tcW w:w="1880" w:type="dxa"/>
            <w:tcBorders>
              <w:top w:val="nil"/>
              <w:left w:val="nil"/>
              <w:bottom w:val="single" w:sz="4" w:space="0" w:color="auto"/>
              <w:right w:val="single" w:sz="4" w:space="0" w:color="auto"/>
            </w:tcBorders>
            <w:shd w:val="clear" w:color="auto" w:fill="auto"/>
            <w:noWrap/>
          </w:tcPr>
          <w:p w14:paraId="00FC878C" w14:textId="77777777" w:rsidR="00060937" w:rsidRDefault="00060937" w:rsidP="00060937">
            <w:pPr>
              <w:autoSpaceDE w:val="0"/>
              <w:autoSpaceDN w:val="0"/>
              <w:adjustRightInd w:val="0"/>
              <w:contextualSpacing/>
              <w:rPr>
                <w:rFonts w:ascii="Calibri" w:hAnsi="Calibri" w:cs="Calibri"/>
                <w:color w:val="000000"/>
              </w:rPr>
            </w:pPr>
            <w:r w:rsidRPr="00FD21CE">
              <w:rPr>
                <w:rFonts w:ascii="Calibri" w:hAnsi="Calibri" w:cs="Calibri"/>
                <w:color w:val="000000"/>
                <w:highlight w:val="yellow"/>
              </w:rPr>
              <w:t>CEO</w:t>
            </w:r>
          </w:p>
        </w:tc>
      </w:tr>
      <w:tr w:rsidR="00060937" w:rsidRPr="00512BCC" w14:paraId="5C3289E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4A50F3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Alcohol, Tobacco and Other Drugs Association ACT</w:t>
            </w:r>
          </w:p>
        </w:tc>
        <w:tc>
          <w:tcPr>
            <w:tcW w:w="1447" w:type="dxa"/>
            <w:tcBorders>
              <w:top w:val="nil"/>
              <w:left w:val="nil"/>
              <w:bottom w:val="single" w:sz="4" w:space="0" w:color="auto"/>
              <w:right w:val="single" w:sz="4" w:space="0" w:color="auto"/>
            </w:tcBorders>
            <w:shd w:val="clear" w:color="auto" w:fill="auto"/>
            <w:noWrap/>
            <w:vAlign w:val="bottom"/>
            <w:hideMark/>
          </w:tcPr>
          <w:p w14:paraId="2B45A57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Carrie </w:t>
            </w:r>
          </w:p>
        </w:tc>
        <w:tc>
          <w:tcPr>
            <w:tcW w:w="1637" w:type="dxa"/>
            <w:tcBorders>
              <w:top w:val="nil"/>
              <w:left w:val="nil"/>
              <w:bottom w:val="single" w:sz="4" w:space="0" w:color="auto"/>
              <w:right w:val="single" w:sz="4" w:space="0" w:color="auto"/>
            </w:tcBorders>
            <w:shd w:val="clear" w:color="auto" w:fill="auto"/>
            <w:noWrap/>
            <w:vAlign w:val="bottom"/>
            <w:hideMark/>
          </w:tcPr>
          <w:p w14:paraId="29EABDE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Fowlie</w:t>
            </w:r>
          </w:p>
        </w:tc>
        <w:tc>
          <w:tcPr>
            <w:tcW w:w="1880" w:type="dxa"/>
            <w:tcBorders>
              <w:top w:val="nil"/>
              <w:left w:val="nil"/>
              <w:bottom w:val="single" w:sz="4" w:space="0" w:color="auto"/>
              <w:right w:val="single" w:sz="4" w:space="0" w:color="auto"/>
            </w:tcBorders>
            <w:shd w:val="clear" w:color="auto" w:fill="auto"/>
            <w:noWrap/>
            <w:vAlign w:val="bottom"/>
            <w:hideMark/>
          </w:tcPr>
          <w:p w14:paraId="2D84D6D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Executive Officer</w:t>
            </w:r>
          </w:p>
        </w:tc>
      </w:tr>
      <w:tr w:rsidR="00060937" w:rsidRPr="00512BCC" w14:paraId="6419D285"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19E0A18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Arab Council Australia</w:t>
            </w:r>
          </w:p>
        </w:tc>
        <w:tc>
          <w:tcPr>
            <w:tcW w:w="1447" w:type="dxa"/>
            <w:tcBorders>
              <w:top w:val="nil"/>
              <w:left w:val="nil"/>
              <w:bottom w:val="single" w:sz="4" w:space="0" w:color="auto"/>
              <w:right w:val="single" w:sz="4" w:space="0" w:color="auto"/>
            </w:tcBorders>
            <w:shd w:val="clear" w:color="auto" w:fill="auto"/>
            <w:noWrap/>
            <w:vAlign w:val="bottom"/>
            <w:hideMark/>
          </w:tcPr>
          <w:p w14:paraId="59A0BC1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Randa</w:t>
            </w:r>
          </w:p>
        </w:tc>
        <w:tc>
          <w:tcPr>
            <w:tcW w:w="1637" w:type="dxa"/>
            <w:tcBorders>
              <w:top w:val="nil"/>
              <w:left w:val="nil"/>
              <w:bottom w:val="single" w:sz="4" w:space="0" w:color="auto"/>
              <w:right w:val="single" w:sz="4" w:space="0" w:color="auto"/>
            </w:tcBorders>
            <w:shd w:val="clear" w:color="auto" w:fill="auto"/>
            <w:noWrap/>
            <w:vAlign w:val="bottom"/>
            <w:hideMark/>
          </w:tcPr>
          <w:p w14:paraId="065D6DB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Kattan</w:t>
            </w:r>
          </w:p>
        </w:tc>
        <w:tc>
          <w:tcPr>
            <w:tcW w:w="1880" w:type="dxa"/>
            <w:tcBorders>
              <w:top w:val="nil"/>
              <w:left w:val="nil"/>
              <w:bottom w:val="single" w:sz="4" w:space="0" w:color="auto"/>
              <w:right w:val="single" w:sz="4" w:space="0" w:color="auto"/>
            </w:tcBorders>
            <w:shd w:val="clear" w:color="auto" w:fill="auto"/>
            <w:noWrap/>
            <w:vAlign w:val="bottom"/>
            <w:hideMark/>
          </w:tcPr>
          <w:p w14:paraId="4947D74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3203365A"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DAE267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Arthritis Australia</w:t>
            </w:r>
          </w:p>
        </w:tc>
        <w:tc>
          <w:tcPr>
            <w:tcW w:w="1447" w:type="dxa"/>
            <w:tcBorders>
              <w:top w:val="nil"/>
              <w:left w:val="nil"/>
              <w:bottom w:val="single" w:sz="4" w:space="0" w:color="auto"/>
              <w:right w:val="single" w:sz="4" w:space="0" w:color="auto"/>
            </w:tcBorders>
            <w:shd w:val="clear" w:color="auto" w:fill="auto"/>
            <w:noWrap/>
            <w:vAlign w:val="bottom"/>
            <w:hideMark/>
          </w:tcPr>
          <w:p w14:paraId="2D06572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Ainslie</w:t>
            </w:r>
          </w:p>
        </w:tc>
        <w:tc>
          <w:tcPr>
            <w:tcW w:w="1637" w:type="dxa"/>
            <w:tcBorders>
              <w:top w:val="nil"/>
              <w:left w:val="nil"/>
              <w:bottom w:val="single" w:sz="4" w:space="0" w:color="auto"/>
              <w:right w:val="single" w:sz="4" w:space="0" w:color="auto"/>
            </w:tcBorders>
            <w:shd w:val="clear" w:color="auto" w:fill="auto"/>
            <w:noWrap/>
            <w:vAlign w:val="bottom"/>
            <w:hideMark/>
          </w:tcPr>
          <w:p w14:paraId="674A6EA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Cahill</w:t>
            </w:r>
          </w:p>
        </w:tc>
        <w:tc>
          <w:tcPr>
            <w:tcW w:w="1880" w:type="dxa"/>
            <w:tcBorders>
              <w:top w:val="nil"/>
              <w:left w:val="nil"/>
              <w:bottom w:val="single" w:sz="4" w:space="0" w:color="auto"/>
              <w:right w:val="single" w:sz="4" w:space="0" w:color="auto"/>
            </w:tcBorders>
            <w:shd w:val="clear" w:color="auto" w:fill="auto"/>
            <w:noWrap/>
            <w:vAlign w:val="bottom"/>
            <w:hideMark/>
          </w:tcPr>
          <w:p w14:paraId="2D83BD5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3A4A670B"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048F7A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Australian Charities Fund</w:t>
            </w:r>
          </w:p>
        </w:tc>
        <w:tc>
          <w:tcPr>
            <w:tcW w:w="1447" w:type="dxa"/>
            <w:tcBorders>
              <w:top w:val="nil"/>
              <w:left w:val="nil"/>
              <w:bottom w:val="single" w:sz="4" w:space="0" w:color="auto"/>
              <w:right w:val="single" w:sz="4" w:space="0" w:color="auto"/>
            </w:tcBorders>
            <w:shd w:val="clear" w:color="auto" w:fill="auto"/>
            <w:noWrap/>
            <w:vAlign w:val="bottom"/>
            <w:hideMark/>
          </w:tcPr>
          <w:p w14:paraId="4A52B80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Jenny</w:t>
            </w:r>
          </w:p>
        </w:tc>
        <w:tc>
          <w:tcPr>
            <w:tcW w:w="1637" w:type="dxa"/>
            <w:tcBorders>
              <w:top w:val="nil"/>
              <w:left w:val="nil"/>
              <w:bottom w:val="single" w:sz="4" w:space="0" w:color="auto"/>
              <w:right w:val="single" w:sz="4" w:space="0" w:color="auto"/>
            </w:tcBorders>
            <w:shd w:val="clear" w:color="auto" w:fill="auto"/>
            <w:noWrap/>
            <w:vAlign w:val="bottom"/>
            <w:hideMark/>
          </w:tcPr>
          <w:p w14:paraId="626A10D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Geddes</w:t>
            </w:r>
          </w:p>
        </w:tc>
        <w:tc>
          <w:tcPr>
            <w:tcW w:w="1880" w:type="dxa"/>
            <w:tcBorders>
              <w:top w:val="nil"/>
              <w:left w:val="nil"/>
              <w:bottom w:val="single" w:sz="4" w:space="0" w:color="auto"/>
              <w:right w:val="single" w:sz="4" w:space="0" w:color="auto"/>
            </w:tcBorders>
            <w:shd w:val="clear" w:color="auto" w:fill="auto"/>
            <w:noWrap/>
            <w:vAlign w:val="bottom"/>
            <w:hideMark/>
          </w:tcPr>
          <w:p w14:paraId="1A1532C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2EA19F8A"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535FEDE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Australian Council for International Development</w:t>
            </w:r>
          </w:p>
        </w:tc>
        <w:tc>
          <w:tcPr>
            <w:tcW w:w="1447" w:type="dxa"/>
            <w:tcBorders>
              <w:top w:val="nil"/>
              <w:left w:val="nil"/>
              <w:bottom w:val="single" w:sz="4" w:space="0" w:color="auto"/>
              <w:right w:val="single" w:sz="4" w:space="0" w:color="auto"/>
            </w:tcBorders>
            <w:shd w:val="clear" w:color="auto" w:fill="auto"/>
            <w:noWrap/>
            <w:vAlign w:val="bottom"/>
            <w:hideMark/>
          </w:tcPr>
          <w:p w14:paraId="2236C01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Marc </w:t>
            </w:r>
          </w:p>
        </w:tc>
        <w:tc>
          <w:tcPr>
            <w:tcW w:w="1637" w:type="dxa"/>
            <w:tcBorders>
              <w:top w:val="nil"/>
              <w:left w:val="nil"/>
              <w:bottom w:val="single" w:sz="4" w:space="0" w:color="auto"/>
              <w:right w:val="single" w:sz="4" w:space="0" w:color="auto"/>
            </w:tcBorders>
            <w:shd w:val="clear" w:color="auto" w:fill="auto"/>
            <w:noWrap/>
            <w:vAlign w:val="bottom"/>
            <w:hideMark/>
          </w:tcPr>
          <w:p w14:paraId="2974E26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Purcell </w:t>
            </w:r>
          </w:p>
        </w:tc>
        <w:tc>
          <w:tcPr>
            <w:tcW w:w="1880" w:type="dxa"/>
            <w:tcBorders>
              <w:top w:val="nil"/>
              <w:left w:val="nil"/>
              <w:bottom w:val="single" w:sz="4" w:space="0" w:color="auto"/>
              <w:right w:val="single" w:sz="4" w:space="0" w:color="auto"/>
            </w:tcBorders>
            <w:shd w:val="clear" w:color="auto" w:fill="auto"/>
            <w:noWrap/>
            <w:vAlign w:val="bottom"/>
            <w:hideMark/>
          </w:tcPr>
          <w:p w14:paraId="041EDA1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34BAE87"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09723C4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Australian Healthcare and Hospitals Association</w:t>
            </w:r>
          </w:p>
        </w:tc>
        <w:tc>
          <w:tcPr>
            <w:tcW w:w="1447" w:type="dxa"/>
            <w:tcBorders>
              <w:top w:val="nil"/>
              <w:left w:val="nil"/>
              <w:bottom w:val="single" w:sz="4" w:space="0" w:color="auto"/>
              <w:right w:val="single" w:sz="4" w:space="0" w:color="auto"/>
            </w:tcBorders>
            <w:shd w:val="clear" w:color="auto" w:fill="auto"/>
            <w:noWrap/>
            <w:vAlign w:val="bottom"/>
            <w:hideMark/>
          </w:tcPr>
          <w:p w14:paraId="7E7F9D7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Alison </w:t>
            </w:r>
          </w:p>
        </w:tc>
        <w:tc>
          <w:tcPr>
            <w:tcW w:w="1637" w:type="dxa"/>
            <w:tcBorders>
              <w:top w:val="nil"/>
              <w:left w:val="nil"/>
              <w:bottom w:val="single" w:sz="4" w:space="0" w:color="auto"/>
              <w:right w:val="single" w:sz="4" w:space="0" w:color="auto"/>
            </w:tcBorders>
            <w:shd w:val="clear" w:color="auto" w:fill="auto"/>
            <w:noWrap/>
            <w:vAlign w:val="bottom"/>
            <w:hideMark/>
          </w:tcPr>
          <w:p w14:paraId="00C92CD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Verhoeven</w:t>
            </w:r>
          </w:p>
        </w:tc>
        <w:tc>
          <w:tcPr>
            <w:tcW w:w="1880" w:type="dxa"/>
            <w:tcBorders>
              <w:top w:val="nil"/>
              <w:left w:val="nil"/>
              <w:bottom w:val="single" w:sz="4" w:space="0" w:color="auto"/>
              <w:right w:val="single" w:sz="4" w:space="0" w:color="auto"/>
            </w:tcBorders>
            <w:shd w:val="clear" w:color="auto" w:fill="auto"/>
            <w:noWrap/>
            <w:vAlign w:val="bottom"/>
            <w:hideMark/>
          </w:tcPr>
          <w:p w14:paraId="40C8D2C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08D0B2B1"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3973753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Australian Indigenous Leadership Centre</w:t>
            </w:r>
          </w:p>
        </w:tc>
        <w:tc>
          <w:tcPr>
            <w:tcW w:w="1447" w:type="dxa"/>
            <w:tcBorders>
              <w:top w:val="nil"/>
              <w:left w:val="nil"/>
              <w:bottom w:val="single" w:sz="4" w:space="0" w:color="auto"/>
              <w:right w:val="single" w:sz="4" w:space="0" w:color="auto"/>
            </w:tcBorders>
            <w:shd w:val="clear" w:color="auto" w:fill="auto"/>
            <w:noWrap/>
            <w:vAlign w:val="bottom"/>
            <w:hideMark/>
          </w:tcPr>
          <w:p w14:paraId="1D64A8B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Belinda</w:t>
            </w:r>
          </w:p>
        </w:tc>
        <w:tc>
          <w:tcPr>
            <w:tcW w:w="1637" w:type="dxa"/>
            <w:tcBorders>
              <w:top w:val="nil"/>
              <w:left w:val="nil"/>
              <w:bottom w:val="single" w:sz="4" w:space="0" w:color="auto"/>
              <w:right w:val="single" w:sz="4" w:space="0" w:color="auto"/>
            </w:tcBorders>
            <w:shd w:val="clear" w:color="auto" w:fill="auto"/>
            <w:noWrap/>
            <w:vAlign w:val="bottom"/>
            <w:hideMark/>
          </w:tcPr>
          <w:p w14:paraId="39A8E68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Gibb</w:t>
            </w:r>
          </w:p>
        </w:tc>
        <w:tc>
          <w:tcPr>
            <w:tcW w:w="1880" w:type="dxa"/>
            <w:tcBorders>
              <w:top w:val="nil"/>
              <w:left w:val="nil"/>
              <w:bottom w:val="single" w:sz="4" w:space="0" w:color="auto"/>
              <w:right w:val="single" w:sz="4" w:space="0" w:color="auto"/>
            </w:tcBorders>
            <w:shd w:val="clear" w:color="auto" w:fill="auto"/>
            <w:noWrap/>
            <w:vAlign w:val="bottom"/>
            <w:hideMark/>
          </w:tcPr>
          <w:p w14:paraId="1FA1449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07305DA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963EA5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Australian Institute of Superannuation Trustees</w:t>
            </w:r>
          </w:p>
        </w:tc>
        <w:tc>
          <w:tcPr>
            <w:tcW w:w="1447" w:type="dxa"/>
            <w:tcBorders>
              <w:top w:val="nil"/>
              <w:left w:val="nil"/>
              <w:bottom w:val="single" w:sz="4" w:space="0" w:color="auto"/>
              <w:right w:val="single" w:sz="4" w:space="0" w:color="auto"/>
            </w:tcBorders>
            <w:shd w:val="clear" w:color="auto" w:fill="auto"/>
            <w:noWrap/>
            <w:vAlign w:val="bottom"/>
            <w:hideMark/>
          </w:tcPr>
          <w:p w14:paraId="19230F9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Tom</w:t>
            </w:r>
          </w:p>
        </w:tc>
        <w:tc>
          <w:tcPr>
            <w:tcW w:w="1637" w:type="dxa"/>
            <w:tcBorders>
              <w:top w:val="nil"/>
              <w:left w:val="nil"/>
              <w:bottom w:val="single" w:sz="4" w:space="0" w:color="auto"/>
              <w:right w:val="single" w:sz="4" w:space="0" w:color="auto"/>
            </w:tcBorders>
            <w:shd w:val="clear" w:color="auto" w:fill="auto"/>
            <w:noWrap/>
            <w:vAlign w:val="bottom"/>
            <w:hideMark/>
          </w:tcPr>
          <w:p w14:paraId="7119B57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Garcia</w:t>
            </w:r>
          </w:p>
        </w:tc>
        <w:tc>
          <w:tcPr>
            <w:tcW w:w="1880" w:type="dxa"/>
            <w:tcBorders>
              <w:top w:val="nil"/>
              <w:left w:val="nil"/>
              <w:bottom w:val="single" w:sz="4" w:space="0" w:color="auto"/>
              <w:right w:val="single" w:sz="4" w:space="0" w:color="auto"/>
            </w:tcBorders>
            <w:shd w:val="clear" w:color="auto" w:fill="auto"/>
            <w:noWrap/>
            <w:vAlign w:val="bottom"/>
            <w:hideMark/>
          </w:tcPr>
          <w:p w14:paraId="0254B85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0F3E3B3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584F80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Australian Major Performing Arts Group</w:t>
            </w:r>
          </w:p>
        </w:tc>
        <w:tc>
          <w:tcPr>
            <w:tcW w:w="1447" w:type="dxa"/>
            <w:tcBorders>
              <w:top w:val="nil"/>
              <w:left w:val="nil"/>
              <w:bottom w:val="single" w:sz="4" w:space="0" w:color="auto"/>
              <w:right w:val="single" w:sz="4" w:space="0" w:color="auto"/>
            </w:tcBorders>
            <w:shd w:val="clear" w:color="auto" w:fill="auto"/>
            <w:noWrap/>
            <w:vAlign w:val="bottom"/>
            <w:hideMark/>
          </w:tcPr>
          <w:p w14:paraId="392B1B4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Bethwyn </w:t>
            </w:r>
          </w:p>
        </w:tc>
        <w:tc>
          <w:tcPr>
            <w:tcW w:w="1637" w:type="dxa"/>
            <w:tcBorders>
              <w:top w:val="nil"/>
              <w:left w:val="nil"/>
              <w:bottom w:val="single" w:sz="4" w:space="0" w:color="auto"/>
              <w:right w:val="single" w:sz="4" w:space="0" w:color="auto"/>
            </w:tcBorders>
            <w:shd w:val="clear" w:color="auto" w:fill="auto"/>
            <w:noWrap/>
            <w:vAlign w:val="bottom"/>
            <w:hideMark/>
          </w:tcPr>
          <w:p w14:paraId="45C1D34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Serow </w:t>
            </w:r>
          </w:p>
        </w:tc>
        <w:tc>
          <w:tcPr>
            <w:tcW w:w="1880" w:type="dxa"/>
            <w:tcBorders>
              <w:top w:val="nil"/>
              <w:left w:val="nil"/>
              <w:bottom w:val="single" w:sz="4" w:space="0" w:color="auto"/>
              <w:right w:val="single" w:sz="4" w:space="0" w:color="auto"/>
            </w:tcBorders>
            <w:shd w:val="clear" w:color="auto" w:fill="auto"/>
            <w:noWrap/>
            <w:vAlign w:val="bottom"/>
            <w:hideMark/>
          </w:tcPr>
          <w:p w14:paraId="37D2060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4C542D44"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171C24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Australian Women Donors Network</w:t>
            </w:r>
          </w:p>
        </w:tc>
        <w:tc>
          <w:tcPr>
            <w:tcW w:w="1447" w:type="dxa"/>
            <w:tcBorders>
              <w:top w:val="nil"/>
              <w:left w:val="nil"/>
              <w:bottom w:val="single" w:sz="4" w:space="0" w:color="auto"/>
              <w:right w:val="single" w:sz="4" w:space="0" w:color="auto"/>
            </w:tcBorders>
            <w:shd w:val="clear" w:color="auto" w:fill="auto"/>
            <w:noWrap/>
            <w:vAlign w:val="bottom"/>
            <w:hideMark/>
          </w:tcPr>
          <w:p w14:paraId="64372B2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Julie </w:t>
            </w:r>
          </w:p>
        </w:tc>
        <w:tc>
          <w:tcPr>
            <w:tcW w:w="1637" w:type="dxa"/>
            <w:tcBorders>
              <w:top w:val="nil"/>
              <w:left w:val="nil"/>
              <w:bottom w:val="single" w:sz="4" w:space="0" w:color="auto"/>
              <w:right w:val="single" w:sz="4" w:space="0" w:color="auto"/>
            </w:tcBorders>
            <w:shd w:val="clear" w:color="auto" w:fill="auto"/>
            <w:noWrap/>
            <w:vAlign w:val="bottom"/>
            <w:hideMark/>
          </w:tcPr>
          <w:p w14:paraId="33807A8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Reilly</w:t>
            </w:r>
          </w:p>
        </w:tc>
        <w:tc>
          <w:tcPr>
            <w:tcW w:w="1880" w:type="dxa"/>
            <w:tcBorders>
              <w:top w:val="nil"/>
              <w:left w:val="nil"/>
              <w:bottom w:val="single" w:sz="4" w:space="0" w:color="auto"/>
              <w:right w:val="single" w:sz="4" w:space="0" w:color="auto"/>
            </w:tcBorders>
            <w:shd w:val="clear" w:color="auto" w:fill="auto"/>
            <w:noWrap/>
            <w:vAlign w:val="bottom"/>
            <w:hideMark/>
          </w:tcPr>
          <w:p w14:paraId="62EA29D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0488C638"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545975D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Benevolent Society </w:t>
            </w:r>
          </w:p>
        </w:tc>
        <w:tc>
          <w:tcPr>
            <w:tcW w:w="1447" w:type="dxa"/>
            <w:tcBorders>
              <w:top w:val="nil"/>
              <w:left w:val="nil"/>
              <w:bottom w:val="single" w:sz="4" w:space="0" w:color="auto"/>
              <w:right w:val="single" w:sz="4" w:space="0" w:color="auto"/>
            </w:tcBorders>
            <w:shd w:val="clear" w:color="auto" w:fill="auto"/>
            <w:noWrap/>
            <w:vAlign w:val="bottom"/>
            <w:hideMark/>
          </w:tcPr>
          <w:p w14:paraId="0709FD9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Joanne</w:t>
            </w:r>
          </w:p>
        </w:tc>
        <w:tc>
          <w:tcPr>
            <w:tcW w:w="1637" w:type="dxa"/>
            <w:tcBorders>
              <w:top w:val="nil"/>
              <w:left w:val="nil"/>
              <w:bottom w:val="single" w:sz="4" w:space="0" w:color="auto"/>
              <w:right w:val="single" w:sz="4" w:space="0" w:color="auto"/>
            </w:tcBorders>
            <w:shd w:val="clear" w:color="auto" w:fill="auto"/>
            <w:noWrap/>
            <w:vAlign w:val="bottom"/>
            <w:hideMark/>
          </w:tcPr>
          <w:p w14:paraId="2553415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Toohey</w:t>
            </w:r>
          </w:p>
        </w:tc>
        <w:tc>
          <w:tcPr>
            <w:tcW w:w="1880" w:type="dxa"/>
            <w:tcBorders>
              <w:top w:val="nil"/>
              <w:left w:val="nil"/>
              <w:bottom w:val="single" w:sz="4" w:space="0" w:color="auto"/>
              <w:right w:val="single" w:sz="4" w:space="0" w:color="auto"/>
            </w:tcBorders>
            <w:shd w:val="clear" w:color="auto" w:fill="auto"/>
            <w:noWrap/>
            <w:vAlign w:val="bottom"/>
            <w:hideMark/>
          </w:tcPr>
          <w:p w14:paraId="05FE36C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00965BA0"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0E28F5D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Business Council of Cooperatives and Mutuals</w:t>
            </w:r>
          </w:p>
        </w:tc>
        <w:tc>
          <w:tcPr>
            <w:tcW w:w="1447" w:type="dxa"/>
            <w:tcBorders>
              <w:top w:val="nil"/>
              <w:left w:val="nil"/>
              <w:bottom w:val="single" w:sz="4" w:space="0" w:color="auto"/>
              <w:right w:val="single" w:sz="4" w:space="0" w:color="auto"/>
            </w:tcBorders>
            <w:shd w:val="clear" w:color="auto" w:fill="auto"/>
            <w:noWrap/>
            <w:vAlign w:val="bottom"/>
            <w:hideMark/>
          </w:tcPr>
          <w:p w14:paraId="546CD68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Melina </w:t>
            </w:r>
          </w:p>
        </w:tc>
        <w:tc>
          <w:tcPr>
            <w:tcW w:w="1637" w:type="dxa"/>
            <w:tcBorders>
              <w:top w:val="nil"/>
              <w:left w:val="nil"/>
              <w:bottom w:val="single" w:sz="4" w:space="0" w:color="auto"/>
              <w:right w:val="single" w:sz="4" w:space="0" w:color="auto"/>
            </w:tcBorders>
            <w:shd w:val="clear" w:color="auto" w:fill="auto"/>
            <w:noWrap/>
            <w:vAlign w:val="bottom"/>
            <w:hideMark/>
          </w:tcPr>
          <w:p w14:paraId="6E6E0E0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Morrison</w:t>
            </w:r>
          </w:p>
        </w:tc>
        <w:tc>
          <w:tcPr>
            <w:tcW w:w="1880" w:type="dxa"/>
            <w:tcBorders>
              <w:top w:val="nil"/>
              <w:left w:val="nil"/>
              <w:bottom w:val="single" w:sz="4" w:space="0" w:color="auto"/>
              <w:right w:val="single" w:sz="4" w:space="0" w:color="auto"/>
            </w:tcBorders>
            <w:shd w:val="clear" w:color="auto" w:fill="auto"/>
            <w:noWrap/>
            <w:vAlign w:val="bottom"/>
            <w:hideMark/>
          </w:tcPr>
          <w:p w14:paraId="0F1DAD8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64DD0C2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345C53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Carers Australia</w:t>
            </w:r>
          </w:p>
        </w:tc>
        <w:tc>
          <w:tcPr>
            <w:tcW w:w="1447" w:type="dxa"/>
            <w:tcBorders>
              <w:top w:val="nil"/>
              <w:left w:val="nil"/>
              <w:bottom w:val="single" w:sz="4" w:space="0" w:color="auto"/>
              <w:right w:val="single" w:sz="4" w:space="0" w:color="auto"/>
            </w:tcBorders>
            <w:shd w:val="clear" w:color="auto" w:fill="auto"/>
            <w:noWrap/>
            <w:vAlign w:val="bottom"/>
            <w:hideMark/>
          </w:tcPr>
          <w:p w14:paraId="46ABC2B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Ara</w:t>
            </w:r>
          </w:p>
        </w:tc>
        <w:tc>
          <w:tcPr>
            <w:tcW w:w="1637" w:type="dxa"/>
            <w:tcBorders>
              <w:top w:val="nil"/>
              <w:left w:val="nil"/>
              <w:bottom w:val="single" w:sz="4" w:space="0" w:color="auto"/>
              <w:right w:val="single" w:sz="4" w:space="0" w:color="auto"/>
            </w:tcBorders>
            <w:shd w:val="clear" w:color="auto" w:fill="auto"/>
            <w:noWrap/>
            <w:vAlign w:val="bottom"/>
            <w:hideMark/>
          </w:tcPr>
          <w:p w14:paraId="465AF0B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Cresswell</w:t>
            </w:r>
          </w:p>
        </w:tc>
        <w:tc>
          <w:tcPr>
            <w:tcW w:w="1880" w:type="dxa"/>
            <w:tcBorders>
              <w:top w:val="nil"/>
              <w:left w:val="nil"/>
              <w:bottom w:val="single" w:sz="4" w:space="0" w:color="auto"/>
              <w:right w:val="single" w:sz="4" w:space="0" w:color="auto"/>
            </w:tcBorders>
            <w:shd w:val="clear" w:color="auto" w:fill="auto"/>
            <w:noWrap/>
            <w:vAlign w:val="bottom"/>
            <w:hideMark/>
          </w:tcPr>
          <w:p w14:paraId="29D17E0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476345E7"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0F27980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Centre for Social Impact</w:t>
            </w:r>
          </w:p>
        </w:tc>
        <w:tc>
          <w:tcPr>
            <w:tcW w:w="1447" w:type="dxa"/>
            <w:tcBorders>
              <w:top w:val="nil"/>
              <w:left w:val="nil"/>
              <w:bottom w:val="single" w:sz="4" w:space="0" w:color="auto"/>
              <w:right w:val="single" w:sz="4" w:space="0" w:color="auto"/>
            </w:tcBorders>
            <w:shd w:val="clear" w:color="auto" w:fill="auto"/>
            <w:noWrap/>
            <w:vAlign w:val="bottom"/>
            <w:hideMark/>
          </w:tcPr>
          <w:p w14:paraId="7CFEE01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Andrew </w:t>
            </w:r>
          </w:p>
        </w:tc>
        <w:tc>
          <w:tcPr>
            <w:tcW w:w="1637" w:type="dxa"/>
            <w:tcBorders>
              <w:top w:val="nil"/>
              <w:left w:val="nil"/>
              <w:bottom w:val="single" w:sz="4" w:space="0" w:color="auto"/>
              <w:right w:val="single" w:sz="4" w:space="0" w:color="auto"/>
            </w:tcBorders>
            <w:shd w:val="clear" w:color="auto" w:fill="auto"/>
            <w:noWrap/>
            <w:vAlign w:val="bottom"/>
            <w:hideMark/>
          </w:tcPr>
          <w:p w14:paraId="58E78CA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Young</w:t>
            </w:r>
          </w:p>
        </w:tc>
        <w:tc>
          <w:tcPr>
            <w:tcW w:w="1880" w:type="dxa"/>
            <w:tcBorders>
              <w:top w:val="nil"/>
              <w:left w:val="nil"/>
              <w:bottom w:val="single" w:sz="4" w:space="0" w:color="auto"/>
              <w:right w:val="single" w:sz="4" w:space="0" w:color="auto"/>
            </w:tcBorders>
            <w:shd w:val="clear" w:color="auto" w:fill="auto"/>
            <w:noWrap/>
            <w:vAlign w:val="bottom"/>
            <w:hideMark/>
          </w:tcPr>
          <w:p w14:paraId="460BA26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4376DB31"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67D96F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Church Communities Australia</w:t>
            </w:r>
          </w:p>
        </w:tc>
        <w:tc>
          <w:tcPr>
            <w:tcW w:w="1447" w:type="dxa"/>
            <w:tcBorders>
              <w:top w:val="nil"/>
              <w:left w:val="nil"/>
              <w:bottom w:val="single" w:sz="4" w:space="0" w:color="auto"/>
              <w:right w:val="single" w:sz="4" w:space="0" w:color="auto"/>
            </w:tcBorders>
            <w:shd w:val="clear" w:color="auto" w:fill="auto"/>
            <w:noWrap/>
            <w:vAlign w:val="bottom"/>
            <w:hideMark/>
          </w:tcPr>
          <w:p w14:paraId="5B16739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Chris </w:t>
            </w:r>
          </w:p>
        </w:tc>
        <w:tc>
          <w:tcPr>
            <w:tcW w:w="1637" w:type="dxa"/>
            <w:tcBorders>
              <w:top w:val="nil"/>
              <w:left w:val="nil"/>
              <w:bottom w:val="single" w:sz="4" w:space="0" w:color="auto"/>
              <w:right w:val="single" w:sz="4" w:space="0" w:color="auto"/>
            </w:tcBorders>
            <w:shd w:val="clear" w:color="auto" w:fill="auto"/>
            <w:noWrap/>
            <w:vAlign w:val="bottom"/>
            <w:hideMark/>
          </w:tcPr>
          <w:p w14:paraId="075CBE6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Voll</w:t>
            </w:r>
          </w:p>
        </w:tc>
        <w:tc>
          <w:tcPr>
            <w:tcW w:w="1880" w:type="dxa"/>
            <w:tcBorders>
              <w:top w:val="nil"/>
              <w:left w:val="nil"/>
              <w:bottom w:val="single" w:sz="4" w:space="0" w:color="auto"/>
              <w:right w:val="single" w:sz="4" w:space="0" w:color="auto"/>
            </w:tcBorders>
            <w:shd w:val="clear" w:color="auto" w:fill="auto"/>
            <w:noWrap/>
            <w:vAlign w:val="bottom"/>
            <w:hideMark/>
          </w:tcPr>
          <w:p w14:paraId="0C01FDE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63950DBA"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1C3B0D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Churches of Christ Vic and Tas</w:t>
            </w:r>
          </w:p>
        </w:tc>
        <w:tc>
          <w:tcPr>
            <w:tcW w:w="1447" w:type="dxa"/>
            <w:tcBorders>
              <w:top w:val="nil"/>
              <w:left w:val="nil"/>
              <w:bottom w:val="single" w:sz="4" w:space="0" w:color="auto"/>
              <w:right w:val="single" w:sz="4" w:space="0" w:color="auto"/>
            </w:tcBorders>
            <w:shd w:val="clear" w:color="auto" w:fill="auto"/>
            <w:noWrap/>
            <w:vAlign w:val="bottom"/>
            <w:hideMark/>
          </w:tcPr>
          <w:p w14:paraId="0B63A08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Gabriel</w:t>
            </w:r>
          </w:p>
        </w:tc>
        <w:tc>
          <w:tcPr>
            <w:tcW w:w="1637" w:type="dxa"/>
            <w:tcBorders>
              <w:top w:val="nil"/>
              <w:left w:val="nil"/>
              <w:bottom w:val="single" w:sz="4" w:space="0" w:color="auto"/>
              <w:right w:val="single" w:sz="4" w:space="0" w:color="auto"/>
            </w:tcBorders>
            <w:shd w:val="clear" w:color="auto" w:fill="auto"/>
            <w:noWrap/>
            <w:vAlign w:val="bottom"/>
            <w:hideMark/>
          </w:tcPr>
          <w:p w14:paraId="08129AB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Hingley</w:t>
            </w:r>
          </w:p>
        </w:tc>
        <w:tc>
          <w:tcPr>
            <w:tcW w:w="1880" w:type="dxa"/>
            <w:tcBorders>
              <w:top w:val="nil"/>
              <w:left w:val="nil"/>
              <w:bottom w:val="single" w:sz="4" w:space="0" w:color="auto"/>
              <w:right w:val="single" w:sz="4" w:space="0" w:color="auto"/>
            </w:tcBorders>
            <w:shd w:val="clear" w:color="auto" w:fill="auto"/>
            <w:noWrap/>
            <w:vAlign w:val="bottom"/>
            <w:hideMark/>
          </w:tcPr>
          <w:p w14:paraId="4CC6040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Exec Director</w:t>
            </w:r>
          </w:p>
        </w:tc>
      </w:tr>
      <w:tr w:rsidR="00060937" w:rsidRPr="00512BCC" w14:paraId="3CFA1C50"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83C979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Community Based Support (Tas)</w:t>
            </w:r>
          </w:p>
        </w:tc>
        <w:tc>
          <w:tcPr>
            <w:tcW w:w="1447" w:type="dxa"/>
            <w:tcBorders>
              <w:top w:val="nil"/>
              <w:left w:val="nil"/>
              <w:bottom w:val="single" w:sz="4" w:space="0" w:color="auto"/>
              <w:right w:val="single" w:sz="4" w:space="0" w:color="auto"/>
            </w:tcBorders>
            <w:shd w:val="clear" w:color="auto" w:fill="auto"/>
            <w:noWrap/>
            <w:vAlign w:val="bottom"/>
            <w:hideMark/>
          </w:tcPr>
          <w:p w14:paraId="778FB7A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Murray </w:t>
            </w:r>
          </w:p>
        </w:tc>
        <w:tc>
          <w:tcPr>
            <w:tcW w:w="1637" w:type="dxa"/>
            <w:tcBorders>
              <w:top w:val="nil"/>
              <w:left w:val="nil"/>
              <w:bottom w:val="single" w:sz="4" w:space="0" w:color="auto"/>
              <w:right w:val="single" w:sz="4" w:space="0" w:color="auto"/>
            </w:tcBorders>
            <w:shd w:val="clear" w:color="auto" w:fill="auto"/>
            <w:noWrap/>
            <w:vAlign w:val="bottom"/>
            <w:hideMark/>
          </w:tcPr>
          <w:p w14:paraId="5F86101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Coates</w:t>
            </w:r>
          </w:p>
        </w:tc>
        <w:tc>
          <w:tcPr>
            <w:tcW w:w="1880" w:type="dxa"/>
            <w:tcBorders>
              <w:top w:val="nil"/>
              <w:left w:val="nil"/>
              <w:bottom w:val="single" w:sz="4" w:space="0" w:color="auto"/>
              <w:right w:val="single" w:sz="4" w:space="0" w:color="auto"/>
            </w:tcBorders>
            <w:shd w:val="clear" w:color="auto" w:fill="auto"/>
            <w:noWrap/>
            <w:vAlign w:val="bottom"/>
            <w:hideMark/>
          </w:tcPr>
          <w:p w14:paraId="3523E44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06C475E8"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21D07B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Community Broadcasting Association of Australia</w:t>
            </w:r>
          </w:p>
        </w:tc>
        <w:tc>
          <w:tcPr>
            <w:tcW w:w="1447" w:type="dxa"/>
            <w:tcBorders>
              <w:top w:val="nil"/>
              <w:left w:val="nil"/>
              <w:bottom w:val="single" w:sz="4" w:space="0" w:color="auto"/>
              <w:right w:val="single" w:sz="4" w:space="0" w:color="auto"/>
            </w:tcBorders>
            <w:shd w:val="clear" w:color="auto" w:fill="auto"/>
            <w:noWrap/>
            <w:vAlign w:val="bottom"/>
            <w:hideMark/>
          </w:tcPr>
          <w:p w14:paraId="0EBD215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Jon</w:t>
            </w:r>
          </w:p>
        </w:tc>
        <w:tc>
          <w:tcPr>
            <w:tcW w:w="1637" w:type="dxa"/>
            <w:tcBorders>
              <w:top w:val="nil"/>
              <w:left w:val="nil"/>
              <w:bottom w:val="single" w:sz="4" w:space="0" w:color="auto"/>
              <w:right w:val="single" w:sz="4" w:space="0" w:color="auto"/>
            </w:tcBorders>
            <w:shd w:val="clear" w:color="auto" w:fill="auto"/>
            <w:noWrap/>
            <w:vAlign w:val="bottom"/>
            <w:hideMark/>
          </w:tcPr>
          <w:p w14:paraId="08B3D84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Bisset</w:t>
            </w:r>
          </w:p>
        </w:tc>
        <w:tc>
          <w:tcPr>
            <w:tcW w:w="1880" w:type="dxa"/>
            <w:tcBorders>
              <w:top w:val="nil"/>
              <w:left w:val="nil"/>
              <w:bottom w:val="single" w:sz="4" w:space="0" w:color="auto"/>
              <w:right w:val="single" w:sz="4" w:space="0" w:color="auto"/>
            </w:tcBorders>
            <w:shd w:val="clear" w:color="auto" w:fill="auto"/>
            <w:noWrap/>
            <w:vAlign w:val="bottom"/>
            <w:hideMark/>
          </w:tcPr>
          <w:p w14:paraId="767BCF1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09C2DD45"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39EC02F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Community Colleges Australia</w:t>
            </w:r>
          </w:p>
        </w:tc>
        <w:tc>
          <w:tcPr>
            <w:tcW w:w="1447" w:type="dxa"/>
            <w:tcBorders>
              <w:top w:val="nil"/>
              <w:left w:val="nil"/>
              <w:bottom w:val="single" w:sz="4" w:space="0" w:color="auto"/>
              <w:right w:val="single" w:sz="4" w:space="0" w:color="auto"/>
            </w:tcBorders>
            <w:shd w:val="clear" w:color="auto" w:fill="auto"/>
            <w:noWrap/>
            <w:vAlign w:val="bottom"/>
            <w:hideMark/>
          </w:tcPr>
          <w:p w14:paraId="2E39EA9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Don</w:t>
            </w:r>
          </w:p>
        </w:tc>
        <w:tc>
          <w:tcPr>
            <w:tcW w:w="1637" w:type="dxa"/>
            <w:tcBorders>
              <w:top w:val="nil"/>
              <w:left w:val="nil"/>
              <w:bottom w:val="single" w:sz="4" w:space="0" w:color="auto"/>
              <w:right w:val="single" w:sz="4" w:space="0" w:color="auto"/>
            </w:tcBorders>
            <w:shd w:val="clear" w:color="auto" w:fill="auto"/>
            <w:noWrap/>
            <w:vAlign w:val="bottom"/>
            <w:hideMark/>
          </w:tcPr>
          <w:p w14:paraId="7EE8585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Perlgut</w:t>
            </w:r>
          </w:p>
        </w:tc>
        <w:tc>
          <w:tcPr>
            <w:tcW w:w="1880" w:type="dxa"/>
            <w:tcBorders>
              <w:top w:val="nil"/>
              <w:left w:val="nil"/>
              <w:bottom w:val="single" w:sz="4" w:space="0" w:color="auto"/>
              <w:right w:val="single" w:sz="4" w:space="0" w:color="auto"/>
            </w:tcBorders>
            <w:shd w:val="clear" w:color="auto" w:fill="auto"/>
            <w:noWrap/>
            <w:vAlign w:val="bottom"/>
            <w:hideMark/>
          </w:tcPr>
          <w:p w14:paraId="329142F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12A49C10"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13AF43E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Connecting Up</w:t>
            </w:r>
          </w:p>
        </w:tc>
        <w:tc>
          <w:tcPr>
            <w:tcW w:w="1447" w:type="dxa"/>
            <w:tcBorders>
              <w:top w:val="nil"/>
              <w:left w:val="nil"/>
              <w:bottom w:val="single" w:sz="4" w:space="0" w:color="auto"/>
              <w:right w:val="single" w:sz="4" w:space="0" w:color="auto"/>
            </w:tcBorders>
            <w:shd w:val="clear" w:color="auto" w:fill="auto"/>
            <w:noWrap/>
            <w:vAlign w:val="bottom"/>
            <w:hideMark/>
          </w:tcPr>
          <w:p w14:paraId="45CC083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Anne </w:t>
            </w:r>
          </w:p>
        </w:tc>
        <w:tc>
          <w:tcPr>
            <w:tcW w:w="1637" w:type="dxa"/>
            <w:tcBorders>
              <w:top w:val="nil"/>
              <w:left w:val="nil"/>
              <w:bottom w:val="single" w:sz="4" w:space="0" w:color="auto"/>
              <w:right w:val="single" w:sz="4" w:space="0" w:color="auto"/>
            </w:tcBorders>
            <w:shd w:val="clear" w:color="auto" w:fill="auto"/>
            <w:noWrap/>
            <w:vAlign w:val="bottom"/>
            <w:hideMark/>
          </w:tcPr>
          <w:p w14:paraId="3F6350D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Gawen</w:t>
            </w:r>
          </w:p>
        </w:tc>
        <w:tc>
          <w:tcPr>
            <w:tcW w:w="1880" w:type="dxa"/>
            <w:tcBorders>
              <w:top w:val="nil"/>
              <w:left w:val="nil"/>
              <w:bottom w:val="single" w:sz="4" w:space="0" w:color="auto"/>
              <w:right w:val="single" w:sz="4" w:space="0" w:color="auto"/>
            </w:tcBorders>
            <w:shd w:val="clear" w:color="auto" w:fill="auto"/>
            <w:noWrap/>
            <w:vAlign w:val="bottom"/>
            <w:hideMark/>
          </w:tcPr>
          <w:p w14:paraId="6021FAE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501BB82F"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5003C13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Drug Arm Australasia</w:t>
            </w:r>
          </w:p>
        </w:tc>
        <w:tc>
          <w:tcPr>
            <w:tcW w:w="1447" w:type="dxa"/>
            <w:tcBorders>
              <w:top w:val="nil"/>
              <w:left w:val="nil"/>
              <w:bottom w:val="single" w:sz="4" w:space="0" w:color="auto"/>
              <w:right w:val="single" w:sz="4" w:space="0" w:color="auto"/>
            </w:tcBorders>
            <w:shd w:val="clear" w:color="auto" w:fill="auto"/>
            <w:noWrap/>
            <w:vAlign w:val="bottom"/>
            <w:hideMark/>
          </w:tcPr>
          <w:p w14:paraId="3B19408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Dennis</w:t>
            </w:r>
          </w:p>
        </w:tc>
        <w:tc>
          <w:tcPr>
            <w:tcW w:w="1637" w:type="dxa"/>
            <w:tcBorders>
              <w:top w:val="nil"/>
              <w:left w:val="nil"/>
              <w:bottom w:val="single" w:sz="4" w:space="0" w:color="auto"/>
              <w:right w:val="single" w:sz="4" w:space="0" w:color="auto"/>
            </w:tcBorders>
            <w:shd w:val="clear" w:color="auto" w:fill="auto"/>
            <w:noWrap/>
            <w:vAlign w:val="bottom"/>
            <w:hideMark/>
          </w:tcPr>
          <w:p w14:paraId="52CDBFE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Young</w:t>
            </w:r>
          </w:p>
        </w:tc>
        <w:tc>
          <w:tcPr>
            <w:tcW w:w="1880" w:type="dxa"/>
            <w:tcBorders>
              <w:top w:val="nil"/>
              <w:left w:val="nil"/>
              <w:bottom w:val="single" w:sz="4" w:space="0" w:color="auto"/>
              <w:right w:val="single" w:sz="4" w:space="0" w:color="auto"/>
            </w:tcBorders>
            <w:shd w:val="clear" w:color="auto" w:fill="auto"/>
            <w:noWrap/>
            <w:vAlign w:val="bottom"/>
            <w:hideMark/>
          </w:tcPr>
          <w:p w14:paraId="3A46FB1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586A782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5275D59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Emotion 21</w:t>
            </w:r>
          </w:p>
        </w:tc>
        <w:tc>
          <w:tcPr>
            <w:tcW w:w="1447" w:type="dxa"/>
            <w:tcBorders>
              <w:top w:val="nil"/>
              <w:left w:val="nil"/>
              <w:bottom w:val="single" w:sz="4" w:space="0" w:color="auto"/>
              <w:right w:val="single" w:sz="4" w:space="0" w:color="auto"/>
            </w:tcBorders>
            <w:shd w:val="clear" w:color="auto" w:fill="auto"/>
            <w:noWrap/>
            <w:vAlign w:val="bottom"/>
            <w:hideMark/>
          </w:tcPr>
          <w:p w14:paraId="0D8EE42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Claire</w:t>
            </w:r>
          </w:p>
        </w:tc>
        <w:tc>
          <w:tcPr>
            <w:tcW w:w="1637" w:type="dxa"/>
            <w:tcBorders>
              <w:top w:val="nil"/>
              <w:left w:val="nil"/>
              <w:bottom w:val="single" w:sz="4" w:space="0" w:color="auto"/>
              <w:right w:val="single" w:sz="4" w:space="0" w:color="auto"/>
            </w:tcBorders>
            <w:shd w:val="clear" w:color="auto" w:fill="auto"/>
            <w:noWrap/>
            <w:vAlign w:val="bottom"/>
            <w:hideMark/>
          </w:tcPr>
          <w:p w14:paraId="3DD2B8A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Vissenga</w:t>
            </w:r>
          </w:p>
        </w:tc>
        <w:tc>
          <w:tcPr>
            <w:tcW w:w="1880" w:type="dxa"/>
            <w:tcBorders>
              <w:top w:val="nil"/>
              <w:left w:val="nil"/>
              <w:bottom w:val="single" w:sz="4" w:space="0" w:color="auto"/>
              <w:right w:val="single" w:sz="4" w:space="0" w:color="auto"/>
            </w:tcBorders>
            <w:shd w:val="clear" w:color="auto" w:fill="auto"/>
            <w:noWrap/>
            <w:vAlign w:val="bottom"/>
            <w:hideMark/>
          </w:tcPr>
          <w:p w14:paraId="5801CEE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56CE4B58"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078FADD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Ethical Jobs</w:t>
            </w:r>
          </w:p>
        </w:tc>
        <w:tc>
          <w:tcPr>
            <w:tcW w:w="1447" w:type="dxa"/>
            <w:tcBorders>
              <w:top w:val="nil"/>
              <w:left w:val="nil"/>
              <w:bottom w:val="single" w:sz="4" w:space="0" w:color="auto"/>
              <w:right w:val="single" w:sz="4" w:space="0" w:color="auto"/>
            </w:tcBorders>
            <w:shd w:val="clear" w:color="auto" w:fill="auto"/>
            <w:noWrap/>
            <w:vAlign w:val="bottom"/>
            <w:hideMark/>
          </w:tcPr>
          <w:p w14:paraId="2E0D8DE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Michael </w:t>
            </w:r>
          </w:p>
        </w:tc>
        <w:tc>
          <w:tcPr>
            <w:tcW w:w="1637" w:type="dxa"/>
            <w:tcBorders>
              <w:top w:val="nil"/>
              <w:left w:val="nil"/>
              <w:bottom w:val="single" w:sz="4" w:space="0" w:color="auto"/>
              <w:right w:val="single" w:sz="4" w:space="0" w:color="auto"/>
            </w:tcBorders>
            <w:shd w:val="clear" w:color="auto" w:fill="auto"/>
            <w:noWrap/>
            <w:vAlign w:val="bottom"/>
            <w:hideMark/>
          </w:tcPr>
          <w:p w14:paraId="590A1E4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Cebon</w:t>
            </w:r>
          </w:p>
        </w:tc>
        <w:tc>
          <w:tcPr>
            <w:tcW w:w="1880" w:type="dxa"/>
            <w:tcBorders>
              <w:top w:val="nil"/>
              <w:left w:val="nil"/>
              <w:bottom w:val="single" w:sz="4" w:space="0" w:color="auto"/>
              <w:right w:val="single" w:sz="4" w:space="0" w:color="auto"/>
            </w:tcBorders>
            <w:shd w:val="clear" w:color="auto" w:fill="auto"/>
            <w:noWrap/>
            <w:vAlign w:val="bottom"/>
            <w:hideMark/>
          </w:tcPr>
          <w:p w14:paraId="7439571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4A6DF044"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32D47E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Everyman</w:t>
            </w:r>
          </w:p>
        </w:tc>
        <w:tc>
          <w:tcPr>
            <w:tcW w:w="1447" w:type="dxa"/>
            <w:tcBorders>
              <w:top w:val="nil"/>
              <w:left w:val="nil"/>
              <w:bottom w:val="single" w:sz="4" w:space="0" w:color="auto"/>
              <w:right w:val="single" w:sz="4" w:space="0" w:color="auto"/>
            </w:tcBorders>
            <w:shd w:val="clear" w:color="auto" w:fill="auto"/>
            <w:noWrap/>
            <w:vAlign w:val="bottom"/>
            <w:hideMark/>
          </w:tcPr>
          <w:p w14:paraId="3B2C806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Greg </w:t>
            </w:r>
          </w:p>
        </w:tc>
        <w:tc>
          <w:tcPr>
            <w:tcW w:w="1637" w:type="dxa"/>
            <w:tcBorders>
              <w:top w:val="nil"/>
              <w:left w:val="nil"/>
              <w:bottom w:val="single" w:sz="4" w:space="0" w:color="auto"/>
              <w:right w:val="single" w:sz="4" w:space="0" w:color="auto"/>
            </w:tcBorders>
            <w:shd w:val="clear" w:color="auto" w:fill="auto"/>
            <w:noWrap/>
            <w:vAlign w:val="bottom"/>
            <w:hideMark/>
          </w:tcPr>
          <w:p w14:paraId="354793B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Aldridge</w:t>
            </w:r>
          </w:p>
        </w:tc>
        <w:tc>
          <w:tcPr>
            <w:tcW w:w="1880" w:type="dxa"/>
            <w:tcBorders>
              <w:top w:val="nil"/>
              <w:left w:val="nil"/>
              <w:bottom w:val="single" w:sz="4" w:space="0" w:color="auto"/>
              <w:right w:val="single" w:sz="4" w:space="0" w:color="auto"/>
            </w:tcBorders>
            <w:shd w:val="clear" w:color="auto" w:fill="auto"/>
            <w:noWrap/>
            <w:vAlign w:val="bottom"/>
            <w:hideMark/>
          </w:tcPr>
          <w:p w14:paraId="15FA9D3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1939DEF"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76A73DC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Foresters Community Finance</w:t>
            </w:r>
          </w:p>
        </w:tc>
        <w:tc>
          <w:tcPr>
            <w:tcW w:w="1447" w:type="dxa"/>
            <w:tcBorders>
              <w:top w:val="nil"/>
              <w:left w:val="nil"/>
              <w:bottom w:val="single" w:sz="4" w:space="0" w:color="auto"/>
              <w:right w:val="single" w:sz="4" w:space="0" w:color="auto"/>
            </w:tcBorders>
            <w:shd w:val="clear" w:color="auto" w:fill="auto"/>
            <w:noWrap/>
            <w:vAlign w:val="bottom"/>
            <w:hideMark/>
          </w:tcPr>
          <w:p w14:paraId="08F9529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Rhyll</w:t>
            </w:r>
          </w:p>
        </w:tc>
        <w:tc>
          <w:tcPr>
            <w:tcW w:w="1637" w:type="dxa"/>
            <w:tcBorders>
              <w:top w:val="nil"/>
              <w:left w:val="nil"/>
              <w:bottom w:val="single" w:sz="4" w:space="0" w:color="auto"/>
              <w:right w:val="single" w:sz="4" w:space="0" w:color="auto"/>
            </w:tcBorders>
            <w:shd w:val="clear" w:color="auto" w:fill="auto"/>
            <w:noWrap/>
            <w:vAlign w:val="bottom"/>
            <w:hideMark/>
          </w:tcPr>
          <w:p w14:paraId="5FE2EC6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Gardner</w:t>
            </w:r>
          </w:p>
        </w:tc>
        <w:tc>
          <w:tcPr>
            <w:tcW w:w="1880" w:type="dxa"/>
            <w:tcBorders>
              <w:top w:val="nil"/>
              <w:left w:val="nil"/>
              <w:bottom w:val="single" w:sz="4" w:space="0" w:color="auto"/>
              <w:right w:val="single" w:sz="4" w:space="0" w:color="auto"/>
            </w:tcBorders>
            <w:shd w:val="clear" w:color="auto" w:fill="auto"/>
            <w:noWrap/>
            <w:vAlign w:val="bottom"/>
            <w:hideMark/>
          </w:tcPr>
          <w:p w14:paraId="1F9350E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1F552F5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71EC8D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Foundation for Alcohol Research and Education</w:t>
            </w:r>
          </w:p>
        </w:tc>
        <w:tc>
          <w:tcPr>
            <w:tcW w:w="1447" w:type="dxa"/>
            <w:tcBorders>
              <w:top w:val="nil"/>
              <w:left w:val="nil"/>
              <w:bottom w:val="single" w:sz="4" w:space="0" w:color="auto"/>
              <w:right w:val="single" w:sz="4" w:space="0" w:color="auto"/>
            </w:tcBorders>
            <w:shd w:val="clear" w:color="auto" w:fill="auto"/>
            <w:noWrap/>
            <w:vAlign w:val="bottom"/>
            <w:hideMark/>
          </w:tcPr>
          <w:p w14:paraId="030CCDF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Michael </w:t>
            </w:r>
          </w:p>
        </w:tc>
        <w:tc>
          <w:tcPr>
            <w:tcW w:w="1637" w:type="dxa"/>
            <w:tcBorders>
              <w:top w:val="nil"/>
              <w:left w:val="nil"/>
              <w:bottom w:val="single" w:sz="4" w:space="0" w:color="auto"/>
              <w:right w:val="single" w:sz="4" w:space="0" w:color="auto"/>
            </w:tcBorders>
            <w:shd w:val="clear" w:color="auto" w:fill="auto"/>
            <w:noWrap/>
            <w:vAlign w:val="bottom"/>
            <w:hideMark/>
          </w:tcPr>
          <w:p w14:paraId="1D46EE2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Thorn </w:t>
            </w:r>
          </w:p>
        </w:tc>
        <w:tc>
          <w:tcPr>
            <w:tcW w:w="1880" w:type="dxa"/>
            <w:tcBorders>
              <w:top w:val="nil"/>
              <w:left w:val="nil"/>
              <w:bottom w:val="single" w:sz="4" w:space="0" w:color="auto"/>
              <w:right w:val="single" w:sz="4" w:space="0" w:color="auto"/>
            </w:tcBorders>
            <w:shd w:val="clear" w:color="auto" w:fill="auto"/>
            <w:noWrap/>
            <w:vAlign w:val="bottom"/>
            <w:hideMark/>
          </w:tcPr>
          <w:p w14:paraId="452B0B1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1BEE111A"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2053EF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Foundation for Young Australians</w:t>
            </w:r>
          </w:p>
        </w:tc>
        <w:tc>
          <w:tcPr>
            <w:tcW w:w="1447" w:type="dxa"/>
            <w:tcBorders>
              <w:top w:val="nil"/>
              <w:left w:val="nil"/>
              <w:bottom w:val="single" w:sz="4" w:space="0" w:color="auto"/>
              <w:right w:val="single" w:sz="4" w:space="0" w:color="auto"/>
            </w:tcBorders>
            <w:shd w:val="clear" w:color="auto" w:fill="auto"/>
            <w:noWrap/>
            <w:vAlign w:val="bottom"/>
            <w:hideMark/>
          </w:tcPr>
          <w:p w14:paraId="3E4CA1C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Jan</w:t>
            </w:r>
          </w:p>
        </w:tc>
        <w:tc>
          <w:tcPr>
            <w:tcW w:w="1637" w:type="dxa"/>
            <w:tcBorders>
              <w:top w:val="nil"/>
              <w:left w:val="nil"/>
              <w:bottom w:val="single" w:sz="4" w:space="0" w:color="auto"/>
              <w:right w:val="single" w:sz="4" w:space="0" w:color="auto"/>
            </w:tcBorders>
            <w:shd w:val="clear" w:color="auto" w:fill="auto"/>
            <w:noWrap/>
            <w:vAlign w:val="bottom"/>
            <w:hideMark/>
          </w:tcPr>
          <w:p w14:paraId="1CE8382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Owen</w:t>
            </w:r>
          </w:p>
        </w:tc>
        <w:tc>
          <w:tcPr>
            <w:tcW w:w="1880" w:type="dxa"/>
            <w:tcBorders>
              <w:top w:val="nil"/>
              <w:left w:val="nil"/>
              <w:bottom w:val="single" w:sz="4" w:space="0" w:color="auto"/>
              <w:right w:val="single" w:sz="4" w:space="0" w:color="auto"/>
            </w:tcBorders>
            <w:shd w:val="clear" w:color="auto" w:fill="auto"/>
            <w:noWrap/>
            <w:vAlign w:val="bottom"/>
            <w:hideMark/>
          </w:tcPr>
          <w:p w14:paraId="13BEDB4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1A124210"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1712C6A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Fragile</w:t>
            </w:r>
            <w:r>
              <w:rPr>
                <w:rFonts w:ascii="Calibri" w:eastAsia="Times New Roman" w:hAnsi="Calibri" w:cs="Calibri"/>
                <w:color w:val="000000"/>
              </w:rPr>
              <w:t xml:space="preserve"> </w:t>
            </w:r>
            <w:r w:rsidRPr="00512BCC">
              <w:rPr>
                <w:rFonts w:ascii="Calibri" w:eastAsia="Times New Roman" w:hAnsi="Calibri" w:cs="Calibri"/>
                <w:color w:val="000000"/>
              </w:rPr>
              <w:t>X Association of Australia</w:t>
            </w:r>
          </w:p>
        </w:tc>
        <w:tc>
          <w:tcPr>
            <w:tcW w:w="1447" w:type="dxa"/>
            <w:tcBorders>
              <w:top w:val="nil"/>
              <w:left w:val="nil"/>
              <w:bottom w:val="single" w:sz="4" w:space="0" w:color="auto"/>
              <w:right w:val="single" w:sz="4" w:space="0" w:color="auto"/>
            </w:tcBorders>
            <w:shd w:val="clear" w:color="auto" w:fill="auto"/>
            <w:noWrap/>
            <w:vAlign w:val="bottom"/>
            <w:hideMark/>
          </w:tcPr>
          <w:p w14:paraId="465C7F1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Wendy</w:t>
            </w:r>
          </w:p>
        </w:tc>
        <w:tc>
          <w:tcPr>
            <w:tcW w:w="1637" w:type="dxa"/>
            <w:tcBorders>
              <w:top w:val="nil"/>
              <w:left w:val="nil"/>
              <w:bottom w:val="single" w:sz="4" w:space="0" w:color="auto"/>
              <w:right w:val="single" w:sz="4" w:space="0" w:color="auto"/>
            </w:tcBorders>
            <w:shd w:val="clear" w:color="auto" w:fill="auto"/>
            <w:noWrap/>
            <w:vAlign w:val="bottom"/>
            <w:hideMark/>
          </w:tcPr>
          <w:p w14:paraId="6585521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Bruce</w:t>
            </w:r>
          </w:p>
        </w:tc>
        <w:tc>
          <w:tcPr>
            <w:tcW w:w="1880" w:type="dxa"/>
            <w:tcBorders>
              <w:top w:val="nil"/>
              <w:left w:val="nil"/>
              <w:bottom w:val="single" w:sz="4" w:space="0" w:color="auto"/>
              <w:right w:val="single" w:sz="4" w:space="0" w:color="auto"/>
            </w:tcBorders>
            <w:shd w:val="clear" w:color="auto" w:fill="auto"/>
            <w:noWrap/>
            <w:vAlign w:val="bottom"/>
            <w:hideMark/>
          </w:tcPr>
          <w:p w14:paraId="46AA9B3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C8715A9"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97D1D8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Fundraising Institute of Australia</w:t>
            </w:r>
          </w:p>
        </w:tc>
        <w:tc>
          <w:tcPr>
            <w:tcW w:w="1447" w:type="dxa"/>
            <w:tcBorders>
              <w:top w:val="nil"/>
              <w:left w:val="nil"/>
              <w:bottom w:val="single" w:sz="4" w:space="0" w:color="auto"/>
              <w:right w:val="single" w:sz="4" w:space="0" w:color="auto"/>
            </w:tcBorders>
            <w:shd w:val="clear" w:color="auto" w:fill="auto"/>
            <w:noWrap/>
            <w:vAlign w:val="bottom"/>
            <w:hideMark/>
          </w:tcPr>
          <w:p w14:paraId="5FE39DD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Rob</w:t>
            </w:r>
          </w:p>
        </w:tc>
        <w:tc>
          <w:tcPr>
            <w:tcW w:w="1637" w:type="dxa"/>
            <w:tcBorders>
              <w:top w:val="nil"/>
              <w:left w:val="nil"/>
              <w:bottom w:val="single" w:sz="4" w:space="0" w:color="auto"/>
              <w:right w:val="single" w:sz="4" w:space="0" w:color="auto"/>
            </w:tcBorders>
            <w:shd w:val="clear" w:color="auto" w:fill="auto"/>
            <w:noWrap/>
            <w:vAlign w:val="bottom"/>
            <w:hideMark/>
          </w:tcPr>
          <w:p w14:paraId="3A2AFEF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Edwards</w:t>
            </w:r>
          </w:p>
        </w:tc>
        <w:tc>
          <w:tcPr>
            <w:tcW w:w="1880" w:type="dxa"/>
            <w:tcBorders>
              <w:top w:val="nil"/>
              <w:left w:val="nil"/>
              <w:bottom w:val="single" w:sz="4" w:space="0" w:color="auto"/>
              <w:right w:val="single" w:sz="4" w:space="0" w:color="auto"/>
            </w:tcBorders>
            <w:shd w:val="clear" w:color="auto" w:fill="auto"/>
            <w:noWrap/>
            <w:vAlign w:val="bottom"/>
            <w:hideMark/>
          </w:tcPr>
          <w:p w14:paraId="1E8557D4" w14:textId="77777777" w:rsidR="00060937" w:rsidRPr="00512BCC" w:rsidRDefault="00AD615D" w:rsidP="00060937">
            <w:pPr>
              <w:contextualSpacing/>
              <w:rPr>
                <w:rFonts w:ascii="Calibri" w:eastAsia="Times New Roman" w:hAnsi="Calibri" w:cs="Calibri"/>
                <w:color w:val="000000"/>
              </w:rPr>
            </w:pPr>
            <w:hyperlink r:id="rId17" w:history="1">
              <w:r w:rsidR="00060937" w:rsidRPr="00512BCC">
                <w:rPr>
                  <w:rFonts w:ascii="Calibri" w:eastAsia="Times New Roman" w:hAnsi="Calibri" w:cs="Calibri"/>
                  <w:color w:val="000000"/>
                </w:rPr>
                <w:t>CEO</w:t>
              </w:r>
            </w:hyperlink>
          </w:p>
        </w:tc>
      </w:tr>
      <w:tr w:rsidR="00060937" w:rsidRPr="00512BCC" w14:paraId="4D3F6D24"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556F6B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Good Samaritan Foundation</w:t>
            </w:r>
          </w:p>
        </w:tc>
        <w:tc>
          <w:tcPr>
            <w:tcW w:w="1447" w:type="dxa"/>
            <w:tcBorders>
              <w:top w:val="nil"/>
              <w:left w:val="nil"/>
              <w:bottom w:val="single" w:sz="4" w:space="0" w:color="auto"/>
              <w:right w:val="single" w:sz="4" w:space="0" w:color="auto"/>
            </w:tcBorders>
            <w:shd w:val="clear" w:color="auto" w:fill="auto"/>
            <w:noWrap/>
            <w:vAlign w:val="bottom"/>
            <w:hideMark/>
          </w:tcPr>
          <w:p w14:paraId="5442DFB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Catherine</w:t>
            </w:r>
          </w:p>
        </w:tc>
        <w:tc>
          <w:tcPr>
            <w:tcW w:w="1637" w:type="dxa"/>
            <w:tcBorders>
              <w:top w:val="nil"/>
              <w:left w:val="nil"/>
              <w:bottom w:val="single" w:sz="4" w:space="0" w:color="auto"/>
              <w:right w:val="single" w:sz="4" w:space="0" w:color="auto"/>
            </w:tcBorders>
            <w:shd w:val="clear" w:color="auto" w:fill="auto"/>
            <w:noWrap/>
            <w:vAlign w:val="bottom"/>
            <w:hideMark/>
          </w:tcPr>
          <w:p w14:paraId="248D02D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Cresswell</w:t>
            </w:r>
          </w:p>
        </w:tc>
        <w:tc>
          <w:tcPr>
            <w:tcW w:w="1880" w:type="dxa"/>
            <w:tcBorders>
              <w:top w:val="nil"/>
              <w:left w:val="nil"/>
              <w:bottom w:val="single" w:sz="4" w:space="0" w:color="auto"/>
              <w:right w:val="single" w:sz="4" w:space="0" w:color="auto"/>
            </w:tcBorders>
            <w:shd w:val="clear" w:color="auto" w:fill="auto"/>
            <w:noWrap/>
            <w:vAlign w:val="bottom"/>
            <w:hideMark/>
          </w:tcPr>
          <w:p w14:paraId="50B1BA2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Executive Director</w:t>
            </w:r>
          </w:p>
        </w:tc>
      </w:tr>
      <w:tr w:rsidR="00D02360" w:rsidRPr="00512BCC" w14:paraId="6879E386" w14:textId="77777777" w:rsidTr="008A1167">
        <w:trPr>
          <w:trHeight w:val="288"/>
        </w:trPr>
        <w:tc>
          <w:tcPr>
            <w:tcW w:w="9744" w:type="dxa"/>
            <w:gridSpan w:val="4"/>
            <w:tcBorders>
              <w:top w:val="nil"/>
              <w:left w:val="single" w:sz="4" w:space="0" w:color="auto"/>
              <w:bottom w:val="single" w:sz="4" w:space="0" w:color="auto"/>
              <w:right w:val="single" w:sz="4" w:space="0" w:color="auto"/>
            </w:tcBorders>
            <w:shd w:val="clear" w:color="auto" w:fill="auto"/>
            <w:noWrap/>
            <w:vAlign w:val="bottom"/>
          </w:tcPr>
          <w:p w14:paraId="7D0CA098" w14:textId="47B0049B" w:rsidR="00D02360" w:rsidRPr="00512BCC" w:rsidRDefault="00D02360" w:rsidP="00060937">
            <w:pPr>
              <w:contextualSpacing/>
              <w:rPr>
                <w:rFonts w:ascii="Calibri" w:eastAsia="Times New Roman" w:hAnsi="Calibri" w:cs="Calibri"/>
                <w:color w:val="000000"/>
              </w:rPr>
            </w:pPr>
            <w:r w:rsidRPr="00D02360">
              <w:rPr>
                <w:rFonts w:ascii="Calibri" w:eastAsia="Times New Roman" w:hAnsi="Calibri" w:cs="Calibri"/>
                <w:b/>
                <w:color w:val="000000"/>
                <w:sz w:val="28"/>
                <w:szCs w:val="28"/>
              </w:rPr>
              <w:t>Organisation</w:t>
            </w:r>
          </w:p>
        </w:tc>
      </w:tr>
      <w:tr w:rsidR="00060937" w:rsidRPr="00512BCC" w14:paraId="558BBE70"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154AEB6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Good to Give</w:t>
            </w:r>
          </w:p>
        </w:tc>
        <w:tc>
          <w:tcPr>
            <w:tcW w:w="1447" w:type="dxa"/>
            <w:tcBorders>
              <w:top w:val="nil"/>
              <w:left w:val="nil"/>
              <w:bottom w:val="single" w:sz="4" w:space="0" w:color="auto"/>
              <w:right w:val="single" w:sz="4" w:space="0" w:color="auto"/>
            </w:tcBorders>
            <w:shd w:val="clear" w:color="auto" w:fill="auto"/>
            <w:noWrap/>
            <w:vAlign w:val="bottom"/>
            <w:hideMark/>
          </w:tcPr>
          <w:p w14:paraId="7635826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Lisa</w:t>
            </w:r>
          </w:p>
        </w:tc>
        <w:tc>
          <w:tcPr>
            <w:tcW w:w="1637" w:type="dxa"/>
            <w:tcBorders>
              <w:top w:val="nil"/>
              <w:left w:val="nil"/>
              <w:bottom w:val="single" w:sz="4" w:space="0" w:color="auto"/>
              <w:right w:val="single" w:sz="4" w:space="0" w:color="auto"/>
            </w:tcBorders>
            <w:shd w:val="clear" w:color="auto" w:fill="auto"/>
            <w:noWrap/>
            <w:vAlign w:val="bottom"/>
            <w:hideMark/>
          </w:tcPr>
          <w:p w14:paraId="7DD91EF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Grinham</w:t>
            </w:r>
          </w:p>
        </w:tc>
        <w:tc>
          <w:tcPr>
            <w:tcW w:w="1880" w:type="dxa"/>
            <w:tcBorders>
              <w:top w:val="nil"/>
              <w:left w:val="nil"/>
              <w:bottom w:val="single" w:sz="4" w:space="0" w:color="auto"/>
              <w:right w:val="single" w:sz="4" w:space="0" w:color="auto"/>
            </w:tcBorders>
            <w:shd w:val="clear" w:color="auto" w:fill="auto"/>
            <w:noWrap/>
            <w:vAlign w:val="bottom"/>
            <w:hideMark/>
          </w:tcPr>
          <w:p w14:paraId="0D857FF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2B3642DA"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D15AAF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Hammondcare</w:t>
            </w:r>
          </w:p>
        </w:tc>
        <w:tc>
          <w:tcPr>
            <w:tcW w:w="1447" w:type="dxa"/>
            <w:tcBorders>
              <w:top w:val="nil"/>
              <w:left w:val="nil"/>
              <w:bottom w:val="single" w:sz="4" w:space="0" w:color="auto"/>
              <w:right w:val="single" w:sz="4" w:space="0" w:color="auto"/>
            </w:tcBorders>
            <w:shd w:val="clear" w:color="auto" w:fill="auto"/>
            <w:noWrap/>
            <w:vAlign w:val="bottom"/>
            <w:hideMark/>
          </w:tcPr>
          <w:p w14:paraId="734DF07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Stephen </w:t>
            </w:r>
          </w:p>
        </w:tc>
        <w:tc>
          <w:tcPr>
            <w:tcW w:w="1637" w:type="dxa"/>
            <w:tcBorders>
              <w:top w:val="nil"/>
              <w:left w:val="nil"/>
              <w:bottom w:val="single" w:sz="4" w:space="0" w:color="auto"/>
              <w:right w:val="single" w:sz="4" w:space="0" w:color="auto"/>
            </w:tcBorders>
            <w:shd w:val="clear" w:color="auto" w:fill="auto"/>
            <w:noWrap/>
            <w:vAlign w:val="bottom"/>
            <w:hideMark/>
          </w:tcPr>
          <w:p w14:paraId="100E305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Judd</w:t>
            </w:r>
          </w:p>
        </w:tc>
        <w:tc>
          <w:tcPr>
            <w:tcW w:w="1880" w:type="dxa"/>
            <w:tcBorders>
              <w:top w:val="nil"/>
              <w:left w:val="nil"/>
              <w:bottom w:val="single" w:sz="4" w:space="0" w:color="auto"/>
              <w:right w:val="single" w:sz="4" w:space="0" w:color="auto"/>
            </w:tcBorders>
            <w:shd w:val="clear" w:color="auto" w:fill="auto"/>
            <w:noWrap/>
            <w:vAlign w:val="bottom"/>
            <w:hideMark/>
          </w:tcPr>
          <w:p w14:paraId="0B6134E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654B6F3B"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5BAF77F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Hillsong Church</w:t>
            </w:r>
          </w:p>
        </w:tc>
        <w:tc>
          <w:tcPr>
            <w:tcW w:w="1447" w:type="dxa"/>
            <w:tcBorders>
              <w:top w:val="nil"/>
              <w:left w:val="nil"/>
              <w:bottom w:val="single" w:sz="4" w:space="0" w:color="auto"/>
              <w:right w:val="single" w:sz="4" w:space="0" w:color="auto"/>
            </w:tcBorders>
            <w:shd w:val="clear" w:color="auto" w:fill="auto"/>
            <w:noWrap/>
            <w:vAlign w:val="bottom"/>
            <w:hideMark/>
          </w:tcPr>
          <w:p w14:paraId="759B1A1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George  </w:t>
            </w:r>
          </w:p>
        </w:tc>
        <w:tc>
          <w:tcPr>
            <w:tcW w:w="1637" w:type="dxa"/>
            <w:tcBorders>
              <w:top w:val="nil"/>
              <w:left w:val="nil"/>
              <w:bottom w:val="single" w:sz="4" w:space="0" w:color="auto"/>
              <w:right w:val="single" w:sz="4" w:space="0" w:color="auto"/>
            </w:tcBorders>
            <w:shd w:val="clear" w:color="auto" w:fill="auto"/>
            <w:noWrap/>
            <w:vAlign w:val="bottom"/>
            <w:hideMark/>
          </w:tcPr>
          <w:p w14:paraId="5A450E3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Aghajanian</w:t>
            </w:r>
          </w:p>
        </w:tc>
        <w:tc>
          <w:tcPr>
            <w:tcW w:w="1880" w:type="dxa"/>
            <w:tcBorders>
              <w:top w:val="nil"/>
              <w:left w:val="nil"/>
              <w:bottom w:val="single" w:sz="4" w:space="0" w:color="auto"/>
              <w:right w:val="single" w:sz="4" w:space="0" w:color="auto"/>
            </w:tcBorders>
            <w:shd w:val="clear" w:color="auto" w:fill="auto"/>
            <w:noWrap/>
            <w:vAlign w:val="bottom"/>
            <w:hideMark/>
          </w:tcPr>
          <w:p w14:paraId="263F4BC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33BF5FB0"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19F7050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Justice Connect</w:t>
            </w:r>
          </w:p>
        </w:tc>
        <w:tc>
          <w:tcPr>
            <w:tcW w:w="1447" w:type="dxa"/>
            <w:tcBorders>
              <w:top w:val="nil"/>
              <w:left w:val="nil"/>
              <w:bottom w:val="single" w:sz="4" w:space="0" w:color="auto"/>
              <w:right w:val="single" w:sz="4" w:space="0" w:color="auto"/>
            </w:tcBorders>
            <w:shd w:val="clear" w:color="auto" w:fill="auto"/>
            <w:noWrap/>
            <w:vAlign w:val="bottom"/>
            <w:hideMark/>
          </w:tcPr>
          <w:p w14:paraId="348881C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Fiona</w:t>
            </w:r>
          </w:p>
        </w:tc>
        <w:tc>
          <w:tcPr>
            <w:tcW w:w="1637" w:type="dxa"/>
            <w:tcBorders>
              <w:top w:val="nil"/>
              <w:left w:val="nil"/>
              <w:bottom w:val="single" w:sz="4" w:space="0" w:color="auto"/>
              <w:right w:val="single" w:sz="4" w:space="0" w:color="auto"/>
            </w:tcBorders>
            <w:shd w:val="clear" w:color="auto" w:fill="auto"/>
            <w:noWrap/>
            <w:vAlign w:val="bottom"/>
            <w:hideMark/>
          </w:tcPr>
          <w:p w14:paraId="73E8B8B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McLeay</w:t>
            </w:r>
          </w:p>
        </w:tc>
        <w:tc>
          <w:tcPr>
            <w:tcW w:w="1880" w:type="dxa"/>
            <w:tcBorders>
              <w:top w:val="nil"/>
              <w:left w:val="nil"/>
              <w:bottom w:val="single" w:sz="4" w:space="0" w:color="auto"/>
              <w:right w:val="single" w:sz="4" w:space="0" w:color="auto"/>
            </w:tcBorders>
            <w:shd w:val="clear" w:color="auto" w:fill="auto"/>
            <w:noWrap/>
            <w:vAlign w:val="bottom"/>
            <w:hideMark/>
          </w:tcPr>
          <w:p w14:paraId="420422F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7297D6B"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FC6AE9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Life Without Barriers</w:t>
            </w:r>
          </w:p>
        </w:tc>
        <w:tc>
          <w:tcPr>
            <w:tcW w:w="1447" w:type="dxa"/>
            <w:tcBorders>
              <w:top w:val="nil"/>
              <w:left w:val="nil"/>
              <w:bottom w:val="single" w:sz="4" w:space="0" w:color="auto"/>
              <w:right w:val="single" w:sz="4" w:space="0" w:color="auto"/>
            </w:tcBorders>
            <w:shd w:val="clear" w:color="auto" w:fill="auto"/>
            <w:noWrap/>
            <w:vAlign w:val="bottom"/>
            <w:hideMark/>
          </w:tcPr>
          <w:p w14:paraId="1425A86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Claire</w:t>
            </w:r>
          </w:p>
        </w:tc>
        <w:tc>
          <w:tcPr>
            <w:tcW w:w="1637" w:type="dxa"/>
            <w:tcBorders>
              <w:top w:val="nil"/>
              <w:left w:val="nil"/>
              <w:bottom w:val="single" w:sz="4" w:space="0" w:color="auto"/>
              <w:right w:val="single" w:sz="4" w:space="0" w:color="auto"/>
            </w:tcBorders>
            <w:shd w:val="clear" w:color="auto" w:fill="auto"/>
            <w:noWrap/>
            <w:vAlign w:val="bottom"/>
            <w:hideMark/>
          </w:tcPr>
          <w:p w14:paraId="03BA82C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Robbs</w:t>
            </w:r>
          </w:p>
        </w:tc>
        <w:tc>
          <w:tcPr>
            <w:tcW w:w="1880" w:type="dxa"/>
            <w:tcBorders>
              <w:top w:val="nil"/>
              <w:left w:val="nil"/>
              <w:bottom w:val="single" w:sz="4" w:space="0" w:color="auto"/>
              <w:right w:val="single" w:sz="4" w:space="0" w:color="auto"/>
            </w:tcBorders>
            <w:shd w:val="clear" w:color="auto" w:fill="auto"/>
            <w:noWrap/>
            <w:vAlign w:val="bottom"/>
            <w:hideMark/>
          </w:tcPr>
          <w:p w14:paraId="25382D2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2D120432"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0DBD77E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Mater Foundation</w:t>
            </w:r>
          </w:p>
        </w:tc>
        <w:tc>
          <w:tcPr>
            <w:tcW w:w="1447" w:type="dxa"/>
            <w:tcBorders>
              <w:top w:val="nil"/>
              <w:left w:val="nil"/>
              <w:bottom w:val="single" w:sz="4" w:space="0" w:color="auto"/>
              <w:right w:val="single" w:sz="4" w:space="0" w:color="auto"/>
            </w:tcBorders>
            <w:shd w:val="clear" w:color="auto" w:fill="auto"/>
            <w:noWrap/>
            <w:vAlign w:val="bottom"/>
            <w:hideMark/>
          </w:tcPr>
          <w:p w14:paraId="38AE4A9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Nigel</w:t>
            </w:r>
          </w:p>
        </w:tc>
        <w:tc>
          <w:tcPr>
            <w:tcW w:w="1637" w:type="dxa"/>
            <w:tcBorders>
              <w:top w:val="nil"/>
              <w:left w:val="nil"/>
              <w:bottom w:val="single" w:sz="4" w:space="0" w:color="auto"/>
              <w:right w:val="single" w:sz="4" w:space="0" w:color="auto"/>
            </w:tcBorders>
            <w:shd w:val="clear" w:color="auto" w:fill="auto"/>
            <w:noWrap/>
            <w:vAlign w:val="bottom"/>
            <w:hideMark/>
          </w:tcPr>
          <w:p w14:paraId="116F482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Harris</w:t>
            </w:r>
          </w:p>
        </w:tc>
        <w:tc>
          <w:tcPr>
            <w:tcW w:w="1880" w:type="dxa"/>
            <w:tcBorders>
              <w:top w:val="nil"/>
              <w:left w:val="nil"/>
              <w:bottom w:val="single" w:sz="4" w:space="0" w:color="auto"/>
              <w:right w:val="single" w:sz="4" w:space="0" w:color="auto"/>
            </w:tcBorders>
            <w:shd w:val="clear" w:color="auto" w:fill="auto"/>
            <w:noWrap/>
            <w:vAlign w:val="bottom"/>
            <w:hideMark/>
          </w:tcPr>
          <w:p w14:paraId="752F27A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2202319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737BED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Mission Australia</w:t>
            </w:r>
          </w:p>
        </w:tc>
        <w:tc>
          <w:tcPr>
            <w:tcW w:w="1447" w:type="dxa"/>
            <w:tcBorders>
              <w:top w:val="nil"/>
              <w:left w:val="nil"/>
              <w:bottom w:val="single" w:sz="4" w:space="0" w:color="auto"/>
              <w:right w:val="single" w:sz="4" w:space="0" w:color="auto"/>
            </w:tcBorders>
            <w:shd w:val="clear" w:color="auto" w:fill="auto"/>
            <w:noWrap/>
            <w:vAlign w:val="bottom"/>
            <w:hideMark/>
          </w:tcPr>
          <w:p w14:paraId="20A02AC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Catherine</w:t>
            </w:r>
          </w:p>
        </w:tc>
        <w:tc>
          <w:tcPr>
            <w:tcW w:w="1637" w:type="dxa"/>
            <w:tcBorders>
              <w:top w:val="nil"/>
              <w:left w:val="nil"/>
              <w:bottom w:val="single" w:sz="4" w:space="0" w:color="auto"/>
              <w:right w:val="single" w:sz="4" w:space="0" w:color="auto"/>
            </w:tcBorders>
            <w:shd w:val="clear" w:color="auto" w:fill="auto"/>
            <w:noWrap/>
            <w:vAlign w:val="bottom"/>
            <w:hideMark/>
          </w:tcPr>
          <w:p w14:paraId="3B96A9E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Yeomans</w:t>
            </w:r>
          </w:p>
        </w:tc>
        <w:tc>
          <w:tcPr>
            <w:tcW w:w="1880" w:type="dxa"/>
            <w:tcBorders>
              <w:top w:val="nil"/>
              <w:left w:val="nil"/>
              <w:bottom w:val="single" w:sz="4" w:space="0" w:color="auto"/>
              <w:right w:val="single" w:sz="4" w:space="0" w:color="auto"/>
            </w:tcBorders>
            <w:shd w:val="clear" w:color="auto" w:fill="auto"/>
            <w:noWrap/>
            <w:vAlign w:val="bottom"/>
            <w:hideMark/>
          </w:tcPr>
          <w:p w14:paraId="1E00DBE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4C2C03E1"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9348E6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Missions Interlink</w:t>
            </w:r>
          </w:p>
        </w:tc>
        <w:tc>
          <w:tcPr>
            <w:tcW w:w="1447" w:type="dxa"/>
            <w:tcBorders>
              <w:top w:val="nil"/>
              <w:left w:val="nil"/>
              <w:bottom w:val="single" w:sz="4" w:space="0" w:color="auto"/>
              <w:right w:val="single" w:sz="4" w:space="0" w:color="auto"/>
            </w:tcBorders>
            <w:shd w:val="clear" w:color="auto" w:fill="auto"/>
            <w:noWrap/>
            <w:vAlign w:val="bottom"/>
            <w:hideMark/>
          </w:tcPr>
          <w:p w14:paraId="0047A92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Pam </w:t>
            </w:r>
          </w:p>
        </w:tc>
        <w:tc>
          <w:tcPr>
            <w:tcW w:w="1637" w:type="dxa"/>
            <w:tcBorders>
              <w:top w:val="nil"/>
              <w:left w:val="nil"/>
              <w:bottom w:val="single" w:sz="4" w:space="0" w:color="auto"/>
              <w:right w:val="single" w:sz="4" w:space="0" w:color="auto"/>
            </w:tcBorders>
            <w:shd w:val="clear" w:color="auto" w:fill="auto"/>
            <w:noWrap/>
            <w:vAlign w:val="bottom"/>
            <w:hideMark/>
          </w:tcPr>
          <w:p w14:paraId="5831560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Thyer</w:t>
            </w:r>
          </w:p>
        </w:tc>
        <w:tc>
          <w:tcPr>
            <w:tcW w:w="1880" w:type="dxa"/>
            <w:tcBorders>
              <w:top w:val="nil"/>
              <w:left w:val="nil"/>
              <w:bottom w:val="single" w:sz="4" w:space="0" w:color="auto"/>
              <w:right w:val="single" w:sz="4" w:space="0" w:color="auto"/>
            </w:tcBorders>
            <w:shd w:val="clear" w:color="auto" w:fill="auto"/>
            <w:noWrap/>
            <w:vAlign w:val="bottom"/>
            <w:hideMark/>
          </w:tcPr>
          <w:p w14:paraId="77BDECA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F867F8B"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F9DA07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Musica Viva Australia</w:t>
            </w:r>
          </w:p>
        </w:tc>
        <w:tc>
          <w:tcPr>
            <w:tcW w:w="1447" w:type="dxa"/>
            <w:tcBorders>
              <w:top w:val="nil"/>
              <w:left w:val="nil"/>
              <w:bottom w:val="single" w:sz="4" w:space="0" w:color="auto"/>
              <w:right w:val="single" w:sz="4" w:space="0" w:color="auto"/>
            </w:tcBorders>
            <w:shd w:val="clear" w:color="auto" w:fill="auto"/>
            <w:noWrap/>
            <w:vAlign w:val="bottom"/>
            <w:hideMark/>
          </w:tcPr>
          <w:p w14:paraId="6D22956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Mary Jo</w:t>
            </w:r>
          </w:p>
        </w:tc>
        <w:tc>
          <w:tcPr>
            <w:tcW w:w="1637" w:type="dxa"/>
            <w:tcBorders>
              <w:top w:val="nil"/>
              <w:left w:val="nil"/>
              <w:bottom w:val="single" w:sz="4" w:space="0" w:color="auto"/>
              <w:right w:val="single" w:sz="4" w:space="0" w:color="auto"/>
            </w:tcBorders>
            <w:shd w:val="clear" w:color="auto" w:fill="auto"/>
            <w:noWrap/>
            <w:vAlign w:val="bottom"/>
            <w:hideMark/>
          </w:tcPr>
          <w:p w14:paraId="62CA80E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Capps </w:t>
            </w:r>
          </w:p>
        </w:tc>
        <w:tc>
          <w:tcPr>
            <w:tcW w:w="1880" w:type="dxa"/>
            <w:tcBorders>
              <w:top w:val="nil"/>
              <w:left w:val="nil"/>
              <w:bottom w:val="single" w:sz="4" w:space="0" w:color="auto"/>
              <w:right w:val="single" w:sz="4" w:space="0" w:color="auto"/>
            </w:tcBorders>
            <w:shd w:val="clear" w:color="auto" w:fill="auto"/>
            <w:noWrap/>
            <w:vAlign w:val="bottom"/>
            <w:hideMark/>
          </w:tcPr>
          <w:p w14:paraId="0DBF50A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293451F5"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5D7E60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Non Profit Alliance</w:t>
            </w:r>
          </w:p>
        </w:tc>
        <w:tc>
          <w:tcPr>
            <w:tcW w:w="1447" w:type="dxa"/>
            <w:tcBorders>
              <w:top w:val="nil"/>
              <w:left w:val="nil"/>
              <w:bottom w:val="single" w:sz="4" w:space="0" w:color="auto"/>
              <w:right w:val="single" w:sz="4" w:space="0" w:color="auto"/>
            </w:tcBorders>
            <w:shd w:val="clear" w:color="auto" w:fill="auto"/>
            <w:noWrap/>
            <w:vAlign w:val="bottom"/>
            <w:hideMark/>
          </w:tcPr>
          <w:p w14:paraId="269FFE4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Kelly</w:t>
            </w:r>
          </w:p>
        </w:tc>
        <w:tc>
          <w:tcPr>
            <w:tcW w:w="1637" w:type="dxa"/>
            <w:tcBorders>
              <w:top w:val="nil"/>
              <w:left w:val="nil"/>
              <w:bottom w:val="single" w:sz="4" w:space="0" w:color="auto"/>
              <w:right w:val="single" w:sz="4" w:space="0" w:color="auto"/>
            </w:tcBorders>
            <w:shd w:val="clear" w:color="auto" w:fill="auto"/>
            <w:noWrap/>
            <w:vAlign w:val="bottom"/>
            <w:hideMark/>
          </w:tcPr>
          <w:p w14:paraId="62EB711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Beaumont</w:t>
            </w:r>
          </w:p>
        </w:tc>
        <w:tc>
          <w:tcPr>
            <w:tcW w:w="1880" w:type="dxa"/>
            <w:tcBorders>
              <w:top w:val="nil"/>
              <w:left w:val="nil"/>
              <w:bottom w:val="single" w:sz="4" w:space="0" w:color="auto"/>
              <w:right w:val="single" w:sz="4" w:space="0" w:color="auto"/>
            </w:tcBorders>
            <w:shd w:val="clear" w:color="auto" w:fill="auto"/>
            <w:noWrap/>
            <w:vAlign w:val="bottom"/>
            <w:hideMark/>
          </w:tcPr>
          <w:p w14:paraId="7D5E642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351F4AD"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5738E32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Our Community</w:t>
            </w:r>
          </w:p>
        </w:tc>
        <w:tc>
          <w:tcPr>
            <w:tcW w:w="1447" w:type="dxa"/>
            <w:tcBorders>
              <w:top w:val="nil"/>
              <w:left w:val="nil"/>
              <w:bottom w:val="single" w:sz="4" w:space="0" w:color="auto"/>
              <w:right w:val="single" w:sz="4" w:space="0" w:color="auto"/>
            </w:tcBorders>
            <w:shd w:val="clear" w:color="auto" w:fill="auto"/>
            <w:noWrap/>
            <w:vAlign w:val="bottom"/>
            <w:hideMark/>
          </w:tcPr>
          <w:p w14:paraId="3C6FC72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Denis</w:t>
            </w:r>
          </w:p>
        </w:tc>
        <w:tc>
          <w:tcPr>
            <w:tcW w:w="1637" w:type="dxa"/>
            <w:tcBorders>
              <w:top w:val="nil"/>
              <w:left w:val="nil"/>
              <w:bottom w:val="single" w:sz="4" w:space="0" w:color="auto"/>
              <w:right w:val="single" w:sz="4" w:space="0" w:color="auto"/>
            </w:tcBorders>
            <w:shd w:val="clear" w:color="auto" w:fill="auto"/>
            <w:noWrap/>
            <w:vAlign w:val="bottom"/>
            <w:hideMark/>
          </w:tcPr>
          <w:p w14:paraId="2739126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Moriarty</w:t>
            </w:r>
          </w:p>
        </w:tc>
        <w:tc>
          <w:tcPr>
            <w:tcW w:w="1880" w:type="dxa"/>
            <w:tcBorders>
              <w:top w:val="nil"/>
              <w:left w:val="nil"/>
              <w:bottom w:val="single" w:sz="4" w:space="0" w:color="auto"/>
              <w:right w:val="single" w:sz="4" w:space="0" w:color="auto"/>
            </w:tcBorders>
            <w:shd w:val="clear" w:color="auto" w:fill="auto"/>
            <w:noWrap/>
            <w:vAlign w:val="bottom"/>
            <w:hideMark/>
          </w:tcPr>
          <w:p w14:paraId="538368A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Managing Director</w:t>
            </w:r>
          </w:p>
        </w:tc>
      </w:tr>
      <w:tr w:rsidR="00060937" w:rsidRPr="00512BCC" w14:paraId="26E2CE4E"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A248B4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Palliative Care Australia</w:t>
            </w:r>
          </w:p>
        </w:tc>
        <w:tc>
          <w:tcPr>
            <w:tcW w:w="1447" w:type="dxa"/>
            <w:tcBorders>
              <w:top w:val="nil"/>
              <w:left w:val="nil"/>
              <w:bottom w:val="single" w:sz="4" w:space="0" w:color="auto"/>
              <w:right w:val="single" w:sz="4" w:space="0" w:color="auto"/>
            </w:tcBorders>
            <w:shd w:val="clear" w:color="auto" w:fill="auto"/>
            <w:noWrap/>
            <w:vAlign w:val="bottom"/>
            <w:hideMark/>
          </w:tcPr>
          <w:p w14:paraId="57001B8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Liz</w:t>
            </w:r>
          </w:p>
        </w:tc>
        <w:tc>
          <w:tcPr>
            <w:tcW w:w="1637" w:type="dxa"/>
            <w:tcBorders>
              <w:top w:val="nil"/>
              <w:left w:val="nil"/>
              <w:bottom w:val="single" w:sz="4" w:space="0" w:color="auto"/>
              <w:right w:val="single" w:sz="4" w:space="0" w:color="auto"/>
            </w:tcBorders>
            <w:shd w:val="clear" w:color="auto" w:fill="auto"/>
            <w:noWrap/>
            <w:vAlign w:val="bottom"/>
            <w:hideMark/>
          </w:tcPr>
          <w:p w14:paraId="3A2BEF3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Callaghan</w:t>
            </w:r>
          </w:p>
        </w:tc>
        <w:tc>
          <w:tcPr>
            <w:tcW w:w="1880" w:type="dxa"/>
            <w:tcBorders>
              <w:top w:val="nil"/>
              <w:left w:val="nil"/>
              <w:bottom w:val="single" w:sz="4" w:space="0" w:color="auto"/>
              <w:right w:val="single" w:sz="4" w:space="0" w:color="auto"/>
            </w:tcBorders>
            <w:shd w:val="clear" w:color="auto" w:fill="auto"/>
            <w:noWrap/>
            <w:vAlign w:val="bottom"/>
            <w:hideMark/>
          </w:tcPr>
          <w:p w14:paraId="4285ED0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4A052B0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61158F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Philanthropy Australia</w:t>
            </w:r>
          </w:p>
        </w:tc>
        <w:tc>
          <w:tcPr>
            <w:tcW w:w="1447" w:type="dxa"/>
            <w:tcBorders>
              <w:top w:val="nil"/>
              <w:left w:val="nil"/>
              <w:bottom w:val="single" w:sz="4" w:space="0" w:color="auto"/>
              <w:right w:val="single" w:sz="4" w:space="0" w:color="auto"/>
            </w:tcBorders>
            <w:shd w:val="clear" w:color="auto" w:fill="auto"/>
            <w:noWrap/>
            <w:vAlign w:val="bottom"/>
            <w:hideMark/>
          </w:tcPr>
          <w:p w14:paraId="428F7C6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Sarah</w:t>
            </w:r>
          </w:p>
        </w:tc>
        <w:tc>
          <w:tcPr>
            <w:tcW w:w="1637" w:type="dxa"/>
            <w:tcBorders>
              <w:top w:val="nil"/>
              <w:left w:val="nil"/>
              <w:bottom w:val="single" w:sz="4" w:space="0" w:color="auto"/>
              <w:right w:val="single" w:sz="4" w:space="0" w:color="auto"/>
            </w:tcBorders>
            <w:shd w:val="clear" w:color="auto" w:fill="auto"/>
            <w:noWrap/>
            <w:vAlign w:val="bottom"/>
            <w:hideMark/>
          </w:tcPr>
          <w:p w14:paraId="15A593B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Davies</w:t>
            </w:r>
          </w:p>
        </w:tc>
        <w:tc>
          <w:tcPr>
            <w:tcW w:w="1880" w:type="dxa"/>
            <w:tcBorders>
              <w:top w:val="nil"/>
              <w:left w:val="nil"/>
              <w:bottom w:val="single" w:sz="4" w:space="0" w:color="auto"/>
              <w:right w:val="single" w:sz="4" w:space="0" w:color="auto"/>
            </w:tcBorders>
            <w:shd w:val="clear" w:color="auto" w:fill="auto"/>
            <w:noWrap/>
            <w:vAlign w:val="bottom"/>
            <w:hideMark/>
          </w:tcPr>
          <w:p w14:paraId="0C20310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2BF7550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34FF3A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Playgroup Qld</w:t>
            </w:r>
          </w:p>
        </w:tc>
        <w:tc>
          <w:tcPr>
            <w:tcW w:w="1447" w:type="dxa"/>
            <w:tcBorders>
              <w:top w:val="nil"/>
              <w:left w:val="nil"/>
              <w:bottom w:val="single" w:sz="4" w:space="0" w:color="auto"/>
              <w:right w:val="single" w:sz="4" w:space="0" w:color="auto"/>
            </w:tcBorders>
            <w:shd w:val="clear" w:color="auto" w:fill="auto"/>
            <w:noWrap/>
            <w:vAlign w:val="bottom"/>
            <w:hideMark/>
          </w:tcPr>
          <w:p w14:paraId="6D42EDC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Ian</w:t>
            </w:r>
          </w:p>
        </w:tc>
        <w:tc>
          <w:tcPr>
            <w:tcW w:w="1637" w:type="dxa"/>
            <w:tcBorders>
              <w:top w:val="nil"/>
              <w:left w:val="nil"/>
              <w:bottom w:val="single" w:sz="4" w:space="0" w:color="auto"/>
              <w:right w:val="single" w:sz="4" w:space="0" w:color="auto"/>
            </w:tcBorders>
            <w:shd w:val="clear" w:color="auto" w:fill="auto"/>
            <w:noWrap/>
            <w:vAlign w:val="bottom"/>
            <w:hideMark/>
          </w:tcPr>
          <w:p w14:paraId="3BAA1B7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Coombe</w:t>
            </w:r>
          </w:p>
        </w:tc>
        <w:tc>
          <w:tcPr>
            <w:tcW w:w="1880" w:type="dxa"/>
            <w:tcBorders>
              <w:top w:val="nil"/>
              <w:left w:val="nil"/>
              <w:bottom w:val="single" w:sz="4" w:space="0" w:color="auto"/>
              <w:right w:val="single" w:sz="4" w:space="0" w:color="auto"/>
            </w:tcBorders>
            <w:shd w:val="clear" w:color="auto" w:fill="auto"/>
            <w:noWrap/>
            <w:vAlign w:val="bottom"/>
            <w:hideMark/>
          </w:tcPr>
          <w:p w14:paraId="07ED0C2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0165FCBB" w14:textId="77777777" w:rsidTr="00D02360">
        <w:trPr>
          <w:trHeight w:val="288"/>
        </w:trPr>
        <w:tc>
          <w:tcPr>
            <w:tcW w:w="4780" w:type="dxa"/>
            <w:tcBorders>
              <w:top w:val="nil"/>
              <w:left w:val="single" w:sz="4" w:space="0" w:color="auto"/>
              <w:bottom w:val="single" w:sz="4" w:space="0" w:color="auto"/>
              <w:right w:val="single" w:sz="4" w:space="0" w:color="auto"/>
            </w:tcBorders>
            <w:shd w:val="clear" w:color="000000" w:fill="FFFFFF"/>
            <w:noWrap/>
            <w:vAlign w:val="bottom"/>
            <w:hideMark/>
          </w:tcPr>
          <w:p w14:paraId="4A8513B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Port Phillip Housing Association</w:t>
            </w:r>
          </w:p>
        </w:tc>
        <w:tc>
          <w:tcPr>
            <w:tcW w:w="1447" w:type="dxa"/>
            <w:tcBorders>
              <w:top w:val="nil"/>
              <w:left w:val="nil"/>
              <w:bottom w:val="single" w:sz="4" w:space="0" w:color="auto"/>
              <w:right w:val="single" w:sz="4" w:space="0" w:color="auto"/>
            </w:tcBorders>
            <w:shd w:val="clear" w:color="000000" w:fill="FFFFFF"/>
            <w:noWrap/>
            <w:vAlign w:val="bottom"/>
            <w:hideMark/>
          </w:tcPr>
          <w:p w14:paraId="6E51C26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Haleh</w:t>
            </w:r>
          </w:p>
        </w:tc>
        <w:tc>
          <w:tcPr>
            <w:tcW w:w="1637" w:type="dxa"/>
            <w:tcBorders>
              <w:top w:val="nil"/>
              <w:left w:val="nil"/>
              <w:bottom w:val="single" w:sz="4" w:space="0" w:color="auto"/>
              <w:right w:val="single" w:sz="4" w:space="0" w:color="auto"/>
            </w:tcBorders>
            <w:shd w:val="clear" w:color="000000" w:fill="FFFFFF"/>
            <w:noWrap/>
            <w:vAlign w:val="bottom"/>
            <w:hideMark/>
          </w:tcPr>
          <w:p w14:paraId="519B8D0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Homaei</w:t>
            </w:r>
          </w:p>
        </w:tc>
        <w:tc>
          <w:tcPr>
            <w:tcW w:w="1880" w:type="dxa"/>
            <w:tcBorders>
              <w:top w:val="nil"/>
              <w:left w:val="nil"/>
              <w:bottom w:val="single" w:sz="4" w:space="0" w:color="auto"/>
              <w:right w:val="single" w:sz="4" w:space="0" w:color="auto"/>
            </w:tcBorders>
            <w:shd w:val="clear" w:color="000000" w:fill="FFFFFF"/>
            <w:noWrap/>
            <w:vAlign w:val="bottom"/>
            <w:hideMark/>
          </w:tcPr>
          <w:p w14:paraId="577D6A5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6ACD8CEB"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09D32F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Power Housing Australia</w:t>
            </w:r>
          </w:p>
        </w:tc>
        <w:tc>
          <w:tcPr>
            <w:tcW w:w="1447" w:type="dxa"/>
            <w:tcBorders>
              <w:top w:val="nil"/>
              <w:left w:val="nil"/>
              <w:bottom w:val="single" w:sz="4" w:space="0" w:color="auto"/>
              <w:right w:val="single" w:sz="4" w:space="0" w:color="auto"/>
            </w:tcBorders>
            <w:shd w:val="clear" w:color="auto" w:fill="auto"/>
            <w:noWrap/>
            <w:vAlign w:val="bottom"/>
            <w:hideMark/>
          </w:tcPr>
          <w:p w14:paraId="69B97EA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Nicholas</w:t>
            </w:r>
          </w:p>
        </w:tc>
        <w:tc>
          <w:tcPr>
            <w:tcW w:w="1637" w:type="dxa"/>
            <w:tcBorders>
              <w:top w:val="nil"/>
              <w:left w:val="nil"/>
              <w:bottom w:val="single" w:sz="4" w:space="0" w:color="auto"/>
              <w:right w:val="single" w:sz="4" w:space="0" w:color="auto"/>
            </w:tcBorders>
            <w:shd w:val="clear" w:color="auto" w:fill="auto"/>
            <w:noWrap/>
            <w:vAlign w:val="bottom"/>
            <w:hideMark/>
          </w:tcPr>
          <w:p w14:paraId="0C3BDBA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Proud</w:t>
            </w:r>
          </w:p>
        </w:tc>
        <w:tc>
          <w:tcPr>
            <w:tcW w:w="1880" w:type="dxa"/>
            <w:tcBorders>
              <w:top w:val="nil"/>
              <w:left w:val="nil"/>
              <w:bottom w:val="single" w:sz="4" w:space="0" w:color="auto"/>
              <w:right w:val="single" w:sz="4" w:space="0" w:color="auto"/>
            </w:tcBorders>
            <w:shd w:val="clear" w:color="auto" w:fill="auto"/>
            <w:noWrap/>
            <w:vAlign w:val="bottom"/>
            <w:hideMark/>
          </w:tcPr>
          <w:p w14:paraId="6F6758F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F186C2B"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AA3F76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Probono Australia</w:t>
            </w:r>
          </w:p>
        </w:tc>
        <w:tc>
          <w:tcPr>
            <w:tcW w:w="1447" w:type="dxa"/>
            <w:tcBorders>
              <w:top w:val="nil"/>
              <w:left w:val="nil"/>
              <w:bottom w:val="single" w:sz="4" w:space="0" w:color="auto"/>
              <w:right w:val="single" w:sz="4" w:space="0" w:color="auto"/>
            </w:tcBorders>
            <w:shd w:val="clear" w:color="auto" w:fill="auto"/>
            <w:noWrap/>
            <w:vAlign w:val="bottom"/>
            <w:hideMark/>
          </w:tcPr>
          <w:p w14:paraId="2F56F0C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Karen </w:t>
            </w:r>
          </w:p>
        </w:tc>
        <w:tc>
          <w:tcPr>
            <w:tcW w:w="1637" w:type="dxa"/>
            <w:tcBorders>
              <w:top w:val="nil"/>
              <w:left w:val="nil"/>
              <w:bottom w:val="single" w:sz="4" w:space="0" w:color="auto"/>
              <w:right w:val="single" w:sz="4" w:space="0" w:color="auto"/>
            </w:tcBorders>
            <w:shd w:val="clear" w:color="auto" w:fill="auto"/>
            <w:noWrap/>
            <w:vAlign w:val="bottom"/>
            <w:hideMark/>
          </w:tcPr>
          <w:p w14:paraId="355FCB4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Mahlab</w:t>
            </w:r>
          </w:p>
        </w:tc>
        <w:tc>
          <w:tcPr>
            <w:tcW w:w="1880" w:type="dxa"/>
            <w:tcBorders>
              <w:top w:val="nil"/>
              <w:left w:val="nil"/>
              <w:bottom w:val="single" w:sz="4" w:space="0" w:color="auto"/>
              <w:right w:val="single" w:sz="4" w:space="0" w:color="auto"/>
            </w:tcBorders>
            <w:shd w:val="clear" w:color="auto" w:fill="auto"/>
            <w:noWrap/>
            <w:vAlign w:val="bottom"/>
            <w:hideMark/>
          </w:tcPr>
          <w:p w14:paraId="3706131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5D410EB3"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6FA9AA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Queensland Water &amp; Land Carers</w:t>
            </w:r>
          </w:p>
        </w:tc>
        <w:tc>
          <w:tcPr>
            <w:tcW w:w="1447" w:type="dxa"/>
            <w:tcBorders>
              <w:top w:val="nil"/>
              <w:left w:val="nil"/>
              <w:bottom w:val="single" w:sz="4" w:space="0" w:color="auto"/>
              <w:right w:val="single" w:sz="4" w:space="0" w:color="auto"/>
            </w:tcBorders>
            <w:shd w:val="clear" w:color="auto" w:fill="auto"/>
            <w:noWrap/>
            <w:vAlign w:val="bottom"/>
            <w:hideMark/>
          </w:tcPr>
          <w:p w14:paraId="370B6A8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Darryl</w:t>
            </w:r>
          </w:p>
        </w:tc>
        <w:tc>
          <w:tcPr>
            <w:tcW w:w="1637" w:type="dxa"/>
            <w:tcBorders>
              <w:top w:val="nil"/>
              <w:left w:val="nil"/>
              <w:bottom w:val="single" w:sz="4" w:space="0" w:color="auto"/>
              <w:right w:val="single" w:sz="4" w:space="0" w:color="auto"/>
            </w:tcBorders>
            <w:shd w:val="clear" w:color="auto" w:fill="auto"/>
            <w:noWrap/>
            <w:vAlign w:val="bottom"/>
            <w:hideMark/>
          </w:tcPr>
          <w:p w14:paraId="4C01CA6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Ebenezer</w:t>
            </w:r>
          </w:p>
        </w:tc>
        <w:tc>
          <w:tcPr>
            <w:tcW w:w="1880" w:type="dxa"/>
            <w:tcBorders>
              <w:top w:val="nil"/>
              <w:left w:val="nil"/>
              <w:bottom w:val="single" w:sz="4" w:space="0" w:color="auto"/>
              <w:right w:val="single" w:sz="4" w:space="0" w:color="auto"/>
            </w:tcBorders>
            <w:shd w:val="clear" w:color="auto" w:fill="auto"/>
            <w:noWrap/>
            <w:vAlign w:val="bottom"/>
            <w:hideMark/>
          </w:tcPr>
          <w:p w14:paraId="7BBEAEB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5B9BE8CB"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3DDC4A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Reach Foundation</w:t>
            </w:r>
          </w:p>
        </w:tc>
        <w:tc>
          <w:tcPr>
            <w:tcW w:w="1447" w:type="dxa"/>
            <w:tcBorders>
              <w:top w:val="nil"/>
              <w:left w:val="nil"/>
              <w:bottom w:val="single" w:sz="4" w:space="0" w:color="auto"/>
              <w:right w:val="single" w:sz="4" w:space="0" w:color="auto"/>
            </w:tcBorders>
            <w:shd w:val="clear" w:color="auto" w:fill="auto"/>
            <w:noWrap/>
            <w:vAlign w:val="bottom"/>
            <w:hideMark/>
          </w:tcPr>
          <w:p w14:paraId="0DCE8D3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Chris </w:t>
            </w:r>
          </w:p>
        </w:tc>
        <w:tc>
          <w:tcPr>
            <w:tcW w:w="1637" w:type="dxa"/>
            <w:tcBorders>
              <w:top w:val="nil"/>
              <w:left w:val="nil"/>
              <w:bottom w:val="single" w:sz="4" w:space="0" w:color="auto"/>
              <w:right w:val="single" w:sz="4" w:space="0" w:color="auto"/>
            </w:tcBorders>
            <w:shd w:val="clear" w:color="auto" w:fill="auto"/>
            <w:noWrap/>
            <w:vAlign w:val="bottom"/>
            <w:hideMark/>
          </w:tcPr>
          <w:p w14:paraId="480C608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Naish</w:t>
            </w:r>
          </w:p>
        </w:tc>
        <w:tc>
          <w:tcPr>
            <w:tcW w:w="1880" w:type="dxa"/>
            <w:tcBorders>
              <w:top w:val="nil"/>
              <w:left w:val="nil"/>
              <w:bottom w:val="single" w:sz="4" w:space="0" w:color="auto"/>
              <w:right w:val="single" w:sz="4" w:space="0" w:color="auto"/>
            </w:tcBorders>
            <w:shd w:val="clear" w:color="auto" w:fill="auto"/>
            <w:noWrap/>
            <w:vAlign w:val="bottom"/>
            <w:hideMark/>
          </w:tcPr>
          <w:p w14:paraId="1DE0FEC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2DBF767C"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073EAA4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RSPCA Australia</w:t>
            </w:r>
          </w:p>
        </w:tc>
        <w:tc>
          <w:tcPr>
            <w:tcW w:w="1447" w:type="dxa"/>
            <w:tcBorders>
              <w:top w:val="nil"/>
              <w:left w:val="nil"/>
              <w:bottom w:val="single" w:sz="4" w:space="0" w:color="auto"/>
              <w:right w:val="single" w:sz="4" w:space="0" w:color="auto"/>
            </w:tcBorders>
            <w:shd w:val="clear" w:color="auto" w:fill="auto"/>
            <w:noWrap/>
            <w:vAlign w:val="bottom"/>
            <w:hideMark/>
          </w:tcPr>
          <w:p w14:paraId="0A1773A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Heather </w:t>
            </w:r>
          </w:p>
        </w:tc>
        <w:tc>
          <w:tcPr>
            <w:tcW w:w="1637" w:type="dxa"/>
            <w:tcBorders>
              <w:top w:val="nil"/>
              <w:left w:val="nil"/>
              <w:bottom w:val="single" w:sz="4" w:space="0" w:color="auto"/>
              <w:right w:val="single" w:sz="4" w:space="0" w:color="auto"/>
            </w:tcBorders>
            <w:shd w:val="clear" w:color="auto" w:fill="auto"/>
            <w:noWrap/>
            <w:vAlign w:val="bottom"/>
            <w:hideMark/>
          </w:tcPr>
          <w:p w14:paraId="40BBE1C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Neil </w:t>
            </w:r>
          </w:p>
        </w:tc>
        <w:tc>
          <w:tcPr>
            <w:tcW w:w="1880" w:type="dxa"/>
            <w:tcBorders>
              <w:top w:val="nil"/>
              <w:left w:val="nil"/>
              <w:bottom w:val="single" w:sz="4" w:space="0" w:color="auto"/>
              <w:right w:val="single" w:sz="4" w:space="0" w:color="auto"/>
            </w:tcBorders>
            <w:shd w:val="clear" w:color="auto" w:fill="auto"/>
            <w:noWrap/>
            <w:vAlign w:val="bottom"/>
            <w:hideMark/>
          </w:tcPr>
          <w:p w14:paraId="02D12D3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220D5EFE"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5314A0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SANE</w:t>
            </w:r>
          </w:p>
        </w:tc>
        <w:tc>
          <w:tcPr>
            <w:tcW w:w="1447" w:type="dxa"/>
            <w:tcBorders>
              <w:top w:val="nil"/>
              <w:left w:val="nil"/>
              <w:bottom w:val="single" w:sz="4" w:space="0" w:color="auto"/>
              <w:right w:val="single" w:sz="4" w:space="0" w:color="auto"/>
            </w:tcBorders>
            <w:shd w:val="clear" w:color="auto" w:fill="auto"/>
            <w:noWrap/>
            <w:vAlign w:val="bottom"/>
            <w:hideMark/>
          </w:tcPr>
          <w:p w14:paraId="6EF24E0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Jack</w:t>
            </w:r>
          </w:p>
        </w:tc>
        <w:tc>
          <w:tcPr>
            <w:tcW w:w="1637" w:type="dxa"/>
            <w:tcBorders>
              <w:top w:val="nil"/>
              <w:left w:val="nil"/>
              <w:bottom w:val="single" w:sz="4" w:space="0" w:color="auto"/>
              <w:right w:val="single" w:sz="4" w:space="0" w:color="auto"/>
            </w:tcBorders>
            <w:shd w:val="clear" w:color="auto" w:fill="auto"/>
            <w:noWrap/>
            <w:vAlign w:val="bottom"/>
            <w:hideMark/>
          </w:tcPr>
          <w:p w14:paraId="60A9428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Heath</w:t>
            </w:r>
          </w:p>
        </w:tc>
        <w:tc>
          <w:tcPr>
            <w:tcW w:w="1880" w:type="dxa"/>
            <w:tcBorders>
              <w:top w:val="nil"/>
              <w:left w:val="nil"/>
              <w:bottom w:val="single" w:sz="4" w:space="0" w:color="auto"/>
              <w:right w:val="single" w:sz="4" w:space="0" w:color="auto"/>
            </w:tcBorders>
            <w:shd w:val="clear" w:color="auto" w:fill="auto"/>
            <w:noWrap/>
            <w:vAlign w:val="bottom"/>
            <w:hideMark/>
          </w:tcPr>
          <w:p w14:paraId="586B28E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AC961D7"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760202C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SARRAH</w:t>
            </w:r>
          </w:p>
        </w:tc>
        <w:tc>
          <w:tcPr>
            <w:tcW w:w="1447" w:type="dxa"/>
            <w:tcBorders>
              <w:top w:val="nil"/>
              <w:left w:val="nil"/>
              <w:bottom w:val="single" w:sz="4" w:space="0" w:color="auto"/>
              <w:right w:val="single" w:sz="4" w:space="0" w:color="auto"/>
            </w:tcBorders>
            <w:shd w:val="clear" w:color="auto" w:fill="auto"/>
            <w:noWrap/>
            <w:vAlign w:val="bottom"/>
            <w:hideMark/>
          </w:tcPr>
          <w:p w14:paraId="4631513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Rod</w:t>
            </w:r>
          </w:p>
        </w:tc>
        <w:tc>
          <w:tcPr>
            <w:tcW w:w="1637" w:type="dxa"/>
            <w:tcBorders>
              <w:top w:val="nil"/>
              <w:left w:val="nil"/>
              <w:bottom w:val="single" w:sz="4" w:space="0" w:color="auto"/>
              <w:right w:val="single" w:sz="4" w:space="0" w:color="auto"/>
            </w:tcBorders>
            <w:shd w:val="clear" w:color="auto" w:fill="auto"/>
            <w:noWrap/>
            <w:vAlign w:val="bottom"/>
            <w:hideMark/>
          </w:tcPr>
          <w:p w14:paraId="6D05FC1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Wellington</w:t>
            </w:r>
          </w:p>
        </w:tc>
        <w:tc>
          <w:tcPr>
            <w:tcW w:w="1880" w:type="dxa"/>
            <w:tcBorders>
              <w:top w:val="nil"/>
              <w:left w:val="nil"/>
              <w:bottom w:val="single" w:sz="4" w:space="0" w:color="auto"/>
              <w:right w:val="single" w:sz="4" w:space="0" w:color="auto"/>
            </w:tcBorders>
            <w:shd w:val="clear" w:color="auto" w:fill="auto"/>
            <w:noWrap/>
            <w:vAlign w:val="bottom"/>
            <w:hideMark/>
          </w:tcPr>
          <w:p w14:paraId="19A5701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6B41646E"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1ABB664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Save the Children</w:t>
            </w:r>
          </w:p>
        </w:tc>
        <w:tc>
          <w:tcPr>
            <w:tcW w:w="1447" w:type="dxa"/>
            <w:tcBorders>
              <w:top w:val="nil"/>
              <w:left w:val="nil"/>
              <w:bottom w:val="single" w:sz="4" w:space="0" w:color="auto"/>
              <w:right w:val="single" w:sz="4" w:space="0" w:color="auto"/>
            </w:tcBorders>
            <w:shd w:val="clear" w:color="auto" w:fill="auto"/>
            <w:noWrap/>
            <w:vAlign w:val="bottom"/>
            <w:hideMark/>
          </w:tcPr>
          <w:p w14:paraId="224E638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Paul </w:t>
            </w:r>
          </w:p>
        </w:tc>
        <w:tc>
          <w:tcPr>
            <w:tcW w:w="1637" w:type="dxa"/>
            <w:tcBorders>
              <w:top w:val="nil"/>
              <w:left w:val="nil"/>
              <w:bottom w:val="single" w:sz="4" w:space="0" w:color="auto"/>
              <w:right w:val="single" w:sz="4" w:space="0" w:color="auto"/>
            </w:tcBorders>
            <w:shd w:val="clear" w:color="auto" w:fill="auto"/>
            <w:noWrap/>
            <w:vAlign w:val="bottom"/>
            <w:hideMark/>
          </w:tcPr>
          <w:p w14:paraId="344C969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Ronalds </w:t>
            </w:r>
          </w:p>
        </w:tc>
        <w:tc>
          <w:tcPr>
            <w:tcW w:w="1880" w:type="dxa"/>
            <w:tcBorders>
              <w:top w:val="nil"/>
              <w:left w:val="nil"/>
              <w:bottom w:val="single" w:sz="4" w:space="0" w:color="auto"/>
              <w:right w:val="single" w:sz="4" w:space="0" w:color="auto"/>
            </w:tcBorders>
            <w:shd w:val="clear" w:color="auto" w:fill="auto"/>
            <w:noWrap/>
            <w:vAlign w:val="bottom"/>
            <w:hideMark/>
          </w:tcPr>
          <w:p w14:paraId="793B192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326AD43C"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6B6B9A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Scope</w:t>
            </w:r>
          </w:p>
        </w:tc>
        <w:tc>
          <w:tcPr>
            <w:tcW w:w="1447" w:type="dxa"/>
            <w:tcBorders>
              <w:top w:val="nil"/>
              <w:left w:val="nil"/>
              <w:bottom w:val="single" w:sz="4" w:space="0" w:color="auto"/>
              <w:right w:val="single" w:sz="4" w:space="0" w:color="auto"/>
            </w:tcBorders>
            <w:shd w:val="clear" w:color="auto" w:fill="auto"/>
            <w:noWrap/>
            <w:vAlign w:val="bottom"/>
            <w:hideMark/>
          </w:tcPr>
          <w:p w14:paraId="6AFE53C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Jennifer </w:t>
            </w:r>
          </w:p>
        </w:tc>
        <w:tc>
          <w:tcPr>
            <w:tcW w:w="1637" w:type="dxa"/>
            <w:tcBorders>
              <w:top w:val="nil"/>
              <w:left w:val="nil"/>
              <w:bottom w:val="single" w:sz="4" w:space="0" w:color="auto"/>
              <w:right w:val="single" w:sz="4" w:space="0" w:color="auto"/>
            </w:tcBorders>
            <w:shd w:val="clear" w:color="auto" w:fill="auto"/>
            <w:noWrap/>
            <w:vAlign w:val="bottom"/>
            <w:hideMark/>
          </w:tcPr>
          <w:p w14:paraId="39E1C88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Fitzgerald</w:t>
            </w:r>
          </w:p>
        </w:tc>
        <w:tc>
          <w:tcPr>
            <w:tcW w:w="1880" w:type="dxa"/>
            <w:tcBorders>
              <w:top w:val="nil"/>
              <w:left w:val="nil"/>
              <w:bottom w:val="single" w:sz="4" w:space="0" w:color="auto"/>
              <w:right w:val="single" w:sz="4" w:space="0" w:color="auto"/>
            </w:tcBorders>
            <w:shd w:val="clear" w:color="auto" w:fill="auto"/>
            <w:noWrap/>
            <w:vAlign w:val="bottom"/>
            <w:hideMark/>
          </w:tcPr>
          <w:p w14:paraId="25D689A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353BB0D1"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75CC71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Settlement Services International</w:t>
            </w:r>
          </w:p>
        </w:tc>
        <w:tc>
          <w:tcPr>
            <w:tcW w:w="1447" w:type="dxa"/>
            <w:tcBorders>
              <w:top w:val="nil"/>
              <w:left w:val="nil"/>
              <w:bottom w:val="single" w:sz="4" w:space="0" w:color="auto"/>
              <w:right w:val="single" w:sz="4" w:space="0" w:color="auto"/>
            </w:tcBorders>
            <w:shd w:val="clear" w:color="auto" w:fill="auto"/>
            <w:noWrap/>
            <w:vAlign w:val="bottom"/>
            <w:hideMark/>
          </w:tcPr>
          <w:p w14:paraId="4D4F315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Violet</w:t>
            </w:r>
          </w:p>
        </w:tc>
        <w:tc>
          <w:tcPr>
            <w:tcW w:w="1637" w:type="dxa"/>
            <w:tcBorders>
              <w:top w:val="nil"/>
              <w:left w:val="nil"/>
              <w:bottom w:val="single" w:sz="4" w:space="0" w:color="auto"/>
              <w:right w:val="single" w:sz="4" w:space="0" w:color="auto"/>
            </w:tcBorders>
            <w:shd w:val="clear" w:color="auto" w:fill="auto"/>
            <w:noWrap/>
            <w:vAlign w:val="bottom"/>
            <w:hideMark/>
          </w:tcPr>
          <w:p w14:paraId="722400C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Roumeliotis</w:t>
            </w:r>
          </w:p>
        </w:tc>
        <w:tc>
          <w:tcPr>
            <w:tcW w:w="1880" w:type="dxa"/>
            <w:tcBorders>
              <w:top w:val="nil"/>
              <w:left w:val="nil"/>
              <w:bottom w:val="single" w:sz="4" w:space="0" w:color="auto"/>
              <w:right w:val="single" w:sz="4" w:space="0" w:color="auto"/>
            </w:tcBorders>
            <w:shd w:val="clear" w:color="auto" w:fill="auto"/>
            <w:noWrap/>
            <w:vAlign w:val="bottom"/>
            <w:hideMark/>
          </w:tcPr>
          <w:p w14:paraId="6A40063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4DAB06E4"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DFB224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Smith Family</w:t>
            </w:r>
          </w:p>
        </w:tc>
        <w:tc>
          <w:tcPr>
            <w:tcW w:w="1447" w:type="dxa"/>
            <w:tcBorders>
              <w:top w:val="nil"/>
              <w:left w:val="nil"/>
              <w:bottom w:val="single" w:sz="4" w:space="0" w:color="auto"/>
              <w:right w:val="single" w:sz="4" w:space="0" w:color="auto"/>
            </w:tcBorders>
            <w:shd w:val="clear" w:color="auto" w:fill="auto"/>
            <w:noWrap/>
            <w:vAlign w:val="bottom"/>
            <w:hideMark/>
          </w:tcPr>
          <w:p w14:paraId="365F14A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Lisa</w:t>
            </w:r>
          </w:p>
        </w:tc>
        <w:tc>
          <w:tcPr>
            <w:tcW w:w="1637" w:type="dxa"/>
            <w:tcBorders>
              <w:top w:val="nil"/>
              <w:left w:val="nil"/>
              <w:bottom w:val="single" w:sz="4" w:space="0" w:color="auto"/>
              <w:right w:val="single" w:sz="4" w:space="0" w:color="auto"/>
            </w:tcBorders>
            <w:shd w:val="clear" w:color="auto" w:fill="auto"/>
            <w:noWrap/>
            <w:vAlign w:val="bottom"/>
            <w:hideMark/>
          </w:tcPr>
          <w:p w14:paraId="78A70A4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O'Brien</w:t>
            </w:r>
          </w:p>
        </w:tc>
        <w:tc>
          <w:tcPr>
            <w:tcW w:w="1880" w:type="dxa"/>
            <w:tcBorders>
              <w:top w:val="nil"/>
              <w:left w:val="nil"/>
              <w:bottom w:val="single" w:sz="4" w:space="0" w:color="auto"/>
              <w:right w:val="single" w:sz="4" w:space="0" w:color="auto"/>
            </w:tcBorders>
            <w:shd w:val="clear" w:color="auto" w:fill="auto"/>
            <w:noWrap/>
            <w:vAlign w:val="bottom"/>
            <w:hideMark/>
          </w:tcPr>
          <w:p w14:paraId="3B41281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ABC03A5"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3534363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Social Ventures Australia</w:t>
            </w:r>
          </w:p>
        </w:tc>
        <w:tc>
          <w:tcPr>
            <w:tcW w:w="1447" w:type="dxa"/>
            <w:tcBorders>
              <w:top w:val="nil"/>
              <w:left w:val="nil"/>
              <w:bottom w:val="single" w:sz="4" w:space="0" w:color="auto"/>
              <w:right w:val="single" w:sz="4" w:space="0" w:color="auto"/>
            </w:tcBorders>
            <w:shd w:val="clear" w:color="auto" w:fill="auto"/>
            <w:noWrap/>
            <w:vAlign w:val="bottom"/>
            <w:hideMark/>
          </w:tcPr>
          <w:p w14:paraId="2F0FB5B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Rob</w:t>
            </w:r>
          </w:p>
        </w:tc>
        <w:tc>
          <w:tcPr>
            <w:tcW w:w="1637" w:type="dxa"/>
            <w:tcBorders>
              <w:top w:val="nil"/>
              <w:left w:val="nil"/>
              <w:bottom w:val="single" w:sz="4" w:space="0" w:color="auto"/>
              <w:right w:val="single" w:sz="4" w:space="0" w:color="auto"/>
            </w:tcBorders>
            <w:shd w:val="clear" w:color="auto" w:fill="auto"/>
            <w:noWrap/>
            <w:vAlign w:val="bottom"/>
            <w:hideMark/>
          </w:tcPr>
          <w:p w14:paraId="08BB050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Koczkar</w:t>
            </w:r>
          </w:p>
        </w:tc>
        <w:tc>
          <w:tcPr>
            <w:tcW w:w="1880" w:type="dxa"/>
            <w:tcBorders>
              <w:top w:val="nil"/>
              <w:left w:val="nil"/>
              <w:bottom w:val="single" w:sz="4" w:space="0" w:color="auto"/>
              <w:right w:val="single" w:sz="4" w:space="0" w:color="auto"/>
            </w:tcBorders>
            <w:shd w:val="clear" w:color="auto" w:fill="auto"/>
            <w:noWrap/>
            <w:vAlign w:val="bottom"/>
            <w:hideMark/>
          </w:tcPr>
          <w:p w14:paraId="09BB8A7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FF074B7"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19E4B9E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St John Ambulance</w:t>
            </w:r>
          </w:p>
        </w:tc>
        <w:tc>
          <w:tcPr>
            <w:tcW w:w="1447" w:type="dxa"/>
            <w:tcBorders>
              <w:top w:val="nil"/>
              <w:left w:val="nil"/>
              <w:bottom w:val="single" w:sz="4" w:space="0" w:color="auto"/>
              <w:right w:val="single" w:sz="4" w:space="0" w:color="auto"/>
            </w:tcBorders>
            <w:shd w:val="clear" w:color="auto" w:fill="auto"/>
            <w:noWrap/>
            <w:vAlign w:val="bottom"/>
            <w:hideMark/>
          </w:tcPr>
          <w:p w14:paraId="76BD324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Robert</w:t>
            </w:r>
          </w:p>
        </w:tc>
        <w:tc>
          <w:tcPr>
            <w:tcW w:w="1637" w:type="dxa"/>
            <w:tcBorders>
              <w:top w:val="nil"/>
              <w:left w:val="nil"/>
              <w:bottom w:val="single" w:sz="4" w:space="0" w:color="auto"/>
              <w:right w:val="single" w:sz="4" w:space="0" w:color="auto"/>
            </w:tcBorders>
            <w:shd w:val="clear" w:color="auto" w:fill="auto"/>
            <w:noWrap/>
            <w:vAlign w:val="bottom"/>
            <w:hideMark/>
          </w:tcPr>
          <w:p w14:paraId="533EB9B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Hunt</w:t>
            </w:r>
          </w:p>
        </w:tc>
        <w:tc>
          <w:tcPr>
            <w:tcW w:w="1880" w:type="dxa"/>
            <w:tcBorders>
              <w:top w:val="nil"/>
              <w:left w:val="nil"/>
              <w:bottom w:val="single" w:sz="4" w:space="0" w:color="auto"/>
              <w:right w:val="single" w:sz="4" w:space="0" w:color="auto"/>
            </w:tcBorders>
            <w:shd w:val="clear" w:color="auto" w:fill="auto"/>
            <w:noWrap/>
            <w:vAlign w:val="bottom"/>
            <w:hideMark/>
          </w:tcPr>
          <w:p w14:paraId="2866845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3DD065D"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6BA92A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Starlight Foundation</w:t>
            </w:r>
          </w:p>
        </w:tc>
        <w:tc>
          <w:tcPr>
            <w:tcW w:w="1447" w:type="dxa"/>
            <w:tcBorders>
              <w:top w:val="nil"/>
              <w:left w:val="nil"/>
              <w:bottom w:val="single" w:sz="4" w:space="0" w:color="auto"/>
              <w:right w:val="single" w:sz="4" w:space="0" w:color="auto"/>
            </w:tcBorders>
            <w:shd w:val="clear" w:color="auto" w:fill="auto"/>
            <w:noWrap/>
            <w:vAlign w:val="bottom"/>
            <w:hideMark/>
          </w:tcPr>
          <w:p w14:paraId="7E9817F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Louise </w:t>
            </w:r>
          </w:p>
        </w:tc>
        <w:tc>
          <w:tcPr>
            <w:tcW w:w="1637" w:type="dxa"/>
            <w:tcBorders>
              <w:top w:val="nil"/>
              <w:left w:val="nil"/>
              <w:bottom w:val="single" w:sz="4" w:space="0" w:color="auto"/>
              <w:right w:val="single" w:sz="4" w:space="0" w:color="auto"/>
            </w:tcBorders>
            <w:shd w:val="clear" w:color="auto" w:fill="auto"/>
            <w:noWrap/>
            <w:vAlign w:val="bottom"/>
            <w:hideMark/>
          </w:tcPr>
          <w:p w14:paraId="2BDBFA4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Baxter</w:t>
            </w:r>
          </w:p>
        </w:tc>
        <w:tc>
          <w:tcPr>
            <w:tcW w:w="1880" w:type="dxa"/>
            <w:tcBorders>
              <w:top w:val="nil"/>
              <w:left w:val="nil"/>
              <w:bottom w:val="single" w:sz="4" w:space="0" w:color="auto"/>
              <w:right w:val="single" w:sz="4" w:space="0" w:color="auto"/>
            </w:tcBorders>
            <w:shd w:val="clear" w:color="auto" w:fill="auto"/>
            <w:noWrap/>
            <w:vAlign w:val="bottom"/>
            <w:hideMark/>
          </w:tcPr>
          <w:p w14:paraId="311E562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09918A2"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014A0DF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Ted Noffs Foundation</w:t>
            </w:r>
          </w:p>
        </w:tc>
        <w:tc>
          <w:tcPr>
            <w:tcW w:w="1447" w:type="dxa"/>
            <w:tcBorders>
              <w:top w:val="nil"/>
              <w:left w:val="nil"/>
              <w:bottom w:val="single" w:sz="4" w:space="0" w:color="auto"/>
              <w:right w:val="single" w:sz="4" w:space="0" w:color="auto"/>
            </w:tcBorders>
            <w:shd w:val="clear" w:color="auto" w:fill="auto"/>
            <w:noWrap/>
            <w:vAlign w:val="bottom"/>
            <w:hideMark/>
          </w:tcPr>
          <w:p w14:paraId="1106205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Matthew</w:t>
            </w:r>
          </w:p>
        </w:tc>
        <w:tc>
          <w:tcPr>
            <w:tcW w:w="1637" w:type="dxa"/>
            <w:tcBorders>
              <w:top w:val="nil"/>
              <w:left w:val="nil"/>
              <w:bottom w:val="single" w:sz="4" w:space="0" w:color="auto"/>
              <w:right w:val="single" w:sz="4" w:space="0" w:color="auto"/>
            </w:tcBorders>
            <w:shd w:val="clear" w:color="auto" w:fill="auto"/>
            <w:noWrap/>
            <w:vAlign w:val="bottom"/>
            <w:hideMark/>
          </w:tcPr>
          <w:p w14:paraId="33133CC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Noffs</w:t>
            </w:r>
          </w:p>
        </w:tc>
        <w:tc>
          <w:tcPr>
            <w:tcW w:w="1880" w:type="dxa"/>
            <w:tcBorders>
              <w:top w:val="nil"/>
              <w:left w:val="nil"/>
              <w:bottom w:val="single" w:sz="4" w:space="0" w:color="auto"/>
              <w:right w:val="single" w:sz="4" w:space="0" w:color="auto"/>
            </w:tcBorders>
            <w:shd w:val="clear" w:color="auto" w:fill="auto"/>
            <w:noWrap/>
            <w:vAlign w:val="bottom"/>
            <w:hideMark/>
          </w:tcPr>
          <w:p w14:paraId="040FE38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1E3FD949"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3C52EBD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Touched by Olivia</w:t>
            </w:r>
          </w:p>
        </w:tc>
        <w:tc>
          <w:tcPr>
            <w:tcW w:w="1447" w:type="dxa"/>
            <w:tcBorders>
              <w:top w:val="nil"/>
              <w:left w:val="nil"/>
              <w:bottom w:val="single" w:sz="4" w:space="0" w:color="auto"/>
              <w:right w:val="single" w:sz="4" w:space="0" w:color="auto"/>
            </w:tcBorders>
            <w:shd w:val="clear" w:color="auto" w:fill="auto"/>
            <w:noWrap/>
            <w:vAlign w:val="bottom"/>
            <w:hideMark/>
          </w:tcPr>
          <w:p w14:paraId="542E3F0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Bec</w:t>
            </w:r>
          </w:p>
        </w:tc>
        <w:tc>
          <w:tcPr>
            <w:tcW w:w="1637" w:type="dxa"/>
            <w:tcBorders>
              <w:top w:val="nil"/>
              <w:left w:val="nil"/>
              <w:bottom w:val="single" w:sz="4" w:space="0" w:color="auto"/>
              <w:right w:val="single" w:sz="4" w:space="0" w:color="auto"/>
            </w:tcBorders>
            <w:shd w:val="clear" w:color="auto" w:fill="auto"/>
            <w:noWrap/>
            <w:vAlign w:val="bottom"/>
            <w:hideMark/>
          </w:tcPr>
          <w:p w14:paraId="0D355BB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Ho</w:t>
            </w:r>
          </w:p>
        </w:tc>
        <w:tc>
          <w:tcPr>
            <w:tcW w:w="1880" w:type="dxa"/>
            <w:tcBorders>
              <w:top w:val="nil"/>
              <w:left w:val="nil"/>
              <w:bottom w:val="single" w:sz="4" w:space="0" w:color="auto"/>
              <w:right w:val="single" w:sz="4" w:space="0" w:color="auto"/>
            </w:tcBorders>
            <w:shd w:val="clear" w:color="auto" w:fill="auto"/>
            <w:noWrap/>
            <w:vAlign w:val="bottom"/>
            <w:hideMark/>
          </w:tcPr>
          <w:p w14:paraId="530C69B3"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3F00276A"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127F968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Variety Australia</w:t>
            </w:r>
          </w:p>
        </w:tc>
        <w:tc>
          <w:tcPr>
            <w:tcW w:w="1447" w:type="dxa"/>
            <w:tcBorders>
              <w:top w:val="nil"/>
              <w:left w:val="nil"/>
              <w:bottom w:val="single" w:sz="4" w:space="0" w:color="auto"/>
              <w:right w:val="single" w:sz="4" w:space="0" w:color="auto"/>
            </w:tcBorders>
            <w:shd w:val="clear" w:color="auto" w:fill="auto"/>
            <w:noWrap/>
            <w:vAlign w:val="bottom"/>
            <w:hideMark/>
          </w:tcPr>
          <w:p w14:paraId="43BE2D5B"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Neil </w:t>
            </w:r>
          </w:p>
        </w:tc>
        <w:tc>
          <w:tcPr>
            <w:tcW w:w="1637" w:type="dxa"/>
            <w:tcBorders>
              <w:top w:val="nil"/>
              <w:left w:val="nil"/>
              <w:bottom w:val="single" w:sz="4" w:space="0" w:color="auto"/>
              <w:right w:val="single" w:sz="4" w:space="0" w:color="auto"/>
            </w:tcBorders>
            <w:shd w:val="clear" w:color="auto" w:fill="auto"/>
            <w:noWrap/>
            <w:vAlign w:val="bottom"/>
            <w:hideMark/>
          </w:tcPr>
          <w:p w14:paraId="71DEC902"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Wykes </w:t>
            </w:r>
          </w:p>
        </w:tc>
        <w:tc>
          <w:tcPr>
            <w:tcW w:w="1880" w:type="dxa"/>
            <w:tcBorders>
              <w:top w:val="nil"/>
              <w:left w:val="nil"/>
              <w:bottom w:val="single" w:sz="4" w:space="0" w:color="auto"/>
              <w:right w:val="single" w:sz="4" w:space="0" w:color="auto"/>
            </w:tcBorders>
            <w:shd w:val="clear" w:color="auto" w:fill="auto"/>
            <w:noWrap/>
            <w:vAlign w:val="bottom"/>
            <w:hideMark/>
          </w:tcPr>
          <w:p w14:paraId="0AD2407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Company Secretary </w:t>
            </w:r>
          </w:p>
        </w:tc>
      </w:tr>
      <w:tr w:rsidR="00060937" w:rsidRPr="00512BCC" w14:paraId="607E0A4F"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03F4F5F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Volunteering Australia</w:t>
            </w:r>
          </w:p>
        </w:tc>
        <w:tc>
          <w:tcPr>
            <w:tcW w:w="1447" w:type="dxa"/>
            <w:tcBorders>
              <w:top w:val="nil"/>
              <w:left w:val="nil"/>
              <w:bottom w:val="single" w:sz="4" w:space="0" w:color="auto"/>
              <w:right w:val="single" w:sz="4" w:space="0" w:color="auto"/>
            </w:tcBorders>
            <w:shd w:val="clear" w:color="auto" w:fill="auto"/>
            <w:noWrap/>
            <w:vAlign w:val="bottom"/>
            <w:hideMark/>
          </w:tcPr>
          <w:p w14:paraId="678C99C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Brett </w:t>
            </w:r>
          </w:p>
        </w:tc>
        <w:tc>
          <w:tcPr>
            <w:tcW w:w="1637" w:type="dxa"/>
            <w:tcBorders>
              <w:top w:val="nil"/>
              <w:left w:val="nil"/>
              <w:bottom w:val="single" w:sz="4" w:space="0" w:color="auto"/>
              <w:right w:val="single" w:sz="4" w:space="0" w:color="auto"/>
            </w:tcBorders>
            <w:shd w:val="clear" w:color="auto" w:fill="auto"/>
            <w:noWrap/>
            <w:vAlign w:val="bottom"/>
            <w:hideMark/>
          </w:tcPr>
          <w:p w14:paraId="17F48F6F"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Williamson</w:t>
            </w:r>
          </w:p>
        </w:tc>
        <w:tc>
          <w:tcPr>
            <w:tcW w:w="1880" w:type="dxa"/>
            <w:tcBorders>
              <w:top w:val="nil"/>
              <w:left w:val="nil"/>
              <w:bottom w:val="single" w:sz="4" w:space="0" w:color="auto"/>
              <w:right w:val="single" w:sz="4" w:space="0" w:color="auto"/>
            </w:tcBorders>
            <w:shd w:val="clear" w:color="auto" w:fill="auto"/>
            <w:noWrap/>
            <w:vAlign w:val="bottom"/>
            <w:hideMark/>
          </w:tcPr>
          <w:p w14:paraId="1C2F5FE1"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1B0FE3D7"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5E5E7527"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Wesley Mission</w:t>
            </w:r>
          </w:p>
        </w:tc>
        <w:tc>
          <w:tcPr>
            <w:tcW w:w="1447" w:type="dxa"/>
            <w:tcBorders>
              <w:top w:val="nil"/>
              <w:left w:val="nil"/>
              <w:bottom w:val="single" w:sz="4" w:space="0" w:color="auto"/>
              <w:right w:val="single" w:sz="4" w:space="0" w:color="auto"/>
            </w:tcBorders>
            <w:shd w:val="clear" w:color="auto" w:fill="auto"/>
            <w:noWrap/>
            <w:vAlign w:val="bottom"/>
            <w:hideMark/>
          </w:tcPr>
          <w:p w14:paraId="68C14E0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Keith </w:t>
            </w:r>
          </w:p>
        </w:tc>
        <w:tc>
          <w:tcPr>
            <w:tcW w:w="1637" w:type="dxa"/>
            <w:tcBorders>
              <w:top w:val="nil"/>
              <w:left w:val="nil"/>
              <w:bottom w:val="single" w:sz="4" w:space="0" w:color="auto"/>
              <w:right w:val="single" w:sz="4" w:space="0" w:color="auto"/>
            </w:tcBorders>
            <w:shd w:val="clear" w:color="auto" w:fill="auto"/>
            <w:noWrap/>
            <w:vAlign w:val="bottom"/>
            <w:hideMark/>
          </w:tcPr>
          <w:p w14:paraId="5ADC56B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Garner</w:t>
            </w:r>
          </w:p>
        </w:tc>
        <w:tc>
          <w:tcPr>
            <w:tcW w:w="1880" w:type="dxa"/>
            <w:tcBorders>
              <w:top w:val="nil"/>
              <w:left w:val="nil"/>
              <w:bottom w:val="single" w:sz="4" w:space="0" w:color="auto"/>
              <w:right w:val="single" w:sz="4" w:space="0" w:color="auto"/>
            </w:tcBorders>
            <w:shd w:val="clear" w:color="auto" w:fill="auto"/>
            <w:noWrap/>
            <w:vAlign w:val="bottom"/>
            <w:hideMark/>
          </w:tcPr>
          <w:p w14:paraId="51F765F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274D5571"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BA4758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White Ribbon Australia</w:t>
            </w:r>
          </w:p>
        </w:tc>
        <w:tc>
          <w:tcPr>
            <w:tcW w:w="1447" w:type="dxa"/>
            <w:tcBorders>
              <w:top w:val="nil"/>
              <w:left w:val="nil"/>
              <w:bottom w:val="single" w:sz="4" w:space="0" w:color="auto"/>
              <w:right w:val="single" w:sz="4" w:space="0" w:color="auto"/>
            </w:tcBorders>
            <w:shd w:val="clear" w:color="auto" w:fill="auto"/>
            <w:noWrap/>
            <w:vAlign w:val="bottom"/>
            <w:hideMark/>
          </w:tcPr>
          <w:p w14:paraId="7F3DFF1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Libby</w:t>
            </w:r>
          </w:p>
        </w:tc>
        <w:tc>
          <w:tcPr>
            <w:tcW w:w="1637" w:type="dxa"/>
            <w:tcBorders>
              <w:top w:val="nil"/>
              <w:left w:val="nil"/>
              <w:bottom w:val="single" w:sz="4" w:space="0" w:color="auto"/>
              <w:right w:val="single" w:sz="4" w:space="0" w:color="auto"/>
            </w:tcBorders>
            <w:shd w:val="clear" w:color="auto" w:fill="auto"/>
            <w:noWrap/>
            <w:vAlign w:val="bottom"/>
            <w:hideMark/>
          </w:tcPr>
          <w:p w14:paraId="086F9B34"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Davies</w:t>
            </w:r>
          </w:p>
        </w:tc>
        <w:tc>
          <w:tcPr>
            <w:tcW w:w="1880" w:type="dxa"/>
            <w:tcBorders>
              <w:top w:val="nil"/>
              <w:left w:val="nil"/>
              <w:bottom w:val="single" w:sz="4" w:space="0" w:color="auto"/>
              <w:right w:val="single" w:sz="4" w:space="0" w:color="auto"/>
            </w:tcBorders>
            <w:shd w:val="clear" w:color="auto" w:fill="auto"/>
            <w:noWrap/>
            <w:vAlign w:val="bottom"/>
            <w:hideMark/>
          </w:tcPr>
          <w:p w14:paraId="3CA1D3F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r w:rsidR="00060937" w:rsidRPr="00512BCC" w14:paraId="77748404"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5CD3980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World Vision</w:t>
            </w:r>
          </w:p>
        </w:tc>
        <w:tc>
          <w:tcPr>
            <w:tcW w:w="1447" w:type="dxa"/>
            <w:tcBorders>
              <w:top w:val="nil"/>
              <w:left w:val="nil"/>
              <w:bottom w:val="single" w:sz="4" w:space="0" w:color="auto"/>
              <w:right w:val="single" w:sz="4" w:space="0" w:color="auto"/>
            </w:tcBorders>
            <w:shd w:val="clear" w:color="auto" w:fill="auto"/>
            <w:noWrap/>
            <w:vAlign w:val="bottom"/>
            <w:hideMark/>
          </w:tcPr>
          <w:p w14:paraId="3C7D4048" w14:textId="77777777" w:rsidR="00060937" w:rsidRPr="00512BCC" w:rsidRDefault="00AD615D" w:rsidP="00060937">
            <w:pPr>
              <w:contextualSpacing/>
              <w:rPr>
                <w:rFonts w:ascii="Calibri" w:eastAsia="Times New Roman" w:hAnsi="Calibri" w:cs="Calibri"/>
                <w:color w:val="000000"/>
              </w:rPr>
            </w:pPr>
            <w:hyperlink r:id="rId18" w:history="1">
              <w:r w:rsidR="00060937" w:rsidRPr="00512BCC">
                <w:rPr>
                  <w:rFonts w:ascii="Calibri" w:eastAsia="Times New Roman" w:hAnsi="Calibri" w:cs="Calibri"/>
                  <w:color w:val="000000"/>
                </w:rPr>
                <w:t>Tim</w:t>
              </w:r>
            </w:hyperlink>
          </w:p>
        </w:tc>
        <w:tc>
          <w:tcPr>
            <w:tcW w:w="1637" w:type="dxa"/>
            <w:tcBorders>
              <w:top w:val="nil"/>
              <w:left w:val="nil"/>
              <w:bottom w:val="single" w:sz="4" w:space="0" w:color="auto"/>
              <w:right w:val="single" w:sz="4" w:space="0" w:color="auto"/>
            </w:tcBorders>
            <w:shd w:val="clear" w:color="auto" w:fill="auto"/>
            <w:noWrap/>
            <w:vAlign w:val="bottom"/>
            <w:hideMark/>
          </w:tcPr>
          <w:p w14:paraId="2C17D2EA"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Costello</w:t>
            </w:r>
          </w:p>
        </w:tc>
        <w:tc>
          <w:tcPr>
            <w:tcW w:w="1880" w:type="dxa"/>
            <w:tcBorders>
              <w:top w:val="nil"/>
              <w:left w:val="nil"/>
              <w:bottom w:val="single" w:sz="4" w:space="0" w:color="auto"/>
              <w:right w:val="single" w:sz="4" w:space="0" w:color="auto"/>
            </w:tcBorders>
            <w:shd w:val="clear" w:color="auto" w:fill="auto"/>
            <w:noWrap/>
            <w:vAlign w:val="bottom"/>
            <w:hideMark/>
          </w:tcPr>
          <w:p w14:paraId="29031CCC"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Chief Advocate</w:t>
            </w:r>
          </w:p>
        </w:tc>
      </w:tr>
      <w:tr w:rsidR="00060937" w:rsidRPr="00512BCC" w14:paraId="53CB8FEE"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BF97959"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YMCA Australia</w:t>
            </w:r>
          </w:p>
        </w:tc>
        <w:tc>
          <w:tcPr>
            <w:tcW w:w="1447" w:type="dxa"/>
            <w:tcBorders>
              <w:top w:val="nil"/>
              <w:left w:val="nil"/>
              <w:bottom w:val="single" w:sz="4" w:space="0" w:color="auto"/>
              <w:right w:val="single" w:sz="4" w:space="0" w:color="auto"/>
            </w:tcBorders>
            <w:shd w:val="clear" w:color="auto" w:fill="auto"/>
            <w:noWrap/>
            <w:vAlign w:val="bottom"/>
            <w:hideMark/>
          </w:tcPr>
          <w:p w14:paraId="3CB13AC0"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Melinda</w:t>
            </w:r>
          </w:p>
        </w:tc>
        <w:tc>
          <w:tcPr>
            <w:tcW w:w="1637" w:type="dxa"/>
            <w:tcBorders>
              <w:top w:val="nil"/>
              <w:left w:val="nil"/>
              <w:bottom w:val="single" w:sz="4" w:space="0" w:color="auto"/>
              <w:right w:val="single" w:sz="4" w:space="0" w:color="auto"/>
            </w:tcBorders>
            <w:shd w:val="clear" w:color="auto" w:fill="auto"/>
            <w:noWrap/>
            <w:vAlign w:val="bottom"/>
            <w:hideMark/>
          </w:tcPr>
          <w:p w14:paraId="7627B568"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Crole</w:t>
            </w:r>
          </w:p>
        </w:tc>
        <w:tc>
          <w:tcPr>
            <w:tcW w:w="1880" w:type="dxa"/>
            <w:tcBorders>
              <w:top w:val="nil"/>
              <w:left w:val="nil"/>
              <w:bottom w:val="single" w:sz="4" w:space="0" w:color="auto"/>
              <w:right w:val="single" w:sz="4" w:space="0" w:color="auto"/>
            </w:tcBorders>
            <w:shd w:val="clear" w:color="auto" w:fill="auto"/>
            <w:noWrap/>
            <w:vAlign w:val="bottom"/>
            <w:hideMark/>
          </w:tcPr>
          <w:p w14:paraId="6C6758E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 a/c</w:t>
            </w:r>
          </w:p>
        </w:tc>
      </w:tr>
      <w:tr w:rsidR="00060937" w:rsidRPr="00512BCC" w14:paraId="08A8C505" w14:textId="77777777" w:rsidTr="00D02360">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35D85D6"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Youth Off the Streets</w:t>
            </w:r>
          </w:p>
        </w:tc>
        <w:tc>
          <w:tcPr>
            <w:tcW w:w="1447" w:type="dxa"/>
            <w:tcBorders>
              <w:top w:val="nil"/>
              <w:left w:val="nil"/>
              <w:bottom w:val="single" w:sz="4" w:space="0" w:color="auto"/>
              <w:right w:val="single" w:sz="4" w:space="0" w:color="auto"/>
            </w:tcBorders>
            <w:shd w:val="clear" w:color="auto" w:fill="auto"/>
            <w:noWrap/>
            <w:vAlign w:val="bottom"/>
            <w:hideMark/>
          </w:tcPr>
          <w:p w14:paraId="75E43D8D"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Father Chris </w:t>
            </w:r>
          </w:p>
        </w:tc>
        <w:tc>
          <w:tcPr>
            <w:tcW w:w="1637" w:type="dxa"/>
            <w:tcBorders>
              <w:top w:val="nil"/>
              <w:left w:val="nil"/>
              <w:bottom w:val="single" w:sz="4" w:space="0" w:color="auto"/>
              <w:right w:val="single" w:sz="4" w:space="0" w:color="auto"/>
            </w:tcBorders>
            <w:shd w:val="clear" w:color="auto" w:fill="auto"/>
            <w:noWrap/>
            <w:vAlign w:val="bottom"/>
            <w:hideMark/>
          </w:tcPr>
          <w:p w14:paraId="501A501E"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Riley </w:t>
            </w:r>
          </w:p>
        </w:tc>
        <w:tc>
          <w:tcPr>
            <w:tcW w:w="1880" w:type="dxa"/>
            <w:tcBorders>
              <w:top w:val="nil"/>
              <w:left w:val="nil"/>
              <w:bottom w:val="single" w:sz="4" w:space="0" w:color="auto"/>
              <w:right w:val="single" w:sz="4" w:space="0" w:color="auto"/>
            </w:tcBorders>
            <w:shd w:val="clear" w:color="auto" w:fill="auto"/>
            <w:noWrap/>
            <w:vAlign w:val="bottom"/>
            <w:hideMark/>
          </w:tcPr>
          <w:p w14:paraId="1C807F85" w14:textId="77777777" w:rsidR="00060937" w:rsidRPr="00512BCC" w:rsidRDefault="00060937" w:rsidP="00060937">
            <w:pPr>
              <w:contextualSpacing/>
              <w:rPr>
                <w:rFonts w:ascii="Calibri" w:eastAsia="Times New Roman" w:hAnsi="Calibri" w:cs="Calibri"/>
                <w:color w:val="000000"/>
              </w:rPr>
            </w:pPr>
            <w:r w:rsidRPr="00512BCC">
              <w:rPr>
                <w:rFonts w:ascii="Calibri" w:eastAsia="Times New Roman" w:hAnsi="Calibri" w:cs="Calibri"/>
                <w:color w:val="000000"/>
              </w:rPr>
              <w:t>CEO</w:t>
            </w:r>
          </w:p>
        </w:tc>
      </w:tr>
    </w:tbl>
    <w:p w14:paraId="493419C5" w14:textId="08002CA0" w:rsidR="00060937" w:rsidRPr="00F278B4" w:rsidRDefault="00060937" w:rsidP="005C6727">
      <w:pPr>
        <w:spacing w:beforeLines="60" w:before="144"/>
        <w:rPr>
          <w:rFonts w:asciiTheme="majorHAnsi" w:eastAsia="Times New Roman" w:hAnsiTheme="majorHAnsi" w:cs="Arial"/>
          <w:color w:val="000000"/>
          <w:sz w:val="20"/>
          <w:szCs w:val="20"/>
          <w:lang w:eastAsia="en-AU"/>
        </w:rPr>
      </w:pPr>
    </w:p>
    <w:sectPr w:rsidR="00060937" w:rsidRPr="00F278B4" w:rsidSect="0051598E">
      <w:headerReference w:type="default" r:id="rId19"/>
      <w:footerReference w:type="default" r:id="rId20"/>
      <w:pgSz w:w="11906" w:h="16838"/>
      <w:pgMar w:top="1361" w:right="1021" w:bottom="1134" w:left="1021" w:header="567"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0DCD8" w14:textId="77777777" w:rsidR="0009632A" w:rsidRDefault="0009632A" w:rsidP="00067112">
      <w:pPr>
        <w:spacing w:before="0" w:line="240" w:lineRule="auto"/>
      </w:pPr>
      <w:r>
        <w:separator/>
      </w:r>
    </w:p>
  </w:endnote>
  <w:endnote w:type="continuationSeparator" w:id="0">
    <w:p w14:paraId="5869624D" w14:textId="77777777" w:rsidR="0009632A" w:rsidRDefault="0009632A" w:rsidP="00067112">
      <w:pPr>
        <w:spacing w:before="0" w:line="240" w:lineRule="auto"/>
      </w:pPr>
      <w:r>
        <w:continuationSeparator/>
      </w:r>
    </w:p>
  </w:endnote>
  <w:endnote w:type="continuationNotice" w:id="1">
    <w:p w14:paraId="6C2D340E" w14:textId="77777777" w:rsidR="0009632A" w:rsidRDefault="0009632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30017" w14:textId="24E351E7" w:rsidR="00060937" w:rsidRPr="00FF7588" w:rsidRDefault="00060937" w:rsidP="007611B3">
    <w:pPr>
      <w:pStyle w:val="FooterOdd"/>
    </w:pPr>
    <w:r w:rsidRPr="00FF7588">
      <w:t xml:space="preserve">Page </w:t>
    </w:r>
    <w:r w:rsidRPr="00FF7588">
      <w:fldChar w:fldCharType="begin"/>
    </w:r>
    <w:r w:rsidRPr="00FF7588">
      <w:instrText xml:space="preserve"> PAGE   \* MERGEFORMAT </w:instrText>
    </w:r>
    <w:r w:rsidRPr="00FF7588">
      <w:fldChar w:fldCharType="separate"/>
    </w:r>
    <w:r w:rsidR="00BF0A27" w:rsidRPr="00BF0A27">
      <w:rPr>
        <w:noProof/>
        <w:sz w:val="24"/>
        <w:szCs w:val="24"/>
      </w:rPr>
      <w:t>2</w:t>
    </w:r>
    <w:r w:rsidRPr="00FF7588">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E3211" w14:textId="77777777" w:rsidR="0009632A" w:rsidRDefault="0009632A" w:rsidP="00067112">
      <w:pPr>
        <w:spacing w:before="0" w:line="240" w:lineRule="auto"/>
      </w:pPr>
      <w:r>
        <w:separator/>
      </w:r>
    </w:p>
  </w:footnote>
  <w:footnote w:type="continuationSeparator" w:id="0">
    <w:p w14:paraId="53A1059E" w14:textId="77777777" w:rsidR="0009632A" w:rsidRDefault="0009632A" w:rsidP="00067112">
      <w:pPr>
        <w:spacing w:before="0" w:line="240" w:lineRule="auto"/>
      </w:pPr>
      <w:r>
        <w:continuationSeparator/>
      </w:r>
    </w:p>
  </w:footnote>
  <w:footnote w:type="continuationNotice" w:id="1">
    <w:p w14:paraId="2B2C2F2F" w14:textId="77777777" w:rsidR="0009632A" w:rsidRDefault="0009632A">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8280" w14:textId="7840FA2B" w:rsidR="00060937" w:rsidRPr="007611B3" w:rsidRDefault="00060937" w:rsidP="00521580">
    <w:pPr>
      <w:pStyle w:val="Header"/>
      <w:jc w:val="right"/>
      <w:rPr>
        <w:lang w:val="en-US"/>
      </w:rPr>
    </w:pPr>
    <w:r>
      <w:rPr>
        <w:color w:val="1F497D" w:themeColor="text2"/>
        <w:sz w:val="20"/>
        <w:szCs w:val="20"/>
        <w:lang w:val="en-US"/>
      </w:rPr>
      <w:t>Community Council for Australia</w:t>
    </w:r>
    <w:r w:rsidRPr="007611B3">
      <w:rPr>
        <w:i/>
        <w:color w:val="1F497D" w:themeColor="text2"/>
        <w:sz w:val="20"/>
        <w:szCs w:val="20"/>
        <w:lang w:val="en-US"/>
      </w:rPr>
      <w:t>: Federal Budget Submission 201</w:t>
    </w:r>
    <w:r>
      <w:rPr>
        <w:i/>
        <w:color w:val="1F497D" w:themeColor="text2"/>
        <w:sz w:val="20"/>
        <w:szCs w:val="20"/>
        <w:lang w:val="en-US"/>
      </w:rPr>
      <w:t xml:space="preserve">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BAC"/>
    <w:multiLevelType w:val="hybridMultilevel"/>
    <w:tmpl w:val="531A9614"/>
    <w:lvl w:ilvl="0" w:tplc="F3442F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
    <w:nsid w:val="02133A08"/>
    <w:multiLevelType w:val="hybridMultilevel"/>
    <w:tmpl w:val="2B88697A"/>
    <w:lvl w:ilvl="0" w:tplc="85707B08">
      <w:start w:val="1"/>
      <w:numFmt w:val="lowerLetter"/>
      <w:lvlText w:val="%1)"/>
      <w:lvlJc w:val="left"/>
      <w:pPr>
        <w:ind w:left="1443" w:hanging="360"/>
      </w:pPr>
      <w:rPr>
        <w:rFonts w:hint="default"/>
      </w:r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2">
    <w:nsid w:val="02FB177E"/>
    <w:multiLevelType w:val="hybridMultilevel"/>
    <w:tmpl w:val="5CD02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DD4241"/>
    <w:multiLevelType w:val="hybridMultilevel"/>
    <w:tmpl w:val="DB7A8F0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A83A91"/>
    <w:multiLevelType w:val="hybridMultilevel"/>
    <w:tmpl w:val="3118E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911253"/>
    <w:multiLevelType w:val="hybridMultilevel"/>
    <w:tmpl w:val="3118E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CB76C9"/>
    <w:multiLevelType w:val="hybridMultilevel"/>
    <w:tmpl w:val="AE489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A707BDA"/>
    <w:multiLevelType w:val="multilevel"/>
    <w:tmpl w:val="7EA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A540E8"/>
    <w:multiLevelType w:val="hybridMultilevel"/>
    <w:tmpl w:val="991677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nsid w:val="1CB80550"/>
    <w:multiLevelType w:val="hybridMultilevel"/>
    <w:tmpl w:val="08842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E5521"/>
    <w:multiLevelType w:val="hybridMultilevel"/>
    <w:tmpl w:val="3034926C"/>
    <w:lvl w:ilvl="0" w:tplc="0C090001">
      <w:start w:val="1"/>
      <w:numFmt w:val="bullet"/>
      <w:lvlText w:val=""/>
      <w:lvlJc w:val="left"/>
      <w:pPr>
        <w:ind w:left="12" w:hanging="360"/>
      </w:pPr>
      <w:rPr>
        <w:rFonts w:ascii="Symbol" w:hAnsi="Symbol" w:hint="default"/>
      </w:rPr>
    </w:lvl>
    <w:lvl w:ilvl="1" w:tplc="0C090003" w:tentative="1">
      <w:start w:val="1"/>
      <w:numFmt w:val="bullet"/>
      <w:lvlText w:val="o"/>
      <w:lvlJc w:val="left"/>
      <w:pPr>
        <w:ind w:left="732" w:hanging="360"/>
      </w:pPr>
      <w:rPr>
        <w:rFonts w:ascii="Courier New" w:hAnsi="Courier New" w:cs="Courier New" w:hint="default"/>
      </w:rPr>
    </w:lvl>
    <w:lvl w:ilvl="2" w:tplc="0C090005" w:tentative="1">
      <w:start w:val="1"/>
      <w:numFmt w:val="bullet"/>
      <w:lvlText w:val=""/>
      <w:lvlJc w:val="left"/>
      <w:pPr>
        <w:ind w:left="1452" w:hanging="360"/>
      </w:pPr>
      <w:rPr>
        <w:rFonts w:ascii="Wingdings" w:hAnsi="Wingdings" w:hint="default"/>
      </w:rPr>
    </w:lvl>
    <w:lvl w:ilvl="3" w:tplc="0C090001" w:tentative="1">
      <w:start w:val="1"/>
      <w:numFmt w:val="bullet"/>
      <w:lvlText w:val=""/>
      <w:lvlJc w:val="left"/>
      <w:pPr>
        <w:ind w:left="2172" w:hanging="360"/>
      </w:pPr>
      <w:rPr>
        <w:rFonts w:ascii="Symbol" w:hAnsi="Symbol" w:hint="default"/>
      </w:rPr>
    </w:lvl>
    <w:lvl w:ilvl="4" w:tplc="0C090003" w:tentative="1">
      <w:start w:val="1"/>
      <w:numFmt w:val="bullet"/>
      <w:lvlText w:val="o"/>
      <w:lvlJc w:val="left"/>
      <w:pPr>
        <w:ind w:left="2892" w:hanging="360"/>
      </w:pPr>
      <w:rPr>
        <w:rFonts w:ascii="Courier New" w:hAnsi="Courier New" w:cs="Courier New" w:hint="default"/>
      </w:rPr>
    </w:lvl>
    <w:lvl w:ilvl="5" w:tplc="0C090005" w:tentative="1">
      <w:start w:val="1"/>
      <w:numFmt w:val="bullet"/>
      <w:lvlText w:val=""/>
      <w:lvlJc w:val="left"/>
      <w:pPr>
        <w:ind w:left="3612" w:hanging="360"/>
      </w:pPr>
      <w:rPr>
        <w:rFonts w:ascii="Wingdings" w:hAnsi="Wingdings" w:hint="default"/>
      </w:rPr>
    </w:lvl>
    <w:lvl w:ilvl="6" w:tplc="0C090001" w:tentative="1">
      <w:start w:val="1"/>
      <w:numFmt w:val="bullet"/>
      <w:lvlText w:val=""/>
      <w:lvlJc w:val="left"/>
      <w:pPr>
        <w:ind w:left="4332" w:hanging="360"/>
      </w:pPr>
      <w:rPr>
        <w:rFonts w:ascii="Symbol" w:hAnsi="Symbol" w:hint="default"/>
      </w:rPr>
    </w:lvl>
    <w:lvl w:ilvl="7" w:tplc="0C090003" w:tentative="1">
      <w:start w:val="1"/>
      <w:numFmt w:val="bullet"/>
      <w:lvlText w:val="o"/>
      <w:lvlJc w:val="left"/>
      <w:pPr>
        <w:ind w:left="5052" w:hanging="360"/>
      </w:pPr>
      <w:rPr>
        <w:rFonts w:ascii="Courier New" w:hAnsi="Courier New" w:cs="Courier New" w:hint="default"/>
      </w:rPr>
    </w:lvl>
    <w:lvl w:ilvl="8" w:tplc="0C090005" w:tentative="1">
      <w:start w:val="1"/>
      <w:numFmt w:val="bullet"/>
      <w:lvlText w:val=""/>
      <w:lvlJc w:val="left"/>
      <w:pPr>
        <w:ind w:left="5772" w:hanging="360"/>
      </w:pPr>
      <w:rPr>
        <w:rFonts w:ascii="Wingdings" w:hAnsi="Wingdings" w:hint="default"/>
      </w:rPr>
    </w:lvl>
  </w:abstractNum>
  <w:abstractNum w:abstractNumId="11">
    <w:nsid w:val="23DA19A1"/>
    <w:multiLevelType w:val="hybridMultilevel"/>
    <w:tmpl w:val="D700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nsid w:val="277F629D"/>
    <w:multiLevelType w:val="hybridMultilevel"/>
    <w:tmpl w:val="E2D8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E76A7"/>
    <w:multiLevelType w:val="hybridMultilevel"/>
    <w:tmpl w:val="50BC9338"/>
    <w:lvl w:ilvl="0" w:tplc="CE8ED2E6">
      <w:start w:val="1"/>
      <w:numFmt w:val="decimal"/>
      <w:lvlText w:val="%1."/>
      <w:lvlJc w:val="left"/>
      <w:pPr>
        <w:ind w:left="360"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5">
    <w:nsid w:val="28AA3C0B"/>
    <w:multiLevelType w:val="hybridMultilevel"/>
    <w:tmpl w:val="46942C48"/>
    <w:lvl w:ilvl="0" w:tplc="85707B0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292E14F6"/>
    <w:multiLevelType w:val="hybridMultilevel"/>
    <w:tmpl w:val="546AD596"/>
    <w:lvl w:ilvl="0" w:tplc="504ABF96">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AE25756"/>
    <w:multiLevelType w:val="multilevel"/>
    <w:tmpl w:val="6BEA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531817"/>
    <w:multiLevelType w:val="hybridMultilevel"/>
    <w:tmpl w:val="ED4C06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F965643"/>
    <w:multiLevelType w:val="hybridMultilevel"/>
    <w:tmpl w:val="32040EC2"/>
    <w:lvl w:ilvl="0" w:tplc="EAEE7426">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3B72902"/>
    <w:multiLevelType w:val="hybridMultilevel"/>
    <w:tmpl w:val="E89A11A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35BA4BEE"/>
    <w:multiLevelType w:val="hybridMultilevel"/>
    <w:tmpl w:val="784C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141FD3"/>
    <w:multiLevelType w:val="hybridMultilevel"/>
    <w:tmpl w:val="3FE8F79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3B80602F"/>
    <w:multiLevelType w:val="hybridMultilevel"/>
    <w:tmpl w:val="2BBC4F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6655331"/>
    <w:multiLevelType w:val="hybridMultilevel"/>
    <w:tmpl w:val="8BFE02C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E9A41EB"/>
    <w:multiLevelType w:val="hybridMultilevel"/>
    <w:tmpl w:val="50BC9338"/>
    <w:lvl w:ilvl="0" w:tplc="CE8ED2E6">
      <w:start w:val="1"/>
      <w:numFmt w:val="decimal"/>
      <w:lvlText w:val="%1."/>
      <w:lvlJc w:val="left"/>
      <w:pPr>
        <w:ind w:left="720" w:hanging="360"/>
      </w:pPr>
      <w:rPr>
        <w:rFonts w:hint="default"/>
      </w:r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6">
    <w:nsid w:val="50FA482E"/>
    <w:multiLevelType w:val="hybridMultilevel"/>
    <w:tmpl w:val="3118E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1491F0C"/>
    <w:multiLevelType w:val="hybridMultilevel"/>
    <w:tmpl w:val="96FA737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nsid w:val="575D450B"/>
    <w:multiLevelType w:val="hybridMultilevel"/>
    <w:tmpl w:val="29F4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7C9710B"/>
    <w:multiLevelType w:val="hybridMultilevel"/>
    <w:tmpl w:val="9362C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DDB6084"/>
    <w:multiLevelType w:val="hybridMultilevel"/>
    <w:tmpl w:val="ED6866C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5EFB0ABD"/>
    <w:multiLevelType w:val="hybridMultilevel"/>
    <w:tmpl w:val="3B908C26"/>
    <w:lvl w:ilvl="0" w:tplc="CE8ED2E6">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2">
    <w:nsid w:val="5F73128E"/>
    <w:multiLevelType w:val="hybridMultilevel"/>
    <w:tmpl w:val="8EC8014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68DB6D85"/>
    <w:multiLevelType w:val="hybridMultilevel"/>
    <w:tmpl w:val="D2689E0E"/>
    <w:lvl w:ilvl="0" w:tplc="388CC966">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nsid w:val="695401CB"/>
    <w:multiLevelType w:val="hybridMultilevel"/>
    <w:tmpl w:val="0D140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A922C9E"/>
    <w:multiLevelType w:val="hybridMultilevel"/>
    <w:tmpl w:val="E968D956"/>
    <w:lvl w:ilvl="0" w:tplc="D23278D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21D0D6D"/>
    <w:multiLevelType w:val="hybridMultilevel"/>
    <w:tmpl w:val="76E4728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nsid w:val="744A1286"/>
    <w:multiLevelType w:val="hybridMultilevel"/>
    <w:tmpl w:val="4EBAC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9F46096"/>
    <w:multiLevelType w:val="hybridMultilevel"/>
    <w:tmpl w:val="5CD02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006B77"/>
    <w:multiLevelType w:val="hybridMultilevel"/>
    <w:tmpl w:val="1402FA8C"/>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abstractNumId w:val="27"/>
  </w:num>
  <w:num w:numId="2">
    <w:abstractNumId w:val="36"/>
  </w:num>
  <w:num w:numId="3">
    <w:abstractNumId w:val="38"/>
  </w:num>
  <w:num w:numId="4">
    <w:abstractNumId w:val="30"/>
  </w:num>
  <w:num w:numId="5">
    <w:abstractNumId w:val="20"/>
  </w:num>
  <w:num w:numId="6">
    <w:abstractNumId w:val="31"/>
  </w:num>
  <w:num w:numId="7">
    <w:abstractNumId w:val="25"/>
  </w:num>
  <w:num w:numId="8">
    <w:abstractNumId w:val="4"/>
  </w:num>
  <w:num w:numId="9">
    <w:abstractNumId w:val="26"/>
  </w:num>
  <w:num w:numId="10">
    <w:abstractNumId w:val="12"/>
  </w:num>
  <w:num w:numId="11">
    <w:abstractNumId w:val="5"/>
  </w:num>
  <w:num w:numId="12">
    <w:abstractNumId w:val="0"/>
  </w:num>
  <w:num w:numId="13">
    <w:abstractNumId w:val="18"/>
  </w:num>
  <w:num w:numId="14">
    <w:abstractNumId w:val="10"/>
  </w:num>
  <w:num w:numId="15">
    <w:abstractNumId w:val="3"/>
  </w:num>
  <w:num w:numId="16">
    <w:abstractNumId w:val="16"/>
  </w:num>
  <w:num w:numId="17">
    <w:abstractNumId w:val="21"/>
  </w:num>
  <w:num w:numId="18">
    <w:abstractNumId w:val="33"/>
  </w:num>
  <w:num w:numId="19">
    <w:abstractNumId w:val="34"/>
  </w:num>
  <w:num w:numId="20">
    <w:abstractNumId w:val="29"/>
  </w:num>
  <w:num w:numId="21">
    <w:abstractNumId w:val="24"/>
  </w:num>
  <w:num w:numId="22">
    <w:abstractNumId w:val="32"/>
  </w:num>
  <w:num w:numId="23">
    <w:abstractNumId w:val="37"/>
  </w:num>
  <w:num w:numId="24">
    <w:abstractNumId w:val="28"/>
  </w:num>
  <w:num w:numId="25">
    <w:abstractNumId w:val="15"/>
  </w:num>
  <w:num w:numId="26">
    <w:abstractNumId w:val="1"/>
  </w:num>
  <w:num w:numId="27">
    <w:abstractNumId w:val="7"/>
  </w:num>
  <w:num w:numId="28">
    <w:abstractNumId w:val="17"/>
  </w:num>
  <w:num w:numId="29">
    <w:abstractNumId w:val="11"/>
  </w:num>
  <w:num w:numId="30">
    <w:abstractNumId w:val="14"/>
  </w:num>
  <w:num w:numId="31">
    <w:abstractNumId w:val="39"/>
  </w:num>
  <w:num w:numId="32">
    <w:abstractNumId w:val="6"/>
  </w:num>
  <w:num w:numId="33">
    <w:abstractNumId w:val="19"/>
  </w:num>
  <w:num w:numId="34">
    <w:abstractNumId w:val="23"/>
  </w:num>
  <w:num w:numId="35">
    <w:abstractNumId w:val="8"/>
  </w:num>
  <w:num w:numId="36">
    <w:abstractNumId w:val="13"/>
  </w:num>
  <w:num w:numId="37">
    <w:abstractNumId w:val="9"/>
  </w:num>
  <w:num w:numId="38">
    <w:abstractNumId w:val="2"/>
  </w:num>
  <w:num w:numId="39">
    <w:abstractNumId w:val="3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D9"/>
    <w:rsid w:val="0001463C"/>
    <w:rsid w:val="00015B49"/>
    <w:rsid w:val="0004142D"/>
    <w:rsid w:val="00060937"/>
    <w:rsid w:val="0006273F"/>
    <w:rsid w:val="00067112"/>
    <w:rsid w:val="000738AE"/>
    <w:rsid w:val="000774D0"/>
    <w:rsid w:val="00095FCE"/>
    <w:rsid w:val="0009632A"/>
    <w:rsid w:val="000A388F"/>
    <w:rsid w:val="000A7549"/>
    <w:rsid w:val="000B23F4"/>
    <w:rsid w:val="000C02D5"/>
    <w:rsid w:val="000C3867"/>
    <w:rsid w:val="000D2200"/>
    <w:rsid w:val="000D4642"/>
    <w:rsid w:val="000E1276"/>
    <w:rsid w:val="000F58F4"/>
    <w:rsid w:val="001027A2"/>
    <w:rsid w:val="0011264C"/>
    <w:rsid w:val="00114F70"/>
    <w:rsid w:val="001246C6"/>
    <w:rsid w:val="001250A6"/>
    <w:rsid w:val="0013161C"/>
    <w:rsid w:val="00136601"/>
    <w:rsid w:val="0014003A"/>
    <w:rsid w:val="001470D8"/>
    <w:rsid w:val="00166928"/>
    <w:rsid w:val="00172A8B"/>
    <w:rsid w:val="001823C3"/>
    <w:rsid w:val="0019035D"/>
    <w:rsid w:val="00190CBD"/>
    <w:rsid w:val="001A23F2"/>
    <w:rsid w:val="001A33E4"/>
    <w:rsid w:val="001B040C"/>
    <w:rsid w:val="001B2B1A"/>
    <w:rsid w:val="001C6044"/>
    <w:rsid w:val="001D6A40"/>
    <w:rsid w:val="001F2701"/>
    <w:rsid w:val="001F27E7"/>
    <w:rsid w:val="001F3B10"/>
    <w:rsid w:val="001F4E5C"/>
    <w:rsid w:val="00200E42"/>
    <w:rsid w:val="00201B84"/>
    <w:rsid w:val="002109F1"/>
    <w:rsid w:val="00220E50"/>
    <w:rsid w:val="002240DD"/>
    <w:rsid w:val="00234284"/>
    <w:rsid w:val="00236CEC"/>
    <w:rsid w:val="0023720C"/>
    <w:rsid w:val="00255FF4"/>
    <w:rsid w:val="00263186"/>
    <w:rsid w:val="0028056E"/>
    <w:rsid w:val="00285E93"/>
    <w:rsid w:val="00291742"/>
    <w:rsid w:val="00292EDA"/>
    <w:rsid w:val="00295A23"/>
    <w:rsid w:val="00296EB6"/>
    <w:rsid w:val="002A672C"/>
    <w:rsid w:val="002B6C66"/>
    <w:rsid w:val="002C71E9"/>
    <w:rsid w:val="002C73FB"/>
    <w:rsid w:val="002D19DE"/>
    <w:rsid w:val="002D41E4"/>
    <w:rsid w:val="002D48F0"/>
    <w:rsid w:val="002D7C15"/>
    <w:rsid w:val="002E5824"/>
    <w:rsid w:val="002E7F88"/>
    <w:rsid w:val="00321613"/>
    <w:rsid w:val="00326F9C"/>
    <w:rsid w:val="00330A38"/>
    <w:rsid w:val="003518EF"/>
    <w:rsid w:val="00360CA9"/>
    <w:rsid w:val="003705E3"/>
    <w:rsid w:val="0037184A"/>
    <w:rsid w:val="00374BFE"/>
    <w:rsid w:val="00381F4F"/>
    <w:rsid w:val="003821AC"/>
    <w:rsid w:val="00394C72"/>
    <w:rsid w:val="003A0045"/>
    <w:rsid w:val="003A29F6"/>
    <w:rsid w:val="003A33EB"/>
    <w:rsid w:val="003A3F48"/>
    <w:rsid w:val="003B4B1E"/>
    <w:rsid w:val="003C2C05"/>
    <w:rsid w:val="003E4643"/>
    <w:rsid w:val="003F49E6"/>
    <w:rsid w:val="0040312E"/>
    <w:rsid w:val="004063F9"/>
    <w:rsid w:val="004064EE"/>
    <w:rsid w:val="00406C9A"/>
    <w:rsid w:val="00410EBA"/>
    <w:rsid w:val="00414323"/>
    <w:rsid w:val="00414CC7"/>
    <w:rsid w:val="00430D2D"/>
    <w:rsid w:val="0044078B"/>
    <w:rsid w:val="00444CC6"/>
    <w:rsid w:val="00467C27"/>
    <w:rsid w:val="00471915"/>
    <w:rsid w:val="00471BD9"/>
    <w:rsid w:val="00474215"/>
    <w:rsid w:val="00480F53"/>
    <w:rsid w:val="0048279F"/>
    <w:rsid w:val="00490881"/>
    <w:rsid w:val="00491C1C"/>
    <w:rsid w:val="00495096"/>
    <w:rsid w:val="004A52DD"/>
    <w:rsid w:val="004B0B4A"/>
    <w:rsid w:val="004B1D99"/>
    <w:rsid w:val="004B7141"/>
    <w:rsid w:val="004E1D04"/>
    <w:rsid w:val="004E33C8"/>
    <w:rsid w:val="004E3B16"/>
    <w:rsid w:val="004E522B"/>
    <w:rsid w:val="00507EFC"/>
    <w:rsid w:val="0051598E"/>
    <w:rsid w:val="005176E5"/>
    <w:rsid w:val="00521580"/>
    <w:rsid w:val="00524020"/>
    <w:rsid w:val="005254F8"/>
    <w:rsid w:val="00533071"/>
    <w:rsid w:val="005359BB"/>
    <w:rsid w:val="00542BB9"/>
    <w:rsid w:val="00543EBD"/>
    <w:rsid w:val="00544AD9"/>
    <w:rsid w:val="00546F99"/>
    <w:rsid w:val="0055115D"/>
    <w:rsid w:val="00552C3D"/>
    <w:rsid w:val="00554017"/>
    <w:rsid w:val="00554681"/>
    <w:rsid w:val="005602A2"/>
    <w:rsid w:val="00571A56"/>
    <w:rsid w:val="00582C29"/>
    <w:rsid w:val="00587D3E"/>
    <w:rsid w:val="005A1558"/>
    <w:rsid w:val="005A4C0F"/>
    <w:rsid w:val="005B1952"/>
    <w:rsid w:val="005C0EEA"/>
    <w:rsid w:val="005C6727"/>
    <w:rsid w:val="005D3120"/>
    <w:rsid w:val="005E1935"/>
    <w:rsid w:val="005F1ABB"/>
    <w:rsid w:val="00603650"/>
    <w:rsid w:val="00607BA5"/>
    <w:rsid w:val="0061486E"/>
    <w:rsid w:val="00637923"/>
    <w:rsid w:val="00662EF3"/>
    <w:rsid w:val="00663491"/>
    <w:rsid w:val="006634FD"/>
    <w:rsid w:val="00663C7E"/>
    <w:rsid w:val="0066583C"/>
    <w:rsid w:val="00667FE0"/>
    <w:rsid w:val="00671CFD"/>
    <w:rsid w:val="0067304C"/>
    <w:rsid w:val="00676339"/>
    <w:rsid w:val="00687BB3"/>
    <w:rsid w:val="006927ED"/>
    <w:rsid w:val="006A1E2C"/>
    <w:rsid w:val="006C01A4"/>
    <w:rsid w:val="006C07E2"/>
    <w:rsid w:val="006C274B"/>
    <w:rsid w:val="006C688E"/>
    <w:rsid w:val="006F2FFB"/>
    <w:rsid w:val="006F4A6E"/>
    <w:rsid w:val="007031FA"/>
    <w:rsid w:val="00703B65"/>
    <w:rsid w:val="007057A9"/>
    <w:rsid w:val="00711940"/>
    <w:rsid w:val="00715D8E"/>
    <w:rsid w:val="00740F7C"/>
    <w:rsid w:val="00754C5B"/>
    <w:rsid w:val="007611B3"/>
    <w:rsid w:val="00771FFF"/>
    <w:rsid w:val="00775555"/>
    <w:rsid w:val="007762EE"/>
    <w:rsid w:val="007842E2"/>
    <w:rsid w:val="00785D40"/>
    <w:rsid w:val="00797622"/>
    <w:rsid w:val="007A0DC5"/>
    <w:rsid w:val="007A5523"/>
    <w:rsid w:val="007A6ACD"/>
    <w:rsid w:val="007B0D5D"/>
    <w:rsid w:val="007B5DD0"/>
    <w:rsid w:val="007C0664"/>
    <w:rsid w:val="007D2018"/>
    <w:rsid w:val="007D27D2"/>
    <w:rsid w:val="007D2911"/>
    <w:rsid w:val="007D2A36"/>
    <w:rsid w:val="007D3351"/>
    <w:rsid w:val="007E1336"/>
    <w:rsid w:val="007E312A"/>
    <w:rsid w:val="007F1C64"/>
    <w:rsid w:val="007F59DA"/>
    <w:rsid w:val="008237CA"/>
    <w:rsid w:val="008407F7"/>
    <w:rsid w:val="00841E5C"/>
    <w:rsid w:val="00844BAB"/>
    <w:rsid w:val="00852458"/>
    <w:rsid w:val="008652DE"/>
    <w:rsid w:val="008657BC"/>
    <w:rsid w:val="008759EC"/>
    <w:rsid w:val="00880F1A"/>
    <w:rsid w:val="008835D7"/>
    <w:rsid w:val="00891FA9"/>
    <w:rsid w:val="0089285C"/>
    <w:rsid w:val="008965DD"/>
    <w:rsid w:val="008A46E8"/>
    <w:rsid w:val="008B0870"/>
    <w:rsid w:val="008B36B9"/>
    <w:rsid w:val="008B57A8"/>
    <w:rsid w:val="008C33F2"/>
    <w:rsid w:val="008C34D7"/>
    <w:rsid w:val="008D3B25"/>
    <w:rsid w:val="008E4F9E"/>
    <w:rsid w:val="008F57DD"/>
    <w:rsid w:val="00906EB4"/>
    <w:rsid w:val="009102B0"/>
    <w:rsid w:val="00930219"/>
    <w:rsid w:val="009306F6"/>
    <w:rsid w:val="00932127"/>
    <w:rsid w:val="009354A0"/>
    <w:rsid w:val="009401F9"/>
    <w:rsid w:val="00956436"/>
    <w:rsid w:val="00956849"/>
    <w:rsid w:val="00956B1D"/>
    <w:rsid w:val="0096315B"/>
    <w:rsid w:val="00972B74"/>
    <w:rsid w:val="00995E2E"/>
    <w:rsid w:val="00996901"/>
    <w:rsid w:val="009A4CAE"/>
    <w:rsid w:val="009C2984"/>
    <w:rsid w:val="009C3042"/>
    <w:rsid w:val="009E3CFD"/>
    <w:rsid w:val="009F3216"/>
    <w:rsid w:val="009F368F"/>
    <w:rsid w:val="00A0481F"/>
    <w:rsid w:val="00A07E1C"/>
    <w:rsid w:val="00A219B2"/>
    <w:rsid w:val="00A27E6B"/>
    <w:rsid w:val="00A30532"/>
    <w:rsid w:val="00A35566"/>
    <w:rsid w:val="00A415FC"/>
    <w:rsid w:val="00A454BB"/>
    <w:rsid w:val="00A52792"/>
    <w:rsid w:val="00A53539"/>
    <w:rsid w:val="00A56737"/>
    <w:rsid w:val="00A60167"/>
    <w:rsid w:val="00A60F3A"/>
    <w:rsid w:val="00A61654"/>
    <w:rsid w:val="00A61F4D"/>
    <w:rsid w:val="00A64CE4"/>
    <w:rsid w:val="00A6589C"/>
    <w:rsid w:val="00A7292D"/>
    <w:rsid w:val="00A740FB"/>
    <w:rsid w:val="00A86F9C"/>
    <w:rsid w:val="00A94D74"/>
    <w:rsid w:val="00A975EE"/>
    <w:rsid w:val="00A97FDA"/>
    <w:rsid w:val="00AA5420"/>
    <w:rsid w:val="00AB7571"/>
    <w:rsid w:val="00AC2381"/>
    <w:rsid w:val="00AD615D"/>
    <w:rsid w:val="00AE0C93"/>
    <w:rsid w:val="00AE37D1"/>
    <w:rsid w:val="00AE66FD"/>
    <w:rsid w:val="00AF4CF2"/>
    <w:rsid w:val="00B057C5"/>
    <w:rsid w:val="00B06452"/>
    <w:rsid w:val="00B15439"/>
    <w:rsid w:val="00B22E07"/>
    <w:rsid w:val="00B2456B"/>
    <w:rsid w:val="00B24699"/>
    <w:rsid w:val="00B4672F"/>
    <w:rsid w:val="00B46A47"/>
    <w:rsid w:val="00B47C88"/>
    <w:rsid w:val="00B50E24"/>
    <w:rsid w:val="00B51743"/>
    <w:rsid w:val="00B5238F"/>
    <w:rsid w:val="00B5337A"/>
    <w:rsid w:val="00B6586A"/>
    <w:rsid w:val="00B664E2"/>
    <w:rsid w:val="00B85B22"/>
    <w:rsid w:val="00B86C92"/>
    <w:rsid w:val="00B86EFE"/>
    <w:rsid w:val="00B96D32"/>
    <w:rsid w:val="00BA0324"/>
    <w:rsid w:val="00BB1DC1"/>
    <w:rsid w:val="00BB5D6C"/>
    <w:rsid w:val="00BC07AA"/>
    <w:rsid w:val="00BC1703"/>
    <w:rsid w:val="00BE2B34"/>
    <w:rsid w:val="00BF029C"/>
    <w:rsid w:val="00BF0A27"/>
    <w:rsid w:val="00BF46D2"/>
    <w:rsid w:val="00C069E6"/>
    <w:rsid w:val="00C103F3"/>
    <w:rsid w:val="00C13F92"/>
    <w:rsid w:val="00C218C0"/>
    <w:rsid w:val="00C21CE1"/>
    <w:rsid w:val="00C25072"/>
    <w:rsid w:val="00C26931"/>
    <w:rsid w:val="00C4208E"/>
    <w:rsid w:val="00C437E5"/>
    <w:rsid w:val="00C44C13"/>
    <w:rsid w:val="00C52C85"/>
    <w:rsid w:val="00C536C3"/>
    <w:rsid w:val="00C5545D"/>
    <w:rsid w:val="00C613C9"/>
    <w:rsid w:val="00C744BB"/>
    <w:rsid w:val="00C75E34"/>
    <w:rsid w:val="00C81530"/>
    <w:rsid w:val="00C84B58"/>
    <w:rsid w:val="00C91617"/>
    <w:rsid w:val="00C92534"/>
    <w:rsid w:val="00CA0C2B"/>
    <w:rsid w:val="00CA2A63"/>
    <w:rsid w:val="00CA3D33"/>
    <w:rsid w:val="00CB0052"/>
    <w:rsid w:val="00CB1AC0"/>
    <w:rsid w:val="00CB3379"/>
    <w:rsid w:val="00CB344C"/>
    <w:rsid w:val="00CB55D3"/>
    <w:rsid w:val="00CB7224"/>
    <w:rsid w:val="00CC0751"/>
    <w:rsid w:val="00CC1DED"/>
    <w:rsid w:val="00CC6AF3"/>
    <w:rsid w:val="00CC7771"/>
    <w:rsid w:val="00CD339B"/>
    <w:rsid w:val="00CE5194"/>
    <w:rsid w:val="00CE7CAC"/>
    <w:rsid w:val="00CF02D2"/>
    <w:rsid w:val="00D00AFF"/>
    <w:rsid w:val="00D00F45"/>
    <w:rsid w:val="00D02360"/>
    <w:rsid w:val="00D056F1"/>
    <w:rsid w:val="00D16FA0"/>
    <w:rsid w:val="00D21521"/>
    <w:rsid w:val="00D44F1C"/>
    <w:rsid w:val="00D51C91"/>
    <w:rsid w:val="00D54A2C"/>
    <w:rsid w:val="00D66E4F"/>
    <w:rsid w:val="00D67D59"/>
    <w:rsid w:val="00D7394B"/>
    <w:rsid w:val="00D740AE"/>
    <w:rsid w:val="00D75BD5"/>
    <w:rsid w:val="00D87FA8"/>
    <w:rsid w:val="00D9643D"/>
    <w:rsid w:val="00DA3D5F"/>
    <w:rsid w:val="00DB6157"/>
    <w:rsid w:val="00DC45E7"/>
    <w:rsid w:val="00DC6802"/>
    <w:rsid w:val="00DD3E30"/>
    <w:rsid w:val="00DD4777"/>
    <w:rsid w:val="00DD5EC9"/>
    <w:rsid w:val="00DE6923"/>
    <w:rsid w:val="00DF7D3E"/>
    <w:rsid w:val="00E03B48"/>
    <w:rsid w:val="00E175AE"/>
    <w:rsid w:val="00E27D4B"/>
    <w:rsid w:val="00E41BD5"/>
    <w:rsid w:val="00E52FC5"/>
    <w:rsid w:val="00E679F8"/>
    <w:rsid w:val="00E70A93"/>
    <w:rsid w:val="00E80268"/>
    <w:rsid w:val="00E87DDC"/>
    <w:rsid w:val="00E92B0F"/>
    <w:rsid w:val="00E95BBE"/>
    <w:rsid w:val="00EA20B6"/>
    <w:rsid w:val="00EA7083"/>
    <w:rsid w:val="00EC7D4E"/>
    <w:rsid w:val="00ED1668"/>
    <w:rsid w:val="00EE5F16"/>
    <w:rsid w:val="00EF3E47"/>
    <w:rsid w:val="00EF48FD"/>
    <w:rsid w:val="00EF6D17"/>
    <w:rsid w:val="00F0175A"/>
    <w:rsid w:val="00F04787"/>
    <w:rsid w:val="00F05BC7"/>
    <w:rsid w:val="00F13ACA"/>
    <w:rsid w:val="00F218D3"/>
    <w:rsid w:val="00F2239B"/>
    <w:rsid w:val="00F23DCC"/>
    <w:rsid w:val="00F374BB"/>
    <w:rsid w:val="00F50046"/>
    <w:rsid w:val="00F60C8A"/>
    <w:rsid w:val="00F6426C"/>
    <w:rsid w:val="00F7617E"/>
    <w:rsid w:val="00F8362E"/>
    <w:rsid w:val="00F83BE9"/>
    <w:rsid w:val="00F8432C"/>
    <w:rsid w:val="00F873BE"/>
    <w:rsid w:val="00F91C5E"/>
    <w:rsid w:val="00FA3D99"/>
    <w:rsid w:val="00FB3888"/>
    <w:rsid w:val="00FC4EBA"/>
    <w:rsid w:val="00FF5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8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12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65DD"/>
    <w:pPr>
      <w:keepNext/>
      <w:keepLines/>
      <w:spacing w:before="480" w:line="240" w:lineRule="auto"/>
      <w:ind w:left="0"/>
      <w:outlineLvl w:val="0"/>
    </w:pPr>
    <w:rPr>
      <w:rFonts w:asciiTheme="majorHAnsi" w:eastAsiaTheme="majorEastAsia" w:hAnsiTheme="majorHAnsi" w:cstheme="majorBidi"/>
      <w:b/>
      <w:bCs/>
      <w:color w:val="365F91" w:themeColor="accent1" w:themeShade="BF"/>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F6"/>
    <w:pPr>
      <w:ind w:left="720"/>
      <w:contextualSpacing/>
    </w:pPr>
  </w:style>
  <w:style w:type="paragraph" w:customStyle="1" w:styleId="RecB">
    <w:name w:val="RecB"/>
    <w:basedOn w:val="Normal"/>
    <w:link w:val="RecBChar"/>
    <w:rsid w:val="00D740AE"/>
    <w:pPr>
      <w:keepLines/>
      <w:pBdr>
        <w:left w:val="single" w:sz="24" w:space="12" w:color="C0C0C0"/>
      </w:pBdr>
      <w:spacing w:before="180" w:line="320" w:lineRule="atLeast"/>
      <w:ind w:left="0"/>
      <w:jc w:val="both"/>
    </w:pPr>
    <w:rPr>
      <w:rFonts w:ascii="Times New Roman" w:eastAsia="Times New Roman" w:hAnsi="Times New Roman" w:cs="Times New Roman"/>
      <w:b/>
      <w:i/>
      <w:sz w:val="26"/>
      <w:szCs w:val="20"/>
      <w:lang w:eastAsia="en-AU"/>
    </w:rPr>
  </w:style>
  <w:style w:type="paragraph" w:customStyle="1" w:styleId="RecBBullet">
    <w:name w:val="RecB Bullet"/>
    <w:basedOn w:val="RecB"/>
    <w:link w:val="RecBBulletChar"/>
    <w:rsid w:val="00D740AE"/>
    <w:pPr>
      <w:numPr>
        <w:numId w:val="10"/>
      </w:numPr>
      <w:spacing w:before="80"/>
    </w:pPr>
  </w:style>
  <w:style w:type="character" w:customStyle="1" w:styleId="RecBChar">
    <w:name w:val="RecB Char"/>
    <w:basedOn w:val="DefaultParagraphFont"/>
    <w:link w:val="RecB"/>
    <w:rsid w:val="00D740AE"/>
    <w:rPr>
      <w:rFonts w:ascii="Times New Roman" w:eastAsia="Times New Roman" w:hAnsi="Times New Roman" w:cs="Times New Roman"/>
      <w:b/>
      <w:i/>
      <w:sz w:val="26"/>
      <w:szCs w:val="20"/>
      <w:lang w:eastAsia="en-AU"/>
    </w:rPr>
  </w:style>
  <w:style w:type="character" w:customStyle="1" w:styleId="RecBBulletChar">
    <w:name w:val="RecB Bullet Char"/>
    <w:basedOn w:val="RecBChar"/>
    <w:link w:val="RecBBullet"/>
    <w:rsid w:val="00D740AE"/>
    <w:rPr>
      <w:rFonts w:ascii="Times New Roman" w:eastAsia="Times New Roman" w:hAnsi="Times New Roman" w:cs="Times New Roman"/>
      <w:b/>
      <w:i/>
      <w:sz w:val="26"/>
      <w:szCs w:val="20"/>
      <w:lang w:eastAsia="en-AU"/>
    </w:rPr>
  </w:style>
  <w:style w:type="paragraph" w:styleId="Header">
    <w:name w:val="header"/>
    <w:basedOn w:val="Normal"/>
    <w:link w:val="HeaderChar"/>
    <w:uiPriority w:val="99"/>
    <w:unhideWhenUsed/>
    <w:rsid w:val="0006711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67112"/>
  </w:style>
  <w:style w:type="paragraph" w:styleId="Footer">
    <w:name w:val="footer"/>
    <w:basedOn w:val="Normal"/>
    <w:link w:val="FooterChar"/>
    <w:uiPriority w:val="99"/>
    <w:unhideWhenUsed/>
    <w:rsid w:val="000671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67112"/>
  </w:style>
  <w:style w:type="paragraph" w:styleId="BalloonText">
    <w:name w:val="Balloon Text"/>
    <w:basedOn w:val="Normal"/>
    <w:link w:val="BalloonTextChar"/>
    <w:uiPriority w:val="99"/>
    <w:semiHidden/>
    <w:unhideWhenUsed/>
    <w:rsid w:val="00A64CE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E4"/>
    <w:rPr>
      <w:rFonts w:ascii="Tahoma" w:hAnsi="Tahoma" w:cs="Tahoma"/>
      <w:sz w:val="16"/>
      <w:szCs w:val="16"/>
    </w:rPr>
  </w:style>
  <w:style w:type="paragraph" w:styleId="NormalWeb">
    <w:name w:val="Normal (Web)"/>
    <w:basedOn w:val="Normal"/>
    <w:uiPriority w:val="99"/>
    <w:unhideWhenUsed/>
    <w:rsid w:val="00A219B2"/>
    <w:pPr>
      <w:spacing w:before="100" w:beforeAutospacing="1" w:after="100" w:afterAutospacing="1" w:line="240" w:lineRule="auto"/>
      <w:ind w:left="0"/>
    </w:pPr>
    <w:rPr>
      <w:rFonts w:ascii="Verdana" w:eastAsia="Times New Roman" w:hAnsi="Verdana" w:cs="Times New Roman"/>
      <w:sz w:val="24"/>
      <w:szCs w:val="24"/>
      <w:lang w:eastAsia="en-AU"/>
    </w:rPr>
  </w:style>
  <w:style w:type="paragraph" w:customStyle="1" w:styleId="FooterOdd">
    <w:name w:val="Footer Odd"/>
    <w:basedOn w:val="Normal"/>
    <w:qFormat/>
    <w:rsid w:val="007611B3"/>
    <w:pPr>
      <w:pBdr>
        <w:top w:val="single" w:sz="4" w:space="1" w:color="4F81BD" w:themeColor="accent1"/>
      </w:pBdr>
      <w:spacing w:before="0" w:after="180" w:line="264" w:lineRule="auto"/>
      <w:ind w:left="0"/>
      <w:jc w:val="right"/>
    </w:pPr>
    <w:rPr>
      <w:rFonts w:cs="Times New Roman"/>
      <w:color w:val="1F497D" w:themeColor="text2"/>
      <w:sz w:val="20"/>
      <w:szCs w:val="20"/>
      <w:lang w:val="en-US" w:eastAsia="ja-JP"/>
    </w:rPr>
  </w:style>
  <w:style w:type="character" w:customStyle="1" w:styleId="Heading1Char">
    <w:name w:val="Heading 1 Char"/>
    <w:basedOn w:val="DefaultParagraphFont"/>
    <w:link w:val="Heading1"/>
    <w:uiPriority w:val="9"/>
    <w:rsid w:val="008965DD"/>
    <w:rPr>
      <w:rFonts w:asciiTheme="majorHAnsi" w:eastAsiaTheme="majorEastAsia" w:hAnsiTheme="majorHAnsi" w:cstheme="majorBidi"/>
      <w:b/>
      <w:bCs/>
      <w:color w:val="365F91" w:themeColor="accent1" w:themeShade="BF"/>
      <w:sz w:val="28"/>
      <w:szCs w:val="28"/>
      <w:lang w:eastAsia="en-AU"/>
    </w:rPr>
  </w:style>
  <w:style w:type="character" w:styleId="Hyperlink">
    <w:name w:val="Hyperlink"/>
    <w:basedOn w:val="DefaultParagraphFont"/>
    <w:uiPriority w:val="99"/>
    <w:unhideWhenUsed/>
    <w:rsid w:val="008965DD"/>
    <w:rPr>
      <w:color w:val="0000FF"/>
      <w:u w:val="single"/>
    </w:rPr>
  </w:style>
  <w:style w:type="table" w:styleId="TableGrid">
    <w:name w:val="Table Grid"/>
    <w:basedOn w:val="TableNormal"/>
    <w:uiPriority w:val="59"/>
    <w:rsid w:val="00A415FC"/>
    <w:pPr>
      <w:spacing w:before="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E42"/>
    <w:rPr>
      <w:sz w:val="16"/>
      <w:szCs w:val="16"/>
    </w:rPr>
  </w:style>
  <w:style w:type="paragraph" w:styleId="CommentText">
    <w:name w:val="annotation text"/>
    <w:basedOn w:val="Normal"/>
    <w:link w:val="CommentTextChar"/>
    <w:uiPriority w:val="99"/>
    <w:semiHidden/>
    <w:unhideWhenUsed/>
    <w:rsid w:val="00200E42"/>
    <w:pPr>
      <w:spacing w:line="240" w:lineRule="auto"/>
    </w:pPr>
    <w:rPr>
      <w:sz w:val="20"/>
      <w:szCs w:val="20"/>
    </w:rPr>
  </w:style>
  <w:style w:type="character" w:customStyle="1" w:styleId="CommentTextChar">
    <w:name w:val="Comment Text Char"/>
    <w:basedOn w:val="DefaultParagraphFont"/>
    <w:link w:val="CommentText"/>
    <w:uiPriority w:val="99"/>
    <w:semiHidden/>
    <w:rsid w:val="00200E42"/>
    <w:rPr>
      <w:sz w:val="20"/>
      <w:szCs w:val="20"/>
    </w:rPr>
  </w:style>
  <w:style w:type="paragraph" w:styleId="CommentSubject">
    <w:name w:val="annotation subject"/>
    <w:basedOn w:val="CommentText"/>
    <w:next w:val="CommentText"/>
    <w:link w:val="CommentSubjectChar"/>
    <w:uiPriority w:val="99"/>
    <w:semiHidden/>
    <w:unhideWhenUsed/>
    <w:rsid w:val="00200E42"/>
    <w:rPr>
      <w:b/>
      <w:bCs/>
    </w:rPr>
  </w:style>
  <w:style w:type="character" w:customStyle="1" w:styleId="CommentSubjectChar">
    <w:name w:val="Comment Subject Char"/>
    <w:basedOn w:val="CommentTextChar"/>
    <w:link w:val="CommentSubject"/>
    <w:uiPriority w:val="99"/>
    <w:semiHidden/>
    <w:rsid w:val="00200E42"/>
    <w:rPr>
      <w:b/>
      <w:bCs/>
      <w:sz w:val="20"/>
      <w:szCs w:val="20"/>
    </w:rPr>
  </w:style>
  <w:style w:type="paragraph" w:styleId="Revision">
    <w:name w:val="Revision"/>
    <w:hidden/>
    <w:uiPriority w:val="99"/>
    <w:semiHidden/>
    <w:rsid w:val="006C01A4"/>
    <w:pPr>
      <w:spacing w:before="0" w:line="240" w:lineRule="auto"/>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12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65DD"/>
    <w:pPr>
      <w:keepNext/>
      <w:keepLines/>
      <w:spacing w:before="480" w:line="240" w:lineRule="auto"/>
      <w:ind w:left="0"/>
      <w:outlineLvl w:val="0"/>
    </w:pPr>
    <w:rPr>
      <w:rFonts w:asciiTheme="majorHAnsi" w:eastAsiaTheme="majorEastAsia" w:hAnsiTheme="majorHAnsi" w:cstheme="majorBidi"/>
      <w:b/>
      <w:bCs/>
      <w:color w:val="365F91" w:themeColor="accent1" w:themeShade="BF"/>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F6"/>
    <w:pPr>
      <w:ind w:left="720"/>
      <w:contextualSpacing/>
    </w:pPr>
  </w:style>
  <w:style w:type="paragraph" w:customStyle="1" w:styleId="RecB">
    <w:name w:val="RecB"/>
    <w:basedOn w:val="Normal"/>
    <w:link w:val="RecBChar"/>
    <w:rsid w:val="00D740AE"/>
    <w:pPr>
      <w:keepLines/>
      <w:pBdr>
        <w:left w:val="single" w:sz="24" w:space="12" w:color="C0C0C0"/>
      </w:pBdr>
      <w:spacing w:before="180" w:line="320" w:lineRule="atLeast"/>
      <w:ind w:left="0"/>
      <w:jc w:val="both"/>
    </w:pPr>
    <w:rPr>
      <w:rFonts w:ascii="Times New Roman" w:eastAsia="Times New Roman" w:hAnsi="Times New Roman" w:cs="Times New Roman"/>
      <w:b/>
      <w:i/>
      <w:sz w:val="26"/>
      <w:szCs w:val="20"/>
      <w:lang w:eastAsia="en-AU"/>
    </w:rPr>
  </w:style>
  <w:style w:type="paragraph" w:customStyle="1" w:styleId="RecBBullet">
    <w:name w:val="RecB Bullet"/>
    <w:basedOn w:val="RecB"/>
    <w:link w:val="RecBBulletChar"/>
    <w:rsid w:val="00D740AE"/>
    <w:pPr>
      <w:numPr>
        <w:numId w:val="10"/>
      </w:numPr>
      <w:spacing w:before="80"/>
    </w:pPr>
  </w:style>
  <w:style w:type="character" w:customStyle="1" w:styleId="RecBChar">
    <w:name w:val="RecB Char"/>
    <w:basedOn w:val="DefaultParagraphFont"/>
    <w:link w:val="RecB"/>
    <w:rsid w:val="00D740AE"/>
    <w:rPr>
      <w:rFonts w:ascii="Times New Roman" w:eastAsia="Times New Roman" w:hAnsi="Times New Roman" w:cs="Times New Roman"/>
      <w:b/>
      <w:i/>
      <w:sz w:val="26"/>
      <w:szCs w:val="20"/>
      <w:lang w:eastAsia="en-AU"/>
    </w:rPr>
  </w:style>
  <w:style w:type="character" w:customStyle="1" w:styleId="RecBBulletChar">
    <w:name w:val="RecB Bullet Char"/>
    <w:basedOn w:val="RecBChar"/>
    <w:link w:val="RecBBullet"/>
    <w:rsid w:val="00D740AE"/>
    <w:rPr>
      <w:rFonts w:ascii="Times New Roman" w:eastAsia="Times New Roman" w:hAnsi="Times New Roman" w:cs="Times New Roman"/>
      <w:b/>
      <w:i/>
      <w:sz w:val="26"/>
      <w:szCs w:val="20"/>
      <w:lang w:eastAsia="en-AU"/>
    </w:rPr>
  </w:style>
  <w:style w:type="paragraph" w:styleId="Header">
    <w:name w:val="header"/>
    <w:basedOn w:val="Normal"/>
    <w:link w:val="HeaderChar"/>
    <w:uiPriority w:val="99"/>
    <w:unhideWhenUsed/>
    <w:rsid w:val="0006711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67112"/>
  </w:style>
  <w:style w:type="paragraph" w:styleId="Footer">
    <w:name w:val="footer"/>
    <w:basedOn w:val="Normal"/>
    <w:link w:val="FooterChar"/>
    <w:uiPriority w:val="99"/>
    <w:unhideWhenUsed/>
    <w:rsid w:val="000671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67112"/>
  </w:style>
  <w:style w:type="paragraph" w:styleId="BalloonText">
    <w:name w:val="Balloon Text"/>
    <w:basedOn w:val="Normal"/>
    <w:link w:val="BalloonTextChar"/>
    <w:uiPriority w:val="99"/>
    <w:semiHidden/>
    <w:unhideWhenUsed/>
    <w:rsid w:val="00A64CE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E4"/>
    <w:rPr>
      <w:rFonts w:ascii="Tahoma" w:hAnsi="Tahoma" w:cs="Tahoma"/>
      <w:sz w:val="16"/>
      <w:szCs w:val="16"/>
    </w:rPr>
  </w:style>
  <w:style w:type="paragraph" w:styleId="NormalWeb">
    <w:name w:val="Normal (Web)"/>
    <w:basedOn w:val="Normal"/>
    <w:uiPriority w:val="99"/>
    <w:unhideWhenUsed/>
    <w:rsid w:val="00A219B2"/>
    <w:pPr>
      <w:spacing w:before="100" w:beforeAutospacing="1" w:after="100" w:afterAutospacing="1" w:line="240" w:lineRule="auto"/>
      <w:ind w:left="0"/>
    </w:pPr>
    <w:rPr>
      <w:rFonts w:ascii="Verdana" w:eastAsia="Times New Roman" w:hAnsi="Verdana" w:cs="Times New Roman"/>
      <w:sz w:val="24"/>
      <w:szCs w:val="24"/>
      <w:lang w:eastAsia="en-AU"/>
    </w:rPr>
  </w:style>
  <w:style w:type="paragraph" w:customStyle="1" w:styleId="FooterOdd">
    <w:name w:val="Footer Odd"/>
    <w:basedOn w:val="Normal"/>
    <w:qFormat/>
    <w:rsid w:val="007611B3"/>
    <w:pPr>
      <w:pBdr>
        <w:top w:val="single" w:sz="4" w:space="1" w:color="4F81BD" w:themeColor="accent1"/>
      </w:pBdr>
      <w:spacing w:before="0" w:after="180" w:line="264" w:lineRule="auto"/>
      <w:ind w:left="0"/>
      <w:jc w:val="right"/>
    </w:pPr>
    <w:rPr>
      <w:rFonts w:cs="Times New Roman"/>
      <w:color w:val="1F497D" w:themeColor="text2"/>
      <w:sz w:val="20"/>
      <w:szCs w:val="20"/>
      <w:lang w:val="en-US" w:eastAsia="ja-JP"/>
    </w:rPr>
  </w:style>
  <w:style w:type="character" w:customStyle="1" w:styleId="Heading1Char">
    <w:name w:val="Heading 1 Char"/>
    <w:basedOn w:val="DefaultParagraphFont"/>
    <w:link w:val="Heading1"/>
    <w:uiPriority w:val="9"/>
    <w:rsid w:val="008965DD"/>
    <w:rPr>
      <w:rFonts w:asciiTheme="majorHAnsi" w:eastAsiaTheme="majorEastAsia" w:hAnsiTheme="majorHAnsi" w:cstheme="majorBidi"/>
      <w:b/>
      <w:bCs/>
      <w:color w:val="365F91" w:themeColor="accent1" w:themeShade="BF"/>
      <w:sz w:val="28"/>
      <w:szCs w:val="28"/>
      <w:lang w:eastAsia="en-AU"/>
    </w:rPr>
  </w:style>
  <w:style w:type="character" w:styleId="Hyperlink">
    <w:name w:val="Hyperlink"/>
    <w:basedOn w:val="DefaultParagraphFont"/>
    <w:uiPriority w:val="99"/>
    <w:unhideWhenUsed/>
    <w:rsid w:val="008965DD"/>
    <w:rPr>
      <w:color w:val="0000FF"/>
      <w:u w:val="single"/>
    </w:rPr>
  </w:style>
  <w:style w:type="table" w:styleId="TableGrid">
    <w:name w:val="Table Grid"/>
    <w:basedOn w:val="TableNormal"/>
    <w:uiPriority w:val="59"/>
    <w:rsid w:val="00A415FC"/>
    <w:pPr>
      <w:spacing w:before="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E42"/>
    <w:rPr>
      <w:sz w:val="16"/>
      <w:szCs w:val="16"/>
    </w:rPr>
  </w:style>
  <w:style w:type="paragraph" w:styleId="CommentText">
    <w:name w:val="annotation text"/>
    <w:basedOn w:val="Normal"/>
    <w:link w:val="CommentTextChar"/>
    <w:uiPriority w:val="99"/>
    <w:semiHidden/>
    <w:unhideWhenUsed/>
    <w:rsid w:val="00200E42"/>
    <w:pPr>
      <w:spacing w:line="240" w:lineRule="auto"/>
    </w:pPr>
    <w:rPr>
      <w:sz w:val="20"/>
      <w:szCs w:val="20"/>
    </w:rPr>
  </w:style>
  <w:style w:type="character" w:customStyle="1" w:styleId="CommentTextChar">
    <w:name w:val="Comment Text Char"/>
    <w:basedOn w:val="DefaultParagraphFont"/>
    <w:link w:val="CommentText"/>
    <w:uiPriority w:val="99"/>
    <w:semiHidden/>
    <w:rsid w:val="00200E42"/>
    <w:rPr>
      <w:sz w:val="20"/>
      <w:szCs w:val="20"/>
    </w:rPr>
  </w:style>
  <w:style w:type="paragraph" w:styleId="CommentSubject">
    <w:name w:val="annotation subject"/>
    <w:basedOn w:val="CommentText"/>
    <w:next w:val="CommentText"/>
    <w:link w:val="CommentSubjectChar"/>
    <w:uiPriority w:val="99"/>
    <w:semiHidden/>
    <w:unhideWhenUsed/>
    <w:rsid w:val="00200E42"/>
    <w:rPr>
      <w:b/>
      <w:bCs/>
    </w:rPr>
  </w:style>
  <w:style w:type="character" w:customStyle="1" w:styleId="CommentSubjectChar">
    <w:name w:val="Comment Subject Char"/>
    <w:basedOn w:val="CommentTextChar"/>
    <w:link w:val="CommentSubject"/>
    <w:uiPriority w:val="99"/>
    <w:semiHidden/>
    <w:rsid w:val="00200E42"/>
    <w:rPr>
      <w:b/>
      <w:bCs/>
      <w:sz w:val="20"/>
      <w:szCs w:val="20"/>
    </w:rPr>
  </w:style>
  <w:style w:type="paragraph" w:styleId="Revision">
    <w:name w:val="Revision"/>
    <w:hidden/>
    <w:uiPriority w:val="99"/>
    <w:semiHidden/>
    <w:rsid w:val="006C01A4"/>
    <w:pPr>
      <w:spacing w:before="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melinda.crole@ymca.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ccresswell@goodsamsfoundation.org.au"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2017FG-94-5678</_dlc_DocId>
    <TaxCatchAll xmlns="e544e5cc-ab70-42e1-849e-1a0f8bb1f4ef">
      <Value>2</Value>
    </TaxCatchAll>
    <_dlc_DocIdUrl xmlns="e544e5cc-ab70-42e1-849e-1a0f8bb1f4ef">
      <Url>http://tweb/sites/fg/bpd/_layouts/15/DocIdRedir.aspx?ID=2017FG-94-5678</Url>
      <Description>2017FG-94-5678</Description>
    </_dlc_DocIdUrl>
    <IconOverlay xmlns="http://schemas.microsoft.com/sharepoint/v4" xsi:nil="true"/>
    <Pressure_x002f_Measure xmlns="43a7eba2-7c75-424c-9682-3d9e41d868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79ED-ECB1-478B-9246-8F29801C4411}">
  <ds:schemaRefs>
    <ds:schemaRef ds:uri="http://schemas.microsoft.com/sharepoint/events"/>
  </ds:schemaRefs>
</ds:datastoreItem>
</file>

<file path=customXml/itemProps2.xml><?xml version="1.0" encoding="utf-8"?>
<ds:datastoreItem xmlns:ds="http://schemas.openxmlformats.org/officeDocument/2006/customXml" ds:itemID="{C03E0BB7-7EAB-4580-9745-4833C32F31DE}">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3.xml><?xml version="1.0" encoding="utf-8"?>
<ds:datastoreItem xmlns:ds="http://schemas.openxmlformats.org/officeDocument/2006/customXml" ds:itemID="{3DEA7BE5-7994-421F-8CCE-AFE094F53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21EEC-852E-467C-B272-FB7B392B6A2A}">
  <ds:schemaRefs>
    <ds:schemaRef ds:uri="http://schemas.microsoft.com/sharepoint/v3/contenttype/forms"/>
  </ds:schemaRefs>
</ds:datastoreItem>
</file>

<file path=customXml/itemProps5.xml><?xml version="1.0" encoding="utf-8"?>
<ds:datastoreItem xmlns:ds="http://schemas.openxmlformats.org/officeDocument/2006/customXml" ds:itemID="{2B212EE4-0A86-46D7-A996-71ECD17D8913}">
  <ds:schemaRefs>
    <ds:schemaRef ds:uri="office.server.policy"/>
  </ds:schemaRefs>
</ds:datastoreItem>
</file>

<file path=customXml/itemProps6.xml><?xml version="1.0" encoding="utf-8"?>
<ds:datastoreItem xmlns:ds="http://schemas.openxmlformats.org/officeDocument/2006/customXml" ds:itemID="{40488E1C-1EA2-4B97-8410-9E6B22F84494}">
  <ds:schemaRefs>
    <ds:schemaRef ds:uri="http://schemas.openxmlformats.org/officeDocument/2006/bibliography"/>
  </ds:schemaRefs>
</ds:datastoreItem>
</file>

<file path=customXml/itemProps7.xml><?xml version="1.0" encoding="utf-8"?>
<ds:datastoreItem xmlns:ds="http://schemas.openxmlformats.org/officeDocument/2006/customXml" ds:itemID="{B388FF95-9F11-43D0-82E9-F88441218718}">
  <ds:schemaRefs>
    <ds:schemaRef ds:uri="http://schemas.openxmlformats.org/officeDocument/2006/bibliography"/>
  </ds:schemaRefs>
</ds:datastoreItem>
</file>

<file path=customXml/itemProps8.xml><?xml version="1.0" encoding="utf-8"?>
<ds:datastoreItem xmlns:ds="http://schemas.openxmlformats.org/officeDocument/2006/customXml" ds:itemID="{8629577F-DBB2-453F-91E1-6B157E2A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4885</Words>
  <Characters>27921</Characters>
  <Application>Microsoft Office Word</Application>
  <DocSecurity>0</DocSecurity>
  <Lines>670</Lines>
  <Paragraphs>404</Paragraphs>
  <ScaleCrop>false</ScaleCrop>
  <Company/>
  <LinksUpToDate>false</LinksUpToDate>
  <CharactersWithSpaces>32622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Council for Australia - 2017-18 Pre-Budget Submission</dc:title>
  <dc:creator/>
  <cp:lastModifiedBy/>
  <cp:revision>1</cp:revision>
  <dcterms:created xsi:type="dcterms:W3CDTF">2017-02-13T23:03:00Z</dcterms:created>
  <dcterms:modified xsi:type="dcterms:W3CDTF">2017-02-13T23:03:00Z</dcterms:modified>
  <dc:language>English</dc:language>
</cp:coreProperties>
</file>