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660"/>
        <w:gridCol w:w="6979"/>
      </w:tblGrid>
      <w:tr w:rsidR="00D735FF" w:rsidRPr="00540454" w14:paraId="7021D682" w14:textId="77777777" w:rsidTr="00605C2F">
        <w:trPr>
          <w:trHeight w:val="756"/>
        </w:trPr>
        <w:tc>
          <w:tcPr>
            <w:tcW w:w="2660" w:type="dxa"/>
            <w:vAlign w:val="center"/>
          </w:tcPr>
          <w:p w14:paraId="14783443" w14:textId="77777777" w:rsidR="00D735FF" w:rsidRPr="00054F0E" w:rsidRDefault="00D735FF" w:rsidP="009D1601">
            <w:pPr>
              <w:pStyle w:val="Header"/>
              <w:rPr>
                <w:rFonts w:ascii="Arial" w:hAnsi="Arial" w:cs="Arial"/>
                <w:b/>
                <w:sz w:val="28"/>
                <w:szCs w:val="28"/>
              </w:rPr>
            </w:pPr>
            <w:bookmarkStart w:id="0" w:name="_GoBack"/>
            <w:bookmarkEnd w:id="0"/>
            <w:r w:rsidRPr="00054F0E">
              <w:rPr>
                <w:rFonts w:ascii="Arial" w:hAnsi="Arial" w:cs="Arial"/>
                <w:b/>
                <w:sz w:val="28"/>
                <w:szCs w:val="28"/>
              </w:rPr>
              <w:t>Submission to:</w:t>
            </w:r>
          </w:p>
        </w:tc>
        <w:tc>
          <w:tcPr>
            <w:tcW w:w="6979" w:type="dxa"/>
            <w:vAlign w:val="center"/>
          </w:tcPr>
          <w:p w14:paraId="6279A7A9" w14:textId="3D0B3478" w:rsidR="0013571B" w:rsidRPr="00054F0E" w:rsidRDefault="00381599" w:rsidP="009D1601">
            <w:pPr>
              <w:pStyle w:val="Header"/>
              <w:rPr>
                <w:rFonts w:ascii="Arial" w:hAnsi="Arial" w:cs="Arial"/>
                <w:sz w:val="28"/>
                <w:szCs w:val="28"/>
              </w:rPr>
            </w:pPr>
            <w:r>
              <w:rPr>
                <w:rFonts w:ascii="Arial" w:hAnsi="Arial" w:cs="Arial"/>
                <w:sz w:val="28"/>
                <w:szCs w:val="28"/>
              </w:rPr>
              <w:t>Treasury</w:t>
            </w:r>
          </w:p>
        </w:tc>
      </w:tr>
      <w:tr w:rsidR="00D735FF" w:rsidRPr="00540454" w14:paraId="3560FFFB" w14:textId="77777777" w:rsidTr="00605C2F">
        <w:trPr>
          <w:trHeight w:val="756"/>
        </w:trPr>
        <w:tc>
          <w:tcPr>
            <w:tcW w:w="2660" w:type="dxa"/>
            <w:vAlign w:val="center"/>
          </w:tcPr>
          <w:p w14:paraId="5D2F2A71" w14:textId="77777777" w:rsidR="00D735FF" w:rsidRPr="00054F0E" w:rsidRDefault="00D735FF" w:rsidP="009D1601">
            <w:pPr>
              <w:pStyle w:val="Header"/>
              <w:rPr>
                <w:rFonts w:ascii="Arial" w:hAnsi="Arial" w:cs="Arial"/>
                <w:b/>
                <w:sz w:val="28"/>
                <w:szCs w:val="28"/>
              </w:rPr>
            </w:pPr>
            <w:r w:rsidRPr="00054F0E">
              <w:rPr>
                <w:rFonts w:ascii="Arial" w:hAnsi="Arial" w:cs="Arial"/>
                <w:b/>
                <w:sz w:val="28"/>
                <w:szCs w:val="28"/>
              </w:rPr>
              <w:t>Title:</w:t>
            </w:r>
          </w:p>
        </w:tc>
        <w:tc>
          <w:tcPr>
            <w:tcW w:w="6979" w:type="dxa"/>
            <w:vAlign w:val="center"/>
          </w:tcPr>
          <w:p w14:paraId="757C1C92" w14:textId="09FF7DE6" w:rsidR="00D735FF" w:rsidRPr="00054F0E" w:rsidRDefault="00381599" w:rsidP="00BA711F">
            <w:pPr>
              <w:pStyle w:val="Header"/>
              <w:rPr>
                <w:rFonts w:ascii="Arial" w:hAnsi="Arial" w:cs="Arial"/>
                <w:sz w:val="28"/>
                <w:szCs w:val="28"/>
              </w:rPr>
            </w:pPr>
            <w:r>
              <w:rPr>
                <w:rFonts w:ascii="Arial" w:hAnsi="Arial" w:cs="Arial"/>
                <w:sz w:val="28"/>
                <w:szCs w:val="28"/>
              </w:rPr>
              <w:t>2</w:t>
            </w:r>
            <w:r w:rsidR="00BA711F">
              <w:rPr>
                <w:rFonts w:ascii="Arial" w:hAnsi="Arial" w:cs="Arial"/>
                <w:sz w:val="28"/>
                <w:szCs w:val="28"/>
              </w:rPr>
              <w:t>017-18 pre-budget submission</w:t>
            </w:r>
          </w:p>
        </w:tc>
      </w:tr>
      <w:tr w:rsidR="00D735FF" w:rsidRPr="00540454" w14:paraId="1A4E4DB5" w14:textId="77777777" w:rsidTr="00605C2F">
        <w:trPr>
          <w:trHeight w:val="756"/>
        </w:trPr>
        <w:tc>
          <w:tcPr>
            <w:tcW w:w="2660" w:type="dxa"/>
            <w:vAlign w:val="center"/>
          </w:tcPr>
          <w:p w14:paraId="65490C3C" w14:textId="77777777" w:rsidR="00D735FF" w:rsidRPr="00054F0E" w:rsidRDefault="00D735FF" w:rsidP="009D1601">
            <w:pPr>
              <w:pStyle w:val="Header"/>
              <w:rPr>
                <w:rFonts w:ascii="Arial" w:hAnsi="Arial" w:cs="Arial"/>
                <w:b/>
                <w:sz w:val="28"/>
                <w:szCs w:val="28"/>
              </w:rPr>
            </w:pPr>
            <w:r w:rsidRPr="00054F0E">
              <w:rPr>
                <w:rFonts w:ascii="Arial" w:hAnsi="Arial" w:cs="Arial"/>
                <w:b/>
                <w:sz w:val="28"/>
                <w:szCs w:val="28"/>
              </w:rPr>
              <w:t>Date:</w:t>
            </w:r>
          </w:p>
        </w:tc>
        <w:tc>
          <w:tcPr>
            <w:tcW w:w="6979" w:type="dxa"/>
            <w:vAlign w:val="center"/>
          </w:tcPr>
          <w:p w14:paraId="3E6741A6" w14:textId="71E21B2C" w:rsidR="00D735FF" w:rsidRPr="00054F0E" w:rsidRDefault="00381599" w:rsidP="00BB55E4">
            <w:pPr>
              <w:pStyle w:val="Header"/>
              <w:rPr>
                <w:rFonts w:ascii="Arial" w:hAnsi="Arial" w:cs="Arial"/>
                <w:sz w:val="28"/>
                <w:szCs w:val="28"/>
              </w:rPr>
            </w:pPr>
            <w:r>
              <w:rPr>
                <w:rFonts w:ascii="Arial" w:hAnsi="Arial" w:cs="Arial"/>
                <w:sz w:val="28"/>
                <w:szCs w:val="28"/>
              </w:rPr>
              <w:t>January</w:t>
            </w:r>
            <w:r w:rsidR="00C87BB9">
              <w:rPr>
                <w:rFonts w:ascii="Arial" w:hAnsi="Arial" w:cs="Arial"/>
                <w:sz w:val="28"/>
                <w:szCs w:val="28"/>
              </w:rPr>
              <w:t xml:space="preserve"> </w:t>
            </w:r>
            <w:r>
              <w:rPr>
                <w:rFonts w:ascii="Arial" w:hAnsi="Arial" w:cs="Arial"/>
                <w:sz w:val="28"/>
                <w:szCs w:val="28"/>
              </w:rPr>
              <w:t>2017</w:t>
            </w:r>
          </w:p>
        </w:tc>
      </w:tr>
    </w:tbl>
    <w:p w14:paraId="4907C868" w14:textId="77777777" w:rsidR="00D735FF" w:rsidRPr="00540454" w:rsidRDefault="00D735FF" w:rsidP="009D1601">
      <w:pPr>
        <w:pStyle w:val="Header"/>
        <w:rPr>
          <w:rFonts w:ascii="Arial" w:hAnsi="Arial" w:cs="Arial"/>
          <w:sz w:val="32"/>
        </w:rPr>
      </w:pPr>
    </w:p>
    <w:p w14:paraId="4AA02BB3" w14:textId="77777777" w:rsidR="00D735FF" w:rsidRPr="00540454" w:rsidRDefault="00D735FF" w:rsidP="009D1601">
      <w:pPr>
        <w:pStyle w:val="Header"/>
        <w:rPr>
          <w:rFonts w:ascii="Arial" w:hAnsi="Arial" w:cs="Arial"/>
          <w:sz w:val="32"/>
        </w:rPr>
      </w:pPr>
    </w:p>
    <w:p w14:paraId="7DB95DC5" w14:textId="77777777" w:rsidR="00576ED0" w:rsidRPr="00540454" w:rsidRDefault="00576ED0" w:rsidP="009D1601">
      <w:pPr>
        <w:pStyle w:val="Header"/>
        <w:rPr>
          <w:rFonts w:ascii="Arial" w:hAnsi="Arial" w:cs="Arial"/>
          <w:sz w:val="32"/>
        </w:rPr>
      </w:pPr>
    </w:p>
    <w:p w14:paraId="4B4F5669" w14:textId="77777777" w:rsidR="00576ED0" w:rsidRPr="00540454" w:rsidRDefault="00576ED0" w:rsidP="009D1601">
      <w:pPr>
        <w:rPr>
          <w:rFonts w:ascii="Arial" w:hAnsi="Arial" w:cs="Arial"/>
        </w:rPr>
        <w:sectPr w:rsidR="00576ED0" w:rsidRPr="00540454" w:rsidSect="005F5ACC">
          <w:footerReference w:type="default" r:id="rId14"/>
          <w:headerReference w:type="first" r:id="rId15"/>
          <w:footerReference w:type="first" r:id="rId16"/>
          <w:pgSz w:w="11906" w:h="16838"/>
          <w:pgMar w:top="5103" w:right="1133" w:bottom="1418" w:left="1134" w:header="851" w:footer="651" w:gutter="0"/>
          <w:cols w:space="708"/>
          <w:docGrid w:linePitch="360"/>
        </w:sectPr>
      </w:pPr>
    </w:p>
    <w:p w14:paraId="3DB2E01F" w14:textId="77777777" w:rsidR="00576ED0" w:rsidRPr="00540454" w:rsidRDefault="00576ED0" w:rsidP="009D1601">
      <w:pPr>
        <w:rPr>
          <w:rFonts w:ascii="Arial" w:hAnsi="Arial" w:cs="Arial"/>
        </w:rPr>
      </w:pPr>
    </w:p>
    <w:p w14:paraId="124CE745" w14:textId="77777777" w:rsidR="0035493A" w:rsidRPr="00540454" w:rsidRDefault="0035493A" w:rsidP="009D1601">
      <w:pPr>
        <w:rPr>
          <w:rFonts w:ascii="Arial" w:hAnsi="Arial" w:cs="Arial"/>
        </w:rPr>
      </w:pPr>
    </w:p>
    <w:p w14:paraId="2B510C06" w14:textId="77777777" w:rsidR="0035493A" w:rsidRPr="00540454" w:rsidRDefault="0035493A" w:rsidP="009D1601">
      <w:pPr>
        <w:rPr>
          <w:rFonts w:ascii="Arial" w:hAnsi="Arial" w:cs="Arial"/>
        </w:rPr>
      </w:pPr>
    </w:p>
    <w:p w14:paraId="5F47005E" w14:textId="77777777" w:rsidR="0035493A" w:rsidRPr="00540454" w:rsidRDefault="0035493A" w:rsidP="009D1601">
      <w:pPr>
        <w:rPr>
          <w:rFonts w:ascii="Arial" w:hAnsi="Arial" w:cs="Arial"/>
        </w:rPr>
      </w:pPr>
    </w:p>
    <w:p w14:paraId="41E60D36" w14:textId="77777777" w:rsidR="0035493A" w:rsidRPr="00540454" w:rsidRDefault="0035493A" w:rsidP="009D1601">
      <w:pPr>
        <w:rPr>
          <w:rFonts w:ascii="Arial" w:hAnsi="Arial" w:cs="Arial"/>
        </w:rPr>
      </w:pPr>
    </w:p>
    <w:p w14:paraId="31959C25" w14:textId="77777777" w:rsidR="0035493A" w:rsidRPr="00054F0E" w:rsidRDefault="003B74E4" w:rsidP="009D1601">
      <w:pPr>
        <w:rPr>
          <w:rFonts w:ascii="Arial" w:hAnsi="Arial" w:cs="Arial"/>
          <w:b/>
          <w:color w:val="000064"/>
          <w:sz w:val="28"/>
          <w:szCs w:val="28"/>
        </w:rPr>
      </w:pPr>
      <w:r w:rsidRPr="00054F0E">
        <w:rPr>
          <w:rFonts w:ascii="Arial" w:hAnsi="Arial" w:cs="Arial"/>
          <w:b/>
          <w:color w:val="000064"/>
          <w:sz w:val="28"/>
          <w:szCs w:val="28"/>
        </w:rPr>
        <w:t>Contents</w:t>
      </w:r>
    </w:p>
    <w:p w14:paraId="539414E0" w14:textId="77777777" w:rsidR="00576ED0" w:rsidRPr="00540454" w:rsidRDefault="00576ED0" w:rsidP="009D1601">
      <w:pPr>
        <w:rPr>
          <w:rFonts w:ascii="Arial" w:hAnsi="Arial" w:cs="Arial"/>
        </w:rPr>
      </w:pPr>
    </w:p>
    <w:p w14:paraId="72F1C29E" w14:textId="77777777" w:rsidR="009B0520" w:rsidRPr="00540454" w:rsidRDefault="009B0520" w:rsidP="009D1601">
      <w:pPr>
        <w:rPr>
          <w:rFonts w:ascii="Arial" w:hAnsi="Arial" w:cs="Arial"/>
        </w:rPr>
      </w:pPr>
    </w:p>
    <w:p w14:paraId="53B7A57F" w14:textId="77777777" w:rsidR="00975C45" w:rsidRDefault="003B2024">
      <w:pPr>
        <w:pStyle w:val="TOC1"/>
        <w:tabs>
          <w:tab w:val="left" w:pos="442"/>
        </w:tabs>
        <w:rPr>
          <w:rFonts w:asciiTheme="minorHAnsi" w:eastAsiaTheme="minorEastAsia" w:hAnsiTheme="minorHAnsi" w:cstheme="minorBidi"/>
          <w:b w:val="0"/>
          <w:sz w:val="22"/>
          <w:szCs w:val="22"/>
          <w:lang w:eastAsia="en-AU"/>
        </w:rPr>
      </w:pPr>
      <w:r w:rsidRPr="00054F0E">
        <w:rPr>
          <w:b w:val="0"/>
          <w:sz w:val="22"/>
          <w:szCs w:val="22"/>
        </w:rPr>
        <w:fldChar w:fldCharType="begin"/>
      </w:r>
      <w:r w:rsidR="00BD49FC" w:rsidRPr="00054F0E">
        <w:rPr>
          <w:b w:val="0"/>
          <w:sz w:val="22"/>
          <w:szCs w:val="22"/>
        </w:rPr>
        <w:instrText xml:space="preserve"> TOC \o "1-2" \t "ATA Heading 2,2" </w:instrText>
      </w:r>
      <w:r w:rsidRPr="00054F0E">
        <w:rPr>
          <w:b w:val="0"/>
          <w:sz w:val="22"/>
          <w:szCs w:val="22"/>
        </w:rPr>
        <w:fldChar w:fldCharType="separate"/>
      </w:r>
      <w:r w:rsidR="00975C45" w:rsidRPr="008650CE">
        <w:rPr>
          <w:rFonts w:cs="Times New Roman"/>
        </w:rPr>
        <w:t>1.</w:t>
      </w:r>
      <w:r w:rsidR="00975C45">
        <w:rPr>
          <w:rFonts w:asciiTheme="minorHAnsi" w:eastAsiaTheme="minorEastAsia" w:hAnsiTheme="minorHAnsi" w:cstheme="minorBidi"/>
          <w:b w:val="0"/>
          <w:sz w:val="22"/>
          <w:szCs w:val="22"/>
          <w:lang w:eastAsia="en-AU"/>
        </w:rPr>
        <w:tab/>
      </w:r>
      <w:r w:rsidR="00975C45">
        <w:t>About the Australian Trucking Association</w:t>
      </w:r>
      <w:r w:rsidR="00975C45">
        <w:tab/>
      </w:r>
      <w:r w:rsidR="00975C45">
        <w:fldChar w:fldCharType="begin"/>
      </w:r>
      <w:r w:rsidR="00975C45">
        <w:instrText xml:space="preserve"> PAGEREF _Toc473286308 \h </w:instrText>
      </w:r>
      <w:r w:rsidR="00975C45">
        <w:fldChar w:fldCharType="separate"/>
      </w:r>
      <w:r w:rsidR="000C251B">
        <w:t>3</w:t>
      </w:r>
      <w:r w:rsidR="00975C45">
        <w:fldChar w:fldCharType="end"/>
      </w:r>
    </w:p>
    <w:p w14:paraId="4754E99B" w14:textId="77777777" w:rsidR="00975C45" w:rsidRDefault="00975C45">
      <w:pPr>
        <w:pStyle w:val="TOC1"/>
        <w:tabs>
          <w:tab w:val="left" w:pos="442"/>
        </w:tabs>
        <w:rPr>
          <w:rFonts w:asciiTheme="minorHAnsi" w:eastAsiaTheme="minorEastAsia" w:hAnsiTheme="minorHAnsi" w:cstheme="minorBidi"/>
          <w:b w:val="0"/>
          <w:sz w:val="22"/>
          <w:szCs w:val="22"/>
          <w:lang w:eastAsia="en-AU"/>
        </w:rPr>
      </w:pPr>
      <w:r w:rsidRPr="008650CE">
        <w:rPr>
          <w:rFonts w:cs="Times New Roman"/>
        </w:rPr>
        <w:t>2.</w:t>
      </w:r>
      <w:r>
        <w:rPr>
          <w:rFonts w:asciiTheme="minorHAnsi" w:eastAsiaTheme="minorEastAsia" w:hAnsiTheme="minorHAnsi" w:cstheme="minorBidi"/>
          <w:b w:val="0"/>
          <w:sz w:val="22"/>
          <w:szCs w:val="22"/>
          <w:lang w:eastAsia="en-AU"/>
        </w:rPr>
        <w:tab/>
      </w:r>
      <w:r>
        <w:t>Summary of recommendations</w:t>
      </w:r>
      <w:r>
        <w:tab/>
      </w:r>
      <w:r>
        <w:fldChar w:fldCharType="begin"/>
      </w:r>
      <w:r>
        <w:instrText xml:space="preserve"> PAGEREF _Toc473286309 \h </w:instrText>
      </w:r>
      <w:r>
        <w:fldChar w:fldCharType="separate"/>
      </w:r>
      <w:r w:rsidR="000C251B">
        <w:t>3</w:t>
      </w:r>
      <w:r>
        <w:fldChar w:fldCharType="end"/>
      </w:r>
    </w:p>
    <w:p w14:paraId="1F92AB70" w14:textId="77777777" w:rsidR="00975C45" w:rsidRDefault="00975C45">
      <w:pPr>
        <w:pStyle w:val="TOC1"/>
        <w:tabs>
          <w:tab w:val="left" w:pos="442"/>
        </w:tabs>
        <w:rPr>
          <w:rFonts w:asciiTheme="minorHAnsi" w:eastAsiaTheme="minorEastAsia" w:hAnsiTheme="minorHAnsi" w:cstheme="minorBidi"/>
          <w:b w:val="0"/>
          <w:sz w:val="22"/>
          <w:szCs w:val="22"/>
          <w:lang w:eastAsia="en-AU"/>
        </w:rPr>
      </w:pPr>
      <w:r w:rsidRPr="008650CE">
        <w:rPr>
          <w:rFonts w:cs="Times New Roman"/>
        </w:rPr>
        <w:t>3.</w:t>
      </w:r>
      <w:r>
        <w:rPr>
          <w:rFonts w:asciiTheme="minorHAnsi" w:eastAsiaTheme="minorEastAsia" w:hAnsiTheme="minorHAnsi" w:cstheme="minorBidi"/>
          <w:b w:val="0"/>
          <w:sz w:val="22"/>
          <w:szCs w:val="22"/>
          <w:lang w:eastAsia="en-AU"/>
        </w:rPr>
        <w:tab/>
      </w:r>
      <w:r>
        <w:t>Introduction</w:t>
      </w:r>
      <w:r>
        <w:tab/>
      </w:r>
      <w:r>
        <w:fldChar w:fldCharType="begin"/>
      </w:r>
      <w:r>
        <w:instrText xml:space="preserve"> PAGEREF _Toc473286310 \h </w:instrText>
      </w:r>
      <w:r>
        <w:fldChar w:fldCharType="separate"/>
      </w:r>
      <w:r w:rsidR="000C251B">
        <w:t>3</w:t>
      </w:r>
      <w:r>
        <w:fldChar w:fldCharType="end"/>
      </w:r>
    </w:p>
    <w:p w14:paraId="58C7B024" w14:textId="77777777" w:rsidR="00975C45" w:rsidRDefault="00975C45">
      <w:pPr>
        <w:pStyle w:val="TOC1"/>
        <w:tabs>
          <w:tab w:val="left" w:pos="442"/>
        </w:tabs>
        <w:rPr>
          <w:rFonts w:asciiTheme="minorHAnsi" w:eastAsiaTheme="minorEastAsia" w:hAnsiTheme="minorHAnsi" w:cstheme="minorBidi"/>
          <w:b w:val="0"/>
          <w:sz w:val="22"/>
          <w:szCs w:val="22"/>
          <w:lang w:eastAsia="en-AU"/>
        </w:rPr>
      </w:pPr>
      <w:r w:rsidRPr="008650CE">
        <w:rPr>
          <w:rFonts w:cs="Times New Roman"/>
        </w:rPr>
        <w:t>4.</w:t>
      </w:r>
      <w:r>
        <w:rPr>
          <w:rFonts w:asciiTheme="minorHAnsi" w:eastAsiaTheme="minorEastAsia" w:hAnsiTheme="minorHAnsi" w:cstheme="minorBidi"/>
          <w:b w:val="0"/>
          <w:sz w:val="22"/>
          <w:szCs w:val="22"/>
          <w:lang w:eastAsia="en-AU"/>
        </w:rPr>
        <w:tab/>
      </w:r>
      <w:r>
        <w:t>Improving safety and productivity with better roads</w:t>
      </w:r>
      <w:r>
        <w:tab/>
      </w:r>
      <w:r>
        <w:fldChar w:fldCharType="begin"/>
      </w:r>
      <w:r>
        <w:instrText xml:space="preserve"> PAGEREF _Toc473286311 \h </w:instrText>
      </w:r>
      <w:r>
        <w:fldChar w:fldCharType="separate"/>
      </w:r>
      <w:r w:rsidR="000C251B">
        <w:t>3</w:t>
      </w:r>
      <w:r>
        <w:fldChar w:fldCharType="end"/>
      </w:r>
    </w:p>
    <w:p w14:paraId="7FBD47B7" w14:textId="77777777" w:rsidR="00975C45" w:rsidRDefault="00975C45">
      <w:pPr>
        <w:pStyle w:val="TOC1"/>
        <w:tabs>
          <w:tab w:val="left" w:pos="442"/>
        </w:tabs>
        <w:rPr>
          <w:rFonts w:asciiTheme="minorHAnsi" w:eastAsiaTheme="minorEastAsia" w:hAnsiTheme="minorHAnsi" w:cstheme="minorBidi"/>
          <w:b w:val="0"/>
          <w:sz w:val="22"/>
          <w:szCs w:val="22"/>
          <w:lang w:eastAsia="en-AU"/>
        </w:rPr>
      </w:pPr>
      <w:r w:rsidRPr="008650CE">
        <w:rPr>
          <w:rFonts w:cs="Times New Roman"/>
        </w:rPr>
        <w:t>5.</w:t>
      </w:r>
      <w:r>
        <w:rPr>
          <w:rFonts w:asciiTheme="minorHAnsi" w:eastAsiaTheme="minorEastAsia" w:hAnsiTheme="minorHAnsi" w:cstheme="minorBidi"/>
          <w:b w:val="0"/>
          <w:sz w:val="22"/>
          <w:szCs w:val="22"/>
          <w:lang w:eastAsia="en-AU"/>
        </w:rPr>
        <w:tab/>
      </w:r>
      <w:r>
        <w:t>Maintaining and enhancing existing safety funding</w:t>
      </w:r>
      <w:r>
        <w:tab/>
      </w:r>
      <w:r>
        <w:fldChar w:fldCharType="begin"/>
      </w:r>
      <w:r>
        <w:instrText xml:space="preserve"> PAGEREF _Toc473286312 \h </w:instrText>
      </w:r>
      <w:r>
        <w:fldChar w:fldCharType="separate"/>
      </w:r>
      <w:r w:rsidR="000C251B">
        <w:t>5</w:t>
      </w:r>
      <w:r>
        <w:fldChar w:fldCharType="end"/>
      </w:r>
    </w:p>
    <w:p w14:paraId="1B75343D" w14:textId="77777777" w:rsidR="00975C45" w:rsidRDefault="00975C45">
      <w:pPr>
        <w:pStyle w:val="TOC1"/>
        <w:tabs>
          <w:tab w:val="left" w:pos="442"/>
        </w:tabs>
        <w:rPr>
          <w:rFonts w:asciiTheme="minorHAnsi" w:eastAsiaTheme="minorEastAsia" w:hAnsiTheme="minorHAnsi" w:cstheme="minorBidi"/>
          <w:b w:val="0"/>
          <w:sz w:val="22"/>
          <w:szCs w:val="22"/>
          <w:lang w:eastAsia="en-AU"/>
        </w:rPr>
      </w:pPr>
      <w:r w:rsidRPr="008650CE">
        <w:rPr>
          <w:rFonts w:cs="Times New Roman"/>
        </w:rPr>
        <w:t>6.</w:t>
      </w:r>
      <w:r>
        <w:rPr>
          <w:rFonts w:asciiTheme="minorHAnsi" w:eastAsiaTheme="minorEastAsia" w:hAnsiTheme="minorHAnsi" w:cstheme="minorBidi"/>
          <w:b w:val="0"/>
          <w:sz w:val="22"/>
          <w:szCs w:val="22"/>
          <w:lang w:eastAsia="en-AU"/>
        </w:rPr>
        <w:tab/>
      </w:r>
      <w:r>
        <w:t>Heavy vehicle charges</w:t>
      </w:r>
      <w:r>
        <w:tab/>
      </w:r>
      <w:r>
        <w:fldChar w:fldCharType="begin"/>
      </w:r>
      <w:r>
        <w:instrText xml:space="preserve"> PAGEREF _Toc473286313 \h </w:instrText>
      </w:r>
      <w:r>
        <w:fldChar w:fldCharType="separate"/>
      </w:r>
      <w:r w:rsidR="000C251B">
        <w:t>6</w:t>
      </w:r>
      <w:r>
        <w:fldChar w:fldCharType="end"/>
      </w:r>
    </w:p>
    <w:p w14:paraId="7A61CC44" w14:textId="77777777" w:rsidR="00975C45" w:rsidRDefault="00975C45">
      <w:pPr>
        <w:pStyle w:val="TOC1"/>
        <w:tabs>
          <w:tab w:val="left" w:pos="442"/>
        </w:tabs>
        <w:rPr>
          <w:rFonts w:asciiTheme="minorHAnsi" w:eastAsiaTheme="minorEastAsia" w:hAnsiTheme="minorHAnsi" w:cstheme="minorBidi"/>
          <w:b w:val="0"/>
          <w:sz w:val="22"/>
          <w:szCs w:val="22"/>
          <w:lang w:eastAsia="en-AU"/>
        </w:rPr>
      </w:pPr>
      <w:r w:rsidRPr="008650CE">
        <w:rPr>
          <w:rFonts w:cs="Times New Roman"/>
        </w:rPr>
        <w:t>7.</w:t>
      </w:r>
      <w:r>
        <w:rPr>
          <w:rFonts w:asciiTheme="minorHAnsi" w:eastAsiaTheme="minorEastAsia" w:hAnsiTheme="minorHAnsi" w:cstheme="minorBidi"/>
          <w:b w:val="0"/>
          <w:sz w:val="22"/>
          <w:szCs w:val="22"/>
          <w:lang w:eastAsia="en-AU"/>
        </w:rPr>
        <w:tab/>
      </w:r>
      <w:r>
        <w:t>Improving truck maintenance through fuel tax credits reform</w:t>
      </w:r>
      <w:r>
        <w:tab/>
      </w:r>
      <w:r>
        <w:fldChar w:fldCharType="begin"/>
      </w:r>
      <w:r>
        <w:instrText xml:space="preserve"> PAGEREF _Toc473286314 \h </w:instrText>
      </w:r>
      <w:r>
        <w:fldChar w:fldCharType="separate"/>
      </w:r>
      <w:r w:rsidR="000C251B">
        <w:t>7</w:t>
      </w:r>
      <w:r>
        <w:fldChar w:fldCharType="end"/>
      </w:r>
    </w:p>
    <w:p w14:paraId="4EA71305" w14:textId="77777777" w:rsidR="00241C15" w:rsidRPr="006E05F0" w:rsidRDefault="003B2024" w:rsidP="009D1601">
      <w:pPr>
        <w:tabs>
          <w:tab w:val="right" w:leader="dot" w:pos="9645"/>
        </w:tabs>
        <w:rPr>
          <w:rFonts w:ascii="Arial" w:hAnsi="Arial" w:cs="Arial"/>
        </w:rPr>
      </w:pPr>
      <w:r w:rsidRPr="00054F0E">
        <w:rPr>
          <w:rFonts w:ascii="Arial" w:hAnsi="Arial" w:cs="Arial"/>
          <w:noProof/>
        </w:rPr>
        <w:fldChar w:fldCharType="end"/>
      </w:r>
    </w:p>
    <w:p w14:paraId="7A91897E" w14:textId="77777777" w:rsidR="00576ED0" w:rsidRPr="006E05F0" w:rsidRDefault="00576ED0" w:rsidP="009D1601">
      <w:pPr>
        <w:rPr>
          <w:rFonts w:ascii="Arial" w:hAnsi="Arial" w:cs="Arial"/>
        </w:rPr>
      </w:pPr>
      <w:r w:rsidRPr="006E05F0">
        <w:rPr>
          <w:rFonts w:ascii="Arial" w:hAnsi="Arial" w:cs="Arial"/>
        </w:rPr>
        <w:br w:type="page"/>
      </w:r>
    </w:p>
    <w:p w14:paraId="3C54AF71" w14:textId="77777777" w:rsidR="006233B3" w:rsidRPr="00054F0E" w:rsidRDefault="00054F0E" w:rsidP="00CB30A4">
      <w:pPr>
        <w:pStyle w:val="Heading1"/>
        <w:ind w:left="357" w:hanging="357"/>
        <w:rPr>
          <w:sz w:val="24"/>
          <w:szCs w:val="24"/>
        </w:rPr>
      </w:pPr>
      <w:bookmarkStart w:id="1" w:name="_Toc473286308"/>
      <w:r>
        <w:rPr>
          <w:sz w:val="24"/>
          <w:szCs w:val="24"/>
        </w:rPr>
        <w:lastRenderedPageBreak/>
        <w:t xml:space="preserve">About the </w:t>
      </w:r>
      <w:r w:rsidR="006233B3" w:rsidRPr="00054F0E">
        <w:rPr>
          <w:sz w:val="24"/>
          <w:szCs w:val="24"/>
        </w:rPr>
        <w:t>Australian Trucking Association</w:t>
      </w:r>
      <w:bookmarkEnd w:id="1"/>
    </w:p>
    <w:p w14:paraId="17DB67E2" w14:textId="77777777" w:rsidR="006233B3" w:rsidRPr="00540454" w:rsidRDefault="006233B3" w:rsidP="009D1601">
      <w:pPr>
        <w:pStyle w:val="BodyText2"/>
        <w:rPr>
          <w:b w:val="0"/>
          <w:szCs w:val="22"/>
        </w:rPr>
      </w:pPr>
    </w:p>
    <w:p w14:paraId="572CF6CF" w14:textId="77777777" w:rsidR="006233B3" w:rsidRPr="002F2016" w:rsidRDefault="006233B3" w:rsidP="00A77660">
      <w:pPr>
        <w:pStyle w:val="BodyText2"/>
        <w:rPr>
          <w:rFonts w:eastAsia="Calibri"/>
          <w:b w:val="0"/>
          <w:bCs w:val="0"/>
          <w:szCs w:val="22"/>
        </w:rPr>
      </w:pPr>
      <w:r w:rsidRPr="002F2016">
        <w:rPr>
          <w:rFonts w:eastAsia="Calibri"/>
          <w:b w:val="0"/>
          <w:bCs w:val="0"/>
          <w:szCs w:val="22"/>
        </w:rPr>
        <w:t>The ATA is the peak body represent</w:t>
      </w:r>
      <w:r w:rsidR="00324142" w:rsidRPr="002F2016">
        <w:rPr>
          <w:rFonts w:eastAsia="Calibri"/>
          <w:b w:val="0"/>
          <w:bCs w:val="0"/>
          <w:szCs w:val="22"/>
        </w:rPr>
        <w:t>ing</w:t>
      </w:r>
      <w:r w:rsidRPr="002F2016">
        <w:rPr>
          <w:rFonts w:eastAsia="Calibri"/>
          <w:b w:val="0"/>
          <w:bCs w:val="0"/>
          <w:szCs w:val="22"/>
        </w:rPr>
        <w:t xml:space="preserve"> the </w:t>
      </w:r>
      <w:r w:rsidR="00324142" w:rsidRPr="002F2016">
        <w:rPr>
          <w:rFonts w:eastAsia="Calibri"/>
          <w:b w:val="0"/>
          <w:bCs w:val="0"/>
          <w:szCs w:val="22"/>
        </w:rPr>
        <w:t xml:space="preserve">Australian </w:t>
      </w:r>
      <w:r w:rsidRPr="002F2016">
        <w:rPr>
          <w:rFonts w:eastAsia="Calibri"/>
          <w:b w:val="0"/>
          <w:bCs w:val="0"/>
          <w:szCs w:val="22"/>
        </w:rPr>
        <w:t>trucking industry. Its members include state and sector-based trucking associations, some of the nation’s largest transport companies, and businesses with leading expertise in truck technology.</w:t>
      </w:r>
    </w:p>
    <w:p w14:paraId="6996B66F" w14:textId="77777777" w:rsidR="0078106F" w:rsidRDefault="0078106F" w:rsidP="00054F0E"/>
    <w:p w14:paraId="2700FC63" w14:textId="77777777" w:rsidR="005D3BC8" w:rsidRPr="00054F0E" w:rsidRDefault="005D3BC8" w:rsidP="00054F0E"/>
    <w:p w14:paraId="29DE477F" w14:textId="77777777" w:rsidR="00A023EA" w:rsidRPr="00054F0E" w:rsidRDefault="006233B3" w:rsidP="00CB30A4">
      <w:pPr>
        <w:pStyle w:val="Heading1"/>
        <w:ind w:left="357" w:hanging="357"/>
        <w:rPr>
          <w:sz w:val="24"/>
          <w:szCs w:val="24"/>
        </w:rPr>
      </w:pPr>
      <w:bookmarkStart w:id="2" w:name="_Toc473286309"/>
      <w:r w:rsidRPr="00054F0E">
        <w:rPr>
          <w:sz w:val="24"/>
          <w:szCs w:val="24"/>
        </w:rPr>
        <w:t>Summary of r</w:t>
      </w:r>
      <w:r w:rsidR="00A023EA" w:rsidRPr="00054F0E">
        <w:rPr>
          <w:sz w:val="24"/>
          <w:szCs w:val="24"/>
        </w:rPr>
        <w:t>ecommendation</w:t>
      </w:r>
      <w:r w:rsidR="00CB73A3" w:rsidRPr="00054F0E">
        <w:rPr>
          <w:sz w:val="24"/>
          <w:szCs w:val="24"/>
        </w:rPr>
        <w:t>s</w:t>
      </w:r>
      <w:bookmarkEnd w:id="2"/>
    </w:p>
    <w:p w14:paraId="4F69AAE1" w14:textId="77777777" w:rsidR="00F92938" w:rsidRDefault="00F92938" w:rsidP="009D1601">
      <w:pPr>
        <w:rPr>
          <w:rFonts w:ascii="Arial" w:eastAsiaTheme="minorHAnsi" w:hAnsi="Arial" w:cs="Arial"/>
        </w:rPr>
      </w:pPr>
    </w:p>
    <w:p w14:paraId="54351C67" w14:textId="54CCE2C5" w:rsidR="00676023" w:rsidRPr="002F2016" w:rsidRDefault="00676023" w:rsidP="00676023">
      <w:pPr>
        <w:tabs>
          <w:tab w:val="left" w:pos="992"/>
        </w:tabs>
        <w:rPr>
          <w:rFonts w:ascii="Arial" w:hAnsi="Arial" w:cs="Arial"/>
        </w:rPr>
      </w:pPr>
      <w:r w:rsidRPr="002F2016">
        <w:rPr>
          <w:rFonts w:ascii="Arial" w:hAnsi="Arial" w:cs="Arial"/>
          <w:b/>
        </w:rPr>
        <w:t>Recommendation</w:t>
      </w:r>
      <w:r w:rsidR="002A329C">
        <w:rPr>
          <w:rFonts w:ascii="Arial" w:hAnsi="Arial" w:cs="Arial"/>
          <w:b/>
        </w:rPr>
        <w:t xml:space="preserve"> 1</w:t>
      </w:r>
    </w:p>
    <w:p w14:paraId="148F8BBD" w14:textId="77777777" w:rsidR="00676023" w:rsidRDefault="00676023" w:rsidP="00676023">
      <w:pPr>
        <w:tabs>
          <w:tab w:val="left" w:pos="992"/>
        </w:tabs>
        <w:rPr>
          <w:rFonts w:ascii="Arial" w:hAnsi="Arial" w:cs="Arial"/>
        </w:rPr>
      </w:pPr>
      <w:r w:rsidRPr="002F2016">
        <w:rPr>
          <w:rFonts w:ascii="Arial" w:hAnsi="Arial" w:cs="Arial"/>
        </w:rPr>
        <w:t xml:space="preserve">The Government should </w:t>
      </w:r>
      <w:r>
        <w:rPr>
          <w:rFonts w:ascii="Arial" w:hAnsi="Arial" w:cs="Arial"/>
        </w:rPr>
        <w:t>commence a proper review and consideration of establishing an independent and hypothecated road fund, to improve the effective targeting of building productive road infrastructure</w:t>
      </w:r>
      <w:r w:rsidRPr="002F2016">
        <w:rPr>
          <w:rFonts w:ascii="Arial" w:hAnsi="Arial" w:cs="Arial"/>
        </w:rPr>
        <w:t>.</w:t>
      </w:r>
    </w:p>
    <w:p w14:paraId="1B20395B" w14:textId="77777777" w:rsidR="0053694B" w:rsidRDefault="0053694B" w:rsidP="0053694B">
      <w:pPr>
        <w:pStyle w:val="NoSpacing"/>
        <w:rPr>
          <w:rFonts w:ascii="Arial" w:eastAsia="Calibri" w:hAnsi="Arial" w:cs="Arial"/>
          <w:color w:val="auto"/>
          <w:sz w:val="22"/>
          <w:szCs w:val="22"/>
          <w:lang w:eastAsia="en-US"/>
        </w:rPr>
      </w:pPr>
    </w:p>
    <w:p w14:paraId="3E450B29" w14:textId="3A1E7346" w:rsidR="0053694B" w:rsidRDefault="002A329C" w:rsidP="0053694B">
      <w:pPr>
        <w:pStyle w:val="NoSpacing"/>
        <w:rPr>
          <w:rFonts w:ascii="Arial" w:eastAsia="Calibri" w:hAnsi="Arial" w:cs="Arial"/>
          <w:color w:val="auto"/>
          <w:sz w:val="22"/>
          <w:szCs w:val="22"/>
          <w:lang w:eastAsia="en-US"/>
        </w:rPr>
      </w:pPr>
      <w:r>
        <w:rPr>
          <w:rFonts w:ascii="Arial" w:eastAsia="Calibri" w:hAnsi="Arial" w:cs="Arial"/>
          <w:b/>
          <w:color w:val="auto"/>
          <w:sz w:val="22"/>
          <w:szCs w:val="22"/>
          <w:lang w:eastAsia="en-US"/>
        </w:rPr>
        <w:t>Recommendation 2</w:t>
      </w:r>
    </w:p>
    <w:p w14:paraId="79CA0779" w14:textId="34132062" w:rsidR="0053694B" w:rsidRDefault="0053694B" w:rsidP="0053694B">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Funding for existing road</w:t>
      </w:r>
      <w:r w:rsidR="00975C45">
        <w:rPr>
          <w:rFonts w:ascii="Arial" w:eastAsia="Calibri" w:hAnsi="Arial" w:cs="Arial"/>
          <w:color w:val="auto"/>
          <w:sz w:val="22"/>
          <w:szCs w:val="22"/>
          <w:lang w:eastAsia="en-US"/>
        </w:rPr>
        <w:t xml:space="preserve"> safety</w:t>
      </w:r>
      <w:r>
        <w:rPr>
          <w:rFonts w:ascii="Arial" w:eastAsia="Calibri" w:hAnsi="Arial" w:cs="Arial"/>
          <w:color w:val="auto"/>
          <w:sz w:val="22"/>
          <w:szCs w:val="22"/>
          <w:lang w:eastAsia="en-US"/>
        </w:rPr>
        <w:t xml:space="preserve"> </w:t>
      </w:r>
      <w:r w:rsidR="00975C45">
        <w:rPr>
          <w:rFonts w:ascii="Arial" w:eastAsia="Calibri" w:hAnsi="Arial" w:cs="Arial"/>
          <w:color w:val="auto"/>
          <w:sz w:val="22"/>
          <w:szCs w:val="22"/>
          <w:lang w:eastAsia="en-US"/>
        </w:rPr>
        <w:t xml:space="preserve">investment </w:t>
      </w:r>
      <w:r>
        <w:rPr>
          <w:rFonts w:ascii="Arial" w:eastAsia="Calibri" w:hAnsi="Arial" w:cs="Arial"/>
          <w:color w:val="auto"/>
          <w:sz w:val="22"/>
          <w:szCs w:val="22"/>
          <w:lang w:eastAsia="en-US"/>
        </w:rPr>
        <w:t xml:space="preserve">programs should be </w:t>
      </w:r>
      <w:r w:rsidR="00975C45">
        <w:rPr>
          <w:rFonts w:ascii="Arial" w:eastAsia="Calibri" w:hAnsi="Arial" w:cs="Arial"/>
          <w:color w:val="auto"/>
          <w:sz w:val="22"/>
          <w:szCs w:val="22"/>
          <w:lang w:eastAsia="en-US"/>
        </w:rPr>
        <w:t>continued in line with the Coalition’s election commitments.</w:t>
      </w:r>
      <w:r>
        <w:rPr>
          <w:rFonts w:ascii="Arial" w:eastAsia="Calibri" w:hAnsi="Arial" w:cs="Arial"/>
          <w:color w:val="auto"/>
          <w:sz w:val="22"/>
          <w:szCs w:val="22"/>
          <w:lang w:eastAsia="en-US"/>
        </w:rPr>
        <w:t xml:space="preserve"> </w:t>
      </w:r>
    </w:p>
    <w:p w14:paraId="568D9628" w14:textId="77777777" w:rsidR="0053694B" w:rsidRDefault="0053694B" w:rsidP="0053694B">
      <w:pPr>
        <w:pStyle w:val="NoSpacing"/>
        <w:rPr>
          <w:rFonts w:ascii="Arial" w:eastAsia="Calibri" w:hAnsi="Arial" w:cs="Arial"/>
          <w:color w:val="auto"/>
          <w:sz w:val="22"/>
          <w:szCs w:val="22"/>
          <w:lang w:eastAsia="en-US"/>
        </w:rPr>
      </w:pPr>
    </w:p>
    <w:p w14:paraId="10C65746" w14:textId="4F9F1907" w:rsidR="0053694B" w:rsidRDefault="002A329C" w:rsidP="0053694B">
      <w:pPr>
        <w:pStyle w:val="NoSpacing"/>
        <w:rPr>
          <w:rFonts w:ascii="Arial" w:eastAsia="Calibri" w:hAnsi="Arial" w:cs="Arial"/>
          <w:color w:val="auto"/>
          <w:sz w:val="22"/>
          <w:szCs w:val="22"/>
          <w:lang w:eastAsia="en-US"/>
        </w:rPr>
      </w:pPr>
      <w:r>
        <w:rPr>
          <w:rFonts w:ascii="Arial" w:eastAsia="Calibri" w:hAnsi="Arial" w:cs="Arial"/>
          <w:b/>
          <w:color w:val="auto"/>
          <w:sz w:val="22"/>
          <w:szCs w:val="22"/>
          <w:lang w:eastAsia="en-US"/>
        </w:rPr>
        <w:t>Recommendation 3</w:t>
      </w:r>
    </w:p>
    <w:p w14:paraId="240ECAA2" w14:textId="3A489D3B" w:rsidR="0053694B" w:rsidRPr="00651AE2" w:rsidRDefault="0053694B" w:rsidP="0053694B">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The redirection of funding from the abolished RSRT to practical safety measures should be</w:t>
      </w:r>
      <w:r w:rsidR="0051197A">
        <w:rPr>
          <w:rFonts w:ascii="Arial" w:eastAsia="Calibri" w:hAnsi="Arial" w:cs="Arial"/>
          <w:color w:val="auto"/>
          <w:sz w:val="22"/>
          <w:szCs w:val="22"/>
          <w:lang w:eastAsia="en-US"/>
        </w:rPr>
        <w:t xml:space="preserve"> continued, with fun</w:t>
      </w:r>
      <w:r w:rsidR="00527F99">
        <w:rPr>
          <w:rFonts w:ascii="Arial" w:eastAsia="Calibri" w:hAnsi="Arial" w:cs="Arial"/>
          <w:color w:val="auto"/>
          <w:sz w:val="22"/>
          <w:szCs w:val="22"/>
          <w:lang w:eastAsia="en-US"/>
        </w:rPr>
        <w:t>ding for NT and WA</w:t>
      </w:r>
      <w:r w:rsidR="0051197A">
        <w:rPr>
          <w:rFonts w:ascii="Arial" w:eastAsia="Calibri" w:hAnsi="Arial" w:cs="Arial"/>
          <w:color w:val="auto"/>
          <w:sz w:val="22"/>
          <w:szCs w:val="22"/>
          <w:lang w:eastAsia="en-US"/>
        </w:rPr>
        <w:t xml:space="preserve"> and a </w:t>
      </w:r>
      <w:r w:rsidR="000D0774">
        <w:rPr>
          <w:rFonts w:ascii="Arial" w:eastAsia="Calibri" w:hAnsi="Arial" w:cs="Arial"/>
          <w:color w:val="auto"/>
          <w:sz w:val="22"/>
          <w:szCs w:val="22"/>
          <w:lang w:eastAsia="en-US"/>
        </w:rPr>
        <w:t>‘</w:t>
      </w:r>
      <w:r w:rsidR="0051197A">
        <w:rPr>
          <w:rFonts w:ascii="Arial" w:eastAsia="Calibri" w:hAnsi="Arial" w:cs="Arial"/>
          <w:color w:val="auto"/>
          <w:sz w:val="22"/>
          <w:szCs w:val="22"/>
          <w:lang w:eastAsia="en-US"/>
        </w:rPr>
        <w:t>share the road safely</w:t>
      </w:r>
      <w:r w:rsidR="000D0774">
        <w:rPr>
          <w:rFonts w:ascii="Arial" w:eastAsia="Calibri" w:hAnsi="Arial" w:cs="Arial"/>
          <w:color w:val="auto"/>
          <w:sz w:val="22"/>
          <w:szCs w:val="22"/>
          <w:lang w:eastAsia="en-US"/>
        </w:rPr>
        <w:t>’</w:t>
      </w:r>
      <w:r w:rsidR="0051197A">
        <w:rPr>
          <w:rFonts w:ascii="Arial" w:eastAsia="Calibri" w:hAnsi="Arial" w:cs="Arial"/>
          <w:color w:val="auto"/>
          <w:sz w:val="22"/>
          <w:szCs w:val="22"/>
          <w:lang w:eastAsia="en-US"/>
        </w:rPr>
        <w:t xml:space="preserve"> campaign introduced from 2017-18. </w:t>
      </w:r>
      <w:r>
        <w:rPr>
          <w:rFonts w:ascii="Arial" w:eastAsia="Calibri" w:hAnsi="Arial" w:cs="Arial"/>
          <w:color w:val="auto"/>
          <w:sz w:val="22"/>
          <w:szCs w:val="22"/>
          <w:lang w:eastAsia="en-US"/>
        </w:rPr>
        <w:t xml:space="preserve"> </w:t>
      </w:r>
    </w:p>
    <w:p w14:paraId="287DE0F2" w14:textId="77777777" w:rsidR="0053694B" w:rsidRDefault="0053694B" w:rsidP="00EA14FE">
      <w:pPr>
        <w:tabs>
          <w:tab w:val="left" w:pos="992"/>
        </w:tabs>
        <w:rPr>
          <w:rFonts w:ascii="Arial" w:hAnsi="Arial" w:cs="Arial"/>
          <w:b/>
        </w:rPr>
      </w:pPr>
    </w:p>
    <w:p w14:paraId="4E047B8E" w14:textId="205548A5" w:rsidR="00EA14FE" w:rsidRPr="002F2016" w:rsidRDefault="00EA14FE" w:rsidP="00EA14FE">
      <w:pPr>
        <w:tabs>
          <w:tab w:val="left" w:pos="992"/>
        </w:tabs>
        <w:rPr>
          <w:rFonts w:ascii="Arial" w:hAnsi="Arial" w:cs="Arial"/>
          <w:b/>
        </w:rPr>
      </w:pPr>
      <w:r w:rsidRPr="002F2016">
        <w:rPr>
          <w:rFonts w:ascii="Arial" w:hAnsi="Arial" w:cs="Arial"/>
          <w:b/>
        </w:rPr>
        <w:t>Recommendation</w:t>
      </w:r>
      <w:r w:rsidR="002A329C">
        <w:rPr>
          <w:rFonts w:ascii="Arial" w:hAnsi="Arial" w:cs="Arial"/>
          <w:b/>
        </w:rPr>
        <w:t xml:space="preserve"> 4</w:t>
      </w:r>
    </w:p>
    <w:p w14:paraId="1D04D466" w14:textId="77777777" w:rsidR="00EA14FE" w:rsidRDefault="00EA14FE" w:rsidP="00EA14FE">
      <w:pPr>
        <w:rPr>
          <w:rFonts w:ascii="Arial" w:hAnsi="Arial" w:cs="Arial"/>
        </w:rPr>
      </w:pPr>
      <w:r>
        <w:rPr>
          <w:rFonts w:ascii="Arial" w:hAnsi="Arial" w:cs="Arial"/>
        </w:rPr>
        <w:t>The Government should maintain its commitment to freeze heavy vehicle revenue for 2017-18, and implement its component of reduced heavy vehicle charges to commence on 1 July 2017</w:t>
      </w:r>
      <w:r w:rsidRPr="002F2016">
        <w:rPr>
          <w:rFonts w:ascii="Arial" w:hAnsi="Arial" w:cs="Arial"/>
        </w:rPr>
        <w:t>.</w:t>
      </w:r>
    </w:p>
    <w:p w14:paraId="11818F9F" w14:textId="77777777" w:rsidR="00EA14FE" w:rsidRDefault="00EA14FE" w:rsidP="00EA14FE">
      <w:pPr>
        <w:tabs>
          <w:tab w:val="left" w:pos="992"/>
        </w:tabs>
      </w:pPr>
    </w:p>
    <w:p w14:paraId="4091B01C" w14:textId="1ABE307B" w:rsidR="004F3875" w:rsidRPr="00EA14FE" w:rsidRDefault="004F3875" w:rsidP="004F3875">
      <w:pPr>
        <w:tabs>
          <w:tab w:val="left" w:pos="992"/>
        </w:tabs>
        <w:rPr>
          <w:rFonts w:ascii="Arial" w:hAnsi="Arial" w:cs="Arial"/>
        </w:rPr>
      </w:pPr>
      <w:r w:rsidRPr="00EA14FE">
        <w:rPr>
          <w:rFonts w:ascii="Arial" w:hAnsi="Arial" w:cs="Arial"/>
          <w:b/>
        </w:rPr>
        <w:t>Recommendation</w:t>
      </w:r>
      <w:r w:rsidR="002A329C">
        <w:rPr>
          <w:rFonts w:ascii="Arial" w:hAnsi="Arial" w:cs="Arial"/>
          <w:b/>
        </w:rPr>
        <w:t xml:space="preserve"> 5</w:t>
      </w:r>
    </w:p>
    <w:p w14:paraId="301E02FB" w14:textId="0EC4BEFF" w:rsidR="004F3875" w:rsidRPr="00EA14FE" w:rsidRDefault="004F3875" w:rsidP="004F3875">
      <w:pPr>
        <w:tabs>
          <w:tab w:val="left" w:pos="992"/>
        </w:tabs>
        <w:rPr>
          <w:rFonts w:ascii="Arial" w:hAnsi="Arial" w:cs="Arial"/>
        </w:rPr>
      </w:pPr>
      <w:r w:rsidRPr="00EA14FE">
        <w:rPr>
          <w:rFonts w:ascii="Arial" w:hAnsi="Arial" w:cs="Arial"/>
        </w:rPr>
        <w:t xml:space="preserve">The Government should amend the </w:t>
      </w:r>
      <w:r w:rsidRPr="00EA14FE">
        <w:rPr>
          <w:rFonts w:ascii="Arial" w:hAnsi="Arial" w:cs="Arial"/>
          <w:i/>
        </w:rPr>
        <w:t>Fuel Tax Act 2006</w:t>
      </w:r>
      <w:r w:rsidRPr="00EA14FE">
        <w:rPr>
          <w:rFonts w:ascii="Arial" w:hAnsi="Arial" w:cs="Arial"/>
        </w:rPr>
        <w:t xml:space="preserve"> to remove the 1 January 1996 threshold, so that every heavy diesel vehicle used on public roads must meet a maintenance or test criteria to be eligible for fuel tax credits.  </w:t>
      </w:r>
    </w:p>
    <w:p w14:paraId="7DB7ACA0" w14:textId="77777777" w:rsidR="00B95985" w:rsidRDefault="00B95985" w:rsidP="009D1601"/>
    <w:p w14:paraId="6BDF2027" w14:textId="77777777" w:rsidR="005D3BC8" w:rsidRPr="0043779B" w:rsidRDefault="005D3BC8" w:rsidP="009D1601"/>
    <w:p w14:paraId="42A49999" w14:textId="5FE106E1" w:rsidR="006233B3" w:rsidRPr="00242D21" w:rsidRDefault="00E82AA0" w:rsidP="00CB30A4">
      <w:pPr>
        <w:pStyle w:val="Heading1"/>
        <w:ind w:left="357" w:hanging="357"/>
        <w:rPr>
          <w:sz w:val="24"/>
          <w:szCs w:val="24"/>
        </w:rPr>
      </w:pPr>
      <w:bookmarkStart w:id="3" w:name="_Toc473286310"/>
      <w:r>
        <w:rPr>
          <w:sz w:val="24"/>
          <w:szCs w:val="24"/>
        </w:rPr>
        <w:t>Introduction</w:t>
      </w:r>
      <w:bookmarkEnd w:id="3"/>
    </w:p>
    <w:p w14:paraId="3FA56989" w14:textId="77777777" w:rsidR="006233B3" w:rsidRDefault="006233B3" w:rsidP="009D1601">
      <w:pPr>
        <w:rPr>
          <w:rFonts w:ascii="Arial" w:eastAsia="Times New Roman" w:hAnsi="Arial" w:cs="Arial"/>
          <w:bCs/>
        </w:rPr>
      </w:pPr>
    </w:p>
    <w:p w14:paraId="59855B5B" w14:textId="275E8AF3" w:rsidR="00CB10FD" w:rsidRPr="002F2016" w:rsidRDefault="00CB10FD" w:rsidP="0013571B">
      <w:pPr>
        <w:rPr>
          <w:rFonts w:ascii="Arial" w:hAnsi="Arial" w:cs="Arial"/>
        </w:rPr>
      </w:pPr>
      <w:r w:rsidRPr="002F2016">
        <w:rPr>
          <w:rFonts w:ascii="Arial" w:hAnsi="Arial" w:cs="Arial"/>
        </w:rPr>
        <w:t>The Australian Government has articulated that the 2017-18 Budget will maintain the Government’s commitment to economic growth, boost job creation, and sensibly and responsibly restrain government expenditure.</w:t>
      </w:r>
    </w:p>
    <w:p w14:paraId="07DFC849" w14:textId="77777777" w:rsidR="00CB10FD" w:rsidRPr="002F2016" w:rsidRDefault="00CB10FD" w:rsidP="0013571B">
      <w:pPr>
        <w:rPr>
          <w:rFonts w:ascii="Arial" w:hAnsi="Arial" w:cs="Arial"/>
        </w:rPr>
      </w:pPr>
    </w:p>
    <w:p w14:paraId="74A1919D" w14:textId="6FDB3F06" w:rsidR="00230939" w:rsidRDefault="00CB10FD" w:rsidP="0013571B">
      <w:pPr>
        <w:rPr>
          <w:rFonts w:ascii="Arial" w:hAnsi="Arial" w:cs="Arial"/>
        </w:rPr>
      </w:pPr>
      <w:r w:rsidRPr="002F2016">
        <w:rPr>
          <w:rFonts w:ascii="Arial" w:hAnsi="Arial" w:cs="Arial"/>
        </w:rPr>
        <w:t xml:space="preserve">As the economy continues the transition from the period when growth was led by resource investment to broader bases of economic activity, the ATA urges the Government to focus its efforts on carefully targeted measures to boost economic productivity. </w:t>
      </w:r>
      <w:r w:rsidR="00230939" w:rsidRPr="002F2016">
        <w:rPr>
          <w:rFonts w:ascii="Arial" w:hAnsi="Arial" w:cs="Arial"/>
        </w:rPr>
        <w:t xml:space="preserve"> </w:t>
      </w:r>
    </w:p>
    <w:p w14:paraId="7FD99B55" w14:textId="77777777" w:rsidR="00E20C25" w:rsidRDefault="00E20C25" w:rsidP="0013571B">
      <w:pPr>
        <w:rPr>
          <w:rFonts w:ascii="Arial" w:hAnsi="Arial" w:cs="Arial"/>
        </w:rPr>
      </w:pPr>
    </w:p>
    <w:p w14:paraId="5A290BDB" w14:textId="032D5969" w:rsidR="00E20C25" w:rsidRPr="002F2016" w:rsidRDefault="00E20C25" w:rsidP="0013571B">
      <w:pPr>
        <w:rPr>
          <w:rFonts w:ascii="Arial" w:hAnsi="Arial" w:cs="Arial"/>
        </w:rPr>
      </w:pPr>
      <w:r>
        <w:rPr>
          <w:rFonts w:ascii="Arial" w:hAnsi="Arial" w:cs="Arial"/>
        </w:rPr>
        <w:t xml:space="preserve">With regards to road freight – a critical sector of the economy affecting supply chains </w:t>
      </w:r>
      <w:r w:rsidR="000D0774">
        <w:rPr>
          <w:rFonts w:ascii="Arial" w:hAnsi="Arial" w:cs="Arial"/>
        </w:rPr>
        <w:t>everywhere</w:t>
      </w:r>
      <w:r>
        <w:rPr>
          <w:rFonts w:ascii="Arial" w:hAnsi="Arial" w:cs="Arial"/>
        </w:rPr>
        <w:t xml:space="preserve"> </w:t>
      </w:r>
      <w:r w:rsidR="000D0774">
        <w:rPr>
          <w:rFonts w:ascii="Arial" w:hAnsi="Arial" w:cs="Arial"/>
        </w:rPr>
        <w:t>–</w:t>
      </w:r>
      <w:r>
        <w:rPr>
          <w:rFonts w:ascii="Arial" w:hAnsi="Arial" w:cs="Arial"/>
        </w:rPr>
        <w:t xml:space="preserve">the ATA encourages the Government to progress with targeted reforms that </w:t>
      </w:r>
      <w:r w:rsidR="001F661A">
        <w:rPr>
          <w:rFonts w:ascii="Arial" w:hAnsi="Arial" w:cs="Arial"/>
        </w:rPr>
        <w:t>improve safety and productiv</w:t>
      </w:r>
      <w:r w:rsidR="000D0774">
        <w:rPr>
          <w:rFonts w:ascii="Arial" w:hAnsi="Arial" w:cs="Arial"/>
        </w:rPr>
        <w:t>ity with better roads, maintain</w:t>
      </w:r>
      <w:r w:rsidR="001F661A">
        <w:rPr>
          <w:rFonts w:ascii="Arial" w:hAnsi="Arial" w:cs="Arial"/>
        </w:rPr>
        <w:t xml:space="preserve"> ex</w:t>
      </w:r>
      <w:r w:rsidR="000D0774">
        <w:rPr>
          <w:rFonts w:ascii="Arial" w:hAnsi="Arial" w:cs="Arial"/>
        </w:rPr>
        <w:t>isting safety funding, continue</w:t>
      </w:r>
      <w:r w:rsidR="001F661A">
        <w:rPr>
          <w:rFonts w:ascii="Arial" w:hAnsi="Arial" w:cs="Arial"/>
        </w:rPr>
        <w:t xml:space="preserve"> the freeze on heavy vehicle revenue and transition to independent price regulation</w:t>
      </w:r>
      <w:r w:rsidR="000D0774">
        <w:rPr>
          <w:rFonts w:ascii="Arial" w:hAnsi="Arial" w:cs="Arial"/>
        </w:rPr>
        <w:t>, and reform</w:t>
      </w:r>
      <w:r>
        <w:rPr>
          <w:rFonts w:ascii="Arial" w:hAnsi="Arial" w:cs="Arial"/>
        </w:rPr>
        <w:t xml:space="preserve"> fuel tax credits to encourage i</w:t>
      </w:r>
      <w:r w:rsidR="000D0774">
        <w:rPr>
          <w:rFonts w:ascii="Arial" w:hAnsi="Arial" w:cs="Arial"/>
        </w:rPr>
        <w:t>mproved</w:t>
      </w:r>
      <w:r>
        <w:rPr>
          <w:rFonts w:ascii="Arial" w:hAnsi="Arial" w:cs="Arial"/>
        </w:rPr>
        <w:t xml:space="preserve"> truck maintenance. </w:t>
      </w:r>
    </w:p>
    <w:p w14:paraId="0CD9E90C" w14:textId="77777777" w:rsidR="00A63158" w:rsidRDefault="00A63158" w:rsidP="006500E6">
      <w:pPr>
        <w:pStyle w:val="NoSpacing"/>
        <w:rPr>
          <w:rFonts w:eastAsia="Calibri"/>
          <w:color w:val="auto"/>
          <w:sz w:val="22"/>
          <w:szCs w:val="22"/>
          <w:lang w:eastAsia="en-US"/>
        </w:rPr>
      </w:pPr>
    </w:p>
    <w:p w14:paraId="0A0F9BAD" w14:textId="77777777" w:rsidR="005D3BC8" w:rsidRPr="00A63158" w:rsidRDefault="005D3BC8" w:rsidP="006500E6">
      <w:pPr>
        <w:pStyle w:val="NoSpacing"/>
        <w:rPr>
          <w:rFonts w:eastAsia="Calibri"/>
          <w:color w:val="auto"/>
          <w:sz w:val="22"/>
          <w:szCs w:val="22"/>
          <w:lang w:eastAsia="en-US"/>
        </w:rPr>
      </w:pPr>
    </w:p>
    <w:p w14:paraId="2B0A2287" w14:textId="6B379B10" w:rsidR="00A63158" w:rsidRPr="00A63158" w:rsidRDefault="00A63158" w:rsidP="00CB30A4">
      <w:pPr>
        <w:pStyle w:val="Heading1"/>
        <w:ind w:left="357" w:hanging="357"/>
        <w:rPr>
          <w:sz w:val="24"/>
          <w:szCs w:val="24"/>
        </w:rPr>
      </w:pPr>
      <w:bookmarkStart w:id="4" w:name="_Toc473286311"/>
      <w:r>
        <w:rPr>
          <w:sz w:val="24"/>
          <w:szCs w:val="24"/>
        </w:rPr>
        <w:t>Improving safety and productivity with better roads</w:t>
      </w:r>
      <w:bookmarkEnd w:id="4"/>
    </w:p>
    <w:p w14:paraId="3EDB5DA6" w14:textId="77777777" w:rsidR="00A63158" w:rsidRDefault="00A63158" w:rsidP="00A63158">
      <w:pPr>
        <w:tabs>
          <w:tab w:val="left" w:pos="992"/>
        </w:tabs>
      </w:pPr>
    </w:p>
    <w:p w14:paraId="7DCBCBF6" w14:textId="77777777" w:rsidR="000D0774" w:rsidRDefault="00A63158" w:rsidP="00A63158">
      <w:pPr>
        <w:tabs>
          <w:tab w:val="left" w:pos="992"/>
        </w:tabs>
        <w:rPr>
          <w:rFonts w:ascii="Arial" w:hAnsi="Arial" w:cs="Arial"/>
        </w:rPr>
      </w:pPr>
      <w:r w:rsidRPr="002F2016">
        <w:rPr>
          <w:rFonts w:ascii="Arial" w:hAnsi="Arial" w:cs="Arial"/>
        </w:rPr>
        <w:t xml:space="preserve">In December 2016 in a speech to the Australasian Finance and Banking Conference, </w:t>
      </w:r>
      <w:r w:rsidR="0051197A">
        <w:rPr>
          <w:rFonts w:ascii="Arial" w:hAnsi="Arial" w:cs="Arial"/>
        </w:rPr>
        <w:t xml:space="preserve">the </w:t>
      </w:r>
      <w:r w:rsidRPr="002F2016">
        <w:rPr>
          <w:rFonts w:ascii="Arial" w:hAnsi="Arial" w:cs="Arial"/>
        </w:rPr>
        <w:t xml:space="preserve">Treasurer spoke of the economic importance of infrastructure investment and the need for this investment to be productivity enhancing. </w:t>
      </w:r>
    </w:p>
    <w:p w14:paraId="0F90F114" w14:textId="77777777" w:rsidR="000D0774" w:rsidRDefault="000D0774" w:rsidP="00A63158">
      <w:pPr>
        <w:tabs>
          <w:tab w:val="left" w:pos="992"/>
        </w:tabs>
        <w:rPr>
          <w:rFonts w:ascii="Arial" w:hAnsi="Arial" w:cs="Arial"/>
        </w:rPr>
      </w:pPr>
    </w:p>
    <w:p w14:paraId="00A48386" w14:textId="0E5C8CC4" w:rsidR="00A63158" w:rsidRPr="002F2016" w:rsidRDefault="00A63158" w:rsidP="00A63158">
      <w:pPr>
        <w:tabs>
          <w:tab w:val="left" w:pos="992"/>
        </w:tabs>
        <w:rPr>
          <w:rFonts w:ascii="Arial" w:hAnsi="Arial" w:cs="Arial"/>
        </w:rPr>
      </w:pPr>
      <w:r w:rsidRPr="002F2016">
        <w:rPr>
          <w:rFonts w:ascii="Arial" w:hAnsi="Arial" w:cs="Arial"/>
        </w:rPr>
        <w:t>The Treasurer said that “the Turnbull Government is investing in and will continue to invest in productive infrastructure that boosts economic activity,” but warned that “we can</w:t>
      </w:r>
      <w:r w:rsidR="00CB30A4">
        <w:rPr>
          <w:rFonts w:ascii="Arial" w:hAnsi="Arial" w:cs="Arial"/>
        </w:rPr>
        <w:t xml:space="preserve">’t just go out and </w:t>
      </w:r>
      <w:r w:rsidR="00CB30A4">
        <w:rPr>
          <w:rFonts w:ascii="Arial" w:hAnsi="Arial" w:cs="Arial"/>
        </w:rPr>
        <w:lastRenderedPageBreak/>
        <w:t>spend on ill-</w:t>
      </w:r>
      <w:r w:rsidRPr="002F2016">
        <w:rPr>
          <w:rFonts w:ascii="Arial" w:hAnsi="Arial" w:cs="Arial"/>
        </w:rPr>
        <w:t>defined projects” and “all debt has to be repaid and there has to be a return on any investment.”</w:t>
      </w:r>
    </w:p>
    <w:p w14:paraId="42565378" w14:textId="77777777" w:rsidR="00A63158" w:rsidRPr="002F2016" w:rsidRDefault="00A63158" w:rsidP="00A63158">
      <w:pPr>
        <w:tabs>
          <w:tab w:val="left" w:pos="992"/>
        </w:tabs>
        <w:rPr>
          <w:rFonts w:ascii="Arial" w:hAnsi="Arial" w:cs="Arial"/>
        </w:rPr>
      </w:pPr>
    </w:p>
    <w:p w14:paraId="467D56BF" w14:textId="77777777" w:rsidR="000D0774" w:rsidRDefault="00A63158" w:rsidP="00A63158">
      <w:pPr>
        <w:tabs>
          <w:tab w:val="left" w:pos="992"/>
        </w:tabs>
        <w:rPr>
          <w:rFonts w:ascii="Arial" w:hAnsi="Arial" w:cs="Arial"/>
        </w:rPr>
      </w:pPr>
      <w:r w:rsidRPr="002F2016">
        <w:rPr>
          <w:rFonts w:ascii="Arial" w:hAnsi="Arial" w:cs="Arial"/>
        </w:rPr>
        <w:t>The Treasurer argued that there “needs to be a vigorous process to identify the best projects that will be most beneficial to productivity and economic growth.”</w:t>
      </w:r>
      <w:r w:rsidR="005E157B">
        <w:rPr>
          <w:rStyle w:val="FootnoteReference"/>
          <w:rFonts w:ascii="Arial" w:hAnsi="Arial"/>
        </w:rPr>
        <w:footnoteReference w:id="1"/>
      </w:r>
      <w:r w:rsidRPr="002F2016">
        <w:rPr>
          <w:rFonts w:ascii="Arial" w:hAnsi="Arial" w:cs="Arial"/>
        </w:rPr>
        <w:t xml:space="preserve"> </w:t>
      </w:r>
    </w:p>
    <w:p w14:paraId="296DDB7D" w14:textId="77777777" w:rsidR="000D0774" w:rsidRDefault="000D0774" w:rsidP="00A63158">
      <w:pPr>
        <w:tabs>
          <w:tab w:val="left" w:pos="992"/>
        </w:tabs>
        <w:rPr>
          <w:rFonts w:ascii="Arial" w:hAnsi="Arial" w:cs="Arial"/>
        </w:rPr>
      </w:pPr>
    </w:p>
    <w:p w14:paraId="04CCE762" w14:textId="2ADD1119" w:rsidR="00A63158" w:rsidRPr="002F2016" w:rsidRDefault="00A63158" w:rsidP="00A63158">
      <w:pPr>
        <w:tabs>
          <w:tab w:val="left" w:pos="992"/>
        </w:tabs>
        <w:rPr>
          <w:rFonts w:ascii="Arial" w:hAnsi="Arial" w:cs="Arial"/>
        </w:rPr>
      </w:pPr>
      <w:r w:rsidRPr="002F2016">
        <w:rPr>
          <w:rFonts w:ascii="Arial" w:hAnsi="Arial" w:cs="Arial"/>
        </w:rPr>
        <w:t xml:space="preserve">The ATA agrees with </w:t>
      </w:r>
      <w:r w:rsidR="001F661A">
        <w:rPr>
          <w:rFonts w:ascii="Arial" w:hAnsi="Arial" w:cs="Arial"/>
        </w:rPr>
        <w:t>the need to select the best projects to encourage productivity and economic growth</w:t>
      </w:r>
      <w:r w:rsidRPr="002F2016">
        <w:rPr>
          <w:rFonts w:ascii="Arial" w:hAnsi="Arial" w:cs="Arial"/>
        </w:rPr>
        <w:t>, and strongly encourages the Government to build on this agenda by commencing reforms to target road infrastructure spending</w:t>
      </w:r>
      <w:r w:rsidR="000D0774">
        <w:rPr>
          <w:rFonts w:ascii="Arial" w:hAnsi="Arial" w:cs="Arial"/>
        </w:rPr>
        <w:t xml:space="preserve"> more effectively</w:t>
      </w:r>
      <w:r w:rsidRPr="002F2016">
        <w:rPr>
          <w:rFonts w:ascii="Arial" w:hAnsi="Arial" w:cs="Arial"/>
        </w:rPr>
        <w:t>.</w:t>
      </w:r>
    </w:p>
    <w:p w14:paraId="43D54FCD" w14:textId="77777777" w:rsidR="00A63158" w:rsidRPr="002F2016" w:rsidRDefault="00A63158" w:rsidP="00A63158">
      <w:pPr>
        <w:tabs>
          <w:tab w:val="left" w:pos="992"/>
        </w:tabs>
        <w:rPr>
          <w:rFonts w:ascii="Arial" w:hAnsi="Arial" w:cs="Arial"/>
        </w:rPr>
      </w:pPr>
    </w:p>
    <w:p w14:paraId="696343F6" w14:textId="7176D0F5" w:rsidR="00A63158" w:rsidRPr="002F2016" w:rsidRDefault="00A63158" w:rsidP="00A63158">
      <w:pPr>
        <w:tabs>
          <w:tab w:val="left" w:pos="992"/>
        </w:tabs>
        <w:rPr>
          <w:rFonts w:ascii="Arial" w:hAnsi="Arial" w:cs="Arial"/>
        </w:rPr>
      </w:pPr>
      <w:r w:rsidRPr="002F2016">
        <w:rPr>
          <w:rFonts w:ascii="Arial" w:hAnsi="Arial" w:cs="Arial"/>
        </w:rPr>
        <w:t xml:space="preserve">The need to target road spending </w:t>
      </w:r>
      <w:r w:rsidR="000D0774">
        <w:rPr>
          <w:rFonts w:ascii="Arial" w:hAnsi="Arial" w:cs="Arial"/>
        </w:rPr>
        <w:t xml:space="preserve">better </w:t>
      </w:r>
      <w:r w:rsidRPr="002F2016">
        <w:rPr>
          <w:rFonts w:ascii="Arial" w:hAnsi="Arial" w:cs="Arial"/>
        </w:rPr>
        <w:t>is well established. In 2014, the Productivity Commission found that “decisions are often based on inadequate information and assessment of the costs and benefits of road projects.”</w:t>
      </w:r>
      <w:r w:rsidR="005E157B">
        <w:rPr>
          <w:rStyle w:val="FootnoteReference"/>
          <w:rFonts w:ascii="Arial" w:hAnsi="Arial"/>
        </w:rPr>
        <w:footnoteReference w:id="2"/>
      </w:r>
      <w:r w:rsidRPr="002F2016">
        <w:rPr>
          <w:rFonts w:ascii="Arial" w:hAnsi="Arial" w:cs="Arial"/>
        </w:rPr>
        <w:t xml:space="preserve"> The Harper Competition Review also found that “taxes and charges on road users in general are not directly linked to the provision of roads” and suggested that “road funds could be set up separately to governments’ general budgets to increase transparency around road funding.”</w:t>
      </w:r>
      <w:r w:rsidR="004D59C1">
        <w:rPr>
          <w:rStyle w:val="FootnoteReference"/>
          <w:rFonts w:ascii="Arial" w:hAnsi="Arial"/>
        </w:rPr>
        <w:footnoteReference w:id="3"/>
      </w:r>
      <w:r w:rsidRPr="002F2016">
        <w:rPr>
          <w:rFonts w:ascii="Arial" w:hAnsi="Arial" w:cs="Arial"/>
        </w:rPr>
        <w:t xml:space="preserve"> The Productivity Commission also supported a shift to road funds, reporting that “the adoption of a well-designed road fund model or a corporatised public road agency model is paramount to improving outcomes in the funding and provision of roads.”</w:t>
      </w:r>
      <w:r w:rsidR="004D59C1">
        <w:rPr>
          <w:rStyle w:val="FootnoteReference"/>
          <w:rFonts w:ascii="Arial" w:hAnsi="Arial"/>
        </w:rPr>
        <w:footnoteReference w:id="4"/>
      </w:r>
    </w:p>
    <w:p w14:paraId="20332211" w14:textId="77777777" w:rsidR="00A63158" w:rsidRDefault="00A63158" w:rsidP="00A63158">
      <w:pPr>
        <w:tabs>
          <w:tab w:val="left" w:pos="992"/>
        </w:tabs>
        <w:rPr>
          <w:rFonts w:ascii="Arial" w:hAnsi="Arial" w:cs="Arial"/>
        </w:rPr>
      </w:pPr>
    </w:p>
    <w:p w14:paraId="4BF40FE8" w14:textId="11AA1C2D" w:rsidR="00217FA9" w:rsidRDefault="00217FA9" w:rsidP="00A63158">
      <w:pPr>
        <w:tabs>
          <w:tab w:val="left" w:pos="992"/>
        </w:tabs>
        <w:rPr>
          <w:rFonts w:ascii="Arial" w:hAnsi="Arial" w:cs="Arial"/>
        </w:rPr>
      </w:pPr>
      <w:r>
        <w:rPr>
          <w:rFonts w:ascii="Arial" w:hAnsi="Arial" w:cs="Arial"/>
        </w:rPr>
        <w:t xml:space="preserve">Investing in better roads is a critical enhancer for productivity and economic growth. </w:t>
      </w:r>
      <w:r w:rsidR="00636B25">
        <w:rPr>
          <w:rFonts w:ascii="Arial" w:hAnsi="Arial" w:cs="Arial"/>
        </w:rPr>
        <w:t>T</w:t>
      </w:r>
      <w:r>
        <w:rPr>
          <w:rFonts w:ascii="Arial" w:hAnsi="Arial" w:cs="Arial"/>
        </w:rPr>
        <w:t xml:space="preserve">he Harper Competition Review found that “given the size of the road transport sector, enhanced productivity in road transport can deliver large gains to the economy.” </w:t>
      </w:r>
      <w:r w:rsidR="00636B25">
        <w:rPr>
          <w:rFonts w:ascii="Arial" w:hAnsi="Arial" w:cs="Arial"/>
        </w:rPr>
        <w:t xml:space="preserve">As an example of the economic </w:t>
      </w:r>
      <w:r w:rsidR="001F661A">
        <w:rPr>
          <w:rFonts w:ascii="Arial" w:hAnsi="Arial" w:cs="Arial"/>
        </w:rPr>
        <w:t>benefits</w:t>
      </w:r>
      <w:r w:rsidR="00636B25">
        <w:rPr>
          <w:rFonts w:ascii="Arial" w:hAnsi="Arial" w:cs="Arial"/>
        </w:rPr>
        <w:t xml:space="preserve"> of </w:t>
      </w:r>
      <w:r w:rsidR="001F661A">
        <w:rPr>
          <w:rFonts w:ascii="Arial" w:hAnsi="Arial" w:cs="Arial"/>
        </w:rPr>
        <w:t xml:space="preserve">investing in </w:t>
      </w:r>
      <w:r w:rsidR="00636B25">
        <w:rPr>
          <w:rFonts w:ascii="Arial" w:hAnsi="Arial" w:cs="Arial"/>
        </w:rPr>
        <w:t>better roads, the Infrastructure Australia assessment of the corridor upgrade for the Pacific Highway reported the investment would align with priorities including “expanding productive capacity, improving productivity, and developing our regions.”</w:t>
      </w:r>
      <w:r w:rsidR="00636B25">
        <w:rPr>
          <w:rStyle w:val="FootnoteReference"/>
          <w:rFonts w:ascii="Arial" w:hAnsi="Arial"/>
        </w:rPr>
        <w:footnoteReference w:id="5"/>
      </w:r>
      <w:r>
        <w:rPr>
          <w:rFonts w:ascii="Arial" w:hAnsi="Arial" w:cs="Arial"/>
        </w:rPr>
        <w:t xml:space="preserve"> </w:t>
      </w:r>
    </w:p>
    <w:p w14:paraId="5846317E" w14:textId="77777777" w:rsidR="00636B25" w:rsidRDefault="00636B25" w:rsidP="00A63158">
      <w:pPr>
        <w:tabs>
          <w:tab w:val="left" w:pos="992"/>
        </w:tabs>
        <w:rPr>
          <w:rFonts w:ascii="Arial" w:hAnsi="Arial" w:cs="Arial"/>
        </w:rPr>
      </w:pPr>
    </w:p>
    <w:p w14:paraId="36E8FB5F" w14:textId="33042652" w:rsidR="00636B25" w:rsidRDefault="00636B25" w:rsidP="00A63158">
      <w:pPr>
        <w:tabs>
          <w:tab w:val="left" w:pos="992"/>
        </w:tabs>
        <w:rPr>
          <w:rFonts w:ascii="Arial" w:hAnsi="Arial" w:cs="Arial"/>
        </w:rPr>
      </w:pPr>
      <w:r>
        <w:rPr>
          <w:rFonts w:ascii="Arial" w:hAnsi="Arial" w:cs="Arial"/>
        </w:rPr>
        <w:t>Investing in better roads is also critical for improving road safety. Austroads has reported that “in-depth crash studies have also shown that the road is a causation factor in about 30% of all crashes, while it is known to be a factor in the severity outcome of 100% of crashes.”</w:t>
      </w:r>
      <w:r>
        <w:rPr>
          <w:rStyle w:val="FootnoteReference"/>
          <w:rFonts w:ascii="Arial" w:hAnsi="Arial"/>
        </w:rPr>
        <w:footnoteReference w:id="6"/>
      </w:r>
      <w:r w:rsidR="005E157B">
        <w:rPr>
          <w:rFonts w:ascii="Arial" w:hAnsi="Arial" w:cs="Arial"/>
        </w:rPr>
        <w:t xml:space="preserve"> Safe roads </w:t>
      </w:r>
      <w:r w:rsidR="0051197A">
        <w:rPr>
          <w:rFonts w:ascii="Arial" w:hAnsi="Arial" w:cs="Arial"/>
        </w:rPr>
        <w:t>are</w:t>
      </w:r>
      <w:r w:rsidR="005E157B">
        <w:rPr>
          <w:rFonts w:ascii="Arial" w:hAnsi="Arial" w:cs="Arial"/>
        </w:rPr>
        <w:t xml:space="preserve"> also central to the National Road Safety Strategy and the safe system approach that has been adopted by Commonwealth and state and territory governments. With the right, targeted, road investments there is the real prospect for “a substantial reduction in serious casualties due to run-off-road, head-on and intersection crashes” as a result of improved design and construction of roads.</w:t>
      </w:r>
      <w:r w:rsidR="005E157B">
        <w:rPr>
          <w:rStyle w:val="FootnoteReference"/>
          <w:rFonts w:ascii="Arial" w:hAnsi="Arial"/>
        </w:rPr>
        <w:footnoteReference w:id="7"/>
      </w:r>
    </w:p>
    <w:p w14:paraId="6D132653" w14:textId="77777777" w:rsidR="00217FA9" w:rsidRPr="002F2016" w:rsidRDefault="00217FA9" w:rsidP="00A63158">
      <w:pPr>
        <w:tabs>
          <w:tab w:val="left" w:pos="992"/>
        </w:tabs>
        <w:rPr>
          <w:rFonts w:ascii="Arial" w:hAnsi="Arial" w:cs="Arial"/>
        </w:rPr>
      </w:pPr>
    </w:p>
    <w:p w14:paraId="64AE96A7" w14:textId="59AC1F12" w:rsidR="00A63158" w:rsidRPr="002F2016" w:rsidRDefault="00A63158" w:rsidP="00A63158">
      <w:pPr>
        <w:tabs>
          <w:tab w:val="left" w:pos="992"/>
        </w:tabs>
        <w:rPr>
          <w:rFonts w:ascii="Arial" w:hAnsi="Arial" w:cs="Arial"/>
        </w:rPr>
      </w:pPr>
      <w:r w:rsidRPr="002F2016">
        <w:rPr>
          <w:rFonts w:ascii="Arial" w:hAnsi="Arial" w:cs="Arial"/>
        </w:rPr>
        <w:t xml:space="preserve">The 2017-18 Budget presents a significant opportunity to launch a road investment reform agenda to target spending to improve </w:t>
      </w:r>
      <w:r w:rsidR="00217FA9">
        <w:rPr>
          <w:rFonts w:ascii="Arial" w:hAnsi="Arial" w:cs="Arial"/>
        </w:rPr>
        <w:t xml:space="preserve">the productivity and safety of </w:t>
      </w:r>
      <w:r w:rsidRPr="002F2016">
        <w:rPr>
          <w:rFonts w:ascii="Arial" w:hAnsi="Arial" w:cs="Arial"/>
        </w:rPr>
        <w:t>our roads</w:t>
      </w:r>
      <w:r w:rsidR="000D0774">
        <w:rPr>
          <w:rFonts w:ascii="Arial" w:hAnsi="Arial" w:cs="Arial"/>
        </w:rPr>
        <w:t xml:space="preserve"> better</w:t>
      </w:r>
      <w:r w:rsidRPr="002F2016">
        <w:rPr>
          <w:rFonts w:ascii="Arial" w:hAnsi="Arial" w:cs="Arial"/>
        </w:rPr>
        <w:t>. Better targeting of the Government’s existing commitment to roads spending, to effectively give taxpayers more ‘bang for their buck’, wo</w:t>
      </w:r>
      <w:r w:rsidR="001F661A">
        <w:rPr>
          <w:rFonts w:ascii="Arial" w:hAnsi="Arial" w:cs="Arial"/>
        </w:rPr>
        <w:t>uld maximise the productivity,</w:t>
      </w:r>
      <w:r w:rsidRPr="002F2016">
        <w:rPr>
          <w:rFonts w:ascii="Arial" w:hAnsi="Arial" w:cs="Arial"/>
        </w:rPr>
        <w:t xml:space="preserve"> econo</w:t>
      </w:r>
      <w:r>
        <w:rPr>
          <w:rFonts w:ascii="Arial" w:hAnsi="Arial" w:cs="Arial"/>
        </w:rPr>
        <w:t>mic</w:t>
      </w:r>
      <w:r w:rsidR="001F661A">
        <w:rPr>
          <w:rFonts w:ascii="Arial" w:hAnsi="Arial" w:cs="Arial"/>
        </w:rPr>
        <w:t xml:space="preserve"> and safety benefits of </w:t>
      </w:r>
      <w:r>
        <w:rPr>
          <w:rFonts w:ascii="Arial" w:hAnsi="Arial" w:cs="Arial"/>
        </w:rPr>
        <w:t xml:space="preserve">roads infrastructure </w:t>
      </w:r>
      <w:r w:rsidR="001F661A">
        <w:rPr>
          <w:rFonts w:ascii="Arial" w:hAnsi="Arial" w:cs="Arial"/>
        </w:rPr>
        <w:t xml:space="preserve">investment </w:t>
      </w:r>
      <w:r w:rsidRPr="002F2016">
        <w:rPr>
          <w:rFonts w:ascii="Arial" w:hAnsi="Arial" w:cs="Arial"/>
        </w:rPr>
        <w:t>without slowing the task of Budget repair.</w:t>
      </w:r>
    </w:p>
    <w:p w14:paraId="18D67284" w14:textId="77777777" w:rsidR="00A63158" w:rsidRPr="002F2016" w:rsidRDefault="00A63158" w:rsidP="00A63158">
      <w:pPr>
        <w:tabs>
          <w:tab w:val="left" w:pos="992"/>
        </w:tabs>
        <w:rPr>
          <w:rFonts w:ascii="Arial" w:hAnsi="Arial" w:cs="Arial"/>
        </w:rPr>
      </w:pPr>
    </w:p>
    <w:p w14:paraId="39F04A47" w14:textId="0023715C" w:rsidR="00A63158" w:rsidRDefault="000D0774" w:rsidP="0051197A">
      <w:pPr>
        <w:tabs>
          <w:tab w:val="left" w:pos="992"/>
        </w:tabs>
        <w:rPr>
          <w:rFonts w:ascii="Arial" w:hAnsi="Arial" w:cs="Arial"/>
        </w:rPr>
      </w:pPr>
      <w:r>
        <w:rPr>
          <w:rFonts w:ascii="Arial" w:hAnsi="Arial" w:cs="Arial"/>
        </w:rPr>
        <w:t>Accordingly, t</w:t>
      </w:r>
      <w:r w:rsidR="00A63158" w:rsidRPr="002F2016">
        <w:rPr>
          <w:rFonts w:ascii="Arial" w:hAnsi="Arial" w:cs="Arial"/>
        </w:rPr>
        <w:t xml:space="preserve">he ATA recommends that the Government should </w:t>
      </w:r>
      <w:r w:rsidR="00A63158">
        <w:rPr>
          <w:rFonts w:ascii="Arial" w:hAnsi="Arial" w:cs="Arial"/>
        </w:rPr>
        <w:t xml:space="preserve">move to improve the targeting and independence of road funding decisions. </w:t>
      </w:r>
    </w:p>
    <w:p w14:paraId="525E645A" w14:textId="77777777" w:rsidR="00A63158" w:rsidRDefault="00A63158" w:rsidP="00A63158">
      <w:pPr>
        <w:tabs>
          <w:tab w:val="left" w:pos="992"/>
        </w:tabs>
        <w:rPr>
          <w:rFonts w:ascii="Arial" w:hAnsi="Arial" w:cs="Arial"/>
        </w:rPr>
      </w:pPr>
    </w:p>
    <w:p w14:paraId="0A3CB361" w14:textId="3C33CACC" w:rsidR="00A63158" w:rsidRDefault="00A63158" w:rsidP="00A63158">
      <w:pPr>
        <w:tabs>
          <w:tab w:val="left" w:pos="992"/>
        </w:tabs>
        <w:rPr>
          <w:rFonts w:ascii="Arial" w:hAnsi="Arial" w:cs="Arial"/>
        </w:rPr>
      </w:pPr>
      <w:r>
        <w:rPr>
          <w:rFonts w:ascii="Arial" w:hAnsi="Arial" w:cs="Arial"/>
        </w:rPr>
        <w:t>The Government should commence a proper review and consideration of establishing an independent and hypothecated road fund. This would complement the Government</w:t>
      </w:r>
      <w:r w:rsidR="00975C45">
        <w:rPr>
          <w:rFonts w:ascii="Arial" w:hAnsi="Arial" w:cs="Arial"/>
        </w:rPr>
        <w:t>’</w:t>
      </w:r>
      <w:r>
        <w:rPr>
          <w:rFonts w:ascii="Arial" w:hAnsi="Arial" w:cs="Arial"/>
        </w:rPr>
        <w:t>s existing agenda to progress heavy vehicle charges reform and to consider the impacts of road user charges for light vehicles.</w:t>
      </w:r>
    </w:p>
    <w:p w14:paraId="55BA4C2E" w14:textId="77777777" w:rsidR="00A63158" w:rsidRDefault="00A63158" w:rsidP="00A63158">
      <w:pPr>
        <w:tabs>
          <w:tab w:val="left" w:pos="992"/>
        </w:tabs>
        <w:rPr>
          <w:rFonts w:ascii="Arial" w:hAnsi="Arial" w:cs="Arial"/>
        </w:rPr>
      </w:pPr>
    </w:p>
    <w:p w14:paraId="67096689" w14:textId="7455124F" w:rsidR="00A63158" w:rsidRDefault="00A63158" w:rsidP="00A63158">
      <w:pPr>
        <w:tabs>
          <w:tab w:val="left" w:pos="992"/>
        </w:tabs>
        <w:rPr>
          <w:rFonts w:ascii="Arial" w:hAnsi="Arial" w:cs="Arial"/>
        </w:rPr>
      </w:pPr>
      <w:r>
        <w:rPr>
          <w:rFonts w:ascii="Arial" w:hAnsi="Arial" w:cs="Arial"/>
        </w:rPr>
        <w:t xml:space="preserve">Presently, the road user charge linkage between revenue and investment is broken. Present road user charges, as collected from fuel excise and vehicle registrations, are not linked with reinvestment back into the road network. </w:t>
      </w:r>
    </w:p>
    <w:p w14:paraId="6EAF9033" w14:textId="77777777" w:rsidR="00A63158" w:rsidRDefault="00A63158" w:rsidP="00A63158">
      <w:pPr>
        <w:tabs>
          <w:tab w:val="left" w:pos="992"/>
        </w:tabs>
        <w:rPr>
          <w:rFonts w:ascii="Arial" w:hAnsi="Arial" w:cs="Arial"/>
        </w:rPr>
      </w:pPr>
    </w:p>
    <w:p w14:paraId="603BED16" w14:textId="44D61F84" w:rsidR="00A63158" w:rsidRDefault="000D0774" w:rsidP="00A63158">
      <w:pPr>
        <w:tabs>
          <w:tab w:val="left" w:pos="992"/>
        </w:tabs>
        <w:rPr>
          <w:rFonts w:ascii="Arial" w:hAnsi="Arial" w:cs="Arial"/>
        </w:rPr>
      </w:pPr>
      <w:r>
        <w:rPr>
          <w:rFonts w:ascii="Arial" w:hAnsi="Arial" w:cs="Arial"/>
        </w:rPr>
        <w:t xml:space="preserve">The establishment of </w:t>
      </w:r>
      <w:r w:rsidR="00A63158">
        <w:rPr>
          <w:rFonts w:ascii="Arial" w:hAnsi="Arial" w:cs="Arial"/>
        </w:rPr>
        <w:t>independent road fund</w:t>
      </w:r>
      <w:r>
        <w:rPr>
          <w:rFonts w:ascii="Arial" w:hAnsi="Arial" w:cs="Arial"/>
        </w:rPr>
        <w:t>s</w:t>
      </w:r>
      <w:r w:rsidR="00A63158">
        <w:rPr>
          <w:rFonts w:ascii="Arial" w:hAnsi="Arial" w:cs="Arial"/>
        </w:rPr>
        <w:t xml:space="preserve"> would allow the Government to set a national agenda for road investment – and then allow for a transparent, effective targeting of funding. It would support the Government’s commitment to investing in productive infrastructure that boosts economic activity – with a vigorous process to identify the best projects. It would support the Government</w:t>
      </w:r>
      <w:r>
        <w:rPr>
          <w:rFonts w:ascii="Arial" w:hAnsi="Arial" w:cs="Arial"/>
        </w:rPr>
        <w:t>’</w:t>
      </w:r>
      <w:r w:rsidR="00A63158">
        <w:rPr>
          <w:rFonts w:ascii="Arial" w:hAnsi="Arial" w:cs="Arial"/>
        </w:rPr>
        <w:t xml:space="preserve">s national economic plan, without slowing the task of Budget repair. </w:t>
      </w:r>
    </w:p>
    <w:p w14:paraId="770F71B8" w14:textId="77777777" w:rsidR="00A63158" w:rsidRPr="002F2016" w:rsidRDefault="00A63158" w:rsidP="00A63158">
      <w:pPr>
        <w:tabs>
          <w:tab w:val="left" w:pos="992"/>
        </w:tabs>
        <w:rPr>
          <w:rFonts w:ascii="Arial" w:hAnsi="Arial" w:cs="Arial"/>
        </w:rPr>
      </w:pPr>
    </w:p>
    <w:p w14:paraId="1E14FB8D" w14:textId="4E712937" w:rsidR="00A63158" w:rsidRPr="002F2016" w:rsidRDefault="00A63158" w:rsidP="00A63158">
      <w:pPr>
        <w:tabs>
          <w:tab w:val="left" w:pos="992"/>
        </w:tabs>
        <w:rPr>
          <w:rFonts w:ascii="Arial" w:hAnsi="Arial" w:cs="Arial"/>
        </w:rPr>
      </w:pPr>
      <w:r w:rsidRPr="002F2016">
        <w:rPr>
          <w:rFonts w:ascii="Arial" w:hAnsi="Arial" w:cs="Arial"/>
          <w:b/>
        </w:rPr>
        <w:t>Recommendation</w:t>
      </w:r>
      <w:r w:rsidR="002A329C">
        <w:rPr>
          <w:rFonts w:ascii="Arial" w:hAnsi="Arial" w:cs="Arial"/>
          <w:b/>
        </w:rPr>
        <w:t xml:space="preserve"> 1</w:t>
      </w:r>
    </w:p>
    <w:p w14:paraId="26032006" w14:textId="77777777" w:rsidR="00A63158" w:rsidRPr="002F2016" w:rsidRDefault="00A63158" w:rsidP="00A63158">
      <w:pPr>
        <w:tabs>
          <w:tab w:val="left" w:pos="992"/>
        </w:tabs>
        <w:rPr>
          <w:rFonts w:ascii="Arial" w:hAnsi="Arial" w:cs="Arial"/>
        </w:rPr>
      </w:pPr>
      <w:r w:rsidRPr="002F2016">
        <w:rPr>
          <w:rFonts w:ascii="Arial" w:hAnsi="Arial" w:cs="Arial"/>
        </w:rPr>
        <w:t xml:space="preserve">The Government should </w:t>
      </w:r>
      <w:r>
        <w:rPr>
          <w:rFonts w:ascii="Arial" w:hAnsi="Arial" w:cs="Arial"/>
        </w:rPr>
        <w:t>commence a proper review and consideration of establishing an independent and hypothecated road fund, to improve the effective targeting of building productive road infrastructure</w:t>
      </w:r>
      <w:r w:rsidRPr="002F2016">
        <w:rPr>
          <w:rFonts w:ascii="Arial" w:hAnsi="Arial" w:cs="Arial"/>
        </w:rPr>
        <w:t>.</w:t>
      </w:r>
    </w:p>
    <w:p w14:paraId="2DB41111" w14:textId="77777777" w:rsidR="0053694B" w:rsidRDefault="0053694B" w:rsidP="00A63158">
      <w:pPr>
        <w:pStyle w:val="NoSpacing"/>
        <w:rPr>
          <w:rFonts w:eastAsia="Calibri"/>
          <w:color w:val="auto"/>
          <w:sz w:val="22"/>
          <w:szCs w:val="22"/>
          <w:lang w:eastAsia="en-US"/>
        </w:rPr>
      </w:pPr>
    </w:p>
    <w:p w14:paraId="6CF51DBC" w14:textId="77777777" w:rsidR="005D3BC8" w:rsidRDefault="005D3BC8" w:rsidP="00A63158">
      <w:pPr>
        <w:pStyle w:val="NoSpacing"/>
        <w:rPr>
          <w:rFonts w:eastAsia="Calibri"/>
          <w:color w:val="auto"/>
          <w:sz w:val="22"/>
          <w:szCs w:val="22"/>
          <w:lang w:eastAsia="en-US"/>
        </w:rPr>
      </w:pPr>
    </w:p>
    <w:p w14:paraId="7AF2A6C5" w14:textId="08D8BDD0" w:rsidR="00A63158" w:rsidRPr="00A63158" w:rsidRDefault="00A63158" w:rsidP="00CB30A4">
      <w:pPr>
        <w:pStyle w:val="Heading1"/>
        <w:ind w:left="357" w:hanging="357"/>
        <w:rPr>
          <w:sz w:val="24"/>
          <w:szCs w:val="24"/>
        </w:rPr>
      </w:pPr>
      <w:bookmarkStart w:id="5" w:name="_Toc473286312"/>
      <w:r>
        <w:rPr>
          <w:sz w:val="24"/>
          <w:szCs w:val="24"/>
        </w:rPr>
        <w:t xml:space="preserve">Maintaining </w:t>
      </w:r>
      <w:r w:rsidR="00975C45">
        <w:rPr>
          <w:sz w:val="24"/>
          <w:szCs w:val="24"/>
        </w:rPr>
        <w:t xml:space="preserve">and enhancing </w:t>
      </w:r>
      <w:r>
        <w:rPr>
          <w:sz w:val="24"/>
          <w:szCs w:val="24"/>
        </w:rPr>
        <w:t>existing safety funding</w:t>
      </w:r>
      <w:bookmarkEnd w:id="5"/>
    </w:p>
    <w:p w14:paraId="1ECE3206" w14:textId="77777777" w:rsidR="00A63158" w:rsidRDefault="00A63158" w:rsidP="006500E6">
      <w:pPr>
        <w:pStyle w:val="NoSpacing"/>
        <w:rPr>
          <w:rFonts w:eastAsia="Calibri"/>
          <w:color w:val="auto"/>
          <w:sz w:val="22"/>
          <w:szCs w:val="22"/>
          <w:lang w:eastAsia="en-US"/>
        </w:rPr>
      </w:pPr>
    </w:p>
    <w:p w14:paraId="6761E0A7" w14:textId="6583F4FA" w:rsidR="00A63158" w:rsidRDefault="0051197A"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I</w:t>
      </w:r>
      <w:r w:rsidR="00676023">
        <w:rPr>
          <w:rFonts w:ascii="Arial" w:eastAsia="Calibri" w:hAnsi="Arial" w:cs="Arial"/>
          <w:color w:val="auto"/>
          <w:sz w:val="22"/>
          <w:szCs w:val="22"/>
          <w:lang w:eastAsia="en-US"/>
        </w:rPr>
        <w:t>nvestment in building and maintaining better roads is a critical component in improving road safety. The Australian Government fund</w:t>
      </w:r>
      <w:r w:rsidR="0053694B">
        <w:rPr>
          <w:rFonts w:ascii="Arial" w:eastAsia="Calibri" w:hAnsi="Arial" w:cs="Arial"/>
          <w:color w:val="auto"/>
          <w:sz w:val="22"/>
          <w:szCs w:val="22"/>
          <w:lang w:eastAsia="en-US"/>
        </w:rPr>
        <w:t>s</w:t>
      </w:r>
      <w:r w:rsidR="00676023">
        <w:rPr>
          <w:rFonts w:ascii="Arial" w:eastAsia="Calibri" w:hAnsi="Arial" w:cs="Arial"/>
          <w:color w:val="auto"/>
          <w:sz w:val="22"/>
          <w:szCs w:val="22"/>
          <w:lang w:eastAsia="en-US"/>
        </w:rPr>
        <w:t xml:space="preserve"> important programs that contribute to improved roads and enhanced outcomes for productivity and safety.</w:t>
      </w:r>
    </w:p>
    <w:p w14:paraId="5F5CFA47" w14:textId="77777777" w:rsidR="00676023" w:rsidRDefault="00676023" w:rsidP="006500E6">
      <w:pPr>
        <w:pStyle w:val="NoSpacing"/>
        <w:rPr>
          <w:rFonts w:ascii="Arial" w:eastAsia="Calibri" w:hAnsi="Arial" w:cs="Arial"/>
          <w:color w:val="auto"/>
          <w:sz w:val="22"/>
          <w:szCs w:val="22"/>
          <w:lang w:eastAsia="en-US"/>
        </w:rPr>
      </w:pPr>
    </w:p>
    <w:p w14:paraId="2FE166CB" w14:textId="655F8E8C" w:rsidR="00676023" w:rsidRDefault="00686678"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Current investment programs for improved safety are investing in critical road upgrades. These include Roads to Recovery, the Black Spot Program, the Heavy Vehicle Safety and Productivity Program, and the Bridges Renewal Program. </w:t>
      </w:r>
    </w:p>
    <w:p w14:paraId="6E8A426D" w14:textId="77777777" w:rsidR="00490939" w:rsidRDefault="00490939" w:rsidP="006500E6">
      <w:pPr>
        <w:pStyle w:val="NoSpacing"/>
        <w:rPr>
          <w:rFonts w:ascii="Arial" w:eastAsia="Calibri" w:hAnsi="Arial" w:cs="Arial"/>
          <w:color w:val="auto"/>
          <w:sz w:val="22"/>
          <w:szCs w:val="22"/>
          <w:lang w:eastAsia="en-US"/>
        </w:rPr>
      </w:pPr>
    </w:p>
    <w:p w14:paraId="492346CF" w14:textId="1D5922AF" w:rsidR="00490939" w:rsidRDefault="00490939"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It is critical that funding for these programs is not reduced. It would be a false economy t</w:t>
      </w:r>
      <w:r w:rsidR="00163EDD">
        <w:rPr>
          <w:rFonts w:ascii="Arial" w:eastAsia="Calibri" w:hAnsi="Arial" w:cs="Arial"/>
          <w:color w:val="auto"/>
          <w:sz w:val="22"/>
          <w:szCs w:val="22"/>
          <w:lang w:eastAsia="en-US"/>
        </w:rPr>
        <w:t xml:space="preserve">o reduce these existing </w:t>
      </w:r>
      <w:r>
        <w:rPr>
          <w:rFonts w:ascii="Arial" w:eastAsia="Calibri" w:hAnsi="Arial" w:cs="Arial"/>
          <w:color w:val="auto"/>
          <w:sz w:val="22"/>
          <w:szCs w:val="22"/>
          <w:lang w:eastAsia="en-US"/>
        </w:rPr>
        <w:t xml:space="preserve">programs and to effectively reduce the safety and productivity benefits that they deliver. The focus of Budget repair with regard to road investment needs to be on effective targeting of the existing road investment. </w:t>
      </w:r>
    </w:p>
    <w:p w14:paraId="7DDBB916" w14:textId="77777777" w:rsidR="00490939" w:rsidRDefault="00490939" w:rsidP="006500E6">
      <w:pPr>
        <w:pStyle w:val="NoSpacing"/>
        <w:rPr>
          <w:rFonts w:ascii="Arial" w:eastAsia="Calibri" w:hAnsi="Arial" w:cs="Arial"/>
          <w:color w:val="auto"/>
          <w:sz w:val="22"/>
          <w:szCs w:val="22"/>
          <w:lang w:eastAsia="en-US"/>
        </w:rPr>
      </w:pPr>
    </w:p>
    <w:p w14:paraId="6C7240B3" w14:textId="1F167E73" w:rsidR="00490939" w:rsidRDefault="00490939"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Maintaining these programs should include funding </w:t>
      </w:r>
      <w:r w:rsidR="000D0774">
        <w:rPr>
          <w:rFonts w:ascii="Arial" w:eastAsia="Calibri" w:hAnsi="Arial" w:cs="Arial"/>
          <w:color w:val="auto"/>
          <w:sz w:val="22"/>
          <w:szCs w:val="22"/>
          <w:lang w:eastAsia="en-US"/>
        </w:rPr>
        <w:t>from 2019-20, in line with Coalition’s election commitments.</w:t>
      </w:r>
      <w:r w:rsidR="000D0774">
        <w:rPr>
          <w:rStyle w:val="FootnoteReference"/>
          <w:rFonts w:ascii="Arial" w:eastAsia="Calibri" w:hAnsi="Arial"/>
          <w:color w:val="auto"/>
          <w:sz w:val="22"/>
          <w:szCs w:val="22"/>
          <w:lang w:eastAsia="en-US"/>
        </w:rPr>
        <w:footnoteReference w:id="8"/>
      </w:r>
    </w:p>
    <w:p w14:paraId="6DE0BFFF" w14:textId="77777777" w:rsidR="00163EDD" w:rsidRDefault="00163EDD" w:rsidP="006500E6">
      <w:pPr>
        <w:pStyle w:val="NoSpacing"/>
        <w:rPr>
          <w:rFonts w:ascii="Arial" w:eastAsia="Calibri" w:hAnsi="Arial" w:cs="Arial"/>
          <w:color w:val="auto"/>
          <w:sz w:val="22"/>
          <w:szCs w:val="22"/>
          <w:lang w:eastAsia="en-US"/>
        </w:rPr>
      </w:pPr>
    </w:p>
    <w:p w14:paraId="10D42E3A" w14:textId="77777777" w:rsidR="00534425" w:rsidRDefault="00651AE2"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The Government h</w:t>
      </w:r>
      <w:r w:rsidR="008D4A41">
        <w:rPr>
          <w:rFonts w:ascii="Arial" w:eastAsia="Calibri" w:hAnsi="Arial" w:cs="Arial"/>
          <w:color w:val="auto"/>
          <w:sz w:val="22"/>
          <w:szCs w:val="22"/>
          <w:lang w:eastAsia="en-US"/>
        </w:rPr>
        <w:t>as also committed to redirect</w:t>
      </w:r>
      <w:r>
        <w:rPr>
          <w:rFonts w:ascii="Arial" w:eastAsia="Calibri" w:hAnsi="Arial" w:cs="Arial"/>
          <w:color w:val="auto"/>
          <w:sz w:val="22"/>
          <w:szCs w:val="22"/>
          <w:lang w:eastAsia="en-US"/>
        </w:rPr>
        <w:t xml:space="preserve"> funding from the abolished Road Safety Remuneration Tribunal (RSR</w:t>
      </w:r>
      <w:r w:rsidR="008D4A41">
        <w:rPr>
          <w:rFonts w:ascii="Arial" w:eastAsia="Calibri" w:hAnsi="Arial" w:cs="Arial"/>
          <w:color w:val="auto"/>
          <w:sz w:val="22"/>
          <w:szCs w:val="22"/>
          <w:lang w:eastAsia="en-US"/>
        </w:rPr>
        <w:t xml:space="preserve">T) to practical safety measures, with </w:t>
      </w:r>
      <w:r w:rsidR="00534425">
        <w:rPr>
          <w:rFonts w:ascii="Arial" w:eastAsia="Calibri" w:hAnsi="Arial" w:cs="Arial"/>
          <w:color w:val="auto"/>
          <w:sz w:val="22"/>
          <w:szCs w:val="22"/>
          <w:lang w:eastAsia="en-US"/>
        </w:rPr>
        <w:t>$3.9 million per year allocated to the Department of Infrastructure and Regional Development over the period 2016-17 to 2019-20.</w:t>
      </w:r>
    </w:p>
    <w:p w14:paraId="4C72C85C" w14:textId="77777777" w:rsidR="00534425" w:rsidRDefault="00534425" w:rsidP="006500E6">
      <w:pPr>
        <w:pStyle w:val="NoSpacing"/>
        <w:rPr>
          <w:rFonts w:ascii="Arial" w:eastAsia="Calibri" w:hAnsi="Arial" w:cs="Arial"/>
          <w:color w:val="auto"/>
          <w:sz w:val="22"/>
          <w:szCs w:val="22"/>
          <w:lang w:eastAsia="en-US"/>
        </w:rPr>
      </w:pPr>
    </w:p>
    <w:p w14:paraId="0CADDB79" w14:textId="7AE57BB9" w:rsidR="002A329C" w:rsidRDefault="00534425"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T</w:t>
      </w:r>
      <w:r w:rsidR="00651AE2">
        <w:rPr>
          <w:rFonts w:ascii="Arial" w:eastAsia="Calibri" w:hAnsi="Arial" w:cs="Arial"/>
          <w:color w:val="auto"/>
          <w:sz w:val="22"/>
          <w:szCs w:val="22"/>
          <w:lang w:eastAsia="en-US"/>
        </w:rPr>
        <w:t xml:space="preserve">his commitment should continue to be delivered in the 2017-18 Budget. </w:t>
      </w:r>
    </w:p>
    <w:p w14:paraId="3EE4F390" w14:textId="77777777" w:rsidR="002A329C" w:rsidRDefault="002A329C" w:rsidP="006500E6">
      <w:pPr>
        <w:pStyle w:val="NoSpacing"/>
        <w:rPr>
          <w:rFonts w:ascii="Arial" w:eastAsia="Calibri" w:hAnsi="Arial" w:cs="Arial"/>
          <w:color w:val="auto"/>
          <w:sz w:val="22"/>
          <w:szCs w:val="22"/>
          <w:lang w:eastAsia="en-US"/>
        </w:rPr>
      </w:pPr>
    </w:p>
    <w:p w14:paraId="50C8542E" w14:textId="7FFD882C" w:rsidR="00534425" w:rsidRDefault="00534425"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The Government’s current focus is to direct this funding to the National</w:t>
      </w:r>
      <w:r w:rsidR="000D0774">
        <w:rPr>
          <w:rFonts w:ascii="Arial" w:eastAsia="Calibri" w:hAnsi="Arial" w:cs="Arial"/>
          <w:color w:val="auto"/>
          <w:sz w:val="22"/>
          <w:szCs w:val="22"/>
          <w:lang w:eastAsia="en-US"/>
        </w:rPr>
        <w:t xml:space="preserve"> Heavy Vehicle Regulator (NHVR),</w:t>
      </w:r>
      <w:r>
        <w:rPr>
          <w:rFonts w:ascii="Arial" w:eastAsia="Calibri" w:hAnsi="Arial" w:cs="Arial"/>
          <w:color w:val="auto"/>
          <w:sz w:val="22"/>
          <w:szCs w:val="22"/>
          <w:lang w:eastAsia="en-US"/>
        </w:rPr>
        <w:t xml:space="preserve"> </w:t>
      </w:r>
      <w:r w:rsidR="000D0774">
        <w:rPr>
          <w:rFonts w:ascii="Arial" w:eastAsia="Calibri" w:hAnsi="Arial" w:cs="Arial"/>
          <w:color w:val="auto"/>
          <w:sz w:val="22"/>
          <w:szCs w:val="22"/>
          <w:lang w:eastAsia="en-US"/>
        </w:rPr>
        <w:t>but t</w:t>
      </w:r>
      <w:r>
        <w:rPr>
          <w:rFonts w:ascii="Arial" w:eastAsia="Calibri" w:hAnsi="Arial" w:cs="Arial"/>
          <w:color w:val="auto"/>
          <w:sz w:val="22"/>
          <w:szCs w:val="22"/>
          <w:lang w:eastAsia="en-US"/>
        </w:rPr>
        <w:t>he NHVR is not responsible for heavy vehicle regulation in Western Australia and the Northern Territory. From 2017-18, an appropriate share of the safety funding allocated under this measure should go to these jurisdictions.</w:t>
      </w:r>
    </w:p>
    <w:p w14:paraId="7982F85D" w14:textId="77777777" w:rsidR="00534425" w:rsidRDefault="00534425" w:rsidP="006500E6">
      <w:pPr>
        <w:pStyle w:val="NoSpacing"/>
        <w:rPr>
          <w:rFonts w:ascii="Arial" w:eastAsia="Calibri" w:hAnsi="Arial" w:cs="Arial"/>
          <w:color w:val="auto"/>
          <w:sz w:val="22"/>
          <w:szCs w:val="22"/>
          <w:lang w:eastAsia="en-US"/>
        </w:rPr>
      </w:pPr>
    </w:p>
    <w:p w14:paraId="1165504E" w14:textId="15B56421" w:rsidR="005D3BC8" w:rsidRDefault="0051197A"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In addition, the </w:t>
      </w:r>
      <w:r w:rsidR="00534425">
        <w:rPr>
          <w:rFonts w:ascii="Arial" w:eastAsia="Calibri" w:hAnsi="Arial" w:cs="Arial"/>
          <w:color w:val="auto"/>
          <w:sz w:val="22"/>
          <w:szCs w:val="22"/>
          <w:lang w:eastAsia="en-US"/>
        </w:rPr>
        <w:t xml:space="preserve">ATA considers that a portion of the </w:t>
      </w:r>
      <w:r>
        <w:rPr>
          <w:rFonts w:ascii="Arial" w:eastAsia="Calibri" w:hAnsi="Arial" w:cs="Arial"/>
          <w:color w:val="auto"/>
          <w:sz w:val="22"/>
          <w:szCs w:val="22"/>
          <w:lang w:eastAsia="en-US"/>
        </w:rPr>
        <w:t xml:space="preserve">funding should be used to deliver a </w:t>
      </w:r>
      <w:r w:rsidR="00534425">
        <w:rPr>
          <w:rFonts w:ascii="Arial" w:eastAsia="Calibri" w:hAnsi="Arial" w:cs="Arial"/>
          <w:color w:val="auto"/>
          <w:sz w:val="22"/>
          <w:szCs w:val="22"/>
          <w:lang w:eastAsia="en-US"/>
        </w:rPr>
        <w:t xml:space="preserve">national </w:t>
      </w:r>
      <w:r>
        <w:rPr>
          <w:rFonts w:ascii="Arial" w:eastAsia="Calibri" w:hAnsi="Arial" w:cs="Arial"/>
          <w:color w:val="auto"/>
          <w:sz w:val="22"/>
          <w:szCs w:val="22"/>
          <w:lang w:eastAsia="en-US"/>
        </w:rPr>
        <w:t xml:space="preserve">communication program about how road users can share the road safely with trucks. </w:t>
      </w:r>
      <w:r w:rsidR="005D3BC8" w:rsidRPr="005D3BC8">
        <w:rPr>
          <w:rFonts w:ascii="Arial" w:eastAsia="Calibri" w:hAnsi="Arial" w:cs="Arial"/>
          <w:color w:val="auto"/>
          <w:sz w:val="22"/>
          <w:szCs w:val="22"/>
          <w:lang w:eastAsia="en-US"/>
        </w:rPr>
        <w:t xml:space="preserve">In its 2015 major accident investigation report, Australia’s leading truck insurer, NTI, </w:t>
      </w:r>
      <w:r w:rsidR="00534425">
        <w:rPr>
          <w:rFonts w:ascii="Arial" w:eastAsia="Calibri" w:hAnsi="Arial" w:cs="Arial"/>
          <w:color w:val="auto"/>
          <w:sz w:val="22"/>
          <w:szCs w:val="22"/>
          <w:lang w:eastAsia="en-US"/>
        </w:rPr>
        <w:t xml:space="preserve">concluded </w:t>
      </w:r>
      <w:r w:rsidR="005D3BC8" w:rsidRPr="005D3BC8">
        <w:rPr>
          <w:rFonts w:ascii="Arial" w:eastAsia="Calibri" w:hAnsi="Arial" w:cs="Arial"/>
          <w:color w:val="auto"/>
          <w:sz w:val="22"/>
          <w:szCs w:val="22"/>
          <w:lang w:eastAsia="en-US"/>
        </w:rPr>
        <w:t>that other vehicle</w:t>
      </w:r>
      <w:r w:rsidR="00534425">
        <w:rPr>
          <w:rFonts w:ascii="Arial" w:eastAsia="Calibri" w:hAnsi="Arial" w:cs="Arial"/>
          <w:color w:val="auto"/>
          <w:sz w:val="22"/>
          <w:szCs w:val="22"/>
          <w:lang w:eastAsia="en-US"/>
        </w:rPr>
        <w:t>s</w:t>
      </w:r>
      <w:r w:rsidR="005D3BC8" w:rsidRPr="005D3BC8">
        <w:rPr>
          <w:rFonts w:ascii="Arial" w:eastAsia="Calibri" w:hAnsi="Arial" w:cs="Arial"/>
          <w:color w:val="auto"/>
          <w:sz w:val="22"/>
          <w:szCs w:val="22"/>
          <w:lang w:eastAsia="en-US"/>
        </w:rPr>
        <w:t xml:space="preserve"> </w:t>
      </w:r>
      <w:r w:rsidR="00534425">
        <w:rPr>
          <w:rFonts w:ascii="Arial" w:eastAsia="Calibri" w:hAnsi="Arial" w:cs="Arial"/>
          <w:color w:val="auto"/>
          <w:sz w:val="22"/>
          <w:szCs w:val="22"/>
          <w:lang w:eastAsia="en-US"/>
        </w:rPr>
        <w:t xml:space="preserve">were </w:t>
      </w:r>
      <w:r w:rsidR="005D3BC8" w:rsidRPr="005D3BC8">
        <w:rPr>
          <w:rFonts w:ascii="Arial" w:eastAsia="Calibri" w:hAnsi="Arial" w:cs="Arial"/>
          <w:color w:val="auto"/>
          <w:sz w:val="22"/>
          <w:szCs w:val="22"/>
          <w:lang w:eastAsia="en-US"/>
        </w:rPr>
        <w:t xml:space="preserve">at fault in 84 per cent of the fatal multi-vehicle accidents </w:t>
      </w:r>
      <w:r w:rsidR="000D0774">
        <w:rPr>
          <w:rFonts w:ascii="Arial" w:eastAsia="Calibri" w:hAnsi="Arial" w:cs="Arial"/>
          <w:color w:val="auto"/>
          <w:sz w:val="22"/>
          <w:szCs w:val="22"/>
          <w:lang w:eastAsia="en-US"/>
        </w:rPr>
        <w:t>in its sample</w:t>
      </w:r>
      <w:r w:rsidR="002A329C" w:rsidRPr="005D3BC8">
        <w:rPr>
          <w:rFonts w:ascii="Arial" w:eastAsia="Calibri" w:hAnsi="Arial" w:cs="Arial"/>
          <w:color w:val="auto"/>
          <w:sz w:val="22"/>
          <w:szCs w:val="22"/>
          <w:lang w:eastAsia="en-US"/>
        </w:rPr>
        <w:t>.</w:t>
      </w:r>
      <w:r w:rsidR="00DC4046">
        <w:rPr>
          <w:rStyle w:val="FootnoteReference"/>
          <w:rFonts w:ascii="Arial" w:eastAsia="Calibri" w:hAnsi="Arial"/>
          <w:color w:val="auto"/>
          <w:sz w:val="22"/>
          <w:szCs w:val="22"/>
          <w:lang w:eastAsia="en-US"/>
        </w:rPr>
        <w:footnoteReference w:id="9"/>
      </w:r>
    </w:p>
    <w:p w14:paraId="36F3DD1F" w14:textId="77777777" w:rsidR="005D3BC8" w:rsidRDefault="005D3BC8" w:rsidP="006500E6">
      <w:pPr>
        <w:pStyle w:val="NoSpacing"/>
        <w:rPr>
          <w:rFonts w:ascii="Arial" w:eastAsia="Calibri" w:hAnsi="Arial" w:cs="Arial"/>
          <w:color w:val="auto"/>
          <w:sz w:val="22"/>
          <w:szCs w:val="22"/>
          <w:lang w:eastAsia="en-US"/>
        </w:rPr>
      </w:pPr>
    </w:p>
    <w:p w14:paraId="25A4AF1F" w14:textId="71FF3314" w:rsidR="00651AE2" w:rsidRDefault="006C2B1A" w:rsidP="006500E6">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The Australian Small Business and Family Enterprise Ombudsman (ASBFEO) recommended in its report on the </w:t>
      </w:r>
      <w:r w:rsidRPr="006C2B1A">
        <w:rPr>
          <w:rFonts w:ascii="Arial" w:eastAsia="Calibri" w:hAnsi="Arial" w:cs="Arial"/>
          <w:color w:val="auto"/>
          <w:sz w:val="22"/>
          <w:szCs w:val="22"/>
          <w:lang w:eastAsia="en-US"/>
        </w:rPr>
        <w:t>effect</w:t>
      </w:r>
      <w:r>
        <w:rPr>
          <w:rFonts w:ascii="Arial" w:eastAsia="Calibri" w:hAnsi="Arial" w:cs="Arial"/>
          <w:color w:val="auto"/>
          <w:sz w:val="22"/>
          <w:szCs w:val="22"/>
          <w:lang w:eastAsia="en-US"/>
        </w:rPr>
        <w:t>s</w:t>
      </w:r>
      <w:r w:rsidRPr="006C2B1A">
        <w:rPr>
          <w:rFonts w:ascii="Arial" w:eastAsia="Calibri" w:hAnsi="Arial" w:cs="Arial"/>
          <w:color w:val="auto"/>
          <w:sz w:val="22"/>
          <w:szCs w:val="22"/>
          <w:lang w:eastAsia="en-US"/>
        </w:rPr>
        <w:t xml:space="preserve"> of the </w:t>
      </w:r>
      <w:r>
        <w:rPr>
          <w:rFonts w:ascii="Arial" w:eastAsia="Calibri" w:hAnsi="Arial" w:cs="Arial"/>
          <w:color w:val="auto"/>
          <w:sz w:val="22"/>
          <w:szCs w:val="22"/>
          <w:lang w:eastAsia="en-US"/>
        </w:rPr>
        <w:t>RSRT payments order that transport ministers and the NHVR should consider such a campaign.</w:t>
      </w:r>
      <w:r>
        <w:rPr>
          <w:rStyle w:val="FootnoteReference"/>
          <w:rFonts w:ascii="Arial" w:eastAsia="Calibri" w:hAnsi="Arial"/>
          <w:color w:val="auto"/>
          <w:sz w:val="22"/>
          <w:szCs w:val="22"/>
          <w:lang w:eastAsia="en-US"/>
        </w:rPr>
        <w:footnoteReference w:id="10"/>
      </w:r>
      <w:r>
        <w:rPr>
          <w:rFonts w:ascii="Arial" w:eastAsia="Calibri" w:hAnsi="Arial" w:cs="Arial"/>
          <w:color w:val="auto"/>
          <w:sz w:val="22"/>
          <w:szCs w:val="22"/>
          <w:lang w:eastAsia="en-US"/>
        </w:rPr>
        <w:t xml:space="preserve"> The Government agreed with the recommendation in-principle in its response.</w:t>
      </w:r>
      <w:r>
        <w:rPr>
          <w:rStyle w:val="FootnoteReference"/>
          <w:rFonts w:ascii="Arial" w:eastAsia="Calibri" w:hAnsi="Arial"/>
          <w:color w:val="auto"/>
          <w:sz w:val="22"/>
          <w:szCs w:val="22"/>
          <w:lang w:eastAsia="en-US"/>
        </w:rPr>
        <w:footnoteReference w:id="11"/>
      </w:r>
      <w:r>
        <w:rPr>
          <w:rFonts w:ascii="Arial" w:eastAsia="Calibri" w:hAnsi="Arial" w:cs="Arial"/>
          <w:color w:val="auto"/>
          <w:sz w:val="22"/>
          <w:szCs w:val="22"/>
          <w:lang w:eastAsia="en-US"/>
        </w:rPr>
        <w:t xml:space="preserve"> It is now time for the Government to deliver on that agreement.</w:t>
      </w:r>
    </w:p>
    <w:p w14:paraId="4B38C9C2" w14:textId="77777777" w:rsidR="005D3BC8" w:rsidRDefault="005D3BC8" w:rsidP="006500E6">
      <w:pPr>
        <w:pStyle w:val="NoSpacing"/>
        <w:rPr>
          <w:rFonts w:ascii="Arial" w:eastAsia="Calibri" w:hAnsi="Arial" w:cs="Arial"/>
          <w:color w:val="auto"/>
          <w:sz w:val="22"/>
          <w:szCs w:val="22"/>
          <w:lang w:eastAsia="en-US"/>
        </w:rPr>
      </w:pPr>
    </w:p>
    <w:p w14:paraId="63246E61" w14:textId="77777777" w:rsidR="005D3BC8" w:rsidRDefault="005D3BC8" w:rsidP="006500E6">
      <w:pPr>
        <w:pStyle w:val="NoSpacing"/>
        <w:rPr>
          <w:rFonts w:ascii="Arial" w:eastAsia="Calibri" w:hAnsi="Arial" w:cs="Arial"/>
          <w:color w:val="auto"/>
          <w:sz w:val="22"/>
          <w:szCs w:val="22"/>
          <w:lang w:eastAsia="en-US"/>
        </w:rPr>
      </w:pPr>
    </w:p>
    <w:p w14:paraId="39DF110D" w14:textId="4B60E157" w:rsidR="00651AE2" w:rsidRDefault="002A329C" w:rsidP="00CB30A4">
      <w:pPr>
        <w:pStyle w:val="NoSpacing"/>
        <w:keepNext/>
        <w:rPr>
          <w:rFonts w:ascii="Arial" w:eastAsia="Calibri" w:hAnsi="Arial" w:cs="Arial"/>
          <w:color w:val="auto"/>
          <w:sz w:val="22"/>
          <w:szCs w:val="22"/>
          <w:lang w:eastAsia="en-US"/>
        </w:rPr>
      </w:pPr>
      <w:r>
        <w:rPr>
          <w:rFonts w:ascii="Arial" w:eastAsia="Calibri" w:hAnsi="Arial" w:cs="Arial"/>
          <w:b/>
          <w:color w:val="auto"/>
          <w:sz w:val="22"/>
          <w:szCs w:val="22"/>
          <w:lang w:eastAsia="en-US"/>
        </w:rPr>
        <w:t>Recommendation 2</w:t>
      </w:r>
    </w:p>
    <w:p w14:paraId="6AA2F688" w14:textId="77777777" w:rsidR="00975C45" w:rsidRDefault="00975C45" w:rsidP="00975C45">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Funding for existing road safety investment programs should be continued in line with the Coalition’s election commitments. </w:t>
      </w:r>
    </w:p>
    <w:p w14:paraId="32EE8345" w14:textId="77777777" w:rsidR="00651AE2" w:rsidRDefault="00651AE2" w:rsidP="006500E6">
      <w:pPr>
        <w:pStyle w:val="NoSpacing"/>
        <w:rPr>
          <w:rFonts w:ascii="Arial" w:eastAsia="Calibri" w:hAnsi="Arial" w:cs="Arial"/>
          <w:color w:val="auto"/>
          <w:sz w:val="22"/>
          <w:szCs w:val="22"/>
          <w:lang w:eastAsia="en-US"/>
        </w:rPr>
      </w:pPr>
    </w:p>
    <w:p w14:paraId="6B9742DD" w14:textId="61EEA9DB" w:rsidR="0051197A" w:rsidRDefault="002A329C" w:rsidP="0051197A">
      <w:pPr>
        <w:pStyle w:val="NoSpacing"/>
        <w:rPr>
          <w:rFonts w:ascii="Arial" w:eastAsia="Calibri" w:hAnsi="Arial" w:cs="Arial"/>
          <w:color w:val="auto"/>
          <w:sz w:val="22"/>
          <w:szCs w:val="22"/>
          <w:lang w:eastAsia="en-US"/>
        </w:rPr>
      </w:pPr>
      <w:r>
        <w:rPr>
          <w:rFonts w:ascii="Arial" w:eastAsia="Calibri" w:hAnsi="Arial" w:cs="Arial"/>
          <w:b/>
          <w:color w:val="auto"/>
          <w:sz w:val="22"/>
          <w:szCs w:val="22"/>
          <w:lang w:eastAsia="en-US"/>
        </w:rPr>
        <w:t>Recommendation 3</w:t>
      </w:r>
    </w:p>
    <w:p w14:paraId="24ED13FE" w14:textId="3EC26C6E" w:rsidR="0051197A" w:rsidRPr="00651AE2" w:rsidRDefault="0051197A" w:rsidP="0051197A">
      <w:pPr>
        <w:pStyle w:val="NoSpacing"/>
        <w:rPr>
          <w:rFonts w:ascii="Arial" w:eastAsia="Calibri" w:hAnsi="Arial" w:cs="Arial"/>
          <w:color w:val="auto"/>
          <w:sz w:val="22"/>
          <w:szCs w:val="22"/>
          <w:lang w:eastAsia="en-US"/>
        </w:rPr>
      </w:pPr>
      <w:r>
        <w:rPr>
          <w:rFonts w:ascii="Arial" w:eastAsia="Calibri" w:hAnsi="Arial" w:cs="Arial"/>
          <w:color w:val="auto"/>
          <w:sz w:val="22"/>
          <w:szCs w:val="22"/>
          <w:lang w:eastAsia="en-US"/>
        </w:rPr>
        <w:t>The redirection of funding from the abolished RSRT to practical safety measures should be contin</w:t>
      </w:r>
      <w:r w:rsidR="00527F99">
        <w:rPr>
          <w:rFonts w:ascii="Arial" w:eastAsia="Calibri" w:hAnsi="Arial" w:cs="Arial"/>
          <w:color w:val="auto"/>
          <w:sz w:val="22"/>
          <w:szCs w:val="22"/>
          <w:lang w:eastAsia="en-US"/>
        </w:rPr>
        <w:t>ued, with funding for NT and WA</w:t>
      </w:r>
      <w:r>
        <w:rPr>
          <w:rFonts w:ascii="Arial" w:eastAsia="Calibri" w:hAnsi="Arial" w:cs="Arial"/>
          <w:color w:val="auto"/>
          <w:sz w:val="22"/>
          <w:szCs w:val="22"/>
          <w:lang w:eastAsia="en-US"/>
        </w:rPr>
        <w:t xml:space="preserve"> and a </w:t>
      </w:r>
      <w:r w:rsidR="00C43034">
        <w:rPr>
          <w:rFonts w:ascii="Arial" w:eastAsia="Calibri" w:hAnsi="Arial" w:cs="Arial"/>
          <w:color w:val="auto"/>
          <w:sz w:val="22"/>
          <w:szCs w:val="22"/>
          <w:lang w:eastAsia="en-US"/>
        </w:rPr>
        <w:t>‘</w:t>
      </w:r>
      <w:r>
        <w:rPr>
          <w:rFonts w:ascii="Arial" w:eastAsia="Calibri" w:hAnsi="Arial" w:cs="Arial"/>
          <w:color w:val="auto"/>
          <w:sz w:val="22"/>
          <w:szCs w:val="22"/>
          <w:lang w:eastAsia="en-US"/>
        </w:rPr>
        <w:t>share the road safely</w:t>
      </w:r>
      <w:r w:rsidR="00C43034">
        <w:rPr>
          <w:rFonts w:ascii="Arial" w:eastAsia="Calibri" w:hAnsi="Arial" w:cs="Arial"/>
          <w:color w:val="auto"/>
          <w:sz w:val="22"/>
          <w:szCs w:val="22"/>
          <w:lang w:eastAsia="en-US"/>
        </w:rPr>
        <w:t>’</w:t>
      </w:r>
      <w:r>
        <w:rPr>
          <w:rFonts w:ascii="Arial" w:eastAsia="Calibri" w:hAnsi="Arial" w:cs="Arial"/>
          <w:color w:val="auto"/>
          <w:sz w:val="22"/>
          <w:szCs w:val="22"/>
          <w:lang w:eastAsia="en-US"/>
        </w:rPr>
        <w:t xml:space="preserve"> cam</w:t>
      </w:r>
      <w:r w:rsidR="00527F99">
        <w:rPr>
          <w:rFonts w:ascii="Arial" w:eastAsia="Calibri" w:hAnsi="Arial" w:cs="Arial"/>
          <w:color w:val="auto"/>
          <w:sz w:val="22"/>
          <w:szCs w:val="22"/>
          <w:lang w:eastAsia="en-US"/>
        </w:rPr>
        <w:t>paign introduced from 2017-18.</w:t>
      </w:r>
    </w:p>
    <w:p w14:paraId="5A1AF74A" w14:textId="77777777" w:rsidR="00686678" w:rsidRDefault="00686678" w:rsidP="006500E6">
      <w:pPr>
        <w:pStyle w:val="NoSpacing"/>
        <w:rPr>
          <w:rFonts w:ascii="Arial" w:eastAsia="Calibri" w:hAnsi="Arial" w:cs="Arial"/>
          <w:color w:val="auto"/>
          <w:sz w:val="22"/>
          <w:szCs w:val="22"/>
          <w:lang w:eastAsia="en-US"/>
        </w:rPr>
      </w:pPr>
    </w:p>
    <w:p w14:paraId="07AB6931" w14:textId="77777777" w:rsidR="005D3BC8" w:rsidRPr="00A63158" w:rsidRDefault="005D3BC8" w:rsidP="006500E6">
      <w:pPr>
        <w:pStyle w:val="NoSpacing"/>
        <w:rPr>
          <w:rFonts w:ascii="Arial" w:eastAsia="Calibri" w:hAnsi="Arial" w:cs="Arial"/>
          <w:color w:val="auto"/>
          <w:sz w:val="22"/>
          <w:szCs w:val="22"/>
          <w:lang w:eastAsia="en-US"/>
        </w:rPr>
      </w:pPr>
    </w:p>
    <w:p w14:paraId="6BBD4BCE" w14:textId="26796DD0" w:rsidR="001E023F" w:rsidRPr="001E023F" w:rsidRDefault="0051197A" w:rsidP="00CB30A4">
      <w:pPr>
        <w:pStyle w:val="Heading1"/>
        <w:ind w:left="357" w:hanging="357"/>
        <w:rPr>
          <w:sz w:val="24"/>
          <w:szCs w:val="24"/>
        </w:rPr>
      </w:pPr>
      <w:bookmarkStart w:id="6" w:name="_Toc473286313"/>
      <w:r>
        <w:rPr>
          <w:sz w:val="24"/>
          <w:szCs w:val="24"/>
        </w:rPr>
        <w:t>Heavy vehicle c</w:t>
      </w:r>
      <w:r w:rsidR="00E82AA0">
        <w:rPr>
          <w:sz w:val="24"/>
          <w:szCs w:val="24"/>
        </w:rPr>
        <w:t>harges</w:t>
      </w:r>
      <w:bookmarkEnd w:id="6"/>
    </w:p>
    <w:p w14:paraId="58121B0A" w14:textId="77777777" w:rsidR="00230939" w:rsidRDefault="00230939" w:rsidP="004D615B"/>
    <w:p w14:paraId="0A0B29A6" w14:textId="77777777" w:rsidR="002F2016" w:rsidRPr="002F2016" w:rsidRDefault="002F2016" w:rsidP="002F2016">
      <w:pPr>
        <w:rPr>
          <w:rFonts w:ascii="Arial" w:eastAsia="Times New Roman" w:hAnsi="Arial" w:cs="Arial"/>
        </w:rPr>
      </w:pPr>
      <w:r w:rsidRPr="002F2016">
        <w:rPr>
          <w:rFonts w:ascii="Arial" w:eastAsia="Times New Roman" w:hAnsi="Arial" w:cs="Arial"/>
        </w:rPr>
        <w:t>Truck and bus operators pay for their use of the road system through a fuel-based road user charge, administered as a reduction in their fuel tax credits, and very high registration charges.</w:t>
      </w:r>
    </w:p>
    <w:p w14:paraId="69498404" w14:textId="77777777" w:rsidR="002F2016" w:rsidRPr="002F2016" w:rsidRDefault="002F2016" w:rsidP="002F2016">
      <w:pPr>
        <w:rPr>
          <w:rFonts w:ascii="Arial" w:eastAsia="Times New Roman" w:hAnsi="Arial" w:cs="Arial"/>
        </w:rPr>
      </w:pPr>
    </w:p>
    <w:p w14:paraId="445A8EEE" w14:textId="77777777" w:rsidR="002F2016" w:rsidRPr="002F2016" w:rsidRDefault="002F2016" w:rsidP="002F2016">
      <w:pPr>
        <w:rPr>
          <w:rFonts w:ascii="Arial" w:eastAsia="Times New Roman" w:hAnsi="Arial" w:cs="Arial"/>
        </w:rPr>
      </w:pPr>
      <w:r w:rsidRPr="002F2016">
        <w:rPr>
          <w:rFonts w:ascii="Arial" w:eastAsia="Times New Roman" w:hAnsi="Arial" w:cs="Arial"/>
        </w:rPr>
        <w:t>The National Transport Commission (NTC) found in 2014 that this system overcharged truck and bus operators, because it consistently underestimated the number of heavy vehicles on the road.</w:t>
      </w:r>
    </w:p>
    <w:p w14:paraId="612A1581" w14:textId="77777777" w:rsidR="002F2016" w:rsidRPr="002F2016" w:rsidRDefault="002F2016" w:rsidP="002F2016">
      <w:pPr>
        <w:rPr>
          <w:rFonts w:ascii="Arial" w:eastAsia="Times New Roman" w:hAnsi="Arial" w:cs="Arial"/>
        </w:rPr>
      </w:pPr>
    </w:p>
    <w:p w14:paraId="16EEDA21" w14:textId="77777777" w:rsidR="002F2016" w:rsidRPr="002F2016" w:rsidRDefault="002F2016" w:rsidP="002F2016">
      <w:pPr>
        <w:rPr>
          <w:rFonts w:ascii="Arial" w:hAnsi="Arial" w:cs="Arial"/>
          <w:szCs w:val="24"/>
          <w:lang w:eastAsia="en-AU"/>
        </w:rPr>
      </w:pPr>
      <w:r w:rsidRPr="002F2016">
        <w:rPr>
          <w:rFonts w:ascii="Arial" w:hAnsi="Arial" w:cs="Arial"/>
        </w:rPr>
        <w:t xml:space="preserve">The NTC recommended a number of technical amendments to the system, which governments accepted, and later put forward three options for dealing with the overcharging from 2016-17. </w:t>
      </w:r>
      <w:r w:rsidRPr="002F2016">
        <w:rPr>
          <w:rFonts w:ascii="Arial" w:hAnsi="Arial" w:cs="Arial"/>
          <w:szCs w:val="24"/>
          <w:lang w:eastAsia="en-AU"/>
        </w:rPr>
        <w:t>Of these, the ATA urged governments to adopt what the NTC described as ‘direct implementation’ – an immediate cut to the road user charge and registration charges to eliminate the over-recovery.</w:t>
      </w:r>
    </w:p>
    <w:p w14:paraId="6432EAF2" w14:textId="77777777" w:rsidR="002F2016" w:rsidRPr="002F2016" w:rsidRDefault="002F2016" w:rsidP="002F2016">
      <w:pPr>
        <w:rPr>
          <w:rFonts w:ascii="Arial" w:hAnsi="Arial" w:cs="Arial"/>
          <w:lang w:eastAsia="en-AU"/>
        </w:rPr>
      </w:pPr>
    </w:p>
    <w:p w14:paraId="106C2048" w14:textId="77777777" w:rsidR="002F2016" w:rsidRPr="002F2016" w:rsidRDefault="002F2016" w:rsidP="002F2016">
      <w:pPr>
        <w:rPr>
          <w:rFonts w:ascii="Arial" w:eastAsiaTheme="minorHAnsi" w:hAnsi="Arial" w:cs="Arial"/>
          <w:lang w:eastAsia="en-AU"/>
        </w:rPr>
      </w:pPr>
      <w:r w:rsidRPr="002F2016">
        <w:rPr>
          <w:rFonts w:ascii="Arial" w:eastAsiaTheme="minorHAnsi" w:hAnsi="Arial" w:cs="Arial"/>
          <w:lang w:eastAsia="en-AU"/>
        </w:rPr>
        <w:t>Instead, governments agreed to freeze the revenue from the road user charge and heavy vehicle registration charges at 2015-16 levels for two years. They agreed that the charge rates would be adjusted appropriately to deliver this result.</w:t>
      </w:r>
    </w:p>
    <w:p w14:paraId="1F1F1FE2" w14:textId="77777777" w:rsidR="002F2016" w:rsidRPr="002F2016" w:rsidRDefault="002F2016" w:rsidP="002F2016">
      <w:pPr>
        <w:rPr>
          <w:rFonts w:ascii="Arial" w:eastAsiaTheme="minorHAnsi" w:hAnsi="Arial" w:cs="Arial"/>
          <w:lang w:eastAsia="en-AU"/>
        </w:rPr>
      </w:pPr>
    </w:p>
    <w:p w14:paraId="0816DDA6" w14:textId="77777777" w:rsidR="002F2016" w:rsidRPr="002F2016" w:rsidRDefault="002F2016" w:rsidP="002F2016">
      <w:pPr>
        <w:rPr>
          <w:rFonts w:ascii="Arial" w:hAnsi="Arial" w:cs="Arial"/>
          <w:szCs w:val="24"/>
          <w:lang w:eastAsia="en-AU"/>
        </w:rPr>
      </w:pPr>
      <w:r w:rsidRPr="002F2016">
        <w:rPr>
          <w:rFonts w:ascii="Arial" w:hAnsi="Arial" w:cs="Arial"/>
          <w:szCs w:val="24"/>
          <w:lang w:eastAsia="en-AU"/>
        </w:rPr>
        <w:t>Based on NTC figures, the governments’ decision will overcharge truck and bus operators $250.2 million in 2016-17 and $264.8 million in 2017-18 – $515.0 million in all. Table 1 summarises how these figures are calculated:</w:t>
      </w:r>
    </w:p>
    <w:p w14:paraId="2866C5D9" w14:textId="77777777" w:rsidR="002F2016" w:rsidRDefault="002F2016" w:rsidP="002F2016">
      <w:pPr>
        <w:rPr>
          <w:rFonts w:ascii="Arial" w:hAnsi="Arial" w:cs="Arial"/>
          <w:szCs w:val="24"/>
          <w:lang w:eastAsia="en-AU"/>
        </w:rPr>
      </w:pPr>
    </w:p>
    <w:p w14:paraId="3C7F098A" w14:textId="77777777" w:rsidR="00CB30A4" w:rsidRPr="002F2016" w:rsidRDefault="00CB30A4" w:rsidP="002F2016">
      <w:pPr>
        <w:rPr>
          <w:rFonts w:ascii="Arial" w:hAnsi="Arial" w:cs="Arial"/>
          <w:szCs w:val="24"/>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395"/>
        <w:gridCol w:w="2396"/>
        <w:gridCol w:w="2100"/>
      </w:tblGrid>
      <w:tr w:rsidR="002F2016" w:rsidRPr="002F2016" w14:paraId="490AF2EA" w14:textId="77777777" w:rsidTr="00374848">
        <w:tc>
          <w:tcPr>
            <w:tcW w:w="9498" w:type="dxa"/>
            <w:gridSpan w:val="4"/>
            <w:tcBorders>
              <w:bottom w:val="single" w:sz="4" w:space="0" w:color="auto"/>
            </w:tcBorders>
          </w:tcPr>
          <w:p w14:paraId="09C0EB2E" w14:textId="77777777" w:rsidR="002F2016" w:rsidRPr="002F2016" w:rsidRDefault="002F2016" w:rsidP="002F2016">
            <w:pPr>
              <w:rPr>
                <w:rFonts w:ascii="Arial" w:hAnsi="Arial" w:cs="Arial"/>
                <w:b/>
                <w:sz w:val="20"/>
                <w:szCs w:val="20"/>
              </w:rPr>
            </w:pPr>
            <w:r w:rsidRPr="002F2016">
              <w:rPr>
                <w:rFonts w:ascii="Arial" w:hAnsi="Arial" w:cs="Arial"/>
                <w:b/>
                <w:sz w:val="20"/>
                <w:szCs w:val="20"/>
              </w:rPr>
              <w:t>Table 1: Breakdown of overcharging, 2016-17 and 2017-18</w:t>
            </w:r>
          </w:p>
        </w:tc>
      </w:tr>
      <w:tr w:rsidR="002F2016" w:rsidRPr="002F2016" w14:paraId="1DE526C7" w14:textId="77777777" w:rsidTr="00374848">
        <w:tc>
          <w:tcPr>
            <w:tcW w:w="2607" w:type="dxa"/>
            <w:tcBorders>
              <w:top w:val="single" w:sz="4" w:space="0" w:color="auto"/>
              <w:bottom w:val="single" w:sz="4" w:space="0" w:color="auto"/>
            </w:tcBorders>
          </w:tcPr>
          <w:p w14:paraId="4415E57B" w14:textId="77777777" w:rsidR="002F2016" w:rsidRPr="002F2016" w:rsidRDefault="002F2016" w:rsidP="002F2016">
            <w:pPr>
              <w:rPr>
                <w:rFonts w:ascii="Arial" w:hAnsi="Arial" w:cs="Arial"/>
              </w:rPr>
            </w:pPr>
          </w:p>
        </w:tc>
        <w:tc>
          <w:tcPr>
            <w:tcW w:w="2395" w:type="dxa"/>
            <w:tcBorders>
              <w:top w:val="single" w:sz="4" w:space="0" w:color="auto"/>
              <w:bottom w:val="single" w:sz="4" w:space="0" w:color="auto"/>
            </w:tcBorders>
          </w:tcPr>
          <w:p w14:paraId="17117DCC"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2016-17</w:t>
            </w:r>
          </w:p>
        </w:tc>
        <w:tc>
          <w:tcPr>
            <w:tcW w:w="2396" w:type="dxa"/>
            <w:tcBorders>
              <w:top w:val="single" w:sz="4" w:space="0" w:color="auto"/>
              <w:bottom w:val="single" w:sz="4" w:space="0" w:color="auto"/>
            </w:tcBorders>
          </w:tcPr>
          <w:p w14:paraId="1513B3FC"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2017-18</w:t>
            </w:r>
          </w:p>
        </w:tc>
        <w:tc>
          <w:tcPr>
            <w:tcW w:w="2100" w:type="dxa"/>
            <w:tcBorders>
              <w:top w:val="single" w:sz="4" w:space="0" w:color="auto"/>
              <w:bottom w:val="single" w:sz="4" w:space="0" w:color="auto"/>
            </w:tcBorders>
          </w:tcPr>
          <w:p w14:paraId="2FEC78DB"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Total</w:t>
            </w:r>
          </w:p>
        </w:tc>
      </w:tr>
      <w:tr w:rsidR="002F2016" w:rsidRPr="002F2016" w14:paraId="031CD638" w14:textId="77777777" w:rsidTr="00374848">
        <w:tc>
          <w:tcPr>
            <w:tcW w:w="2607" w:type="dxa"/>
            <w:tcBorders>
              <w:top w:val="single" w:sz="4" w:space="0" w:color="auto"/>
            </w:tcBorders>
          </w:tcPr>
          <w:p w14:paraId="7B0D6320" w14:textId="77777777" w:rsidR="002F2016" w:rsidRPr="002F2016" w:rsidRDefault="002F2016" w:rsidP="002F2016">
            <w:pPr>
              <w:rPr>
                <w:rFonts w:ascii="Arial" w:hAnsi="Arial" w:cs="Arial"/>
                <w:sz w:val="20"/>
                <w:szCs w:val="20"/>
              </w:rPr>
            </w:pPr>
            <w:r w:rsidRPr="002F2016">
              <w:rPr>
                <w:rFonts w:ascii="Arial" w:hAnsi="Arial" w:cs="Arial"/>
                <w:sz w:val="20"/>
                <w:szCs w:val="20"/>
              </w:rPr>
              <w:t>Registration charges</w:t>
            </w:r>
          </w:p>
        </w:tc>
        <w:tc>
          <w:tcPr>
            <w:tcW w:w="2395" w:type="dxa"/>
            <w:tcBorders>
              <w:top w:val="single" w:sz="4" w:space="0" w:color="auto"/>
            </w:tcBorders>
          </w:tcPr>
          <w:p w14:paraId="4BA0C3BA"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201.2</w:t>
            </w:r>
          </w:p>
        </w:tc>
        <w:tc>
          <w:tcPr>
            <w:tcW w:w="2396" w:type="dxa"/>
            <w:tcBorders>
              <w:top w:val="single" w:sz="4" w:space="0" w:color="auto"/>
            </w:tcBorders>
          </w:tcPr>
          <w:p w14:paraId="71818F35"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212.8</w:t>
            </w:r>
          </w:p>
        </w:tc>
        <w:tc>
          <w:tcPr>
            <w:tcW w:w="2100" w:type="dxa"/>
            <w:tcBorders>
              <w:top w:val="single" w:sz="4" w:space="0" w:color="auto"/>
            </w:tcBorders>
          </w:tcPr>
          <w:p w14:paraId="125FDFE4"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fldChar w:fldCharType="begin"/>
            </w:r>
            <w:r w:rsidRPr="002F2016">
              <w:rPr>
                <w:rFonts w:ascii="Arial" w:hAnsi="Arial" w:cs="Arial"/>
                <w:sz w:val="20"/>
                <w:szCs w:val="20"/>
              </w:rPr>
              <w:instrText xml:space="preserve"> =SUM(LEFT) \# "#,##.0" </w:instrText>
            </w:r>
            <w:r w:rsidRPr="002F2016">
              <w:rPr>
                <w:rFonts w:ascii="Arial" w:hAnsi="Arial" w:cs="Arial"/>
                <w:sz w:val="20"/>
                <w:szCs w:val="20"/>
              </w:rPr>
              <w:fldChar w:fldCharType="separate"/>
            </w:r>
            <w:r w:rsidRPr="002F2016">
              <w:rPr>
                <w:rFonts w:ascii="Arial" w:hAnsi="Arial" w:cs="Arial"/>
                <w:noProof/>
                <w:sz w:val="20"/>
                <w:szCs w:val="20"/>
              </w:rPr>
              <w:t>414.0</w:t>
            </w:r>
            <w:r w:rsidRPr="002F2016">
              <w:rPr>
                <w:rFonts w:ascii="Arial" w:hAnsi="Arial" w:cs="Arial"/>
                <w:sz w:val="20"/>
                <w:szCs w:val="20"/>
              </w:rPr>
              <w:fldChar w:fldCharType="end"/>
            </w:r>
          </w:p>
        </w:tc>
      </w:tr>
      <w:tr w:rsidR="002F2016" w:rsidRPr="002F2016" w14:paraId="3B1D1F2E" w14:textId="77777777" w:rsidTr="00374848">
        <w:tc>
          <w:tcPr>
            <w:tcW w:w="2607" w:type="dxa"/>
          </w:tcPr>
          <w:p w14:paraId="0452D227" w14:textId="77777777" w:rsidR="002F2016" w:rsidRPr="002F2016" w:rsidRDefault="002F2016" w:rsidP="002F2016">
            <w:pPr>
              <w:rPr>
                <w:rFonts w:ascii="Arial" w:hAnsi="Arial" w:cs="Arial"/>
                <w:sz w:val="20"/>
                <w:szCs w:val="20"/>
              </w:rPr>
            </w:pPr>
            <w:r w:rsidRPr="002F2016">
              <w:rPr>
                <w:rFonts w:ascii="Arial" w:hAnsi="Arial" w:cs="Arial"/>
                <w:sz w:val="20"/>
                <w:szCs w:val="20"/>
              </w:rPr>
              <w:t>Road user charge</w:t>
            </w:r>
          </w:p>
        </w:tc>
        <w:tc>
          <w:tcPr>
            <w:tcW w:w="2395" w:type="dxa"/>
          </w:tcPr>
          <w:p w14:paraId="7854D14C"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49.0</w:t>
            </w:r>
          </w:p>
        </w:tc>
        <w:tc>
          <w:tcPr>
            <w:tcW w:w="2396" w:type="dxa"/>
          </w:tcPr>
          <w:p w14:paraId="68EE4B1B"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52.1</w:t>
            </w:r>
          </w:p>
        </w:tc>
        <w:tc>
          <w:tcPr>
            <w:tcW w:w="2100" w:type="dxa"/>
          </w:tcPr>
          <w:p w14:paraId="18C43B21"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fldChar w:fldCharType="begin"/>
            </w:r>
            <w:r w:rsidRPr="002F2016">
              <w:rPr>
                <w:rFonts w:ascii="Arial" w:hAnsi="Arial" w:cs="Arial"/>
                <w:sz w:val="20"/>
                <w:szCs w:val="20"/>
              </w:rPr>
              <w:instrText xml:space="preserve"> =SUM(LEFT) </w:instrText>
            </w:r>
            <w:r w:rsidRPr="002F2016">
              <w:rPr>
                <w:rFonts w:ascii="Arial" w:hAnsi="Arial" w:cs="Arial"/>
                <w:sz w:val="20"/>
                <w:szCs w:val="20"/>
              </w:rPr>
              <w:fldChar w:fldCharType="separate"/>
            </w:r>
            <w:r w:rsidRPr="002F2016">
              <w:rPr>
                <w:rFonts w:ascii="Arial" w:hAnsi="Arial" w:cs="Arial"/>
                <w:noProof/>
                <w:sz w:val="20"/>
                <w:szCs w:val="20"/>
              </w:rPr>
              <w:t>101.1</w:t>
            </w:r>
            <w:r w:rsidRPr="002F2016">
              <w:rPr>
                <w:rFonts w:ascii="Arial" w:hAnsi="Arial" w:cs="Arial"/>
                <w:sz w:val="20"/>
                <w:szCs w:val="20"/>
              </w:rPr>
              <w:fldChar w:fldCharType="end"/>
            </w:r>
          </w:p>
        </w:tc>
      </w:tr>
      <w:tr w:rsidR="002F2016" w:rsidRPr="002F2016" w14:paraId="0350AAF3" w14:textId="77777777" w:rsidTr="00374848">
        <w:tc>
          <w:tcPr>
            <w:tcW w:w="2607" w:type="dxa"/>
            <w:tcBorders>
              <w:bottom w:val="single" w:sz="4" w:space="0" w:color="auto"/>
            </w:tcBorders>
          </w:tcPr>
          <w:p w14:paraId="6741F868" w14:textId="77777777" w:rsidR="002F2016" w:rsidRPr="002F2016" w:rsidRDefault="002F2016" w:rsidP="002F2016">
            <w:pPr>
              <w:rPr>
                <w:rFonts w:ascii="Arial" w:hAnsi="Arial" w:cs="Arial"/>
                <w:sz w:val="20"/>
                <w:szCs w:val="20"/>
              </w:rPr>
            </w:pPr>
            <w:r w:rsidRPr="002F2016">
              <w:rPr>
                <w:rFonts w:ascii="Arial" w:hAnsi="Arial" w:cs="Arial"/>
                <w:sz w:val="20"/>
                <w:szCs w:val="20"/>
              </w:rPr>
              <w:t>Total</w:t>
            </w:r>
          </w:p>
        </w:tc>
        <w:tc>
          <w:tcPr>
            <w:tcW w:w="2395" w:type="dxa"/>
            <w:tcBorders>
              <w:bottom w:val="single" w:sz="4" w:space="0" w:color="auto"/>
            </w:tcBorders>
          </w:tcPr>
          <w:p w14:paraId="68E39FAC"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fldChar w:fldCharType="begin"/>
            </w:r>
            <w:r w:rsidRPr="002F2016">
              <w:rPr>
                <w:rFonts w:ascii="Arial" w:hAnsi="Arial" w:cs="Arial"/>
                <w:sz w:val="20"/>
                <w:szCs w:val="20"/>
              </w:rPr>
              <w:instrText xml:space="preserve"> =SUM(ABOVE) </w:instrText>
            </w:r>
            <w:r w:rsidRPr="002F2016">
              <w:rPr>
                <w:rFonts w:ascii="Arial" w:hAnsi="Arial" w:cs="Arial"/>
                <w:sz w:val="20"/>
                <w:szCs w:val="20"/>
              </w:rPr>
              <w:fldChar w:fldCharType="separate"/>
            </w:r>
            <w:r w:rsidRPr="002F2016">
              <w:rPr>
                <w:rFonts w:ascii="Arial" w:hAnsi="Arial" w:cs="Arial"/>
                <w:noProof/>
                <w:sz w:val="20"/>
                <w:szCs w:val="20"/>
              </w:rPr>
              <w:t>250.2</w:t>
            </w:r>
            <w:r w:rsidRPr="002F2016">
              <w:rPr>
                <w:rFonts w:ascii="Arial" w:hAnsi="Arial" w:cs="Arial"/>
                <w:sz w:val="20"/>
                <w:szCs w:val="20"/>
              </w:rPr>
              <w:fldChar w:fldCharType="end"/>
            </w:r>
          </w:p>
        </w:tc>
        <w:tc>
          <w:tcPr>
            <w:tcW w:w="2396" w:type="dxa"/>
            <w:tcBorders>
              <w:bottom w:val="single" w:sz="4" w:space="0" w:color="auto"/>
            </w:tcBorders>
          </w:tcPr>
          <w:p w14:paraId="7F7166EB"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264.8</w:t>
            </w:r>
          </w:p>
        </w:tc>
        <w:tc>
          <w:tcPr>
            <w:tcW w:w="2100" w:type="dxa"/>
            <w:tcBorders>
              <w:bottom w:val="single" w:sz="4" w:space="0" w:color="auto"/>
            </w:tcBorders>
          </w:tcPr>
          <w:p w14:paraId="3C86329E" w14:textId="77777777" w:rsidR="002F2016" w:rsidRPr="002F2016" w:rsidRDefault="002F2016" w:rsidP="002F2016">
            <w:pPr>
              <w:jc w:val="right"/>
              <w:rPr>
                <w:rFonts w:ascii="Arial" w:hAnsi="Arial" w:cs="Arial"/>
                <w:sz w:val="20"/>
                <w:szCs w:val="20"/>
              </w:rPr>
            </w:pPr>
            <w:r w:rsidRPr="002F2016">
              <w:rPr>
                <w:rFonts w:ascii="Arial" w:hAnsi="Arial" w:cs="Arial"/>
                <w:sz w:val="20"/>
                <w:szCs w:val="20"/>
              </w:rPr>
              <w:t>515.0</w:t>
            </w:r>
          </w:p>
        </w:tc>
      </w:tr>
      <w:tr w:rsidR="002F2016" w:rsidRPr="002F2016" w14:paraId="4171FFF5" w14:textId="77777777" w:rsidTr="00374848">
        <w:tc>
          <w:tcPr>
            <w:tcW w:w="9498" w:type="dxa"/>
            <w:gridSpan w:val="4"/>
            <w:tcBorders>
              <w:top w:val="single" w:sz="4" w:space="0" w:color="auto"/>
            </w:tcBorders>
          </w:tcPr>
          <w:p w14:paraId="48BACDB2" w14:textId="77777777" w:rsidR="002F2016" w:rsidRPr="002F2016" w:rsidRDefault="002F2016" w:rsidP="002F2016">
            <w:pPr>
              <w:rPr>
                <w:rFonts w:ascii="Arial" w:hAnsi="Arial" w:cs="Arial"/>
                <w:sz w:val="18"/>
                <w:szCs w:val="18"/>
              </w:rPr>
            </w:pPr>
            <w:r w:rsidRPr="002F2016">
              <w:rPr>
                <w:rFonts w:ascii="Arial" w:hAnsi="Arial" w:cs="Arial"/>
                <w:sz w:val="18"/>
                <w:szCs w:val="18"/>
              </w:rPr>
              <w:t>Source: NTC. Figures may not add to totals due to rounding.</w:t>
            </w:r>
          </w:p>
        </w:tc>
      </w:tr>
    </w:tbl>
    <w:p w14:paraId="4D751FC3" w14:textId="77777777" w:rsidR="002F2016" w:rsidRDefault="002F2016" w:rsidP="002F2016">
      <w:pPr>
        <w:rPr>
          <w:rFonts w:ascii="Arial" w:hAnsi="Arial" w:cs="Arial"/>
          <w:szCs w:val="24"/>
          <w:lang w:eastAsia="en-AU"/>
        </w:rPr>
      </w:pPr>
    </w:p>
    <w:p w14:paraId="709DB478" w14:textId="77777777" w:rsidR="00CB30A4" w:rsidRPr="002F2016" w:rsidRDefault="00CB30A4" w:rsidP="002F2016">
      <w:pPr>
        <w:rPr>
          <w:rFonts w:ascii="Arial" w:hAnsi="Arial" w:cs="Arial"/>
          <w:szCs w:val="24"/>
          <w:lang w:eastAsia="en-AU"/>
        </w:rPr>
      </w:pPr>
    </w:p>
    <w:p w14:paraId="47759FD9" w14:textId="0D535651" w:rsidR="00190FF5" w:rsidRDefault="00190FF5" w:rsidP="002F2016">
      <w:pPr>
        <w:rPr>
          <w:rFonts w:ascii="Arial" w:hAnsi="Arial" w:cs="Arial"/>
          <w:szCs w:val="24"/>
          <w:lang w:eastAsia="en-AU"/>
        </w:rPr>
      </w:pPr>
      <w:r>
        <w:rPr>
          <w:rFonts w:ascii="Arial" w:hAnsi="Arial" w:cs="Arial"/>
          <w:szCs w:val="24"/>
          <w:lang w:eastAsia="en-AU"/>
        </w:rPr>
        <w:t xml:space="preserve">In November 2016, the Transport and Infrastructure Council approved </w:t>
      </w:r>
      <w:r w:rsidR="00AF0FB5">
        <w:rPr>
          <w:rFonts w:ascii="Arial" w:hAnsi="Arial" w:cs="Arial"/>
          <w:szCs w:val="24"/>
          <w:lang w:eastAsia="en-AU"/>
        </w:rPr>
        <w:t xml:space="preserve">heavy vehicle charges for 2017-18. Due to growth in the heavy vehicle and trailer fleet the Council approved reduced heavy vehicle charges to apply from 1 July 2017, in order to </w:t>
      </w:r>
      <w:r w:rsidR="00E20C25">
        <w:rPr>
          <w:rFonts w:ascii="Arial" w:hAnsi="Arial" w:cs="Arial"/>
          <w:szCs w:val="24"/>
          <w:lang w:eastAsia="en-AU"/>
        </w:rPr>
        <w:t xml:space="preserve">maintain the </w:t>
      </w:r>
      <w:r w:rsidR="00AF0FB5">
        <w:rPr>
          <w:rFonts w:ascii="Arial" w:hAnsi="Arial" w:cs="Arial"/>
          <w:szCs w:val="24"/>
          <w:lang w:eastAsia="en-AU"/>
        </w:rPr>
        <w:t>commitment to freeze revenue</w:t>
      </w:r>
      <w:r w:rsidR="00E20C25">
        <w:rPr>
          <w:rFonts w:ascii="Arial" w:hAnsi="Arial" w:cs="Arial"/>
          <w:szCs w:val="24"/>
          <w:lang w:eastAsia="en-AU"/>
        </w:rPr>
        <w:t xml:space="preserve"> over this period</w:t>
      </w:r>
      <w:r w:rsidR="00AF0FB5">
        <w:rPr>
          <w:rFonts w:ascii="Arial" w:hAnsi="Arial" w:cs="Arial"/>
          <w:szCs w:val="24"/>
          <w:lang w:eastAsia="en-AU"/>
        </w:rPr>
        <w:t>.</w:t>
      </w:r>
    </w:p>
    <w:p w14:paraId="6B6261B1" w14:textId="77777777" w:rsidR="00AF0FB5" w:rsidRDefault="00AF0FB5" w:rsidP="002F2016">
      <w:pPr>
        <w:rPr>
          <w:rFonts w:ascii="Arial" w:hAnsi="Arial" w:cs="Arial"/>
          <w:szCs w:val="24"/>
          <w:lang w:eastAsia="en-AU"/>
        </w:rPr>
      </w:pPr>
    </w:p>
    <w:p w14:paraId="41225E76" w14:textId="457C12CE" w:rsidR="00AF0FB5" w:rsidRDefault="00AF0FB5" w:rsidP="002F2016">
      <w:pPr>
        <w:rPr>
          <w:rFonts w:ascii="Arial" w:hAnsi="Arial" w:cs="Arial"/>
          <w:szCs w:val="24"/>
          <w:lang w:eastAsia="en-AU"/>
        </w:rPr>
      </w:pPr>
      <w:r>
        <w:rPr>
          <w:rFonts w:ascii="Arial" w:hAnsi="Arial" w:cs="Arial"/>
          <w:szCs w:val="24"/>
          <w:lang w:eastAsia="en-AU"/>
        </w:rPr>
        <w:t>This includes an average reduction in heavy vehicle registration charges of 1.6 per cent, and a road user charge reduction fro</w:t>
      </w:r>
      <w:r w:rsidR="00542AA7">
        <w:rPr>
          <w:rFonts w:ascii="Arial" w:hAnsi="Arial" w:cs="Arial"/>
          <w:szCs w:val="24"/>
          <w:lang w:eastAsia="en-AU"/>
        </w:rPr>
        <w:t xml:space="preserve">m 25.9 to 25.8 cents per litre. </w:t>
      </w:r>
      <w:r>
        <w:rPr>
          <w:rFonts w:ascii="Arial" w:hAnsi="Arial" w:cs="Arial"/>
          <w:szCs w:val="24"/>
          <w:lang w:eastAsia="en-AU"/>
        </w:rPr>
        <w:t>The ATA strongly urge</w:t>
      </w:r>
      <w:r w:rsidR="00E20C25">
        <w:rPr>
          <w:rFonts w:ascii="Arial" w:hAnsi="Arial" w:cs="Arial"/>
          <w:szCs w:val="24"/>
          <w:lang w:eastAsia="en-AU"/>
        </w:rPr>
        <w:t>s</w:t>
      </w:r>
      <w:r>
        <w:rPr>
          <w:rFonts w:ascii="Arial" w:hAnsi="Arial" w:cs="Arial"/>
          <w:szCs w:val="24"/>
          <w:lang w:eastAsia="en-AU"/>
        </w:rPr>
        <w:t xml:space="preserve"> the Government to </w:t>
      </w:r>
      <w:r w:rsidR="00E20C25">
        <w:rPr>
          <w:rFonts w:ascii="Arial" w:hAnsi="Arial" w:cs="Arial"/>
          <w:szCs w:val="24"/>
          <w:lang w:eastAsia="en-AU"/>
        </w:rPr>
        <w:t>implement its component of</w:t>
      </w:r>
      <w:r>
        <w:rPr>
          <w:rFonts w:ascii="Arial" w:hAnsi="Arial" w:cs="Arial"/>
          <w:szCs w:val="24"/>
          <w:lang w:eastAsia="en-AU"/>
        </w:rPr>
        <w:t xml:space="preserve"> these reduced charges in 2017-18 in order to maintain its commitment to freeze heavy vehicle charges revenue. </w:t>
      </w:r>
    </w:p>
    <w:p w14:paraId="0064A0DC" w14:textId="77777777" w:rsidR="002F2016" w:rsidRDefault="002F2016" w:rsidP="004D615B"/>
    <w:p w14:paraId="1CEA832C" w14:textId="74533BA6" w:rsidR="00EA14FE" w:rsidRPr="002F2016" w:rsidRDefault="00EA14FE" w:rsidP="00EA14FE">
      <w:pPr>
        <w:tabs>
          <w:tab w:val="left" w:pos="992"/>
        </w:tabs>
        <w:rPr>
          <w:rFonts w:ascii="Arial" w:hAnsi="Arial" w:cs="Arial"/>
          <w:b/>
        </w:rPr>
      </w:pPr>
      <w:r w:rsidRPr="002F2016">
        <w:rPr>
          <w:rFonts w:ascii="Arial" w:hAnsi="Arial" w:cs="Arial"/>
          <w:b/>
        </w:rPr>
        <w:t>Recommendation</w:t>
      </w:r>
      <w:r w:rsidR="002A329C">
        <w:rPr>
          <w:rFonts w:ascii="Arial" w:hAnsi="Arial" w:cs="Arial"/>
          <w:b/>
        </w:rPr>
        <w:t xml:space="preserve"> 4</w:t>
      </w:r>
    </w:p>
    <w:p w14:paraId="12705C02" w14:textId="77777777" w:rsidR="00EA14FE" w:rsidRDefault="00EA14FE" w:rsidP="00EA14FE">
      <w:pPr>
        <w:rPr>
          <w:rFonts w:ascii="Arial" w:hAnsi="Arial" w:cs="Arial"/>
        </w:rPr>
      </w:pPr>
      <w:r>
        <w:rPr>
          <w:rFonts w:ascii="Arial" w:hAnsi="Arial" w:cs="Arial"/>
        </w:rPr>
        <w:t>The Government should maintain its commitment to freeze heavy vehicle revenue for 2017-18, and implement its component of reduced heavy vehicle charges to commence on 1 July 2017</w:t>
      </w:r>
      <w:r w:rsidRPr="002F2016">
        <w:rPr>
          <w:rFonts w:ascii="Arial" w:hAnsi="Arial" w:cs="Arial"/>
        </w:rPr>
        <w:t>.</w:t>
      </w:r>
    </w:p>
    <w:p w14:paraId="78581075" w14:textId="77777777" w:rsidR="005D2C9C" w:rsidRDefault="005D2C9C" w:rsidP="005D2C9C">
      <w:pPr>
        <w:tabs>
          <w:tab w:val="left" w:pos="992"/>
        </w:tabs>
      </w:pPr>
    </w:p>
    <w:p w14:paraId="55EF2A22" w14:textId="2DCA7CD6" w:rsidR="005D3BC8" w:rsidRDefault="005D3BC8" w:rsidP="005D2C9C">
      <w:pPr>
        <w:tabs>
          <w:tab w:val="left" w:pos="992"/>
        </w:tabs>
      </w:pPr>
    </w:p>
    <w:p w14:paraId="2122CECB" w14:textId="46E2EC15" w:rsidR="00E82AA0" w:rsidRPr="002A329C" w:rsidRDefault="002A329C" w:rsidP="00CB30A4">
      <w:pPr>
        <w:pStyle w:val="Heading1"/>
        <w:ind w:left="357" w:hanging="357"/>
        <w:rPr>
          <w:sz w:val="24"/>
          <w:szCs w:val="24"/>
        </w:rPr>
      </w:pPr>
      <w:bookmarkStart w:id="7" w:name="_Toc473286314"/>
      <w:r>
        <w:rPr>
          <w:sz w:val="24"/>
          <w:szCs w:val="24"/>
        </w:rPr>
        <w:t>Improving</w:t>
      </w:r>
      <w:r w:rsidR="0089532C" w:rsidRPr="002A329C">
        <w:rPr>
          <w:sz w:val="24"/>
          <w:szCs w:val="24"/>
        </w:rPr>
        <w:t xml:space="preserve"> truck maintenance through </w:t>
      </w:r>
      <w:r w:rsidR="0051197A" w:rsidRPr="002A329C">
        <w:rPr>
          <w:sz w:val="24"/>
          <w:szCs w:val="24"/>
        </w:rPr>
        <w:t>fuel tax c</w:t>
      </w:r>
      <w:r w:rsidR="00E82AA0" w:rsidRPr="002A329C">
        <w:rPr>
          <w:sz w:val="24"/>
          <w:szCs w:val="24"/>
        </w:rPr>
        <w:t>redits</w:t>
      </w:r>
      <w:r w:rsidR="0089532C" w:rsidRPr="002A329C">
        <w:rPr>
          <w:sz w:val="24"/>
          <w:szCs w:val="24"/>
        </w:rPr>
        <w:t xml:space="preserve"> reform</w:t>
      </w:r>
      <w:bookmarkEnd w:id="7"/>
    </w:p>
    <w:p w14:paraId="4F63F8E5" w14:textId="77777777" w:rsidR="00E82AA0" w:rsidRPr="00EA14FE" w:rsidRDefault="00E82AA0" w:rsidP="00E82AA0">
      <w:pPr>
        <w:tabs>
          <w:tab w:val="left" w:pos="992"/>
        </w:tabs>
      </w:pPr>
    </w:p>
    <w:p w14:paraId="4041623E" w14:textId="0CB8D9AF" w:rsidR="00E82AA0" w:rsidRPr="00EA14FE" w:rsidRDefault="007D26E8" w:rsidP="005D2C9C">
      <w:pPr>
        <w:tabs>
          <w:tab w:val="left" w:pos="992"/>
        </w:tabs>
        <w:rPr>
          <w:rFonts w:ascii="Arial" w:hAnsi="Arial" w:cs="Arial"/>
        </w:rPr>
      </w:pPr>
      <w:r w:rsidRPr="00EA14FE">
        <w:rPr>
          <w:rFonts w:ascii="Arial" w:hAnsi="Arial" w:cs="Arial"/>
        </w:rPr>
        <w:t xml:space="preserve">The 2017-18 Budget presents the Government with the opportunity to reduce vehicle emissions – and contribute to the Governments wider </w:t>
      </w:r>
      <w:r w:rsidR="00CB19C7" w:rsidRPr="00EA14FE">
        <w:rPr>
          <w:rFonts w:ascii="Arial" w:hAnsi="Arial" w:cs="Arial"/>
        </w:rPr>
        <w:t xml:space="preserve">environmental </w:t>
      </w:r>
      <w:r w:rsidRPr="00EA14FE">
        <w:rPr>
          <w:rFonts w:ascii="Arial" w:hAnsi="Arial" w:cs="Arial"/>
        </w:rPr>
        <w:t xml:space="preserve">agenda – without slowing the task of Budget repair. </w:t>
      </w:r>
    </w:p>
    <w:p w14:paraId="2A83C6D9" w14:textId="77777777" w:rsidR="00CB19C7" w:rsidRPr="00EA14FE" w:rsidRDefault="00CB19C7" w:rsidP="005D2C9C">
      <w:pPr>
        <w:tabs>
          <w:tab w:val="left" w:pos="992"/>
        </w:tabs>
        <w:rPr>
          <w:rFonts w:ascii="Arial" w:hAnsi="Arial" w:cs="Arial"/>
        </w:rPr>
      </w:pPr>
    </w:p>
    <w:p w14:paraId="1C70361F" w14:textId="7A253AD4" w:rsidR="00CB19C7" w:rsidRDefault="00CB19C7" w:rsidP="005D2C9C">
      <w:pPr>
        <w:tabs>
          <w:tab w:val="left" w:pos="992"/>
        </w:tabs>
        <w:rPr>
          <w:rFonts w:ascii="Arial" w:hAnsi="Arial" w:cs="Arial"/>
        </w:rPr>
      </w:pPr>
      <w:r w:rsidRPr="00EA14FE">
        <w:rPr>
          <w:rFonts w:ascii="Arial" w:hAnsi="Arial" w:cs="Arial"/>
        </w:rPr>
        <w:t>Regular maintenance is the key to ensuring that vehicles continue to meet emission standards. For example:</w:t>
      </w:r>
    </w:p>
    <w:p w14:paraId="07D606C8" w14:textId="77777777" w:rsidR="00527F99" w:rsidRPr="00EA14FE" w:rsidRDefault="00527F99" w:rsidP="005D2C9C">
      <w:pPr>
        <w:tabs>
          <w:tab w:val="left" w:pos="992"/>
        </w:tabs>
        <w:rPr>
          <w:rFonts w:ascii="Arial" w:hAnsi="Arial" w:cs="Arial"/>
        </w:rPr>
      </w:pPr>
    </w:p>
    <w:p w14:paraId="533B9C5D" w14:textId="369657A8" w:rsidR="00D9164E" w:rsidRPr="00D9164E" w:rsidRDefault="00CB19C7" w:rsidP="00D9164E">
      <w:pPr>
        <w:pStyle w:val="ListParagraph"/>
        <w:numPr>
          <w:ilvl w:val="0"/>
          <w:numId w:val="3"/>
        </w:numPr>
        <w:tabs>
          <w:tab w:val="left" w:pos="992"/>
        </w:tabs>
        <w:spacing w:line="240" w:lineRule="auto"/>
        <w:ind w:left="714" w:hanging="357"/>
        <w:rPr>
          <w:rFonts w:ascii="Arial" w:hAnsi="Arial" w:cs="Arial"/>
        </w:rPr>
      </w:pPr>
      <w:r w:rsidRPr="00EA14FE">
        <w:rPr>
          <w:rFonts w:ascii="Arial" w:hAnsi="Arial" w:cs="Arial"/>
        </w:rPr>
        <w:t>the 2004 energy white paper reported that repairing poorly maintained diesel vehicles could reduce their particulate emissions by 45 per cent.</w:t>
      </w:r>
      <w:r w:rsidRPr="00EA14FE">
        <w:rPr>
          <w:rStyle w:val="FootnoteReference"/>
          <w:rFonts w:ascii="Arial" w:hAnsi="Arial"/>
        </w:rPr>
        <w:footnoteReference w:id="12"/>
      </w:r>
    </w:p>
    <w:p w14:paraId="0CFFBA5E" w14:textId="6B5F05D6" w:rsidR="00CB19C7" w:rsidRPr="00EA14FE" w:rsidRDefault="00CB19C7" w:rsidP="00527F99">
      <w:pPr>
        <w:pStyle w:val="ListParagraph"/>
        <w:numPr>
          <w:ilvl w:val="0"/>
          <w:numId w:val="3"/>
        </w:numPr>
        <w:tabs>
          <w:tab w:val="left" w:pos="992"/>
        </w:tabs>
        <w:spacing w:line="240" w:lineRule="auto"/>
        <w:ind w:left="714" w:hanging="357"/>
        <w:rPr>
          <w:rFonts w:ascii="Arial" w:hAnsi="Arial" w:cs="Arial"/>
        </w:rPr>
      </w:pPr>
      <w:r w:rsidRPr="00EA14FE">
        <w:rPr>
          <w:rFonts w:ascii="Arial" w:hAnsi="Arial" w:cs="Arial"/>
        </w:rPr>
        <w:t>case studies in the US mining industry of the relationship between diesel engine maintenance and exhaust emissions found that effective maintenance could reduce CO emissions by 65 per cent and PM emissions by 55 per cent.</w:t>
      </w:r>
      <w:r w:rsidRPr="00EA14FE">
        <w:rPr>
          <w:rStyle w:val="FootnoteReference"/>
          <w:rFonts w:ascii="Arial" w:hAnsi="Arial"/>
        </w:rPr>
        <w:footnoteReference w:id="13"/>
      </w:r>
    </w:p>
    <w:p w14:paraId="535E0C5F" w14:textId="716CC1C0" w:rsidR="00CB19C7" w:rsidRPr="00EA14FE" w:rsidRDefault="00C85644" w:rsidP="00527F99">
      <w:pPr>
        <w:pStyle w:val="ListParagraph"/>
        <w:numPr>
          <w:ilvl w:val="0"/>
          <w:numId w:val="3"/>
        </w:numPr>
        <w:tabs>
          <w:tab w:val="left" w:pos="992"/>
        </w:tabs>
        <w:spacing w:line="240" w:lineRule="auto"/>
        <w:ind w:left="714" w:hanging="357"/>
        <w:rPr>
          <w:rFonts w:ascii="Arial" w:hAnsi="Arial" w:cs="Arial"/>
        </w:rPr>
      </w:pPr>
      <w:r w:rsidRPr="00EA14FE">
        <w:rPr>
          <w:rFonts w:ascii="Arial" w:hAnsi="Arial" w:cs="Arial"/>
        </w:rPr>
        <w:t>a test of 168 diesel cars (ranging from pre-Euro to Euro 4 emission standards) found that 75 per cent had emission faults. Performing maintenance on a Euro 4 vehicle with multiple induced defects reduced all its pollutant emissions except carbon monoxide; its particulate emissions were reduced by 70-80 per cent over all driving cycles. The research found no correlation between the age of the diesel vehicles in the sample tested and the number of emission defects.</w:t>
      </w:r>
      <w:r w:rsidRPr="00EA14FE">
        <w:rPr>
          <w:rStyle w:val="FootnoteReference"/>
          <w:rFonts w:ascii="Arial" w:hAnsi="Arial"/>
        </w:rPr>
        <w:footnoteReference w:id="14"/>
      </w:r>
    </w:p>
    <w:p w14:paraId="7451E5F2" w14:textId="3C9ED166" w:rsidR="00C85644" w:rsidRPr="00EA14FE" w:rsidRDefault="00C85644" w:rsidP="00C85644">
      <w:pPr>
        <w:tabs>
          <w:tab w:val="left" w:pos="992"/>
        </w:tabs>
        <w:rPr>
          <w:rFonts w:ascii="Arial" w:hAnsi="Arial" w:cs="Arial"/>
        </w:rPr>
      </w:pPr>
      <w:r w:rsidRPr="00EA14FE">
        <w:rPr>
          <w:rFonts w:ascii="Arial" w:hAnsi="Arial" w:cs="Arial"/>
        </w:rPr>
        <w:t xml:space="preserve">When it came into force, the </w:t>
      </w:r>
      <w:r w:rsidRPr="00EA14FE">
        <w:rPr>
          <w:rFonts w:ascii="Arial" w:hAnsi="Arial" w:cs="Arial"/>
          <w:i/>
        </w:rPr>
        <w:t>Fuel Tax Act 2006</w:t>
      </w:r>
      <w:r w:rsidRPr="00EA14FE">
        <w:rPr>
          <w:rFonts w:ascii="Arial" w:hAnsi="Arial" w:cs="Arial"/>
        </w:rPr>
        <w:t xml:space="preserve"> included a powerful incentive for truck operators to maintain their vehicles.</w:t>
      </w:r>
    </w:p>
    <w:p w14:paraId="75E711B2" w14:textId="77777777" w:rsidR="00C85644" w:rsidRPr="00EA14FE" w:rsidRDefault="00C85644" w:rsidP="00C85644">
      <w:pPr>
        <w:tabs>
          <w:tab w:val="left" w:pos="992"/>
        </w:tabs>
        <w:rPr>
          <w:rFonts w:ascii="Arial" w:hAnsi="Arial" w:cs="Arial"/>
        </w:rPr>
      </w:pPr>
    </w:p>
    <w:p w14:paraId="33D41A16" w14:textId="015459CF" w:rsidR="00C85644" w:rsidRPr="00EA14FE" w:rsidRDefault="00C85644" w:rsidP="00C85644">
      <w:pPr>
        <w:tabs>
          <w:tab w:val="left" w:pos="992"/>
        </w:tabs>
        <w:rPr>
          <w:rFonts w:ascii="Arial" w:hAnsi="Arial" w:cs="Arial"/>
        </w:rPr>
      </w:pPr>
      <w:r w:rsidRPr="00EA14FE">
        <w:rPr>
          <w:rFonts w:ascii="Arial" w:hAnsi="Arial" w:cs="Arial"/>
        </w:rPr>
        <w:t xml:space="preserve">Under the Act, businesses that operate trucks with a gross vehicle mass (GVM) of more than 4.5 tonnes on public roads can claim fuel tax credits for each litre of fuel they buy for use in those vehicles. </w:t>
      </w:r>
    </w:p>
    <w:p w14:paraId="6AF98446" w14:textId="77777777" w:rsidR="00C85644" w:rsidRPr="00EA14FE" w:rsidRDefault="00C85644" w:rsidP="00C85644">
      <w:pPr>
        <w:tabs>
          <w:tab w:val="left" w:pos="992"/>
        </w:tabs>
        <w:rPr>
          <w:rFonts w:ascii="Arial" w:hAnsi="Arial" w:cs="Arial"/>
        </w:rPr>
      </w:pPr>
    </w:p>
    <w:p w14:paraId="1C060EBA" w14:textId="67C53929" w:rsidR="00C85644" w:rsidRDefault="00C85644" w:rsidP="00527F99">
      <w:pPr>
        <w:tabs>
          <w:tab w:val="left" w:pos="992"/>
        </w:tabs>
        <w:rPr>
          <w:rFonts w:ascii="Arial" w:hAnsi="Arial" w:cs="Arial"/>
        </w:rPr>
      </w:pPr>
      <w:r w:rsidRPr="00EA14FE">
        <w:rPr>
          <w:rFonts w:ascii="Arial" w:hAnsi="Arial" w:cs="Arial"/>
        </w:rPr>
        <w:t xml:space="preserve">Under s41-25(1) of the Act, vehicles used on public roads must meet one of four environmental </w:t>
      </w:r>
      <w:r w:rsidR="0022688F" w:rsidRPr="00EA14FE">
        <w:rPr>
          <w:rFonts w:ascii="Arial" w:hAnsi="Arial" w:cs="Arial"/>
        </w:rPr>
        <w:t>criteria</w:t>
      </w:r>
      <w:r w:rsidRPr="00EA14FE">
        <w:rPr>
          <w:rFonts w:ascii="Arial" w:hAnsi="Arial" w:cs="Arial"/>
        </w:rPr>
        <w:t xml:space="preserve"> to be </w:t>
      </w:r>
      <w:r w:rsidR="0022688F" w:rsidRPr="00EA14FE">
        <w:rPr>
          <w:rFonts w:ascii="Arial" w:hAnsi="Arial" w:cs="Arial"/>
        </w:rPr>
        <w:t>eligible</w:t>
      </w:r>
      <w:r w:rsidRPr="00EA14FE">
        <w:rPr>
          <w:rFonts w:ascii="Arial" w:hAnsi="Arial" w:cs="Arial"/>
        </w:rPr>
        <w:t xml:space="preserve"> for the credits. These criteria are:</w:t>
      </w:r>
    </w:p>
    <w:p w14:paraId="6C3DCA80" w14:textId="77777777" w:rsidR="00527F99" w:rsidRPr="00EA14FE" w:rsidRDefault="00527F99" w:rsidP="00527F99">
      <w:pPr>
        <w:tabs>
          <w:tab w:val="left" w:pos="992"/>
        </w:tabs>
        <w:rPr>
          <w:rFonts w:ascii="Arial" w:hAnsi="Arial" w:cs="Arial"/>
        </w:rPr>
      </w:pPr>
    </w:p>
    <w:p w14:paraId="2F6FB5B6" w14:textId="5390E951" w:rsidR="00C85644" w:rsidRPr="00EA14FE" w:rsidRDefault="00C85644" w:rsidP="00527F99">
      <w:pPr>
        <w:pStyle w:val="ListParagraph"/>
        <w:numPr>
          <w:ilvl w:val="0"/>
          <w:numId w:val="4"/>
        </w:numPr>
        <w:tabs>
          <w:tab w:val="left" w:pos="992"/>
        </w:tabs>
        <w:spacing w:line="240" w:lineRule="auto"/>
        <w:rPr>
          <w:rFonts w:ascii="Arial" w:hAnsi="Arial" w:cs="Arial"/>
        </w:rPr>
      </w:pPr>
      <w:r w:rsidRPr="00EA14FE">
        <w:rPr>
          <w:rFonts w:ascii="Arial" w:hAnsi="Arial" w:cs="Arial"/>
        </w:rPr>
        <w:t>the vehicle was manufactured on or after 1 January 1996, the commencement date of the ADR 70/00 (Euro 1 and equivalent) emission standards for all new heavy vehicles,</w:t>
      </w:r>
    </w:p>
    <w:p w14:paraId="6E29C5A9" w14:textId="5AF44D7A" w:rsidR="00C85644" w:rsidRPr="00EA14FE" w:rsidRDefault="00C85644" w:rsidP="00527F99">
      <w:pPr>
        <w:pStyle w:val="ListParagraph"/>
        <w:numPr>
          <w:ilvl w:val="0"/>
          <w:numId w:val="4"/>
        </w:numPr>
        <w:tabs>
          <w:tab w:val="left" w:pos="992"/>
        </w:tabs>
        <w:spacing w:line="240" w:lineRule="auto"/>
        <w:rPr>
          <w:rFonts w:ascii="Arial" w:hAnsi="Arial" w:cs="Arial"/>
        </w:rPr>
      </w:pPr>
      <w:r w:rsidRPr="00EA14FE">
        <w:rPr>
          <w:rFonts w:ascii="Arial" w:hAnsi="Arial" w:cs="Arial"/>
        </w:rPr>
        <w:t>the vehicle is registered in an audited maintenance pro</w:t>
      </w:r>
      <w:r w:rsidR="0022688F" w:rsidRPr="00EA14FE">
        <w:rPr>
          <w:rFonts w:ascii="Arial" w:hAnsi="Arial" w:cs="Arial"/>
        </w:rPr>
        <w:t>gram accredited by the Transport Secretary. The ATA’s TruckSafe program is accredited under this section; the NHVAS Maintenance Management module is not currently accredited,</w:t>
      </w:r>
    </w:p>
    <w:p w14:paraId="6F84F693" w14:textId="7BC8C8CE" w:rsidR="0022688F" w:rsidRPr="00EA14FE" w:rsidRDefault="0022688F" w:rsidP="00527F99">
      <w:pPr>
        <w:pStyle w:val="ListParagraph"/>
        <w:numPr>
          <w:ilvl w:val="0"/>
          <w:numId w:val="4"/>
        </w:numPr>
        <w:tabs>
          <w:tab w:val="left" w:pos="992"/>
        </w:tabs>
        <w:spacing w:line="240" w:lineRule="auto"/>
        <w:rPr>
          <w:rFonts w:ascii="Arial" w:hAnsi="Arial" w:cs="Arial"/>
        </w:rPr>
      </w:pPr>
      <w:r w:rsidRPr="00EA14FE">
        <w:rPr>
          <w:rFonts w:ascii="Arial" w:hAnsi="Arial" w:cs="Arial"/>
        </w:rPr>
        <w:t>the vehicle meets Rule 147A of the Australian Vehicle Standards Rules 1999 (ie: it has passed a DT80 in-service emissions test within the last two yea</w:t>
      </w:r>
      <w:r w:rsidR="00BC6F66">
        <w:rPr>
          <w:rFonts w:ascii="Arial" w:hAnsi="Arial" w:cs="Arial"/>
        </w:rPr>
        <w:t>r</w:t>
      </w:r>
      <w:r w:rsidRPr="00EA14FE">
        <w:rPr>
          <w:rFonts w:ascii="Arial" w:hAnsi="Arial" w:cs="Arial"/>
        </w:rPr>
        <w:t>s), and</w:t>
      </w:r>
    </w:p>
    <w:p w14:paraId="694D26B2" w14:textId="6D3776FB" w:rsidR="0022688F" w:rsidRPr="00EA14FE" w:rsidRDefault="0022688F" w:rsidP="00527F99">
      <w:pPr>
        <w:pStyle w:val="ListParagraph"/>
        <w:numPr>
          <w:ilvl w:val="0"/>
          <w:numId w:val="4"/>
        </w:numPr>
        <w:tabs>
          <w:tab w:val="left" w:pos="992"/>
        </w:tabs>
        <w:spacing w:line="240" w:lineRule="auto"/>
        <w:rPr>
          <w:rFonts w:ascii="Arial" w:hAnsi="Arial" w:cs="Arial"/>
        </w:rPr>
      </w:pPr>
      <w:r w:rsidRPr="00EA14FE">
        <w:rPr>
          <w:rFonts w:ascii="Arial" w:hAnsi="Arial" w:cs="Arial"/>
        </w:rPr>
        <w:t>the vehicle complies with a maintenance schedule endorsed by the Transport Secretary. The endorsed maintenance schedule is not onerous.</w:t>
      </w:r>
      <w:r w:rsidRPr="00EA14FE">
        <w:rPr>
          <w:rStyle w:val="FootnoteReference"/>
          <w:rFonts w:ascii="Arial" w:hAnsi="Arial"/>
        </w:rPr>
        <w:footnoteReference w:id="15"/>
      </w:r>
    </w:p>
    <w:p w14:paraId="0AFF09D6" w14:textId="2CC16267" w:rsidR="0022688F" w:rsidRPr="00EA14FE" w:rsidRDefault="0022688F" w:rsidP="0022688F">
      <w:pPr>
        <w:tabs>
          <w:tab w:val="left" w:pos="992"/>
        </w:tabs>
        <w:rPr>
          <w:rFonts w:ascii="Arial" w:hAnsi="Arial" w:cs="Arial"/>
        </w:rPr>
      </w:pPr>
      <w:r w:rsidRPr="00EA14FE">
        <w:rPr>
          <w:rFonts w:ascii="Arial" w:hAnsi="Arial" w:cs="Arial"/>
        </w:rPr>
        <w:t>When the Act came into force, 61 per cent of the trucks registered in Australia were manufactured before 1996, and therefore had to meet one of criteria (b) – (d) to be eligible.</w:t>
      </w:r>
    </w:p>
    <w:p w14:paraId="12F3C460" w14:textId="77777777" w:rsidR="0022688F" w:rsidRPr="00EA14FE" w:rsidRDefault="0022688F" w:rsidP="0022688F">
      <w:pPr>
        <w:tabs>
          <w:tab w:val="left" w:pos="992"/>
        </w:tabs>
        <w:rPr>
          <w:rFonts w:ascii="Arial" w:hAnsi="Arial" w:cs="Arial"/>
        </w:rPr>
      </w:pPr>
    </w:p>
    <w:p w14:paraId="5AE89072" w14:textId="77777777" w:rsidR="0022688F" w:rsidRPr="00EA14FE" w:rsidRDefault="0022688F" w:rsidP="0022688F">
      <w:pPr>
        <w:tabs>
          <w:tab w:val="left" w:pos="992"/>
        </w:tabs>
        <w:rPr>
          <w:rFonts w:ascii="Arial" w:hAnsi="Arial" w:cs="Arial"/>
        </w:rPr>
      </w:pPr>
      <w:r w:rsidRPr="00EA14FE">
        <w:rPr>
          <w:rFonts w:ascii="Arial" w:hAnsi="Arial" w:cs="Arial"/>
        </w:rPr>
        <w:t xml:space="preserve">By 2016 this had fallen to 33 per cent of the trucks in service. As a result, the majority of the trucks in Australia do not have to meet any maintenance requirement or test to be eligible to receive fuel tax credits. </w:t>
      </w:r>
    </w:p>
    <w:p w14:paraId="6A4DC74A" w14:textId="77777777" w:rsidR="0022688F" w:rsidRPr="00EA14FE" w:rsidRDefault="0022688F" w:rsidP="0022688F">
      <w:pPr>
        <w:tabs>
          <w:tab w:val="left" w:pos="992"/>
        </w:tabs>
        <w:rPr>
          <w:rFonts w:ascii="Arial" w:hAnsi="Arial" w:cs="Arial"/>
        </w:rPr>
      </w:pPr>
    </w:p>
    <w:p w14:paraId="11E8E6DB" w14:textId="0AEDC195" w:rsidR="0022688F" w:rsidRPr="00EA14FE" w:rsidRDefault="0022688F" w:rsidP="0022688F">
      <w:pPr>
        <w:tabs>
          <w:tab w:val="left" w:pos="992"/>
        </w:tabs>
        <w:rPr>
          <w:rFonts w:ascii="Arial" w:hAnsi="Arial" w:cs="Arial"/>
        </w:rPr>
      </w:pPr>
      <w:r w:rsidRPr="00EA14FE">
        <w:rPr>
          <w:rFonts w:ascii="Arial" w:hAnsi="Arial" w:cs="Arial"/>
        </w:rPr>
        <w:t xml:space="preserve">The original incentive for regular maintenance included in the </w:t>
      </w:r>
      <w:r w:rsidRPr="00EA14FE">
        <w:rPr>
          <w:rFonts w:ascii="Arial" w:hAnsi="Arial" w:cs="Arial"/>
          <w:i/>
        </w:rPr>
        <w:t>Fuel Tax Act 2006</w:t>
      </w:r>
      <w:r w:rsidRPr="00EA14FE">
        <w:rPr>
          <w:rFonts w:ascii="Arial" w:hAnsi="Arial" w:cs="Arial"/>
        </w:rPr>
        <w:t xml:space="preserve">, critical to maintaining emissions standards in trucks, has been </w:t>
      </w:r>
      <w:r w:rsidR="00C43034">
        <w:rPr>
          <w:rFonts w:ascii="Arial" w:hAnsi="Arial" w:cs="Arial"/>
        </w:rPr>
        <w:t>diminished by the passage of time</w:t>
      </w:r>
      <w:r w:rsidRPr="00EA14FE">
        <w:rPr>
          <w:rFonts w:ascii="Arial" w:hAnsi="Arial" w:cs="Arial"/>
        </w:rPr>
        <w:t xml:space="preserve"> and will only continue to decrease without legislative change.</w:t>
      </w:r>
    </w:p>
    <w:p w14:paraId="0F8D3D9F" w14:textId="77777777" w:rsidR="0022688F" w:rsidRPr="00EA14FE" w:rsidRDefault="0022688F" w:rsidP="0022688F">
      <w:pPr>
        <w:tabs>
          <w:tab w:val="left" w:pos="992"/>
        </w:tabs>
        <w:rPr>
          <w:rFonts w:ascii="Arial" w:hAnsi="Arial" w:cs="Arial"/>
        </w:rPr>
      </w:pPr>
    </w:p>
    <w:p w14:paraId="1024C3E5" w14:textId="77777777" w:rsidR="004F3875" w:rsidRPr="00EA14FE" w:rsidRDefault="004F3875" w:rsidP="0022688F">
      <w:pPr>
        <w:tabs>
          <w:tab w:val="left" w:pos="992"/>
        </w:tabs>
        <w:rPr>
          <w:rFonts w:ascii="Arial" w:hAnsi="Arial" w:cs="Arial"/>
        </w:rPr>
      </w:pPr>
      <w:r w:rsidRPr="00EA14FE">
        <w:rPr>
          <w:rFonts w:ascii="Arial" w:hAnsi="Arial" w:cs="Arial"/>
        </w:rPr>
        <w:t xml:space="preserve">Given the importance of maintenance to achieving emission standards, the ATA proposes that the 1 January 1996 threshold (criteria a) should be removed entirely. Every heavy diesel vehicle used on public roads should be required to meet one of the three maintenance/test criteria to be eligible for fuel tax credits. </w:t>
      </w:r>
    </w:p>
    <w:p w14:paraId="46EE5B08" w14:textId="77777777" w:rsidR="004F3875" w:rsidRPr="00EA14FE" w:rsidRDefault="004F3875" w:rsidP="0022688F">
      <w:pPr>
        <w:tabs>
          <w:tab w:val="left" w:pos="992"/>
        </w:tabs>
        <w:rPr>
          <w:rFonts w:ascii="Arial" w:hAnsi="Arial" w:cs="Arial"/>
        </w:rPr>
      </w:pPr>
    </w:p>
    <w:p w14:paraId="123858E4" w14:textId="63644779" w:rsidR="004F3875" w:rsidRPr="00EA14FE" w:rsidRDefault="004F3875" w:rsidP="0022688F">
      <w:pPr>
        <w:tabs>
          <w:tab w:val="left" w:pos="992"/>
        </w:tabs>
        <w:rPr>
          <w:rFonts w:ascii="Arial" w:hAnsi="Arial" w:cs="Arial"/>
        </w:rPr>
      </w:pPr>
      <w:r w:rsidRPr="00EA14FE">
        <w:rPr>
          <w:rFonts w:ascii="Arial" w:hAnsi="Arial" w:cs="Arial"/>
          <w:b/>
        </w:rPr>
        <w:t>Recommendation</w:t>
      </w:r>
      <w:r w:rsidR="002A329C">
        <w:rPr>
          <w:rFonts w:ascii="Arial" w:hAnsi="Arial" w:cs="Arial"/>
          <w:b/>
        </w:rPr>
        <w:t xml:space="preserve"> 5</w:t>
      </w:r>
    </w:p>
    <w:p w14:paraId="3881C6B7" w14:textId="5E28395C" w:rsidR="0022688F" w:rsidRPr="00EA14FE" w:rsidRDefault="004F3875" w:rsidP="0022688F">
      <w:pPr>
        <w:tabs>
          <w:tab w:val="left" w:pos="992"/>
        </w:tabs>
        <w:rPr>
          <w:rFonts w:ascii="Arial" w:hAnsi="Arial" w:cs="Arial"/>
        </w:rPr>
      </w:pPr>
      <w:r w:rsidRPr="00EA14FE">
        <w:rPr>
          <w:rFonts w:ascii="Arial" w:hAnsi="Arial" w:cs="Arial"/>
        </w:rPr>
        <w:t xml:space="preserve">The Government should amend the </w:t>
      </w:r>
      <w:r w:rsidRPr="00EA14FE">
        <w:rPr>
          <w:rFonts w:ascii="Arial" w:hAnsi="Arial" w:cs="Arial"/>
          <w:i/>
        </w:rPr>
        <w:t>Fuel Tax Act 2006</w:t>
      </w:r>
      <w:r w:rsidRPr="00EA14FE">
        <w:rPr>
          <w:rFonts w:ascii="Arial" w:hAnsi="Arial" w:cs="Arial"/>
        </w:rPr>
        <w:t xml:space="preserve"> to remove the 1 January 1996 threshold, so that every heavy diesel vehicle used on public roads must meet a maintenance or test criteria to be eligible for fuel tax credits.  </w:t>
      </w:r>
    </w:p>
    <w:sectPr w:rsidR="0022688F" w:rsidRPr="00EA14FE" w:rsidSect="00A91411">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567" w:left="1134" w:header="703" w:footer="2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7B7C8" w14:textId="77777777" w:rsidR="000B698F" w:rsidRDefault="000B698F" w:rsidP="000F3D9F">
      <w:r>
        <w:separator/>
      </w:r>
    </w:p>
  </w:endnote>
  <w:endnote w:type="continuationSeparator" w:id="0">
    <w:p w14:paraId="64F03C65" w14:textId="77777777" w:rsidR="000B698F" w:rsidRDefault="000B698F" w:rsidP="000F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2510" w14:textId="77777777" w:rsidR="0009386C" w:rsidRDefault="0009386C" w:rsidP="0000435D">
    <w:pPr>
      <w:jc w:val="right"/>
      <w:rPr>
        <w:rFonts w:ascii="Arial" w:hAnsi="Arial" w:cs="Arial"/>
        <w:smallCaps/>
        <w:noProof/>
        <w:szCs w:val="23"/>
        <w:lang w:eastAsia="en-AU"/>
      </w:rPr>
    </w:pPr>
    <w:r>
      <w:rPr>
        <w:rFonts w:ascii="Arial" w:hAnsi="Arial" w:cs="Arial"/>
        <w:smallCaps/>
        <w:noProof/>
        <w:szCs w:val="23"/>
        <w:lang w:eastAsia="en-AU"/>
      </w:rPr>
      <w:drawing>
        <wp:inline distT="0" distB="0" distL="0" distR="0" wp14:anchorId="0795185E" wp14:editId="7DD48105">
          <wp:extent cx="1751501" cy="84645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ad Logo ACT 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1501" cy="846455"/>
                  </a:xfrm>
                  <a:prstGeom prst="rect">
                    <a:avLst/>
                  </a:prstGeom>
                  <a:noFill/>
                  <a:ln w="9525">
                    <a:noFill/>
                    <a:miter lim="800000"/>
                    <a:headEnd/>
                    <a:tailEnd/>
                  </a:ln>
                </pic:spPr>
              </pic:pic>
            </a:graphicData>
          </a:graphic>
        </wp:inline>
      </w:drawing>
    </w:r>
  </w:p>
  <w:p w14:paraId="3702A4AA" w14:textId="77777777" w:rsidR="0009386C" w:rsidRPr="00E8056B" w:rsidRDefault="0009386C" w:rsidP="00E8056B">
    <w:pPr>
      <w:jc w:val="right"/>
      <w:rPr>
        <w:rFonts w:ascii="Arial" w:hAnsi="Arial" w:cs="Arial"/>
        <w:sz w:val="16"/>
        <w:szCs w:val="16"/>
      </w:rPr>
    </w:pPr>
  </w:p>
  <w:p w14:paraId="7B73DD07" w14:textId="77777777" w:rsidR="0009386C" w:rsidRPr="00E8056B" w:rsidRDefault="0009386C" w:rsidP="00E8056B">
    <w:pPr>
      <w:pStyle w:val="Footer"/>
      <w:jc w:val="right"/>
      <w:rPr>
        <w:rFonts w:ascii="Arial" w:hAnsi="Arial" w:cs="Arial"/>
        <w:sz w:val="16"/>
        <w:szCs w:val="16"/>
      </w:rPr>
    </w:pPr>
    <w:smartTag w:uri="urn:schemas-microsoft-com:office:smarttags" w:element="place">
      <w:smartTag w:uri="urn:schemas-microsoft-com:office:smarttags" w:element="PlaceName">
        <w:r w:rsidRPr="00E8056B">
          <w:rPr>
            <w:rFonts w:ascii="Arial" w:hAnsi="Arial" w:cs="Arial"/>
            <w:sz w:val="16"/>
            <w:szCs w:val="16"/>
          </w:rPr>
          <w:t>Minter</w:t>
        </w:r>
      </w:smartTag>
      <w:r w:rsidRPr="00E8056B">
        <w:rPr>
          <w:rFonts w:ascii="Arial" w:hAnsi="Arial" w:cs="Arial"/>
          <w:sz w:val="16"/>
          <w:szCs w:val="16"/>
        </w:rPr>
        <w:t xml:space="preserve"> </w:t>
      </w:r>
      <w:smartTag w:uri="urn:schemas-microsoft-com:office:smarttags" w:element="PlaceType">
        <w:smartTag w:uri="urn:schemas-microsoft-com:office:smarttags" w:element="PlaceName">
          <w:r w:rsidRPr="00E8056B">
            <w:rPr>
              <w:rFonts w:ascii="Arial" w:hAnsi="Arial" w:cs="Arial"/>
              <w:sz w:val="16"/>
              <w:szCs w:val="16"/>
            </w:rPr>
            <w:t>Ellison</w:t>
          </w:r>
        </w:smartTag>
      </w:smartTag>
      <w:r w:rsidRPr="00E8056B">
        <w:rPr>
          <w:rFonts w:ascii="Arial" w:hAnsi="Arial" w:cs="Arial"/>
          <w:sz w:val="16"/>
          <w:szCs w:val="16"/>
        </w:rPr>
        <w:t xml:space="preserve"> </w:t>
      </w:r>
      <w:smartTag w:uri="urn:schemas-microsoft-com:office:smarttags" w:element="place">
        <w:r w:rsidRPr="00E8056B">
          <w:rPr>
            <w:rFonts w:ascii="Arial" w:hAnsi="Arial" w:cs="Arial"/>
            <w:sz w:val="16"/>
            <w:szCs w:val="16"/>
          </w:rPr>
          <w:t>Building</w:t>
        </w:r>
      </w:smartTag>
    </w:smartTag>
    <w:r w:rsidRPr="00E8056B">
      <w:rPr>
        <w:rFonts w:ascii="Arial" w:hAnsi="Arial" w:cs="Arial"/>
        <w:sz w:val="16"/>
        <w:szCs w:val="16"/>
      </w:rPr>
      <w:t>, 25 National Circuit, Forrest ACT 2603</w:t>
    </w:r>
  </w:p>
  <w:p w14:paraId="26F35C7E" w14:textId="77777777" w:rsidR="0009386C" w:rsidRPr="00E8056B" w:rsidRDefault="0009386C" w:rsidP="00E8056B">
    <w:pPr>
      <w:pStyle w:val="Footer"/>
      <w:jc w:val="right"/>
      <w:rPr>
        <w:rFonts w:ascii="Arial" w:hAnsi="Arial" w:cs="Arial"/>
        <w:sz w:val="16"/>
        <w:szCs w:val="16"/>
      </w:rPr>
    </w:pPr>
    <w:r w:rsidRPr="00E8056B">
      <w:rPr>
        <w:rFonts w:ascii="Arial" w:hAnsi="Arial" w:cs="Arial"/>
        <w:b/>
        <w:sz w:val="16"/>
        <w:szCs w:val="16"/>
      </w:rPr>
      <w:t>P</w:t>
    </w:r>
    <w:r w:rsidRPr="00E8056B">
      <w:rPr>
        <w:rFonts w:ascii="Arial" w:hAnsi="Arial" w:cs="Arial"/>
        <w:sz w:val="16"/>
        <w:szCs w:val="16"/>
      </w:rPr>
      <w:t xml:space="preserve"> 02 6253 6900 </w:t>
    </w:r>
    <w:r w:rsidRPr="00E8056B">
      <w:rPr>
        <w:rFonts w:ascii="Arial" w:hAnsi="Arial" w:cs="Arial"/>
        <w:b/>
        <w:sz w:val="16"/>
        <w:szCs w:val="16"/>
      </w:rPr>
      <w:t>F</w:t>
    </w:r>
    <w:r w:rsidRPr="00E8056B">
      <w:rPr>
        <w:rFonts w:ascii="Arial" w:hAnsi="Arial" w:cs="Arial"/>
        <w:sz w:val="16"/>
        <w:szCs w:val="16"/>
      </w:rPr>
      <w:t xml:space="preserve"> 02 6253 6999 </w:t>
    </w:r>
    <w:r w:rsidRPr="00E8056B">
      <w:rPr>
        <w:rFonts w:ascii="Arial" w:hAnsi="Arial" w:cs="Arial"/>
        <w:b/>
        <w:sz w:val="16"/>
        <w:szCs w:val="16"/>
      </w:rPr>
      <w:t>E</w:t>
    </w:r>
    <w:r w:rsidRPr="00E8056B">
      <w:rPr>
        <w:rFonts w:ascii="Arial" w:hAnsi="Arial" w:cs="Arial"/>
        <w:sz w:val="16"/>
        <w:szCs w:val="16"/>
      </w:rPr>
      <w:t xml:space="preserve"> </w:t>
    </w:r>
    <w:r>
      <w:rPr>
        <w:rFonts w:ascii="Arial" w:hAnsi="Arial" w:cs="Arial"/>
        <w:bCs/>
        <w:sz w:val="16"/>
        <w:szCs w:val="16"/>
      </w:rPr>
      <w:t>ata@</w:t>
    </w:r>
    <w:r w:rsidRPr="00E8056B">
      <w:rPr>
        <w:rFonts w:ascii="Arial" w:hAnsi="Arial" w:cs="Arial"/>
        <w:bCs/>
        <w:sz w:val="16"/>
        <w:szCs w:val="16"/>
      </w:rPr>
      <w:t>truck.net.au</w:t>
    </w:r>
    <w:r w:rsidRPr="00E8056B">
      <w:rPr>
        <w:rFonts w:ascii="Arial" w:hAnsi="Arial" w:cs="Arial"/>
        <w:b/>
        <w:sz w:val="16"/>
        <w:szCs w:val="16"/>
      </w:rPr>
      <w:t xml:space="preserve"> W</w:t>
    </w:r>
    <w:r w:rsidRPr="00E8056B">
      <w:rPr>
        <w:rFonts w:ascii="Arial" w:hAnsi="Arial" w:cs="Arial"/>
        <w:sz w:val="16"/>
        <w:szCs w:val="16"/>
      </w:rPr>
      <w:t xml:space="preserve"> </w:t>
    </w:r>
    <w:r>
      <w:rPr>
        <w:rFonts w:ascii="Arial" w:hAnsi="Arial" w:cs="Arial"/>
        <w:bCs/>
        <w:sz w:val="16"/>
        <w:szCs w:val="16"/>
      </w:rPr>
      <w:t>www.</w:t>
    </w:r>
    <w:r w:rsidRPr="00E8056B">
      <w:rPr>
        <w:rFonts w:ascii="Arial" w:hAnsi="Arial" w:cs="Arial"/>
        <w:bCs/>
        <w:sz w:val="16"/>
        <w:szCs w:val="16"/>
      </w:rPr>
      <w:t>truck.net.au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0F7ED" w14:textId="77777777" w:rsidR="0009386C" w:rsidRDefault="0009386C">
    <w:pPr>
      <w:pStyle w:val="Footer"/>
      <w:jc w:val="right"/>
    </w:pPr>
    <w:r>
      <w:fldChar w:fldCharType="begin"/>
    </w:r>
    <w:r>
      <w:instrText xml:space="preserve"> PAGE   \* MERGEFORMAT </w:instrText>
    </w:r>
    <w:r>
      <w:fldChar w:fldCharType="separate"/>
    </w:r>
    <w:r>
      <w:rPr>
        <w:noProof/>
      </w:rPr>
      <w:t>7</w:t>
    </w:r>
    <w:r>
      <w:rPr>
        <w:noProof/>
      </w:rPr>
      <w:fldChar w:fldCharType="end"/>
    </w:r>
  </w:p>
  <w:p w14:paraId="7D342872" w14:textId="77777777" w:rsidR="0009386C" w:rsidRDefault="000938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78EE4" w14:textId="77777777" w:rsidR="0009386C" w:rsidRDefault="000938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D93B0" w14:textId="77777777" w:rsidR="0009386C" w:rsidRDefault="0009386C"/>
  <w:tbl>
    <w:tblPr>
      <w:tblW w:w="0" w:type="auto"/>
      <w:tblBorders>
        <w:top w:val="single" w:sz="4" w:space="0" w:color="000000"/>
        <w:insideH w:val="single" w:sz="4" w:space="0" w:color="000000"/>
      </w:tblBorders>
      <w:tblLook w:val="04A0" w:firstRow="1" w:lastRow="0" w:firstColumn="1" w:lastColumn="0" w:noHBand="0" w:noVBand="1"/>
    </w:tblPr>
    <w:tblGrid>
      <w:gridCol w:w="7797"/>
      <w:gridCol w:w="1841"/>
    </w:tblGrid>
    <w:tr w:rsidR="0009386C" w:rsidRPr="00254532" w14:paraId="7546C294" w14:textId="77777777" w:rsidTr="00C87BB9">
      <w:trPr>
        <w:trHeight w:val="57"/>
      </w:trPr>
      <w:tc>
        <w:tcPr>
          <w:tcW w:w="7797" w:type="dxa"/>
          <w:vAlign w:val="center"/>
        </w:tcPr>
        <w:p w14:paraId="22A79039" w14:textId="4E0E3A1E" w:rsidR="0009386C" w:rsidRPr="00CB30A4" w:rsidRDefault="0009386C" w:rsidP="00294133">
          <w:pPr>
            <w:pStyle w:val="Footer"/>
            <w:rPr>
              <w:rFonts w:ascii="Arial" w:hAnsi="Arial" w:cs="Arial"/>
              <w:sz w:val="14"/>
              <w:szCs w:val="14"/>
            </w:rPr>
          </w:pPr>
          <w:r w:rsidRPr="00CB30A4">
            <w:rPr>
              <w:rFonts w:ascii="Arial" w:hAnsi="Arial" w:cs="Arial"/>
              <w:sz w:val="14"/>
              <w:szCs w:val="14"/>
            </w:rPr>
            <w:t xml:space="preserve">ATA </w:t>
          </w:r>
          <w:r w:rsidR="00294133" w:rsidRPr="00CB30A4">
            <w:rPr>
              <w:rFonts w:ascii="Arial" w:hAnsi="Arial" w:cs="Arial"/>
              <w:sz w:val="14"/>
              <w:szCs w:val="14"/>
            </w:rPr>
            <w:t xml:space="preserve">2017-18 pre-budget </w:t>
          </w:r>
          <w:r w:rsidRPr="00CB30A4">
            <w:rPr>
              <w:rFonts w:ascii="Arial" w:hAnsi="Arial" w:cs="Arial"/>
              <w:sz w:val="14"/>
              <w:szCs w:val="14"/>
            </w:rPr>
            <w:t>submission</w:t>
          </w:r>
        </w:p>
      </w:tc>
      <w:tc>
        <w:tcPr>
          <w:tcW w:w="1841" w:type="dxa"/>
          <w:vAlign w:val="center"/>
        </w:tcPr>
        <w:p w14:paraId="1154978D" w14:textId="77777777" w:rsidR="0009386C" w:rsidRPr="00CB30A4" w:rsidRDefault="0009386C" w:rsidP="00D735FF">
          <w:pPr>
            <w:pStyle w:val="Footer"/>
            <w:jc w:val="right"/>
            <w:rPr>
              <w:rFonts w:ascii="Arial" w:hAnsi="Arial" w:cs="Arial"/>
              <w:sz w:val="14"/>
              <w:szCs w:val="14"/>
            </w:rPr>
          </w:pPr>
          <w:r w:rsidRPr="00CB30A4">
            <w:rPr>
              <w:rFonts w:ascii="Arial" w:hAnsi="Arial" w:cs="Arial"/>
              <w:sz w:val="14"/>
              <w:szCs w:val="14"/>
            </w:rPr>
            <w:t xml:space="preserve">Page </w:t>
          </w:r>
          <w:r w:rsidRPr="00CB30A4">
            <w:rPr>
              <w:rFonts w:ascii="Arial" w:hAnsi="Arial" w:cs="Arial"/>
              <w:sz w:val="14"/>
              <w:szCs w:val="14"/>
            </w:rPr>
            <w:fldChar w:fldCharType="begin"/>
          </w:r>
          <w:r w:rsidRPr="00CB30A4">
            <w:rPr>
              <w:rFonts w:ascii="Arial" w:hAnsi="Arial" w:cs="Arial"/>
              <w:sz w:val="14"/>
              <w:szCs w:val="14"/>
            </w:rPr>
            <w:instrText xml:space="preserve"> PAGE   \* MERGEFORMAT </w:instrText>
          </w:r>
          <w:r w:rsidRPr="00CB30A4">
            <w:rPr>
              <w:rFonts w:ascii="Arial" w:hAnsi="Arial" w:cs="Arial"/>
              <w:sz w:val="14"/>
              <w:szCs w:val="14"/>
            </w:rPr>
            <w:fldChar w:fldCharType="separate"/>
          </w:r>
          <w:r w:rsidR="00C75602">
            <w:rPr>
              <w:rFonts w:ascii="Arial" w:hAnsi="Arial" w:cs="Arial"/>
              <w:noProof/>
              <w:sz w:val="14"/>
              <w:szCs w:val="14"/>
            </w:rPr>
            <w:t>2</w:t>
          </w:r>
          <w:r w:rsidRPr="00CB30A4">
            <w:rPr>
              <w:rFonts w:ascii="Arial" w:hAnsi="Arial" w:cs="Arial"/>
              <w:sz w:val="14"/>
              <w:szCs w:val="14"/>
            </w:rPr>
            <w:fldChar w:fldCharType="end"/>
          </w:r>
        </w:p>
      </w:tc>
    </w:tr>
  </w:tbl>
  <w:p w14:paraId="36A3971C" w14:textId="77777777" w:rsidR="0009386C" w:rsidRPr="00A91411" w:rsidRDefault="0009386C">
    <w:pPr>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8E8D" w14:textId="77777777" w:rsidR="0009386C" w:rsidRDefault="00093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95430" w14:textId="77777777" w:rsidR="000B698F" w:rsidRDefault="000B698F" w:rsidP="000F3D9F">
      <w:r>
        <w:separator/>
      </w:r>
    </w:p>
  </w:footnote>
  <w:footnote w:type="continuationSeparator" w:id="0">
    <w:p w14:paraId="049E6273" w14:textId="77777777" w:rsidR="000B698F" w:rsidRDefault="000B698F" w:rsidP="000F3D9F">
      <w:r>
        <w:continuationSeparator/>
      </w:r>
    </w:p>
  </w:footnote>
  <w:footnote w:id="1">
    <w:p w14:paraId="7AF3BEDD" w14:textId="7A78882E" w:rsidR="005E157B" w:rsidRPr="00CB30A4" w:rsidRDefault="005E157B">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The Hon. Scott Morrison MP, Treasurer, Speech to the Australasian Finance and Banking Conference, 14 December 2016</w:t>
      </w:r>
    </w:p>
  </w:footnote>
  <w:footnote w:id="2">
    <w:p w14:paraId="00DF6F1C" w14:textId="323A1BD7" w:rsidR="005E157B" w:rsidRPr="00CB30A4" w:rsidRDefault="005E157B">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Productivity Commission</w:t>
      </w:r>
      <w:r w:rsidR="004D59C1" w:rsidRPr="00CB30A4">
        <w:rPr>
          <w:rFonts w:ascii="Arial" w:hAnsi="Arial" w:cs="Arial"/>
          <w:sz w:val="18"/>
          <w:szCs w:val="18"/>
        </w:rPr>
        <w:t xml:space="preserve"> (PC)</w:t>
      </w:r>
      <w:r w:rsidRPr="00CB30A4">
        <w:rPr>
          <w:rFonts w:ascii="Arial" w:hAnsi="Arial" w:cs="Arial"/>
          <w:sz w:val="18"/>
          <w:szCs w:val="18"/>
        </w:rPr>
        <w:t xml:space="preserve">, </w:t>
      </w:r>
      <w:r w:rsidRPr="00CB30A4">
        <w:rPr>
          <w:rFonts w:ascii="Arial" w:hAnsi="Arial" w:cs="Arial"/>
          <w:i/>
          <w:sz w:val="18"/>
          <w:szCs w:val="18"/>
        </w:rPr>
        <w:t>Public Infrastructure</w:t>
      </w:r>
      <w:r w:rsidR="000D0774">
        <w:rPr>
          <w:rFonts w:ascii="Arial" w:hAnsi="Arial" w:cs="Arial"/>
          <w:sz w:val="18"/>
          <w:szCs w:val="18"/>
        </w:rPr>
        <w:t xml:space="preserve">, 2014, </w:t>
      </w:r>
      <w:r w:rsidRPr="00CB30A4">
        <w:rPr>
          <w:rFonts w:ascii="Arial" w:hAnsi="Arial" w:cs="Arial"/>
          <w:sz w:val="18"/>
          <w:szCs w:val="18"/>
        </w:rPr>
        <w:t>303.</w:t>
      </w:r>
    </w:p>
  </w:footnote>
  <w:footnote w:id="3">
    <w:p w14:paraId="011AF1DA" w14:textId="258D769F" w:rsidR="004D59C1" w:rsidRPr="00CB30A4" w:rsidRDefault="004D59C1">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Australian Government, </w:t>
      </w:r>
      <w:r w:rsidRPr="00CB30A4">
        <w:rPr>
          <w:rFonts w:ascii="Arial" w:hAnsi="Arial" w:cs="Arial"/>
          <w:i/>
          <w:sz w:val="18"/>
          <w:szCs w:val="18"/>
        </w:rPr>
        <w:t>Competition Policy Review Final Report</w:t>
      </w:r>
      <w:r w:rsidRPr="00CB30A4">
        <w:rPr>
          <w:rFonts w:ascii="Arial" w:hAnsi="Arial" w:cs="Arial"/>
          <w:sz w:val="18"/>
          <w:szCs w:val="18"/>
        </w:rPr>
        <w:t>, March 20</w:t>
      </w:r>
      <w:r w:rsidR="000D0774">
        <w:rPr>
          <w:rFonts w:ascii="Arial" w:hAnsi="Arial" w:cs="Arial"/>
          <w:sz w:val="18"/>
          <w:szCs w:val="18"/>
        </w:rPr>
        <w:t xml:space="preserve">15, </w:t>
      </w:r>
      <w:r w:rsidRPr="00CB30A4">
        <w:rPr>
          <w:rFonts w:ascii="Arial" w:hAnsi="Arial" w:cs="Arial"/>
          <w:sz w:val="18"/>
          <w:szCs w:val="18"/>
        </w:rPr>
        <w:t>213-216</w:t>
      </w:r>
    </w:p>
  </w:footnote>
  <w:footnote w:id="4">
    <w:p w14:paraId="4EA6506A" w14:textId="5E79EE72" w:rsidR="004D59C1" w:rsidRPr="00CB30A4" w:rsidRDefault="004D59C1">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PC, </w:t>
      </w:r>
      <w:r w:rsidRPr="00CB30A4">
        <w:rPr>
          <w:rFonts w:ascii="Arial" w:hAnsi="Arial" w:cs="Arial"/>
          <w:i/>
          <w:sz w:val="18"/>
          <w:szCs w:val="18"/>
        </w:rPr>
        <w:t>Public Infrastructure</w:t>
      </w:r>
      <w:r w:rsidR="000D0774">
        <w:rPr>
          <w:rFonts w:ascii="Arial" w:hAnsi="Arial" w:cs="Arial"/>
          <w:sz w:val="18"/>
          <w:szCs w:val="18"/>
        </w:rPr>
        <w:t xml:space="preserve">, 2014, </w:t>
      </w:r>
      <w:r w:rsidRPr="00CB30A4">
        <w:rPr>
          <w:rFonts w:ascii="Arial" w:hAnsi="Arial" w:cs="Arial"/>
          <w:sz w:val="18"/>
          <w:szCs w:val="18"/>
        </w:rPr>
        <w:t>303.</w:t>
      </w:r>
    </w:p>
  </w:footnote>
  <w:footnote w:id="5">
    <w:p w14:paraId="5D8A06AC" w14:textId="2BC27633" w:rsidR="00636B25" w:rsidRPr="00CB30A4" w:rsidRDefault="00636B25">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Infrastructure Australia, </w:t>
      </w:r>
      <w:r w:rsidRPr="00CB30A4">
        <w:rPr>
          <w:rFonts w:ascii="Arial" w:hAnsi="Arial" w:cs="Arial"/>
          <w:i/>
          <w:sz w:val="18"/>
          <w:szCs w:val="18"/>
        </w:rPr>
        <w:t>2010-2011 Project Assessment Brief – Pacific Highway Corridor Upgrades</w:t>
      </w:r>
      <w:r w:rsidR="000D0774">
        <w:rPr>
          <w:rFonts w:ascii="Arial" w:hAnsi="Arial" w:cs="Arial"/>
          <w:sz w:val="18"/>
          <w:szCs w:val="18"/>
        </w:rPr>
        <w:t xml:space="preserve">, 2011, </w:t>
      </w:r>
      <w:r w:rsidRPr="00CB30A4">
        <w:rPr>
          <w:rFonts w:ascii="Arial" w:hAnsi="Arial" w:cs="Arial"/>
          <w:sz w:val="18"/>
          <w:szCs w:val="18"/>
        </w:rPr>
        <w:t>1.</w:t>
      </w:r>
    </w:p>
  </w:footnote>
  <w:footnote w:id="6">
    <w:p w14:paraId="4FD86E84" w14:textId="70CE6DAF" w:rsidR="00636B25" w:rsidRPr="00CB30A4" w:rsidRDefault="00636B25">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Austroads, </w:t>
      </w:r>
      <w:r w:rsidRPr="00CB30A4">
        <w:rPr>
          <w:rFonts w:ascii="Arial" w:hAnsi="Arial" w:cs="Arial"/>
          <w:i/>
          <w:sz w:val="18"/>
          <w:szCs w:val="18"/>
        </w:rPr>
        <w:t>Road Geometry Study for Improved Rural Safety</w:t>
      </w:r>
      <w:r w:rsidR="000D0774">
        <w:rPr>
          <w:rFonts w:ascii="Arial" w:hAnsi="Arial" w:cs="Arial"/>
          <w:sz w:val="18"/>
          <w:szCs w:val="18"/>
        </w:rPr>
        <w:t xml:space="preserve">, 2015, </w:t>
      </w:r>
      <w:r w:rsidRPr="00CB30A4">
        <w:rPr>
          <w:rFonts w:ascii="Arial" w:hAnsi="Arial" w:cs="Arial"/>
          <w:sz w:val="18"/>
          <w:szCs w:val="18"/>
        </w:rPr>
        <w:t>1.</w:t>
      </w:r>
    </w:p>
  </w:footnote>
  <w:footnote w:id="7">
    <w:p w14:paraId="78D72B58" w14:textId="672054B7" w:rsidR="005E157B" w:rsidRPr="005E157B" w:rsidRDefault="005E157B">
      <w:pPr>
        <w:pStyle w:val="FootnoteText"/>
      </w:pPr>
      <w:r w:rsidRPr="00CB30A4">
        <w:rPr>
          <w:rStyle w:val="FootnoteReference"/>
          <w:rFonts w:ascii="Arial" w:hAnsi="Arial" w:cs="Arial"/>
          <w:sz w:val="18"/>
          <w:szCs w:val="18"/>
        </w:rPr>
        <w:footnoteRef/>
      </w:r>
      <w:r w:rsidRPr="00CB30A4">
        <w:rPr>
          <w:rFonts w:ascii="Arial" w:hAnsi="Arial" w:cs="Arial"/>
          <w:sz w:val="18"/>
          <w:szCs w:val="18"/>
        </w:rPr>
        <w:t xml:space="preserve"> National Road Safety Strategy, </w:t>
      </w:r>
      <w:r w:rsidRPr="00CB30A4">
        <w:rPr>
          <w:rFonts w:ascii="Arial" w:hAnsi="Arial" w:cs="Arial"/>
          <w:i/>
          <w:sz w:val="18"/>
          <w:szCs w:val="18"/>
        </w:rPr>
        <w:t>Directions – what the strategy aims to achieve by 2020</w:t>
      </w:r>
      <w:r w:rsidRPr="00CB30A4">
        <w:rPr>
          <w:rFonts w:ascii="Arial" w:hAnsi="Arial" w:cs="Arial"/>
          <w:sz w:val="18"/>
          <w:szCs w:val="18"/>
        </w:rPr>
        <w:t xml:space="preserve">, </w:t>
      </w:r>
      <w:hyperlink r:id="rId1" w:history="1">
        <w:r w:rsidRPr="00CB30A4">
          <w:rPr>
            <w:rStyle w:val="Hyperlink"/>
            <w:rFonts w:ascii="Arial" w:hAnsi="Arial" w:cs="Arial"/>
            <w:sz w:val="18"/>
            <w:szCs w:val="18"/>
          </w:rPr>
          <w:t>http://roadsafety.gov.au/nrss/directions.aspx</w:t>
        </w:r>
      </w:hyperlink>
      <w:r>
        <w:t xml:space="preserve"> </w:t>
      </w:r>
    </w:p>
  </w:footnote>
  <w:footnote w:id="8">
    <w:p w14:paraId="3CFDD46C" w14:textId="60469F89" w:rsidR="000D0774" w:rsidRPr="000D0774" w:rsidRDefault="000D0774">
      <w:pPr>
        <w:pStyle w:val="FootnoteText"/>
        <w:rPr>
          <w:rFonts w:ascii="Arial" w:hAnsi="Arial" w:cs="Arial"/>
        </w:rPr>
      </w:pPr>
      <w:r>
        <w:rPr>
          <w:rStyle w:val="FootnoteReference"/>
        </w:rPr>
        <w:footnoteRef/>
      </w:r>
      <w:r>
        <w:t xml:space="preserve"> </w:t>
      </w:r>
      <w:r w:rsidRPr="000D0774">
        <w:rPr>
          <w:rFonts w:ascii="Arial" w:hAnsi="Arial" w:cs="Arial"/>
          <w:sz w:val="18"/>
          <w:szCs w:val="18"/>
        </w:rPr>
        <w:t>Liberal Party of Australia/The Nationals</w:t>
      </w:r>
      <w:r>
        <w:rPr>
          <w:rFonts w:ascii="Arial" w:hAnsi="Arial" w:cs="Arial"/>
          <w:sz w:val="18"/>
          <w:szCs w:val="18"/>
        </w:rPr>
        <w:t xml:space="preserve">, </w:t>
      </w:r>
      <w:r w:rsidRPr="000D0774">
        <w:rPr>
          <w:rFonts w:ascii="Arial" w:hAnsi="Arial" w:cs="Arial"/>
          <w:i/>
          <w:sz w:val="18"/>
          <w:szCs w:val="18"/>
        </w:rPr>
        <w:t>The Coalition’s policy to protect jobs and growth in the trucking industry</w:t>
      </w:r>
      <w:r>
        <w:rPr>
          <w:rFonts w:ascii="Arial" w:hAnsi="Arial" w:cs="Arial"/>
          <w:sz w:val="18"/>
          <w:szCs w:val="18"/>
        </w:rPr>
        <w:t xml:space="preserve">, 2016. </w:t>
      </w:r>
      <w:hyperlink r:id="rId2" w:history="1">
        <w:r w:rsidRPr="000D0774">
          <w:rPr>
            <w:rStyle w:val="Hyperlink"/>
            <w:rFonts w:ascii="Arial" w:hAnsi="Arial" w:cs="Arial"/>
            <w:sz w:val="18"/>
            <w:szCs w:val="18"/>
          </w:rPr>
          <w:t>Link</w:t>
        </w:r>
      </w:hyperlink>
      <w:r>
        <w:rPr>
          <w:rFonts w:ascii="Arial" w:hAnsi="Arial" w:cs="Arial"/>
          <w:sz w:val="18"/>
          <w:szCs w:val="18"/>
        </w:rPr>
        <w:t>.</w:t>
      </w:r>
    </w:p>
  </w:footnote>
  <w:footnote w:id="9">
    <w:p w14:paraId="6AEB6AEC" w14:textId="1FC6D55B" w:rsidR="00DC4046" w:rsidRPr="00DC4046" w:rsidRDefault="00DC4046">
      <w:pPr>
        <w:pStyle w:val="FootnoteText"/>
        <w:rPr>
          <w:rFonts w:ascii="Arial" w:hAnsi="Arial" w:cs="Arial"/>
          <w:sz w:val="18"/>
          <w:szCs w:val="18"/>
        </w:rPr>
      </w:pPr>
      <w:r>
        <w:rPr>
          <w:rStyle w:val="FootnoteReference"/>
        </w:rPr>
        <w:footnoteRef/>
      </w:r>
      <w:r>
        <w:t xml:space="preserve"> </w:t>
      </w:r>
      <w:r>
        <w:rPr>
          <w:rFonts w:ascii="Arial" w:hAnsi="Arial" w:cs="Arial"/>
          <w:sz w:val="18"/>
          <w:szCs w:val="18"/>
        </w:rPr>
        <w:t xml:space="preserve">National Transport Insurance, </w:t>
      </w:r>
      <w:r w:rsidRPr="00DC4046">
        <w:rPr>
          <w:rFonts w:ascii="Arial" w:hAnsi="Arial" w:cs="Arial"/>
          <w:i/>
          <w:sz w:val="18"/>
          <w:szCs w:val="18"/>
        </w:rPr>
        <w:t>2015 major accident investigation report</w:t>
      </w:r>
      <w:r>
        <w:rPr>
          <w:rFonts w:ascii="Arial" w:hAnsi="Arial" w:cs="Arial"/>
          <w:sz w:val="18"/>
          <w:szCs w:val="18"/>
        </w:rPr>
        <w:t xml:space="preserve">, NTI, Brisbane, 2015, 7. </w:t>
      </w:r>
      <w:hyperlink r:id="rId3" w:history="1">
        <w:r w:rsidRPr="00DC4046">
          <w:rPr>
            <w:rStyle w:val="Hyperlink"/>
            <w:rFonts w:ascii="Arial" w:hAnsi="Arial" w:cs="Arial"/>
            <w:sz w:val="18"/>
            <w:szCs w:val="18"/>
          </w:rPr>
          <w:t>Link</w:t>
        </w:r>
      </w:hyperlink>
      <w:r>
        <w:rPr>
          <w:rFonts w:ascii="Arial" w:hAnsi="Arial" w:cs="Arial"/>
          <w:sz w:val="18"/>
          <w:szCs w:val="18"/>
        </w:rPr>
        <w:t>.</w:t>
      </w:r>
    </w:p>
  </w:footnote>
  <w:footnote w:id="10">
    <w:p w14:paraId="766057D0" w14:textId="3599D22B" w:rsidR="006C2B1A" w:rsidRPr="006C2B1A" w:rsidRDefault="006C2B1A">
      <w:pPr>
        <w:pStyle w:val="FootnoteText"/>
        <w:rPr>
          <w:rFonts w:ascii="Arial" w:hAnsi="Arial" w:cs="Arial"/>
          <w:sz w:val="18"/>
          <w:szCs w:val="18"/>
        </w:rPr>
      </w:pPr>
      <w:r>
        <w:rPr>
          <w:rStyle w:val="FootnoteReference"/>
        </w:rPr>
        <w:footnoteRef/>
      </w:r>
      <w:r>
        <w:t xml:space="preserve"> </w:t>
      </w:r>
      <w:r>
        <w:rPr>
          <w:rFonts w:ascii="Arial" w:hAnsi="Arial" w:cs="Arial"/>
          <w:sz w:val="18"/>
          <w:szCs w:val="18"/>
        </w:rPr>
        <w:t xml:space="preserve">Australian Small Business and Family Enterprise Ombudsman, </w:t>
      </w:r>
      <w:r w:rsidRPr="006C2B1A">
        <w:rPr>
          <w:rFonts w:ascii="Arial" w:hAnsi="Arial" w:cs="Arial"/>
          <w:i/>
          <w:sz w:val="18"/>
          <w:szCs w:val="18"/>
        </w:rPr>
        <w:t>Inquiry into the effect of the Road Safety Remuneration Tribunal’s Payments Order on Australian small businesses</w:t>
      </w:r>
      <w:r>
        <w:rPr>
          <w:rFonts w:ascii="Arial" w:hAnsi="Arial" w:cs="Arial"/>
          <w:sz w:val="18"/>
          <w:szCs w:val="18"/>
        </w:rPr>
        <w:t xml:space="preserve">. ASBFEO, Canberra, 2016. 45. </w:t>
      </w:r>
      <w:hyperlink r:id="rId4" w:history="1">
        <w:r w:rsidRPr="006C2B1A">
          <w:rPr>
            <w:rStyle w:val="Hyperlink"/>
            <w:rFonts w:ascii="Arial" w:hAnsi="Arial" w:cs="Arial"/>
            <w:sz w:val="18"/>
            <w:szCs w:val="18"/>
          </w:rPr>
          <w:t>Link</w:t>
        </w:r>
      </w:hyperlink>
      <w:r>
        <w:rPr>
          <w:rFonts w:ascii="Arial" w:hAnsi="Arial" w:cs="Arial"/>
          <w:sz w:val="18"/>
          <w:szCs w:val="18"/>
        </w:rPr>
        <w:t>.</w:t>
      </w:r>
    </w:p>
  </w:footnote>
  <w:footnote w:id="11">
    <w:p w14:paraId="66576F2A" w14:textId="0CCF3AC0" w:rsidR="006C2B1A" w:rsidRPr="006C2B1A" w:rsidRDefault="006C2B1A">
      <w:pPr>
        <w:pStyle w:val="FootnoteText"/>
        <w:rPr>
          <w:rFonts w:ascii="Arial" w:hAnsi="Arial" w:cs="Arial"/>
          <w:sz w:val="18"/>
          <w:szCs w:val="18"/>
        </w:rPr>
      </w:pPr>
      <w:r w:rsidRPr="006C2B1A">
        <w:rPr>
          <w:rStyle w:val="FootnoteReference"/>
          <w:rFonts w:ascii="Arial" w:hAnsi="Arial" w:cs="Arial"/>
          <w:sz w:val="18"/>
          <w:szCs w:val="18"/>
        </w:rPr>
        <w:footnoteRef/>
      </w:r>
      <w:r w:rsidRPr="006C2B1A">
        <w:rPr>
          <w:rFonts w:ascii="Arial" w:hAnsi="Arial" w:cs="Arial"/>
          <w:sz w:val="18"/>
          <w:szCs w:val="18"/>
        </w:rPr>
        <w:t xml:space="preserve"> Australian Government, </w:t>
      </w:r>
      <w:r w:rsidRPr="006C2B1A">
        <w:rPr>
          <w:rFonts w:ascii="Arial" w:hAnsi="Arial" w:cs="Arial"/>
          <w:i/>
          <w:sz w:val="18"/>
          <w:szCs w:val="18"/>
        </w:rPr>
        <w:t>Australian Government response to the Australian Small Business and Family Enterprise Ombudsman inquiry report into the effect of the Road Safety Remuneration Tribunal’s Payments Order on Australian small businesses</w:t>
      </w:r>
      <w:r>
        <w:rPr>
          <w:rFonts w:ascii="Arial" w:hAnsi="Arial" w:cs="Arial"/>
          <w:sz w:val="18"/>
          <w:szCs w:val="18"/>
        </w:rPr>
        <w:t xml:space="preserve">. Australian Government, Canberra, 2017. np. </w:t>
      </w:r>
      <w:hyperlink r:id="rId5" w:history="1">
        <w:r w:rsidRPr="006C2B1A">
          <w:rPr>
            <w:rStyle w:val="Hyperlink"/>
            <w:rFonts w:ascii="Arial" w:hAnsi="Arial" w:cs="Arial"/>
            <w:sz w:val="18"/>
            <w:szCs w:val="18"/>
          </w:rPr>
          <w:t>Link</w:t>
        </w:r>
      </w:hyperlink>
      <w:r>
        <w:rPr>
          <w:rFonts w:ascii="Arial" w:hAnsi="Arial" w:cs="Arial"/>
          <w:sz w:val="18"/>
          <w:szCs w:val="18"/>
        </w:rPr>
        <w:t>.</w:t>
      </w:r>
    </w:p>
  </w:footnote>
  <w:footnote w:id="12">
    <w:p w14:paraId="32888094" w14:textId="29E68EC4" w:rsidR="00CB19C7" w:rsidRPr="00CB30A4" w:rsidRDefault="00CB19C7">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Australian Government, </w:t>
      </w:r>
      <w:r w:rsidRPr="00CB30A4">
        <w:rPr>
          <w:rFonts w:ascii="Arial" w:hAnsi="Arial" w:cs="Arial"/>
          <w:i/>
          <w:sz w:val="18"/>
          <w:szCs w:val="18"/>
        </w:rPr>
        <w:t>Securing Australia’s energy future,</w:t>
      </w:r>
      <w:r w:rsidRPr="00CB30A4">
        <w:rPr>
          <w:rFonts w:ascii="Arial" w:hAnsi="Arial" w:cs="Arial"/>
          <w:sz w:val="18"/>
          <w:szCs w:val="18"/>
        </w:rPr>
        <w:t xml:space="preserve"> 2004, p103.</w:t>
      </w:r>
    </w:p>
  </w:footnote>
  <w:footnote w:id="13">
    <w:p w14:paraId="376FDF46" w14:textId="404FE056" w:rsidR="00CB19C7" w:rsidRPr="00CB30A4" w:rsidRDefault="00CB19C7">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McGinn, S. </w:t>
      </w:r>
      <w:r w:rsidRPr="00CB30A4">
        <w:rPr>
          <w:rFonts w:ascii="Arial" w:hAnsi="Arial" w:cs="Arial"/>
          <w:i/>
          <w:sz w:val="18"/>
          <w:szCs w:val="18"/>
        </w:rPr>
        <w:t>The relationship between diesel engine maintenance and exhaust emissions,</w:t>
      </w:r>
      <w:r w:rsidRPr="00CB30A4">
        <w:rPr>
          <w:rFonts w:ascii="Arial" w:hAnsi="Arial" w:cs="Arial"/>
          <w:sz w:val="18"/>
          <w:szCs w:val="18"/>
        </w:rPr>
        <w:t xml:space="preserve"> Noranda Technology Centre for the Diesel Emissions Evaluation Program (DEEP), p8.</w:t>
      </w:r>
    </w:p>
  </w:footnote>
  <w:footnote w:id="14">
    <w:p w14:paraId="32C81A35" w14:textId="1F11300A" w:rsidR="00C85644" w:rsidRPr="00CB30A4" w:rsidRDefault="00C85644">
      <w:pPr>
        <w:pStyle w:val="FootnoteText"/>
        <w:rPr>
          <w:rFonts w:ascii="Arial" w:hAnsi="Arial" w:cs="Arial"/>
          <w:sz w:val="18"/>
          <w:szCs w:val="18"/>
        </w:rPr>
      </w:pPr>
      <w:r w:rsidRPr="00CB30A4">
        <w:rPr>
          <w:rStyle w:val="FootnoteReference"/>
          <w:rFonts w:ascii="Arial" w:hAnsi="Arial" w:cs="Arial"/>
          <w:sz w:val="18"/>
          <w:szCs w:val="18"/>
        </w:rPr>
        <w:footnoteRef/>
      </w:r>
      <w:r w:rsidRPr="00CB30A4">
        <w:rPr>
          <w:rFonts w:ascii="Arial" w:hAnsi="Arial" w:cs="Arial"/>
          <w:sz w:val="18"/>
          <w:szCs w:val="18"/>
        </w:rPr>
        <w:t xml:space="preserve"> Pillot, D et al. </w:t>
      </w:r>
      <w:r w:rsidRPr="00CB30A4">
        <w:rPr>
          <w:rFonts w:ascii="Arial" w:hAnsi="Arial" w:cs="Arial"/>
          <w:i/>
          <w:sz w:val="18"/>
          <w:szCs w:val="18"/>
        </w:rPr>
        <w:t>Impacts of inadequate engine maintenance on diesel exhaust emissions,</w:t>
      </w:r>
      <w:r w:rsidRPr="00CB30A4">
        <w:rPr>
          <w:rFonts w:ascii="Arial" w:hAnsi="Arial" w:cs="Arial"/>
          <w:sz w:val="18"/>
          <w:szCs w:val="18"/>
        </w:rPr>
        <w:t xml:space="preserve"> Transport Research Arena, 2014, Paris.</w:t>
      </w:r>
    </w:p>
  </w:footnote>
  <w:footnote w:id="15">
    <w:p w14:paraId="03DC5EB1" w14:textId="0A62CA7E" w:rsidR="0022688F" w:rsidRPr="0022688F" w:rsidRDefault="0022688F">
      <w:pPr>
        <w:pStyle w:val="FootnoteText"/>
      </w:pPr>
      <w:r w:rsidRPr="00CB30A4">
        <w:rPr>
          <w:rStyle w:val="FootnoteReference"/>
          <w:rFonts w:ascii="Arial" w:hAnsi="Arial" w:cs="Arial"/>
          <w:sz w:val="18"/>
          <w:szCs w:val="18"/>
        </w:rPr>
        <w:footnoteRef/>
      </w:r>
      <w:r w:rsidRPr="00CB30A4">
        <w:rPr>
          <w:rFonts w:ascii="Arial" w:hAnsi="Arial" w:cs="Arial"/>
          <w:sz w:val="18"/>
          <w:szCs w:val="18"/>
        </w:rPr>
        <w:t xml:space="preserve"> Department of Transport and Regional Services, </w:t>
      </w:r>
      <w:r w:rsidRPr="00CB30A4">
        <w:rPr>
          <w:rFonts w:ascii="Arial" w:hAnsi="Arial" w:cs="Arial"/>
          <w:i/>
          <w:sz w:val="18"/>
          <w:szCs w:val="18"/>
        </w:rPr>
        <w:t>Fuel tax credit for heavy diesel vehicles: guidelines for satisfying environmental criteria,</w:t>
      </w:r>
      <w:r w:rsidRPr="00CB30A4">
        <w:rPr>
          <w:rFonts w:ascii="Arial" w:hAnsi="Arial" w:cs="Arial"/>
          <w:sz w:val="18"/>
          <w:szCs w:val="18"/>
        </w:rPr>
        <w:t xml:space="preserve"> 2006, pp7-9.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5FCDF" w14:textId="77777777" w:rsidR="0009386C" w:rsidRPr="00E8056B" w:rsidRDefault="0009386C" w:rsidP="001C3659">
    <w:pPr>
      <w:jc w:val="right"/>
      <w:rPr>
        <w:rFonts w:ascii="Arial" w:hAnsi="Arial" w:cs="Arial"/>
        <w:color w:val="FF0000"/>
        <w:sz w:val="18"/>
        <w:szCs w:val="18"/>
      </w:rPr>
    </w:pPr>
    <w:r w:rsidRPr="00E8056B">
      <w:rPr>
        <w:rFonts w:ascii="Arial" w:hAnsi="Arial" w:cs="Arial"/>
        <w:color w:val="000064"/>
        <w:sz w:val="18"/>
        <w:szCs w:val="18"/>
      </w:rPr>
      <w:t xml:space="preserve">AUSTRALIAN TRUCKING </w:t>
    </w:r>
    <w:r w:rsidRPr="00E8056B">
      <w:rPr>
        <w:rFonts w:ascii="Arial" w:hAnsi="Arial" w:cs="Arial"/>
        <w:color w:val="FF0000"/>
        <w:sz w:val="18"/>
        <w:szCs w:val="18"/>
      </w:rPr>
      <w:t>ASSOCIATION</w:t>
    </w:r>
  </w:p>
  <w:p w14:paraId="6B72BC78" w14:textId="77777777" w:rsidR="0009386C" w:rsidRDefault="00093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4F0C2" w14:textId="77777777" w:rsidR="0009386C" w:rsidRDefault="00093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C9E9" w14:textId="77777777" w:rsidR="0009386C" w:rsidRPr="0019542E" w:rsidRDefault="0009386C" w:rsidP="00986804">
    <w:pPr>
      <w:jc w:val="right"/>
      <w:rPr>
        <w:sz w:val="4"/>
        <w:szCs w:val="4"/>
      </w:rPr>
    </w:pPr>
    <w:r w:rsidRPr="00565F92">
      <w:rPr>
        <w:rFonts w:ascii="Arial" w:hAnsi="Arial" w:cs="Arial"/>
        <w:color w:val="000064"/>
        <w:sz w:val="18"/>
        <w:szCs w:val="18"/>
      </w:rPr>
      <w:t xml:space="preserve">AUSTRALIAN TRUCKING </w:t>
    </w:r>
    <w:r w:rsidRPr="00565F92">
      <w:rPr>
        <w:rFonts w:ascii="Arial" w:hAnsi="Arial" w:cs="Arial"/>
        <w:color w:val="FF0000"/>
        <w:sz w:val="18"/>
        <w:szCs w:val="18"/>
      </w:rPr>
      <w:t>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034EF" w14:textId="77777777" w:rsidR="0009386C" w:rsidRDefault="00093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73E"/>
    <w:multiLevelType w:val="hybridMultilevel"/>
    <w:tmpl w:val="A49C9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72361E"/>
    <w:multiLevelType w:val="hybridMultilevel"/>
    <w:tmpl w:val="917CB640"/>
    <w:lvl w:ilvl="0" w:tplc="5CFCC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DA35423"/>
    <w:multiLevelType w:val="hybridMultilevel"/>
    <w:tmpl w:val="8968C0E4"/>
    <w:lvl w:ilvl="0" w:tplc="815878FA">
      <w:start w:val="1"/>
      <w:numFmt w:val="decimal"/>
      <w:pStyle w:val="RecommendationStyle"/>
      <w:lvlText w:val="Recommendation %1"/>
      <w:lvlJc w:val="left"/>
      <w:pPr>
        <w:tabs>
          <w:tab w:val="num" w:pos="1192"/>
        </w:tabs>
      </w:pPr>
      <w:rPr>
        <w:rFonts w:ascii="Arial" w:hAnsi="Arial" w:cs="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5D554ED9"/>
    <w:multiLevelType w:val="multilevel"/>
    <w:tmpl w:val="652E1C90"/>
    <w:lvl w:ilvl="0">
      <w:start w:val="1"/>
      <w:numFmt w:val="decimal"/>
      <w:pStyle w:val="Heading1"/>
      <w:lvlText w:val="%1."/>
      <w:lvlJc w:val="left"/>
      <w:pPr>
        <w:ind w:left="643" w:hanging="360"/>
      </w:pPr>
      <w:rPr>
        <w:rFonts w:cs="Times New Roman" w:hint="default"/>
      </w:rPr>
    </w:lvl>
    <w:lvl w:ilvl="1">
      <w:start w:val="1"/>
      <w:numFmt w:val="decimal"/>
      <w:pStyle w:val="ATAHeading2"/>
      <w:lvlText w:val="%1.%2."/>
      <w:lvlJc w:val="left"/>
      <w:pPr>
        <w:ind w:left="290" w:hanging="432"/>
      </w:pPr>
      <w:rPr>
        <w:rFonts w:cs="Times New Roman" w:hint="default"/>
      </w:rPr>
    </w:lvl>
    <w:lvl w:ilvl="2">
      <w:start w:val="1"/>
      <w:numFmt w:val="decimal"/>
      <w:pStyle w:val="ATAHeading3"/>
      <w:lvlText w:val="%1.%2.%3."/>
      <w:lvlJc w:val="left"/>
      <w:pPr>
        <w:ind w:left="798" w:hanging="504"/>
      </w:pPr>
      <w:rPr>
        <w:rFonts w:cs="Times New Roman" w:hint="default"/>
        <w:b/>
        <w:color w:val="000064"/>
      </w:rPr>
    </w:lvl>
    <w:lvl w:ilvl="3">
      <w:start w:val="1"/>
      <w:numFmt w:val="decimal"/>
      <w:lvlText w:val="%1.%2.%3.%4."/>
      <w:lvlJc w:val="left"/>
      <w:pPr>
        <w:ind w:left="1302" w:hanging="648"/>
      </w:pPr>
      <w:rPr>
        <w:rFonts w:cs="Times New Roman" w:hint="default"/>
      </w:rPr>
    </w:lvl>
    <w:lvl w:ilvl="4">
      <w:start w:val="1"/>
      <w:numFmt w:val="decimal"/>
      <w:lvlText w:val="%1.%2.%3.%4.%5."/>
      <w:lvlJc w:val="left"/>
      <w:pPr>
        <w:ind w:left="1806" w:hanging="792"/>
      </w:pPr>
      <w:rPr>
        <w:rFonts w:cs="Times New Roman" w:hint="default"/>
      </w:rPr>
    </w:lvl>
    <w:lvl w:ilvl="5">
      <w:start w:val="1"/>
      <w:numFmt w:val="decimal"/>
      <w:lvlText w:val="%1.%2.%3.%4.%5.%6."/>
      <w:lvlJc w:val="left"/>
      <w:pPr>
        <w:ind w:left="2310" w:hanging="936"/>
      </w:pPr>
      <w:rPr>
        <w:rFonts w:cs="Times New Roman" w:hint="default"/>
      </w:rPr>
    </w:lvl>
    <w:lvl w:ilvl="6">
      <w:start w:val="1"/>
      <w:numFmt w:val="decimal"/>
      <w:lvlText w:val="%1.%2.%3.%4.%5.%6.%7."/>
      <w:lvlJc w:val="left"/>
      <w:pPr>
        <w:ind w:left="2814" w:hanging="1080"/>
      </w:pPr>
      <w:rPr>
        <w:rFonts w:cs="Times New Roman" w:hint="default"/>
      </w:rPr>
    </w:lvl>
    <w:lvl w:ilvl="7">
      <w:start w:val="1"/>
      <w:numFmt w:val="decimal"/>
      <w:lvlText w:val="%1.%2.%3.%4.%5.%6.%7.%8."/>
      <w:lvlJc w:val="left"/>
      <w:pPr>
        <w:ind w:left="3318" w:hanging="1224"/>
      </w:pPr>
      <w:rPr>
        <w:rFonts w:cs="Times New Roman" w:hint="default"/>
      </w:rPr>
    </w:lvl>
    <w:lvl w:ilvl="8">
      <w:start w:val="1"/>
      <w:numFmt w:val="decimal"/>
      <w:lvlText w:val="%1.%2.%3.%4.%5.%6.%7.%8.%9."/>
      <w:lvlJc w:val="left"/>
      <w:pPr>
        <w:ind w:left="3894" w:hanging="1440"/>
      </w:pPr>
      <w:rPr>
        <w:rFonts w:cs="Times New Roman" w:hint="default"/>
      </w:rPr>
    </w:lvl>
  </w:abstractNum>
  <w:num w:numId="1">
    <w:abstractNumId w:val="3"/>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E9"/>
    <w:rsid w:val="0000052A"/>
    <w:rsid w:val="00000CE3"/>
    <w:rsid w:val="00001E4D"/>
    <w:rsid w:val="00002A51"/>
    <w:rsid w:val="0000435D"/>
    <w:rsid w:val="00005A35"/>
    <w:rsid w:val="00005E0D"/>
    <w:rsid w:val="00006079"/>
    <w:rsid w:val="00006297"/>
    <w:rsid w:val="00006C53"/>
    <w:rsid w:val="00007723"/>
    <w:rsid w:val="00007CA7"/>
    <w:rsid w:val="00011661"/>
    <w:rsid w:val="00012205"/>
    <w:rsid w:val="00012DC3"/>
    <w:rsid w:val="00013F22"/>
    <w:rsid w:val="00014ACF"/>
    <w:rsid w:val="000156D1"/>
    <w:rsid w:val="000169A5"/>
    <w:rsid w:val="00020B9C"/>
    <w:rsid w:val="00021886"/>
    <w:rsid w:val="00021D7D"/>
    <w:rsid w:val="0002564A"/>
    <w:rsid w:val="00027E86"/>
    <w:rsid w:val="00030025"/>
    <w:rsid w:val="0003251D"/>
    <w:rsid w:val="000349FA"/>
    <w:rsid w:val="00034E87"/>
    <w:rsid w:val="000350A8"/>
    <w:rsid w:val="00035304"/>
    <w:rsid w:val="00035CD9"/>
    <w:rsid w:val="00035CFC"/>
    <w:rsid w:val="000363E4"/>
    <w:rsid w:val="0003681B"/>
    <w:rsid w:val="0003685B"/>
    <w:rsid w:val="00037DF7"/>
    <w:rsid w:val="0004081E"/>
    <w:rsid w:val="00040876"/>
    <w:rsid w:val="00040B35"/>
    <w:rsid w:val="000416A0"/>
    <w:rsid w:val="000447B1"/>
    <w:rsid w:val="000447DA"/>
    <w:rsid w:val="00044FFF"/>
    <w:rsid w:val="000456D8"/>
    <w:rsid w:val="00046251"/>
    <w:rsid w:val="00047723"/>
    <w:rsid w:val="00047B01"/>
    <w:rsid w:val="00050538"/>
    <w:rsid w:val="00050AC8"/>
    <w:rsid w:val="00050CE6"/>
    <w:rsid w:val="00052E54"/>
    <w:rsid w:val="00052E9C"/>
    <w:rsid w:val="00053C20"/>
    <w:rsid w:val="00053DCB"/>
    <w:rsid w:val="0005427F"/>
    <w:rsid w:val="00054F0E"/>
    <w:rsid w:val="000558FB"/>
    <w:rsid w:val="00056113"/>
    <w:rsid w:val="00056A74"/>
    <w:rsid w:val="00057255"/>
    <w:rsid w:val="00060365"/>
    <w:rsid w:val="00060651"/>
    <w:rsid w:val="000619B0"/>
    <w:rsid w:val="00061E3C"/>
    <w:rsid w:val="0006283B"/>
    <w:rsid w:val="00063D15"/>
    <w:rsid w:val="000647A7"/>
    <w:rsid w:val="00067698"/>
    <w:rsid w:val="00070737"/>
    <w:rsid w:val="0007104C"/>
    <w:rsid w:val="00071272"/>
    <w:rsid w:val="00071A71"/>
    <w:rsid w:val="00072CCE"/>
    <w:rsid w:val="00073E8C"/>
    <w:rsid w:val="0007542B"/>
    <w:rsid w:val="00075811"/>
    <w:rsid w:val="00075C01"/>
    <w:rsid w:val="00075E7B"/>
    <w:rsid w:val="00077364"/>
    <w:rsid w:val="00081098"/>
    <w:rsid w:val="00082EA9"/>
    <w:rsid w:val="0008303D"/>
    <w:rsid w:val="00083959"/>
    <w:rsid w:val="00083C15"/>
    <w:rsid w:val="000841E5"/>
    <w:rsid w:val="000848A1"/>
    <w:rsid w:val="00086A56"/>
    <w:rsid w:val="00087208"/>
    <w:rsid w:val="000874AC"/>
    <w:rsid w:val="00087B84"/>
    <w:rsid w:val="0009056B"/>
    <w:rsid w:val="000916AB"/>
    <w:rsid w:val="00091EB9"/>
    <w:rsid w:val="00093679"/>
    <w:rsid w:val="000937A9"/>
    <w:rsid w:val="0009386C"/>
    <w:rsid w:val="00094FE3"/>
    <w:rsid w:val="00095C3B"/>
    <w:rsid w:val="00096B02"/>
    <w:rsid w:val="0009718D"/>
    <w:rsid w:val="00097329"/>
    <w:rsid w:val="000976B9"/>
    <w:rsid w:val="0009785A"/>
    <w:rsid w:val="000A01D0"/>
    <w:rsid w:val="000A2163"/>
    <w:rsid w:val="000A21FE"/>
    <w:rsid w:val="000A2996"/>
    <w:rsid w:val="000A2BCF"/>
    <w:rsid w:val="000A2C1A"/>
    <w:rsid w:val="000A4EB0"/>
    <w:rsid w:val="000A5734"/>
    <w:rsid w:val="000A6499"/>
    <w:rsid w:val="000A7570"/>
    <w:rsid w:val="000B0410"/>
    <w:rsid w:val="000B069A"/>
    <w:rsid w:val="000B1819"/>
    <w:rsid w:val="000B2A56"/>
    <w:rsid w:val="000B496C"/>
    <w:rsid w:val="000B5ED2"/>
    <w:rsid w:val="000B698F"/>
    <w:rsid w:val="000C049C"/>
    <w:rsid w:val="000C0C35"/>
    <w:rsid w:val="000C0F58"/>
    <w:rsid w:val="000C251B"/>
    <w:rsid w:val="000C35F6"/>
    <w:rsid w:val="000C4A62"/>
    <w:rsid w:val="000C7BBC"/>
    <w:rsid w:val="000D033C"/>
    <w:rsid w:val="000D0774"/>
    <w:rsid w:val="000D48DD"/>
    <w:rsid w:val="000D5E4E"/>
    <w:rsid w:val="000D633B"/>
    <w:rsid w:val="000D6EF5"/>
    <w:rsid w:val="000D7B94"/>
    <w:rsid w:val="000D7CD4"/>
    <w:rsid w:val="000E00E4"/>
    <w:rsid w:val="000E7B14"/>
    <w:rsid w:val="000F099E"/>
    <w:rsid w:val="000F0F7B"/>
    <w:rsid w:val="000F314E"/>
    <w:rsid w:val="000F34E0"/>
    <w:rsid w:val="000F3ACC"/>
    <w:rsid w:val="000F3ADB"/>
    <w:rsid w:val="000F3D9F"/>
    <w:rsid w:val="000F49AC"/>
    <w:rsid w:val="000F53C2"/>
    <w:rsid w:val="000F566E"/>
    <w:rsid w:val="000F5BB5"/>
    <w:rsid w:val="000F5E0C"/>
    <w:rsid w:val="000F7F6F"/>
    <w:rsid w:val="00100A35"/>
    <w:rsid w:val="00103E24"/>
    <w:rsid w:val="00103E63"/>
    <w:rsid w:val="00104DDB"/>
    <w:rsid w:val="001051CB"/>
    <w:rsid w:val="00106D24"/>
    <w:rsid w:val="00106FC6"/>
    <w:rsid w:val="00110610"/>
    <w:rsid w:val="00110711"/>
    <w:rsid w:val="00110A53"/>
    <w:rsid w:val="001121A8"/>
    <w:rsid w:val="0011347C"/>
    <w:rsid w:val="00114941"/>
    <w:rsid w:val="00114FC5"/>
    <w:rsid w:val="00115314"/>
    <w:rsid w:val="00116567"/>
    <w:rsid w:val="001167BC"/>
    <w:rsid w:val="001176CB"/>
    <w:rsid w:val="00121A4F"/>
    <w:rsid w:val="00121A53"/>
    <w:rsid w:val="00122285"/>
    <w:rsid w:val="00124231"/>
    <w:rsid w:val="00124E0A"/>
    <w:rsid w:val="00125009"/>
    <w:rsid w:val="00125023"/>
    <w:rsid w:val="00126A32"/>
    <w:rsid w:val="0013041A"/>
    <w:rsid w:val="001311B5"/>
    <w:rsid w:val="001320D2"/>
    <w:rsid w:val="00132E36"/>
    <w:rsid w:val="00133207"/>
    <w:rsid w:val="00134E0D"/>
    <w:rsid w:val="001356F2"/>
    <w:rsid w:val="0013571B"/>
    <w:rsid w:val="001368EB"/>
    <w:rsid w:val="00140AC8"/>
    <w:rsid w:val="00141274"/>
    <w:rsid w:val="00141395"/>
    <w:rsid w:val="0014179F"/>
    <w:rsid w:val="00142A90"/>
    <w:rsid w:val="0014300C"/>
    <w:rsid w:val="001431E4"/>
    <w:rsid w:val="001434D3"/>
    <w:rsid w:val="00145B71"/>
    <w:rsid w:val="0014683D"/>
    <w:rsid w:val="00147B58"/>
    <w:rsid w:val="00150065"/>
    <w:rsid w:val="0015008C"/>
    <w:rsid w:val="00150435"/>
    <w:rsid w:val="0015062F"/>
    <w:rsid w:val="0015211C"/>
    <w:rsid w:val="00152A71"/>
    <w:rsid w:val="001531B2"/>
    <w:rsid w:val="001533F1"/>
    <w:rsid w:val="0015359E"/>
    <w:rsid w:val="0015386B"/>
    <w:rsid w:val="00154AD7"/>
    <w:rsid w:val="001552BC"/>
    <w:rsid w:val="00160FE3"/>
    <w:rsid w:val="001611AB"/>
    <w:rsid w:val="001623CC"/>
    <w:rsid w:val="00162425"/>
    <w:rsid w:val="00162AFB"/>
    <w:rsid w:val="00163879"/>
    <w:rsid w:val="00163979"/>
    <w:rsid w:val="00163EDD"/>
    <w:rsid w:val="00165127"/>
    <w:rsid w:val="00166CBD"/>
    <w:rsid w:val="00167142"/>
    <w:rsid w:val="00167289"/>
    <w:rsid w:val="00170BFC"/>
    <w:rsid w:val="00172801"/>
    <w:rsid w:val="00172FC4"/>
    <w:rsid w:val="00174273"/>
    <w:rsid w:val="00175A33"/>
    <w:rsid w:val="00176C09"/>
    <w:rsid w:val="0017728E"/>
    <w:rsid w:val="00177BE9"/>
    <w:rsid w:val="00177FCF"/>
    <w:rsid w:val="001807A8"/>
    <w:rsid w:val="001811B8"/>
    <w:rsid w:val="001822CF"/>
    <w:rsid w:val="00182B6D"/>
    <w:rsid w:val="00182D31"/>
    <w:rsid w:val="0018381C"/>
    <w:rsid w:val="001855CD"/>
    <w:rsid w:val="00185B28"/>
    <w:rsid w:val="0018607D"/>
    <w:rsid w:val="00190FF5"/>
    <w:rsid w:val="0019200A"/>
    <w:rsid w:val="00193930"/>
    <w:rsid w:val="0019542E"/>
    <w:rsid w:val="00195A7F"/>
    <w:rsid w:val="00195C1B"/>
    <w:rsid w:val="001976EC"/>
    <w:rsid w:val="0019774B"/>
    <w:rsid w:val="00197A36"/>
    <w:rsid w:val="00197B9E"/>
    <w:rsid w:val="001A05D5"/>
    <w:rsid w:val="001A0DC3"/>
    <w:rsid w:val="001A0DEF"/>
    <w:rsid w:val="001A24BE"/>
    <w:rsid w:val="001A3A47"/>
    <w:rsid w:val="001A57AA"/>
    <w:rsid w:val="001A6510"/>
    <w:rsid w:val="001A6D98"/>
    <w:rsid w:val="001A7687"/>
    <w:rsid w:val="001B0529"/>
    <w:rsid w:val="001B0E57"/>
    <w:rsid w:val="001B2CD7"/>
    <w:rsid w:val="001B3675"/>
    <w:rsid w:val="001B36AC"/>
    <w:rsid w:val="001B3E52"/>
    <w:rsid w:val="001B4180"/>
    <w:rsid w:val="001B49D4"/>
    <w:rsid w:val="001B5390"/>
    <w:rsid w:val="001B738A"/>
    <w:rsid w:val="001C05C2"/>
    <w:rsid w:val="001C0C68"/>
    <w:rsid w:val="001C125D"/>
    <w:rsid w:val="001C33DE"/>
    <w:rsid w:val="001C3659"/>
    <w:rsid w:val="001C4C8D"/>
    <w:rsid w:val="001C5B41"/>
    <w:rsid w:val="001C692D"/>
    <w:rsid w:val="001D2D61"/>
    <w:rsid w:val="001D31DD"/>
    <w:rsid w:val="001D4917"/>
    <w:rsid w:val="001D50C7"/>
    <w:rsid w:val="001D64FE"/>
    <w:rsid w:val="001D77A8"/>
    <w:rsid w:val="001D7817"/>
    <w:rsid w:val="001E023F"/>
    <w:rsid w:val="001E0A75"/>
    <w:rsid w:val="001E1BA9"/>
    <w:rsid w:val="001E3AC7"/>
    <w:rsid w:val="001E474C"/>
    <w:rsid w:val="001E4E95"/>
    <w:rsid w:val="001E5BE0"/>
    <w:rsid w:val="001E5C29"/>
    <w:rsid w:val="001E70A3"/>
    <w:rsid w:val="001F0C6E"/>
    <w:rsid w:val="001F1455"/>
    <w:rsid w:val="001F187C"/>
    <w:rsid w:val="001F3D36"/>
    <w:rsid w:val="001F6548"/>
    <w:rsid w:val="001F661A"/>
    <w:rsid w:val="001F7268"/>
    <w:rsid w:val="001F7F3C"/>
    <w:rsid w:val="00200A50"/>
    <w:rsid w:val="00202910"/>
    <w:rsid w:val="0020303C"/>
    <w:rsid w:val="00203BE8"/>
    <w:rsid w:val="002041FF"/>
    <w:rsid w:val="002067C0"/>
    <w:rsid w:val="00207DE8"/>
    <w:rsid w:val="00210088"/>
    <w:rsid w:val="0021270C"/>
    <w:rsid w:val="0021283E"/>
    <w:rsid w:val="002137D3"/>
    <w:rsid w:val="00214282"/>
    <w:rsid w:val="0021536C"/>
    <w:rsid w:val="00215F0D"/>
    <w:rsid w:val="00216CE6"/>
    <w:rsid w:val="00217FA9"/>
    <w:rsid w:val="0022205C"/>
    <w:rsid w:val="00222A5F"/>
    <w:rsid w:val="00225B24"/>
    <w:rsid w:val="0022688F"/>
    <w:rsid w:val="00227090"/>
    <w:rsid w:val="002278E9"/>
    <w:rsid w:val="00230939"/>
    <w:rsid w:val="0023094F"/>
    <w:rsid w:val="00230C4F"/>
    <w:rsid w:val="00230DFC"/>
    <w:rsid w:val="002333DB"/>
    <w:rsid w:val="0023489F"/>
    <w:rsid w:val="00234C59"/>
    <w:rsid w:val="00236779"/>
    <w:rsid w:val="00237081"/>
    <w:rsid w:val="00241C15"/>
    <w:rsid w:val="0024248F"/>
    <w:rsid w:val="00242D21"/>
    <w:rsid w:val="0024360C"/>
    <w:rsid w:val="00243731"/>
    <w:rsid w:val="00247F5C"/>
    <w:rsid w:val="00250025"/>
    <w:rsid w:val="00250DCA"/>
    <w:rsid w:val="0025225E"/>
    <w:rsid w:val="002527BE"/>
    <w:rsid w:val="00252AA9"/>
    <w:rsid w:val="0025360A"/>
    <w:rsid w:val="002537F7"/>
    <w:rsid w:val="002542D1"/>
    <w:rsid w:val="00254301"/>
    <w:rsid w:val="002543DF"/>
    <w:rsid w:val="00254532"/>
    <w:rsid w:val="00255617"/>
    <w:rsid w:val="00255FC6"/>
    <w:rsid w:val="002575AA"/>
    <w:rsid w:val="00257D05"/>
    <w:rsid w:val="00260827"/>
    <w:rsid w:val="00262C0A"/>
    <w:rsid w:val="00262E08"/>
    <w:rsid w:val="00263A7C"/>
    <w:rsid w:val="0026435C"/>
    <w:rsid w:val="002647C3"/>
    <w:rsid w:val="002656F8"/>
    <w:rsid w:val="00265EB9"/>
    <w:rsid w:val="00266325"/>
    <w:rsid w:val="00266881"/>
    <w:rsid w:val="00266915"/>
    <w:rsid w:val="00267A74"/>
    <w:rsid w:val="00267CAF"/>
    <w:rsid w:val="00267EA4"/>
    <w:rsid w:val="00270995"/>
    <w:rsid w:val="00271561"/>
    <w:rsid w:val="002729E5"/>
    <w:rsid w:val="002729F4"/>
    <w:rsid w:val="002741C1"/>
    <w:rsid w:val="00277981"/>
    <w:rsid w:val="00277D24"/>
    <w:rsid w:val="00282263"/>
    <w:rsid w:val="00282EF9"/>
    <w:rsid w:val="0028399D"/>
    <w:rsid w:val="00285274"/>
    <w:rsid w:val="00287000"/>
    <w:rsid w:val="00291C6F"/>
    <w:rsid w:val="0029355B"/>
    <w:rsid w:val="002938B5"/>
    <w:rsid w:val="00294133"/>
    <w:rsid w:val="00295501"/>
    <w:rsid w:val="00296633"/>
    <w:rsid w:val="00296A47"/>
    <w:rsid w:val="002A061F"/>
    <w:rsid w:val="002A243F"/>
    <w:rsid w:val="002A2540"/>
    <w:rsid w:val="002A27B4"/>
    <w:rsid w:val="002A2B1D"/>
    <w:rsid w:val="002A329C"/>
    <w:rsid w:val="002A3F63"/>
    <w:rsid w:val="002A4201"/>
    <w:rsid w:val="002A4859"/>
    <w:rsid w:val="002A4F45"/>
    <w:rsid w:val="002A5C2E"/>
    <w:rsid w:val="002A6258"/>
    <w:rsid w:val="002A7CB7"/>
    <w:rsid w:val="002A7D7F"/>
    <w:rsid w:val="002B0559"/>
    <w:rsid w:val="002B0F48"/>
    <w:rsid w:val="002B172B"/>
    <w:rsid w:val="002B1FFC"/>
    <w:rsid w:val="002B31AF"/>
    <w:rsid w:val="002B3668"/>
    <w:rsid w:val="002B381D"/>
    <w:rsid w:val="002B3C02"/>
    <w:rsid w:val="002B44CF"/>
    <w:rsid w:val="002B54EF"/>
    <w:rsid w:val="002B72B0"/>
    <w:rsid w:val="002B7A60"/>
    <w:rsid w:val="002B7C87"/>
    <w:rsid w:val="002C015C"/>
    <w:rsid w:val="002C0499"/>
    <w:rsid w:val="002C1799"/>
    <w:rsid w:val="002C2485"/>
    <w:rsid w:val="002C5598"/>
    <w:rsid w:val="002D025E"/>
    <w:rsid w:val="002D1187"/>
    <w:rsid w:val="002D14C0"/>
    <w:rsid w:val="002D2386"/>
    <w:rsid w:val="002D4E99"/>
    <w:rsid w:val="002D592D"/>
    <w:rsid w:val="002D68C3"/>
    <w:rsid w:val="002E06F2"/>
    <w:rsid w:val="002E10D1"/>
    <w:rsid w:val="002E224A"/>
    <w:rsid w:val="002E226D"/>
    <w:rsid w:val="002E453E"/>
    <w:rsid w:val="002E4551"/>
    <w:rsid w:val="002E5D82"/>
    <w:rsid w:val="002E5F39"/>
    <w:rsid w:val="002E6075"/>
    <w:rsid w:val="002E7897"/>
    <w:rsid w:val="002E7F28"/>
    <w:rsid w:val="002F1EC1"/>
    <w:rsid w:val="002F2016"/>
    <w:rsid w:val="002F2F65"/>
    <w:rsid w:val="002F3241"/>
    <w:rsid w:val="002F438C"/>
    <w:rsid w:val="002F50FD"/>
    <w:rsid w:val="002F5370"/>
    <w:rsid w:val="002F5A71"/>
    <w:rsid w:val="002F632C"/>
    <w:rsid w:val="0030255E"/>
    <w:rsid w:val="00302E87"/>
    <w:rsid w:val="00302F92"/>
    <w:rsid w:val="003045DA"/>
    <w:rsid w:val="00304845"/>
    <w:rsid w:val="00304B46"/>
    <w:rsid w:val="00304E75"/>
    <w:rsid w:val="00304FB2"/>
    <w:rsid w:val="0030520C"/>
    <w:rsid w:val="003054ED"/>
    <w:rsid w:val="003068D5"/>
    <w:rsid w:val="00306FBF"/>
    <w:rsid w:val="00307FF7"/>
    <w:rsid w:val="003112DE"/>
    <w:rsid w:val="00312765"/>
    <w:rsid w:val="00313FF4"/>
    <w:rsid w:val="00314C5C"/>
    <w:rsid w:val="00314EA1"/>
    <w:rsid w:val="00315333"/>
    <w:rsid w:val="00316276"/>
    <w:rsid w:val="0032008B"/>
    <w:rsid w:val="00320150"/>
    <w:rsid w:val="003203EF"/>
    <w:rsid w:val="00320AC6"/>
    <w:rsid w:val="00320AFE"/>
    <w:rsid w:val="00321794"/>
    <w:rsid w:val="00321990"/>
    <w:rsid w:val="00321A43"/>
    <w:rsid w:val="0032280E"/>
    <w:rsid w:val="0032308F"/>
    <w:rsid w:val="00323316"/>
    <w:rsid w:val="00324142"/>
    <w:rsid w:val="00325A6C"/>
    <w:rsid w:val="003265BF"/>
    <w:rsid w:val="003268FC"/>
    <w:rsid w:val="003301E4"/>
    <w:rsid w:val="00330F29"/>
    <w:rsid w:val="00336512"/>
    <w:rsid w:val="00336760"/>
    <w:rsid w:val="00336EBD"/>
    <w:rsid w:val="00336FF7"/>
    <w:rsid w:val="0033795B"/>
    <w:rsid w:val="003404BF"/>
    <w:rsid w:val="00341728"/>
    <w:rsid w:val="00341DBF"/>
    <w:rsid w:val="00342708"/>
    <w:rsid w:val="00342826"/>
    <w:rsid w:val="00343435"/>
    <w:rsid w:val="00345467"/>
    <w:rsid w:val="003467AB"/>
    <w:rsid w:val="00350300"/>
    <w:rsid w:val="00351556"/>
    <w:rsid w:val="00351657"/>
    <w:rsid w:val="00351D4B"/>
    <w:rsid w:val="003533CA"/>
    <w:rsid w:val="00354394"/>
    <w:rsid w:val="0035493A"/>
    <w:rsid w:val="00354DA6"/>
    <w:rsid w:val="00355658"/>
    <w:rsid w:val="003557EC"/>
    <w:rsid w:val="00356D3A"/>
    <w:rsid w:val="00360759"/>
    <w:rsid w:val="00360AD1"/>
    <w:rsid w:val="00362918"/>
    <w:rsid w:val="00363D5B"/>
    <w:rsid w:val="00364BA5"/>
    <w:rsid w:val="0036535E"/>
    <w:rsid w:val="003659E8"/>
    <w:rsid w:val="003662DC"/>
    <w:rsid w:val="00367FA4"/>
    <w:rsid w:val="00372137"/>
    <w:rsid w:val="0037439E"/>
    <w:rsid w:val="00374990"/>
    <w:rsid w:val="00376E2F"/>
    <w:rsid w:val="00380998"/>
    <w:rsid w:val="00380F11"/>
    <w:rsid w:val="00381599"/>
    <w:rsid w:val="003828AD"/>
    <w:rsid w:val="003833D2"/>
    <w:rsid w:val="00384772"/>
    <w:rsid w:val="00385F00"/>
    <w:rsid w:val="00385F9E"/>
    <w:rsid w:val="0039063B"/>
    <w:rsid w:val="00390696"/>
    <w:rsid w:val="003911E4"/>
    <w:rsid w:val="00391B9D"/>
    <w:rsid w:val="003939A2"/>
    <w:rsid w:val="0039442F"/>
    <w:rsid w:val="003A179E"/>
    <w:rsid w:val="003A17DE"/>
    <w:rsid w:val="003A223A"/>
    <w:rsid w:val="003A33D0"/>
    <w:rsid w:val="003A375B"/>
    <w:rsid w:val="003A4520"/>
    <w:rsid w:val="003A4906"/>
    <w:rsid w:val="003B13D4"/>
    <w:rsid w:val="003B18EA"/>
    <w:rsid w:val="003B1937"/>
    <w:rsid w:val="003B1BBB"/>
    <w:rsid w:val="003B2024"/>
    <w:rsid w:val="003B23CF"/>
    <w:rsid w:val="003B271E"/>
    <w:rsid w:val="003B56E7"/>
    <w:rsid w:val="003B6265"/>
    <w:rsid w:val="003B74E4"/>
    <w:rsid w:val="003B76E9"/>
    <w:rsid w:val="003B7C68"/>
    <w:rsid w:val="003C0F81"/>
    <w:rsid w:val="003C2311"/>
    <w:rsid w:val="003C2855"/>
    <w:rsid w:val="003C2DEE"/>
    <w:rsid w:val="003C42D2"/>
    <w:rsid w:val="003C4664"/>
    <w:rsid w:val="003C5298"/>
    <w:rsid w:val="003C6E58"/>
    <w:rsid w:val="003D0990"/>
    <w:rsid w:val="003D0AC3"/>
    <w:rsid w:val="003D1163"/>
    <w:rsid w:val="003D27E1"/>
    <w:rsid w:val="003D3DC0"/>
    <w:rsid w:val="003D3E28"/>
    <w:rsid w:val="003D4281"/>
    <w:rsid w:val="003D4493"/>
    <w:rsid w:val="003D4C78"/>
    <w:rsid w:val="003D5C05"/>
    <w:rsid w:val="003D6CCE"/>
    <w:rsid w:val="003D6F49"/>
    <w:rsid w:val="003D75FC"/>
    <w:rsid w:val="003D7690"/>
    <w:rsid w:val="003E06E7"/>
    <w:rsid w:val="003E08B5"/>
    <w:rsid w:val="003E2B20"/>
    <w:rsid w:val="003E35D5"/>
    <w:rsid w:val="003E3B58"/>
    <w:rsid w:val="003E3D6A"/>
    <w:rsid w:val="003E4EFE"/>
    <w:rsid w:val="003E7053"/>
    <w:rsid w:val="003F0B5C"/>
    <w:rsid w:val="003F0F16"/>
    <w:rsid w:val="003F14C7"/>
    <w:rsid w:val="003F6CA9"/>
    <w:rsid w:val="003F77E6"/>
    <w:rsid w:val="00400142"/>
    <w:rsid w:val="004008C7"/>
    <w:rsid w:val="004008D8"/>
    <w:rsid w:val="00402138"/>
    <w:rsid w:val="00403823"/>
    <w:rsid w:val="00404392"/>
    <w:rsid w:val="00404731"/>
    <w:rsid w:val="00404820"/>
    <w:rsid w:val="004053D4"/>
    <w:rsid w:val="00406222"/>
    <w:rsid w:val="00406DBE"/>
    <w:rsid w:val="00407881"/>
    <w:rsid w:val="00407EF2"/>
    <w:rsid w:val="00410341"/>
    <w:rsid w:val="0041041B"/>
    <w:rsid w:val="00410901"/>
    <w:rsid w:val="004115B6"/>
    <w:rsid w:val="004115B8"/>
    <w:rsid w:val="00411625"/>
    <w:rsid w:val="004116EA"/>
    <w:rsid w:val="00411877"/>
    <w:rsid w:val="004122EC"/>
    <w:rsid w:val="0041272C"/>
    <w:rsid w:val="004130C2"/>
    <w:rsid w:val="004137FE"/>
    <w:rsid w:val="00413868"/>
    <w:rsid w:val="00414BFC"/>
    <w:rsid w:val="00414E13"/>
    <w:rsid w:val="00415126"/>
    <w:rsid w:val="00420431"/>
    <w:rsid w:val="0042052C"/>
    <w:rsid w:val="004209B1"/>
    <w:rsid w:val="00420F75"/>
    <w:rsid w:val="00421306"/>
    <w:rsid w:val="00421AE3"/>
    <w:rsid w:val="00422BB7"/>
    <w:rsid w:val="00423CC7"/>
    <w:rsid w:val="00423CCC"/>
    <w:rsid w:val="00424D3E"/>
    <w:rsid w:val="0042557B"/>
    <w:rsid w:val="004263BE"/>
    <w:rsid w:val="004269FC"/>
    <w:rsid w:val="00430557"/>
    <w:rsid w:val="00432273"/>
    <w:rsid w:val="00432426"/>
    <w:rsid w:val="00432A56"/>
    <w:rsid w:val="00433FDB"/>
    <w:rsid w:val="004340EB"/>
    <w:rsid w:val="004353C2"/>
    <w:rsid w:val="00435BB4"/>
    <w:rsid w:val="004367EA"/>
    <w:rsid w:val="0043779B"/>
    <w:rsid w:val="00440231"/>
    <w:rsid w:val="00441166"/>
    <w:rsid w:val="00442B07"/>
    <w:rsid w:val="00443123"/>
    <w:rsid w:val="004436EB"/>
    <w:rsid w:val="00445CDC"/>
    <w:rsid w:val="00446F0B"/>
    <w:rsid w:val="0045026C"/>
    <w:rsid w:val="00450FF8"/>
    <w:rsid w:val="0045153A"/>
    <w:rsid w:val="00451BB7"/>
    <w:rsid w:val="00451BD9"/>
    <w:rsid w:val="00454D08"/>
    <w:rsid w:val="00455514"/>
    <w:rsid w:val="004601A8"/>
    <w:rsid w:val="00461596"/>
    <w:rsid w:val="00462423"/>
    <w:rsid w:val="004628E9"/>
    <w:rsid w:val="00463025"/>
    <w:rsid w:val="0046353B"/>
    <w:rsid w:val="004640D1"/>
    <w:rsid w:val="00464958"/>
    <w:rsid w:val="0046608B"/>
    <w:rsid w:val="00466E7F"/>
    <w:rsid w:val="00467369"/>
    <w:rsid w:val="00473A75"/>
    <w:rsid w:val="00474AAC"/>
    <w:rsid w:val="004756F3"/>
    <w:rsid w:val="004757B8"/>
    <w:rsid w:val="00475C39"/>
    <w:rsid w:val="004762BA"/>
    <w:rsid w:val="00477FC5"/>
    <w:rsid w:val="0048225B"/>
    <w:rsid w:val="00483917"/>
    <w:rsid w:val="00483BAA"/>
    <w:rsid w:val="00483F2E"/>
    <w:rsid w:val="00484068"/>
    <w:rsid w:val="004847D2"/>
    <w:rsid w:val="00484C78"/>
    <w:rsid w:val="004854A3"/>
    <w:rsid w:val="00486867"/>
    <w:rsid w:val="004878CF"/>
    <w:rsid w:val="00487F0F"/>
    <w:rsid w:val="00490939"/>
    <w:rsid w:val="00490970"/>
    <w:rsid w:val="00491DE0"/>
    <w:rsid w:val="004932AD"/>
    <w:rsid w:val="00494FF8"/>
    <w:rsid w:val="004952A7"/>
    <w:rsid w:val="00495620"/>
    <w:rsid w:val="0049636E"/>
    <w:rsid w:val="004966B8"/>
    <w:rsid w:val="00496A24"/>
    <w:rsid w:val="004977DE"/>
    <w:rsid w:val="00497CD2"/>
    <w:rsid w:val="004A1075"/>
    <w:rsid w:val="004A11D6"/>
    <w:rsid w:val="004A2F6F"/>
    <w:rsid w:val="004A325F"/>
    <w:rsid w:val="004A758E"/>
    <w:rsid w:val="004A7B44"/>
    <w:rsid w:val="004B0092"/>
    <w:rsid w:val="004B05EE"/>
    <w:rsid w:val="004B08E7"/>
    <w:rsid w:val="004B0BF5"/>
    <w:rsid w:val="004B26EB"/>
    <w:rsid w:val="004B2B19"/>
    <w:rsid w:val="004B2C36"/>
    <w:rsid w:val="004B3A1A"/>
    <w:rsid w:val="004B3EF6"/>
    <w:rsid w:val="004B4B20"/>
    <w:rsid w:val="004B4FFC"/>
    <w:rsid w:val="004B509F"/>
    <w:rsid w:val="004B5FA9"/>
    <w:rsid w:val="004B6187"/>
    <w:rsid w:val="004B64C9"/>
    <w:rsid w:val="004B6C90"/>
    <w:rsid w:val="004C1C6A"/>
    <w:rsid w:val="004C2120"/>
    <w:rsid w:val="004C2168"/>
    <w:rsid w:val="004C21BB"/>
    <w:rsid w:val="004C339B"/>
    <w:rsid w:val="004C3CC3"/>
    <w:rsid w:val="004C470E"/>
    <w:rsid w:val="004C51E3"/>
    <w:rsid w:val="004C55F0"/>
    <w:rsid w:val="004C754C"/>
    <w:rsid w:val="004C75CE"/>
    <w:rsid w:val="004C78A5"/>
    <w:rsid w:val="004C7AD5"/>
    <w:rsid w:val="004C7EE3"/>
    <w:rsid w:val="004D0C5A"/>
    <w:rsid w:val="004D109E"/>
    <w:rsid w:val="004D1163"/>
    <w:rsid w:val="004D2DE4"/>
    <w:rsid w:val="004D3774"/>
    <w:rsid w:val="004D42D0"/>
    <w:rsid w:val="004D59C1"/>
    <w:rsid w:val="004D615B"/>
    <w:rsid w:val="004D6BAD"/>
    <w:rsid w:val="004E1EBB"/>
    <w:rsid w:val="004E5885"/>
    <w:rsid w:val="004E5EA3"/>
    <w:rsid w:val="004E729D"/>
    <w:rsid w:val="004E7B1D"/>
    <w:rsid w:val="004F0A9B"/>
    <w:rsid w:val="004F0C9F"/>
    <w:rsid w:val="004F112A"/>
    <w:rsid w:val="004F2FED"/>
    <w:rsid w:val="004F3875"/>
    <w:rsid w:val="004F38D2"/>
    <w:rsid w:val="004F3B07"/>
    <w:rsid w:val="004F500B"/>
    <w:rsid w:val="004F6D2F"/>
    <w:rsid w:val="004F73D5"/>
    <w:rsid w:val="004F79DA"/>
    <w:rsid w:val="00500BCF"/>
    <w:rsid w:val="00501270"/>
    <w:rsid w:val="005015F8"/>
    <w:rsid w:val="00502292"/>
    <w:rsid w:val="005022E4"/>
    <w:rsid w:val="005027B8"/>
    <w:rsid w:val="00503154"/>
    <w:rsid w:val="0050368F"/>
    <w:rsid w:val="005037E0"/>
    <w:rsid w:val="00503808"/>
    <w:rsid w:val="00503E01"/>
    <w:rsid w:val="00504573"/>
    <w:rsid w:val="00504707"/>
    <w:rsid w:val="00504A7C"/>
    <w:rsid w:val="0050540D"/>
    <w:rsid w:val="00510952"/>
    <w:rsid w:val="00510A99"/>
    <w:rsid w:val="00511321"/>
    <w:rsid w:val="0051197A"/>
    <w:rsid w:val="00511BCF"/>
    <w:rsid w:val="00512B6D"/>
    <w:rsid w:val="00514C64"/>
    <w:rsid w:val="005168C1"/>
    <w:rsid w:val="0052056E"/>
    <w:rsid w:val="005208A7"/>
    <w:rsid w:val="00520CFB"/>
    <w:rsid w:val="005211A5"/>
    <w:rsid w:val="00521988"/>
    <w:rsid w:val="005223FD"/>
    <w:rsid w:val="005224A2"/>
    <w:rsid w:val="0052323C"/>
    <w:rsid w:val="00523899"/>
    <w:rsid w:val="00525303"/>
    <w:rsid w:val="005267E4"/>
    <w:rsid w:val="00527C67"/>
    <w:rsid w:val="00527F99"/>
    <w:rsid w:val="0053137B"/>
    <w:rsid w:val="00531481"/>
    <w:rsid w:val="0053194E"/>
    <w:rsid w:val="0053236A"/>
    <w:rsid w:val="005326EB"/>
    <w:rsid w:val="00532904"/>
    <w:rsid w:val="00532BFB"/>
    <w:rsid w:val="00532EDD"/>
    <w:rsid w:val="00532F0A"/>
    <w:rsid w:val="00533381"/>
    <w:rsid w:val="00533467"/>
    <w:rsid w:val="00533DD1"/>
    <w:rsid w:val="005343F6"/>
    <w:rsid w:val="00534425"/>
    <w:rsid w:val="0053492E"/>
    <w:rsid w:val="00534F8E"/>
    <w:rsid w:val="0053506F"/>
    <w:rsid w:val="005350B5"/>
    <w:rsid w:val="00535155"/>
    <w:rsid w:val="00535863"/>
    <w:rsid w:val="005359BF"/>
    <w:rsid w:val="005365E0"/>
    <w:rsid w:val="0053694B"/>
    <w:rsid w:val="00540454"/>
    <w:rsid w:val="00540ABF"/>
    <w:rsid w:val="00542877"/>
    <w:rsid w:val="00542AA7"/>
    <w:rsid w:val="00543163"/>
    <w:rsid w:val="005434F6"/>
    <w:rsid w:val="0054477E"/>
    <w:rsid w:val="00544AD8"/>
    <w:rsid w:val="00545151"/>
    <w:rsid w:val="0054595D"/>
    <w:rsid w:val="00545CB8"/>
    <w:rsid w:val="00545E6C"/>
    <w:rsid w:val="00546459"/>
    <w:rsid w:val="00546664"/>
    <w:rsid w:val="00550256"/>
    <w:rsid w:val="005507D4"/>
    <w:rsid w:val="005520B3"/>
    <w:rsid w:val="00552289"/>
    <w:rsid w:val="005539F5"/>
    <w:rsid w:val="00554BF4"/>
    <w:rsid w:val="00554DEA"/>
    <w:rsid w:val="005551EA"/>
    <w:rsid w:val="00556B1E"/>
    <w:rsid w:val="005571CA"/>
    <w:rsid w:val="00557740"/>
    <w:rsid w:val="00561248"/>
    <w:rsid w:val="0056179B"/>
    <w:rsid w:val="0056479F"/>
    <w:rsid w:val="005648B3"/>
    <w:rsid w:val="00564DAA"/>
    <w:rsid w:val="00565F92"/>
    <w:rsid w:val="00566201"/>
    <w:rsid w:val="00566D20"/>
    <w:rsid w:val="00570127"/>
    <w:rsid w:val="0057019E"/>
    <w:rsid w:val="00570821"/>
    <w:rsid w:val="00570E9F"/>
    <w:rsid w:val="00571F8F"/>
    <w:rsid w:val="0057286E"/>
    <w:rsid w:val="00572943"/>
    <w:rsid w:val="00574A61"/>
    <w:rsid w:val="005751D7"/>
    <w:rsid w:val="0057591D"/>
    <w:rsid w:val="00575B6B"/>
    <w:rsid w:val="00576633"/>
    <w:rsid w:val="00576710"/>
    <w:rsid w:val="00576AB3"/>
    <w:rsid w:val="00576ED0"/>
    <w:rsid w:val="00576F0D"/>
    <w:rsid w:val="005773CF"/>
    <w:rsid w:val="0057783F"/>
    <w:rsid w:val="00577BEF"/>
    <w:rsid w:val="00577DFD"/>
    <w:rsid w:val="00580BDF"/>
    <w:rsid w:val="0058247C"/>
    <w:rsid w:val="00583369"/>
    <w:rsid w:val="00586A8B"/>
    <w:rsid w:val="00586A9B"/>
    <w:rsid w:val="00587C8F"/>
    <w:rsid w:val="00591A59"/>
    <w:rsid w:val="00593217"/>
    <w:rsid w:val="005935BA"/>
    <w:rsid w:val="00593980"/>
    <w:rsid w:val="0059482D"/>
    <w:rsid w:val="00595305"/>
    <w:rsid w:val="0059530D"/>
    <w:rsid w:val="00596872"/>
    <w:rsid w:val="00596DBF"/>
    <w:rsid w:val="00597162"/>
    <w:rsid w:val="00597854"/>
    <w:rsid w:val="005A2511"/>
    <w:rsid w:val="005A2A86"/>
    <w:rsid w:val="005A38CD"/>
    <w:rsid w:val="005A472C"/>
    <w:rsid w:val="005A49DD"/>
    <w:rsid w:val="005A4AF2"/>
    <w:rsid w:val="005A60AA"/>
    <w:rsid w:val="005A66F2"/>
    <w:rsid w:val="005A67F9"/>
    <w:rsid w:val="005B0230"/>
    <w:rsid w:val="005B0CD7"/>
    <w:rsid w:val="005B1179"/>
    <w:rsid w:val="005B34B7"/>
    <w:rsid w:val="005B3729"/>
    <w:rsid w:val="005B4CA8"/>
    <w:rsid w:val="005B4F21"/>
    <w:rsid w:val="005B68E9"/>
    <w:rsid w:val="005B7FAD"/>
    <w:rsid w:val="005C0149"/>
    <w:rsid w:val="005C1B52"/>
    <w:rsid w:val="005C31A0"/>
    <w:rsid w:val="005C36D1"/>
    <w:rsid w:val="005C3C00"/>
    <w:rsid w:val="005C4492"/>
    <w:rsid w:val="005C473F"/>
    <w:rsid w:val="005C4952"/>
    <w:rsid w:val="005C61CC"/>
    <w:rsid w:val="005C63F7"/>
    <w:rsid w:val="005C6FFA"/>
    <w:rsid w:val="005C7729"/>
    <w:rsid w:val="005C77F4"/>
    <w:rsid w:val="005D00E8"/>
    <w:rsid w:val="005D2355"/>
    <w:rsid w:val="005D2445"/>
    <w:rsid w:val="005D2C9C"/>
    <w:rsid w:val="005D2D75"/>
    <w:rsid w:val="005D30FF"/>
    <w:rsid w:val="005D3BC8"/>
    <w:rsid w:val="005D3E69"/>
    <w:rsid w:val="005D4AB2"/>
    <w:rsid w:val="005D4BB0"/>
    <w:rsid w:val="005D5318"/>
    <w:rsid w:val="005D630B"/>
    <w:rsid w:val="005D6CD2"/>
    <w:rsid w:val="005D713D"/>
    <w:rsid w:val="005E117A"/>
    <w:rsid w:val="005E11FC"/>
    <w:rsid w:val="005E157B"/>
    <w:rsid w:val="005E20ED"/>
    <w:rsid w:val="005E23F5"/>
    <w:rsid w:val="005E28FB"/>
    <w:rsid w:val="005E4356"/>
    <w:rsid w:val="005E57AC"/>
    <w:rsid w:val="005E6294"/>
    <w:rsid w:val="005E661C"/>
    <w:rsid w:val="005E6ABC"/>
    <w:rsid w:val="005E6D8B"/>
    <w:rsid w:val="005F01B0"/>
    <w:rsid w:val="005F06F7"/>
    <w:rsid w:val="005F1009"/>
    <w:rsid w:val="005F21D1"/>
    <w:rsid w:val="005F31DF"/>
    <w:rsid w:val="005F4FBC"/>
    <w:rsid w:val="005F528E"/>
    <w:rsid w:val="005F5ACC"/>
    <w:rsid w:val="005F69CC"/>
    <w:rsid w:val="00600132"/>
    <w:rsid w:val="006007D6"/>
    <w:rsid w:val="00600AC6"/>
    <w:rsid w:val="006014C4"/>
    <w:rsid w:val="00601B01"/>
    <w:rsid w:val="00602F81"/>
    <w:rsid w:val="00603655"/>
    <w:rsid w:val="00604795"/>
    <w:rsid w:val="00605C2F"/>
    <w:rsid w:val="00605F3F"/>
    <w:rsid w:val="00605FB9"/>
    <w:rsid w:val="00606FFD"/>
    <w:rsid w:val="006109E9"/>
    <w:rsid w:val="00610CFE"/>
    <w:rsid w:val="006110D1"/>
    <w:rsid w:val="006123DD"/>
    <w:rsid w:val="00614369"/>
    <w:rsid w:val="00616B48"/>
    <w:rsid w:val="00617C9D"/>
    <w:rsid w:val="00620940"/>
    <w:rsid w:val="00621B0A"/>
    <w:rsid w:val="006220FC"/>
    <w:rsid w:val="006233B3"/>
    <w:rsid w:val="006233FC"/>
    <w:rsid w:val="006244DA"/>
    <w:rsid w:val="00625BAD"/>
    <w:rsid w:val="00625E9E"/>
    <w:rsid w:val="006278F6"/>
    <w:rsid w:val="00627F56"/>
    <w:rsid w:val="006308E9"/>
    <w:rsid w:val="00630FE7"/>
    <w:rsid w:val="00631CAD"/>
    <w:rsid w:val="0063291A"/>
    <w:rsid w:val="00632AA0"/>
    <w:rsid w:val="00632D04"/>
    <w:rsid w:val="00632EB0"/>
    <w:rsid w:val="006331D5"/>
    <w:rsid w:val="00633F5D"/>
    <w:rsid w:val="0063472C"/>
    <w:rsid w:val="00634824"/>
    <w:rsid w:val="0063609C"/>
    <w:rsid w:val="00636B25"/>
    <w:rsid w:val="0063713C"/>
    <w:rsid w:val="00640DAD"/>
    <w:rsid w:val="006410BD"/>
    <w:rsid w:val="006418C4"/>
    <w:rsid w:val="00643979"/>
    <w:rsid w:val="006458F3"/>
    <w:rsid w:val="0064632C"/>
    <w:rsid w:val="00646B21"/>
    <w:rsid w:val="006479F1"/>
    <w:rsid w:val="00647FBE"/>
    <w:rsid w:val="006500E6"/>
    <w:rsid w:val="00650566"/>
    <w:rsid w:val="006509D3"/>
    <w:rsid w:val="00650CB3"/>
    <w:rsid w:val="00651339"/>
    <w:rsid w:val="006518D9"/>
    <w:rsid w:val="00651AE2"/>
    <w:rsid w:val="00651EE3"/>
    <w:rsid w:val="0065569F"/>
    <w:rsid w:val="00657A3F"/>
    <w:rsid w:val="00657AF4"/>
    <w:rsid w:val="0066270D"/>
    <w:rsid w:val="00662A4B"/>
    <w:rsid w:val="0066311D"/>
    <w:rsid w:val="00663AE8"/>
    <w:rsid w:val="00664D33"/>
    <w:rsid w:val="00664F8A"/>
    <w:rsid w:val="00665680"/>
    <w:rsid w:val="00666A1A"/>
    <w:rsid w:val="00667036"/>
    <w:rsid w:val="0066769B"/>
    <w:rsid w:val="006677C7"/>
    <w:rsid w:val="006708DE"/>
    <w:rsid w:val="00673E59"/>
    <w:rsid w:val="00675A91"/>
    <w:rsid w:val="00676023"/>
    <w:rsid w:val="00682B89"/>
    <w:rsid w:val="006835D6"/>
    <w:rsid w:val="00683D7C"/>
    <w:rsid w:val="00685443"/>
    <w:rsid w:val="00685459"/>
    <w:rsid w:val="006856E9"/>
    <w:rsid w:val="006858FF"/>
    <w:rsid w:val="006859F7"/>
    <w:rsid w:val="00686470"/>
    <w:rsid w:val="00686678"/>
    <w:rsid w:val="0069019B"/>
    <w:rsid w:val="00692625"/>
    <w:rsid w:val="006927DB"/>
    <w:rsid w:val="006932F3"/>
    <w:rsid w:val="00693363"/>
    <w:rsid w:val="00693796"/>
    <w:rsid w:val="00693891"/>
    <w:rsid w:val="006939CC"/>
    <w:rsid w:val="00693E0E"/>
    <w:rsid w:val="0069483A"/>
    <w:rsid w:val="00694C83"/>
    <w:rsid w:val="00694D82"/>
    <w:rsid w:val="00694F97"/>
    <w:rsid w:val="0069582B"/>
    <w:rsid w:val="006974D1"/>
    <w:rsid w:val="00697CE7"/>
    <w:rsid w:val="006A0105"/>
    <w:rsid w:val="006A1612"/>
    <w:rsid w:val="006A1F15"/>
    <w:rsid w:val="006A208A"/>
    <w:rsid w:val="006A522F"/>
    <w:rsid w:val="006A52B8"/>
    <w:rsid w:val="006A52C4"/>
    <w:rsid w:val="006A63B2"/>
    <w:rsid w:val="006A6A27"/>
    <w:rsid w:val="006A7735"/>
    <w:rsid w:val="006A797E"/>
    <w:rsid w:val="006B1166"/>
    <w:rsid w:val="006B2259"/>
    <w:rsid w:val="006B261C"/>
    <w:rsid w:val="006B36C8"/>
    <w:rsid w:val="006B4B45"/>
    <w:rsid w:val="006B558F"/>
    <w:rsid w:val="006B72CE"/>
    <w:rsid w:val="006B7D6C"/>
    <w:rsid w:val="006C2B1A"/>
    <w:rsid w:val="006C2D2A"/>
    <w:rsid w:val="006C38AD"/>
    <w:rsid w:val="006C428F"/>
    <w:rsid w:val="006C7A05"/>
    <w:rsid w:val="006D4D41"/>
    <w:rsid w:val="006D7818"/>
    <w:rsid w:val="006E026F"/>
    <w:rsid w:val="006E05F0"/>
    <w:rsid w:val="006E0E88"/>
    <w:rsid w:val="006E1E75"/>
    <w:rsid w:val="006E26D5"/>
    <w:rsid w:val="006E2EB8"/>
    <w:rsid w:val="006E6761"/>
    <w:rsid w:val="006F050F"/>
    <w:rsid w:val="006F0BC5"/>
    <w:rsid w:val="006F0C79"/>
    <w:rsid w:val="006F0EA4"/>
    <w:rsid w:val="006F19E0"/>
    <w:rsid w:val="006F26B9"/>
    <w:rsid w:val="006F2893"/>
    <w:rsid w:val="006F619A"/>
    <w:rsid w:val="006F6622"/>
    <w:rsid w:val="006F6C3C"/>
    <w:rsid w:val="006F73FB"/>
    <w:rsid w:val="00700742"/>
    <w:rsid w:val="00704823"/>
    <w:rsid w:val="00704E66"/>
    <w:rsid w:val="007060D1"/>
    <w:rsid w:val="007062D8"/>
    <w:rsid w:val="00706722"/>
    <w:rsid w:val="00710395"/>
    <w:rsid w:val="00710903"/>
    <w:rsid w:val="0071276D"/>
    <w:rsid w:val="00714204"/>
    <w:rsid w:val="007162A5"/>
    <w:rsid w:val="0071719F"/>
    <w:rsid w:val="0071762D"/>
    <w:rsid w:val="00717BAD"/>
    <w:rsid w:val="00720F08"/>
    <w:rsid w:val="00722464"/>
    <w:rsid w:val="007224BA"/>
    <w:rsid w:val="00725BC0"/>
    <w:rsid w:val="00726607"/>
    <w:rsid w:val="00726797"/>
    <w:rsid w:val="007270C9"/>
    <w:rsid w:val="0072742E"/>
    <w:rsid w:val="007278BB"/>
    <w:rsid w:val="00730015"/>
    <w:rsid w:val="007316FE"/>
    <w:rsid w:val="00731C16"/>
    <w:rsid w:val="00731DC4"/>
    <w:rsid w:val="00732C25"/>
    <w:rsid w:val="00737149"/>
    <w:rsid w:val="00740005"/>
    <w:rsid w:val="00740DF8"/>
    <w:rsid w:val="00741304"/>
    <w:rsid w:val="0074670F"/>
    <w:rsid w:val="007468FB"/>
    <w:rsid w:val="00746BF5"/>
    <w:rsid w:val="007470CF"/>
    <w:rsid w:val="00747E51"/>
    <w:rsid w:val="00751235"/>
    <w:rsid w:val="00751BF0"/>
    <w:rsid w:val="00752043"/>
    <w:rsid w:val="00753F95"/>
    <w:rsid w:val="0075427A"/>
    <w:rsid w:val="00754EBD"/>
    <w:rsid w:val="007551E1"/>
    <w:rsid w:val="00756F64"/>
    <w:rsid w:val="00757C3B"/>
    <w:rsid w:val="0076023A"/>
    <w:rsid w:val="00761455"/>
    <w:rsid w:val="007619BD"/>
    <w:rsid w:val="0076304F"/>
    <w:rsid w:val="007635E4"/>
    <w:rsid w:val="00763C32"/>
    <w:rsid w:val="00764253"/>
    <w:rsid w:val="007656ED"/>
    <w:rsid w:val="00773733"/>
    <w:rsid w:val="00774DCC"/>
    <w:rsid w:val="00774FE0"/>
    <w:rsid w:val="0077582D"/>
    <w:rsid w:val="00776E81"/>
    <w:rsid w:val="007802E1"/>
    <w:rsid w:val="00780B21"/>
    <w:rsid w:val="00780FAD"/>
    <w:rsid w:val="0078106F"/>
    <w:rsid w:val="007813FB"/>
    <w:rsid w:val="00782256"/>
    <w:rsid w:val="0078585A"/>
    <w:rsid w:val="0079006C"/>
    <w:rsid w:val="00791216"/>
    <w:rsid w:val="00791617"/>
    <w:rsid w:val="00791F37"/>
    <w:rsid w:val="0079286C"/>
    <w:rsid w:val="007928B1"/>
    <w:rsid w:val="00792CEB"/>
    <w:rsid w:val="00793AD6"/>
    <w:rsid w:val="00793EA7"/>
    <w:rsid w:val="007940E8"/>
    <w:rsid w:val="00795047"/>
    <w:rsid w:val="00795962"/>
    <w:rsid w:val="00797CEC"/>
    <w:rsid w:val="007A4415"/>
    <w:rsid w:val="007A673A"/>
    <w:rsid w:val="007A69C1"/>
    <w:rsid w:val="007B03E4"/>
    <w:rsid w:val="007B3B54"/>
    <w:rsid w:val="007B3BE2"/>
    <w:rsid w:val="007B4B84"/>
    <w:rsid w:val="007B665E"/>
    <w:rsid w:val="007B6781"/>
    <w:rsid w:val="007B711A"/>
    <w:rsid w:val="007B7D45"/>
    <w:rsid w:val="007C19F7"/>
    <w:rsid w:val="007C385B"/>
    <w:rsid w:val="007C3DA3"/>
    <w:rsid w:val="007C3F49"/>
    <w:rsid w:val="007C4095"/>
    <w:rsid w:val="007C5879"/>
    <w:rsid w:val="007C5AD5"/>
    <w:rsid w:val="007C746E"/>
    <w:rsid w:val="007C78DD"/>
    <w:rsid w:val="007C7FD7"/>
    <w:rsid w:val="007D1C42"/>
    <w:rsid w:val="007D21E4"/>
    <w:rsid w:val="007D26E8"/>
    <w:rsid w:val="007D3D46"/>
    <w:rsid w:val="007D4DD3"/>
    <w:rsid w:val="007D57CA"/>
    <w:rsid w:val="007D608A"/>
    <w:rsid w:val="007D6E69"/>
    <w:rsid w:val="007D7F92"/>
    <w:rsid w:val="007E0773"/>
    <w:rsid w:val="007E0ABA"/>
    <w:rsid w:val="007E1D5C"/>
    <w:rsid w:val="007E2F7A"/>
    <w:rsid w:val="007E3FCC"/>
    <w:rsid w:val="007E60C8"/>
    <w:rsid w:val="007E6163"/>
    <w:rsid w:val="007E7BC6"/>
    <w:rsid w:val="007E7F34"/>
    <w:rsid w:val="007F0554"/>
    <w:rsid w:val="007F0B30"/>
    <w:rsid w:val="007F15BB"/>
    <w:rsid w:val="007F2D2A"/>
    <w:rsid w:val="007F3589"/>
    <w:rsid w:val="007F4404"/>
    <w:rsid w:val="007F44BE"/>
    <w:rsid w:val="007F4B03"/>
    <w:rsid w:val="007F4BE4"/>
    <w:rsid w:val="007F4C48"/>
    <w:rsid w:val="007F4E1E"/>
    <w:rsid w:val="007F6010"/>
    <w:rsid w:val="007F678F"/>
    <w:rsid w:val="007F7726"/>
    <w:rsid w:val="008010F3"/>
    <w:rsid w:val="0080203A"/>
    <w:rsid w:val="0080211A"/>
    <w:rsid w:val="008028C2"/>
    <w:rsid w:val="00803679"/>
    <w:rsid w:val="00803ED3"/>
    <w:rsid w:val="008045A8"/>
    <w:rsid w:val="00804638"/>
    <w:rsid w:val="008049F3"/>
    <w:rsid w:val="00804B17"/>
    <w:rsid w:val="008062BF"/>
    <w:rsid w:val="0080683E"/>
    <w:rsid w:val="00810ABA"/>
    <w:rsid w:val="00811F34"/>
    <w:rsid w:val="00812E17"/>
    <w:rsid w:val="0081411F"/>
    <w:rsid w:val="00814C62"/>
    <w:rsid w:val="00817B1B"/>
    <w:rsid w:val="00821537"/>
    <w:rsid w:val="00821C6B"/>
    <w:rsid w:val="00822D65"/>
    <w:rsid w:val="0082345F"/>
    <w:rsid w:val="00823880"/>
    <w:rsid w:val="008241D3"/>
    <w:rsid w:val="0082468F"/>
    <w:rsid w:val="00824B60"/>
    <w:rsid w:val="00824D91"/>
    <w:rsid w:val="00825673"/>
    <w:rsid w:val="008257C1"/>
    <w:rsid w:val="00825C08"/>
    <w:rsid w:val="00826B5E"/>
    <w:rsid w:val="00826CF0"/>
    <w:rsid w:val="00827AED"/>
    <w:rsid w:val="0083058C"/>
    <w:rsid w:val="00830A8A"/>
    <w:rsid w:val="00830AE4"/>
    <w:rsid w:val="00831AA7"/>
    <w:rsid w:val="00832C0D"/>
    <w:rsid w:val="0083341C"/>
    <w:rsid w:val="0083488D"/>
    <w:rsid w:val="008361ED"/>
    <w:rsid w:val="00836304"/>
    <w:rsid w:val="0084064E"/>
    <w:rsid w:val="0084461D"/>
    <w:rsid w:val="00846848"/>
    <w:rsid w:val="00846C4C"/>
    <w:rsid w:val="008472E2"/>
    <w:rsid w:val="008478FF"/>
    <w:rsid w:val="008479ED"/>
    <w:rsid w:val="00847D7A"/>
    <w:rsid w:val="00850D33"/>
    <w:rsid w:val="00850D5A"/>
    <w:rsid w:val="00851072"/>
    <w:rsid w:val="00852672"/>
    <w:rsid w:val="00852A83"/>
    <w:rsid w:val="00853473"/>
    <w:rsid w:val="00854D3E"/>
    <w:rsid w:val="008561E9"/>
    <w:rsid w:val="00860723"/>
    <w:rsid w:val="00860DBE"/>
    <w:rsid w:val="00861D20"/>
    <w:rsid w:val="00862F8B"/>
    <w:rsid w:val="00863B20"/>
    <w:rsid w:val="00863DB1"/>
    <w:rsid w:val="008648BB"/>
    <w:rsid w:val="008653DE"/>
    <w:rsid w:val="008676D0"/>
    <w:rsid w:val="008679F8"/>
    <w:rsid w:val="0087010A"/>
    <w:rsid w:val="00870397"/>
    <w:rsid w:val="00871395"/>
    <w:rsid w:val="0087242A"/>
    <w:rsid w:val="00872E19"/>
    <w:rsid w:val="00873CA3"/>
    <w:rsid w:val="00874AAE"/>
    <w:rsid w:val="00875BF1"/>
    <w:rsid w:val="00875D00"/>
    <w:rsid w:val="00877FD8"/>
    <w:rsid w:val="00880483"/>
    <w:rsid w:val="0088052C"/>
    <w:rsid w:val="008808E3"/>
    <w:rsid w:val="00880C51"/>
    <w:rsid w:val="00880EEA"/>
    <w:rsid w:val="00881A97"/>
    <w:rsid w:val="00881D96"/>
    <w:rsid w:val="00882C09"/>
    <w:rsid w:val="00883178"/>
    <w:rsid w:val="00883640"/>
    <w:rsid w:val="00883881"/>
    <w:rsid w:val="00885151"/>
    <w:rsid w:val="00887729"/>
    <w:rsid w:val="00890346"/>
    <w:rsid w:val="00892354"/>
    <w:rsid w:val="008923F9"/>
    <w:rsid w:val="008929C1"/>
    <w:rsid w:val="00893728"/>
    <w:rsid w:val="00894FDA"/>
    <w:rsid w:val="0089532C"/>
    <w:rsid w:val="008979D4"/>
    <w:rsid w:val="008A1D8B"/>
    <w:rsid w:val="008A3948"/>
    <w:rsid w:val="008A5088"/>
    <w:rsid w:val="008A5348"/>
    <w:rsid w:val="008A5FC4"/>
    <w:rsid w:val="008A74F8"/>
    <w:rsid w:val="008B06D5"/>
    <w:rsid w:val="008B0EEF"/>
    <w:rsid w:val="008B123F"/>
    <w:rsid w:val="008B2A89"/>
    <w:rsid w:val="008B3178"/>
    <w:rsid w:val="008B4082"/>
    <w:rsid w:val="008B4A44"/>
    <w:rsid w:val="008B7312"/>
    <w:rsid w:val="008C09D2"/>
    <w:rsid w:val="008C10AA"/>
    <w:rsid w:val="008C1818"/>
    <w:rsid w:val="008C21E6"/>
    <w:rsid w:val="008C3592"/>
    <w:rsid w:val="008C38B7"/>
    <w:rsid w:val="008C52E6"/>
    <w:rsid w:val="008C66B0"/>
    <w:rsid w:val="008C6E07"/>
    <w:rsid w:val="008D0899"/>
    <w:rsid w:val="008D0B92"/>
    <w:rsid w:val="008D3014"/>
    <w:rsid w:val="008D374B"/>
    <w:rsid w:val="008D3C61"/>
    <w:rsid w:val="008D3E3D"/>
    <w:rsid w:val="008D4130"/>
    <w:rsid w:val="008D429F"/>
    <w:rsid w:val="008D42D4"/>
    <w:rsid w:val="008D451E"/>
    <w:rsid w:val="008D49C3"/>
    <w:rsid w:val="008D4A41"/>
    <w:rsid w:val="008D51A9"/>
    <w:rsid w:val="008D535E"/>
    <w:rsid w:val="008D54BE"/>
    <w:rsid w:val="008D59D3"/>
    <w:rsid w:val="008D6B14"/>
    <w:rsid w:val="008D7A86"/>
    <w:rsid w:val="008E005F"/>
    <w:rsid w:val="008E09F4"/>
    <w:rsid w:val="008E0C8C"/>
    <w:rsid w:val="008E0E01"/>
    <w:rsid w:val="008E1721"/>
    <w:rsid w:val="008E290F"/>
    <w:rsid w:val="008E2AB0"/>
    <w:rsid w:val="008E3196"/>
    <w:rsid w:val="008E3264"/>
    <w:rsid w:val="008E3865"/>
    <w:rsid w:val="008E417C"/>
    <w:rsid w:val="008E4B38"/>
    <w:rsid w:val="008E51F4"/>
    <w:rsid w:val="008E5878"/>
    <w:rsid w:val="008E6CD0"/>
    <w:rsid w:val="008E78DA"/>
    <w:rsid w:val="008F09AB"/>
    <w:rsid w:val="008F0FB3"/>
    <w:rsid w:val="008F11A3"/>
    <w:rsid w:val="008F27FA"/>
    <w:rsid w:val="008F4306"/>
    <w:rsid w:val="008F7601"/>
    <w:rsid w:val="008F7914"/>
    <w:rsid w:val="008F79E1"/>
    <w:rsid w:val="00901F9E"/>
    <w:rsid w:val="00902F10"/>
    <w:rsid w:val="0090378D"/>
    <w:rsid w:val="00904039"/>
    <w:rsid w:val="00904145"/>
    <w:rsid w:val="00905332"/>
    <w:rsid w:val="009059DF"/>
    <w:rsid w:val="00905BE0"/>
    <w:rsid w:val="00907971"/>
    <w:rsid w:val="00907A05"/>
    <w:rsid w:val="009100A8"/>
    <w:rsid w:val="00912187"/>
    <w:rsid w:val="009132E3"/>
    <w:rsid w:val="00913639"/>
    <w:rsid w:val="00913890"/>
    <w:rsid w:val="009148AC"/>
    <w:rsid w:val="00914C1D"/>
    <w:rsid w:val="00915F3F"/>
    <w:rsid w:val="00916228"/>
    <w:rsid w:val="00916301"/>
    <w:rsid w:val="0091747C"/>
    <w:rsid w:val="009206BB"/>
    <w:rsid w:val="00922A9B"/>
    <w:rsid w:val="009231B2"/>
    <w:rsid w:val="00923ADD"/>
    <w:rsid w:val="00925758"/>
    <w:rsid w:val="00926155"/>
    <w:rsid w:val="009279F2"/>
    <w:rsid w:val="00931B2F"/>
    <w:rsid w:val="00932BAB"/>
    <w:rsid w:val="0093306C"/>
    <w:rsid w:val="009339FC"/>
    <w:rsid w:val="009349EF"/>
    <w:rsid w:val="009350CE"/>
    <w:rsid w:val="00935458"/>
    <w:rsid w:val="009360DA"/>
    <w:rsid w:val="00936935"/>
    <w:rsid w:val="00940B60"/>
    <w:rsid w:val="00940D05"/>
    <w:rsid w:val="00942722"/>
    <w:rsid w:val="009433C1"/>
    <w:rsid w:val="00943699"/>
    <w:rsid w:val="00943829"/>
    <w:rsid w:val="0094402B"/>
    <w:rsid w:val="00946124"/>
    <w:rsid w:val="00946DC5"/>
    <w:rsid w:val="00946E17"/>
    <w:rsid w:val="00947278"/>
    <w:rsid w:val="009539FA"/>
    <w:rsid w:val="009544B3"/>
    <w:rsid w:val="0095646A"/>
    <w:rsid w:val="00960CCB"/>
    <w:rsid w:val="00960FE0"/>
    <w:rsid w:val="00961F77"/>
    <w:rsid w:val="00961FC1"/>
    <w:rsid w:val="0096247E"/>
    <w:rsid w:val="00963D1D"/>
    <w:rsid w:val="009640F4"/>
    <w:rsid w:val="00964284"/>
    <w:rsid w:val="00965069"/>
    <w:rsid w:val="00965FDF"/>
    <w:rsid w:val="00967AF5"/>
    <w:rsid w:val="00970E10"/>
    <w:rsid w:val="00974F96"/>
    <w:rsid w:val="009757C6"/>
    <w:rsid w:val="00975C45"/>
    <w:rsid w:val="00977EEE"/>
    <w:rsid w:val="009801CA"/>
    <w:rsid w:val="009802CB"/>
    <w:rsid w:val="0098060E"/>
    <w:rsid w:val="00980EC9"/>
    <w:rsid w:val="0098465E"/>
    <w:rsid w:val="00985A2C"/>
    <w:rsid w:val="00985AD3"/>
    <w:rsid w:val="00985D31"/>
    <w:rsid w:val="009863C7"/>
    <w:rsid w:val="00986804"/>
    <w:rsid w:val="00986CFC"/>
    <w:rsid w:val="0099070F"/>
    <w:rsid w:val="00992CD7"/>
    <w:rsid w:val="00992F36"/>
    <w:rsid w:val="00993BAE"/>
    <w:rsid w:val="00993E39"/>
    <w:rsid w:val="0099546D"/>
    <w:rsid w:val="00996370"/>
    <w:rsid w:val="0099773B"/>
    <w:rsid w:val="00997EED"/>
    <w:rsid w:val="009A09E9"/>
    <w:rsid w:val="009A2455"/>
    <w:rsid w:val="009A375C"/>
    <w:rsid w:val="009A3780"/>
    <w:rsid w:val="009A3853"/>
    <w:rsid w:val="009A717D"/>
    <w:rsid w:val="009B0520"/>
    <w:rsid w:val="009B1DF3"/>
    <w:rsid w:val="009B2803"/>
    <w:rsid w:val="009B4220"/>
    <w:rsid w:val="009B5742"/>
    <w:rsid w:val="009B709C"/>
    <w:rsid w:val="009B73F5"/>
    <w:rsid w:val="009C0912"/>
    <w:rsid w:val="009C3182"/>
    <w:rsid w:val="009C34F3"/>
    <w:rsid w:val="009C5367"/>
    <w:rsid w:val="009C5B87"/>
    <w:rsid w:val="009C70A8"/>
    <w:rsid w:val="009D1601"/>
    <w:rsid w:val="009D250D"/>
    <w:rsid w:val="009D2A96"/>
    <w:rsid w:val="009D2F28"/>
    <w:rsid w:val="009D3398"/>
    <w:rsid w:val="009D3731"/>
    <w:rsid w:val="009D38A1"/>
    <w:rsid w:val="009D4186"/>
    <w:rsid w:val="009D64FE"/>
    <w:rsid w:val="009D7B89"/>
    <w:rsid w:val="009E2DC5"/>
    <w:rsid w:val="009E3C08"/>
    <w:rsid w:val="009E68C8"/>
    <w:rsid w:val="009E6C6B"/>
    <w:rsid w:val="009E76AA"/>
    <w:rsid w:val="009E77F2"/>
    <w:rsid w:val="009F0ACA"/>
    <w:rsid w:val="009F15E7"/>
    <w:rsid w:val="009F23BD"/>
    <w:rsid w:val="009F2808"/>
    <w:rsid w:val="009F593D"/>
    <w:rsid w:val="00A00503"/>
    <w:rsid w:val="00A0156A"/>
    <w:rsid w:val="00A01C6F"/>
    <w:rsid w:val="00A01DB2"/>
    <w:rsid w:val="00A023EA"/>
    <w:rsid w:val="00A02C9A"/>
    <w:rsid w:val="00A02ED6"/>
    <w:rsid w:val="00A04015"/>
    <w:rsid w:val="00A047CA"/>
    <w:rsid w:val="00A04A59"/>
    <w:rsid w:val="00A06086"/>
    <w:rsid w:val="00A06DFD"/>
    <w:rsid w:val="00A109D4"/>
    <w:rsid w:val="00A1166D"/>
    <w:rsid w:val="00A12D70"/>
    <w:rsid w:val="00A13885"/>
    <w:rsid w:val="00A1430A"/>
    <w:rsid w:val="00A1561C"/>
    <w:rsid w:val="00A15627"/>
    <w:rsid w:val="00A16057"/>
    <w:rsid w:val="00A16A2E"/>
    <w:rsid w:val="00A20934"/>
    <w:rsid w:val="00A21842"/>
    <w:rsid w:val="00A21925"/>
    <w:rsid w:val="00A21D45"/>
    <w:rsid w:val="00A2215A"/>
    <w:rsid w:val="00A229EA"/>
    <w:rsid w:val="00A23059"/>
    <w:rsid w:val="00A243B2"/>
    <w:rsid w:val="00A2623B"/>
    <w:rsid w:val="00A26B28"/>
    <w:rsid w:val="00A26BE4"/>
    <w:rsid w:val="00A26CB4"/>
    <w:rsid w:val="00A26CCC"/>
    <w:rsid w:val="00A300E2"/>
    <w:rsid w:val="00A308C9"/>
    <w:rsid w:val="00A31B61"/>
    <w:rsid w:val="00A323BD"/>
    <w:rsid w:val="00A33606"/>
    <w:rsid w:val="00A34465"/>
    <w:rsid w:val="00A35D7E"/>
    <w:rsid w:val="00A37A93"/>
    <w:rsid w:val="00A40847"/>
    <w:rsid w:val="00A40FCF"/>
    <w:rsid w:val="00A43444"/>
    <w:rsid w:val="00A43773"/>
    <w:rsid w:val="00A444A6"/>
    <w:rsid w:val="00A44995"/>
    <w:rsid w:val="00A45C33"/>
    <w:rsid w:val="00A466B6"/>
    <w:rsid w:val="00A46EE9"/>
    <w:rsid w:val="00A5128C"/>
    <w:rsid w:val="00A5234E"/>
    <w:rsid w:val="00A56A2C"/>
    <w:rsid w:val="00A5761D"/>
    <w:rsid w:val="00A57D2F"/>
    <w:rsid w:val="00A57DBC"/>
    <w:rsid w:val="00A57E79"/>
    <w:rsid w:val="00A57EC2"/>
    <w:rsid w:val="00A60114"/>
    <w:rsid w:val="00A6094F"/>
    <w:rsid w:val="00A63158"/>
    <w:rsid w:val="00A64F9C"/>
    <w:rsid w:val="00A674D0"/>
    <w:rsid w:val="00A71BAA"/>
    <w:rsid w:val="00A72B0F"/>
    <w:rsid w:val="00A74122"/>
    <w:rsid w:val="00A75DA7"/>
    <w:rsid w:val="00A76443"/>
    <w:rsid w:val="00A76495"/>
    <w:rsid w:val="00A77660"/>
    <w:rsid w:val="00A80D65"/>
    <w:rsid w:val="00A8447E"/>
    <w:rsid w:val="00A86B24"/>
    <w:rsid w:val="00A87317"/>
    <w:rsid w:val="00A903D9"/>
    <w:rsid w:val="00A90C07"/>
    <w:rsid w:val="00A91411"/>
    <w:rsid w:val="00A9188B"/>
    <w:rsid w:val="00A931E9"/>
    <w:rsid w:val="00A93511"/>
    <w:rsid w:val="00A94647"/>
    <w:rsid w:val="00A9687E"/>
    <w:rsid w:val="00A96CFA"/>
    <w:rsid w:val="00A97A9E"/>
    <w:rsid w:val="00A97C36"/>
    <w:rsid w:val="00A97D79"/>
    <w:rsid w:val="00AA089C"/>
    <w:rsid w:val="00AA0C5A"/>
    <w:rsid w:val="00AA2D57"/>
    <w:rsid w:val="00AA3E70"/>
    <w:rsid w:val="00AA41D5"/>
    <w:rsid w:val="00AA4CB7"/>
    <w:rsid w:val="00AA4EF1"/>
    <w:rsid w:val="00AA6BA4"/>
    <w:rsid w:val="00AA7670"/>
    <w:rsid w:val="00AA7C25"/>
    <w:rsid w:val="00AB094C"/>
    <w:rsid w:val="00AB2DCC"/>
    <w:rsid w:val="00AB3269"/>
    <w:rsid w:val="00AB3826"/>
    <w:rsid w:val="00AB3C78"/>
    <w:rsid w:val="00AB54C3"/>
    <w:rsid w:val="00AB65DA"/>
    <w:rsid w:val="00AB6D11"/>
    <w:rsid w:val="00AC0045"/>
    <w:rsid w:val="00AC00B3"/>
    <w:rsid w:val="00AC0C16"/>
    <w:rsid w:val="00AC1AE8"/>
    <w:rsid w:val="00AC45CF"/>
    <w:rsid w:val="00AC4A34"/>
    <w:rsid w:val="00AC5B44"/>
    <w:rsid w:val="00AC6679"/>
    <w:rsid w:val="00AD0197"/>
    <w:rsid w:val="00AD0AFE"/>
    <w:rsid w:val="00AD0C0F"/>
    <w:rsid w:val="00AD0FD4"/>
    <w:rsid w:val="00AD17BC"/>
    <w:rsid w:val="00AD206B"/>
    <w:rsid w:val="00AD281B"/>
    <w:rsid w:val="00AD29E4"/>
    <w:rsid w:val="00AD3BCD"/>
    <w:rsid w:val="00AD51CE"/>
    <w:rsid w:val="00AD6FA9"/>
    <w:rsid w:val="00AD7650"/>
    <w:rsid w:val="00AE07CE"/>
    <w:rsid w:val="00AE0F43"/>
    <w:rsid w:val="00AE132C"/>
    <w:rsid w:val="00AE1BC2"/>
    <w:rsid w:val="00AE2118"/>
    <w:rsid w:val="00AE27B7"/>
    <w:rsid w:val="00AE2DD6"/>
    <w:rsid w:val="00AE3B7B"/>
    <w:rsid w:val="00AE4A80"/>
    <w:rsid w:val="00AE4F03"/>
    <w:rsid w:val="00AE67D0"/>
    <w:rsid w:val="00AE71A5"/>
    <w:rsid w:val="00AE7959"/>
    <w:rsid w:val="00AF0FB5"/>
    <w:rsid w:val="00AF1D10"/>
    <w:rsid w:val="00AF214A"/>
    <w:rsid w:val="00AF2921"/>
    <w:rsid w:val="00AF3FA6"/>
    <w:rsid w:val="00AF3FFC"/>
    <w:rsid w:val="00AF404A"/>
    <w:rsid w:val="00AF440E"/>
    <w:rsid w:val="00AF78BC"/>
    <w:rsid w:val="00B00132"/>
    <w:rsid w:val="00B01A6B"/>
    <w:rsid w:val="00B01C81"/>
    <w:rsid w:val="00B02086"/>
    <w:rsid w:val="00B028B9"/>
    <w:rsid w:val="00B02FF3"/>
    <w:rsid w:val="00B030B3"/>
    <w:rsid w:val="00B04D35"/>
    <w:rsid w:val="00B05820"/>
    <w:rsid w:val="00B05F83"/>
    <w:rsid w:val="00B064C6"/>
    <w:rsid w:val="00B0792B"/>
    <w:rsid w:val="00B115A2"/>
    <w:rsid w:val="00B1248E"/>
    <w:rsid w:val="00B12789"/>
    <w:rsid w:val="00B13AC3"/>
    <w:rsid w:val="00B13B6B"/>
    <w:rsid w:val="00B14623"/>
    <w:rsid w:val="00B15CA5"/>
    <w:rsid w:val="00B17B97"/>
    <w:rsid w:val="00B200F2"/>
    <w:rsid w:val="00B210F4"/>
    <w:rsid w:val="00B21270"/>
    <w:rsid w:val="00B22406"/>
    <w:rsid w:val="00B233FA"/>
    <w:rsid w:val="00B241DF"/>
    <w:rsid w:val="00B25703"/>
    <w:rsid w:val="00B2698D"/>
    <w:rsid w:val="00B27F76"/>
    <w:rsid w:val="00B300E9"/>
    <w:rsid w:val="00B31461"/>
    <w:rsid w:val="00B31649"/>
    <w:rsid w:val="00B316CA"/>
    <w:rsid w:val="00B319BF"/>
    <w:rsid w:val="00B33310"/>
    <w:rsid w:val="00B34069"/>
    <w:rsid w:val="00B344FD"/>
    <w:rsid w:val="00B3586B"/>
    <w:rsid w:val="00B3706D"/>
    <w:rsid w:val="00B40005"/>
    <w:rsid w:val="00B4177C"/>
    <w:rsid w:val="00B41E03"/>
    <w:rsid w:val="00B42C45"/>
    <w:rsid w:val="00B43117"/>
    <w:rsid w:val="00B43A28"/>
    <w:rsid w:val="00B43E2A"/>
    <w:rsid w:val="00B440EB"/>
    <w:rsid w:val="00B45BE5"/>
    <w:rsid w:val="00B46272"/>
    <w:rsid w:val="00B47A01"/>
    <w:rsid w:val="00B53589"/>
    <w:rsid w:val="00B556A9"/>
    <w:rsid w:val="00B56443"/>
    <w:rsid w:val="00B568A2"/>
    <w:rsid w:val="00B5778E"/>
    <w:rsid w:val="00B57F53"/>
    <w:rsid w:val="00B612B6"/>
    <w:rsid w:val="00B636DC"/>
    <w:rsid w:val="00B637D4"/>
    <w:rsid w:val="00B639E5"/>
    <w:rsid w:val="00B65C57"/>
    <w:rsid w:val="00B67019"/>
    <w:rsid w:val="00B700C3"/>
    <w:rsid w:val="00B73BC9"/>
    <w:rsid w:val="00B744E2"/>
    <w:rsid w:val="00B74C0E"/>
    <w:rsid w:val="00B76718"/>
    <w:rsid w:val="00B76D00"/>
    <w:rsid w:val="00B80447"/>
    <w:rsid w:val="00B80AEB"/>
    <w:rsid w:val="00B81003"/>
    <w:rsid w:val="00B818D7"/>
    <w:rsid w:val="00B81B23"/>
    <w:rsid w:val="00B82008"/>
    <w:rsid w:val="00B82F75"/>
    <w:rsid w:val="00B84F11"/>
    <w:rsid w:val="00B85678"/>
    <w:rsid w:val="00B867DD"/>
    <w:rsid w:val="00B90C7B"/>
    <w:rsid w:val="00B90EA0"/>
    <w:rsid w:val="00B91BAA"/>
    <w:rsid w:val="00B91BC8"/>
    <w:rsid w:val="00B91E60"/>
    <w:rsid w:val="00B92538"/>
    <w:rsid w:val="00B9273A"/>
    <w:rsid w:val="00B92C39"/>
    <w:rsid w:val="00B9320E"/>
    <w:rsid w:val="00B9378E"/>
    <w:rsid w:val="00B93F58"/>
    <w:rsid w:val="00B94DCE"/>
    <w:rsid w:val="00B952B5"/>
    <w:rsid w:val="00B95985"/>
    <w:rsid w:val="00B9742B"/>
    <w:rsid w:val="00B97F4F"/>
    <w:rsid w:val="00BA01D2"/>
    <w:rsid w:val="00BA0CE8"/>
    <w:rsid w:val="00BA19BE"/>
    <w:rsid w:val="00BA1DFD"/>
    <w:rsid w:val="00BA1F1D"/>
    <w:rsid w:val="00BA286E"/>
    <w:rsid w:val="00BA2A76"/>
    <w:rsid w:val="00BA374F"/>
    <w:rsid w:val="00BA4A46"/>
    <w:rsid w:val="00BA69D3"/>
    <w:rsid w:val="00BA711F"/>
    <w:rsid w:val="00BB0DA2"/>
    <w:rsid w:val="00BB0E21"/>
    <w:rsid w:val="00BB26DF"/>
    <w:rsid w:val="00BB3CAE"/>
    <w:rsid w:val="00BB48FA"/>
    <w:rsid w:val="00BB5312"/>
    <w:rsid w:val="00BB55E4"/>
    <w:rsid w:val="00BB6606"/>
    <w:rsid w:val="00BC1B68"/>
    <w:rsid w:val="00BC3700"/>
    <w:rsid w:val="00BC5ACA"/>
    <w:rsid w:val="00BC5E7C"/>
    <w:rsid w:val="00BC5ECE"/>
    <w:rsid w:val="00BC6314"/>
    <w:rsid w:val="00BC67A2"/>
    <w:rsid w:val="00BC6F66"/>
    <w:rsid w:val="00BD0BA3"/>
    <w:rsid w:val="00BD1B5E"/>
    <w:rsid w:val="00BD20CA"/>
    <w:rsid w:val="00BD25C3"/>
    <w:rsid w:val="00BD26FC"/>
    <w:rsid w:val="00BD2EF9"/>
    <w:rsid w:val="00BD44B9"/>
    <w:rsid w:val="00BD49FC"/>
    <w:rsid w:val="00BD4A08"/>
    <w:rsid w:val="00BD65E2"/>
    <w:rsid w:val="00BD75B3"/>
    <w:rsid w:val="00BD7ACB"/>
    <w:rsid w:val="00BE030A"/>
    <w:rsid w:val="00BE0BD4"/>
    <w:rsid w:val="00BE1057"/>
    <w:rsid w:val="00BE1435"/>
    <w:rsid w:val="00BE1AB1"/>
    <w:rsid w:val="00BE391B"/>
    <w:rsid w:val="00BE46AC"/>
    <w:rsid w:val="00BE4804"/>
    <w:rsid w:val="00BE639D"/>
    <w:rsid w:val="00BE69AC"/>
    <w:rsid w:val="00BF33B0"/>
    <w:rsid w:val="00BF340A"/>
    <w:rsid w:val="00BF4664"/>
    <w:rsid w:val="00BF4B1A"/>
    <w:rsid w:val="00BF5839"/>
    <w:rsid w:val="00BF59B2"/>
    <w:rsid w:val="00BF7FAF"/>
    <w:rsid w:val="00C00DC1"/>
    <w:rsid w:val="00C01514"/>
    <w:rsid w:val="00C01C18"/>
    <w:rsid w:val="00C0480E"/>
    <w:rsid w:val="00C061E3"/>
    <w:rsid w:val="00C06240"/>
    <w:rsid w:val="00C07345"/>
    <w:rsid w:val="00C07770"/>
    <w:rsid w:val="00C119C2"/>
    <w:rsid w:val="00C141DF"/>
    <w:rsid w:val="00C14967"/>
    <w:rsid w:val="00C14B25"/>
    <w:rsid w:val="00C157E6"/>
    <w:rsid w:val="00C15FEE"/>
    <w:rsid w:val="00C1627A"/>
    <w:rsid w:val="00C16F8A"/>
    <w:rsid w:val="00C17198"/>
    <w:rsid w:val="00C1777A"/>
    <w:rsid w:val="00C20E15"/>
    <w:rsid w:val="00C222AC"/>
    <w:rsid w:val="00C226A0"/>
    <w:rsid w:val="00C24C12"/>
    <w:rsid w:val="00C24FC3"/>
    <w:rsid w:val="00C252E8"/>
    <w:rsid w:val="00C26E47"/>
    <w:rsid w:val="00C3083F"/>
    <w:rsid w:val="00C309AE"/>
    <w:rsid w:val="00C30B76"/>
    <w:rsid w:val="00C3179A"/>
    <w:rsid w:val="00C31B7A"/>
    <w:rsid w:val="00C322A1"/>
    <w:rsid w:val="00C32962"/>
    <w:rsid w:val="00C32E9F"/>
    <w:rsid w:val="00C33404"/>
    <w:rsid w:val="00C338CE"/>
    <w:rsid w:val="00C33BEE"/>
    <w:rsid w:val="00C34E14"/>
    <w:rsid w:val="00C364D6"/>
    <w:rsid w:val="00C366BB"/>
    <w:rsid w:val="00C36873"/>
    <w:rsid w:val="00C40350"/>
    <w:rsid w:val="00C40D2C"/>
    <w:rsid w:val="00C414E8"/>
    <w:rsid w:val="00C42AAC"/>
    <w:rsid w:val="00C42CE4"/>
    <w:rsid w:val="00C43034"/>
    <w:rsid w:val="00C43191"/>
    <w:rsid w:val="00C43619"/>
    <w:rsid w:val="00C43AF5"/>
    <w:rsid w:val="00C43DAE"/>
    <w:rsid w:val="00C46AC4"/>
    <w:rsid w:val="00C47CF2"/>
    <w:rsid w:val="00C51A84"/>
    <w:rsid w:val="00C52F0C"/>
    <w:rsid w:val="00C531DC"/>
    <w:rsid w:val="00C532F8"/>
    <w:rsid w:val="00C533DC"/>
    <w:rsid w:val="00C533FE"/>
    <w:rsid w:val="00C5376C"/>
    <w:rsid w:val="00C53F60"/>
    <w:rsid w:val="00C54162"/>
    <w:rsid w:val="00C549B7"/>
    <w:rsid w:val="00C54C55"/>
    <w:rsid w:val="00C56B0A"/>
    <w:rsid w:val="00C60208"/>
    <w:rsid w:val="00C61020"/>
    <w:rsid w:val="00C62631"/>
    <w:rsid w:val="00C6293B"/>
    <w:rsid w:val="00C63972"/>
    <w:rsid w:val="00C63C18"/>
    <w:rsid w:val="00C65241"/>
    <w:rsid w:val="00C655A3"/>
    <w:rsid w:val="00C66CB0"/>
    <w:rsid w:val="00C676E5"/>
    <w:rsid w:val="00C723B8"/>
    <w:rsid w:val="00C74E29"/>
    <w:rsid w:val="00C75602"/>
    <w:rsid w:val="00C756A8"/>
    <w:rsid w:val="00C7661F"/>
    <w:rsid w:val="00C76787"/>
    <w:rsid w:val="00C772E3"/>
    <w:rsid w:val="00C803E7"/>
    <w:rsid w:val="00C83A4F"/>
    <w:rsid w:val="00C84379"/>
    <w:rsid w:val="00C84D05"/>
    <w:rsid w:val="00C85644"/>
    <w:rsid w:val="00C8621A"/>
    <w:rsid w:val="00C86F60"/>
    <w:rsid w:val="00C87641"/>
    <w:rsid w:val="00C87BB9"/>
    <w:rsid w:val="00C926AD"/>
    <w:rsid w:val="00C92826"/>
    <w:rsid w:val="00C93453"/>
    <w:rsid w:val="00C93D5F"/>
    <w:rsid w:val="00C95379"/>
    <w:rsid w:val="00C9539E"/>
    <w:rsid w:val="00C957C2"/>
    <w:rsid w:val="00C96889"/>
    <w:rsid w:val="00CA04DC"/>
    <w:rsid w:val="00CA0ADF"/>
    <w:rsid w:val="00CA3EB9"/>
    <w:rsid w:val="00CA5938"/>
    <w:rsid w:val="00CA5C45"/>
    <w:rsid w:val="00CA5DEE"/>
    <w:rsid w:val="00CB0E55"/>
    <w:rsid w:val="00CB10FD"/>
    <w:rsid w:val="00CB19C7"/>
    <w:rsid w:val="00CB1B9C"/>
    <w:rsid w:val="00CB22F1"/>
    <w:rsid w:val="00CB30A4"/>
    <w:rsid w:val="00CB32C7"/>
    <w:rsid w:val="00CB3837"/>
    <w:rsid w:val="00CB38F2"/>
    <w:rsid w:val="00CB3CB5"/>
    <w:rsid w:val="00CB3DBD"/>
    <w:rsid w:val="00CB4D57"/>
    <w:rsid w:val="00CB57FE"/>
    <w:rsid w:val="00CB7123"/>
    <w:rsid w:val="00CB73A3"/>
    <w:rsid w:val="00CB7F0D"/>
    <w:rsid w:val="00CC1DF7"/>
    <w:rsid w:val="00CC20F1"/>
    <w:rsid w:val="00CC28C6"/>
    <w:rsid w:val="00CC3585"/>
    <w:rsid w:val="00CC4808"/>
    <w:rsid w:val="00CC4BC8"/>
    <w:rsid w:val="00CC750B"/>
    <w:rsid w:val="00CC7D66"/>
    <w:rsid w:val="00CD0055"/>
    <w:rsid w:val="00CD0400"/>
    <w:rsid w:val="00CD211F"/>
    <w:rsid w:val="00CD28C6"/>
    <w:rsid w:val="00CD305B"/>
    <w:rsid w:val="00CD3987"/>
    <w:rsid w:val="00CD44A5"/>
    <w:rsid w:val="00CD61F9"/>
    <w:rsid w:val="00CD64FC"/>
    <w:rsid w:val="00CE02CC"/>
    <w:rsid w:val="00CE0D2C"/>
    <w:rsid w:val="00CE0F53"/>
    <w:rsid w:val="00CE1B8A"/>
    <w:rsid w:val="00CE1F0B"/>
    <w:rsid w:val="00CE2156"/>
    <w:rsid w:val="00CE25CA"/>
    <w:rsid w:val="00CE2B32"/>
    <w:rsid w:val="00CE2DD0"/>
    <w:rsid w:val="00CE30AB"/>
    <w:rsid w:val="00CE3510"/>
    <w:rsid w:val="00CE419A"/>
    <w:rsid w:val="00CE4936"/>
    <w:rsid w:val="00CE4CC0"/>
    <w:rsid w:val="00CE5257"/>
    <w:rsid w:val="00CE530D"/>
    <w:rsid w:val="00CE6205"/>
    <w:rsid w:val="00CE6BF8"/>
    <w:rsid w:val="00CE7A1E"/>
    <w:rsid w:val="00CF27C4"/>
    <w:rsid w:val="00CF46D9"/>
    <w:rsid w:val="00D02716"/>
    <w:rsid w:val="00D02D13"/>
    <w:rsid w:val="00D0456C"/>
    <w:rsid w:val="00D06F27"/>
    <w:rsid w:val="00D07114"/>
    <w:rsid w:val="00D073F4"/>
    <w:rsid w:val="00D1102D"/>
    <w:rsid w:val="00D13DF0"/>
    <w:rsid w:val="00D1418F"/>
    <w:rsid w:val="00D143AC"/>
    <w:rsid w:val="00D14486"/>
    <w:rsid w:val="00D1569F"/>
    <w:rsid w:val="00D22284"/>
    <w:rsid w:val="00D22FC3"/>
    <w:rsid w:val="00D23583"/>
    <w:rsid w:val="00D2449C"/>
    <w:rsid w:val="00D244C9"/>
    <w:rsid w:val="00D24520"/>
    <w:rsid w:val="00D25BF8"/>
    <w:rsid w:val="00D262EA"/>
    <w:rsid w:val="00D26D11"/>
    <w:rsid w:val="00D27CFB"/>
    <w:rsid w:val="00D30A63"/>
    <w:rsid w:val="00D30F6D"/>
    <w:rsid w:val="00D31703"/>
    <w:rsid w:val="00D31C43"/>
    <w:rsid w:val="00D322A6"/>
    <w:rsid w:val="00D32D1E"/>
    <w:rsid w:val="00D36774"/>
    <w:rsid w:val="00D36B98"/>
    <w:rsid w:val="00D40AAD"/>
    <w:rsid w:val="00D43642"/>
    <w:rsid w:val="00D43BB8"/>
    <w:rsid w:val="00D45728"/>
    <w:rsid w:val="00D4767A"/>
    <w:rsid w:val="00D47ACC"/>
    <w:rsid w:val="00D5064E"/>
    <w:rsid w:val="00D51FE7"/>
    <w:rsid w:val="00D54B01"/>
    <w:rsid w:val="00D5603B"/>
    <w:rsid w:val="00D56DD8"/>
    <w:rsid w:val="00D56EC5"/>
    <w:rsid w:val="00D57274"/>
    <w:rsid w:val="00D600F0"/>
    <w:rsid w:val="00D6034D"/>
    <w:rsid w:val="00D61332"/>
    <w:rsid w:val="00D6194F"/>
    <w:rsid w:val="00D61F8A"/>
    <w:rsid w:val="00D6226B"/>
    <w:rsid w:val="00D6239E"/>
    <w:rsid w:val="00D624EF"/>
    <w:rsid w:val="00D640D7"/>
    <w:rsid w:val="00D64A4B"/>
    <w:rsid w:val="00D64F1B"/>
    <w:rsid w:val="00D653AD"/>
    <w:rsid w:val="00D6548B"/>
    <w:rsid w:val="00D66A48"/>
    <w:rsid w:val="00D67432"/>
    <w:rsid w:val="00D67E9C"/>
    <w:rsid w:val="00D70374"/>
    <w:rsid w:val="00D71175"/>
    <w:rsid w:val="00D711C5"/>
    <w:rsid w:val="00D71A85"/>
    <w:rsid w:val="00D7260B"/>
    <w:rsid w:val="00D729B1"/>
    <w:rsid w:val="00D730B5"/>
    <w:rsid w:val="00D73129"/>
    <w:rsid w:val="00D735FF"/>
    <w:rsid w:val="00D73A3C"/>
    <w:rsid w:val="00D7483C"/>
    <w:rsid w:val="00D74FD2"/>
    <w:rsid w:val="00D75CC5"/>
    <w:rsid w:val="00D762ED"/>
    <w:rsid w:val="00D77CD3"/>
    <w:rsid w:val="00D80B2D"/>
    <w:rsid w:val="00D813C5"/>
    <w:rsid w:val="00D83406"/>
    <w:rsid w:val="00D83999"/>
    <w:rsid w:val="00D839BC"/>
    <w:rsid w:val="00D84ABE"/>
    <w:rsid w:val="00D84F60"/>
    <w:rsid w:val="00D86004"/>
    <w:rsid w:val="00D87B35"/>
    <w:rsid w:val="00D9098B"/>
    <w:rsid w:val="00D9164E"/>
    <w:rsid w:val="00D91B3F"/>
    <w:rsid w:val="00D91BC7"/>
    <w:rsid w:val="00D91FC5"/>
    <w:rsid w:val="00D921E7"/>
    <w:rsid w:val="00D92690"/>
    <w:rsid w:val="00D9288B"/>
    <w:rsid w:val="00D9376C"/>
    <w:rsid w:val="00D93EA3"/>
    <w:rsid w:val="00D96E03"/>
    <w:rsid w:val="00D97AD0"/>
    <w:rsid w:val="00DA068C"/>
    <w:rsid w:val="00DA1731"/>
    <w:rsid w:val="00DA2373"/>
    <w:rsid w:val="00DA2FEA"/>
    <w:rsid w:val="00DA628E"/>
    <w:rsid w:val="00DA6E18"/>
    <w:rsid w:val="00DA6F20"/>
    <w:rsid w:val="00DB17ED"/>
    <w:rsid w:val="00DB35B2"/>
    <w:rsid w:val="00DB3FD3"/>
    <w:rsid w:val="00DB4087"/>
    <w:rsid w:val="00DB452E"/>
    <w:rsid w:val="00DB4755"/>
    <w:rsid w:val="00DC07A6"/>
    <w:rsid w:val="00DC153D"/>
    <w:rsid w:val="00DC22B8"/>
    <w:rsid w:val="00DC3E21"/>
    <w:rsid w:val="00DC4046"/>
    <w:rsid w:val="00DC428F"/>
    <w:rsid w:val="00DC48FC"/>
    <w:rsid w:val="00DC4A34"/>
    <w:rsid w:val="00DC7F55"/>
    <w:rsid w:val="00DD04B4"/>
    <w:rsid w:val="00DD2866"/>
    <w:rsid w:val="00DD2EAD"/>
    <w:rsid w:val="00DD332A"/>
    <w:rsid w:val="00DD3C36"/>
    <w:rsid w:val="00DD3E03"/>
    <w:rsid w:val="00DD4AB2"/>
    <w:rsid w:val="00DD4BA5"/>
    <w:rsid w:val="00DD536D"/>
    <w:rsid w:val="00DD5672"/>
    <w:rsid w:val="00DD6283"/>
    <w:rsid w:val="00DD638B"/>
    <w:rsid w:val="00DD6622"/>
    <w:rsid w:val="00DD725B"/>
    <w:rsid w:val="00DE0CFB"/>
    <w:rsid w:val="00DE1245"/>
    <w:rsid w:val="00DE16B2"/>
    <w:rsid w:val="00DE17F9"/>
    <w:rsid w:val="00DE1EE8"/>
    <w:rsid w:val="00DE30EB"/>
    <w:rsid w:val="00DE33F9"/>
    <w:rsid w:val="00DE35C1"/>
    <w:rsid w:val="00DE3A75"/>
    <w:rsid w:val="00DE3B0B"/>
    <w:rsid w:val="00DE49A3"/>
    <w:rsid w:val="00DE4B5E"/>
    <w:rsid w:val="00DE4C92"/>
    <w:rsid w:val="00DE6050"/>
    <w:rsid w:val="00DE65EC"/>
    <w:rsid w:val="00DE6F23"/>
    <w:rsid w:val="00DE7094"/>
    <w:rsid w:val="00DF2EC9"/>
    <w:rsid w:val="00DF3272"/>
    <w:rsid w:val="00DF5393"/>
    <w:rsid w:val="00DF54C2"/>
    <w:rsid w:val="00DF5787"/>
    <w:rsid w:val="00DF57AB"/>
    <w:rsid w:val="00DF6AAA"/>
    <w:rsid w:val="00DF74BE"/>
    <w:rsid w:val="00DF74E3"/>
    <w:rsid w:val="00DF794F"/>
    <w:rsid w:val="00E02336"/>
    <w:rsid w:val="00E023AA"/>
    <w:rsid w:val="00E02DF9"/>
    <w:rsid w:val="00E05993"/>
    <w:rsid w:val="00E059CE"/>
    <w:rsid w:val="00E07B27"/>
    <w:rsid w:val="00E07EEF"/>
    <w:rsid w:val="00E10391"/>
    <w:rsid w:val="00E12228"/>
    <w:rsid w:val="00E138C3"/>
    <w:rsid w:val="00E15852"/>
    <w:rsid w:val="00E15EAA"/>
    <w:rsid w:val="00E1630A"/>
    <w:rsid w:val="00E165CA"/>
    <w:rsid w:val="00E16B90"/>
    <w:rsid w:val="00E177EE"/>
    <w:rsid w:val="00E20A4D"/>
    <w:rsid w:val="00E20C25"/>
    <w:rsid w:val="00E21452"/>
    <w:rsid w:val="00E23208"/>
    <w:rsid w:val="00E23A7E"/>
    <w:rsid w:val="00E23ABD"/>
    <w:rsid w:val="00E24A0D"/>
    <w:rsid w:val="00E24A15"/>
    <w:rsid w:val="00E24F4E"/>
    <w:rsid w:val="00E25699"/>
    <w:rsid w:val="00E275BB"/>
    <w:rsid w:val="00E275CC"/>
    <w:rsid w:val="00E3023E"/>
    <w:rsid w:val="00E320BF"/>
    <w:rsid w:val="00E325CC"/>
    <w:rsid w:val="00E32F40"/>
    <w:rsid w:val="00E34333"/>
    <w:rsid w:val="00E34B78"/>
    <w:rsid w:val="00E34BD0"/>
    <w:rsid w:val="00E35F2E"/>
    <w:rsid w:val="00E37029"/>
    <w:rsid w:val="00E37E2C"/>
    <w:rsid w:val="00E42F1F"/>
    <w:rsid w:val="00E446B6"/>
    <w:rsid w:val="00E44E27"/>
    <w:rsid w:val="00E44E2E"/>
    <w:rsid w:val="00E45A6B"/>
    <w:rsid w:val="00E45DBB"/>
    <w:rsid w:val="00E464E0"/>
    <w:rsid w:val="00E50E0A"/>
    <w:rsid w:val="00E51369"/>
    <w:rsid w:val="00E51FE7"/>
    <w:rsid w:val="00E520C5"/>
    <w:rsid w:val="00E52747"/>
    <w:rsid w:val="00E5274C"/>
    <w:rsid w:val="00E53E66"/>
    <w:rsid w:val="00E540E3"/>
    <w:rsid w:val="00E54235"/>
    <w:rsid w:val="00E548FC"/>
    <w:rsid w:val="00E55EC9"/>
    <w:rsid w:val="00E5657E"/>
    <w:rsid w:val="00E56921"/>
    <w:rsid w:val="00E60D4B"/>
    <w:rsid w:val="00E61488"/>
    <w:rsid w:val="00E6207F"/>
    <w:rsid w:val="00E62D6D"/>
    <w:rsid w:val="00E62F37"/>
    <w:rsid w:val="00E63547"/>
    <w:rsid w:val="00E63814"/>
    <w:rsid w:val="00E6499B"/>
    <w:rsid w:val="00E651B3"/>
    <w:rsid w:val="00E6654E"/>
    <w:rsid w:val="00E71B47"/>
    <w:rsid w:val="00E73CC6"/>
    <w:rsid w:val="00E73E8E"/>
    <w:rsid w:val="00E7447A"/>
    <w:rsid w:val="00E75151"/>
    <w:rsid w:val="00E77018"/>
    <w:rsid w:val="00E8056B"/>
    <w:rsid w:val="00E80729"/>
    <w:rsid w:val="00E80CF1"/>
    <w:rsid w:val="00E816A2"/>
    <w:rsid w:val="00E82664"/>
    <w:rsid w:val="00E82AA0"/>
    <w:rsid w:val="00E83CBE"/>
    <w:rsid w:val="00E86E35"/>
    <w:rsid w:val="00E903EE"/>
    <w:rsid w:val="00E91E84"/>
    <w:rsid w:val="00E924CE"/>
    <w:rsid w:val="00E9279A"/>
    <w:rsid w:val="00E94DFC"/>
    <w:rsid w:val="00E960DD"/>
    <w:rsid w:val="00E96BDF"/>
    <w:rsid w:val="00E974BD"/>
    <w:rsid w:val="00EA0246"/>
    <w:rsid w:val="00EA14FE"/>
    <w:rsid w:val="00EA1831"/>
    <w:rsid w:val="00EA2204"/>
    <w:rsid w:val="00EA2537"/>
    <w:rsid w:val="00EA257F"/>
    <w:rsid w:val="00EA2A85"/>
    <w:rsid w:val="00EA3251"/>
    <w:rsid w:val="00EA3322"/>
    <w:rsid w:val="00EA3F83"/>
    <w:rsid w:val="00EA5B6C"/>
    <w:rsid w:val="00EA607E"/>
    <w:rsid w:val="00EA6150"/>
    <w:rsid w:val="00EA6D50"/>
    <w:rsid w:val="00EB05BC"/>
    <w:rsid w:val="00EB0C47"/>
    <w:rsid w:val="00EB2D70"/>
    <w:rsid w:val="00EB3E6E"/>
    <w:rsid w:val="00EB4B62"/>
    <w:rsid w:val="00EB6ED1"/>
    <w:rsid w:val="00EB73AB"/>
    <w:rsid w:val="00EB7837"/>
    <w:rsid w:val="00EC02B0"/>
    <w:rsid w:val="00EC042B"/>
    <w:rsid w:val="00EC27C3"/>
    <w:rsid w:val="00EC4A38"/>
    <w:rsid w:val="00EC5964"/>
    <w:rsid w:val="00EC7A14"/>
    <w:rsid w:val="00ED0C35"/>
    <w:rsid w:val="00ED0E44"/>
    <w:rsid w:val="00ED185A"/>
    <w:rsid w:val="00ED19EB"/>
    <w:rsid w:val="00ED1D0D"/>
    <w:rsid w:val="00ED2995"/>
    <w:rsid w:val="00ED39AB"/>
    <w:rsid w:val="00ED68B6"/>
    <w:rsid w:val="00ED7159"/>
    <w:rsid w:val="00EE02B2"/>
    <w:rsid w:val="00EE08B9"/>
    <w:rsid w:val="00EE1FFF"/>
    <w:rsid w:val="00EE2127"/>
    <w:rsid w:val="00EE22F2"/>
    <w:rsid w:val="00EE2D7E"/>
    <w:rsid w:val="00EE4129"/>
    <w:rsid w:val="00EE4526"/>
    <w:rsid w:val="00EE49F2"/>
    <w:rsid w:val="00EE51AD"/>
    <w:rsid w:val="00EE65C7"/>
    <w:rsid w:val="00EE7143"/>
    <w:rsid w:val="00EE74B4"/>
    <w:rsid w:val="00EF081A"/>
    <w:rsid w:val="00EF5F37"/>
    <w:rsid w:val="00EF74E8"/>
    <w:rsid w:val="00EF7AB3"/>
    <w:rsid w:val="00EF7D57"/>
    <w:rsid w:val="00F020D5"/>
    <w:rsid w:val="00F03AB9"/>
    <w:rsid w:val="00F03D77"/>
    <w:rsid w:val="00F04185"/>
    <w:rsid w:val="00F04376"/>
    <w:rsid w:val="00F04548"/>
    <w:rsid w:val="00F100A9"/>
    <w:rsid w:val="00F10133"/>
    <w:rsid w:val="00F14B69"/>
    <w:rsid w:val="00F154C1"/>
    <w:rsid w:val="00F15F22"/>
    <w:rsid w:val="00F165B2"/>
    <w:rsid w:val="00F16C2D"/>
    <w:rsid w:val="00F17E6F"/>
    <w:rsid w:val="00F2072F"/>
    <w:rsid w:val="00F2165E"/>
    <w:rsid w:val="00F21CE8"/>
    <w:rsid w:val="00F22192"/>
    <w:rsid w:val="00F22F5E"/>
    <w:rsid w:val="00F24FD9"/>
    <w:rsid w:val="00F25484"/>
    <w:rsid w:val="00F254C0"/>
    <w:rsid w:val="00F255D5"/>
    <w:rsid w:val="00F26132"/>
    <w:rsid w:val="00F2650A"/>
    <w:rsid w:val="00F3294F"/>
    <w:rsid w:val="00F32DC1"/>
    <w:rsid w:val="00F32F01"/>
    <w:rsid w:val="00F33008"/>
    <w:rsid w:val="00F33089"/>
    <w:rsid w:val="00F33FD1"/>
    <w:rsid w:val="00F34678"/>
    <w:rsid w:val="00F35870"/>
    <w:rsid w:val="00F377D3"/>
    <w:rsid w:val="00F41352"/>
    <w:rsid w:val="00F4251D"/>
    <w:rsid w:val="00F42FE4"/>
    <w:rsid w:val="00F448AE"/>
    <w:rsid w:val="00F4543E"/>
    <w:rsid w:val="00F46B82"/>
    <w:rsid w:val="00F46D54"/>
    <w:rsid w:val="00F477F7"/>
    <w:rsid w:val="00F50495"/>
    <w:rsid w:val="00F51B8C"/>
    <w:rsid w:val="00F52310"/>
    <w:rsid w:val="00F52883"/>
    <w:rsid w:val="00F5399F"/>
    <w:rsid w:val="00F5516D"/>
    <w:rsid w:val="00F56FD2"/>
    <w:rsid w:val="00F6195A"/>
    <w:rsid w:val="00F6200B"/>
    <w:rsid w:val="00F635F4"/>
    <w:rsid w:val="00F66724"/>
    <w:rsid w:val="00F670BF"/>
    <w:rsid w:val="00F671B4"/>
    <w:rsid w:val="00F70531"/>
    <w:rsid w:val="00F73ACC"/>
    <w:rsid w:val="00F73C76"/>
    <w:rsid w:val="00F756A8"/>
    <w:rsid w:val="00F7709E"/>
    <w:rsid w:val="00F77876"/>
    <w:rsid w:val="00F77C1D"/>
    <w:rsid w:val="00F811F7"/>
    <w:rsid w:val="00F81EED"/>
    <w:rsid w:val="00F820F3"/>
    <w:rsid w:val="00F8275D"/>
    <w:rsid w:val="00F82BBB"/>
    <w:rsid w:val="00F8425A"/>
    <w:rsid w:val="00F84D4F"/>
    <w:rsid w:val="00F85E0E"/>
    <w:rsid w:val="00F90F87"/>
    <w:rsid w:val="00F92721"/>
    <w:rsid w:val="00F92938"/>
    <w:rsid w:val="00F938F6"/>
    <w:rsid w:val="00F93B9A"/>
    <w:rsid w:val="00F946DC"/>
    <w:rsid w:val="00F96568"/>
    <w:rsid w:val="00F96E99"/>
    <w:rsid w:val="00F97116"/>
    <w:rsid w:val="00F971D6"/>
    <w:rsid w:val="00F972D9"/>
    <w:rsid w:val="00F9761A"/>
    <w:rsid w:val="00F9777A"/>
    <w:rsid w:val="00F97FDE"/>
    <w:rsid w:val="00FA1D75"/>
    <w:rsid w:val="00FA2450"/>
    <w:rsid w:val="00FA2486"/>
    <w:rsid w:val="00FA30CF"/>
    <w:rsid w:val="00FA321F"/>
    <w:rsid w:val="00FA56D3"/>
    <w:rsid w:val="00FA593F"/>
    <w:rsid w:val="00FA6CB0"/>
    <w:rsid w:val="00FB0BD1"/>
    <w:rsid w:val="00FB1459"/>
    <w:rsid w:val="00FB1DEC"/>
    <w:rsid w:val="00FB5CCE"/>
    <w:rsid w:val="00FB7B56"/>
    <w:rsid w:val="00FC027F"/>
    <w:rsid w:val="00FC0370"/>
    <w:rsid w:val="00FC1291"/>
    <w:rsid w:val="00FC1708"/>
    <w:rsid w:val="00FC2E35"/>
    <w:rsid w:val="00FC3859"/>
    <w:rsid w:val="00FC4EB5"/>
    <w:rsid w:val="00FC54E7"/>
    <w:rsid w:val="00FC57B4"/>
    <w:rsid w:val="00FC6DBB"/>
    <w:rsid w:val="00FC7369"/>
    <w:rsid w:val="00FD0152"/>
    <w:rsid w:val="00FD016B"/>
    <w:rsid w:val="00FD3FFC"/>
    <w:rsid w:val="00FD4E53"/>
    <w:rsid w:val="00FD4FEB"/>
    <w:rsid w:val="00FD7129"/>
    <w:rsid w:val="00FD74A6"/>
    <w:rsid w:val="00FE2E58"/>
    <w:rsid w:val="00FE2EC4"/>
    <w:rsid w:val="00FE3DE2"/>
    <w:rsid w:val="00FE4A10"/>
    <w:rsid w:val="00FE5861"/>
    <w:rsid w:val="00FE6FC6"/>
    <w:rsid w:val="00FE75E5"/>
    <w:rsid w:val="00FF0E35"/>
    <w:rsid w:val="00FF28BE"/>
    <w:rsid w:val="00FF4F15"/>
    <w:rsid w:val="00FF66DB"/>
    <w:rsid w:val="00FF7835"/>
    <w:rsid w:val="00FF7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2CF9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A0"/>
    <w:rPr>
      <w:sz w:val="22"/>
      <w:szCs w:val="22"/>
      <w:lang w:eastAsia="en-US"/>
    </w:rPr>
  </w:style>
  <w:style w:type="paragraph" w:styleId="Heading1">
    <w:name w:val="heading 1"/>
    <w:aliases w:val="ATA Submission Heading 1"/>
    <w:basedOn w:val="Normal"/>
    <w:next w:val="Normal"/>
    <w:link w:val="Heading1Char"/>
    <w:uiPriority w:val="99"/>
    <w:qFormat/>
    <w:rsid w:val="003B74E4"/>
    <w:pPr>
      <w:numPr>
        <w:numId w:val="1"/>
      </w:numPr>
      <w:ind w:left="786"/>
      <w:outlineLvl w:val="0"/>
    </w:pPr>
    <w:rPr>
      <w:rFonts w:ascii="Arial" w:hAnsi="Arial" w:cs="Arial"/>
      <w:b/>
      <w:color w:val="000064"/>
      <w:sz w:val="28"/>
      <w:szCs w:val="28"/>
    </w:rPr>
  </w:style>
  <w:style w:type="paragraph" w:styleId="Heading2">
    <w:name w:val="heading 2"/>
    <w:basedOn w:val="Normal"/>
    <w:next w:val="Normal"/>
    <w:link w:val="Heading2Char"/>
    <w:unhideWhenUsed/>
    <w:qFormat/>
    <w:locked/>
    <w:rsid w:val="00685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F53C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A Submission Heading 1 Char"/>
    <w:basedOn w:val="DefaultParagraphFont"/>
    <w:link w:val="Heading1"/>
    <w:uiPriority w:val="99"/>
    <w:locked/>
    <w:rsid w:val="003B74E4"/>
    <w:rPr>
      <w:rFonts w:ascii="Arial" w:hAnsi="Arial" w:cs="Arial"/>
      <w:b/>
      <w:color w:val="000064"/>
      <w:sz w:val="28"/>
      <w:szCs w:val="28"/>
      <w:lang w:eastAsia="en-US"/>
    </w:rPr>
  </w:style>
  <w:style w:type="character" w:customStyle="1" w:styleId="Heading2Char">
    <w:name w:val="Heading 2 Char"/>
    <w:basedOn w:val="DefaultParagraphFont"/>
    <w:link w:val="Heading2"/>
    <w:rsid w:val="006859F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9"/>
    <w:locked/>
    <w:rsid w:val="000F53C2"/>
    <w:rPr>
      <w:rFonts w:ascii="Cambria" w:hAnsi="Cambria" w:cs="Times New Roman"/>
      <w:b/>
      <w:bCs/>
      <w:sz w:val="26"/>
      <w:szCs w:val="26"/>
      <w:lang w:eastAsia="en-US"/>
    </w:rPr>
  </w:style>
  <w:style w:type="table" w:styleId="TableGrid">
    <w:name w:val="Table Grid"/>
    <w:basedOn w:val="TableNormal"/>
    <w:uiPriority w:val="39"/>
    <w:rsid w:val="00C16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rsid w:val="004B6187"/>
    <w:rPr>
      <w:rFonts w:ascii="Arial" w:eastAsia="Times New Roman" w:hAnsi="Arial" w:cs="Arial"/>
      <w:b/>
      <w:bCs/>
      <w:szCs w:val="20"/>
    </w:rPr>
  </w:style>
  <w:style w:type="character" w:customStyle="1" w:styleId="BodyText2Char">
    <w:name w:val="Body Text 2 Char"/>
    <w:basedOn w:val="DefaultParagraphFont"/>
    <w:link w:val="BodyText2"/>
    <w:uiPriority w:val="99"/>
    <w:semiHidden/>
    <w:locked/>
    <w:rsid w:val="004B6187"/>
    <w:rPr>
      <w:rFonts w:ascii="Arial" w:hAnsi="Arial" w:cs="Arial"/>
      <w:b/>
      <w:bCs/>
      <w:sz w:val="20"/>
      <w:szCs w:val="20"/>
    </w:rPr>
  </w:style>
  <w:style w:type="paragraph" w:styleId="Header">
    <w:name w:val="header"/>
    <w:basedOn w:val="Normal"/>
    <w:link w:val="HeaderChar"/>
    <w:uiPriority w:val="99"/>
    <w:rsid w:val="000F3D9F"/>
    <w:pPr>
      <w:tabs>
        <w:tab w:val="center" w:pos="4513"/>
        <w:tab w:val="right" w:pos="9026"/>
      </w:tabs>
    </w:pPr>
  </w:style>
  <w:style w:type="character" w:customStyle="1" w:styleId="HeaderChar">
    <w:name w:val="Header Char"/>
    <w:basedOn w:val="DefaultParagraphFont"/>
    <w:link w:val="Header"/>
    <w:uiPriority w:val="99"/>
    <w:locked/>
    <w:rsid w:val="000F3D9F"/>
    <w:rPr>
      <w:rFonts w:cs="Times New Roman"/>
      <w:sz w:val="22"/>
      <w:szCs w:val="22"/>
      <w:lang w:eastAsia="en-US"/>
    </w:rPr>
  </w:style>
  <w:style w:type="paragraph" w:styleId="Footer">
    <w:name w:val="footer"/>
    <w:basedOn w:val="Normal"/>
    <w:link w:val="FooterChar"/>
    <w:uiPriority w:val="99"/>
    <w:rsid w:val="000F3D9F"/>
    <w:pPr>
      <w:tabs>
        <w:tab w:val="center" w:pos="4513"/>
        <w:tab w:val="right" w:pos="9026"/>
      </w:tabs>
    </w:pPr>
  </w:style>
  <w:style w:type="character" w:customStyle="1" w:styleId="FooterChar">
    <w:name w:val="Footer Char"/>
    <w:basedOn w:val="DefaultParagraphFont"/>
    <w:link w:val="Footer"/>
    <w:uiPriority w:val="99"/>
    <w:locked/>
    <w:rsid w:val="000F3D9F"/>
    <w:rPr>
      <w:rFonts w:cs="Times New Roman"/>
      <w:sz w:val="22"/>
      <w:szCs w:val="22"/>
      <w:lang w:eastAsia="en-US"/>
    </w:rPr>
  </w:style>
  <w:style w:type="paragraph" w:styleId="ListParagraph">
    <w:name w:val="List Paragraph"/>
    <w:basedOn w:val="Normal"/>
    <w:uiPriority w:val="34"/>
    <w:qFormat/>
    <w:rsid w:val="000F53C2"/>
    <w:pPr>
      <w:spacing w:after="200" w:line="276" w:lineRule="auto"/>
      <w:ind w:left="720"/>
      <w:contextualSpacing/>
    </w:pPr>
  </w:style>
  <w:style w:type="paragraph" w:styleId="FootnoteText">
    <w:name w:val="footnote text"/>
    <w:basedOn w:val="Normal"/>
    <w:link w:val="FootnoteTextChar"/>
    <w:uiPriority w:val="99"/>
    <w:semiHidden/>
    <w:rsid w:val="000F53C2"/>
    <w:rPr>
      <w:sz w:val="20"/>
      <w:szCs w:val="20"/>
    </w:rPr>
  </w:style>
  <w:style w:type="character" w:customStyle="1" w:styleId="FootnoteTextChar">
    <w:name w:val="Footnote Text Char"/>
    <w:basedOn w:val="DefaultParagraphFont"/>
    <w:link w:val="FootnoteText"/>
    <w:uiPriority w:val="99"/>
    <w:semiHidden/>
    <w:locked/>
    <w:rsid w:val="000F53C2"/>
    <w:rPr>
      <w:rFonts w:cs="Times New Roman"/>
      <w:lang w:eastAsia="en-US"/>
    </w:rPr>
  </w:style>
  <w:style w:type="character" w:styleId="FootnoteReference">
    <w:name w:val="footnote reference"/>
    <w:basedOn w:val="DefaultParagraphFont"/>
    <w:uiPriority w:val="99"/>
    <w:semiHidden/>
    <w:rsid w:val="000F53C2"/>
    <w:rPr>
      <w:rFonts w:cs="Times New Roman"/>
      <w:vertAlign w:val="superscript"/>
    </w:rPr>
  </w:style>
  <w:style w:type="paragraph" w:customStyle="1" w:styleId="Default">
    <w:name w:val="Default"/>
    <w:link w:val="DefaultChar"/>
    <w:rsid w:val="000F53C2"/>
    <w:pPr>
      <w:autoSpaceDE w:val="0"/>
      <w:autoSpaceDN w:val="0"/>
      <w:adjustRightInd w:val="0"/>
    </w:pPr>
    <w:rPr>
      <w:rFonts w:ascii="Times New Roman" w:hAnsi="Times New Roman"/>
      <w:color w:val="000000"/>
      <w:sz w:val="24"/>
      <w:szCs w:val="24"/>
    </w:rPr>
  </w:style>
  <w:style w:type="character" w:customStyle="1" w:styleId="DefaultChar">
    <w:name w:val="Default Char"/>
    <w:basedOn w:val="DefaultParagraphFont"/>
    <w:link w:val="Default"/>
    <w:uiPriority w:val="99"/>
    <w:locked/>
    <w:rsid w:val="000F53C2"/>
    <w:rPr>
      <w:rFonts w:ascii="Times New Roman" w:hAnsi="Times New Roman"/>
      <w:color w:val="000000"/>
      <w:sz w:val="24"/>
      <w:szCs w:val="24"/>
      <w:lang w:val="en-AU" w:eastAsia="en-AU" w:bidi="ar-SA"/>
    </w:rPr>
  </w:style>
  <w:style w:type="paragraph" w:customStyle="1" w:styleId="ATAHeading2">
    <w:name w:val="ATA Heading 2"/>
    <w:basedOn w:val="Normal"/>
    <w:link w:val="ATAHeading2Char"/>
    <w:uiPriority w:val="99"/>
    <w:rsid w:val="00B13B6B"/>
    <w:pPr>
      <w:numPr>
        <w:ilvl w:val="1"/>
        <w:numId w:val="1"/>
      </w:numPr>
      <w:spacing w:before="120" w:after="120" w:line="276" w:lineRule="auto"/>
    </w:pPr>
    <w:rPr>
      <w:rFonts w:ascii="Arial" w:hAnsi="Arial" w:cs="Arial"/>
      <w:b/>
      <w:color w:val="000064"/>
      <w:sz w:val="26"/>
      <w:szCs w:val="26"/>
    </w:rPr>
  </w:style>
  <w:style w:type="character" w:customStyle="1" w:styleId="ATAHeading2Char">
    <w:name w:val="ATA Heading 2 Char"/>
    <w:basedOn w:val="DefaultParagraphFont"/>
    <w:link w:val="ATAHeading2"/>
    <w:uiPriority w:val="99"/>
    <w:locked/>
    <w:rsid w:val="00B13B6B"/>
    <w:rPr>
      <w:rFonts w:ascii="Arial" w:hAnsi="Arial" w:cs="Arial"/>
      <w:b/>
      <w:color w:val="000064"/>
      <w:sz w:val="26"/>
      <w:szCs w:val="26"/>
      <w:lang w:eastAsia="en-US"/>
    </w:rPr>
  </w:style>
  <w:style w:type="paragraph" w:customStyle="1" w:styleId="ATAHeading3">
    <w:name w:val="ATA Heading 3"/>
    <w:basedOn w:val="ATAHeading2"/>
    <w:link w:val="ATAHeading3Char"/>
    <w:uiPriority w:val="99"/>
    <w:rsid w:val="00D40AAD"/>
    <w:pPr>
      <w:numPr>
        <w:ilvl w:val="2"/>
      </w:numPr>
      <w:tabs>
        <w:tab w:val="left" w:pos="992"/>
      </w:tabs>
    </w:pPr>
    <w:rPr>
      <w:i/>
      <w:color w:val="0D0D0D" w:themeColor="text1" w:themeTint="F2"/>
      <w:sz w:val="22"/>
      <w:szCs w:val="22"/>
    </w:rPr>
  </w:style>
  <w:style w:type="character" w:customStyle="1" w:styleId="ATAHeading3Char">
    <w:name w:val="ATA Heading 3 Char"/>
    <w:basedOn w:val="DefaultParagraphFont"/>
    <w:link w:val="ATAHeading3"/>
    <w:uiPriority w:val="99"/>
    <w:locked/>
    <w:rsid w:val="00D40AAD"/>
    <w:rPr>
      <w:rFonts w:ascii="Arial" w:hAnsi="Arial" w:cs="Arial"/>
      <w:b/>
      <w:i/>
      <w:color w:val="0D0D0D" w:themeColor="text1" w:themeTint="F2"/>
      <w:sz w:val="22"/>
      <w:szCs w:val="22"/>
      <w:lang w:eastAsia="en-US"/>
    </w:rPr>
  </w:style>
  <w:style w:type="paragraph" w:customStyle="1" w:styleId="Quotes">
    <w:name w:val="Quotes"/>
    <w:basedOn w:val="Default"/>
    <w:link w:val="QuotesChar"/>
    <w:uiPriority w:val="99"/>
    <w:rsid w:val="000F53C2"/>
    <w:pPr>
      <w:ind w:left="851"/>
    </w:pPr>
    <w:rPr>
      <w:sz w:val="22"/>
      <w:szCs w:val="22"/>
    </w:rPr>
  </w:style>
  <w:style w:type="character" w:customStyle="1" w:styleId="QuotesChar">
    <w:name w:val="Quotes Char"/>
    <w:basedOn w:val="DefaultChar"/>
    <w:link w:val="Quotes"/>
    <w:uiPriority w:val="99"/>
    <w:locked/>
    <w:rsid w:val="000F53C2"/>
    <w:rPr>
      <w:rFonts w:ascii="Times New Roman" w:hAnsi="Times New Roman"/>
      <w:color w:val="000000"/>
      <w:sz w:val="22"/>
      <w:szCs w:val="22"/>
      <w:lang w:val="en-AU" w:eastAsia="en-AU" w:bidi="ar-SA"/>
    </w:rPr>
  </w:style>
  <w:style w:type="paragraph" w:customStyle="1" w:styleId="ATARecommendationHeading">
    <w:name w:val="ATA Recommendation Heading"/>
    <w:basedOn w:val="Normal"/>
    <w:link w:val="ATARecommendationHeadingChar"/>
    <w:uiPriority w:val="99"/>
    <w:rsid w:val="00740005"/>
    <w:rPr>
      <w:rFonts w:ascii="Arial" w:hAnsi="Arial" w:cs="Arial"/>
      <w:i/>
    </w:rPr>
  </w:style>
  <w:style w:type="character" w:customStyle="1" w:styleId="ATARecommendationHeadingChar">
    <w:name w:val="ATA Recommendation Heading Char"/>
    <w:basedOn w:val="DefaultParagraphFont"/>
    <w:link w:val="ATARecommendationHeading"/>
    <w:uiPriority w:val="99"/>
    <w:rsid w:val="006859F7"/>
    <w:rPr>
      <w:rFonts w:ascii="Arial" w:hAnsi="Arial" w:cs="Arial"/>
      <w:i/>
      <w:sz w:val="22"/>
      <w:szCs w:val="22"/>
      <w:lang w:eastAsia="en-US"/>
    </w:rPr>
  </w:style>
  <w:style w:type="paragraph" w:styleId="BalloonText">
    <w:name w:val="Balloon Text"/>
    <w:basedOn w:val="Normal"/>
    <w:link w:val="BalloonTextChar"/>
    <w:uiPriority w:val="99"/>
    <w:semiHidden/>
    <w:rsid w:val="007400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005"/>
    <w:rPr>
      <w:rFonts w:ascii="Tahoma" w:hAnsi="Tahoma" w:cs="Tahoma"/>
      <w:sz w:val="16"/>
      <w:szCs w:val="16"/>
      <w:lang w:eastAsia="en-US"/>
    </w:rPr>
  </w:style>
  <w:style w:type="character" w:styleId="Strong">
    <w:name w:val="Strong"/>
    <w:basedOn w:val="DefaultParagraphFont"/>
    <w:uiPriority w:val="22"/>
    <w:qFormat/>
    <w:locked/>
    <w:rsid w:val="00960FE0"/>
    <w:rPr>
      <w:b/>
      <w:bCs/>
    </w:rPr>
  </w:style>
  <w:style w:type="paragraph" w:styleId="EndnoteText">
    <w:name w:val="endnote text"/>
    <w:basedOn w:val="Normal"/>
    <w:link w:val="EndnoteTextChar"/>
    <w:uiPriority w:val="99"/>
    <w:semiHidden/>
    <w:unhideWhenUsed/>
    <w:rsid w:val="00EE4129"/>
    <w:rPr>
      <w:sz w:val="20"/>
      <w:szCs w:val="20"/>
    </w:rPr>
  </w:style>
  <w:style w:type="character" w:customStyle="1" w:styleId="EndnoteTextChar">
    <w:name w:val="Endnote Text Char"/>
    <w:basedOn w:val="DefaultParagraphFont"/>
    <w:link w:val="EndnoteText"/>
    <w:uiPriority w:val="99"/>
    <w:semiHidden/>
    <w:rsid w:val="00EE4129"/>
    <w:rPr>
      <w:lang w:eastAsia="en-US"/>
    </w:rPr>
  </w:style>
  <w:style w:type="character" w:styleId="EndnoteReference">
    <w:name w:val="endnote reference"/>
    <w:basedOn w:val="DefaultParagraphFont"/>
    <w:uiPriority w:val="99"/>
    <w:semiHidden/>
    <w:unhideWhenUsed/>
    <w:rsid w:val="00EE4129"/>
    <w:rPr>
      <w:vertAlign w:val="superscript"/>
    </w:rPr>
  </w:style>
  <w:style w:type="paragraph" w:styleId="TOC1">
    <w:name w:val="toc 1"/>
    <w:basedOn w:val="Normal"/>
    <w:next w:val="Normal"/>
    <w:autoRedefine/>
    <w:uiPriority w:val="39"/>
    <w:locked/>
    <w:rsid w:val="00D13DF0"/>
    <w:pPr>
      <w:tabs>
        <w:tab w:val="right" w:leader="dot" w:pos="9628"/>
      </w:tabs>
      <w:spacing w:before="360" w:after="100"/>
    </w:pPr>
    <w:rPr>
      <w:rFonts w:ascii="Arial" w:hAnsi="Arial" w:cs="Arial"/>
      <w:b/>
      <w:noProof/>
      <w:sz w:val="20"/>
      <w:szCs w:val="20"/>
    </w:rPr>
  </w:style>
  <w:style w:type="paragraph" w:styleId="TOC2">
    <w:name w:val="toc 2"/>
    <w:basedOn w:val="Normal"/>
    <w:next w:val="Normal"/>
    <w:autoRedefine/>
    <w:uiPriority w:val="39"/>
    <w:locked/>
    <w:rsid w:val="00907971"/>
    <w:pPr>
      <w:tabs>
        <w:tab w:val="right" w:leader="dot" w:pos="9628"/>
      </w:tabs>
      <w:spacing w:after="120"/>
      <w:ind w:left="221"/>
    </w:pPr>
    <w:rPr>
      <w:rFonts w:ascii="Arial" w:hAnsi="Arial"/>
      <w:sz w:val="20"/>
    </w:rPr>
  </w:style>
  <w:style w:type="paragraph" w:customStyle="1" w:styleId="RecommendationStyle">
    <w:name w:val="Recommendation Style"/>
    <w:basedOn w:val="ATARecommendationHeading"/>
    <w:link w:val="RecommendationStyleChar"/>
    <w:qFormat/>
    <w:rsid w:val="00907971"/>
    <w:pPr>
      <w:numPr>
        <w:numId w:val="2"/>
      </w:numPr>
      <w:tabs>
        <w:tab w:val="left" w:pos="2098"/>
      </w:tabs>
      <w:spacing w:before="240" w:after="120"/>
    </w:pPr>
    <w:rPr>
      <w:b/>
      <w:sz w:val="20"/>
      <w:szCs w:val="20"/>
    </w:rPr>
  </w:style>
  <w:style w:type="character" w:customStyle="1" w:styleId="RecommendationStyleChar">
    <w:name w:val="Recommendation Style Char"/>
    <w:basedOn w:val="ATARecommendationHeadingChar"/>
    <w:link w:val="RecommendationStyle"/>
    <w:rsid w:val="00907971"/>
    <w:rPr>
      <w:rFonts w:ascii="Arial" w:hAnsi="Arial" w:cs="Arial"/>
      <w:b/>
      <w:i/>
      <w:sz w:val="22"/>
      <w:szCs w:val="22"/>
      <w:lang w:eastAsia="en-US"/>
    </w:rPr>
  </w:style>
  <w:style w:type="paragraph" w:customStyle="1" w:styleId="RecommendationStyle2">
    <w:name w:val="Recommendation Style 2"/>
    <w:basedOn w:val="Normal"/>
    <w:link w:val="RecommendationStyle2Char"/>
    <w:qFormat/>
    <w:rsid w:val="006859F7"/>
    <w:pPr>
      <w:jc w:val="both"/>
    </w:pPr>
    <w:rPr>
      <w:rFonts w:ascii="Arial" w:hAnsi="Arial" w:cs="Arial"/>
      <w:b/>
      <w:sz w:val="20"/>
      <w:szCs w:val="20"/>
    </w:rPr>
  </w:style>
  <w:style w:type="character" w:customStyle="1" w:styleId="RecommendationStyle2Char">
    <w:name w:val="Recommendation Style 2 Char"/>
    <w:basedOn w:val="DefaultParagraphFont"/>
    <w:link w:val="RecommendationStyle2"/>
    <w:rsid w:val="006859F7"/>
    <w:rPr>
      <w:rFonts w:ascii="Arial" w:hAnsi="Arial" w:cs="Arial"/>
      <w:b/>
      <w:lang w:eastAsia="en-US"/>
    </w:rPr>
  </w:style>
  <w:style w:type="character" w:styleId="Hyperlink">
    <w:name w:val="Hyperlink"/>
    <w:basedOn w:val="DefaultParagraphFont"/>
    <w:uiPriority w:val="99"/>
    <w:unhideWhenUsed/>
    <w:rsid w:val="009E77F2"/>
    <w:rPr>
      <w:color w:val="0000FF" w:themeColor="hyperlink"/>
      <w:u w:val="single"/>
    </w:rPr>
  </w:style>
  <w:style w:type="paragraph" w:customStyle="1" w:styleId="RecommendationStyle3">
    <w:name w:val="Recommendation Style 3"/>
    <w:basedOn w:val="RecommendationStyle2"/>
    <w:link w:val="RecommendationStyle3Char"/>
    <w:qFormat/>
    <w:rsid w:val="00907971"/>
    <w:rPr>
      <w:color w:val="FFFFFF" w:themeColor="background1"/>
    </w:rPr>
  </w:style>
  <w:style w:type="paragraph" w:styleId="TOC3">
    <w:name w:val="toc 3"/>
    <w:basedOn w:val="Normal"/>
    <w:next w:val="Normal"/>
    <w:autoRedefine/>
    <w:uiPriority w:val="39"/>
    <w:locked/>
    <w:rsid w:val="00907971"/>
    <w:pPr>
      <w:tabs>
        <w:tab w:val="right" w:leader="dot" w:pos="9628"/>
      </w:tabs>
      <w:ind w:left="442"/>
    </w:pPr>
    <w:rPr>
      <w:noProof/>
      <w:color w:val="FFFFFF" w:themeColor="background1"/>
    </w:rPr>
  </w:style>
  <w:style w:type="character" w:customStyle="1" w:styleId="RecommendationStyle3Char">
    <w:name w:val="Recommendation Style 3 Char"/>
    <w:basedOn w:val="RecommendationStyle2Char"/>
    <w:link w:val="RecommendationStyle3"/>
    <w:rsid w:val="00907971"/>
    <w:rPr>
      <w:rFonts w:ascii="Arial" w:hAnsi="Arial" w:cs="Arial"/>
      <w:b/>
      <w:color w:val="FFFFFF" w:themeColor="background1"/>
      <w:lang w:eastAsia="en-US"/>
    </w:rPr>
  </w:style>
  <w:style w:type="paragraph" w:customStyle="1" w:styleId="ATASubHead1">
    <w:name w:val="ATASubHead1"/>
    <w:basedOn w:val="Normal"/>
    <w:link w:val="ATASubHead1Char"/>
    <w:qFormat/>
    <w:rsid w:val="004008C7"/>
    <w:pPr>
      <w:tabs>
        <w:tab w:val="left" w:pos="851"/>
      </w:tabs>
      <w:spacing w:before="240" w:after="120"/>
    </w:pPr>
    <w:rPr>
      <w:rFonts w:ascii="Arial" w:hAnsi="Arial" w:cs="Arial"/>
      <w:b/>
      <w:color w:val="000064"/>
      <w:sz w:val="28"/>
      <w:szCs w:val="28"/>
    </w:rPr>
  </w:style>
  <w:style w:type="character" w:customStyle="1" w:styleId="ATASubHead1Char">
    <w:name w:val="ATASubHead1 Char"/>
    <w:link w:val="ATASubHead1"/>
    <w:rsid w:val="004008C7"/>
    <w:rPr>
      <w:rFonts w:ascii="Arial" w:hAnsi="Arial" w:cs="Arial"/>
      <w:b/>
      <w:color w:val="000064"/>
      <w:sz w:val="28"/>
      <w:szCs w:val="28"/>
      <w:lang w:eastAsia="en-US"/>
    </w:rPr>
  </w:style>
  <w:style w:type="table" w:customStyle="1" w:styleId="LightList-Accent11">
    <w:name w:val="Light List - Accent 11"/>
    <w:basedOn w:val="TableNormal"/>
    <w:uiPriority w:val="61"/>
    <w:rsid w:val="004008C7"/>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93728"/>
    <w:pPr>
      <w:spacing w:before="100" w:beforeAutospacing="1" w:after="100" w:afterAutospacing="1"/>
    </w:pPr>
    <w:rPr>
      <w:rFonts w:ascii="Times New Roman" w:eastAsia="Times New Roman" w:hAnsi="Times New Roman"/>
      <w:sz w:val="24"/>
      <w:szCs w:val="24"/>
      <w:lang w:eastAsia="en-AU"/>
    </w:rPr>
  </w:style>
  <w:style w:type="character" w:customStyle="1" w:styleId="author-name2">
    <w:name w:val="author-name2"/>
    <w:basedOn w:val="DefaultParagraphFont"/>
    <w:rsid w:val="00FC1291"/>
    <w:rPr>
      <w:b/>
      <w:bCs/>
    </w:rPr>
  </w:style>
  <w:style w:type="character" w:customStyle="1" w:styleId="source-name5">
    <w:name w:val="source-name5"/>
    <w:basedOn w:val="DefaultParagraphFont"/>
    <w:rsid w:val="00FC1291"/>
    <w:rPr>
      <w:i/>
      <w:iCs/>
    </w:rPr>
  </w:style>
  <w:style w:type="character" w:customStyle="1" w:styleId="publish-date5">
    <w:name w:val="publish-date5"/>
    <w:basedOn w:val="DefaultParagraphFont"/>
    <w:rsid w:val="00FC1291"/>
    <w:rPr>
      <w:i/>
      <w:iCs/>
      <w:sz w:val="14"/>
      <w:szCs w:val="14"/>
    </w:rPr>
  </w:style>
  <w:style w:type="character" w:styleId="FollowedHyperlink">
    <w:name w:val="FollowedHyperlink"/>
    <w:basedOn w:val="DefaultParagraphFont"/>
    <w:uiPriority w:val="99"/>
    <w:semiHidden/>
    <w:unhideWhenUsed/>
    <w:rsid w:val="007C746E"/>
    <w:rPr>
      <w:color w:val="800080" w:themeColor="followedHyperlink"/>
      <w:u w:val="single"/>
    </w:rPr>
  </w:style>
  <w:style w:type="paragraph" w:customStyle="1" w:styleId="ATAPreMnorm">
    <w:name w:val="ATAPreM norm"/>
    <w:basedOn w:val="Normal"/>
    <w:link w:val="ATAPreMnormChar"/>
    <w:qFormat/>
    <w:rsid w:val="00F2072F"/>
    <w:rPr>
      <w:rFonts w:ascii="Arial" w:eastAsia="Times New Roman" w:hAnsi="Arial" w:cs="Arial"/>
      <w:i/>
      <w:color w:val="000000"/>
      <w:sz w:val="20"/>
      <w:szCs w:val="20"/>
      <w:lang w:eastAsia="en-AU"/>
    </w:rPr>
  </w:style>
  <w:style w:type="paragraph" w:customStyle="1" w:styleId="ATAPervMHeading">
    <w:name w:val="ATAPervMHeading"/>
    <w:basedOn w:val="Normal"/>
    <w:link w:val="ATAPervMHeadingChar"/>
    <w:qFormat/>
    <w:rsid w:val="00F2072F"/>
    <w:pPr>
      <w:tabs>
        <w:tab w:val="left" w:pos="851"/>
      </w:tabs>
      <w:ind w:left="851" w:hanging="851"/>
    </w:pPr>
    <w:rPr>
      <w:rFonts w:ascii="Arial" w:hAnsi="Arial" w:cs="Arial"/>
      <w:b/>
      <w:i/>
      <w:sz w:val="20"/>
      <w:szCs w:val="20"/>
    </w:rPr>
  </w:style>
  <w:style w:type="character" w:customStyle="1" w:styleId="ATAPreMnormChar">
    <w:name w:val="ATAPreM norm Char"/>
    <w:basedOn w:val="DefaultParagraphFont"/>
    <w:link w:val="ATAPreMnorm"/>
    <w:rsid w:val="00F2072F"/>
    <w:rPr>
      <w:rFonts w:ascii="Arial" w:eastAsia="Times New Roman" w:hAnsi="Arial" w:cs="Arial"/>
      <w:i/>
      <w:color w:val="000000"/>
    </w:rPr>
  </w:style>
  <w:style w:type="character" w:customStyle="1" w:styleId="ATAPervMHeadingChar">
    <w:name w:val="ATAPervMHeading Char"/>
    <w:basedOn w:val="DefaultParagraphFont"/>
    <w:link w:val="ATAPervMHeading"/>
    <w:rsid w:val="00F2072F"/>
    <w:rPr>
      <w:rFonts w:ascii="Arial" w:hAnsi="Arial" w:cs="Arial"/>
      <w:b/>
      <w:i/>
      <w:lang w:eastAsia="en-US"/>
    </w:rPr>
  </w:style>
  <w:style w:type="character" w:styleId="CommentReference">
    <w:name w:val="annotation reference"/>
    <w:basedOn w:val="DefaultParagraphFont"/>
    <w:uiPriority w:val="99"/>
    <w:semiHidden/>
    <w:unhideWhenUsed/>
    <w:rsid w:val="00603655"/>
    <w:rPr>
      <w:sz w:val="16"/>
      <w:szCs w:val="16"/>
    </w:rPr>
  </w:style>
  <w:style w:type="paragraph" w:styleId="CommentText">
    <w:name w:val="annotation text"/>
    <w:basedOn w:val="Normal"/>
    <w:link w:val="CommentTextChar"/>
    <w:uiPriority w:val="99"/>
    <w:semiHidden/>
    <w:unhideWhenUsed/>
    <w:rsid w:val="00603655"/>
    <w:rPr>
      <w:sz w:val="20"/>
      <w:szCs w:val="20"/>
    </w:rPr>
  </w:style>
  <w:style w:type="character" w:customStyle="1" w:styleId="CommentTextChar">
    <w:name w:val="Comment Text Char"/>
    <w:basedOn w:val="DefaultParagraphFont"/>
    <w:link w:val="CommentText"/>
    <w:uiPriority w:val="99"/>
    <w:semiHidden/>
    <w:rsid w:val="00603655"/>
    <w:rPr>
      <w:lang w:eastAsia="en-US"/>
    </w:rPr>
  </w:style>
  <w:style w:type="paragraph" w:styleId="CommentSubject">
    <w:name w:val="annotation subject"/>
    <w:basedOn w:val="CommentText"/>
    <w:next w:val="CommentText"/>
    <w:link w:val="CommentSubjectChar"/>
    <w:uiPriority w:val="99"/>
    <w:semiHidden/>
    <w:unhideWhenUsed/>
    <w:rsid w:val="00603655"/>
    <w:rPr>
      <w:b/>
      <w:bCs/>
    </w:rPr>
  </w:style>
  <w:style w:type="character" w:customStyle="1" w:styleId="CommentSubjectChar">
    <w:name w:val="Comment Subject Char"/>
    <w:basedOn w:val="CommentTextChar"/>
    <w:link w:val="CommentSubject"/>
    <w:uiPriority w:val="99"/>
    <w:semiHidden/>
    <w:rsid w:val="00603655"/>
    <w:rPr>
      <w:b/>
      <w:bCs/>
      <w:lang w:eastAsia="en-US"/>
    </w:rPr>
  </w:style>
  <w:style w:type="paragraph" w:styleId="PlainText">
    <w:name w:val="Plain Text"/>
    <w:basedOn w:val="Normal"/>
    <w:link w:val="PlainTextChar"/>
    <w:uiPriority w:val="99"/>
    <w:unhideWhenUsed/>
    <w:rsid w:val="00040B35"/>
    <w:rPr>
      <w:rFonts w:ascii="Consolas" w:eastAsiaTheme="minorHAnsi" w:hAnsi="Consolas" w:cs="Consolas"/>
      <w:sz w:val="21"/>
      <w:szCs w:val="21"/>
      <w:lang w:eastAsia="en-AU"/>
    </w:rPr>
  </w:style>
  <w:style w:type="character" w:customStyle="1" w:styleId="PlainTextChar">
    <w:name w:val="Plain Text Char"/>
    <w:basedOn w:val="DefaultParagraphFont"/>
    <w:link w:val="PlainText"/>
    <w:uiPriority w:val="99"/>
    <w:rsid w:val="00040B35"/>
    <w:rPr>
      <w:rFonts w:ascii="Consolas" w:eastAsiaTheme="minorHAnsi" w:hAnsi="Consolas" w:cs="Consolas"/>
      <w:sz w:val="21"/>
      <w:szCs w:val="21"/>
    </w:rPr>
  </w:style>
  <w:style w:type="paragraph" w:styleId="NoSpacing">
    <w:name w:val="No Spacing"/>
    <w:basedOn w:val="Normal"/>
    <w:uiPriority w:val="1"/>
    <w:qFormat/>
    <w:rsid w:val="005C4492"/>
    <w:rPr>
      <w:rFonts w:eastAsiaTheme="minorHAnsi"/>
      <w:color w:val="404040"/>
      <w:sz w:val="19"/>
      <w:szCs w:val="19"/>
      <w:lang w:eastAsia="en-AU"/>
    </w:rPr>
  </w:style>
  <w:style w:type="character" w:customStyle="1" w:styleId="apple-converted-space">
    <w:name w:val="apple-converted-space"/>
    <w:basedOn w:val="DefaultParagraphFont"/>
    <w:rsid w:val="00DF2EC9"/>
  </w:style>
  <w:style w:type="character" w:customStyle="1" w:styleId="filesize">
    <w:name w:val="filesize"/>
    <w:basedOn w:val="DefaultParagraphFont"/>
    <w:rsid w:val="00DF2EC9"/>
  </w:style>
  <w:style w:type="table" w:customStyle="1" w:styleId="TableGrid1">
    <w:name w:val="Table Grid1"/>
    <w:basedOn w:val="TableNormal"/>
    <w:next w:val="TableGrid"/>
    <w:uiPriority w:val="39"/>
    <w:rsid w:val="000077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A0"/>
    <w:rPr>
      <w:sz w:val="22"/>
      <w:szCs w:val="22"/>
      <w:lang w:eastAsia="en-US"/>
    </w:rPr>
  </w:style>
  <w:style w:type="paragraph" w:styleId="Heading1">
    <w:name w:val="heading 1"/>
    <w:aliases w:val="ATA Submission Heading 1"/>
    <w:basedOn w:val="Normal"/>
    <w:next w:val="Normal"/>
    <w:link w:val="Heading1Char"/>
    <w:uiPriority w:val="99"/>
    <w:qFormat/>
    <w:rsid w:val="003B74E4"/>
    <w:pPr>
      <w:numPr>
        <w:numId w:val="1"/>
      </w:numPr>
      <w:ind w:left="786"/>
      <w:outlineLvl w:val="0"/>
    </w:pPr>
    <w:rPr>
      <w:rFonts w:ascii="Arial" w:hAnsi="Arial" w:cs="Arial"/>
      <w:b/>
      <w:color w:val="000064"/>
      <w:sz w:val="28"/>
      <w:szCs w:val="28"/>
    </w:rPr>
  </w:style>
  <w:style w:type="paragraph" w:styleId="Heading2">
    <w:name w:val="heading 2"/>
    <w:basedOn w:val="Normal"/>
    <w:next w:val="Normal"/>
    <w:link w:val="Heading2Char"/>
    <w:unhideWhenUsed/>
    <w:qFormat/>
    <w:locked/>
    <w:rsid w:val="006859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F53C2"/>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A Submission Heading 1 Char"/>
    <w:basedOn w:val="DefaultParagraphFont"/>
    <w:link w:val="Heading1"/>
    <w:uiPriority w:val="99"/>
    <w:locked/>
    <w:rsid w:val="003B74E4"/>
    <w:rPr>
      <w:rFonts w:ascii="Arial" w:hAnsi="Arial" w:cs="Arial"/>
      <w:b/>
      <w:color w:val="000064"/>
      <w:sz w:val="28"/>
      <w:szCs w:val="28"/>
      <w:lang w:eastAsia="en-US"/>
    </w:rPr>
  </w:style>
  <w:style w:type="character" w:customStyle="1" w:styleId="Heading2Char">
    <w:name w:val="Heading 2 Char"/>
    <w:basedOn w:val="DefaultParagraphFont"/>
    <w:link w:val="Heading2"/>
    <w:rsid w:val="006859F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9"/>
    <w:locked/>
    <w:rsid w:val="000F53C2"/>
    <w:rPr>
      <w:rFonts w:ascii="Cambria" w:hAnsi="Cambria" w:cs="Times New Roman"/>
      <w:b/>
      <w:bCs/>
      <w:sz w:val="26"/>
      <w:szCs w:val="26"/>
      <w:lang w:eastAsia="en-US"/>
    </w:rPr>
  </w:style>
  <w:style w:type="table" w:styleId="TableGrid">
    <w:name w:val="Table Grid"/>
    <w:basedOn w:val="TableNormal"/>
    <w:uiPriority w:val="39"/>
    <w:rsid w:val="00C16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rsid w:val="004B6187"/>
    <w:rPr>
      <w:rFonts w:ascii="Arial" w:eastAsia="Times New Roman" w:hAnsi="Arial" w:cs="Arial"/>
      <w:b/>
      <w:bCs/>
      <w:szCs w:val="20"/>
    </w:rPr>
  </w:style>
  <w:style w:type="character" w:customStyle="1" w:styleId="BodyText2Char">
    <w:name w:val="Body Text 2 Char"/>
    <w:basedOn w:val="DefaultParagraphFont"/>
    <w:link w:val="BodyText2"/>
    <w:uiPriority w:val="99"/>
    <w:semiHidden/>
    <w:locked/>
    <w:rsid w:val="004B6187"/>
    <w:rPr>
      <w:rFonts w:ascii="Arial" w:hAnsi="Arial" w:cs="Arial"/>
      <w:b/>
      <w:bCs/>
      <w:sz w:val="20"/>
      <w:szCs w:val="20"/>
    </w:rPr>
  </w:style>
  <w:style w:type="paragraph" w:styleId="Header">
    <w:name w:val="header"/>
    <w:basedOn w:val="Normal"/>
    <w:link w:val="HeaderChar"/>
    <w:uiPriority w:val="99"/>
    <w:rsid w:val="000F3D9F"/>
    <w:pPr>
      <w:tabs>
        <w:tab w:val="center" w:pos="4513"/>
        <w:tab w:val="right" w:pos="9026"/>
      </w:tabs>
    </w:pPr>
  </w:style>
  <w:style w:type="character" w:customStyle="1" w:styleId="HeaderChar">
    <w:name w:val="Header Char"/>
    <w:basedOn w:val="DefaultParagraphFont"/>
    <w:link w:val="Header"/>
    <w:uiPriority w:val="99"/>
    <w:locked/>
    <w:rsid w:val="000F3D9F"/>
    <w:rPr>
      <w:rFonts w:cs="Times New Roman"/>
      <w:sz w:val="22"/>
      <w:szCs w:val="22"/>
      <w:lang w:eastAsia="en-US"/>
    </w:rPr>
  </w:style>
  <w:style w:type="paragraph" w:styleId="Footer">
    <w:name w:val="footer"/>
    <w:basedOn w:val="Normal"/>
    <w:link w:val="FooterChar"/>
    <w:uiPriority w:val="99"/>
    <w:rsid w:val="000F3D9F"/>
    <w:pPr>
      <w:tabs>
        <w:tab w:val="center" w:pos="4513"/>
        <w:tab w:val="right" w:pos="9026"/>
      </w:tabs>
    </w:pPr>
  </w:style>
  <w:style w:type="character" w:customStyle="1" w:styleId="FooterChar">
    <w:name w:val="Footer Char"/>
    <w:basedOn w:val="DefaultParagraphFont"/>
    <w:link w:val="Footer"/>
    <w:uiPriority w:val="99"/>
    <w:locked/>
    <w:rsid w:val="000F3D9F"/>
    <w:rPr>
      <w:rFonts w:cs="Times New Roman"/>
      <w:sz w:val="22"/>
      <w:szCs w:val="22"/>
      <w:lang w:eastAsia="en-US"/>
    </w:rPr>
  </w:style>
  <w:style w:type="paragraph" w:styleId="ListParagraph">
    <w:name w:val="List Paragraph"/>
    <w:basedOn w:val="Normal"/>
    <w:uiPriority w:val="34"/>
    <w:qFormat/>
    <w:rsid w:val="000F53C2"/>
    <w:pPr>
      <w:spacing w:after="200" w:line="276" w:lineRule="auto"/>
      <w:ind w:left="720"/>
      <w:contextualSpacing/>
    </w:pPr>
  </w:style>
  <w:style w:type="paragraph" w:styleId="FootnoteText">
    <w:name w:val="footnote text"/>
    <w:basedOn w:val="Normal"/>
    <w:link w:val="FootnoteTextChar"/>
    <w:uiPriority w:val="99"/>
    <w:semiHidden/>
    <w:rsid w:val="000F53C2"/>
    <w:rPr>
      <w:sz w:val="20"/>
      <w:szCs w:val="20"/>
    </w:rPr>
  </w:style>
  <w:style w:type="character" w:customStyle="1" w:styleId="FootnoteTextChar">
    <w:name w:val="Footnote Text Char"/>
    <w:basedOn w:val="DefaultParagraphFont"/>
    <w:link w:val="FootnoteText"/>
    <w:uiPriority w:val="99"/>
    <w:semiHidden/>
    <w:locked/>
    <w:rsid w:val="000F53C2"/>
    <w:rPr>
      <w:rFonts w:cs="Times New Roman"/>
      <w:lang w:eastAsia="en-US"/>
    </w:rPr>
  </w:style>
  <w:style w:type="character" w:styleId="FootnoteReference">
    <w:name w:val="footnote reference"/>
    <w:basedOn w:val="DefaultParagraphFont"/>
    <w:uiPriority w:val="99"/>
    <w:semiHidden/>
    <w:rsid w:val="000F53C2"/>
    <w:rPr>
      <w:rFonts w:cs="Times New Roman"/>
      <w:vertAlign w:val="superscript"/>
    </w:rPr>
  </w:style>
  <w:style w:type="paragraph" w:customStyle="1" w:styleId="Default">
    <w:name w:val="Default"/>
    <w:link w:val="DefaultChar"/>
    <w:rsid w:val="000F53C2"/>
    <w:pPr>
      <w:autoSpaceDE w:val="0"/>
      <w:autoSpaceDN w:val="0"/>
      <w:adjustRightInd w:val="0"/>
    </w:pPr>
    <w:rPr>
      <w:rFonts w:ascii="Times New Roman" w:hAnsi="Times New Roman"/>
      <w:color w:val="000000"/>
      <w:sz w:val="24"/>
      <w:szCs w:val="24"/>
    </w:rPr>
  </w:style>
  <w:style w:type="character" w:customStyle="1" w:styleId="DefaultChar">
    <w:name w:val="Default Char"/>
    <w:basedOn w:val="DefaultParagraphFont"/>
    <w:link w:val="Default"/>
    <w:uiPriority w:val="99"/>
    <w:locked/>
    <w:rsid w:val="000F53C2"/>
    <w:rPr>
      <w:rFonts w:ascii="Times New Roman" w:hAnsi="Times New Roman"/>
      <w:color w:val="000000"/>
      <w:sz w:val="24"/>
      <w:szCs w:val="24"/>
      <w:lang w:val="en-AU" w:eastAsia="en-AU" w:bidi="ar-SA"/>
    </w:rPr>
  </w:style>
  <w:style w:type="paragraph" w:customStyle="1" w:styleId="ATAHeading2">
    <w:name w:val="ATA Heading 2"/>
    <w:basedOn w:val="Normal"/>
    <w:link w:val="ATAHeading2Char"/>
    <w:uiPriority w:val="99"/>
    <w:rsid w:val="00B13B6B"/>
    <w:pPr>
      <w:numPr>
        <w:ilvl w:val="1"/>
        <w:numId w:val="1"/>
      </w:numPr>
      <w:spacing w:before="120" w:after="120" w:line="276" w:lineRule="auto"/>
    </w:pPr>
    <w:rPr>
      <w:rFonts w:ascii="Arial" w:hAnsi="Arial" w:cs="Arial"/>
      <w:b/>
      <w:color w:val="000064"/>
      <w:sz w:val="26"/>
      <w:szCs w:val="26"/>
    </w:rPr>
  </w:style>
  <w:style w:type="character" w:customStyle="1" w:styleId="ATAHeading2Char">
    <w:name w:val="ATA Heading 2 Char"/>
    <w:basedOn w:val="DefaultParagraphFont"/>
    <w:link w:val="ATAHeading2"/>
    <w:uiPriority w:val="99"/>
    <w:locked/>
    <w:rsid w:val="00B13B6B"/>
    <w:rPr>
      <w:rFonts w:ascii="Arial" w:hAnsi="Arial" w:cs="Arial"/>
      <w:b/>
      <w:color w:val="000064"/>
      <w:sz w:val="26"/>
      <w:szCs w:val="26"/>
      <w:lang w:eastAsia="en-US"/>
    </w:rPr>
  </w:style>
  <w:style w:type="paragraph" w:customStyle="1" w:styleId="ATAHeading3">
    <w:name w:val="ATA Heading 3"/>
    <w:basedOn w:val="ATAHeading2"/>
    <w:link w:val="ATAHeading3Char"/>
    <w:uiPriority w:val="99"/>
    <w:rsid w:val="00D40AAD"/>
    <w:pPr>
      <w:numPr>
        <w:ilvl w:val="2"/>
      </w:numPr>
      <w:tabs>
        <w:tab w:val="left" w:pos="992"/>
      </w:tabs>
    </w:pPr>
    <w:rPr>
      <w:i/>
      <w:color w:val="0D0D0D" w:themeColor="text1" w:themeTint="F2"/>
      <w:sz w:val="22"/>
      <w:szCs w:val="22"/>
    </w:rPr>
  </w:style>
  <w:style w:type="character" w:customStyle="1" w:styleId="ATAHeading3Char">
    <w:name w:val="ATA Heading 3 Char"/>
    <w:basedOn w:val="DefaultParagraphFont"/>
    <w:link w:val="ATAHeading3"/>
    <w:uiPriority w:val="99"/>
    <w:locked/>
    <w:rsid w:val="00D40AAD"/>
    <w:rPr>
      <w:rFonts w:ascii="Arial" w:hAnsi="Arial" w:cs="Arial"/>
      <w:b/>
      <w:i/>
      <w:color w:val="0D0D0D" w:themeColor="text1" w:themeTint="F2"/>
      <w:sz w:val="22"/>
      <w:szCs w:val="22"/>
      <w:lang w:eastAsia="en-US"/>
    </w:rPr>
  </w:style>
  <w:style w:type="paragraph" w:customStyle="1" w:styleId="Quotes">
    <w:name w:val="Quotes"/>
    <w:basedOn w:val="Default"/>
    <w:link w:val="QuotesChar"/>
    <w:uiPriority w:val="99"/>
    <w:rsid w:val="000F53C2"/>
    <w:pPr>
      <w:ind w:left="851"/>
    </w:pPr>
    <w:rPr>
      <w:sz w:val="22"/>
      <w:szCs w:val="22"/>
    </w:rPr>
  </w:style>
  <w:style w:type="character" w:customStyle="1" w:styleId="QuotesChar">
    <w:name w:val="Quotes Char"/>
    <w:basedOn w:val="DefaultChar"/>
    <w:link w:val="Quotes"/>
    <w:uiPriority w:val="99"/>
    <w:locked/>
    <w:rsid w:val="000F53C2"/>
    <w:rPr>
      <w:rFonts w:ascii="Times New Roman" w:hAnsi="Times New Roman"/>
      <w:color w:val="000000"/>
      <w:sz w:val="22"/>
      <w:szCs w:val="22"/>
      <w:lang w:val="en-AU" w:eastAsia="en-AU" w:bidi="ar-SA"/>
    </w:rPr>
  </w:style>
  <w:style w:type="paragraph" w:customStyle="1" w:styleId="ATARecommendationHeading">
    <w:name w:val="ATA Recommendation Heading"/>
    <w:basedOn w:val="Normal"/>
    <w:link w:val="ATARecommendationHeadingChar"/>
    <w:uiPriority w:val="99"/>
    <w:rsid w:val="00740005"/>
    <w:rPr>
      <w:rFonts w:ascii="Arial" w:hAnsi="Arial" w:cs="Arial"/>
      <w:i/>
    </w:rPr>
  </w:style>
  <w:style w:type="character" w:customStyle="1" w:styleId="ATARecommendationHeadingChar">
    <w:name w:val="ATA Recommendation Heading Char"/>
    <w:basedOn w:val="DefaultParagraphFont"/>
    <w:link w:val="ATARecommendationHeading"/>
    <w:uiPriority w:val="99"/>
    <w:rsid w:val="006859F7"/>
    <w:rPr>
      <w:rFonts w:ascii="Arial" w:hAnsi="Arial" w:cs="Arial"/>
      <w:i/>
      <w:sz w:val="22"/>
      <w:szCs w:val="22"/>
      <w:lang w:eastAsia="en-US"/>
    </w:rPr>
  </w:style>
  <w:style w:type="paragraph" w:styleId="BalloonText">
    <w:name w:val="Balloon Text"/>
    <w:basedOn w:val="Normal"/>
    <w:link w:val="BalloonTextChar"/>
    <w:uiPriority w:val="99"/>
    <w:semiHidden/>
    <w:rsid w:val="007400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005"/>
    <w:rPr>
      <w:rFonts w:ascii="Tahoma" w:hAnsi="Tahoma" w:cs="Tahoma"/>
      <w:sz w:val="16"/>
      <w:szCs w:val="16"/>
      <w:lang w:eastAsia="en-US"/>
    </w:rPr>
  </w:style>
  <w:style w:type="character" w:styleId="Strong">
    <w:name w:val="Strong"/>
    <w:basedOn w:val="DefaultParagraphFont"/>
    <w:uiPriority w:val="22"/>
    <w:qFormat/>
    <w:locked/>
    <w:rsid w:val="00960FE0"/>
    <w:rPr>
      <w:b/>
      <w:bCs/>
    </w:rPr>
  </w:style>
  <w:style w:type="paragraph" w:styleId="EndnoteText">
    <w:name w:val="endnote text"/>
    <w:basedOn w:val="Normal"/>
    <w:link w:val="EndnoteTextChar"/>
    <w:uiPriority w:val="99"/>
    <w:semiHidden/>
    <w:unhideWhenUsed/>
    <w:rsid w:val="00EE4129"/>
    <w:rPr>
      <w:sz w:val="20"/>
      <w:szCs w:val="20"/>
    </w:rPr>
  </w:style>
  <w:style w:type="character" w:customStyle="1" w:styleId="EndnoteTextChar">
    <w:name w:val="Endnote Text Char"/>
    <w:basedOn w:val="DefaultParagraphFont"/>
    <w:link w:val="EndnoteText"/>
    <w:uiPriority w:val="99"/>
    <w:semiHidden/>
    <w:rsid w:val="00EE4129"/>
    <w:rPr>
      <w:lang w:eastAsia="en-US"/>
    </w:rPr>
  </w:style>
  <w:style w:type="character" w:styleId="EndnoteReference">
    <w:name w:val="endnote reference"/>
    <w:basedOn w:val="DefaultParagraphFont"/>
    <w:uiPriority w:val="99"/>
    <w:semiHidden/>
    <w:unhideWhenUsed/>
    <w:rsid w:val="00EE4129"/>
    <w:rPr>
      <w:vertAlign w:val="superscript"/>
    </w:rPr>
  </w:style>
  <w:style w:type="paragraph" w:styleId="TOC1">
    <w:name w:val="toc 1"/>
    <w:basedOn w:val="Normal"/>
    <w:next w:val="Normal"/>
    <w:autoRedefine/>
    <w:uiPriority w:val="39"/>
    <w:locked/>
    <w:rsid w:val="00D13DF0"/>
    <w:pPr>
      <w:tabs>
        <w:tab w:val="right" w:leader="dot" w:pos="9628"/>
      </w:tabs>
      <w:spacing w:before="360" w:after="100"/>
    </w:pPr>
    <w:rPr>
      <w:rFonts w:ascii="Arial" w:hAnsi="Arial" w:cs="Arial"/>
      <w:b/>
      <w:noProof/>
      <w:sz w:val="20"/>
      <w:szCs w:val="20"/>
    </w:rPr>
  </w:style>
  <w:style w:type="paragraph" w:styleId="TOC2">
    <w:name w:val="toc 2"/>
    <w:basedOn w:val="Normal"/>
    <w:next w:val="Normal"/>
    <w:autoRedefine/>
    <w:uiPriority w:val="39"/>
    <w:locked/>
    <w:rsid w:val="00907971"/>
    <w:pPr>
      <w:tabs>
        <w:tab w:val="right" w:leader="dot" w:pos="9628"/>
      </w:tabs>
      <w:spacing w:after="120"/>
      <w:ind w:left="221"/>
    </w:pPr>
    <w:rPr>
      <w:rFonts w:ascii="Arial" w:hAnsi="Arial"/>
      <w:sz w:val="20"/>
    </w:rPr>
  </w:style>
  <w:style w:type="paragraph" w:customStyle="1" w:styleId="RecommendationStyle">
    <w:name w:val="Recommendation Style"/>
    <w:basedOn w:val="ATARecommendationHeading"/>
    <w:link w:val="RecommendationStyleChar"/>
    <w:qFormat/>
    <w:rsid w:val="00907971"/>
    <w:pPr>
      <w:numPr>
        <w:numId w:val="2"/>
      </w:numPr>
      <w:tabs>
        <w:tab w:val="left" w:pos="2098"/>
      </w:tabs>
      <w:spacing w:before="240" w:after="120"/>
    </w:pPr>
    <w:rPr>
      <w:b/>
      <w:sz w:val="20"/>
      <w:szCs w:val="20"/>
    </w:rPr>
  </w:style>
  <w:style w:type="character" w:customStyle="1" w:styleId="RecommendationStyleChar">
    <w:name w:val="Recommendation Style Char"/>
    <w:basedOn w:val="ATARecommendationHeadingChar"/>
    <w:link w:val="RecommendationStyle"/>
    <w:rsid w:val="00907971"/>
    <w:rPr>
      <w:rFonts w:ascii="Arial" w:hAnsi="Arial" w:cs="Arial"/>
      <w:b/>
      <w:i/>
      <w:sz w:val="22"/>
      <w:szCs w:val="22"/>
      <w:lang w:eastAsia="en-US"/>
    </w:rPr>
  </w:style>
  <w:style w:type="paragraph" w:customStyle="1" w:styleId="RecommendationStyle2">
    <w:name w:val="Recommendation Style 2"/>
    <w:basedOn w:val="Normal"/>
    <w:link w:val="RecommendationStyle2Char"/>
    <w:qFormat/>
    <w:rsid w:val="006859F7"/>
    <w:pPr>
      <w:jc w:val="both"/>
    </w:pPr>
    <w:rPr>
      <w:rFonts w:ascii="Arial" w:hAnsi="Arial" w:cs="Arial"/>
      <w:b/>
      <w:sz w:val="20"/>
      <w:szCs w:val="20"/>
    </w:rPr>
  </w:style>
  <w:style w:type="character" w:customStyle="1" w:styleId="RecommendationStyle2Char">
    <w:name w:val="Recommendation Style 2 Char"/>
    <w:basedOn w:val="DefaultParagraphFont"/>
    <w:link w:val="RecommendationStyle2"/>
    <w:rsid w:val="006859F7"/>
    <w:rPr>
      <w:rFonts w:ascii="Arial" w:hAnsi="Arial" w:cs="Arial"/>
      <w:b/>
      <w:lang w:eastAsia="en-US"/>
    </w:rPr>
  </w:style>
  <w:style w:type="character" w:styleId="Hyperlink">
    <w:name w:val="Hyperlink"/>
    <w:basedOn w:val="DefaultParagraphFont"/>
    <w:uiPriority w:val="99"/>
    <w:unhideWhenUsed/>
    <w:rsid w:val="009E77F2"/>
    <w:rPr>
      <w:color w:val="0000FF" w:themeColor="hyperlink"/>
      <w:u w:val="single"/>
    </w:rPr>
  </w:style>
  <w:style w:type="paragraph" w:customStyle="1" w:styleId="RecommendationStyle3">
    <w:name w:val="Recommendation Style 3"/>
    <w:basedOn w:val="RecommendationStyle2"/>
    <w:link w:val="RecommendationStyle3Char"/>
    <w:qFormat/>
    <w:rsid w:val="00907971"/>
    <w:rPr>
      <w:color w:val="FFFFFF" w:themeColor="background1"/>
    </w:rPr>
  </w:style>
  <w:style w:type="paragraph" w:styleId="TOC3">
    <w:name w:val="toc 3"/>
    <w:basedOn w:val="Normal"/>
    <w:next w:val="Normal"/>
    <w:autoRedefine/>
    <w:uiPriority w:val="39"/>
    <w:locked/>
    <w:rsid w:val="00907971"/>
    <w:pPr>
      <w:tabs>
        <w:tab w:val="right" w:leader="dot" w:pos="9628"/>
      </w:tabs>
      <w:ind w:left="442"/>
    </w:pPr>
    <w:rPr>
      <w:noProof/>
      <w:color w:val="FFFFFF" w:themeColor="background1"/>
    </w:rPr>
  </w:style>
  <w:style w:type="character" w:customStyle="1" w:styleId="RecommendationStyle3Char">
    <w:name w:val="Recommendation Style 3 Char"/>
    <w:basedOn w:val="RecommendationStyle2Char"/>
    <w:link w:val="RecommendationStyle3"/>
    <w:rsid w:val="00907971"/>
    <w:rPr>
      <w:rFonts w:ascii="Arial" w:hAnsi="Arial" w:cs="Arial"/>
      <w:b/>
      <w:color w:val="FFFFFF" w:themeColor="background1"/>
      <w:lang w:eastAsia="en-US"/>
    </w:rPr>
  </w:style>
  <w:style w:type="paragraph" w:customStyle="1" w:styleId="ATASubHead1">
    <w:name w:val="ATASubHead1"/>
    <w:basedOn w:val="Normal"/>
    <w:link w:val="ATASubHead1Char"/>
    <w:qFormat/>
    <w:rsid w:val="004008C7"/>
    <w:pPr>
      <w:tabs>
        <w:tab w:val="left" w:pos="851"/>
      </w:tabs>
      <w:spacing w:before="240" w:after="120"/>
    </w:pPr>
    <w:rPr>
      <w:rFonts w:ascii="Arial" w:hAnsi="Arial" w:cs="Arial"/>
      <w:b/>
      <w:color w:val="000064"/>
      <w:sz w:val="28"/>
      <w:szCs w:val="28"/>
    </w:rPr>
  </w:style>
  <w:style w:type="character" w:customStyle="1" w:styleId="ATASubHead1Char">
    <w:name w:val="ATASubHead1 Char"/>
    <w:link w:val="ATASubHead1"/>
    <w:rsid w:val="004008C7"/>
    <w:rPr>
      <w:rFonts w:ascii="Arial" w:hAnsi="Arial" w:cs="Arial"/>
      <w:b/>
      <w:color w:val="000064"/>
      <w:sz w:val="28"/>
      <w:szCs w:val="28"/>
      <w:lang w:eastAsia="en-US"/>
    </w:rPr>
  </w:style>
  <w:style w:type="table" w:customStyle="1" w:styleId="LightList-Accent11">
    <w:name w:val="Light List - Accent 11"/>
    <w:basedOn w:val="TableNormal"/>
    <w:uiPriority w:val="61"/>
    <w:rsid w:val="004008C7"/>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93728"/>
    <w:pPr>
      <w:spacing w:before="100" w:beforeAutospacing="1" w:after="100" w:afterAutospacing="1"/>
    </w:pPr>
    <w:rPr>
      <w:rFonts w:ascii="Times New Roman" w:eastAsia="Times New Roman" w:hAnsi="Times New Roman"/>
      <w:sz w:val="24"/>
      <w:szCs w:val="24"/>
      <w:lang w:eastAsia="en-AU"/>
    </w:rPr>
  </w:style>
  <w:style w:type="character" w:customStyle="1" w:styleId="author-name2">
    <w:name w:val="author-name2"/>
    <w:basedOn w:val="DefaultParagraphFont"/>
    <w:rsid w:val="00FC1291"/>
    <w:rPr>
      <w:b/>
      <w:bCs/>
    </w:rPr>
  </w:style>
  <w:style w:type="character" w:customStyle="1" w:styleId="source-name5">
    <w:name w:val="source-name5"/>
    <w:basedOn w:val="DefaultParagraphFont"/>
    <w:rsid w:val="00FC1291"/>
    <w:rPr>
      <w:i/>
      <w:iCs/>
    </w:rPr>
  </w:style>
  <w:style w:type="character" w:customStyle="1" w:styleId="publish-date5">
    <w:name w:val="publish-date5"/>
    <w:basedOn w:val="DefaultParagraphFont"/>
    <w:rsid w:val="00FC1291"/>
    <w:rPr>
      <w:i/>
      <w:iCs/>
      <w:sz w:val="14"/>
      <w:szCs w:val="14"/>
    </w:rPr>
  </w:style>
  <w:style w:type="character" w:styleId="FollowedHyperlink">
    <w:name w:val="FollowedHyperlink"/>
    <w:basedOn w:val="DefaultParagraphFont"/>
    <w:uiPriority w:val="99"/>
    <w:semiHidden/>
    <w:unhideWhenUsed/>
    <w:rsid w:val="007C746E"/>
    <w:rPr>
      <w:color w:val="800080" w:themeColor="followedHyperlink"/>
      <w:u w:val="single"/>
    </w:rPr>
  </w:style>
  <w:style w:type="paragraph" w:customStyle="1" w:styleId="ATAPreMnorm">
    <w:name w:val="ATAPreM norm"/>
    <w:basedOn w:val="Normal"/>
    <w:link w:val="ATAPreMnormChar"/>
    <w:qFormat/>
    <w:rsid w:val="00F2072F"/>
    <w:rPr>
      <w:rFonts w:ascii="Arial" w:eastAsia="Times New Roman" w:hAnsi="Arial" w:cs="Arial"/>
      <w:i/>
      <w:color w:val="000000"/>
      <w:sz w:val="20"/>
      <w:szCs w:val="20"/>
      <w:lang w:eastAsia="en-AU"/>
    </w:rPr>
  </w:style>
  <w:style w:type="paragraph" w:customStyle="1" w:styleId="ATAPervMHeading">
    <w:name w:val="ATAPervMHeading"/>
    <w:basedOn w:val="Normal"/>
    <w:link w:val="ATAPervMHeadingChar"/>
    <w:qFormat/>
    <w:rsid w:val="00F2072F"/>
    <w:pPr>
      <w:tabs>
        <w:tab w:val="left" w:pos="851"/>
      </w:tabs>
      <w:ind w:left="851" w:hanging="851"/>
    </w:pPr>
    <w:rPr>
      <w:rFonts w:ascii="Arial" w:hAnsi="Arial" w:cs="Arial"/>
      <w:b/>
      <w:i/>
      <w:sz w:val="20"/>
      <w:szCs w:val="20"/>
    </w:rPr>
  </w:style>
  <w:style w:type="character" w:customStyle="1" w:styleId="ATAPreMnormChar">
    <w:name w:val="ATAPreM norm Char"/>
    <w:basedOn w:val="DefaultParagraphFont"/>
    <w:link w:val="ATAPreMnorm"/>
    <w:rsid w:val="00F2072F"/>
    <w:rPr>
      <w:rFonts w:ascii="Arial" w:eastAsia="Times New Roman" w:hAnsi="Arial" w:cs="Arial"/>
      <w:i/>
      <w:color w:val="000000"/>
    </w:rPr>
  </w:style>
  <w:style w:type="character" w:customStyle="1" w:styleId="ATAPervMHeadingChar">
    <w:name w:val="ATAPervMHeading Char"/>
    <w:basedOn w:val="DefaultParagraphFont"/>
    <w:link w:val="ATAPervMHeading"/>
    <w:rsid w:val="00F2072F"/>
    <w:rPr>
      <w:rFonts w:ascii="Arial" w:hAnsi="Arial" w:cs="Arial"/>
      <w:b/>
      <w:i/>
      <w:lang w:eastAsia="en-US"/>
    </w:rPr>
  </w:style>
  <w:style w:type="character" w:styleId="CommentReference">
    <w:name w:val="annotation reference"/>
    <w:basedOn w:val="DefaultParagraphFont"/>
    <w:uiPriority w:val="99"/>
    <w:semiHidden/>
    <w:unhideWhenUsed/>
    <w:rsid w:val="00603655"/>
    <w:rPr>
      <w:sz w:val="16"/>
      <w:szCs w:val="16"/>
    </w:rPr>
  </w:style>
  <w:style w:type="paragraph" w:styleId="CommentText">
    <w:name w:val="annotation text"/>
    <w:basedOn w:val="Normal"/>
    <w:link w:val="CommentTextChar"/>
    <w:uiPriority w:val="99"/>
    <w:semiHidden/>
    <w:unhideWhenUsed/>
    <w:rsid w:val="00603655"/>
    <w:rPr>
      <w:sz w:val="20"/>
      <w:szCs w:val="20"/>
    </w:rPr>
  </w:style>
  <w:style w:type="character" w:customStyle="1" w:styleId="CommentTextChar">
    <w:name w:val="Comment Text Char"/>
    <w:basedOn w:val="DefaultParagraphFont"/>
    <w:link w:val="CommentText"/>
    <w:uiPriority w:val="99"/>
    <w:semiHidden/>
    <w:rsid w:val="00603655"/>
    <w:rPr>
      <w:lang w:eastAsia="en-US"/>
    </w:rPr>
  </w:style>
  <w:style w:type="paragraph" w:styleId="CommentSubject">
    <w:name w:val="annotation subject"/>
    <w:basedOn w:val="CommentText"/>
    <w:next w:val="CommentText"/>
    <w:link w:val="CommentSubjectChar"/>
    <w:uiPriority w:val="99"/>
    <w:semiHidden/>
    <w:unhideWhenUsed/>
    <w:rsid w:val="00603655"/>
    <w:rPr>
      <w:b/>
      <w:bCs/>
    </w:rPr>
  </w:style>
  <w:style w:type="character" w:customStyle="1" w:styleId="CommentSubjectChar">
    <w:name w:val="Comment Subject Char"/>
    <w:basedOn w:val="CommentTextChar"/>
    <w:link w:val="CommentSubject"/>
    <w:uiPriority w:val="99"/>
    <w:semiHidden/>
    <w:rsid w:val="00603655"/>
    <w:rPr>
      <w:b/>
      <w:bCs/>
      <w:lang w:eastAsia="en-US"/>
    </w:rPr>
  </w:style>
  <w:style w:type="paragraph" w:styleId="PlainText">
    <w:name w:val="Plain Text"/>
    <w:basedOn w:val="Normal"/>
    <w:link w:val="PlainTextChar"/>
    <w:uiPriority w:val="99"/>
    <w:unhideWhenUsed/>
    <w:rsid w:val="00040B35"/>
    <w:rPr>
      <w:rFonts w:ascii="Consolas" w:eastAsiaTheme="minorHAnsi" w:hAnsi="Consolas" w:cs="Consolas"/>
      <w:sz w:val="21"/>
      <w:szCs w:val="21"/>
      <w:lang w:eastAsia="en-AU"/>
    </w:rPr>
  </w:style>
  <w:style w:type="character" w:customStyle="1" w:styleId="PlainTextChar">
    <w:name w:val="Plain Text Char"/>
    <w:basedOn w:val="DefaultParagraphFont"/>
    <w:link w:val="PlainText"/>
    <w:uiPriority w:val="99"/>
    <w:rsid w:val="00040B35"/>
    <w:rPr>
      <w:rFonts w:ascii="Consolas" w:eastAsiaTheme="minorHAnsi" w:hAnsi="Consolas" w:cs="Consolas"/>
      <w:sz w:val="21"/>
      <w:szCs w:val="21"/>
    </w:rPr>
  </w:style>
  <w:style w:type="paragraph" w:styleId="NoSpacing">
    <w:name w:val="No Spacing"/>
    <w:basedOn w:val="Normal"/>
    <w:uiPriority w:val="1"/>
    <w:qFormat/>
    <w:rsid w:val="005C4492"/>
    <w:rPr>
      <w:rFonts w:eastAsiaTheme="minorHAnsi"/>
      <w:color w:val="404040"/>
      <w:sz w:val="19"/>
      <w:szCs w:val="19"/>
      <w:lang w:eastAsia="en-AU"/>
    </w:rPr>
  </w:style>
  <w:style w:type="character" w:customStyle="1" w:styleId="apple-converted-space">
    <w:name w:val="apple-converted-space"/>
    <w:basedOn w:val="DefaultParagraphFont"/>
    <w:rsid w:val="00DF2EC9"/>
  </w:style>
  <w:style w:type="character" w:customStyle="1" w:styleId="filesize">
    <w:name w:val="filesize"/>
    <w:basedOn w:val="DefaultParagraphFont"/>
    <w:rsid w:val="00DF2EC9"/>
  </w:style>
  <w:style w:type="table" w:customStyle="1" w:styleId="TableGrid1">
    <w:name w:val="Table Grid1"/>
    <w:basedOn w:val="TableNormal"/>
    <w:next w:val="TableGrid"/>
    <w:uiPriority w:val="39"/>
    <w:rsid w:val="000077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07">
      <w:bodyDiv w:val="1"/>
      <w:marLeft w:val="0"/>
      <w:marRight w:val="0"/>
      <w:marTop w:val="0"/>
      <w:marBottom w:val="0"/>
      <w:divBdr>
        <w:top w:val="none" w:sz="0" w:space="0" w:color="auto"/>
        <w:left w:val="none" w:sz="0" w:space="0" w:color="auto"/>
        <w:bottom w:val="none" w:sz="0" w:space="0" w:color="auto"/>
        <w:right w:val="none" w:sz="0" w:space="0" w:color="auto"/>
      </w:divBdr>
    </w:div>
    <w:div w:id="101345268">
      <w:bodyDiv w:val="1"/>
      <w:marLeft w:val="0"/>
      <w:marRight w:val="0"/>
      <w:marTop w:val="0"/>
      <w:marBottom w:val="0"/>
      <w:divBdr>
        <w:top w:val="none" w:sz="0" w:space="0" w:color="auto"/>
        <w:left w:val="none" w:sz="0" w:space="0" w:color="auto"/>
        <w:bottom w:val="none" w:sz="0" w:space="0" w:color="auto"/>
        <w:right w:val="none" w:sz="0" w:space="0" w:color="auto"/>
      </w:divBdr>
    </w:div>
    <w:div w:id="243534529">
      <w:bodyDiv w:val="1"/>
      <w:marLeft w:val="0"/>
      <w:marRight w:val="0"/>
      <w:marTop w:val="0"/>
      <w:marBottom w:val="0"/>
      <w:divBdr>
        <w:top w:val="none" w:sz="0" w:space="0" w:color="auto"/>
        <w:left w:val="none" w:sz="0" w:space="0" w:color="auto"/>
        <w:bottom w:val="none" w:sz="0" w:space="0" w:color="auto"/>
        <w:right w:val="none" w:sz="0" w:space="0" w:color="auto"/>
      </w:divBdr>
    </w:div>
    <w:div w:id="255788561">
      <w:bodyDiv w:val="1"/>
      <w:marLeft w:val="0"/>
      <w:marRight w:val="0"/>
      <w:marTop w:val="0"/>
      <w:marBottom w:val="0"/>
      <w:divBdr>
        <w:top w:val="none" w:sz="0" w:space="0" w:color="auto"/>
        <w:left w:val="none" w:sz="0" w:space="0" w:color="auto"/>
        <w:bottom w:val="none" w:sz="0" w:space="0" w:color="auto"/>
        <w:right w:val="none" w:sz="0" w:space="0" w:color="auto"/>
      </w:divBdr>
    </w:div>
    <w:div w:id="281620142">
      <w:bodyDiv w:val="1"/>
      <w:marLeft w:val="0"/>
      <w:marRight w:val="0"/>
      <w:marTop w:val="0"/>
      <w:marBottom w:val="0"/>
      <w:divBdr>
        <w:top w:val="none" w:sz="0" w:space="0" w:color="auto"/>
        <w:left w:val="none" w:sz="0" w:space="0" w:color="auto"/>
        <w:bottom w:val="none" w:sz="0" w:space="0" w:color="auto"/>
        <w:right w:val="none" w:sz="0" w:space="0" w:color="auto"/>
      </w:divBdr>
    </w:div>
    <w:div w:id="294872507">
      <w:bodyDiv w:val="1"/>
      <w:marLeft w:val="0"/>
      <w:marRight w:val="0"/>
      <w:marTop w:val="0"/>
      <w:marBottom w:val="0"/>
      <w:divBdr>
        <w:top w:val="none" w:sz="0" w:space="0" w:color="auto"/>
        <w:left w:val="none" w:sz="0" w:space="0" w:color="auto"/>
        <w:bottom w:val="none" w:sz="0" w:space="0" w:color="auto"/>
        <w:right w:val="none" w:sz="0" w:space="0" w:color="auto"/>
      </w:divBdr>
    </w:div>
    <w:div w:id="300501640">
      <w:bodyDiv w:val="1"/>
      <w:marLeft w:val="0"/>
      <w:marRight w:val="0"/>
      <w:marTop w:val="0"/>
      <w:marBottom w:val="0"/>
      <w:divBdr>
        <w:top w:val="none" w:sz="0" w:space="0" w:color="auto"/>
        <w:left w:val="none" w:sz="0" w:space="0" w:color="auto"/>
        <w:bottom w:val="none" w:sz="0" w:space="0" w:color="auto"/>
        <w:right w:val="none" w:sz="0" w:space="0" w:color="auto"/>
      </w:divBdr>
      <w:divsChild>
        <w:div w:id="1953660714">
          <w:marLeft w:val="0"/>
          <w:marRight w:val="0"/>
          <w:marTop w:val="0"/>
          <w:marBottom w:val="0"/>
          <w:divBdr>
            <w:top w:val="none" w:sz="0" w:space="0" w:color="auto"/>
            <w:left w:val="none" w:sz="0" w:space="0" w:color="auto"/>
            <w:bottom w:val="none" w:sz="0" w:space="0" w:color="auto"/>
            <w:right w:val="none" w:sz="0" w:space="0" w:color="auto"/>
          </w:divBdr>
          <w:divsChild>
            <w:div w:id="749893250">
              <w:marLeft w:val="0"/>
              <w:marRight w:val="0"/>
              <w:marTop w:val="0"/>
              <w:marBottom w:val="0"/>
              <w:divBdr>
                <w:top w:val="none" w:sz="0" w:space="0" w:color="auto"/>
                <w:left w:val="none" w:sz="0" w:space="0" w:color="auto"/>
                <w:bottom w:val="none" w:sz="0" w:space="0" w:color="auto"/>
                <w:right w:val="none" w:sz="0" w:space="0" w:color="auto"/>
              </w:divBdr>
              <w:divsChild>
                <w:div w:id="1990743551">
                  <w:marLeft w:val="0"/>
                  <w:marRight w:val="0"/>
                  <w:marTop w:val="0"/>
                  <w:marBottom w:val="0"/>
                  <w:divBdr>
                    <w:top w:val="none" w:sz="0" w:space="0" w:color="auto"/>
                    <w:left w:val="none" w:sz="0" w:space="0" w:color="auto"/>
                    <w:bottom w:val="none" w:sz="0" w:space="0" w:color="auto"/>
                    <w:right w:val="none" w:sz="0" w:space="0" w:color="auto"/>
                  </w:divBdr>
                  <w:divsChild>
                    <w:div w:id="1398744426">
                      <w:marLeft w:val="0"/>
                      <w:marRight w:val="0"/>
                      <w:marTop w:val="0"/>
                      <w:marBottom w:val="173"/>
                      <w:divBdr>
                        <w:top w:val="none" w:sz="0" w:space="0" w:color="auto"/>
                        <w:left w:val="none" w:sz="0" w:space="0" w:color="auto"/>
                        <w:bottom w:val="single" w:sz="12" w:space="0" w:color="auto"/>
                        <w:right w:val="none" w:sz="0" w:space="0" w:color="auto"/>
                      </w:divBdr>
                      <w:divsChild>
                        <w:div w:id="151719399">
                          <w:marLeft w:val="0"/>
                          <w:marRight w:val="0"/>
                          <w:marTop w:val="0"/>
                          <w:marBottom w:val="0"/>
                          <w:divBdr>
                            <w:top w:val="none" w:sz="0" w:space="0" w:color="auto"/>
                            <w:left w:val="none" w:sz="0" w:space="0" w:color="auto"/>
                            <w:bottom w:val="none" w:sz="0" w:space="0" w:color="auto"/>
                            <w:right w:val="none" w:sz="0" w:space="0" w:color="auto"/>
                          </w:divBdr>
                          <w:divsChild>
                            <w:div w:id="846868594">
                              <w:marLeft w:val="0"/>
                              <w:marRight w:val="0"/>
                              <w:marTop w:val="0"/>
                              <w:marBottom w:val="0"/>
                              <w:divBdr>
                                <w:top w:val="none" w:sz="0" w:space="0" w:color="auto"/>
                                <w:left w:val="none" w:sz="0" w:space="0" w:color="auto"/>
                                <w:bottom w:val="none" w:sz="0" w:space="0" w:color="auto"/>
                                <w:right w:val="none" w:sz="0" w:space="0" w:color="auto"/>
                              </w:divBdr>
                              <w:divsChild>
                                <w:div w:id="64375558">
                                  <w:marLeft w:val="0"/>
                                  <w:marRight w:val="0"/>
                                  <w:marTop w:val="0"/>
                                  <w:marBottom w:val="0"/>
                                  <w:divBdr>
                                    <w:top w:val="none" w:sz="0" w:space="0" w:color="auto"/>
                                    <w:left w:val="none" w:sz="0" w:space="0" w:color="auto"/>
                                    <w:bottom w:val="none" w:sz="0" w:space="0" w:color="auto"/>
                                    <w:right w:val="none" w:sz="0" w:space="0" w:color="auto"/>
                                  </w:divBdr>
                                  <w:divsChild>
                                    <w:div w:id="1638073701">
                                      <w:marLeft w:val="0"/>
                                      <w:marRight w:val="0"/>
                                      <w:marTop w:val="0"/>
                                      <w:marBottom w:val="0"/>
                                      <w:divBdr>
                                        <w:top w:val="none" w:sz="0" w:space="0" w:color="auto"/>
                                        <w:left w:val="none" w:sz="0" w:space="0" w:color="auto"/>
                                        <w:bottom w:val="none" w:sz="0" w:space="0" w:color="auto"/>
                                        <w:right w:val="none" w:sz="0" w:space="0" w:color="auto"/>
                                      </w:divBdr>
                                      <w:divsChild>
                                        <w:div w:id="388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063723">
      <w:bodyDiv w:val="1"/>
      <w:marLeft w:val="0"/>
      <w:marRight w:val="0"/>
      <w:marTop w:val="0"/>
      <w:marBottom w:val="0"/>
      <w:divBdr>
        <w:top w:val="none" w:sz="0" w:space="0" w:color="auto"/>
        <w:left w:val="none" w:sz="0" w:space="0" w:color="auto"/>
        <w:bottom w:val="none" w:sz="0" w:space="0" w:color="auto"/>
        <w:right w:val="none" w:sz="0" w:space="0" w:color="auto"/>
      </w:divBdr>
    </w:div>
    <w:div w:id="354112465">
      <w:bodyDiv w:val="1"/>
      <w:marLeft w:val="0"/>
      <w:marRight w:val="0"/>
      <w:marTop w:val="0"/>
      <w:marBottom w:val="0"/>
      <w:divBdr>
        <w:top w:val="none" w:sz="0" w:space="0" w:color="auto"/>
        <w:left w:val="none" w:sz="0" w:space="0" w:color="auto"/>
        <w:bottom w:val="none" w:sz="0" w:space="0" w:color="auto"/>
        <w:right w:val="none" w:sz="0" w:space="0" w:color="auto"/>
      </w:divBdr>
    </w:div>
    <w:div w:id="392852183">
      <w:bodyDiv w:val="1"/>
      <w:marLeft w:val="0"/>
      <w:marRight w:val="0"/>
      <w:marTop w:val="0"/>
      <w:marBottom w:val="0"/>
      <w:divBdr>
        <w:top w:val="none" w:sz="0" w:space="0" w:color="auto"/>
        <w:left w:val="none" w:sz="0" w:space="0" w:color="auto"/>
        <w:bottom w:val="none" w:sz="0" w:space="0" w:color="auto"/>
        <w:right w:val="none" w:sz="0" w:space="0" w:color="auto"/>
      </w:divBdr>
      <w:divsChild>
        <w:div w:id="1062757597">
          <w:marLeft w:val="0"/>
          <w:marRight w:val="0"/>
          <w:marTop w:val="0"/>
          <w:marBottom w:val="0"/>
          <w:divBdr>
            <w:top w:val="single" w:sz="2" w:space="0" w:color="999999"/>
            <w:left w:val="single" w:sz="4" w:space="0" w:color="999999"/>
            <w:bottom w:val="single" w:sz="2" w:space="0" w:color="999999"/>
            <w:right w:val="single" w:sz="4" w:space="0" w:color="999999"/>
          </w:divBdr>
          <w:divsChild>
            <w:div w:id="659891644">
              <w:marLeft w:val="0"/>
              <w:marRight w:val="0"/>
              <w:marTop w:val="0"/>
              <w:marBottom w:val="0"/>
              <w:divBdr>
                <w:top w:val="none" w:sz="0" w:space="0" w:color="auto"/>
                <w:left w:val="none" w:sz="0" w:space="0" w:color="auto"/>
                <w:bottom w:val="none" w:sz="0" w:space="0" w:color="auto"/>
                <w:right w:val="none" w:sz="0" w:space="0" w:color="auto"/>
              </w:divBdr>
              <w:divsChild>
                <w:div w:id="82847928">
                  <w:marLeft w:val="0"/>
                  <w:marRight w:val="230"/>
                  <w:marTop w:val="0"/>
                  <w:marBottom w:val="480"/>
                  <w:divBdr>
                    <w:top w:val="none" w:sz="0" w:space="0" w:color="auto"/>
                    <w:left w:val="none" w:sz="0" w:space="0" w:color="auto"/>
                    <w:bottom w:val="none" w:sz="0" w:space="0" w:color="auto"/>
                    <w:right w:val="none" w:sz="0" w:space="0" w:color="auto"/>
                  </w:divBdr>
                </w:div>
              </w:divsChild>
            </w:div>
          </w:divsChild>
        </w:div>
      </w:divsChild>
    </w:div>
    <w:div w:id="412705156">
      <w:bodyDiv w:val="1"/>
      <w:marLeft w:val="0"/>
      <w:marRight w:val="0"/>
      <w:marTop w:val="0"/>
      <w:marBottom w:val="0"/>
      <w:divBdr>
        <w:top w:val="none" w:sz="0" w:space="0" w:color="auto"/>
        <w:left w:val="none" w:sz="0" w:space="0" w:color="auto"/>
        <w:bottom w:val="none" w:sz="0" w:space="0" w:color="auto"/>
        <w:right w:val="none" w:sz="0" w:space="0" w:color="auto"/>
      </w:divBdr>
    </w:div>
    <w:div w:id="449204758">
      <w:bodyDiv w:val="1"/>
      <w:marLeft w:val="0"/>
      <w:marRight w:val="0"/>
      <w:marTop w:val="0"/>
      <w:marBottom w:val="0"/>
      <w:divBdr>
        <w:top w:val="none" w:sz="0" w:space="0" w:color="auto"/>
        <w:left w:val="none" w:sz="0" w:space="0" w:color="auto"/>
        <w:bottom w:val="none" w:sz="0" w:space="0" w:color="auto"/>
        <w:right w:val="none" w:sz="0" w:space="0" w:color="auto"/>
      </w:divBdr>
    </w:div>
    <w:div w:id="708993285">
      <w:bodyDiv w:val="1"/>
      <w:marLeft w:val="0"/>
      <w:marRight w:val="0"/>
      <w:marTop w:val="0"/>
      <w:marBottom w:val="0"/>
      <w:divBdr>
        <w:top w:val="none" w:sz="0" w:space="0" w:color="auto"/>
        <w:left w:val="none" w:sz="0" w:space="0" w:color="auto"/>
        <w:bottom w:val="none" w:sz="0" w:space="0" w:color="auto"/>
        <w:right w:val="none" w:sz="0" w:space="0" w:color="auto"/>
      </w:divBdr>
    </w:div>
    <w:div w:id="727071272">
      <w:bodyDiv w:val="1"/>
      <w:marLeft w:val="0"/>
      <w:marRight w:val="0"/>
      <w:marTop w:val="0"/>
      <w:marBottom w:val="0"/>
      <w:divBdr>
        <w:top w:val="none" w:sz="0" w:space="0" w:color="auto"/>
        <w:left w:val="none" w:sz="0" w:space="0" w:color="auto"/>
        <w:bottom w:val="none" w:sz="0" w:space="0" w:color="auto"/>
        <w:right w:val="none" w:sz="0" w:space="0" w:color="auto"/>
      </w:divBdr>
    </w:div>
    <w:div w:id="764347823">
      <w:bodyDiv w:val="1"/>
      <w:marLeft w:val="0"/>
      <w:marRight w:val="0"/>
      <w:marTop w:val="0"/>
      <w:marBottom w:val="0"/>
      <w:divBdr>
        <w:top w:val="none" w:sz="0" w:space="0" w:color="auto"/>
        <w:left w:val="none" w:sz="0" w:space="0" w:color="auto"/>
        <w:bottom w:val="none" w:sz="0" w:space="0" w:color="auto"/>
        <w:right w:val="none" w:sz="0" w:space="0" w:color="auto"/>
      </w:divBdr>
      <w:divsChild>
        <w:div w:id="1504861412">
          <w:marLeft w:val="0"/>
          <w:marRight w:val="0"/>
          <w:marTop w:val="0"/>
          <w:marBottom w:val="0"/>
          <w:divBdr>
            <w:top w:val="none" w:sz="0" w:space="0" w:color="auto"/>
            <w:left w:val="none" w:sz="0" w:space="0" w:color="auto"/>
            <w:bottom w:val="none" w:sz="0" w:space="0" w:color="auto"/>
            <w:right w:val="none" w:sz="0" w:space="0" w:color="auto"/>
          </w:divBdr>
          <w:divsChild>
            <w:div w:id="101927376">
              <w:marLeft w:val="0"/>
              <w:marRight w:val="0"/>
              <w:marTop w:val="0"/>
              <w:marBottom w:val="0"/>
              <w:divBdr>
                <w:top w:val="none" w:sz="0" w:space="0" w:color="auto"/>
                <w:left w:val="none" w:sz="0" w:space="0" w:color="auto"/>
                <w:bottom w:val="none" w:sz="0" w:space="0" w:color="auto"/>
                <w:right w:val="none" w:sz="0" w:space="0" w:color="auto"/>
              </w:divBdr>
              <w:divsChild>
                <w:div w:id="1142624037">
                  <w:marLeft w:val="0"/>
                  <w:marRight w:val="0"/>
                  <w:marTop w:val="100"/>
                  <w:marBottom w:val="100"/>
                  <w:divBdr>
                    <w:top w:val="none" w:sz="0" w:space="0" w:color="auto"/>
                    <w:left w:val="none" w:sz="0" w:space="0" w:color="auto"/>
                    <w:bottom w:val="none" w:sz="0" w:space="0" w:color="auto"/>
                    <w:right w:val="none" w:sz="0" w:space="0" w:color="auto"/>
                  </w:divBdr>
                  <w:divsChild>
                    <w:div w:id="1542476904">
                      <w:marLeft w:val="0"/>
                      <w:marRight w:val="0"/>
                      <w:marTop w:val="0"/>
                      <w:marBottom w:val="0"/>
                      <w:divBdr>
                        <w:top w:val="none" w:sz="0" w:space="0" w:color="auto"/>
                        <w:left w:val="none" w:sz="0" w:space="0" w:color="auto"/>
                        <w:bottom w:val="none" w:sz="0" w:space="0" w:color="auto"/>
                        <w:right w:val="none" w:sz="0" w:space="0" w:color="auto"/>
                      </w:divBdr>
                      <w:divsChild>
                        <w:div w:id="1721051084">
                          <w:marLeft w:val="0"/>
                          <w:marRight w:val="0"/>
                          <w:marTop w:val="0"/>
                          <w:marBottom w:val="0"/>
                          <w:divBdr>
                            <w:top w:val="none" w:sz="0" w:space="0" w:color="auto"/>
                            <w:left w:val="none" w:sz="0" w:space="0" w:color="auto"/>
                            <w:bottom w:val="none" w:sz="0" w:space="0" w:color="auto"/>
                            <w:right w:val="none" w:sz="0" w:space="0" w:color="auto"/>
                          </w:divBdr>
                          <w:divsChild>
                            <w:div w:id="658457871">
                              <w:marLeft w:val="0"/>
                              <w:marRight w:val="0"/>
                              <w:marTop w:val="0"/>
                              <w:marBottom w:val="0"/>
                              <w:divBdr>
                                <w:top w:val="none" w:sz="0" w:space="0" w:color="auto"/>
                                <w:left w:val="none" w:sz="0" w:space="0" w:color="auto"/>
                                <w:bottom w:val="none" w:sz="0" w:space="0" w:color="auto"/>
                                <w:right w:val="none" w:sz="0" w:space="0" w:color="auto"/>
                              </w:divBdr>
                              <w:divsChild>
                                <w:div w:id="13794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18695">
      <w:bodyDiv w:val="1"/>
      <w:marLeft w:val="0"/>
      <w:marRight w:val="0"/>
      <w:marTop w:val="0"/>
      <w:marBottom w:val="0"/>
      <w:divBdr>
        <w:top w:val="none" w:sz="0" w:space="0" w:color="auto"/>
        <w:left w:val="none" w:sz="0" w:space="0" w:color="auto"/>
        <w:bottom w:val="none" w:sz="0" w:space="0" w:color="auto"/>
        <w:right w:val="none" w:sz="0" w:space="0" w:color="auto"/>
      </w:divBdr>
    </w:div>
    <w:div w:id="815923983">
      <w:bodyDiv w:val="1"/>
      <w:marLeft w:val="0"/>
      <w:marRight w:val="0"/>
      <w:marTop w:val="0"/>
      <w:marBottom w:val="0"/>
      <w:divBdr>
        <w:top w:val="none" w:sz="0" w:space="0" w:color="auto"/>
        <w:left w:val="none" w:sz="0" w:space="0" w:color="auto"/>
        <w:bottom w:val="none" w:sz="0" w:space="0" w:color="auto"/>
        <w:right w:val="none" w:sz="0" w:space="0" w:color="auto"/>
      </w:divBdr>
    </w:div>
    <w:div w:id="828593103">
      <w:bodyDiv w:val="1"/>
      <w:marLeft w:val="0"/>
      <w:marRight w:val="0"/>
      <w:marTop w:val="0"/>
      <w:marBottom w:val="0"/>
      <w:divBdr>
        <w:top w:val="none" w:sz="0" w:space="0" w:color="auto"/>
        <w:left w:val="none" w:sz="0" w:space="0" w:color="auto"/>
        <w:bottom w:val="none" w:sz="0" w:space="0" w:color="auto"/>
        <w:right w:val="none" w:sz="0" w:space="0" w:color="auto"/>
      </w:divBdr>
    </w:div>
    <w:div w:id="900407637">
      <w:bodyDiv w:val="1"/>
      <w:marLeft w:val="0"/>
      <w:marRight w:val="0"/>
      <w:marTop w:val="0"/>
      <w:marBottom w:val="0"/>
      <w:divBdr>
        <w:top w:val="none" w:sz="0" w:space="0" w:color="auto"/>
        <w:left w:val="none" w:sz="0" w:space="0" w:color="auto"/>
        <w:bottom w:val="none" w:sz="0" w:space="0" w:color="auto"/>
        <w:right w:val="none" w:sz="0" w:space="0" w:color="auto"/>
      </w:divBdr>
    </w:div>
    <w:div w:id="1107240177">
      <w:bodyDiv w:val="1"/>
      <w:marLeft w:val="0"/>
      <w:marRight w:val="0"/>
      <w:marTop w:val="0"/>
      <w:marBottom w:val="0"/>
      <w:divBdr>
        <w:top w:val="none" w:sz="0" w:space="0" w:color="auto"/>
        <w:left w:val="none" w:sz="0" w:space="0" w:color="auto"/>
        <w:bottom w:val="none" w:sz="0" w:space="0" w:color="auto"/>
        <w:right w:val="none" w:sz="0" w:space="0" w:color="auto"/>
      </w:divBdr>
    </w:div>
    <w:div w:id="1124082810">
      <w:marLeft w:val="0"/>
      <w:marRight w:val="0"/>
      <w:marTop w:val="0"/>
      <w:marBottom w:val="0"/>
      <w:divBdr>
        <w:top w:val="none" w:sz="0" w:space="0" w:color="auto"/>
        <w:left w:val="none" w:sz="0" w:space="0" w:color="auto"/>
        <w:bottom w:val="none" w:sz="0" w:space="0" w:color="auto"/>
        <w:right w:val="none" w:sz="0" w:space="0" w:color="auto"/>
      </w:divBdr>
    </w:div>
    <w:div w:id="1124082811">
      <w:marLeft w:val="0"/>
      <w:marRight w:val="0"/>
      <w:marTop w:val="0"/>
      <w:marBottom w:val="0"/>
      <w:divBdr>
        <w:top w:val="none" w:sz="0" w:space="0" w:color="auto"/>
        <w:left w:val="none" w:sz="0" w:space="0" w:color="auto"/>
        <w:bottom w:val="none" w:sz="0" w:space="0" w:color="auto"/>
        <w:right w:val="none" w:sz="0" w:space="0" w:color="auto"/>
      </w:divBdr>
    </w:div>
    <w:div w:id="1126312516">
      <w:bodyDiv w:val="1"/>
      <w:marLeft w:val="0"/>
      <w:marRight w:val="0"/>
      <w:marTop w:val="0"/>
      <w:marBottom w:val="0"/>
      <w:divBdr>
        <w:top w:val="none" w:sz="0" w:space="0" w:color="auto"/>
        <w:left w:val="none" w:sz="0" w:space="0" w:color="auto"/>
        <w:bottom w:val="none" w:sz="0" w:space="0" w:color="auto"/>
        <w:right w:val="none" w:sz="0" w:space="0" w:color="auto"/>
      </w:divBdr>
      <w:divsChild>
        <w:div w:id="1500120403">
          <w:marLeft w:val="0"/>
          <w:marRight w:val="0"/>
          <w:marTop w:val="0"/>
          <w:marBottom w:val="0"/>
          <w:divBdr>
            <w:top w:val="single" w:sz="2" w:space="0" w:color="999999"/>
            <w:left w:val="single" w:sz="4" w:space="0" w:color="999999"/>
            <w:bottom w:val="single" w:sz="2" w:space="0" w:color="999999"/>
            <w:right w:val="single" w:sz="4" w:space="0" w:color="999999"/>
          </w:divBdr>
          <w:divsChild>
            <w:div w:id="2011176851">
              <w:marLeft w:val="0"/>
              <w:marRight w:val="0"/>
              <w:marTop w:val="0"/>
              <w:marBottom w:val="0"/>
              <w:divBdr>
                <w:top w:val="none" w:sz="0" w:space="0" w:color="auto"/>
                <w:left w:val="none" w:sz="0" w:space="0" w:color="auto"/>
                <w:bottom w:val="none" w:sz="0" w:space="0" w:color="auto"/>
                <w:right w:val="none" w:sz="0" w:space="0" w:color="auto"/>
              </w:divBdr>
              <w:divsChild>
                <w:div w:id="1592084198">
                  <w:marLeft w:val="0"/>
                  <w:marRight w:val="230"/>
                  <w:marTop w:val="0"/>
                  <w:marBottom w:val="480"/>
                  <w:divBdr>
                    <w:top w:val="none" w:sz="0" w:space="0" w:color="auto"/>
                    <w:left w:val="none" w:sz="0" w:space="0" w:color="auto"/>
                    <w:bottom w:val="none" w:sz="0" w:space="0" w:color="auto"/>
                    <w:right w:val="none" w:sz="0" w:space="0" w:color="auto"/>
                  </w:divBdr>
                </w:div>
              </w:divsChild>
            </w:div>
          </w:divsChild>
        </w:div>
      </w:divsChild>
    </w:div>
    <w:div w:id="1168668862">
      <w:bodyDiv w:val="1"/>
      <w:marLeft w:val="0"/>
      <w:marRight w:val="0"/>
      <w:marTop w:val="0"/>
      <w:marBottom w:val="0"/>
      <w:divBdr>
        <w:top w:val="none" w:sz="0" w:space="0" w:color="auto"/>
        <w:left w:val="none" w:sz="0" w:space="0" w:color="auto"/>
        <w:bottom w:val="none" w:sz="0" w:space="0" w:color="auto"/>
        <w:right w:val="none" w:sz="0" w:space="0" w:color="auto"/>
      </w:divBdr>
    </w:div>
    <w:div w:id="1177578316">
      <w:bodyDiv w:val="1"/>
      <w:marLeft w:val="0"/>
      <w:marRight w:val="0"/>
      <w:marTop w:val="0"/>
      <w:marBottom w:val="0"/>
      <w:divBdr>
        <w:top w:val="none" w:sz="0" w:space="0" w:color="auto"/>
        <w:left w:val="none" w:sz="0" w:space="0" w:color="auto"/>
        <w:bottom w:val="none" w:sz="0" w:space="0" w:color="auto"/>
        <w:right w:val="none" w:sz="0" w:space="0" w:color="auto"/>
      </w:divBdr>
    </w:div>
    <w:div w:id="1264221754">
      <w:bodyDiv w:val="1"/>
      <w:marLeft w:val="0"/>
      <w:marRight w:val="0"/>
      <w:marTop w:val="0"/>
      <w:marBottom w:val="0"/>
      <w:divBdr>
        <w:top w:val="none" w:sz="0" w:space="0" w:color="auto"/>
        <w:left w:val="none" w:sz="0" w:space="0" w:color="auto"/>
        <w:bottom w:val="none" w:sz="0" w:space="0" w:color="auto"/>
        <w:right w:val="none" w:sz="0" w:space="0" w:color="auto"/>
      </w:divBdr>
    </w:div>
    <w:div w:id="1266157425">
      <w:bodyDiv w:val="1"/>
      <w:marLeft w:val="0"/>
      <w:marRight w:val="0"/>
      <w:marTop w:val="0"/>
      <w:marBottom w:val="0"/>
      <w:divBdr>
        <w:top w:val="none" w:sz="0" w:space="0" w:color="auto"/>
        <w:left w:val="none" w:sz="0" w:space="0" w:color="auto"/>
        <w:bottom w:val="none" w:sz="0" w:space="0" w:color="auto"/>
        <w:right w:val="none" w:sz="0" w:space="0" w:color="auto"/>
      </w:divBdr>
    </w:div>
    <w:div w:id="1295284791">
      <w:bodyDiv w:val="1"/>
      <w:marLeft w:val="0"/>
      <w:marRight w:val="0"/>
      <w:marTop w:val="0"/>
      <w:marBottom w:val="0"/>
      <w:divBdr>
        <w:top w:val="none" w:sz="0" w:space="0" w:color="auto"/>
        <w:left w:val="none" w:sz="0" w:space="0" w:color="auto"/>
        <w:bottom w:val="none" w:sz="0" w:space="0" w:color="auto"/>
        <w:right w:val="none" w:sz="0" w:space="0" w:color="auto"/>
      </w:divBdr>
    </w:div>
    <w:div w:id="1343555153">
      <w:bodyDiv w:val="1"/>
      <w:marLeft w:val="0"/>
      <w:marRight w:val="0"/>
      <w:marTop w:val="0"/>
      <w:marBottom w:val="0"/>
      <w:divBdr>
        <w:top w:val="none" w:sz="0" w:space="0" w:color="auto"/>
        <w:left w:val="none" w:sz="0" w:space="0" w:color="auto"/>
        <w:bottom w:val="none" w:sz="0" w:space="0" w:color="auto"/>
        <w:right w:val="none" w:sz="0" w:space="0" w:color="auto"/>
      </w:divBdr>
    </w:div>
    <w:div w:id="1393885428">
      <w:bodyDiv w:val="1"/>
      <w:marLeft w:val="0"/>
      <w:marRight w:val="0"/>
      <w:marTop w:val="0"/>
      <w:marBottom w:val="0"/>
      <w:divBdr>
        <w:top w:val="none" w:sz="0" w:space="0" w:color="auto"/>
        <w:left w:val="none" w:sz="0" w:space="0" w:color="auto"/>
        <w:bottom w:val="none" w:sz="0" w:space="0" w:color="auto"/>
        <w:right w:val="none" w:sz="0" w:space="0" w:color="auto"/>
      </w:divBdr>
    </w:div>
    <w:div w:id="1401636624">
      <w:bodyDiv w:val="1"/>
      <w:marLeft w:val="0"/>
      <w:marRight w:val="0"/>
      <w:marTop w:val="0"/>
      <w:marBottom w:val="0"/>
      <w:divBdr>
        <w:top w:val="none" w:sz="0" w:space="0" w:color="auto"/>
        <w:left w:val="none" w:sz="0" w:space="0" w:color="auto"/>
        <w:bottom w:val="none" w:sz="0" w:space="0" w:color="auto"/>
        <w:right w:val="none" w:sz="0" w:space="0" w:color="auto"/>
      </w:divBdr>
    </w:div>
    <w:div w:id="1443845593">
      <w:bodyDiv w:val="1"/>
      <w:marLeft w:val="0"/>
      <w:marRight w:val="0"/>
      <w:marTop w:val="0"/>
      <w:marBottom w:val="0"/>
      <w:divBdr>
        <w:top w:val="none" w:sz="0" w:space="0" w:color="auto"/>
        <w:left w:val="none" w:sz="0" w:space="0" w:color="auto"/>
        <w:bottom w:val="none" w:sz="0" w:space="0" w:color="auto"/>
        <w:right w:val="none" w:sz="0" w:space="0" w:color="auto"/>
      </w:divBdr>
    </w:div>
    <w:div w:id="1468546323">
      <w:bodyDiv w:val="1"/>
      <w:marLeft w:val="0"/>
      <w:marRight w:val="0"/>
      <w:marTop w:val="0"/>
      <w:marBottom w:val="0"/>
      <w:divBdr>
        <w:top w:val="none" w:sz="0" w:space="0" w:color="auto"/>
        <w:left w:val="none" w:sz="0" w:space="0" w:color="auto"/>
        <w:bottom w:val="none" w:sz="0" w:space="0" w:color="auto"/>
        <w:right w:val="none" w:sz="0" w:space="0" w:color="auto"/>
      </w:divBdr>
    </w:div>
    <w:div w:id="1537545818">
      <w:bodyDiv w:val="1"/>
      <w:marLeft w:val="0"/>
      <w:marRight w:val="0"/>
      <w:marTop w:val="0"/>
      <w:marBottom w:val="0"/>
      <w:divBdr>
        <w:top w:val="none" w:sz="0" w:space="0" w:color="auto"/>
        <w:left w:val="none" w:sz="0" w:space="0" w:color="auto"/>
        <w:bottom w:val="none" w:sz="0" w:space="0" w:color="auto"/>
        <w:right w:val="none" w:sz="0" w:space="0" w:color="auto"/>
      </w:divBdr>
    </w:div>
    <w:div w:id="1553227382">
      <w:bodyDiv w:val="1"/>
      <w:marLeft w:val="0"/>
      <w:marRight w:val="0"/>
      <w:marTop w:val="0"/>
      <w:marBottom w:val="0"/>
      <w:divBdr>
        <w:top w:val="none" w:sz="0" w:space="0" w:color="auto"/>
        <w:left w:val="none" w:sz="0" w:space="0" w:color="auto"/>
        <w:bottom w:val="none" w:sz="0" w:space="0" w:color="auto"/>
        <w:right w:val="none" w:sz="0" w:space="0" w:color="auto"/>
      </w:divBdr>
    </w:div>
    <w:div w:id="1604262358">
      <w:bodyDiv w:val="1"/>
      <w:marLeft w:val="0"/>
      <w:marRight w:val="0"/>
      <w:marTop w:val="0"/>
      <w:marBottom w:val="0"/>
      <w:divBdr>
        <w:top w:val="none" w:sz="0" w:space="0" w:color="auto"/>
        <w:left w:val="none" w:sz="0" w:space="0" w:color="auto"/>
        <w:bottom w:val="none" w:sz="0" w:space="0" w:color="auto"/>
        <w:right w:val="none" w:sz="0" w:space="0" w:color="auto"/>
      </w:divBdr>
    </w:div>
    <w:div w:id="1634410312">
      <w:bodyDiv w:val="1"/>
      <w:marLeft w:val="0"/>
      <w:marRight w:val="0"/>
      <w:marTop w:val="0"/>
      <w:marBottom w:val="0"/>
      <w:divBdr>
        <w:top w:val="none" w:sz="0" w:space="0" w:color="auto"/>
        <w:left w:val="none" w:sz="0" w:space="0" w:color="auto"/>
        <w:bottom w:val="none" w:sz="0" w:space="0" w:color="auto"/>
        <w:right w:val="none" w:sz="0" w:space="0" w:color="auto"/>
      </w:divBdr>
      <w:divsChild>
        <w:div w:id="44764707">
          <w:marLeft w:val="0"/>
          <w:marRight w:val="0"/>
          <w:marTop w:val="0"/>
          <w:marBottom w:val="0"/>
          <w:divBdr>
            <w:top w:val="none" w:sz="0" w:space="0" w:color="auto"/>
            <w:left w:val="none" w:sz="0" w:space="0" w:color="auto"/>
            <w:bottom w:val="none" w:sz="0" w:space="0" w:color="auto"/>
            <w:right w:val="none" w:sz="0" w:space="0" w:color="auto"/>
          </w:divBdr>
        </w:div>
        <w:div w:id="1933010898">
          <w:marLeft w:val="0"/>
          <w:marRight w:val="0"/>
          <w:marTop w:val="0"/>
          <w:marBottom w:val="0"/>
          <w:divBdr>
            <w:top w:val="none" w:sz="0" w:space="0" w:color="auto"/>
            <w:left w:val="none" w:sz="0" w:space="0" w:color="auto"/>
            <w:bottom w:val="none" w:sz="0" w:space="0" w:color="auto"/>
            <w:right w:val="none" w:sz="0" w:space="0" w:color="auto"/>
          </w:divBdr>
        </w:div>
        <w:div w:id="161356897">
          <w:marLeft w:val="0"/>
          <w:marRight w:val="0"/>
          <w:marTop w:val="0"/>
          <w:marBottom w:val="0"/>
          <w:divBdr>
            <w:top w:val="none" w:sz="0" w:space="0" w:color="auto"/>
            <w:left w:val="none" w:sz="0" w:space="0" w:color="auto"/>
            <w:bottom w:val="none" w:sz="0" w:space="0" w:color="auto"/>
            <w:right w:val="none" w:sz="0" w:space="0" w:color="auto"/>
          </w:divBdr>
        </w:div>
        <w:div w:id="1020546311">
          <w:marLeft w:val="0"/>
          <w:marRight w:val="0"/>
          <w:marTop w:val="0"/>
          <w:marBottom w:val="0"/>
          <w:divBdr>
            <w:top w:val="none" w:sz="0" w:space="0" w:color="auto"/>
            <w:left w:val="none" w:sz="0" w:space="0" w:color="auto"/>
            <w:bottom w:val="none" w:sz="0" w:space="0" w:color="auto"/>
            <w:right w:val="none" w:sz="0" w:space="0" w:color="auto"/>
          </w:divBdr>
        </w:div>
        <w:div w:id="732509541">
          <w:marLeft w:val="0"/>
          <w:marRight w:val="0"/>
          <w:marTop w:val="0"/>
          <w:marBottom w:val="0"/>
          <w:divBdr>
            <w:top w:val="none" w:sz="0" w:space="0" w:color="auto"/>
            <w:left w:val="none" w:sz="0" w:space="0" w:color="auto"/>
            <w:bottom w:val="none" w:sz="0" w:space="0" w:color="auto"/>
            <w:right w:val="none" w:sz="0" w:space="0" w:color="auto"/>
          </w:divBdr>
        </w:div>
        <w:div w:id="24448622">
          <w:marLeft w:val="0"/>
          <w:marRight w:val="0"/>
          <w:marTop w:val="0"/>
          <w:marBottom w:val="0"/>
          <w:divBdr>
            <w:top w:val="none" w:sz="0" w:space="0" w:color="auto"/>
            <w:left w:val="none" w:sz="0" w:space="0" w:color="auto"/>
            <w:bottom w:val="none" w:sz="0" w:space="0" w:color="auto"/>
            <w:right w:val="none" w:sz="0" w:space="0" w:color="auto"/>
          </w:divBdr>
        </w:div>
        <w:div w:id="222256918">
          <w:marLeft w:val="0"/>
          <w:marRight w:val="0"/>
          <w:marTop w:val="0"/>
          <w:marBottom w:val="0"/>
          <w:divBdr>
            <w:top w:val="none" w:sz="0" w:space="0" w:color="auto"/>
            <w:left w:val="none" w:sz="0" w:space="0" w:color="auto"/>
            <w:bottom w:val="none" w:sz="0" w:space="0" w:color="auto"/>
            <w:right w:val="none" w:sz="0" w:space="0" w:color="auto"/>
          </w:divBdr>
        </w:div>
      </w:divsChild>
    </w:div>
    <w:div w:id="1683775583">
      <w:bodyDiv w:val="1"/>
      <w:marLeft w:val="0"/>
      <w:marRight w:val="0"/>
      <w:marTop w:val="0"/>
      <w:marBottom w:val="0"/>
      <w:divBdr>
        <w:top w:val="none" w:sz="0" w:space="0" w:color="auto"/>
        <w:left w:val="none" w:sz="0" w:space="0" w:color="auto"/>
        <w:bottom w:val="none" w:sz="0" w:space="0" w:color="auto"/>
        <w:right w:val="none" w:sz="0" w:space="0" w:color="auto"/>
      </w:divBdr>
    </w:div>
    <w:div w:id="1691907395">
      <w:bodyDiv w:val="1"/>
      <w:marLeft w:val="0"/>
      <w:marRight w:val="0"/>
      <w:marTop w:val="0"/>
      <w:marBottom w:val="0"/>
      <w:divBdr>
        <w:top w:val="none" w:sz="0" w:space="0" w:color="auto"/>
        <w:left w:val="none" w:sz="0" w:space="0" w:color="auto"/>
        <w:bottom w:val="none" w:sz="0" w:space="0" w:color="auto"/>
        <w:right w:val="none" w:sz="0" w:space="0" w:color="auto"/>
      </w:divBdr>
    </w:div>
    <w:div w:id="1752509115">
      <w:bodyDiv w:val="1"/>
      <w:marLeft w:val="0"/>
      <w:marRight w:val="0"/>
      <w:marTop w:val="0"/>
      <w:marBottom w:val="0"/>
      <w:divBdr>
        <w:top w:val="none" w:sz="0" w:space="0" w:color="auto"/>
        <w:left w:val="none" w:sz="0" w:space="0" w:color="auto"/>
        <w:bottom w:val="none" w:sz="0" w:space="0" w:color="auto"/>
        <w:right w:val="none" w:sz="0" w:space="0" w:color="auto"/>
      </w:divBdr>
    </w:div>
    <w:div w:id="1754155689">
      <w:bodyDiv w:val="1"/>
      <w:marLeft w:val="0"/>
      <w:marRight w:val="0"/>
      <w:marTop w:val="0"/>
      <w:marBottom w:val="0"/>
      <w:divBdr>
        <w:top w:val="none" w:sz="0" w:space="0" w:color="auto"/>
        <w:left w:val="none" w:sz="0" w:space="0" w:color="auto"/>
        <w:bottom w:val="none" w:sz="0" w:space="0" w:color="auto"/>
        <w:right w:val="none" w:sz="0" w:space="0" w:color="auto"/>
      </w:divBdr>
    </w:div>
    <w:div w:id="1819109594">
      <w:bodyDiv w:val="1"/>
      <w:marLeft w:val="0"/>
      <w:marRight w:val="0"/>
      <w:marTop w:val="0"/>
      <w:marBottom w:val="0"/>
      <w:divBdr>
        <w:top w:val="none" w:sz="0" w:space="0" w:color="auto"/>
        <w:left w:val="none" w:sz="0" w:space="0" w:color="auto"/>
        <w:bottom w:val="none" w:sz="0" w:space="0" w:color="auto"/>
        <w:right w:val="none" w:sz="0" w:space="0" w:color="auto"/>
      </w:divBdr>
    </w:div>
    <w:div w:id="1840342848">
      <w:bodyDiv w:val="1"/>
      <w:marLeft w:val="0"/>
      <w:marRight w:val="0"/>
      <w:marTop w:val="0"/>
      <w:marBottom w:val="0"/>
      <w:divBdr>
        <w:top w:val="none" w:sz="0" w:space="0" w:color="auto"/>
        <w:left w:val="none" w:sz="0" w:space="0" w:color="auto"/>
        <w:bottom w:val="none" w:sz="0" w:space="0" w:color="auto"/>
        <w:right w:val="none" w:sz="0" w:space="0" w:color="auto"/>
      </w:divBdr>
    </w:div>
    <w:div w:id="1939948211">
      <w:bodyDiv w:val="1"/>
      <w:marLeft w:val="0"/>
      <w:marRight w:val="0"/>
      <w:marTop w:val="0"/>
      <w:marBottom w:val="0"/>
      <w:divBdr>
        <w:top w:val="none" w:sz="0" w:space="0" w:color="auto"/>
        <w:left w:val="none" w:sz="0" w:space="0" w:color="auto"/>
        <w:bottom w:val="none" w:sz="0" w:space="0" w:color="auto"/>
        <w:right w:val="none" w:sz="0" w:space="0" w:color="auto"/>
      </w:divBdr>
    </w:div>
    <w:div w:id="1943995235">
      <w:bodyDiv w:val="1"/>
      <w:marLeft w:val="0"/>
      <w:marRight w:val="0"/>
      <w:marTop w:val="0"/>
      <w:marBottom w:val="0"/>
      <w:divBdr>
        <w:top w:val="none" w:sz="0" w:space="0" w:color="auto"/>
        <w:left w:val="none" w:sz="0" w:space="0" w:color="auto"/>
        <w:bottom w:val="none" w:sz="0" w:space="0" w:color="auto"/>
        <w:right w:val="none" w:sz="0" w:space="0" w:color="auto"/>
      </w:divBdr>
    </w:div>
    <w:div w:id="2090688085">
      <w:bodyDiv w:val="1"/>
      <w:marLeft w:val="0"/>
      <w:marRight w:val="0"/>
      <w:marTop w:val="0"/>
      <w:marBottom w:val="0"/>
      <w:divBdr>
        <w:top w:val="none" w:sz="0" w:space="0" w:color="auto"/>
        <w:left w:val="none" w:sz="0" w:space="0" w:color="auto"/>
        <w:bottom w:val="none" w:sz="0" w:space="0" w:color="auto"/>
        <w:right w:val="none" w:sz="0" w:space="0" w:color="auto"/>
      </w:divBdr>
      <w:divsChild>
        <w:div w:id="1767379168">
          <w:marLeft w:val="0"/>
          <w:marRight w:val="0"/>
          <w:marTop w:val="300"/>
          <w:marBottom w:val="525"/>
          <w:divBdr>
            <w:top w:val="single" w:sz="6" w:space="9" w:color="CCCCCC"/>
            <w:left w:val="none" w:sz="0" w:space="0" w:color="auto"/>
            <w:bottom w:val="single" w:sz="6" w:space="9" w:color="CCCCCC"/>
            <w:right w:val="none" w:sz="0" w:space="0" w:color="auto"/>
          </w:divBdr>
        </w:div>
      </w:divsChild>
    </w:div>
    <w:div w:id="2139952694">
      <w:bodyDiv w:val="1"/>
      <w:marLeft w:val="0"/>
      <w:marRight w:val="0"/>
      <w:marTop w:val="0"/>
      <w:marBottom w:val="0"/>
      <w:divBdr>
        <w:top w:val="none" w:sz="0" w:space="0" w:color="auto"/>
        <w:left w:val="none" w:sz="0" w:space="0" w:color="auto"/>
        <w:bottom w:val="none" w:sz="0" w:space="0" w:color="auto"/>
        <w:right w:val="none" w:sz="0" w:space="0" w:color="auto"/>
      </w:divBdr>
    </w:div>
    <w:div w:id="21453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nti.com.au/files/files/NTARC/2015_Major_Accident_Investigation_LR.pdf" TargetMode="External"/><Relationship Id="rId2" Type="http://schemas.openxmlformats.org/officeDocument/2006/relationships/hyperlink" Target="https://www.liberal.org.au/coalitions-policy-protect-jobs-and-growth-trucking-industry" TargetMode="External"/><Relationship Id="rId1" Type="http://schemas.openxmlformats.org/officeDocument/2006/relationships/hyperlink" Target="http://roadsafety.gov.au/nrss/directions.aspx" TargetMode="External"/><Relationship Id="rId5" Type="http://schemas.openxmlformats.org/officeDocument/2006/relationships/hyperlink" Target="https://docs.employment.gov.au/node/37536" TargetMode="External"/><Relationship Id="rId4" Type="http://schemas.openxmlformats.org/officeDocument/2006/relationships/hyperlink" Target="http://www.asbfeo.gov.au/sites/default/files/documents/RSRT%20Payments%20Order%20Inquiry%20Report%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2017FG-94-5628</_dlc_DocId>
    <TaxCatchAll xmlns="e544e5cc-ab70-42e1-849e-1a0f8bb1f4ef">
      <Value>2</Value>
    </TaxCatchAll>
    <_dlc_DocIdUrl xmlns="e544e5cc-ab70-42e1-849e-1a0f8bb1f4ef">
      <Url>http://tweb/sites/fg/bpd/_layouts/15/DocIdRedir.aspx?ID=2017FG-94-5628</Url>
      <Description>2017FG-94-5628</Description>
    </_dlc_DocIdUrl>
    <IconOverlay xmlns="http://schemas.microsoft.com/sharepoint/v4" xsi:nil="true"/>
    <Pressure_x002f_Measure xmlns="43a7eba2-7c75-424c-9682-3d9e41d868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F27D-E505-4FB5-9EA4-CF8C00323276}">
  <ds:schemaRefs>
    <ds:schemaRef ds:uri="office.server.policy"/>
  </ds:schemaRefs>
</ds:datastoreItem>
</file>

<file path=customXml/itemProps2.xml><?xml version="1.0" encoding="utf-8"?>
<ds:datastoreItem xmlns:ds="http://schemas.openxmlformats.org/officeDocument/2006/customXml" ds:itemID="{9F7175BF-ECBE-4387-8207-F090897E7D81}">
  <ds:schemaRefs>
    <ds:schemaRef ds:uri="http://schemas.microsoft.com/sharepoint/events"/>
  </ds:schemaRefs>
</ds:datastoreItem>
</file>

<file path=customXml/itemProps3.xml><?xml version="1.0" encoding="utf-8"?>
<ds:datastoreItem xmlns:ds="http://schemas.openxmlformats.org/officeDocument/2006/customXml" ds:itemID="{CAD25678-45E8-4790-A0BF-F11587E52FE4}">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4.xml><?xml version="1.0" encoding="utf-8"?>
<ds:datastoreItem xmlns:ds="http://schemas.openxmlformats.org/officeDocument/2006/customXml" ds:itemID="{F8652A73-648A-42FE-9DB0-6171CB129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138DE6-4898-4B16-8D88-0206D1753C0A}">
  <ds:schemaRefs>
    <ds:schemaRef ds:uri="http://schemas.microsoft.com/sharepoint/v3/contenttype/forms"/>
  </ds:schemaRefs>
</ds:datastoreItem>
</file>

<file path=customXml/itemProps6.xml><?xml version="1.0" encoding="utf-8"?>
<ds:datastoreItem xmlns:ds="http://schemas.openxmlformats.org/officeDocument/2006/customXml" ds:itemID="{09627C13-AC37-499E-8C3E-6421D55A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2463</Words>
  <Characters>13555</Characters>
  <Application>Microsoft Office Word</Application>
  <DocSecurity>0</DocSecurity>
  <Lines>316</Lines>
  <Paragraphs>106</Paragraphs>
  <ScaleCrop>false</ScaleCrop>
  <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Trucking Association - 2017-18 Pre-Budget Submission</dc:title>
  <dc:subject/>
  <dc:creator/>
  <cp:keywords/>
  <dc:description/>
  <cp:lastModifiedBy/>
  <cp:revision>1</cp:revision>
  <dcterms:created xsi:type="dcterms:W3CDTF">2017-02-14T04:01:00Z</dcterms:created>
  <dcterms:modified xsi:type="dcterms:W3CDTF">2017-02-14T04:01:00Z</dcterms:modified>
  <cp:contentStatus/>
  <dc:language>English</dc:language>
</cp:coreProperties>
</file>