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AE471" w14:textId="77777777" w:rsidR="00FC7A75" w:rsidRPr="008D38C7" w:rsidRDefault="00FC7A75" w:rsidP="00967DE7">
      <w:pPr>
        <w:jc w:val="center"/>
        <w:rPr>
          <w:rFonts w:asciiTheme="minorHAnsi" w:hAnsiTheme="minorHAnsi" w:cstheme="minorHAnsi"/>
          <w:b/>
          <w:sz w:val="32"/>
          <w:szCs w:val="32"/>
        </w:rPr>
      </w:pPr>
      <w:bookmarkStart w:id="0" w:name="_GoBack"/>
      <w:bookmarkEnd w:id="0"/>
    </w:p>
    <w:p w14:paraId="5E279700" w14:textId="0F9262FF" w:rsidR="00967DE7" w:rsidRPr="008D38C7" w:rsidRDefault="0049080D" w:rsidP="0049080D">
      <w:pPr>
        <w:tabs>
          <w:tab w:val="left" w:pos="270"/>
          <w:tab w:val="center" w:pos="4513"/>
        </w:tabs>
        <w:rPr>
          <w:rFonts w:asciiTheme="minorHAnsi" w:hAnsiTheme="minorHAnsi" w:cstheme="minorHAnsi"/>
          <w:b/>
          <w:color w:val="000099"/>
          <w:sz w:val="40"/>
          <w:szCs w:val="32"/>
        </w:rPr>
      </w:pPr>
      <w:r w:rsidRPr="008D38C7">
        <w:rPr>
          <w:rFonts w:asciiTheme="minorHAnsi" w:hAnsiTheme="minorHAnsi" w:cstheme="minorHAnsi"/>
          <w:b/>
          <w:sz w:val="40"/>
          <w:szCs w:val="32"/>
        </w:rPr>
        <w:tab/>
      </w:r>
      <w:r w:rsidRPr="008D38C7">
        <w:rPr>
          <w:rFonts w:asciiTheme="minorHAnsi" w:hAnsiTheme="minorHAnsi" w:cstheme="minorHAnsi"/>
          <w:b/>
          <w:sz w:val="40"/>
          <w:szCs w:val="32"/>
        </w:rPr>
        <w:tab/>
      </w:r>
      <w:r w:rsidR="00E363DB" w:rsidRPr="008D38C7">
        <w:rPr>
          <w:rFonts w:asciiTheme="minorHAnsi" w:hAnsiTheme="minorHAnsi" w:cstheme="minorHAnsi"/>
          <w:b/>
          <w:color w:val="000099"/>
          <w:sz w:val="40"/>
          <w:szCs w:val="32"/>
        </w:rPr>
        <w:t>Australian Self</w:t>
      </w:r>
      <w:r w:rsidR="00B16E96" w:rsidRPr="008D38C7">
        <w:rPr>
          <w:rFonts w:asciiTheme="minorHAnsi" w:hAnsiTheme="minorHAnsi" w:cstheme="minorHAnsi"/>
          <w:b/>
          <w:color w:val="000099"/>
          <w:sz w:val="40"/>
          <w:szCs w:val="32"/>
        </w:rPr>
        <w:t xml:space="preserve"> </w:t>
      </w:r>
      <w:r w:rsidR="00E363DB" w:rsidRPr="008D38C7">
        <w:rPr>
          <w:rFonts w:asciiTheme="minorHAnsi" w:hAnsiTheme="minorHAnsi" w:cstheme="minorHAnsi"/>
          <w:b/>
          <w:color w:val="000099"/>
          <w:sz w:val="40"/>
          <w:szCs w:val="32"/>
        </w:rPr>
        <w:t xml:space="preserve">Medication Industry </w:t>
      </w:r>
    </w:p>
    <w:p w14:paraId="1456C906" w14:textId="26A179A4" w:rsidR="00AF28FB" w:rsidRPr="008D38C7" w:rsidRDefault="00E363DB" w:rsidP="00C10BD5">
      <w:pPr>
        <w:spacing w:after="360"/>
        <w:jc w:val="center"/>
        <w:rPr>
          <w:rFonts w:asciiTheme="minorHAnsi" w:hAnsiTheme="minorHAnsi" w:cstheme="minorHAnsi"/>
          <w:b/>
          <w:color w:val="0000FF"/>
          <w:sz w:val="32"/>
          <w:szCs w:val="32"/>
        </w:rPr>
      </w:pPr>
      <w:r w:rsidRPr="008D38C7">
        <w:rPr>
          <w:rFonts w:asciiTheme="minorHAnsi" w:hAnsiTheme="minorHAnsi" w:cstheme="minorHAnsi"/>
          <w:b/>
          <w:color w:val="000099"/>
          <w:sz w:val="32"/>
          <w:szCs w:val="32"/>
        </w:rPr>
        <w:t>201</w:t>
      </w:r>
      <w:r w:rsidR="00AF28FB" w:rsidRPr="008D38C7">
        <w:rPr>
          <w:rFonts w:asciiTheme="minorHAnsi" w:hAnsiTheme="minorHAnsi" w:cstheme="minorHAnsi"/>
          <w:b/>
          <w:color w:val="000099"/>
          <w:sz w:val="32"/>
          <w:szCs w:val="32"/>
        </w:rPr>
        <w:t>7</w:t>
      </w:r>
      <w:r w:rsidRPr="008D38C7">
        <w:rPr>
          <w:rFonts w:asciiTheme="minorHAnsi" w:hAnsiTheme="minorHAnsi" w:cstheme="minorHAnsi"/>
          <w:b/>
          <w:color w:val="000099"/>
          <w:sz w:val="32"/>
          <w:szCs w:val="32"/>
        </w:rPr>
        <w:t xml:space="preserve"> Pre-Budget Submission</w:t>
      </w:r>
    </w:p>
    <w:p w14:paraId="2D6F0F83" w14:textId="537B33A6" w:rsidR="00365183" w:rsidRPr="008D38C7" w:rsidRDefault="00AF28FB" w:rsidP="006A644B">
      <w:pPr>
        <w:spacing w:after="280"/>
        <w:jc w:val="center"/>
        <w:rPr>
          <w:rFonts w:asciiTheme="minorHAnsi" w:hAnsiTheme="minorHAnsi" w:cstheme="minorHAnsi"/>
          <w:b/>
          <w:sz w:val="32"/>
          <w:szCs w:val="32"/>
        </w:rPr>
      </w:pPr>
      <w:r w:rsidRPr="008D38C7">
        <w:rPr>
          <w:rFonts w:asciiTheme="minorHAnsi" w:hAnsiTheme="minorHAnsi" w:cstheme="minorHAnsi"/>
          <w:b/>
          <w:sz w:val="32"/>
          <w:szCs w:val="32"/>
        </w:rPr>
        <w:t>EXECUTIVE SUMMARY</w:t>
      </w:r>
    </w:p>
    <w:p w14:paraId="29AE8603" w14:textId="4910654B" w:rsidR="00C10BD5" w:rsidRPr="008D38C7" w:rsidRDefault="00AF28FB" w:rsidP="000C7777">
      <w:pPr>
        <w:autoSpaceDE w:val="0"/>
        <w:autoSpaceDN w:val="0"/>
        <w:adjustRightInd w:val="0"/>
        <w:spacing w:after="120"/>
        <w:rPr>
          <w:rFonts w:asciiTheme="minorHAnsi" w:hAnsiTheme="minorHAnsi" w:cstheme="minorHAnsi"/>
        </w:rPr>
      </w:pPr>
      <w:r w:rsidRPr="008D38C7">
        <w:rPr>
          <w:rFonts w:asciiTheme="minorHAnsi" w:hAnsiTheme="minorHAnsi" w:cstheme="minorHAnsi"/>
        </w:rPr>
        <w:t xml:space="preserve">The </w:t>
      </w:r>
      <w:hyperlink r:id="rId14" w:history="1">
        <w:r w:rsidRPr="008D38C7">
          <w:rPr>
            <w:rStyle w:val="Hyperlink"/>
            <w:rFonts w:asciiTheme="minorHAnsi" w:hAnsiTheme="minorHAnsi" w:cstheme="minorHAnsi"/>
          </w:rPr>
          <w:t>Australian Self Medication Industry</w:t>
        </w:r>
      </w:hyperlink>
      <w:r w:rsidRPr="008D38C7">
        <w:rPr>
          <w:rFonts w:asciiTheme="minorHAnsi" w:hAnsiTheme="minorHAnsi" w:cstheme="minorHAnsi"/>
        </w:rPr>
        <w:t xml:space="preserve"> (ASMI) is the peak body representing sponsor</w:t>
      </w:r>
      <w:r w:rsidR="00D77B29" w:rsidRPr="008D38C7">
        <w:rPr>
          <w:rFonts w:asciiTheme="minorHAnsi" w:hAnsiTheme="minorHAnsi" w:cstheme="minorHAnsi"/>
        </w:rPr>
        <w:t>s of non-prescription medicines, including o</w:t>
      </w:r>
      <w:r w:rsidRPr="008D38C7">
        <w:rPr>
          <w:rFonts w:asciiTheme="minorHAnsi" w:hAnsiTheme="minorHAnsi" w:cstheme="minorHAnsi"/>
        </w:rPr>
        <w:t>ver-the-counter (OTC) and complementary medicines</w:t>
      </w:r>
      <w:r w:rsidR="00362974" w:rsidRPr="008D38C7">
        <w:rPr>
          <w:rFonts w:asciiTheme="minorHAnsi" w:hAnsiTheme="minorHAnsi" w:cstheme="minorHAnsi"/>
        </w:rPr>
        <w:t xml:space="preserve">, an industry valued at more than $4 billion in Australia and delivering $1.2 billion in export revenue. </w:t>
      </w:r>
    </w:p>
    <w:p w14:paraId="1F28BB7E" w14:textId="44D0C832" w:rsidR="00B01AFA" w:rsidRPr="008D38C7" w:rsidRDefault="00F53803" w:rsidP="000C7777">
      <w:pPr>
        <w:spacing w:after="240"/>
        <w:rPr>
          <w:rFonts w:asciiTheme="minorHAnsi" w:hAnsiTheme="minorHAnsi" w:cstheme="minorHAnsi"/>
        </w:rPr>
      </w:pPr>
      <w:r w:rsidRPr="008D38C7">
        <w:rPr>
          <w:rFonts w:asciiTheme="minorHAnsi" w:hAnsiTheme="minorHAnsi" w:cstheme="minorHAnsi"/>
        </w:rPr>
        <w:t xml:space="preserve">ASMI </w:t>
      </w:r>
      <w:r w:rsidR="000906AB" w:rsidRPr="008D38C7">
        <w:rPr>
          <w:rFonts w:asciiTheme="minorHAnsi" w:hAnsiTheme="minorHAnsi" w:cstheme="minorHAnsi"/>
        </w:rPr>
        <w:t xml:space="preserve">believes that the adoption of the recommendations </w:t>
      </w:r>
      <w:r w:rsidR="00D73CFC" w:rsidRPr="008D38C7">
        <w:rPr>
          <w:rFonts w:asciiTheme="minorHAnsi" w:hAnsiTheme="minorHAnsi" w:cstheme="minorHAnsi"/>
        </w:rPr>
        <w:t xml:space="preserve">below </w:t>
      </w:r>
      <w:r w:rsidR="000906AB" w:rsidRPr="008D38C7">
        <w:rPr>
          <w:rFonts w:asciiTheme="minorHAnsi" w:hAnsiTheme="minorHAnsi" w:cstheme="minorHAnsi"/>
        </w:rPr>
        <w:t xml:space="preserve">will not only deliver savings to the health portfolio, they also have potential to incentivise investment in R&amp;D and manufacturing facilities, increase employment and exports, and </w:t>
      </w:r>
      <w:r w:rsidR="0071545D" w:rsidRPr="008D38C7">
        <w:rPr>
          <w:rFonts w:asciiTheme="minorHAnsi" w:hAnsiTheme="minorHAnsi" w:cstheme="minorHAnsi"/>
        </w:rPr>
        <w:t xml:space="preserve">provide significant benefits for consumers and healthcare professionals. </w:t>
      </w:r>
      <w:r w:rsidR="00B01AFA">
        <w:rPr>
          <w:rFonts w:asciiTheme="minorHAnsi" w:hAnsiTheme="minorHAnsi" w:cstheme="minorHAnsi"/>
        </w:rPr>
        <w:t xml:space="preserve">The </w:t>
      </w:r>
      <w:r w:rsidR="00CD682F">
        <w:rPr>
          <w:rFonts w:asciiTheme="minorHAnsi" w:hAnsiTheme="minorHAnsi" w:cstheme="minorHAnsi"/>
        </w:rPr>
        <w:t>Federal G</w:t>
      </w:r>
      <w:r w:rsidR="00B01AFA">
        <w:rPr>
          <w:rFonts w:asciiTheme="minorHAnsi" w:hAnsiTheme="minorHAnsi" w:cstheme="minorHAnsi"/>
        </w:rPr>
        <w:t>overnment’s current ongoing Medicines and Medical Devices Review provides great opportunity for any legislative changes to be made.</w:t>
      </w:r>
    </w:p>
    <w:p w14:paraId="44D28E4C" w14:textId="796F7C77" w:rsidR="006D233C" w:rsidRPr="008D38C7" w:rsidRDefault="006D233C" w:rsidP="00AF397A">
      <w:pPr>
        <w:spacing w:before="120" w:after="160"/>
        <w:rPr>
          <w:rFonts w:asciiTheme="minorHAnsi" w:hAnsiTheme="minorHAnsi" w:cstheme="minorHAnsi"/>
          <w:b/>
          <w:sz w:val="28"/>
          <w:u w:val="single"/>
        </w:rPr>
      </w:pPr>
      <w:r w:rsidRPr="008D38C7">
        <w:rPr>
          <w:rFonts w:asciiTheme="minorHAnsi" w:hAnsiTheme="minorHAnsi" w:cstheme="minorHAnsi"/>
          <w:b/>
          <w:sz w:val="28"/>
          <w:u w:val="single"/>
        </w:rPr>
        <w:t>KEY RECOMMENDATIONS</w:t>
      </w:r>
    </w:p>
    <w:p w14:paraId="6E0A84F4" w14:textId="5101CF38" w:rsidR="00F8274E" w:rsidRPr="000C7777" w:rsidRDefault="008F3054" w:rsidP="00185D7C">
      <w:pPr>
        <w:pStyle w:val="ListParagraph"/>
        <w:numPr>
          <w:ilvl w:val="0"/>
          <w:numId w:val="17"/>
        </w:numPr>
        <w:spacing w:after="160"/>
        <w:ind w:left="426"/>
        <w:rPr>
          <w:rFonts w:asciiTheme="minorHAnsi" w:hAnsiTheme="minorHAnsi" w:cstheme="minorHAnsi"/>
          <w:sz w:val="22"/>
          <w:szCs w:val="22"/>
        </w:rPr>
      </w:pPr>
      <w:r w:rsidRPr="008D38C7">
        <w:rPr>
          <w:rFonts w:asciiTheme="minorHAnsi" w:hAnsiTheme="minorHAnsi" w:cstheme="minorHAnsi"/>
          <w:b/>
          <w:lang w:val="en-AU"/>
        </w:rPr>
        <w:t xml:space="preserve">Develop a Schedule 4 to Schedule 3 ‘switch’ agenda and </w:t>
      </w:r>
      <w:r w:rsidR="00232E16">
        <w:rPr>
          <w:rFonts w:asciiTheme="minorHAnsi" w:hAnsiTheme="minorHAnsi" w:cstheme="minorHAnsi"/>
          <w:b/>
          <w:lang w:val="en-AU"/>
        </w:rPr>
        <w:t xml:space="preserve">reform </w:t>
      </w:r>
      <w:r w:rsidRPr="008D38C7">
        <w:rPr>
          <w:rFonts w:asciiTheme="minorHAnsi" w:hAnsiTheme="minorHAnsi" w:cstheme="minorHAnsi"/>
          <w:b/>
          <w:lang w:val="en-AU"/>
        </w:rPr>
        <w:t>the Australian scheduling policy framework (SPF)</w:t>
      </w:r>
      <w:r w:rsidR="00185D7C">
        <w:rPr>
          <w:rFonts w:asciiTheme="minorHAnsi" w:hAnsiTheme="minorHAnsi" w:cstheme="minorHAnsi"/>
          <w:b/>
          <w:lang w:val="en-AU"/>
        </w:rPr>
        <w:br/>
      </w:r>
      <w:r w:rsidR="00185D7C" w:rsidRPr="008A3E2D">
        <w:rPr>
          <w:rFonts w:asciiTheme="minorHAnsi" w:hAnsiTheme="minorHAnsi" w:cstheme="minorHAnsi"/>
          <w:sz w:val="22"/>
          <w:szCs w:val="22"/>
        </w:rPr>
        <w:t>The down-scheduling (‘switch’) of medicines from prescription</w:t>
      </w:r>
      <w:r w:rsidR="00B01AFA">
        <w:rPr>
          <w:rFonts w:asciiTheme="minorHAnsi" w:hAnsiTheme="minorHAnsi" w:cstheme="minorHAnsi"/>
          <w:sz w:val="22"/>
          <w:szCs w:val="22"/>
        </w:rPr>
        <w:t xml:space="preserve"> (S4)</w:t>
      </w:r>
      <w:r w:rsidR="00185D7C" w:rsidRPr="008A3E2D">
        <w:rPr>
          <w:rFonts w:asciiTheme="minorHAnsi" w:hAnsiTheme="minorHAnsi" w:cstheme="minorHAnsi"/>
          <w:sz w:val="22"/>
          <w:szCs w:val="22"/>
        </w:rPr>
        <w:t xml:space="preserve"> to OTC</w:t>
      </w:r>
      <w:r w:rsidR="00B01AFA">
        <w:rPr>
          <w:rFonts w:asciiTheme="minorHAnsi" w:hAnsiTheme="minorHAnsi" w:cstheme="minorHAnsi"/>
          <w:sz w:val="22"/>
          <w:szCs w:val="22"/>
        </w:rPr>
        <w:t xml:space="preserve"> (S3)</w:t>
      </w:r>
      <w:r w:rsidR="00185D7C" w:rsidRPr="008A3E2D">
        <w:rPr>
          <w:rFonts w:asciiTheme="minorHAnsi" w:hAnsiTheme="minorHAnsi" w:cstheme="minorHAnsi"/>
          <w:sz w:val="22"/>
          <w:szCs w:val="22"/>
        </w:rPr>
        <w:t xml:space="preserve"> is </w:t>
      </w:r>
      <w:r w:rsidR="00185D7C">
        <w:rPr>
          <w:rFonts w:asciiTheme="minorHAnsi" w:hAnsiTheme="minorHAnsi" w:cstheme="minorHAnsi"/>
          <w:sz w:val="22"/>
          <w:szCs w:val="22"/>
        </w:rPr>
        <w:t xml:space="preserve">a key enabler </w:t>
      </w:r>
      <w:r w:rsidR="00185D7C" w:rsidRPr="008A3E2D">
        <w:rPr>
          <w:rFonts w:asciiTheme="minorHAnsi" w:hAnsiTheme="minorHAnsi" w:cstheme="minorHAnsi"/>
          <w:sz w:val="22"/>
          <w:szCs w:val="22"/>
        </w:rPr>
        <w:t xml:space="preserve">for consumers to </w:t>
      </w:r>
      <w:r w:rsidR="00185D7C">
        <w:rPr>
          <w:rFonts w:asciiTheme="minorHAnsi" w:hAnsiTheme="minorHAnsi" w:cstheme="minorHAnsi"/>
          <w:sz w:val="22"/>
          <w:szCs w:val="22"/>
        </w:rPr>
        <w:t xml:space="preserve">better self manage their health, in consultation with </w:t>
      </w:r>
      <w:r w:rsidR="00B01AFA">
        <w:rPr>
          <w:rFonts w:asciiTheme="minorHAnsi" w:hAnsiTheme="minorHAnsi" w:cstheme="minorHAnsi"/>
          <w:sz w:val="22"/>
          <w:szCs w:val="22"/>
        </w:rPr>
        <w:t>a pharmacist</w:t>
      </w:r>
      <w:r w:rsidR="00185D7C" w:rsidRPr="008A3E2D">
        <w:rPr>
          <w:rFonts w:asciiTheme="minorHAnsi" w:hAnsiTheme="minorHAnsi" w:cstheme="minorHAnsi"/>
          <w:sz w:val="22"/>
          <w:szCs w:val="22"/>
        </w:rPr>
        <w:t xml:space="preserve">. A regulatory environment favourable to switch </w:t>
      </w:r>
      <w:r w:rsidR="00185D7C">
        <w:rPr>
          <w:rFonts w:asciiTheme="minorHAnsi" w:hAnsiTheme="minorHAnsi" w:cstheme="minorHAnsi"/>
          <w:sz w:val="22"/>
          <w:szCs w:val="22"/>
        </w:rPr>
        <w:t xml:space="preserve">would </w:t>
      </w:r>
      <w:r w:rsidR="00185D7C" w:rsidRPr="008A3E2D">
        <w:rPr>
          <w:rFonts w:asciiTheme="minorHAnsi" w:hAnsiTheme="minorHAnsi" w:cstheme="minorHAnsi"/>
          <w:sz w:val="22"/>
          <w:szCs w:val="22"/>
        </w:rPr>
        <w:t xml:space="preserve">encourage </w:t>
      </w:r>
      <w:r w:rsidR="00185D7C">
        <w:rPr>
          <w:rFonts w:asciiTheme="minorHAnsi" w:hAnsiTheme="minorHAnsi" w:cstheme="minorHAnsi"/>
          <w:sz w:val="22"/>
          <w:szCs w:val="22"/>
        </w:rPr>
        <w:t>innovation in OTC medicines and</w:t>
      </w:r>
      <w:r w:rsidR="00185D7C" w:rsidRPr="008A3E2D">
        <w:rPr>
          <w:rFonts w:asciiTheme="minorHAnsi" w:hAnsiTheme="minorHAnsi" w:cstheme="minorHAnsi"/>
          <w:sz w:val="22"/>
          <w:szCs w:val="22"/>
        </w:rPr>
        <w:t xml:space="preserve"> also provide significant savings to the healthcare system</w:t>
      </w:r>
      <w:r w:rsidR="00185D7C" w:rsidRPr="00054C8B">
        <w:rPr>
          <w:rFonts w:asciiTheme="minorHAnsi" w:hAnsiTheme="minorHAnsi" w:cstheme="minorHAnsi"/>
          <w:sz w:val="22"/>
          <w:szCs w:val="22"/>
        </w:rPr>
        <w:t>.</w:t>
      </w:r>
    </w:p>
    <w:p w14:paraId="66006C67" w14:textId="78CC4069" w:rsidR="000C165F" w:rsidRPr="008D38C7" w:rsidRDefault="00C60AF0" w:rsidP="00C10BD5">
      <w:pPr>
        <w:pStyle w:val="ListParagraph"/>
        <w:numPr>
          <w:ilvl w:val="0"/>
          <w:numId w:val="17"/>
        </w:numPr>
        <w:spacing w:after="160"/>
        <w:ind w:left="426"/>
        <w:rPr>
          <w:rFonts w:asciiTheme="minorHAnsi" w:hAnsiTheme="minorHAnsi" w:cstheme="minorHAnsi"/>
          <w:b/>
          <w:lang w:val="en-AU"/>
        </w:rPr>
      </w:pPr>
      <w:r w:rsidRPr="008D38C7">
        <w:rPr>
          <w:rFonts w:asciiTheme="minorHAnsi" w:hAnsiTheme="minorHAnsi" w:cstheme="minorHAnsi"/>
          <w:b/>
          <w:lang w:val="en-AU"/>
        </w:rPr>
        <w:t>Re</w:t>
      </w:r>
      <w:r w:rsidR="00006E6C" w:rsidRPr="008D38C7">
        <w:rPr>
          <w:rFonts w:asciiTheme="minorHAnsi" w:hAnsiTheme="minorHAnsi" w:cstheme="minorHAnsi"/>
          <w:b/>
          <w:lang w:val="en-AU"/>
        </w:rPr>
        <w:t xml:space="preserve">duce </w:t>
      </w:r>
      <w:r w:rsidRPr="008D38C7">
        <w:rPr>
          <w:rFonts w:asciiTheme="minorHAnsi" w:hAnsiTheme="minorHAnsi" w:cstheme="minorHAnsi"/>
          <w:b/>
          <w:lang w:val="en-AU"/>
        </w:rPr>
        <w:t xml:space="preserve">restrictions </w:t>
      </w:r>
      <w:r w:rsidR="00A77521">
        <w:rPr>
          <w:rFonts w:asciiTheme="minorHAnsi" w:hAnsiTheme="minorHAnsi" w:cstheme="minorHAnsi"/>
          <w:b/>
          <w:lang w:val="en-AU"/>
        </w:rPr>
        <w:t>on direct-to-consumer</w:t>
      </w:r>
      <w:r w:rsidR="00A77521" w:rsidRPr="008D38C7">
        <w:rPr>
          <w:rFonts w:asciiTheme="minorHAnsi" w:hAnsiTheme="minorHAnsi" w:cstheme="minorHAnsi"/>
          <w:b/>
          <w:lang w:val="en-AU"/>
        </w:rPr>
        <w:t xml:space="preserve"> </w:t>
      </w:r>
      <w:r w:rsidR="00A77521">
        <w:rPr>
          <w:rFonts w:asciiTheme="minorHAnsi" w:hAnsiTheme="minorHAnsi" w:cstheme="minorHAnsi"/>
          <w:b/>
          <w:lang w:val="en-AU"/>
        </w:rPr>
        <w:t>communications for</w:t>
      </w:r>
      <w:r w:rsidRPr="008D38C7">
        <w:rPr>
          <w:rFonts w:asciiTheme="minorHAnsi" w:hAnsiTheme="minorHAnsi" w:cstheme="minorHAnsi"/>
          <w:b/>
          <w:lang w:val="en-AU"/>
        </w:rPr>
        <w:t xml:space="preserve"> Pharmacist Only (S3) medicines</w:t>
      </w:r>
      <w:r w:rsidR="00006E6C" w:rsidRPr="008D38C7">
        <w:rPr>
          <w:rFonts w:asciiTheme="minorHAnsi" w:hAnsiTheme="minorHAnsi" w:cstheme="minorHAnsi"/>
          <w:b/>
          <w:lang w:val="en-AU"/>
        </w:rPr>
        <w:br/>
      </w:r>
      <w:r w:rsidR="00006E6C" w:rsidRPr="008D38C7">
        <w:rPr>
          <w:rFonts w:asciiTheme="minorHAnsi" w:hAnsiTheme="minorHAnsi" w:cstheme="minorHAnsi"/>
          <w:spacing w:val="-1"/>
          <w:sz w:val="22"/>
          <w:szCs w:val="22"/>
          <w:lang w:val="en-AU"/>
        </w:rPr>
        <w:t>ASMI recommends that the</w:t>
      </w:r>
      <w:r w:rsidR="004012AE" w:rsidRPr="008D38C7">
        <w:rPr>
          <w:rFonts w:asciiTheme="minorHAnsi" w:hAnsiTheme="minorHAnsi" w:cstheme="minorHAnsi"/>
          <w:spacing w:val="-1"/>
          <w:sz w:val="22"/>
          <w:szCs w:val="22"/>
          <w:lang w:val="en-AU"/>
        </w:rPr>
        <w:t xml:space="preserve"> default regulatory position </w:t>
      </w:r>
      <w:r w:rsidR="00232E16">
        <w:rPr>
          <w:rFonts w:asciiTheme="minorHAnsi" w:hAnsiTheme="minorHAnsi" w:cstheme="minorHAnsi"/>
          <w:spacing w:val="-1"/>
          <w:sz w:val="22"/>
          <w:szCs w:val="22"/>
          <w:lang w:val="en-AU"/>
        </w:rPr>
        <w:t>be modified to become one where</w:t>
      </w:r>
      <w:r w:rsidR="004012AE" w:rsidRPr="008D38C7">
        <w:rPr>
          <w:rFonts w:asciiTheme="minorHAnsi" w:hAnsiTheme="minorHAnsi" w:cstheme="minorHAnsi"/>
          <w:spacing w:val="-1"/>
          <w:sz w:val="22"/>
          <w:szCs w:val="22"/>
          <w:lang w:val="en-AU"/>
        </w:rPr>
        <w:t xml:space="preserve"> </w:t>
      </w:r>
      <w:r w:rsidR="004012AE" w:rsidRPr="008D38C7">
        <w:rPr>
          <w:rFonts w:asciiTheme="minorHAnsi" w:hAnsiTheme="minorHAnsi" w:cstheme="minorHAnsi"/>
          <w:sz w:val="22"/>
          <w:szCs w:val="22"/>
          <w:lang w:val="en-AU"/>
        </w:rPr>
        <w:t>direct-to-consumer communications about all Schedule 3 medicines is permitted</w:t>
      </w:r>
      <w:r w:rsidR="008D38C7">
        <w:rPr>
          <w:rFonts w:asciiTheme="minorHAnsi" w:hAnsiTheme="minorHAnsi" w:cstheme="minorHAnsi"/>
          <w:sz w:val="22"/>
          <w:szCs w:val="22"/>
          <w:lang w:val="en-AU"/>
        </w:rPr>
        <w:t xml:space="preserve"> in a standardis</w:t>
      </w:r>
      <w:r w:rsidR="004012AE" w:rsidRPr="008D38C7">
        <w:rPr>
          <w:rFonts w:asciiTheme="minorHAnsi" w:hAnsiTheme="minorHAnsi" w:cstheme="minorHAnsi"/>
          <w:sz w:val="22"/>
          <w:szCs w:val="22"/>
          <w:lang w:val="en-AU"/>
        </w:rPr>
        <w:t xml:space="preserve">ed format </w:t>
      </w:r>
      <w:r w:rsidR="00006E6C" w:rsidRPr="000C7777">
        <w:rPr>
          <w:rFonts w:asciiTheme="minorHAnsi" w:hAnsiTheme="minorHAnsi" w:cstheme="minorHAnsi"/>
          <w:b/>
          <w:i/>
          <w:spacing w:val="-1"/>
          <w:sz w:val="22"/>
          <w:szCs w:val="22"/>
          <w:lang w:val="en-AU"/>
        </w:rPr>
        <w:t>unless</w:t>
      </w:r>
      <w:r w:rsidR="00006E6C" w:rsidRPr="008D38C7">
        <w:rPr>
          <w:rFonts w:asciiTheme="minorHAnsi" w:hAnsiTheme="minorHAnsi" w:cstheme="minorHAnsi"/>
          <w:spacing w:val="-1"/>
          <w:sz w:val="22"/>
          <w:szCs w:val="22"/>
          <w:lang w:val="en-AU"/>
        </w:rPr>
        <w:t xml:space="preserve"> </w:t>
      </w:r>
      <w:r w:rsidR="00006E6C" w:rsidRPr="008D38C7">
        <w:rPr>
          <w:rFonts w:asciiTheme="minorHAnsi" w:hAnsiTheme="minorHAnsi" w:cstheme="minorHAnsi"/>
          <w:sz w:val="22"/>
          <w:szCs w:val="22"/>
          <w:lang w:val="en-AU"/>
        </w:rPr>
        <w:t xml:space="preserve">there are compelling reasons that </w:t>
      </w:r>
      <w:r w:rsidR="00BB1F86">
        <w:rPr>
          <w:rFonts w:asciiTheme="minorHAnsi" w:hAnsiTheme="minorHAnsi" w:cstheme="minorHAnsi"/>
          <w:sz w:val="22"/>
          <w:szCs w:val="22"/>
          <w:lang w:val="en-AU"/>
        </w:rPr>
        <w:t xml:space="preserve">it </w:t>
      </w:r>
      <w:r w:rsidR="00006E6C" w:rsidRPr="008D38C7">
        <w:rPr>
          <w:rFonts w:asciiTheme="minorHAnsi" w:hAnsiTheme="minorHAnsi" w:cstheme="minorHAnsi"/>
          <w:sz w:val="22"/>
          <w:szCs w:val="22"/>
          <w:lang w:val="en-AU"/>
        </w:rPr>
        <w:t>would not be in the public interest</w:t>
      </w:r>
      <w:r w:rsidR="00BB1F86">
        <w:rPr>
          <w:rFonts w:asciiTheme="minorHAnsi" w:hAnsiTheme="minorHAnsi" w:cstheme="minorHAnsi"/>
          <w:sz w:val="22"/>
          <w:szCs w:val="22"/>
          <w:lang w:val="en-AU"/>
        </w:rPr>
        <w:t xml:space="preserve"> in relation to a</w:t>
      </w:r>
      <w:r w:rsidR="00BB1F86" w:rsidRPr="008D38C7">
        <w:rPr>
          <w:rFonts w:asciiTheme="minorHAnsi" w:hAnsiTheme="minorHAnsi" w:cstheme="minorHAnsi"/>
          <w:sz w:val="22"/>
          <w:szCs w:val="22"/>
          <w:lang w:val="en-AU"/>
        </w:rPr>
        <w:t xml:space="preserve"> specific product or product group</w:t>
      </w:r>
      <w:r w:rsidR="00006E6C" w:rsidRPr="008D38C7">
        <w:rPr>
          <w:rFonts w:asciiTheme="minorHAnsi" w:hAnsiTheme="minorHAnsi" w:cstheme="minorHAnsi"/>
          <w:sz w:val="22"/>
          <w:szCs w:val="22"/>
          <w:lang w:val="en-AU"/>
        </w:rPr>
        <w:t xml:space="preserve">. </w:t>
      </w:r>
    </w:p>
    <w:p w14:paraId="4A058743" w14:textId="0EC985AF" w:rsidR="00AA4653" w:rsidRPr="008D38C7" w:rsidRDefault="00006E6C" w:rsidP="00C10BD5">
      <w:pPr>
        <w:pStyle w:val="ListParagraph"/>
        <w:numPr>
          <w:ilvl w:val="0"/>
          <w:numId w:val="17"/>
        </w:numPr>
        <w:spacing w:after="160"/>
        <w:ind w:left="426"/>
        <w:rPr>
          <w:rFonts w:asciiTheme="minorHAnsi" w:hAnsiTheme="minorHAnsi" w:cstheme="minorHAnsi"/>
          <w:b/>
          <w:i/>
          <w:sz w:val="22"/>
          <w:lang w:val="en-AU"/>
        </w:rPr>
      </w:pPr>
      <w:r w:rsidRPr="008D38C7">
        <w:rPr>
          <w:rFonts w:asciiTheme="minorHAnsi" w:hAnsiTheme="minorHAnsi" w:cstheme="minorHAnsi"/>
          <w:b/>
          <w:lang w:val="en-AU"/>
        </w:rPr>
        <w:t xml:space="preserve">Introduce </w:t>
      </w:r>
      <w:r w:rsidR="00B612FA" w:rsidRPr="008D38C7">
        <w:rPr>
          <w:rFonts w:asciiTheme="minorHAnsi" w:hAnsiTheme="minorHAnsi" w:cstheme="minorHAnsi"/>
          <w:b/>
          <w:lang w:val="en-AU"/>
        </w:rPr>
        <w:t xml:space="preserve">data/market exclusivity </w:t>
      </w:r>
      <w:r w:rsidRPr="008D38C7">
        <w:rPr>
          <w:rFonts w:asciiTheme="minorHAnsi" w:hAnsiTheme="minorHAnsi" w:cstheme="minorHAnsi"/>
          <w:b/>
          <w:lang w:val="en-AU"/>
        </w:rPr>
        <w:t>mechanisms to stimulate research and innovation</w:t>
      </w:r>
      <w:r w:rsidR="00C60AF0" w:rsidRPr="008D38C7">
        <w:rPr>
          <w:rFonts w:asciiTheme="minorHAnsi" w:hAnsiTheme="minorHAnsi" w:cstheme="minorHAnsi"/>
          <w:b/>
          <w:lang w:val="en-AU"/>
        </w:rPr>
        <w:t xml:space="preserve"> </w:t>
      </w:r>
      <w:r w:rsidRPr="008D38C7">
        <w:rPr>
          <w:rFonts w:asciiTheme="minorHAnsi" w:hAnsiTheme="minorHAnsi" w:cstheme="minorHAnsi"/>
          <w:b/>
          <w:sz w:val="22"/>
          <w:lang w:val="en-AU"/>
        </w:rPr>
        <w:br/>
      </w:r>
      <w:r w:rsidR="00DE7802" w:rsidRPr="008D38C7">
        <w:rPr>
          <w:rFonts w:ascii="Calibri" w:hAnsi="Calibri" w:cs="Calibri"/>
          <w:sz w:val="22"/>
          <w:szCs w:val="22"/>
          <w:lang w:val="en-AU"/>
        </w:rPr>
        <w:t xml:space="preserve">Mechanisms such as data </w:t>
      </w:r>
      <w:r w:rsidR="00AD486E">
        <w:rPr>
          <w:rFonts w:ascii="Calibri" w:hAnsi="Calibri" w:cs="Calibri"/>
          <w:sz w:val="22"/>
          <w:szCs w:val="22"/>
          <w:lang w:val="en-AU"/>
        </w:rPr>
        <w:t>and</w:t>
      </w:r>
      <w:r w:rsidR="00AD486E" w:rsidRPr="008D38C7">
        <w:rPr>
          <w:rFonts w:ascii="Calibri" w:hAnsi="Calibri" w:cs="Calibri"/>
          <w:sz w:val="22"/>
          <w:szCs w:val="22"/>
          <w:lang w:val="en-AU"/>
        </w:rPr>
        <w:t xml:space="preserve"> </w:t>
      </w:r>
      <w:r w:rsidR="00DE7802" w:rsidRPr="008D38C7">
        <w:rPr>
          <w:rFonts w:ascii="Calibri" w:hAnsi="Calibri" w:cs="Calibri"/>
          <w:sz w:val="22"/>
          <w:szCs w:val="22"/>
          <w:lang w:val="en-AU"/>
        </w:rPr>
        <w:t xml:space="preserve">market exclusivity </w:t>
      </w:r>
      <w:r w:rsidR="000C165F" w:rsidRPr="008D38C7">
        <w:rPr>
          <w:rFonts w:asciiTheme="minorHAnsi" w:hAnsiTheme="minorHAnsi" w:cstheme="minorHAnsi"/>
          <w:sz w:val="22"/>
          <w:lang w:val="en-AU"/>
        </w:rPr>
        <w:t>p</w:t>
      </w:r>
      <w:r w:rsidR="00563F89" w:rsidRPr="008D38C7">
        <w:rPr>
          <w:rFonts w:asciiTheme="minorHAnsi" w:hAnsiTheme="minorHAnsi" w:cstheme="minorHAnsi"/>
          <w:sz w:val="22"/>
          <w:lang w:val="en-AU"/>
        </w:rPr>
        <w:t>rovide incentive</w:t>
      </w:r>
      <w:r w:rsidR="00AD486E">
        <w:rPr>
          <w:rFonts w:asciiTheme="minorHAnsi" w:hAnsiTheme="minorHAnsi" w:cstheme="minorHAnsi"/>
          <w:sz w:val="22"/>
          <w:lang w:val="en-AU"/>
        </w:rPr>
        <w:t>s</w:t>
      </w:r>
      <w:r w:rsidR="00563F89" w:rsidRPr="008D38C7">
        <w:rPr>
          <w:rFonts w:asciiTheme="minorHAnsi" w:hAnsiTheme="minorHAnsi" w:cstheme="minorHAnsi"/>
          <w:sz w:val="22"/>
          <w:lang w:val="en-AU"/>
        </w:rPr>
        <w:t xml:space="preserve"> </w:t>
      </w:r>
      <w:r w:rsidR="00232E16">
        <w:rPr>
          <w:rFonts w:asciiTheme="minorHAnsi" w:hAnsiTheme="minorHAnsi" w:cstheme="minorHAnsi"/>
          <w:sz w:val="22"/>
          <w:lang w:val="en-AU"/>
        </w:rPr>
        <w:t>for</w:t>
      </w:r>
      <w:r w:rsidR="00232E16" w:rsidRPr="008D38C7">
        <w:rPr>
          <w:rFonts w:asciiTheme="minorHAnsi" w:hAnsiTheme="minorHAnsi" w:cstheme="minorHAnsi"/>
          <w:sz w:val="22"/>
          <w:lang w:val="en-AU"/>
        </w:rPr>
        <w:t xml:space="preserve"> </w:t>
      </w:r>
      <w:r w:rsidR="000C165F" w:rsidRPr="008D38C7">
        <w:rPr>
          <w:rFonts w:asciiTheme="minorHAnsi" w:hAnsiTheme="minorHAnsi" w:cstheme="minorHAnsi"/>
          <w:sz w:val="22"/>
          <w:lang w:val="en-AU"/>
        </w:rPr>
        <w:t xml:space="preserve">companies </w:t>
      </w:r>
      <w:r w:rsidR="00232E16">
        <w:rPr>
          <w:rFonts w:asciiTheme="minorHAnsi" w:hAnsiTheme="minorHAnsi" w:cstheme="minorHAnsi"/>
          <w:sz w:val="22"/>
          <w:lang w:val="en-AU"/>
        </w:rPr>
        <w:t>to invest in</w:t>
      </w:r>
      <w:r w:rsidR="00232E16" w:rsidRPr="008D38C7">
        <w:rPr>
          <w:rFonts w:asciiTheme="minorHAnsi" w:hAnsiTheme="minorHAnsi" w:cstheme="minorHAnsi"/>
          <w:sz w:val="22"/>
          <w:lang w:val="en-AU"/>
        </w:rPr>
        <w:t xml:space="preserve"> </w:t>
      </w:r>
      <w:r w:rsidR="00563F89" w:rsidRPr="008D38C7">
        <w:rPr>
          <w:rFonts w:asciiTheme="minorHAnsi" w:hAnsiTheme="minorHAnsi" w:cstheme="minorHAnsi"/>
          <w:sz w:val="22"/>
          <w:lang w:val="en-AU"/>
        </w:rPr>
        <w:t xml:space="preserve">research and innovation </w:t>
      </w:r>
      <w:r w:rsidR="00232E16">
        <w:rPr>
          <w:rFonts w:asciiTheme="minorHAnsi" w:hAnsiTheme="minorHAnsi" w:cstheme="minorHAnsi"/>
          <w:sz w:val="22"/>
          <w:lang w:val="en-AU"/>
        </w:rPr>
        <w:t>for OTC and complementary medicines</w:t>
      </w:r>
      <w:r w:rsidR="000C165F" w:rsidRPr="008D38C7">
        <w:rPr>
          <w:rFonts w:asciiTheme="minorHAnsi" w:hAnsiTheme="minorHAnsi" w:cstheme="minorHAnsi"/>
          <w:sz w:val="22"/>
          <w:lang w:val="en-AU"/>
        </w:rPr>
        <w:t xml:space="preserve">. Innovation is critical </w:t>
      </w:r>
      <w:r w:rsidR="00AD486E">
        <w:rPr>
          <w:rFonts w:asciiTheme="minorHAnsi" w:hAnsiTheme="minorHAnsi" w:cstheme="minorHAnsi"/>
          <w:sz w:val="22"/>
          <w:lang w:val="en-AU"/>
        </w:rPr>
        <w:t>for the ongoing</w:t>
      </w:r>
      <w:r w:rsidR="000C165F" w:rsidRPr="008D38C7">
        <w:rPr>
          <w:rFonts w:asciiTheme="minorHAnsi" w:hAnsiTheme="minorHAnsi" w:cstheme="minorHAnsi"/>
          <w:sz w:val="22"/>
          <w:lang w:val="en-AU"/>
        </w:rPr>
        <w:t xml:space="preserve"> provision of high quality and accessible medicines. Data protection will encourage investment in R&amp;D and enable greater capacity for return on that investment. </w:t>
      </w:r>
    </w:p>
    <w:p w14:paraId="4D705F24" w14:textId="3FFF8E5E" w:rsidR="00D322D3" w:rsidRPr="008D38C7" w:rsidRDefault="00D322D3" w:rsidP="00D322D3">
      <w:pPr>
        <w:rPr>
          <w:rFonts w:asciiTheme="minorHAnsi" w:hAnsiTheme="minorHAnsi" w:cstheme="minorHAnsi"/>
          <w:b/>
          <w:sz w:val="12"/>
        </w:rPr>
      </w:pPr>
      <w:r w:rsidRPr="008D38C7">
        <w:rPr>
          <w:rFonts w:asciiTheme="minorHAnsi" w:hAnsiTheme="minorHAnsi" w:cstheme="minorHAnsi"/>
          <w:b/>
          <w:sz w:val="28"/>
        </w:rPr>
        <w:t>Summary</w:t>
      </w:r>
      <w:r w:rsidR="00AA4653" w:rsidRPr="008D38C7">
        <w:rPr>
          <w:rFonts w:asciiTheme="minorHAnsi" w:hAnsiTheme="minorHAnsi" w:cstheme="minorHAnsi"/>
          <w:b/>
          <w:sz w:val="28"/>
        </w:rPr>
        <w:t xml:space="preserve"> of recommendations</w:t>
      </w:r>
      <w:r w:rsidR="002F026B" w:rsidRPr="008D38C7">
        <w:rPr>
          <w:rFonts w:asciiTheme="minorHAnsi" w:hAnsiTheme="minorHAnsi" w:cstheme="minorHAnsi"/>
          <w:b/>
          <w:sz w:val="28"/>
        </w:rPr>
        <w:br/>
      </w:r>
    </w:p>
    <w:tbl>
      <w:tblPr>
        <w:tblStyle w:val="TableGrid"/>
        <w:tblW w:w="9322" w:type="dxa"/>
        <w:tblLook w:val="04A0" w:firstRow="1" w:lastRow="0" w:firstColumn="1" w:lastColumn="0" w:noHBand="0" w:noVBand="1"/>
      </w:tblPr>
      <w:tblGrid>
        <w:gridCol w:w="2376"/>
        <w:gridCol w:w="1432"/>
        <w:gridCol w:w="5514"/>
      </w:tblGrid>
      <w:tr w:rsidR="00A77521" w:rsidRPr="003A37A2" w14:paraId="360CBA59" w14:textId="77777777" w:rsidTr="003A37A2">
        <w:trPr>
          <w:trHeight w:val="436"/>
        </w:trPr>
        <w:tc>
          <w:tcPr>
            <w:tcW w:w="2376" w:type="dxa"/>
            <w:tcBorders>
              <w:top w:val="single" w:sz="4" w:space="0" w:color="auto"/>
              <w:left w:val="single" w:sz="4" w:space="0" w:color="auto"/>
              <w:bottom w:val="single" w:sz="4" w:space="0" w:color="auto"/>
              <w:right w:val="single" w:sz="4" w:space="0" w:color="auto"/>
            </w:tcBorders>
            <w:hideMark/>
          </w:tcPr>
          <w:p w14:paraId="6AFEB51A" w14:textId="183E2A13" w:rsidR="00A77521" w:rsidRPr="003A37A2" w:rsidRDefault="00A77521" w:rsidP="006A644B">
            <w:pPr>
              <w:tabs>
                <w:tab w:val="center" w:pos="1047"/>
                <w:tab w:val="left" w:pos="1348"/>
                <w:tab w:val="right" w:pos="2094"/>
              </w:tabs>
              <w:spacing w:before="80" w:after="80" w:line="240" w:lineRule="auto"/>
              <w:rPr>
                <w:rFonts w:asciiTheme="minorHAnsi" w:hAnsiTheme="minorHAnsi"/>
                <w:b/>
                <w:sz w:val="16"/>
                <w:szCs w:val="16"/>
                <w:lang w:eastAsia="en-US"/>
              </w:rPr>
            </w:pPr>
            <w:r w:rsidRPr="003A37A2">
              <w:rPr>
                <w:rFonts w:asciiTheme="minorHAnsi" w:hAnsiTheme="minorHAnsi"/>
                <w:b/>
                <w:sz w:val="16"/>
                <w:szCs w:val="16"/>
              </w:rPr>
              <w:tab/>
              <w:t>RECOMMENDATION</w:t>
            </w:r>
            <w:r w:rsidRPr="003A37A2">
              <w:rPr>
                <w:rFonts w:asciiTheme="minorHAnsi" w:hAnsiTheme="minorHAnsi"/>
                <w:b/>
                <w:sz w:val="16"/>
                <w:szCs w:val="16"/>
              </w:rPr>
              <w:tab/>
            </w:r>
          </w:p>
        </w:tc>
        <w:tc>
          <w:tcPr>
            <w:tcW w:w="1432" w:type="dxa"/>
            <w:tcBorders>
              <w:top w:val="single" w:sz="4" w:space="0" w:color="auto"/>
              <w:left w:val="single" w:sz="4" w:space="0" w:color="auto"/>
              <w:bottom w:val="single" w:sz="4" w:space="0" w:color="auto"/>
              <w:right w:val="single" w:sz="4" w:space="0" w:color="auto"/>
            </w:tcBorders>
            <w:hideMark/>
          </w:tcPr>
          <w:p w14:paraId="09519229" w14:textId="1F6F8B54" w:rsidR="00A77521" w:rsidRPr="003A37A2" w:rsidRDefault="00A77521" w:rsidP="002F026B">
            <w:pPr>
              <w:spacing w:before="80" w:after="80" w:line="240" w:lineRule="auto"/>
              <w:jc w:val="center"/>
              <w:rPr>
                <w:rFonts w:asciiTheme="minorHAnsi" w:hAnsiTheme="minorHAnsi"/>
                <w:b/>
                <w:sz w:val="16"/>
                <w:szCs w:val="16"/>
                <w:lang w:eastAsia="en-US"/>
              </w:rPr>
            </w:pPr>
            <w:r w:rsidRPr="003A37A2">
              <w:rPr>
                <w:rFonts w:asciiTheme="minorHAnsi" w:hAnsiTheme="minorHAnsi"/>
                <w:b/>
                <w:sz w:val="16"/>
                <w:szCs w:val="16"/>
              </w:rPr>
              <w:t>COST TO GOV</w:t>
            </w:r>
            <w:r w:rsidR="00CE1A16">
              <w:rPr>
                <w:rFonts w:asciiTheme="minorHAnsi" w:hAnsiTheme="minorHAnsi"/>
                <w:b/>
                <w:sz w:val="16"/>
                <w:szCs w:val="16"/>
              </w:rPr>
              <w:t>’</w:t>
            </w:r>
            <w:r w:rsidRPr="003A37A2">
              <w:rPr>
                <w:rFonts w:asciiTheme="minorHAnsi" w:hAnsiTheme="minorHAnsi"/>
                <w:b/>
                <w:sz w:val="16"/>
                <w:szCs w:val="16"/>
              </w:rPr>
              <w:t>T</w:t>
            </w:r>
          </w:p>
        </w:tc>
        <w:tc>
          <w:tcPr>
            <w:tcW w:w="5514" w:type="dxa"/>
            <w:tcBorders>
              <w:top w:val="single" w:sz="4" w:space="0" w:color="auto"/>
              <w:left w:val="single" w:sz="4" w:space="0" w:color="auto"/>
              <w:bottom w:val="single" w:sz="4" w:space="0" w:color="auto"/>
              <w:right w:val="single" w:sz="4" w:space="0" w:color="auto"/>
            </w:tcBorders>
            <w:hideMark/>
          </w:tcPr>
          <w:p w14:paraId="1960EA64" w14:textId="77777777" w:rsidR="00A77521" w:rsidRPr="003A37A2" w:rsidRDefault="00A77521" w:rsidP="002F026B">
            <w:pPr>
              <w:spacing w:before="80" w:after="80" w:line="240" w:lineRule="auto"/>
              <w:jc w:val="center"/>
              <w:rPr>
                <w:rFonts w:asciiTheme="minorHAnsi" w:hAnsiTheme="minorHAnsi"/>
                <w:b/>
                <w:sz w:val="16"/>
                <w:szCs w:val="16"/>
                <w:lang w:eastAsia="en-US"/>
              </w:rPr>
            </w:pPr>
            <w:r w:rsidRPr="003A37A2">
              <w:rPr>
                <w:rFonts w:asciiTheme="minorHAnsi" w:hAnsiTheme="minorHAnsi"/>
                <w:b/>
                <w:sz w:val="16"/>
                <w:szCs w:val="16"/>
              </w:rPr>
              <w:t>BENEFIT</w:t>
            </w:r>
          </w:p>
        </w:tc>
      </w:tr>
      <w:tr w:rsidR="00A77521" w:rsidRPr="003A37A2" w14:paraId="1F4363DE" w14:textId="77777777" w:rsidTr="003A37A2">
        <w:tc>
          <w:tcPr>
            <w:tcW w:w="2376" w:type="dxa"/>
            <w:tcBorders>
              <w:top w:val="single" w:sz="4" w:space="0" w:color="auto"/>
              <w:left w:val="single" w:sz="4" w:space="0" w:color="auto"/>
              <w:bottom w:val="single" w:sz="4" w:space="0" w:color="auto"/>
              <w:right w:val="single" w:sz="4" w:space="0" w:color="auto"/>
            </w:tcBorders>
            <w:hideMark/>
          </w:tcPr>
          <w:p w14:paraId="2155AEC4" w14:textId="5B0276AF" w:rsidR="00A77521" w:rsidRPr="003A37A2" w:rsidRDefault="00A77521" w:rsidP="00D73CFC">
            <w:pPr>
              <w:spacing w:before="60" w:after="60" w:line="240" w:lineRule="auto"/>
              <w:rPr>
                <w:rFonts w:asciiTheme="minorHAnsi" w:hAnsiTheme="minorHAnsi"/>
                <w:sz w:val="16"/>
                <w:szCs w:val="16"/>
                <w:lang w:eastAsia="en-US"/>
              </w:rPr>
            </w:pPr>
            <w:r w:rsidRPr="003A37A2">
              <w:rPr>
                <w:rFonts w:asciiTheme="minorHAnsi" w:hAnsiTheme="minorHAnsi"/>
                <w:sz w:val="16"/>
                <w:szCs w:val="16"/>
              </w:rPr>
              <w:t>Changes to Scheduling Policy Framework</w:t>
            </w:r>
          </w:p>
        </w:tc>
        <w:tc>
          <w:tcPr>
            <w:tcW w:w="1432" w:type="dxa"/>
            <w:tcBorders>
              <w:top w:val="single" w:sz="4" w:space="0" w:color="auto"/>
              <w:left w:val="single" w:sz="4" w:space="0" w:color="auto"/>
              <w:bottom w:val="single" w:sz="4" w:space="0" w:color="auto"/>
              <w:right w:val="single" w:sz="4" w:space="0" w:color="auto"/>
            </w:tcBorders>
          </w:tcPr>
          <w:p w14:paraId="7C1B5BBC" w14:textId="08900D97" w:rsidR="00A77521" w:rsidRPr="003A37A2" w:rsidRDefault="00A77521" w:rsidP="00C10BD5">
            <w:pPr>
              <w:spacing w:before="60" w:after="60" w:line="240" w:lineRule="auto"/>
              <w:jc w:val="center"/>
              <w:rPr>
                <w:rFonts w:asciiTheme="minorHAnsi" w:hAnsiTheme="minorHAnsi"/>
                <w:sz w:val="16"/>
                <w:szCs w:val="16"/>
                <w:lang w:eastAsia="en-US"/>
              </w:rPr>
            </w:pPr>
            <w:r w:rsidRPr="003A37A2">
              <w:rPr>
                <w:rFonts w:asciiTheme="minorHAnsi" w:hAnsiTheme="minorHAnsi"/>
                <w:sz w:val="16"/>
                <w:szCs w:val="16"/>
                <w:lang w:eastAsia="en-US"/>
              </w:rPr>
              <w:t>Minimal</w:t>
            </w:r>
          </w:p>
          <w:p w14:paraId="6EF1FD7F" w14:textId="77777777" w:rsidR="00A77521" w:rsidRPr="003A37A2" w:rsidRDefault="00A77521" w:rsidP="00C10BD5">
            <w:pPr>
              <w:jc w:val="center"/>
              <w:rPr>
                <w:rFonts w:asciiTheme="minorHAnsi" w:hAnsiTheme="minorHAnsi"/>
                <w:sz w:val="16"/>
                <w:szCs w:val="16"/>
                <w:lang w:eastAsia="en-US"/>
              </w:rPr>
            </w:pPr>
          </w:p>
        </w:tc>
        <w:tc>
          <w:tcPr>
            <w:tcW w:w="5514" w:type="dxa"/>
            <w:tcBorders>
              <w:top w:val="single" w:sz="4" w:space="0" w:color="auto"/>
              <w:left w:val="single" w:sz="4" w:space="0" w:color="auto"/>
              <w:bottom w:val="single" w:sz="4" w:space="0" w:color="auto"/>
              <w:right w:val="single" w:sz="4" w:space="0" w:color="auto"/>
            </w:tcBorders>
          </w:tcPr>
          <w:p w14:paraId="409B4218" w14:textId="1966108E" w:rsidR="00A77521" w:rsidRPr="003A37A2" w:rsidRDefault="00A77521" w:rsidP="00232E16">
            <w:pPr>
              <w:spacing w:before="60" w:after="60" w:line="240" w:lineRule="auto"/>
              <w:rPr>
                <w:rFonts w:asciiTheme="minorHAnsi" w:hAnsiTheme="minorHAnsi"/>
                <w:sz w:val="16"/>
                <w:szCs w:val="16"/>
                <w:lang w:eastAsia="en-US"/>
              </w:rPr>
            </w:pPr>
            <w:r w:rsidRPr="003A37A2">
              <w:rPr>
                <w:rFonts w:asciiTheme="minorHAnsi" w:hAnsiTheme="minorHAnsi"/>
                <w:sz w:val="16"/>
                <w:szCs w:val="16"/>
                <w:lang w:eastAsia="en-US"/>
              </w:rPr>
              <w:t>Increased consumer access to medicines and reduced Govt health expenditure (Medicare, PBS payments, improved productivity through better self care,</w:t>
            </w:r>
            <w:r w:rsidRPr="003A37A2">
              <w:rPr>
                <w:rStyle w:val="EndnoteReference"/>
                <w:rFonts w:asciiTheme="minorHAnsi" w:hAnsiTheme="minorHAnsi"/>
                <w:sz w:val="16"/>
                <w:szCs w:val="16"/>
                <w:lang w:eastAsia="en-US"/>
              </w:rPr>
              <w:endnoteReference w:id="1"/>
            </w:r>
            <w:r w:rsidRPr="003A37A2">
              <w:rPr>
                <w:rFonts w:asciiTheme="minorHAnsi" w:hAnsiTheme="minorHAnsi"/>
                <w:sz w:val="16"/>
                <w:szCs w:val="16"/>
                <w:lang w:eastAsia="en-US"/>
              </w:rPr>
              <w:t xml:space="preserve"> fewer visits to doctors)</w:t>
            </w:r>
          </w:p>
        </w:tc>
      </w:tr>
      <w:tr w:rsidR="00A77521" w:rsidRPr="003A37A2" w14:paraId="0AA57202" w14:textId="77777777" w:rsidTr="003A37A2">
        <w:tc>
          <w:tcPr>
            <w:tcW w:w="2376" w:type="dxa"/>
            <w:tcBorders>
              <w:top w:val="single" w:sz="4" w:space="0" w:color="auto"/>
              <w:left w:val="single" w:sz="4" w:space="0" w:color="auto"/>
              <w:bottom w:val="single" w:sz="4" w:space="0" w:color="auto"/>
              <w:right w:val="single" w:sz="4" w:space="0" w:color="auto"/>
            </w:tcBorders>
            <w:hideMark/>
          </w:tcPr>
          <w:p w14:paraId="775B0A9F" w14:textId="641A4A56" w:rsidR="00A77521" w:rsidRPr="003A37A2" w:rsidRDefault="00A77521" w:rsidP="003A37A2">
            <w:pPr>
              <w:spacing w:before="60" w:after="60" w:line="240" w:lineRule="auto"/>
              <w:rPr>
                <w:rFonts w:asciiTheme="minorHAnsi" w:hAnsiTheme="minorHAnsi"/>
                <w:sz w:val="16"/>
                <w:szCs w:val="16"/>
                <w:lang w:eastAsia="en-US"/>
              </w:rPr>
            </w:pPr>
            <w:r w:rsidRPr="003A37A2">
              <w:rPr>
                <w:rFonts w:asciiTheme="minorHAnsi" w:hAnsiTheme="minorHAnsi"/>
                <w:sz w:val="16"/>
                <w:szCs w:val="16"/>
              </w:rPr>
              <w:t xml:space="preserve">Reduce restrictions </w:t>
            </w:r>
            <w:r w:rsidR="003812F0" w:rsidRPr="003A37A2">
              <w:rPr>
                <w:rFonts w:asciiTheme="minorHAnsi" w:hAnsiTheme="minorHAnsi"/>
                <w:sz w:val="16"/>
                <w:szCs w:val="16"/>
              </w:rPr>
              <w:t>on S3 direct-to-consumer communications</w:t>
            </w:r>
            <w:r w:rsidRPr="003A37A2">
              <w:rPr>
                <w:rFonts w:asciiTheme="minorHAnsi" w:hAnsiTheme="minorHAnsi"/>
                <w:sz w:val="16"/>
                <w:szCs w:val="16"/>
              </w:rPr>
              <w:br/>
            </w:r>
          </w:p>
        </w:tc>
        <w:tc>
          <w:tcPr>
            <w:tcW w:w="1432" w:type="dxa"/>
            <w:tcBorders>
              <w:top w:val="single" w:sz="4" w:space="0" w:color="auto"/>
              <w:left w:val="single" w:sz="4" w:space="0" w:color="auto"/>
              <w:bottom w:val="single" w:sz="4" w:space="0" w:color="auto"/>
              <w:right w:val="single" w:sz="4" w:space="0" w:color="auto"/>
            </w:tcBorders>
          </w:tcPr>
          <w:p w14:paraId="4E96BAF2" w14:textId="480C7094" w:rsidR="00A77521" w:rsidRPr="003A37A2" w:rsidRDefault="00A77521" w:rsidP="00C10BD5">
            <w:pPr>
              <w:spacing w:before="60" w:after="60" w:line="240" w:lineRule="auto"/>
              <w:jc w:val="center"/>
              <w:rPr>
                <w:rFonts w:asciiTheme="minorHAnsi" w:hAnsiTheme="minorHAnsi"/>
                <w:sz w:val="16"/>
                <w:szCs w:val="16"/>
                <w:lang w:eastAsia="en-US"/>
              </w:rPr>
            </w:pPr>
            <w:r w:rsidRPr="003A37A2">
              <w:rPr>
                <w:rFonts w:asciiTheme="minorHAnsi" w:hAnsiTheme="minorHAnsi"/>
                <w:sz w:val="16"/>
                <w:szCs w:val="16"/>
                <w:lang w:eastAsia="en-US"/>
              </w:rPr>
              <w:t>NONE</w:t>
            </w:r>
          </w:p>
        </w:tc>
        <w:tc>
          <w:tcPr>
            <w:tcW w:w="5514" w:type="dxa"/>
            <w:tcBorders>
              <w:top w:val="single" w:sz="4" w:space="0" w:color="auto"/>
              <w:left w:val="single" w:sz="4" w:space="0" w:color="auto"/>
              <w:bottom w:val="single" w:sz="4" w:space="0" w:color="auto"/>
              <w:right w:val="single" w:sz="4" w:space="0" w:color="auto"/>
            </w:tcBorders>
          </w:tcPr>
          <w:p w14:paraId="078EC197" w14:textId="5C171B36" w:rsidR="00A77521" w:rsidRPr="003A37A2" w:rsidRDefault="00A77521" w:rsidP="002F026B">
            <w:pPr>
              <w:spacing w:before="60" w:after="60" w:line="240" w:lineRule="auto"/>
              <w:rPr>
                <w:rFonts w:asciiTheme="minorHAnsi" w:hAnsiTheme="minorHAnsi"/>
                <w:sz w:val="16"/>
                <w:szCs w:val="16"/>
                <w:lang w:eastAsia="en-US"/>
              </w:rPr>
            </w:pPr>
            <w:r w:rsidRPr="003A37A2">
              <w:rPr>
                <w:rFonts w:asciiTheme="minorHAnsi" w:hAnsiTheme="minorHAnsi"/>
                <w:sz w:val="16"/>
                <w:szCs w:val="16"/>
                <w:lang w:eastAsia="en-US"/>
              </w:rPr>
              <w:t>As above</w:t>
            </w:r>
          </w:p>
        </w:tc>
      </w:tr>
      <w:tr w:rsidR="00A77521" w:rsidRPr="003A37A2" w14:paraId="602186B9" w14:textId="77777777" w:rsidTr="003A37A2">
        <w:tc>
          <w:tcPr>
            <w:tcW w:w="2376" w:type="dxa"/>
            <w:tcBorders>
              <w:top w:val="single" w:sz="4" w:space="0" w:color="auto"/>
              <w:left w:val="single" w:sz="4" w:space="0" w:color="auto"/>
              <w:bottom w:val="single" w:sz="4" w:space="0" w:color="auto"/>
              <w:right w:val="single" w:sz="4" w:space="0" w:color="auto"/>
            </w:tcBorders>
            <w:hideMark/>
          </w:tcPr>
          <w:p w14:paraId="08137A64" w14:textId="0EB9C7A0" w:rsidR="00A77521" w:rsidRPr="003A37A2" w:rsidRDefault="00A77521" w:rsidP="00D73CFC">
            <w:pPr>
              <w:spacing w:before="60" w:after="60" w:line="240" w:lineRule="auto"/>
              <w:rPr>
                <w:rFonts w:asciiTheme="minorHAnsi" w:hAnsiTheme="minorHAnsi"/>
                <w:sz w:val="16"/>
                <w:szCs w:val="16"/>
                <w:lang w:eastAsia="en-US"/>
              </w:rPr>
            </w:pPr>
            <w:r w:rsidRPr="003A37A2">
              <w:rPr>
                <w:rFonts w:asciiTheme="minorHAnsi" w:hAnsiTheme="minorHAnsi" w:cstheme="minorHAnsi"/>
                <w:sz w:val="16"/>
                <w:szCs w:val="16"/>
              </w:rPr>
              <w:t>Data/market exclusivity mechanisms</w:t>
            </w:r>
          </w:p>
        </w:tc>
        <w:tc>
          <w:tcPr>
            <w:tcW w:w="1432" w:type="dxa"/>
            <w:tcBorders>
              <w:top w:val="single" w:sz="4" w:space="0" w:color="auto"/>
              <w:left w:val="single" w:sz="4" w:space="0" w:color="auto"/>
              <w:bottom w:val="single" w:sz="4" w:space="0" w:color="auto"/>
              <w:right w:val="single" w:sz="4" w:space="0" w:color="auto"/>
            </w:tcBorders>
          </w:tcPr>
          <w:p w14:paraId="4EB0AC16" w14:textId="5496D64A" w:rsidR="00A77521" w:rsidRPr="003A37A2" w:rsidRDefault="00A77521" w:rsidP="00C10BD5">
            <w:pPr>
              <w:pStyle w:val="Default"/>
              <w:spacing w:before="60" w:after="60" w:line="240" w:lineRule="auto"/>
              <w:jc w:val="center"/>
              <w:rPr>
                <w:rFonts w:asciiTheme="minorHAnsi" w:hAnsiTheme="minorHAnsi"/>
                <w:sz w:val="16"/>
                <w:szCs w:val="16"/>
                <w:lang w:val="en-AU"/>
              </w:rPr>
            </w:pPr>
            <w:r w:rsidRPr="003A37A2">
              <w:rPr>
                <w:rFonts w:asciiTheme="minorHAnsi" w:hAnsiTheme="minorHAnsi"/>
                <w:sz w:val="16"/>
                <w:szCs w:val="16"/>
                <w:lang w:val="en-AU"/>
              </w:rPr>
              <w:t>NONE</w:t>
            </w:r>
          </w:p>
        </w:tc>
        <w:tc>
          <w:tcPr>
            <w:tcW w:w="5514" w:type="dxa"/>
            <w:tcBorders>
              <w:top w:val="single" w:sz="4" w:space="0" w:color="auto"/>
              <w:left w:val="single" w:sz="4" w:space="0" w:color="auto"/>
              <w:bottom w:val="single" w:sz="4" w:space="0" w:color="auto"/>
              <w:right w:val="single" w:sz="4" w:space="0" w:color="auto"/>
            </w:tcBorders>
          </w:tcPr>
          <w:p w14:paraId="6AC69A7C" w14:textId="7B3304BB" w:rsidR="00A77521" w:rsidRPr="003A37A2" w:rsidRDefault="00A77521" w:rsidP="002F026B">
            <w:pPr>
              <w:spacing w:before="60" w:after="60" w:line="240" w:lineRule="auto"/>
              <w:rPr>
                <w:rFonts w:asciiTheme="minorHAnsi" w:hAnsiTheme="minorHAnsi"/>
                <w:sz w:val="16"/>
                <w:szCs w:val="16"/>
                <w:lang w:eastAsia="en-US"/>
              </w:rPr>
            </w:pPr>
            <w:r w:rsidRPr="003A37A2">
              <w:rPr>
                <w:rFonts w:asciiTheme="minorHAnsi" w:hAnsiTheme="minorHAnsi" w:cs="Calibri"/>
                <w:sz w:val="16"/>
                <w:szCs w:val="16"/>
              </w:rPr>
              <w:t>REVENUE POSITIVE through stimulus to investment and employment.</w:t>
            </w:r>
          </w:p>
        </w:tc>
      </w:tr>
    </w:tbl>
    <w:p w14:paraId="01085901" w14:textId="1A674739" w:rsidR="006A644B" w:rsidRPr="008D38C7" w:rsidRDefault="00B612FA" w:rsidP="000C7777">
      <w:pPr>
        <w:jc w:val="center"/>
        <w:rPr>
          <w:rFonts w:asciiTheme="minorHAnsi" w:hAnsiTheme="minorHAnsi" w:cstheme="minorHAnsi"/>
          <w:b/>
          <w:color w:val="000099"/>
          <w:sz w:val="40"/>
          <w:szCs w:val="32"/>
        </w:rPr>
      </w:pPr>
      <w:r w:rsidRPr="008D38C7">
        <w:rPr>
          <w:rFonts w:asciiTheme="minorHAnsi" w:hAnsiTheme="minorHAnsi" w:cstheme="minorHAnsi"/>
          <w:b/>
          <w:color w:val="000099"/>
          <w:sz w:val="40"/>
          <w:szCs w:val="32"/>
        </w:rPr>
        <w:br w:type="page"/>
      </w:r>
      <w:r w:rsidR="006A644B" w:rsidRPr="008D38C7">
        <w:rPr>
          <w:rFonts w:asciiTheme="minorHAnsi" w:hAnsiTheme="minorHAnsi" w:cstheme="minorHAnsi"/>
          <w:b/>
          <w:color w:val="000099"/>
          <w:sz w:val="40"/>
          <w:szCs w:val="32"/>
        </w:rPr>
        <w:lastRenderedPageBreak/>
        <w:t xml:space="preserve">Australian Self Medication Industry </w:t>
      </w:r>
    </w:p>
    <w:p w14:paraId="76F4B2B1" w14:textId="7145F9D5" w:rsidR="00C10BD5" w:rsidRPr="008D38C7" w:rsidRDefault="00CE36B8" w:rsidP="006E2EAA">
      <w:pPr>
        <w:spacing w:after="240"/>
        <w:jc w:val="center"/>
        <w:rPr>
          <w:rFonts w:asciiTheme="minorHAnsi" w:hAnsiTheme="minorHAnsi" w:cstheme="minorHAnsi"/>
          <w:b/>
          <w:color w:val="000099"/>
          <w:sz w:val="32"/>
          <w:szCs w:val="32"/>
        </w:rPr>
      </w:pPr>
      <w:r w:rsidRPr="008D38C7">
        <w:rPr>
          <w:rFonts w:asciiTheme="minorHAnsi" w:hAnsiTheme="minorHAnsi" w:cstheme="minorHAnsi"/>
          <w:b/>
          <w:noProof/>
          <w:color w:val="000099"/>
          <w:sz w:val="32"/>
          <w:szCs w:val="32"/>
        </w:rPr>
        <mc:AlternateContent>
          <mc:Choice Requires="wps">
            <w:drawing>
              <wp:anchor distT="0" distB="0" distL="114300" distR="114300" simplePos="0" relativeHeight="251667456" behindDoc="0" locked="0" layoutInCell="1" allowOverlap="1" wp14:anchorId="1E8F912F" wp14:editId="52FF54CF">
                <wp:simplePos x="0" y="0"/>
                <wp:positionH relativeFrom="column">
                  <wp:posOffset>0</wp:posOffset>
                </wp:positionH>
                <wp:positionV relativeFrom="paragraph">
                  <wp:posOffset>370808</wp:posOffset>
                </wp:positionV>
                <wp:extent cx="5705475" cy="1403985"/>
                <wp:effectExtent l="57150" t="38100" r="85725" b="901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398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136B2EE9" w14:textId="23F54675" w:rsidR="00CE36B8" w:rsidRPr="008101F3" w:rsidRDefault="00CE36B8" w:rsidP="00673546">
                            <w:pPr>
                              <w:jc w:val="center"/>
                              <w:rPr>
                                <w:b/>
                              </w:rPr>
                            </w:pPr>
                            <w:r w:rsidRPr="008101F3">
                              <w:rPr>
                                <w:rFonts w:asciiTheme="minorHAnsi" w:hAnsiTheme="minorHAnsi" w:cstheme="minorHAnsi"/>
                                <w:b/>
                                <w:szCs w:val="26"/>
                              </w:rPr>
                              <w:t xml:space="preserve">Adoption of the </w:t>
                            </w:r>
                            <w:r w:rsidR="00930670">
                              <w:rPr>
                                <w:rFonts w:asciiTheme="minorHAnsi" w:hAnsiTheme="minorHAnsi" w:cstheme="minorHAnsi"/>
                                <w:b/>
                                <w:szCs w:val="26"/>
                              </w:rPr>
                              <w:t>recommendations</w:t>
                            </w:r>
                            <w:r w:rsidRPr="008101F3">
                              <w:rPr>
                                <w:rFonts w:asciiTheme="minorHAnsi" w:hAnsiTheme="minorHAnsi" w:cstheme="minorHAnsi"/>
                                <w:b/>
                                <w:szCs w:val="26"/>
                              </w:rPr>
                              <w:t xml:space="preserve"> contained in this pre-budget submission will provide incentives for </w:t>
                            </w:r>
                            <w:r w:rsidR="009A1043">
                              <w:rPr>
                                <w:rFonts w:asciiTheme="minorHAnsi" w:hAnsiTheme="minorHAnsi" w:cstheme="minorHAnsi"/>
                                <w:b/>
                                <w:szCs w:val="26"/>
                              </w:rPr>
                              <w:t xml:space="preserve">local </w:t>
                            </w:r>
                            <w:r w:rsidRPr="008101F3">
                              <w:rPr>
                                <w:rFonts w:asciiTheme="minorHAnsi" w:hAnsiTheme="minorHAnsi" w:cstheme="minorHAnsi"/>
                                <w:b/>
                                <w:szCs w:val="26"/>
                              </w:rPr>
                              <w:t xml:space="preserve">investment and innovation in the non-prescription medicines sector, and increase consumer access to medicines. </w:t>
                            </w:r>
                            <w:r w:rsidR="00CC0299">
                              <w:rPr>
                                <w:rFonts w:asciiTheme="minorHAnsi" w:hAnsiTheme="minorHAnsi" w:cstheme="minorHAnsi"/>
                                <w:b/>
                                <w:szCs w:val="26"/>
                              </w:rPr>
                              <w:t>T</w:t>
                            </w:r>
                            <w:r w:rsidR="00930670">
                              <w:rPr>
                                <w:rFonts w:asciiTheme="minorHAnsi" w:hAnsiTheme="minorHAnsi" w:cstheme="minorHAnsi"/>
                                <w:b/>
                                <w:szCs w:val="26"/>
                              </w:rPr>
                              <w:t xml:space="preserve">his </w:t>
                            </w:r>
                            <w:r w:rsidR="00CC0299">
                              <w:rPr>
                                <w:rFonts w:asciiTheme="minorHAnsi" w:hAnsiTheme="minorHAnsi" w:cstheme="minorHAnsi"/>
                                <w:b/>
                                <w:szCs w:val="26"/>
                              </w:rPr>
                              <w:t xml:space="preserve">will </w:t>
                            </w:r>
                            <w:r w:rsidRPr="008101F3">
                              <w:rPr>
                                <w:rFonts w:asciiTheme="minorHAnsi" w:hAnsiTheme="minorHAnsi" w:cstheme="minorHAnsi"/>
                                <w:b/>
                                <w:szCs w:val="26"/>
                              </w:rPr>
                              <w:t>contribute to reducing</w:t>
                            </w:r>
                            <w:r w:rsidR="00CC0299">
                              <w:rPr>
                                <w:rFonts w:asciiTheme="minorHAnsi" w:hAnsiTheme="minorHAnsi" w:cstheme="minorHAnsi"/>
                                <w:b/>
                                <w:szCs w:val="26"/>
                              </w:rPr>
                              <w:t xml:space="preserve"> </w:t>
                            </w:r>
                            <w:r w:rsidRPr="008101F3">
                              <w:rPr>
                                <w:rFonts w:asciiTheme="minorHAnsi" w:hAnsiTheme="minorHAnsi" w:cstheme="minorHAnsi"/>
                                <w:b/>
                                <w:szCs w:val="26"/>
                              </w:rPr>
                              <w:t>Medicare and PBS costs</w:t>
                            </w:r>
                            <w:r w:rsidR="00CC0299">
                              <w:rPr>
                                <w:rFonts w:asciiTheme="minorHAnsi" w:hAnsiTheme="minorHAnsi" w:cstheme="minorHAnsi"/>
                                <w:b/>
                                <w:szCs w:val="26"/>
                              </w:rPr>
                              <w:t xml:space="preserve"> </w:t>
                            </w:r>
                            <w:r w:rsidRPr="008101F3">
                              <w:rPr>
                                <w:rFonts w:asciiTheme="minorHAnsi" w:hAnsiTheme="minorHAnsi" w:cstheme="minorHAnsi"/>
                                <w:b/>
                                <w:szCs w:val="26"/>
                              </w:rPr>
                              <w:t>and increase the sustainability of the Australian healthcare system</w:t>
                            </w:r>
                            <w:r w:rsidR="00CC0299">
                              <w:rPr>
                                <w:rFonts w:asciiTheme="minorHAnsi" w:hAnsiTheme="minorHAnsi" w:cstheme="minorHAnsi"/>
                                <w:b/>
                                <w:szCs w:val="26"/>
                              </w:rPr>
                              <w:t>. I</w:t>
                            </w:r>
                            <w:r w:rsidR="00930670">
                              <w:rPr>
                                <w:rFonts w:asciiTheme="minorHAnsi" w:hAnsiTheme="minorHAnsi" w:cstheme="minorHAnsi"/>
                                <w:b/>
                                <w:szCs w:val="26"/>
                              </w:rPr>
                              <w:t>t will also increase consumer access and empowerment for improved health outcomes</w:t>
                            </w:r>
                            <w:r w:rsidR="009D0373">
                              <w:rPr>
                                <w:rFonts w:asciiTheme="minorHAnsi" w:hAnsiTheme="minorHAnsi" w:cstheme="minorHAnsi"/>
                                <w:b/>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9.2pt;width:449.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R8QwIAAMAEAAAOAAAAZHJzL2Uyb0RvYy54bWysVF1v0zAUfUfiP1h+p0lLS7eo6TQ6hpDG&#10;h9j4Aa5jN9YcX2O7Tbpfz7WTZhWgPSBeLDv3nnPP/crqqms0OQjnFZiSTic5JcJwqJTZlfTHw+2b&#10;C0p8YKZiGowo6VF4erV+/WrV2kLMoAZdCUeQxPiitSWtQ7BFlnlei4b5CVhh0CjBNSzg0+2yyrEW&#10;2RudzfL8XdaCq6wDLrzHrze9ka4Tv5SCh69SehGILilqC+l06dzGM1uvWLFzzNaKDzLYP6homDIY&#10;dKS6YYGRvVN/UDWKO/Agw4RDk4GUiouUA2YzzX/L5r5mVqRcsDjejmXy/4+Wfzl8c0RVJV1SYliD&#10;LXoQXSDvoSOzWJ3W+gKd7i26hQ4/Y5dTpt7eAX/0xMCmZmYnrp2DthasQnXTiMzOoD2PjyTb9jNU&#10;GIbtAySiTromlg6LQZAdu3QcOxOlcPy4WOaL+XJBCUfbdJ6/vbxYpBisOMGt8+GjgIbES0kdtj7R&#10;s8OdD1EOK04uMZo28Yx6P5gqTUFgSvd3dI3mlEDUPKgPRy166HchsWbPpYjTKjbakQPDOWOcCxP6&#10;GkQm9I4wqbQegbO+hi8BB/8IFWmSR/DQgJfAIyJFBhNGcKMMuL9Frx5PkmXvf6pAn3fsZui23TAT&#10;W6iO2E0H/UrhLwAvNbgnSlpcp5L6n3vmBCX6k8GJuJzO53H/0mO+WM7w4c4t23MLMxypShoo6a+b&#10;kHY2JuPtNU7OrUo9jaJ6JYNYXJPU6mGl4x6ev5PX849n/QsAAP//AwBQSwMEFAAGAAgAAAAhANyx&#10;cKLbAAAABwEAAA8AAABkcnMvZG93bnJldi54bWxMj8FOwzAQRO9I/IO1SNyoQ1XTNMSpEBLiTItA&#10;3Jx4m0TY68h22/TvWU5wXM3ozdt6O3snThjTGEjD/aIAgdQFO1Kv4X3/cleCSNmQNS4Qarhggm1z&#10;fVWbyoYzveFpl3vBEEqV0TDkPFVSpm5Ab9IiTEicHUL0JvMZe2mjOTPcO7ksigfpzUi8MJgJnwfs&#10;vndHzxS33o+rQh3sV0fJfqj28voZtb69mZ8eQWSc818ZfvVZHRp2asORbBJOAz+SNahyBYLTclMq&#10;EK2G5XqjQDa1/O/f/AAAAP//AwBQSwECLQAUAAYACAAAACEAtoM4kv4AAADhAQAAEwAAAAAAAAAA&#10;AAAAAAAAAAAAW0NvbnRlbnRfVHlwZXNdLnhtbFBLAQItABQABgAIAAAAIQA4/SH/1gAAAJQBAAAL&#10;AAAAAAAAAAAAAAAAAC8BAABfcmVscy8ucmVsc1BLAQItABQABgAIAAAAIQCcLcR8QwIAAMAEAAAO&#10;AAAAAAAAAAAAAAAAAC4CAABkcnMvZTJvRG9jLnhtbFBLAQItABQABgAIAAAAIQDcsXCi2wAAAAcB&#10;AAAPAAAAAAAAAAAAAAAAAJ0EAABkcnMvZG93bnJldi54bWxQSwUGAAAAAAQABADzAAAApQUAAAAA&#10;" fillcolor="#a7bfde [1620]" strokecolor="#4579b8 [3044]">
                <v:fill color2="#e4ecf5 [500]" rotate="t" angle="180" colors="0 #a3c4ff;22938f #bfd5ff;1 #e5eeff" focus="100%" type="gradient"/>
                <v:shadow on="t" color="black" opacity="24903f" origin=",.5" offset="0,.55556mm"/>
                <v:textbox style="mso-fit-shape-to-text:t">
                  <w:txbxContent>
                    <w:p w14:paraId="136B2EE9" w14:textId="23F54675" w:rsidR="00CE36B8" w:rsidRPr="008101F3" w:rsidRDefault="00CE36B8" w:rsidP="00673546">
                      <w:pPr>
                        <w:jc w:val="center"/>
                        <w:rPr>
                          <w:b/>
                        </w:rPr>
                      </w:pPr>
                      <w:r w:rsidRPr="008101F3">
                        <w:rPr>
                          <w:rFonts w:asciiTheme="minorHAnsi" w:hAnsiTheme="minorHAnsi" w:cstheme="minorHAnsi"/>
                          <w:b/>
                          <w:szCs w:val="26"/>
                        </w:rPr>
                        <w:t xml:space="preserve">Adoption of the </w:t>
                      </w:r>
                      <w:r w:rsidR="00930670">
                        <w:rPr>
                          <w:rFonts w:asciiTheme="minorHAnsi" w:hAnsiTheme="minorHAnsi" w:cstheme="minorHAnsi"/>
                          <w:b/>
                          <w:szCs w:val="26"/>
                        </w:rPr>
                        <w:t>recommendations</w:t>
                      </w:r>
                      <w:r w:rsidRPr="008101F3">
                        <w:rPr>
                          <w:rFonts w:asciiTheme="minorHAnsi" w:hAnsiTheme="minorHAnsi" w:cstheme="minorHAnsi"/>
                          <w:b/>
                          <w:szCs w:val="26"/>
                        </w:rPr>
                        <w:t xml:space="preserve"> contained in this pre-budget submission will provide incentives for </w:t>
                      </w:r>
                      <w:r w:rsidR="009A1043">
                        <w:rPr>
                          <w:rFonts w:asciiTheme="minorHAnsi" w:hAnsiTheme="minorHAnsi" w:cstheme="minorHAnsi"/>
                          <w:b/>
                          <w:szCs w:val="26"/>
                        </w:rPr>
                        <w:t xml:space="preserve">local </w:t>
                      </w:r>
                      <w:r w:rsidRPr="008101F3">
                        <w:rPr>
                          <w:rFonts w:asciiTheme="minorHAnsi" w:hAnsiTheme="minorHAnsi" w:cstheme="minorHAnsi"/>
                          <w:b/>
                          <w:szCs w:val="26"/>
                        </w:rPr>
                        <w:t xml:space="preserve">investment and innovation in the non-prescription medicines sector, and increase consumer access to medicines. </w:t>
                      </w:r>
                      <w:r w:rsidR="00CC0299">
                        <w:rPr>
                          <w:rFonts w:asciiTheme="minorHAnsi" w:hAnsiTheme="minorHAnsi" w:cstheme="minorHAnsi"/>
                          <w:b/>
                          <w:szCs w:val="26"/>
                        </w:rPr>
                        <w:t>T</w:t>
                      </w:r>
                      <w:r w:rsidR="00930670">
                        <w:rPr>
                          <w:rFonts w:asciiTheme="minorHAnsi" w:hAnsiTheme="minorHAnsi" w:cstheme="minorHAnsi"/>
                          <w:b/>
                          <w:szCs w:val="26"/>
                        </w:rPr>
                        <w:t xml:space="preserve">his </w:t>
                      </w:r>
                      <w:r w:rsidR="00CC0299">
                        <w:rPr>
                          <w:rFonts w:asciiTheme="minorHAnsi" w:hAnsiTheme="minorHAnsi" w:cstheme="minorHAnsi"/>
                          <w:b/>
                          <w:szCs w:val="26"/>
                        </w:rPr>
                        <w:t xml:space="preserve">will </w:t>
                      </w:r>
                      <w:r w:rsidRPr="008101F3">
                        <w:rPr>
                          <w:rFonts w:asciiTheme="minorHAnsi" w:hAnsiTheme="minorHAnsi" w:cstheme="minorHAnsi"/>
                          <w:b/>
                          <w:szCs w:val="26"/>
                        </w:rPr>
                        <w:t>contribute to reducing</w:t>
                      </w:r>
                      <w:r w:rsidR="00CC0299">
                        <w:rPr>
                          <w:rFonts w:asciiTheme="minorHAnsi" w:hAnsiTheme="minorHAnsi" w:cstheme="minorHAnsi"/>
                          <w:b/>
                          <w:szCs w:val="26"/>
                        </w:rPr>
                        <w:t xml:space="preserve"> </w:t>
                      </w:r>
                      <w:r w:rsidRPr="008101F3">
                        <w:rPr>
                          <w:rFonts w:asciiTheme="minorHAnsi" w:hAnsiTheme="minorHAnsi" w:cstheme="minorHAnsi"/>
                          <w:b/>
                          <w:szCs w:val="26"/>
                        </w:rPr>
                        <w:t>Medicare and PBS costs</w:t>
                      </w:r>
                      <w:r w:rsidR="00CC0299">
                        <w:rPr>
                          <w:rFonts w:asciiTheme="minorHAnsi" w:hAnsiTheme="minorHAnsi" w:cstheme="minorHAnsi"/>
                          <w:b/>
                          <w:szCs w:val="26"/>
                        </w:rPr>
                        <w:t xml:space="preserve"> </w:t>
                      </w:r>
                      <w:r w:rsidRPr="008101F3">
                        <w:rPr>
                          <w:rFonts w:asciiTheme="minorHAnsi" w:hAnsiTheme="minorHAnsi" w:cstheme="minorHAnsi"/>
                          <w:b/>
                          <w:szCs w:val="26"/>
                        </w:rPr>
                        <w:t>and increase the sustainability of the Australian healthcare system</w:t>
                      </w:r>
                      <w:r w:rsidR="00CC0299">
                        <w:rPr>
                          <w:rFonts w:asciiTheme="minorHAnsi" w:hAnsiTheme="minorHAnsi" w:cstheme="minorHAnsi"/>
                          <w:b/>
                          <w:szCs w:val="26"/>
                        </w:rPr>
                        <w:t>. I</w:t>
                      </w:r>
                      <w:r w:rsidR="00930670">
                        <w:rPr>
                          <w:rFonts w:asciiTheme="minorHAnsi" w:hAnsiTheme="minorHAnsi" w:cstheme="minorHAnsi"/>
                          <w:b/>
                          <w:szCs w:val="26"/>
                        </w:rPr>
                        <w:t>t will also increase consumer access and empowerment for improved health outcomes</w:t>
                      </w:r>
                      <w:r w:rsidR="009D0373">
                        <w:rPr>
                          <w:rFonts w:asciiTheme="minorHAnsi" w:hAnsiTheme="minorHAnsi" w:cstheme="minorHAnsi"/>
                          <w:b/>
                          <w:szCs w:val="26"/>
                        </w:rPr>
                        <w:t>.</w:t>
                      </w:r>
                    </w:p>
                  </w:txbxContent>
                </v:textbox>
              </v:shape>
            </w:pict>
          </mc:Fallback>
        </mc:AlternateContent>
      </w:r>
      <w:r w:rsidR="006A644B" w:rsidRPr="008D38C7">
        <w:rPr>
          <w:rFonts w:asciiTheme="minorHAnsi" w:hAnsiTheme="minorHAnsi" w:cstheme="minorHAnsi"/>
          <w:b/>
          <w:color w:val="000099"/>
          <w:sz w:val="32"/>
          <w:szCs w:val="32"/>
        </w:rPr>
        <w:t>2017 Pre-Budget Submission</w:t>
      </w:r>
    </w:p>
    <w:p w14:paraId="2BDA1182" w14:textId="21811D19" w:rsidR="00CE36B8" w:rsidRPr="008D38C7" w:rsidRDefault="00CE36B8" w:rsidP="006E2EAA">
      <w:pPr>
        <w:spacing w:after="240"/>
        <w:jc w:val="center"/>
        <w:rPr>
          <w:rFonts w:asciiTheme="minorHAnsi" w:hAnsiTheme="minorHAnsi" w:cstheme="minorHAnsi"/>
          <w:b/>
          <w:color w:val="000099"/>
          <w:sz w:val="32"/>
          <w:szCs w:val="32"/>
        </w:rPr>
      </w:pPr>
    </w:p>
    <w:p w14:paraId="16C5A769" w14:textId="77777777" w:rsidR="00CE36B8" w:rsidRPr="008D38C7" w:rsidRDefault="00CE36B8" w:rsidP="006E2EAA">
      <w:pPr>
        <w:autoSpaceDE w:val="0"/>
        <w:autoSpaceDN w:val="0"/>
        <w:adjustRightInd w:val="0"/>
        <w:spacing w:before="240" w:after="120"/>
        <w:rPr>
          <w:rFonts w:asciiTheme="minorHAnsi" w:hAnsiTheme="minorHAnsi" w:cstheme="minorHAnsi"/>
        </w:rPr>
      </w:pPr>
    </w:p>
    <w:p w14:paraId="277D3EA5" w14:textId="77777777" w:rsidR="00CE36B8" w:rsidRPr="008D38C7" w:rsidRDefault="00CE36B8" w:rsidP="00CE36B8">
      <w:pPr>
        <w:autoSpaceDE w:val="0"/>
        <w:autoSpaceDN w:val="0"/>
        <w:adjustRightInd w:val="0"/>
        <w:rPr>
          <w:rFonts w:asciiTheme="minorHAnsi" w:hAnsiTheme="minorHAnsi" w:cstheme="minorHAnsi"/>
        </w:rPr>
      </w:pPr>
    </w:p>
    <w:p w14:paraId="1613EA1C" w14:textId="77777777" w:rsidR="008101F3" w:rsidRPr="008D38C7" w:rsidRDefault="008101F3" w:rsidP="008101F3">
      <w:pPr>
        <w:autoSpaceDE w:val="0"/>
        <w:autoSpaceDN w:val="0"/>
        <w:adjustRightInd w:val="0"/>
        <w:rPr>
          <w:rFonts w:asciiTheme="minorHAnsi" w:hAnsiTheme="minorHAnsi" w:cstheme="minorHAnsi"/>
        </w:rPr>
      </w:pPr>
    </w:p>
    <w:p w14:paraId="3308E2E1" w14:textId="01CF28FD" w:rsidR="00C10BD5" w:rsidRPr="008D38C7" w:rsidRDefault="006767FF">
      <w:pPr>
        <w:autoSpaceDE w:val="0"/>
        <w:autoSpaceDN w:val="0"/>
        <w:adjustRightInd w:val="0"/>
        <w:spacing w:before="240" w:after="120"/>
        <w:rPr>
          <w:rFonts w:asciiTheme="minorHAnsi" w:hAnsiTheme="minorHAnsi" w:cstheme="minorHAnsi"/>
        </w:rPr>
      </w:pPr>
      <w:r w:rsidRPr="008D38C7">
        <w:rPr>
          <w:rFonts w:asciiTheme="minorHAnsi" w:hAnsiTheme="minorHAnsi" w:cstheme="minorHAnsi"/>
        </w:rPr>
        <w:t xml:space="preserve">The Australian Self Medication Industry (ASMI) is the peak body representing sponsors of non-prescription medicines. This includes over-the-counter (OTC) and complementary medicines. </w:t>
      </w:r>
      <w:r w:rsidR="009A1043">
        <w:rPr>
          <w:rFonts w:asciiTheme="minorHAnsi" w:hAnsiTheme="minorHAnsi" w:cstheme="minorHAnsi"/>
        </w:rPr>
        <w:t>Our</w:t>
      </w:r>
      <w:r w:rsidR="009A1043" w:rsidRPr="008D38C7">
        <w:rPr>
          <w:rFonts w:asciiTheme="minorHAnsi" w:hAnsiTheme="minorHAnsi" w:cstheme="minorHAnsi"/>
        </w:rPr>
        <w:t xml:space="preserve"> </w:t>
      </w:r>
      <w:r w:rsidRPr="008D38C7">
        <w:rPr>
          <w:rFonts w:asciiTheme="minorHAnsi" w:hAnsiTheme="minorHAnsi" w:cstheme="minorHAnsi"/>
        </w:rPr>
        <w:t xml:space="preserve">members make up 85 per cent of </w:t>
      </w:r>
      <w:r w:rsidR="009A1043">
        <w:rPr>
          <w:rFonts w:asciiTheme="minorHAnsi" w:hAnsiTheme="minorHAnsi" w:cstheme="minorHAnsi"/>
        </w:rPr>
        <w:t>this</w:t>
      </w:r>
      <w:r w:rsidR="009A1043" w:rsidRPr="008D38C7">
        <w:rPr>
          <w:rFonts w:asciiTheme="minorHAnsi" w:hAnsiTheme="minorHAnsi" w:cstheme="minorHAnsi"/>
        </w:rPr>
        <w:t xml:space="preserve"> </w:t>
      </w:r>
      <w:r w:rsidRPr="008D38C7">
        <w:rPr>
          <w:rFonts w:asciiTheme="minorHAnsi" w:hAnsiTheme="minorHAnsi" w:cstheme="minorHAnsi"/>
        </w:rPr>
        <w:t xml:space="preserve">$4 billion consumer healthcare products market </w:t>
      </w:r>
      <w:r w:rsidR="009A1043">
        <w:rPr>
          <w:rFonts w:asciiTheme="minorHAnsi" w:hAnsiTheme="minorHAnsi" w:cstheme="minorHAnsi"/>
        </w:rPr>
        <w:t>and</w:t>
      </w:r>
      <w:r w:rsidRPr="008D38C7">
        <w:rPr>
          <w:rFonts w:asciiTheme="minorHAnsi" w:hAnsiTheme="minorHAnsi" w:cstheme="minorHAnsi"/>
        </w:rPr>
        <w:t xml:space="preserve"> employ approximately 18,000 people</w:t>
      </w:r>
      <w:r w:rsidR="009D0373">
        <w:rPr>
          <w:rFonts w:asciiTheme="minorHAnsi" w:hAnsiTheme="minorHAnsi" w:cstheme="minorHAnsi"/>
        </w:rPr>
        <w:t xml:space="preserve">, with </w:t>
      </w:r>
      <w:r w:rsidRPr="008D38C7">
        <w:rPr>
          <w:rFonts w:asciiTheme="minorHAnsi" w:hAnsiTheme="minorHAnsi" w:cstheme="minorHAnsi"/>
        </w:rPr>
        <w:t>exports estimated at $1.2 billion annually.</w:t>
      </w:r>
    </w:p>
    <w:p w14:paraId="0E430619" w14:textId="04D163D8" w:rsidR="00882DEC" w:rsidRPr="008D38C7" w:rsidRDefault="00882DEC" w:rsidP="006E2EAA">
      <w:pPr>
        <w:autoSpaceDE w:val="0"/>
        <w:autoSpaceDN w:val="0"/>
        <w:adjustRightInd w:val="0"/>
        <w:spacing w:after="240"/>
        <w:rPr>
          <w:rFonts w:asciiTheme="minorHAnsi" w:hAnsiTheme="minorHAnsi" w:cstheme="minorHAnsi"/>
        </w:rPr>
      </w:pPr>
      <w:r w:rsidRPr="008D38C7">
        <w:rPr>
          <w:rFonts w:asciiTheme="minorHAnsi" w:hAnsiTheme="minorHAnsi" w:cstheme="minorHAnsi"/>
        </w:rPr>
        <w:t>Overall, OTC medicines provide high value to the Australian health system</w:t>
      </w:r>
      <w:r w:rsidR="006E2EAA" w:rsidRPr="008D38C7">
        <w:rPr>
          <w:rFonts w:asciiTheme="minorHAnsi" w:hAnsiTheme="minorHAnsi" w:cstheme="minorHAnsi"/>
        </w:rPr>
        <w:t xml:space="preserve">. </w:t>
      </w:r>
      <w:r w:rsidR="00930670">
        <w:rPr>
          <w:rFonts w:asciiTheme="minorHAnsi" w:hAnsiTheme="minorHAnsi" w:cstheme="minorHAnsi"/>
        </w:rPr>
        <w:t>Consumer research from Macquarie University Centre for the Health Economy (MUCHE)</w:t>
      </w:r>
      <w:r w:rsidR="008461FF" w:rsidRPr="008461FF">
        <w:rPr>
          <w:rStyle w:val="EndnoteReference"/>
          <w:rFonts w:asciiTheme="minorHAnsi" w:hAnsiTheme="minorHAnsi" w:cstheme="minorHAnsi"/>
        </w:rPr>
        <w:t xml:space="preserve"> </w:t>
      </w:r>
      <w:r w:rsidR="008461FF" w:rsidRPr="0016657C">
        <w:rPr>
          <w:rStyle w:val="EndnoteReference"/>
          <w:rFonts w:asciiTheme="minorHAnsi" w:hAnsiTheme="minorHAnsi" w:cstheme="minorHAnsi"/>
        </w:rPr>
        <w:endnoteReference w:id="2"/>
      </w:r>
      <w:r w:rsidR="00930670">
        <w:rPr>
          <w:rFonts w:asciiTheme="minorHAnsi" w:hAnsiTheme="minorHAnsi" w:cstheme="minorHAnsi"/>
        </w:rPr>
        <w:t xml:space="preserve"> estimate</w:t>
      </w:r>
      <w:r w:rsidR="00B01AFA">
        <w:rPr>
          <w:rFonts w:asciiTheme="minorHAnsi" w:hAnsiTheme="minorHAnsi" w:cstheme="minorHAnsi"/>
        </w:rPr>
        <w:t>s</w:t>
      </w:r>
      <w:r w:rsidR="009A1043">
        <w:rPr>
          <w:rFonts w:asciiTheme="minorHAnsi" w:hAnsiTheme="minorHAnsi" w:cstheme="minorHAnsi"/>
        </w:rPr>
        <w:t xml:space="preserve"> </w:t>
      </w:r>
      <w:r w:rsidR="00930670">
        <w:rPr>
          <w:rFonts w:asciiTheme="minorHAnsi" w:hAnsiTheme="minorHAnsi" w:cstheme="minorHAnsi"/>
        </w:rPr>
        <w:t xml:space="preserve">that if </w:t>
      </w:r>
      <w:r w:rsidR="00F8274E">
        <w:rPr>
          <w:rFonts w:asciiTheme="minorHAnsi" w:hAnsiTheme="minorHAnsi" w:cstheme="minorHAnsi"/>
        </w:rPr>
        <w:t xml:space="preserve">the </w:t>
      </w:r>
      <w:r w:rsidR="00B01AFA">
        <w:rPr>
          <w:rFonts w:asciiTheme="minorHAnsi" w:hAnsiTheme="minorHAnsi" w:cstheme="minorHAnsi"/>
        </w:rPr>
        <w:t>eight</w:t>
      </w:r>
      <w:r w:rsidR="00F8274E">
        <w:rPr>
          <w:rFonts w:asciiTheme="minorHAnsi" w:hAnsiTheme="minorHAnsi" w:cstheme="minorHAnsi"/>
        </w:rPr>
        <w:t xml:space="preserve"> largest categories of </w:t>
      </w:r>
      <w:r w:rsidR="00930670">
        <w:rPr>
          <w:rFonts w:asciiTheme="minorHAnsi" w:hAnsiTheme="minorHAnsi" w:cstheme="minorHAnsi"/>
        </w:rPr>
        <w:t>OTC medicines were not available, there would be an e</w:t>
      </w:r>
      <w:r w:rsidR="009A1043">
        <w:rPr>
          <w:rFonts w:asciiTheme="minorHAnsi" w:hAnsiTheme="minorHAnsi" w:cstheme="minorHAnsi"/>
        </w:rPr>
        <w:t>s</w:t>
      </w:r>
      <w:r w:rsidR="00930670">
        <w:rPr>
          <w:rFonts w:asciiTheme="minorHAnsi" w:hAnsiTheme="minorHAnsi" w:cstheme="minorHAnsi"/>
        </w:rPr>
        <w:t>timated 58 million additional GP visits for people to obtain their medication</w:t>
      </w:r>
      <w:r w:rsidR="00022CD7">
        <w:rPr>
          <w:rFonts w:asciiTheme="minorHAnsi" w:hAnsiTheme="minorHAnsi" w:cstheme="minorHAnsi"/>
        </w:rPr>
        <w:t xml:space="preserve">. </w:t>
      </w:r>
      <w:r w:rsidR="00022CD7" w:rsidRPr="008D38C7">
        <w:rPr>
          <w:rFonts w:asciiTheme="minorHAnsi" w:eastAsia="Calibri" w:hAnsiTheme="minorHAnsi" w:cstheme="minorHAnsi"/>
        </w:rPr>
        <w:t xml:space="preserve">The cost of this would be approximately </w:t>
      </w:r>
      <w:r w:rsidR="00022CD7" w:rsidRPr="008D38C7">
        <w:rPr>
          <w:rFonts w:asciiTheme="minorHAnsi" w:hAnsiTheme="minorHAnsi" w:cstheme="minorHAnsi"/>
        </w:rPr>
        <w:t xml:space="preserve">$3.86 billion per year – </w:t>
      </w:r>
      <w:r w:rsidR="00022CD7" w:rsidRPr="000C7777">
        <w:rPr>
          <w:rFonts w:asciiTheme="minorHAnsi" w:hAnsiTheme="minorHAnsi" w:cstheme="minorHAnsi"/>
          <w:b/>
          <w:i/>
        </w:rPr>
        <w:t>of which $2.5 billion would be borne by Medicare</w:t>
      </w:r>
      <w:r w:rsidR="009B5B52" w:rsidRPr="000C7777">
        <w:rPr>
          <w:rFonts w:asciiTheme="minorHAnsi" w:hAnsiTheme="minorHAnsi" w:cstheme="minorHAnsi"/>
          <w:b/>
          <w:i/>
        </w:rPr>
        <w:t>,</w:t>
      </w:r>
      <w:r w:rsidR="00022CD7" w:rsidRPr="000C7777">
        <w:rPr>
          <w:rFonts w:asciiTheme="minorHAnsi" w:hAnsiTheme="minorHAnsi" w:cstheme="minorHAnsi"/>
          <w:b/>
          <w:i/>
        </w:rPr>
        <w:t xml:space="preserve"> $1.04 billion by consumers</w:t>
      </w:r>
      <w:r w:rsidR="009B5B52" w:rsidRPr="000C7777">
        <w:rPr>
          <w:rFonts w:asciiTheme="minorHAnsi" w:hAnsiTheme="minorHAnsi" w:cstheme="minorHAnsi"/>
          <w:b/>
          <w:i/>
        </w:rPr>
        <w:t xml:space="preserve"> and $360 million by health insurers</w:t>
      </w:r>
      <w:r w:rsidR="00022CD7" w:rsidRPr="008D38C7">
        <w:rPr>
          <w:rFonts w:asciiTheme="minorHAnsi" w:hAnsiTheme="minorHAnsi" w:cstheme="minorHAnsi"/>
        </w:rPr>
        <w:t>.  This cost increases to over $10 billion per annum if the</w:t>
      </w:r>
      <w:r w:rsidR="00022CD7" w:rsidRPr="008D38C7">
        <w:rPr>
          <w:rFonts w:asciiTheme="minorHAnsi" w:hAnsiTheme="minorHAnsi" w:cstheme="minorHAnsi"/>
          <w:i/>
        </w:rPr>
        <w:t xml:space="preserve"> indirect </w:t>
      </w:r>
      <w:r w:rsidR="00022CD7" w:rsidRPr="008D38C7">
        <w:rPr>
          <w:rFonts w:asciiTheme="minorHAnsi" w:hAnsiTheme="minorHAnsi" w:cstheme="minorHAnsi"/>
        </w:rPr>
        <w:t xml:space="preserve">costs of visiting a doctor </w:t>
      </w:r>
      <w:r w:rsidR="00F8274E">
        <w:rPr>
          <w:rFonts w:asciiTheme="minorHAnsi" w:hAnsiTheme="minorHAnsi" w:cstheme="minorHAnsi"/>
        </w:rPr>
        <w:t>(e.g. productivity losses)</w:t>
      </w:r>
      <w:r w:rsidR="00F8274E" w:rsidRPr="00A16DD8">
        <w:rPr>
          <w:rFonts w:asciiTheme="minorHAnsi" w:hAnsiTheme="minorHAnsi" w:cstheme="minorHAnsi"/>
        </w:rPr>
        <w:t xml:space="preserve"> </w:t>
      </w:r>
      <w:r w:rsidR="00022CD7" w:rsidRPr="008D38C7">
        <w:rPr>
          <w:rFonts w:asciiTheme="minorHAnsi" w:hAnsiTheme="minorHAnsi" w:cstheme="minorHAnsi"/>
        </w:rPr>
        <w:t>are taken into account</w:t>
      </w:r>
      <w:r w:rsidR="00022CD7">
        <w:rPr>
          <w:rFonts w:asciiTheme="minorHAnsi" w:hAnsiTheme="minorHAnsi" w:cstheme="minorHAnsi"/>
        </w:rPr>
        <w:t>:</w:t>
      </w:r>
    </w:p>
    <w:p w14:paraId="53849E4C" w14:textId="6FF0074B" w:rsidR="008461FF" w:rsidRPr="008D38C7" w:rsidRDefault="006E2EAA" w:rsidP="006E2EAA">
      <w:pPr>
        <w:autoSpaceDE w:val="0"/>
        <w:autoSpaceDN w:val="0"/>
        <w:adjustRightInd w:val="0"/>
        <w:spacing w:before="200" w:after="200"/>
        <w:jc w:val="center"/>
        <w:rPr>
          <w:rFonts w:asciiTheme="minorHAnsi" w:hAnsiTheme="minorHAnsi" w:cstheme="minorHAnsi"/>
        </w:rPr>
      </w:pPr>
      <w:r w:rsidRPr="008D38C7">
        <w:rPr>
          <w:noProof/>
        </w:rPr>
        <w:drawing>
          <wp:inline distT="0" distB="0" distL="0" distR="0" wp14:anchorId="4AFDA2AC" wp14:editId="75C691DE">
            <wp:extent cx="3076575" cy="1039612"/>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6575" cy="1039612"/>
                    </a:xfrm>
                    <a:prstGeom prst="rect">
                      <a:avLst/>
                    </a:prstGeom>
                    <a:noFill/>
                    <a:ln>
                      <a:noFill/>
                    </a:ln>
                  </pic:spPr>
                </pic:pic>
              </a:graphicData>
            </a:graphic>
          </wp:inline>
        </w:drawing>
      </w:r>
    </w:p>
    <w:p w14:paraId="22499C52" w14:textId="3EE2B93B" w:rsidR="003C0162" w:rsidRPr="000C7777" w:rsidRDefault="008461FF" w:rsidP="000C7777">
      <w:pPr>
        <w:pStyle w:val="BodyText"/>
        <w:spacing w:before="240" w:after="120"/>
        <w:rPr>
          <w:rFonts w:ascii="Arial Narrow" w:hAnsi="Arial Narrow" w:cstheme="minorHAnsi"/>
          <w:sz w:val="16"/>
          <w:szCs w:val="18"/>
        </w:rPr>
      </w:pPr>
      <w:r>
        <w:rPr>
          <w:rFonts w:ascii="Arial Narrow" w:hAnsi="Arial Narrow" w:cstheme="minorHAnsi"/>
          <w:i/>
          <w:sz w:val="16"/>
          <w:szCs w:val="18"/>
          <w:lang w:val="en-AU"/>
        </w:rPr>
        <w:t xml:space="preserve">         </w:t>
      </w:r>
      <w:r w:rsidRPr="008D38C7">
        <w:rPr>
          <w:rFonts w:ascii="Arial Narrow" w:hAnsi="Arial Narrow" w:cstheme="minorHAnsi"/>
          <w:i/>
          <w:sz w:val="16"/>
          <w:szCs w:val="18"/>
          <w:lang w:val="en-AU"/>
        </w:rPr>
        <w:t xml:space="preserve">The Value of OTC Medicines in Australia, </w:t>
      </w:r>
      <w:r w:rsidRPr="008D38C7">
        <w:rPr>
          <w:rFonts w:ascii="Arial Narrow" w:hAnsi="Arial Narrow" w:cstheme="minorHAnsi"/>
          <w:sz w:val="16"/>
          <w:szCs w:val="18"/>
          <w:lang w:val="en-AU"/>
        </w:rPr>
        <w:t>The Macquarie University Centre for the Health Economy, March 2014</w:t>
      </w:r>
    </w:p>
    <w:p w14:paraId="6947DEE4" w14:textId="2F1335FF" w:rsidR="00CE36B8" w:rsidRPr="008D38C7" w:rsidRDefault="007C26A9" w:rsidP="00CE36B8">
      <w:pPr>
        <w:pStyle w:val="BodyText"/>
        <w:spacing w:before="0" w:after="120"/>
        <w:ind w:left="0"/>
        <w:rPr>
          <w:sz w:val="22"/>
          <w:lang w:val="en-AU"/>
        </w:rPr>
      </w:pPr>
      <w:r w:rsidRPr="008D38C7">
        <w:rPr>
          <w:sz w:val="22"/>
          <w:lang w:val="en-AU"/>
        </w:rPr>
        <w:t xml:space="preserve">The chart below </w:t>
      </w:r>
      <w:r w:rsidR="00A45F8B" w:rsidRPr="008D38C7">
        <w:rPr>
          <w:sz w:val="22"/>
          <w:lang w:val="en-AU"/>
        </w:rPr>
        <w:t>shows</w:t>
      </w:r>
      <w:r w:rsidRPr="008D38C7">
        <w:rPr>
          <w:sz w:val="22"/>
          <w:lang w:val="en-AU"/>
        </w:rPr>
        <w:t xml:space="preserve"> the </w:t>
      </w:r>
      <w:r w:rsidR="00022CD7">
        <w:rPr>
          <w:sz w:val="22"/>
          <w:lang w:val="en-AU"/>
        </w:rPr>
        <w:t xml:space="preserve">estimated </w:t>
      </w:r>
      <w:r w:rsidRPr="008D38C7">
        <w:rPr>
          <w:sz w:val="22"/>
          <w:lang w:val="en-AU"/>
        </w:rPr>
        <w:t xml:space="preserve">savings that Australia’s eight largest categories of OTC </w:t>
      </w:r>
      <w:r w:rsidR="006E2EAA" w:rsidRPr="008D38C7">
        <w:rPr>
          <w:sz w:val="22"/>
          <w:lang w:val="en-AU"/>
        </w:rPr>
        <w:t xml:space="preserve">medicines, calculated in terms of the money saved </w:t>
      </w:r>
      <w:r w:rsidR="003812F0">
        <w:rPr>
          <w:sz w:val="22"/>
          <w:lang w:val="en-AU"/>
        </w:rPr>
        <w:t xml:space="preserve">annually </w:t>
      </w:r>
      <w:r w:rsidR="006E2EAA" w:rsidRPr="008D38C7">
        <w:rPr>
          <w:sz w:val="22"/>
          <w:lang w:val="en-AU"/>
        </w:rPr>
        <w:t>by not paying for a visit to a doctor</w:t>
      </w:r>
      <w:r w:rsidR="006F2E55">
        <w:rPr>
          <w:sz w:val="22"/>
          <w:lang w:val="en-AU"/>
        </w:rPr>
        <w:t>:</w:t>
      </w:r>
    </w:p>
    <w:p w14:paraId="40F9535C" w14:textId="053EBBAE" w:rsidR="00A45F8B" w:rsidRPr="008D38C7" w:rsidRDefault="00A45F8B">
      <w:pPr>
        <w:pStyle w:val="BodyText"/>
        <w:spacing w:before="240" w:after="120"/>
        <w:ind w:left="0"/>
        <w:rPr>
          <w:sz w:val="22"/>
          <w:lang w:val="en-AU"/>
        </w:rPr>
      </w:pPr>
      <w:r w:rsidRPr="008D38C7">
        <w:rPr>
          <w:noProof/>
          <w:sz w:val="14"/>
          <w:lang w:val="en-AU" w:eastAsia="en-AU"/>
        </w:rPr>
        <w:drawing>
          <wp:inline distT="0" distB="0" distL="0" distR="0" wp14:anchorId="6CEAC7E5" wp14:editId="29BD5EA3">
            <wp:extent cx="4534131" cy="265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8 p6 chart.png"/>
                    <pic:cNvPicPr/>
                  </pic:nvPicPr>
                  <pic:blipFill>
                    <a:blip r:embed="rId16">
                      <a:extLst>
                        <a:ext uri="{28A0092B-C50C-407E-A947-70E740481C1C}">
                          <a14:useLocalDpi xmlns:a14="http://schemas.microsoft.com/office/drawing/2010/main" val="0"/>
                        </a:ext>
                      </a:extLst>
                    </a:blip>
                    <a:stretch>
                      <a:fillRect/>
                    </a:stretch>
                  </pic:blipFill>
                  <pic:spPr>
                    <a:xfrm>
                      <a:off x="0" y="0"/>
                      <a:ext cx="4548433" cy="2664214"/>
                    </a:xfrm>
                    <a:prstGeom prst="rect">
                      <a:avLst/>
                    </a:prstGeom>
                  </pic:spPr>
                </pic:pic>
              </a:graphicData>
            </a:graphic>
          </wp:inline>
        </w:drawing>
      </w:r>
    </w:p>
    <w:p w14:paraId="7242656D" w14:textId="683D6336" w:rsidR="00CE36B8" w:rsidRPr="008D38C7" w:rsidRDefault="008101F3" w:rsidP="000C7777">
      <w:pPr>
        <w:pStyle w:val="BodyText"/>
        <w:spacing w:before="0" w:after="240"/>
        <w:ind w:left="720"/>
        <w:rPr>
          <w:rFonts w:ascii="Arial Narrow" w:hAnsi="Arial Narrow" w:cstheme="minorHAnsi"/>
          <w:sz w:val="16"/>
          <w:szCs w:val="18"/>
          <w:lang w:val="en-AU"/>
        </w:rPr>
      </w:pPr>
      <w:r w:rsidRPr="008D38C7">
        <w:rPr>
          <w:rFonts w:ascii="Arial Narrow" w:hAnsi="Arial Narrow" w:cstheme="minorHAnsi"/>
          <w:i/>
          <w:sz w:val="16"/>
          <w:szCs w:val="18"/>
          <w:lang w:val="en-AU"/>
        </w:rPr>
        <w:t xml:space="preserve">      </w:t>
      </w:r>
      <w:r w:rsidR="00CE36B8" w:rsidRPr="008D38C7">
        <w:rPr>
          <w:rFonts w:ascii="Arial Narrow" w:hAnsi="Arial Narrow" w:cstheme="minorHAnsi"/>
          <w:i/>
          <w:sz w:val="16"/>
          <w:szCs w:val="18"/>
          <w:lang w:val="en-AU"/>
        </w:rPr>
        <w:t xml:space="preserve">The Value of OTC Medicines in Australia, </w:t>
      </w:r>
      <w:r w:rsidR="00CE36B8" w:rsidRPr="008D38C7">
        <w:rPr>
          <w:rFonts w:ascii="Arial Narrow" w:hAnsi="Arial Narrow" w:cstheme="minorHAnsi"/>
          <w:sz w:val="16"/>
          <w:szCs w:val="18"/>
          <w:lang w:val="en-AU"/>
        </w:rPr>
        <w:t>The Macquarie University Centre for the Health Economy, March 2014</w:t>
      </w:r>
    </w:p>
    <w:p w14:paraId="4596D088" w14:textId="77777777" w:rsidR="003B7A62" w:rsidRDefault="003B7A62">
      <w:pPr>
        <w:rPr>
          <w:rFonts w:asciiTheme="minorHAnsi" w:hAnsiTheme="minorHAnsi" w:cstheme="minorHAnsi"/>
        </w:rPr>
      </w:pPr>
      <w:r>
        <w:rPr>
          <w:rFonts w:asciiTheme="minorHAnsi" w:hAnsiTheme="minorHAnsi" w:cstheme="minorHAnsi"/>
        </w:rPr>
        <w:br w:type="page"/>
      </w:r>
    </w:p>
    <w:p w14:paraId="0C435EB9" w14:textId="1F24106C" w:rsidR="0029771E" w:rsidRPr="008D38C7" w:rsidRDefault="0029771E" w:rsidP="003F4536">
      <w:pPr>
        <w:autoSpaceDE w:val="0"/>
        <w:autoSpaceDN w:val="0"/>
        <w:adjustRightInd w:val="0"/>
        <w:spacing w:after="240"/>
        <w:rPr>
          <w:rFonts w:asciiTheme="minorHAnsi" w:hAnsiTheme="minorHAnsi" w:cstheme="minorHAnsi"/>
        </w:rPr>
      </w:pPr>
      <w:r w:rsidRPr="008D38C7">
        <w:rPr>
          <w:rFonts w:asciiTheme="minorHAnsi" w:hAnsiTheme="minorHAnsi" w:cstheme="minorHAnsi"/>
        </w:rPr>
        <w:lastRenderedPageBreak/>
        <w:t>The following recommendations deliver both savings to the health portfolio and benefits for consumers and healthcare professionals, while positive outcomes will accrue to other portfolios through stimulation of the Australi</w:t>
      </w:r>
      <w:r w:rsidR="003F4536" w:rsidRPr="008D38C7">
        <w:rPr>
          <w:rFonts w:asciiTheme="minorHAnsi" w:hAnsiTheme="minorHAnsi" w:cstheme="minorHAnsi"/>
        </w:rPr>
        <w:t xml:space="preserve">an consumer healthcare industry, resulting in greater incentives for investment in R&amp;D and manufacturing facilities, increased employment and export growth. </w:t>
      </w:r>
    </w:p>
    <w:p w14:paraId="1A021E63" w14:textId="77777777" w:rsidR="005172A2" w:rsidRPr="008D38C7" w:rsidRDefault="005172A2" w:rsidP="005172A2">
      <w:pPr>
        <w:tabs>
          <w:tab w:val="left" w:pos="2632"/>
        </w:tabs>
        <w:spacing w:before="240" w:after="120"/>
        <w:rPr>
          <w:rFonts w:ascii="Calibri" w:hAnsi="Calibri" w:cs="Calibri"/>
          <w:b/>
          <w:i/>
          <w:sz w:val="24"/>
          <w:u w:val="single"/>
        </w:rPr>
      </w:pPr>
      <w:r w:rsidRPr="008D38C7">
        <w:rPr>
          <w:rFonts w:ascii="Calibri" w:hAnsi="Calibri" w:cs="Calibri"/>
          <w:b/>
          <w:i/>
          <w:sz w:val="24"/>
          <w:u w:val="single"/>
        </w:rPr>
        <w:t>RECOMMENDATION 1</w:t>
      </w:r>
    </w:p>
    <w:p w14:paraId="5E54738F" w14:textId="77777777" w:rsidR="005172A2" w:rsidRPr="008D38C7" w:rsidRDefault="005172A2" w:rsidP="005172A2">
      <w:pPr>
        <w:tabs>
          <w:tab w:val="left" w:pos="4989"/>
        </w:tabs>
        <w:spacing w:after="200"/>
        <w:jc w:val="center"/>
        <w:rPr>
          <w:rFonts w:asciiTheme="minorHAnsi" w:hAnsiTheme="minorHAnsi" w:cstheme="minorHAnsi"/>
          <w:b/>
          <w:sz w:val="28"/>
        </w:rPr>
      </w:pPr>
      <w:r w:rsidRPr="008D38C7">
        <w:rPr>
          <w:rFonts w:asciiTheme="minorHAnsi" w:hAnsiTheme="minorHAnsi" w:cstheme="minorHAnsi"/>
          <w:b/>
          <w:noProof/>
          <w:sz w:val="28"/>
        </w:rPr>
        <mc:AlternateContent>
          <mc:Choice Requires="wps">
            <w:drawing>
              <wp:anchor distT="0" distB="0" distL="114300" distR="114300" simplePos="0" relativeHeight="251669504" behindDoc="0" locked="0" layoutInCell="1" allowOverlap="1" wp14:anchorId="1CFD1194" wp14:editId="339822EC">
                <wp:simplePos x="0" y="0"/>
                <wp:positionH relativeFrom="column">
                  <wp:posOffset>46355</wp:posOffset>
                </wp:positionH>
                <wp:positionV relativeFrom="paragraph">
                  <wp:posOffset>20955</wp:posOffset>
                </wp:positionV>
                <wp:extent cx="5357495" cy="564515"/>
                <wp:effectExtent l="57150" t="38100" r="71755" b="1022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56451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5E80E986" w14:textId="31DC74CD" w:rsidR="005172A2" w:rsidRDefault="005172A2" w:rsidP="005172A2">
                            <w:pPr>
                              <w:jc w:val="center"/>
                            </w:pPr>
                            <w:r w:rsidRPr="00006E6C">
                              <w:rPr>
                                <w:rFonts w:asciiTheme="minorHAnsi" w:hAnsiTheme="minorHAnsi" w:cstheme="minorHAnsi"/>
                                <w:b/>
                                <w:sz w:val="28"/>
                              </w:rPr>
                              <w:t xml:space="preserve">Develop a Schedule 4 to Schedule 3 ‘switch’ agenda </w:t>
                            </w:r>
                            <w:r>
                              <w:rPr>
                                <w:rFonts w:asciiTheme="minorHAnsi" w:hAnsiTheme="minorHAnsi" w:cstheme="minorHAnsi"/>
                                <w:b/>
                                <w:sz w:val="28"/>
                              </w:rPr>
                              <w:br/>
                            </w:r>
                            <w:r w:rsidRPr="00006E6C">
                              <w:rPr>
                                <w:rFonts w:asciiTheme="minorHAnsi" w:hAnsiTheme="minorHAnsi" w:cstheme="minorHAnsi"/>
                                <w:b/>
                                <w:sz w:val="28"/>
                              </w:rPr>
                              <w:t xml:space="preserve">and </w:t>
                            </w:r>
                            <w:r>
                              <w:rPr>
                                <w:rFonts w:asciiTheme="minorHAnsi" w:hAnsiTheme="minorHAnsi" w:cstheme="minorHAnsi"/>
                                <w:b/>
                                <w:sz w:val="28"/>
                              </w:rPr>
                              <w:t>reform</w:t>
                            </w:r>
                            <w:r w:rsidRPr="00006E6C">
                              <w:rPr>
                                <w:rFonts w:asciiTheme="minorHAnsi" w:hAnsiTheme="minorHAnsi" w:cstheme="minorHAnsi"/>
                                <w:b/>
                                <w:sz w:val="28"/>
                              </w:rPr>
                              <w:t xml:space="preserve"> the Australian scheduling policy framework (SPF)</w:t>
                            </w:r>
                          </w:p>
                          <w:p w14:paraId="128BA970" w14:textId="77777777" w:rsidR="005172A2" w:rsidRDefault="005172A2" w:rsidP="00517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5pt;margin-top:1.65pt;width:421.85pt;height:4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9vQwIAAMYEAAAOAAAAZHJzL2Uyb0RvYy54bWysVFtv0zAUfkfiP1h+p2m7ZmNR02l0gJDG&#10;RWz8ANexG2uOj7HdJt2v59hJ0wrQHhAvli/n+853bl7edI0me+G8AlPS2WRKiTAcKmW2Jf3x+OHN&#10;W0p8YKZiGowo6UF4erN6/WrZ2kLMoQZdCUeQxPiitSWtQ7BFlnlei4b5CVhh8FGCa1jAo9tmlWMt&#10;sjc6m0+nl1kLrrIOuPAeb+/6R7pK/FIKHr5K6UUguqSoLaTVpXUT12y1ZMXWMVsrPshg/6CiYcqg&#10;05HqjgVGdk79QdUo7sCDDBMOTQZSKi5SDBjNbPpbNA81syLFgsnxdkyT/3+0/Mv+myOqKukFJYY1&#10;WKJH0QXyDjoyj9lprS/Q6MGiWejwGqucIvX2HviTJwbWNTNbcesctLVgFaqbRWR2Bu15fCTZtJ+h&#10;QjdsFyARddI1MXWYDILsWKXDWJkoheNlfpFfLa5zSji+5ZeLfJYnF6w4oq3z4aOAhsRNSR1WPrGz&#10;/b0PUQ0rjibRmTZxjXLfmyo1QWBK93s0jc9Jf5Q8iA8HLXrodyExZadMxGYVa+3InmGbMc6FCX0K&#10;IhNaR5hUWo/AeZ/Cl4CDfYSK1MgjeMj/S+ARkTyDCSO4UQbc37xXT0fJsrc/ZqCPOxYzdJsu9Uqy&#10;jDcbqA5YUwf9YOFHgJsa3DMlLQ5VSf3PHXOCEv3JYF9czxaLOIXpsMiv5nhw5y+b8xdmOFKVNFDS&#10;b9chTW6MycAt9o9UqbQnJYNmHJZU8WGw4zSen5PV6ftZ/QIAAP//AwBQSwMEFAAGAAgAAAAhAKl8&#10;ElvdAAAABgEAAA8AAABkcnMvZG93bnJldi54bWxMj8FOg0AQhu8mvsNmTLzZpaAVkaUxxpp46KHV&#10;eJ7CCKTsLGW3BX16pyc9TSb/n2++yZeT7dSJBt86NjCfRaCIS1e1XBv4eF/dpKB8QK6wc0wGvsnD&#10;sri8yDGr3MgbOm1DrQTCPkMDTQh9prUvG7LoZ64nluzLDRaDrEOtqwFHgdtOx1G00BZblgsN9vTc&#10;ULnfHq2B+81LckhXtH5dvOH4c9va/WH9acz11fT0CCrQFP7KcNYXdSjEaeeOXHnVCSORooFEhqTp&#10;3Vw+2xl4iGPQRa7/6xe/AAAA//8DAFBLAQItABQABgAIAAAAIQC2gziS/gAAAOEBAAATAAAAAAAA&#10;AAAAAAAAAAAAAABbQ29udGVudF9UeXBlc10ueG1sUEsBAi0AFAAGAAgAAAAhADj9If/WAAAAlAEA&#10;AAsAAAAAAAAAAAAAAAAALwEAAF9yZWxzLy5yZWxzUEsBAi0AFAAGAAgAAAAhADSJD29DAgAAxgQA&#10;AA4AAAAAAAAAAAAAAAAALgIAAGRycy9lMm9Eb2MueG1sUEsBAi0AFAAGAAgAAAAhAKl8ElvdAAAA&#10;BgEAAA8AAAAAAAAAAAAAAAAAnQQAAGRycy9kb3ducmV2LnhtbFBLBQYAAAAABAAEAPMAAACnBQAA&#10;AAA=&#10;" fillcolor="#a7bfde [1620]" strokecolor="#4579b8 [3044]">
                <v:fill color2="#e4ecf5 [500]" rotate="t" angle="180" colors="0 #a3c4ff;22938f #bfd5ff;1 #e5eeff" focus="100%" type="gradient"/>
                <v:shadow on="t" color="black" opacity="24903f" origin=",.5" offset="0,.55556mm"/>
                <v:textbox>
                  <w:txbxContent>
                    <w:p w14:paraId="5E80E986" w14:textId="31DC74CD" w:rsidR="005172A2" w:rsidRDefault="005172A2" w:rsidP="005172A2">
                      <w:pPr>
                        <w:jc w:val="center"/>
                      </w:pPr>
                      <w:r w:rsidRPr="00006E6C">
                        <w:rPr>
                          <w:rFonts w:asciiTheme="minorHAnsi" w:hAnsiTheme="minorHAnsi" w:cstheme="minorHAnsi"/>
                          <w:b/>
                          <w:sz w:val="28"/>
                        </w:rPr>
                        <w:t xml:space="preserve">Develop a Schedule 4 to Schedule 3 ‘switch’ agenda </w:t>
                      </w:r>
                      <w:r>
                        <w:rPr>
                          <w:rFonts w:asciiTheme="minorHAnsi" w:hAnsiTheme="minorHAnsi" w:cstheme="minorHAnsi"/>
                          <w:b/>
                          <w:sz w:val="28"/>
                        </w:rPr>
                        <w:br/>
                      </w:r>
                      <w:r w:rsidRPr="00006E6C">
                        <w:rPr>
                          <w:rFonts w:asciiTheme="minorHAnsi" w:hAnsiTheme="minorHAnsi" w:cstheme="minorHAnsi"/>
                          <w:b/>
                          <w:sz w:val="28"/>
                        </w:rPr>
                        <w:t xml:space="preserve">and </w:t>
                      </w:r>
                      <w:r>
                        <w:rPr>
                          <w:rFonts w:asciiTheme="minorHAnsi" w:hAnsiTheme="minorHAnsi" w:cstheme="minorHAnsi"/>
                          <w:b/>
                          <w:sz w:val="28"/>
                        </w:rPr>
                        <w:t>reform</w:t>
                      </w:r>
                      <w:r w:rsidRPr="00006E6C">
                        <w:rPr>
                          <w:rFonts w:asciiTheme="minorHAnsi" w:hAnsiTheme="minorHAnsi" w:cstheme="minorHAnsi"/>
                          <w:b/>
                          <w:sz w:val="28"/>
                        </w:rPr>
                        <w:t xml:space="preserve"> the Australian scheduling policy framework (SPF)</w:t>
                      </w:r>
                    </w:p>
                    <w:p w14:paraId="128BA970" w14:textId="77777777" w:rsidR="005172A2" w:rsidRDefault="005172A2" w:rsidP="005172A2"/>
                  </w:txbxContent>
                </v:textbox>
              </v:shape>
            </w:pict>
          </mc:Fallback>
        </mc:AlternateContent>
      </w:r>
    </w:p>
    <w:p w14:paraId="68E22C9C" w14:textId="77777777" w:rsidR="005172A2" w:rsidRPr="008D38C7" w:rsidRDefault="005172A2" w:rsidP="005172A2">
      <w:pPr>
        <w:tabs>
          <w:tab w:val="left" w:pos="4989"/>
        </w:tabs>
        <w:spacing w:after="200"/>
        <w:rPr>
          <w:rFonts w:asciiTheme="minorHAnsi" w:hAnsiTheme="minorHAnsi" w:cstheme="minorHAnsi"/>
          <w:b/>
          <w:sz w:val="28"/>
        </w:rPr>
      </w:pPr>
    </w:p>
    <w:p w14:paraId="3C02671D" w14:textId="2F22149D" w:rsidR="00673546" w:rsidRDefault="00C14690" w:rsidP="000C7777">
      <w:pPr>
        <w:spacing w:before="240" w:after="120"/>
      </w:pPr>
      <w:hyperlink r:id="rId17" w:history="1">
        <w:r w:rsidR="00673546" w:rsidRPr="000C7777">
          <w:rPr>
            <w:rStyle w:val="Hyperlink"/>
            <w:rFonts w:asciiTheme="minorHAnsi" w:hAnsiTheme="minorHAnsi" w:cstheme="minorHAnsi"/>
          </w:rPr>
          <w:t>Scheduling</w:t>
        </w:r>
      </w:hyperlink>
      <w:r w:rsidR="00673546" w:rsidRPr="000C7777">
        <w:rPr>
          <w:rFonts w:asciiTheme="minorHAnsi" w:hAnsiTheme="minorHAnsi" w:cstheme="minorHAnsi"/>
        </w:rPr>
        <w:t xml:space="preserve"> is a national classification system that controls how medicines are made available to the public. Medicines are classified into Schedules according to the level of regulatory control over th</w:t>
      </w:r>
      <w:r w:rsidR="00673546">
        <w:rPr>
          <w:rFonts w:asciiTheme="minorHAnsi" w:hAnsiTheme="minorHAnsi" w:cstheme="minorHAnsi"/>
        </w:rPr>
        <w:t xml:space="preserve">e availability of the medicine that is required </w:t>
      </w:r>
      <w:r w:rsidR="00673546" w:rsidRPr="000C7777">
        <w:rPr>
          <w:rFonts w:asciiTheme="minorHAnsi" w:hAnsiTheme="minorHAnsi" w:cstheme="minorHAnsi"/>
        </w:rPr>
        <w:t>to protect public health and safety</w:t>
      </w:r>
      <w:r w:rsidR="00673546">
        <w:t>.</w:t>
      </w:r>
    </w:p>
    <w:p w14:paraId="006BEBF7" w14:textId="74D3CF1D" w:rsidR="005172A2" w:rsidRDefault="005172A2" w:rsidP="00673546">
      <w:pPr>
        <w:spacing w:after="120"/>
        <w:rPr>
          <w:rFonts w:asciiTheme="minorHAnsi" w:hAnsiTheme="minorHAnsi" w:cstheme="minorHAnsi"/>
        </w:rPr>
      </w:pPr>
      <w:r w:rsidRPr="0016657C">
        <w:rPr>
          <w:rFonts w:asciiTheme="minorHAnsi" w:hAnsiTheme="minorHAnsi" w:cstheme="minorHAnsi"/>
        </w:rPr>
        <w:t xml:space="preserve">Many </w:t>
      </w:r>
      <w:r w:rsidR="00673546" w:rsidRPr="0016657C">
        <w:rPr>
          <w:rFonts w:asciiTheme="minorHAnsi" w:hAnsiTheme="minorHAnsi" w:cstheme="minorHAnsi"/>
        </w:rPr>
        <w:t xml:space="preserve">medicines </w:t>
      </w:r>
      <w:r w:rsidRPr="0016657C">
        <w:rPr>
          <w:rFonts w:asciiTheme="minorHAnsi" w:hAnsiTheme="minorHAnsi" w:cstheme="minorHAnsi"/>
        </w:rPr>
        <w:t xml:space="preserve">now commonly available </w:t>
      </w:r>
      <w:r w:rsidR="00673546">
        <w:rPr>
          <w:rFonts w:asciiTheme="minorHAnsi" w:hAnsiTheme="minorHAnsi" w:cstheme="minorHAnsi"/>
        </w:rPr>
        <w:t xml:space="preserve">over-the-counter </w:t>
      </w:r>
      <w:r w:rsidRPr="0016657C">
        <w:rPr>
          <w:rFonts w:asciiTheme="minorHAnsi" w:hAnsiTheme="minorHAnsi" w:cstheme="minorHAnsi"/>
        </w:rPr>
        <w:t xml:space="preserve">started out as prescription-only, and have gradually been </w:t>
      </w:r>
      <w:r w:rsidR="00673546">
        <w:rPr>
          <w:rFonts w:asciiTheme="minorHAnsi" w:hAnsiTheme="minorHAnsi" w:cstheme="minorHAnsi"/>
        </w:rPr>
        <w:t>down</w:t>
      </w:r>
      <w:r w:rsidRPr="0016657C">
        <w:rPr>
          <w:rFonts w:asciiTheme="minorHAnsi" w:hAnsiTheme="minorHAnsi" w:cstheme="minorHAnsi"/>
        </w:rPr>
        <w:t xml:space="preserve">-scheduled </w:t>
      </w:r>
      <w:r w:rsidR="00673546">
        <w:rPr>
          <w:rFonts w:asciiTheme="minorHAnsi" w:hAnsiTheme="minorHAnsi" w:cstheme="minorHAnsi"/>
        </w:rPr>
        <w:t xml:space="preserve">(‘switched’) </w:t>
      </w:r>
      <w:r w:rsidRPr="0016657C">
        <w:rPr>
          <w:rFonts w:asciiTheme="minorHAnsi" w:hAnsiTheme="minorHAnsi" w:cstheme="minorHAnsi"/>
        </w:rPr>
        <w:t xml:space="preserve">to OTC as their efficacy and safety profile is better understood and proven over time. </w:t>
      </w:r>
      <w:r w:rsidR="00673546">
        <w:rPr>
          <w:rFonts w:asciiTheme="minorHAnsi" w:hAnsiTheme="minorHAnsi" w:cstheme="minorHAnsi"/>
        </w:rPr>
        <w:t xml:space="preserve">Examples include ibuprofen and naproxen for pain relief and acyclovir for cold sores. </w:t>
      </w:r>
    </w:p>
    <w:p w14:paraId="4748063F" w14:textId="1B5D7DB7" w:rsidR="005172A2" w:rsidRPr="0016657C" w:rsidRDefault="00673546" w:rsidP="005172A2">
      <w:pPr>
        <w:spacing w:before="240" w:after="120"/>
        <w:rPr>
          <w:rFonts w:asciiTheme="minorHAnsi" w:hAnsiTheme="minorHAnsi" w:cstheme="minorHAnsi"/>
          <w:b/>
          <w:sz w:val="24"/>
        </w:rPr>
      </w:pPr>
      <w:r>
        <w:rPr>
          <w:rFonts w:asciiTheme="minorHAnsi" w:hAnsiTheme="minorHAnsi" w:cstheme="minorHAnsi"/>
          <w:b/>
          <w:sz w:val="24"/>
        </w:rPr>
        <w:t>The economic benefit of switch</w:t>
      </w:r>
    </w:p>
    <w:p w14:paraId="26D3FD21" w14:textId="747F14F2" w:rsidR="003909D9" w:rsidRPr="0016657C" w:rsidRDefault="006F2E55" w:rsidP="000C7777">
      <w:pPr>
        <w:autoSpaceDE w:val="0"/>
        <w:autoSpaceDN w:val="0"/>
        <w:adjustRightInd w:val="0"/>
        <w:spacing w:after="240"/>
        <w:rPr>
          <w:rFonts w:asciiTheme="minorHAnsi" w:hAnsiTheme="minorHAnsi" w:cstheme="minorHAnsi"/>
        </w:rPr>
      </w:pPr>
      <w:r>
        <w:rPr>
          <w:rFonts w:asciiTheme="minorHAnsi" w:hAnsiTheme="minorHAnsi" w:cstheme="minorHAnsi"/>
        </w:rPr>
        <w:t>A</w:t>
      </w:r>
      <w:r w:rsidRPr="0016657C">
        <w:rPr>
          <w:rFonts w:asciiTheme="minorHAnsi" w:hAnsiTheme="minorHAnsi" w:cstheme="minorHAnsi"/>
        </w:rPr>
        <w:t>ccording to</w:t>
      </w:r>
      <w:r>
        <w:rPr>
          <w:rFonts w:asciiTheme="minorHAnsi" w:hAnsiTheme="minorHAnsi" w:cstheme="minorHAnsi"/>
        </w:rPr>
        <w:t xml:space="preserve"> the MUCHE</w:t>
      </w:r>
      <w:r w:rsidRPr="0016657C">
        <w:rPr>
          <w:rFonts w:asciiTheme="minorHAnsi" w:hAnsiTheme="minorHAnsi" w:cstheme="minorHAnsi"/>
        </w:rPr>
        <w:t xml:space="preserve"> research</w:t>
      </w:r>
      <w:r>
        <w:rPr>
          <w:rFonts w:asciiTheme="minorHAnsi" w:hAnsiTheme="minorHAnsi" w:cstheme="minorHAnsi"/>
        </w:rPr>
        <w:t xml:space="preserve"> in 2014,</w:t>
      </w:r>
      <w:r>
        <w:rPr>
          <w:rFonts w:asciiTheme="minorHAnsi" w:eastAsia="Calibri" w:hAnsiTheme="minorHAnsi" w:cstheme="minorHAnsi"/>
        </w:rPr>
        <w:t xml:space="preserve"> s</w:t>
      </w:r>
      <w:r w:rsidR="005172A2" w:rsidRPr="0016657C">
        <w:rPr>
          <w:rFonts w:asciiTheme="minorHAnsi" w:hAnsiTheme="minorHAnsi" w:cstheme="minorHAnsi"/>
        </w:rPr>
        <w:t xml:space="preserve">witching 11 prescription-only medicines to OTC </w:t>
      </w:r>
      <w:r>
        <w:rPr>
          <w:rFonts w:asciiTheme="minorHAnsi" w:hAnsiTheme="minorHAnsi" w:cstheme="minorHAnsi"/>
        </w:rPr>
        <w:t>showed</w:t>
      </w:r>
      <w:r w:rsidR="005172A2" w:rsidRPr="0016657C">
        <w:rPr>
          <w:rFonts w:asciiTheme="minorHAnsi" w:hAnsiTheme="minorHAnsi" w:cstheme="minorHAnsi"/>
        </w:rPr>
        <w:t xml:space="preserve"> the potential to produce a direct cost savings of $1.1 billion to the Australian healthcare system</w:t>
      </w:r>
      <w:r>
        <w:rPr>
          <w:rFonts w:asciiTheme="minorHAnsi" w:hAnsiTheme="minorHAnsi" w:cstheme="minorHAnsi"/>
        </w:rPr>
        <w:t>.</w:t>
      </w:r>
      <w:r w:rsidR="005172A2" w:rsidRPr="0016657C">
        <w:rPr>
          <w:rFonts w:asciiTheme="minorHAnsi" w:hAnsiTheme="minorHAnsi" w:cstheme="minorHAnsi"/>
        </w:rPr>
        <w:t xml:space="preserve"> This consists of savings amounting to almost $730 million for Medicare and $300 million for consumers. The $730m saving</w:t>
      </w:r>
      <w:r w:rsidR="00673546">
        <w:rPr>
          <w:rFonts w:asciiTheme="minorHAnsi" w:hAnsiTheme="minorHAnsi" w:cstheme="minorHAnsi"/>
        </w:rPr>
        <w:t>s</w:t>
      </w:r>
      <w:r w:rsidR="005172A2" w:rsidRPr="0016657C">
        <w:rPr>
          <w:rFonts w:asciiTheme="minorHAnsi" w:hAnsiTheme="minorHAnsi" w:cstheme="minorHAnsi"/>
        </w:rPr>
        <w:t xml:space="preserve"> to Medicare alone would be enough to fund more than 600</w:t>
      </w:r>
      <w:r w:rsidR="005172A2" w:rsidRPr="0016657C">
        <w:rPr>
          <w:rFonts w:asciiTheme="minorHAnsi" w:hAnsiTheme="minorHAnsi" w:cstheme="minorHAnsi"/>
          <w:color w:val="FF0000"/>
        </w:rPr>
        <w:t xml:space="preserve"> </w:t>
      </w:r>
      <w:r w:rsidR="005172A2" w:rsidRPr="0016657C">
        <w:rPr>
          <w:rFonts w:asciiTheme="minorHAnsi" w:hAnsiTheme="minorHAnsi" w:cstheme="minorHAnsi"/>
        </w:rPr>
        <w:t>registrar-level trainee doctors per year in regional areas for 10 years</w:t>
      </w:r>
      <w:r w:rsidR="003909D9">
        <w:rPr>
          <w:rFonts w:asciiTheme="minorHAnsi" w:hAnsiTheme="minorHAnsi" w:cstheme="minorHAnsi"/>
        </w:rPr>
        <w:t xml:space="preserve">, according to calculations from the </w:t>
      </w:r>
      <w:hyperlink r:id="rId18" w:history="1">
        <w:r w:rsidR="003909D9" w:rsidRPr="000C7777">
          <w:rPr>
            <w:rStyle w:val="Hyperlink"/>
            <w:rFonts w:asciiTheme="minorHAnsi" w:hAnsiTheme="minorHAnsi" w:cstheme="minorHAnsi"/>
          </w:rPr>
          <w:t>Department of Health Specialist Training Programme</w:t>
        </w:r>
      </w:hyperlink>
      <w:r w:rsidR="003909D9" w:rsidRPr="000C7777">
        <w:rPr>
          <w:rFonts w:asciiTheme="minorHAnsi" w:hAnsiTheme="minorHAnsi" w:cstheme="minorHAnsi"/>
          <w:color w:val="000000"/>
        </w:rPr>
        <w:t xml:space="preserve"> (STP)</w:t>
      </w:r>
      <w:r w:rsidR="005172A2" w:rsidRPr="003909D9">
        <w:rPr>
          <w:rFonts w:asciiTheme="minorHAnsi" w:hAnsiTheme="minorHAnsi" w:cstheme="minorHAnsi"/>
        </w:rPr>
        <w:t>.</w:t>
      </w:r>
      <w:r w:rsidR="005172A2" w:rsidRPr="0016657C">
        <w:rPr>
          <w:rFonts w:asciiTheme="minorHAnsi" w:hAnsiTheme="minorHAnsi" w:cstheme="minorHAnsi"/>
        </w:rPr>
        <w:t xml:space="preserve"> The indirect value of productivity gains (e.g. reduced sick leave, travel time) is estimated at almost $1 billion per annum:</w:t>
      </w:r>
    </w:p>
    <w:p w14:paraId="107FDAA5" w14:textId="5214C7D2" w:rsidR="005172A2" w:rsidRDefault="005172A2" w:rsidP="000C7777">
      <w:pPr>
        <w:spacing w:before="200" w:after="200"/>
        <w:jc w:val="center"/>
      </w:pPr>
      <w:r w:rsidRPr="0016657C">
        <w:rPr>
          <w:noProof/>
        </w:rPr>
        <w:drawing>
          <wp:inline distT="0" distB="0" distL="0" distR="0" wp14:anchorId="6E808E80" wp14:editId="35CE39CB">
            <wp:extent cx="3144416" cy="6531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4416" cy="653143"/>
                    </a:xfrm>
                    <a:prstGeom prst="rect">
                      <a:avLst/>
                    </a:prstGeom>
                    <a:noFill/>
                    <a:ln>
                      <a:noFill/>
                    </a:ln>
                  </pic:spPr>
                </pic:pic>
              </a:graphicData>
            </a:graphic>
          </wp:inline>
        </w:drawing>
      </w:r>
      <w:r w:rsidRPr="0016657C">
        <w:rPr>
          <w:noProof/>
        </w:rPr>
        <w:drawing>
          <wp:inline distT="0" distB="0" distL="0" distR="0" wp14:anchorId="56A66AD9" wp14:editId="0CC9FC79">
            <wp:extent cx="3144416" cy="620252"/>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4416" cy="620252"/>
                    </a:xfrm>
                    <a:prstGeom prst="rect">
                      <a:avLst/>
                    </a:prstGeom>
                    <a:noFill/>
                    <a:ln>
                      <a:noFill/>
                    </a:ln>
                  </pic:spPr>
                </pic:pic>
              </a:graphicData>
            </a:graphic>
          </wp:inline>
        </w:drawing>
      </w:r>
    </w:p>
    <w:p w14:paraId="1AE8E779" w14:textId="14E721A6" w:rsidR="008461FF" w:rsidRPr="000C7777" w:rsidRDefault="008461FF" w:rsidP="000C7777">
      <w:pPr>
        <w:pStyle w:val="BodyText"/>
        <w:spacing w:before="240" w:after="120"/>
        <w:ind w:left="720" w:firstLine="720"/>
        <w:rPr>
          <w:rFonts w:ascii="Arial Narrow" w:hAnsi="Arial Narrow" w:cstheme="minorHAnsi"/>
          <w:sz w:val="16"/>
          <w:szCs w:val="18"/>
        </w:rPr>
      </w:pPr>
      <w:r w:rsidRPr="008D38C7">
        <w:rPr>
          <w:rFonts w:ascii="Arial Narrow" w:hAnsi="Arial Narrow" w:cstheme="minorHAnsi"/>
          <w:i/>
          <w:sz w:val="16"/>
          <w:szCs w:val="18"/>
          <w:lang w:val="en-AU"/>
        </w:rPr>
        <w:t xml:space="preserve">The Value of OTC Medicines in Australia, </w:t>
      </w:r>
      <w:r w:rsidRPr="008D38C7">
        <w:rPr>
          <w:rFonts w:ascii="Arial Narrow" w:hAnsi="Arial Narrow" w:cstheme="minorHAnsi"/>
          <w:sz w:val="16"/>
          <w:szCs w:val="18"/>
          <w:lang w:val="en-AU"/>
        </w:rPr>
        <w:t>The Macquarie University Centre for the Health Economy, March 2014</w:t>
      </w:r>
    </w:p>
    <w:p w14:paraId="13F3B407" w14:textId="7E919B8F" w:rsidR="005172A2" w:rsidRPr="0016657C" w:rsidRDefault="005172A2" w:rsidP="005172A2">
      <w:pPr>
        <w:spacing w:after="120"/>
        <w:rPr>
          <w:rFonts w:asciiTheme="minorHAnsi" w:hAnsiTheme="minorHAnsi" w:cstheme="minorHAnsi"/>
        </w:rPr>
      </w:pPr>
      <w:r w:rsidRPr="0016657C">
        <w:rPr>
          <w:rFonts w:asciiTheme="minorHAnsi" w:hAnsiTheme="minorHAnsi" w:cstheme="minorHAnsi"/>
        </w:rPr>
        <w:t>The same study</w:t>
      </w:r>
      <w:r w:rsidR="006F2E55">
        <w:rPr>
          <w:rFonts w:asciiTheme="minorHAnsi" w:hAnsiTheme="minorHAnsi" w:cstheme="minorHAnsi"/>
        </w:rPr>
        <w:t xml:space="preserve"> </w:t>
      </w:r>
      <w:r w:rsidRPr="0016657C">
        <w:rPr>
          <w:rFonts w:asciiTheme="minorHAnsi" w:hAnsiTheme="minorHAnsi" w:cstheme="minorHAnsi"/>
        </w:rPr>
        <w:t xml:space="preserve">found that </w:t>
      </w:r>
      <w:r w:rsidR="003909D9">
        <w:rPr>
          <w:rFonts w:asciiTheme="minorHAnsi" w:hAnsiTheme="minorHAnsi" w:cstheme="minorHAnsi"/>
        </w:rPr>
        <w:t>every $1</w:t>
      </w:r>
      <w:r w:rsidRPr="0016657C">
        <w:rPr>
          <w:rFonts w:asciiTheme="minorHAnsi" w:hAnsiTheme="minorHAnsi" w:cstheme="minorHAnsi"/>
        </w:rPr>
        <w:t xml:space="preserve"> spent on the </w:t>
      </w:r>
      <w:r w:rsidRPr="0016657C">
        <w:rPr>
          <w:rFonts w:asciiTheme="minorHAnsi" w:eastAsia="Calibri" w:hAnsiTheme="minorHAnsi" w:cstheme="minorHAnsi"/>
        </w:rPr>
        <w:t xml:space="preserve">eight categories of the most commonly used OTC medicines in Australia produces a saving of more than $4. </w:t>
      </w:r>
      <w:r w:rsidRPr="0016657C">
        <w:rPr>
          <w:rFonts w:asciiTheme="minorHAnsi" w:hAnsiTheme="minorHAnsi" w:cstheme="minorHAnsi"/>
        </w:rPr>
        <w:t>This is in line with research</w:t>
      </w:r>
      <w:r w:rsidRPr="0016657C">
        <w:rPr>
          <w:rStyle w:val="EndnoteReference"/>
          <w:rFonts w:asciiTheme="minorHAnsi" w:hAnsiTheme="minorHAnsi" w:cstheme="minorHAnsi"/>
        </w:rPr>
        <w:endnoteReference w:id="3"/>
      </w:r>
      <w:r w:rsidRPr="0016657C">
        <w:rPr>
          <w:rFonts w:asciiTheme="minorHAnsi" w:hAnsiTheme="minorHAnsi" w:cstheme="minorHAnsi"/>
        </w:rPr>
        <w:t xml:space="preserve"> conducted in the United States, which found that for every US$1 spent on OTC medicines, the U.S. healthcare system saves $6 to $7, providing US$102 billion in value each year. </w:t>
      </w:r>
    </w:p>
    <w:p w14:paraId="074E19FB" w14:textId="65BDB195" w:rsidR="005172A2" w:rsidRPr="008D38C7" w:rsidRDefault="005172A2" w:rsidP="005172A2">
      <w:pPr>
        <w:spacing w:after="120"/>
        <w:rPr>
          <w:rFonts w:asciiTheme="minorHAnsi" w:hAnsiTheme="minorHAnsi"/>
          <w:sz w:val="24"/>
          <w:szCs w:val="24"/>
        </w:rPr>
      </w:pPr>
      <w:r w:rsidRPr="0016657C">
        <w:rPr>
          <w:rFonts w:ascii="Calibri" w:eastAsia="Calibri" w:hAnsi="Calibri"/>
          <w:lang w:eastAsia="en-US"/>
        </w:rPr>
        <w:t xml:space="preserve">A blueprint has been set in markets with a higher rate of switch. For example, in 2012 the British government announced an initiative aimed at </w:t>
      </w:r>
      <w:hyperlink r:id="rId21" w:history="1">
        <w:r w:rsidRPr="0016657C">
          <w:rPr>
            <w:rStyle w:val="Hyperlink"/>
            <w:rFonts w:ascii="Calibri" w:eastAsia="Calibri" w:hAnsi="Calibri"/>
            <w:lang w:eastAsia="en-US"/>
          </w:rPr>
          <w:t>halving the time it takes to switch a prescription-only medicine to OTC</w:t>
        </w:r>
      </w:hyperlink>
      <w:r w:rsidRPr="0016657C">
        <w:rPr>
          <w:rFonts w:ascii="Calibri" w:eastAsia="Calibri" w:hAnsi="Calibri"/>
          <w:lang w:eastAsia="en-US"/>
        </w:rPr>
        <w:t xml:space="preserve">.  </w:t>
      </w:r>
      <w:r>
        <w:rPr>
          <w:rFonts w:asciiTheme="minorHAnsi" w:hAnsiTheme="minorHAnsi" w:cstheme="minorHAnsi"/>
        </w:rPr>
        <w:t>S</w:t>
      </w:r>
      <w:r w:rsidRPr="0016657C">
        <w:rPr>
          <w:rFonts w:asciiTheme="minorHAnsi" w:hAnsiTheme="minorHAnsi" w:cstheme="minorHAnsi"/>
        </w:rPr>
        <w:t>ince 2003, Australia has lagged behind comparable nations in the number of medicines switching from prescription only to OTC</w:t>
      </w:r>
      <w:r>
        <w:rPr>
          <w:rFonts w:asciiTheme="minorHAnsi" w:hAnsiTheme="minorHAnsi" w:cstheme="minorHAnsi"/>
        </w:rPr>
        <w:t>. Consequently, we recommend reform</w:t>
      </w:r>
      <w:r w:rsidR="003909D9">
        <w:rPr>
          <w:rFonts w:asciiTheme="minorHAnsi" w:hAnsiTheme="minorHAnsi" w:cstheme="minorHAnsi"/>
        </w:rPr>
        <w:t>s that will help</w:t>
      </w:r>
      <w:r>
        <w:rPr>
          <w:rFonts w:asciiTheme="minorHAnsi" w:hAnsiTheme="minorHAnsi" w:cstheme="minorHAnsi"/>
        </w:rPr>
        <w:t xml:space="preserve"> expedite the down-scheduling of suitable medicines</w:t>
      </w:r>
      <w:r w:rsidRPr="0016657C">
        <w:rPr>
          <w:rFonts w:asciiTheme="minorHAnsi" w:hAnsiTheme="minorHAnsi" w:cstheme="minorHAnsi"/>
        </w:rPr>
        <w:t xml:space="preserve"> to ensure Australia does not fall further behind other comparable countries in terms of medicines availability.</w:t>
      </w:r>
      <w:r>
        <w:rPr>
          <w:rFonts w:asciiTheme="minorHAnsi" w:hAnsiTheme="minorHAnsi" w:cstheme="minorHAnsi"/>
        </w:rPr>
        <w:t xml:space="preserve"> </w:t>
      </w:r>
      <w:r w:rsidRPr="0016657C">
        <w:rPr>
          <w:rFonts w:ascii="Calibri" w:hAnsi="Calibri" w:cs="Calibri"/>
        </w:rPr>
        <w:t>Australia once led the world in switch, but in recent years the frequency with which prescription drugs have been down-scheduled has dropped to a rate that is half or less that of nations such as New Zealand, the United Kingdom and Japan.</w:t>
      </w:r>
      <w:r w:rsidRPr="008D38C7">
        <w:rPr>
          <w:rFonts w:asciiTheme="minorHAnsi" w:hAnsiTheme="minorHAnsi"/>
          <w:vertAlign w:val="superscript"/>
        </w:rPr>
        <w:t xml:space="preserve"> </w:t>
      </w:r>
    </w:p>
    <w:p w14:paraId="5C974A26" w14:textId="77777777" w:rsidR="003909D9" w:rsidRDefault="003909D9">
      <w:pPr>
        <w:rPr>
          <w:rFonts w:asciiTheme="minorHAnsi" w:hAnsiTheme="minorHAnsi"/>
          <w:b/>
          <w:sz w:val="24"/>
          <w:szCs w:val="24"/>
        </w:rPr>
      </w:pPr>
      <w:r>
        <w:rPr>
          <w:rFonts w:asciiTheme="minorHAnsi" w:hAnsiTheme="minorHAnsi"/>
          <w:b/>
          <w:sz w:val="24"/>
          <w:szCs w:val="24"/>
        </w:rPr>
        <w:br w:type="page"/>
      </w:r>
    </w:p>
    <w:p w14:paraId="5A4776D1" w14:textId="31DBE970" w:rsidR="005172A2" w:rsidRPr="008D38C7" w:rsidRDefault="005172A2" w:rsidP="005172A2">
      <w:pPr>
        <w:widowControl w:val="0"/>
        <w:spacing w:after="160"/>
        <w:jc w:val="center"/>
        <w:rPr>
          <w:rFonts w:ascii="Calibri" w:eastAsia="Calibri" w:hAnsi="Calibri" w:cs="Times New Roman"/>
          <w:b/>
          <w:lang w:eastAsia="en-US"/>
        </w:rPr>
      </w:pPr>
      <w:r w:rsidRPr="008D38C7">
        <w:rPr>
          <w:rFonts w:asciiTheme="minorHAnsi" w:hAnsiTheme="minorHAnsi"/>
          <w:b/>
          <w:sz w:val="24"/>
          <w:szCs w:val="24"/>
        </w:rPr>
        <w:t xml:space="preserve">Progressive Rx to OTC Switch Activity 2003-13 </w:t>
      </w:r>
    </w:p>
    <w:p w14:paraId="02A61874" w14:textId="77777777" w:rsidR="005172A2" w:rsidRPr="008D38C7" w:rsidRDefault="005172A2" w:rsidP="005172A2">
      <w:pPr>
        <w:keepNext/>
        <w:spacing w:after="120"/>
        <w:jc w:val="center"/>
        <w:rPr>
          <w:rFonts w:ascii="Times New Roman" w:hAnsi="Times New Roman"/>
          <w:color w:val="000000"/>
          <w:sz w:val="20"/>
          <w:szCs w:val="20"/>
        </w:rPr>
      </w:pPr>
      <w:r w:rsidRPr="008D38C7">
        <w:rPr>
          <w:rFonts w:ascii="Calibri" w:eastAsia="Calibri" w:hAnsi="Calibri"/>
          <w:noProof/>
        </w:rPr>
        <w:drawing>
          <wp:inline distT="0" distB="0" distL="0" distR="0" wp14:anchorId="34413879" wp14:editId="45204722">
            <wp:extent cx="4533265" cy="2060575"/>
            <wp:effectExtent l="19050" t="19050" r="19685" b="15875"/>
            <wp:docPr id="15" name="Picture 15" descr="journal.pone.0107726.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ournal.pone.0107726.g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33265" cy="2060575"/>
                    </a:xfrm>
                    <a:prstGeom prst="rect">
                      <a:avLst/>
                    </a:prstGeom>
                    <a:noFill/>
                    <a:ln w="9525" cmpd="sng">
                      <a:solidFill>
                        <a:srgbClr val="000000"/>
                      </a:solidFill>
                      <a:miter lim="800000"/>
                      <a:headEnd/>
                      <a:tailEnd/>
                    </a:ln>
                    <a:effectLst/>
                  </pic:spPr>
                </pic:pic>
              </a:graphicData>
            </a:graphic>
          </wp:inline>
        </w:drawing>
      </w:r>
    </w:p>
    <w:p w14:paraId="3904DC87" w14:textId="77777777" w:rsidR="005172A2" w:rsidRPr="008D38C7" w:rsidRDefault="005172A2" w:rsidP="000C7777">
      <w:pPr>
        <w:keepNext/>
        <w:spacing w:after="240"/>
        <w:ind w:left="720"/>
        <w:rPr>
          <w:rFonts w:ascii="Arial Narrow" w:hAnsi="Arial Narrow"/>
          <w:color w:val="000000"/>
          <w:sz w:val="16"/>
          <w:szCs w:val="16"/>
        </w:rPr>
      </w:pPr>
      <w:r w:rsidRPr="008D38C7">
        <w:rPr>
          <w:rFonts w:ascii="Arial Narrow" w:hAnsi="Arial Narrow" w:cstheme="minorHAnsi"/>
          <w:i/>
          <w:color w:val="000000"/>
          <w:sz w:val="16"/>
          <w:szCs w:val="16"/>
        </w:rPr>
        <w:t>Widening Consumer Access to Medicines through Switching Medicines to Non-Prescription: A Six Country Comparison</w:t>
      </w:r>
      <w:r w:rsidRPr="008D38C7">
        <w:rPr>
          <w:rFonts w:ascii="Arial Narrow" w:hAnsi="Arial Narrow"/>
          <w:color w:val="000000"/>
          <w:sz w:val="16"/>
          <w:szCs w:val="16"/>
        </w:rPr>
        <w:t>,</w:t>
      </w:r>
      <w:r w:rsidRPr="008D38C7">
        <w:rPr>
          <w:rFonts w:ascii="Arial Narrow" w:hAnsi="Arial Narrow" w:cstheme="minorHAnsi"/>
          <w:color w:val="000000"/>
          <w:sz w:val="16"/>
          <w:szCs w:val="16"/>
        </w:rPr>
        <w:t xml:space="preserve"> Gauld et al</w:t>
      </w:r>
      <w:r w:rsidRPr="008D38C7">
        <w:rPr>
          <w:rFonts w:ascii="Arial Narrow" w:hAnsi="Arial Narrow"/>
          <w:color w:val="000000"/>
          <w:sz w:val="16"/>
          <w:szCs w:val="16"/>
        </w:rPr>
        <w:t xml:space="preserve"> </w:t>
      </w:r>
    </w:p>
    <w:p w14:paraId="5E060B2C" w14:textId="77777777" w:rsidR="005172A2" w:rsidRPr="001C3876" w:rsidRDefault="005172A2" w:rsidP="005172A2">
      <w:pPr>
        <w:spacing w:after="120"/>
        <w:rPr>
          <w:rFonts w:ascii="Calibri" w:hAnsi="Calibri" w:cs="Calibri"/>
        </w:rPr>
      </w:pPr>
      <w:r>
        <w:rPr>
          <w:rFonts w:ascii="Calibri" w:eastAsia="Calibri" w:hAnsi="Calibri"/>
          <w:lang w:eastAsia="en-US"/>
        </w:rPr>
        <w:t xml:space="preserve">In light of the benefits that can flow from the responsible switching of medicines, ASMI is pleased with the Government’s acceptance of </w:t>
      </w:r>
      <w:r w:rsidRPr="008D38C7">
        <w:rPr>
          <w:rFonts w:ascii="Calibri" w:hAnsi="Calibri" w:cs="Calibri"/>
        </w:rPr>
        <w:t xml:space="preserve">Recommendation Eleven of </w:t>
      </w:r>
      <w:r w:rsidRPr="008D38C7">
        <w:rPr>
          <w:rFonts w:asciiTheme="minorHAnsi" w:hAnsiTheme="minorHAnsi" w:cstheme="minorHAnsi"/>
        </w:rPr>
        <w:t xml:space="preserve">the </w:t>
      </w:r>
      <w:r w:rsidRPr="008D38C7">
        <w:rPr>
          <w:rFonts w:asciiTheme="minorHAnsi" w:hAnsiTheme="minorHAnsi" w:cstheme="minorHAnsi"/>
          <w:i/>
        </w:rPr>
        <w:t xml:space="preserve">Review of Medicines and Medical Devices Regulation </w:t>
      </w:r>
      <w:r>
        <w:rPr>
          <w:rFonts w:asciiTheme="minorHAnsi" w:hAnsiTheme="minorHAnsi" w:cstheme="minorHAnsi"/>
        </w:rPr>
        <w:t xml:space="preserve">in 2016, which </w:t>
      </w:r>
      <w:r w:rsidRPr="008D38C7">
        <w:rPr>
          <w:rFonts w:ascii="Calibri" w:hAnsi="Calibri" w:cs="Calibri"/>
        </w:rPr>
        <w:t>proposed that the Scheduling Policy Framework be reviewed in consultation with the State and Territory Governments</w:t>
      </w:r>
      <w:r>
        <w:rPr>
          <w:rFonts w:ascii="Calibri" w:hAnsi="Calibri" w:cs="Calibri"/>
        </w:rPr>
        <w:t xml:space="preserve">. </w:t>
      </w:r>
      <w:r>
        <w:rPr>
          <w:rFonts w:ascii="Calibri" w:eastAsia="Calibri" w:hAnsi="Calibri"/>
          <w:lang w:eastAsia="en-US"/>
        </w:rPr>
        <w:t xml:space="preserve">We </w:t>
      </w:r>
      <w:r w:rsidRPr="008D38C7">
        <w:rPr>
          <w:rFonts w:ascii="Calibri" w:hAnsi="Calibri" w:cs="Calibri"/>
        </w:rPr>
        <w:t xml:space="preserve">support this and further recommend a </w:t>
      </w:r>
      <w:r>
        <w:rPr>
          <w:rFonts w:ascii="Calibri" w:hAnsi="Calibri" w:cs="Calibri"/>
          <w:lang w:val="en-US"/>
        </w:rPr>
        <w:t xml:space="preserve">Government-sponsored </w:t>
      </w:r>
      <w:r>
        <w:rPr>
          <w:rFonts w:ascii="Calibri" w:hAnsi="Calibri" w:cs="Calibri"/>
        </w:rPr>
        <w:t xml:space="preserve">national </w:t>
      </w:r>
      <w:r w:rsidRPr="008D38C7">
        <w:rPr>
          <w:rFonts w:ascii="Calibri" w:hAnsi="Calibri" w:cs="Calibri"/>
        </w:rPr>
        <w:t xml:space="preserve">switch agenda to help enable the down-scheduling of </w:t>
      </w:r>
      <w:r>
        <w:rPr>
          <w:rFonts w:ascii="Calibri" w:hAnsi="Calibri" w:cs="Calibri"/>
        </w:rPr>
        <w:t>suitable</w:t>
      </w:r>
      <w:r w:rsidRPr="008D38C7">
        <w:rPr>
          <w:rFonts w:ascii="Calibri" w:hAnsi="Calibri" w:cs="Calibri"/>
        </w:rPr>
        <w:t xml:space="preserve"> medicines. This will require the removal of current policy and regulatory hindrances in order to reach a level of down-scheduling more in line with comparable nations. </w:t>
      </w:r>
    </w:p>
    <w:p w14:paraId="28E78056" w14:textId="77777777" w:rsidR="005172A2" w:rsidRPr="00AD1D00" w:rsidRDefault="005172A2" w:rsidP="005172A2">
      <w:pPr>
        <w:spacing w:after="120"/>
        <w:rPr>
          <w:rFonts w:ascii="Calibri" w:eastAsia="Calibri" w:hAnsi="Calibri"/>
          <w:lang w:eastAsia="en-US"/>
        </w:rPr>
      </w:pPr>
      <w:r>
        <w:rPr>
          <w:rFonts w:ascii="Calibri" w:hAnsi="Calibri" w:cs="Calibri"/>
        </w:rPr>
        <w:t>Several recommendations from the review relate to scheduling reform. In ASMI’s view, the scheduling framework should:</w:t>
      </w:r>
    </w:p>
    <w:p w14:paraId="5433258E" w14:textId="31AFF9D6" w:rsidR="005172A2" w:rsidRPr="00507868" w:rsidRDefault="003909D9" w:rsidP="005172A2">
      <w:pPr>
        <w:pStyle w:val="ListParagraph"/>
        <w:numPr>
          <w:ilvl w:val="0"/>
          <w:numId w:val="36"/>
        </w:numPr>
        <w:spacing w:after="120"/>
        <w:rPr>
          <w:rFonts w:ascii="Calibri" w:hAnsi="Calibri" w:cs="Calibri"/>
          <w:sz w:val="22"/>
        </w:rPr>
      </w:pPr>
      <w:r>
        <w:rPr>
          <w:rFonts w:ascii="Calibri" w:hAnsi="Calibri" w:cs="Calibri"/>
          <w:sz w:val="22"/>
        </w:rPr>
        <w:t>i</w:t>
      </w:r>
      <w:r w:rsidR="005172A2" w:rsidRPr="00507868">
        <w:rPr>
          <w:rFonts w:ascii="Calibri" w:hAnsi="Calibri" w:cs="Calibri"/>
          <w:sz w:val="22"/>
        </w:rPr>
        <w:t>ncorporate benefit as well as risk</w:t>
      </w:r>
    </w:p>
    <w:p w14:paraId="493488E9" w14:textId="592B1340" w:rsidR="005172A2" w:rsidRPr="00507868" w:rsidRDefault="003909D9" w:rsidP="005172A2">
      <w:pPr>
        <w:pStyle w:val="ListParagraph"/>
        <w:numPr>
          <w:ilvl w:val="0"/>
          <w:numId w:val="36"/>
        </w:numPr>
        <w:spacing w:after="120"/>
        <w:rPr>
          <w:rFonts w:ascii="Calibri" w:hAnsi="Calibri" w:cs="Calibri"/>
          <w:sz w:val="22"/>
        </w:rPr>
      </w:pPr>
      <w:r>
        <w:rPr>
          <w:rFonts w:ascii="Calibri" w:hAnsi="Calibri" w:cs="Calibri"/>
          <w:sz w:val="22"/>
        </w:rPr>
        <w:t>s</w:t>
      </w:r>
      <w:r w:rsidR="005172A2" w:rsidRPr="00507868">
        <w:rPr>
          <w:rFonts w:ascii="Calibri" w:hAnsi="Calibri" w:cs="Calibri"/>
          <w:sz w:val="22"/>
        </w:rPr>
        <w:t>treamline and integrate the processes for registration and variation with related scheduling decisions</w:t>
      </w:r>
    </w:p>
    <w:p w14:paraId="7F7521B1" w14:textId="44C1F16C" w:rsidR="005172A2" w:rsidRPr="00507868" w:rsidRDefault="003909D9" w:rsidP="005172A2">
      <w:pPr>
        <w:pStyle w:val="ListParagraph"/>
        <w:numPr>
          <w:ilvl w:val="0"/>
          <w:numId w:val="36"/>
        </w:numPr>
        <w:spacing w:after="120"/>
        <w:rPr>
          <w:rFonts w:ascii="Calibri" w:hAnsi="Calibri" w:cs="Calibri"/>
          <w:sz w:val="22"/>
        </w:rPr>
      </w:pPr>
      <w:r>
        <w:rPr>
          <w:rFonts w:ascii="Calibri" w:hAnsi="Calibri" w:cs="Calibri"/>
          <w:sz w:val="22"/>
        </w:rPr>
        <w:t>i</w:t>
      </w:r>
      <w:r w:rsidR="005172A2" w:rsidRPr="00507868">
        <w:rPr>
          <w:rFonts w:ascii="Calibri" w:hAnsi="Calibri" w:cs="Calibri"/>
          <w:sz w:val="22"/>
        </w:rPr>
        <w:t>nclude a mechanism for reviewing scheduling decisions</w:t>
      </w:r>
    </w:p>
    <w:p w14:paraId="4B9A7557" w14:textId="3F2D9CAD" w:rsidR="005172A2" w:rsidRPr="00507868" w:rsidRDefault="003909D9" w:rsidP="005172A2">
      <w:pPr>
        <w:pStyle w:val="ListParagraph"/>
        <w:numPr>
          <w:ilvl w:val="0"/>
          <w:numId w:val="36"/>
        </w:numPr>
        <w:spacing w:after="120"/>
        <w:rPr>
          <w:rFonts w:ascii="Calibri" w:hAnsi="Calibri" w:cs="Calibri"/>
          <w:sz w:val="22"/>
        </w:rPr>
      </w:pPr>
      <w:r>
        <w:rPr>
          <w:rFonts w:ascii="Calibri" w:hAnsi="Calibri" w:cs="Calibri"/>
          <w:sz w:val="22"/>
        </w:rPr>
        <w:t>i</w:t>
      </w:r>
      <w:r w:rsidR="005172A2" w:rsidRPr="00507868">
        <w:rPr>
          <w:rFonts w:ascii="Calibri" w:hAnsi="Calibri" w:cs="Calibri"/>
          <w:sz w:val="22"/>
        </w:rPr>
        <w:t>ncentivise re-scheduling applications</w:t>
      </w:r>
    </w:p>
    <w:p w14:paraId="7F947620" w14:textId="6537D4A0" w:rsidR="005172A2" w:rsidRPr="00507868" w:rsidRDefault="003909D9" w:rsidP="005172A2">
      <w:pPr>
        <w:pStyle w:val="ListParagraph"/>
        <w:numPr>
          <w:ilvl w:val="0"/>
          <w:numId w:val="36"/>
        </w:numPr>
        <w:spacing w:after="120"/>
        <w:rPr>
          <w:rFonts w:ascii="Calibri" w:hAnsi="Calibri" w:cs="Calibri"/>
          <w:sz w:val="22"/>
        </w:rPr>
      </w:pPr>
      <w:r>
        <w:rPr>
          <w:rFonts w:ascii="Calibri" w:hAnsi="Calibri" w:cs="Calibri"/>
          <w:sz w:val="22"/>
        </w:rPr>
        <w:t>r</w:t>
      </w:r>
      <w:r w:rsidR="005172A2" w:rsidRPr="00507868">
        <w:rPr>
          <w:rFonts w:ascii="Calibri" w:hAnsi="Calibri" w:cs="Calibri"/>
          <w:sz w:val="22"/>
        </w:rPr>
        <w:t>emove the complexities introduced through the various State requirements</w:t>
      </w:r>
    </w:p>
    <w:p w14:paraId="7D849C90" w14:textId="5911D41A" w:rsidR="005172A2" w:rsidRPr="00507868" w:rsidRDefault="003909D9" w:rsidP="005172A2">
      <w:pPr>
        <w:pStyle w:val="ListParagraph"/>
        <w:numPr>
          <w:ilvl w:val="0"/>
          <w:numId w:val="36"/>
        </w:numPr>
        <w:spacing w:after="120"/>
        <w:rPr>
          <w:rFonts w:ascii="Calibri" w:hAnsi="Calibri" w:cs="Calibri"/>
          <w:sz w:val="22"/>
        </w:rPr>
      </w:pPr>
      <w:r>
        <w:rPr>
          <w:rFonts w:ascii="Calibri" w:hAnsi="Calibri" w:cs="Calibri"/>
          <w:sz w:val="22"/>
        </w:rPr>
        <w:t>h</w:t>
      </w:r>
      <w:r w:rsidR="005172A2" w:rsidRPr="00507868">
        <w:rPr>
          <w:rFonts w:ascii="Calibri" w:hAnsi="Calibri" w:cs="Calibri"/>
          <w:sz w:val="22"/>
        </w:rPr>
        <w:t>ave a transparent mechanism for policy oversight</w:t>
      </w:r>
      <w:r w:rsidR="003B7A62">
        <w:rPr>
          <w:rFonts w:ascii="Calibri" w:hAnsi="Calibri" w:cs="Calibri"/>
          <w:sz w:val="22"/>
        </w:rPr>
        <w:t>.</w:t>
      </w:r>
    </w:p>
    <w:p w14:paraId="637732BA" w14:textId="77777777" w:rsidR="005172A2" w:rsidRPr="008D38C7" w:rsidRDefault="005172A2" w:rsidP="005172A2">
      <w:pPr>
        <w:spacing w:after="120"/>
        <w:rPr>
          <w:rFonts w:ascii="Calibri" w:hAnsi="Calibri" w:cs="Calibri"/>
          <w:i/>
        </w:rPr>
      </w:pPr>
    </w:p>
    <w:p w14:paraId="6EE1F17E" w14:textId="77777777" w:rsidR="005172A2" w:rsidRDefault="005172A2" w:rsidP="005172A2">
      <w:pPr>
        <w:spacing w:after="120"/>
        <w:rPr>
          <w:rFonts w:ascii="Calibri" w:eastAsia="Calibri" w:hAnsi="Calibri"/>
          <w:lang w:eastAsia="en-US"/>
        </w:rPr>
      </w:pPr>
      <w:r w:rsidRPr="008D38C7">
        <w:rPr>
          <w:rFonts w:ascii="Calibri" w:eastAsia="Calibri" w:hAnsi="Calibri"/>
          <w:lang w:eastAsia="en-US"/>
        </w:rPr>
        <w:t>A switch agenda should</w:t>
      </w:r>
      <w:r>
        <w:rPr>
          <w:rFonts w:ascii="Calibri" w:eastAsia="Calibri" w:hAnsi="Calibri"/>
          <w:lang w:eastAsia="en-US"/>
        </w:rPr>
        <w:t>:</w:t>
      </w:r>
      <w:r w:rsidRPr="008D38C7">
        <w:rPr>
          <w:rFonts w:ascii="Calibri" w:eastAsia="Calibri" w:hAnsi="Calibri"/>
          <w:lang w:eastAsia="en-US"/>
        </w:rPr>
        <w:t xml:space="preserve"> </w:t>
      </w:r>
    </w:p>
    <w:p w14:paraId="6CFA6C80" w14:textId="77777777" w:rsidR="005172A2" w:rsidRPr="009034E9" w:rsidRDefault="005172A2" w:rsidP="005172A2">
      <w:pPr>
        <w:pStyle w:val="ListParagraph"/>
        <w:numPr>
          <w:ilvl w:val="0"/>
          <w:numId w:val="37"/>
        </w:numPr>
        <w:spacing w:after="120"/>
        <w:rPr>
          <w:rFonts w:ascii="Calibri" w:hAnsi="Calibri"/>
          <w:sz w:val="22"/>
        </w:rPr>
      </w:pPr>
      <w:r w:rsidRPr="009034E9">
        <w:rPr>
          <w:rFonts w:ascii="Calibri" w:hAnsi="Calibri"/>
          <w:sz w:val="22"/>
        </w:rPr>
        <w:t xml:space="preserve">identify </w:t>
      </w:r>
      <w:r>
        <w:rPr>
          <w:rFonts w:ascii="Calibri" w:hAnsi="Calibri"/>
          <w:sz w:val="22"/>
        </w:rPr>
        <w:t xml:space="preserve">target </w:t>
      </w:r>
      <w:r w:rsidRPr="009034E9">
        <w:rPr>
          <w:rFonts w:ascii="Calibri" w:hAnsi="Calibri"/>
          <w:sz w:val="22"/>
        </w:rPr>
        <w:t xml:space="preserve">candidates for future switches </w:t>
      </w:r>
    </w:p>
    <w:p w14:paraId="5E2162E9" w14:textId="60D000BA" w:rsidR="005172A2" w:rsidRPr="009034E9" w:rsidRDefault="003B7A62" w:rsidP="005172A2">
      <w:pPr>
        <w:pStyle w:val="ListParagraph"/>
        <w:numPr>
          <w:ilvl w:val="0"/>
          <w:numId w:val="37"/>
        </w:numPr>
        <w:spacing w:after="120"/>
        <w:rPr>
          <w:rFonts w:ascii="Calibri" w:hAnsi="Calibri"/>
          <w:sz w:val="22"/>
        </w:rPr>
      </w:pPr>
      <w:r>
        <w:rPr>
          <w:rFonts w:ascii="Calibri" w:hAnsi="Calibri"/>
          <w:sz w:val="22"/>
        </w:rPr>
        <w:t xml:space="preserve">be a </w:t>
      </w:r>
      <w:r w:rsidR="005172A2" w:rsidRPr="009034E9">
        <w:rPr>
          <w:rFonts w:ascii="Calibri" w:hAnsi="Calibri"/>
          <w:sz w:val="22"/>
        </w:rPr>
        <w:t>collaborat</w:t>
      </w:r>
      <w:r>
        <w:rPr>
          <w:rFonts w:ascii="Calibri" w:hAnsi="Calibri"/>
          <w:sz w:val="22"/>
        </w:rPr>
        <w:t xml:space="preserve">ive </w:t>
      </w:r>
      <w:r w:rsidR="005172A2" w:rsidRPr="009034E9">
        <w:rPr>
          <w:rFonts w:ascii="Calibri" w:hAnsi="Calibri"/>
          <w:sz w:val="22"/>
        </w:rPr>
        <w:t>e</w:t>
      </w:r>
      <w:r>
        <w:rPr>
          <w:rFonts w:ascii="Calibri" w:hAnsi="Calibri"/>
          <w:sz w:val="22"/>
        </w:rPr>
        <w:t>ffort</w:t>
      </w:r>
      <w:r w:rsidR="005172A2" w:rsidRPr="009034E9">
        <w:rPr>
          <w:rFonts w:ascii="Calibri" w:hAnsi="Calibri"/>
          <w:sz w:val="22"/>
        </w:rPr>
        <w:t xml:space="preserve"> with consumers, pharmacists, GPs, and </w:t>
      </w:r>
      <w:r>
        <w:rPr>
          <w:rFonts w:ascii="Calibri" w:hAnsi="Calibri"/>
          <w:sz w:val="22"/>
        </w:rPr>
        <w:t xml:space="preserve">the </w:t>
      </w:r>
      <w:r w:rsidR="005172A2" w:rsidRPr="009034E9">
        <w:rPr>
          <w:rFonts w:ascii="Calibri" w:hAnsi="Calibri"/>
          <w:sz w:val="22"/>
        </w:rPr>
        <w:t xml:space="preserve">medicines industry </w:t>
      </w:r>
    </w:p>
    <w:p w14:paraId="41DC5A96" w14:textId="77777777" w:rsidR="005172A2" w:rsidRPr="009034E9" w:rsidRDefault="005172A2" w:rsidP="005172A2">
      <w:pPr>
        <w:pStyle w:val="ListParagraph"/>
        <w:numPr>
          <w:ilvl w:val="0"/>
          <w:numId w:val="37"/>
        </w:numPr>
        <w:spacing w:after="120"/>
        <w:rPr>
          <w:rFonts w:ascii="Calibri" w:hAnsi="Calibri"/>
          <w:sz w:val="22"/>
        </w:rPr>
      </w:pPr>
      <w:r w:rsidRPr="009034E9">
        <w:rPr>
          <w:rFonts w:ascii="Calibri" w:hAnsi="Calibri"/>
          <w:sz w:val="22"/>
        </w:rPr>
        <w:t>limit unnecessary red tape by minimising the need for formal engagement during the assessment process</w:t>
      </w:r>
    </w:p>
    <w:p w14:paraId="3D8C1372" w14:textId="77777777" w:rsidR="005172A2" w:rsidRPr="009034E9" w:rsidRDefault="005172A2" w:rsidP="005172A2">
      <w:pPr>
        <w:pStyle w:val="ListParagraph"/>
        <w:numPr>
          <w:ilvl w:val="0"/>
          <w:numId w:val="37"/>
        </w:numPr>
        <w:spacing w:after="120"/>
        <w:rPr>
          <w:rFonts w:ascii="Calibri" w:hAnsi="Calibri"/>
          <w:sz w:val="22"/>
        </w:rPr>
      </w:pPr>
      <w:r w:rsidRPr="009034E9">
        <w:rPr>
          <w:rFonts w:ascii="Calibri" w:hAnsi="Calibri"/>
          <w:sz w:val="22"/>
        </w:rPr>
        <w:t>reduce the types of applications requiring engagement</w:t>
      </w:r>
    </w:p>
    <w:p w14:paraId="41D2C5EB" w14:textId="77777777" w:rsidR="005172A2" w:rsidRPr="009034E9" w:rsidRDefault="005172A2" w:rsidP="005172A2">
      <w:pPr>
        <w:pStyle w:val="ListParagraph"/>
        <w:numPr>
          <w:ilvl w:val="0"/>
          <w:numId w:val="37"/>
        </w:numPr>
        <w:spacing w:after="120"/>
        <w:rPr>
          <w:rFonts w:ascii="Calibri" w:hAnsi="Calibri"/>
          <w:sz w:val="22"/>
        </w:rPr>
      </w:pPr>
      <w:r w:rsidRPr="009034E9">
        <w:rPr>
          <w:rFonts w:ascii="Calibri" w:hAnsi="Calibri"/>
          <w:sz w:val="22"/>
        </w:rPr>
        <w:t>place time limits on the engagement process</w:t>
      </w:r>
    </w:p>
    <w:p w14:paraId="4DFFA97A" w14:textId="77777777" w:rsidR="005172A2" w:rsidRDefault="005172A2" w:rsidP="005172A2">
      <w:pPr>
        <w:pStyle w:val="ListParagraph"/>
        <w:numPr>
          <w:ilvl w:val="0"/>
          <w:numId w:val="37"/>
        </w:numPr>
        <w:spacing w:after="120"/>
        <w:rPr>
          <w:rFonts w:ascii="Calibri" w:hAnsi="Calibri"/>
          <w:sz w:val="22"/>
        </w:rPr>
      </w:pPr>
      <w:r w:rsidRPr="009034E9">
        <w:rPr>
          <w:rFonts w:ascii="Calibri" w:hAnsi="Calibri"/>
          <w:sz w:val="22"/>
        </w:rPr>
        <w:t>form the basis of a progressive and bes</w:t>
      </w:r>
      <w:r>
        <w:rPr>
          <w:rFonts w:ascii="Calibri" w:hAnsi="Calibri"/>
          <w:sz w:val="22"/>
        </w:rPr>
        <w:t>t-practice scheduling framework</w:t>
      </w:r>
    </w:p>
    <w:p w14:paraId="641596BE" w14:textId="77777777" w:rsidR="005172A2" w:rsidRPr="000C7777" w:rsidRDefault="005172A2" w:rsidP="000C7777">
      <w:pPr>
        <w:pStyle w:val="ListParagraph"/>
        <w:numPr>
          <w:ilvl w:val="0"/>
          <w:numId w:val="37"/>
        </w:numPr>
        <w:spacing w:after="240"/>
        <w:ind w:left="714" w:hanging="357"/>
        <w:rPr>
          <w:rFonts w:ascii="Calibri" w:hAnsi="Calibri"/>
          <w:sz w:val="22"/>
        </w:rPr>
      </w:pPr>
      <w:r w:rsidRPr="000C7777">
        <w:rPr>
          <w:rFonts w:ascii="Calibri" w:hAnsi="Calibri"/>
          <w:sz w:val="22"/>
        </w:rPr>
        <w:t xml:space="preserve">reduce restrictions on S3 direct-to-consumer communications to increase consumer awareness of this category, which will encourage medicines sponsors to engage in switch </w:t>
      </w:r>
      <w:r w:rsidRPr="000C7777">
        <w:rPr>
          <w:rFonts w:ascii="Calibri" w:hAnsi="Calibri"/>
          <w:i/>
          <w:sz w:val="22"/>
        </w:rPr>
        <w:t>(see more in Recommendation 2).</w:t>
      </w:r>
    </w:p>
    <w:p w14:paraId="0D51FA54" w14:textId="22124425" w:rsidR="005172A2" w:rsidRPr="000C7777" w:rsidRDefault="005172A2" w:rsidP="000C7777">
      <w:pPr>
        <w:rPr>
          <w:rFonts w:ascii="Calibri" w:eastAsia="Calibri" w:hAnsi="Calibri"/>
          <w:color w:val="FF0000"/>
          <w:lang w:eastAsia="en-US"/>
        </w:rPr>
      </w:pPr>
      <w:r w:rsidRPr="008D38C7">
        <w:rPr>
          <w:rFonts w:ascii="Calibri" w:eastAsia="Calibri" w:hAnsi="Calibri"/>
          <w:lang w:eastAsia="en-US"/>
        </w:rPr>
        <w:t xml:space="preserve">In Australia, there are currently a number of prescription-only (S4) medicines that are candidates for a switch to OTC. These include low-dose statins for cholesterol, triptans for migraine, antibiotics for urinary tract infection and chlamydia, </w:t>
      </w:r>
      <w:r>
        <w:rPr>
          <w:rFonts w:ascii="Calibri" w:eastAsia="Calibri" w:hAnsi="Calibri"/>
          <w:lang w:eastAsia="en-US"/>
        </w:rPr>
        <w:t>oral contraceptives</w:t>
      </w:r>
      <w:r w:rsidRPr="008D38C7">
        <w:rPr>
          <w:rFonts w:ascii="Calibri" w:eastAsia="Calibri" w:hAnsi="Calibri"/>
          <w:lang w:eastAsia="en-US"/>
        </w:rPr>
        <w:t xml:space="preserve"> and erectile dysfunction medicines. </w:t>
      </w:r>
      <w:r>
        <w:rPr>
          <w:rFonts w:ascii="Calibri" w:eastAsia="Calibri" w:hAnsi="Calibri"/>
          <w:lang w:eastAsia="en-US"/>
        </w:rPr>
        <w:t xml:space="preserve">Medications in these categories meet the criteria of </w:t>
      </w:r>
      <w:r w:rsidRPr="0016657C">
        <w:rPr>
          <w:rFonts w:asciiTheme="minorHAnsi" w:hAnsiTheme="minorHAnsi" w:cstheme="minorHAnsi"/>
        </w:rPr>
        <w:t>having a good efficacy and safety profile that has been demonstrated over time to address minor ailments that may be diagnosed and managed without medical intervention.</w:t>
      </w:r>
      <w:r>
        <w:rPr>
          <w:rFonts w:asciiTheme="minorHAnsi" w:hAnsiTheme="minorHAnsi" w:cstheme="minorHAnsi"/>
        </w:rPr>
        <w:t xml:space="preserve"> </w:t>
      </w:r>
      <w:r w:rsidRPr="008D38C7">
        <w:rPr>
          <w:rFonts w:ascii="Calibri" w:eastAsia="Calibri" w:hAnsi="Calibri"/>
          <w:lang w:eastAsia="en-US"/>
        </w:rPr>
        <w:t xml:space="preserve">Many of these are already available over-the-counter or are in the process of being </w:t>
      </w:r>
      <w:hyperlink r:id="rId23" w:history="1">
        <w:r w:rsidRPr="008D38C7">
          <w:rPr>
            <w:rStyle w:val="Hyperlink"/>
            <w:rFonts w:ascii="Calibri" w:eastAsia="Calibri" w:hAnsi="Calibri"/>
            <w:lang w:eastAsia="en-US"/>
          </w:rPr>
          <w:t>transitioned to OTC in New Zealand</w:t>
        </w:r>
      </w:hyperlink>
      <w:r w:rsidRPr="008D38C7">
        <w:rPr>
          <w:rFonts w:ascii="Calibri" w:eastAsia="Calibri" w:hAnsi="Calibri"/>
          <w:lang w:eastAsia="en-US"/>
        </w:rPr>
        <w:t xml:space="preserve">, which </w:t>
      </w:r>
      <w:r>
        <w:rPr>
          <w:rFonts w:ascii="Calibri" w:eastAsia="Calibri" w:hAnsi="Calibri"/>
          <w:lang w:eastAsia="en-US"/>
        </w:rPr>
        <w:t>has</w:t>
      </w:r>
      <w:r w:rsidRPr="008D38C7">
        <w:rPr>
          <w:rFonts w:ascii="Calibri" w:eastAsia="Calibri" w:hAnsi="Calibri"/>
          <w:lang w:eastAsia="en-US"/>
        </w:rPr>
        <w:t xml:space="preserve"> a similar healthcare system and regulatory framework</w:t>
      </w:r>
      <w:r>
        <w:rPr>
          <w:rFonts w:ascii="Calibri" w:eastAsia="Calibri" w:hAnsi="Calibri"/>
          <w:lang w:eastAsia="en-US"/>
        </w:rPr>
        <w:t xml:space="preserve"> to Australia</w:t>
      </w:r>
      <w:r w:rsidRPr="008D38C7">
        <w:rPr>
          <w:rFonts w:ascii="Calibri" w:eastAsia="Calibri" w:hAnsi="Calibri"/>
          <w:lang w:eastAsia="en-US"/>
        </w:rPr>
        <w:t xml:space="preserve">. </w:t>
      </w:r>
    </w:p>
    <w:p w14:paraId="1359DBEF" w14:textId="77777777" w:rsidR="00F6279C" w:rsidRPr="008D38C7" w:rsidRDefault="00F6279C" w:rsidP="000C7777">
      <w:pPr>
        <w:pStyle w:val="BodyText"/>
        <w:spacing w:before="0" w:after="120"/>
        <w:ind w:left="0"/>
      </w:pPr>
    </w:p>
    <w:p w14:paraId="43CD5E1E" w14:textId="2EACB345" w:rsidR="008D207F" w:rsidRPr="008D38C7" w:rsidRDefault="008D207F" w:rsidP="00C83B07">
      <w:pPr>
        <w:spacing w:before="120" w:after="120"/>
        <w:rPr>
          <w:rFonts w:ascii="Calibri" w:hAnsi="Calibri" w:cs="Calibri"/>
          <w:b/>
          <w:i/>
          <w:sz w:val="24"/>
          <w:u w:val="single"/>
        </w:rPr>
      </w:pPr>
      <w:r w:rsidRPr="008D38C7">
        <w:rPr>
          <w:rFonts w:ascii="Calibri" w:hAnsi="Calibri" w:cs="Calibri"/>
          <w:b/>
          <w:i/>
          <w:sz w:val="24"/>
          <w:u w:val="single"/>
        </w:rPr>
        <w:t>RECOMMENDATION 2</w:t>
      </w:r>
    </w:p>
    <w:p w14:paraId="04C26987" w14:textId="3266344F" w:rsidR="004D1360" w:rsidRPr="008D38C7" w:rsidRDefault="00F407BD" w:rsidP="008D207F">
      <w:pPr>
        <w:spacing w:after="120"/>
        <w:rPr>
          <w:rFonts w:ascii="Calibri" w:hAnsi="Calibri" w:cs="Calibri"/>
          <w:b/>
          <w:i/>
          <w:sz w:val="24"/>
          <w:u w:val="single"/>
        </w:rPr>
      </w:pPr>
      <w:r w:rsidRPr="008D38C7">
        <w:rPr>
          <w:rFonts w:ascii="Calibri" w:hAnsi="Calibri" w:cs="Calibri"/>
          <w:b/>
          <w:i/>
          <w:noProof/>
          <w:sz w:val="24"/>
          <w:u w:val="single"/>
        </w:rPr>
        <mc:AlternateContent>
          <mc:Choice Requires="wps">
            <w:drawing>
              <wp:anchor distT="0" distB="0" distL="114300" distR="114300" simplePos="0" relativeHeight="251661312" behindDoc="0" locked="0" layoutInCell="1" allowOverlap="1" wp14:anchorId="06029931" wp14:editId="15F1972A">
                <wp:simplePos x="0" y="0"/>
                <wp:positionH relativeFrom="column">
                  <wp:align>center</wp:align>
                </wp:positionH>
                <wp:positionV relativeFrom="paragraph">
                  <wp:posOffset>0</wp:posOffset>
                </wp:positionV>
                <wp:extent cx="5235575" cy="551815"/>
                <wp:effectExtent l="57150" t="38100" r="79375" b="958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5640" cy="55227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46C7A39D" w14:textId="7179B436" w:rsidR="004D1360" w:rsidRPr="008D207F" w:rsidRDefault="004D1360" w:rsidP="004D1360">
                            <w:pPr>
                              <w:tabs>
                                <w:tab w:val="left" w:pos="3478"/>
                              </w:tabs>
                              <w:spacing w:after="200"/>
                              <w:jc w:val="center"/>
                              <w:rPr>
                                <w:rFonts w:asciiTheme="minorHAnsi" w:hAnsiTheme="minorHAnsi" w:cstheme="minorHAnsi"/>
                                <w:color w:val="7030A0"/>
                              </w:rPr>
                            </w:pPr>
                            <w:r w:rsidRPr="008D207F">
                              <w:rPr>
                                <w:rFonts w:asciiTheme="minorHAnsi" w:hAnsiTheme="minorHAnsi" w:cstheme="minorHAnsi"/>
                                <w:b/>
                                <w:sz w:val="28"/>
                              </w:rPr>
                              <w:t xml:space="preserve">Reduce restrictions on </w:t>
                            </w:r>
                            <w:r w:rsidR="00F407BD">
                              <w:rPr>
                                <w:rFonts w:asciiTheme="minorHAnsi" w:hAnsiTheme="minorHAnsi" w:cstheme="minorHAnsi"/>
                                <w:b/>
                                <w:sz w:val="28"/>
                              </w:rPr>
                              <w:t xml:space="preserve">direct-to-consumer communications for </w:t>
                            </w:r>
                            <w:r w:rsidRPr="008D207F">
                              <w:rPr>
                                <w:rFonts w:asciiTheme="minorHAnsi" w:hAnsiTheme="minorHAnsi" w:cstheme="minorHAnsi"/>
                                <w:b/>
                                <w:sz w:val="28"/>
                              </w:rPr>
                              <w:t>Pharmacist Only (S3) medicines</w:t>
                            </w:r>
                          </w:p>
                          <w:p w14:paraId="2898481C" w14:textId="737E3527" w:rsidR="004D1360" w:rsidRDefault="004D13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12.25pt;height:43.4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8YuQgIAAMYEAAAOAAAAZHJzL2Uyb0RvYy54bWysVF1v0zAUfUfiP1h+p2lDu0HUdBodIKTx&#10;ITZ+wK1jN9Yc32C7Tbpfz7XTZhWgPSBeLNv3nuNzv7y86hvD9tJ5jbbks8mUM2kFVtpuS/7j/sOr&#10;N5z5ALYCg1aW/CA9v1q9fLHs2kLmWKOppGNEYn3RtSWvQ2iLLPOilg34CbbSklGhayDQ0W2zykFH&#10;7I3J8un0IuvQVa1DIb2n25vByFeJXykpwlelvAzMlJy0hbS6tG7imq2WUGwdtLUWRxnwDyoa0JYe&#10;HaluIADbOf0HVaOFQ48qTAQ2GSqlhUwxUDSz6W/R3NXQyhQLJce3Y5r8/6MVX/bfHNNVyS84s9BQ&#10;ie5lH9g77Fkes9O1viCnu5bcQk/XVOUUqW9vUTx4ZnFdg93Ka+ewqyVUpG4WkdkZdODxkWTTfcaK&#10;noFdwETUK9fE1FEyGLFTlQ5jZaIUQZeL/PXiYk4mQbbFIs8vU+kyKE7o1vnwUWLD4qbkjiqf2GF/&#10;60NUA8XJJT5mbFyj3Pe2Sk0QQJthT67RnPRHyUfx4WDkAP0uFaXsKROxWeXaOLYHajMQQtowpCAy&#10;kXeEKW3MCMyHFD4HPPpHqEyNPIKP+X8OPCLSy2jDCG60Rfe316uHk2Q1+J8yMMQdixn6TZ96ZeyM&#10;DVYHqqnDYbDoI6BNje6Rs46GquT+5w6c5Mx8stQXb2fzWMSQDvPFZU4Hd27ZnFvACqIqeeBs2K5D&#10;mtwYk8Vr6h+lU2mjtkHJUTMNS6r4cbDjNJ6fk9fT97P6BQAA//8DAFBLAwQUAAYACAAAACEAqcEL&#10;QdwAAAAEAQAADwAAAGRycy9kb3ducmV2LnhtbEyPwU7DQAxE70j8w8pI3OiGUtIQsqkQokgcemip&#10;OLuJSaJmvWl22wS+HpcLXKyxxpp5zhajbdWJet84NnA7iUARF65suDKwfV/eJKB8QC6xdUwGvsjD&#10;Ir+8yDAt3cBrOm1CpSSEfYoG6hC6VGtf1GTRT1xHLN6n6y0GWftKlz0OEm5bPY2iWFtsWBpq7Oi5&#10;pmK/OVoD8/XL3SFZ0uo1fsPhe9bY/WH1Ycz11fj0CCrQGP6O4Ywv6JAL084dufSqNSCPhN8pXjKd&#10;3YPaiYgfQOeZ/g+f/wAAAP//AwBQSwECLQAUAAYACAAAACEAtoM4kv4AAADhAQAAEwAAAAAAAAAA&#10;AAAAAAAAAAAAW0NvbnRlbnRfVHlwZXNdLnhtbFBLAQItABQABgAIAAAAIQA4/SH/1gAAAJQBAAAL&#10;AAAAAAAAAAAAAAAAAC8BAABfcmVscy8ucmVsc1BLAQItABQABgAIAAAAIQCAc8YuQgIAAMYEAAAO&#10;AAAAAAAAAAAAAAAAAC4CAABkcnMvZTJvRG9jLnhtbFBLAQItABQABgAIAAAAIQCpwQtB3AAAAAQB&#10;AAAPAAAAAAAAAAAAAAAAAJwEAABkcnMvZG93bnJldi54bWxQSwUGAAAAAAQABADzAAAApQUAAAAA&#10;" fillcolor="#a7bfde [1620]" strokecolor="#4579b8 [3044]">
                <v:fill color2="#e4ecf5 [500]" rotate="t" angle="180" colors="0 #a3c4ff;22938f #bfd5ff;1 #e5eeff" focus="100%" type="gradient"/>
                <v:shadow on="t" color="black" opacity="24903f" origin=",.5" offset="0,.55556mm"/>
                <v:textbox>
                  <w:txbxContent>
                    <w:p w14:paraId="46C7A39D" w14:textId="7179B436" w:rsidR="004D1360" w:rsidRPr="008D207F" w:rsidRDefault="004D1360" w:rsidP="004D1360">
                      <w:pPr>
                        <w:tabs>
                          <w:tab w:val="left" w:pos="3478"/>
                        </w:tabs>
                        <w:spacing w:after="200"/>
                        <w:jc w:val="center"/>
                        <w:rPr>
                          <w:rFonts w:asciiTheme="minorHAnsi" w:hAnsiTheme="minorHAnsi" w:cstheme="minorHAnsi"/>
                          <w:color w:val="7030A0"/>
                        </w:rPr>
                      </w:pPr>
                      <w:r w:rsidRPr="008D207F">
                        <w:rPr>
                          <w:rFonts w:asciiTheme="minorHAnsi" w:hAnsiTheme="minorHAnsi" w:cstheme="minorHAnsi"/>
                          <w:b/>
                          <w:sz w:val="28"/>
                        </w:rPr>
                        <w:t xml:space="preserve">Reduce restrictions on </w:t>
                      </w:r>
                      <w:r w:rsidR="00F407BD">
                        <w:rPr>
                          <w:rFonts w:asciiTheme="minorHAnsi" w:hAnsiTheme="minorHAnsi" w:cstheme="minorHAnsi"/>
                          <w:b/>
                          <w:sz w:val="28"/>
                        </w:rPr>
                        <w:t xml:space="preserve">direct-to-consumer communications for </w:t>
                      </w:r>
                      <w:r w:rsidRPr="008D207F">
                        <w:rPr>
                          <w:rFonts w:asciiTheme="minorHAnsi" w:hAnsiTheme="minorHAnsi" w:cstheme="minorHAnsi"/>
                          <w:b/>
                          <w:sz w:val="28"/>
                        </w:rPr>
                        <w:t>Pharmacist Only (S3) medicines</w:t>
                      </w:r>
                    </w:p>
                    <w:p w14:paraId="2898481C" w14:textId="737E3527" w:rsidR="004D1360" w:rsidRDefault="004D1360"/>
                  </w:txbxContent>
                </v:textbox>
              </v:shape>
            </w:pict>
          </mc:Fallback>
        </mc:AlternateContent>
      </w:r>
    </w:p>
    <w:p w14:paraId="31571611" w14:textId="77777777" w:rsidR="004D1360" w:rsidRPr="008D38C7" w:rsidRDefault="004D1360" w:rsidP="008D207F">
      <w:pPr>
        <w:spacing w:after="120"/>
        <w:rPr>
          <w:rFonts w:ascii="Calibri" w:hAnsi="Calibri" w:cs="Calibri"/>
          <w:b/>
          <w:i/>
          <w:sz w:val="24"/>
          <w:u w:val="single"/>
        </w:rPr>
      </w:pPr>
    </w:p>
    <w:p w14:paraId="2A56BBBF" w14:textId="77777777" w:rsidR="00F407BD" w:rsidRDefault="00F407BD" w:rsidP="004D1360">
      <w:pPr>
        <w:spacing w:after="120"/>
        <w:rPr>
          <w:rFonts w:asciiTheme="minorHAnsi" w:hAnsiTheme="minorHAnsi" w:cstheme="minorHAnsi"/>
        </w:rPr>
      </w:pPr>
    </w:p>
    <w:p w14:paraId="21E2FE56" w14:textId="30B3C578" w:rsidR="00F75D2B" w:rsidRDefault="00F75D2B" w:rsidP="004D1360">
      <w:pPr>
        <w:spacing w:after="120"/>
        <w:rPr>
          <w:rFonts w:asciiTheme="minorHAnsi" w:hAnsiTheme="minorHAnsi" w:cstheme="minorHAnsi"/>
        </w:rPr>
      </w:pPr>
      <w:r w:rsidRPr="0025435A">
        <w:rPr>
          <w:rFonts w:asciiTheme="minorHAnsi" w:hAnsiTheme="minorHAnsi"/>
          <w:lang w:val="en-US"/>
        </w:rPr>
        <w:t xml:space="preserve">Schedule 3 medicines are used to treat a range of everyday conditions </w:t>
      </w:r>
      <w:r w:rsidRPr="0025435A">
        <w:rPr>
          <w:rFonts w:asciiTheme="minorHAnsi" w:hAnsiTheme="minorHAnsi" w:cstheme="minorHAnsi"/>
          <w:iCs/>
        </w:rPr>
        <w:t xml:space="preserve">that either do not require medical diagnosis or only require initial medical diagnosis and no close medical management. Examples </w:t>
      </w:r>
      <w:r w:rsidRPr="0025435A">
        <w:rPr>
          <w:rFonts w:asciiTheme="minorHAnsi" w:hAnsiTheme="minorHAnsi"/>
          <w:lang w:val="en-US"/>
        </w:rPr>
        <w:t>include cold sores, conjunctivitis, mouth ulcers, nausea and vomiting associated with migraine</w:t>
      </w:r>
      <w:r w:rsidR="003B7A62">
        <w:rPr>
          <w:rFonts w:asciiTheme="minorHAnsi" w:hAnsiTheme="minorHAnsi"/>
          <w:lang w:val="en-US"/>
        </w:rPr>
        <w:t xml:space="preserve"> </w:t>
      </w:r>
      <w:r w:rsidR="003B7A62" w:rsidRPr="0025435A">
        <w:rPr>
          <w:rFonts w:asciiTheme="minorHAnsi" w:hAnsiTheme="minorHAnsi"/>
          <w:lang w:val="en-US"/>
        </w:rPr>
        <w:t>and</w:t>
      </w:r>
      <w:r w:rsidRPr="0025435A">
        <w:rPr>
          <w:rFonts w:asciiTheme="minorHAnsi" w:hAnsiTheme="minorHAnsi"/>
          <w:lang w:val="en-US"/>
        </w:rPr>
        <w:t xml:space="preserve"> travel sickness. </w:t>
      </w:r>
      <w:r>
        <w:rPr>
          <w:rFonts w:asciiTheme="minorHAnsi" w:hAnsiTheme="minorHAnsi"/>
          <w:lang w:val="en-US"/>
        </w:rPr>
        <w:t xml:space="preserve">All </w:t>
      </w:r>
      <w:r w:rsidRPr="0025435A">
        <w:rPr>
          <w:rFonts w:asciiTheme="minorHAnsi" w:hAnsiTheme="minorHAnsi" w:cstheme="minorHAnsi"/>
          <w:iCs/>
        </w:rPr>
        <w:t xml:space="preserve">S3 medicines </w:t>
      </w:r>
      <w:r>
        <w:rPr>
          <w:rFonts w:asciiTheme="minorHAnsi" w:hAnsiTheme="minorHAnsi" w:cstheme="minorHAnsi"/>
          <w:iCs/>
        </w:rPr>
        <w:t>have been deemed</w:t>
      </w:r>
      <w:r w:rsidRPr="0025435A">
        <w:rPr>
          <w:rFonts w:asciiTheme="minorHAnsi" w:hAnsiTheme="minorHAnsi" w:cstheme="minorHAnsi"/>
          <w:iCs/>
        </w:rPr>
        <w:t xml:space="preserve"> </w:t>
      </w:r>
      <w:r>
        <w:rPr>
          <w:rFonts w:asciiTheme="minorHAnsi" w:hAnsiTheme="minorHAnsi" w:cstheme="minorHAnsi"/>
          <w:iCs/>
        </w:rPr>
        <w:t>“</w:t>
      </w:r>
      <w:r w:rsidRPr="0025435A">
        <w:rPr>
          <w:rFonts w:asciiTheme="minorHAnsi" w:hAnsiTheme="minorHAnsi" w:cstheme="minorHAnsi"/>
          <w:iCs/>
        </w:rPr>
        <w:t>substantially safe with pharmacist intervention</w:t>
      </w:r>
      <w:r>
        <w:rPr>
          <w:rFonts w:asciiTheme="minorHAnsi" w:hAnsiTheme="minorHAnsi" w:cstheme="minorHAnsi"/>
          <w:iCs/>
        </w:rPr>
        <w:t>” by the TGA</w:t>
      </w:r>
      <w:r w:rsidRPr="0025435A">
        <w:rPr>
          <w:rFonts w:asciiTheme="minorHAnsi" w:hAnsiTheme="minorHAnsi" w:cstheme="minorHAnsi"/>
          <w:iCs/>
        </w:rPr>
        <w:t>.</w:t>
      </w:r>
    </w:p>
    <w:p w14:paraId="1C63F9BB" w14:textId="77777777" w:rsidR="00F75D2B" w:rsidRPr="008D38C7" w:rsidRDefault="00F75D2B" w:rsidP="00F75D2B">
      <w:pPr>
        <w:autoSpaceDE w:val="0"/>
        <w:autoSpaceDN w:val="0"/>
        <w:adjustRightInd w:val="0"/>
        <w:spacing w:after="120"/>
        <w:jc w:val="both"/>
        <w:rPr>
          <w:rFonts w:asciiTheme="minorHAnsi" w:hAnsiTheme="minorHAnsi" w:cstheme="minorHAnsi"/>
        </w:rPr>
      </w:pPr>
      <w:r>
        <w:rPr>
          <w:rFonts w:asciiTheme="minorHAnsi" w:hAnsiTheme="minorHAnsi" w:cstheme="minorHAnsi"/>
        </w:rPr>
        <w:t>The current</w:t>
      </w:r>
      <w:r w:rsidRPr="00006E6C">
        <w:rPr>
          <w:rFonts w:asciiTheme="minorHAnsi" w:hAnsiTheme="minorHAnsi" w:cstheme="minorHAnsi"/>
        </w:rPr>
        <w:t xml:space="preserve"> default regulatory position</w:t>
      </w:r>
      <w:r>
        <w:rPr>
          <w:rFonts w:asciiTheme="minorHAnsi" w:hAnsiTheme="minorHAnsi" w:cstheme="minorHAnsi"/>
        </w:rPr>
        <w:t xml:space="preserve"> is that S3 medicines cannot be advertised, unless the manufacturer applies for and is granted an exemption. </w:t>
      </w:r>
      <w:r w:rsidRPr="008D38C7">
        <w:rPr>
          <w:rFonts w:asciiTheme="minorHAnsi" w:hAnsiTheme="minorHAnsi" w:cstheme="minorHAnsi"/>
        </w:rPr>
        <w:t xml:space="preserve">The current regulatory ‘mindset’ focuses almost exclusively on risks with little consideration of the benefits. </w:t>
      </w:r>
    </w:p>
    <w:p w14:paraId="4E138127" w14:textId="26665A04" w:rsidR="00512C41" w:rsidRPr="008D38C7" w:rsidRDefault="00F75D2B" w:rsidP="00F75D2B">
      <w:pPr>
        <w:spacing w:after="120"/>
        <w:rPr>
          <w:rFonts w:asciiTheme="minorHAnsi" w:hAnsiTheme="minorHAnsi" w:cstheme="minorHAnsi"/>
        </w:rPr>
      </w:pPr>
      <w:r>
        <w:rPr>
          <w:rFonts w:asciiTheme="minorHAnsi" w:hAnsiTheme="minorHAnsi" w:cstheme="minorHAnsi"/>
        </w:rPr>
        <w:t>ASMI</w:t>
      </w:r>
      <w:r w:rsidRPr="008D207F">
        <w:rPr>
          <w:rFonts w:asciiTheme="minorHAnsi" w:hAnsiTheme="minorHAnsi" w:cstheme="minorHAnsi"/>
        </w:rPr>
        <w:t xml:space="preserve"> proposes that the</w:t>
      </w:r>
      <w:r>
        <w:rPr>
          <w:rFonts w:asciiTheme="minorHAnsi" w:hAnsiTheme="minorHAnsi" w:cstheme="minorHAnsi"/>
        </w:rPr>
        <w:t>se</w:t>
      </w:r>
      <w:r w:rsidRPr="008D207F">
        <w:rPr>
          <w:rFonts w:asciiTheme="minorHAnsi" w:hAnsiTheme="minorHAnsi" w:cstheme="minorHAnsi"/>
        </w:rPr>
        <w:t xml:space="preserve"> </w:t>
      </w:r>
      <w:r w:rsidR="00512C41" w:rsidRPr="008D38C7">
        <w:rPr>
          <w:rFonts w:asciiTheme="minorHAnsi" w:hAnsiTheme="minorHAnsi" w:cstheme="minorHAnsi"/>
        </w:rPr>
        <w:t xml:space="preserve">restrictions be revised in the interest of raising consumer awareness of safe and proven therapeutic products that they already have access to. </w:t>
      </w:r>
      <w:r w:rsidR="003B7A62">
        <w:rPr>
          <w:rFonts w:asciiTheme="minorHAnsi" w:hAnsiTheme="minorHAnsi" w:cstheme="minorHAnsi"/>
        </w:rPr>
        <w:t>A good example</w:t>
      </w:r>
      <w:r w:rsidR="006F2E55">
        <w:rPr>
          <w:rFonts w:asciiTheme="minorHAnsi" w:hAnsiTheme="minorHAnsi" w:cstheme="minorHAnsi"/>
        </w:rPr>
        <w:t xml:space="preserve"> of a current S3 medicine which can’t be advertised direct to consumers</w:t>
      </w:r>
      <w:r w:rsidR="003B7A62">
        <w:rPr>
          <w:rFonts w:asciiTheme="minorHAnsi" w:hAnsiTheme="minorHAnsi" w:cstheme="minorHAnsi"/>
        </w:rPr>
        <w:t xml:space="preserve"> is </w:t>
      </w:r>
      <w:r w:rsidR="003B7A62" w:rsidRPr="003B7A62">
        <w:rPr>
          <w:rFonts w:asciiTheme="minorHAnsi" w:hAnsiTheme="minorHAnsi" w:cstheme="minorHAnsi"/>
        </w:rPr>
        <w:t>chloramphenicol</w:t>
      </w:r>
      <w:r w:rsidR="003B7A62">
        <w:rPr>
          <w:rFonts w:asciiTheme="minorHAnsi" w:hAnsiTheme="minorHAnsi" w:cstheme="minorHAnsi"/>
        </w:rPr>
        <w:t xml:space="preserve">, which is used for bacterial conjunctivitis, an easily identified condition that is common among young children. </w:t>
      </w:r>
      <w:r w:rsidR="00512C41" w:rsidRPr="008D38C7">
        <w:rPr>
          <w:rFonts w:asciiTheme="minorHAnsi" w:hAnsiTheme="minorHAnsi" w:cstheme="minorHAnsi"/>
        </w:rPr>
        <w:t>The current arrangements disempower consumers because ‘they are not allowed to know’ about these medicines.</w:t>
      </w:r>
    </w:p>
    <w:p w14:paraId="5D4E9D51" w14:textId="45CB1A3E" w:rsidR="00512C41" w:rsidRPr="008D38C7" w:rsidRDefault="003B7A62" w:rsidP="000C7777">
      <w:pPr>
        <w:autoSpaceDE w:val="0"/>
        <w:autoSpaceDN w:val="0"/>
        <w:adjustRightInd w:val="0"/>
        <w:spacing w:after="120"/>
        <w:rPr>
          <w:rFonts w:asciiTheme="minorHAnsi" w:hAnsiTheme="minorHAnsi" w:cstheme="minorHAnsi"/>
        </w:rPr>
      </w:pPr>
      <w:r>
        <w:rPr>
          <w:rFonts w:asciiTheme="minorHAnsi" w:hAnsiTheme="minorHAnsi" w:cstheme="minorHAnsi"/>
        </w:rPr>
        <w:t>In conjunction with other stakeholders, ASMI developed a p</w:t>
      </w:r>
      <w:r w:rsidR="00ED03A2">
        <w:rPr>
          <w:rFonts w:asciiTheme="minorHAnsi" w:hAnsiTheme="minorHAnsi" w:cstheme="minorHAnsi"/>
        </w:rPr>
        <w:t>roposed</w:t>
      </w:r>
      <w:r w:rsidR="00512C41" w:rsidRPr="008D38C7">
        <w:rPr>
          <w:rFonts w:asciiTheme="minorHAnsi" w:hAnsiTheme="minorHAnsi" w:cstheme="minorHAnsi"/>
        </w:rPr>
        <w:t xml:space="preserve"> communication model for S3 medicines</w:t>
      </w:r>
      <w:r w:rsidR="003956B1">
        <w:rPr>
          <w:rFonts w:asciiTheme="minorHAnsi" w:hAnsiTheme="minorHAnsi" w:cstheme="minorHAnsi"/>
        </w:rPr>
        <w:t xml:space="preserve"> that</w:t>
      </w:r>
      <w:r w:rsidR="00512C41" w:rsidRPr="008D38C7">
        <w:rPr>
          <w:rFonts w:asciiTheme="minorHAnsi" w:hAnsiTheme="minorHAnsi" w:cstheme="minorHAnsi"/>
        </w:rPr>
        <w:t xml:space="preserve"> provides potential to ease pressure on health costs and resources by making greater use of community pharmacists, who are vastly under-utilised as a primary healthcare resource. The proposed model advocates a strict, standardised format that delivers </w:t>
      </w:r>
      <w:r w:rsidR="004B390C">
        <w:rPr>
          <w:rFonts w:asciiTheme="minorHAnsi" w:hAnsiTheme="minorHAnsi" w:cstheme="minorHAnsi"/>
        </w:rPr>
        <w:t xml:space="preserve">condition-specific </w:t>
      </w:r>
      <w:r w:rsidR="00512C41" w:rsidRPr="008D38C7">
        <w:rPr>
          <w:rFonts w:asciiTheme="minorHAnsi" w:hAnsiTheme="minorHAnsi" w:cstheme="minorHAnsi"/>
        </w:rPr>
        <w:t xml:space="preserve">health information to consumers </w:t>
      </w:r>
      <w:r w:rsidR="004B390C">
        <w:rPr>
          <w:rFonts w:asciiTheme="minorHAnsi" w:hAnsiTheme="minorHAnsi" w:cstheme="minorHAnsi"/>
        </w:rPr>
        <w:t>as well as</w:t>
      </w:r>
      <w:r w:rsidR="00512C41" w:rsidRPr="008D38C7">
        <w:rPr>
          <w:rFonts w:asciiTheme="minorHAnsi" w:hAnsiTheme="minorHAnsi" w:cstheme="minorHAnsi"/>
        </w:rPr>
        <w:t xml:space="preserve"> brand promotion and emphasises mandatory consultation with a pharmacist. </w:t>
      </w:r>
    </w:p>
    <w:p w14:paraId="75056D5D" w14:textId="19A8116C" w:rsidR="00512C41" w:rsidRPr="008D38C7" w:rsidRDefault="00512C41" w:rsidP="004D1360">
      <w:pPr>
        <w:spacing w:after="120"/>
        <w:rPr>
          <w:rFonts w:asciiTheme="minorHAnsi" w:hAnsiTheme="minorHAnsi"/>
        </w:rPr>
      </w:pPr>
      <w:r w:rsidRPr="008D38C7">
        <w:rPr>
          <w:rFonts w:asciiTheme="minorHAnsi" w:hAnsiTheme="minorHAnsi"/>
        </w:rPr>
        <w:t>Australia is currently out of step with nations that have a similar regulatory framework for medicines (e.g. New Zealand, the UK, Canada) yet have a more liberal attitude to advertising non-prescription medicines. This is discouraging innovation in the local medicines sector.</w:t>
      </w:r>
      <w:r w:rsidR="008D207F" w:rsidRPr="008D38C7">
        <w:rPr>
          <w:rFonts w:ascii="Calibri" w:hAnsi="Calibri" w:cs="Calibri"/>
          <w:b/>
        </w:rPr>
        <w:tab/>
      </w:r>
    </w:p>
    <w:p w14:paraId="29C3BD23" w14:textId="6563C2E6" w:rsidR="00512C41" w:rsidRPr="008D38C7" w:rsidRDefault="00512C41" w:rsidP="004D1360">
      <w:pPr>
        <w:pStyle w:val="NoSpacing"/>
        <w:spacing w:after="120"/>
        <w:rPr>
          <w:rFonts w:asciiTheme="minorHAnsi" w:hAnsiTheme="minorHAnsi"/>
          <w:sz w:val="22"/>
        </w:rPr>
      </w:pPr>
      <w:r w:rsidRPr="008D38C7">
        <w:rPr>
          <w:rFonts w:asciiTheme="minorHAnsi" w:hAnsiTheme="minorHAnsi" w:cstheme="minorHAnsi"/>
          <w:sz w:val="22"/>
        </w:rPr>
        <w:t xml:space="preserve">In 2016, the </w:t>
      </w:r>
      <w:r w:rsidRPr="008D38C7">
        <w:rPr>
          <w:rFonts w:asciiTheme="minorHAnsi" w:hAnsiTheme="minorHAnsi"/>
          <w:sz w:val="22"/>
        </w:rPr>
        <w:t>Centre for Health Economics Research and Evaluation (CHERE) at the University of Technology Sydney conducted a randomised study</w:t>
      </w:r>
      <w:r w:rsidR="003B731F" w:rsidRPr="000C7777">
        <w:rPr>
          <w:rFonts w:asciiTheme="minorHAnsi" w:hAnsiTheme="minorHAnsi"/>
          <w:sz w:val="22"/>
          <w:vertAlign w:val="superscript"/>
        </w:rPr>
        <w:t>iv</w:t>
      </w:r>
      <w:r w:rsidRPr="008D38C7">
        <w:rPr>
          <w:rFonts w:asciiTheme="minorHAnsi" w:hAnsiTheme="minorHAnsi"/>
          <w:sz w:val="22"/>
        </w:rPr>
        <w:t xml:space="preserve"> to assess the impact of a </w:t>
      </w:r>
      <w:hyperlink r:id="rId24" w:history="1">
        <w:r w:rsidRPr="008D38C7">
          <w:rPr>
            <w:rStyle w:val="Hyperlink"/>
            <w:rFonts w:asciiTheme="minorHAnsi" w:hAnsiTheme="minorHAnsi"/>
            <w:sz w:val="22"/>
          </w:rPr>
          <w:t>‘mock S3 product TV advertisement’</w:t>
        </w:r>
      </w:hyperlink>
      <w:r w:rsidRPr="008D38C7">
        <w:rPr>
          <w:rFonts w:asciiTheme="minorHAnsi" w:hAnsiTheme="minorHAnsi"/>
          <w:sz w:val="22"/>
        </w:rPr>
        <w:t>.  The study</w:t>
      </w:r>
      <w:r w:rsidR="00CC0299">
        <w:rPr>
          <w:rFonts w:asciiTheme="minorHAnsi" w:hAnsiTheme="minorHAnsi"/>
          <w:sz w:val="22"/>
        </w:rPr>
        <w:t xml:space="preserve"> </w:t>
      </w:r>
      <w:r w:rsidRPr="008D38C7">
        <w:rPr>
          <w:rFonts w:asciiTheme="minorHAnsi" w:hAnsiTheme="minorHAnsi"/>
          <w:sz w:val="22"/>
        </w:rPr>
        <w:t xml:space="preserve">involved almost 1300 consumers, 500 pharmacists and 500 pharmacy assistants.  A test and control environment was used to isolate the impact of advertising on health outcomes and the behaviour of both consumers and pharmacists. </w:t>
      </w:r>
    </w:p>
    <w:p w14:paraId="553BBCC2" w14:textId="765ADDB9" w:rsidR="00512C41" w:rsidRPr="008D38C7" w:rsidRDefault="00512C41" w:rsidP="004D1360">
      <w:pPr>
        <w:pStyle w:val="NoSpacing"/>
        <w:spacing w:after="120"/>
        <w:rPr>
          <w:rFonts w:asciiTheme="minorHAnsi" w:hAnsiTheme="minorHAnsi" w:cstheme="minorHAnsi"/>
          <w:sz w:val="22"/>
        </w:rPr>
      </w:pPr>
      <w:r w:rsidRPr="008D38C7">
        <w:rPr>
          <w:rFonts w:asciiTheme="minorHAnsi" w:hAnsiTheme="minorHAnsi" w:cstheme="minorHAnsi"/>
          <w:sz w:val="22"/>
        </w:rPr>
        <w:t xml:space="preserve">Findings from CHERE indicate better </w:t>
      </w:r>
      <w:hyperlink r:id="rId25" w:history="1">
        <w:r w:rsidRPr="008D38C7">
          <w:rPr>
            <w:rStyle w:val="Hyperlink"/>
            <w:rFonts w:asciiTheme="minorHAnsi" w:hAnsiTheme="minorHAnsi" w:cstheme="minorHAnsi"/>
            <w:sz w:val="22"/>
          </w:rPr>
          <w:t>quality use of medicine</w:t>
        </w:r>
      </w:hyperlink>
      <w:r w:rsidRPr="008D38C7">
        <w:rPr>
          <w:rFonts w:asciiTheme="minorHAnsi" w:hAnsiTheme="minorHAnsi" w:cstheme="minorHAnsi"/>
          <w:sz w:val="22"/>
        </w:rPr>
        <w:t xml:space="preserve"> (QUM) outcomes for the consumer </w:t>
      </w:r>
      <w:r w:rsidR="003B7A62">
        <w:rPr>
          <w:rFonts w:asciiTheme="minorHAnsi" w:hAnsiTheme="minorHAnsi" w:cstheme="minorHAnsi"/>
          <w:sz w:val="22"/>
        </w:rPr>
        <w:br/>
      </w:r>
      <w:r w:rsidRPr="000C7777">
        <w:rPr>
          <w:rFonts w:asciiTheme="minorHAnsi" w:hAnsiTheme="minorHAnsi" w:cstheme="minorHAnsi"/>
          <w:i/>
          <w:sz w:val="22"/>
          <w:u w:val="single"/>
        </w:rPr>
        <w:t>with</w:t>
      </w:r>
      <w:r w:rsidRPr="008D38C7">
        <w:rPr>
          <w:rFonts w:asciiTheme="minorHAnsi" w:hAnsiTheme="minorHAnsi" w:cstheme="minorHAnsi"/>
          <w:sz w:val="22"/>
        </w:rPr>
        <w:t xml:space="preserve"> advert</w:t>
      </w:r>
      <w:r w:rsidR="004B390C">
        <w:rPr>
          <w:rFonts w:asciiTheme="minorHAnsi" w:hAnsiTheme="minorHAnsi" w:cstheme="minorHAnsi"/>
          <w:sz w:val="22"/>
        </w:rPr>
        <w:t>is</w:t>
      </w:r>
      <w:r w:rsidRPr="008D38C7">
        <w:rPr>
          <w:rFonts w:asciiTheme="minorHAnsi" w:hAnsiTheme="minorHAnsi" w:cstheme="minorHAnsi"/>
          <w:sz w:val="22"/>
        </w:rPr>
        <w:t xml:space="preserve">ing than without it. </w:t>
      </w:r>
    </w:p>
    <w:p w14:paraId="67CA7FE4" w14:textId="77777777" w:rsidR="003B7A62" w:rsidRDefault="003B7A62">
      <w:pPr>
        <w:rPr>
          <w:rFonts w:asciiTheme="minorHAnsi" w:eastAsiaTheme="minorHAnsi" w:hAnsiTheme="minorHAnsi" w:cstheme="minorHAnsi"/>
          <w:b/>
          <w:sz w:val="24"/>
          <w:lang w:eastAsia="en-US"/>
        </w:rPr>
      </w:pPr>
      <w:r>
        <w:rPr>
          <w:rFonts w:asciiTheme="minorHAnsi" w:hAnsiTheme="minorHAnsi" w:cstheme="minorHAnsi"/>
          <w:b/>
        </w:rPr>
        <w:br w:type="page"/>
      </w:r>
    </w:p>
    <w:p w14:paraId="3C064EA4" w14:textId="16F8F48D" w:rsidR="00B612FA" w:rsidRPr="008D38C7" w:rsidRDefault="00B612FA" w:rsidP="004D1360">
      <w:pPr>
        <w:pStyle w:val="NoSpacing"/>
        <w:spacing w:after="120"/>
        <w:rPr>
          <w:rFonts w:asciiTheme="minorHAnsi" w:hAnsiTheme="minorHAnsi" w:cstheme="minorHAnsi"/>
          <w:b/>
        </w:rPr>
      </w:pPr>
      <w:r w:rsidRPr="008D38C7">
        <w:rPr>
          <w:rFonts w:asciiTheme="minorHAnsi" w:hAnsiTheme="minorHAnsi" w:cstheme="minorHAnsi"/>
          <w:b/>
        </w:rPr>
        <w:t>The research dispels myths currently held towards S3 advertising:</w:t>
      </w:r>
    </w:p>
    <w:tbl>
      <w:tblPr>
        <w:tblW w:w="7915" w:type="dxa"/>
        <w:jc w:val="center"/>
        <w:tblCellMar>
          <w:left w:w="0" w:type="dxa"/>
          <w:right w:w="0" w:type="dxa"/>
        </w:tblCellMar>
        <w:tblLook w:val="0420" w:firstRow="1" w:lastRow="0" w:firstColumn="0" w:lastColumn="0" w:noHBand="0" w:noVBand="1"/>
      </w:tblPr>
      <w:tblGrid>
        <w:gridCol w:w="2422"/>
        <w:gridCol w:w="5493"/>
      </w:tblGrid>
      <w:tr w:rsidR="0042703F" w:rsidRPr="008D38C7" w14:paraId="17579581" w14:textId="77777777" w:rsidTr="002464E7">
        <w:trPr>
          <w:trHeight w:val="338"/>
          <w:jc w:val="center"/>
        </w:trPr>
        <w:tc>
          <w:tcPr>
            <w:tcW w:w="2422" w:type="dxa"/>
            <w:tcBorders>
              <w:top w:val="single" w:sz="8" w:space="0" w:color="FFFFFF"/>
              <w:left w:val="single" w:sz="8" w:space="0" w:color="FFFFFF"/>
              <w:bottom w:val="single" w:sz="24" w:space="0" w:color="FFFFFF"/>
              <w:right w:val="single" w:sz="8" w:space="0" w:color="FFFFFF"/>
            </w:tcBorders>
            <w:shd w:val="clear" w:color="auto" w:fill="4DB835"/>
            <w:tcMar>
              <w:top w:w="72" w:type="dxa"/>
              <w:left w:w="144" w:type="dxa"/>
              <w:bottom w:w="72" w:type="dxa"/>
              <w:right w:w="144" w:type="dxa"/>
            </w:tcMar>
            <w:hideMark/>
          </w:tcPr>
          <w:p w14:paraId="545AB917" w14:textId="77777777" w:rsidR="0042703F" w:rsidRPr="008D38C7" w:rsidRDefault="0042703F" w:rsidP="00A16DD8">
            <w:pPr>
              <w:ind w:left="284"/>
              <w:rPr>
                <w:sz w:val="36"/>
                <w:szCs w:val="36"/>
              </w:rPr>
            </w:pPr>
            <w:r w:rsidRPr="008D38C7">
              <w:rPr>
                <w:rFonts w:ascii="Calibri" w:hAnsi="Calibri"/>
                <w:b/>
                <w:bCs/>
                <w:color w:val="FFFFFF" w:themeColor="light1"/>
                <w:kern w:val="24"/>
                <w:sz w:val="24"/>
                <w:szCs w:val="24"/>
              </w:rPr>
              <w:t>MYTH</w:t>
            </w:r>
          </w:p>
        </w:tc>
        <w:tc>
          <w:tcPr>
            <w:tcW w:w="5493" w:type="dxa"/>
            <w:tcBorders>
              <w:top w:val="single" w:sz="8" w:space="0" w:color="FFFFFF"/>
              <w:left w:val="single" w:sz="8" w:space="0" w:color="FFFFFF"/>
              <w:bottom w:val="single" w:sz="24" w:space="0" w:color="FFFFFF"/>
              <w:right w:val="single" w:sz="8" w:space="0" w:color="FFFFFF"/>
            </w:tcBorders>
            <w:shd w:val="clear" w:color="auto" w:fill="4DB835"/>
            <w:tcMar>
              <w:top w:w="72" w:type="dxa"/>
              <w:left w:w="144" w:type="dxa"/>
              <w:bottom w:w="72" w:type="dxa"/>
              <w:right w:w="144" w:type="dxa"/>
            </w:tcMar>
            <w:hideMark/>
          </w:tcPr>
          <w:p w14:paraId="377B7C2D" w14:textId="77777777" w:rsidR="0042703F" w:rsidRPr="008D38C7" w:rsidRDefault="0042703F" w:rsidP="0042703F">
            <w:pPr>
              <w:ind w:left="423"/>
              <w:rPr>
                <w:sz w:val="36"/>
                <w:szCs w:val="36"/>
              </w:rPr>
            </w:pPr>
            <w:r w:rsidRPr="008D38C7">
              <w:rPr>
                <w:rFonts w:ascii="Calibri" w:hAnsi="Calibri"/>
                <w:b/>
                <w:bCs/>
                <w:color w:val="FFFFFF" w:themeColor="light1"/>
                <w:kern w:val="24"/>
                <w:sz w:val="24"/>
                <w:szCs w:val="24"/>
              </w:rPr>
              <w:t>WHAT THE EVIDENCE SAYS</w:t>
            </w:r>
          </w:p>
        </w:tc>
      </w:tr>
      <w:tr w:rsidR="0042703F" w:rsidRPr="008D38C7" w14:paraId="3F23A386" w14:textId="77777777" w:rsidTr="002464E7">
        <w:trPr>
          <w:trHeight w:val="1368"/>
          <w:jc w:val="center"/>
        </w:trPr>
        <w:tc>
          <w:tcPr>
            <w:tcW w:w="2422" w:type="dxa"/>
            <w:tcBorders>
              <w:top w:val="single" w:sz="24" w:space="0" w:color="FFFFFF"/>
              <w:left w:val="single" w:sz="8" w:space="0" w:color="FFFFFF"/>
              <w:bottom w:val="single" w:sz="8" w:space="0" w:color="FFFFFF"/>
              <w:right w:val="single" w:sz="8" w:space="0" w:color="FFFFFF"/>
            </w:tcBorders>
            <w:shd w:val="clear" w:color="auto" w:fill="D0E6CE"/>
            <w:tcMar>
              <w:top w:w="72" w:type="dxa"/>
              <w:left w:w="144" w:type="dxa"/>
              <w:bottom w:w="72" w:type="dxa"/>
              <w:right w:w="144" w:type="dxa"/>
            </w:tcMar>
            <w:hideMark/>
          </w:tcPr>
          <w:p w14:paraId="724A6C09" w14:textId="77777777" w:rsidR="0042703F" w:rsidRPr="008D38C7" w:rsidRDefault="0042703F" w:rsidP="002464E7">
            <w:pPr>
              <w:ind w:left="117"/>
              <w:rPr>
                <w:rFonts w:ascii="Arial Narrow" w:hAnsi="Arial Narrow"/>
                <w:sz w:val="20"/>
                <w:szCs w:val="36"/>
              </w:rPr>
            </w:pPr>
            <w:r w:rsidRPr="008D38C7">
              <w:rPr>
                <w:rFonts w:ascii="Arial Narrow" w:hAnsi="Arial Narrow"/>
                <w:color w:val="000000" w:themeColor="dark1"/>
                <w:kern w:val="24"/>
                <w:sz w:val="20"/>
                <w:szCs w:val="24"/>
              </w:rPr>
              <w:t xml:space="preserve">Advertising just </w:t>
            </w:r>
            <w:r w:rsidRPr="008D38C7">
              <w:rPr>
                <w:rFonts w:ascii="Arial Narrow" w:hAnsi="Arial Narrow"/>
                <w:b/>
                <w:bCs/>
                <w:color w:val="000000" w:themeColor="dark1"/>
                <w:kern w:val="24"/>
                <w:sz w:val="20"/>
                <w:szCs w:val="24"/>
              </w:rPr>
              <w:t>sells the brand advertised</w:t>
            </w:r>
          </w:p>
        </w:tc>
        <w:tc>
          <w:tcPr>
            <w:tcW w:w="5493" w:type="dxa"/>
            <w:tcBorders>
              <w:top w:val="single" w:sz="24" w:space="0" w:color="FFFFFF"/>
              <w:left w:val="single" w:sz="8" w:space="0" w:color="FFFFFF"/>
              <w:bottom w:val="single" w:sz="8" w:space="0" w:color="FFFFFF"/>
              <w:right w:val="single" w:sz="8" w:space="0" w:color="FFFFFF"/>
            </w:tcBorders>
            <w:shd w:val="clear" w:color="auto" w:fill="D0E6CE"/>
            <w:tcMar>
              <w:top w:w="72" w:type="dxa"/>
              <w:left w:w="144" w:type="dxa"/>
              <w:bottom w:w="72" w:type="dxa"/>
              <w:right w:w="144" w:type="dxa"/>
            </w:tcMar>
            <w:hideMark/>
          </w:tcPr>
          <w:p w14:paraId="2C1F8D28" w14:textId="77777777" w:rsidR="0042703F" w:rsidRPr="008D38C7" w:rsidRDefault="0042703F" w:rsidP="0042703F">
            <w:pPr>
              <w:ind w:left="423"/>
              <w:contextualSpacing/>
              <w:rPr>
                <w:rFonts w:ascii="Arial Narrow" w:hAnsi="Arial Narrow"/>
                <w:sz w:val="20"/>
                <w:szCs w:val="36"/>
              </w:rPr>
            </w:pPr>
            <w:r w:rsidRPr="008D38C7">
              <w:rPr>
                <w:rFonts w:ascii="Arial Narrow" w:eastAsiaTheme="minorEastAsia" w:hAnsi="Arial Narrow"/>
                <w:color w:val="000000" w:themeColor="dark1"/>
                <w:kern w:val="24"/>
                <w:sz w:val="20"/>
                <w:szCs w:val="24"/>
              </w:rPr>
              <w:t>S3 Advertising increases consumer awareness of:</w:t>
            </w:r>
          </w:p>
          <w:p w14:paraId="517702FC" w14:textId="77777777" w:rsidR="0042703F" w:rsidRPr="008D38C7" w:rsidRDefault="0042703F" w:rsidP="0042703F">
            <w:pPr>
              <w:numPr>
                <w:ilvl w:val="1"/>
                <w:numId w:val="33"/>
              </w:numPr>
              <w:ind w:left="423" w:firstLine="425"/>
              <w:contextualSpacing/>
              <w:rPr>
                <w:rFonts w:ascii="Arial Narrow" w:hAnsi="Arial Narrow"/>
                <w:sz w:val="20"/>
                <w:szCs w:val="36"/>
              </w:rPr>
            </w:pPr>
            <w:r w:rsidRPr="008D38C7">
              <w:rPr>
                <w:rFonts w:ascii="Arial Narrow" w:eastAsiaTheme="minorEastAsia" w:hAnsi="Arial Narrow"/>
                <w:color w:val="000000" w:themeColor="dark1"/>
                <w:kern w:val="24"/>
                <w:sz w:val="20"/>
                <w:szCs w:val="24"/>
              </w:rPr>
              <w:t>Therapeutic options</w:t>
            </w:r>
          </w:p>
          <w:p w14:paraId="5DBA5403" w14:textId="77777777" w:rsidR="0042703F" w:rsidRPr="008D38C7" w:rsidRDefault="0042703F" w:rsidP="0042703F">
            <w:pPr>
              <w:numPr>
                <w:ilvl w:val="1"/>
                <w:numId w:val="33"/>
              </w:numPr>
              <w:ind w:left="423" w:firstLine="425"/>
              <w:contextualSpacing/>
              <w:rPr>
                <w:rFonts w:ascii="Arial Narrow" w:hAnsi="Arial Narrow"/>
                <w:sz w:val="20"/>
                <w:szCs w:val="36"/>
              </w:rPr>
            </w:pPr>
            <w:r w:rsidRPr="008D38C7">
              <w:rPr>
                <w:rFonts w:ascii="Arial Narrow" w:eastAsiaTheme="minorEastAsia" w:hAnsi="Arial Narrow"/>
                <w:color w:val="000000" w:themeColor="dark1"/>
                <w:kern w:val="24"/>
                <w:sz w:val="20"/>
                <w:szCs w:val="24"/>
              </w:rPr>
              <w:t>Pharmacy Services</w:t>
            </w:r>
            <w:r w:rsidRPr="008D38C7">
              <w:rPr>
                <w:rFonts w:ascii="Arial Narrow" w:eastAsiaTheme="minorEastAsia" w:hAnsi="Arial Narrow"/>
                <w:color w:val="000000" w:themeColor="dark1"/>
                <w:kern w:val="24"/>
                <w:sz w:val="20"/>
                <w:szCs w:val="24"/>
              </w:rPr>
              <w:br/>
            </w:r>
          </w:p>
          <w:p w14:paraId="5035E875" w14:textId="4199935A" w:rsidR="0042703F" w:rsidRPr="008D38C7" w:rsidRDefault="0042703F" w:rsidP="0042703F">
            <w:pPr>
              <w:ind w:left="423"/>
              <w:contextualSpacing/>
              <w:rPr>
                <w:rFonts w:ascii="Arial Narrow" w:hAnsi="Arial Narrow"/>
                <w:sz w:val="20"/>
                <w:szCs w:val="36"/>
              </w:rPr>
            </w:pPr>
            <w:r w:rsidRPr="008D38C7">
              <w:rPr>
                <w:rFonts w:ascii="Arial Narrow" w:eastAsiaTheme="minorEastAsia" w:hAnsi="Arial Narrow"/>
                <w:color w:val="000000" w:themeColor="dark1"/>
                <w:kern w:val="24"/>
                <w:sz w:val="20"/>
                <w:szCs w:val="24"/>
              </w:rPr>
              <w:t xml:space="preserve">S3 Advertising </w:t>
            </w:r>
            <w:r w:rsidRPr="008D38C7">
              <w:rPr>
                <w:rFonts w:ascii="Arial Narrow" w:eastAsiaTheme="minorEastAsia" w:hAnsi="Arial Narrow"/>
                <w:b/>
                <w:bCs/>
                <w:color w:val="000000" w:themeColor="dark1"/>
                <w:kern w:val="24"/>
                <w:sz w:val="20"/>
                <w:szCs w:val="24"/>
              </w:rPr>
              <w:t>drives more ‘health conversations</w:t>
            </w:r>
            <w:r w:rsidRPr="008D38C7">
              <w:rPr>
                <w:rFonts w:ascii="Arial Narrow" w:eastAsiaTheme="minorEastAsia" w:hAnsi="Arial Narrow"/>
                <w:color w:val="000000" w:themeColor="dark1"/>
                <w:kern w:val="24"/>
                <w:sz w:val="20"/>
                <w:szCs w:val="24"/>
              </w:rPr>
              <w:t xml:space="preserve">’ </w:t>
            </w:r>
            <w:r w:rsidR="00A16DD8" w:rsidRPr="008D38C7">
              <w:rPr>
                <w:rFonts w:ascii="Arial Narrow" w:eastAsiaTheme="minorEastAsia" w:hAnsi="Arial Narrow"/>
                <w:color w:val="000000" w:themeColor="dark1"/>
                <w:kern w:val="24"/>
                <w:sz w:val="20"/>
                <w:szCs w:val="24"/>
              </w:rPr>
              <w:br/>
            </w:r>
            <w:r w:rsidRPr="008D38C7">
              <w:rPr>
                <w:rFonts w:ascii="Arial Narrow" w:eastAsiaTheme="minorEastAsia" w:hAnsi="Arial Narrow"/>
                <w:color w:val="000000" w:themeColor="dark1"/>
                <w:kern w:val="24"/>
                <w:sz w:val="20"/>
                <w:szCs w:val="24"/>
              </w:rPr>
              <w:t>between pharmacists and consumers</w:t>
            </w:r>
          </w:p>
        </w:tc>
      </w:tr>
      <w:tr w:rsidR="0042703F" w:rsidRPr="008D38C7" w14:paraId="495BCCDE" w14:textId="77777777" w:rsidTr="002464E7">
        <w:trPr>
          <w:trHeight w:val="538"/>
          <w:jc w:val="center"/>
        </w:trPr>
        <w:tc>
          <w:tcPr>
            <w:tcW w:w="2422" w:type="dxa"/>
            <w:tcBorders>
              <w:top w:val="single" w:sz="8" w:space="0" w:color="FFFFFF"/>
              <w:left w:val="single" w:sz="8" w:space="0" w:color="FFFFFF"/>
              <w:bottom w:val="single" w:sz="8" w:space="0" w:color="FFFFFF"/>
              <w:right w:val="single" w:sz="8" w:space="0" w:color="FFFFFF"/>
            </w:tcBorders>
            <w:shd w:val="clear" w:color="auto" w:fill="E9F3E8"/>
            <w:tcMar>
              <w:top w:w="72" w:type="dxa"/>
              <w:left w:w="144" w:type="dxa"/>
              <w:bottom w:w="72" w:type="dxa"/>
              <w:right w:w="144" w:type="dxa"/>
            </w:tcMar>
            <w:hideMark/>
          </w:tcPr>
          <w:p w14:paraId="55452F69" w14:textId="77777777" w:rsidR="0042703F" w:rsidRPr="008D38C7" w:rsidRDefault="0042703F" w:rsidP="002464E7">
            <w:pPr>
              <w:ind w:left="117"/>
              <w:rPr>
                <w:rFonts w:ascii="Arial Narrow" w:hAnsi="Arial Narrow"/>
                <w:sz w:val="20"/>
                <w:szCs w:val="36"/>
              </w:rPr>
            </w:pPr>
            <w:r w:rsidRPr="008D38C7">
              <w:rPr>
                <w:rFonts w:ascii="Arial Narrow" w:hAnsi="Arial Narrow"/>
                <w:color w:val="000000" w:themeColor="dark1"/>
                <w:kern w:val="24"/>
                <w:sz w:val="20"/>
                <w:szCs w:val="24"/>
              </w:rPr>
              <w:t xml:space="preserve">Advertising </w:t>
            </w:r>
            <w:r w:rsidRPr="008D38C7">
              <w:rPr>
                <w:rFonts w:ascii="Arial Narrow" w:hAnsi="Arial Narrow"/>
                <w:b/>
                <w:bCs/>
                <w:color w:val="000000" w:themeColor="dark1"/>
                <w:kern w:val="24"/>
                <w:sz w:val="20"/>
                <w:szCs w:val="24"/>
              </w:rPr>
              <w:t>drives inappropriate demand</w:t>
            </w:r>
          </w:p>
        </w:tc>
        <w:tc>
          <w:tcPr>
            <w:tcW w:w="5493" w:type="dxa"/>
            <w:tcBorders>
              <w:top w:val="single" w:sz="8" w:space="0" w:color="FFFFFF"/>
              <w:left w:val="single" w:sz="8" w:space="0" w:color="FFFFFF"/>
              <w:bottom w:val="single" w:sz="8" w:space="0" w:color="FFFFFF"/>
              <w:right w:val="single" w:sz="8" w:space="0" w:color="FFFFFF"/>
            </w:tcBorders>
            <w:shd w:val="clear" w:color="auto" w:fill="E9F3E8"/>
            <w:tcMar>
              <w:top w:w="72" w:type="dxa"/>
              <w:left w:w="144" w:type="dxa"/>
              <w:bottom w:w="72" w:type="dxa"/>
              <w:right w:w="144" w:type="dxa"/>
            </w:tcMar>
            <w:hideMark/>
          </w:tcPr>
          <w:p w14:paraId="5A389FEA" w14:textId="3F38D6B5" w:rsidR="0042703F" w:rsidRPr="008D38C7" w:rsidRDefault="0042703F" w:rsidP="000C7777">
            <w:pPr>
              <w:ind w:left="423"/>
              <w:contextualSpacing/>
              <w:rPr>
                <w:rFonts w:ascii="Arial Narrow" w:hAnsi="Arial Narrow"/>
                <w:sz w:val="20"/>
                <w:szCs w:val="36"/>
              </w:rPr>
            </w:pPr>
            <w:r w:rsidRPr="008D38C7">
              <w:rPr>
                <w:rFonts w:ascii="Arial Narrow" w:hAnsi="Arial Narrow"/>
                <w:b/>
                <w:bCs/>
                <w:color w:val="000000" w:themeColor="dark1"/>
                <w:kern w:val="24"/>
                <w:sz w:val="20"/>
                <w:szCs w:val="24"/>
              </w:rPr>
              <w:t>Consumer</w:t>
            </w:r>
            <w:r w:rsidR="004B390C">
              <w:rPr>
                <w:rFonts w:ascii="Arial Narrow" w:hAnsi="Arial Narrow"/>
                <w:b/>
                <w:bCs/>
                <w:color w:val="000000" w:themeColor="dark1"/>
                <w:kern w:val="24"/>
                <w:sz w:val="20"/>
                <w:szCs w:val="24"/>
              </w:rPr>
              <w:t>s are</w:t>
            </w:r>
            <w:r w:rsidRPr="008D38C7">
              <w:rPr>
                <w:rFonts w:ascii="Arial Narrow" w:hAnsi="Arial Narrow"/>
                <w:b/>
                <w:bCs/>
                <w:color w:val="000000" w:themeColor="dark1"/>
                <w:kern w:val="24"/>
                <w:sz w:val="20"/>
                <w:szCs w:val="24"/>
              </w:rPr>
              <w:t xml:space="preserve"> comfortable with Pharmacists</w:t>
            </w:r>
            <w:r w:rsidRPr="008D38C7">
              <w:rPr>
                <w:rFonts w:ascii="Arial Narrow" w:hAnsi="Arial Narrow"/>
                <w:color w:val="000000" w:themeColor="dark1"/>
                <w:kern w:val="24"/>
                <w:sz w:val="20"/>
                <w:szCs w:val="24"/>
              </w:rPr>
              <w:t xml:space="preserve"> determining </w:t>
            </w:r>
            <w:r w:rsidR="00A16DD8" w:rsidRPr="008D38C7">
              <w:rPr>
                <w:rFonts w:ascii="Arial Narrow" w:hAnsi="Arial Narrow"/>
                <w:color w:val="000000" w:themeColor="dark1"/>
                <w:kern w:val="24"/>
                <w:sz w:val="20"/>
                <w:szCs w:val="24"/>
              </w:rPr>
              <w:br/>
            </w:r>
            <w:r w:rsidRPr="008D38C7">
              <w:rPr>
                <w:rFonts w:ascii="Arial Narrow" w:hAnsi="Arial Narrow"/>
                <w:color w:val="000000" w:themeColor="dark1"/>
                <w:kern w:val="24"/>
                <w:sz w:val="20"/>
                <w:szCs w:val="24"/>
              </w:rPr>
              <w:t xml:space="preserve">whether </w:t>
            </w:r>
            <w:r w:rsidR="00F918B3">
              <w:rPr>
                <w:rFonts w:ascii="Arial Narrow" w:hAnsi="Arial Narrow"/>
                <w:color w:val="000000" w:themeColor="dark1"/>
                <w:kern w:val="24"/>
                <w:sz w:val="20"/>
                <w:szCs w:val="24"/>
              </w:rPr>
              <w:t xml:space="preserve">the </w:t>
            </w:r>
            <w:r w:rsidRPr="008D38C7">
              <w:rPr>
                <w:rFonts w:ascii="Arial Narrow" w:hAnsi="Arial Narrow"/>
                <w:color w:val="000000" w:themeColor="dark1"/>
                <w:kern w:val="24"/>
                <w:sz w:val="20"/>
                <w:szCs w:val="24"/>
              </w:rPr>
              <w:t xml:space="preserve">advertised S3 product is </w:t>
            </w:r>
            <w:r w:rsidR="00F918B3">
              <w:rPr>
                <w:rFonts w:ascii="Arial Narrow" w:hAnsi="Arial Narrow"/>
                <w:color w:val="000000" w:themeColor="dark1"/>
                <w:kern w:val="24"/>
                <w:sz w:val="20"/>
                <w:szCs w:val="24"/>
              </w:rPr>
              <w:t>suitable</w:t>
            </w:r>
            <w:r w:rsidR="00F918B3" w:rsidRPr="008D38C7">
              <w:rPr>
                <w:rFonts w:ascii="Arial Narrow" w:hAnsi="Arial Narrow"/>
                <w:color w:val="000000" w:themeColor="dark1"/>
                <w:kern w:val="24"/>
                <w:sz w:val="20"/>
                <w:szCs w:val="24"/>
              </w:rPr>
              <w:t xml:space="preserve"> </w:t>
            </w:r>
            <w:r w:rsidRPr="008D38C7">
              <w:rPr>
                <w:rFonts w:ascii="Arial Narrow" w:hAnsi="Arial Narrow"/>
                <w:color w:val="000000" w:themeColor="dark1"/>
                <w:kern w:val="24"/>
                <w:sz w:val="20"/>
                <w:szCs w:val="24"/>
              </w:rPr>
              <w:t>for them</w:t>
            </w:r>
          </w:p>
        </w:tc>
      </w:tr>
      <w:tr w:rsidR="0042703F" w:rsidRPr="008D38C7" w14:paraId="300DDCC9" w14:textId="77777777" w:rsidTr="002464E7">
        <w:trPr>
          <w:trHeight w:val="792"/>
          <w:jc w:val="center"/>
        </w:trPr>
        <w:tc>
          <w:tcPr>
            <w:tcW w:w="2422" w:type="dxa"/>
            <w:tcBorders>
              <w:top w:val="single" w:sz="8" w:space="0" w:color="FFFFFF"/>
              <w:left w:val="single" w:sz="8" w:space="0" w:color="FFFFFF"/>
              <w:bottom w:val="single" w:sz="8" w:space="0" w:color="FFFFFF"/>
              <w:right w:val="single" w:sz="8" w:space="0" w:color="FFFFFF"/>
            </w:tcBorders>
            <w:shd w:val="clear" w:color="auto" w:fill="D0E6CE"/>
            <w:tcMar>
              <w:top w:w="72" w:type="dxa"/>
              <w:left w:w="144" w:type="dxa"/>
              <w:bottom w:w="72" w:type="dxa"/>
              <w:right w:w="144" w:type="dxa"/>
            </w:tcMar>
            <w:hideMark/>
          </w:tcPr>
          <w:p w14:paraId="61CF39F6" w14:textId="7E755780" w:rsidR="0042703F" w:rsidRPr="008D38C7" w:rsidRDefault="0042703F" w:rsidP="002464E7">
            <w:pPr>
              <w:ind w:left="117"/>
              <w:rPr>
                <w:rFonts w:ascii="Arial Narrow" w:hAnsi="Arial Narrow"/>
                <w:sz w:val="20"/>
                <w:szCs w:val="36"/>
              </w:rPr>
            </w:pPr>
            <w:r w:rsidRPr="008D38C7">
              <w:rPr>
                <w:rFonts w:ascii="Arial Narrow" w:hAnsi="Arial Narrow"/>
                <w:b/>
                <w:bCs/>
                <w:color w:val="000000" w:themeColor="dark1"/>
                <w:kern w:val="24"/>
                <w:sz w:val="20"/>
                <w:szCs w:val="24"/>
              </w:rPr>
              <w:t>Pharmacists buckle under pressure</w:t>
            </w:r>
            <w:r w:rsidRPr="008D38C7">
              <w:rPr>
                <w:rFonts w:ascii="Arial Narrow" w:hAnsi="Arial Narrow"/>
                <w:color w:val="000000" w:themeColor="dark1"/>
                <w:kern w:val="24"/>
                <w:sz w:val="20"/>
                <w:szCs w:val="24"/>
              </w:rPr>
              <w:t xml:space="preserve"> of consumer demand </w:t>
            </w:r>
            <w:r w:rsidR="002464E7" w:rsidRPr="008D38C7">
              <w:rPr>
                <w:rFonts w:ascii="Arial Narrow" w:hAnsi="Arial Narrow"/>
                <w:color w:val="000000" w:themeColor="dark1"/>
                <w:kern w:val="24"/>
                <w:sz w:val="20"/>
                <w:szCs w:val="24"/>
              </w:rPr>
              <w:t>that advertising generates</w:t>
            </w:r>
            <w:r w:rsidRPr="008D38C7">
              <w:rPr>
                <w:rFonts w:ascii="Arial Narrow" w:hAnsi="Arial Narrow"/>
                <w:color w:val="000000" w:themeColor="dark1"/>
                <w:kern w:val="24"/>
                <w:sz w:val="20"/>
                <w:szCs w:val="24"/>
              </w:rPr>
              <w:t xml:space="preserve"> </w:t>
            </w:r>
          </w:p>
        </w:tc>
        <w:tc>
          <w:tcPr>
            <w:tcW w:w="5493" w:type="dxa"/>
            <w:tcBorders>
              <w:top w:val="single" w:sz="8" w:space="0" w:color="FFFFFF"/>
              <w:left w:val="single" w:sz="8" w:space="0" w:color="FFFFFF"/>
              <w:bottom w:val="single" w:sz="8" w:space="0" w:color="FFFFFF"/>
              <w:right w:val="single" w:sz="8" w:space="0" w:color="FFFFFF"/>
            </w:tcBorders>
            <w:shd w:val="clear" w:color="auto" w:fill="D0E6CE"/>
            <w:tcMar>
              <w:top w:w="72" w:type="dxa"/>
              <w:left w:w="144" w:type="dxa"/>
              <w:bottom w:w="72" w:type="dxa"/>
              <w:right w:w="144" w:type="dxa"/>
            </w:tcMar>
            <w:hideMark/>
          </w:tcPr>
          <w:p w14:paraId="65EF7FFC" w14:textId="17871EE1" w:rsidR="0042703F" w:rsidRPr="008D38C7" w:rsidRDefault="0042703F" w:rsidP="000C7777">
            <w:pPr>
              <w:ind w:left="423"/>
              <w:contextualSpacing/>
              <w:rPr>
                <w:rFonts w:ascii="Arial Narrow" w:hAnsi="Arial Narrow"/>
                <w:sz w:val="20"/>
                <w:szCs w:val="36"/>
              </w:rPr>
            </w:pPr>
            <w:r w:rsidRPr="008D38C7">
              <w:rPr>
                <w:rFonts w:ascii="Arial Narrow" w:eastAsiaTheme="minorEastAsia" w:hAnsi="Arial Narrow"/>
                <w:color w:val="000000" w:themeColor="dark1"/>
                <w:kern w:val="24"/>
                <w:sz w:val="20"/>
                <w:szCs w:val="24"/>
              </w:rPr>
              <w:t xml:space="preserve">Pharmacists </w:t>
            </w:r>
            <w:r w:rsidRPr="008D38C7">
              <w:rPr>
                <w:rFonts w:ascii="Arial Narrow" w:eastAsiaTheme="minorEastAsia" w:hAnsi="Arial Narrow"/>
                <w:b/>
                <w:bCs/>
                <w:color w:val="000000" w:themeColor="dark1"/>
                <w:kern w:val="24"/>
                <w:sz w:val="20"/>
                <w:szCs w:val="24"/>
              </w:rPr>
              <w:t>appropriately triage consumers</w:t>
            </w:r>
            <w:r w:rsidRPr="008D38C7">
              <w:rPr>
                <w:rFonts w:ascii="Arial Narrow" w:eastAsiaTheme="minorEastAsia" w:hAnsi="Arial Narrow"/>
                <w:color w:val="000000" w:themeColor="dark1"/>
                <w:kern w:val="24"/>
                <w:sz w:val="20"/>
                <w:szCs w:val="24"/>
              </w:rPr>
              <w:t xml:space="preserve"> and </w:t>
            </w:r>
            <w:r w:rsidR="00F918B3">
              <w:rPr>
                <w:rFonts w:ascii="Arial Narrow" w:eastAsiaTheme="minorEastAsia" w:hAnsi="Arial Narrow"/>
                <w:color w:val="000000" w:themeColor="dark1"/>
                <w:kern w:val="24"/>
                <w:sz w:val="20"/>
                <w:szCs w:val="24"/>
              </w:rPr>
              <w:t>recommend</w:t>
            </w:r>
            <w:r w:rsidR="00F918B3" w:rsidRPr="008D38C7">
              <w:rPr>
                <w:rFonts w:ascii="Arial Narrow" w:eastAsiaTheme="minorEastAsia" w:hAnsi="Arial Narrow"/>
                <w:color w:val="000000" w:themeColor="dark1"/>
                <w:kern w:val="24"/>
                <w:sz w:val="20"/>
                <w:szCs w:val="24"/>
              </w:rPr>
              <w:t xml:space="preserve"> </w:t>
            </w:r>
            <w:r w:rsidR="00A16DD8" w:rsidRPr="008D38C7">
              <w:rPr>
                <w:rFonts w:ascii="Arial Narrow" w:eastAsiaTheme="minorEastAsia" w:hAnsi="Arial Narrow"/>
                <w:color w:val="000000" w:themeColor="dark1"/>
                <w:kern w:val="24"/>
                <w:sz w:val="20"/>
                <w:szCs w:val="24"/>
              </w:rPr>
              <w:br/>
            </w:r>
            <w:r w:rsidR="00F918B3">
              <w:rPr>
                <w:rFonts w:ascii="Arial Narrow" w:eastAsiaTheme="minorEastAsia" w:hAnsi="Arial Narrow"/>
                <w:color w:val="000000" w:themeColor="dark1"/>
                <w:kern w:val="24"/>
                <w:sz w:val="20"/>
                <w:szCs w:val="24"/>
              </w:rPr>
              <w:t xml:space="preserve">a </w:t>
            </w:r>
            <w:r w:rsidRPr="008D38C7">
              <w:rPr>
                <w:rFonts w:ascii="Arial Narrow" w:eastAsiaTheme="minorEastAsia" w:hAnsi="Arial Narrow"/>
                <w:color w:val="000000" w:themeColor="dark1"/>
                <w:kern w:val="24"/>
                <w:sz w:val="20"/>
                <w:szCs w:val="24"/>
              </w:rPr>
              <w:t>suit</w:t>
            </w:r>
            <w:r w:rsidR="00F918B3">
              <w:rPr>
                <w:rFonts w:ascii="Arial Narrow" w:eastAsiaTheme="minorEastAsia" w:hAnsi="Arial Narrow"/>
                <w:color w:val="000000" w:themeColor="dark1"/>
                <w:kern w:val="24"/>
                <w:sz w:val="20"/>
                <w:szCs w:val="24"/>
              </w:rPr>
              <w:t>able</w:t>
            </w:r>
            <w:r w:rsidRPr="008D38C7">
              <w:rPr>
                <w:rFonts w:ascii="Arial Narrow" w:eastAsiaTheme="minorEastAsia" w:hAnsi="Arial Narrow"/>
                <w:color w:val="000000" w:themeColor="dark1"/>
                <w:kern w:val="24"/>
                <w:sz w:val="20"/>
                <w:szCs w:val="24"/>
              </w:rPr>
              <w:t xml:space="preserve"> course of action if advertised product </w:t>
            </w:r>
            <w:r w:rsidR="00F918B3">
              <w:rPr>
                <w:rFonts w:ascii="Arial Narrow" w:eastAsiaTheme="minorEastAsia" w:hAnsi="Arial Narrow"/>
                <w:color w:val="000000" w:themeColor="dark1"/>
                <w:kern w:val="24"/>
                <w:sz w:val="20"/>
                <w:szCs w:val="24"/>
              </w:rPr>
              <w:t>is</w:t>
            </w:r>
            <w:r w:rsidR="00A16DD8" w:rsidRPr="008D38C7">
              <w:rPr>
                <w:rFonts w:ascii="Arial Narrow" w:eastAsiaTheme="minorEastAsia" w:hAnsi="Arial Narrow"/>
                <w:color w:val="000000" w:themeColor="dark1"/>
                <w:kern w:val="24"/>
                <w:sz w:val="20"/>
                <w:szCs w:val="24"/>
              </w:rPr>
              <w:br/>
            </w:r>
            <w:r w:rsidRPr="008D38C7">
              <w:rPr>
                <w:rFonts w:ascii="Arial Narrow" w:eastAsiaTheme="minorEastAsia" w:hAnsi="Arial Narrow"/>
                <w:color w:val="000000" w:themeColor="dark1"/>
                <w:kern w:val="24"/>
                <w:sz w:val="20"/>
                <w:szCs w:val="24"/>
              </w:rPr>
              <w:t>not appropriate (referral to GP or alternate product)</w:t>
            </w:r>
          </w:p>
        </w:tc>
      </w:tr>
    </w:tbl>
    <w:p w14:paraId="3AE10B45" w14:textId="77777777" w:rsidR="00874157" w:rsidRPr="008D38C7" w:rsidRDefault="00874157" w:rsidP="00512C41">
      <w:pPr>
        <w:pStyle w:val="NoSpacing"/>
        <w:rPr>
          <w:rFonts w:asciiTheme="minorHAnsi" w:hAnsiTheme="minorHAnsi" w:cstheme="minorHAnsi"/>
          <w:color w:val="FF0000"/>
          <w:sz w:val="22"/>
        </w:rPr>
      </w:pPr>
    </w:p>
    <w:p w14:paraId="158205FF" w14:textId="1D17A96D" w:rsidR="00C83B07" w:rsidRPr="008D38C7" w:rsidRDefault="00C83B07">
      <w:pPr>
        <w:pStyle w:val="NoSpacing"/>
        <w:rPr>
          <w:rFonts w:asciiTheme="minorHAnsi" w:hAnsiTheme="minorHAnsi" w:cstheme="minorHAnsi"/>
          <w:b/>
        </w:rPr>
      </w:pPr>
      <w:r w:rsidRPr="008D38C7">
        <w:rPr>
          <w:rFonts w:asciiTheme="minorHAnsi" w:hAnsiTheme="minorHAnsi" w:cstheme="minorHAnsi"/>
          <w:b/>
        </w:rPr>
        <w:t>Who benefits from S3 advertising?</w:t>
      </w:r>
    </w:p>
    <w:p w14:paraId="74F6DB33" w14:textId="77777777" w:rsidR="00A16DD8" w:rsidRPr="008D38C7" w:rsidRDefault="00A16DD8" w:rsidP="00B612FA">
      <w:pPr>
        <w:pStyle w:val="NoSpacing"/>
        <w:ind w:firstLine="720"/>
        <w:rPr>
          <w:rFonts w:asciiTheme="minorHAnsi" w:hAnsiTheme="minorHAnsi" w:cstheme="minorHAnsi"/>
          <w:b/>
          <w:i/>
          <w:sz w:val="16"/>
          <w:szCs w:val="16"/>
        </w:rPr>
      </w:pPr>
    </w:p>
    <w:tbl>
      <w:tblPr>
        <w:tblStyle w:val="MediumGrid2-Accent1"/>
        <w:tblW w:w="7796" w:type="dxa"/>
        <w:tblInd w:w="817" w:type="dxa"/>
        <w:tblLook w:val="0420" w:firstRow="1" w:lastRow="0" w:firstColumn="0" w:lastColumn="0" w:noHBand="0" w:noVBand="1"/>
      </w:tblPr>
      <w:tblGrid>
        <w:gridCol w:w="2197"/>
        <w:gridCol w:w="5599"/>
      </w:tblGrid>
      <w:tr w:rsidR="00A16DD8" w:rsidRPr="008D38C7" w14:paraId="60B222AC" w14:textId="77777777" w:rsidTr="002464E7">
        <w:trPr>
          <w:cnfStyle w:val="100000000000" w:firstRow="1" w:lastRow="0" w:firstColumn="0" w:lastColumn="0" w:oddVBand="0" w:evenVBand="0" w:oddHBand="0" w:evenHBand="0" w:firstRowFirstColumn="0" w:firstRowLastColumn="0" w:lastRowFirstColumn="0" w:lastRowLastColumn="0"/>
          <w:trHeight w:val="1341"/>
        </w:trPr>
        <w:tc>
          <w:tcPr>
            <w:tcW w:w="2197" w:type="dxa"/>
            <w:hideMark/>
          </w:tcPr>
          <w:p w14:paraId="7EBFFDDB" w14:textId="66109A7C" w:rsidR="00C83B07" w:rsidRPr="008D38C7" w:rsidRDefault="00C83B07" w:rsidP="002464E7">
            <w:pPr>
              <w:spacing w:before="120" w:after="120"/>
              <w:ind w:left="284"/>
              <w:rPr>
                <w:rFonts w:ascii="Arial Narrow" w:eastAsia="Times New Roman" w:hAnsi="Arial Narrow"/>
                <w:b w:val="0"/>
                <w:bCs w:val="0"/>
                <w:sz w:val="20"/>
                <w:szCs w:val="36"/>
              </w:rPr>
            </w:pPr>
            <w:r w:rsidRPr="008D38C7">
              <w:rPr>
                <w:rFonts w:ascii="Arial Narrow" w:hAnsi="Arial Narrow" w:cstheme="minorHAnsi"/>
                <w:sz w:val="20"/>
              </w:rPr>
              <w:t>Consumers</w:t>
            </w:r>
          </w:p>
          <w:p w14:paraId="26036456" w14:textId="77777777" w:rsidR="00A16DD8" w:rsidRPr="008D38C7" w:rsidRDefault="00A16DD8" w:rsidP="002464E7">
            <w:pPr>
              <w:spacing w:before="120" w:after="120"/>
              <w:ind w:firstLine="720"/>
              <w:jc w:val="center"/>
              <w:rPr>
                <w:rFonts w:ascii="Arial Narrow" w:eastAsia="Times New Roman" w:hAnsi="Arial Narrow"/>
                <w:sz w:val="20"/>
                <w:szCs w:val="36"/>
              </w:rPr>
            </w:pPr>
          </w:p>
        </w:tc>
        <w:tc>
          <w:tcPr>
            <w:tcW w:w="5599" w:type="dxa"/>
            <w:hideMark/>
          </w:tcPr>
          <w:p w14:paraId="1D264858" w14:textId="2912D43D" w:rsidR="00A16DD8" w:rsidRPr="008D38C7" w:rsidRDefault="00C83B07" w:rsidP="002464E7">
            <w:pPr>
              <w:pStyle w:val="NoSpacing"/>
              <w:spacing w:before="120" w:after="120"/>
              <w:rPr>
                <w:rFonts w:ascii="Arial Narrow" w:hAnsi="Arial Narrow" w:cstheme="minorHAnsi"/>
                <w:b w:val="0"/>
                <w:sz w:val="20"/>
              </w:rPr>
            </w:pPr>
            <w:r w:rsidRPr="008D38C7">
              <w:rPr>
                <w:rFonts w:ascii="Arial Narrow" w:hAnsi="Arial Narrow" w:cstheme="minorHAnsi"/>
                <w:b w:val="0"/>
                <w:sz w:val="20"/>
              </w:rPr>
              <w:t>Better-informed consumers will communicate more with pharmacists about their medicine selection, according to CHERE research. The proposed model encourages industry to play a greater role in improving health literacy through investment in consumer awareness of disease states and therapeutic options.</w:t>
            </w:r>
          </w:p>
        </w:tc>
      </w:tr>
      <w:tr w:rsidR="00A16DD8" w:rsidRPr="008D38C7" w14:paraId="17F7A3B0" w14:textId="77777777" w:rsidTr="002464E7">
        <w:trPr>
          <w:cnfStyle w:val="000000100000" w:firstRow="0" w:lastRow="0" w:firstColumn="0" w:lastColumn="0" w:oddVBand="0" w:evenVBand="0" w:oddHBand="1" w:evenHBand="0" w:firstRowFirstColumn="0" w:firstRowLastColumn="0" w:lastRowFirstColumn="0" w:lastRowLastColumn="0"/>
          <w:trHeight w:val="691"/>
        </w:trPr>
        <w:tc>
          <w:tcPr>
            <w:tcW w:w="2197" w:type="dxa"/>
            <w:hideMark/>
          </w:tcPr>
          <w:p w14:paraId="2CE8FDFF" w14:textId="2DAFEF39" w:rsidR="00A16DD8" w:rsidRPr="008D38C7" w:rsidRDefault="00C83B07" w:rsidP="002464E7">
            <w:pPr>
              <w:spacing w:before="120" w:after="120"/>
              <w:ind w:left="284"/>
              <w:rPr>
                <w:rFonts w:ascii="Arial Narrow" w:eastAsia="Times New Roman" w:hAnsi="Arial Narrow"/>
                <w:sz w:val="20"/>
                <w:szCs w:val="36"/>
              </w:rPr>
            </w:pPr>
            <w:r w:rsidRPr="008D38C7">
              <w:rPr>
                <w:rFonts w:ascii="Arial Narrow" w:hAnsi="Arial Narrow" w:cstheme="minorHAnsi"/>
                <w:b/>
                <w:sz w:val="20"/>
              </w:rPr>
              <w:t>Public health budgets</w:t>
            </w:r>
          </w:p>
        </w:tc>
        <w:tc>
          <w:tcPr>
            <w:tcW w:w="5599" w:type="dxa"/>
            <w:hideMark/>
          </w:tcPr>
          <w:p w14:paraId="0164ED7E" w14:textId="35DE2DEC" w:rsidR="00A16DD8" w:rsidRPr="008D38C7" w:rsidRDefault="00C83B07" w:rsidP="002464E7">
            <w:pPr>
              <w:pStyle w:val="NoSpacing"/>
              <w:spacing w:before="120" w:after="120"/>
              <w:rPr>
                <w:rFonts w:ascii="Arial Narrow" w:hAnsi="Arial Narrow" w:cstheme="minorHAnsi"/>
                <w:sz w:val="20"/>
              </w:rPr>
            </w:pPr>
            <w:r w:rsidRPr="008D38C7">
              <w:rPr>
                <w:rFonts w:ascii="Arial Narrow" w:hAnsi="Arial Narrow" w:cstheme="minorHAnsi"/>
                <w:sz w:val="20"/>
              </w:rPr>
              <w:t xml:space="preserve">Consumers will have more convenient access to </w:t>
            </w:r>
            <w:r w:rsidR="003B7A62">
              <w:rPr>
                <w:rFonts w:ascii="Arial Narrow" w:hAnsi="Arial Narrow" w:cstheme="minorHAnsi"/>
                <w:sz w:val="20"/>
              </w:rPr>
              <w:t xml:space="preserve">information regarding </w:t>
            </w:r>
            <w:r w:rsidRPr="008D38C7">
              <w:rPr>
                <w:rFonts w:ascii="Arial Narrow" w:hAnsi="Arial Narrow" w:cstheme="minorHAnsi"/>
                <w:sz w:val="20"/>
              </w:rPr>
              <w:t xml:space="preserve">safe, proven and affordable medicines that have the potential to make </w:t>
            </w:r>
            <w:r w:rsidR="003B7A62">
              <w:rPr>
                <w:rFonts w:ascii="Arial Narrow" w:hAnsi="Arial Narrow" w:cstheme="minorHAnsi"/>
                <w:sz w:val="20"/>
              </w:rPr>
              <w:br/>
            </w:r>
            <w:r w:rsidRPr="008D38C7">
              <w:rPr>
                <w:rFonts w:ascii="Arial Narrow" w:hAnsi="Arial Narrow" w:cstheme="minorHAnsi"/>
                <w:sz w:val="20"/>
              </w:rPr>
              <w:t>a positive impact on public health and ease the load on doctors.</w:t>
            </w:r>
          </w:p>
        </w:tc>
      </w:tr>
      <w:tr w:rsidR="00A16DD8" w:rsidRPr="008D38C7" w14:paraId="1D96B269" w14:textId="77777777" w:rsidTr="002464E7">
        <w:trPr>
          <w:trHeight w:val="315"/>
        </w:trPr>
        <w:tc>
          <w:tcPr>
            <w:tcW w:w="2197" w:type="dxa"/>
            <w:hideMark/>
          </w:tcPr>
          <w:p w14:paraId="124F5129" w14:textId="43E91AF8" w:rsidR="00A16DD8" w:rsidRPr="008D38C7" w:rsidRDefault="00C83B07" w:rsidP="002464E7">
            <w:pPr>
              <w:spacing w:before="120" w:after="120"/>
              <w:ind w:left="284"/>
              <w:rPr>
                <w:rFonts w:ascii="Arial Narrow" w:eastAsia="Times New Roman" w:hAnsi="Arial Narrow"/>
                <w:sz w:val="20"/>
                <w:szCs w:val="36"/>
              </w:rPr>
            </w:pPr>
            <w:r w:rsidRPr="008D38C7">
              <w:rPr>
                <w:rFonts w:ascii="Arial Narrow" w:hAnsi="Arial Narrow" w:cstheme="minorHAnsi"/>
                <w:b/>
                <w:sz w:val="20"/>
              </w:rPr>
              <w:t>Community pharmacists</w:t>
            </w:r>
          </w:p>
        </w:tc>
        <w:tc>
          <w:tcPr>
            <w:tcW w:w="5599" w:type="dxa"/>
            <w:hideMark/>
          </w:tcPr>
          <w:p w14:paraId="07E9560C" w14:textId="290A6800" w:rsidR="00A16DD8" w:rsidRPr="008D38C7" w:rsidRDefault="00C83B07" w:rsidP="002464E7">
            <w:pPr>
              <w:pStyle w:val="NoSpacing"/>
              <w:spacing w:before="120" w:after="120"/>
              <w:rPr>
                <w:rFonts w:ascii="Arial Narrow" w:hAnsi="Arial Narrow" w:cstheme="minorHAnsi"/>
                <w:sz w:val="20"/>
              </w:rPr>
            </w:pPr>
            <w:r w:rsidRPr="008D38C7">
              <w:rPr>
                <w:rFonts w:ascii="Arial Narrow" w:hAnsi="Arial Narrow" w:cstheme="minorHAnsi"/>
                <w:sz w:val="20"/>
              </w:rPr>
              <w:t xml:space="preserve">More pharmacist-consumer conversations will encourage greater customer loyalty and promote the professional role of community pharmacists in primary health care. </w:t>
            </w:r>
          </w:p>
        </w:tc>
      </w:tr>
      <w:tr w:rsidR="00C83B07" w:rsidRPr="008D38C7" w14:paraId="2197AD8F" w14:textId="77777777" w:rsidTr="002464E7">
        <w:trPr>
          <w:cnfStyle w:val="000000100000" w:firstRow="0" w:lastRow="0" w:firstColumn="0" w:lastColumn="0" w:oddVBand="0" w:evenVBand="0" w:oddHBand="1" w:evenHBand="0" w:firstRowFirstColumn="0" w:firstRowLastColumn="0" w:lastRowFirstColumn="0" w:lastRowLastColumn="0"/>
          <w:trHeight w:val="314"/>
        </w:trPr>
        <w:tc>
          <w:tcPr>
            <w:tcW w:w="2197" w:type="dxa"/>
          </w:tcPr>
          <w:p w14:paraId="585BCB35" w14:textId="6BE4BBAB" w:rsidR="00C83B07" w:rsidRPr="008D38C7" w:rsidRDefault="00C83B07" w:rsidP="002464E7">
            <w:pPr>
              <w:spacing w:before="120" w:after="120"/>
              <w:ind w:left="284"/>
              <w:rPr>
                <w:rFonts w:ascii="Arial Narrow" w:hAnsi="Arial Narrow"/>
                <w:b/>
                <w:bCs/>
                <w:color w:val="000000" w:themeColor="dark1"/>
                <w:kern w:val="24"/>
                <w:sz w:val="20"/>
                <w:szCs w:val="24"/>
              </w:rPr>
            </w:pPr>
            <w:r w:rsidRPr="008D38C7">
              <w:rPr>
                <w:rFonts w:ascii="Arial Narrow" w:hAnsi="Arial Narrow" w:cstheme="minorHAnsi"/>
                <w:b/>
                <w:sz w:val="20"/>
              </w:rPr>
              <w:t>Industry</w:t>
            </w:r>
          </w:p>
        </w:tc>
        <w:tc>
          <w:tcPr>
            <w:tcW w:w="5599" w:type="dxa"/>
          </w:tcPr>
          <w:p w14:paraId="548F896B" w14:textId="587F2DF6" w:rsidR="00C83B07" w:rsidRPr="008D38C7" w:rsidRDefault="00C83B07" w:rsidP="002464E7">
            <w:pPr>
              <w:spacing w:before="120" w:after="120"/>
              <w:rPr>
                <w:rFonts w:ascii="Arial Narrow" w:eastAsiaTheme="minorEastAsia" w:hAnsi="Arial Narrow"/>
                <w:color w:val="000000" w:themeColor="dark1"/>
                <w:kern w:val="24"/>
                <w:sz w:val="20"/>
                <w:szCs w:val="24"/>
              </w:rPr>
            </w:pPr>
            <w:r w:rsidRPr="008D38C7">
              <w:rPr>
                <w:rFonts w:ascii="Arial Narrow" w:hAnsi="Arial Narrow" w:cstheme="minorHAnsi"/>
                <w:sz w:val="20"/>
              </w:rPr>
              <w:t xml:space="preserve">S3 advertising encourages innovation: </w:t>
            </w:r>
            <w:r w:rsidR="002464E7" w:rsidRPr="008D38C7">
              <w:rPr>
                <w:rFonts w:ascii="Arial Narrow" w:hAnsi="Arial Narrow" w:cstheme="minorHAnsi"/>
                <w:sz w:val="20"/>
              </w:rPr>
              <w:t>currently</w:t>
            </w:r>
            <w:r w:rsidRPr="008D38C7">
              <w:rPr>
                <w:rFonts w:ascii="Arial Narrow" w:hAnsi="Arial Narrow" w:cstheme="minorHAnsi"/>
                <w:sz w:val="20"/>
              </w:rPr>
              <w:t xml:space="preserve">, product sponsors are reluctant to switch or bring new medicines into a </w:t>
            </w:r>
            <w:r w:rsidR="002464E7" w:rsidRPr="008D38C7">
              <w:rPr>
                <w:rFonts w:ascii="Arial Narrow" w:hAnsi="Arial Narrow" w:cstheme="minorHAnsi"/>
                <w:sz w:val="20"/>
              </w:rPr>
              <w:t>category considered to be a “black hole” as consumers are often unaware of these products.</w:t>
            </w:r>
          </w:p>
        </w:tc>
      </w:tr>
    </w:tbl>
    <w:p w14:paraId="2D5FCB64" w14:textId="77777777" w:rsidR="00512C41" w:rsidRPr="008D38C7" w:rsidRDefault="00512C41" w:rsidP="000C7777">
      <w:pPr>
        <w:spacing w:before="360"/>
        <w:rPr>
          <w:rFonts w:asciiTheme="minorHAnsi" w:hAnsiTheme="minorHAnsi"/>
          <w:b/>
          <w:sz w:val="24"/>
        </w:rPr>
      </w:pPr>
      <w:r w:rsidRPr="008D38C7">
        <w:rPr>
          <w:rFonts w:asciiTheme="minorHAnsi" w:hAnsiTheme="minorHAnsi"/>
          <w:b/>
          <w:sz w:val="24"/>
        </w:rPr>
        <w:t>Implementation</w:t>
      </w:r>
    </w:p>
    <w:p w14:paraId="2583363A" w14:textId="7CC848DD" w:rsidR="001079B8" w:rsidRPr="00534673" w:rsidRDefault="001079B8" w:rsidP="001079B8">
      <w:pPr>
        <w:spacing w:after="120"/>
        <w:rPr>
          <w:rFonts w:asciiTheme="minorHAnsi" w:hAnsiTheme="minorHAnsi" w:cstheme="minorHAnsi"/>
        </w:rPr>
      </w:pPr>
      <w:r w:rsidRPr="00534673">
        <w:rPr>
          <w:rFonts w:asciiTheme="minorHAnsi" w:hAnsiTheme="minorHAnsi" w:cstheme="minorHAnsi"/>
        </w:rPr>
        <w:t xml:space="preserve">ASMI </w:t>
      </w:r>
      <w:r>
        <w:rPr>
          <w:rFonts w:asciiTheme="minorHAnsi" w:hAnsiTheme="minorHAnsi" w:cstheme="minorHAnsi"/>
        </w:rPr>
        <w:t>recommends</w:t>
      </w:r>
      <w:r w:rsidRPr="00534673">
        <w:rPr>
          <w:rFonts w:asciiTheme="minorHAnsi" w:hAnsiTheme="minorHAnsi" w:cstheme="minorHAnsi"/>
        </w:rPr>
        <w:t xml:space="preserve"> </w:t>
      </w:r>
      <w:r>
        <w:rPr>
          <w:rFonts w:asciiTheme="minorHAnsi" w:hAnsiTheme="minorHAnsi" w:cstheme="minorHAnsi"/>
        </w:rPr>
        <w:t xml:space="preserve">that Government allows </w:t>
      </w:r>
      <w:r w:rsidRPr="00534673">
        <w:rPr>
          <w:rFonts w:asciiTheme="minorHAnsi" w:hAnsiTheme="minorHAnsi" w:cstheme="minorHAnsi"/>
        </w:rPr>
        <w:t>direct-to-consumer communications for all S3 medicines unless there are compelling reasons that it would not be in the public interest</w:t>
      </w:r>
      <w:r>
        <w:rPr>
          <w:rFonts w:asciiTheme="minorHAnsi" w:hAnsiTheme="minorHAnsi" w:cstheme="minorHAnsi"/>
        </w:rPr>
        <w:t xml:space="preserve"> – </w:t>
      </w:r>
      <w:r w:rsidR="002A0C81">
        <w:rPr>
          <w:rFonts w:asciiTheme="minorHAnsi" w:hAnsiTheme="minorHAnsi" w:cstheme="minorHAnsi"/>
        </w:rPr>
        <w:t>e.g.</w:t>
      </w:r>
      <w:r>
        <w:rPr>
          <w:rFonts w:asciiTheme="minorHAnsi" w:hAnsiTheme="minorHAnsi" w:cstheme="minorHAnsi"/>
        </w:rPr>
        <w:t xml:space="preserve"> products with</w:t>
      </w:r>
      <w:r w:rsidRPr="00534673">
        <w:rPr>
          <w:rFonts w:asciiTheme="minorHAnsi" w:hAnsiTheme="minorHAnsi" w:cstheme="minorHAnsi"/>
        </w:rPr>
        <w:t xml:space="preserve"> ingredients that have a documented history of misuse, abuse or diversion for illegal use.</w:t>
      </w:r>
    </w:p>
    <w:p w14:paraId="307D0FFC" w14:textId="77777777" w:rsidR="00512C41" w:rsidRPr="008D38C7" w:rsidRDefault="00512C41" w:rsidP="002464E7">
      <w:pPr>
        <w:spacing w:after="120"/>
        <w:rPr>
          <w:rFonts w:asciiTheme="minorHAnsi" w:hAnsiTheme="minorHAnsi"/>
        </w:rPr>
      </w:pPr>
      <w:r w:rsidRPr="008D38C7">
        <w:rPr>
          <w:rFonts w:asciiTheme="minorHAnsi" w:hAnsiTheme="minorHAnsi"/>
        </w:rPr>
        <w:t>At a time when the Federal Government is looking at medicines scheduling, the CHERE research has identified the advertising of S3 medicines as a key area in which we can better empower consumers, encourage self care and avoid unnecessary GP visits for minor ailments and the associated costs that this brings to the healthcare system.</w:t>
      </w:r>
    </w:p>
    <w:p w14:paraId="48DB04D9" w14:textId="77777777" w:rsidR="00512C41" w:rsidRPr="008D38C7" w:rsidRDefault="00512C41" w:rsidP="00512C41">
      <w:pPr>
        <w:rPr>
          <w:rFonts w:asciiTheme="minorHAnsi" w:hAnsiTheme="minorHAnsi"/>
        </w:rPr>
      </w:pPr>
    </w:p>
    <w:p w14:paraId="633EEC75" w14:textId="77777777" w:rsidR="002A0C81" w:rsidRDefault="002A0C81">
      <w:pPr>
        <w:rPr>
          <w:rFonts w:ascii="Calibri" w:hAnsi="Calibri" w:cs="Calibri"/>
          <w:b/>
          <w:i/>
          <w:sz w:val="24"/>
          <w:u w:val="single"/>
        </w:rPr>
      </w:pPr>
      <w:r>
        <w:rPr>
          <w:rFonts w:ascii="Calibri" w:hAnsi="Calibri" w:cs="Calibri"/>
          <w:b/>
          <w:i/>
          <w:sz w:val="24"/>
          <w:u w:val="single"/>
        </w:rPr>
        <w:br w:type="page"/>
      </w:r>
    </w:p>
    <w:p w14:paraId="180B4481" w14:textId="7698E966" w:rsidR="008D207F" w:rsidRPr="008D38C7" w:rsidRDefault="008D207F" w:rsidP="008D207F">
      <w:pPr>
        <w:spacing w:after="120"/>
        <w:rPr>
          <w:rFonts w:ascii="Calibri" w:hAnsi="Calibri" w:cs="Calibri"/>
          <w:b/>
          <w:i/>
          <w:sz w:val="24"/>
          <w:u w:val="single"/>
        </w:rPr>
      </w:pPr>
      <w:r w:rsidRPr="008D38C7">
        <w:rPr>
          <w:rFonts w:ascii="Calibri" w:hAnsi="Calibri" w:cs="Calibri"/>
          <w:b/>
          <w:i/>
          <w:sz w:val="24"/>
          <w:u w:val="single"/>
        </w:rPr>
        <w:t>RECOMMENDATION 3</w:t>
      </w:r>
    </w:p>
    <w:p w14:paraId="07329164" w14:textId="5DD57AD4" w:rsidR="002464E7" w:rsidRPr="008D38C7" w:rsidRDefault="002464E7" w:rsidP="008D207F">
      <w:pPr>
        <w:spacing w:after="120"/>
        <w:rPr>
          <w:rFonts w:ascii="Calibri" w:hAnsi="Calibri" w:cs="Calibri"/>
          <w:b/>
          <w:i/>
          <w:sz w:val="24"/>
          <w:u w:val="single"/>
        </w:rPr>
      </w:pPr>
      <w:r w:rsidRPr="008D38C7">
        <w:rPr>
          <w:rFonts w:ascii="Calibri" w:hAnsi="Calibri" w:cs="Calibri"/>
          <w:b/>
          <w:i/>
          <w:noProof/>
          <w:sz w:val="24"/>
          <w:u w:val="single"/>
        </w:rPr>
        <mc:AlternateContent>
          <mc:Choice Requires="wps">
            <w:drawing>
              <wp:anchor distT="0" distB="0" distL="114300" distR="114300" simplePos="0" relativeHeight="251663360" behindDoc="0" locked="0" layoutInCell="1" allowOverlap="1" wp14:anchorId="61D60D8D" wp14:editId="73753C65">
                <wp:simplePos x="0" y="0"/>
                <wp:positionH relativeFrom="column">
                  <wp:align>center</wp:align>
                </wp:positionH>
                <wp:positionV relativeFrom="paragraph">
                  <wp:posOffset>0</wp:posOffset>
                </wp:positionV>
                <wp:extent cx="4781671" cy="576596"/>
                <wp:effectExtent l="57150" t="38100" r="76200" b="901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671" cy="576596"/>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2CEED2BA" w14:textId="62DAC1AE" w:rsidR="002464E7" w:rsidRPr="008D207F" w:rsidRDefault="002464E7" w:rsidP="002464E7">
                            <w:pPr>
                              <w:pStyle w:val="NoSpacing"/>
                              <w:spacing w:after="200"/>
                              <w:jc w:val="center"/>
                              <w:rPr>
                                <w:rFonts w:asciiTheme="minorHAnsi" w:hAnsiTheme="minorHAnsi" w:cstheme="minorHAnsi"/>
                                <w:b/>
                                <w:sz w:val="28"/>
                              </w:rPr>
                            </w:pPr>
                            <w:r w:rsidRPr="008D207F">
                              <w:rPr>
                                <w:rFonts w:asciiTheme="minorHAnsi" w:hAnsiTheme="minorHAnsi" w:cstheme="minorHAnsi"/>
                                <w:b/>
                                <w:sz w:val="28"/>
                              </w:rPr>
                              <w:t xml:space="preserve">Introduce </w:t>
                            </w:r>
                            <w:r w:rsidR="00B612FA">
                              <w:rPr>
                                <w:rFonts w:asciiTheme="minorHAnsi" w:hAnsiTheme="minorHAnsi" w:cstheme="minorHAnsi"/>
                                <w:b/>
                                <w:sz w:val="28"/>
                              </w:rPr>
                              <w:t xml:space="preserve">data/market exclusivity </w:t>
                            </w:r>
                            <w:r w:rsidRPr="008D207F">
                              <w:rPr>
                                <w:rFonts w:asciiTheme="minorHAnsi" w:hAnsiTheme="minorHAnsi" w:cstheme="minorHAnsi"/>
                                <w:b/>
                                <w:sz w:val="28"/>
                              </w:rPr>
                              <w:t xml:space="preserve">mechanisms </w:t>
                            </w:r>
                            <w:r w:rsidR="00B612FA">
                              <w:rPr>
                                <w:rFonts w:asciiTheme="minorHAnsi" w:hAnsiTheme="minorHAnsi" w:cstheme="minorHAnsi"/>
                                <w:b/>
                                <w:sz w:val="28"/>
                              </w:rPr>
                              <w:br/>
                            </w:r>
                            <w:r w:rsidRPr="008D207F">
                              <w:rPr>
                                <w:rFonts w:asciiTheme="minorHAnsi" w:hAnsiTheme="minorHAnsi" w:cstheme="minorHAnsi"/>
                                <w:b/>
                                <w:sz w:val="28"/>
                              </w:rPr>
                              <w:t>to stimulate industry research and innovation</w:t>
                            </w:r>
                          </w:p>
                          <w:p w14:paraId="36F4866B" w14:textId="4EFB9C84" w:rsidR="002464E7" w:rsidRDefault="002464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376.5pt;height:45.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b9RQIAAMcEAAAOAAAAZHJzL2Uyb0RvYy54bWysVMlu2zAQvRfoPxC817JcL4lgOUidtiiQ&#10;LmjSD6Ap0iJCcViSseR8fYeUrBhtkUPRC0Fq5r15s2l91TWaHITzCkxJ88mUEmE4VMrsS/rj/sOb&#10;C0p8YKZiGowo6VF4erV5/Wrd2kLMoAZdCUeQxPiitSWtQ7BFlnlei4b5CVhh0CjBNSzg0+2zyrEW&#10;2RudzabTZdaCq6wDLrzHrze9kW4Sv5SCh69SehGILilqC+l06dzFM9usWbF3zNaKDzLYP6homDIY&#10;dKS6YYGRR6f+oGoUd+BBhgmHJgMpFRcpB8wmn/6WzV3NrEi5YHG8Hcvk/x8t/3L45oiqsHdYHsMa&#10;7NG96AJ5Bx2ZxfK01hfodWfRL3T4GV1Tqt7eAn/wxMC2ZmYvrp2DthasQnl5RGZn0J7HR5Jd+xkq&#10;DMMeAySiTrom1g6rQZAddRzH1kQpHD/OVxf5cpVTwtG2WC0Xl8sUghUntHU+fBTQkHgpqcPWJ3Z2&#10;uPUhqmHFySUG0yaeUe57U6UpCEzp/o6u0Zz0R8mD+HDUood+FxJr9lyJOK1iqx05MJwzxrkwoS9B&#10;ZELvCJNK6xE460v4EnDwj1CRJnkED/V/CTwiUmQwYQQ3yoD7W/Tq4SRZ9v6nCvR5x2aGbtelYXl7&#10;mowdVEfsqYN+s/BPgJca3BMlLW5VSf3PR+YEJfqTwbm4zOfzuIbpMV+sZvhw55bduYUZjlQlDZT0&#10;121IqxtzMnCN8yNVam3U1isZNOO2pI4Pmx3X8fydvJ7/P5tfAAAA//8DAFBLAwQUAAYACAAAACEA&#10;aWLm+dwAAAAEAQAADwAAAGRycy9kb3ducmV2LnhtbEyPwU7DMBBE70j8g7VI3KgDhTaEOBVCFIlD&#10;Dy2I8zZekqjxOo3dJvD1bLnAZaTRrGbe5ovRtepIfWg8G7ieJKCIS28brgy8vy2vUlAhIltsPZOB&#10;LwqwKM7PcsysH3hNx02slJRwyNBAHWOXaR3KmhyGie+IJfv0vcMotq+07XGQctfqmySZaYcNy0KN&#10;HT3VVO42B2dgvn6e7tMlrV5mrzh83zZut199GHN5MT4+gIo0xr9jOOELOhTCtPUHtkG1BuSR+KuS&#10;ze+mYrcG7pMUdJHr//DFDwAAAP//AwBQSwECLQAUAAYACAAAACEAtoM4kv4AAADhAQAAEwAAAAAA&#10;AAAAAAAAAAAAAAAAW0NvbnRlbnRfVHlwZXNdLnhtbFBLAQItABQABgAIAAAAIQA4/SH/1gAAAJQB&#10;AAALAAAAAAAAAAAAAAAAAC8BAABfcmVscy8ucmVsc1BLAQItABQABgAIAAAAIQBqzAb9RQIAAMcE&#10;AAAOAAAAAAAAAAAAAAAAAC4CAABkcnMvZTJvRG9jLnhtbFBLAQItABQABgAIAAAAIQBpYub53AAA&#10;AAQBAAAPAAAAAAAAAAAAAAAAAJ8EAABkcnMvZG93bnJldi54bWxQSwUGAAAAAAQABADzAAAAqAUA&#10;AAAA&#10;" fillcolor="#a7bfde [1620]" strokecolor="#4579b8 [3044]">
                <v:fill color2="#e4ecf5 [500]" rotate="t" angle="180" colors="0 #a3c4ff;22938f #bfd5ff;1 #e5eeff" focus="100%" type="gradient"/>
                <v:shadow on="t" color="black" opacity="24903f" origin=",.5" offset="0,.55556mm"/>
                <v:textbox>
                  <w:txbxContent>
                    <w:p w14:paraId="2CEED2BA" w14:textId="62DAC1AE" w:rsidR="002464E7" w:rsidRPr="008D207F" w:rsidRDefault="002464E7" w:rsidP="002464E7">
                      <w:pPr>
                        <w:pStyle w:val="NoSpacing"/>
                        <w:spacing w:after="200"/>
                        <w:jc w:val="center"/>
                        <w:rPr>
                          <w:rFonts w:asciiTheme="minorHAnsi" w:hAnsiTheme="minorHAnsi" w:cstheme="minorHAnsi"/>
                          <w:b/>
                          <w:sz w:val="28"/>
                        </w:rPr>
                      </w:pPr>
                      <w:r w:rsidRPr="008D207F">
                        <w:rPr>
                          <w:rFonts w:asciiTheme="minorHAnsi" w:hAnsiTheme="minorHAnsi" w:cstheme="minorHAnsi"/>
                          <w:b/>
                          <w:sz w:val="28"/>
                        </w:rPr>
                        <w:t xml:space="preserve">Introduce </w:t>
                      </w:r>
                      <w:r w:rsidR="00B612FA">
                        <w:rPr>
                          <w:rFonts w:asciiTheme="minorHAnsi" w:hAnsiTheme="minorHAnsi" w:cstheme="minorHAnsi"/>
                          <w:b/>
                          <w:sz w:val="28"/>
                        </w:rPr>
                        <w:t xml:space="preserve">data/market exclusivity </w:t>
                      </w:r>
                      <w:r w:rsidRPr="008D207F">
                        <w:rPr>
                          <w:rFonts w:asciiTheme="minorHAnsi" w:hAnsiTheme="minorHAnsi" w:cstheme="minorHAnsi"/>
                          <w:b/>
                          <w:sz w:val="28"/>
                        </w:rPr>
                        <w:t xml:space="preserve">mechanisms </w:t>
                      </w:r>
                      <w:r w:rsidR="00B612FA">
                        <w:rPr>
                          <w:rFonts w:asciiTheme="minorHAnsi" w:hAnsiTheme="minorHAnsi" w:cstheme="minorHAnsi"/>
                          <w:b/>
                          <w:sz w:val="28"/>
                        </w:rPr>
                        <w:br/>
                      </w:r>
                      <w:r w:rsidRPr="008D207F">
                        <w:rPr>
                          <w:rFonts w:asciiTheme="minorHAnsi" w:hAnsiTheme="minorHAnsi" w:cstheme="minorHAnsi"/>
                          <w:b/>
                          <w:sz w:val="28"/>
                        </w:rPr>
                        <w:t>to stimulate industry research and innovation</w:t>
                      </w:r>
                    </w:p>
                    <w:p w14:paraId="36F4866B" w14:textId="4EFB9C84" w:rsidR="002464E7" w:rsidRDefault="002464E7"/>
                  </w:txbxContent>
                </v:textbox>
              </v:shape>
            </w:pict>
          </mc:Fallback>
        </mc:AlternateContent>
      </w:r>
    </w:p>
    <w:p w14:paraId="3A00626D" w14:textId="77777777" w:rsidR="002464E7" w:rsidRPr="008D38C7" w:rsidRDefault="002464E7" w:rsidP="008D207F">
      <w:pPr>
        <w:spacing w:after="120"/>
        <w:rPr>
          <w:rFonts w:ascii="Calibri" w:hAnsi="Calibri" w:cs="Calibri"/>
          <w:b/>
          <w:i/>
          <w:sz w:val="24"/>
          <w:u w:val="single"/>
        </w:rPr>
      </w:pPr>
    </w:p>
    <w:p w14:paraId="3BCCB2CF" w14:textId="77777777" w:rsidR="002464E7" w:rsidRPr="008D38C7" w:rsidRDefault="002464E7" w:rsidP="008D207F">
      <w:pPr>
        <w:spacing w:after="120"/>
        <w:rPr>
          <w:rFonts w:ascii="Calibri" w:hAnsi="Calibri" w:cs="Calibri"/>
          <w:b/>
          <w:i/>
          <w:sz w:val="24"/>
          <w:u w:val="single"/>
        </w:rPr>
      </w:pPr>
    </w:p>
    <w:p w14:paraId="7913C75C" w14:textId="28C4FB1C" w:rsidR="00D6554F" w:rsidRDefault="00D6554F" w:rsidP="00D6554F">
      <w:pPr>
        <w:pStyle w:val="Default"/>
        <w:spacing w:after="120"/>
        <w:rPr>
          <w:rFonts w:ascii="Calibri" w:hAnsi="Calibri" w:cs="Calibri"/>
          <w:color w:val="auto"/>
          <w:sz w:val="22"/>
          <w:szCs w:val="22"/>
          <w:lang w:val="en-AU"/>
        </w:rPr>
      </w:pPr>
      <w:r w:rsidRPr="008D38C7">
        <w:rPr>
          <w:rFonts w:ascii="Calibri" w:hAnsi="Calibri" w:cs="Calibri"/>
          <w:color w:val="auto"/>
          <w:sz w:val="22"/>
          <w:szCs w:val="22"/>
          <w:lang w:val="en-AU"/>
        </w:rPr>
        <w:t xml:space="preserve">ASMI notes that both the industry and the community desire increased access to evidence based complementary medicines and that greater investment in research and development will expand the range of </w:t>
      </w:r>
      <w:r>
        <w:rPr>
          <w:rFonts w:ascii="Calibri" w:hAnsi="Calibri" w:cs="Calibri"/>
          <w:color w:val="auto"/>
          <w:sz w:val="22"/>
          <w:szCs w:val="22"/>
          <w:lang w:val="en-AU"/>
        </w:rPr>
        <w:t>evidence-based</w:t>
      </w:r>
      <w:r w:rsidRPr="008D38C7">
        <w:rPr>
          <w:rFonts w:ascii="Calibri" w:hAnsi="Calibri" w:cs="Calibri"/>
          <w:color w:val="auto"/>
          <w:sz w:val="22"/>
          <w:szCs w:val="22"/>
          <w:lang w:val="en-AU"/>
        </w:rPr>
        <w:t xml:space="preserve"> non-prescription medicines available for self-care.</w:t>
      </w:r>
    </w:p>
    <w:p w14:paraId="22D55C92" w14:textId="40D756F6" w:rsidR="00D6554F" w:rsidRPr="00D6554F" w:rsidRDefault="008B374E" w:rsidP="00D6554F">
      <w:pPr>
        <w:pStyle w:val="Default"/>
        <w:spacing w:after="120"/>
        <w:rPr>
          <w:rFonts w:ascii="Calibri" w:hAnsi="Calibri" w:cs="Calibri"/>
          <w:color w:val="auto"/>
          <w:sz w:val="22"/>
          <w:szCs w:val="22"/>
          <w:lang w:val="en-AU"/>
        </w:rPr>
      </w:pPr>
      <w:r>
        <w:rPr>
          <w:rFonts w:ascii="Calibri" w:hAnsi="Calibri" w:cs="Calibri"/>
          <w:color w:val="auto"/>
          <w:sz w:val="22"/>
          <w:szCs w:val="22"/>
          <w:lang w:val="en-AU"/>
        </w:rPr>
        <w:t>Currently a limiting factor to investment in innovation is that n</w:t>
      </w:r>
      <w:r w:rsidR="00D6554F" w:rsidRPr="00D6554F">
        <w:rPr>
          <w:rFonts w:ascii="Calibri" w:hAnsi="Calibri" w:cs="Calibri"/>
          <w:color w:val="auto"/>
          <w:sz w:val="22"/>
          <w:szCs w:val="22"/>
          <w:lang w:val="en-AU"/>
        </w:rPr>
        <w:t>on-prescription medicines (both over-the-counter and complementary) do not benefit from the same level of intellectual property protection as prescription medicines. In most cases</w:t>
      </w:r>
      <w:r w:rsidR="002A0C81">
        <w:rPr>
          <w:rFonts w:ascii="Calibri" w:hAnsi="Calibri" w:cs="Calibri"/>
          <w:color w:val="auto"/>
          <w:sz w:val="22"/>
          <w:szCs w:val="22"/>
          <w:lang w:val="en-AU"/>
        </w:rPr>
        <w:t>,</w:t>
      </w:r>
      <w:r w:rsidR="00D6554F" w:rsidRPr="00D6554F">
        <w:rPr>
          <w:rFonts w:ascii="Calibri" w:hAnsi="Calibri" w:cs="Calibri"/>
          <w:color w:val="auto"/>
          <w:sz w:val="22"/>
          <w:szCs w:val="22"/>
          <w:lang w:val="en-AU"/>
        </w:rPr>
        <w:t xml:space="preserve"> any patent covering the active ingredient will have expired and often the level of innovation for over-the-counter and complementary medicines </w:t>
      </w:r>
      <w:r w:rsidR="003A37A2">
        <w:rPr>
          <w:rFonts w:ascii="Calibri" w:hAnsi="Calibri" w:cs="Calibri"/>
          <w:color w:val="auto"/>
          <w:sz w:val="22"/>
          <w:szCs w:val="22"/>
          <w:lang w:val="en-AU"/>
        </w:rPr>
        <w:t>does not meet the requirements</w:t>
      </w:r>
      <w:r w:rsidR="00D6554F" w:rsidRPr="00D6554F">
        <w:rPr>
          <w:rFonts w:ascii="Calibri" w:hAnsi="Calibri" w:cs="Calibri"/>
          <w:color w:val="auto"/>
          <w:sz w:val="22"/>
          <w:szCs w:val="22"/>
          <w:lang w:val="en-AU"/>
        </w:rPr>
        <w:t xml:space="preserve"> for a standard patent.</w:t>
      </w:r>
      <w:r w:rsidR="00D6554F">
        <w:rPr>
          <w:rFonts w:ascii="Calibri" w:hAnsi="Calibri" w:cs="Calibri"/>
          <w:color w:val="auto"/>
          <w:sz w:val="22"/>
          <w:szCs w:val="22"/>
          <w:lang w:val="en-AU"/>
        </w:rPr>
        <w:t xml:space="preserve"> </w:t>
      </w:r>
      <w:r w:rsidR="003A37A2">
        <w:rPr>
          <w:rFonts w:ascii="Calibri" w:hAnsi="Calibri" w:cs="Calibri"/>
          <w:color w:val="auto"/>
          <w:sz w:val="22"/>
          <w:szCs w:val="22"/>
          <w:lang w:val="en-AU"/>
        </w:rPr>
        <w:t>Furthermore</w:t>
      </w:r>
      <w:r w:rsidR="00D6554F">
        <w:rPr>
          <w:rFonts w:ascii="Calibri" w:hAnsi="Calibri" w:cs="Calibri"/>
          <w:color w:val="auto"/>
          <w:sz w:val="22"/>
          <w:szCs w:val="22"/>
          <w:lang w:val="en-AU"/>
        </w:rPr>
        <w:t xml:space="preserve">, </w:t>
      </w:r>
      <w:r w:rsidR="00D6554F" w:rsidRPr="008D38C7">
        <w:rPr>
          <w:rFonts w:ascii="Calibri" w:hAnsi="Calibri" w:cs="Calibri"/>
          <w:sz w:val="22"/>
          <w:lang w:val="en-AU"/>
        </w:rPr>
        <w:t xml:space="preserve">there is </w:t>
      </w:r>
      <w:r w:rsidR="00D6554F" w:rsidRPr="008D38C7">
        <w:rPr>
          <w:rFonts w:ascii="Calibri" w:hAnsi="Calibri" w:cs="Calibri"/>
          <w:sz w:val="22"/>
          <w:szCs w:val="22"/>
          <w:lang w:val="en-AU"/>
        </w:rPr>
        <w:t xml:space="preserve">currently no provision for data protection in relation to </w:t>
      </w:r>
      <w:r w:rsidRPr="008D38C7">
        <w:rPr>
          <w:rFonts w:ascii="Calibri" w:hAnsi="Calibri" w:cs="Calibri"/>
          <w:color w:val="auto"/>
          <w:sz w:val="22"/>
          <w:szCs w:val="22"/>
          <w:lang w:val="en-AU"/>
        </w:rPr>
        <w:t xml:space="preserve">regulatory data </w:t>
      </w:r>
      <w:r w:rsidR="003A37A2">
        <w:rPr>
          <w:rFonts w:ascii="Calibri" w:hAnsi="Calibri" w:cs="Calibri"/>
          <w:color w:val="auto"/>
          <w:sz w:val="22"/>
          <w:szCs w:val="22"/>
          <w:lang w:val="en-AU"/>
        </w:rPr>
        <w:t xml:space="preserve">generated </w:t>
      </w:r>
      <w:r>
        <w:rPr>
          <w:rFonts w:ascii="Calibri" w:hAnsi="Calibri" w:cs="Calibri"/>
          <w:color w:val="auto"/>
          <w:sz w:val="22"/>
          <w:szCs w:val="22"/>
          <w:lang w:val="en-AU"/>
        </w:rPr>
        <w:t xml:space="preserve">for </w:t>
      </w:r>
      <w:r w:rsidR="00D6554F" w:rsidRPr="008D38C7">
        <w:rPr>
          <w:rFonts w:ascii="Calibri" w:hAnsi="Calibri" w:cs="Calibri"/>
          <w:sz w:val="22"/>
          <w:szCs w:val="22"/>
          <w:lang w:val="en-AU"/>
        </w:rPr>
        <w:t>non-prescription medicines.</w:t>
      </w:r>
    </w:p>
    <w:p w14:paraId="568006BB" w14:textId="67D11AEC" w:rsidR="00D6554F" w:rsidRPr="00D6554F" w:rsidRDefault="00D6554F" w:rsidP="00D6554F">
      <w:pPr>
        <w:pStyle w:val="Default"/>
        <w:spacing w:after="120"/>
        <w:rPr>
          <w:rFonts w:ascii="Calibri" w:hAnsi="Calibri" w:cs="Calibri"/>
          <w:color w:val="auto"/>
          <w:sz w:val="22"/>
          <w:szCs w:val="22"/>
          <w:lang w:val="en-AU"/>
        </w:rPr>
      </w:pPr>
      <w:r w:rsidRPr="00D6554F">
        <w:rPr>
          <w:rFonts w:ascii="Calibri" w:hAnsi="Calibri" w:cs="Calibri"/>
          <w:color w:val="auto"/>
          <w:sz w:val="22"/>
          <w:szCs w:val="22"/>
          <w:lang w:val="en-AU"/>
        </w:rPr>
        <w:t>Nevertheless, the substantial investment required for new therapeutic claims, products and ingredients should still be protected.</w:t>
      </w:r>
      <w:r w:rsidR="008B374E">
        <w:rPr>
          <w:rFonts w:ascii="Calibri" w:hAnsi="Calibri" w:cs="Calibri"/>
          <w:color w:val="auto"/>
          <w:sz w:val="22"/>
          <w:szCs w:val="22"/>
          <w:lang w:val="en-AU"/>
        </w:rPr>
        <w:t xml:space="preserve"> </w:t>
      </w:r>
      <w:r w:rsidRPr="00D6554F">
        <w:rPr>
          <w:rFonts w:ascii="Calibri" w:hAnsi="Calibri" w:cs="Calibri"/>
          <w:color w:val="auto"/>
          <w:sz w:val="22"/>
          <w:szCs w:val="22"/>
          <w:lang w:val="en-AU"/>
        </w:rPr>
        <w:t xml:space="preserve">To this end, tailored measures </w:t>
      </w:r>
      <w:r w:rsidR="002A0C81">
        <w:rPr>
          <w:rFonts w:ascii="Calibri" w:hAnsi="Calibri" w:cs="Calibri"/>
          <w:color w:val="auto"/>
          <w:sz w:val="22"/>
          <w:szCs w:val="22"/>
          <w:lang w:val="en-AU"/>
        </w:rPr>
        <w:t xml:space="preserve">that </w:t>
      </w:r>
      <w:r w:rsidRPr="00D6554F">
        <w:rPr>
          <w:rFonts w:ascii="Calibri" w:hAnsi="Calibri" w:cs="Calibri"/>
          <w:color w:val="auto"/>
          <w:sz w:val="22"/>
          <w:szCs w:val="22"/>
          <w:lang w:val="en-AU"/>
        </w:rPr>
        <w:t>encourage investment in innovation for over-the-counter and complementary medicines</w:t>
      </w:r>
      <w:r w:rsidR="002A0C81">
        <w:rPr>
          <w:rFonts w:ascii="Calibri" w:hAnsi="Calibri" w:cs="Calibri"/>
          <w:color w:val="auto"/>
          <w:sz w:val="22"/>
          <w:szCs w:val="22"/>
          <w:lang w:val="en-AU"/>
        </w:rPr>
        <w:t xml:space="preserve"> </w:t>
      </w:r>
      <w:r w:rsidR="002A0C81" w:rsidRPr="00D6554F">
        <w:rPr>
          <w:rFonts w:ascii="Calibri" w:hAnsi="Calibri" w:cs="Calibri"/>
          <w:color w:val="auto"/>
          <w:sz w:val="22"/>
          <w:szCs w:val="22"/>
          <w:lang w:val="en-AU"/>
        </w:rPr>
        <w:t>need to be put in place</w:t>
      </w:r>
      <w:r w:rsidRPr="00D6554F">
        <w:rPr>
          <w:rFonts w:ascii="Calibri" w:hAnsi="Calibri" w:cs="Calibri"/>
          <w:color w:val="auto"/>
          <w:sz w:val="22"/>
          <w:szCs w:val="22"/>
          <w:lang w:val="en-AU"/>
        </w:rPr>
        <w:t>.</w:t>
      </w:r>
    </w:p>
    <w:p w14:paraId="73170B99" w14:textId="202FFE5A" w:rsidR="00D6554F" w:rsidRDefault="00D6554F" w:rsidP="00D6554F">
      <w:pPr>
        <w:pStyle w:val="Default"/>
        <w:spacing w:after="120"/>
        <w:rPr>
          <w:rFonts w:ascii="Calibri" w:hAnsi="Calibri" w:cs="Calibri"/>
          <w:color w:val="auto"/>
          <w:sz w:val="22"/>
          <w:szCs w:val="22"/>
          <w:lang w:val="en-AU"/>
        </w:rPr>
      </w:pPr>
      <w:r w:rsidRPr="00D6554F">
        <w:rPr>
          <w:rFonts w:ascii="Calibri" w:hAnsi="Calibri" w:cs="Calibri"/>
          <w:color w:val="auto"/>
          <w:sz w:val="22"/>
          <w:szCs w:val="22"/>
          <w:lang w:val="en-AU"/>
        </w:rPr>
        <w:t>Our position is simple: where there has been substantial investment, there should be appropriate data protection or market exclusivity (commensurate with the degree of innovation and investment) so as to incentivise research into new therapeutic claims, products and ingredients.</w:t>
      </w:r>
      <w:r w:rsidR="008B374E" w:rsidRPr="008B374E">
        <w:rPr>
          <w:rFonts w:ascii="Calibri" w:hAnsi="Calibri" w:cs="Calibri"/>
          <w:color w:val="auto"/>
          <w:sz w:val="22"/>
          <w:szCs w:val="22"/>
          <w:lang w:val="en-AU"/>
        </w:rPr>
        <w:t xml:space="preserve"> </w:t>
      </w:r>
      <w:r w:rsidR="008B374E">
        <w:rPr>
          <w:rFonts w:ascii="Calibri" w:hAnsi="Calibri" w:cs="Calibri"/>
          <w:color w:val="auto"/>
          <w:sz w:val="22"/>
          <w:szCs w:val="22"/>
          <w:lang w:val="en-AU"/>
        </w:rPr>
        <w:t xml:space="preserve">This will </w:t>
      </w:r>
      <w:r w:rsidR="008B374E" w:rsidRPr="008D38C7">
        <w:rPr>
          <w:rFonts w:ascii="Calibri" w:hAnsi="Calibri" w:cs="Calibri"/>
          <w:color w:val="auto"/>
          <w:sz w:val="22"/>
          <w:szCs w:val="22"/>
          <w:lang w:val="en-AU"/>
        </w:rPr>
        <w:t>act as an incentive to research new therapeutic claims and products</w:t>
      </w:r>
      <w:r w:rsidR="008B374E">
        <w:rPr>
          <w:rFonts w:asciiTheme="minorHAnsi" w:hAnsiTheme="minorHAnsi" w:cstheme="minorHAnsi"/>
          <w:sz w:val="22"/>
          <w:lang w:val="en-AU"/>
        </w:rPr>
        <w:t xml:space="preserve"> and</w:t>
      </w:r>
      <w:r w:rsidR="008B374E" w:rsidRPr="008D38C7">
        <w:rPr>
          <w:rFonts w:asciiTheme="minorHAnsi" w:hAnsiTheme="minorHAnsi" w:cstheme="minorHAnsi"/>
          <w:sz w:val="22"/>
          <w:lang w:val="en-AU"/>
        </w:rPr>
        <w:t xml:space="preserve"> in turn will have flow-on effects for the economy through </w:t>
      </w:r>
      <w:r w:rsidR="003A37A2">
        <w:rPr>
          <w:rFonts w:asciiTheme="minorHAnsi" w:hAnsiTheme="minorHAnsi" w:cstheme="minorHAnsi"/>
          <w:sz w:val="22"/>
          <w:lang w:val="en-AU"/>
        </w:rPr>
        <w:t xml:space="preserve">generating </w:t>
      </w:r>
      <w:r w:rsidR="008B374E" w:rsidRPr="008D38C7">
        <w:rPr>
          <w:rFonts w:asciiTheme="minorHAnsi" w:hAnsiTheme="minorHAnsi" w:cstheme="minorHAnsi"/>
          <w:sz w:val="22"/>
          <w:lang w:val="en-AU"/>
        </w:rPr>
        <w:t>more jobs, investment and exports in the consumer healthcare products market.</w:t>
      </w:r>
    </w:p>
    <w:p w14:paraId="5A927331" w14:textId="70940600" w:rsidR="002F026B" w:rsidRPr="008D38C7" w:rsidRDefault="002F026B" w:rsidP="002464E7">
      <w:pPr>
        <w:pStyle w:val="Default"/>
        <w:spacing w:after="120"/>
        <w:rPr>
          <w:rFonts w:ascii="Calibri" w:hAnsi="Calibri" w:cs="Calibri"/>
          <w:sz w:val="22"/>
          <w:szCs w:val="22"/>
          <w:lang w:val="en-AU"/>
        </w:rPr>
      </w:pPr>
      <w:r w:rsidRPr="008D38C7">
        <w:rPr>
          <w:rFonts w:ascii="Calibri" w:hAnsi="Calibri" w:cs="Calibri"/>
          <w:sz w:val="22"/>
          <w:szCs w:val="22"/>
          <w:lang w:val="en-AU"/>
        </w:rPr>
        <w:t>Unlike innovator prescription products, both over-the-counter and complementary medicines</w:t>
      </w:r>
      <w:r w:rsidRPr="008D38C7">
        <w:rPr>
          <w:rFonts w:ascii="Calibri" w:hAnsi="Calibri" w:cs="Calibri"/>
          <w:sz w:val="22"/>
          <w:lang w:val="en-AU"/>
        </w:rPr>
        <w:t xml:space="preserve"> </w:t>
      </w:r>
      <w:r w:rsidRPr="008D38C7">
        <w:rPr>
          <w:rFonts w:ascii="Calibri" w:hAnsi="Calibri" w:cs="Calibri"/>
          <w:sz w:val="22"/>
          <w:szCs w:val="22"/>
          <w:lang w:val="en-AU"/>
        </w:rPr>
        <w:t xml:space="preserve">generally lack standard </w:t>
      </w:r>
      <w:r w:rsidRPr="008D38C7">
        <w:rPr>
          <w:rFonts w:ascii="Calibri" w:hAnsi="Calibri" w:cs="Calibri"/>
          <w:sz w:val="22"/>
          <w:lang w:val="en-AU"/>
        </w:rPr>
        <w:t xml:space="preserve">patent protection and there is </w:t>
      </w:r>
      <w:r w:rsidRPr="008D38C7">
        <w:rPr>
          <w:rFonts w:ascii="Calibri" w:hAnsi="Calibri" w:cs="Calibri"/>
          <w:sz w:val="22"/>
          <w:szCs w:val="22"/>
          <w:lang w:val="en-AU"/>
        </w:rPr>
        <w:t xml:space="preserve">currently no provision for data protection in relation to non-prescription medicines. Other markets, particularly the European Union and the United States, have </w:t>
      </w:r>
      <w:r w:rsidR="008D758C" w:rsidRPr="008D38C7">
        <w:rPr>
          <w:rFonts w:ascii="Calibri" w:hAnsi="Calibri" w:cs="Calibri"/>
          <w:sz w:val="22"/>
          <w:szCs w:val="22"/>
          <w:lang w:val="en-AU"/>
        </w:rPr>
        <w:t>mechanisms</w:t>
      </w:r>
      <w:r w:rsidRPr="008D38C7">
        <w:rPr>
          <w:rFonts w:ascii="Calibri" w:hAnsi="Calibri" w:cs="Calibri"/>
          <w:sz w:val="22"/>
          <w:szCs w:val="22"/>
          <w:lang w:val="en-AU"/>
        </w:rPr>
        <w:t xml:space="preserve"> in place for these product categories that offer significant benefit to product sponsors.</w:t>
      </w:r>
    </w:p>
    <w:p w14:paraId="3744953F" w14:textId="51CF6AA9" w:rsidR="002A3D21" w:rsidRPr="008D38C7" w:rsidRDefault="002A3D21" w:rsidP="002464E7">
      <w:pPr>
        <w:pStyle w:val="Default"/>
        <w:spacing w:after="120"/>
        <w:rPr>
          <w:rFonts w:ascii="Calibri" w:hAnsi="Calibri" w:cs="Calibri"/>
          <w:color w:val="auto"/>
          <w:sz w:val="22"/>
          <w:szCs w:val="22"/>
          <w:lang w:val="en-AU"/>
        </w:rPr>
      </w:pPr>
      <w:r w:rsidRPr="008D38C7">
        <w:rPr>
          <w:rFonts w:ascii="Calibri" w:hAnsi="Calibri" w:cs="Calibri"/>
          <w:color w:val="auto"/>
          <w:sz w:val="22"/>
          <w:szCs w:val="22"/>
          <w:lang w:val="en-AU"/>
        </w:rPr>
        <w:t xml:space="preserve">In ASMI’s view, there are two methods </w:t>
      </w:r>
      <w:r w:rsidR="004A0D9C">
        <w:rPr>
          <w:rFonts w:ascii="Calibri" w:hAnsi="Calibri" w:cs="Calibri"/>
          <w:color w:val="auto"/>
          <w:sz w:val="22"/>
          <w:szCs w:val="22"/>
          <w:lang w:val="en-AU"/>
        </w:rPr>
        <w:t>by which innovation can be incentivised</w:t>
      </w:r>
      <w:r w:rsidRPr="008D38C7">
        <w:rPr>
          <w:rFonts w:ascii="Calibri" w:hAnsi="Calibri" w:cs="Calibri"/>
          <w:color w:val="auto"/>
          <w:sz w:val="22"/>
          <w:szCs w:val="22"/>
          <w:lang w:val="en-AU"/>
        </w:rPr>
        <w:t xml:space="preserve">: </w:t>
      </w:r>
    </w:p>
    <w:p w14:paraId="109A9F7F" w14:textId="1D3BBCF3" w:rsidR="002A3D21" w:rsidRPr="008D38C7" w:rsidRDefault="002A3D21" w:rsidP="002A3D21">
      <w:pPr>
        <w:pStyle w:val="Default"/>
        <w:numPr>
          <w:ilvl w:val="0"/>
          <w:numId w:val="31"/>
        </w:numPr>
        <w:tabs>
          <w:tab w:val="left" w:pos="5943"/>
        </w:tabs>
        <w:spacing w:after="30"/>
        <w:rPr>
          <w:rFonts w:ascii="Calibri" w:hAnsi="Calibri" w:cs="Calibri"/>
          <w:color w:val="auto"/>
          <w:sz w:val="22"/>
          <w:szCs w:val="22"/>
          <w:lang w:val="en-AU"/>
        </w:rPr>
      </w:pPr>
      <w:r w:rsidRPr="008D38C7">
        <w:rPr>
          <w:rFonts w:ascii="Calibri" w:hAnsi="Calibri" w:cs="Calibri"/>
          <w:b/>
          <w:color w:val="auto"/>
          <w:sz w:val="22"/>
          <w:szCs w:val="22"/>
          <w:lang w:val="en-AU"/>
        </w:rPr>
        <w:t>Data exclusivity</w:t>
      </w:r>
      <w:r w:rsidRPr="008D38C7">
        <w:rPr>
          <w:rFonts w:ascii="Calibri" w:hAnsi="Calibri" w:cs="Calibri"/>
          <w:color w:val="auto"/>
          <w:sz w:val="22"/>
          <w:szCs w:val="22"/>
          <w:lang w:val="en-AU"/>
        </w:rPr>
        <w:t xml:space="preserve"> – a defined period during which subsequent sponsors of equivalent therapeutic goods may not</w:t>
      </w:r>
      <w:r w:rsidR="002A0C81">
        <w:rPr>
          <w:rFonts w:ascii="Calibri" w:hAnsi="Calibri" w:cs="Calibri"/>
          <w:color w:val="auto"/>
          <w:sz w:val="22"/>
          <w:szCs w:val="22"/>
          <w:lang w:val="en-AU"/>
        </w:rPr>
        <w:t xml:space="preserve"> </w:t>
      </w:r>
      <w:r w:rsidRPr="008D38C7">
        <w:rPr>
          <w:rFonts w:ascii="Calibri" w:hAnsi="Calibri" w:cs="Calibri"/>
          <w:color w:val="auto"/>
          <w:sz w:val="22"/>
          <w:szCs w:val="22"/>
          <w:lang w:val="en-AU"/>
        </w:rPr>
        <w:t xml:space="preserve">benefit from data provided by the first sponsor. ASMI considers data exclusivity appropriate for: </w:t>
      </w:r>
      <w:r w:rsidRPr="008D38C7">
        <w:rPr>
          <w:rFonts w:ascii="Calibri" w:hAnsi="Calibri" w:cs="Calibri"/>
          <w:color w:val="auto"/>
          <w:sz w:val="22"/>
          <w:szCs w:val="22"/>
          <w:lang w:val="en-AU"/>
        </w:rPr>
        <w:br/>
        <w:t xml:space="preserve">– </w:t>
      </w:r>
      <w:r w:rsidR="004A0D9C" w:rsidRPr="008D38C7">
        <w:rPr>
          <w:rFonts w:ascii="Calibri" w:hAnsi="Calibri" w:cs="Calibri"/>
          <w:color w:val="auto"/>
          <w:sz w:val="22"/>
          <w:szCs w:val="22"/>
          <w:lang w:val="en-AU"/>
        </w:rPr>
        <w:t xml:space="preserve">new </w:t>
      </w:r>
      <w:r w:rsidR="004A0D9C">
        <w:rPr>
          <w:rFonts w:ascii="Calibri" w:hAnsi="Calibri" w:cs="Calibri"/>
          <w:color w:val="auto"/>
          <w:sz w:val="22"/>
          <w:szCs w:val="22"/>
          <w:lang w:val="en-AU"/>
        </w:rPr>
        <w:t xml:space="preserve"> </w:t>
      </w:r>
      <w:r w:rsidRPr="008D38C7">
        <w:rPr>
          <w:rFonts w:ascii="Calibri" w:hAnsi="Calibri" w:cs="Calibri"/>
          <w:color w:val="auto"/>
          <w:sz w:val="22"/>
          <w:szCs w:val="22"/>
          <w:lang w:val="en-AU"/>
        </w:rPr>
        <w:t>indications, claims and/or dosage regimes for products or ingredients</w:t>
      </w:r>
      <w:r w:rsidRPr="008D38C7">
        <w:rPr>
          <w:rFonts w:ascii="Calibri" w:hAnsi="Calibri" w:cs="Calibri"/>
          <w:color w:val="auto"/>
          <w:sz w:val="22"/>
          <w:szCs w:val="22"/>
          <w:lang w:val="en-AU"/>
        </w:rPr>
        <w:br/>
        <w:t xml:space="preserve">– </w:t>
      </w:r>
      <w:r w:rsidR="004A0D9C" w:rsidRPr="008D38C7">
        <w:rPr>
          <w:rFonts w:ascii="Calibri" w:hAnsi="Calibri" w:cs="Calibri"/>
          <w:color w:val="auto"/>
          <w:sz w:val="22"/>
          <w:szCs w:val="22"/>
          <w:lang w:val="en-AU"/>
        </w:rPr>
        <w:t xml:space="preserve">new </w:t>
      </w:r>
      <w:r w:rsidR="004A0D9C">
        <w:rPr>
          <w:rFonts w:ascii="Calibri" w:hAnsi="Calibri" w:cs="Calibri"/>
          <w:color w:val="auto"/>
          <w:sz w:val="22"/>
          <w:szCs w:val="22"/>
          <w:lang w:val="en-AU"/>
        </w:rPr>
        <w:t xml:space="preserve"> </w:t>
      </w:r>
      <w:r w:rsidRPr="008D38C7">
        <w:rPr>
          <w:rFonts w:ascii="Calibri" w:hAnsi="Calibri" w:cs="Calibri"/>
          <w:color w:val="auto"/>
          <w:sz w:val="22"/>
          <w:szCs w:val="22"/>
          <w:lang w:val="en-AU"/>
        </w:rPr>
        <w:t>listable ingredients</w:t>
      </w:r>
      <w:r w:rsidRPr="008D38C7">
        <w:rPr>
          <w:rFonts w:ascii="Calibri" w:hAnsi="Calibri" w:cs="Calibri"/>
          <w:color w:val="auto"/>
          <w:sz w:val="22"/>
          <w:szCs w:val="22"/>
          <w:lang w:val="en-AU"/>
        </w:rPr>
        <w:tab/>
      </w:r>
      <w:r w:rsidRPr="008D38C7">
        <w:rPr>
          <w:rFonts w:ascii="Calibri" w:hAnsi="Calibri" w:cs="Calibri"/>
          <w:color w:val="auto"/>
          <w:sz w:val="22"/>
          <w:szCs w:val="22"/>
          <w:lang w:val="en-AU"/>
        </w:rPr>
        <w:br/>
        <w:t xml:space="preserve">– </w:t>
      </w:r>
      <w:r w:rsidR="004A0D9C" w:rsidRPr="008D38C7">
        <w:rPr>
          <w:rFonts w:ascii="Calibri" w:hAnsi="Calibri" w:cs="Calibri"/>
          <w:color w:val="auto"/>
          <w:sz w:val="22"/>
          <w:szCs w:val="22"/>
          <w:lang w:val="en-AU"/>
        </w:rPr>
        <w:t xml:space="preserve">new </w:t>
      </w:r>
      <w:r w:rsidR="004A0D9C">
        <w:rPr>
          <w:rFonts w:ascii="Calibri" w:hAnsi="Calibri" w:cs="Calibri"/>
          <w:color w:val="auto"/>
          <w:sz w:val="22"/>
          <w:szCs w:val="22"/>
          <w:lang w:val="en-AU"/>
        </w:rPr>
        <w:t xml:space="preserve"> </w:t>
      </w:r>
      <w:r w:rsidRPr="008D38C7">
        <w:rPr>
          <w:rFonts w:ascii="Calibri" w:hAnsi="Calibri" w:cs="Calibri"/>
          <w:color w:val="auto"/>
          <w:sz w:val="22"/>
          <w:szCs w:val="22"/>
          <w:lang w:val="en-AU"/>
        </w:rPr>
        <w:t>formulations</w:t>
      </w:r>
      <w:r w:rsidRPr="008D38C7">
        <w:rPr>
          <w:rFonts w:ascii="Calibri" w:hAnsi="Calibri" w:cs="Calibri"/>
          <w:color w:val="auto"/>
          <w:sz w:val="22"/>
          <w:szCs w:val="22"/>
          <w:lang w:val="en-AU"/>
        </w:rPr>
        <w:br/>
        <w:t xml:space="preserve">– </w:t>
      </w:r>
      <w:r w:rsidR="004A0D9C" w:rsidRPr="008D38C7">
        <w:rPr>
          <w:rFonts w:ascii="Calibri" w:hAnsi="Calibri" w:cs="Calibri"/>
          <w:color w:val="auto"/>
          <w:sz w:val="22"/>
          <w:szCs w:val="22"/>
          <w:lang w:val="en-AU"/>
        </w:rPr>
        <w:t xml:space="preserve">new </w:t>
      </w:r>
      <w:r w:rsidR="004A0D9C">
        <w:rPr>
          <w:rFonts w:ascii="Calibri" w:hAnsi="Calibri" w:cs="Calibri"/>
          <w:color w:val="auto"/>
          <w:sz w:val="22"/>
          <w:szCs w:val="22"/>
          <w:lang w:val="en-AU"/>
        </w:rPr>
        <w:t xml:space="preserve"> </w:t>
      </w:r>
      <w:r w:rsidRPr="008D38C7">
        <w:rPr>
          <w:rFonts w:ascii="Calibri" w:hAnsi="Calibri" w:cs="Calibri"/>
          <w:color w:val="auto"/>
          <w:sz w:val="22"/>
          <w:szCs w:val="22"/>
          <w:lang w:val="en-AU"/>
        </w:rPr>
        <w:t>combinations</w:t>
      </w:r>
    </w:p>
    <w:p w14:paraId="4B65E143" w14:textId="182A20FA" w:rsidR="004A0D9C" w:rsidRDefault="00A215D9" w:rsidP="000C7777">
      <w:pPr>
        <w:pStyle w:val="Default"/>
        <w:numPr>
          <w:ilvl w:val="0"/>
          <w:numId w:val="31"/>
        </w:numPr>
        <w:spacing w:before="120" w:after="240"/>
        <w:ind w:left="714" w:hanging="357"/>
        <w:rPr>
          <w:rFonts w:ascii="Calibri" w:hAnsi="Calibri" w:cs="Calibri"/>
          <w:color w:val="auto"/>
          <w:sz w:val="22"/>
          <w:szCs w:val="22"/>
          <w:lang w:val="en-AU"/>
        </w:rPr>
      </w:pPr>
      <w:r w:rsidRPr="008D38C7">
        <w:rPr>
          <w:rFonts w:ascii="Calibri" w:hAnsi="Calibri" w:cs="Calibri"/>
          <w:b/>
          <w:color w:val="auto"/>
          <w:sz w:val="22"/>
          <w:szCs w:val="22"/>
          <w:lang w:val="en-AU"/>
        </w:rPr>
        <w:t>Market exclusivity</w:t>
      </w:r>
      <w:r w:rsidRPr="008D38C7">
        <w:rPr>
          <w:rFonts w:ascii="Calibri" w:hAnsi="Calibri" w:cs="Calibri"/>
          <w:color w:val="auto"/>
          <w:sz w:val="22"/>
          <w:szCs w:val="22"/>
          <w:lang w:val="en-AU"/>
        </w:rPr>
        <w:t xml:space="preserve"> – a defined, enforced period during which a sponsor that is successful in obtaining some form of approval for a therapeutic good is granted an exclusive market status that prevents subsequent sponsors from obtaining similar approval for equivalent goods even if new data is provided. ASMI considers market exclusivity appropriate for</w:t>
      </w:r>
      <w:r w:rsidR="004A0D9C">
        <w:rPr>
          <w:rFonts w:ascii="Calibri" w:hAnsi="Calibri" w:cs="Calibri"/>
          <w:color w:val="auto"/>
          <w:sz w:val="22"/>
          <w:szCs w:val="22"/>
          <w:lang w:val="en-AU"/>
        </w:rPr>
        <w:t>:</w:t>
      </w:r>
      <w:r w:rsidR="004A0D9C">
        <w:rPr>
          <w:rFonts w:ascii="Calibri" w:hAnsi="Calibri" w:cs="Calibri"/>
          <w:color w:val="auto"/>
          <w:sz w:val="22"/>
          <w:szCs w:val="22"/>
          <w:lang w:val="en-AU"/>
        </w:rPr>
        <w:br/>
      </w:r>
      <w:r w:rsidR="004A0D9C" w:rsidRPr="008D38C7">
        <w:rPr>
          <w:rFonts w:ascii="Calibri" w:hAnsi="Calibri" w:cs="Calibri"/>
          <w:color w:val="auto"/>
          <w:sz w:val="22"/>
          <w:szCs w:val="22"/>
          <w:lang w:val="en-AU"/>
        </w:rPr>
        <w:t>– medications that have been rescheduled</w:t>
      </w:r>
    </w:p>
    <w:p w14:paraId="5B8E62C8" w14:textId="2940F95C" w:rsidR="002F026B" w:rsidRDefault="002F026B" w:rsidP="002F026B">
      <w:pPr>
        <w:pStyle w:val="Default"/>
        <w:rPr>
          <w:rFonts w:ascii="Calibri" w:hAnsi="Calibri" w:cs="Calibri"/>
          <w:color w:val="auto"/>
          <w:sz w:val="22"/>
          <w:szCs w:val="22"/>
          <w:lang w:val="en-AU"/>
        </w:rPr>
      </w:pPr>
      <w:r w:rsidRPr="008D38C7">
        <w:rPr>
          <w:rFonts w:ascii="Calibri" w:hAnsi="Calibri" w:cs="Calibri"/>
          <w:color w:val="auto"/>
          <w:sz w:val="22"/>
          <w:szCs w:val="22"/>
          <w:lang w:val="en-AU"/>
        </w:rPr>
        <w:t xml:space="preserve">The data protection and exclusivity measures above will encourage investment in innovation, because they will give sponsors an opportunity to gain a return on their investment before competing products enter the market. Furthermore, it will foster an environment that will help meet both the industry and community desire for increased access to evidence-based complementary medicines through greater investment in scientific research and development, which will in turn expand the range of well-evidenced non-prescription medicines </w:t>
      </w:r>
      <w:r w:rsidR="00874157" w:rsidRPr="008D38C7">
        <w:rPr>
          <w:rFonts w:ascii="Calibri" w:hAnsi="Calibri" w:cs="Calibri"/>
          <w:color w:val="auto"/>
          <w:sz w:val="22"/>
          <w:szCs w:val="22"/>
          <w:lang w:val="en-AU"/>
        </w:rPr>
        <w:t>accessible to</w:t>
      </w:r>
      <w:r w:rsidRPr="008D38C7">
        <w:rPr>
          <w:rFonts w:ascii="Calibri" w:hAnsi="Calibri" w:cs="Calibri"/>
          <w:color w:val="auto"/>
          <w:sz w:val="22"/>
          <w:szCs w:val="22"/>
          <w:lang w:val="en-AU"/>
        </w:rPr>
        <w:t xml:space="preserve"> </w:t>
      </w:r>
      <w:r w:rsidR="00874157" w:rsidRPr="008D38C7">
        <w:rPr>
          <w:rFonts w:ascii="Calibri" w:hAnsi="Calibri" w:cs="Calibri"/>
          <w:color w:val="auto"/>
          <w:sz w:val="22"/>
          <w:szCs w:val="22"/>
          <w:lang w:val="en-AU"/>
        </w:rPr>
        <w:t>consumers</w:t>
      </w:r>
      <w:r w:rsidRPr="008D38C7">
        <w:rPr>
          <w:rFonts w:ascii="Calibri" w:hAnsi="Calibri" w:cs="Calibri"/>
          <w:color w:val="auto"/>
          <w:sz w:val="22"/>
          <w:szCs w:val="22"/>
          <w:lang w:val="en-AU"/>
        </w:rPr>
        <w:t xml:space="preserve">. </w:t>
      </w:r>
    </w:p>
    <w:p w14:paraId="00CC4CBB" w14:textId="77777777" w:rsidR="0091770C" w:rsidRPr="008D38C7" w:rsidRDefault="0091770C" w:rsidP="002F026B">
      <w:pPr>
        <w:pStyle w:val="Default"/>
        <w:rPr>
          <w:rFonts w:ascii="Calibri" w:hAnsi="Calibri" w:cs="Calibri"/>
          <w:color w:val="auto"/>
          <w:sz w:val="22"/>
          <w:szCs w:val="22"/>
          <w:lang w:val="en-AU"/>
        </w:rPr>
      </w:pPr>
    </w:p>
    <w:p w14:paraId="458BF257" w14:textId="6A8C684D" w:rsidR="002464E7" w:rsidRPr="008D38C7" w:rsidRDefault="002464E7" w:rsidP="00874157">
      <w:pPr>
        <w:autoSpaceDE w:val="0"/>
        <w:autoSpaceDN w:val="0"/>
        <w:adjustRightInd w:val="0"/>
        <w:spacing w:after="240"/>
        <w:jc w:val="center"/>
        <w:rPr>
          <w:rFonts w:asciiTheme="minorHAnsi" w:hAnsiTheme="minorHAnsi" w:cs="Calibri"/>
        </w:rPr>
      </w:pPr>
      <w:r w:rsidRPr="008D38C7">
        <w:rPr>
          <w:rFonts w:asciiTheme="minorHAnsi" w:hAnsiTheme="minorHAnsi" w:cs="Calibri"/>
          <w:noProof/>
        </w:rPr>
        <mc:AlternateContent>
          <mc:Choice Requires="wps">
            <w:drawing>
              <wp:anchor distT="0" distB="0" distL="114300" distR="114300" simplePos="0" relativeHeight="251665408" behindDoc="0" locked="0" layoutInCell="1" allowOverlap="1" wp14:anchorId="278A35B4" wp14:editId="4BC0BD87">
                <wp:simplePos x="0" y="0"/>
                <wp:positionH relativeFrom="column">
                  <wp:align>center</wp:align>
                </wp:positionH>
                <wp:positionV relativeFrom="paragraph">
                  <wp:posOffset>0</wp:posOffset>
                </wp:positionV>
                <wp:extent cx="2374265" cy="320331"/>
                <wp:effectExtent l="57150" t="38100" r="68580" b="990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0331"/>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0594EEFF" w14:textId="6D24670F" w:rsidR="002464E7" w:rsidRPr="002464E7" w:rsidRDefault="002464E7" w:rsidP="002464E7">
                            <w:pPr>
                              <w:autoSpaceDE w:val="0"/>
                              <w:autoSpaceDN w:val="0"/>
                              <w:adjustRightInd w:val="0"/>
                              <w:spacing w:after="240"/>
                              <w:jc w:val="center"/>
                              <w:rPr>
                                <w:rFonts w:asciiTheme="minorHAnsi" w:hAnsiTheme="minorHAnsi"/>
                                <w:b/>
                                <w:sz w:val="28"/>
                              </w:rPr>
                            </w:pPr>
                            <w:r w:rsidRPr="002464E7">
                              <w:rPr>
                                <w:rFonts w:asciiTheme="minorHAnsi" w:hAnsiTheme="minorHAnsi"/>
                                <w:b/>
                                <w:sz w:val="28"/>
                              </w:rPr>
                              <w:t>Summary</w:t>
                            </w:r>
                          </w:p>
                          <w:p w14:paraId="24DCCA13" w14:textId="432B3F33" w:rsidR="002464E7" w:rsidRDefault="002464E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left:0;text-align:left;margin-left:0;margin-top:0;width:186.95pt;height:25.2pt;z-index:251665408;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rQwIAAMcEAAAOAAAAZHJzL2Uyb0RvYy54bWysVNuO0zAQfUfiHyy/07RpdxeipqulCwhp&#10;uYhdPsB17MZax2Nst0n5esbOZStA+4B4sezMnDNnbllfd40mR+G8AlPSxWxOiTAcKmX2Jf3+8P7V&#10;a0p8YKZiGowo6Ul4er15+WLd2kLkUIOuhCNIYnzR2pLWIdgiyzyvRcP8DKwwaJTgGhbw6fZZ5ViL&#10;7I3O8vn8MmvBVdYBF97j19veSDeJX0rBwxcpvQhElxS1hXS6dO7imW3WrNg7ZmvFBxnsH1Q0TBkM&#10;OlHdssDIwak/qBrFHXiQYcahyUBKxUXKAbNZzH/L5r5mVqRcsDjeTmXy/4+Wfz5+dURV2LsFJYY1&#10;2KMH0QXyFjqSx/K01hfodW/RL3T4GV1Tqt7eAX/0xMC2ZmYvbpyDthasQnmLiMzOoD2PjyS79hNU&#10;GIYdAiSiTrom1g6rQZAd23SaWhOlcPyYL69W+eUFJRxty3y+XPYhWDGirfPhg4CGxEtJHbY+sbPj&#10;nQ9RDStGlxhMm3hGue9MlaYgMKX7O7pGc9IfJQ/iw0mLHvpNSKzZUyXitIqtduTIcM4Y58KEUZ82&#10;6B1hUmk9AfO+hM8BB/8IFWmSJ/BQ/+fAEyJFBhMmcKMMuL9Frx5HybL3HyvQ5x2bGbpdl4ZlNU7G&#10;DqoT9tRBv1n4J8BLDe4nJS1uVUn9jwNzghL90eBcvFmsVnEN02N1cZXjw51bducWZjhSlTRQ0l+3&#10;Ia1uzMnADc6PVKm1UVuvZNCM25I6Pmx2XMfzd/J6+v9sfgEAAP//AwBQSwMEFAAGAAgAAAAhAEgK&#10;g23bAAAABAEAAA8AAABkcnMvZG93bnJldi54bWxMj8FOwzAQRO9I/IO1SNyoDaWhDXGqCqkRFw4E&#10;pFw38ZJExOsodtrw9xgucFlpNKOZt9l+sYM40eR7xxpuVwoEceNMz62G97fjzRaED8gGB8ek4Ys8&#10;7PPLiwxT4878SqcytCKWsE9RQxfCmErpm44s+pUbiaP34SaLIcqplWbCcyy3g7xTKpEWe44LHY70&#10;1FHzWc5WQ+F2cjurqtwc6+ckKYpwqKoXra+vlsMjiEBL+AvDD35Ehzwy1W5m48WgIT4Sfm/01g/r&#10;HYhaw0bdg8wz+R8+/wYAAP//AwBQSwECLQAUAAYACAAAACEAtoM4kv4AAADhAQAAEwAAAAAAAAAA&#10;AAAAAAAAAAAAW0NvbnRlbnRfVHlwZXNdLnhtbFBLAQItABQABgAIAAAAIQA4/SH/1gAAAJQBAAAL&#10;AAAAAAAAAAAAAAAAAC8BAABfcmVscy8ucmVsc1BLAQItABQABgAIAAAAIQD+zLXrQwIAAMcEAAAO&#10;AAAAAAAAAAAAAAAAAC4CAABkcnMvZTJvRG9jLnhtbFBLAQItABQABgAIAAAAIQBICoNt2wAAAAQB&#10;AAAPAAAAAAAAAAAAAAAAAJ0EAABkcnMvZG93bnJldi54bWxQSwUGAAAAAAQABADzAAAApQUAAAAA&#10;" fillcolor="#a7bfde [1620]" strokecolor="#4579b8 [3044]">
                <v:fill color2="#e4ecf5 [500]" rotate="t" angle="180" colors="0 #a3c4ff;22938f #bfd5ff;1 #e5eeff" focus="100%" type="gradient"/>
                <v:shadow on="t" color="black" opacity="24903f" origin=",.5" offset="0,.55556mm"/>
                <v:textbox>
                  <w:txbxContent>
                    <w:p w14:paraId="0594EEFF" w14:textId="6D24670F" w:rsidR="002464E7" w:rsidRPr="002464E7" w:rsidRDefault="002464E7" w:rsidP="002464E7">
                      <w:pPr>
                        <w:autoSpaceDE w:val="0"/>
                        <w:autoSpaceDN w:val="0"/>
                        <w:adjustRightInd w:val="0"/>
                        <w:spacing w:after="240"/>
                        <w:jc w:val="center"/>
                        <w:rPr>
                          <w:rFonts w:asciiTheme="minorHAnsi" w:hAnsiTheme="minorHAnsi"/>
                          <w:b/>
                          <w:sz w:val="28"/>
                        </w:rPr>
                      </w:pPr>
                      <w:r w:rsidRPr="002464E7">
                        <w:rPr>
                          <w:rFonts w:asciiTheme="minorHAnsi" w:hAnsiTheme="minorHAnsi"/>
                          <w:b/>
                          <w:sz w:val="28"/>
                        </w:rPr>
                        <w:t>Summary</w:t>
                      </w:r>
                    </w:p>
                    <w:p w14:paraId="24DCCA13" w14:textId="432B3F33" w:rsidR="002464E7" w:rsidRDefault="002464E7"/>
                  </w:txbxContent>
                </v:textbox>
              </v:shape>
            </w:pict>
          </mc:Fallback>
        </mc:AlternateContent>
      </w:r>
    </w:p>
    <w:p w14:paraId="3C33B1E5" w14:textId="77777777" w:rsidR="002464E7" w:rsidRPr="008D38C7" w:rsidRDefault="002464E7" w:rsidP="002464E7">
      <w:pPr>
        <w:autoSpaceDE w:val="0"/>
        <w:autoSpaceDN w:val="0"/>
        <w:adjustRightInd w:val="0"/>
        <w:jc w:val="both"/>
        <w:rPr>
          <w:rFonts w:ascii="Calibri" w:eastAsiaTheme="minorHAnsi" w:hAnsi="Calibri" w:cs="Calibri"/>
          <w:i/>
          <w:lang w:eastAsia="en-US"/>
        </w:rPr>
      </w:pPr>
    </w:p>
    <w:p w14:paraId="0AB4B52E" w14:textId="64097735" w:rsidR="00F42F29" w:rsidRPr="008D38C7" w:rsidRDefault="00746379" w:rsidP="00BF10B5">
      <w:pPr>
        <w:autoSpaceDE w:val="0"/>
        <w:autoSpaceDN w:val="0"/>
        <w:adjustRightInd w:val="0"/>
        <w:spacing w:after="240"/>
        <w:rPr>
          <w:rFonts w:ascii="Calibri" w:hAnsi="Calibri" w:cs="Calibri"/>
          <w:sz w:val="19"/>
          <w:szCs w:val="19"/>
        </w:rPr>
      </w:pPr>
      <w:r w:rsidRPr="008D38C7">
        <w:rPr>
          <w:rFonts w:ascii="Calibri" w:eastAsiaTheme="minorHAnsi" w:hAnsi="Calibri" w:cs="Calibri"/>
          <w:lang w:eastAsia="en-US"/>
        </w:rPr>
        <w:t>The</w:t>
      </w:r>
      <w:r w:rsidR="00D7276A" w:rsidRPr="008D38C7">
        <w:rPr>
          <w:rFonts w:asciiTheme="minorHAnsi" w:hAnsiTheme="minorHAnsi" w:cs="Calibri"/>
        </w:rPr>
        <w:t xml:space="preserve"> </w:t>
      </w:r>
      <w:r w:rsidRPr="008D38C7">
        <w:rPr>
          <w:rFonts w:asciiTheme="minorHAnsi" w:hAnsiTheme="minorHAnsi" w:cs="Calibri"/>
        </w:rPr>
        <w:t>adoption of the recommendations within this submission has the potential to reduce healthcare costs by providing the Australian population with greater options for evidence</w:t>
      </w:r>
      <w:r w:rsidR="002A0C81">
        <w:rPr>
          <w:rFonts w:asciiTheme="minorHAnsi" w:hAnsiTheme="minorHAnsi" w:cs="Calibri"/>
        </w:rPr>
        <w:t>-</w:t>
      </w:r>
      <w:r w:rsidRPr="008D38C7">
        <w:rPr>
          <w:rFonts w:asciiTheme="minorHAnsi" w:hAnsiTheme="minorHAnsi" w:cs="Calibri"/>
        </w:rPr>
        <w:t xml:space="preserve">based medicines and </w:t>
      </w:r>
      <w:r w:rsidRPr="000C7777">
        <w:rPr>
          <w:rFonts w:asciiTheme="minorHAnsi" w:hAnsiTheme="minorHAnsi" w:cs="Calibri"/>
          <w:spacing w:val="-4"/>
        </w:rPr>
        <w:t>to deliver a more efficient, effective and sustainable healthcare system at no cost to the Commonwealth</w:t>
      </w:r>
      <w:r w:rsidR="00FB7815" w:rsidRPr="008D38C7">
        <w:rPr>
          <w:rFonts w:asciiTheme="minorHAnsi" w:hAnsiTheme="minorHAnsi" w:cs="Calibri"/>
        </w:rPr>
        <w:t xml:space="preserve">. </w:t>
      </w:r>
    </w:p>
    <w:sectPr w:rsidR="00F42F29" w:rsidRPr="008D38C7" w:rsidSect="000C7777">
      <w:headerReference w:type="default" r:id="rId26"/>
      <w:footerReference w:type="default" r:id="rId27"/>
      <w:headerReference w:type="first" r:id="rId28"/>
      <w:footerReference w:type="first" r:id="rId29"/>
      <w:pgSz w:w="11906" w:h="16838" w:code="9"/>
      <w:pgMar w:top="632" w:right="1440" w:bottom="851" w:left="1440" w:header="426"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13B5F" w14:textId="77777777" w:rsidR="00A71116" w:rsidRPr="00F42F29" w:rsidRDefault="00A71116">
      <w:pPr>
        <w:rPr>
          <w:sz w:val="21"/>
          <w:szCs w:val="21"/>
        </w:rPr>
      </w:pPr>
      <w:r w:rsidRPr="00F42F29">
        <w:rPr>
          <w:sz w:val="21"/>
          <w:szCs w:val="21"/>
        </w:rPr>
        <w:separator/>
      </w:r>
    </w:p>
  </w:endnote>
  <w:endnote w:type="continuationSeparator" w:id="0">
    <w:p w14:paraId="727C4741" w14:textId="77777777" w:rsidR="00A71116" w:rsidRPr="00F42F29" w:rsidRDefault="00A71116">
      <w:pPr>
        <w:rPr>
          <w:sz w:val="21"/>
          <w:szCs w:val="21"/>
        </w:rPr>
      </w:pPr>
      <w:r w:rsidRPr="00F42F29">
        <w:rPr>
          <w:sz w:val="21"/>
          <w:szCs w:val="21"/>
        </w:rPr>
        <w:continuationSeparator/>
      </w:r>
    </w:p>
  </w:endnote>
  <w:endnote w:id="1">
    <w:p w14:paraId="04370427" w14:textId="77777777" w:rsidR="00A77521" w:rsidRDefault="00A77521" w:rsidP="008D38C7">
      <w:pPr>
        <w:jc w:val="center"/>
      </w:pPr>
    </w:p>
    <w:p w14:paraId="4DA6FAB3" w14:textId="77777777" w:rsidR="00A77521" w:rsidRDefault="00A77521" w:rsidP="008D38C7"/>
    <w:p w14:paraId="19EC7727" w14:textId="77777777" w:rsidR="00A77521" w:rsidRPr="008631DE" w:rsidRDefault="00A77521" w:rsidP="008D38C7">
      <w:pPr>
        <w:spacing w:after="120"/>
        <w:rPr>
          <w:rFonts w:asciiTheme="minorHAnsi" w:hAnsiTheme="minorHAnsi" w:cstheme="minorHAnsi"/>
          <w:b/>
          <w:u w:val="single"/>
        </w:rPr>
      </w:pPr>
      <w:r w:rsidRPr="008631DE">
        <w:rPr>
          <w:rFonts w:asciiTheme="minorHAnsi" w:hAnsiTheme="minorHAnsi" w:cstheme="minorHAnsi"/>
          <w:b/>
          <w:u w:val="single"/>
        </w:rPr>
        <w:t>References</w:t>
      </w:r>
    </w:p>
    <w:p w14:paraId="1FA3C9A5" w14:textId="77777777" w:rsidR="00A77521" w:rsidRPr="008631DE" w:rsidRDefault="00A77521" w:rsidP="008D38C7">
      <w:pPr>
        <w:spacing w:after="200" w:line="276" w:lineRule="auto"/>
        <w:rPr>
          <w:i/>
        </w:rPr>
      </w:pPr>
      <w:r>
        <w:rPr>
          <w:rStyle w:val="EndnoteReference"/>
        </w:rPr>
        <w:endnoteRef/>
      </w:r>
      <w:r>
        <w:t xml:space="preserve"> </w:t>
      </w:r>
      <w:r w:rsidRPr="0047184E">
        <w:rPr>
          <w:rFonts w:asciiTheme="minorHAnsi" w:hAnsiTheme="minorHAnsi" w:cstheme="minorHAnsi"/>
          <w:sz w:val="18"/>
          <w:szCs w:val="18"/>
        </w:rPr>
        <w:t xml:space="preserve">The World Health Organization defines </w:t>
      </w:r>
      <w:r w:rsidRPr="008631DE">
        <w:rPr>
          <w:rFonts w:asciiTheme="minorHAnsi" w:hAnsiTheme="minorHAnsi" w:cstheme="minorHAnsi"/>
          <w:b/>
          <w:sz w:val="18"/>
          <w:szCs w:val="18"/>
        </w:rPr>
        <w:t>self care</w:t>
      </w:r>
      <w:r w:rsidRPr="0047184E">
        <w:rPr>
          <w:rFonts w:asciiTheme="minorHAnsi" w:hAnsiTheme="minorHAnsi" w:cstheme="minorHAnsi"/>
          <w:sz w:val="18"/>
          <w:szCs w:val="18"/>
        </w:rPr>
        <w:t xml:space="preserve"> as:</w:t>
      </w:r>
      <w:r>
        <w:rPr>
          <w:rFonts w:asciiTheme="minorHAnsi" w:hAnsiTheme="minorHAnsi" w:cstheme="minorHAnsi"/>
          <w:sz w:val="18"/>
          <w:szCs w:val="18"/>
        </w:rPr>
        <w:t xml:space="preserve"> “</w:t>
      </w:r>
      <w:r w:rsidRPr="00904AC0">
        <w:rPr>
          <w:rFonts w:asciiTheme="minorHAnsi" w:hAnsiTheme="minorHAnsi" w:cstheme="minorHAnsi"/>
          <w:i/>
          <w:sz w:val="18"/>
          <w:szCs w:val="18"/>
        </w:rPr>
        <w:t>activities individuals, families, and communities undertake with the intention of enhancing health, preventing disease, limiting illness, and restoring health. These</w:t>
      </w:r>
      <w:r w:rsidRPr="0047184E">
        <w:rPr>
          <w:rFonts w:asciiTheme="minorHAnsi" w:hAnsiTheme="minorHAnsi" w:cstheme="minorHAnsi"/>
          <w:i/>
          <w:sz w:val="18"/>
          <w:szCs w:val="18"/>
        </w:rPr>
        <w:t xml:space="preserve"> </w:t>
      </w:r>
      <w:r w:rsidRPr="00904AC0">
        <w:rPr>
          <w:rFonts w:asciiTheme="minorHAnsi" w:hAnsiTheme="minorHAnsi" w:cstheme="minorHAnsi"/>
          <w:i/>
          <w:sz w:val="18"/>
          <w:szCs w:val="18"/>
        </w:rPr>
        <w:t>activities are derived from knowledge and skills from the pool of both professional and lay experience. They are undertaken by lay people on their own behalf, either separately or in participative collaboration with</w:t>
      </w:r>
      <w:r w:rsidRPr="0047184E">
        <w:rPr>
          <w:rFonts w:asciiTheme="minorHAnsi" w:hAnsiTheme="minorHAnsi" w:cstheme="minorHAnsi"/>
          <w:i/>
          <w:sz w:val="18"/>
          <w:szCs w:val="18"/>
        </w:rPr>
        <w:t xml:space="preserve"> </w:t>
      </w:r>
      <w:r w:rsidRPr="00904AC0">
        <w:rPr>
          <w:rFonts w:asciiTheme="minorHAnsi" w:hAnsiTheme="minorHAnsi" w:cstheme="minorHAnsi"/>
          <w:i/>
          <w:sz w:val="18"/>
          <w:szCs w:val="18"/>
        </w:rPr>
        <w:t>professionals.</w:t>
      </w:r>
      <w:r>
        <w:rPr>
          <w:rFonts w:asciiTheme="minorHAnsi" w:hAnsiTheme="minorHAnsi" w:cstheme="minorHAnsi"/>
          <w:i/>
          <w:sz w:val="18"/>
          <w:szCs w:val="18"/>
        </w:rPr>
        <w:t>”</w:t>
      </w:r>
    </w:p>
  </w:endnote>
  <w:endnote w:id="2">
    <w:p w14:paraId="0F26621B" w14:textId="5A6E2B36" w:rsidR="008461FF" w:rsidRPr="008631DE" w:rsidRDefault="008461FF" w:rsidP="008461FF">
      <w:pPr>
        <w:pStyle w:val="EndnoteText"/>
        <w:spacing w:after="200" w:line="276" w:lineRule="auto"/>
        <w:rPr>
          <w:rFonts w:asciiTheme="minorHAnsi" w:hAnsiTheme="minorHAnsi" w:cstheme="minorHAnsi"/>
          <w:szCs w:val="18"/>
        </w:rPr>
      </w:pPr>
      <w:r>
        <w:rPr>
          <w:rStyle w:val="EndnoteReference"/>
        </w:rPr>
        <w:endnoteRef/>
      </w:r>
      <w:r>
        <w:t xml:space="preserve"> </w:t>
      </w:r>
      <w:r w:rsidRPr="008631DE">
        <w:rPr>
          <w:rFonts w:asciiTheme="minorHAnsi" w:hAnsiTheme="minorHAnsi" w:cstheme="minorHAnsi"/>
          <w:sz w:val="18"/>
          <w:szCs w:val="18"/>
        </w:rPr>
        <w:t xml:space="preserve">Macquarie University Centre for the Health Economy: </w:t>
      </w:r>
      <w:hyperlink r:id="rId1" w:history="1">
        <w:r w:rsidRPr="003B731F">
          <w:rPr>
            <w:rStyle w:val="Hyperlink"/>
            <w:rFonts w:asciiTheme="minorHAnsi" w:hAnsiTheme="minorHAnsi" w:cstheme="minorHAnsi"/>
            <w:i/>
            <w:sz w:val="18"/>
            <w:szCs w:val="18"/>
          </w:rPr>
          <w:t>The Value of OTC Medicines in Australia</w:t>
        </w:r>
      </w:hyperlink>
      <w:r w:rsidRPr="008631DE">
        <w:rPr>
          <w:rFonts w:asciiTheme="minorHAnsi" w:hAnsiTheme="minorHAnsi" w:cstheme="minorHAnsi"/>
          <w:sz w:val="18"/>
          <w:szCs w:val="18"/>
        </w:rPr>
        <w:t>, March 2014.</w:t>
      </w:r>
    </w:p>
  </w:endnote>
  <w:endnote w:id="3">
    <w:p w14:paraId="2ECC0C86" w14:textId="77777777" w:rsidR="005172A2" w:rsidRDefault="005172A2" w:rsidP="005172A2">
      <w:pPr>
        <w:pStyle w:val="EndnoteText"/>
        <w:spacing w:after="200" w:line="276" w:lineRule="auto"/>
        <w:rPr>
          <w:rFonts w:asciiTheme="minorHAnsi" w:hAnsiTheme="minorHAnsi" w:cstheme="minorHAnsi"/>
          <w:sz w:val="18"/>
          <w:szCs w:val="18"/>
        </w:rPr>
      </w:pPr>
      <w:r>
        <w:rPr>
          <w:rStyle w:val="EndnoteReference"/>
        </w:rPr>
        <w:endnoteRef/>
      </w:r>
      <w:r>
        <w:t xml:space="preserve"> </w:t>
      </w:r>
      <w:r w:rsidRPr="00BC1238">
        <w:rPr>
          <w:rFonts w:asciiTheme="minorHAnsi" w:hAnsiTheme="minorHAnsi" w:cstheme="minorHAnsi"/>
          <w:sz w:val="18"/>
          <w:szCs w:val="18"/>
        </w:rPr>
        <w:t xml:space="preserve">Booz &amp; Co in conjunction with Consumer Healthcare Products Association: </w:t>
      </w:r>
      <w:hyperlink r:id="rId2" w:history="1">
        <w:r w:rsidRPr="00BC1238">
          <w:rPr>
            <w:rStyle w:val="Hyperlink"/>
            <w:rFonts w:asciiTheme="minorHAnsi" w:hAnsiTheme="minorHAnsi" w:cstheme="minorHAnsi"/>
            <w:i/>
            <w:sz w:val="18"/>
            <w:szCs w:val="18"/>
          </w:rPr>
          <w:t>The Value of OTC Medicine to the United States</w:t>
        </w:r>
      </w:hyperlink>
      <w:r w:rsidRPr="00BC1238">
        <w:rPr>
          <w:rFonts w:asciiTheme="minorHAnsi" w:hAnsiTheme="minorHAnsi" w:cstheme="minorHAnsi"/>
          <w:sz w:val="18"/>
          <w:szCs w:val="18"/>
        </w:rPr>
        <w:t>, January 2012</w:t>
      </w:r>
      <w:r w:rsidRPr="008631DE">
        <w:rPr>
          <w:rFonts w:asciiTheme="minorHAnsi" w:hAnsiTheme="minorHAnsi" w:cstheme="minorHAnsi"/>
          <w:sz w:val="18"/>
          <w:szCs w:val="18"/>
        </w:rPr>
        <w:t>.</w:t>
      </w:r>
    </w:p>
    <w:p w14:paraId="6E670C24" w14:textId="7CDFADE8" w:rsidR="003B731F" w:rsidRPr="000C7777" w:rsidRDefault="003B731F" w:rsidP="003B731F">
      <w:pPr>
        <w:pStyle w:val="EndnoteText"/>
        <w:spacing w:after="200" w:line="276" w:lineRule="auto"/>
        <w:rPr>
          <w:rFonts w:asciiTheme="minorHAnsi" w:hAnsiTheme="minorHAnsi" w:cstheme="minorHAnsi"/>
          <w:i/>
          <w:sz w:val="18"/>
          <w:szCs w:val="18"/>
        </w:rPr>
      </w:pPr>
      <w:r w:rsidRPr="000C7777">
        <w:rPr>
          <w:rFonts w:asciiTheme="minorHAnsi" w:hAnsiTheme="minorHAnsi" w:cstheme="minorHAnsi"/>
          <w:sz w:val="22"/>
          <w:szCs w:val="18"/>
          <w:vertAlign w:val="superscript"/>
        </w:rPr>
        <w:t>iv</w:t>
      </w:r>
      <w:r>
        <w:rPr>
          <w:rFonts w:asciiTheme="minorHAnsi" w:hAnsiTheme="minorHAnsi" w:cstheme="minorHAnsi"/>
          <w:sz w:val="18"/>
          <w:szCs w:val="18"/>
        </w:rPr>
        <w:t xml:space="preserve"> University of Technology Sydney Centre for Health Economics Research and Evaluation: </w:t>
      </w:r>
      <w:r>
        <w:rPr>
          <w:rFonts w:asciiTheme="minorHAnsi" w:hAnsiTheme="minorHAnsi" w:cstheme="minorHAnsi"/>
          <w:i/>
          <w:sz w:val="18"/>
          <w:szCs w:val="18"/>
        </w:rPr>
        <w:t xml:space="preserve">Estimating the impact of Schedule 3 consumer advertising, </w:t>
      </w:r>
      <w:r w:rsidRPr="000C7777">
        <w:rPr>
          <w:rFonts w:asciiTheme="minorHAnsi" w:hAnsiTheme="minorHAnsi" w:cstheme="minorHAnsi"/>
          <w:sz w:val="18"/>
          <w:szCs w:val="18"/>
        </w:rPr>
        <w:t>November 2016.</w:t>
      </w:r>
    </w:p>
    <w:p w14:paraId="75057BB0" w14:textId="77777777" w:rsidR="003B731F" w:rsidRPr="00BC1238" w:rsidRDefault="003B731F" w:rsidP="005172A2">
      <w:pPr>
        <w:pStyle w:val="EndnoteText"/>
        <w:spacing w:after="200" w:line="276" w:lineRule="auto"/>
        <w:rPr>
          <w:rFonts w:asciiTheme="minorHAnsi" w:hAnsiTheme="minorHAnsi" w:cstheme="minorHAns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752001"/>
      <w:docPartObj>
        <w:docPartGallery w:val="Page Numbers (Bottom of Page)"/>
        <w:docPartUnique/>
      </w:docPartObj>
    </w:sdtPr>
    <w:sdtEndPr>
      <w:rPr>
        <w:noProof/>
        <w:sz w:val="20"/>
        <w:szCs w:val="20"/>
      </w:rPr>
    </w:sdtEndPr>
    <w:sdtContent>
      <w:p w14:paraId="49DFB559" w14:textId="0B1F751C" w:rsidR="00A86C5E" w:rsidRPr="00A86C5E" w:rsidRDefault="00A86C5E">
        <w:pPr>
          <w:pStyle w:val="Footer"/>
          <w:jc w:val="center"/>
          <w:rPr>
            <w:sz w:val="20"/>
            <w:szCs w:val="20"/>
          </w:rPr>
        </w:pPr>
        <w:r w:rsidRPr="00A86C5E">
          <w:rPr>
            <w:sz w:val="20"/>
            <w:szCs w:val="20"/>
          </w:rPr>
          <w:fldChar w:fldCharType="begin"/>
        </w:r>
        <w:r w:rsidRPr="00A86C5E">
          <w:rPr>
            <w:sz w:val="20"/>
            <w:szCs w:val="20"/>
          </w:rPr>
          <w:instrText xml:space="preserve"> PAGE   \* MERGEFORMAT </w:instrText>
        </w:r>
        <w:r w:rsidRPr="00A86C5E">
          <w:rPr>
            <w:sz w:val="20"/>
            <w:szCs w:val="20"/>
          </w:rPr>
          <w:fldChar w:fldCharType="separate"/>
        </w:r>
        <w:r w:rsidR="00C14690">
          <w:rPr>
            <w:noProof/>
            <w:sz w:val="20"/>
            <w:szCs w:val="20"/>
          </w:rPr>
          <w:t>2</w:t>
        </w:r>
        <w:r w:rsidRPr="00A86C5E">
          <w:rPr>
            <w:noProof/>
            <w:sz w:val="20"/>
            <w:szCs w:val="20"/>
          </w:rPr>
          <w:fldChar w:fldCharType="end"/>
        </w:r>
      </w:p>
    </w:sdtContent>
  </w:sdt>
  <w:p w14:paraId="37F9E6B8" w14:textId="77777777" w:rsidR="00035FFD" w:rsidRDefault="00035F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A15C2" w14:textId="77777777" w:rsidR="00703604" w:rsidRPr="00703604" w:rsidRDefault="00703604" w:rsidP="00703604">
    <w:pPr>
      <w:jc w:val="center"/>
      <w:rPr>
        <w:b/>
        <w:color w:val="001CA8"/>
        <w:sz w:val="24"/>
        <w:szCs w:val="24"/>
      </w:rPr>
    </w:pPr>
  </w:p>
  <w:p w14:paraId="1B017498" w14:textId="77777777" w:rsidR="00703604" w:rsidRPr="00703604" w:rsidRDefault="00703604" w:rsidP="00703604">
    <w:pPr>
      <w:jc w:val="center"/>
      <w:rPr>
        <w:b/>
        <w:color w:val="001CA8"/>
        <w:sz w:val="24"/>
        <w:szCs w:val="24"/>
      </w:rPr>
    </w:pPr>
    <w:r w:rsidRPr="00703604">
      <w:rPr>
        <w:b/>
        <w:color w:val="001CA8"/>
        <w:sz w:val="24"/>
        <w:szCs w:val="24"/>
      </w:rPr>
      <w:t>Advancing consumer health through responsible self care</w:t>
    </w:r>
  </w:p>
  <w:p w14:paraId="21E298C7" w14:textId="77777777" w:rsidR="00D769B4" w:rsidRPr="00F42F29" w:rsidRDefault="00D769B4">
    <w:pPr>
      <w:pStyle w:val="Footer"/>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E8696" w14:textId="77777777" w:rsidR="00A71116" w:rsidRPr="00F42F29" w:rsidRDefault="00A71116">
      <w:pPr>
        <w:rPr>
          <w:sz w:val="21"/>
          <w:szCs w:val="21"/>
        </w:rPr>
      </w:pPr>
      <w:r w:rsidRPr="00F42F29">
        <w:rPr>
          <w:sz w:val="21"/>
          <w:szCs w:val="21"/>
        </w:rPr>
        <w:separator/>
      </w:r>
    </w:p>
  </w:footnote>
  <w:footnote w:type="continuationSeparator" w:id="0">
    <w:p w14:paraId="26DF7F71" w14:textId="77777777" w:rsidR="00A71116" w:rsidRPr="00F42F29" w:rsidRDefault="00A71116">
      <w:pPr>
        <w:rPr>
          <w:sz w:val="21"/>
          <w:szCs w:val="21"/>
        </w:rPr>
      </w:pPr>
      <w:r w:rsidRPr="00F42F29">
        <w:rPr>
          <w:sz w:val="21"/>
          <w:szCs w:val="21"/>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CDA53" w14:textId="77777777" w:rsidR="00A3669D" w:rsidRDefault="00A3669D" w:rsidP="00A3669D">
    <w:pPr>
      <w:spacing w:after="120"/>
      <w:rPr>
        <w:rFonts w:asciiTheme="minorHAnsi" w:hAnsiTheme="minorHAnsi" w:cstheme="minorHAnsi"/>
        <w:b/>
      </w:rPr>
    </w:pPr>
  </w:p>
  <w:p w14:paraId="0F9551C4" w14:textId="545196E5" w:rsidR="002B25D4" w:rsidRPr="00D925FF" w:rsidRDefault="002B25D4" w:rsidP="00A3669D">
    <w:pPr>
      <w:spacing w:after="120"/>
      <w:rPr>
        <w:rFonts w:asciiTheme="minorHAnsi" w:hAnsiTheme="minorHAnsi" w:cstheme="minorHAnsi"/>
        <w:color w:val="808080" w:themeColor="background1" w:themeShade="80"/>
        <w:sz w:val="20"/>
        <w:szCs w:val="20"/>
      </w:rPr>
    </w:pPr>
    <w:r w:rsidRPr="00D925FF">
      <w:rPr>
        <w:rFonts w:asciiTheme="minorHAnsi" w:hAnsiTheme="minorHAnsi" w:cstheme="minorHAnsi"/>
        <w:color w:val="808080" w:themeColor="background1" w:themeShade="80"/>
        <w:sz w:val="20"/>
        <w:szCs w:val="20"/>
      </w:rPr>
      <w:t>Australian</w:t>
    </w:r>
    <w:r w:rsidR="00A3669D" w:rsidRPr="00D925FF">
      <w:rPr>
        <w:rFonts w:asciiTheme="minorHAnsi" w:hAnsiTheme="minorHAnsi" w:cstheme="minorHAnsi"/>
        <w:noProof/>
        <w:color w:val="808080" w:themeColor="background1" w:themeShade="80"/>
        <w:sz w:val="20"/>
        <w:szCs w:val="20"/>
      </w:rPr>
      <w:t xml:space="preserve"> </w:t>
    </w:r>
    <w:r w:rsidRPr="00D925FF">
      <w:rPr>
        <w:rFonts w:asciiTheme="minorHAnsi" w:hAnsiTheme="minorHAnsi" w:cstheme="minorHAnsi"/>
        <w:color w:val="808080" w:themeColor="background1" w:themeShade="80"/>
        <w:sz w:val="20"/>
        <w:szCs w:val="20"/>
      </w:rPr>
      <w:t>Self Medication Industry (ASMI) 201</w:t>
    </w:r>
    <w:r w:rsidR="004A427B">
      <w:rPr>
        <w:rFonts w:asciiTheme="minorHAnsi" w:hAnsiTheme="minorHAnsi" w:cstheme="minorHAnsi"/>
        <w:color w:val="808080" w:themeColor="background1" w:themeShade="80"/>
        <w:sz w:val="20"/>
        <w:szCs w:val="20"/>
      </w:rPr>
      <w:t>7</w:t>
    </w:r>
    <w:r w:rsidRPr="00D925FF">
      <w:rPr>
        <w:rFonts w:asciiTheme="minorHAnsi" w:hAnsiTheme="minorHAnsi" w:cstheme="minorHAnsi"/>
        <w:color w:val="808080" w:themeColor="background1" w:themeShade="80"/>
        <w:sz w:val="20"/>
        <w:szCs w:val="20"/>
      </w:rPr>
      <w:t xml:space="preserve"> Pre-Budget Submission</w:t>
    </w:r>
  </w:p>
  <w:p w14:paraId="08B04EC9" w14:textId="357855B1" w:rsidR="002B25D4" w:rsidRDefault="00A3669D">
    <w:pPr>
      <w:pStyle w:val="Heade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0712C968" wp14:editId="42A7E12E">
              <wp:simplePos x="0" y="0"/>
              <wp:positionH relativeFrom="column">
                <wp:posOffset>0</wp:posOffset>
              </wp:positionH>
              <wp:positionV relativeFrom="paragraph">
                <wp:posOffset>10160</wp:posOffset>
              </wp:positionV>
              <wp:extent cx="5705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BE9E4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pt" to="44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164QEAABsEAAAOAAAAZHJzL2Uyb0RvYy54bWysU9uO2yAQfa/Uf0C8N3aipltZcfYhq+1L&#10;L1G3/QDCxUYFBgEbO3/fATtO1YtUVfXDmIGZM3MOw+5+tIacZYgaXEvXq5oS6TgI7bqWfv3y+Oot&#10;JTExJ5gBJ1t6kZHe71++2A2+kRvowQgZCIK42Ay+pX1KvqmqyHtpWVyBlw4PFQTLErqhq0RgA6Jb&#10;U23q+k01QBA+AJcx4u7DdEj3BV8pydMnpaJMxLQUe0vFhmJP2Vb7HWu6wHyv+dwG+4cuLNMOiy5Q&#10;Dywx8hz0L1BW8wARVFpxsBUopbksHJDNuv6JzVPPvCxcUJzoF5ni/4PlH8/HQLRo6YYSxyxe0VMK&#10;THd9IgdwDgWEQDZZp8HHBsMP7hhmL/pjyKRHFWz+Ix0yFm0vi7ZyTITj5vau3r6+21LCr2fVLdGH&#10;mN5JsCQvWmq0y7RZw87vY8JiGHoNydvGZRvBaPGojSlOHhh5MIGcGV71qVsXAPNsP4CY9rY1fpkI&#10;opX5yuGTd0PCs4xeZbITvbJKFyOnyp+lQrmQ0FRgAZpqiG/ruYJxGJlTFHa4JNWlqz8mzbE5TZbh&#10;/dvEJbpUBJeWRKsdhN9VTeO1VTXFX1lPXDPtE4hLuewiB05gUWt+LXnEf/RL+u1N778DAAD//wMA&#10;UEsDBBQABgAIAAAAIQAu70kZ2QAAAAQBAAAPAAAAZHJzL2Rvd25yZXYueG1sTI/BTsMwEETvSPyD&#10;tUhcUOuA1MoNcSoUgThwoiAkbm68JFHtdRS7rfP3LFzgODurmTfVNnsnTjjFIZCG22UBAqkNdqBO&#10;w/vb00KBiMmQNS4Qapgxwra+vKhMacOZXvG0S53gEIql0dCnNJZSxrZHb+IyjEjsfYXJm8Ry6qSd&#10;zJnDvZN3RbGW3gzEDb0ZsemxPeyOXsOQcXz8cM/Nar75VHhQTZYvs9bXV/nhHkTCnP6e4Qef0aFm&#10;pn04ko3CaeAhia9rEGyqjVqB2P9qWVfyP3z9DQAA//8DAFBLAQItABQABgAIAAAAIQC2gziS/gAA&#10;AOEBAAATAAAAAAAAAAAAAAAAAAAAAABbQ29udGVudF9UeXBlc10ueG1sUEsBAi0AFAAGAAgAAAAh&#10;ADj9If/WAAAAlAEAAAsAAAAAAAAAAAAAAAAALwEAAF9yZWxzLy5yZWxzUEsBAi0AFAAGAAgAAAAh&#10;AOVevXrhAQAAGwQAAA4AAAAAAAAAAAAAAAAALgIAAGRycy9lMm9Eb2MueG1sUEsBAi0AFAAGAAgA&#10;AAAhAC7vSRnZAAAABAEAAA8AAAAAAAAAAAAAAAAAOwQAAGRycy9kb3ducmV2LnhtbFBLBQYAAAAA&#10;BAAEAPMAAABBBQAAAAA=&#10;" strokecolor="#7f7f7f [1612]"/>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376EA" w14:textId="2E4E57C3" w:rsidR="00FC7A75" w:rsidRPr="00F42F29" w:rsidRDefault="00FC7A75" w:rsidP="00FC7A75">
    <w:pPr>
      <w:pStyle w:val="Header"/>
      <w:rPr>
        <w:sz w:val="21"/>
        <w:szCs w:val="21"/>
      </w:rPr>
    </w:pPr>
    <w:r>
      <w:rPr>
        <w:noProof/>
        <w:sz w:val="21"/>
        <w:szCs w:val="21"/>
      </w:rPr>
      <mc:AlternateContent>
        <mc:Choice Requires="wps">
          <w:drawing>
            <wp:anchor distT="45720" distB="45720" distL="114300" distR="114300" simplePos="0" relativeHeight="251661312" behindDoc="0" locked="0" layoutInCell="1" allowOverlap="1" wp14:anchorId="3254257C" wp14:editId="29B9C954">
              <wp:simplePos x="0" y="0"/>
              <wp:positionH relativeFrom="column">
                <wp:posOffset>2672715</wp:posOffset>
              </wp:positionH>
              <wp:positionV relativeFrom="paragraph">
                <wp:posOffset>-84455</wp:posOffset>
              </wp:positionV>
              <wp:extent cx="3272790" cy="1158875"/>
              <wp:effectExtent l="0" t="0" r="3810" b="31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1158875"/>
                      </a:xfrm>
                      <a:prstGeom prst="rect">
                        <a:avLst/>
                      </a:prstGeom>
                      <a:solidFill>
                        <a:srgbClr val="FFFFFF"/>
                      </a:solidFill>
                      <a:ln w="9525">
                        <a:noFill/>
                        <a:miter lim="800000"/>
                        <a:headEnd/>
                        <a:tailEnd/>
                      </a:ln>
                    </wps:spPr>
                    <wps:txbx>
                      <w:txbxContent>
                        <w:p w14:paraId="5C19929D" w14:textId="77777777" w:rsidR="00FC7A75" w:rsidRPr="00AF397A" w:rsidRDefault="00FC7A75" w:rsidP="00FC7A75">
                          <w:pPr>
                            <w:jc w:val="right"/>
                            <w:rPr>
                              <w:rFonts w:ascii="Calibri" w:hAnsi="Calibri"/>
                              <w:color w:val="001CA8"/>
                              <w:sz w:val="19"/>
                              <w:szCs w:val="19"/>
                            </w:rPr>
                          </w:pPr>
                          <w:r w:rsidRPr="00AF397A">
                            <w:rPr>
                              <w:rFonts w:ascii="Calibri" w:hAnsi="Calibri"/>
                              <w:color w:val="001CA8"/>
                              <w:sz w:val="19"/>
                              <w:szCs w:val="19"/>
                            </w:rPr>
                            <w:t>Australian Self-Medication Industry Ltd.</w:t>
                          </w:r>
                        </w:p>
                        <w:p w14:paraId="7D603B16" w14:textId="6E9660C3" w:rsidR="00FC7A75" w:rsidRPr="00AF397A" w:rsidRDefault="00FC7A75" w:rsidP="00AF397A">
                          <w:pPr>
                            <w:ind w:left="720" w:firstLine="720"/>
                            <w:rPr>
                              <w:rFonts w:ascii="Calibri" w:hAnsi="Calibri" w:cs="Times New Roman"/>
                              <w:color w:val="001CA8"/>
                              <w:sz w:val="19"/>
                              <w:szCs w:val="19"/>
                            </w:rPr>
                          </w:pPr>
                          <w:r w:rsidRPr="00AF397A">
                            <w:rPr>
                              <w:rFonts w:ascii="Calibri" w:hAnsi="Calibri"/>
                              <w:color w:val="001CA8"/>
                              <w:sz w:val="19"/>
                              <w:szCs w:val="19"/>
                            </w:rPr>
                            <w:t>ACN 607 233 116</w:t>
                          </w:r>
                          <w:r w:rsidR="00AF397A" w:rsidRPr="00AF397A">
                            <w:rPr>
                              <w:rFonts w:ascii="Calibri" w:hAnsi="Calibri"/>
                              <w:color w:val="001CA8"/>
                              <w:sz w:val="19"/>
                              <w:szCs w:val="19"/>
                            </w:rPr>
                            <w:t xml:space="preserve">       </w:t>
                          </w:r>
                          <w:r w:rsidR="00AF397A">
                            <w:rPr>
                              <w:rFonts w:ascii="Calibri" w:hAnsi="Calibri"/>
                              <w:color w:val="001CA8"/>
                              <w:sz w:val="19"/>
                              <w:szCs w:val="19"/>
                            </w:rPr>
                            <w:t xml:space="preserve">    </w:t>
                          </w:r>
                          <w:r w:rsidRPr="00AF397A">
                            <w:rPr>
                              <w:rFonts w:ascii="Calibri" w:hAnsi="Calibri"/>
                              <w:color w:val="001CA8"/>
                              <w:sz w:val="19"/>
                              <w:szCs w:val="19"/>
                            </w:rPr>
                            <w:t>ABN 55 082 798 952</w:t>
                          </w:r>
                        </w:p>
                        <w:p w14:paraId="6FC7B054" w14:textId="77777777" w:rsidR="00FC7A75" w:rsidRPr="00AF397A" w:rsidRDefault="00FC7A75" w:rsidP="00FC7A75">
                          <w:pPr>
                            <w:jc w:val="right"/>
                            <w:rPr>
                              <w:rFonts w:ascii="Calibri" w:hAnsi="Calibri"/>
                              <w:color w:val="001CA8"/>
                              <w:sz w:val="19"/>
                              <w:szCs w:val="19"/>
                            </w:rPr>
                          </w:pPr>
                          <w:r w:rsidRPr="00AF397A">
                            <w:rPr>
                              <w:rFonts w:ascii="Calibri" w:hAnsi="Calibri"/>
                              <w:color w:val="001CA8"/>
                              <w:sz w:val="19"/>
                              <w:szCs w:val="19"/>
                            </w:rPr>
                            <w:t>Suite 2202, Level 22, 141 Walker Street,</w:t>
                          </w:r>
                        </w:p>
                        <w:p w14:paraId="5AC471BD" w14:textId="77777777" w:rsidR="00FC7A75" w:rsidRPr="00AF397A" w:rsidRDefault="00FC7A75" w:rsidP="00FC7A75">
                          <w:pPr>
                            <w:jc w:val="right"/>
                            <w:rPr>
                              <w:rFonts w:ascii="Calibri" w:hAnsi="Calibri"/>
                              <w:color w:val="001CA8"/>
                              <w:sz w:val="19"/>
                              <w:szCs w:val="19"/>
                            </w:rPr>
                          </w:pPr>
                          <w:r w:rsidRPr="00AF397A">
                            <w:rPr>
                              <w:rFonts w:ascii="Calibri" w:hAnsi="Calibri"/>
                              <w:color w:val="001CA8"/>
                              <w:sz w:val="19"/>
                              <w:szCs w:val="19"/>
                            </w:rPr>
                            <w:t>North Sydney, NSW 2060</w:t>
                          </w:r>
                        </w:p>
                        <w:p w14:paraId="3D4C36CD" w14:textId="77777777" w:rsidR="00FC7A75" w:rsidRPr="00AF397A" w:rsidRDefault="00FC7A75" w:rsidP="00FC7A75">
                          <w:pPr>
                            <w:jc w:val="right"/>
                            <w:rPr>
                              <w:rFonts w:ascii="Calibri" w:hAnsi="Calibri" w:cs="Times New Roman"/>
                              <w:noProof/>
                              <w:color w:val="001CA8"/>
                              <w:sz w:val="19"/>
                              <w:szCs w:val="19"/>
                            </w:rPr>
                          </w:pPr>
                          <w:r w:rsidRPr="00AF397A">
                            <w:rPr>
                              <w:rFonts w:ascii="Calibri" w:hAnsi="Calibri"/>
                              <w:noProof/>
                              <w:color w:val="001CA8"/>
                              <w:sz w:val="19"/>
                              <w:szCs w:val="19"/>
                            </w:rPr>
                            <w:t>PO Box 764 North Sydney NSW 2059</w:t>
                          </w:r>
                        </w:p>
                        <w:p w14:paraId="2FDF39D4" w14:textId="274B54FF" w:rsidR="00FC7A75" w:rsidRPr="00AF397A" w:rsidRDefault="00AF397A" w:rsidP="00FC7A75">
                          <w:pPr>
                            <w:jc w:val="right"/>
                            <w:rPr>
                              <w:rFonts w:ascii="Calibri" w:hAnsi="Calibri"/>
                              <w:noProof/>
                              <w:color w:val="001CA8"/>
                              <w:sz w:val="19"/>
                              <w:szCs w:val="19"/>
                            </w:rPr>
                          </w:pPr>
                          <w:r>
                            <w:rPr>
                              <w:rFonts w:ascii="Calibri" w:hAnsi="Calibri"/>
                              <w:noProof/>
                              <w:color w:val="001CA8"/>
                              <w:sz w:val="19"/>
                              <w:szCs w:val="19"/>
                            </w:rPr>
                            <w:t>Ph: +61 2 9922 5111 </w:t>
                          </w:r>
                          <w:r w:rsidR="00FC7A75" w:rsidRPr="00AF397A">
                            <w:rPr>
                              <w:rFonts w:ascii="Calibri" w:hAnsi="Calibri"/>
                              <w:noProof/>
                              <w:color w:val="001CA8"/>
                              <w:sz w:val="19"/>
                              <w:szCs w:val="19"/>
                            </w:rPr>
                            <w:t xml:space="preserve">| </w:t>
                          </w:r>
                          <w:r>
                            <w:rPr>
                              <w:rFonts w:ascii="Calibri" w:hAnsi="Calibri"/>
                              <w:noProof/>
                              <w:color w:val="001CA8"/>
                              <w:sz w:val="19"/>
                              <w:szCs w:val="19"/>
                            </w:rPr>
                            <w:t xml:space="preserve"> </w:t>
                          </w:r>
                          <w:r w:rsidR="00FC7A75" w:rsidRPr="00AF397A">
                            <w:rPr>
                              <w:rFonts w:ascii="Calibri" w:hAnsi="Calibri"/>
                              <w:noProof/>
                              <w:color w:val="001CA8"/>
                              <w:sz w:val="19"/>
                              <w:szCs w:val="19"/>
                            </w:rPr>
                            <w:t>Fax: 61 2 9959 3693</w:t>
                          </w:r>
                        </w:p>
                        <w:p w14:paraId="21BA4E50" w14:textId="6C76DEB9" w:rsidR="00FC7A75" w:rsidRPr="00AF397A" w:rsidRDefault="00FC7A75" w:rsidP="00FC7A75">
                          <w:pPr>
                            <w:jc w:val="right"/>
                            <w:rPr>
                              <w:rFonts w:ascii="Calibri" w:hAnsi="Calibri"/>
                              <w:noProof/>
                              <w:color w:val="001CA8"/>
                              <w:sz w:val="19"/>
                              <w:szCs w:val="19"/>
                            </w:rPr>
                          </w:pPr>
                          <w:r w:rsidRPr="00AF397A">
                            <w:rPr>
                              <w:rFonts w:ascii="Calibri" w:hAnsi="Calibri"/>
                              <w:noProof/>
                              <w:color w:val="001CA8"/>
                              <w:sz w:val="19"/>
                              <w:szCs w:val="19"/>
                            </w:rPr>
                            <w:t xml:space="preserve">Email: </w:t>
                          </w:r>
                          <w:hyperlink r:id="rId1" w:history="1">
                            <w:r w:rsidRPr="00AF397A">
                              <w:rPr>
                                <w:rStyle w:val="Hyperlink"/>
                                <w:rFonts w:ascii="Calibri" w:hAnsi="Calibri"/>
                                <w:noProof/>
                                <w:color w:val="001CA8"/>
                                <w:sz w:val="19"/>
                                <w:szCs w:val="19"/>
                              </w:rPr>
                              <w:t>info@asmi.com.au</w:t>
                            </w:r>
                          </w:hyperlink>
                          <w:r w:rsidRPr="00AF397A">
                            <w:rPr>
                              <w:rFonts w:ascii="Calibri" w:hAnsi="Calibri"/>
                              <w:noProof/>
                              <w:color w:val="001CA8"/>
                              <w:sz w:val="19"/>
                              <w:szCs w:val="19"/>
                            </w:rPr>
                            <w:t xml:space="preserve">  | </w:t>
                          </w:r>
                          <w:r w:rsidR="00AF397A">
                            <w:rPr>
                              <w:rFonts w:ascii="Calibri" w:hAnsi="Calibri"/>
                              <w:noProof/>
                              <w:color w:val="001CA8"/>
                              <w:sz w:val="19"/>
                              <w:szCs w:val="19"/>
                            </w:rPr>
                            <w:t xml:space="preserve">   </w:t>
                          </w:r>
                          <w:hyperlink r:id="rId2" w:history="1">
                            <w:r w:rsidRPr="00AF397A">
                              <w:rPr>
                                <w:rStyle w:val="Hyperlink"/>
                                <w:rFonts w:ascii="Calibri" w:hAnsi="Calibri"/>
                                <w:noProof/>
                                <w:color w:val="001CA8"/>
                                <w:sz w:val="19"/>
                                <w:szCs w:val="19"/>
                              </w:rPr>
                              <w:t>www.asmi.com.au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31" type="#_x0000_t202" style="position:absolute;margin-left:210.45pt;margin-top:-6.65pt;width:257.7pt;height:9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S2IwIAACAEAAAOAAAAZHJzL2Uyb0RvYy54bWysU9uO2yAQfa/Uf0C8N47dpEmsOKtttqkq&#10;bS/Sbj8AYxyjAkOBxE6/fgeczabtW1UeEMPMHM6cGdY3g1bkKJyXYCqaT6aUCMOhkWZf0e+PuzdL&#10;SnxgpmEKjKjoSXh6s3n9at3bUhTQgWqEIwhifNnbinYh2DLLPO+EZn4CVhh0tuA0C2i6fdY41iO6&#10;Vlkxnb7LenCNdcCF93h7NzrpJuG3reDha9t6EYiqKHILaXdpr+Oebdas3DtmO8nPNNg/sNBMGnz0&#10;AnXHAiMHJ/+C0pI78NCGCQedQdtKLlINWE0+/aOah45ZkWpBcby9yOT/Hyz/cvzmiGwqWuQLSgzT&#10;2KRHMQTyHgYS71Ch3voSAx8shoYBHdjpVK2398B/eGJg2zGzF7fOQd8J1iDDPGZmV6kjjo8gdf8Z&#10;GnyIHQIkoKF1OsqHghBEx06dLt2JZDhevi0WxWKFLo6+PJ8vl4t5eoOVz+nW+fBRgCbxUFGH7U/w&#10;7HjvQ6TDyueQ+JoHJZudVCoZbl9vlSNHhqOyS+uM/luYMqSv6GpezBOygZifpkjLgKOspK7ochpX&#10;TGdllOODadI5MKnGMzJR5qxPlGQUJwz1gIFRtBqaEyrlYBxZ/GJ46MD9oqTHca2o/3lgTlCiPhlU&#10;e5XPZnG+kzGbLwo03LWnvvYwwxGqooGS8bgN6U9EvgZusSutTHq9MDlzxTFMMp6/TJzzaztFvXzs&#10;zRMAAAD//wMAUEsDBBQABgAIAAAAIQBab2CO3wAAAAsBAAAPAAAAZHJzL2Rvd25yZXYueG1sTI/B&#10;ToNAEIbvJr7DZky8mHYpVCqUpVETjdfWPsDCToGUnSXsttC3dzzpbSbz5Z/vL3az7cUVR985UrBa&#10;RiCQamc6ahQcvz8WLyB80GR07wgV3NDDrry/K3Ru3ER7vB5CIziEfK4VtCEMuZS+btFqv3QDEt9O&#10;brQ68Do20ox64nDbyziKUml1R/yh1QO+t1ifDxer4PQ1PT1nU/UZjpv9On3T3aZyN6UeH+bXLYiA&#10;c/iD4Vef1aFkp8pdyHjRK1jHUcaogsUqSUAwkSUpDxWjaRaDLAv5v0P5AwAA//8DAFBLAQItABQA&#10;BgAIAAAAIQC2gziS/gAAAOEBAAATAAAAAAAAAAAAAAAAAAAAAABbQ29udGVudF9UeXBlc10ueG1s&#10;UEsBAi0AFAAGAAgAAAAhADj9If/WAAAAlAEAAAsAAAAAAAAAAAAAAAAALwEAAF9yZWxzLy5yZWxz&#10;UEsBAi0AFAAGAAgAAAAhAJOo5LYjAgAAIAQAAA4AAAAAAAAAAAAAAAAALgIAAGRycy9lMm9Eb2Mu&#10;eG1sUEsBAi0AFAAGAAgAAAAhAFpvYI7fAAAACwEAAA8AAAAAAAAAAAAAAAAAfQQAAGRycy9kb3du&#10;cmV2LnhtbFBLBQYAAAAABAAEAPMAAACJBQAAAAA=&#10;" stroked="f">
              <v:textbox>
                <w:txbxContent>
                  <w:p w14:paraId="5C19929D" w14:textId="77777777" w:rsidR="00FC7A75" w:rsidRPr="00AF397A" w:rsidRDefault="00FC7A75" w:rsidP="00FC7A75">
                    <w:pPr>
                      <w:jc w:val="right"/>
                      <w:rPr>
                        <w:rFonts w:ascii="Calibri" w:hAnsi="Calibri"/>
                        <w:color w:val="001CA8"/>
                        <w:sz w:val="19"/>
                        <w:szCs w:val="19"/>
                      </w:rPr>
                    </w:pPr>
                    <w:r w:rsidRPr="00AF397A">
                      <w:rPr>
                        <w:rFonts w:ascii="Calibri" w:hAnsi="Calibri"/>
                        <w:color w:val="001CA8"/>
                        <w:sz w:val="19"/>
                        <w:szCs w:val="19"/>
                      </w:rPr>
                      <w:t>Australian Self-Medication Industry Ltd.</w:t>
                    </w:r>
                  </w:p>
                  <w:p w14:paraId="7D603B16" w14:textId="6E9660C3" w:rsidR="00FC7A75" w:rsidRPr="00AF397A" w:rsidRDefault="00FC7A75" w:rsidP="00AF397A">
                    <w:pPr>
                      <w:ind w:left="720" w:firstLine="720"/>
                      <w:rPr>
                        <w:rFonts w:ascii="Calibri" w:hAnsi="Calibri" w:cs="Times New Roman"/>
                        <w:color w:val="001CA8"/>
                        <w:sz w:val="19"/>
                        <w:szCs w:val="19"/>
                      </w:rPr>
                    </w:pPr>
                    <w:r w:rsidRPr="00AF397A">
                      <w:rPr>
                        <w:rFonts w:ascii="Calibri" w:hAnsi="Calibri"/>
                        <w:color w:val="001CA8"/>
                        <w:sz w:val="19"/>
                        <w:szCs w:val="19"/>
                      </w:rPr>
                      <w:t>ACN 607 233 116</w:t>
                    </w:r>
                    <w:r w:rsidR="00AF397A" w:rsidRPr="00AF397A">
                      <w:rPr>
                        <w:rFonts w:ascii="Calibri" w:hAnsi="Calibri"/>
                        <w:color w:val="001CA8"/>
                        <w:sz w:val="19"/>
                        <w:szCs w:val="19"/>
                      </w:rPr>
                      <w:t xml:space="preserve">       </w:t>
                    </w:r>
                    <w:r w:rsidR="00AF397A">
                      <w:rPr>
                        <w:rFonts w:ascii="Calibri" w:hAnsi="Calibri"/>
                        <w:color w:val="001CA8"/>
                        <w:sz w:val="19"/>
                        <w:szCs w:val="19"/>
                      </w:rPr>
                      <w:t xml:space="preserve">    </w:t>
                    </w:r>
                    <w:r w:rsidRPr="00AF397A">
                      <w:rPr>
                        <w:rFonts w:ascii="Calibri" w:hAnsi="Calibri"/>
                        <w:color w:val="001CA8"/>
                        <w:sz w:val="19"/>
                        <w:szCs w:val="19"/>
                      </w:rPr>
                      <w:t>ABN 55 082 798 952</w:t>
                    </w:r>
                  </w:p>
                  <w:p w14:paraId="6FC7B054" w14:textId="77777777" w:rsidR="00FC7A75" w:rsidRPr="00AF397A" w:rsidRDefault="00FC7A75" w:rsidP="00FC7A75">
                    <w:pPr>
                      <w:jc w:val="right"/>
                      <w:rPr>
                        <w:rFonts w:ascii="Calibri" w:hAnsi="Calibri"/>
                        <w:color w:val="001CA8"/>
                        <w:sz w:val="19"/>
                        <w:szCs w:val="19"/>
                      </w:rPr>
                    </w:pPr>
                    <w:r w:rsidRPr="00AF397A">
                      <w:rPr>
                        <w:rFonts w:ascii="Calibri" w:hAnsi="Calibri"/>
                        <w:color w:val="001CA8"/>
                        <w:sz w:val="19"/>
                        <w:szCs w:val="19"/>
                      </w:rPr>
                      <w:t>Suite 2202, Level 22, 141 Walker Street,</w:t>
                    </w:r>
                  </w:p>
                  <w:p w14:paraId="5AC471BD" w14:textId="77777777" w:rsidR="00FC7A75" w:rsidRPr="00AF397A" w:rsidRDefault="00FC7A75" w:rsidP="00FC7A75">
                    <w:pPr>
                      <w:jc w:val="right"/>
                      <w:rPr>
                        <w:rFonts w:ascii="Calibri" w:hAnsi="Calibri"/>
                        <w:color w:val="001CA8"/>
                        <w:sz w:val="19"/>
                        <w:szCs w:val="19"/>
                      </w:rPr>
                    </w:pPr>
                    <w:r w:rsidRPr="00AF397A">
                      <w:rPr>
                        <w:rFonts w:ascii="Calibri" w:hAnsi="Calibri"/>
                        <w:color w:val="001CA8"/>
                        <w:sz w:val="19"/>
                        <w:szCs w:val="19"/>
                      </w:rPr>
                      <w:t>North Sydney, NSW 2060</w:t>
                    </w:r>
                  </w:p>
                  <w:p w14:paraId="3D4C36CD" w14:textId="77777777" w:rsidR="00FC7A75" w:rsidRPr="00AF397A" w:rsidRDefault="00FC7A75" w:rsidP="00FC7A75">
                    <w:pPr>
                      <w:jc w:val="right"/>
                      <w:rPr>
                        <w:rFonts w:ascii="Calibri" w:hAnsi="Calibri" w:cs="Times New Roman"/>
                        <w:noProof/>
                        <w:color w:val="001CA8"/>
                        <w:sz w:val="19"/>
                        <w:szCs w:val="19"/>
                      </w:rPr>
                    </w:pPr>
                    <w:r w:rsidRPr="00AF397A">
                      <w:rPr>
                        <w:rFonts w:ascii="Calibri" w:hAnsi="Calibri"/>
                        <w:noProof/>
                        <w:color w:val="001CA8"/>
                        <w:sz w:val="19"/>
                        <w:szCs w:val="19"/>
                      </w:rPr>
                      <w:t>PO Box 764 North Sydney NSW 2059</w:t>
                    </w:r>
                  </w:p>
                  <w:p w14:paraId="2FDF39D4" w14:textId="274B54FF" w:rsidR="00FC7A75" w:rsidRPr="00AF397A" w:rsidRDefault="00AF397A" w:rsidP="00FC7A75">
                    <w:pPr>
                      <w:jc w:val="right"/>
                      <w:rPr>
                        <w:rFonts w:ascii="Calibri" w:hAnsi="Calibri"/>
                        <w:noProof/>
                        <w:color w:val="001CA8"/>
                        <w:sz w:val="19"/>
                        <w:szCs w:val="19"/>
                      </w:rPr>
                    </w:pPr>
                    <w:r>
                      <w:rPr>
                        <w:rFonts w:ascii="Calibri" w:hAnsi="Calibri"/>
                        <w:noProof/>
                        <w:color w:val="001CA8"/>
                        <w:sz w:val="19"/>
                        <w:szCs w:val="19"/>
                      </w:rPr>
                      <w:t>Ph: +61 2 9922 5111 </w:t>
                    </w:r>
                    <w:r w:rsidR="00FC7A75" w:rsidRPr="00AF397A">
                      <w:rPr>
                        <w:rFonts w:ascii="Calibri" w:hAnsi="Calibri"/>
                        <w:noProof/>
                        <w:color w:val="001CA8"/>
                        <w:sz w:val="19"/>
                        <w:szCs w:val="19"/>
                      </w:rPr>
                      <w:t xml:space="preserve">| </w:t>
                    </w:r>
                    <w:r>
                      <w:rPr>
                        <w:rFonts w:ascii="Calibri" w:hAnsi="Calibri"/>
                        <w:noProof/>
                        <w:color w:val="001CA8"/>
                        <w:sz w:val="19"/>
                        <w:szCs w:val="19"/>
                      </w:rPr>
                      <w:t xml:space="preserve"> </w:t>
                    </w:r>
                    <w:r w:rsidR="00FC7A75" w:rsidRPr="00AF397A">
                      <w:rPr>
                        <w:rFonts w:ascii="Calibri" w:hAnsi="Calibri"/>
                        <w:noProof/>
                        <w:color w:val="001CA8"/>
                        <w:sz w:val="19"/>
                        <w:szCs w:val="19"/>
                      </w:rPr>
                      <w:t>Fax: 61 2 9959 3693</w:t>
                    </w:r>
                  </w:p>
                  <w:p w14:paraId="21BA4E50" w14:textId="6C76DEB9" w:rsidR="00FC7A75" w:rsidRPr="00AF397A" w:rsidRDefault="00FC7A75" w:rsidP="00FC7A75">
                    <w:pPr>
                      <w:jc w:val="right"/>
                      <w:rPr>
                        <w:rFonts w:ascii="Calibri" w:hAnsi="Calibri"/>
                        <w:noProof/>
                        <w:color w:val="001CA8"/>
                        <w:sz w:val="19"/>
                        <w:szCs w:val="19"/>
                      </w:rPr>
                    </w:pPr>
                    <w:r w:rsidRPr="00AF397A">
                      <w:rPr>
                        <w:rFonts w:ascii="Calibri" w:hAnsi="Calibri"/>
                        <w:noProof/>
                        <w:color w:val="001CA8"/>
                        <w:sz w:val="19"/>
                        <w:szCs w:val="19"/>
                      </w:rPr>
                      <w:t xml:space="preserve">Email: </w:t>
                    </w:r>
                    <w:hyperlink r:id="rId3" w:history="1">
                      <w:r w:rsidRPr="00AF397A">
                        <w:rPr>
                          <w:rStyle w:val="Hyperlink"/>
                          <w:rFonts w:ascii="Calibri" w:hAnsi="Calibri"/>
                          <w:noProof/>
                          <w:color w:val="001CA8"/>
                          <w:sz w:val="19"/>
                          <w:szCs w:val="19"/>
                        </w:rPr>
                        <w:t>info@asmi.com.au</w:t>
                      </w:r>
                    </w:hyperlink>
                    <w:r w:rsidRPr="00AF397A">
                      <w:rPr>
                        <w:rFonts w:ascii="Calibri" w:hAnsi="Calibri"/>
                        <w:noProof/>
                        <w:color w:val="001CA8"/>
                        <w:sz w:val="19"/>
                        <w:szCs w:val="19"/>
                      </w:rPr>
                      <w:t xml:space="preserve">  | </w:t>
                    </w:r>
                    <w:r w:rsidR="00AF397A">
                      <w:rPr>
                        <w:rFonts w:ascii="Calibri" w:hAnsi="Calibri"/>
                        <w:noProof/>
                        <w:color w:val="001CA8"/>
                        <w:sz w:val="19"/>
                        <w:szCs w:val="19"/>
                      </w:rPr>
                      <w:t xml:space="preserve">   </w:t>
                    </w:r>
                    <w:hyperlink r:id="rId4" w:history="1">
                      <w:r w:rsidRPr="00AF397A">
                        <w:rPr>
                          <w:rStyle w:val="Hyperlink"/>
                          <w:rFonts w:ascii="Calibri" w:hAnsi="Calibri"/>
                          <w:noProof/>
                          <w:color w:val="001CA8"/>
                          <w:sz w:val="19"/>
                          <w:szCs w:val="19"/>
                        </w:rPr>
                        <w:t>www.asmi.com.au</w:t>
                      </w:r>
                    </w:hyperlink>
                  </w:p>
                </w:txbxContent>
              </v:textbox>
              <w10:wrap type="square"/>
            </v:shape>
          </w:pict>
        </mc:Fallback>
      </mc:AlternateContent>
    </w:r>
    <w:r>
      <w:rPr>
        <w:noProof/>
        <w:sz w:val="21"/>
        <w:szCs w:val="21"/>
      </w:rPr>
      <w:drawing>
        <wp:inline distT="0" distB="0" distL="0" distR="0" wp14:anchorId="612ED120" wp14:editId="55B1BC1C">
          <wp:extent cx="966818" cy="1002626"/>
          <wp:effectExtent l="0" t="0" r="508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7698" cy="1003538"/>
                  </a:xfrm>
                  <a:prstGeom prst="rect">
                    <a:avLst/>
                  </a:prstGeom>
                  <a:noFill/>
                  <a:ln>
                    <a:noFill/>
                  </a:ln>
                </pic:spPr>
              </pic:pic>
            </a:graphicData>
          </a:graphic>
        </wp:inline>
      </w:drawing>
    </w:r>
    <w:r w:rsidRPr="00F42F29">
      <w:rPr>
        <w:sz w:val="21"/>
        <w:szCs w:val="21"/>
      </w:rPr>
      <w:t xml:space="preserve">                                                                      </w:t>
    </w:r>
    <w:r w:rsidRPr="00F42F29">
      <w:rPr>
        <w:color w:val="220699"/>
        <w:sz w:val="21"/>
        <w:szCs w:val="21"/>
      </w:rPr>
      <w:tab/>
    </w:r>
  </w:p>
  <w:p w14:paraId="03D0C989" w14:textId="65994A9B" w:rsidR="00D769B4" w:rsidRPr="00F42F29" w:rsidRDefault="00D769B4">
    <w:pPr>
      <w:pStyle w:val="Header"/>
      <w:rPr>
        <w:sz w:val="21"/>
        <w:szCs w:val="21"/>
      </w:rPr>
    </w:pPr>
    <w:r w:rsidRPr="00F42F29">
      <w:rPr>
        <w:sz w:val="21"/>
        <w:szCs w:val="21"/>
      </w:rPr>
      <w:t xml:space="preserve">                                                                      </w:t>
    </w:r>
    <w:r w:rsidRPr="00F42F29">
      <w:rPr>
        <w:color w:val="220699"/>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E6A"/>
    <w:multiLevelType w:val="hybridMultilevel"/>
    <w:tmpl w:val="CA84E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40626C"/>
    <w:multiLevelType w:val="hybridMultilevel"/>
    <w:tmpl w:val="1C28A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EC7C7E"/>
    <w:multiLevelType w:val="hybridMultilevel"/>
    <w:tmpl w:val="A0A0C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13154E"/>
    <w:multiLevelType w:val="multilevel"/>
    <w:tmpl w:val="077A21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796CCA"/>
    <w:multiLevelType w:val="hybridMultilevel"/>
    <w:tmpl w:val="9522C572"/>
    <w:lvl w:ilvl="0" w:tplc="2CF8711A">
      <w:start w:val="1"/>
      <w:numFmt w:val="decimal"/>
      <w:lvlText w:val="%1."/>
      <w:lvlJc w:val="left"/>
      <w:pPr>
        <w:tabs>
          <w:tab w:val="num" w:pos="720"/>
        </w:tabs>
        <w:ind w:left="720" w:hanging="360"/>
      </w:pPr>
    </w:lvl>
    <w:lvl w:ilvl="1" w:tplc="72C8066A" w:tentative="1">
      <w:start w:val="1"/>
      <w:numFmt w:val="decimal"/>
      <w:lvlText w:val="%2."/>
      <w:lvlJc w:val="left"/>
      <w:pPr>
        <w:tabs>
          <w:tab w:val="num" w:pos="1440"/>
        </w:tabs>
        <w:ind w:left="1440" w:hanging="360"/>
      </w:pPr>
    </w:lvl>
    <w:lvl w:ilvl="2" w:tplc="75AEEF6A" w:tentative="1">
      <w:start w:val="1"/>
      <w:numFmt w:val="decimal"/>
      <w:lvlText w:val="%3."/>
      <w:lvlJc w:val="left"/>
      <w:pPr>
        <w:tabs>
          <w:tab w:val="num" w:pos="2160"/>
        </w:tabs>
        <w:ind w:left="2160" w:hanging="360"/>
      </w:pPr>
    </w:lvl>
    <w:lvl w:ilvl="3" w:tplc="4DEA65AA" w:tentative="1">
      <w:start w:val="1"/>
      <w:numFmt w:val="decimal"/>
      <w:lvlText w:val="%4."/>
      <w:lvlJc w:val="left"/>
      <w:pPr>
        <w:tabs>
          <w:tab w:val="num" w:pos="2880"/>
        </w:tabs>
        <w:ind w:left="2880" w:hanging="360"/>
      </w:pPr>
    </w:lvl>
    <w:lvl w:ilvl="4" w:tplc="8C86884A" w:tentative="1">
      <w:start w:val="1"/>
      <w:numFmt w:val="decimal"/>
      <w:lvlText w:val="%5."/>
      <w:lvlJc w:val="left"/>
      <w:pPr>
        <w:tabs>
          <w:tab w:val="num" w:pos="3600"/>
        </w:tabs>
        <w:ind w:left="3600" w:hanging="360"/>
      </w:pPr>
    </w:lvl>
    <w:lvl w:ilvl="5" w:tplc="FE5C9732" w:tentative="1">
      <w:start w:val="1"/>
      <w:numFmt w:val="decimal"/>
      <w:lvlText w:val="%6."/>
      <w:lvlJc w:val="left"/>
      <w:pPr>
        <w:tabs>
          <w:tab w:val="num" w:pos="4320"/>
        </w:tabs>
        <w:ind w:left="4320" w:hanging="360"/>
      </w:pPr>
    </w:lvl>
    <w:lvl w:ilvl="6" w:tplc="E3D86436" w:tentative="1">
      <w:start w:val="1"/>
      <w:numFmt w:val="decimal"/>
      <w:lvlText w:val="%7."/>
      <w:lvlJc w:val="left"/>
      <w:pPr>
        <w:tabs>
          <w:tab w:val="num" w:pos="5040"/>
        </w:tabs>
        <w:ind w:left="5040" w:hanging="360"/>
      </w:pPr>
    </w:lvl>
    <w:lvl w:ilvl="7" w:tplc="C792E7EE" w:tentative="1">
      <w:start w:val="1"/>
      <w:numFmt w:val="decimal"/>
      <w:lvlText w:val="%8."/>
      <w:lvlJc w:val="left"/>
      <w:pPr>
        <w:tabs>
          <w:tab w:val="num" w:pos="5760"/>
        </w:tabs>
        <w:ind w:left="5760" w:hanging="360"/>
      </w:pPr>
    </w:lvl>
    <w:lvl w:ilvl="8" w:tplc="243C73E0" w:tentative="1">
      <w:start w:val="1"/>
      <w:numFmt w:val="decimal"/>
      <w:lvlText w:val="%9."/>
      <w:lvlJc w:val="left"/>
      <w:pPr>
        <w:tabs>
          <w:tab w:val="num" w:pos="6480"/>
        </w:tabs>
        <w:ind w:left="6480" w:hanging="360"/>
      </w:pPr>
    </w:lvl>
  </w:abstractNum>
  <w:abstractNum w:abstractNumId="5">
    <w:nsid w:val="16E57CB4"/>
    <w:multiLevelType w:val="hybridMultilevel"/>
    <w:tmpl w:val="1F66D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F07581"/>
    <w:multiLevelType w:val="hybridMultilevel"/>
    <w:tmpl w:val="4C58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B1326C"/>
    <w:multiLevelType w:val="hybridMultilevel"/>
    <w:tmpl w:val="1BB0A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0505BB"/>
    <w:multiLevelType w:val="hybridMultilevel"/>
    <w:tmpl w:val="1160EA4A"/>
    <w:lvl w:ilvl="0" w:tplc="B390483E">
      <w:start w:val="1"/>
      <w:numFmt w:val="bullet"/>
      <w:lvlText w:val="•"/>
      <w:lvlJc w:val="left"/>
      <w:pPr>
        <w:tabs>
          <w:tab w:val="num" w:pos="720"/>
        </w:tabs>
        <w:ind w:left="720" w:hanging="360"/>
      </w:pPr>
      <w:rPr>
        <w:rFonts w:ascii="Arial" w:hAnsi="Arial" w:hint="default"/>
      </w:rPr>
    </w:lvl>
    <w:lvl w:ilvl="1" w:tplc="06B478EE" w:tentative="1">
      <w:start w:val="1"/>
      <w:numFmt w:val="bullet"/>
      <w:lvlText w:val="•"/>
      <w:lvlJc w:val="left"/>
      <w:pPr>
        <w:tabs>
          <w:tab w:val="num" w:pos="1440"/>
        </w:tabs>
        <w:ind w:left="1440" w:hanging="360"/>
      </w:pPr>
      <w:rPr>
        <w:rFonts w:ascii="Arial" w:hAnsi="Arial" w:hint="default"/>
      </w:rPr>
    </w:lvl>
    <w:lvl w:ilvl="2" w:tplc="E6A4C638" w:tentative="1">
      <w:start w:val="1"/>
      <w:numFmt w:val="bullet"/>
      <w:lvlText w:val="•"/>
      <w:lvlJc w:val="left"/>
      <w:pPr>
        <w:tabs>
          <w:tab w:val="num" w:pos="2160"/>
        </w:tabs>
        <w:ind w:left="2160" w:hanging="360"/>
      </w:pPr>
      <w:rPr>
        <w:rFonts w:ascii="Arial" w:hAnsi="Arial" w:hint="default"/>
      </w:rPr>
    </w:lvl>
    <w:lvl w:ilvl="3" w:tplc="F9C2407A" w:tentative="1">
      <w:start w:val="1"/>
      <w:numFmt w:val="bullet"/>
      <w:lvlText w:val="•"/>
      <w:lvlJc w:val="left"/>
      <w:pPr>
        <w:tabs>
          <w:tab w:val="num" w:pos="2880"/>
        </w:tabs>
        <w:ind w:left="2880" w:hanging="360"/>
      </w:pPr>
      <w:rPr>
        <w:rFonts w:ascii="Arial" w:hAnsi="Arial" w:hint="default"/>
      </w:rPr>
    </w:lvl>
    <w:lvl w:ilvl="4" w:tplc="1170576C" w:tentative="1">
      <w:start w:val="1"/>
      <w:numFmt w:val="bullet"/>
      <w:lvlText w:val="•"/>
      <w:lvlJc w:val="left"/>
      <w:pPr>
        <w:tabs>
          <w:tab w:val="num" w:pos="3600"/>
        </w:tabs>
        <w:ind w:left="3600" w:hanging="360"/>
      </w:pPr>
      <w:rPr>
        <w:rFonts w:ascii="Arial" w:hAnsi="Arial" w:hint="default"/>
      </w:rPr>
    </w:lvl>
    <w:lvl w:ilvl="5" w:tplc="5CC8BF26" w:tentative="1">
      <w:start w:val="1"/>
      <w:numFmt w:val="bullet"/>
      <w:lvlText w:val="•"/>
      <w:lvlJc w:val="left"/>
      <w:pPr>
        <w:tabs>
          <w:tab w:val="num" w:pos="4320"/>
        </w:tabs>
        <w:ind w:left="4320" w:hanging="360"/>
      </w:pPr>
      <w:rPr>
        <w:rFonts w:ascii="Arial" w:hAnsi="Arial" w:hint="default"/>
      </w:rPr>
    </w:lvl>
    <w:lvl w:ilvl="6" w:tplc="8B78F1D8" w:tentative="1">
      <w:start w:val="1"/>
      <w:numFmt w:val="bullet"/>
      <w:lvlText w:val="•"/>
      <w:lvlJc w:val="left"/>
      <w:pPr>
        <w:tabs>
          <w:tab w:val="num" w:pos="5040"/>
        </w:tabs>
        <w:ind w:left="5040" w:hanging="360"/>
      </w:pPr>
      <w:rPr>
        <w:rFonts w:ascii="Arial" w:hAnsi="Arial" w:hint="default"/>
      </w:rPr>
    </w:lvl>
    <w:lvl w:ilvl="7" w:tplc="6FF8F82C" w:tentative="1">
      <w:start w:val="1"/>
      <w:numFmt w:val="bullet"/>
      <w:lvlText w:val="•"/>
      <w:lvlJc w:val="left"/>
      <w:pPr>
        <w:tabs>
          <w:tab w:val="num" w:pos="5760"/>
        </w:tabs>
        <w:ind w:left="5760" w:hanging="360"/>
      </w:pPr>
      <w:rPr>
        <w:rFonts w:ascii="Arial" w:hAnsi="Arial" w:hint="default"/>
      </w:rPr>
    </w:lvl>
    <w:lvl w:ilvl="8" w:tplc="7B8E87CE" w:tentative="1">
      <w:start w:val="1"/>
      <w:numFmt w:val="bullet"/>
      <w:lvlText w:val="•"/>
      <w:lvlJc w:val="left"/>
      <w:pPr>
        <w:tabs>
          <w:tab w:val="num" w:pos="6480"/>
        </w:tabs>
        <w:ind w:left="6480" w:hanging="360"/>
      </w:pPr>
      <w:rPr>
        <w:rFonts w:ascii="Arial" w:hAnsi="Arial" w:hint="default"/>
      </w:rPr>
    </w:lvl>
  </w:abstractNum>
  <w:abstractNum w:abstractNumId="9">
    <w:nsid w:val="21A60D12"/>
    <w:multiLevelType w:val="hybridMultilevel"/>
    <w:tmpl w:val="2EC487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37F08A9"/>
    <w:multiLevelType w:val="hybridMultilevel"/>
    <w:tmpl w:val="CC94C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3053CB"/>
    <w:multiLevelType w:val="hybridMultilevel"/>
    <w:tmpl w:val="8E5AA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535BC7"/>
    <w:multiLevelType w:val="hybridMultilevel"/>
    <w:tmpl w:val="497A5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29462C45"/>
    <w:multiLevelType w:val="hybridMultilevel"/>
    <w:tmpl w:val="95742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CA15C3B"/>
    <w:multiLevelType w:val="hybridMultilevel"/>
    <w:tmpl w:val="FDEE43B6"/>
    <w:lvl w:ilvl="0" w:tplc="1366B188">
      <w:start w:val="1"/>
      <w:numFmt w:val="decimal"/>
      <w:lvlText w:val="%1."/>
      <w:lvlJc w:val="left"/>
      <w:pPr>
        <w:ind w:left="720" w:hanging="360"/>
      </w:pPr>
      <w:rPr>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D124B8C"/>
    <w:multiLevelType w:val="hybridMultilevel"/>
    <w:tmpl w:val="F2D68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517EAB"/>
    <w:multiLevelType w:val="hybridMultilevel"/>
    <w:tmpl w:val="6F208E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DD7522"/>
    <w:multiLevelType w:val="hybridMultilevel"/>
    <w:tmpl w:val="F83CD244"/>
    <w:lvl w:ilvl="0" w:tplc="30BE5FB0">
      <w:start w:val="1"/>
      <w:numFmt w:val="bullet"/>
      <w:lvlText w:val="•"/>
      <w:lvlJc w:val="left"/>
      <w:pPr>
        <w:tabs>
          <w:tab w:val="num" w:pos="720"/>
        </w:tabs>
        <w:ind w:left="720" w:hanging="360"/>
      </w:pPr>
      <w:rPr>
        <w:rFonts w:ascii="Arial" w:hAnsi="Arial" w:hint="default"/>
      </w:rPr>
    </w:lvl>
    <w:lvl w:ilvl="1" w:tplc="79C891F0" w:tentative="1">
      <w:start w:val="1"/>
      <w:numFmt w:val="bullet"/>
      <w:lvlText w:val="•"/>
      <w:lvlJc w:val="left"/>
      <w:pPr>
        <w:tabs>
          <w:tab w:val="num" w:pos="1440"/>
        </w:tabs>
        <w:ind w:left="1440" w:hanging="360"/>
      </w:pPr>
      <w:rPr>
        <w:rFonts w:ascii="Arial" w:hAnsi="Arial" w:hint="default"/>
      </w:rPr>
    </w:lvl>
    <w:lvl w:ilvl="2" w:tplc="1E202140" w:tentative="1">
      <w:start w:val="1"/>
      <w:numFmt w:val="bullet"/>
      <w:lvlText w:val="•"/>
      <w:lvlJc w:val="left"/>
      <w:pPr>
        <w:tabs>
          <w:tab w:val="num" w:pos="2160"/>
        </w:tabs>
        <w:ind w:left="2160" w:hanging="360"/>
      </w:pPr>
      <w:rPr>
        <w:rFonts w:ascii="Arial" w:hAnsi="Arial" w:hint="default"/>
      </w:rPr>
    </w:lvl>
    <w:lvl w:ilvl="3" w:tplc="172E9CA0" w:tentative="1">
      <w:start w:val="1"/>
      <w:numFmt w:val="bullet"/>
      <w:lvlText w:val="•"/>
      <w:lvlJc w:val="left"/>
      <w:pPr>
        <w:tabs>
          <w:tab w:val="num" w:pos="2880"/>
        </w:tabs>
        <w:ind w:left="2880" w:hanging="360"/>
      </w:pPr>
      <w:rPr>
        <w:rFonts w:ascii="Arial" w:hAnsi="Arial" w:hint="default"/>
      </w:rPr>
    </w:lvl>
    <w:lvl w:ilvl="4" w:tplc="5344DF84" w:tentative="1">
      <w:start w:val="1"/>
      <w:numFmt w:val="bullet"/>
      <w:lvlText w:val="•"/>
      <w:lvlJc w:val="left"/>
      <w:pPr>
        <w:tabs>
          <w:tab w:val="num" w:pos="3600"/>
        </w:tabs>
        <w:ind w:left="3600" w:hanging="360"/>
      </w:pPr>
      <w:rPr>
        <w:rFonts w:ascii="Arial" w:hAnsi="Arial" w:hint="default"/>
      </w:rPr>
    </w:lvl>
    <w:lvl w:ilvl="5" w:tplc="89EA56D6" w:tentative="1">
      <w:start w:val="1"/>
      <w:numFmt w:val="bullet"/>
      <w:lvlText w:val="•"/>
      <w:lvlJc w:val="left"/>
      <w:pPr>
        <w:tabs>
          <w:tab w:val="num" w:pos="4320"/>
        </w:tabs>
        <w:ind w:left="4320" w:hanging="360"/>
      </w:pPr>
      <w:rPr>
        <w:rFonts w:ascii="Arial" w:hAnsi="Arial" w:hint="default"/>
      </w:rPr>
    </w:lvl>
    <w:lvl w:ilvl="6" w:tplc="BB3EE3F2" w:tentative="1">
      <w:start w:val="1"/>
      <w:numFmt w:val="bullet"/>
      <w:lvlText w:val="•"/>
      <w:lvlJc w:val="left"/>
      <w:pPr>
        <w:tabs>
          <w:tab w:val="num" w:pos="5040"/>
        </w:tabs>
        <w:ind w:left="5040" w:hanging="360"/>
      </w:pPr>
      <w:rPr>
        <w:rFonts w:ascii="Arial" w:hAnsi="Arial" w:hint="default"/>
      </w:rPr>
    </w:lvl>
    <w:lvl w:ilvl="7" w:tplc="72E67EF8" w:tentative="1">
      <w:start w:val="1"/>
      <w:numFmt w:val="bullet"/>
      <w:lvlText w:val="•"/>
      <w:lvlJc w:val="left"/>
      <w:pPr>
        <w:tabs>
          <w:tab w:val="num" w:pos="5760"/>
        </w:tabs>
        <w:ind w:left="5760" w:hanging="360"/>
      </w:pPr>
      <w:rPr>
        <w:rFonts w:ascii="Arial" w:hAnsi="Arial" w:hint="default"/>
      </w:rPr>
    </w:lvl>
    <w:lvl w:ilvl="8" w:tplc="857C8818" w:tentative="1">
      <w:start w:val="1"/>
      <w:numFmt w:val="bullet"/>
      <w:lvlText w:val="•"/>
      <w:lvlJc w:val="left"/>
      <w:pPr>
        <w:tabs>
          <w:tab w:val="num" w:pos="6480"/>
        </w:tabs>
        <w:ind w:left="6480" w:hanging="360"/>
      </w:pPr>
      <w:rPr>
        <w:rFonts w:ascii="Arial" w:hAnsi="Arial" w:hint="default"/>
      </w:rPr>
    </w:lvl>
  </w:abstractNum>
  <w:abstractNum w:abstractNumId="18">
    <w:nsid w:val="34A13933"/>
    <w:multiLevelType w:val="hybridMultilevel"/>
    <w:tmpl w:val="3C54E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3817118E"/>
    <w:multiLevelType w:val="hybridMultilevel"/>
    <w:tmpl w:val="F1643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AEF35DB"/>
    <w:multiLevelType w:val="hybridMultilevel"/>
    <w:tmpl w:val="889AE0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3B6011D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3DA10D0B"/>
    <w:multiLevelType w:val="hybridMultilevel"/>
    <w:tmpl w:val="B6F8BA10"/>
    <w:lvl w:ilvl="0" w:tplc="65CA69C4">
      <w:start w:val="8"/>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3">
    <w:nsid w:val="3E47791E"/>
    <w:multiLevelType w:val="hybridMultilevel"/>
    <w:tmpl w:val="A74C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2450EEA"/>
    <w:multiLevelType w:val="hybridMultilevel"/>
    <w:tmpl w:val="A6045B9E"/>
    <w:lvl w:ilvl="0" w:tplc="0F1E5138">
      <w:start w:val="1"/>
      <w:numFmt w:val="bullet"/>
      <w:lvlText w:val="•"/>
      <w:lvlJc w:val="left"/>
      <w:pPr>
        <w:tabs>
          <w:tab w:val="num" w:pos="720"/>
        </w:tabs>
        <w:ind w:left="720" w:hanging="360"/>
      </w:pPr>
      <w:rPr>
        <w:rFonts w:ascii="Arial" w:hAnsi="Arial" w:hint="default"/>
      </w:rPr>
    </w:lvl>
    <w:lvl w:ilvl="1" w:tplc="236E7CC6">
      <w:start w:val="1224"/>
      <w:numFmt w:val="bullet"/>
      <w:lvlText w:val=""/>
      <w:lvlJc w:val="left"/>
      <w:pPr>
        <w:tabs>
          <w:tab w:val="num" w:pos="1440"/>
        </w:tabs>
        <w:ind w:left="1440" w:hanging="360"/>
      </w:pPr>
      <w:rPr>
        <w:rFonts w:ascii="Wingdings" w:hAnsi="Wingdings" w:hint="default"/>
      </w:rPr>
    </w:lvl>
    <w:lvl w:ilvl="2" w:tplc="59C0943C" w:tentative="1">
      <w:start w:val="1"/>
      <w:numFmt w:val="bullet"/>
      <w:lvlText w:val="•"/>
      <w:lvlJc w:val="left"/>
      <w:pPr>
        <w:tabs>
          <w:tab w:val="num" w:pos="2160"/>
        </w:tabs>
        <w:ind w:left="2160" w:hanging="360"/>
      </w:pPr>
      <w:rPr>
        <w:rFonts w:ascii="Arial" w:hAnsi="Arial" w:hint="default"/>
      </w:rPr>
    </w:lvl>
    <w:lvl w:ilvl="3" w:tplc="709CAB7A" w:tentative="1">
      <w:start w:val="1"/>
      <w:numFmt w:val="bullet"/>
      <w:lvlText w:val="•"/>
      <w:lvlJc w:val="left"/>
      <w:pPr>
        <w:tabs>
          <w:tab w:val="num" w:pos="2880"/>
        </w:tabs>
        <w:ind w:left="2880" w:hanging="360"/>
      </w:pPr>
      <w:rPr>
        <w:rFonts w:ascii="Arial" w:hAnsi="Arial" w:hint="default"/>
      </w:rPr>
    </w:lvl>
    <w:lvl w:ilvl="4" w:tplc="FCD634A4" w:tentative="1">
      <w:start w:val="1"/>
      <w:numFmt w:val="bullet"/>
      <w:lvlText w:val="•"/>
      <w:lvlJc w:val="left"/>
      <w:pPr>
        <w:tabs>
          <w:tab w:val="num" w:pos="3600"/>
        </w:tabs>
        <w:ind w:left="3600" w:hanging="360"/>
      </w:pPr>
      <w:rPr>
        <w:rFonts w:ascii="Arial" w:hAnsi="Arial" w:hint="default"/>
      </w:rPr>
    </w:lvl>
    <w:lvl w:ilvl="5" w:tplc="EF3A3B28" w:tentative="1">
      <w:start w:val="1"/>
      <w:numFmt w:val="bullet"/>
      <w:lvlText w:val="•"/>
      <w:lvlJc w:val="left"/>
      <w:pPr>
        <w:tabs>
          <w:tab w:val="num" w:pos="4320"/>
        </w:tabs>
        <w:ind w:left="4320" w:hanging="360"/>
      </w:pPr>
      <w:rPr>
        <w:rFonts w:ascii="Arial" w:hAnsi="Arial" w:hint="default"/>
      </w:rPr>
    </w:lvl>
    <w:lvl w:ilvl="6" w:tplc="BF4A0ABE" w:tentative="1">
      <w:start w:val="1"/>
      <w:numFmt w:val="bullet"/>
      <w:lvlText w:val="•"/>
      <w:lvlJc w:val="left"/>
      <w:pPr>
        <w:tabs>
          <w:tab w:val="num" w:pos="5040"/>
        </w:tabs>
        <w:ind w:left="5040" w:hanging="360"/>
      </w:pPr>
      <w:rPr>
        <w:rFonts w:ascii="Arial" w:hAnsi="Arial" w:hint="default"/>
      </w:rPr>
    </w:lvl>
    <w:lvl w:ilvl="7" w:tplc="54CA3A62" w:tentative="1">
      <w:start w:val="1"/>
      <w:numFmt w:val="bullet"/>
      <w:lvlText w:val="•"/>
      <w:lvlJc w:val="left"/>
      <w:pPr>
        <w:tabs>
          <w:tab w:val="num" w:pos="5760"/>
        </w:tabs>
        <w:ind w:left="5760" w:hanging="360"/>
      </w:pPr>
      <w:rPr>
        <w:rFonts w:ascii="Arial" w:hAnsi="Arial" w:hint="default"/>
      </w:rPr>
    </w:lvl>
    <w:lvl w:ilvl="8" w:tplc="47F4B0B8" w:tentative="1">
      <w:start w:val="1"/>
      <w:numFmt w:val="bullet"/>
      <w:lvlText w:val="•"/>
      <w:lvlJc w:val="left"/>
      <w:pPr>
        <w:tabs>
          <w:tab w:val="num" w:pos="6480"/>
        </w:tabs>
        <w:ind w:left="6480" w:hanging="360"/>
      </w:pPr>
      <w:rPr>
        <w:rFonts w:ascii="Arial" w:hAnsi="Arial" w:hint="default"/>
      </w:rPr>
    </w:lvl>
  </w:abstractNum>
  <w:abstractNum w:abstractNumId="25">
    <w:nsid w:val="43822390"/>
    <w:multiLevelType w:val="hybridMultilevel"/>
    <w:tmpl w:val="E42C2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9D772A3"/>
    <w:multiLevelType w:val="hybridMultilevel"/>
    <w:tmpl w:val="66240CE8"/>
    <w:lvl w:ilvl="0" w:tplc="71CC41D4">
      <w:start w:val="1"/>
      <w:numFmt w:val="bullet"/>
      <w:lvlText w:val="•"/>
      <w:lvlJc w:val="left"/>
      <w:pPr>
        <w:tabs>
          <w:tab w:val="num" w:pos="720"/>
        </w:tabs>
        <w:ind w:left="720" w:hanging="360"/>
      </w:pPr>
      <w:rPr>
        <w:rFonts w:ascii="Arial" w:hAnsi="Arial" w:hint="default"/>
      </w:rPr>
    </w:lvl>
    <w:lvl w:ilvl="1" w:tplc="E6E22E70" w:tentative="1">
      <w:start w:val="1"/>
      <w:numFmt w:val="bullet"/>
      <w:lvlText w:val="•"/>
      <w:lvlJc w:val="left"/>
      <w:pPr>
        <w:tabs>
          <w:tab w:val="num" w:pos="1440"/>
        </w:tabs>
        <w:ind w:left="1440" w:hanging="360"/>
      </w:pPr>
      <w:rPr>
        <w:rFonts w:ascii="Arial" w:hAnsi="Arial" w:hint="default"/>
      </w:rPr>
    </w:lvl>
    <w:lvl w:ilvl="2" w:tplc="090EAF28" w:tentative="1">
      <w:start w:val="1"/>
      <w:numFmt w:val="bullet"/>
      <w:lvlText w:val="•"/>
      <w:lvlJc w:val="left"/>
      <w:pPr>
        <w:tabs>
          <w:tab w:val="num" w:pos="2160"/>
        </w:tabs>
        <w:ind w:left="2160" w:hanging="360"/>
      </w:pPr>
      <w:rPr>
        <w:rFonts w:ascii="Arial" w:hAnsi="Arial" w:hint="default"/>
      </w:rPr>
    </w:lvl>
    <w:lvl w:ilvl="3" w:tplc="21703B9A" w:tentative="1">
      <w:start w:val="1"/>
      <w:numFmt w:val="bullet"/>
      <w:lvlText w:val="•"/>
      <w:lvlJc w:val="left"/>
      <w:pPr>
        <w:tabs>
          <w:tab w:val="num" w:pos="2880"/>
        </w:tabs>
        <w:ind w:left="2880" w:hanging="360"/>
      </w:pPr>
      <w:rPr>
        <w:rFonts w:ascii="Arial" w:hAnsi="Arial" w:hint="default"/>
      </w:rPr>
    </w:lvl>
    <w:lvl w:ilvl="4" w:tplc="D4C05AC0" w:tentative="1">
      <w:start w:val="1"/>
      <w:numFmt w:val="bullet"/>
      <w:lvlText w:val="•"/>
      <w:lvlJc w:val="left"/>
      <w:pPr>
        <w:tabs>
          <w:tab w:val="num" w:pos="3600"/>
        </w:tabs>
        <w:ind w:left="3600" w:hanging="360"/>
      </w:pPr>
      <w:rPr>
        <w:rFonts w:ascii="Arial" w:hAnsi="Arial" w:hint="default"/>
      </w:rPr>
    </w:lvl>
    <w:lvl w:ilvl="5" w:tplc="CF7ED314" w:tentative="1">
      <w:start w:val="1"/>
      <w:numFmt w:val="bullet"/>
      <w:lvlText w:val="•"/>
      <w:lvlJc w:val="left"/>
      <w:pPr>
        <w:tabs>
          <w:tab w:val="num" w:pos="4320"/>
        </w:tabs>
        <w:ind w:left="4320" w:hanging="360"/>
      </w:pPr>
      <w:rPr>
        <w:rFonts w:ascii="Arial" w:hAnsi="Arial" w:hint="default"/>
      </w:rPr>
    </w:lvl>
    <w:lvl w:ilvl="6" w:tplc="48C4FA70" w:tentative="1">
      <w:start w:val="1"/>
      <w:numFmt w:val="bullet"/>
      <w:lvlText w:val="•"/>
      <w:lvlJc w:val="left"/>
      <w:pPr>
        <w:tabs>
          <w:tab w:val="num" w:pos="5040"/>
        </w:tabs>
        <w:ind w:left="5040" w:hanging="360"/>
      </w:pPr>
      <w:rPr>
        <w:rFonts w:ascii="Arial" w:hAnsi="Arial" w:hint="default"/>
      </w:rPr>
    </w:lvl>
    <w:lvl w:ilvl="7" w:tplc="5B124194" w:tentative="1">
      <w:start w:val="1"/>
      <w:numFmt w:val="bullet"/>
      <w:lvlText w:val="•"/>
      <w:lvlJc w:val="left"/>
      <w:pPr>
        <w:tabs>
          <w:tab w:val="num" w:pos="5760"/>
        </w:tabs>
        <w:ind w:left="5760" w:hanging="360"/>
      </w:pPr>
      <w:rPr>
        <w:rFonts w:ascii="Arial" w:hAnsi="Arial" w:hint="default"/>
      </w:rPr>
    </w:lvl>
    <w:lvl w:ilvl="8" w:tplc="1A6601F2" w:tentative="1">
      <w:start w:val="1"/>
      <w:numFmt w:val="bullet"/>
      <w:lvlText w:val="•"/>
      <w:lvlJc w:val="left"/>
      <w:pPr>
        <w:tabs>
          <w:tab w:val="num" w:pos="6480"/>
        </w:tabs>
        <w:ind w:left="6480" w:hanging="360"/>
      </w:pPr>
      <w:rPr>
        <w:rFonts w:ascii="Arial" w:hAnsi="Arial" w:hint="default"/>
      </w:rPr>
    </w:lvl>
  </w:abstractNum>
  <w:abstractNum w:abstractNumId="27">
    <w:nsid w:val="4BDA36B9"/>
    <w:multiLevelType w:val="hybridMultilevel"/>
    <w:tmpl w:val="452E6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E1D7E0E"/>
    <w:multiLevelType w:val="hybridMultilevel"/>
    <w:tmpl w:val="77C0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7A50E1A"/>
    <w:multiLevelType w:val="hybridMultilevel"/>
    <w:tmpl w:val="70E0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FE76C4"/>
    <w:multiLevelType w:val="hybridMultilevel"/>
    <w:tmpl w:val="27D0B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95F6C09"/>
    <w:multiLevelType w:val="hybridMultilevel"/>
    <w:tmpl w:val="D97E5E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A5F434B"/>
    <w:multiLevelType w:val="hybridMultilevel"/>
    <w:tmpl w:val="AF6EBCB4"/>
    <w:lvl w:ilvl="0" w:tplc="C24A1D84">
      <w:start w:val="2"/>
      <w:numFmt w:val="decimal"/>
      <w:lvlText w:val="%1."/>
      <w:lvlJc w:val="left"/>
      <w:pPr>
        <w:tabs>
          <w:tab w:val="num" w:pos="720"/>
        </w:tabs>
        <w:ind w:left="720" w:hanging="360"/>
      </w:pPr>
    </w:lvl>
    <w:lvl w:ilvl="1" w:tplc="9FBC59D6" w:tentative="1">
      <w:start w:val="1"/>
      <w:numFmt w:val="decimal"/>
      <w:lvlText w:val="%2."/>
      <w:lvlJc w:val="left"/>
      <w:pPr>
        <w:tabs>
          <w:tab w:val="num" w:pos="1440"/>
        </w:tabs>
        <w:ind w:left="1440" w:hanging="360"/>
      </w:pPr>
    </w:lvl>
    <w:lvl w:ilvl="2" w:tplc="BAAE5312" w:tentative="1">
      <w:start w:val="1"/>
      <w:numFmt w:val="decimal"/>
      <w:lvlText w:val="%3."/>
      <w:lvlJc w:val="left"/>
      <w:pPr>
        <w:tabs>
          <w:tab w:val="num" w:pos="2160"/>
        </w:tabs>
        <w:ind w:left="2160" w:hanging="360"/>
      </w:pPr>
    </w:lvl>
    <w:lvl w:ilvl="3" w:tplc="3386E6C0" w:tentative="1">
      <w:start w:val="1"/>
      <w:numFmt w:val="decimal"/>
      <w:lvlText w:val="%4."/>
      <w:lvlJc w:val="left"/>
      <w:pPr>
        <w:tabs>
          <w:tab w:val="num" w:pos="2880"/>
        </w:tabs>
        <w:ind w:left="2880" w:hanging="360"/>
      </w:pPr>
    </w:lvl>
    <w:lvl w:ilvl="4" w:tplc="FE6C1834" w:tentative="1">
      <w:start w:val="1"/>
      <w:numFmt w:val="decimal"/>
      <w:lvlText w:val="%5."/>
      <w:lvlJc w:val="left"/>
      <w:pPr>
        <w:tabs>
          <w:tab w:val="num" w:pos="3600"/>
        </w:tabs>
        <w:ind w:left="3600" w:hanging="360"/>
      </w:pPr>
    </w:lvl>
    <w:lvl w:ilvl="5" w:tplc="C95A048A" w:tentative="1">
      <w:start w:val="1"/>
      <w:numFmt w:val="decimal"/>
      <w:lvlText w:val="%6."/>
      <w:lvlJc w:val="left"/>
      <w:pPr>
        <w:tabs>
          <w:tab w:val="num" w:pos="4320"/>
        </w:tabs>
        <w:ind w:left="4320" w:hanging="360"/>
      </w:pPr>
    </w:lvl>
    <w:lvl w:ilvl="6" w:tplc="8A46082E" w:tentative="1">
      <w:start w:val="1"/>
      <w:numFmt w:val="decimal"/>
      <w:lvlText w:val="%7."/>
      <w:lvlJc w:val="left"/>
      <w:pPr>
        <w:tabs>
          <w:tab w:val="num" w:pos="5040"/>
        </w:tabs>
        <w:ind w:left="5040" w:hanging="360"/>
      </w:pPr>
    </w:lvl>
    <w:lvl w:ilvl="7" w:tplc="13F4FF66" w:tentative="1">
      <w:start w:val="1"/>
      <w:numFmt w:val="decimal"/>
      <w:lvlText w:val="%8."/>
      <w:lvlJc w:val="left"/>
      <w:pPr>
        <w:tabs>
          <w:tab w:val="num" w:pos="5760"/>
        </w:tabs>
        <w:ind w:left="5760" w:hanging="360"/>
      </w:pPr>
    </w:lvl>
    <w:lvl w:ilvl="8" w:tplc="740686B6" w:tentative="1">
      <w:start w:val="1"/>
      <w:numFmt w:val="decimal"/>
      <w:lvlText w:val="%9."/>
      <w:lvlJc w:val="left"/>
      <w:pPr>
        <w:tabs>
          <w:tab w:val="num" w:pos="6480"/>
        </w:tabs>
        <w:ind w:left="6480" w:hanging="360"/>
      </w:pPr>
    </w:lvl>
  </w:abstractNum>
  <w:abstractNum w:abstractNumId="33">
    <w:nsid w:val="63895C2B"/>
    <w:multiLevelType w:val="hybridMultilevel"/>
    <w:tmpl w:val="5A2E344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6C0791"/>
    <w:multiLevelType w:val="hybridMultilevel"/>
    <w:tmpl w:val="E9807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E502068"/>
    <w:multiLevelType w:val="hybridMultilevel"/>
    <w:tmpl w:val="E0B29F14"/>
    <w:lvl w:ilvl="0" w:tplc="54E2D542">
      <w:start w:val="1"/>
      <w:numFmt w:val="bullet"/>
      <w:lvlText w:val="•"/>
      <w:lvlJc w:val="left"/>
      <w:pPr>
        <w:tabs>
          <w:tab w:val="num" w:pos="720"/>
        </w:tabs>
        <w:ind w:left="720" w:hanging="360"/>
      </w:pPr>
      <w:rPr>
        <w:rFonts w:ascii="Arial" w:hAnsi="Arial" w:hint="default"/>
      </w:rPr>
    </w:lvl>
    <w:lvl w:ilvl="1" w:tplc="018CA5B4" w:tentative="1">
      <w:start w:val="1"/>
      <w:numFmt w:val="bullet"/>
      <w:lvlText w:val="•"/>
      <w:lvlJc w:val="left"/>
      <w:pPr>
        <w:tabs>
          <w:tab w:val="num" w:pos="1440"/>
        </w:tabs>
        <w:ind w:left="1440" w:hanging="360"/>
      </w:pPr>
      <w:rPr>
        <w:rFonts w:ascii="Arial" w:hAnsi="Arial" w:hint="default"/>
      </w:rPr>
    </w:lvl>
    <w:lvl w:ilvl="2" w:tplc="59D25B7E" w:tentative="1">
      <w:start w:val="1"/>
      <w:numFmt w:val="bullet"/>
      <w:lvlText w:val="•"/>
      <w:lvlJc w:val="left"/>
      <w:pPr>
        <w:tabs>
          <w:tab w:val="num" w:pos="2160"/>
        </w:tabs>
        <w:ind w:left="2160" w:hanging="360"/>
      </w:pPr>
      <w:rPr>
        <w:rFonts w:ascii="Arial" w:hAnsi="Arial" w:hint="default"/>
      </w:rPr>
    </w:lvl>
    <w:lvl w:ilvl="3" w:tplc="52C47856" w:tentative="1">
      <w:start w:val="1"/>
      <w:numFmt w:val="bullet"/>
      <w:lvlText w:val="•"/>
      <w:lvlJc w:val="left"/>
      <w:pPr>
        <w:tabs>
          <w:tab w:val="num" w:pos="2880"/>
        </w:tabs>
        <w:ind w:left="2880" w:hanging="360"/>
      </w:pPr>
      <w:rPr>
        <w:rFonts w:ascii="Arial" w:hAnsi="Arial" w:hint="default"/>
      </w:rPr>
    </w:lvl>
    <w:lvl w:ilvl="4" w:tplc="ED686534" w:tentative="1">
      <w:start w:val="1"/>
      <w:numFmt w:val="bullet"/>
      <w:lvlText w:val="•"/>
      <w:lvlJc w:val="left"/>
      <w:pPr>
        <w:tabs>
          <w:tab w:val="num" w:pos="3600"/>
        </w:tabs>
        <w:ind w:left="3600" w:hanging="360"/>
      </w:pPr>
      <w:rPr>
        <w:rFonts w:ascii="Arial" w:hAnsi="Arial" w:hint="default"/>
      </w:rPr>
    </w:lvl>
    <w:lvl w:ilvl="5" w:tplc="D09CA948" w:tentative="1">
      <w:start w:val="1"/>
      <w:numFmt w:val="bullet"/>
      <w:lvlText w:val="•"/>
      <w:lvlJc w:val="left"/>
      <w:pPr>
        <w:tabs>
          <w:tab w:val="num" w:pos="4320"/>
        </w:tabs>
        <w:ind w:left="4320" w:hanging="360"/>
      </w:pPr>
      <w:rPr>
        <w:rFonts w:ascii="Arial" w:hAnsi="Arial" w:hint="default"/>
      </w:rPr>
    </w:lvl>
    <w:lvl w:ilvl="6" w:tplc="C540B0F2" w:tentative="1">
      <w:start w:val="1"/>
      <w:numFmt w:val="bullet"/>
      <w:lvlText w:val="•"/>
      <w:lvlJc w:val="left"/>
      <w:pPr>
        <w:tabs>
          <w:tab w:val="num" w:pos="5040"/>
        </w:tabs>
        <w:ind w:left="5040" w:hanging="360"/>
      </w:pPr>
      <w:rPr>
        <w:rFonts w:ascii="Arial" w:hAnsi="Arial" w:hint="default"/>
      </w:rPr>
    </w:lvl>
    <w:lvl w:ilvl="7" w:tplc="B2EC80FA" w:tentative="1">
      <w:start w:val="1"/>
      <w:numFmt w:val="bullet"/>
      <w:lvlText w:val="•"/>
      <w:lvlJc w:val="left"/>
      <w:pPr>
        <w:tabs>
          <w:tab w:val="num" w:pos="5760"/>
        </w:tabs>
        <w:ind w:left="5760" w:hanging="360"/>
      </w:pPr>
      <w:rPr>
        <w:rFonts w:ascii="Arial" w:hAnsi="Arial" w:hint="default"/>
      </w:rPr>
    </w:lvl>
    <w:lvl w:ilvl="8" w:tplc="95927F7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2"/>
  </w:num>
  <w:num w:numId="3">
    <w:abstractNumId w:val="33"/>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6"/>
  </w:num>
  <w:num w:numId="7">
    <w:abstractNumId w:val="20"/>
  </w:num>
  <w:num w:numId="8">
    <w:abstractNumId w:val="21"/>
  </w:num>
  <w:num w:numId="9">
    <w:abstractNumId w:val="21"/>
    <w:lvlOverride w:ilvl="0">
      <w:startOverride w:val="3"/>
    </w:lvlOverride>
  </w:num>
  <w:num w:numId="10">
    <w:abstractNumId w:val="16"/>
  </w:num>
  <w:num w:numId="11">
    <w:abstractNumId w:val="34"/>
  </w:num>
  <w:num w:numId="12">
    <w:abstractNumId w:val="0"/>
  </w:num>
  <w:num w:numId="13">
    <w:abstractNumId w:val="15"/>
  </w:num>
  <w:num w:numId="14">
    <w:abstractNumId w:val="30"/>
  </w:num>
  <w:num w:numId="15">
    <w:abstractNumId w:val="10"/>
  </w:num>
  <w:num w:numId="16">
    <w:abstractNumId w:val="11"/>
  </w:num>
  <w:num w:numId="17">
    <w:abstractNumId w:val="14"/>
  </w:num>
  <w:num w:numId="18">
    <w:abstractNumId w:val="9"/>
  </w:num>
  <w:num w:numId="19">
    <w:abstractNumId w:val="25"/>
  </w:num>
  <w:num w:numId="20">
    <w:abstractNumId w:val="4"/>
  </w:num>
  <w:num w:numId="21">
    <w:abstractNumId w:val="17"/>
  </w:num>
  <w:num w:numId="22">
    <w:abstractNumId w:val="32"/>
  </w:num>
  <w:num w:numId="23">
    <w:abstractNumId w:val="8"/>
  </w:num>
  <w:num w:numId="24">
    <w:abstractNumId w:val="19"/>
  </w:num>
  <w:num w:numId="25">
    <w:abstractNumId w:val="18"/>
  </w:num>
  <w:num w:numId="26">
    <w:abstractNumId w:val="12"/>
  </w:num>
  <w:num w:numId="27">
    <w:abstractNumId w:val="7"/>
  </w:num>
  <w:num w:numId="28">
    <w:abstractNumId w:val="28"/>
  </w:num>
  <w:num w:numId="29">
    <w:abstractNumId w:val="23"/>
  </w:num>
  <w:num w:numId="30">
    <w:abstractNumId w:val="2"/>
  </w:num>
  <w:num w:numId="31">
    <w:abstractNumId w:val="5"/>
  </w:num>
  <w:num w:numId="32">
    <w:abstractNumId w:val="13"/>
  </w:num>
  <w:num w:numId="33">
    <w:abstractNumId w:val="24"/>
  </w:num>
  <w:num w:numId="34">
    <w:abstractNumId w:val="26"/>
  </w:num>
  <w:num w:numId="35">
    <w:abstractNumId w:val="35"/>
  </w:num>
  <w:num w:numId="36">
    <w:abstractNumId w:val="27"/>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4E"/>
    <w:rsid w:val="00002E9E"/>
    <w:rsid w:val="00003E4A"/>
    <w:rsid w:val="00006E6C"/>
    <w:rsid w:val="00007C08"/>
    <w:rsid w:val="00022CD7"/>
    <w:rsid w:val="000322FA"/>
    <w:rsid w:val="00033F12"/>
    <w:rsid w:val="00035A2B"/>
    <w:rsid w:val="00035FFD"/>
    <w:rsid w:val="000374CF"/>
    <w:rsid w:val="0005227B"/>
    <w:rsid w:val="00054C8B"/>
    <w:rsid w:val="000677A8"/>
    <w:rsid w:val="00070FB3"/>
    <w:rsid w:val="00072495"/>
    <w:rsid w:val="0007387E"/>
    <w:rsid w:val="00080D94"/>
    <w:rsid w:val="000906AB"/>
    <w:rsid w:val="00093C76"/>
    <w:rsid w:val="000978C5"/>
    <w:rsid w:val="000B105F"/>
    <w:rsid w:val="000B2195"/>
    <w:rsid w:val="000B4457"/>
    <w:rsid w:val="000C165F"/>
    <w:rsid w:val="000C5972"/>
    <w:rsid w:val="000C7777"/>
    <w:rsid w:val="000E4894"/>
    <w:rsid w:val="000F2D6F"/>
    <w:rsid w:val="000F7ED2"/>
    <w:rsid w:val="0010088F"/>
    <w:rsid w:val="001045D0"/>
    <w:rsid w:val="001069AC"/>
    <w:rsid w:val="001079B8"/>
    <w:rsid w:val="001104ED"/>
    <w:rsid w:val="00113066"/>
    <w:rsid w:val="00114445"/>
    <w:rsid w:val="00130320"/>
    <w:rsid w:val="00137DC0"/>
    <w:rsid w:val="00142659"/>
    <w:rsid w:val="00147C1C"/>
    <w:rsid w:val="00163A77"/>
    <w:rsid w:val="001659E6"/>
    <w:rsid w:val="00165C7F"/>
    <w:rsid w:val="00167CD2"/>
    <w:rsid w:val="00175EE5"/>
    <w:rsid w:val="00176FB1"/>
    <w:rsid w:val="00185D7C"/>
    <w:rsid w:val="00191475"/>
    <w:rsid w:val="0019165F"/>
    <w:rsid w:val="00193C86"/>
    <w:rsid w:val="0019793E"/>
    <w:rsid w:val="001A4793"/>
    <w:rsid w:val="001B58A9"/>
    <w:rsid w:val="001B69A5"/>
    <w:rsid w:val="001C1F6B"/>
    <w:rsid w:val="001F17F7"/>
    <w:rsid w:val="00217EF3"/>
    <w:rsid w:val="00227BAC"/>
    <w:rsid w:val="00230DCC"/>
    <w:rsid w:val="00232E16"/>
    <w:rsid w:val="002435D6"/>
    <w:rsid w:val="00244FD7"/>
    <w:rsid w:val="002464E7"/>
    <w:rsid w:val="00257041"/>
    <w:rsid w:val="002570E1"/>
    <w:rsid w:val="00264B05"/>
    <w:rsid w:val="00271C81"/>
    <w:rsid w:val="00276AB6"/>
    <w:rsid w:val="00276D9D"/>
    <w:rsid w:val="00284CED"/>
    <w:rsid w:val="0029771E"/>
    <w:rsid w:val="002A0C81"/>
    <w:rsid w:val="002A255E"/>
    <w:rsid w:val="002A30B0"/>
    <w:rsid w:val="002A3D21"/>
    <w:rsid w:val="002B1B5A"/>
    <w:rsid w:val="002B25D4"/>
    <w:rsid w:val="002C5A8C"/>
    <w:rsid w:val="002E1711"/>
    <w:rsid w:val="002F026B"/>
    <w:rsid w:val="002F4C6C"/>
    <w:rsid w:val="00302547"/>
    <w:rsid w:val="0030318C"/>
    <w:rsid w:val="003106C5"/>
    <w:rsid w:val="00314737"/>
    <w:rsid w:val="0032053D"/>
    <w:rsid w:val="00336E03"/>
    <w:rsid w:val="00343834"/>
    <w:rsid w:val="00345D6A"/>
    <w:rsid w:val="00357F45"/>
    <w:rsid w:val="00362974"/>
    <w:rsid w:val="00362BE5"/>
    <w:rsid w:val="00365183"/>
    <w:rsid w:val="003672EE"/>
    <w:rsid w:val="00372CEB"/>
    <w:rsid w:val="003812F0"/>
    <w:rsid w:val="003909D9"/>
    <w:rsid w:val="00391A07"/>
    <w:rsid w:val="003956B1"/>
    <w:rsid w:val="003A37A2"/>
    <w:rsid w:val="003B2F98"/>
    <w:rsid w:val="003B4781"/>
    <w:rsid w:val="003B731F"/>
    <w:rsid w:val="003B7720"/>
    <w:rsid w:val="003B7A62"/>
    <w:rsid w:val="003C0162"/>
    <w:rsid w:val="003C035A"/>
    <w:rsid w:val="003D11FA"/>
    <w:rsid w:val="003D1CC2"/>
    <w:rsid w:val="003D2395"/>
    <w:rsid w:val="003D7965"/>
    <w:rsid w:val="003E5BC0"/>
    <w:rsid w:val="003E7527"/>
    <w:rsid w:val="003F4536"/>
    <w:rsid w:val="003F6DE1"/>
    <w:rsid w:val="004012AE"/>
    <w:rsid w:val="00401ED3"/>
    <w:rsid w:val="00402C8C"/>
    <w:rsid w:val="00422541"/>
    <w:rsid w:val="0042703F"/>
    <w:rsid w:val="00435A87"/>
    <w:rsid w:val="0043708C"/>
    <w:rsid w:val="0043760B"/>
    <w:rsid w:val="00463F6D"/>
    <w:rsid w:val="0047184E"/>
    <w:rsid w:val="004863A8"/>
    <w:rsid w:val="0049080D"/>
    <w:rsid w:val="00491030"/>
    <w:rsid w:val="0049185A"/>
    <w:rsid w:val="00493B52"/>
    <w:rsid w:val="004A0C1D"/>
    <w:rsid w:val="004A0D9C"/>
    <w:rsid w:val="004A427B"/>
    <w:rsid w:val="004B013C"/>
    <w:rsid w:val="004B390C"/>
    <w:rsid w:val="004B7320"/>
    <w:rsid w:val="004C33BD"/>
    <w:rsid w:val="004C70F9"/>
    <w:rsid w:val="004D1360"/>
    <w:rsid w:val="004D7868"/>
    <w:rsid w:val="00512C41"/>
    <w:rsid w:val="005172A2"/>
    <w:rsid w:val="00520BC4"/>
    <w:rsid w:val="00521411"/>
    <w:rsid w:val="005225EC"/>
    <w:rsid w:val="005317A4"/>
    <w:rsid w:val="005325E7"/>
    <w:rsid w:val="00536EF0"/>
    <w:rsid w:val="00552687"/>
    <w:rsid w:val="0056010C"/>
    <w:rsid w:val="005634AA"/>
    <w:rsid w:val="00563F89"/>
    <w:rsid w:val="00572F7A"/>
    <w:rsid w:val="00580975"/>
    <w:rsid w:val="005875EB"/>
    <w:rsid w:val="005A297C"/>
    <w:rsid w:val="005C3E6C"/>
    <w:rsid w:val="005D3D75"/>
    <w:rsid w:val="005D6CF6"/>
    <w:rsid w:val="005D6F95"/>
    <w:rsid w:val="005E1E1F"/>
    <w:rsid w:val="005E3E22"/>
    <w:rsid w:val="005F1FC1"/>
    <w:rsid w:val="00613B21"/>
    <w:rsid w:val="00613CAD"/>
    <w:rsid w:val="006272C5"/>
    <w:rsid w:val="00631DD0"/>
    <w:rsid w:val="00642D07"/>
    <w:rsid w:val="00673546"/>
    <w:rsid w:val="006767FF"/>
    <w:rsid w:val="006853BD"/>
    <w:rsid w:val="0068546A"/>
    <w:rsid w:val="006859C8"/>
    <w:rsid w:val="006A32EB"/>
    <w:rsid w:val="006A644B"/>
    <w:rsid w:val="006A71B9"/>
    <w:rsid w:val="006B152F"/>
    <w:rsid w:val="006C2084"/>
    <w:rsid w:val="006C272D"/>
    <w:rsid w:val="006C3200"/>
    <w:rsid w:val="006C7305"/>
    <w:rsid w:val="006D233C"/>
    <w:rsid w:val="006D50EB"/>
    <w:rsid w:val="006D7253"/>
    <w:rsid w:val="006E17B3"/>
    <w:rsid w:val="006E2E10"/>
    <w:rsid w:val="006E2EAA"/>
    <w:rsid w:val="006F09C9"/>
    <w:rsid w:val="006F2E55"/>
    <w:rsid w:val="00700841"/>
    <w:rsid w:val="00703604"/>
    <w:rsid w:val="00713DD3"/>
    <w:rsid w:val="0071545D"/>
    <w:rsid w:val="00716BCB"/>
    <w:rsid w:val="00725D69"/>
    <w:rsid w:val="00727285"/>
    <w:rsid w:val="0073726F"/>
    <w:rsid w:val="00746379"/>
    <w:rsid w:val="0075565B"/>
    <w:rsid w:val="00755FF7"/>
    <w:rsid w:val="00756CB2"/>
    <w:rsid w:val="007718E4"/>
    <w:rsid w:val="00775E3B"/>
    <w:rsid w:val="007810C9"/>
    <w:rsid w:val="00783BE0"/>
    <w:rsid w:val="00797026"/>
    <w:rsid w:val="007A2B2F"/>
    <w:rsid w:val="007A332C"/>
    <w:rsid w:val="007C26A9"/>
    <w:rsid w:val="007C3E9B"/>
    <w:rsid w:val="007D7658"/>
    <w:rsid w:val="007F3576"/>
    <w:rsid w:val="008101F3"/>
    <w:rsid w:val="00820AA7"/>
    <w:rsid w:val="00820FE4"/>
    <w:rsid w:val="0084293F"/>
    <w:rsid w:val="00844415"/>
    <w:rsid w:val="008461FF"/>
    <w:rsid w:val="00846A82"/>
    <w:rsid w:val="00852824"/>
    <w:rsid w:val="008609B1"/>
    <w:rsid w:val="008631DE"/>
    <w:rsid w:val="00865839"/>
    <w:rsid w:val="00871DBE"/>
    <w:rsid w:val="00874157"/>
    <w:rsid w:val="00876C54"/>
    <w:rsid w:val="00882124"/>
    <w:rsid w:val="00882DEC"/>
    <w:rsid w:val="008A3E2D"/>
    <w:rsid w:val="008B0DCF"/>
    <w:rsid w:val="008B29DF"/>
    <w:rsid w:val="008B374E"/>
    <w:rsid w:val="008B7265"/>
    <w:rsid w:val="008D207F"/>
    <w:rsid w:val="008D38C7"/>
    <w:rsid w:val="008D61FD"/>
    <w:rsid w:val="008D758C"/>
    <w:rsid w:val="008E3182"/>
    <w:rsid w:val="008E7373"/>
    <w:rsid w:val="008F3054"/>
    <w:rsid w:val="008F7F3F"/>
    <w:rsid w:val="00904AC0"/>
    <w:rsid w:val="0091770C"/>
    <w:rsid w:val="00920B55"/>
    <w:rsid w:val="00923DEC"/>
    <w:rsid w:val="00930670"/>
    <w:rsid w:val="0093128B"/>
    <w:rsid w:val="00931DBC"/>
    <w:rsid w:val="009345B0"/>
    <w:rsid w:val="00942C8E"/>
    <w:rsid w:val="009449F3"/>
    <w:rsid w:val="0096003D"/>
    <w:rsid w:val="009601FA"/>
    <w:rsid w:val="00961974"/>
    <w:rsid w:val="00964B6B"/>
    <w:rsid w:val="00967DE7"/>
    <w:rsid w:val="00970D3F"/>
    <w:rsid w:val="00984247"/>
    <w:rsid w:val="00987C28"/>
    <w:rsid w:val="00991F60"/>
    <w:rsid w:val="009A1043"/>
    <w:rsid w:val="009B0A21"/>
    <w:rsid w:val="009B5B52"/>
    <w:rsid w:val="009D0373"/>
    <w:rsid w:val="009E3C0C"/>
    <w:rsid w:val="009E5F89"/>
    <w:rsid w:val="009F2AB0"/>
    <w:rsid w:val="009F6D52"/>
    <w:rsid w:val="00A16DD8"/>
    <w:rsid w:val="00A215D9"/>
    <w:rsid w:val="00A3669D"/>
    <w:rsid w:val="00A45F8B"/>
    <w:rsid w:val="00A46A70"/>
    <w:rsid w:val="00A5063B"/>
    <w:rsid w:val="00A50F23"/>
    <w:rsid w:val="00A55619"/>
    <w:rsid w:val="00A71116"/>
    <w:rsid w:val="00A725F6"/>
    <w:rsid w:val="00A77521"/>
    <w:rsid w:val="00A807BA"/>
    <w:rsid w:val="00A86C5E"/>
    <w:rsid w:val="00AA4653"/>
    <w:rsid w:val="00AA603E"/>
    <w:rsid w:val="00AA76E3"/>
    <w:rsid w:val="00AB48B5"/>
    <w:rsid w:val="00AB6FAB"/>
    <w:rsid w:val="00AC690B"/>
    <w:rsid w:val="00AD486E"/>
    <w:rsid w:val="00AD6EE5"/>
    <w:rsid w:val="00AE1385"/>
    <w:rsid w:val="00AE557F"/>
    <w:rsid w:val="00AF28FB"/>
    <w:rsid w:val="00AF397A"/>
    <w:rsid w:val="00AF4478"/>
    <w:rsid w:val="00B01AFA"/>
    <w:rsid w:val="00B06666"/>
    <w:rsid w:val="00B07E12"/>
    <w:rsid w:val="00B10BBD"/>
    <w:rsid w:val="00B13719"/>
    <w:rsid w:val="00B16E96"/>
    <w:rsid w:val="00B30518"/>
    <w:rsid w:val="00B44739"/>
    <w:rsid w:val="00B46890"/>
    <w:rsid w:val="00B537B2"/>
    <w:rsid w:val="00B612FA"/>
    <w:rsid w:val="00B65161"/>
    <w:rsid w:val="00B7334C"/>
    <w:rsid w:val="00B91631"/>
    <w:rsid w:val="00B95987"/>
    <w:rsid w:val="00BB1168"/>
    <w:rsid w:val="00BB19A9"/>
    <w:rsid w:val="00BB1F86"/>
    <w:rsid w:val="00BB303B"/>
    <w:rsid w:val="00BB6489"/>
    <w:rsid w:val="00BC1238"/>
    <w:rsid w:val="00BC7079"/>
    <w:rsid w:val="00BF10B5"/>
    <w:rsid w:val="00BF17C7"/>
    <w:rsid w:val="00BF4242"/>
    <w:rsid w:val="00BF7FBD"/>
    <w:rsid w:val="00C048CA"/>
    <w:rsid w:val="00C065C6"/>
    <w:rsid w:val="00C100A2"/>
    <w:rsid w:val="00C10BD5"/>
    <w:rsid w:val="00C14690"/>
    <w:rsid w:val="00C543D3"/>
    <w:rsid w:val="00C60AF0"/>
    <w:rsid w:val="00C62CE8"/>
    <w:rsid w:val="00C67DCF"/>
    <w:rsid w:val="00C76864"/>
    <w:rsid w:val="00C776DE"/>
    <w:rsid w:val="00C80877"/>
    <w:rsid w:val="00C8145F"/>
    <w:rsid w:val="00C83B07"/>
    <w:rsid w:val="00C84F1F"/>
    <w:rsid w:val="00CA3595"/>
    <w:rsid w:val="00CA4C9A"/>
    <w:rsid w:val="00CB2250"/>
    <w:rsid w:val="00CC0299"/>
    <w:rsid w:val="00CC3156"/>
    <w:rsid w:val="00CD19ED"/>
    <w:rsid w:val="00CD682F"/>
    <w:rsid w:val="00CE1A16"/>
    <w:rsid w:val="00CE36B8"/>
    <w:rsid w:val="00D07F03"/>
    <w:rsid w:val="00D2686F"/>
    <w:rsid w:val="00D322D3"/>
    <w:rsid w:val="00D52B83"/>
    <w:rsid w:val="00D53004"/>
    <w:rsid w:val="00D57544"/>
    <w:rsid w:val="00D6554F"/>
    <w:rsid w:val="00D7031B"/>
    <w:rsid w:val="00D7276A"/>
    <w:rsid w:val="00D73CFC"/>
    <w:rsid w:val="00D769B4"/>
    <w:rsid w:val="00D77B29"/>
    <w:rsid w:val="00D925FF"/>
    <w:rsid w:val="00D93C7E"/>
    <w:rsid w:val="00DA6AFC"/>
    <w:rsid w:val="00DC0339"/>
    <w:rsid w:val="00DE7802"/>
    <w:rsid w:val="00DF1F58"/>
    <w:rsid w:val="00E04FDE"/>
    <w:rsid w:val="00E14A4E"/>
    <w:rsid w:val="00E26706"/>
    <w:rsid w:val="00E3321A"/>
    <w:rsid w:val="00E363DB"/>
    <w:rsid w:val="00E77B54"/>
    <w:rsid w:val="00EA0444"/>
    <w:rsid w:val="00EA166D"/>
    <w:rsid w:val="00EA1BB6"/>
    <w:rsid w:val="00EC6889"/>
    <w:rsid w:val="00ED03A2"/>
    <w:rsid w:val="00ED0731"/>
    <w:rsid w:val="00ED0BCC"/>
    <w:rsid w:val="00ED1913"/>
    <w:rsid w:val="00EE1CD5"/>
    <w:rsid w:val="00F20EDF"/>
    <w:rsid w:val="00F272AC"/>
    <w:rsid w:val="00F407BD"/>
    <w:rsid w:val="00F41C7A"/>
    <w:rsid w:val="00F42F29"/>
    <w:rsid w:val="00F43401"/>
    <w:rsid w:val="00F53803"/>
    <w:rsid w:val="00F5612A"/>
    <w:rsid w:val="00F6279C"/>
    <w:rsid w:val="00F75D2B"/>
    <w:rsid w:val="00F76B22"/>
    <w:rsid w:val="00F8274E"/>
    <w:rsid w:val="00F8468E"/>
    <w:rsid w:val="00F918B3"/>
    <w:rsid w:val="00F9230B"/>
    <w:rsid w:val="00F93039"/>
    <w:rsid w:val="00F93553"/>
    <w:rsid w:val="00F953B6"/>
    <w:rsid w:val="00FB3DCA"/>
    <w:rsid w:val="00FB6912"/>
    <w:rsid w:val="00FB7815"/>
    <w:rsid w:val="00FC2F8A"/>
    <w:rsid w:val="00FC7A75"/>
    <w:rsid w:val="00FD2E5B"/>
    <w:rsid w:val="00FD651E"/>
    <w:rsid w:val="00FE0CB2"/>
    <w:rsid w:val="00FE1372"/>
    <w:rsid w:val="00FF0C62"/>
    <w:rsid w:val="00FF7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C8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uiPriority w:val="9"/>
    <w:qFormat/>
    <w:rsid w:val="00E363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363DB"/>
    <w:pPr>
      <w:keepNext/>
      <w:keepLines/>
      <w:spacing w:before="200"/>
      <w:ind w:left="576" w:hanging="576"/>
      <w:outlineLvl w:val="1"/>
    </w:pPr>
    <w:rPr>
      <w:rFonts w:ascii="Cambria" w:eastAsia="MS Gothic" w:hAnsi="Cambria" w:cs="Times New Roman"/>
      <w:b/>
      <w:bCs/>
      <w:color w:val="4F81BD"/>
      <w:sz w:val="26"/>
      <w:szCs w:val="26"/>
    </w:rPr>
  </w:style>
  <w:style w:type="paragraph" w:styleId="Heading3">
    <w:name w:val="heading 3"/>
    <w:basedOn w:val="Normal"/>
    <w:next w:val="Normal"/>
    <w:qFormat/>
    <w:rsid w:val="00BB19A9"/>
    <w:pPr>
      <w:keepNext/>
      <w:spacing w:before="240" w:after="60" w:line="360" w:lineRule="auto"/>
      <w:outlineLvl w:val="2"/>
    </w:pPr>
    <w:rPr>
      <w:b/>
      <w:bCs/>
      <w:sz w:val="26"/>
      <w:szCs w:val="26"/>
    </w:rPr>
  </w:style>
  <w:style w:type="paragraph" w:styleId="Heading4">
    <w:name w:val="heading 4"/>
    <w:basedOn w:val="Normal"/>
    <w:next w:val="Normal"/>
    <w:link w:val="Heading4Char"/>
    <w:qFormat/>
    <w:rsid w:val="00E363DB"/>
    <w:pPr>
      <w:keepNext/>
      <w:keepLines/>
      <w:spacing w:before="200"/>
      <w:ind w:left="864" w:hanging="864"/>
      <w:outlineLvl w:val="3"/>
    </w:pPr>
    <w:rPr>
      <w:rFonts w:ascii="Cambria" w:eastAsia="MS Gothic" w:hAnsi="Cambria" w:cs="Times New Roman"/>
      <w:b/>
      <w:bCs/>
      <w:i/>
      <w:iCs/>
      <w:color w:val="4F81BD"/>
      <w:sz w:val="20"/>
      <w:szCs w:val="20"/>
    </w:rPr>
  </w:style>
  <w:style w:type="paragraph" w:styleId="Heading5">
    <w:name w:val="heading 5"/>
    <w:basedOn w:val="Normal"/>
    <w:next w:val="Normal"/>
    <w:link w:val="Heading5Char"/>
    <w:qFormat/>
    <w:rsid w:val="00E363DB"/>
    <w:pPr>
      <w:keepNext/>
      <w:keepLines/>
      <w:spacing w:before="200"/>
      <w:ind w:left="1008" w:hanging="1008"/>
      <w:outlineLvl w:val="4"/>
    </w:pPr>
    <w:rPr>
      <w:rFonts w:ascii="Cambria" w:eastAsia="MS Gothic" w:hAnsi="Cambria" w:cs="Times New Roman"/>
      <w:color w:val="243F60"/>
      <w:sz w:val="20"/>
      <w:szCs w:val="20"/>
    </w:rPr>
  </w:style>
  <w:style w:type="paragraph" w:styleId="Heading6">
    <w:name w:val="heading 6"/>
    <w:basedOn w:val="Normal"/>
    <w:next w:val="Normal"/>
    <w:link w:val="Heading6Char"/>
    <w:qFormat/>
    <w:rsid w:val="00E363DB"/>
    <w:pPr>
      <w:keepNext/>
      <w:keepLines/>
      <w:spacing w:before="200"/>
      <w:ind w:left="1152" w:hanging="1152"/>
      <w:outlineLvl w:val="5"/>
    </w:pPr>
    <w:rPr>
      <w:rFonts w:ascii="Cambria" w:eastAsia="MS Gothic" w:hAnsi="Cambria" w:cs="Times New Roman"/>
      <w:i/>
      <w:iCs/>
      <w:color w:val="243F60"/>
      <w:sz w:val="20"/>
      <w:szCs w:val="20"/>
    </w:rPr>
  </w:style>
  <w:style w:type="paragraph" w:styleId="Heading7">
    <w:name w:val="heading 7"/>
    <w:basedOn w:val="Normal"/>
    <w:next w:val="Normal"/>
    <w:link w:val="Heading7Char"/>
    <w:qFormat/>
    <w:rsid w:val="00E363DB"/>
    <w:pPr>
      <w:keepNext/>
      <w:keepLines/>
      <w:spacing w:before="200"/>
      <w:ind w:left="1296" w:hanging="1296"/>
      <w:outlineLvl w:val="6"/>
    </w:pPr>
    <w:rPr>
      <w:rFonts w:ascii="Cambria" w:eastAsia="MS Gothic" w:hAnsi="Cambria" w:cs="Times New Roman"/>
      <w:i/>
      <w:iCs/>
      <w:color w:val="404040"/>
      <w:sz w:val="20"/>
      <w:szCs w:val="20"/>
    </w:rPr>
  </w:style>
  <w:style w:type="paragraph" w:styleId="Heading8">
    <w:name w:val="heading 8"/>
    <w:basedOn w:val="Normal"/>
    <w:next w:val="Normal"/>
    <w:link w:val="Heading8Char"/>
    <w:qFormat/>
    <w:rsid w:val="00E363DB"/>
    <w:pPr>
      <w:keepNext/>
      <w:keepLines/>
      <w:spacing w:before="200"/>
      <w:ind w:left="1440" w:hanging="1440"/>
      <w:outlineLvl w:val="7"/>
    </w:pPr>
    <w:rPr>
      <w:rFonts w:ascii="Cambria" w:eastAsia="MS Gothic" w:hAnsi="Cambria" w:cs="Times New Roman"/>
      <w:color w:val="404040"/>
      <w:sz w:val="20"/>
      <w:szCs w:val="20"/>
    </w:rPr>
  </w:style>
  <w:style w:type="paragraph" w:styleId="Heading9">
    <w:name w:val="heading 9"/>
    <w:basedOn w:val="Normal"/>
    <w:next w:val="Normal"/>
    <w:link w:val="Heading9Char"/>
    <w:qFormat/>
    <w:rsid w:val="00E363DB"/>
    <w:pPr>
      <w:keepNext/>
      <w:keepLines/>
      <w:spacing w:before="200"/>
      <w:ind w:left="1584" w:hanging="1584"/>
      <w:outlineLvl w:val="8"/>
    </w:pPr>
    <w:rPr>
      <w:rFonts w:ascii="Cambria" w:eastAsia="MS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152F"/>
    <w:pPr>
      <w:tabs>
        <w:tab w:val="center" w:pos="4153"/>
        <w:tab w:val="right" w:pos="8306"/>
      </w:tabs>
    </w:pPr>
  </w:style>
  <w:style w:type="paragraph" w:styleId="Footer">
    <w:name w:val="footer"/>
    <w:basedOn w:val="Normal"/>
    <w:link w:val="FooterChar"/>
    <w:uiPriority w:val="99"/>
    <w:rsid w:val="006B152F"/>
    <w:pPr>
      <w:tabs>
        <w:tab w:val="center" w:pos="4153"/>
        <w:tab w:val="right" w:pos="8306"/>
      </w:tabs>
    </w:pPr>
  </w:style>
  <w:style w:type="table" w:styleId="TableGrid">
    <w:name w:val="Table Grid"/>
    <w:basedOn w:val="TableNormal"/>
    <w:uiPriority w:val="59"/>
    <w:rsid w:val="00BB19A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efore19cmAfter19cmBefore4ptAfter4pt">
    <w:name w:val="Style Before:  1.9 cm After:  1.9 cm Before:  4 pt After:  4 pt"/>
    <w:basedOn w:val="Normal"/>
    <w:rsid w:val="00BB19A9"/>
  </w:style>
  <w:style w:type="character" w:styleId="Hyperlink">
    <w:name w:val="Hyperlink"/>
    <w:uiPriority w:val="99"/>
    <w:rsid w:val="005D3D75"/>
    <w:rPr>
      <w:color w:val="0000FF"/>
      <w:u w:val="single"/>
    </w:rPr>
  </w:style>
  <w:style w:type="paragraph" w:styleId="NormalWeb">
    <w:name w:val="Normal (Web)"/>
    <w:basedOn w:val="Normal"/>
    <w:uiPriority w:val="99"/>
    <w:rsid w:val="00ED0BCC"/>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769B4"/>
    <w:pPr>
      <w:ind w:left="720"/>
    </w:pPr>
    <w:rPr>
      <w:rFonts w:ascii="Times New Roman" w:eastAsia="Calibri" w:hAnsi="Times New Roman" w:cs="Times New Roman"/>
      <w:sz w:val="24"/>
      <w:szCs w:val="24"/>
      <w:lang w:val="en-US" w:eastAsia="en-US"/>
    </w:rPr>
  </w:style>
  <w:style w:type="paragraph" w:styleId="BalloonText">
    <w:name w:val="Balloon Text"/>
    <w:basedOn w:val="Normal"/>
    <w:link w:val="BalloonTextChar"/>
    <w:rsid w:val="00E363DB"/>
    <w:rPr>
      <w:rFonts w:ascii="Tahoma" w:hAnsi="Tahoma" w:cs="Tahoma"/>
      <w:sz w:val="16"/>
      <w:szCs w:val="16"/>
    </w:rPr>
  </w:style>
  <w:style w:type="character" w:customStyle="1" w:styleId="BalloonTextChar">
    <w:name w:val="Balloon Text Char"/>
    <w:basedOn w:val="DefaultParagraphFont"/>
    <w:link w:val="BalloonText"/>
    <w:rsid w:val="00E363DB"/>
    <w:rPr>
      <w:rFonts w:ascii="Tahoma" w:hAnsi="Tahoma" w:cs="Tahoma"/>
      <w:sz w:val="16"/>
      <w:szCs w:val="16"/>
    </w:rPr>
  </w:style>
  <w:style w:type="character" w:customStyle="1" w:styleId="Heading1Char">
    <w:name w:val="Heading 1 Char"/>
    <w:basedOn w:val="DefaultParagraphFont"/>
    <w:link w:val="Heading1"/>
    <w:uiPriority w:val="9"/>
    <w:rsid w:val="00E363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363DB"/>
    <w:rPr>
      <w:rFonts w:ascii="Cambria" w:eastAsia="MS Gothic" w:hAnsi="Cambria"/>
      <w:b/>
      <w:bCs/>
      <w:color w:val="4F81BD"/>
      <w:sz w:val="26"/>
      <w:szCs w:val="26"/>
    </w:rPr>
  </w:style>
  <w:style w:type="character" w:customStyle="1" w:styleId="Heading4Char">
    <w:name w:val="Heading 4 Char"/>
    <w:basedOn w:val="DefaultParagraphFont"/>
    <w:link w:val="Heading4"/>
    <w:rsid w:val="00E363DB"/>
    <w:rPr>
      <w:rFonts w:ascii="Cambria" w:eastAsia="MS Gothic" w:hAnsi="Cambria"/>
      <w:b/>
      <w:bCs/>
      <w:i/>
      <w:iCs/>
      <w:color w:val="4F81BD"/>
    </w:rPr>
  </w:style>
  <w:style w:type="character" w:customStyle="1" w:styleId="Heading5Char">
    <w:name w:val="Heading 5 Char"/>
    <w:basedOn w:val="DefaultParagraphFont"/>
    <w:link w:val="Heading5"/>
    <w:rsid w:val="00E363DB"/>
    <w:rPr>
      <w:rFonts w:ascii="Cambria" w:eastAsia="MS Gothic" w:hAnsi="Cambria"/>
      <w:color w:val="243F60"/>
    </w:rPr>
  </w:style>
  <w:style w:type="character" w:customStyle="1" w:styleId="Heading6Char">
    <w:name w:val="Heading 6 Char"/>
    <w:basedOn w:val="DefaultParagraphFont"/>
    <w:link w:val="Heading6"/>
    <w:rsid w:val="00E363DB"/>
    <w:rPr>
      <w:rFonts w:ascii="Cambria" w:eastAsia="MS Gothic" w:hAnsi="Cambria"/>
      <w:i/>
      <w:iCs/>
      <w:color w:val="243F60"/>
    </w:rPr>
  </w:style>
  <w:style w:type="character" w:customStyle="1" w:styleId="Heading7Char">
    <w:name w:val="Heading 7 Char"/>
    <w:basedOn w:val="DefaultParagraphFont"/>
    <w:link w:val="Heading7"/>
    <w:rsid w:val="00E363DB"/>
    <w:rPr>
      <w:rFonts w:ascii="Cambria" w:eastAsia="MS Gothic" w:hAnsi="Cambria"/>
      <w:i/>
      <w:iCs/>
      <w:color w:val="404040"/>
    </w:rPr>
  </w:style>
  <w:style w:type="character" w:customStyle="1" w:styleId="Heading8Char">
    <w:name w:val="Heading 8 Char"/>
    <w:basedOn w:val="DefaultParagraphFont"/>
    <w:link w:val="Heading8"/>
    <w:rsid w:val="00E363DB"/>
    <w:rPr>
      <w:rFonts w:ascii="Cambria" w:eastAsia="MS Gothic" w:hAnsi="Cambria"/>
      <w:color w:val="404040"/>
    </w:rPr>
  </w:style>
  <w:style w:type="character" w:customStyle="1" w:styleId="Heading9Char">
    <w:name w:val="Heading 9 Char"/>
    <w:basedOn w:val="DefaultParagraphFont"/>
    <w:link w:val="Heading9"/>
    <w:rsid w:val="00E363DB"/>
    <w:rPr>
      <w:rFonts w:ascii="Cambria" w:eastAsia="MS Gothic" w:hAnsi="Cambria"/>
      <w:i/>
      <w:iCs/>
      <w:color w:val="404040"/>
    </w:rPr>
  </w:style>
  <w:style w:type="paragraph" w:customStyle="1" w:styleId="QuoteBox-Text">
    <w:name w:val="Quote Box - Text"/>
    <w:basedOn w:val="Normal"/>
    <w:next w:val="Normal"/>
    <w:rsid w:val="00E363DB"/>
    <w:pPr>
      <w:pBdr>
        <w:top w:val="single" w:sz="8" w:space="10" w:color="808080" w:shadow="1"/>
        <w:left w:val="single" w:sz="8" w:space="10" w:color="808080" w:shadow="1"/>
        <w:bottom w:val="single" w:sz="8" w:space="10" w:color="808080" w:shadow="1"/>
        <w:right w:val="single" w:sz="8" w:space="10" w:color="808080" w:shadow="1"/>
      </w:pBdr>
      <w:tabs>
        <w:tab w:val="right" w:pos="8789"/>
      </w:tabs>
      <w:spacing w:before="140" w:after="140" w:line="300" w:lineRule="atLeast"/>
      <w:ind w:left="227" w:right="198"/>
    </w:pPr>
    <w:rPr>
      <w:i/>
      <w:sz w:val="20"/>
      <w:szCs w:val="20"/>
      <w:lang w:eastAsia="en-US"/>
    </w:rPr>
  </w:style>
  <w:style w:type="paragraph" w:styleId="FootnoteText">
    <w:name w:val="footnote text"/>
    <w:basedOn w:val="Normal"/>
    <w:link w:val="FootnoteTextChar"/>
    <w:rsid w:val="00E363DB"/>
    <w:pPr>
      <w:tabs>
        <w:tab w:val="left" w:pos="709"/>
      </w:tabs>
      <w:spacing w:line="300" w:lineRule="atLeast"/>
      <w:jc w:val="both"/>
    </w:pPr>
    <w:rPr>
      <w:rFonts w:cs="Times New Roman"/>
      <w:sz w:val="18"/>
      <w:szCs w:val="20"/>
      <w:lang w:eastAsia="x-none"/>
    </w:rPr>
  </w:style>
  <w:style w:type="character" w:customStyle="1" w:styleId="FootnoteTextChar">
    <w:name w:val="Footnote Text Char"/>
    <w:basedOn w:val="DefaultParagraphFont"/>
    <w:link w:val="FootnoteText"/>
    <w:rsid w:val="00E363DB"/>
    <w:rPr>
      <w:rFonts w:ascii="Arial" w:hAnsi="Arial"/>
      <w:sz w:val="18"/>
      <w:lang w:eastAsia="x-none"/>
    </w:rPr>
  </w:style>
  <w:style w:type="character" w:styleId="FootnoteReference">
    <w:name w:val="footnote reference"/>
    <w:rsid w:val="00E363DB"/>
    <w:rPr>
      <w:rFonts w:ascii="Arial" w:hAnsi="Arial"/>
      <w:sz w:val="18"/>
      <w:vertAlign w:val="superscript"/>
    </w:rPr>
  </w:style>
  <w:style w:type="paragraph" w:styleId="EndnoteText">
    <w:name w:val="endnote text"/>
    <w:basedOn w:val="Normal"/>
    <w:link w:val="EndnoteTextChar"/>
    <w:uiPriority w:val="99"/>
    <w:unhideWhenUsed/>
    <w:rsid w:val="00E363DB"/>
    <w:rPr>
      <w:rFonts w:ascii="Cambria" w:eastAsia="Cambria" w:hAnsi="Cambria" w:cs="Times New Roman"/>
      <w:sz w:val="20"/>
      <w:szCs w:val="20"/>
      <w:lang w:val="en-GB" w:eastAsia="x-none"/>
    </w:rPr>
  </w:style>
  <w:style w:type="character" w:customStyle="1" w:styleId="EndnoteTextChar">
    <w:name w:val="Endnote Text Char"/>
    <w:basedOn w:val="DefaultParagraphFont"/>
    <w:link w:val="EndnoteText"/>
    <w:uiPriority w:val="99"/>
    <w:rsid w:val="00E363DB"/>
    <w:rPr>
      <w:rFonts w:ascii="Cambria" w:eastAsia="Cambria" w:hAnsi="Cambria"/>
      <w:lang w:val="en-GB" w:eastAsia="x-none"/>
    </w:rPr>
  </w:style>
  <w:style w:type="character" w:styleId="EndnoteReference">
    <w:name w:val="endnote reference"/>
    <w:uiPriority w:val="99"/>
    <w:unhideWhenUsed/>
    <w:rsid w:val="00E363DB"/>
    <w:rPr>
      <w:vertAlign w:val="superscript"/>
    </w:rPr>
  </w:style>
  <w:style w:type="character" w:customStyle="1" w:styleId="FooterChar">
    <w:name w:val="Footer Char"/>
    <w:basedOn w:val="DefaultParagraphFont"/>
    <w:link w:val="Footer"/>
    <w:uiPriority w:val="99"/>
    <w:rsid w:val="00035FFD"/>
    <w:rPr>
      <w:rFonts w:ascii="Arial" w:hAnsi="Arial" w:cs="Arial"/>
      <w:sz w:val="22"/>
      <w:szCs w:val="22"/>
    </w:rPr>
  </w:style>
  <w:style w:type="character" w:styleId="CommentReference">
    <w:name w:val="annotation reference"/>
    <w:basedOn w:val="DefaultParagraphFont"/>
    <w:rsid w:val="0096003D"/>
    <w:rPr>
      <w:sz w:val="16"/>
      <w:szCs w:val="16"/>
    </w:rPr>
  </w:style>
  <w:style w:type="paragraph" w:styleId="CommentText">
    <w:name w:val="annotation text"/>
    <w:basedOn w:val="Normal"/>
    <w:link w:val="CommentTextChar"/>
    <w:rsid w:val="0096003D"/>
    <w:rPr>
      <w:sz w:val="20"/>
      <w:szCs w:val="20"/>
    </w:rPr>
  </w:style>
  <w:style w:type="character" w:customStyle="1" w:styleId="CommentTextChar">
    <w:name w:val="Comment Text Char"/>
    <w:basedOn w:val="DefaultParagraphFont"/>
    <w:link w:val="CommentText"/>
    <w:rsid w:val="0096003D"/>
    <w:rPr>
      <w:rFonts w:ascii="Arial" w:hAnsi="Arial" w:cs="Arial"/>
    </w:rPr>
  </w:style>
  <w:style w:type="paragraph" w:styleId="CommentSubject">
    <w:name w:val="annotation subject"/>
    <w:basedOn w:val="CommentText"/>
    <w:next w:val="CommentText"/>
    <w:link w:val="CommentSubjectChar"/>
    <w:rsid w:val="0096003D"/>
    <w:rPr>
      <w:b/>
      <w:bCs/>
    </w:rPr>
  </w:style>
  <w:style w:type="character" w:customStyle="1" w:styleId="CommentSubjectChar">
    <w:name w:val="Comment Subject Char"/>
    <w:basedOn w:val="CommentTextChar"/>
    <w:link w:val="CommentSubject"/>
    <w:rsid w:val="0096003D"/>
    <w:rPr>
      <w:rFonts w:ascii="Arial" w:hAnsi="Arial" w:cs="Arial"/>
      <w:b/>
      <w:bCs/>
    </w:rPr>
  </w:style>
  <w:style w:type="paragraph" w:styleId="Revision">
    <w:name w:val="Revision"/>
    <w:hidden/>
    <w:uiPriority w:val="99"/>
    <w:semiHidden/>
    <w:rsid w:val="00003E4A"/>
    <w:rPr>
      <w:rFonts w:ascii="Arial" w:hAnsi="Arial" w:cs="Arial"/>
      <w:sz w:val="22"/>
      <w:szCs w:val="22"/>
    </w:rPr>
  </w:style>
  <w:style w:type="paragraph" w:customStyle="1" w:styleId="Default">
    <w:name w:val="Default"/>
    <w:rsid w:val="00B06666"/>
    <w:pPr>
      <w:autoSpaceDE w:val="0"/>
      <w:autoSpaceDN w:val="0"/>
      <w:adjustRightInd w:val="0"/>
    </w:pPr>
    <w:rPr>
      <w:rFonts w:ascii="Arial" w:eastAsiaTheme="minorHAnsi" w:hAnsi="Arial" w:cs="Arial"/>
      <w:color w:val="000000"/>
      <w:sz w:val="24"/>
      <w:szCs w:val="24"/>
      <w:lang w:val="en-GB" w:eastAsia="en-US"/>
    </w:rPr>
  </w:style>
  <w:style w:type="paragraph" w:styleId="BodyText">
    <w:name w:val="Body Text"/>
    <w:basedOn w:val="Normal"/>
    <w:link w:val="BodyTextChar"/>
    <w:uiPriority w:val="1"/>
    <w:unhideWhenUsed/>
    <w:qFormat/>
    <w:rsid w:val="004012AE"/>
    <w:pPr>
      <w:widowControl w:val="0"/>
      <w:spacing w:before="119"/>
      <w:ind w:left="360"/>
    </w:pPr>
    <w:rPr>
      <w:rFonts w:ascii="Calibri" w:eastAsia="Calibri" w:hAnsi="Calibri" w:cstheme="minorBidi"/>
      <w:sz w:val="24"/>
      <w:szCs w:val="24"/>
      <w:lang w:val="en-US" w:eastAsia="en-US"/>
    </w:rPr>
  </w:style>
  <w:style w:type="character" w:customStyle="1" w:styleId="BodyTextChar">
    <w:name w:val="Body Text Char"/>
    <w:basedOn w:val="DefaultParagraphFont"/>
    <w:link w:val="BodyText"/>
    <w:uiPriority w:val="1"/>
    <w:rsid w:val="004012AE"/>
    <w:rPr>
      <w:rFonts w:ascii="Calibri" w:eastAsia="Calibri" w:hAnsi="Calibri" w:cstheme="minorBidi"/>
      <w:sz w:val="24"/>
      <w:szCs w:val="24"/>
      <w:lang w:val="en-US" w:eastAsia="en-US"/>
    </w:rPr>
  </w:style>
  <w:style w:type="paragraph" w:styleId="Caption">
    <w:name w:val="caption"/>
    <w:basedOn w:val="Normal"/>
    <w:next w:val="Normal"/>
    <w:uiPriority w:val="35"/>
    <w:semiHidden/>
    <w:unhideWhenUsed/>
    <w:qFormat/>
    <w:rsid w:val="0056010C"/>
    <w:pPr>
      <w:spacing w:after="200"/>
    </w:pPr>
    <w:rPr>
      <w:rFonts w:ascii="Times New Roman" w:hAnsi="Times New Roman" w:cs="Times New Roman"/>
      <w:b/>
      <w:bCs/>
      <w:color w:val="4F81BD" w:themeColor="accent1"/>
      <w:kern w:val="28"/>
      <w:sz w:val="18"/>
      <w:szCs w:val="18"/>
    </w:rPr>
  </w:style>
  <w:style w:type="paragraph" w:styleId="NoSpacing">
    <w:name w:val="No Spacing"/>
    <w:uiPriority w:val="1"/>
    <w:qFormat/>
    <w:rsid w:val="002F026B"/>
    <w:rPr>
      <w:rFonts w:ascii="Arial" w:eastAsiaTheme="minorHAnsi" w:hAnsi="Arial" w:cstheme="minorBidi"/>
      <w:sz w:val="24"/>
      <w:szCs w:val="22"/>
      <w:lang w:eastAsia="en-US"/>
    </w:rPr>
  </w:style>
  <w:style w:type="table" w:styleId="MediumGrid2-Accent1">
    <w:name w:val="Medium Grid 2 Accent 1"/>
    <w:basedOn w:val="TableNormal"/>
    <w:uiPriority w:val="68"/>
    <w:rsid w:val="00C83B0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apple-converted-space">
    <w:name w:val="apple-converted-space"/>
    <w:basedOn w:val="DefaultParagraphFont"/>
    <w:rsid w:val="008631DE"/>
  </w:style>
  <w:style w:type="character" w:styleId="FollowedHyperlink">
    <w:name w:val="FollowedHyperlink"/>
    <w:basedOn w:val="DefaultParagraphFont"/>
    <w:semiHidden/>
    <w:unhideWhenUsed/>
    <w:rsid w:val="00F918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uiPriority w:val="9"/>
    <w:qFormat/>
    <w:rsid w:val="00E363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363DB"/>
    <w:pPr>
      <w:keepNext/>
      <w:keepLines/>
      <w:spacing w:before="200"/>
      <w:ind w:left="576" w:hanging="576"/>
      <w:outlineLvl w:val="1"/>
    </w:pPr>
    <w:rPr>
      <w:rFonts w:ascii="Cambria" w:eastAsia="MS Gothic" w:hAnsi="Cambria" w:cs="Times New Roman"/>
      <w:b/>
      <w:bCs/>
      <w:color w:val="4F81BD"/>
      <w:sz w:val="26"/>
      <w:szCs w:val="26"/>
    </w:rPr>
  </w:style>
  <w:style w:type="paragraph" w:styleId="Heading3">
    <w:name w:val="heading 3"/>
    <w:basedOn w:val="Normal"/>
    <w:next w:val="Normal"/>
    <w:qFormat/>
    <w:rsid w:val="00BB19A9"/>
    <w:pPr>
      <w:keepNext/>
      <w:spacing w:before="240" w:after="60" w:line="360" w:lineRule="auto"/>
      <w:outlineLvl w:val="2"/>
    </w:pPr>
    <w:rPr>
      <w:b/>
      <w:bCs/>
      <w:sz w:val="26"/>
      <w:szCs w:val="26"/>
    </w:rPr>
  </w:style>
  <w:style w:type="paragraph" w:styleId="Heading4">
    <w:name w:val="heading 4"/>
    <w:basedOn w:val="Normal"/>
    <w:next w:val="Normal"/>
    <w:link w:val="Heading4Char"/>
    <w:qFormat/>
    <w:rsid w:val="00E363DB"/>
    <w:pPr>
      <w:keepNext/>
      <w:keepLines/>
      <w:spacing w:before="200"/>
      <w:ind w:left="864" w:hanging="864"/>
      <w:outlineLvl w:val="3"/>
    </w:pPr>
    <w:rPr>
      <w:rFonts w:ascii="Cambria" w:eastAsia="MS Gothic" w:hAnsi="Cambria" w:cs="Times New Roman"/>
      <w:b/>
      <w:bCs/>
      <w:i/>
      <w:iCs/>
      <w:color w:val="4F81BD"/>
      <w:sz w:val="20"/>
      <w:szCs w:val="20"/>
    </w:rPr>
  </w:style>
  <w:style w:type="paragraph" w:styleId="Heading5">
    <w:name w:val="heading 5"/>
    <w:basedOn w:val="Normal"/>
    <w:next w:val="Normal"/>
    <w:link w:val="Heading5Char"/>
    <w:qFormat/>
    <w:rsid w:val="00E363DB"/>
    <w:pPr>
      <w:keepNext/>
      <w:keepLines/>
      <w:spacing w:before="200"/>
      <w:ind w:left="1008" w:hanging="1008"/>
      <w:outlineLvl w:val="4"/>
    </w:pPr>
    <w:rPr>
      <w:rFonts w:ascii="Cambria" w:eastAsia="MS Gothic" w:hAnsi="Cambria" w:cs="Times New Roman"/>
      <w:color w:val="243F60"/>
      <w:sz w:val="20"/>
      <w:szCs w:val="20"/>
    </w:rPr>
  </w:style>
  <w:style w:type="paragraph" w:styleId="Heading6">
    <w:name w:val="heading 6"/>
    <w:basedOn w:val="Normal"/>
    <w:next w:val="Normal"/>
    <w:link w:val="Heading6Char"/>
    <w:qFormat/>
    <w:rsid w:val="00E363DB"/>
    <w:pPr>
      <w:keepNext/>
      <w:keepLines/>
      <w:spacing w:before="200"/>
      <w:ind w:left="1152" w:hanging="1152"/>
      <w:outlineLvl w:val="5"/>
    </w:pPr>
    <w:rPr>
      <w:rFonts w:ascii="Cambria" w:eastAsia="MS Gothic" w:hAnsi="Cambria" w:cs="Times New Roman"/>
      <w:i/>
      <w:iCs/>
      <w:color w:val="243F60"/>
      <w:sz w:val="20"/>
      <w:szCs w:val="20"/>
    </w:rPr>
  </w:style>
  <w:style w:type="paragraph" w:styleId="Heading7">
    <w:name w:val="heading 7"/>
    <w:basedOn w:val="Normal"/>
    <w:next w:val="Normal"/>
    <w:link w:val="Heading7Char"/>
    <w:qFormat/>
    <w:rsid w:val="00E363DB"/>
    <w:pPr>
      <w:keepNext/>
      <w:keepLines/>
      <w:spacing w:before="200"/>
      <w:ind w:left="1296" w:hanging="1296"/>
      <w:outlineLvl w:val="6"/>
    </w:pPr>
    <w:rPr>
      <w:rFonts w:ascii="Cambria" w:eastAsia="MS Gothic" w:hAnsi="Cambria" w:cs="Times New Roman"/>
      <w:i/>
      <w:iCs/>
      <w:color w:val="404040"/>
      <w:sz w:val="20"/>
      <w:szCs w:val="20"/>
    </w:rPr>
  </w:style>
  <w:style w:type="paragraph" w:styleId="Heading8">
    <w:name w:val="heading 8"/>
    <w:basedOn w:val="Normal"/>
    <w:next w:val="Normal"/>
    <w:link w:val="Heading8Char"/>
    <w:qFormat/>
    <w:rsid w:val="00E363DB"/>
    <w:pPr>
      <w:keepNext/>
      <w:keepLines/>
      <w:spacing w:before="200"/>
      <w:ind w:left="1440" w:hanging="1440"/>
      <w:outlineLvl w:val="7"/>
    </w:pPr>
    <w:rPr>
      <w:rFonts w:ascii="Cambria" w:eastAsia="MS Gothic" w:hAnsi="Cambria" w:cs="Times New Roman"/>
      <w:color w:val="404040"/>
      <w:sz w:val="20"/>
      <w:szCs w:val="20"/>
    </w:rPr>
  </w:style>
  <w:style w:type="paragraph" w:styleId="Heading9">
    <w:name w:val="heading 9"/>
    <w:basedOn w:val="Normal"/>
    <w:next w:val="Normal"/>
    <w:link w:val="Heading9Char"/>
    <w:qFormat/>
    <w:rsid w:val="00E363DB"/>
    <w:pPr>
      <w:keepNext/>
      <w:keepLines/>
      <w:spacing w:before="200"/>
      <w:ind w:left="1584" w:hanging="1584"/>
      <w:outlineLvl w:val="8"/>
    </w:pPr>
    <w:rPr>
      <w:rFonts w:ascii="Cambria" w:eastAsia="MS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152F"/>
    <w:pPr>
      <w:tabs>
        <w:tab w:val="center" w:pos="4153"/>
        <w:tab w:val="right" w:pos="8306"/>
      </w:tabs>
    </w:pPr>
  </w:style>
  <w:style w:type="paragraph" w:styleId="Footer">
    <w:name w:val="footer"/>
    <w:basedOn w:val="Normal"/>
    <w:link w:val="FooterChar"/>
    <w:uiPriority w:val="99"/>
    <w:rsid w:val="006B152F"/>
    <w:pPr>
      <w:tabs>
        <w:tab w:val="center" w:pos="4153"/>
        <w:tab w:val="right" w:pos="8306"/>
      </w:tabs>
    </w:pPr>
  </w:style>
  <w:style w:type="table" w:styleId="TableGrid">
    <w:name w:val="Table Grid"/>
    <w:basedOn w:val="TableNormal"/>
    <w:uiPriority w:val="59"/>
    <w:rsid w:val="00BB19A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efore19cmAfter19cmBefore4ptAfter4pt">
    <w:name w:val="Style Before:  1.9 cm After:  1.9 cm Before:  4 pt After:  4 pt"/>
    <w:basedOn w:val="Normal"/>
    <w:rsid w:val="00BB19A9"/>
  </w:style>
  <w:style w:type="character" w:styleId="Hyperlink">
    <w:name w:val="Hyperlink"/>
    <w:uiPriority w:val="99"/>
    <w:rsid w:val="005D3D75"/>
    <w:rPr>
      <w:color w:val="0000FF"/>
      <w:u w:val="single"/>
    </w:rPr>
  </w:style>
  <w:style w:type="paragraph" w:styleId="NormalWeb">
    <w:name w:val="Normal (Web)"/>
    <w:basedOn w:val="Normal"/>
    <w:uiPriority w:val="99"/>
    <w:rsid w:val="00ED0BCC"/>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769B4"/>
    <w:pPr>
      <w:ind w:left="720"/>
    </w:pPr>
    <w:rPr>
      <w:rFonts w:ascii="Times New Roman" w:eastAsia="Calibri" w:hAnsi="Times New Roman" w:cs="Times New Roman"/>
      <w:sz w:val="24"/>
      <w:szCs w:val="24"/>
      <w:lang w:val="en-US" w:eastAsia="en-US"/>
    </w:rPr>
  </w:style>
  <w:style w:type="paragraph" w:styleId="BalloonText">
    <w:name w:val="Balloon Text"/>
    <w:basedOn w:val="Normal"/>
    <w:link w:val="BalloonTextChar"/>
    <w:rsid w:val="00E363DB"/>
    <w:rPr>
      <w:rFonts w:ascii="Tahoma" w:hAnsi="Tahoma" w:cs="Tahoma"/>
      <w:sz w:val="16"/>
      <w:szCs w:val="16"/>
    </w:rPr>
  </w:style>
  <w:style w:type="character" w:customStyle="1" w:styleId="BalloonTextChar">
    <w:name w:val="Balloon Text Char"/>
    <w:basedOn w:val="DefaultParagraphFont"/>
    <w:link w:val="BalloonText"/>
    <w:rsid w:val="00E363DB"/>
    <w:rPr>
      <w:rFonts w:ascii="Tahoma" w:hAnsi="Tahoma" w:cs="Tahoma"/>
      <w:sz w:val="16"/>
      <w:szCs w:val="16"/>
    </w:rPr>
  </w:style>
  <w:style w:type="character" w:customStyle="1" w:styleId="Heading1Char">
    <w:name w:val="Heading 1 Char"/>
    <w:basedOn w:val="DefaultParagraphFont"/>
    <w:link w:val="Heading1"/>
    <w:uiPriority w:val="9"/>
    <w:rsid w:val="00E363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363DB"/>
    <w:rPr>
      <w:rFonts w:ascii="Cambria" w:eastAsia="MS Gothic" w:hAnsi="Cambria"/>
      <w:b/>
      <w:bCs/>
      <w:color w:val="4F81BD"/>
      <w:sz w:val="26"/>
      <w:szCs w:val="26"/>
    </w:rPr>
  </w:style>
  <w:style w:type="character" w:customStyle="1" w:styleId="Heading4Char">
    <w:name w:val="Heading 4 Char"/>
    <w:basedOn w:val="DefaultParagraphFont"/>
    <w:link w:val="Heading4"/>
    <w:rsid w:val="00E363DB"/>
    <w:rPr>
      <w:rFonts w:ascii="Cambria" w:eastAsia="MS Gothic" w:hAnsi="Cambria"/>
      <w:b/>
      <w:bCs/>
      <w:i/>
      <w:iCs/>
      <w:color w:val="4F81BD"/>
    </w:rPr>
  </w:style>
  <w:style w:type="character" w:customStyle="1" w:styleId="Heading5Char">
    <w:name w:val="Heading 5 Char"/>
    <w:basedOn w:val="DefaultParagraphFont"/>
    <w:link w:val="Heading5"/>
    <w:rsid w:val="00E363DB"/>
    <w:rPr>
      <w:rFonts w:ascii="Cambria" w:eastAsia="MS Gothic" w:hAnsi="Cambria"/>
      <w:color w:val="243F60"/>
    </w:rPr>
  </w:style>
  <w:style w:type="character" w:customStyle="1" w:styleId="Heading6Char">
    <w:name w:val="Heading 6 Char"/>
    <w:basedOn w:val="DefaultParagraphFont"/>
    <w:link w:val="Heading6"/>
    <w:rsid w:val="00E363DB"/>
    <w:rPr>
      <w:rFonts w:ascii="Cambria" w:eastAsia="MS Gothic" w:hAnsi="Cambria"/>
      <w:i/>
      <w:iCs/>
      <w:color w:val="243F60"/>
    </w:rPr>
  </w:style>
  <w:style w:type="character" w:customStyle="1" w:styleId="Heading7Char">
    <w:name w:val="Heading 7 Char"/>
    <w:basedOn w:val="DefaultParagraphFont"/>
    <w:link w:val="Heading7"/>
    <w:rsid w:val="00E363DB"/>
    <w:rPr>
      <w:rFonts w:ascii="Cambria" w:eastAsia="MS Gothic" w:hAnsi="Cambria"/>
      <w:i/>
      <w:iCs/>
      <w:color w:val="404040"/>
    </w:rPr>
  </w:style>
  <w:style w:type="character" w:customStyle="1" w:styleId="Heading8Char">
    <w:name w:val="Heading 8 Char"/>
    <w:basedOn w:val="DefaultParagraphFont"/>
    <w:link w:val="Heading8"/>
    <w:rsid w:val="00E363DB"/>
    <w:rPr>
      <w:rFonts w:ascii="Cambria" w:eastAsia="MS Gothic" w:hAnsi="Cambria"/>
      <w:color w:val="404040"/>
    </w:rPr>
  </w:style>
  <w:style w:type="character" w:customStyle="1" w:styleId="Heading9Char">
    <w:name w:val="Heading 9 Char"/>
    <w:basedOn w:val="DefaultParagraphFont"/>
    <w:link w:val="Heading9"/>
    <w:rsid w:val="00E363DB"/>
    <w:rPr>
      <w:rFonts w:ascii="Cambria" w:eastAsia="MS Gothic" w:hAnsi="Cambria"/>
      <w:i/>
      <w:iCs/>
      <w:color w:val="404040"/>
    </w:rPr>
  </w:style>
  <w:style w:type="paragraph" w:customStyle="1" w:styleId="QuoteBox-Text">
    <w:name w:val="Quote Box - Text"/>
    <w:basedOn w:val="Normal"/>
    <w:next w:val="Normal"/>
    <w:rsid w:val="00E363DB"/>
    <w:pPr>
      <w:pBdr>
        <w:top w:val="single" w:sz="8" w:space="10" w:color="808080" w:shadow="1"/>
        <w:left w:val="single" w:sz="8" w:space="10" w:color="808080" w:shadow="1"/>
        <w:bottom w:val="single" w:sz="8" w:space="10" w:color="808080" w:shadow="1"/>
        <w:right w:val="single" w:sz="8" w:space="10" w:color="808080" w:shadow="1"/>
      </w:pBdr>
      <w:tabs>
        <w:tab w:val="right" w:pos="8789"/>
      </w:tabs>
      <w:spacing w:before="140" w:after="140" w:line="300" w:lineRule="atLeast"/>
      <w:ind w:left="227" w:right="198"/>
    </w:pPr>
    <w:rPr>
      <w:i/>
      <w:sz w:val="20"/>
      <w:szCs w:val="20"/>
      <w:lang w:eastAsia="en-US"/>
    </w:rPr>
  </w:style>
  <w:style w:type="paragraph" w:styleId="FootnoteText">
    <w:name w:val="footnote text"/>
    <w:basedOn w:val="Normal"/>
    <w:link w:val="FootnoteTextChar"/>
    <w:rsid w:val="00E363DB"/>
    <w:pPr>
      <w:tabs>
        <w:tab w:val="left" w:pos="709"/>
      </w:tabs>
      <w:spacing w:line="300" w:lineRule="atLeast"/>
      <w:jc w:val="both"/>
    </w:pPr>
    <w:rPr>
      <w:rFonts w:cs="Times New Roman"/>
      <w:sz w:val="18"/>
      <w:szCs w:val="20"/>
      <w:lang w:eastAsia="x-none"/>
    </w:rPr>
  </w:style>
  <w:style w:type="character" w:customStyle="1" w:styleId="FootnoteTextChar">
    <w:name w:val="Footnote Text Char"/>
    <w:basedOn w:val="DefaultParagraphFont"/>
    <w:link w:val="FootnoteText"/>
    <w:rsid w:val="00E363DB"/>
    <w:rPr>
      <w:rFonts w:ascii="Arial" w:hAnsi="Arial"/>
      <w:sz w:val="18"/>
      <w:lang w:eastAsia="x-none"/>
    </w:rPr>
  </w:style>
  <w:style w:type="character" w:styleId="FootnoteReference">
    <w:name w:val="footnote reference"/>
    <w:rsid w:val="00E363DB"/>
    <w:rPr>
      <w:rFonts w:ascii="Arial" w:hAnsi="Arial"/>
      <w:sz w:val="18"/>
      <w:vertAlign w:val="superscript"/>
    </w:rPr>
  </w:style>
  <w:style w:type="paragraph" w:styleId="EndnoteText">
    <w:name w:val="endnote text"/>
    <w:basedOn w:val="Normal"/>
    <w:link w:val="EndnoteTextChar"/>
    <w:uiPriority w:val="99"/>
    <w:unhideWhenUsed/>
    <w:rsid w:val="00E363DB"/>
    <w:rPr>
      <w:rFonts w:ascii="Cambria" w:eastAsia="Cambria" w:hAnsi="Cambria" w:cs="Times New Roman"/>
      <w:sz w:val="20"/>
      <w:szCs w:val="20"/>
      <w:lang w:val="en-GB" w:eastAsia="x-none"/>
    </w:rPr>
  </w:style>
  <w:style w:type="character" w:customStyle="1" w:styleId="EndnoteTextChar">
    <w:name w:val="Endnote Text Char"/>
    <w:basedOn w:val="DefaultParagraphFont"/>
    <w:link w:val="EndnoteText"/>
    <w:uiPriority w:val="99"/>
    <w:rsid w:val="00E363DB"/>
    <w:rPr>
      <w:rFonts w:ascii="Cambria" w:eastAsia="Cambria" w:hAnsi="Cambria"/>
      <w:lang w:val="en-GB" w:eastAsia="x-none"/>
    </w:rPr>
  </w:style>
  <w:style w:type="character" w:styleId="EndnoteReference">
    <w:name w:val="endnote reference"/>
    <w:uiPriority w:val="99"/>
    <w:unhideWhenUsed/>
    <w:rsid w:val="00E363DB"/>
    <w:rPr>
      <w:vertAlign w:val="superscript"/>
    </w:rPr>
  </w:style>
  <w:style w:type="character" w:customStyle="1" w:styleId="FooterChar">
    <w:name w:val="Footer Char"/>
    <w:basedOn w:val="DefaultParagraphFont"/>
    <w:link w:val="Footer"/>
    <w:uiPriority w:val="99"/>
    <w:rsid w:val="00035FFD"/>
    <w:rPr>
      <w:rFonts w:ascii="Arial" w:hAnsi="Arial" w:cs="Arial"/>
      <w:sz w:val="22"/>
      <w:szCs w:val="22"/>
    </w:rPr>
  </w:style>
  <w:style w:type="character" w:styleId="CommentReference">
    <w:name w:val="annotation reference"/>
    <w:basedOn w:val="DefaultParagraphFont"/>
    <w:rsid w:val="0096003D"/>
    <w:rPr>
      <w:sz w:val="16"/>
      <w:szCs w:val="16"/>
    </w:rPr>
  </w:style>
  <w:style w:type="paragraph" w:styleId="CommentText">
    <w:name w:val="annotation text"/>
    <w:basedOn w:val="Normal"/>
    <w:link w:val="CommentTextChar"/>
    <w:rsid w:val="0096003D"/>
    <w:rPr>
      <w:sz w:val="20"/>
      <w:szCs w:val="20"/>
    </w:rPr>
  </w:style>
  <w:style w:type="character" w:customStyle="1" w:styleId="CommentTextChar">
    <w:name w:val="Comment Text Char"/>
    <w:basedOn w:val="DefaultParagraphFont"/>
    <w:link w:val="CommentText"/>
    <w:rsid w:val="0096003D"/>
    <w:rPr>
      <w:rFonts w:ascii="Arial" w:hAnsi="Arial" w:cs="Arial"/>
    </w:rPr>
  </w:style>
  <w:style w:type="paragraph" w:styleId="CommentSubject">
    <w:name w:val="annotation subject"/>
    <w:basedOn w:val="CommentText"/>
    <w:next w:val="CommentText"/>
    <w:link w:val="CommentSubjectChar"/>
    <w:rsid w:val="0096003D"/>
    <w:rPr>
      <w:b/>
      <w:bCs/>
    </w:rPr>
  </w:style>
  <w:style w:type="character" w:customStyle="1" w:styleId="CommentSubjectChar">
    <w:name w:val="Comment Subject Char"/>
    <w:basedOn w:val="CommentTextChar"/>
    <w:link w:val="CommentSubject"/>
    <w:rsid w:val="0096003D"/>
    <w:rPr>
      <w:rFonts w:ascii="Arial" w:hAnsi="Arial" w:cs="Arial"/>
      <w:b/>
      <w:bCs/>
    </w:rPr>
  </w:style>
  <w:style w:type="paragraph" w:styleId="Revision">
    <w:name w:val="Revision"/>
    <w:hidden/>
    <w:uiPriority w:val="99"/>
    <w:semiHidden/>
    <w:rsid w:val="00003E4A"/>
    <w:rPr>
      <w:rFonts w:ascii="Arial" w:hAnsi="Arial" w:cs="Arial"/>
      <w:sz w:val="22"/>
      <w:szCs w:val="22"/>
    </w:rPr>
  </w:style>
  <w:style w:type="paragraph" w:customStyle="1" w:styleId="Default">
    <w:name w:val="Default"/>
    <w:rsid w:val="00B06666"/>
    <w:pPr>
      <w:autoSpaceDE w:val="0"/>
      <w:autoSpaceDN w:val="0"/>
      <w:adjustRightInd w:val="0"/>
    </w:pPr>
    <w:rPr>
      <w:rFonts w:ascii="Arial" w:eastAsiaTheme="minorHAnsi" w:hAnsi="Arial" w:cs="Arial"/>
      <w:color w:val="000000"/>
      <w:sz w:val="24"/>
      <w:szCs w:val="24"/>
      <w:lang w:val="en-GB" w:eastAsia="en-US"/>
    </w:rPr>
  </w:style>
  <w:style w:type="paragraph" w:styleId="BodyText">
    <w:name w:val="Body Text"/>
    <w:basedOn w:val="Normal"/>
    <w:link w:val="BodyTextChar"/>
    <w:uiPriority w:val="1"/>
    <w:unhideWhenUsed/>
    <w:qFormat/>
    <w:rsid w:val="004012AE"/>
    <w:pPr>
      <w:widowControl w:val="0"/>
      <w:spacing w:before="119"/>
      <w:ind w:left="360"/>
    </w:pPr>
    <w:rPr>
      <w:rFonts w:ascii="Calibri" w:eastAsia="Calibri" w:hAnsi="Calibri" w:cstheme="minorBidi"/>
      <w:sz w:val="24"/>
      <w:szCs w:val="24"/>
      <w:lang w:val="en-US" w:eastAsia="en-US"/>
    </w:rPr>
  </w:style>
  <w:style w:type="character" w:customStyle="1" w:styleId="BodyTextChar">
    <w:name w:val="Body Text Char"/>
    <w:basedOn w:val="DefaultParagraphFont"/>
    <w:link w:val="BodyText"/>
    <w:uiPriority w:val="1"/>
    <w:rsid w:val="004012AE"/>
    <w:rPr>
      <w:rFonts w:ascii="Calibri" w:eastAsia="Calibri" w:hAnsi="Calibri" w:cstheme="minorBidi"/>
      <w:sz w:val="24"/>
      <w:szCs w:val="24"/>
      <w:lang w:val="en-US" w:eastAsia="en-US"/>
    </w:rPr>
  </w:style>
  <w:style w:type="paragraph" w:styleId="Caption">
    <w:name w:val="caption"/>
    <w:basedOn w:val="Normal"/>
    <w:next w:val="Normal"/>
    <w:uiPriority w:val="35"/>
    <w:semiHidden/>
    <w:unhideWhenUsed/>
    <w:qFormat/>
    <w:rsid w:val="0056010C"/>
    <w:pPr>
      <w:spacing w:after="200"/>
    </w:pPr>
    <w:rPr>
      <w:rFonts w:ascii="Times New Roman" w:hAnsi="Times New Roman" w:cs="Times New Roman"/>
      <w:b/>
      <w:bCs/>
      <w:color w:val="4F81BD" w:themeColor="accent1"/>
      <w:kern w:val="28"/>
      <w:sz w:val="18"/>
      <w:szCs w:val="18"/>
    </w:rPr>
  </w:style>
  <w:style w:type="paragraph" w:styleId="NoSpacing">
    <w:name w:val="No Spacing"/>
    <w:uiPriority w:val="1"/>
    <w:qFormat/>
    <w:rsid w:val="002F026B"/>
    <w:rPr>
      <w:rFonts w:ascii="Arial" w:eastAsiaTheme="minorHAnsi" w:hAnsi="Arial" w:cstheme="minorBidi"/>
      <w:sz w:val="24"/>
      <w:szCs w:val="22"/>
      <w:lang w:eastAsia="en-US"/>
    </w:rPr>
  </w:style>
  <w:style w:type="table" w:styleId="MediumGrid2-Accent1">
    <w:name w:val="Medium Grid 2 Accent 1"/>
    <w:basedOn w:val="TableNormal"/>
    <w:uiPriority w:val="68"/>
    <w:rsid w:val="00C83B0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apple-converted-space">
    <w:name w:val="apple-converted-space"/>
    <w:basedOn w:val="DefaultParagraphFont"/>
    <w:rsid w:val="008631DE"/>
  </w:style>
  <w:style w:type="character" w:styleId="FollowedHyperlink">
    <w:name w:val="FollowedHyperlink"/>
    <w:basedOn w:val="DefaultParagraphFont"/>
    <w:semiHidden/>
    <w:unhideWhenUsed/>
    <w:rsid w:val="00F918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59429">
      <w:bodyDiv w:val="1"/>
      <w:marLeft w:val="0"/>
      <w:marRight w:val="0"/>
      <w:marTop w:val="0"/>
      <w:marBottom w:val="0"/>
      <w:divBdr>
        <w:top w:val="none" w:sz="0" w:space="0" w:color="auto"/>
        <w:left w:val="none" w:sz="0" w:space="0" w:color="auto"/>
        <w:bottom w:val="none" w:sz="0" w:space="0" w:color="auto"/>
        <w:right w:val="none" w:sz="0" w:space="0" w:color="auto"/>
      </w:divBdr>
    </w:div>
    <w:div w:id="444692675">
      <w:bodyDiv w:val="1"/>
      <w:marLeft w:val="0"/>
      <w:marRight w:val="0"/>
      <w:marTop w:val="0"/>
      <w:marBottom w:val="0"/>
      <w:divBdr>
        <w:top w:val="none" w:sz="0" w:space="0" w:color="auto"/>
        <w:left w:val="none" w:sz="0" w:space="0" w:color="auto"/>
        <w:bottom w:val="none" w:sz="0" w:space="0" w:color="auto"/>
        <w:right w:val="none" w:sz="0" w:space="0" w:color="auto"/>
      </w:divBdr>
      <w:divsChild>
        <w:div w:id="389040461">
          <w:marLeft w:val="0"/>
          <w:marRight w:val="0"/>
          <w:marTop w:val="0"/>
          <w:marBottom w:val="0"/>
          <w:divBdr>
            <w:top w:val="none" w:sz="0" w:space="0" w:color="auto"/>
            <w:left w:val="none" w:sz="0" w:space="0" w:color="auto"/>
            <w:bottom w:val="none" w:sz="0" w:space="0" w:color="auto"/>
            <w:right w:val="none" w:sz="0" w:space="0" w:color="auto"/>
          </w:divBdr>
        </w:div>
      </w:divsChild>
    </w:div>
    <w:div w:id="888956359">
      <w:bodyDiv w:val="1"/>
      <w:marLeft w:val="0"/>
      <w:marRight w:val="0"/>
      <w:marTop w:val="0"/>
      <w:marBottom w:val="0"/>
      <w:divBdr>
        <w:top w:val="none" w:sz="0" w:space="0" w:color="auto"/>
        <w:left w:val="none" w:sz="0" w:space="0" w:color="auto"/>
        <w:bottom w:val="none" w:sz="0" w:space="0" w:color="auto"/>
        <w:right w:val="none" w:sz="0" w:space="0" w:color="auto"/>
      </w:divBdr>
      <w:divsChild>
        <w:div w:id="1167282290">
          <w:marLeft w:val="0"/>
          <w:marRight w:val="0"/>
          <w:marTop w:val="0"/>
          <w:marBottom w:val="0"/>
          <w:divBdr>
            <w:top w:val="none" w:sz="0" w:space="0" w:color="auto"/>
            <w:left w:val="none" w:sz="0" w:space="0" w:color="auto"/>
            <w:bottom w:val="none" w:sz="0" w:space="0" w:color="auto"/>
            <w:right w:val="none" w:sz="0" w:space="0" w:color="auto"/>
          </w:divBdr>
          <w:divsChild>
            <w:div w:id="981886117">
              <w:marLeft w:val="0"/>
              <w:marRight w:val="0"/>
              <w:marTop w:val="0"/>
              <w:marBottom w:val="0"/>
              <w:divBdr>
                <w:top w:val="none" w:sz="0" w:space="0" w:color="auto"/>
                <w:left w:val="none" w:sz="0" w:space="0" w:color="auto"/>
                <w:bottom w:val="none" w:sz="0" w:space="0" w:color="auto"/>
                <w:right w:val="none" w:sz="0" w:space="0" w:color="auto"/>
              </w:divBdr>
              <w:divsChild>
                <w:div w:id="12157748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954292898">
      <w:bodyDiv w:val="1"/>
      <w:marLeft w:val="0"/>
      <w:marRight w:val="0"/>
      <w:marTop w:val="0"/>
      <w:marBottom w:val="0"/>
      <w:divBdr>
        <w:top w:val="none" w:sz="0" w:space="0" w:color="auto"/>
        <w:left w:val="none" w:sz="0" w:space="0" w:color="auto"/>
        <w:bottom w:val="none" w:sz="0" w:space="0" w:color="auto"/>
        <w:right w:val="none" w:sz="0" w:space="0" w:color="auto"/>
      </w:divBdr>
      <w:divsChild>
        <w:div w:id="726538890">
          <w:marLeft w:val="0"/>
          <w:marRight w:val="0"/>
          <w:marTop w:val="166"/>
          <w:marBottom w:val="166"/>
          <w:divBdr>
            <w:top w:val="none" w:sz="0" w:space="0" w:color="auto"/>
            <w:left w:val="none" w:sz="0" w:space="0" w:color="auto"/>
            <w:bottom w:val="none" w:sz="0" w:space="0" w:color="auto"/>
            <w:right w:val="none" w:sz="0" w:space="0" w:color="auto"/>
          </w:divBdr>
          <w:divsChild>
            <w:div w:id="12828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6348">
      <w:bodyDiv w:val="1"/>
      <w:marLeft w:val="0"/>
      <w:marRight w:val="0"/>
      <w:marTop w:val="0"/>
      <w:marBottom w:val="0"/>
      <w:divBdr>
        <w:top w:val="none" w:sz="0" w:space="0" w:color="auto"/>
        <w:left w:val="none" w:sz="0" w:space="0" w:color="auto"/>
        <w:bottom w:val="none" w:sz="0" w:space="0" w:color="auto"/>
        <w:right w:val="none" w:sz="0" w:space="0" w:color="auto"/>
      </w:divBdr>
    </w:div>
    <w:div w:id="1224638244">
      <w:bodyDiv w:val="1"/>
      <w:marLeft w:val="0"/>
      <w:marRight w:val="0"/>
      <w:marTop w:val="0"/>
      <w:marBottom w:val="0"/>
      <w:divBdr>
        <w:top w:val="none" w:sz="0" w:space="0" w:color="auto"/>
        <w:left w:val="none" w:sz="0" w:space="0" w:color="auto"/>
        <w:bottom w:val="none" w:sz="0" w:space="0" w:color="auto"/>
        <w:right w:val="none" w:sz="0" w:space="0" w:color="auto"/>
      </w:divBdr>
    </w:div>
    <w:div w:id="1226792345">
      <w:bodyDiv w:val="1"/>
      <w:marLeft w:val="0"/>
      <w:marRight w:val="0"/>
      <w:marTop w:val="0"/>
      <w:marBottom w:val="0"/>
      <w:divBdr>
        <w:top w:val="none" w:sz="0" w:space="0" w:color="auto"/>
        <w:left w:val="none" w:sz="0" w:space="0" w:color="auto"/>
        <w:bottom w:val="none" w:sz="0" w:space="0" w:color="auto"/>
        <w:right w:val="none" w:sz="0" w:space="0" w:color="auto"/>
      </w:divBdr>
      <w:divsChild>
        <w:div w:id="611087930">
          <w:marLeft w:val="0"/>
          <w:marRight w:val="0"/>
          <w:marTop w:val="0"/>
          <w:marBottom w:val="0"/>
          <w:divBdr>
            <w:top w:val="none" w:sz="0" w:space="0" w:color="auto"/>
            <w:left w:val="none" w:sz="0" w:space="0" w:color="auto"/>
            <w:bottom w:val="none" w:sz="0" w:space="0" w:color="auto"/>
            <w:right w:val="none" w:sz="0" w:space="0" w:color="auto"/>
          </w:divBdr>
        </w:div>
        <w:div w:id="918179611">
          <w:marLeft w:val="0"/>
          <w:marRight w:val="0"/>
          <w:marTop w:val="0"/>
          <w:marBottom w:val="0"/>
          <w:divBdr>
            <w:top w:val="none" w:sz="0" w:space="0" w:color="auto"/>
            <w:left w:val="none" w:sz="0" w:space="0" w:color="auto"/>
            <w:bottom w:val="none" w:sz="0" w:space="0" w:color="auto"/>
            <w:right w:val="none" w:sz="0" w:space="0" w:color="auto"/>
          </w:divBdr>
        </w:div>
        <w:div w:id="1507743837">
          <w:marLeft w:val="0"/>
          <w:marRight w:val="0"/>
          <w:marTop w:val="0"/>
          <w:marBottom w:val="0"/>
          <w:divBdr>
            <w:top w:val="none" w:sz="0" w:space="0" w:color="auto"/>
            <w:left w:val="none" w:sz="0" w:space="0" w:color="auto"/>
            <w:bottom w:val="none" w:sz="0" w:space="0" w:color="auto"/>
            <w:right w:val="none" w:sz="0" w:space="0" w:color="auto"/>
          </w:divBdr>
        </w:div>
        <w:div w:id="486047376">
          <w:marLeft w:val="0"/>
          <w:marRight w:val="0"/>
          <w:marTop w:val="0"/>
          <w:marBottom w:val="0"/>
          <w:divBdr>
            <w:top w:val="none" w:sz="0" w:space="0" w:color="auto"/>
            <w:left w:val="none" w:sz="0" w:space="0" w:color="auto"/>
            <w:bottom w:val="none" w:sz="0" w:space="0" w:color="auto"/>
            <w:right w:val="none" w:sz="0" w:space="0" w:color="auto"/>
          </w:divBdr>
        </w:div>
        <w:div w:id="449252072">
          <w:marLeft w:val="0"/>
          <w:marRight w:val="0"/>
          <w:marTop w:val="0"/>
          <w:marBottom w:val="0"/>
          <w:divBdr>
            <w:top w:val="none" w:sz="0" w:space="0" w:color="auto"/>
            <w:left w:val="none" w:sz="0" w:space="0" w:color="auto"/>
            <w:bottom w:val="none" w:sz="0" w:space="0" w:color="auto"/>
            <w:right w:val="none" w:sz="0" w:space="0" w:color="auto"/>
          </w:divBdr>
        </w:div>
        <w:div w:id="1973750106">
          <w:marLeft w:val="0"/>
          <w:marRight w:val="0"/>
          <w:marTop w:val="0"/>
          <w:marBottom w:val="0"/>
          <w:divBdr>
            <w:top w:val="none" w:sz="0" w:space="0" w:color="auto"/>
            <w:left w:val="none" w:sz="0" w:space="0" w:color="auto"/>
            <w:bottom w:val="none" w:sz="0" w:space="0" w:color="auto"/>
            <w:right w:val="none" w:sz="0" w:space="0" w:color="auto"/>
          </w:divBdr>
        </w:div>
        <w:div w:id="1301884432">
          <w:marLeft w:val="0"/>
          <w:marRight w:val="0"/>
          <w:marTop w:val="0"/>
          <w:marBottom w:val="0"/>
          <w:divBdr>
            <w:top w:val="none" w:sz="0" w:space="0" w:color="auto"/>
            <w:left w:val="none" w:sz="0" w:space="0" w:color="auto"/>
            <w:bottom w:val="none" w:sz="0" w:space="0" w:color="auto"/>
            <w:right w:val="none" w:sz="0" w:space="0" w:color="auto"/>
          </w:divBdr>
        </w:div>
        <w:div w:id="774864624">
          <w:marLeft w:val="0"/>
          <w:marRight w:val="0"/>
          <w:marTop w:val="0"/>
          <w:marBottom w:val="0"/>
          <w:divBdr>
            <w:top w:val="none" w:sz="0" w:space="0" w:color="auto"/>
            <w:left w:val="none" w:sz="0" w:space="0" w:color="auto"/>
            <w:bottom w:val="none" w:sz="0" w:space="0" w:color="auto"/>
            <w:right w:val="none" w:sz="0" w:space="0" w:color="auto"/>
          </w:divBdr>
        </w:div>
        <w:div w:id="1936089742">
          <w:marLeft w:val="0"/>
          <w:marRight w:val="0"/>
          <w:marTop w:val="0"/>
          <w:marBottom w:val="0"/>
          <w:divBdr>
            <w:top w:val="none" w:sz="0" w:space="0" w:color="auto"/>
            <w:left w:val="none" w:sz="0" w:space="0" w:color="auto"/>
            <w:bottom w:val="none" w:sz="0" w:space="0" w:color="auto"/>
            <w:right w:val="none" w:sz="0" w:space="0" w:color="auto"/>
          </w:divBdr>
        </w:div>
        <w:div w:id="280116334">
          <w:marLeft w:val="0"/>
          <w:marRight w:val="0"/>
          <w:marTop w:val="0"/>
          <w:marBottom w:val="0"/>
          <w:divBdr>
            <w:top w:val="none" w:sz="0" w:space="0" w:color="auto"/>
            <w:left w:val="none" w:sz="0" w:space="0" w:color="auto"/>
            <w:bottom w:val="none" w:sz="0" w:space="0" w:color="auto"/>
            <w:right w:val="none" w:sz="0" w:space="0" w:color="auto"/>
          </w:divBdr>
        </w:div>
        <w:div w:id="1805927936">
          <w:marLeft w:val="0"/>
          <w:marRight w:val="0"/>
          <w:marTop w:val="0"/>
          <w:marBottom w:val="0"/>
          <w:divBdr>
            <w:top w:val="none" w:sz="0" w:space="0" w:color="auto"/>
            <w:left w:val="none" w:sz="0" w:space="0" w:color="auto"/>
            <w:bottom w:val="none" w:sz="0" w:space="0" w:color="auto"/>
            <w:right w:val="none" w:sz="0" w:space="0" w:color="auto"/>
          </w:divBdr>
        </w:div>
        <w:div w:id="379017278">
          <w:marLeft w:val="0"/>
          <w:marRight w:val="0"/>
          <w:marTop w:val="0"/>
          <w:marBottom w:val="0"/>
          <w:divBdr>
            <w:top w:val="none" w:sz="0" w:space="0" w:color="auto"/>
            <w:left w:val="none" w:sz="0" w:space="0" w:color="auto"/>
            <w:bottom w:val="none" w:sz="0" w:space="0" w:color="auto"/>
            <w:right w:val="none" w:sz="0" w:space="0" w:color="auto"/>
          </w:divBdr>
        </w:div>
        <w:div w:id="1858343474">
          <w:marLeft w:val="0"/>
          <w:marRight w:val="0"/>
          <w:marTop w:val="0"/>
          <w:marBottom w:val="0"/>
          <w:divBdr>
            <w:top w:val="none" w:sz="0" w:space="0" w:color="auto"/>
            <w:left w:val="none" w:sz="0" w:space="0" w:color="auto"/>
            <w:bottom w:val="none" w:sz="0" w:space="0" w:color="auto"/>
            <w:right w:val="none" w:sz="0" w:space="0" w:color="auto"/>
          </w:divBdr>
        </w:div>
        <w:div w:id="95564126">
          <w:marLeft w:val="0"/>
          <w:marRight w:val="0"/>
          <w:marTop w:val="0"/>
          <w:marBottom w:val="0"/>
          <w:divBdr>
            <w:top w:val="none" w:sz="0" w:space="0" w:color="auto"/>
            <w:left w:val="none" w:sz="0" w:space="0" w:color="auto"/>
            <w:bottom w:val="none" w:sz="0" w:space="0" w:color="auto"/>
            <w:right w:val="none" w:sz="0" w:space="0" w:color="auto"/>
          </w:divBdr>
        </w:div>
        <w:div w:id="2020890606">
          <w:marLeft w:val="0"/>
          <w:marRight w:val="0"/>
          <w:marTop w:val="0"/>
          <w:marBottom w:val="0"/>
          <w:divBdr>
            <w:top w:val="none" w:sz="0" w:space="0" w:color="auto"/>
            <w:left w:val="none" w:sz="0" w:space="0" w:color="auto"/>
            <w:bottom w:val="none" w:sz="0" w:space="0" w:color="auto"/>
            <w:right w:val="none" w:sz="0" w:space="0" w:color="auto"/>
          </w:divBdr>
        </w:div>
        <w:div w:id="1811753625">
          <w:marLeft w:val="0"/>
          <w:marRight w:val="0"/>
          <w:marTop w:val="0"/>
          <w:marBottom w:val="0"/>
          <w:divBdr>
            <w:top w:val="none" w:sz="0" w:space="0" w:color="auto"/>
            <w:left w:val="none" w:sz="0" w:space="0" w:color="auto"/>
            <w:bottom w:val="none" w:sz="0" w:space="0" w:color="auto"/>
            <w:right w:val="none" w:sz="0" w:space="0" w:color="auto"/>
          </w:divBdr>
        </w:div>
      </w:divsChild>
    </w:div>
    <w:div w:id="1260942008">
      <w:bodyDiv w:val="1"/>
      <w:marLeft w:val="0"/>
      <w:marRight w:val="0"/>
      <w:marTop w:val="0"/>
      <w:marBottom w:val="0"/>
      <w:divBdr>
        <w:top w:val="none" w:sz="0" w:space="0" w:color="auto"/>
        <w:left w:val="none" w:sz="0" w:space="0" w:color="auto"/>
        <w:bottom w:val="none" w:sz="0" w:space="0" w:color="auto"/>
        <w:right w:val="none" w:sz="0" w:space="0" w:color="auto"/>
      </w:divBdr>
    </w:div>
    <w:div w:id="1604607782">
      <w:bodyDiv w:val="1"/>
      <w:marLeft w:val="0"/>
      <w:marRight w:val="0"/>
      <w:marTop w:val="0"/>
      <w:marBottom w:val="0"/>
      <w:divBdr>
        <w:top w:val="none" w:sz="0" w:space="0" w:color="auto"/>
        <w:left w:val="none" w:sz="0" w:space="0" w:color="auto"/>
        <w:bottom w:val="none" w:sz="0" w:space="0" w:color="auto"/>
        <w:right w:val="none" w:sz="0" w:space="0" w:color="auto"/>
      </w:divBdr>
    </w:div>
    <w:div w:id="1661230472">
      <w:bodyDiv w:val="1"/>
      <w:marLeft w:val="0"/>
      <w:marRight w:val="0"/>
      <w:marTop w:val="0"/>
      <w:marBottom w:val="0"/>
      <w:divBdr>
        <w:top w:val="none" w:sz="0" w:space="0" w:color="auto"/>
        <w:left w:val="none" w:sz="0" w:space="0" w:color="auto"/>
        <w:bottom w:val="none" w:sz="0" w:space="0" w:color="auto"/>
        <w:right w:val="none" w:sz="0" w:space="0" w:color="auto"/>
      </w:divBdr>
    </w:div>
    <w:div w:id="1846744362">
      <w:bodyDiv w:val="1"/>
      <w:marLeft w:val="0"/>
      <w:marRight w:val="0"/>
      <w:marTop w:val="0"/>
      <w:marBottom w:val="0"/>
      <w:divBdr>
        <w:top w:val="none" w:sz="0" w:space="0" w:color="auto"/>
        <w:left w:val="none" w:sz="0" w:space="0" w:color="auto"/>
        <w:bottom w:val="none" w:sz="0" w:space="0" w:color="auto"/>
        <w:right w:val="none" w:sz="0" w:space="0" w:color="auto"/>
      </w:divBdr>
    </w:div>
    <w:div w:id="1871918545">
      <w:bodyDiv w:val="1"/>
      <w:marLeft w:val="0"/>
      <w:marRight w:val="0"/>
      <w:marTop w:val="0"/>
      <w:marBottom w:val="0"/>
      <w:divBdr>
        <w:top w:val="none" w:sz="0" w:space="0" w:color="auto"/>
        <w:left w:val="none" w:sz="0" w:space="0" w:color="auto"/>
        <w:bottom w:val="none" w:sz="0" w:space="0" w:color="auto"/>
        <w:right w:val="none" w:sz="0" w:space="0" w:color="auto"/>
      </w:divBdr>
    </w:div>
    <w:div w:id="18862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health.gov.au/internet/main/publishing.nsf/content/work-spe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pharmatimes.com/news/rx-to-otc_switch_process_time_to_be_halved_976069"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tga.gov.au/scheduling-basics" TargetMode="External"/><Relationship Id="rId25" Type="http://schemas.openxmlformats.org/officeDocument/2006/relationships/hyperlink" Target="http://www.health.gov.au/internet/main/publishing.nsf/Content/nmp-quality.htm-copy2"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youtube.com/watch?v=1YhzDp0_rWQ"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www.academia.edu/28460653/Widening_Consumer_Access_to_Medicines_A_Comparison_of_Prescription_to_Non-Prescription_Medicine_Switch_in_Australia_and_New_Zealand"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smi.com.au"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yourhealthathand.org/images/uploads/The_Value_of_OTC_Medicine_to_the_United_States_BoozCo.pdf" TargetMode="External"/><Relationship Id="rId1" Type="http://schemas.openxmlformats.org/officeDocument/2006/relationships/hyperlink" Target="http://www.asmi.com.au/media/14036/final_web_copy_asmi_valuestudy_a4.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info@asmi.com.au" TargetMode="External"/><Relationship Id="rId2" Type="http://schemas.openxmlformats.org/officeDocument/2006/relationships/hyperlink" Target="http://www.asmi.com.au" TargetMode="External"/><Relationship Id="rId1" Type="http://schemas.openxmlformats.org/officeDocument/2006/relationships/hyperlink" Target="mailto:info@asmi.com.au" TargetMode="External"/><Relationship Id="rId5" Type="http://schemas.openxmlformats.org/officeDocument/2006/relationships/image" Target="media/image6.png"/><Relationship Id="rId4" Type="http://schemas.openxmlformats.org/officeDocument/2006/relationships/hyperlink" Target="http://www.asmi.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2017FG-94-5619</_dlc_DocId>
    <TaxCatchAll xmlns="e544e5cc-ab70-42e1-849e-1a0f8bb1f4ef">
      <Value>2</Value>
    </TaxCatchAll>
    <_dlc_DocIdUrl xmlns="e544e5cc-ab70-42e1-849e-1a0f8bb1f4ef">
      <Url>http://tweb/sites/fg/bpd/_layouts/15/DocIdRedir.aspx?ID=2017FG-94-5619</Url>
      <Description>2017FG-94-5619</Description>
    </_dlc_DocIdUrl>
    <IconOverlay xmlns="http://schemas.microsoft.com/sharepoint/v4" xsi:nil="true"/>
    <Pressure_x002f_Measure xmlns="43a7eba2-7c75-424c-9682-3d9e41d868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C4314-652A-41DA-834A-B266BE454AD6}">
  <ds:schemaRefs>
    <ds:schemaRef ds:uri="office.server.policy"/>
  </ds:schemaRefs>
</ds:datastoreItem>
</file>

<file path=customXml/itemProps2.xml><?xml version="1.0" encoding="utf-8"?>
<ds:datastoreItem xmlns:ds="http://schemas.openxmlformats.org/officeDocument/2006/customXml" ds:itemID="{207A973D-6468-42CD-B6DA-2FA714C7563B}">
  <ds:schemaRefs>
    <ds:schemaRef ds:uri="http://schemas.microsoft.com/sharepoint/events"/>
  </ds:schemaRefs>
</ds:datastoreItem>
</file>

<file path=customXml/itemProps3.xml><?xml version="1.0" encoding="utf-8"?>
<ds:datastoreItem xmlns:ds="http://schemas.openxmlformats.org/officeDocument/2006/customXml" ds:itemID="{306F410B-5D5E-41E3-B305-5A7149A57122}">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4.xml><?xml version="1.0" encoding="utf-8"?>
<ds:datastoreItem xmlns:ds="http://schemas.openxmlformats.org/officeDocument/2006/customXml" ds:itemID="{D614C4DE-6ED5-47D5-852E-895E8EE8F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B3A30A-9FBA-482B-A329-333ECB058330}">
  <ds:schemaRefs>
    <ds:schemaRef ds:uri="http://schemas.microsoft.com/sharepoint/v3/contenttype/forms"/>
  </ds:schemaRefs>
</ds:datastoreItem>
</file>

<file path=customXml/itemProps6.xml><?xml version="1.0" encoding="utf-8"?>
<ds:datastoreItem xmlns:ds="http://schemas.openxmlformats.org/officeDocument/2006/customXml" ds:itemID="{3B17F6C6-D952-4D0D-B48A-3E4B1391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2630</Words>
  <Characters>15648</Characters>
  <Application>Microsoft Office Word</Application>
  <DocSecurity>0</DocSecurity>
  <Lines>298</Lines>
  <Paragraphs>100</Paragraphs>
  <ScaleCrop>false</ScaleCrop>
  <Company/>
  <LinksUpToDate>false</LinksUpToDate>
  <CharactersWithSpaces>18267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Self Medication Industry Submission - 2017-18 Pre-Budget Submission</dc:title>
  <dc:creator/>
  <cp:lastModifiedBy/>
  <cp:revision>1</cp:revision>
  <dcterms:created xsi:type="dcterms:W3CDTF">2017-02-14T04:01:00Z</dcterms:created>
  <dcterms:modified xsi:type="dcterms:W3CDTF">2017-02-14T04:01:00Z</dcterms:modified>
  <dc:language>English</dc:language>
</cp:coreProperties>
</file>