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AF" w:rsidRDefault="008E0896" w:rsidP="00175DAF">
      <w:pPr>
        <w:pStyle w:val="Default"/>
        <w:rPr>
          <w:rFonts w:asciiTheme="minorHAnsi" w:hAnsiTheme="minorHAnsi" w:cstheme="minorBidi"/>
          <w:color w:val="000000" w:themeColor="text1"/>
          <w:sz w:val="20"/>
          <w:szCs w:val="20"/>
        </w:rPr>
      </w:pPr>
      <w:bookmarkStart w:id="0" w:name="_GoBack"/>
      <w:bookmarkEnd w:id="0"/>
      <w:r>
        <w:rPr>
          <w:rFonts w:asciiTheme="minorHAnsi" w:hAnsiTheme="minorHAnsi" w:cstheme="minorBidi"/>
          <w:noProof/>
          <w:color w:val="000000" w:themeColor="text1"/>
          <w:sz w:val="20"/>
          <w:szCs w:val="20"/>
          <w:lang w:eastAsia="en-AU"/>
        </w:rPr>
        <w:drawing>
          <wp:anchor distT="0" distB="0" distL="114300" distR="114300" simplePos="0" relativeHeight="251659264" behindDoc="1" locked="0" layoutInCell="1" allowOverlap="1" wp14:anchorId="3A414BAA" wp14:editId="76008A21">
            <wp:simplePos x="0" y="0"/>
            <wp:positionH relativeFrom="column">
              <wp:posOffset>4638675</wp:posOffset>
            </wp:positionH>
            <wp:positionV relativeFrom="paragraph">
              <wp:posOffset>-160655</wp:posOffset>
            </wp:positionV>
            <wp:extent cx="1127125" cy="838835"/>
            <wp:effectExtent l="0" t="0" r="0" b="0"/>
            <wp:wrapTight wrapText="bothSides">
              <wp:wrapPolygon edited="0">
                <wp:start x="0" y="0"/>
                <wp:lineTo x="0" y="21093"/>
                <wp:lineTo x="21174" y="21093"/>
                <wp:lineTo x="21174" y="0"/>
                <wp:lineTo x="0" y="0"/>
              </wp:wrapPolygon>
            </wp:wrapTight>
            <wp:docPr id="4" name="Picture 4" descr="S:\Administration\AMPAG Logo\AMPAG (Logos)\002 AMPAG Primary Logo internal use\AMPAG JPG small for Microsoft Word\AMPAG PRIMARY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ministration\AMPAG Logo\AMPAG (Logos)\002 AMPAG Primary Logo internal use\AMPAG JPG small for Microsoft Word\AMPAG PRIMARY LOGO CMY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12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7852">
        <w:rPr>
          <w:rFonts w:asciiTheme="minorHAnsi" w:hAnsiTheme="minorHAnsi" w:cstheme="minorBidi"/>
          <w:color w:val="000000" w:themeColor="text1"/>
          <w:sz w:val="20"/>
          <w:szCs w:val="20"/>
        </w:rPr>
        <w:t>19 January 2017</w:t>
      </w:r>
    </w:p>
    <w:p w:rsidR="00617852" w:rsidRPr="008A47AB" w:rsidRDefault="00617852" w:rsidP="00175DAF">
      <w:pPr>
        <w:pStyle w:val="Default"/>
        <w:rPr>
          <w:rFonts w:asciiTheme="minorHAnsi" w:hAnsiTheme="minorHAnsi" w:cstheme="minorBidi"/>
          <w:color w:val="000000" w:themeColor="text1"/>
          <w:sz w:val="20"/>
          <w:szCs w:val="20"/>
        </w:rPr>
      </w:pPr>
    </w:p>
    <w:p w:rsidR="008E0896" w:rsidRDefault="008E0896" w:rsidP="00175DAF">
      <w:pPr>
        <w:pStyle w:val="Default"/>
        <w:rPr>
          <w:rFonts w:asciiTheme="minorHAnsi" w:hAnsiTheme="minorHAnsi" w:cstheme="minorBidi"/>
          <w:color w:val="000000" w:themeColor="text1"/>
          <w:sz w:val="20"/>
          <w:szCs w:val="20"/>
        </w:rPr>
      </w:pPr>
    </w:p>
    <w:p w:rsidR="008E0896" w:rsidRDefault="008E0896" w:rsidP="00175DAF">
      <w:pPr>
        <w:pStyle w:val="Default"/>
        <w:rPr>
          <w:rFonts w:asciiTheme="minorHAnsi" w:hAnsiTheme="minorHAnsi" w:cstheme="minorBidi"/>
          <w:color w:val="000000" w:themeColor="text1"/>
          <w:sz w:val="20"/>
          <w:szCs w:val="20"/>
        </w:rPr>
      </w:pPr>
    </w:p>
    <w:p w:rsidR="008E0896" w:rsidRDefault="008E0896" w:rsidP="00175DAF">
      <w:pPr>
        <w:pStyle w:val="Default"/>
        <w:rPr>
          <w:rFonts w:asciiTheme="minorHAnsi" w:hAnsiTheme="minorHAnsi" w:cstheme="minorBidi"/>
          <w:color w:val="000000" w:themeColor="text1"/>
          <w:sz w:val="20"/>
          <w:szCs w:val="20"/>
        </w:rPr>
      </w:pPr>
      <w:r>
        <w:rPr>
          <w:rFonts w:asciiTheme="minorHAnsi" w:hAnsiTheme="minorHAnsi" w:cstheme="minorBidi"/>
          <w:noProof/>
          <w:color w:val="000000" w:themeColor="text1"/>
          <w:sz w:val="20"/>
          <w:szCs w:val="20"/>
          <w:lang w:eastAsia="en-AU"/>
        </w:rPr>
        <w:drawing>
          <wp:anchor distT="0" distB="0" distL="114300" distR="114300" simplePos="0" relativeHeight="251660288" behindDoc="1" locked="0" layoutInCell="1" allowOverlap="1" wp14:anchorId="7970741C" wp14:editId="6A235DB7">
            <wp:simplePos x="0" y="0"/>
            <wp:positionH relativeFrom="column">
              <wp:posOffset>3375025</wp:posOffset>
            </wp:positionH>
            <wp:positionV relativeFrom="paragraph">
              <wp:posOffset>113665</wp:posOffset>
            </wp:positionV>
            <wp:extent cx="2421890" cy="80010"/>
            <wp:effectExtent l="0" t="0" r="0" b="0"/>
            <wp:wrapTight wrapText="bothSides">
              <wp:wrapPolygon edited="0">
                <wp:start x="0" y="0"/>
                <wp:lineTo x="0" y="15429"/>
                <wp:lineTo x="21407" y="15429"/>
                <wp:lineTo x="214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AG WORDMARK CMYK black.jpg"/>
                    <pic:cNvPicPr/>
                  </pic:nvPicPr>
                  <pic:blipFill>
                    <a:blip r:embed="rId15">
                      <a:extLst>
                        <a:ext uri="{28A0092B-C50C-407E-A947-70E740481C1C}">
                          <a14:useLocalDpi xmlns:a14="http://schemas.microsoft.com/office/drawing/2010/main" val="0"/>
                        </a:ext>
                      </a:extLst>
                    </a:blip>
                    <a:stretch>
                      <a:fillRect/>
                    </a:stretch>
                  </pic:blipFill>
                  <pic:spPr>
                    <a:xfrm>
                      <a:off x="0" y="0"/>
                      <a:ext cx="2421890" cy="80010"/>
                    </a:xfrm>
                    <a:prstGeom prst="rect">
                      <a:avLst/>
                    </a:prstGeom>
                  </pic:spPr>
                </pic:pic>
              </a:graphicData>
            </a:graphic>
            <wp14:sizeRelH relativeFrom="page">
              <wp14:pctWidth>0</wp14:pctWidth>
            </wp14:sizeRelH>
            <wp14:sizeRelV relativeFrom="page">
              <wp14:pctHeight>0</wp14:pctHeight>
            </wp14:sizeRelV>
          </wp:anchor>
        </w:drawing>
      </w:r>
    </w:p>
    <w:p w:rsidR="008E0896" w:rsidRDefault="008E0896" w:rsidP="00175DAF">
      <w:pPr>
        <w:pStyle w:val="Default"/>
        <w:rPr>
          <w:rFonts w:asciiTheme="minorHAnsi" w:hAnsiTheme="minorHAnsi" w:cstheme="minorBidi"/>
          <w:color w:val="000000" w:themeColor="text1"/>
          <w:sz w:val="20"/>
          <w:szCs w:val="20"/>
        </w:rPr>
      </w:pPr>
    </w:p>
    <w:p w:rsidR="008E0896" w:rsidRDefault="008E0896" w:rsidP="00175DAF">
      <w:pPr>
        <w:pStyle w:val="Default"/>
        <w:rPr>
          <w:rFonts w:asciiTheme="minorHAnsi" w:hAnsiTheme="minorHAnsi" w:cstheme="minorBidi"/>
          <w:color w:val="000000" w:themeColor="text1"/>
          <w:sz w:val="20"/>
          <w:szCs w:val="20"/>
        </w:rPr>
      </w:pPr>
    </w:p>
    <w:p w:rsidR="00175DAF" w:rsidRPr="008E0896" w:rsidRDefault="008E0896" w:rsidP="00175DAF">
      <w:pPr>
        <w:pStyle w:val="Default"/>
        <w:rPr>
          <w:rFonts w:asciiTheme="minorHAnsi" w:hAnsiTheme="minorHAnsi" w:cstheme="minorBidi"/>
          <w:color w:val="000000" w:themeColor="text1"/>
          <w:sz w:val="20"/>
          <w:szCs w:val="20"/>
        </w:rPr>
      </w:pPr>
      <w:r w:rsidRPr="008E0896">
        <w:rPr>
          <w:rFonts w:asciiTheme="minorHAnsi" w:hAnsiTheme="minorHAnsi" w:cstheme="minorBidi"/>
          <w:color w:val="000000" w:themeColor="text1"/>
          <w:sz w:val="20"/>
          <w:szCs w:val="20"/>
        </w:rPr>
        <w:t>The Hon.</w:t>
      </w:r>
      <w:r w:rsidR="00175DAF" w:rsidRPr="008E0896">
        <w:rPr>
          <w:rFonts w:asciiTheme="minorHAnsi" w:hAnsiTheme="minorHAnsi" w:cstheme="minorBidi"/>
          <w:color w:val="000000" w:themeColor="text1"/>
          <w:sz w:val="20"/>
          <w:szCs w:val="20"/>
        </w:rPr>
        <w:t xml:space="preserve"> Michael McCormack</w:t>
      </w:r>
      <w:r w:rsidRPr="008E0896">
        <w:rPr>
          <w:rFonts w:asciiTheme="minorHAnsi" w:hAnsiTheme="minorHAnsi" w:cstheme="minorBidi"/>
          <w:color w:val="000000" w:themeColor="text1"/>
          <w:sz w:val="20"/>
          <w:szCs w:val="20"/>
        </w:rPr>
        <w:t xml:space="preserve"> MP</w:t>
      </w:r>
    </w:p>
    <w:p w:rsidR="00175DAF" w:rsidRPr="008E0896" w:rsidRDefault="00175DAF" w:rsidP="00175DAF">
      <w:pPr>
        <w:pStyle w:val="Default"/>
        <w:rPr>
          <w:rFonts w:asciiTheme="minorHAnsi" w:hAnsiTheme="minorHAnsi" w:cstheme="minorBidi"/>
          <w:color w:val="000000" w:themeColor="text1"/>
          <w:sz w:val="20"/>
          <w:szCs w:val="20"/>
        </w:rPr>
      </w:pPr>
      <w:r w:rsidRPr="008E0896">
        <w:rPr>
          <w:rFonts w:asciiTheme="minorHAnsi" w:hAnsiTheme="minorHAnsi" w:cstheme="minorBidi"/>
          <w:color w:val="000000" w:themeColor="text1"/>
          <w:sz w:val="20"/>
          <w:szCs w:val="20"/>
        </w:rPr>
        <w:t>Minister for Small Business</w:t>
      </w:r>
    </w:p>
    <w:p w:rsidR="008B2A8A" w:rsidRPr="008A47AB" w:rsidRDefault="008E0896" w:rsidP="00175DAF">
      <w:pPr>
        <w:pStyle w:val="Default"/>
        <w:rPr>
          <w:rFonts w:asciiTheme="minorHAnsi" w:hAnsiTheme="minorHAnsi" w:cstheme="minorBidi"/>
          <w:color w:val="000000" w:themeColor="text1"/>
          <w:sz w:val="20"/>
          <w:szCs w:val="20"/>
        </w:rPr>
      </w:pPr>
      <w:r w:rsidRPr="008E0896">
        <w:rPr>
          <w:rFonts w:asciiTheme="minorHAnsi" w:hAnsiTheme="minorHAnsi" w:cstheme="minorBidi"/>
          <w:color w:val="000000" w:themeColor="text1"/>
          <w:sz w:val="20"/>
          <w:szCs w:val="20"/>
        </w:rPr>
        <w:t>PO Box 6022</w:t>
      </w:r>
      <w:r w:rsidRPr="008E0896">
        <w:rPr>
          <w:rFonts w:asciiTheme="minorHAnsi" w:hAnsiTheme="minorHAnsi" w:cstheme="minorBidi"/>
          <w:color w:val="000000" w:themeColor="text1"/>
          <w:sz w:val="20"/>
          <w:szCs w:val="20"/>
        </w:rPr>
        <w:br/>
        <w:t>House of Representatives</w:t>
      </w:r>
      <w:r w:rsidRPr="008E0896">
        <w:rPr>
          <w:rFonts w:asciiTheme="minorHAnsi" w:hAnsiTheme="minorHAnsi" w:cstheme="minorBidi"/>
          <w:color w:val="000000" w:themeColor="text1"/>
          <w:sz w:val="20"/>
          <w:szCs w:val="20"/>
        </w:rPr>
        <w:br/>
        <w:t>Parliament House</w:t>
      </w:r>
      <w:r w:rsidRPr="008E0896">
        <w:rPr>
          <w:rFonts w:asciiTheme="minorHAnsi" w:hAnsiTheme="minorHAnsi" w:cstheme="minorBidi"/>
          <w:color w:val="000000" w:themeColor="text1"/>
          <w:sz w:val="20"/>
          <w:szCs w:val="20"/>
        </w:rPr>
        <w:br/>
        <w:t>Canberra ACT 2600</w:t>
      </w:r>
    </w:p>
    <w:p w:rsidR="008B2A8A" w:rsidRPr="008A47AB" w:rsidRDefault="008B2A8A" w:rsidP="00175DAF">
      <w:pPr>
        <w:pStyle w:val="Default"/>
        <w:rPr>
          <w:rFonts w:asciiTheme="minorHAnsi" w:hAnsiTheme="minorHAnsi" w:cstheme="minorBidi"/>
          <w:color w:val="000000" w:themeColor="text1"/>
          <w:sz w:val="20"/>
          <w:szCs w:val="20"/>
        </w:rPr>
      </w:pPr>
    </w:p>
    <w:p w:rsidR="00175DAF" w:rsidRPr="008A47AB" w:rsidRDefault="00175DAF" w:rsidP="00175DAF">
      <w:pPr>
        <w:pStyle w:val="Default"/>
        <w:rPr>
          <w:rFonts w:asciiTheme="minorHAnsi" w:hAnsiTheme="minorHAnsi" w:cstheme="minorBidi"/>
          <w:color w:val="000000" w:themeColor="text1"/>
          <w:sz w:val="20"/>
          <w:szCs w:val="20"/>
        </w:rPr>
      </w:pPr>
    </w:p>
    <w:p w:rsidR="00175DAF" w:rsidRPr="008A47AB" w:rsidRDefault="00175DAF" w:rsidP="00175DAF">
      <w:pPr>
        <w:pStyle w:val="Default"/>
        <w:rPr>
          <w:rFonts w:asciiTheme="minorHAnsi" w:hAnsiTheme="minorHAnsi" w:cstheme="minorBidi"/>
          <w:color w:val="000000" w:themeColor="text1"/>
          <w:sz w:val="20"/>
          <w:szCs w:val="20"/>
        </w:rPr>
      </w:pPr>
    </w:p>
    <w:p w:rsidR="00175DAF" w:rsidRPr="008A47AB" w:rsidRDefault="00175DAF" w:rsidP="00175DAF">
      <w:pPr>
        <w:pStyle w:val="Default"/>
        <w:rPr>
          <w:rFonts w:asciiTheme="minorHAnsi" w:hAnsiTheme="minorHAnsi" w:cstheme="minorBidi"/>
          <w:color w:val="000000" w:themeColor="text1"/>
          <w:sz w:val="20"/>
          <w:szCs w:val="20"/>
        </w:rPr>
      </w:pPr>
      <w:r w:rsidRPr="008A47AB">
        <w:rPr>
          <w:rFonts w:asciiTheme="minorHAnsi" w:hAnsiTheme="minorHAnsi" w:cstheme="minorBidi"/>
          <w:color w:val="000000" w:themeColor="text1"/>
          <w:sz w:val="20"/>
          <w:szCs w:val="20"/>
        </w:rPr>
        <w:t>Dear Minister,</w:t>
      </w:r>
    </w:p>
    <w:p w:rsidR="00175DAF" w:rsidRPr="008A47AB" w:rsidRDefault="00175DAF" w:rsidP="00175DAF">
      <w:pPr>
        <w:pStyle w:val="Default"/>
        <w:rPr>
          <w:rFonts w:asciiTheme="minorHAnsi" w:hAnsiTheme="minorHAnsi" w:cstheme="minorBidi"/>
          <w:b/>
          <w:color w:val="000000" w:themeColor="text1"/>
          <w:sz w:val="20"/>
          <w:szCs w:val="20"/>
        </w:rPr>
      </w:pPr>
    </w:p>
    <w:p w:rsidR="00175DAF" w:rsidRPr="008A47AB" w:rsidRDefault="00175DAF" w:rsidP="00175DAF">
      <w:pPr>
        <w:pStyle w:val="Default"/>
        <w:rPr>
          <w:rFonts w:asciiTheme="minorHAnsi" w:hAnsiTheme="minorHAnsi" w:cstheme="minorBidi"/>
          <w:b/>
          <w:color w:val="000000" w:themeColor="text1"/>
          <w:sz w:val="20"/>
          <w:szCs w:val="20"/>
        </w:rPr>
      </w:pPr>
      <w:r w:rsidRPr="008A47AB">
        <w:rPr>
          <w:rFonts w:asciiTheme="minorHAnsi" w:hAnsiTheme="minorHAnsi" w:cstheme="minorBidi"/>
          <w:b/>
          <w:color w:val="000000" w:themeColor="text1"/>
          <w:sz w:val="20"/>
          <w:szCs w:val="20"/>
        </w:rPr>
        <w:softHyphen/>
      </w:r>
      <w:r w:rsidRPr="008A47AB">
        <w:rPr>
          <w:rFonts w:asciiTheme="minorHAnsi" w:hAnsiTheme="minorHAnsi" w:cstheme="minorBidi"/>
          <w:b/>
          <w:color w:val="000000" w:themeColor="text1"/>
          <w:sz w:val="20"/>
          <w:szCs w:val="20"/>
        </w:rPr>
        <w:softHyphen/>
      </w:r>
      <w:r w:rsidRPr="008A47AB">
        <w:rPr>
          <w:rFonts w:asciiTheme="minorHAnsi" w:hAnsiTheme="minorHAnsi" w:cstheme="minorBidi"/>
          <w:b/>
          <w:color w:val="000000" w:themeColor="text1"/>
          <w:sz w:val="20"/>
          <w:szCs w:val="20"/>
        </w:rPr>
        <w:softHyphen/>
        <w:t>AMPAG Pre-Budget Submission on priorities for the 2017</w:t>
      </w:r>
      <w:r w:rsidR="00F74C88" w:rsidRPr="008A47AB">
        <w:rPr>
          <w:rFonts w:asciiTheme="minorHAnsi" w:hAnsiTheme="minorHAnsi" w:cstheme="minorBidi"/>
          <w:b/>
          <w:color w:val="000000" w:themeColor="text1"/>
          <w:sz w:val="20"/>
          <w:szCs w:val="20"/>
        </w:rPr>
        <w:t>–</w:t>
      </w:r>
      <w:r w:rsidRPr="008A47AB">
        <w:rPr>
          <w:rFonts w:asciiTheme="minorHAnsi" w:hAnsiTheme="minorHAnsi" w:cstheme="minorBidi"/>
          <w:b/>
          <w:color w:val="000000" w:themeColor="text1"/>
          <w:sz w:val="20"/>
          <w:szCs w:val="20"/>
        </w:rPr>
        <w:t>18 Federal Budget</w:t>
      </w:r>
    </w:p>
    <w:p w:rsidR="00175DAF" w:rsidRPr="008A47AB" w:rsidRDefault="00175DAF" w:rsidP="00175DAF">
      <w:pPr>
        <w:pStyle w:val="Default"/>
        <w:rPr>
          <w:rFonts w:asciiTheme="minorHAnsi" w:hAnsiTheme="minorHAnsi" w:cstheme="minorBidi"/>
          <w:b/>
          <w:color w:val="000000" w:themeColor="text1"/>
          <w:sz w:val="20"/>
          <w:szCs w:val="20"/>
        </w:rPr>
      </w:pPr>
    </w:p>
    <w:p w:rsidR="00FB63E4" w:rsidRPr="008A47AB" w:rsidRDefault="00FB63E4" w:rsidP="00FB63E4">
      <w:pPr>
        <w:rPr>
          <w:color w:val="000000" w:themeColor="text1"/>
          <w:sz w:val="20"/>
          <w:szCs w:val="20"/>
        </w:rPr>
      </w:pPr>
      <w:r w:rsidRPr="008A47AB">
        <w:rPr>
          <w:color w:val="000000" w:themeColor="text1"/>
          <w:sz w:val="20"/>
          <w:szCs w:val="20"/>
        </w:rPr>
        <w:t xml:space="preserve">The Australian Major Performing Arts Group, or AMPAG, is the umbrella group for Australia's major performing arts companies (MPAs) who inspire millions through theatre, circus, contemporary dance, classical ballet, classical music, opera, musicals and comedy. </w:t>
      </w:r>
      <w:r w:rsidRPr="008A47AB">
        <w:rPr>
          <w:color w:val="C00000"/>
          <w:sz w:val="20"/>
          <w:szCs w:val="20"/>
        </w:rPr>
        <w:t xml:space="preserve">See Appendix 1 </w:t>
      </w:r>
      <w:r w:rsidRPr="008A47AB">
        <w:rPr>
          <w:color w:val="000000" w:themeColor="text1"/>
          <w:sz w:val="20"/>
          <w:szCs w:val="20"/>
        </w:rPr>
        <w:t>for the full list of member companies.</w:t>
      </w:r>
    </w:p>
    <w:p w:rsidR="00FB63E4" w:rsidRPr="008A47AB" w:rsidRDefault="00FB63E4" w:rsidP="00FB63E4">
      <w:pPr>
        <w:autoSpaceDE w:val="0"/>
        <w:autoSpaceDN w:val="0"/>
        <w:adjustRightInd w:val="0"/>
        <w:spacing w:after="240"/>
        <w:rPr>
          <w:color w:val="000000" w:themeColor="text1"/>
          <w:sz w:val="20"/>
          <w:szCs w:val="20"/>
        </w:rPr>
      </w:pPr>
      <w:r w:rsidRPr="008A47AB">
        <w:rPr>
          <w:color w:val="000000" w:themeColor="text1"/>
          <w:sz w:val="20"/>
          <w:szCs w:val="20"/>
        </w:rPr>
        <w:t>The MPAs are Australia’s iconic cultural institutions for performance who:</w:t>
      </w:r>
    </w:p>
    <w:p w:rsidR="00FB63E4" w:rsidRPr="008A47AB" w:rsidRDefault="00FB63E4" w:rsidP="00AD0CF2">
      <w:pPr>
        <w:pStyle w:val="ListParagraph"/>
        <w:numPr>
          <w:ilvl w:val="0"/>
          <w:numId w:val="1"/>
        </w:numPr>
        <w:autoSpaceDE w:val="0"/>
        <w:autoSpaceDN w:val="0"/>
        <w:adjustRightInd w:val="0"/>
        <w:spacing w:after="0" w:line="240" w:lineRule="auto"/>
        <w:ind w:left="714" w:hanging="357"/>
        <w:contextualSpacing w:val="0"/>
        <w:rPr>
          <w:color w:val="000000" w:themeColor="text1"/>
          <w:sz w:val="20"/>
          <w:szCs w:val="20"/>
        </w:rPr>
      </w:pPr>
      <w:r w:rsidRPr="008A47AB">
        <w:rPr>
          <w:color w:val="000000" w:themeColor="text1"/>
          <w:sz w:val="20"/>
          <w:szCs w:val="20"/>
        </w:rPr>
        <w:t>expand our nation’s reputation across art forms;</w:t>
      </w:r>
    </w:p>
    <w:p w:rsidR="00FB63E4" w:rsidRPr="008A47AB" w:rsidRDefault="00FB63E4" w:rsidP="00AD0CF2">
      <w:pPr>
        <w:pStyle w:val="ListParagraph"/>
        <w:numPr>
          <w:ilvl w:val="0"/>
          <w:numId w:val="1"/>
        </w:numPr>
        <w:autoSpaceDE w:val="0"/>
        <w:autoSpaceDN w:val="0"/>
        <w:adjustRightInd w:val="0"/>
        <w:spacing w:after="0" w:line="240" w:lineRule="auto"/>
        <w:ind w:left="714" w:hanging="357"/>
        <w:contextualSpacing w:val="0"/>
        <w:rPr>
          <w:color w:val="000000" w:themeColor="text1"/>
          <w:sz w:val="20"/>
          <w:szCs w:val="20"/>
        </w:rPr>
      </w:pPr>
      <w:r w:rsidRPr="008A47AB">
        <w:rPr>
          <w:color w:val="000000" w:themeColor="text1"/>
          <w:sz w:val="20"/>
          <w:szCs w:val="20"/>
        </w:rPr>
        <w:t xml:space="preserve">provide substantial and stable employment across artistic and creative disciplines; </w:t>
      </w:r>
    </w:p>
    <w:p w:rsidR="00FB63E4" w:rsidRPr="008A47AB" w:rsidRDefault="00FB63E4" w:rsidP="00AD0CF2">
      <w:pPr>
        <w:pStyle w:val="ListParagraph"/>
        <w:numPr>
          <w:ilvl w:val="0"/>
          <w:numId w:val="1"/>
        </w:numPr>
        <w:autoSpaceDE w:val="0"/>
        <w:autoSpaceDN w:val="0"/>
        <w:adjustRightInd w:val="0"/>
        <w:spacing w:after="0" w:line="240" w:lineRule="auto"/>
        <w:ind w:left="714" w:hanging="357"/>
        <w:contextualSpacing w:val="0"/>
        <w:rPr>
          <w:color w:val="000000" w:themeColor="text1"/>
          <w:sz w:val="20"/>
          <w:szCs w:val="20"/>
        </w:rPr>
      </w:pPr>
      <w:r w:rsidRPr="008A47AB">
        <w:rPr>
          <w:color w:val="000000" w:themeColor="text1"/>
          <w:sz w:val="20"/>
          <w:szCs w:val="20"/>
        </w:rPr>
        <w:t xml:space="preserve">drive R&amp;D with diversity of content and commissioning of major new works; </w:t>
      </w:r>
    </w:p>
    <w:p w:rsidR="00FB63E4" w:rsidRPr="008A47AB" w:rsidRDefault="00FB63E4" w:rsidP="00AD0CF2">
      <w:pPr>
        <w:pStyle w:val="ListParagraph"/>
        <w:numPr>
          <w:ilvl w:val="0"/>
          <w:numId w:val="1"/>
        </w:numPr>
        <w:autoSpaceDE w:val="0"/>
        <w:autoSpaceDN w:val="0"/>
        <w:adjustRightInd w:val="0"/>
        <w:spacing w:after="0" w:line="240" w:lineRule="auto"/>
        <w:ind w:left="714" w:hanging="357"/>
        <w:contextualSpacing w:val="0"/>
        <w:rPr>
          <w:color w:val="000000" w:themeColor="text1"/>
          <w:sz w:val="20"/>
          <w:szCs w:val="20"/>
        </w:rPr>
      </w:pPr>
      <w:r w:rsidRPr="008A47AB">
        <w:rPr>
          <w:color w:val="000000" w:themeColor="text1"/>
          <w:sz w:val="20"/>
          <w:szCs w:val="20"/>
        </w:rPr>
        <w:t>deliver creative inspiration, nurturing and empowering communities, art forms and artists.</w:t>
      </w:r>
    </w:p>
    <w:p w:rsidR="00795C53" w:rsidRPr="008A47AB" w:rsidRDefault="00795C53" w:rsidP="00795C53">
      <w:pPr>
        <w:pStyle w:val="ListParagraph"/>
        <w:autoSpaceDE w:val="0"/>
        <w:autoSpaceDN w:val="0"/>
        <w:adjustRightInd w:val="0"/>
        <w:spacing w:after="0" w:line="240" w:lineRule="auto"/>
        <w:ind w:left="714"/>
        <w:contextualSpacing w:val="0"/>
        <w:rPr>
          <w:color w:val="000000" w:themeColor="text1"/>
          <w:sz w:val="20"/>
          <w:szCs w:val="20"/>
        </w:rPr>
      </w:pPr>
    </w:p>
    <w:p w:rsidR="00EE6254" w:rsidRPr="008A47AB" w:rsidRDefault="00FB63E4" w:rsidP="004B48FE">
      <w:pPr>
        <w:autoSpaceDE w:val="0"/>
        <w:autoSpaceDN w:val="0"/>
        <w:adjustRightInd w:val="0"/>
        <w:spacing w:after="0"/>
        <w:rPr>
          <w:color w:val="000000" w:themeColor="text1"/>
          <w:sz w:val="20"/>
          <w:szCs w:val="20"/>
        </w:rPr>
      </w:pPr>
      <w:r w:rsidRPr="008A47AB">
        <w:rPr>
          <w:color w:val="000000" w:themeColor="text1"/>
          <w:sz w:val="20"/>
          <w:szCs w:val="20"/>
        </w:rPr>
        <w:t>In 2015</w:t>
      </w:r>
      <w:r w:rsidR="00EE6254" w:rsidRPr="008A47AB">
        <w:rPr>
          <w:color w:val="000000" w:themeColor="text1"/>
          <w:sz w:val="20"/>
          <w:szCs w:val="20"/>
        </w:rPr>
        <w:t>:</w:t>
      </w:r>
    </w:p>
    <w:p w:rsidR="00FB63E4" w:rsidRPr="008A47AB" w:rsidRDefault="00FB63E4" w:rsidP="004B48FE">
      <w:pPr>
        <w:pStyle w:val="ListParagraph"/>
        <w:numPr>
          <w:ilvl w:val="0"/>
          <w:numId w:val="11"/>
        </w:numPr>
        <w:autoSpaceDE w:val="0"/>
        <w:autoSpaceDN w:val="0"/>
        <w:adjustRightInd w:val="0"/>
        <w:spacing w:after="0"/>
        <w:rPr>
          <w:color w:val="000000" w:themeColor="text1"/>
          <w:sz w:val="20"/>
          <w:szCs w:val="20"/>
        </w:rPr>
      </w:pPr>
      <w:r w:rsidRPr="008A47AB">
        <w:rPr>
          <w:color w:val="000000" w:themeColor="text1"/>
          <w:sz w:val="20"/>
          <w:szCs w:val="20"/>
        </w:rPr>
        <w:t>4.1 million Australians attended a performance, school activity or workshop by an MPA company.</w:t>
      </w:r>
    </w:p>
    <w:p w:rsidR="00FB63E4" w:rsidRPr="008A47AB" w:rsidRDefault="00FB63E4" w:rsidP="00AD0CF2">
      <w:pPr>
        <w:pStyle w:val="ListParagraph"/>
        <w:numPr>
          <w:ilvl w:val="0"/>
          <w:numId w:val="11"/>
        </w:numPr>
        <w:autoSpaceDE w:val="0"/>
        <w:autoSpaceDN w:val="0"/>
        <w:adjustRightInd w:val="0"/>
        <w:spacing w:after="240"/>
        <w:rPr>
          <w:color w:val="000000" w:themeColor="text1"/>
          <w:sz w:val="20"/>
          <w:szCs w:val="20"/>
        </w:rPr>
      </w:pPr>
      <w:r w:rsidRPr="008A47AB">
        <w:rPr>
          <w:color w:val="000000" w:themeColor="text1"/>
          <w:sz w:val="20"/>
          <w:szCs w:val="20"/>
        </w:rPr>
        <w:t>The MPAs employed more than 10,900 people—including 6,800 artists and creatives. This represents around 25 per cent of performing arts employment in Australia.</w:t>
      </w:r>
    </w:p>
    <w:p w:rsidR="008B2A8A" w:rsidRPr="008A47AB" w:rsidRDefault="00FB63E4" w:rsidP="008B2A8A">
      <w:pPr>
        <w:pStyle w:val="ListParagraph"/>
        <w:numPr>
          <w:ilvl w:val="0"/>
          <w:numId w:val="11"/>
        </w:numPr>
        <w:autoSpaceDE w:val="0"/>
        <w:autoSpaceDN w:val="0"/>
        <w:adjustRightInd w:val="0"/>
        <w:spacing w:after="240"/>
        <w:rPr>
          <w:color w:val="000000" w:themeColor="text1"/>
          <w:sz w:val="20"/>
          <w:szCs w:val="20"/>
        </w:rPr>
      </w:pPr>
      <w:r w:rsidRPr="008A47AB">
        <w:rPr>
          <w:color w:val="000000" w:themeColor="text1"/>
          <w:sz w:val="20"/>
          <w:szCs w:val="20"/>
        </w:rPr>
        <w:t>MPA companies had a turnover of $504 million, of which 66 per cent was from non-government sources.</w:t>
      </w:r>
    </w:p>
    <w:p w:rsidR="008B2A8A" w:rsidRPr="008A47AB" w:rsidRDefault="008B2A8A" w:rsidP="008A4408">
      <w:pPr>
        <w:autoSpaceDE w:val="0"/>
        <w:autoSpaceDN w:val="0"/>
        <w:adjustRightInd w:val="0"/>
        <w:spacing w:after="240"/>
        <w:rPr>
          <w:color w:val="000000" w:themeColor="text1"/>
          <w:sz w:val="20"/>
          <w:szCs w:val="20"/>
        </w:rPr>
      </w:pPr>
      <w:r w:rsidRPr="008A47AB">
        <w:rPr>
          <w:color w:val="000000" w:themeColor="text1"/>
          <w:sz w:val="20"/>
          <w:szCs w:val="20"/>
        </w:rPr>
        <w:t>We thank you for this opportunity to outline our priories in relation to the 2017/18 Federal budget</w:t>
      </w:r>
      <w:r w:rsidRPr="008A47AB">
        <w:rPr>
          <w:color w:val="C00000"/>
          <w:sz w:val="20"/>
          <w:szCs w:val="20"/>
        </w:rPr>
        <w:t>.</w:t>
      </w:r>
      <w:r w:rsidR="0009619F" w:rsidRPr="008A47AB">
        <w:rPr>
          <w:color w:val="C00000"/>
          <w:sz w:val="20"/>
          <w:szCs w:val="20"/>
        </w:rPr>
        <w:t xml:space="preserve"> </w:t>
      </w:r>
      <w:r w:rsidR="008A4408" w:rsidRPr="008A47AB">
        <w:rPr>
          <w:color w:val="C00000"/>
          <w:sz w:val="20"/>
          <w:szCs w:val="20"/>
        </w:rPr>
        <w:t xml:space="preserve">See Appendix 2 </w:t>
      </w:r>
      <w:r w:rsidR="008A4408" w:rsidRPr="008A47AB">
        <w:rPr>
          <w:color w:val="000000" w:themeColor="text1"/>
          <w:sz w:val="20"/>
          <w:szCs w:val="20"/>
        </w:rPr>
        <w:t xml:space="preserve">for a summary of AMPAG’s recommendations.  </w:t>
      </w:r>
    </w:p>
    <w:p w:rsidR="00795C53" w:rsidRPr="008A47AB" w:rsidRDefault="00795C53" w:rsidP="008A4408">
      <w:pPr>
        <w:autoSpaceDE w:val="0"/>
        <w:autoSpaceDN w:val="0"/>
        <w:adjustRightInd w:val="0"/>
        <w:spacing w:after="240"/>
        <w:rPr>
          <w:color w:val="000000" w:themeColor="text1"/>
          <w:sz w:val="20"/>
          <w:szCs w:val="20"/>
        </w:rPr>
      </w:pPr>
    </w:p>
    <w:p w:rsidR="00821812" w:rsidRPr="008A47AB" w:rsidRDefault="004B48FE" w:rsidP="00795C53">
      <w:pPr>
        <w:pStyle w:val="NormalWeb"/>
        <w:shd w:val="clear" w:color="auto" w:fill="FFFFFF" w:themeFill="background1"/>
        <w:spacing w:after="240" w:afterAutospacing="0"/>
        <w:rPr>
          <w:rFonts w:asciiTheme="minorHAnsi" w:eastAsiaTheme="minorHAnsi" w:hAnsiTheme="minorHAnsi" w:cstheme="minorBidi"/>
          <w:b/>
          <w:color w:val="C00000"/>
          <w:sz w:val="20"/>
          <w:szCs w:val="20"/>
          <w:lang w:eastAsia="en-US"/>
        </w:rPr>
      </w:pPr>
      <w:r w:rsidRPr="008A47AB">
        <w:rPr>
          <w:rFonts w:asciiTheme="minorHAnsi" w:eastAsiaTheme="minorHAnsi" w:hAnsiTheme="minorHAnsi" w:cstheme="minorBidi"/>
          <w:b/>
          <w:color w:val="C00000"/>
          <w:sz w:val="20"/>
          <w:szCs w:val="20"/>
          <w:lang w:eastAsia="en-US"/>
        </w:rPr>
        <w:t>Introduction</w:t>
      </w:r>
      <w:r w:rsidR="00795C53" w:rsidRPr="008A47AB">
        <w:rPr>
          <w:rFonts w:asciiTheme="minorHAnsi" w:eastAsiaTheme="minorHAnsi" w:hAnsiTheme="minorHAnsi" w:cstheme="minorBidi"/>
          <w:b/>
          <w:color w:val="C00000"/>
          <w:sz w:val="20"/>
          <w:szCs w:val="20"/>
          <w:lang w:eastAsia="en-US"/>
        </w:rPr>
        <w:t>:</w:t>
      </w:r>
      <w:r w:rsidR="00795C53" w:rsidRPr="008A47AB">
        <w:rPr>
          <w:rFonts w:asciiTheme="minorHAnsi" w:eastAsiaTheme="minorHAnsi" w:hAnsiTheme="minorHAnsi" w:cstheme="minorBidi"/>
          <w:b/>
          <w:color w:val="C00000"/>
          <w:sz w:val="20"/>
          <w:szCs w:val="20"/>
          <w:lang w:eastAsia="en-US"/>
        </w:rPr>
        <w:tab/>
      </w:r>
      <w:r w:rsidR="00821812" w:rsidRPr="008A47AB">
        <w:rPr>
          <w:rFonts w:asciiTheme="minorHAnsi" w:eastAsiaTheme="minorHAnsi" w:hAnsiTheme="minorHAnsi" w:cstheme="minorBidi"/>
          <w:b/>
          <w:color w:val="C00000"/>
          <w:sz w:val="20"/>
          <w:szCs w:val="20"/>
          <w:lang w:eastAsia="en-US"/>
        </w:rPr>
        <w:t xml:space="preserve">Investing in the </w:t>
      </w:r>
      <w:r w:rsidR="00F74C88" w:rsidRPr="008A47AB">
        <w:rPr>
          <w:rFonts w:asciiTheme="minorHAnsi" w:eastAsiaTheme="minorHAnsi" w:hAnsiTheme="minorHAnsi" w:cstheme="minorBidi"/>
          <w:b/>
          <w:color w:val="C00000"/>
          <w:sz w:val="20"/>
          <w:szCs w:val="20"/>
          <w:lang w:eastAsia="en-US"/>
        </w:rPr>
        <w:t>a</w:t>
      </w:r>
      <w:r w:rsidR="00821812" w:rsidRPr="008A47AB">
        <w:rPr>
          <w:rFonts w:asciiTheme="minorHAnsi" w:eastAsiaTheme="minorHAnsi" w:hAnsiTheme="minorHAnsi" w:cstheme="minorBidi"/>
          <w:b/>
          <w:color w:val="C00000"/>
          <w:sz w:val="20"/>
          <w:szCs w:val="20"/>
          <w:lang w:eastAsia="en-US"/>
        </w:rPr>
        <w:t>rts</w:t>
      </w:r>
      <w:r w:rsidR="00F74C88" w:rsidRPr="008A47AB">
        <w:rPr>
          <w:rFonts w:asciiTheme="minorHAnsi" w:eastAsiaTheme="minorHAnsi" w:hAnsiTheme="minorHAnsi" w:cstheme="minorBidi"/>
          <w:b/>
          <w:color w:val="C00000"/>
          <w:sz w:val="20"/>
          <w:szCs w:val="20"/>
          <w:lang w:eastAsia="en-US"/>
        </w:rPr>
        <w:t>—p</w:t>
      </w:r>
      <w:r w:rsidR="00821812" w:rsidRPr="008A47AB">
        <w:rPr>
          <w:rFonts w:asciiTheme="minorHAnsi" w:eastAsiaTheme="minorHAnsi" w:hAnsiTheme="minorHAnsi" w:cstheme="minorBidi"/>
          <w:b/>
          <w:color w:val="C00000"/>
          <w:sz w:val="20"/>
          <w:szCs w:val="20"/>
          <w:lang w:eastAsia="en-US"/>
        </w:rPr>
        <w:t xml:space="preserve">ublic value and </w:t>
      </w:r>
      <w:r w:rsidR="00F74C88" w:rsidRPr="008A47AB">
        <w:rPr>
          <w:rFonts w:asciiTheme="minorHAnsi" w:eastAsiaTheme="minorHAnsi" w:hAnsiTheme="minorHAnsi" w:cstheme="minorBidi"/>
          <w:b/>
          <w:color w:val="C00000"/>
          <w:sz w:val="20"/>
          <w:szCs w:val="20"/>
          <w:lang w:eastAsia="en-US"/>
        </w:rPr>
        <w:t>g</w:t>
      </w:r>
      <w:r w:rsidR="00896BBF" w:rsidRPr="008A47AB">
        <w:rPr>
          <w:rFonts w:asciiTheme="minorHAnsi" w:eastAsiaTheme="minorHAnsi" w:hAnsiTheme="minorHAnsi" w:cstheme="minorBidi"/>
          <w:b/>
          <w:color w:val="C00000"/>
          <w:sz w:val="20"/>
          <w:szCs w:val="20"/>
          <w:lang w:eastAsia="en-US"/>
        </w:rPr>
        <w:t>overnment’s</w:t>
      </w:r>
      <w:r w:rsidR="00821812" w:rsidRPr="008A47AB">
        <w:rPr>
          <w:rFonts w:asciiTheme="minorHAnsi" w:eastAsiaTheme="minorHAnsi" w:hAnsiTheme="minorHAnsi" w:cstheme="minorBidi"/>
          <w:b/>
          <w:color w:val="C00000"/>
          <w:sz w:val="20"/>
          <w:szCs w:val="20"/>
          <w:lang w:eastAsia="en-US"/>
        </w:rPr>
        <w:t xml:space="preserve"> role </w:t>
      </w:r>
    </w:p>
    <w:p w:rsidR="00975798" w:rsidRPr="008A47AB" w:rsidRDefault="00975798" w:rsidP="00795C53">
      <w:pPr>
        <w:pStyle w:val="NormalWeb"/>
        <w:shd w:val="clear" w:color="auto" w:fill="FFFFFF" w:themeFill="background1"/>
        <w:spacing w:before="0" w:beforeAutospacing="0" w:after="240" w:afterAutospacing="0"/>
        <w:rPr>
          <w:rFonts w:asciiTheme="minorHAnsi" w:eastAsiaTheme="minorHAnsi" w:hAnsiTheme="minorHAnsi" w:cstheme="minorBidi"/>
          <w:sz w:val="20"/>
          <w:szCs w:val="20"/>
          <w:lang w:eastAsia="en-US"/>
        </w:rPr>
      </w:pPr>
      <w:r w:rsidRPr="008A47AB">
        <w:rPr>
          <w:rFonts w:asciiTheme="minorHAnsi" w:eastAsiaTheme="minorHAnsi" w:hAnsiTheme="minorHAnsi" w:cstheme="minorBidi"/>
          <w:sz w:val="20"/>
          <w:szCs w:val="20"/>
          <w:lang w:eastAsia="en-US"/>
        </w:rPr>
        <w:t>Government inve</w:t>
      </w:r>
      <w:r w:rsidR="00893F5F" w:rsidRPr="008A47AB">
        <w:rPr>
          <w:rFonts w:asciiTheme="minorHAnsi" w:eastAsiaTheme="minorHAnsi" w:hAnsiTheme="minorHAnsi" w:cstheme="minorBidi"/>
          <w:sz w:val="20"/>
          <w:szCs w:val="20"/>
          <w:lang w:eastAsia="en-US"/>
        </w:rPr>
        <w:t xml:space="preserve">stment in the arts is </w:t>
      </w:r>
      <w:r w:rsidR="00821812" w:rsidRPr="008A47AB">
        <w:rPr>
          <w:rFonts w:asciiTheme="minorHAnsi" w:eastAsiaTheme="minorHAnsi" w:hAnsiTheme="minorHAnsi" w:cstheme="minorBidi"/>
          <w:sz w:val="20"/>
          <w:szCs w:val="20"/>
          <w:lang w:eastAsia="en-US"/>
        </w:rPr>
        <w:t>essential;</w:t>
      </w:r>
      <w:r w:rsidR="00893F5F" w:rsidRPr="008A47AB">
        <w:rPr>
          <w:rFonts w:asciiTheme="minorHAnsi" w:eastAsiaTheme="minorHAnsi" w:hAnsiTheme="minorHAnsi" w:cstheme="minorBidi"/>
          <w:sz w:val="20"/>
          <w:szCs w:val="20"/>
          <w:lang w:eastAsia="en-US"/>
        </w:rPr>
        <w:t xml:space="preserve"> it provides the base </w:t>
      </w:r>
      <w:r w:rsidR="00896BBF" w:rsidRPr="008A47AB">
        <w:rPr>
          <w:rFonts w:asciiTheme="minorHAnsi" w:eastAsiaTheme="minorHAnsi" w:hAnsiTheme="minorHAnsi" w:cstheme="minorBidi"/>
          <w:sz w:val="20"/>
          <w:szCs w:val="20"/>
          <w:lang w:eastAsia="en-US"/>
        </w:rPr>
        <w:t xml:space="preserve">from </w:t>
      </w:r>
      <w:r w:rsidR="00893F5F" w:rsidRPr="008A47AB">
        <w:rPr>
          <w:rFonts w:asciiTheme="minorHAnsi" w:eastAsiaTheme="minorHAnsi" w:hAnsiTheme="minorHAnsi" w:cstheme="minorBidi"/>
          <w:sz w:val="20"/>
          <w:szCs w:val="20"/>
          <w:lang w:eastAsia="en-US"/>
        </w:rPr>
        <w:t xml:space="preserve">which companies then seek market returns and charitable </w:t>
      </w:r>
      <w:r w:rsidR="00EE6254" w:rsidRPr="008A47AB">
        <w:rPr>
          <w:rFonts w:asciiTheme="minorHAnsi" w:eastAsiaTheme="minorHAnsi" w:hAnsiTheme="minorHAnsi" w:cstheme="minorBidi"/>
          <w:sz w:val="20"/>
          <w:szCs w:val="20"/>
          <w:lang w:eastAsia="en-US"/>
        </w:rPr>
        <w:t>support</w:t>
      </w:r>
      <w:r w:rsidR="00893F5F" w:rsidRPr="008A47AB">
        <w:rPr>
          <w:rFonts w:asciiTheme="minorHAnsi" w:eastAsiaTheme="minorHAnsi" w:hAnsiTheme="minorHAnsi" w:cstheme="minorBidi"/>
          <w:sz w:val="20"/>
          <w:szCs w:val="20"/>
          <w:lang w:eastAsia="en-US"/>
        </w:rPr>
        <w:t xml:space="preserve">. </w:t>
      </w:r>
      <w:r w:rsidR="00AD0CF2" w:rsidRPr="008A47AB">
        <w:rPr>
          <w:rFonts w:asciiTheme="minorHAnsi" w:eastAsiaTheme="minorHAnsi" w:hAnsiTheme="minorHAnsi" w:cstheme="minorBidi"/>
          <w:sz w:val="20"/>
          <w:szCs w:val="20"/>
          <w:lang w:eastAsia="en-US"/>
        </w:rPr>
        <w:t>It is</w:t>
      </w:r>
      <w:r w:rsidRPr="008A47AB">
        <w:rPr>
          <w:rFonts w:asciiTheme="minorHAnsi" w:eastAsiaTheme="minorHAnsi" w:hAnsiTheme="minorHAnsi" w:cstheme="minorBidi"/>
          <w:sz w:val="20"/>
          <w:szCs w:val="20"/>
          <w:lang w:eastAsia="en-US"/>
        </w:rPr>
        <w:t xml:space="preserve"> </w:t>
      </w:r>
      <w:r w:rsidR="00942820" w:rsidRPr="008A47AB">
        <w:rPr>
          <w:rFonts w:asciiTheme="minorHAnsi" w:eastAsiaTheme="minorHAnsi" w:hAnsiTheme="minorHAnsi" w:cstheme="minorBidi"/>
          <w:sz w:val="20"/>
          <w:szCs w:val="20"/>
          <w:lang w:eastAsia="en-US"/>
        </w:rPr>
        <w:t>very effective th</w:t>
      </w:r>
      <w:r w:rsidR="00AD0CF2" w:rsidRPr="008A47AB">
        <w:rPr>
          <w:rFonts w:asciiTheme="minorHAnsi" w:eastAsiaTheme="minorHAnsi" w:hAnsiTheme="minorHAnsi" w:cstheme="minorBidi"/>
          <w:sz w:val="20"/>
          <w:szCs w:val="20"/>
          <w:lang w:eastAsia="en-US"/>
        </w:rPr>
        <w:t>ough</w:t>
      </w:r>
      <w:r w:rsidR="00942820" w:rsidRPr="008A47AB">
        <w:rPr>
          <w:rFonts w:asciiTheme="minorHAnsi" w:eastAsiaTheme="minorHAnsi" w:hAnsiTheme="minorHAnsi" w:cstheme="minorBidi"/>
          <w:sz w:val="20"/>
          <w:szCs w:val="20"/>
          <w:lang w:eastAsia="en-US"/>
        </w:rPr>
        <w:t xml:space="preserve"> </w:t>
      </w:r>
      <w:r w:rsidRPr="008A47AB">
        <w:rPr>
          <w:rFonts w:asciiTheme="minorHAnsi" w:eastAsiaTheme="minorHAnsi" w:hAnsiTheme="minorHAnsi" w:cstheme="minorBidi"/>
          <w:sz w:val="20"/>
          <w:szCs w:val="20"/>
          <w:lang w:eastAsia="en-US"/>
        </w:rPr>
        <w:t xml:space="preserve">modest </w:t>
      </w:r>
      <w:r w:rsidR="00942820" w:rsidRPr="008A47AB">
        <w:rPr>
          <w:rFonts w:asciiTheme="minorHAnsi" w:eastAsiaTheme="minorHAnsi" w:hAnsiTheme="minorHAnsi" w:cstheme="minorBidi"/>
          <w:sz w:val="20"/>
          <w:szCs w:val="20"/>
          <w:lang w:eastAsia="en-US"/>
        </w:rPr>
        <w:t xml:space="preserve">compared to </w:t>
      </w:r>
      <w:r w:rsidR="007335A3" w:rsidRPr="008A47AB">
        <w:rPr>
          <w:rFonts w:asciiTheme="minorHAnsi" w:eastAsiaTheme="minorHAnsi" w:hAnsiTheme="minorHAnsi" w:cstheme="minorBidi"/>
          <w:sz w:val="20"/>
          <w:szCs w:val="20"/>
          <w:lang w:eastAsia="en-US"/>
        </w:rPr>
        <w:t>government’s</w:t>
      </w:r>
      <w:r w:rsidR="005F2A49" w:rsidRPr="008A47AB">
        <w:rPr>
          <w:rFonts w:asciiTheme="minorHAnsi" w:eastAsiaTheme="minorHAnsi" w:hAnsiTheme="minorHAnsi" w:cstheme="minorBidi"/>
          <w:sz w:val="20"/>
          <w:szCs w:val="20"/>
          <w:lang w:eastAsia="en-US"/>
        </w:rPr>
        <w:t xml:space="preserve"> </w:t>
      </w:r>
      <w:r w:rsidRPr="008A47AB">
        <w:rPr>
          <w:rFonts w:asciiTheme="minorHAnsi" w:eastAsiaTheme="minorHAnsi" w:hAnsiTheme="minorHAnsi" w:cstheme="minorBidi"/>
          <w:sz w:val="20"/>
          <w:szCs w:val="20"/>
          <w:lang w:eastAsia="en-US"/>
        </w:rPr>
        <w:t>overall spending budget</w:t>
      </w:r>
      <w:r w:rsidR="00AD0CF2" w:rsidRPr="008A47AB">
        <w:rPr>
          <w:rFonts w:asciiTheme="minorHAnsi" w:eastAsiaTheme="minorHAnsi" w:hAnsiTheme="minorHAnsi" w:cstheme="minorBidi"/>
          <w:sz w:val="20"/>
          <w:szCs w:val="20"/>
          <w:lang w:eastAsia="en-US"/>
        </w:rPr>
        <w:t xml:space="preserve">, leveraging a </w:t>
      </w:r>
      <w:r w:rsidR="004B48FE" w:rsidRPr="008A47AB">
        <w:rPr>
          <w:rFonts w:asciiTheme="minorHAnsi" w:eastAsiaTheme="minorHAnsi" w:hAnsiTheme="minorHAnsi" w:cstheme="minorBidi"/>
          <w:sz w:val="20"/>
          <w:szCs w:val="20"/>
          <w:lang w:eastAsia="en-US"/>
        </w:rPr>
        <w:t>further $</w:t>
      </w:r>
      <w:r w:rsidR="00893F5F" w:rsidRPr="008A47AB">
        <w:rPr>
          <w:rFonts w:asciiTheme="minorHAnsi" w:eastAsiaTheme="minorHAnsi" w:hAnsiTheme="minorHAnsi" w:cstheme="minorBidi"/>
          <w:sz w:val="20"/>
          <w:szCs w:val="20"/>
          <w:lang w:eastAsia="en-US"/>
        </w:rPr>
        <w:t>2</w:t>
      </w:r>
      <w:r w:rsidR="00942820" w:rsidRPr="008A47AB">
        <w:rPr>
          <w:rFonts w:asciiTheme="minorHAnsi" w:eastAsiaTheme="minorHAnsi" w:hAnsiTheme="minorHAnsi" w:cstheme="minorBidi"/>
          <w:sz w:val="20"/>
          <w:szCs w:val="20"/>
          <w:lang w:eastAsia="en-US"/>
        </w:rPr>
        <w:t xml:space="preserve"> in arts support</w:t>
      </w:r>
      <w:r w:rsidR="00893F5F" w:rsidRPr="008A47AB">
        <w:rPr>
          <w:rFonts w:asciiTheme="minorHAnsi" w:eastAsiaTheme="minorHAnsi" w:hAnsiTheme="minorHAnsi" w:cstheme="minorBidi"/>
          <w:sz w:val="20"/>
          <w:szCs w:val="20"/>
          <w:lang w:eastAsia="en-US"/>
        </w:rPr>
        <w:t xml:space="preserve"> for every dollar invested</w:t>
      </w:r>
      <w:r w:rsidR="00942820" w:rsidRPr="008A47AB">
        <w:rPr>
          <w:rFonts w:asciiTheme="minorHAnsi" w:eastAsiaTheme="minorHAnsi" w:hAnsiTheme="minorHAnsi" w:cstheme="minorBidi"/>
          <w:sz w:val="20"/>
          <w:szCs w:val="20"/>
          <w:lang w:eastAsia="en-US"/>
        </w:rPr>
        <w:t xml:space="preserve"> in MPAs</w:t>
      </w:r>
      <w:r w:rsidR="00AD0CF2" w:rsidRPr="008A47AB">
        <w:rPr>
          <w:rFonts w:asciiTheme="minorHAnsi" w:eastAsiaTheme="minorHAnsi" w:hAnsiTheme="minorHAnsi" w:cstheme="minorBidi"/>
          <w:sz w:val="20"/>
          <w:szCs w:val="20"/>
          <w:lang w:eastAsia="en-US"/>
        </w:rPr>
        <w:t>. This</w:t>
      </w:r>
      <w:r w:rsidR="00896BBF" w:rsidRPr="008A47AB">
        <w:rPr>
          <w:rFonts w:asciiTheme="minorHAnsi" w:eastAsiaTheme="minorHAnsi" w:hAnsiTheme="minorHAnsi" w:cstheme="minorBidi"/>
          <w:sz w:val="20"/>
          <w:szCs w:val="20"/>
          <w:lang w:eastAsia="en-US"/>
        </w:rPr>
        <w:t xml:space="preserve"> generat</w:t>
      </w:r>
      <w:r w:rsidR="00AD0CF2" w:rsidRPr="008A47AB">
        <w:rPr>
          <w:rFonts w:asciiTheme="minorHAnsi" w:eastAsiaTheme="minorHAnsi" w:hAnsiTheme="minorHAnsi" w:cstheme="minorBidi"/>
          <w:sz w:val="20"/>
          <w:szCs w:val="20"/>
          <w:lang w:eastAsia="en-US"/>
        </w:rPr>
        <w:t>es</w:t>
      </w:r>
      <w:r w:rsidRPr="008A47AB">
        <w:rPr>
          <w:rFonts w:asciiTheme="minorHAnsi" w:eastAsiaTheme="minorHAnsi" w:hAnsiTheme="minorHAnsi" w:cstheme="minorBidi"/>
          <w:sz w:val="20"/>
          <w:szCs w:val="20"/>
          <w:lang w:eastAsia="en-US"/>
        </w:rPr>
        <w:t xml:space="preserve"> valuable economic and social outcomes for the nation. </w:t>
      </w:r>
    </w:p>
    <w:p w:rsidR="00A16D83" w:rsidRPr="008A47AB" w:rsidRDefault="00FB63E4" w:rsidP="00FB63E4">
      <w:pPr>
        <w:rPr>
          <w:sz w:val="20"/>
          <w:szCs w:val="20"/>
        </w:rPr>
      </w:pPr>
      <w:r w:rsidRPr="008A47AB">
        <w:rPr>
          <w:sz w:val="20"/>
          <w:szCs w:val="20"/>
        </w:rPr>
        <w:t xml:space="preserve">The arts sector is </w:t>
      </w:r>
      <w:r w:rsidR="009A7EEA" w:rsidRPr="008A47AB">
        <w:rPr>
          <w:sz w:val="20"/>
          <w:szCs w:val="20"/>
        </w:rPr>
        <w:t xml:space="preserve">often </w:t>
      </w:r>
      <w:r w:rsidR="00893F5F" w:rsidRPr="008A47AB">
        <w:rPr>
          <w:sz w:val="20"/>
          <w:szCs w:val="20"/>
        </w:rPr>
        <w:t>misconstrued</w:t>
      </w:r>
      <w:r w:rsidRPr="008A47AB">
        <w:rPr>
          <w:sz w:val="20"/>
          <w:szCs w:val="20"/>
        </w:rPr>
        <w:t xml:space="preserve"> as an </w:t>
      </w:r>
      <w:r w:rsidR="005F2A49" w:rsidRPr="008A47AB">
        <w:rPr>
          <w:sz w:val="20"/>
          <w:szCs w:val="20"/>
        </w:rPr>
        <w:t>‘</w:t>
      </w:r>
      <w:r w:rsidRPr="008A47AB">
        <w:rPr>
          <w:sz w:val="20"/>
          <w:szCs w:val="20"/>
        </w:rPr>
        <w:t>entertainment</w:t>
      </w:r>
      <w:r w:rsidR="005F2A49" w:rsidRPr="008A47AB">
        <w:rPr>
          <w:sz w:val="20"/>
          <w:szCs w:val="20"/>
        </w:rPr>
        <w:t>’</w:t>
      </w:r>
      <w:r w:rsidRPr="008A47AB">
        <w:rPr>
          <w:sz w:val="20"/>
          <w:szCs w:val="20"/>
        </w:rPr>
        <w:t xml:space="preserve"> or </w:t>
      </w:r>
      <w:r w:rsidR="005F2A49" w:rsidRPr="008A47AB">
        <w:rPr>
          <w:sz w:val="20"/>
          <w:szCs w:val="20"/>
        </w:rPr>
        <w:t>‘</w:t>
      </w:r>
      <w:r w:rsidRPr="008A47AB">
        <w:rPr>
          <w:sz w:val="20"/>
          <w:szCs w:val="20"/>
        </w:rPr>
        <w:t>lifestyle</w:t>
      </w:r>
      <w:r w:rsidR="005F2A49" w:rsidRPr="008A47AB">
        <w:rPr>
          <w:sz w:val="20"/>
          <w:szCs w:val="20"/>
        </w:rPr>
        <w:t>’</w:t>
      </w:r>
      <w:r w:rsidRPr="008A47AB">
        <w:rPr>
          <w:sz w:val="20"/>
          <w:szCs w:val="20"/>
        </w:rPr>
        <w:t xml:space="preserve"> </w:t>
      </w:r>
      <w:r w:rsidR="00A16D83" w:rsidRPr="008A47AB">
        <w:rPr>
          <w:sz w:val="20"/>
          <w:szCs w:val="20"/>
        </w:rPr>
        <w:t>leisure</w:t>
      </w:r>
      <w:r w:rsidRPr="008A47AB">
        <w:rPr>
          <w:sz w:val="20"/>
          <w:szCs w:val="20"/>
        </w:rPr>
        <w:t xml:space="preserve"> secto</w:t>
      </w:r>
      <w:r w:rsidR="005F2A49" w:rsidRPr="008A47AB">
        <w:rPr>
          <w:sz w:val="20"/>
          <w:szCs w:val="20"/>
        </w:rPr>
        <w:t xml:space="preserve">r. The </w:t>
      </w:r>
      <w:r w:rsidR="009A7EEA" w:rsidRPr="008A47AB">
        <w:rPr>
          <w:sz w:val="20"/>
          <w:szCs w:val="20"/>
        </w:rPr>
        <w:t>reality is very different</w:t>
      </w:r>
      <w:r w:rsidR="00F74C88" w:rsidRPr="008A47AB">
        <w:rPr>
          <w:sz w:val="20"/>
          <w:szCs w:val="20"/>
        </w:rPr>
        <w:t>—</w:t>
      </w:r>
      <w:r w:rsidR="005F2A49" w:rsidRPr="008A47AB">
        <w:rPr>
          <w:sz w:val="20"/>
          <w:szCs w:val="20"/>
        </w:rPr>
        <w:t xml:space="preserve">performing </w:t>
      </w:r>
      <w:r w:rsidR="004B48FE" w:rsidRPr="008A47AB">
        <w:rPr>
          <w:sz w:val="20"/>
          <w:szCs w:val="20"/>
        </w:rPr>
        <w:t xml:space="preserve">arts </w:t>
      </w:r>
      <w:r w:rsidR="009A7EEA" w:rsidRPr="008A47AB">
        <w:rPr>
          <w:sz w:val="20"/>
          <w:szCs w:val="20"/>
        </w:rPr>
        <w:t>are</w:t>
      </w:r>
      <w:r w:rsidR="00AD0CF2" w:rsidRPr="008A47AB">
        <w:rPr>
          <w:sz w:val="20"/>
          <w:szCs w:val="20"/>
        </w:rPr>
        <w:t xml:space="preserve"> labo</w:t>
      </w:r>
      <w:r w:rsidR="00F74C88" w:rsidRPr="008A47AB">
        <w:rPr>
          <w:sz w:val="20"/>
          <w:szCs w:val="20"/>
        </w:rPr>
        <w:t>u</w:t>
      </w:r>
      <w:r w:rsidR="00AD0CF2" w:rsidRPr="008A47AB">
        <w:rPr>
          <w:sz w:val="20"/>
          <w:szCs w:val="20"/>
        </w:rPr>
        <w:t>r</w:t>
      </w:r>
      <w:r w:rsidR="00F74C88" w:rsidRPr="008A47AB">
        <w:rPr>
          <w:sz w:val="20"/>
          <w:szCs w:val="20"/>
        </w:rPr>
        <w:t>-</w:t>
      </w:r>
      <w:r w:rsidR="00AD0CF2" w:rsidRPr="008A47AB">
        <w:rPr>
          <w:sz w:val="20"/>
          <w:szCs w:val="20"/>
        </w:rPr>
        <w:t>intensive, generating</w:t>
      </w:r>
      <w:r w:rsidRPr="008A47AB">
        <w:rPr>
          <w:sz w:val="20"/>
          <w:szCs w:val="20"/>
        </w:rPr>
        <w:t xml:space="preserve"> </w:t>
      </w:r>
      <w:r w:rsidR="00A16D83" w:rsidRPr="008A47AB">
        <w:rPr>
          <w:sz w:val="20"/>
          <w:szCs w:val="20"/>
        </w:rPr>
        <w:t>significant</w:t>
      </w:r>
      <w:r w:rsidRPr="008A47AB">
        <w:rPr>
          <w:sz w:val="20"/>
          <w:szCs w:val="20"/>
        </w:rPr>
        <w:t xml:space="preserve"> employment </w:t>
      </w:r>
      <w:r w:rsidR="00A16D83" w:rsidRPr="008A47AB">
        <w:rPr>
          <w:sz w:val="20"/>
          <w:szCs w:val="20"/>
        </w:rPr>
        <w:t xml:space="preserve">and </w:t>
      </w:r>
      <w:r w:rsidR="005F2A49" w:rsidRPr="008A47AB">
        <w:rPr>
          <w:sz w:val="20"/>
          <w:szCs w:val="20"/>
        </w:rPr>
        <w:t>s</w:t>
      </w:r>
      <w:r w:rsidR="00A16D83" w:rsidRPr="008A47AB">
        <w:rPr>
          <w:sz w:val="20"/>
          <w:szCs w:val="20"/>
        </w:rPr>
        <w:t>timulat</w:t>
      </w:r>
      <w:r w:rsidR="005F2A49" w:rsidRPr="008A47AB">
        <w:rPr>
          <w:sz w:val="20"/>
          <w:szCs w:val="20"/>
        </w:rPr>
        <w:t>ing</w:t>
      </w:r>
      <w:r w:rsidR="00A16D83" w:rsidRPr="008A47AB">
        <w:rPr>
          <w:sz w:val="20"/>
          <w:szCs w:val="20"/>
        </w:rPr>
        <w:t xml:space="preserve"> secondary economic activity</w:t>
      </w:r>
      <w:r w:rsidR="00F74C88" w:rsidRPr="008A47AB">
        <w:rPr>
          <w:sz w:val="20"/>
          <w:szCs w:val="20"/>
        </w:rPr>
        <w:t>.</w:t>
      </w:r>
      <w:r w:rsidR="00A16D83" w:rsidRPr="008A47AB">
        <w:rPr>
          <w:sz w:val="20"/>
          <w:szCs w:val="20"/>
        </w:rPr>
        <w:t xml:space="preserve"> </w:t>
      </w:r>
      <w:r w:rsidR="00F74C88" w:rsidRPr="008A47AB">
        <w:rPr>
          <w:sz w:val="20"/>
          <w:szCs w:val="20"/>
        </w:rPr>
        <w:t>H</w:t>
      </w:r>
      <w:r w:rsidR="00A16D83" w:rsidRPr="008A47AB">
        <w:rPr>
          <w:sz w:val="20"/>
          <w:szCs w:val="20"/>
        </w:rPr>
        <w:t>owever</w:t>
      </w:r>
      <w:r w:rsidR="00F74C88" w:rsidRPr="008A47AB">
        <w:rPr>
          <w:sz w:val="20"/>
          <w:szCs w:val="20"/>
        </w:rPr>
        <w:t>,</w:t>
      </w:r>
      <w:r w:rsidR="00A16D83" w:rsidRPr="008A47AB">
        <w:rPr>
          <w:sz w:val="20"/>
          <w:szCs w:val="20"/>
        </w:rPr>
        <w:t xml:space="preserve"> the </w:t>
      </w:r>
      <w:r w:rsidR="004B48FE" w:rsidRPr="008A47AB">
        <w:rPr>
          <w:sz w:val="20"/>
          <w:szCs w:val="20"/>
        </w:rPr>
        <w:t>positive contribution</w:t>
      </w:r>
      <w:r w:rsidR="00A16D83" w:rsidRPr="008A47AB">
        <w:rPr>
          <w:sz w:val="20"/>
          <w:szCs w:val="20"/>
        </w:rPr>
        <w:t xml:space="preserve"> of the arts to social and economic activity is more complex.</w:t>
      </w:r>
    </w:p>
    <w:p w:rsidR="005F2A49" w:rsidRPr="008A47AB" w:rsidRDefault="005F2A49" w:rsidP="00FB63E4">
      <w:r w:rsidRPr="008A47AB">
        <w:rPr>
          <w:sz w:val="20"/>
          <w:szCs w:val="20"/>
        </w:rPr>
        <w:t>T</w:t>
      </w:r>
      <w:r w:rsidR="00FB63E4" w:rsidRPr="008A47AB">
        <w:rPr>
          <w:sz w:val="20"/>
          <w:szCs w:val="20"/>
        </w:rPr>
        <w:t xml:space="preserve">he </w:t>
      </w:r>
      <w:r w:rsidR="00F74C88" w:rsidRPr="008A47AB">
        <w:rPr>
          <w:sz w:val="20"/>
          <w:szCs w:val="20"/>
        </w:rPr>
        <w:t>a</w:t>
      </w:r>
      <w:r w:rsidR="00942820" w:rsidRPr="008A47AB">
        <w:rPr>
          <w:sz w:val="20"/>
          <w:szCs w:val="20"/>
        </w:rPr>
        <w:t xml:space="preserve">rts </w:t>
      </w:r>
      <w:r w:rsidR="00FB63E4" w:rsidRPr="008A47AB">
        <w:rPr>
          <w:sz w:val="20"/>
          <w:szCs w:val="20"/>
        </w:rPr>
        <w:t>increase wellbeing</w:t>
      </w:r>
      <w:r w:rsidR="00893F5F" w:rsidRPr="008A47AB">
        <w:rPr>
          <w:sz w:val="20"/>
          <w:szCs w:val="20"/>
        </w:rPr>
        <w:t xml:space="preserve">, </w:t>
      </w:r>
      <w:r w:rsidR="0014698F" w:rsidRPr="008A47AB">
        <w:rPr>
          <w:sz w:val="20"/>
          <w:szCs w:val="20"/>
        </w:rPr>
        <w:t>connectedness</w:t>
      </w:r>
      <w:r w:rsidR="00FB63E4" w:rsidRPr="008A47AB">
        <w:rPr>
          <w:sz w:val="20"/>
          <w:szCs w:val="20"/>
        </w:rPr>
        <w:t xml:space="preserve"> and </w:t>
      </w:r>
      <w:r w:rsidR="00893F5F" w:rsidRPr="008A47AB">
        <w:rPr>
          <w:sz w:val="20"/>
          <w:szCs w:val="20"/>
        </w:rPr>
        <w:t xml:space="preserve">vibrancy in </w:t>
      </w:r>
      <w:r w:rsidR="00FB63E4" w:rsidRPr="008A47AB">
        <w:rPr>
          <w:sz w:val="20"/>
          <w:szCs w:val="20"/>
        </w:rPr>
        <w:t>communities</w:t>
      </w:r>
      <w:r w:rsidRPr="008A47AB">
        <w:rPr>
          <w:sz w:val="20"/>
          <w:szCs w:val="20"/>
        </w:rPr>
        <w:t xml:space="preserve">, </w:t>
      </w:r>
      <w:r w:rsidR="00AD0CF2" w:rsidRPr="008A47AB">
        <w:rPr>
          <w:sz w:val="20"/>
          <w:szCs w:val="20"/>
        </w:rPr>
        <w:t xml:space="preserve">improve health, </w:t>
      </w:r>
      <w:r w:rsidRPr="008A47AB">
        <w:rPr>
          <w:sz w:val="20"/>
          <w:szCs w:val="20"/>
        </w:rPr>
        <w:t>have the capacity to effectively engage marginalise</w:t>
      </w:r>
      <w:r w:rsidR="0014698F" w:rsidRPr="008A47AB">
        <w:rPr>
          <w:sz w:val="20"/>
          <w:szCs w:val="20"/>
        </w:rPr>
        <w:t>d</w:t>
      </w:r>
      <w:r w:rsidRPr="008A47AB">
        <w:rPr>
          <w:sz w:val="20"/>
          <w:szCs w:val="20"/>
        </w:rPr>
        <w:t xml:space="preserve"> or disadvantaged groups</w:t>
      </w:r>
      <w:r w:rsidR="00FB63E4" w:rsidRPr="008A47AB">
        <w:rPr>
          <w:sz w:val="20"/>
          <w:szCs w:val="20"/>
        </w:rPr>
        <w:t xml:space="preserve"> as well as stimulate </w:t>
      </w:r>
      <w:r w:rsidRPr="008A47AB">
        <w:rPr>
          <w:sz w:val="20"/>
          <w:szCs w:val="20"/>
        </w:rPr>
        <w:t xml:space="preserve">stronger </w:t>
      </w:r>
      <w:r w:rsidR="00FB63E4" w:rsidRPr="008A47AB">
        <w:rPr>
          <w:sz w:val="20"/>
          <w:szCs w:val="20"/>
        </w:rPr>
        <w:t>learning</w:t>
      </w:r>
      <w:r w:rsidRPr="008A47AB">
        <w:rPr>
          <w:sz w:val="20"/>
          <w:szCs w:val="20"/>
        </w:rPr>
        <w:t xml:space="preserve"> outcomes in </w:t>
      </w:r>
      <w:r w:rsidRPr="008A47AB">
        <w:rPr>
          <w:sz w:val="20"/>
          <w:szCs w:val="20"/>
        </w:rPr>
        <w:lastRenderedPageBreak/>
        <w:t>students</w:t>
      </w:r>
      <w:r w:rsidR="00893F5F" w:rsidRPr="008A47AB">
        <w:rPr>
          <w:sz w:val="20"/>
          <w:szCs w:val="20"/>
        </w:rPr>
        <w:t xml:space="preserve">. They </w:t>
      </w:r>
      <w:r w:rsidRPr="008A47AB">
        <w:rPr>
          <w:sz w:val="20"/>
          <w:szCs w:val="20"/>
        </w:rPr>
        <w:t xml:space="preserve">contribute to the development of </w:t>
      </w:r>
      <w:r w:rsidR="00FB63E4" w:rsidRPr="008A47AB">
        <w:rPr>
          <w:sz w:val="20"/>
          <w:szCs w:val="20"/>
        </w:rPr>
        <w:t>higher order thinking, creati</w:t>
      </w:r>
      <w:r w:rsidRPr="008A47AB">
        <w:rPr>
          <w:sz w:val="20"/>
          <w:szCs w:val="20"/>
        </w:rPr>
        <w:t>vity and insigh</w:t>
      </w:r>
      <w:r w:rsidR="00893F5F" w:rsidRPr="008A47AB">
        <w:rPr>
          <w:sz w:val="20"/>
          <w:szCs w:val="20"/>
        </w:rPr>
        <w:t xml:space="preserve">t that can </w:t>
      </w:r>
      <w:r w:rsidRPr="008A47AB">
        <w:rPr>
          <w:sz w:val="20"/>
          <w:szCs w:val="20"/>
        </w:rPr>
        <w:t xml:space="preserve">inspire people with new ways of seeing our world and each other. In a race to build a </w:t>
      </w:r>
      <w:r w:rsidR="009A7EEA" w:rsidRPr="008A47AB">
        <w:rPr>
          <w:sz w:val="20"/>
          <w:szCs w:val="20"/>
        </w:rPr>
        <w:t>resilient</w:t>
      </w:r>
      <w:r w:rsidRPr="008A47AB">
        <w:rPr>
          <w:sz w:val="20"/>
          <w:szCs w:val="20"/>
        </w:rPr>
        <w:t xml:space="preserve"> creative and innovative workforce the capacity of the arts to underpin creativity and interconnections across communities </w:t>
      </w:r>
      <w:r w:rsidR="003414EF" w:rsidRPr="008A47AB">
        <w:rPr>
          <w:sz w:val="20"/>
          <w:szCs w:val="20"/>
        </w:rPr>
        <w:t xml:space="preserve">is yet to </w:t>
      </w:r>
      <w:r w:rsidRPr="008A47AB">
        <w:rPr>
          <w:sz w:val="20"/>
          <w:szCs w:val="20"/>
        </w:rPr>
        <w:t>be fully realised.</w:t>
      </w:r>
    </w:p>
    <w:p w:rsidR="00A16D83" w:rsidRPr="008A47AB" w:rsidRDefault="00A16D83" w:rsidP="00A16D83">
      <w:pPr>
        <w:autoSpaceDE w:val="0"/>
        <w:autoSpaceDN w:val="0"/>
        <w:adjustRightInd w:val="0"/>
        <w:spacing w:after="240" w:line="240" w:lineRule="auto"/>
        <w:rPr>
          <w:color w:val="000000" w:themeColor="text1"/>
          <w:sz w:val="20"/>
          <w:szCs w:val="20"/>
        </w:rPr>
      </w:pPr>
      <w:r w:rsidRPr="008A47AB">
        <w:rPr>
          <w:color w:val="000000" w:themeColor="text1"/>
          <w:sz w:val="20"/>
          <w:szCs w:val="20"/>
        </w:rPr>
        <w:t xml:space="preserve">A study published in October 2015 by the European Commission on the </w:t>
      </w:r>
      <w:r w:rsidR="00942820" w:rsidRPr="008A47AB">
        <w:rPr>
          <w:color w:val="000000" w:themeColor="text1"/>
          <w:sz w:val="20"/>
          <w:szCs w:val="20"/>
        </w:rPr>
        <w:t>spillover</w:t>
      </w:r>
      <w:r w:rsidRPr="008A47AB">
        <w:rPr>
          <w:color w:val="000000" w:themeColor="text1"/>
          <w:sz w:val="20"/>
          <w:szCs w:val="20"/>
        </w:rPr>
        <w:t xml:space="preserve"> effects of the arts, culture and creative industries</w:t>
      </w:r>
      <w:r w:rsidR="009A7EEA" w:rsidRPr="008A47AB">
        <w:rPr>
          <w:color w:val="000000" w:themeColor="text1"/>
          <w:sz w:val="20"/>
          <w:szCs w:val="20"/>
        </w:rPr>
        <w:t xml:space="preserve">, </w:t>
      </w:r>
      <w:r w:rsidRPr="008A47AB">
        <w:rPr>
          <w:color w:val="000000" w:themeColor="text1"/>
          <w:sz w:val="20"/>
          <w:szCs w:val="20"/>
        </w:rPr>
        <w:t>evaluated surveys, analyses, case studies, literature reviews etc.</w:t>
      </w:r>
      <w:r w:rsidR="00EC4E24" w:rsidRPr="008A47AB">
        <w:rPr>
          <w:color w:val="000000" w:themeColor="text1"/>
          <w:sz w:val="20"/>
          <w:szCs w:val="20"/>
        </w:rPr>
        <w:t xml:space="preserve"> It </w:t>
      </w:r>
      <w:r w:rsidR="00F74C88" w:rsidRPr="008A47AB">
        <w:rPr>
          <w:color w:val="000000" w:themeColor="text1"/>
          <w:sz w:val="20"/>
          <w:szCs w:val="20"/>
        </w:rPr>
        <w:t>found</w:t>
      </w:r>
      <w:r w:rsidR="009A7EEA" w:rsidRPr="008A47AB">
        <w:rPr>
          <w:color w:val="000000" w:themeColor="text1"/>
          <w:sz w:val="20"/>
          <w:szCs w:val="20"/>
        </w:rPr>
        <w:t>:</w:t>
      </w:r>
      <w:r w:rsidRPr="008A47AB">
        <w:rPr>
          <w:rStyle w:val="FootnoteReference"/>
          <w:color w:val="000000" w:themeColor="text1"/>
          <w:sz w:val="20"/>
          <w:szCs w:val="20"/>
        </w:rPr>
        <w:footnoteReference w:id="1"/>
      </w:r>
      <w:r w:rsidRPr="008A47AB">
        <w:rPr>
          <w:color w:val="000000" w:themeColor="text1"/>
          <w:sz w:val="20"/>
          <w:szCs w:val="20"/>
        </w:rPr>
        <w:t xml:space="preserve"> </w:t>
      </w:r>
    </w:p>
    <w:tbl>
      <w:tblPr>
        <w:tblStyle w:val="LightShading-Accent2"/>
        <w:tblW w:w="0" w:type="auto"/>
        <w:tblLook w:val="04A0" w:firstRow="1" w:lastRow="0" w:firstColumn="1" w:lastColumn="0" w:noHBand="0" w:noVBand="1"/>
      </w:tblPr>
      <w:tblGrid>
        <w:gridCol w:w="3080"/>
        <w:gridCol w:w="3081"/>
        <w:gridCol w:w="3081"/>
      </w:tblGrid>
      <w:tr w:rsidR="00A16D83" w:rsidRPr="008A47AB" w:rsidTr="00CF6DA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0" w:type="dxa"/>
            <w:vAlign w:val="center"/>
            <w:hideMark/>
          </w:tcPr>
          <w:p w:rsidR="00A16D83" w:rsidRPr="008A47AB" w:rsidRDefault="00A16D83" w:rsidP="00F74C88">
            <w:pPr>
              <w:ind w:right="312"/>
              <w:rPr>
                <w:color w:val="000000" w:themeColor="text1"/>
                <w:sz w:val="18"/>
                <w:szCs w:val="18"/>
              </w:rPr>
            </w:pPr>
            <w:r w:rsidRPr="008A47AB">
              <w:rPr>
                <w:color w:val="000000" w:themeColor="text1"/>
                <w:sz w:val="18"/>
                <w:szCs w:val="18"/>
              </w:rPr>
              <w:t xml:space="preserve">Knowledge </w:t>
            </w:r>
            <w:r w:rsidR="00F74C88" w:rsidRPr="008A47AB">
              <w:rPr>
                <w:color w:val="000000" w:themeColor="text1"/>
                <w:sz w:val="18"/>
                <w:szCs w:val="18"/>
              </w:rPr>
              <w:t>s</w:t>
            </w:r>
            <w:r w:rsidRPr="008A47AB">
              <w:rPr>
                <w:color w:val="000000" w:themeColor="text1"/>
                <w:sz w:val="18"/>
                <w:szCs w:val="18"/>
              </w:rPr>
              <w:t>pillovers</w:t>
            </w:r>
          </w:p>
        </w:tc>
        <w:tc>
          <w:tcPr>
            <w:tcW w:w="3081" w:type="dxa"/>
            <w:vAlign w:val="center"/>
            <w:hideMark/>
          </w:tcPr>
          <w:p w:rsidR="00A16D83" w:rsidRPr="008A47AB" w:rsidRDefault="00A16D83" w:rsidP="00F74C88">
            <w:pPr>
              <w:ind w:right="275"/>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 xml:space="preserve">Industry </w:t>
            </w:r>
            <w:r w:rsidR="00F74C88" w:rsidRPr="008A47AB">
              <w:rPr>
                <w:color w:val="000000" w:themeColor="text1"/>
                <w:sz w:val="18"/>
                <w:szCs w:val="18"/>
              </w:rPr>
              <w:t>s</w:t>
            </w:r>
            <w:r w:rsidRPr="008A47AB">
              <w:rPr>
                <w:color w:val="000000" w:themeColor="text1"/>
                <w:sz w:val="18"/>
                <w:szCs w:val="18"/>
              </w:rPr>
              <w:t>pillovers</w:t>
            </w:r>
          </w:p>
        </w:tc>
        <w:tc>
          <w:tcPr>
            <w:tcW w:w="3081" w:type="dxa"/>
            <w:vAlign w:val="center"/>
            <w:hideMark/>
          </w:tcPr>
          <w:p w:rsidR="00A16D83" w:rsidRPr="008A47AB" w:rsidRDefault="00A16D83" w:rsidP="00F74C88">
            <w:pPr>
              <w:ind w:right="237"/>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 xml:space="preserve">Network </w:t>
            </w:r>
            <w:r w:rsidR="00F74C88" w:rsidRPr="008A47AB">
              <w:rPr>
                <w:color w:val="000000" w:themeColor="text1"/>
                <w:sz w:val="18"/>
                <w:szCs w:val="18"/>
              </w:rPr>
              <w:t>s</w:t>
            </w:r>
            <w:r w:rsidRPr="008A47AB">
              <w:rPr>
                <w:color w:val="000000" w:themeColor="text1"/>
                <w:sz w:val="18"/>
                <w:szCs w:val="18"/>
              </w:rPr>
              <w:t>pillovers</w:t>
            </w:r>
          </w:p>
        </w:tc>
      </w:tr>
      <w:tr w:rsidR="00A16D83" w:rsidRPr="008A47AB" w:rsidTr="00CF6DA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Stimulating creativity and encouraging potential</w:t>
            </w:r>
          </w:p>
        </w:tc>
        <w:tc>
          <w:tcPr>
            <w:tcW w:w="3081" w:type="dxa"/>
            <w:tcBorders>
              <w:top w:val="nil"/>
              <w:bottom w:val="nil"/>
            </w:tcBorders>
            <w:vAlign w:val="center"/>
            <w:hideMark/>
          </w:tcPr>
          <w:p w:rsidR="00A16D83" w:rsidRPr="008A47AB" w:rsidRDefault="00A16D83" w:rsidP="00CF6DA3">
            <w:pPr>
              <w:ind w:right="275"/>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Improved business culture and boosting entrepreneurship</w:t>
            </w:r>
          </w:p>
        </w:tc>
        <w:tc>
          <w:tcPr>
            <w:tcW w:w="3081" w:type="dxa"/>
            <w:tcBorders>
              <w:top w:val="nil"/>
              <w:bottom w:val="nil"/>
            </w:tcBorders>
            <w:vAlign w:val="center"/>
            <w:hideMark/>
          </w:tcPr>
          <w:p w:rsidR="00A16D83" w:rsidRPr="008A47AB" w:rsidRDefault="00A16D83" w:rsidP="00CF6DA3">
            <w:pPr>
              <w:ind w:right="237"/>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Building social cohesion, community development and integration</w:t>
            </w:r>
          </w:p>
        </w:tc>
      </w:tr>
      <w:tr w:rsidR="00A16D83" w:rsidRPr="008A47AB" w:rsidTr="00CF6DA3">
        <w:trPr>
          <w:trHeight w:val="710"/>
        </w:trPr>
        <w:tc>
          <w:tcPr>
            <w:cnfStyle w:val="001000000000" w:firstRow="0" w:lastRow="0" w:firstColumn="1" w:lastColumn="0" w:oddVBand="0" w:evenVBand="0" w:oddHBand="0" w:evenHBand="0" w:firstRowFirstColumn="0" w:firstRowLastColumn="0" w:lastRowFirstColumn="0" w:lastRowLastColumn="0"/>
            <w:tcW w:w="3080" w:type="dxa"/>
            <w:tcBorders>
              <w:top w:val="nil"/>
              <w:left w:val="nil"/>
              <w:bottom w:val="nil"/>
              <w:right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Increasing visibility, tolerance and exchange between communities</w:t>
            </w:r>
          </w:p>
        </w:tc>
        <w:tc>
          <w:tcPr>
            <w:tcW w:w="3081" w:type="dxa"/>
            <w:tcBorders>
              <w:top w:val="nil"/>
              <w:left w:val="nil"/>
              <w:bottom w:val="nil"/>
              <w:right w:val="nil"/>
            </w:tcBorders>
            <w:vAlign w:val="center"/>
            <w:hideMark/>
          </w:tcPr>
          <w:p w:rsidR="00A16D83" w:rsidRPr="008A47AB" w:rsidRDefault="00A16D83" w:rsidP="00CF6DA3">
            <w:pPr>
              <w:ind w:right="275"/>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Impacts on residential and commercial property markets</w:t>
            </w:r>
          </w:p>
        </w:tc>
        <w:tc>
          <w:tcPr>
            <w:tcW w:w="3081" w:type="dxa"/>
            <w:tcBorders>
              <w:top w:val="nil"/>
              <w:left w:val="nil"/>
              <w:bottom w:val="nil"/>
              <w:right w:val="nil"/>
            </w:tcBorders>
            <w:vAlign w:val="center"/>
            <w:hideMark/>
          </w:tcPr>
          <w:p w:rsidR="00A16D83" w:rsidRPr="008A47AB" w:rsidRDefault="00A16D83" w:rsidP="00CF6DA3">
            <w:pPr>
              <w:ind w:right="237"/>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Improving health and wellbeing</w:t>
            </w:r>
          </w:p>
        </w:tc>
      </w:tr>
      <w:tr w:rsidR="00A16D83" w:rsidRPr="008A47AB" w:rsidTr="00CF6DA3">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Changing attitudes in participation and openness to the arts</w:t>
            </w:r>
          </w:p>
        </w:tc>
        <w:tc>
          <w:tcPr>
            <w:tcW w:w="3081" w:type="dxa"/>
            <w:tcBorders>
              <w:top w:val="nil"/>
              <w:bottom w:val="nil"/>
            </w:tcBorders>
            <w:vAlign w:val="center"/>
            <w:hideMark/>
          </w:tcPr>
          <w:p w:rsidR="00A16D83" w:rsidRPr="008A47AB" w:rsidRDefault="00A16D83" w:rsidP="00CF6DA3">
            <w:pPr>
              <w:ind w:right="275"/>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Stimulating private and foreign investment</w:t>
            </w:r>
          </w:p>
        </w:tc>
        <w:tc>
          <w:tcPr>
            <w:tcW w:w="3081" w:type="dxa"/>
            <w:tcBorders>
              <w:top w:val="nil"/>
              <w:bottom w:val="nil"/>
            </w:tcBorders>
            <w:vAlign w:val="center"/>
            <w:hideMark/>
          </w:tcPr>
          <w:p w:rsidR="00A16D83" w:rsidRPr="008A47AB" w:rsidRDefault="00A16D83" w:rsidP="00CF6DA3">
            <w:pPr>
              <w:ind w:right="237"/>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Creating and attractive ecosystem and creative milieu, city branding and place making</w:t>
            </w:r>
          </w:p>
        </w:tc>
      </w:tr>
      <w:tr w:rsidR="00A16D83" w:rsidRPr="008A47AB" w:rsidTr="00CF6DA3">
        <w:trPr>
          <w:trHeight w:val="848"/>
        </w:trPr>
        <w:tc>
          <w:tcPr>
            <w:cnfStyle w:val="001000000000" w:firstRow="0" w:lastRow="0" w:firstColumn="1" w:lastColumn="0" w:oddVBand="0" w:evenVBand="0" w:oddHBand="0" w:evenHBand="0" w:firstRowFirstColumn="0" w:firstRowLastColumn="0" w:lastRowFirstColumn="0" w:lastRowLastColumn="0"/>
            <w:tcW w:w="3080" w:type="dxa"/>
            <w:tcBorders>
              <w:top w:val="nil"/>
              <w:left w:val="nil"/>
              <w:bottom w:val="nil"/>
              <w:right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Increase in employability and skills development in society</w:t>
            </w:r>
          </w:p>
        </w:tc>
        <w:tc>
          <w:tcPr>
            <w:tcW w:w="3081" w:type="dxa"/>
            <w:tcBorders>
              <w:top w:val="nil"/>
              <w:left w:val="nil"/>
              <w:bottom w:val="nil"/>
              <w:right w:val="nil"/>
            </w:tcBorders>
            <w:vAlign w:val="center"/>
            <w:hideMark/>
          </w:tcPr>
          <w:p w:rsidR="00A16D83" w:rsidRPr="008A47AB" w:rsidRDefault="00A16D83" w:rsidP="00CF6DA3">
            <w:pPr>
              <w:ind w:right="275"/>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Improving productivity, profitability and competitiveness</w:t>
            </w:r>
          </w:p>
        </w:tc>
        <w:tc>
          <w:tcPr>
            <w:tcW w:w="3081" w:type="dxa"/>
            <w:tcBorders>
              <w:top w:val="nil"/>
              <w:left w:val="nil"/>
              <w:bottom w:val="nil"/>
              <w:right w:val="nil"/>
            </w:tcBorders>
            <w:vAlign w:val="center"/>
            <w:hideMark/>
          </w:tcPr>
          <w:p w:rsidR="00A16D83" w:rsidRPr="008A47AB" w:rsidRDefault="00A16D83" w:rsidP="00CF6DA3">
            <w:pPr>
              <w:ind w:right="237"/>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A47AB">
              <w:rPr>
                <w:color w:val="000000" w:themeColor="text1"/>
                <w:sz w:val="18"/>
                <w:szCs w:val="18"/>
              </w:rPr>
              <w:t>Stimulating urban development, regeneration and infrastructure</w:t>
            </w:r>
          </w:p>
        </w:tc>
      </w:tr>
      <w:tr w:rsidR="00A16D83" w:rsidRPr="008A47AB" w:rsidTr="00CF6DA3">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Strengthening cross-border and cross-sector collaborations</w:t>
            </w:r>
          </w:p>
        </w:tc>
        <w:tc>
          <w:tcPr>
            <w:tcW w:w="3081" w:type="dxa"/>
            <w:tcBorders>
              <w:top w:val="nil"/>
              <w:bottom w:val="nil"/>
            </w:tcBorders>
            <w:vAlign w:val="center"/>
            <w:hideMark/>
          </w:tcPr>
          <w:p w:rsidR="00A16D83" w:rsidRPr="008A47AB" w:rsidRDefault="00A16D83" w:rsidP="00CF6DA3">
            <w:pPr>
              <w:ind w:right="275"/>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Boosting innovation and digital technology</w:t>
            </w:r>
          </w:p>
        </w:tc>
        <w:tc>
          <w:tcPr>
            <w:tcW w:w="3081" w:type="dxa"/>
            <w:tcBorders>
              <w:top w:val="nil"/>
              <w:bottom w:val="nil"/>
            </w:tcBorders>
            <w:vAlign w:val="center"/>
            <w:hideMark/>
          </w:tcPr>
          <w:p w:rsidR="00A16D83" w:rsidRPr="008A47AB" w:rsidRDefault="00A16D83" w:rsidP="00CF6DA3">
            <w:pPr>
              <w:ind w:right="237"/>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A47AB">
              <w:rPr>
                <w:color w:val="000000" w:themeColor="text1"/>
                <w:sz w:val="18"/>
                <w:szCs w:val="18"/>
              </w:rPr>
              <w:t>Boosting economic impact or clusters</w:t>
            </w:r>
          </w:p>
        </w:tc>
      </w:tr>
      <w:tr w:rsidR="00A16D83" w:rsidRPr="008A47AB" w:rsidTr="00CF6DA3">
        <w:trPr>
          <w:trHeight w:val="852"/>
        </w:trPr>
        <w:tc>
          <w:tcPr>
            <w:cnfStyle w:val="001000000000" w:firstRow="0" w:lastRow="0" w:firstColumn="1" w:lastColumn="0" w:oddVBand="0" w:evenVBand="0" w:oddHBand="0" w:evenHBand="0" w:firstRowFirstColumn="0" w:firstRowLastColumn="0" w:lastRowFirstColumn="0" w:lastRowLastColumn="0"/>
            <w:tcW w:w="3080" w:type="dxa"/>
            <w:tcBorders>
              <w:top w:val="nil"/>
              <w:left w:val="nil"/>
              <w:bottom w:val="nil"/>
              <w:right w:val="nil"/>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Testing new forms of organisation and new management structures</w:t>
            </w:r>
          </w:p>
        </w:tc>
        <w:tc>
          <w:tcPr>
            <w:tcW w:w="3081" w:type="dxa"/>
            <w:tcBorders>
              <w:top w:val="nil"/>
              <w:left w:val="nil"/>
              <w:bottom w:val="nil"/>
              <w:right w:val="nil"/>
            </w:tcBorders>
            <w:vAlign w:val="center"/>
          </w:tcPr>
          <w:p w:rsidR="00A16D83" w:rsidRPr="008A47AB" w:rsidRDefault="00A16D83" w:rsidP="00CF6DA3">
            <w:pPr>
              <w:ind w:right="275"/>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3081" w:type="dxa"/>
            <w:tcBorders>
              <w:top w:val="nil"/>
              <w:left w:val="nil"/>
              <w:bottom w:val="nil"/>
              <w:right w:val="nil"/>
            </w:tcBorders>
            <w:vAlign w:val="center"/>
          </w:tcPr>
          <w:p w:rsidR="00A16D83" w:rsidRPr="008A47AB" w:rsidRDefault="00A16D83" w:rsidP="00CF6DA3">
            <w:pPr>
              <w:ind w:right="237"/>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r w:rsidR="00A16D83" w:rsidRPr="008A47AB" w:rsidTr="00CF6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top w:val="nil"/>
              <w:bottom w:val="single" w:sz="8" w:space="0" w:color="C0504D" w:themeColor="accent2"/>
            </w:tcBorders>
            <w:vAlign w:val="center"/>
            <w:hideMark/>
          </w:tcPr>
          <w:p w:rsidR="00A16D83" w:rsidRPr="008A47AB" w:rsidRDefault="00A16D83" w:rsidP="00CF6DA3">
            <w:pPr>
              <w:ind w:right="312"/>
              <w:rPr>
                <w:b w:val="0"/>
                <w:color w:val="000000" w:themeColor="text1"/>
                <w:sz w:val="18"/>
                <w:szCs w:val="18"/>
              </w:rPr>
            </w:pPr>
            <w:r w:rsidRPr="008A47AB">
              <w:rPr>
                <w:b w:val="0"/>
                <w:color w:val="000000" w:themeColor="text1"/>
                <w:sz w:val="18"/>
                <w:szCs w:val="18"/>
              </w:rPr>
              <w:t>Facilitating knowledge exchange and culture-led innovation</w:t>
            </w:r>
          </w:p>
        </w:tc>
        <w:tc>
          <w:tcPr>
            <w:tcW w:w="3081" w:type="dxa"/>
            <w:tcBorders>
              <w:top w:val="nil"/>
              <w:bottom w:val="single" w:sz="8" w:space="0" w:color="C0504D" w:themeColor="accent2"/>
            </w:tcBorders>
            <w:vAlign w:val="center"/>
          </w:tcPr>
          <w:p w:rsidR="00A16D83" w:rsidRPr="008A47AB" w:rsidRDefault="00A16D83" w:rsidP="00CF6DA3">
            <w:pPr>
              <w:ind w:right="275"/>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3081" w:type="dxa"/>
            <w:tcBorders>
              <w:top w:val="nil"/>
              <w:bottom w:val="single" w:sz="8" w:space="0" w:color="C0504D" w:themeColor="accent2"/>
            </w:tcBorders>
            <w:vAlign w:val="center"/>
          </w:tcPr>
          <w:p w:rsidR="00A16D83" w:rsidRPr="008A47AB" w:rsidRDefault="00A16D83" w:rsidP="00CF6DA3">
            <w:pPr>
              <w:ind w:right="237"/>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bl>
    <w:p w:rsidR="00A16D83" w:rsidRPr="008A47AB" w:rsidRDefault="00A16D83" w:rsidP="00A16D83">
      <w:pPr>
        <w:spacing w:after="240"/>
        <w:rPr>
          <w:rStyle w:val="SubtleEmphasis"/>
          <w:i w:val="0"/>
          <w:color w:val="000000" w:themeColor="text1"/>
          <w:sz w:val="12"/>
          <w:szCs w:val="24"/>
        </w:rPr>
      </w:pPr>
    </w:p>
    <w:p w:rsidR="00AD0CF2" w:rsidRPr="008A47AB" w:rsidRDefault="00821812" w:rsidP="00315603">
      <w:pPr>
        <w:rPr>
          <w:color w:val="000000"/>
          <w:sz w:val="20"/>
          <w:szCs w:val="20"/>
          <w:u w:val="single"/>
        </w:rPr>
      </w:pPr>
      <w:r w:rsidRPr="008A47AB">
        <w:rPr>
          <w:color w:val="000000"/>
          <w:sz w:val="20"/>
          <w:szCs w:val="20"/>
          <w:u w:val="single"/>
        </w:rPr>
        <w:t>AMPAG</w:t>
      </w:r>
      <w:r w:rsidR="00770B17" w:rsidRPr="008A47AB">
        <w:rPr>
          <w:color w:val="000000"/>
          <w:sz w:val="20"/>
          <w:szCs w:val="20"/>
          <w:u w:val="single"/>
        </w:rPr>
        <w:t xml:space="preserve"> recognise</w:t>
      </w:r>
      <w:r w:rsidRPr="008A47AB">
        <w:rPr>
          <w:color w:val="000000"/>
          <w:sz w:val="20"/>
          <w:szCs w:val="20"/>
          <w:u w:val="single"/>
        </w:rPr>
        <w:t>s</w:t>
      </w:r>
      <w:r w:rsidR="00770B17" w:rsidRPr="008A47AB">
        <w:rPr>
          <w:color w:val="000000"/>
          <w:sz w:val="20"/>
          <w:szCs w:val="20"/>
          <w:u w:val="single"/>
        </w:rPr>
        <w:t xml:space="preserve"> the </w:t>
      </w:r>
      <w:r w:rsidR="009A7EEA" w:rsidRPr="008A47AB">
        <w:rPr>
          <w:color w:val="000000"/>
          <w:sz w:val="20"/>
          <w:szCs w:val="20"/>
          <w:u w:val="single"/>
        </w:rPr>
        <w:t xml:space="preserve">Federal </w:t>
      </w:r>
      <w:r w:rsidR="00770B17" w:rsidRPr="008A47AB">
        <w:rPr>
          <w:color w:val="000000"/>
          <w:sz w:val="20"/>
          <w:szCs w:val="20"/>
          <w:u w:val="single"/>
        </w:rPr>
        <w:t xml:space="preserve">Budget is </w:t>
      </w:r>
      <w:r w:rsidR="004B715C" w:rsidRPr="008A47AB">
        <w:rPr>
          <w:color w:val="000000"/>
          <w:sz w:val="20"/>
          <w:szCs w:val="20"/>
          <w:u w:val="single"/>
        </w:rPr>
        <w:t xml:space="preserve">being calculated </w:t>
      </w:r>
      <w:r w:rsidR="00770B17" w:rsidRPr="008A47AB">
        <w:rPr>
          <w:color w:val="000000"/>
          <w:sz w:val="20"/>
          <w:szCs w:val="20"/>
          <w:u w:val="single"/>
        </w:rPr>
        <w:t xml:space="preserve">in a time of </w:t>
      </w:r>
      <w:r w:rsidR="009A7EEA" w:rsidRPr="008A47AB">
        <w:rPr>
          <w:color w:val="000000"/>
          <w:sz w:val="20"/>
          <w:szCs w:val="20"/>
          <w:u w:val="single"/>
        </w:rPr>
        <w:t>economic uncertainty</w:t>
      </w:r>
      <w:r w:rsidR="00AD0CF2" w:rsidRPr="008A47AB">
        <w:rPr>
          <w:color w:val="000000"/>
          <w:sz w:val="20"/>
          <w:szCs w:val="20"/>
          <w:u w:val="single"/>
        </w:rPr>
        <w:t xml:space="preserve"> but policies that improve our social resilience and </w:t>
      </w:r>
      <w:r w:rsidR="00380ADC" w:rsidRPr="008A47AB">
        <w:rPr>
          <w:color w:val="000000"/>
          <w:sz w:val="20"/>
          <w:szCs w:val="20"/>
          <w:u w:val="single"/>
        </w:rPr>
        <w:t>economic future</w:t>
      </w:r>
      <w:r w:rsidR="00AD0CF2" w:rsidRPr="008A47AB">
        <w:rPr>
          <w:color w:val="000000"/>
          <w:sz w:val="20"/>
          <w:szCs w:val="20"/>
          <w:u w:val="single"/>
        </w:rPr>
        <w:t xml:space="preserve"> </w:t>
      </w:r>
      <w:r w:rsidR="009A7EEA" w:rsidRPr="008A47AB">
        <w:rPr>
          <w:color w:val="000000"/>
          <w:sz w:val="20"/>
          <w:szCs w:val="20"/>
          <w:u w:val="single"/>
        </w:rPr>
        <w:t>must</w:t>
      </w:r>
      <w:r w:rsidR="00AD0CF2" w:rsidRPr="008A47AB">
        <w:rPr>
          <w:color w:val="000000"/>
          <w:sz w:val="20"/>
          <w:szCs w:val="20"/>
          <w:u w:val="single"/>
        </w:rPr>
        <w:t xml:space="preserve"> be supported. </w:t>
      </w:r>
    </w:p>
    <w:p w:rsidR="00942820" w:rsidRPr="008A47AB" w:rsidRDefault="004B48FE" w:rsidP="00315603">
      <w:pPr>
        <w:rPr>
          <w:color w:val="000000"/>
          <w:sz w:val="20"/>
          <w:szCs w:val="20"/>
        </w:rPr>
      </w:pPr>
      <w:r w:rsidRPr="008A47AB">
        <w:rPr>
          <w:color w:val="000000"/>
          <w:sz w:val="20"/>
          <w:szCs w:val="20"/>
        </w:rPr>
        <w:t>S</w:t>
      </w:r>
      <w:r w:rsidR="00770B17" w:rsidRPr="008A47AB">
        <w:rPr>
          <w:color w:val="000000"/>
          <w:sz w:val="20"/>
          <w:szCs w:val="20"/>
        </w:rPr>
        <w:t xml:space="preserve">ignificant changes </w:t>
      </w:r>
      <w:r w:rsidRPr="008A47AB">
        <w:rPr>
          <w:color w:val="000000"/>
          <w:sz w:val="20"/>
          <w:szCs w:val="20"/>
        </w:rPr>
        <w:t>to Federal arts funding of smaller arts org</w:t>
      </w:r>
      <w:r w:rsidR="009A7EEA" w:rsidRPr="008A47AB">
        <w:rPr>
          <w:color w:val="000000"/>
          <w:sz w:val="20"/>
          <w:szCs w:val="20"/>
        </w:rPr>
        <w:t>a</w:t>
      </w:r>
      <w:r w:rsidRPr="008A47AB">
        <w:rPr>
          <w:color w:val="000000"/>
          <w:sz w:val="20"/>
          <w:szCs w:val="20"/>
        </w:rPr>
        <w:t>n</w:t>
      </w:r>
      <w:r w:rsidR="009A7EEA" w:rsidRPr="008A47AB">
        <w:rPr>
          <w:color w:val="000000"/>
          <w:sz w:val="20"/>
          <w:szCs w:val="20"/>
        </w:rPr>
        <w:t>is</w:t>
      </w:r>
      <w:r w:rsidRPr="008A47AB">
        <w:rPr>
          <w:color w:val="000000"/>
          <w:sz w:val="20"/>
          <w:szCs w:val="20"/>
        </w:rPr>
        <w:t>ations</w:t>
      </w:r>
      <w:r w:rsidR="009A7EEA" w:rsidRPr="008A47AB">
        <w:rPr>
          <w:color w:val="000000"/>
          <w:sz w:val="20"/>
          <w:szCs w:val="20"/>
        </w:rPr>
        <w:t xml:space="preserve">, </w:t>
      </w:r>
      <w:r w:rsidRPr="008A47AB">
        <w:rPr>
          <w:color w:val="000000"/>
          <w:sz w:val="20"/>
          <w:szCs w:val="20"/>
        </w:rPr>
        <w:t>as</w:t>
      </w:r>
      <w:r w:rsidR="00770B17" w:rsidRPr="008A47AB">
        <w:rPr>
          <w:color w:val="000000"/>
          <w:sz w:val="20"/>
          <w:szCs w:val="20"/>
        </w:rPr>
        <w:t xml:space="preserve"> a result of </w:t>
      </w:r>
      <w:r w:rsidR="009A7EEA" w:rsidRPr="008A47AB">
        <w:rPr>
          <w:color w:val="000000"/>
          <w:sz w:val="20"/>
          <w:szCs w:val="20"/>
        </w:rPr>
        <w:t xml:space="preserve">changes </w:t>
      </w:r>
      <w:r w:rsidR="00770B17" w:rsidRPr="008A47AB">
        <w:rPr>
          <w:color w:val="000000"/>
          <w:sz w:val="20"/>
          <w:szCs w:val="20"/>
        </w:rPr>
        <w:t>to the Federal arts funding arrangeme</w:t>
      </w:r>
      <w:r w:rsidR="00315603" w:rsidRPr="008A47AB">
        <w:rPr>
          <w:color w:val="000000"/>
          <w:sz w:val="20"/>
          <w:szCs w:val="20"/>
        </w:rPr>
        <w:t>nts in 2014 and 2015</w:t>
      </w:r>
      <w:r w:rsidR="009A7EEA" w:rsidRPr="008A47AB">
        <w:rPr>
          <w:color w:val="000000"/>
          <w:sz w:val="20"/>
          <w:szCs w:val="20"/>
        </w:rPr>
        <w:t>,</w:t>
      </w:r>
      <w:r w:rsidR="00315603" w:rsidRPr="008A47AB">
        <w:rPr>
          <w:color w:val="000000"/>
          <w:sz w:val="20"/>
          <w:szCs w:val="20"/>
        </w:rPr>
        <w:t xml:space="preserve"> continue</w:t>
      </w:r>
      <w:r w:rsidR="004B715C" w:rsidRPr="008A47AB">
        <w:rPr>
          <w:color w:val="000000"/>
          <w:sz w:val="20"/>
          <w:szCs w:val="20"/>
        </w:rPr>
        <w:t>s</w:t>
      </w:r>
      <w:r w:rsidR="00315603" w:rsidRPr="008A47AB">
        <w:rPr>
          <w:color w:val="000000"/>
          <w:sz w:val="20"/>
          <w:szCs w:val="20"/>
        </w:rPr>
        <w:t xml:space="preserve"> to be of concern</w:t>
      </w:r>
      <w:r w:rsidRPr="008A47AB">
        <w:rPr>
          <w:color w:val="000000"/>
          <w:sz w:val="20"/>
          <w:szCs w:val="20"/>
        </w:rPr>
        <w:t xml:space="preserve"> to AMPAG an</w:t>
      </w:r>
      <w:r w:rsidR="009A7EEA" w:rsidRPr="008A47AB">
        <w:rPr>
          <w:color w:val="000000"/>
          <w:sz w:val="20"/>
          <w:szCs w:val="20"/>
        </w:rPr>
        <w:t>d</w:t>
      </w:r>
      <w:r w:rsidRPr="008A47AB">
        <w:rPr>
          <w:color w:val="000000"/>
          <w:sz w:val="20"/>
          <w:szCs w:val="20"/>
        </w:rPr>
        <w:t xml:space="preserve"> the sector broadly</w:t>
      </w:r>
      <w:r w:rsidR="00315603" w:rsidRPr="008A47AB">
        <w:rPr>
          <w:color w:val="000000"/>
          <w:sz w:val="20"/>
          <w:szCs w:val="20"/>
        </w:rPr>
        <w:t xml:space="preserve">. </w:t>
      </w:r>
      <w:r w:rsidR="00EC4E24" w:rsidRPr="008A47AB">
        <w:rPr>
          <w:color w:val="000000"/>
          <w:sz w:val="20"/>
          <w:szCs w:val="20"/>
        </w:rPr>
        <w:t>T</w:t>
      </w:r>
      <w:r w:rsidR="006A34FE" w:rsidRPr="008A47AB">
        <w:rPr>
          <w:color w:val="000000"/>
          <w:sz w:val="20"/>
          <w:szCs w:val="20"/>
        </w:rPr>
        <w:t>he</w:t>
      </w:r>
      <w:r w:rsidRPr="008A47AB">
        <w:rPr>
          <w:color w:val="000000"/>
          <w:sz w:val="20"/>
          <w:szCs w:val="20"/>
        </w:rPr>
        <w:t xml:space="preserve"> strategic benefit </w:t>
      </w:r>
      <w:r w:rsidR="006A34FE" w:rsidRPr="008A47AB">
        <w:rPr>
          <w:color w:val="000000"/>
          <w:sz w:val="20"/>
          <w:szCs w:val="20"/>
        </w:rPr>
        <w:t xml:space="preserve">generated </w:t>
      </w:r>
      <w:r w:rsidR="009A7EEA" w:rsidRPr="008A47AB">
        <w:rPr>
          <w:color w:val="000000"/>
          <w:sz w:val="20"/>
          <w:szCs w:val="20"/>
        </w:rPr>
        <w:t>by</w:t>
      </w:r>
      <w:r w:rsidRPr="008A47AB">
        <w:rPr>
          <w:color w:val="000000"/>
          <w:sz w:val="20"/>
          <w:szCs w:val="20"/>
        </w:rPr>
        <w:t xml:space="preserve"> the formation of the </w:t>
      </w:r>
      <w:r w:rsidR="00315603" w:rsidRPr="008A47AB">
        <w:rPr>
          <w:color w:val="000000"/>
          <w:sz w:val="20"/>
          <w:szCs w:val="20"/>
        </w:rPr>
        <w:t xml:space="preserve">Catalyst Fund </w:t>
      </w:r>
      <w:r w:rsidR="006A34FE" w:rsidRPr="008A47AB">
        <w:rPr>
          <w:color w:val="000000"/>
          <w:sz w:val="20"/>
          <w:szCs w:val="20"/>
        </w:rPr>
        <w:t xml:space="preserve">is unclear </w:t>
      </w:r>
      <w:r w:rsidR="00380ADC" w:rsidRPr="008A47AB">
        <w:rPr>
          <w:color w:val="000000"/>
          <w:sz w:val="20"/>
          <w:szCs w:val="20"/>
        </w:rPr>
        <w:t xml:space="preserve">and coordination </w:t>
      </w:r>
      <w:r w:rsidR="009A7EEA" w:rsidRPr="008A47AB">
        <w:rPr>
          <w:color w:val="000000"/>
          <w:sz w:val="20"/>
          <w:szCs w:val="20"/>
        </w:rPr>
        <w:t xml:space="preserve">of arts funding </w:t>
      </w:r>
      <w:r w:rsidR="00380ADC" w:rsidRPr="008A47AB">
        <w:rPr>
          <w:color w:val="000000"/>
          <w:sz w:val="20"/>
          <w:szCs w:val="20"/>
        </w:rPr>
        <w:t xml:space="preserve">across government programs has </w:t>
      </w:r>
      <w:r w:rsidR="009A7EEA" w:rsidRPr="008A47AB">
        <w:rPr>
          <w:color w:val="000000"/>
          <w:sz w:val="20"/>
          <w:szCs w:val="20"/>
        </w:rPr>
        <w:t xml:space="preserve">been seriously </w:t>
      </w:r>
      <w:r w:rsidR="00380ADC" w:rsidRPr="008A47AB">
        <w:rPr>
          <w:color w:val="000000"/>
          <w:sz w:val="20"/>
          <w:szCs w:val="20"/>
        </w:rPr>
        <w:t>weakened.</w:t>
      </w:r>
    </w:p>
    <w:p w:rsidR="00821812" w:rsidRPr="008A47AB" w:rsidRDefault="00613AF1" w:rsidP="00770B17">
      <w:pPr>
        <w:rPr>
          <w:color w:val="000000"/>
          <w:sz w:val="20"/>
          <w:szCs w:val="20"/>
        </w:rPr>
      </w:pPr>
      <w:r w:rsidRPr="008A47AB">
        <w:rPr>
          <w:color w:val="000000"/>
          <w:sz w:val="20"/>
          <w:szCs w:val="20"/>
        </w:rPr>
        <w:t>AMPAG’s</w:t>
      </w:r>
      <w:r w:rsidR="00821812" w:rsidRPr="008A47AB">
        <w:rPr>
          <w:color w:val="000000"/>
          <w:sz w:val="20"/>
          <w:szCs w:val="20"/>
        </w:rPr>
        <w:t xml:space="preserve"> modest recommendations </w:t>
      </w:r>
      <w:r w:rsidR="004B48FE" w:rsidRPr="008A47AB">
        <w:rPr>
          <w:color w:val="000000"/>
          <w:sz w:val="20"/>
          <w:szCs w:val="20"/>
        </w:rPr>
        <w:t xml:space="preserve">include </w:t>
      </w:r>
      <w:r w:rsidR="00821812" w:rsidRPr="008A47AB">
        <w:rPr>
          <w:color w:val="000000"/>
          <w:sz w:val="20"/>
          <w:szCs w:val="20"/>
        </w:rPr>
        <w:t>a review</w:t>
      </w:r>
      <w:r w:rsidR="00315603" w:rsidRPr="008A47AB">
        <w:rPr>
          <w:color w:val="000000"/>
          <w:sz w:val="20"/>
          <w:szCs w:val="20"/>
        </w:rPr>
        <w:t xml:space="preserve"> of the small to medium sector</w:t>
      </w:r>
      <w:r w:rsidR="00821812" w:rsidRPr="008A47AB">
        <w:rPr>
          <w:color w:val="000000"/>
          <w:sz w:val="20"/>
          <w:szCs w:val="20"/>
        </w:rPr>
        <w:t xml:space="preserve">, reallocation of </w:t>
      </w:r>
      <w:r w:rsidRPr="008A47AB">
        <w:rPr>
          <w:color w:val="000000"/>
          <w:sz w:val="20"/>
          <w:szCs w:val="20"/>
        </w:rPr>
        <w:t xml:space="preserve">some arts </w:t>
      </w:r>
      <w:r w:rsidR="00821812" w:rsidRPr="008A47AB">
        <w:rPr>
          <w:color w:val="000000"/>
          <w:sz w:val="20"/>
          <w:szCs w:val="20"/>
        </w:rPr>
        <w:t xml:space="preserve">funding </w:t>
      </w:r>
      <w:r w:rsidR="00896BBF" w:rsidRPr="008A47AB">
        <w:rPr>
          <w:color w:val="000000"/>
          <w:sz w:val="20"/>
          <w:szCs w:val="20"/>
        </w:rPr>
        <w:t xml:space="preserve">and </w:t>
      </w:r>
      <w:r w:rsidRPr="008A47AB">
        <w:rPr>
          <w:color w:val="000000"/>
          <w:sz w:val="20"/>
          <w:szCs w:val="20"/>
        </w:rPr>
        <w:t>new</w:t>
      </w:r>
      <w:r w:rsidR="00821812" w:rsidRPr="008A47AB">
        <w:rPr>
          <w:color w:val="000000"/>
          <w:sz w:val="20"/>
          <w:szCs w:val="20"/>
        </w:rPr>
        <w:t xml:space="preserve"> investment</w:t>
      </w:r>
      <w:r w:rsidR="00315603" w:rsidRPr="008A47AB">
        <w:rPr>
          <w:color w:val="000000"/>
          <w:sz w:val="20"/>
          <w:szCs w:val="20"/>
        </w:rPr>
        <w:t xml:space="preserve"> </w:t>
      </w:r>
      <w:r w:rsidRPr="008A47AB">
        <w:rPr>
          <w:color w:val="000000"/>
          <w:sz w:val="20"/>
          <w:szCs w:val="20"/>
        </w:rPr>
        <w:t xml:space="preserve">in regional arts touring and participation as well as into the opera sector </w:t>
      </w:r>
      <w:r w:rsidR="00380ADC" w:rsidRPr="008A47AB">
        <w:rPr>
          <w:color w:val="000000"/>
          <w:sz w:val="20"/>
          <w:szCs w:val="20"/>
        </w:rPr>
        <w:t>(underpinned</w:t>
      </w:r>
      <w:r w:rsidRPr="008A47AB">
        <w:rPr>
          <w:color w:val="000000"/>
          <w:sz w:val="20"/>
          <w:szCs w:val="20"/>
        </w:rPr>
        <w:t xml:space="preserve"> </w:t>
      </w:r>
      <w:r w:rsidR="00380ADC" w:rsidRPr="008A47AB">
        <w:rPr>
          <w:color w:val="000000"/>
          <w:sz w:val="20"/>
          <w:szCs w:val="20"/>
        </w:rPr>
        <w:t xml:space="preserve">by recommendations coming out of detailed </w:t>
      </w:r>
      <w:r w:rsidRPr="008A47AB">
        <w:rPr>
          <w:color w:val="000000"/>
          <w:sz w:val="20"/>
          <w:szCs w:val="20"/>
        </w:rPr>
        <w:t>review</w:t>
      </w:r>
      <w:r w:rsidR="009A7EEA" w:rsidRPr="008A47AB">
        <w:rPr>
          <w:color w:val="000000"/>
          <w:sz w:val="20"/>
          <w:szCs w:val="20"/>
        </w:rPr>
        <w:t>s</w:t>
      </w:r>
      <w:r w:rsidRPr="008A47AB">
        <w:rPr>
          <w:color w:val="000000"/>
          <w:sz w:val="20"/>
          <w:szCs w:val="20"/>
        </w:rPr>
        <w:t>)</w:t>
      </w:r>
      <w:r w:rsidR="009A7EEA" w:rsidRPr="008A47AB">
        <w:rPr>
          <w:color w:val="000000"/>
          <w:sz w:val="20"/>
          <w:szCs w:val="20"/>
        </w:rPr>
        <w:t xml:space="preserve">. </w:t>
      </w:r>
      <w:r w:rsidR="00EC4E24" w:rsidRPr="008A47AB">
        <w:rPr>
          <w:color w:val="000000"/>
          <w:sz w:val="20"/>
          <w:szCs w:val="20"/>
        </w:rPr>
        <w:t xml:space="preserve">We also recommend additional resources to support cultural diplomacy and development of a Seed funding for major new works. </w:t>
      </w:r>
      <w:r w:rsidR="009A7EEA" w:rsidRPr="008A47AB">
        <w:rPr>
          <w:color w:val="000000"/>
          <w:sz w:val="20"/>
          <w:szCs w:val="20"/>
        </w:rPr>
        <w:t xml:space="preserve">We are very confident that </w:t>
      </w:r>
      <w:r w:rsidR="004B715C" w:rsidRPr="008A47AB">
        <w:rPr>
          <w:color w:val="000000"/>
          <w:sz w:val="20"/>
          <w:szCs w:val="20"/>
        </w:rPr>
        <w:t xml:space="preserve">these steps </w:t>
      </w:r>
      <w:r w:rsidR="00896BBF" w:rsidRPr="008A47AB">
        <w:rPr>
          <w:color w:val="000000"/>
          <w:sz w:val="20"/>
          <w:szCs w:val="20"/>
        </w:rPr>
        <w:t>will deliver</w:t>
      </w:r>
      <w:r w:rsidR="00821812" w:rsidRPr="008A47AB">
        <w:rPr>
          <w:color w:val="000000"/>
          <w:sz w:val="20"/>
          <w:szCs w:val="20"/>
        </w:rPr>
        <w:t xml:space="preserve"> significant benefits to the </w:t>
      </w:r>
      <w:r w:rsidR="009A7EEA" w:rsidRPr="008A47AB">
        <w:rPr>
          <w:color w:val="000000"/>
          <w:sz w:val="20"/>
          <w:szCs w:val="20"/>
        </w:rPr>
        <w:t>sector</w:t>
      </w:r>
      <w:r w:rsidR="00896BBF" w:rsidRPr="008A47AB">
        <w:rPr>
          <w:color w:val="000000"/>
          <w:sz w:val="20"/>
          <w:szCs w:val="20"/>
        </w:rPr>
        <w:t xml:space="preserve"> </w:t>
      </w:r>
      <w:r w:rsidR="00821812" w:rsidRPr="008A47AB">
        <w:rPr>
          <w:color w:val="000000"/>
          <w:sz w:val="20"/>
          <w:szCs w:val="20"/>
        </w:rPr>
        <w:t>and increase public value</w:t>
      </w:r>
      <w:r w:rsidR="00380ADC" w:rsidRPr="008A47AB">
        <w:rPr>
          <w:color w:val="000000"/>
          <w:sz w:val="20"/>
          <w:szCs w:val="20"/>
        </w:rPr>
        <w:t>,</w:t>
      </w:r>
      <w:r w:rsidR="009A7EEA" w:rsidRPr="008A47AB">
        <w:rPr>
          <w:color w:val="000000"/>
          <w:sz w:val="20"/>
          <w:szCs w:val="20"/>
        </w:rPr>
        <w:t xml:space="preserve"> for a small investment by the </w:t>
      </w:r>
      <w:r w:rsidR="004B715C" w:rsidRPr="008A47AB">
        <w:rPr>
          <w:color w:val="000000"/>
          <w:sz w:val="20"/>
          <w:szCs w:val="20"/>
        </w:rPr>
        <w:t>g</w:t>
      </w:r>
      <w:r w:rsidR="009A7EEA" w:rsidRPr="008A47AB">
        <w:rPr>
          <w:color w:val="000000"/>
          <w:sz w:val="20"/>
          <w:szCs w:val="20"/>
        </w:rPr>
        <w:t>overnment.</w:t>
      </w:r>
    </w:p>
    <w:p w:rsidR="004B48FE" w:rsidRPr="008A47AB" w:rsidRDefault="004B48FE">
      <w:pPr>
        <w:rPr>
          <w:b/>
          <w:color w:val="C00000"/>
          <w:sz w:val="20"/>
          <w:szCs w:val="20"/>
        </w:rPr>
      </w:pPr>
    </w:p>
    <w:p w:rsidR="00924524" w:rsidRDefault="00924524" w:rsidP="00770B17">
      <w:pPr>
        <w:rPr>
          <w:b/>
          <w:color w:val="C00000"/>
          <w:sz w:val="20"/>
          <w:szCs w:val="20"/>
        </w:rPr>
      </w:pPr>
    </w:p>
    <w:p w:rsidR="00924524" w:rsidRDefault="00924524" w:rsidP="00770B17">
      <w:pPr>
        <w:rPr>
          <w:b/>
          <w:color w:val="C00000"/>
          <w:sz w:val="20"/>
          <w:szCs w:val="20"/>
        </w:rPr>
      </w:pPr>
    </w:p>
    <w:p w:rsidR="00924524" w:rsidRDefault="00924524" w:rsidP="00770B17">
      <w:pPr>
        <w:rPr>
          <w:b/>
          <w:color w:val="C00000"/>
          <w:sz w:val="20"/>
          <w:szCs w:val="20"/>
        </w:rPr>
      </w:pPr>
    </w:p>
    <w:p w:rsidR="00315603" w:rsidRPr="008A47AB" w:rsidRDefault="00DB14AC" w:rsidP="00770B17">
      <w:pPr>
        <w:rPr>
          <w:b/>
          <w:color w:val="C00000"/>
          <w:sz w:val="20"/>
          <w:szCs w:val="20"/>
        </w:rPr>
      </w:pPr>
      <w:r w:rsidRPr="008A47AB">
        <w:rPr>
          <w:b/>
          <w:color w:val="C00000"/>
          <w:sz w:val="20"/>
          <w:szCs w:val="20"/>
        </w:rPr>
        <w:lastRenderedPageBreak/>
        <w:t>AMPAG 2017</w:t>
      </w:r>
      <w:r w:rsidR="004B715C" w:rsidRPr="008A47AB">
        <w:rPr>
          <w:b/>
          <w:color w:val="C00000"/>
          <w:sz w:val="20"/>
          <w:szCs w:val="20"/>
        </w:rPr>
        <w:t>–</w:t>
      </w:r>
      <w:r w:rsidRPr="008A47AB">
        <w:rPr>
          <w:b/>
          <w:color w:val="C00000"/>
          <w:sz w:val="20"/>
          <w:szCs w:val="20"/>
        </w:rPr>
        <w:t xml:space="preserve">18 Budget </w:t>
      </w:r>
      <w:r w:rsidR="004B715C" w:rsidRPr="008A47AB">
        <w:rPr>
          <w:b/>
          <w:color w:val="C00000"/>
          <w:sz w:val="20"/>
          <w:szCs w:val="20"/>
        </w:rPr>
        <w:t>r</w:t>
      </w:r>
      <w:r w:rsidR="00315603" w:rsidRPr="008A47AB">
        <w:rPr>
          <w:b/>
          <w:color w:val="C00000"/>
          <w:sz w:val="20"/>
          <w:szCs w:val="20"/>
        </w:rPr>
        <w:t>ecommendations</w:t>
      </w:r>
    </w:p>
    <w:p w:rsidR="00821812" w:rsidRPr="008A47AB" w:rsidRDefault="00821812" w:rsidP="00821812">
      <w:pPr>
        <w:pStyle w:val="ListParagraph"/>
        <w:numPr>
          <w:ilvl w:val="0"/>
          <w:numId w:val="10"/>
        </w:numPr>
        <w:rPr>
          <w:b/>
          <w:iCs/>
          <w:color w:val="000000"/>
          <w:sz w:val="20"/>
          <w:szCs w:val="20"/>
        </w:rPr>
      </w:pPr>
      <w:r w:rsidRPr="008A47AB">
        <w:rPr>
          <w:b/>
          <w:iCs/>
          <w:color w:val="000000"/>
          <w:sz w:val="20"/>
          <w:szCs w:val="20"/>
        </w:rPr>
        <w:t xml:space="preserve">Reallocate Catalyst funding to </w:t>
      </w:r>
      <w:r w:rsidR="00613AF1" w:rsidRPr="008A47AB">
        <w:rPr>
          <w:b/>
          <w:iCs/>
          <w:color w:val="000000"/>
          <w:sz w:val="20"/>
          <w:szCs w:val="20"/>
        </w:rPr>
        <w:t>i</w:t>
      </w:r>
      <w:r w:rsidRPr="008A47AB">
        <w:rPr>
          <w:b/>
          <w:iCs/>
          <w:color w:val="000000"/>
          <w:sz w:val="20"/>
          <w:szCs w:val="20"/>
        </w:rPr>
        <w:t>ncrease multi-</w:t>
      </w:r>
      <w:r w:rsidR="00A365BF" w:rsidRPr="008A47AB">
        <w:rPr>
          <w:b/>
          <w:iCs/>
          <w:color w:val="000000"/>
          <w:sz w:val="20"/>
          <w:szCs w:val="20"/>
        </w:rPr>
        <w:t>y</w:t>
      </w:r>
      <w:r w:rsidRPr="008A47AB">
        <w:rPr>
          <w:b/>
          <w:iCs/>
          <w:color w:val="000000"/>
          <w:sz w:val="20"/>
          <w:szCs w:val="20"/>
        </w:rPr>
        <w:t>ear funding for the small and medium</w:t>
      </w:r>
      <w:r w:rsidR="004B715C" w:rsidRPr="008A47AB">
        <w:rPr>
          <w:b/>
          <w:iCs/>
          <w:color w:val="000000"/>
          <w:sz w:val="20"/>
          <w:szCs w:val="20"/>
        </w:rPr>
        <w:t>-</w:t>
      </w:r>
      <w:r w:rsidRPr="008A47AB">
        <w:rPr>
          <w:b/>
          <w:iCs/>
          <w:color w:val="000000"/>
          <w:sz w:val="20"/>
          <w:szCs w:val="20"/>
        </w:rPr>
        <w:t>sized performing arts organisations</w:t>
      </w:r>
      <w:r w:rsidR="00D00B92" w:rsidRPr="008A47AB">
        <w:rPr>
          <w:b/>
          <w:iCs/>
          <w:color w:val="000000"/>
          <w:sz w:val="20"/>
          <w:szCs w:val="20"/>
        </w:rPr>
        <w:t>, and restore indexation</w:t>
      </w:r>
      <w:r w:rsidR="0070474E" w:rsidRPr="008A47AB">
        <w:rPr>
          <w:b/>
          <w:iCs/>
          <w:color w:val="000000"/>
          <w:sz w:val="20"/>
          <w:szCs w:val="20"/>
        </w:rPr>
        <w:t xml:space="preserve"> and commence of review</w:t>
      </w:r>
    </w:p>
    <w:p w:rsidR="0014698F" w:rsidRPr="008A47AB" w:rsidRDefault="00A16D83" w:rsidP="0014698F">
      <w:pPr>
        <w:spacing w:after="240"/>
        <w:rPr>
          <w:color w:val="000000"/>
          <w:sz w:val="20"/>
          <w:szCs w:val="20"/>
        </w:rPr>
      </w:pPr>
      <w:r w:rsidRPr="008A47AB">
        <w:rPr>
          <w:rStyle w:val="SubtleEmphasis"/>
          <w:i w:val="0"/>
          <w:color w:val="000000" w:themeColor="text1"/>
          <w:sz w:val="20"/>
          <w:szCs w:val="20"/>
        </w:rPr>
        <w:t xml:space="preserve">The </w:t>
      </w:r>
      <w:r w:rsidR="003414EF" w:rsidRPr="008A47AB">
        <w:rPr>
          <w:rStyle w:val="SubtleEmphasis"/>
          <w:i w:val="0"/>
          <w:color w:val="000000" w:themeColor="text1"/>
          <w:sz w:val="20"/>
          <w:szCs w:val="20"/>
        </w:rPr>
        <w:t xml:space="preserve">strategic </w:t>
      </w:r>
      <w:r w:rsidR="00613AF1" w:rsidRPr="008A47AB">
        <w:rPr>
          <w:rStyle w:val="SubtleEmphasis"/>
          <w:i w:val="0"/>
          <w:color w:val="000000" w:themeColor="text1"/>
          <w:sz w:val="20"/>
          <w:szCs w:val="20"/>
        </w:rPr>
        <w:t xml:space="preserve">value to the performing arts sector </w:t>
      </w:r>
      <w:r w:rsidR="00D00B92" w:rsidRPr="008A47AB">
        <w:rPr>
          <w:rStyle w:val="SubtleEmphasis"/>
          <w:i w:val="0"/>
          <w:color w:val="000000" w:themeColor="text1"/>
          <w:sz w:val="20"/>
          <w:szCs w:val="20"/>
        </w:rPr>
        <w:t xml:space="preserve">of </w:t>
      </w:r>
      <w:r w:rsidR="003414EF" w:rsidRPr="008A47AB">
        <w:rPr>
          <w:rStyle w:val="SubtleEmphasis"/>
          <w:i w:val="0"/>
          <w:color w:val="000000" w:themeColor="text1"/>
          <w:sz w:val="20"/>
          <w:szCs w:val="20"/>
        </w:rPr>
        <w:t xml:space="preserve">the </w:t>
      </w:r>
      <w:r w:rsidR="00D00B92" w:rsidRPr="008A47AB">
        <w:rPr>
          <w:rStyle w:val="SubtleEmphasis"/>
          <w:i w:val="0"/>
          <w:color w:val="000000" w:themeColor="text1"/>
          <w:sz w:val="20"/>
          <w:szCs w:val="20"/>
        </w:rPr>
        <w:t xml:space="preserve">Government’s </w:t>
      </w:r>
      <w:r w:rsidRPr="008A47AB">
        <w:rPr>
          <w:rStyle w:val="SubtleEmphasis"/>
          <w:i w:val="0"/>
          <w:color w:val="000000" w:themeColor="text1"/>
          <w:sz w:val="20"/>
          <w:szCs w:val="20"/>
        </w:rPr>
        <w:t xml:space="preserve">amended 2015 </w:t>
      </w:r>
      <w:r w:rsidR="00D00B92" w:rsidRPr="008A47AB">
        <w:rPr>
          <w:rStyle w:val="SubtleEmphasis"/>
          <w:i w:val="0"/>
          <w:color w:val="000000" w:themeColor="text1"/>
          <w:sz w:val="20"/>
          <w:szCs w:val="20"/>
        </w:rPr>
        <w:t>B</w:t>
      </w:r>
      <w:r w:rsidRPr="008A47AB">
        <w:rPr>
          <w:rStyle w:val="SubtleEmphasis"/>
          <w:i w:val="0"/>
          <w:color w:val="000000" w:themeColor="text1"/>
          <w:sz w:val="20"/>
          <w:szCs w:val="20"/>
        </w:rPr>
        <w:t>udget measure</w:t>
      </w:r>
      <w:r w:rsidR="00613AF1" w:rsidRPr="008A47AB">
        <w:rPr>
          <w:rStyle w:val="SubtleEmphasis"/>
          <w:i w:val="0"/>
          <w:color w:val="000000" w:themeColor="text1"/>
          <w:sz w:val="20"/>
          <w:szCs w:val="20"/>
        </w:rPr>
        <w:t>s</w:t>
      </w:r>
      <w:r w:rsidR="003414EF" w:rsidRPr="008A47AB">
        <w:rPr>
          <w:rStyle w:val="SubtleEmphasis"/>
          <w:i w:val="0"/>
          <w:color w:val="000000" w:themeColor="text1"/>
          <w:sz w:val="20"/>
          <w:szCs w:val="20"/>
        </w:rPr>
        <w:t>,</w:t>
      </w:r>
      <w:r w:rsidRPr="008A47AB">
        <w:rPr>
          <w:rStyle w:val="SubtleEmphasis"/>
          <w:i w:val="0"/>
          <w:color w:val="000000" w:themeColor="text1"/>
          <w:sz w:val="20"/>
          <w:szCs w:val="20"/>
        </w:rPr>
        <w:t xml:space="preserve"> </w:t>
      </w:r>
      <w:r w:rsidR="00887B3C" w:rsidRPr="008A47AB">
        <w:rPr>
          <w:rStyle w:val="SubtleEmphasis"/>
          <w:i w:val="0"/>
          <w:color w:val="000000" w:themeColor="text1"/>
          <w:sz w:val="20"/>
          <w:szCs w:val="20"/>
        </w:rPr>
        <w:t>(</w:t>
      </w:r>
      <w:r w:rsidRPr="008A47AB">
        <w:rPr>
          <w:rStyle w:val="SubtleEmphasis"/>
          <w:i w:val="0"/>
          <w:color w:val="000000" w:themeColor="text1"/>
          <w:sz w:val="20"/>
          <w:szCs w:val="20"/>
        </w:rPr>
        <w:t>transferring over $12</w:t>
      </w:r>
      <w:r w:rsidR="003414EF" w:rsidRPr="008A47AB">
        <w:rPr>
          <w:rStyle w:val="SubtleEmphasis"/>
          <w:i w:val="0"/>
          <w:color w:val="000000" w:themeColor="text1"/>
          <w:sz w:val="20"/>
          <w:szCs w:val="20"/>
        </w:rPr>
        <w:t xml:space="preserve"> </w:t>
      </w:r>
      <w:r w:rsidRPr="008A47AB">
        <w:rPr>
          <w:rStyle w:val="SubtleEmphasis"/>
          <w:i w:val="0"/>
          <w:color w:val="000000" w:themeColor="text1"/>
          <w:sz w:val="20"/>
          <w:szCs w:val="20"/>
        </w:rPr>
        <w:t>m</w:t>
      </w:r>
      <w:r w:rsidR="00D00B92" w:rsidRPr="008A47AB">
        <w:rPr>
          <w:rStyle w:val="SubtleEmphasis"/>
          <w:i w:val="0"/>
          <w:color w:val="000000" w:themeColor="text1"/>
          <w:sz w:val="20"/>
          <w:szCs w:val="20"/>
        </w:rPr>
        <w:t>illion</w:t>
      </w:r>
      <w:r w:rsidRPr="008A47AB">
        <w:rPr>
          <w:rStyle w:val="SubtleEmphasis"/>
          <w:i w:val="0"/>
          <w:color w:val="000000" w:themeColor="text1"/>
          <w:sz w:val="20"/>
          <w:szCs w:val="20"/>
        </w:rPr>
        <w:t xml:space="preserve"> per year for 4 years from the Australia Council to form a </w:t>
      </w:r>
      <w:r w:rsidR="00DA4546" w:rsidRPr="008A47AB">
        <w:rPr>
          <w:rStyle w:val="SubtleEmphasis"/>
          <w:i w:val="0"/>
          <w:color w:val="000000" w:themeColor="text1"/>
          <w:sz w:val="20"/>
          <w:szCs w:val="20"/>
        </w:rPr>
        <w:t>ministerially</w:t>
      </w:r>
      <w:r w:rsidRPr="008A47AB">
        <w:rPr>
          <w:rStyle w:val="SubtleEmphasis"/>
          <w:i w:val="0"/>
          <w:color w:val="000000" w:themeColor="text1"/>
          <w:sz w:val="20"/>
          <w:szCs w:val="20"/>
        </w:rPr>
        <w:t xml:space="preserve"> directed Catalyst</w:t>
      </w:r>
      <w:r w:rsidR="003414EF" w:rsidRPr="008A47AB">
        <w:rPr>
          <w:rStyle w:val="SubtleEmphasis"/>
          <w:i w:val="0"/>
          <w:color w:val="000000" w:themeColor="text1"/>
          <w:sz w:val="20"/>
          <w:szCs w:val="20"/>
        </w:rPr>
        <w:t xml:space="preserve"> Fund</w:t>
      </w:r>
      <w:r w:rsidR="00887B3C" w:rsidRPr="008A47AB">
        <w:rPr>
          <w:rStyle w:val="SubtleEmphasis"/>
          <w:i w:val="0"/>
          <w:color w:val="000000" w:themeColor="text1"/>
          <w:sz w:val="20"/>
          <w:szCs w:val="20"/>
        </w:rPr>
        <w:t>)</w:t>
      </w:r>
      <w:r w:rsidR="00770B17" w:rsidRPr="008A47AB">
        <w:rPr>
          <w:rStyle w:val="SubtleEmphasis"/>
          <w:i w:val="0"/>
          <w:color w:val="000000" w:themeColor="text1"/>
          <w:sz w:val="20"/>
          <w:szCs w:val="20"/>
        </w:rPr>
        <w:t>,</w:t>
      </w:r>
      <w:r w:rsidR="003414EF" w:rsidRPr="008A47AB">
        <w:rPr>
          <w:rStyle w:val="SubtleEmphasis"/>
          <w:i w:val="0"/>
          <w:color w:val="000000" w:themeColor="text1"/>
          <w:sz w:val="20"/>
          <w:szCs w:val="20"/>
        </w:rPr>
        <w:t xml:space="preserve"> is not evident</w:t>
      </w:r>
      <w:r w:rsidR="00613AF1" w:rsidRPr="008A47AB">
        <w:rPr>
          <w:rStyle w:val="SubtleEmphasis"/>
          <w:i w:val="0"/>
          <w:color w:val="000000" w:themeColor="text1"/>
          <w:sz w:val="20"/>
          <w:szCs w:val="20"/>
        </w:rPr>
        <w:t>.</w:t>
      </w:r>
      <w:r w:rsidR="00887B3C" w:rsidRPr="008A47AB">
        <w:rPr>
          <w:rStyle w:val="SubtleEmphasis"/>
          <w:i w:val="0"/>
          <w:color w:val="000000" w:themeColor="text1"/>
          <w:sz w:val="20"/>
          <w:szCs w:val="20"/>
        </w:rPr>
        <w:t xml:space="preserve"> </w:t>
      </w:r>
      <w:r w:rsidR="003414EF" w:rsidRPr="008A47AB">
        <w:rPr>
          <w:rStyle w:val="SubtleEmphasis"/>
          <w:i w:val="0"/>
          <w:color w:val="000000" w:themeColor="text1"/>
          <w:sz w:val="20"/>
          <w:szCs w:val="20"/>
        </w:rPr>
        <w:t xml:space="preserve"> </w:t>
      </w:r>
      <w:r w:rsidR="00770B17" w:rsidRPr="008A47AB">
        <w:rPr>
          <w:rStyle w:val="SubtleEmphasis"/>
          <w:i w:val="0"/>
          <w:color w:val="000000" w:themeColor="text1"/>
          <w:sz w:val="20"/>
          <w:szCs w:val="20"/>
        </w:rPr>
        <w:t>In contrast</w:t>
      </w:r>
      <w:r w:rsidR="00A365BF" w:rsidRPr="008A47AB">
        <w:rPr>
          <w:rStyle w:val="SubtleEmphasis"/>
          <w:i w:val="0"/>
          <w:color w:val="000000" w:themeColor="text1"/>
          <w:sz w:val="20"/>
          <w:szCs w:val="20"/>
        </w:rPr>
        <w:t>,</w:t>
      </w:r>
      <w:r w:rsidR="00770B17" w:rsidRPr="008A47AB">
        <w:rPr>
          <w:rStyle w:val="SubtleEmphasis"/>
          <w:i w:val="0"/>
          <w:color w:val="000000" w:themeColor="text1"/>
          <w:sz w:val="20"/>
          <w:szCs w:val="20"/>
        </w:rPr>
        <w:t xml:space="preserve"> the </w:t>
      </w:r>
      <w:r w:rsidR="00887B3C" w:rsidRPr="008A47AB">
        <w:rPr>
          <w:rStyle w:val="SubtleEmphasis"/>
          <w:i w:val="0"/>
          <w:color w:val="000000" w:themeColor="text1"/>
          <w:sz w:val="20"/>
          <w:szCs w:val="20"/>
        </w:rPr>
        <w:t xml:space="preserve">negative </w:t>
      </w:r>
      <w:r w:rsidR="00770B17" w:rsidRPr="008A47AB">
        <w:rPr>
          <w:rStyle w:val="SubtleEmphasis"/>
          <w:i w:val="0"/>
          <w:color w:val="000000" w:themeColor="text1"/>
          <w:sz w:val="20"/>
          <w:szCs w:val="20"/>
        </w:rPr>
        <w:t xml:space="preserve">impact </w:t>
      </w:r>
      <w:r w:rsidR="00887B3C" w:rsidRPr="008A47AB">
        <w:rPr>
          <w:rStyle w:val="SubtleEmphasis"/>
          <w:i w:val="0"/>
          <w:color w:val="000000" w:themeColor="text1"/>
          <w:sz w:val="20"/>
          <w:szCs w:val="20"/>
        </w:rPr>
        <w:t>is clear</w:t>
      </w:r>
      <w:r w:rsidR="00D00B92" w:rsidRPr="008A47AB">
        <w:rPr>
          <w:rStyle w:val="SubtleEmphasis"/>
          <w:i w:val="0"/>
          <w:color w:val="000000" w:themeColor="text1"/>
          <w:sz w:val="20"/>
          <w:szCs w:val="20"/>
        </w:rPr>
        <w:t>:</w:t>
      </w:r>
      <w:r w:rsidR="00887B3C" w:rsidRPr="008A47AB">
        <w:rPr>
          <w:rStyle w:val="SubtleEmphasis"/>
          <w:i w:val="0"/>
          <w:color w:val="000000" w:themeColor="text1"/>
          <w:sz w:val="20"/>
          <w:szCs w:val="20"/>
        </w:rPr>
        <w:t xml:space="preserve"> in</w:t>
      </w:r>
      <w:r w:rsidR="006C44EB" w:rsidRPr="008A47AB">
        <w:rPr>
          <w:color w:val="000000"/>
          <w:sz w:val="20"/>
          <w:szCs w:val="20"/>
        </w:rPr>
        <w:t xml:space="preserve">creased fragility of </w:t>
      </w:r>
      <w:r w:rsidR="0014698F" w:rsidRPr="008A47AB">
        <w:rPr>
          <w:color w:val="000000"/>
          <w:sz w:val="20"/>
          <w:szCs w:val="20"/>
        </w:rPr>
        <w:t xml:space="preserve">the </w:t>
      </w:r>
      <w:r w:rsidR="006C44EB" w:rsidRPr="008A47AB">
        <w:rPr>
          <w:color w:val="000000"/>
          <w:sz w:val="20"/>
          <w:szCs w:val="20"/>
        </w:rPr>
        <w:t>small to medium</w:t>
      </w:r>
      <w:r w:rsidR="00D00B92" w:rsidRPr="008A47AB">
        <w:rPr>
          <w:color w:val="000000"/>
          <w:sz w:val="20"/>
          <w:szCs w:val="20"/>
        </w:rPr>
        <w:t>-</w:t>
      </w:r>
      <w:r w:rsidR="006C44EB" w:rsidRPr="008A47AB">
        <w:rPr>
          <w:color w:val="000000"/>
          <w:sz w:val="20"/>
          <w:szCs w:val="20"/>
        </w:rPr>
        <w:t xml:space="preserve">sized performing arts </w:t>
      </w:r>
      <w:r w:rsidR="0014698F" w:rsidRPr="008A47AB">
        <w:rPr>
          <w:color w:val="000000"/>
          <w:sz w:val="20"/>
          <w:szCs w:val="20"/>
        </w:rPr>
        <w:t>companies which in turn negatively</w:t>
      </w:r>
      <w:r w:rsidR="006C44EB" w:rsidRPr="008A47AB">
        <w:rPr>
          <w:color w:val="000000"/>
          <w:sz w:val="20"/>
          <w:szCs w:val="20"/>
        </w:rPr>
        <w:t xml:space="preserve"> </w:t>
      </w:r>
      <w:r w:rsidR="00D00B92" w:rsidRPr="008A47AB">
        <w:rPr>
          <w:color w:val="000000"/>
          <w:sz w:val="20"/>
          <w:szCs w:val="20"/>
        </w:rPr>
        <w:t>affects</w:t>
      </w:r>
      <w:r w:rsidR="006C44EB" w:rsidRPr="008A47AB">
        <w:rPr>
          <w:color w:val="000000"/>
          <w:sz w:val="20"/>
          <w:szCs w:val="20"/>
        </w:rPr>
        <w:t xml:space="preserve"> many of the </w:t>
      </w:r>
      <w:r w:rsidR="00D00B92" w:rsidRPr="008A47AB">
        <w:rPr>
          <w:color w:val="000000"/>
          <w:sz w:val="20"/>
          <w:szCs w:val="20"/>
        </w:rPr>
        <w:t xml:space="preserve">MPAs’ </w:t>
      </w:r>
      <w:r w:rsidR="006C44EB" w:rsidRPr="008A47AB">
        <w:rPr>
          <w:color w:val="000000"/>
          <w:sz w:val="20"/>
          <w:szCs w:val="20"/>
        </w:rPr>
        <w:t>‘talent supply chain’</w:t>
      </w:r>
      <w:r w:rsidR="0014698F" w:rsidRPr="008A47AB">
        <w:rPr>
          <w:color w:val="000000"/>
          <w:sz w:val="20"/>
          <w:szCs w:val="20"/>
        </w:rPr>
        <w:t xml:space="preserve">. </w:t>
      </w:r>
      <w:r w:rsidR="006C44EB" w:rsidRPr="008A47AB">
        <w:rPr>
          <w:color w:val="000000"/>
          <w:sz w:val="20"/>
          <w:szCs w:val="20"/>
        </w:rPr>
        <w:t>There are a range of smaller arts organisations (non</w:t>
      </w:r>
      <w:r w:rsidR="00D00B92" w:rsidRPr="008A47AB">
        <w:rPr>
          <w:color w:val="000000"/>
          <w:sz w:val="20"/>
          <w:szCs w:val="20"/>
        </w:rPr>
        <w:t>-</w:t>
      </w:r>
      <w:r w:rsidR="006C44EB" w:rsidRPr="008A47AB">
        <w:rPr>
          <w:color w:val="000000"/>
          <w:sz w:val="20"/>
          <w:szCs w:val="20"/>
        </w:rPr>
        <w:t xml:space="preserve">MPAs) that have scaled back production, are looking to cut employment of artists and </w:t>
      </w:r>
      <w:r w:rsidR="0014698F" w:rsidRPr="008A47AB">
        <w:rPr>
          <w:color w:val="000000"/>
          <w:sz w:val="20"/>
          <w:szCs w:val="20"/>
        </w:rPr>
        <w:t xml:space="preserve">reduce </w:t>
      </w:r>
      <w:r w:rsidR="006C44EB" w:rsidRPr="008A47AB">
        <w:rPr>
          <w:color w:val="000000"/>
          <w:sz w:val="20"/>
          <w:szCs w:val="20"/>
        </w:rPr>
        <w:t xml:space="preserve">the </w:t>
      </w:r>
      <w:r w:rsidR="0014698F" w:rsidRPr="008A47AB">
        <w:rPr>
          <w:color w:val="000000"/>
          <w:sz w:val="20"/>
          <w:szCs w:val="20"/>
        </w:rPr>
        <w:t>number of</w:t>
      </w:r>
      <w:r w:rsidR="006C44EB" w:rsidRPr="008A47AB">
        <w:rPr>
          <w:color w:val="000000"/>
          <w:sz w:val="20"/>
          <w:szCs w:val="20"/>
        </w:rPr>
        <w:t xml:space="preserve"> new works to adjust to the current environment</w:t>
      </w:r>
      <w:r w:rsidR="0014698F" w:rsidRPr="008A47AB">
        <w:rPr>
          <w:color w:val="000000"/>
          <w:sz w:val="20"/>
          <w:szCs w:val="20"/>
        </w:rPr>
        <w:t>. This</w:t>
      </w:r>
      <w:r w:rsidR="006C44EB" w:rsidRPr="008A47AB">
        <w:rPr>
          <w:color w:val="000000"/>
          <w:sz w:val="20"/>
          <w:szCs w:val="20"/>
        </w:rPr>
        <w:t xml:space="preserve"> </w:t>
      </w:r>
      <w:r w:rsidR="0014698F" w:rsidRPr="008A47AB">
        <w:rPr>
          <w:color w:val="000000"/>
          <w:sz w:val="20"/>
          <w:szCs w:val="20"/>
        </w:rPr>
        <w:t>weakens the creative</w:t>
      </w:r>
      <w:r w:rsidR="00D00B92" w:rsidRPr="008A47AB">
        <w:rPr>
          <w:color w:val="000000"/>
          <w:sz w:val="20"/>
          <w:szCs w:val="20"/>
        </w:rPr>
        <w:t xml:space="preserve"> and economic</w:t>
      </w:r>
      <w:r w:rsidR="0014698F" w:rsidRPr="008A47AB">
        <w:rPr>
          <w:color w:val="000000"/>
          <w:sz w:val="20"/>
          <w:szCs w:val="20"/>
        </w:rPr>
        <w:t xml:space="preserve"> health of the </w:t>
      </w:r>
      <w:r w:rsidR="00D00B92" w:rsidRPr="008A47AB">
        <w:rPr>
          <w:color w:val="000000"/>
          <w:sz w:val="20"/>
          <w:szCs w:val="20"/>
        </w:rPr>
        <w:t xml:space="preserve">whole </w:t>
      </w:r>
      <w:r w:rsidR="0014698F" w:rsidRPr="008A47AB">
        <w:rPr>
          <w:color w:val="000000"/>
          <w:sz w:val="20"/>
          <w:szCs w:val="20"/>
        </w:rPr>
        <w:t>sector.</w:t>
      </w:r>
    </w:p>
    <w:p w:rsidR="00D00B92" w:rsidRPr="008A47AB" w:rsidRDefault="00770B17" w:rsidP="0014698F">
      <w:pPr>
        <w:spacing w:after="240"/>
        <w:rPr>
          <w:sz w:val="20"/>
          <w:szCs w:val="20"/>
        </w:rPr>
      </w:pPr>
      <w:r w:rsidRPr="008A47AB">
        <w:rPr>
          <w:sz w:val="20"/>
          <w:szCs w:val="20"/>
        </w:rPr>
        <w:t>AMPAG calls on the Government</w:t>
      </w:r>
      <w:r w:rsidR="00D00B92" w:rsidRPr="008A47AB">
        <w:rPr>
          <w:sz w:val="20"/>
          <w:szCs w:val="20"/>
        </w:rPr>
        <w:t xml:space="preserve"> </w:t>
      </w:r>
      <w:r w:rsidRPr="008A47AB">
        <w:rPr>
          <w:sz w:val="20"/>
          <w:szCs w:val="20"/>
        </w:rPr>
        <w:t xml:space="preserve">to return the Catalyst program funds to the Australia Council and to fund any further </w:t>
      </w:r>
      <w:r w:rsidR="006C44EB" w:rsidRPr="008A47AB">
        <w:rPr>
          <w:sz w:val="20"/>
          <w:szCs w:val="20"/>
        </w:rPr>
        <w:t xml:space="preserve">Catalyst </w:t>
      </w:r>
      <w:r w:rsidR="0014698F" w:rsidRPr="008A47AB">
        <w:rPr>
          <w:sz w:val="20"/>
          <w:szCs w:val="20"/>
        </w:rPr>
        <w:t>initiatives with new funding</w:t>
      </w:r>
      <w:r w:rsidR="00887B3C" w:rsidRPr="008A47AB">
        <w:rPr>
          <w:sz w:val="20"/>
          <w:szCs w:val="20"/>
        </w:rPr>
        <w:t>.</w:t>
      </w:r>
      <w:r w:rsidR="00315603" w:rsidRPr="008A47AB">
        <w:rPr>
          <w:sz w:val="20"/>
          <w:szCs w:val="20"/>
        </w:rPr>
        <w:t xml:space="preserve"> </w:t>
      </w:r>
    </w:p>
    <w:p w:rsidR="0014698F" w:rsidRPr="008A47AB" w:rsidRDefault="00613AF1" w:rsidP="0014698F">
      <w:pPr>
        <w:spacing w:after="240"/>
        <w:rPr>
          <w:iCs/>
          <w:color w:val="000000"/>
          <w:sz w:val="20"/>
          <w:szCs w:val="20"/>
        </w:rPr>
      </w:pPr>
      <w:r w:rsidRPr="008A47AB">
        <w:rPr>
          <w:sz w:val="20"/>
          <w:szCs w:val="20"/>
        </w:rPr>
        <w:t xml:space="preserve">AMPAG supports the application of full </w:t>
      </w:r>
      <w:r w:rsidR="00315603" w:rsidRPr="008A47AB">
        <w:rPr>
          <w:sz w:val="20"/>
          <w:szCs w:val="20"/>
        </w:rPr>
        <w:t>indexation to all grant funding of the arts</w:t>
      </w:r>
      <w:r w:rsidR="00887B3C" w:rsidRPr="008A47AB">
        <w:rPr>
          <w:sz w:val="20"/>
          <w:szCs w:val="20"/>
        </w:rPr>
        <w:t>. We</w:t>
      </w:r>
      <w:r w:rsidR="00A365BF" w:rsidRPr="008A47AB">
        <w:rPr>
          <w:sz w:val="20"/>
          <w:szCs w:val="20"/>
        </w:rPr>
        <w:t xml:space="preserve"> </w:t>
      </w:r>
      <w:r w:rsidR="00887B3C" w:rsidRPr="008A47AB">
        <w:rPr>
          <w:sz w:val="20"/>
          <w:szCs w:val="20"/>
        </w:rPr>
        <w:t>recommend</w:t>
      </w:r>
      <w:r w:rsidRPr="008A47AB">
        <w:rPr>
          <w:sz w:val="20"/>
          <w:szCs w:val="20"/>
        </w:rPr>
        <w:t xml:space="preserve"> the Government </w:t>
      </w:r>
      <w:r w:rsidR="00A365BF" w:rsidRPr="008A47AB">
        <w:rPr>
          <w:sz w:val="20"/>
          <w:szCs w:val="20"/>
        </w:rPr>
        <w:t>instigate</w:t>
      </w:r>
      <w:r w:rsidR="0014698F" w:rsidRPr="008A47AB">
        <w:rPr>
          <w:iCs/>
          <w:color w:val="000000"/>
          <w:sz w:val="20"/>
          <w:szCs w:val="20"/>
        </w:rPr>
        <w:t xml:space="preserve"> a review of the small to medium arts sector to help set a coordinated strategy across Australia</w:t>
      </w:r>
      <w:r w:rsidR="00315603" w:rsidRPr="008A47AB">
        <w:rPr>
          <w:iCs/>
          <w:color w:val="000000"/>
          <w:sz w:val="20"/>
          <w:szCs w:val="20"/>
        </w:rPr>
        <w:t xml:space="preserve"> Council, </w:t>
      </w:r>
      <w:r w:rsidR="00D00B92" w:rsidRPr="008A47AB">
        <w:rPr>
          <w:iCs/>
          <w:color w:val="000000"/>
          <w:sz w:val="20"/>
          <w:szCs w:val="20"/>
        </w:rPr>
        <w:t>m</w:t>
      </w:r>
      <w:r w:rsidR="0014698F" w:rsidRPr="008A47AB">
        <w:rPr>
          <w:iCs/>
          <w:color w:val="000000"/>
          <w:sz w:val="20"/>
          <w:szCs w:val="20"/>
        </w:rPr>
        <w:t>inisterial programs and the</w:t>
      </w:r>
      <w:r w:rsidR="00315603" w:rsidRPr="008A47AB">
        <w:rPr>
          <w:iCs/>
          <w:color w:val="000000"/>
          <w:sz w:val="20"/>
          <w:szCs w:val="20"/>
        </w:rPr>
        <w:t xml:space="preserve"> sector to</w:t>
      </w:r>
      <w:r w:rsidRPr="008A47AB">
        <w:rPr>
          <w:iCs/>
          <w:color w:val="000000"/>
          <w:sz w:val="20"/>
          <w:szCs w:val="20"/>
        </w:rPr>
        <w:t xml:space="preserve"> grow and </w:t>
      </w:r>
      <w:r w:rsidR="0014698F" w:rsidRPr="008A47AB">
        <w:rPr>
          <w:iCs/>
          <w:color w:val="000000"/>
          <w:sz w:val="20"/>
          <w:szCs w:val="20"/>
        </w:rPr>
        <w:t>maximise outcomes for creative supply and community benefit.</w:t>
      </w:r>
    </w:p>
    <w:p w:rsidR="00670E3B" w:rsidRPr="008A47AB" w:rsidRDefault="00670E3B" w:rsidP="00DB14AC">
      <w:pPr>
        <w:pBdr>
          <w:top w:val="single" w:sz="4" w:space="1" w:color="auto"/>
          <w:left w:val="single" w:sz="4" w:space="4" w:color="auto"/>
          <w:bottom w:val="single" w:sz="4" w:space="1" w:color="auto"/>
          <w:right w:val="single" w:sz="4" w:space="4" w:color="auto"/>
        </w:pBdr>
        <w:spacing w:after="0"/>
        <w:rPr>
          <w:b/>
          <w:color w:val="C00000"/>
          <w:sz w:val="20"/>
          <w:szCs w:val="20"/>
        </w:rPr>
      </w:pPr>
      <w:r w:rsidRPr="008A47AB">
        <w:rPr>
          <w:b/>
          <w:color w:val="C00000"/>
          <w:sz w:val="20"/>
          <w:szCs w:val="20"/>
        </w:rPr>
        <w:t xml:space="preserve">Recommendation </w:t>
      </w:r>
      <w:r w:rsidR="00975798" w:rsidRPr="008A47AB">
        <w:rPr>
          <w:b/>
          <w:color w:val="C00000"/>
          <w:sz w:val="20"/>
          <w:szCs w:val="20"/>
        </w:rPr>
        <w:t>1</w:t>
      </w:r>
    </w:p>
    <w:p w:rsidR="0070474E" w:rsidRPr="008A47AB" w:rsidRDefault="009A7EEA" w:rsidP="00DB14AC">
      <w:pPr>
        <w:pBdr>
          <w:top w:val="single" w:sz="4" w:space="1" w:color="auto"/>
          <w:left w:val="single" w:sz="4" w:space="4" w:color="auto"/>
          <w:bottom w:val="single" w:sz="4" w:space="1" w:color="auto"/>
          <w:right w:val="single" w:sz="4" w:space="4" w:color="auto"/>
        </w:pBdr>
        <w:spacing w:after="0"/>
        <w:rPr>
          <w:sz w:val="20"/>
          <w:szCs w:val="20"/>
        </w:rPr>
      </w:pPr>
      <w:r w:rsidRPr="008A47AB">
        <w:rPr>
          <w:sz w:val="20"/>
          <w:szCs w:val="20"/>
        </w:rPr>
        <w:t xml:space="preserve">The </w:t>
      </w:r>
      <w:r w:rsidR="00670E3B" w:rsidRPr="008A47AB">
        <w:rPr>
          <w:sz w:val="20"/>
          <w:szCs w:val="20"/>
        </w:rPr>
        <w:t xml:space="preserve">Federal </w:t>
      </w:r>
      <w:r w:rsidR="00D00B92" w:rsidRPr="008A47AB">
        <w:rPr>
          <w:sz w:val="20"/>
          <w:szCs w:val="20"/>
        </w:rPr>
        <w:t>G</w:t>
      </w:r>
      <w:r w:rsidR="00670E3B" w:rsidRPr="008A47AB">
        <w:rPr>
          <w:sz w:val="20"/>
          <w:szCs w:val="20"/>
        </w:rPr>
        <w:t xml:space="preserve">overnment </w:t>
      </w:r>
      <w:r w:rsidR="0070474E" w:rsidRPr="008A47AB">
        <w:rPr>
          <w:sz w:val="20"/>
          <w:szCs w:val="20"/>
        </w:rPr>
        <w:t>returns</w:t>
      </w:r>
      <w:r w:rsidR="00770B17" w:rsidRPr="008A47AB">
        <w:rPr>
          <w:sz w:val="20"/>
          <w:szCs w:val="20"/>
        </w:rPr>
        <w:t xml:space="preserve"> </w:t>
      </w:r>
      <w:r w:rsidR="0070474E" w:rsidRPr="008A47AB">
        <w:rPr>
          <w:sz w:val="20"/>
          <w:szCs w:val="20"/>
        </w:rPr>
        <w:t xml:space="preserve">the </w:t>
      </w:r>
      <w:r w:rsidR="00770B17" w:rsidRPr="008A47AB">
        <w:rPr>
          <w:sz w:val="20"/>
          <w:szCs w:val="20"/>
        </w:rPr>
        <w:t xml:space="preserve">remaining </w:t>
      </w:r>
      <w:r w:rsidR="000C1F40" w:rsidRPr="008A47AB">
        <w:rPr>
          <w:sz w:val="20"/>
          <w:szCs w:val="20"/>
        </w:rPr>
        <w:t>C</w:t>
      </w:r>
      <w:r w:rsidR="00770B17" w:rsidRPr="008A47AB">
        <w:rPr>
          <w:sz w:val="20"/>
          <w:szCs w:val="20"/>
        </w:rPr>
        <w:t xml:space="preserve">atalyst </w:t>
      </w:r>
      <w:r w:rsidR="000C1F40" w:rsidRPr="008A47AB">
        <w:rPr>
          <w:sz w:val="20"/>
          <w:szCs w:val="20"/>
        </w:rPr>
        <w:t>fund</w:t>
      </w:r>
      <w:r w:rsidR="00A365BF" w:rsidRPr="008A47AB">
        <w:rPr>
          <w:sz w:val="20"/>
          <w:szCs w:val="20"/>
        </w:rPr>
        <w:t>s</w:t>
      </w:r>
      <w:r w:rsidR="00770B17" w:rsidRPr="008A47AB">
        <w:rPr>
          <w:sz w:val="20"/>
          <w:szCs w:val="20"/>
        </w:rPr>
        <w:t xml:space="preserve"> to the Australia Council</w:t>
      </w:r>
      <w:r w:rsidR="0014698F" w:rsidRPr="008A47AB">
        <w:rPr>
          <w:sz w:val="20"/>
          <w:szCs w:val="20"/>
        </w:rPr>
        <w:t xml:space="preserve"> </w:t>
      </w:r>
    </w:p>
    <w:p w:rsidR="0070474E" w:rsidRPr="008A47AB" w:rsidRDefault="0070474E" w:rsidP="00DB14AC">
      <w:pPr>
        <w:pBdr>
          <w:top w:val="single" w:sz="4" w:space="1" w:color="auto"/>
          <w:left w:val="single" w:sz="4" w:space="4" w:color="auto"/>
          <w:bottom w:val="single" w:sz="4" w:space="1" w:color="auto"/>
          <w:right w:val="single" w:sz="4" w:space="4" w:color="auto"/>
        </w:pBdr>
        <w:spacing w:after="0"/>
        <w:rPr>
          <w:sz w:val="20"/>
          <w:szCs w:val="20"/>
        </w:rPr>
      </w:pPr>
    </w:p>
    <w:p w:rsidR="0070474E" w:rsidRPr="008A47AB" w:rsidRDefault="0070474E" w:rsidP="00DB14AC">
      <w:pPr>
        <w:pBdr>
          <w:top w:val="single" w:sz="4" w:space="1" w:color="auto"/>
          <w:left w:val="single" w:sz="4" w:space="4" w:color="auto"/>
          <w:bottom w:val="single" w:sz="4" w:space="1" w:color="auto"/>
          <w:right w:val="single" w:sz="4" w:space="4" w:color="auto"/>
        </w:pBdr>
        <w:spacing w:after="0"/>
        <w:rPr>
          <w:b/>
          <w:color w:val="C00000"/>
          <w:sz w:val="20"/>
          <w:szCs w:val="20"/>
        </w:rPr>
      </w:pPr>
      <w:r w:rsidRPr="008A47AB">
        <w:rPr>
          <w:b/>
          <w:color w:val="C00000"/>
          <w:sz w:val="20"/>
          <w:szCs w:val="20"/>
        </w:rPr>
        <w:t>Recommendation 2</w:t>
      </w:r>
    </w:p>
    <w:p w:rsidR="00670E3B" w:rsidRPr="008A47AB" w:rsidRDefault="0070474E" w:rsidP="00DB14AC">
      <w:pPr>
        <w:pBdr>
          <w:top w:val="single" w:sz="4" w:space="1" w:color="auto"/>
          <w:left w:val="single" w:sz="4" w:space="4" w:color="auto"/>
          <w:bottom w:val="single" w:sz="4" w:space="1" w:color="auto"/>
          <w:right w:val="single" w:sz="4" w:space="4" w:color="auto"/>
        </w:pBdr>
        <w:spacing w:after="0"/>
        <w:rPr>
          <w:color w:val="000000"/>
          <w:sz w:val="20"/>
          <w:szCs w:val="20"/>
        </w:rPr>
      </w:pPr>
      <w:r w:rsidRPr="008A47AB">
        <w:rPr>
          <w:sz w:val="20"/>
          <w:szCs w:val="20"/>
        </w:rPr>
        <w:t>Federal Government instigates</w:t>
      </w:r>
      <w:r w:rsidR="0014698F" w:rsidRPr="008A47AB">
        <w:rPr>
          <w:sz w:val="20"/>
          <w:szCs w:val="20"/>
        </w:rPr>
        <w:t xml:space="preserve"> a review of the </w:t>
      </w:r>
      <w:r w:rsidR="009A7EEA" w:rsidRPr="008A47AB">
        <w:rPr>
          <w:sz w:val="20"/>
          <w:szCs w:val="20"/>
        </w:rPr>
        <w:t xml:space="preserve">funding of </w:t>
      </w:r>
      <w:r w:rsidR="0014698F" w:rsidRPr="008A47AB">
        <w:rPr>
          <w:sz w:val="20"/>
          <w:szCs w:val="20"/>
        </w:rPr>
        <w:t>small to medium</w:t>
      </w:r>
      <w:r w:rsidR="00D00B92" w:rsidRPr="008A47AB">
        <w:rPr>
          <w:sz w:val="20"/>
          <w:szCs w:val="20"/>
        </w:rPr>
        <w:t>-sized</w:t>
      </w:r>
      <w:r w:rsidR="0014698F" w:rsidRPr="008A47AB">
        <w:rPr>
          <w:sz w:val="20"/>
          <w:szCs w:val="20"/>
        </w:rPr>
        <w:t xml:space="preserve"> performing arts sector.</w:t>
      </w:r>
    </w:p>
    <w:p w:rsidR="0070474E" w:rsidRPr="008A47AB" w:rsidRDefault="0070474E" w:rsidP="00DB14AC">
      <w:pPr>
        <w:pBdr>
          <w:top w:val="single" w:sz="4" w:space="1" w:color="auto"/>
          <w:left w:val="single" w:sz="4" w:space="4" w:color="auto"/>
          <w:bottom w:val="single" w:sz="4" w:space="1" w:color="auto"/>
          <w:right w:val="single" w:sz="4" w:space="4" w:color="auto"/>
        </w:pBdr>
        <w:spacing w:after="0"/>
        <w:rPr>
          <w:color w:val="000000"/>
          <w:sz w:val="20"/>
          <w:szCs w:val="20"/>
        </w:rPr>
      </w:pPr>
    </w:p>
    <w:p w:rsidR="00670E3B" w:rsidRPr="008A47AB" w:rsidRDefault="00670E3B" w:rsidP="00DB14AC">
      <w:pPr>
        <w:pBdr>
          <w:top w:val="single" w:sz="4" w:space="1" w:color="auto"/>
          <w:left w:val="single" w:sz="4" w:space="4" w:color="auto"/>
          <w:bottom w:val="single" w:sz="4" w:space="1" w:color="auto"/>
          <w:right w:val="single" w:sz="4" w:space="4" w:color="auto"/>
        </w:pBdr>
        <w:spacing w:after="0"/>
        <w:rPr>
          <w:b/>
          <w:color w:val="C00000"/>
          <w:sz w:val="20"/>
          <w:szCs w:val="20"/>
        </w:rPr>
      </w:pPr>
      <w:r w:rsidRPr="008A47AB">
        <w:rPr>
          <w:b/>
          <w:color w:val="C00000"/>
          <w:sz w:val="20"/>
          <w:szCs w:val="20"/>
        </w:rPr>
        <w:t xml:space="preserve">Recommendation </w:t>
      </w:r>
      <w:r w:rsidR="00975798" w:rsidRPr="008A47AB">
        <w:rPr>
          <w:b/>
          <w:color w:val="C00000"/>
          <w:sz w:val="20"/>
          <w:szCs w:val="20"/>
        </w:rPr>
        <w:t>2</w:t>
      </w:r>
    </w:p>
    <w:p w:rsidR="00670E3B" w:rsidRPr="008A47AB" w:rsidRDefault="006C44EB" w:rsidP="00DB14AC">
      <w:pPr>
        <w:pBdr>
          <w:top w:val="single" w:sz="4" w:space="1" w:color="auto"/>
          <w:left w:val="single" w:sz="4" w:space="4" w:color="auto"/>
          <w:bottom w:val="single" w:sz="4" w:space="1" w:color="auto"/>
          <w:right w:val="single" w:sz="4" w:space="4" w:color="auto"/>
        </w:pBdr>
        <w:spacing w:after="0"/>
        <w:rPr>
          <w:color w:val="000000"/>
          <w:sz w:val="20"/>
          <w:szCs w:val="20"/>
        </w:rPr>
      </w:pPr>
      <w:r w:rsidRPr="008A47AB">
        <w:rPr>
          <w:color w:val="000000"/>
          <w:sz w:val="20"/>
          <w:szCs w:val="20"/>
        </w:rPr>
        <w:t>The</w:t>
      </w:r>
      <w:r w:rsidR="00670E3B" w:rsidRPr="008A47AB">
        <w:rPr>
          <w:sz w:val="20"/>
          <w:szCs w:val="20"/>
        </w:rPr>
        <w:t xml:space="preserve"> </w:t>
      </w:r>
      <w:r w:rsidR="00D00B92" w:rsidRPr="008A47AB">
        <w:rPr>
          <w:sz w:val="20"/>
          <w:szCs w:val="20"/>
        </w:rPr>
        <w:t>Federal G</w:t>
      </w:r>
      <w:r w:rsidR="00670E3B" w:rsidRPr="008A47AB">
        <w:rPr>
          <w:sz w:val="20"/>
          <w:szCs w:val="20"/>
        </w:rPr>
        <w:t xml:space="preserve">overnment </w:t>
      </w:r>
      <w:r w:rsidR="00670E3B" w:rsidRPr="008A47AB">
        <w:rPr>
          <w:color w:val="000000"/>
          <w:sz w:val="20"/>
          <w:szCs w:val="20"/>
        </w:rPr>
        <w:t xml:space="preserve">extends full CPI indexation to all </w:t>
      </w:r>
      <w:r w:rsidR="00315603" w:rsidRPr="008A47AB">
        <w:rPr>
          <w:color w:val="000000"/>
          <w:sz w:val="20"/>
          <w:szCs w:val="20"/>
        </w:rPr>
        <w:t>arts program funding</w:t>
      </w:r>
      <w:r w:rsidR="00670E3B" w:rsidRPr="008A47AB">
        <w:rPr>
          <w:color w:val="000000"/>
          <w:sz w:val="20"/>
          <w:szCs w:val="20"/>
        </w:rPr>
        <w:t xml:space="preserve"> to limit further erosion.  </w:t>
      </w:r>
    </w:p>
    <w:p w:rsidR="00670E3B" w:rsidRPr="008A47AB" w:rsidRDefault="00670E3B" w:rsidP="00670E3B">
      <w:pPr>
        <w:rPr>
          <w:color w:val="000000"/>
          <w:sz w:val="20"/>
          <w:szCs w:val="20"/>
        </w:rPr>
      </w:pPr>
    </w:p>
    <w:p w:rsidR="00670E3B" w:rsidRPr="008A47AB" w:rsidRDefault="00670E3B" w:rsidP="0014698F">
      <w:pPr>
        <w:pStyle w:val="ListParagraph"/>
        <w:numPr>
          <w:ilvl w:val="0"/>
          <w:numId w:val="8"/>
        </w:numPr>
        <w:autoSpaceDE w:val="0"/>
        <w:autoSpaceDN w:val="0"/>
        <w:adjustRightInd w:val="0"/>
        <w:rPr>
          <w:b/>
          <w:sz w:val="20"/>
          <w:szCs w:val="20"/>
        </w:rPr>
      </w:pPr>
      <w:r w:rsidRPr="008A47AB">
        <w:rPr>
          <w:b/>
          <w:sz w:val="20"/>
          <w:szCs w:val="20"/>
        </w:rPr>
        <w:t>Maintain commitment to MPA Framework</w:t>
      </w:r>
    </w:p>
    <w:p w:rsidR="00A25771" w:rsidRPr="008A47AB" w:rsidRDefault="00887B3C" w:rsidP="00A25771">
      <w:pPr>
        <w:autoSpaceDE w:val="0"/>
        <w:autoSpaceDN w:val="0"/>
        <w:adjustRightInd w:val="0"/>
        <w:spacing w:after="240"/>
        <w:rPr>
          <w:sz w:val="20"/>
          <w:szCs w:val="20"/>
        </w:rPr>
      </w:pPr>
      <w:r w:rsidRPr="008A47AB">
        <w:rPr>
          <w:sz w:val="20"/>
          <w:szCs w:val="20"/>
        </w:rPr>
        <w:t xml:space="preserve">AMPAG calls on the </w:t>
      </w:r>
      <w:r w:rsidR="00B04AD6" w:rsidRPr="008A47AB">
        <w:rPr>
          <w:sz w:val="20"/>
          <w:szCs w:val="20"/>
        </w:rPr>
        <w:t xml:space="preserve">Federal </w:t>
      </w:r>
      <w:r w:rsidRPr="008A47AB">
        <w:rPr>
          <w:sz w:val="20"/>
          <w:szCs w:val="20"/>
        </w:rPr>
        <w:t xml:space="preserve">Government to </w:t>
      </w:r>
      <w:r w:rsidR="00F20900" w:rsidRPr="008A47AB">
        <w:rPr>
          <w:sz w:val="20"/>
          <w:szCs w:val="20"/>
        </w:rPr>
        <w:t xml:space="preserve">retain the MPA Framework and commitment to the major performing arts companies who deliver </w:t>
      </w:r>
      <w:r w:rsidR="00315603" w:rsidRPr="008A47AB">
        <w:rPr>
          <w:sz w:val="20"/>
          <w:szCs w:val="20"/>
        </w:rPr>
        <w:t>value to government</w:t>
      </w:r>
      <w:r w:rsidRPr="008A47AB">
        <w:rPr>
          <w:sz w:val="20"/>
          <w:szCs w:val="20"/>
        </w:rPr>
        <w:t xml:space="preserve"> and the nation</w:t>
      </w:r>
      <w:r w:rsidR="00315603" w:rsidRPr="008A47AB">
        <w:rPr>
          <w:sz w:val="20"/>
          <w:szCs w:val="20"/>
        </w:rPr>
        <w:t xml:space="preserve">. They </w:t>
      </w:r>
      <w:r w:rsidR="00A25771" w:rsidRPr="008A47AB">
        <w:rPr>
          <w:sz w:val="20"/>
          <w:szCs w:val="20"/>
        </w:rPr>
        <w:t>leverag</w:t>
      </w:r>
      <w:r w:rsidR="00A365BF" w:rsidRPr="008A47AB">
        <w:rPr>
          <w:sz w:val="20"/>
          <w:szCs w:val="20"/>
        </w:rPr>
        <w:t>e</w:t>
      </w:r>
      <w:r w:rsidR="00315603" w:rsidRPr="008A47AB">
        <w:rPr>
          <w:sz w:val="20"/>
          <w:szCs w:val="20"/>
        </w:rPr>
        <w:t xml:space="preserve"> on average </w:t>
      </w:r>
      <w:r w:rsidR="00A25771" w:rsidRPr="008A47AB">
        <w:rPr>
          <w:sz w:val="20"/>
          <w:szCs w:val="20"/>
        </w:rPr>
        <w:t xml:space="preserve">$2 </w:t>
      </w:r>
      <w:r w:rsidR="00315603" w:rsidRPr="008A47AB">
        <w:rPr>
          <w:sz w:val="20"/>
          <w:szCs w:val="20"/>
        </w:rPr>
        <w:t xml:space="preserve">for </w:t>
      </w:r>
      <w:r w:rsidR="00A25771" w:rsidRPr="008A47AB">
        <w:rPr>
          <w:sz w:val="20"/>
          <w:szCs w:val="20"/>
        </w:rPr>
        <w:t xml:space="preserve">every </w:t>
      </w:r>
      <w:r w:rsidRPr="008A47AB">
        <w:rPr>
          <w:sz w:val="20"/>
          <w:szCs w:val="20"/>
        </w:rPr>
        <w:t xml:space="preserve">government </w:t>
      </w:r>
      <w:r w:rsidR="00A25771" w:rsidRPr="008A47AB">
        <w:rPr>
          <w:sz w:val="20"/>
          <w:szCs w:val="20"/>
        </w:rPr>
        <w:t>dollar invested,</w:t>
      </w:r>
      <w:r w:rsidR="00B04AD6" w:rsidRPr="008A47AB">
        <w:rPr>
          <w:sz w:val="20"/>
          <w:szCs w:val="20"/>
        </w:rPr>
        <w:t xml:space="preserve"> by developing and maintaining strong corporate giving and philanthropic strategies</w:t>
      </w:r>
      <w:r w:rsidR="0070474E" w:rsidRPr="008A47AB">
        <w:rPr>
          <w:sz w:val="20"/>
          <w:szCs w:val="20"/>
        </w:rPr>
        <w:t xml:space="preserve"> and box office earnings</w:t>
      </w:r>
      <w:r w:rsidR="00B04AD6" w:rsidRPr="008A47AB">
        <w:rPr>
          <w:sz w:val="20"/>
          <w:szCs w:val="20"/>
        </w:rPr>
        <w:t>. With their funding, MPAs</w:t>
      </w:r>
      <w:r w:rsidR="00A25771" w:rsidRPr="008A47AB">
        <w:rPr>
          <w:sz w:val="20"/>
          <w:szCs w:val="20"/>
        </w:rPr>
        <w:t xml:space="preserve"> provide significant employment for many of Australia’s leading artistic and creative talent, develop works of scale, </w:t>
      </w:r>
      <w:r w:rsidR="00B04AD6" w:rsidRPr="008A47AB">
        <w:rPr>
          <w:sz w:val="20"/>
          <w:szCs w:val="20"/>
        </w:rPr>
        <w:t xml:space="preserve">and </w:t>
      </w:r>
      <w:r w:rsidR="00A25771" w:rsidRPr="008A47AB">
        <w:rPr>
          <w:sz w:val="20"/>
          <w:szCs w:val="20"/>
        </w:rPr>
        <w:t xml:space="preserve">reach over </w:t>
      </w:r>
      <w:r w:rsidR="00A365BF" w:rsidRPr="008A47AB">
        <w:rPr>
          <w:sz w:val="20"/>
          <w:szCs w:val="20"/>
        </w:rPr>
        <w:t>500,000</w:t>
      </w:r>
      <w:r w:rsidR="00A25771" w:rsidRPr="008A47AB">
        <w:rPr>
          <w:sz w:val="20"/>
          <w:szCs w:val="20"/>
        </w:rPr>
        <w:t xml:space="preserve"> children in arts education each year</w:t>
      </w:r>
      <w:r w:rsidR="00B04AD6" w:rsidRPr="008A47AB">
        <w:rPr>
          <w:sz w:val="20"/>
          <w:szCs w:val="20"/>
        </w:rPr>
        <w:t xml:space="preserve">. They </w:t>
      </w:r>
      <w:r w:rsidR="00A25771" w:rsidRPr="008A47AB">
        <w:rPr>
          <w:sz w:val="20"/>
          <w:szCs w:val="20"/>
        </w:rPr>
        <w:t>perform to Australian urban and rural communities and collaborat</w:t>
      </w:r>
      <w:r w:rsidRPr="008A47AB">
        <w:rPr>
          <w:sz w:val="20"/>
          <w:szCs w:val="20"/>
        </w:rPr>
        <w:t>e</w:t>
      </w:r>
      <w:r w:rsidR="00A25771" w:rsidRPr="008A47AB">
        <w:rPr>
          <w:sz w:val="20"/>
          <w:szCs w:val="20"/>
        </w:rPr>
        <w:t xml:space="preserve"> nationally and internationally</w:t>
      </w:r>
      <w:r w:rsidR="002D340C" w:rsidRPr="008A47AB">
        <w:rPr>
          <w:sz w:val="20"/>
          <w:szCs w:val="20"/>
        </w:rPr>
        <w:t>,</w:t>
      </w:r>
      <w:r w:rsidR="00A25771" w:rsidRPr="008A47AB">
        <w:rPr>
          <w:sz w:val="20"/>
          <w:szCs w:val="20"/>
        </w:rPr>
        <w:t xml:space="preserve"> </w:t>
      </w:r>
      <w:r w:rsidR="00B04AD6" w:rsidRPr="008A47AB">
        <w:rPr>
          <w:sz w:val="20"/>
          <w:szCs w:val="20"/>
        </w:rPr>
        <w:t xml:space="preserve">as well as </w:t>
      </w:r>
      <w:r w:rsidR="00A25771" w:rsidRPr="008A47AB">
        <w:rPr>
          <w:sz w:val="20"/>
          <w:szCs w:val="20"/>
        </w:rPr>
        <w:t>contribut</w:t>
      </w:r>
      <w:r w:rsidRPr="008A47AB">
        <w:rPr>
          <w:sz w:val="20"/>
          <w:szCs w:val="20"/>
        </w:rPr>
        <w:t>e</w:t>
      </w:r>
      <w:r w:rsidR="00A25771" w:rsidRPr="008A47AB">
        <w:rPr>
          <w:sz w:val="20"/>
          <w:szCs w:val="20"/>
        </w:rPr>
        <w:t xml:space="preserve"> to cultural tourism, cultur</w:t>
      </w:r>
      <w:r w:rsidRPr="008A47AB">
        <w:rPr>
          <w:sz w:val="20"/>
          <w:szCs w:val="20"/>
        </w:rPr>
        <w:t>al diplomacy, vibrant cities,</w:t>
      </w:r>
      <w:r w:rsidR="00A25771" w:rsidRPr="008A47AB">
        <w:rPr>
          <w:sz w:val="20"/>
          <w:szCs w:val="20"/>
        </w:rPr>
        <w:t xml:space="preserve"> place making and social cohesion.</w:t>
      </w:r>
    </w:p>
    <w:p w:rsidR="00670E3B" w:rsidRPr="008A47AB" w:rsidRDefault="00670E3B" w:rsidP="00670E3B">
      <w:pPr>
        <w:autoSpaceDE w:val="0"/>
        <w:autoSpaceDN w:val="0"/>
        <w:adjustRightInd w:val="0"/>
        <w:spacing w:after="240"/>
        <w:rPr>
          <w:sz w:val="20"/>
          <w:szCs w:val="20"/>
        </w:rPr>
      </w:pPr>
      <w:r w:rsidRPr="008A47AB">
        <w:rPr>
          <w:sz w:val="20"/>
          <w:szCs w:val="20"/>
        </w:rPr>
        <w:t xml:space="preserve">For the MPAs to operate efficiently and effectively they need </w:t>
      </w:r>
      <w:r w:rsidR="009A7EEA" w:rsidRPr="008A47AB">
        <w:rPr>
          <w:sz w:val="20"/>
          <w:szCs w:val="20"/>
        </w:rPr>
        <w:t xml:space="preserve">a degree of </w:t>
      </w:r>
      <w:r w:rsidRPr="008A47AB">
        <w:rPr>
          <w:sz w:val="20"/>
          <w:szCs w:val="20"/>
        </w:rPr>
        <w:t>certainty:</w:t>
      </w:r>
    </w:p>
    <w:p w:rsidR="00670E3B" w:rsidRPr="008A47AB" w:rsidRDefault="00670E3B" w:rsidP="00670E3B">
      <w:pPr>
        <w:pStyle w:val="ListParagraph"/>
        <w:numPr>
          <w:ilvl w:val="0"/>
          <w:numId w:val="3"/>
        </w:numPr>
        <w:rPr>
          <w:color w:val="000000"/>
          <w:sz w:val="20"/>
          <w:szCs w:val="20"/>
        </w:rPr>
      </w:pPr>
      <w:r w:rsidRPr="008A47AB">
        <w:rPr>
          <w:color w:val="000000"/>
          <w:sz w:val="20"/>
          <w:szCs w:val="20"/>
        </w:rPr>
        <w:t>to enable forward investment and development</w:t>
      </w:r>
    </w:p>
    <w:p w:rsidR="00670E3B" w:rsidRPr="008A47AB" w:rsidRDefault="00670E3B" w:rsidP="00670E3B">
      <w:pPr>
        <w:pStyle w:val="ListParagraph"/>
        <w:numPr>
          <w:ilvl w:val="0"/>
          <w:numId w:val="3"/>
        </w:numPr>
        <w:rPr>
          <w:color w:val="000000"/>
          <w:sz w:val="20"/>
          <w:szCs w:val="20"/>
        </w:rPr>
      </w:pPr>
      <w:r w:rsidRPr="008A47AB">
        <w:rPr>
          <w:color w:val="000000"/>
          <w:sz w:val="20"/>
          <w:szCs w:val="20"/>
        </w:rPr>
        <w:t>to secure artists in future years</w:t>
      </w:r>
    </w:p>
    <w:p w:rsidR="00670E3B" w:rsidRPr="008A47AB" w:rsidRDefault="00670E3B" w:rsidP="00670E3B">
      <w:pPr>
        <w:pStyle w:val="ListParagraph"/>
        <w:numPr>
          <w:ilvl w:val="0"/>
          <w:numId w:val="3"/>
        </w:numPr>
        <w:rPr>
          <w:color w:val="000000"/>
          <w:sz w:val="20"/>
          <w:szCs w:val="20"/>
        </w:rPr>
      </w:pPr>
      <w:r w:rsidRPr="008A47AB">
        <w:rPr>
          <w:color w:val="000000"/>
          <w:sz w:val="20"/>
          <w:szCs w:val="20"/>
        </w:rPr>
        <w:t>to plan tours and create new works</w:t>
      </w:r>
    </w:p>
    <w:p w:rsidR="00670E3B" w:rsidRPr="008A47AB" w:rsidRDefault="00670E3B" w:rsidP="00670E3B">
      <w:pPr>
        <w:pStyle w:val="ListParagraph"/>
        <w:numPr>
          <w:ilvl w:val="0"/>
          <w:numId w:val="3"/>
        </w:numPr>
        <w:rPr>
          <w:color w:val="000000"/>
          <w:sz w:val="20"/>
          <w:szCs w:val="20"/>
        </w:rPr>
      </w:pPr>
      <w:r w:rsidRPr="008A47AB">
        <w:rPr>
          <w:color w:val="000000"/>
          <w:sz w:val="20"/>
          <w:szCs w:val="20"/>
        </w:rPr>
        <w:t>to develop audiences and build multi-year engagement programs including educational  outreach.</w:t>
      </w:r>
    </w:p>
    <w:p w:rsidR="00CF6DA3" w:rsidRPr="008A47AB" w:rsidRDefault="00CF6DA3" w:rsidP="00CF6DA3">
      <w:pPr>
        <w:autoSpaceDE w:val="0"/>
        <w:autoSpaceDN w:val="0"/>
        <w:adjustRightInd w:val="0"/>
        <w:spacing w:after="240"/>
        <w:rPr>
          <w:sz w:val="20"/>
          <w:szCs w:val="20"/>
        </w:rPr>
      </w:pPr>
      <w:r w:rsidRPr="008A47AB">
        <w:rPr>
          <w:sz w:val="20"/>
          <w:szCs w:val="20"/>
        </w:rPr>
        <w:t xml:space="preserve">They rely on the support and investment created through the valuable partnership </w:t>
      </w:r>
      <w:r w:rsidR="00887B3C" w:rsidRPr="008A47AB">
        <w:rPr>
          <w:sz w:val="20"/>
          <w:szCs w:val="20"/>
        </w:rPr>
        <w:t xml:space="preserve">that exists </w:t>
      </w:r>
      <w:r w:rsidRPr="008A47AB">
        <w:rPr>
          <w:sz w:val="20"/>
          <w:szCs w:val="20"/>
        </w:rPr>
        <w:t xml:space="preserve">between government, audiences and the private sector. </w:t>
      </w:r>
    </w:p>
    <w:p w:rsidR="00CF6DA3" w:rsidRPr="008A47AB" w:rsidRDefault="00CF6DA3" w:rsidP="00CF6DA3">
      <w:pPr>
        <w:autoSpaceDE w:val="0"/>
        <w:autoSpaceDN w:val="0"/>
        <w:adjustRightInd w:val="0"/>
        <w:spacing w:after="0" w:line="240" w:lineRule="auto"/>
        <w:rPr>
          <w:rFonts w:cs="Arial Narrow"/>
          <w:bCs/>
          <w:sz w:val="20"/>
          <w:szCs w:val="20"/>
        </w:rPr>
      </w:pPr>
      <w:r w:rsidRPr="008A47AB">
        <w:rPr>
          <w:sz w:val="20"/>
          <w:szCs w:val="20"/>
        </w:rPr>
        <w:t xml:space="preserve">The </w:t>
      </w:r>
      <w:r w:rsidRPr="008A47AB">
        <w:rPr>
          <w:rFonts w:cs="Arial Black"/>
          <w:bCs/>
          <w:i/>
          <w:sz w:val="20"/>
          <w:szCs w:val="20"/>
        </w:rPr>
        <w:t xml:space="preserve">Arts and the news to rural and regional Australia: </w:t>
      </w:r>
      <w:r w:rsidRPr="008A47AB">
        <w:rPr>
          <w:rFonts w:cs="Arial"/>
          <w:bCs/>
          <w:i/>
          <w:sz w:val="20"/>
          <w:szCs w:val="20"/>
        </w:rPr>
        <w:t>Inquiry into broadcasting, online content and live production to rural and regional Australia</w:t>
      </w:r>
      <w:r w:rsidRPr="008A47AB">
        <w:rPr>
          <w:rFonts w:cs="Arial"/>
          <w:bCs/>
          <w:sz w:val="20"/>
          <w:szCs w:val="20"/>
        </w:rPr>
        <w:t xml:space="preserve"> </w:t>
      </w:r>
      <w:r w:rsidRPr="008A47AB">
        <w:rPr>
          <w:rFonts w:cs="Arial Narrow"/>
          <w:bCs/>
          <w:sz w:val="20"/>
          <w:szCs w:val="20"/>
        </w:rPr>
        <w:t xml:space="preserve">report by the House of Representatives Standing Committee on Communications and the Arts was released in May of this year.  It made the </w:t>
      </w:r>
      <w:r w:rsidR="002D340C" w:rsidRPr="008A47AB">
        <w:rPr>
          <w:rFonts w:cs="Arial Narrow"/>
          <w:bCs/>
          <w:sz w:val="20"/>
          <w:szCs w:val="20"/>
        </w:rPr>
        <w:t>following bipartisan</w:t>
      </w:r>
      <w:r w:rsidR="00315603" w:rsidRPr="008A47AB">
        <w:rPr>
          <w:rFonts w:cs="Arial Narrow"/>
          <w:bCs/>
          <w:sz w:val="20"/>
          <w:szCs w:val="20"/>
        </w:rPr>
        <w:t xml:space="preserve"> recommendations</w:t>
      </w:r>
      <w:r w:rsidRPr="008A47AB">
        <w:rPr>
          <w:rFonts w:cs="Arial Narrow"/>
          <w:bCs/>
          <w:sz w:val="20"/>
          <w:szCs w:val="20"/>
        </w:rPr>
        <w:t>:</w:t>
      </w:r>
    </w:p>
    <w:p w:rsidR="00CF6DA3" w:rsidRPr="008A47AB" w:rsidRDefault="00CF6DA3" w:rsidP="00CF6DA3">
      <w:pPr>
        <w:autoSpaceDE w:val="0"/>
        <w:autoSpaceDN w:val="0"/>
        <w:adjustRightInd w:val="0"/>
        <w:spacing w:after="0" w:line="240" w:lineRule="auto"/>
        <w:rPr>
          <w:rFonts w:cs="Arial Narrow"/>
          <w:bCs/>
          <w:sz w:val="20"/>
          <w:szCs w:val="20"/>
        </w:rPr>
      </w:pPr>
    </w:p>
    <w:p w:rsidR="008B2A8A" w:rsidRDefault="00315603" w:rsidP="0014698F">
      <w:pPr>
        <w:autoSpaceDE w:val="0"/>
        <w:autoSpaceDN w:val="0"/>
        <w:adjustRightInd w:val="0"/>
        <w:spacing w:after="0" w:line="240" w:lineRule="auto"/>
        <w:rPr>
          <w:rFonts w:cs="BookAntiqua"/>
          <w:i/>
          <w:sz w:val="20"/>
          <w:szCs w:val="20"/>
        </w:rPr>
      </w:pPr>
      <w:r w:rsidRPr="008A47AB">
        <w:rPr>
          <w:rFonts w:cs="BookAntiqua-Bold"/>
          <w:bCs/>
          <w:i/>
          <w:sz w:val="20"/>
          <w:szCs w:val="20"/>
        </w:rPr>
        <w:t>‘</w:t>
      </w:r>
      <w:r w:rsidR="00887B3C" w:rsidRPr="008A47AB">
        <w:rPr>
          <w:rFonts w:cs="BookAntiqua-Bold"/>
          <w:bCs/>
          <w:i/>
          <w:sz w:val="20"/>
          <w:szCs w:val="20"/>
        </w:rPr>
        <w:t xml:space="preserve">The committee recommends </w:t>
      </w:r>
      <w:r w:rsidR="00CF6DA3" w:rsidRPr="008A47AB">
        <w:rPr>
          <w:rFonts w:cs="BookAntiqua"/>
          <w:i/>
          <w:sz w:val="20"/>
          <w:szCs w:val="20"/>
        </w:rPr>
        <w:t>the continuation of funding for Au</w:t>
      </w:r>
      <w:r w:rsidR="0014698F" w:rsidRPr="008A47AB">
        <w:rPr>
          <w:rFonts w:cs="BookAntiqua"/>
          <w:i/>
          <w:sz w:val="20"/>
          <w:szCs w:val="20"/>
        </w:rPr>
        <w:t>stralia’s major performing arts</w:t>
      </w:r>
      <w:r w:rsidRPr="008A47AB">
        <w:rPr>
          <w:rFonts w:cs="BookAntiqua"/>
          <w:i/>
          <w:sz w:val="20"/>
          <w:szCs w:val="20"/>
        </w:rPr>
        <w:t xml:space="preserve"> </w:t>
      </w:r>
      <w:r w:rsidR="00CF6DA3" w:rsidRPr="008A47AB">
        <w:rPr>
          <w:rFonts w:cs="BookAntiqua"/>
          <w:i/>
          <w:sz w:val="20"/>
          <w:szCs w:val="20"/>
        </w:rPr>
        <w:t>companies</w:t>
      </w:r>
      <w:r w:rsidRPr="008A47AB">
        <w:rPr>
          <w:rFonts w:cs="BookAntiqua"/>
          <w:i/>
          <w:sz w:val="20"/>
          <w:szCs w:val="20"/>
        </w:rPr>
        <w:t>’</w:t>
      </w:r>
      <w:r w:rsidR="00B04AD6" w:rsidRPr="008A47AB">
        <w:rPr>
          <w:rFonts w:cs="BookAntiqua"/>
          <w:i/>
          <w:sz w:val="20"/>
          <w:szCs w:val="20"/>
        </w:rPr>
        <w:t>.</w:t>
      </w:r>
    </w:p>
    <w:p w:rsidR="008A47AB" w:rsidRDefault="008A47AB" w:rsidP="0014698F">
      <w:pPr>
        <w:autoSpaceDE w:val="0"/>
        <w:autoSpaceDN w:val="0"/>
        <w:adjustRightInd w:val="0"/>
        <w:spacing w:after="0" w:line="240" w:lineRule="auto"/>
        <w:rPr>
          <w:rFonts w:cs="BookAntiqua"/>
          <w:i/>
          <w:sz w:val="20"/>
          <w:szCs w:val="20"/>
        </w:rPr>
      </w:pPr>
    </w:p>
    <w:p w:rsidR="008B2A8A" w:rsidRPr="008A47AB" w:rsidRDefault="008B2A8A" w:rsidP="0014698F">
      <w:pPr>
        <w:autoSpaceDE w:val="0"/>
        <w:autoSpaceDN w:val="0"/>
        <w:adjustRightInd w:val="0"/>
        <w:spacing w:after="0" w:line="240" w:lineRule="auto"/>
        <w:rPr>
          <w:rFonts w:cs="BookAntiqua"/>
          <w:i/>
          <w:sz w:val="20"/>
          <w:szCs w:val="20"/>
        </w:rPr>
      </w:pPr>
    </w:p>
    <w:p w:rsidR="00670E3B" w:rsidRPr="008A47AB" w:rsidRDefault="00670E3B" w:rsidP="00DB14AC">
      <w:pPr>
        <w:pBdr>
          <w:top w:val="single" w:sz="4" w:space="1" w:color="auto"/>
          <w:left w:val="single" w:sz="4" w:space="4" w:color="auto"/>
          <w:bottom w:val="single" w:sz="4" w:space="1" w:color="auto"/>
          <w:right w:val="single" w:sz="4" w:space="4" w:color="auto"/>
        </w:pBdr>
        <w:spacing w:after="0"/>
        <w:rPr>
          <w:color w:val="C00000"/>
          <w:sz w:val="20"/>
          <w:szCs w:val="20"/>
        </w:rPr>
      </w:pPr>
      <w:r w:rsidRPr="008A47AB">
        <w:rPr>
          <w:b/>
          <w:color w:val="C00000"/>
          <w:sz w:val="20"/>
          <w:szCs w:val="20"/>
        </w:rPr>
        <w:t>Recommendation</w:t>
      </w:r>
      <w:r w:rsidR="0070474E" w:rsidRPr="008A47AB">
        <w:rPr>
          <w:b/>
          <w:color w:val="C00000"/>
          <w:sz w:val="20"/>
          <w:szCs w:val="20"/>
        </w:rPr>
        <w:t xml:space="preserve"> </w:t>
      </w:r>
      <w:r w:rsidRPr="008A47AB">
        <w:rPr>
          <w:b/>
          <w:color w:val="C00000"/>
          <w:sz w:val="20"/>
          <w:szCs w:val="20"/>
        </w:rPr>
        <w:t xml:space="preserve"> </w:t>
      </w:r>
      <w:r w:rsidR="0070474E" w:rsidRPr="008A47AB">
        <w:rPr>
          <w:b/>
          <w:color w:val="C00000"/>
          <w:sz w:val="20"/>
          <w:szCs w:val="20"/>
        </w:rPr>
        <w:t>4</w:t>
      </w:r>
    </w:p>
    <w:p w:rsidR="003D685A" w:rsidRPr="008A47AB" w:rsidRDefault="009A7EEA" w:rsidP="00DB14AC">
      <w:pPr>
        <w:pBdr>
          <w:top w:val="single" w:sz="4" w:space="1" w:color="auto"/>
          <w:left w:val="single" w:sz="4" w:space="4" w:color="auto"/>
          <w:bottom w:val="single" w:sz="4" w:space="1" w:color="auto"/>
          <w:right w:val="single" w:sz="4" w:space="4" w:color="auto"/>
        </w:pBdr>
        <w:autoSpaceDE w:val="0"/>
        <w:autoSpaceDN w:val="0"/>
        <w:adjustRightInd w:val="0"/>
        <w:spacing w:after="0"/>
        <w:rPr>
          <w:sz w:val="20"/>
          <w:szCs w:val="20"/>
        </w:rPr>
      </w:pPr>
      <w:r w:rsidRPr="008A47AB">
        <w:rPr>
          <w:sz w:val="20"/>
          <w:szCs w:val="20"/>
        </w:rPr>
        <w:t xml:space="preserve">The </w:t>
      </w:r>
      <w:r w:rsidR="00670E3B" w:rsidRPr="008A47AB">
        <w:rPr>
          <w:sz w:val="20"/>
          <w:szCs w:val="20"/>
        </w:rPr>
        <w:t xml:space="preserve">Federal </w:t>
      </w:r>
      <w:r w:rsidR="00B04AD6" w:rsidRPr="008A47AB">
        <w:rPr>
          <w:sz w:val="20"/>
          <w:szCs w:val="20"/>
        </w:rPr>
        <w:t>G</w:t>
      </w:r>
      <w:r w:rsidR="00670E3B" w:rsidRPr="008A47AB">
        <w:rPr>
          <w:sz w:val="20"/>
          <w:szCs w:val="20"/>
        </w:rPr>
        <w:t>overnment continues its financial commitment to the MPA Framework including indexation and cor</w:t>
      </w:r>
      <w:r w:rsidR="00315603" w:rsidRPr="008A47AB">
        <w:rPr>
          <w:sz w:val="20"/>
          <w:szCs w:val="20"/>
        </w:rPr>
        <w:t xml:space="preserve">e funding for the MPA companies and undertakes to review the framework at </w:t>
      </w:r>
      <w:r w:rsidR="00F173B8" w:rsidRPr="008A47AB">
        <w:rPr>
          <w:sz w:val="20"/>
          <w:szCs w:val="20"/>
        </w:rPr>
        <w:t>regular intervals</w:t>
      </w:r>
      <w:r w:rsidR="00315603" w:rsidRPr="008A47AB">
        <w:rPr>
          <w:sz w:val="20"/>
          <w:szCs w:val="20"/>
        </w:rPr>
        <w:t xml:space="preserve"> to identify and address emerging issues</w:t>
      </w:r>
      <w:r w:rsidRPr="008A47AB">
        <w:rPr>
          <w:sz w:val="20"/>
          <w:szCs w:val="20"/>
        </w:rPr>
        <w:t>,</w:t>
      </w:r>
      <w:r w:rsidR="00315603" w:rsidRPr="008A47AB">
        <w:rPr>
          <w:sz w:val="20"/>
          <w:szCs w:val="20"/>
        </w:rPr>
        <w:t xml:space="preserve"> or signs of market failure</w:t>
      </w:r>
      <w:r w:rsidRPr="008A47AB">
        <w:rPr>
          <w:sz w:val="20"/>
          <w:szCs w:val="20"/>
        </w:rPr>
        <w:t>,</w:t>
      </w:r>
      <w:r w:rsidR="00315603" w:rsidRPr="008A47AB">
        <w:rPr>
          <w:sz w:val="20"/>
          <w:szCs w:val="20"/>
        </w:rPr>
        <w:t xml:space="preserve"> in a timely</w:t>
      </w:r>
      <w:r w:rsidR="003D685A" w:rsidRPr="008A47AB">
        <w:rPr>
          <w:sz w:val="20"/>
          <w:szCs w:val="20"/>
        </w:rPr>
        <w:t xml:space="preserve"> way to ensure stability of supply. </w:t>
      </w:r>
    </w:p>
    <w:p w:rsidR="00380ADC" w:rsidRPr="008A47AB" w:rsidRDefault="00380ADC" w:rsidP="00DB14AC">
      <w:pPr>
        <w:pBdr>
          <w:top w:val="single" w:sz="4" w:space="1" w:color="auto"/>
          <w:left w:val="single" w:sz="4" w:space="4" w:color="auto"/>
          <w:bottom w:val="single" w:sz="4" w:space="1" w:color="auto"/>
          <w:right w:val="single" w:sz="4" w:space="4" w:color="auto"/>
        </w:pBdr>
        <w:autoSpaceDE w:val="0"/>
        <w:autoSpaceDN w:val="0"/>
        <w:adjustRightInd w:val="0"/>
        <w:spacing w:after="0"/>
        <w:rPr>
          <w:sz w:val="20"/>
          <w:szCs w:val="20"/>
        </w:rPr>
      </w:pPr>
    </w:p>
    <w:p w:rsidR="00670E3B" w:rsidRPr="008A47AB" w:rsidRDefault="00670E3B" w:rsidP="00670E3B">
      <w:pPr>
        <w:pBdr>
          <w:top w:val="single" w:sz="4" w:space="1" w:color="auto"/>
          <w:left w:val="single" w:sz="4" w:space="4" w:color="auto"/>
          <w:bottom w:val="single" w:sz="4" w:space="1" w:color="auto"/>
          <w:right w:val="single" w:sz="4" w:space="4" w:color="auto"/>
        </w:pBdr>
        <w:autoSpaceDE w:val="0"/>
        <w:autoSpaceDN w:val="0"/>
        <w:adjustRightInd w:val="0"/>
        <w:spacing w:after="240"/>
        <w:rPr>
          <w:b/>
          <w:i/>
          <w:sz w:val="16"/>
          <w:szCs w:val="20"/>
        </w:rPr>
      </w:pPr>
      <w:r w:rsidRPr="008A47AB">
        <w:rPr>
          <w:sz w:val="20"/>
          <w:szCs w:val="20"/>
        </w:rPr>
        <w:t xml:space="preserve">Note:  </w:t>
      </w:r>
      <w:r w:rsidRPr="008A47AB">
        <w:rPr>
          <w:b/>
          <w:i/>
          <w:sz w:val="16"/>
          <w:szCs w:val="20"/>
        </w:rPr>
        <w:t>AMPAG is also aware of government deliberations in relation to the possible inclusion of additional companies in the MPA framework. We support this process and welcome an extension of the framework</w:t>
      </w:r>
      <w:r w:rsidR="00B04AD6" w:rsidRPr="008A47AB">
        <w:rPr>
          <w:b/>
          <w:i/>
          <w:sz w:val="16"/>
          <w:szCs w:val="20"/>
        </w:rPr>
        <w:t>.</w:t>
      </w:r>
      <w:r w:rsidRPr="008A47AB">
        <w:rPr>
          <w:b/>
          <w:i/>
          <w:sz w:val="16"/>
          <w:szCs w:val="20"/>
        </w:rPr>
        <w:t xml:space="preserve"> </w:t>
      </w:r>
    </w:p>
    <w:p w:rsidR="003D685A" w:rsidRPr="008A47AB" w:rsidRDefault="003D685A" w:rsidP="003D685A">
      <w:pPr>
        <w:pStyle w:val="ListParagraph"/>
        <w:rPr>
          <w:b/>
          <w:sz w:val="20"/>
          <w:szCs w:val="20"/>
        </w:rPr>
      </w:pPr>
    </w:p>
    <w:p w:rsidR="00975798" w:rsidRPr="008A47AB" w:rsidRDefault="00975798" w:rsidP="0014698F">
      <w:pPr>
        <w:pStyle w:val="ListParagraph"/>
        <w:numPr>
          <w:ilvl w:val="0"/>
          <w:numId w:val="7"/>
        </w:numPr>
        <w:rPr>
          <w:b/>
          <w:sz w:val="20"/>
          <w:szCs w:val="20"/>
        </w:rPr>
      </w:pPr>
      <w:r w:rsidRPr="008A47AB">
        <w:rPr>
          <w:b/>
          <w:sz w:val="20"/>
          <w:szCs w:val="20"/>
        </w:rPr>
        <w:t xml:space="preserve">National Opera </w:t>
      </w:r>
      <w:r w:rsidR="00401B38" w:rsidRPr="008A47AB">
        <w:rPr>
          <w:b/>
          <w:sz w:val="20"/>
          <w:szCs w:val="20"/>
        </w:rPr>
        <w:t>R</w:t>
      </w:r>
      <w:r w:rsidRPr="008A47AB">
        <w:rPr>
          <w:b/>
          <w:sz w:val="20"/>
          <w:szCs w:val="20"/>
        </w:rPr>
        <w:t>eview</w:t>
      </w:r>
    </w:p>
    <w:p w:rsidR="009F5172" w:rsidRPr="008A47AB" w:rsidRDefault="00887B3C" w:rsidP="009F5172">
      <w:pPr>
        <w:pStyle w:val="NormalWeb"/>
        <w:shd w:val="clear" w:color="auto" w:fill="FFFFFF" w:themeFill="background1"/>
        <w:spacing w:line="288" w:lineRule="atLeast"/>
        <w:rPr>
          <w:rFonts w:asciiTheme="minorHAnsi" w:eastAsiaTheme="minorHAnsi" w:hAnsiTheme="minorHAnsi" w:cstheme="minorBidi"/>
          <w:sz w:val="20"/>
          <w:szCs w:val="20"/>
          <w:lang w:eastAsia="en-US"/>
        </w:rPr>
      </w:pPr>
      <w:r w:rsidRPr="008A47AB">
        <w:rPr>
          <w:rFonts w:asciiTheme="minorHAnsi" w:eastAsiaTheme="minorHAnsi" w:hAnsiTheme="minorHAnsi" w:cstheme="minorBidi"/>
          <w:sz w:val="20"/>
          <w:szCs w:val="20"/>
          <w:lang w:eastAsia="en-US"/>
        </w:rPr>
        <w:t>After two years of investigation, t</w:t>
      </w:r>
      <w:r w:rsidR="008E5276" w:rsidRPr="008A47AB">
        <w:rPr>
          <w:rFonts w:asciiTheme="minorHAnsi" w:eastAsiaTheme="minorHAnsi" w:hAnsiTheme="minorHAnsi" w:cstheme="minorBidi"/>
          <w:sz w:val="20"/>
          <w:szCs w:val="20"/>
          <w:lang w:eastAsia="en-US"/>
        </w:rPr>
        <w:t>he</w:t>
      </w:r>
      <w:r w:rsidR="009F5172" w:rsidRPr="008A47AB">
        <w:rPr>
          <w:rFonts w:asciiTheme="minorHAnsi" w:eastAsiaTheme="minorHAnsi" w:hAnsiTheme="minorHAnsi" w:cstheme="minorBidi"/>
          <w:sz w:val="20"/>
          <w:szCs w:val="20"/>
          <w:lang w:eastAsia="en-US"/>
        </w:rPr>
        <w:t xml:space="preserve"> Opera Review Final Report </w:t>
      </w:r>
      <w:r w:rsidR="008E5276" w:rsidRPr="008A47AB">
        <w:rPr>
          <w:rFonts w:asciiTheme="minorHAnsi" w:eastAsiaTheme="minorHAnsi" w:hAnsiTheme="minorHAnsi" w:cstheme="minorBidi"/>
          <w:sz w:val="20"/>
          <w:szCs w:val="20"/>
          <w:lang w:eastAsia="en-US"/>
        </w:rPr>
        <w:t xml:space="preserve">was released to the </w:t>
      </w:r>
      <w:r w:rsidR="00B04AD6" w:rsidRPr="008A47AB">
        <w:rPr>
          <w:rFonts w:asciiTheme="minorHAnsi" w:eastAsiaTheme="minorHAnsi" w:hAnsiTheme="minorHAnsi" w:cstheme="minorBidi"/>
          <w:sz w:val="20"/>
          <w:szCs w:val="20"/>
          <w:lang w:eastAsia="en-US"/>
        </w:rPr>
        <w:t xml:space="preserve">Federal </w:t>
      </w:r>
      <w:r w:rsidRPr="008A47AB">
        <w:rPr>
          <w:rFonts w:asciiTheme="minorHAnsi" w:eastAsiaTheme="minorHAnsi" w:hAnsiTheme="minorHAnsi" w:cstheme="minorBidi"/>
          <w:sz w:val="20"/>
          <w:szCs w:val="20"/>
          <w:lang w:eastAsia="en-US"/>
        </w:rPr>
        <w:t>G</w:t>
      </w:r>
      <w:r w:rsidR="008E5276" w:rsidRPr="008A47AB">
        <w:rPr>
          <w:rFonts w:asciiTheme="minorHAnsi" w:eastAsiaTheme="minorHAnsi" w:hAnsiTheme="minorHAnsi" w:cstheme="minorBidi"/>
          <w:sz w:val="20"/>
          <w:szCs w:val="20"/>
          <w:lang w:eastAsia="en-US"/>
        </w:rPr>
        <w:t xml:space="preserve">overnment </w:t>
      </w:r>
      <w:r w:rsidR="009F5172" w:rsidRPr="008A47AB">
        <w:rPr>
          <w:rFonts w:asciiTheme="minorHAnsi" w:eastAsiaTheme="minorHAnsi" w:hAnsiTheme="minorHAnsi" w:cstheme="minorBidi"/>
          <w:sz w:val="20"/>
          <w:szCs w:val="20"/>
          <w:lang w:eastAsia="en-US"/>
        </w:rPr>
        <w:t>in October</w:t>
      </w:r>
      <w:r w:rsidRPr="008A47AB">
        <w:rPr>
          <w:rFonts w:asciiTheme="minorHAnsi" w:eastAsiaTheme="minorHAnsi" w:hAnsiTheme="minorHAnsi" w:cstheme="minorBidi"/>
          <w:sz w:val="20"/>
          <w:szCs w:val="20"/>
          <w:lang w:eastAsia="en-US"/>
        </w:rPr>
        <w:t xml:space="preserve"> </w:t>
      </w:r>
      <w:r w:rsidR="00B04AD6" w:rsidRPr="008A47AB">
        <w:rPr>
          <w:rFonts w:asciiTheme="minorHAnsi" w:eastAsiaTheme="minorHAnsi" w:hAnsiTheme="minorHAnsi" w:cstheme="minorBidi"/>
          <w:sz w:val="20"/>
          <w:szCs w:val="20"/>
          <w:lang w:eastAsia="en-US"/>
        </w:rPr>
        <w:t>2016</w:t>
      </w:r>
      <w:r w:rsidR="009F5172" w:rsidRPr="008A47AB">
        <w:rPr>
          <w:rFonts w:asciiTheme="minorHAnsi" w:eastAsiaTheme="minorHAnsi" w:hAnsiTheme="minorHAnsi" w:cstheme="minorBidi"/>
          <w:sz w:val="20"/>
          <w:szCs w:val="20"/>
          <w:lang w:eastAsia="en-US"/>
        </w:rPr>
        <w:t>. It comprehensively consider</w:t>
      </w:r>
      <w:r w:rsidRPr="008A47AB">
        <w:rPr>
          <w:rFonts w:asciiTheme="minorHAnsi" w:eastAsiaTheme="minorHAnsi" w:hAnsiTheme="minorHAnsi" w:cstheme="minorBidi"/>
          <w:sz w:val="20"/>
          <w:szCs w:val="20"/>
          <w:lang w:eastAsia="en-US"/>
        </w:rPr>
        <w:t>ed</w:t>
      </w:r>
      <w:r w:rsidR="009F5172" w:rsidRPr="008A47AB">
        <w:rPr>
          <w:rFonts w:asciiTheme="minorHAnsi" w:eastAsiaTheme="minorHAnsi" w:hAnsiTheme="minorHAnsi" w:cstheme="minorBidi"/>
          <w:sz w:val="20"/>
          <w:szCs w:val="20"/>
          <w:lang w:eastAsia="en-US"/>
        </w:rPr>
        <w:t xml:space="preserve"> the artistic vibrancy, programming geographical reach, collaboration across MPA </w:t>
      </w:r>
      <w:r w:rsidR="00B04AD6" w:rsidRPr="008A47AB">
        <w:rPr>
          <w:rFonts w:asciiTheme="minorHAnsi" w:eastAsiaTheme="minorHAnsi" w:hAnsiTheme="minorHAnsi" w:cstheme="minorBidi"/>
          <w:sz w:val="20"/>
          <w:szCs w:val="20"/>
          <w:lang w:eastAsia="en-US"/>
        </w:rPr>
        <w:t>o</w:t>
      </w:r>
      <w:r w:rsidR="009F5172" w:rsidRPr="008A47AB">
        <w:rPr>
          <w:rFonts w:asciiTheme="minorHAnsi" w:eastAsiaTheme="minorHAnsi" w:hAnsiTheme="minorHAnsi" w:cstheme="minorBidi"/>
          <w:sz w:val="20"/>
          <w:szCs w:val="20"/>
          <w:lang w:eastAsia="en-US"/>
        </w:rPr>
        <w:t>pera companies and the wider arts</w:t>
      </w:r>
      <w:r w:rsidR="00B04AD6" w:rsidRPr="008A47AB">
        <w:rPr>
          <w:rFonts w:asciiTheme="minorHAnsi" w:eastAsiaTheme="minorHAnsi" w:hAnsiTheme="minorHAnsi" w:cstheme="minorBidi"/>
          <w:sz w:val="20"/>
          <w:szCs w:val="20"/>
          <w:lang w:eastAsia="en-US"/>
        </w:rPr>
        <w:t xml:space="preserve"> sector</w:t>
      </w:r>
      <w:r w:rsidR="000C1F40" w:rsidRPr="008A47AB">
        <w:rPr>
          <w:rFonts w:asciiTheme="minorHAnsi" w:eastAsiaTheme="minorHAnsi" w:hAnsiTheme="minorHAnsi" w:cstheme="minorBidi"/>
          <w:sz w:val="20"/>
          <w:szCs w:val="20"/>
          <w:lang w:eastAsia="en-US"/>
        </w:rPr>
        <w:t xml:space="preserve">. </w:t>
      </w:r>
    </w:p>
    <w:p w:rsidR="009F5172" w:rsidRPr="008A47AB" w:rsidRDefault="009F5172" w:rsidP="009F5172">
      <w:pPr>
        <w:pStyle w:val="NormalWeb"/>
        <w:shd w:val="clear" w:color="auto" w:fill="FFFFFF" w:themeFill="background1"/>
        <w:spacing w:before="0" w:after="0"/>
        <w:rPr>
          <w:rFonts w:asciiTheme="minorHAnsi" w:eastAsiaTheme="minorHAnsi" w:hAnsiTheme="minorHAnsi" w:cstheme="minorBidi"/>
          <w:sz w:val="20"/>
          <w:szCs w:val="20"/>
          <w:lang w:eastAsia="en-US"/>
        </w:rPr>
      </w:pPr>
      <w:r w:rsidRPr="008A47AB">
        <w:rPr>
          <w:rFonts w:asciiTheme="minorHAnsi" w:eastAsiaTheme="minorHAnsi" w:hAnsiTheme="minorHAnsi" w:cstheme="minorBidi"/>
          <w:sz w:val="20"/>
          <w:szCs w:val="20"/>
          <w:lang w:eastAsia="en-US"/>
        </w:rPr>
        <w:t>The review makes recommendations to government on what is needed to create a vibrant and sustainable opera sector in Australia. This includes an opera sector that generates adequate artist development and employment, is collaborative, develops new Australian work and builds audience access and audience numbers.</w:t>
      </w:r>
    </w:p>
    <w:p w:rsidR="00887B3C" w:rsidRPr="008A47AB" w:rsidRDefault="009F5172" w:rsidP="00887B3C">
      <w:pPr>
        <w:pStyle w:val="NormalWeb"/>
        <w:shd w:val="clear" w:color="auto" w:fill="FFFFFF" w:themeFill="background1"/>
        <w:rPr>
          <w:rFonts w:asciiTheme="minorHAnsi" w:hAnsiTheme="minorHAnsi"/>
          <w:sz w:val="20"/>
          <w:szCs w:val="20"/>
        </w:rPr>
      </w:pPr>
      <w:r w:rsidRPr="008A47AB">
        <w:rPr>
          <w:rFonts w:asciiTheme="minorHAnsi" w:eastAsiaTheme="minorHAnsi" w:hAnsiTheme="minorHAnsi" w:cstheme="minorBidi"/>
          <w:sz w:val="20"/>
          <w:szCs w:val="20"/>
          <w:lang w:eastAsia="en-US"/>
        </w:rPr>
        <w:t>It recommends </w:t>
      </w:r>
      <w:r w:rsidRPr="008A47AB">
        <w:rPr>
          <w:rFonts w:asciiTheme="minorHAnsi" w:eastAsiaTheme="minorHAnsi" w:hAnsiTheme="minorHAnsi" w:cstheme="minorBidi"/>
          <w:b/>
          <w:bCs/>
          <w:sz w:val="20"/>
          <w:szCs w:val="20"/>
          <w:lang w:eastAsia="en-US"/>
        </w:rPr>
        <w:t>new</w:t>
      </w:r>
      <w:r w:rsidRPr="008A47AB">
        <w:rPr>
          <w:rFonts w:asciiTheme="minorHAnsi" w:eastAsiaTheme="minorHAnsi" w:hAnsiTheme="minorHAnsi" w:cstheme="minorBidi"/>
          <w:sz w:val="20"/>
          <w:szCs w:val="20"/>
          <w:lang w:eastAsia="en-US"/>
        </w:rPr>
        <w:t> money to support a number of activities, including collaborations and innovation</w:t>
      </w:r>
      <w:r w:rsidR="00B04AD6" w:rsidRPr="008A47AB">
        <w:rPr>
          <w:rFonts w:asciiTheme="minorHAnsi" w:eastAsiaTheme="minorHAnsi" w:hAnsiTheme="minorHAnsi" w:cstheme="minorBidi"/>
          <w:sz w:val="20"/>
          <w:szCs w:val="20"/>
          <w:lang w:eastAsia="en-US"/>
        </w:rPr>
        <w:t>. In this context it also recommends</w:t>
      </w:r>
      <w:r w:rsidRPr="008A47AB">
        <w:rPr>
          <w:rFonts w:asciiTheme="minorHAnsi" w:eastAsiaTheme="minorHAnsi" w:hAnsiTheme="minorHAnsi" w:cstheme="minorBidi"/>
          <w:sz w:val="20"/>
          <w:szCs w:val="20"/>
          <w:lang w:eastAsia="en-US"/>
        </w:rPr>
        <w:t xml:space="preserve"> an end to opera companies accessing project funding for ongoing activities such as touring and education</w:t>
      </w:r>
      <w:r w:rsidR="00B04AD6" w:rsidRPr="008A47AB">
        <w:rPr>
          <w:rFonts w:asciiTheme="minorHAnsi" w:eastAsiaTheme="minorHAnsi" w:hAnsiTheme="minorHAnsi" w:cstheme="minorBidi"/>
          <w:sz w:val="20"/>
          <w:szCs w:val="20"/>
          <w:lang w:eastAsia="en-US"/>
        </w:rPr>
        <w:t>, funding for which</w:t>
      </w:r>
      <w:r w:rsidRPr="008A47AB">
        <w:rPr>
          <w:rFonts w:asciiTheme="minorHAnsi" w:eastAsiaTheme="minorHAnsi" w:hAnsiTheme="minorHAnsi" w:cstheme="minorBidi"/>
          <w:sz w:val="20"/>
          <w:szCs w:val="20"/>
          <w:lang w:eastAsia="en-US"/>
        </w:rPr>
        <w:t xml:space="preserve"> should be included in their base</w:t>
      </w:r>
      <w:r w:rsidR="00B04AD6" w:rsidRPr="008A47AB">
        <w:rPr>
          <w:rFonts w:asciiTheme="minorHAnsi" w:eastAsiaTheme="minorHAnsi" w:hAnsiTheme="minorHAnsi" w:cstheme="minorBidi"/>
          <w:sz w:val="20"/>
          <w:szCs w:val="20"/>
          <w:lang w:eastAsia="en-US"/>
        </w:rPr>
        <w:t>.</w:t>
      </w:r>
    </w:p>
    <w:p w:rsidR="00401B38" w:rsidRPr="008A47AB" w:rsidRDefault="003D685A" w:rsidP="003D685A">
      <w:pPr>
        <w:rPr>
          <w:sz w:val="20"/>
          <w:szCs w:val="20"/>
        </w:rPr>
      </w:pPr>
      <w:r w:rsidRPr="008A47AB">
        <w:rPr>
          <w:sz w:val="20"/>
          <w:szCs w:val="20"/>
        </w:rPr>
        <w:t xml:space="preserve">It imposes requirements on the companies, at the same time as providing a minimum </w:t>
      </w:r>
      <w:r w:rsidR="00B04AD6" w:rsidRPr="008A47AB">
        <w:rPr>
          <w:sz w:val="20"/>
          <w:szCs w:val="20"/>
        </w:rPr>
        <w:t>g</w:t>
      </w:r>
      <w:r w:rsidRPr="008A47AB">
        <w:rPr>
          <w:sz w:val="20"/>
          <w:szCs w:val="20"/>
        </w:rPr>
        <w:t>overnment funding package</w:t>
      </w:r>
      <w:r w:rsidR="00B04AD6" w:rsidRPr="008A47AB">
        <w:rPr>
          <w:sz w:val="20"/>
          <w:szCs w:val="20"/>
        </w:rPr>
        <w:t>,</w:t>
      </w:r>
      <w:r w:rsidRPr="008A47AB">
        <w:rPr>
          <w:sz w:val="20"/>
          <w:szCs w:val="20"/>
        </w:rPr>
        <w:t xml:space="preserve"> </w:t>
      </w:r>
      <w:r w:rsidR="00613AF1" w:rsidRPr="008A47AB">
        <w:rPr>
          <w:sz w:val="20"/>
          <w:szCs w:val="20"/>
        </w:rPr>
        <w:t xml:space="preserve">to address </w:t>
      </w:r>
      <w:r w:rsidR="00380ADC" w:rsidRPr="008A47AB">
        <w:rPr>
          <w:sz w:val="20"/>
          <w:szCs w:val="20"/>
        </w:rPr>
        <w:t>art form</w:t>
      </w:r>
      <w:r w:rsidR="00613AF1" w:rsidRPr="008A47AB">
        <w:rPr>
          <w:sz w:val="20"/>
          <w:szCs w:val="20"/>
        </w:rPr>
        <w:t xml:space="preserve"> challenges.</w:t>
      </w:r>
      <w:r w:rsidR="00380ADC" w:rsidRPr="008A47AB">
        <w:rPr>
          <w:sz w:val="20"/>
          <w:szCs w:val="20"/>
        </w:rPr>
        <w:t xml:space="preserve"> Additional </w:t>
      </w:r>
      <w:r w:rsidR="009C7F86" w:rsidRPr="008A47AB">
        <w:rPr>
          <w:sz w:val="20"/>
          <w:szCs w:val="20"/>
        </w:rPr>
        <w:t>funding is</w:t>
      </w:r>
      <w:r w:rsidR="00380ADC" w:rsidRPr="008A47AB">
        <w:rPr>
          <w:sz w:val="20"/>
          <w:szCs w:val="20"/>
        </w:rPr>
        <w:t xml:space="preserve"> targeted t</w:t>
      </w:r>
      <w:r w:rsidR="009C7F86" w:rsidRPr="008A47AB">
        <w:rPr>
          <w:sz w:val="20"/>
          <w:szCs w:val="20"/>
        </w:rPr>
        <w:t>owards</w:t>
      </w:r>
      <w:r w:rsidR="00380ADC" w:rsidRPr="008A47AB">
        <w:rPr>
          <w:sz w:val="20"/>
          <w:szCs w:val="20"/>
        </w:rPr>
        <w:t xml:space="preserve"> Australian activity</w:t>
      </w:r>
      <w:r w:rsidR="009C7F86" w:rsidRPr="008A47AB">
        <w:rPr>
          <w:sz w:val="20"/>
          <w:szCs w:val="20"/>
        </w:rPr>
        <w:t xml:space="preserve">, </w:t>
      </w:r>
      <w:r w:rsidR="00B62482" w:rsidRPr="008A47AB">
        <w:rPr>
          <w:sz w:val="20"/>
          <w:szCs w:val="20"/>
        </w:rPr>
        <w:t>including</w:t>
      </w:r>
      <w:r w:rsidR="00B04AD6" w:rsidRPr="008A47AB">
        <w:rPr>
          <w:sz w:val="20"/>
          <w:szCs w:val="20"/>
        </w:rPr>
        <w:t xml:space="preserve"> the </w:t>
      </w:r>
      <w:r w:rsidR="009C7F86" w:rsidRPr="008A47AB">
        <w:rPr>
          <w:sz w:val="20"/>
          <w:szCs w:val="20"/>
        </w:rPr>
        <w:t>development of Australian co</w:t>
      </w:r>
      <w:r w:rsidR="00175DAF" w:rsidRPr="008A47AB">
        <w:rPr>
          <w:sz w:val="20"/>
          <w:szCs w:val="20"/>
        </w:rPr>
        <w:t>-</w:t>
      </w:r>
      <w:r w:rsidR="009C7F86" w:rsidRPr="008A47AB">
        <w:rPr>
          <w:sz w:val="20"/>
          <w:szCs w:val="20"/>
        </w:rPr>
        <w:t>production</w:t>
      </w:r>
      <w:r w:rsidR="00887B3C" w:rsidRPr="008A47AB">
        <w:rPr>
          <w:sz w:val="20"/>
          <w:szCs w:val="20"/>
        </w:rPr>
        <w:t>s</w:t>
      </w:r>
      <w:r w:rsidR="009C7F86" w:rsidRPr="008A47AB">
        <w:rPr>
          <w:sz w:val="20"/>
          <w:szCs w:val="20"/>
        </w:rPr>
        <w:t xml:space="preserve"> and artists. </w:t>
      </w:r>
      <w:r w:rsidR="00B04AD6" w:rsidRPr="008A47AB">
        <w:rPr>
          <w:sz w:val="20"/>
          <w:szCs w:val="20"/>
        </w:rPr>
        <w:t xml:space="preserve">Such a funding package </w:t>
      </w:r>
      <w:r w:rsidR="00380ADC" w:rsidRPr="008A47AB">
        <w:rPr>
          <w:sz w:val="20"/>
          <w:szCs w:val="20"/>
        </w:rPr>
        <w:t xml:space="preserve">will stimulate direct </w:t>
      </w:r>
      <w:r w:rsidR="009C7F86" w:rsidRPr="008A47AB">
        <w:rPr>
          <w:sz w:val="20"/>
          <w:szCs w:val="20"/>
        </w:rPr>
        <w:t>and</w:t>
      </w:r>
      <w:r w:rsidR="00380ADC" w:rsidRPr="008A47AB">
        <w:rPr>
          <w:sz w:val="20"/>
          <w:szCs w:val="20"/>
        </w:rPr>
        <w:t xml:space="preserve"> indirect jobs growth through business</w:t>
      </w:r>
      <w:r w:rsidR="00B04AD6" w:rsidRPr="008A47AB">
        <w:rPr>
          <w:sz w:val="20"/>
          <w:szCs w:val="20"/>
        </w:rPr>
        <w:t>-</w:t>
      </w:r>
      <w:r w:rsidR="00380ADC" w:rsidRPr="008A47AB">
        <w:rPr>
          <w:sz w:val="20"/>
          <w:szCs w:val="20"/>
        </w:rPr>
        <w:t>to</w:t>
      </w:r>
      <w:r w:rsidR="00B04AD6" w:rsidRPr="008A47AB">
        <w:rPr>
          <w:sz w:val="20"/>
          <w:szCs w:val="20"/>
        </w:rPr>
        <w:t>-</w:t>
      </w:r>
      <w:r w:rsidR="00380ADC" w:rsidRPr="008A47AB">
        <w:rPr>
          <w:sz w:val="20"/>
          <w:szCs w:val="20"/>
        </w:rPr>
        <w:t>business expenditure</w:t>
      </w:r>
      <w:r w:rsidR="009C7F86" w:rsidRPr="008A47AB">
        <w:rPr>
          <w:sz w:val="20"/>
          <w:szCs w:val="20"/>
        </w:rPr>
        <w:t xml:space="preserve"> and capacity building.</w:t>
      </w:r>
      <w:r w:rsidR="00380ADC" w:rsidRPr="008A47AB">
        <w:rPr>
          <w:sz w:val="20"/>
          <w:szCs w:val="20"/>
        </w:rPr>
        <w:t xml:space="preserve"> </w:t>
      </w:r>
      <w:r w:rsidR="00613AF1" w:rsidRPr="008A47AB">
        <w:rPr>
          <w:sz w:val="20"/>
          <w:szCs w:val="20"/>
        </w:rPr>
        <w:t xml:space="preserve"> </w:t>
      </w:r>
    </w:p>
    <w:p w:rsidR="003D685A" w:rsidRPr="008A47AB" w:rsidRDefault="003D685A" w:rsidP="003D685A">
      <w:pPr>
        <w:rPr>
          <w:sz w:val="20"/>
          <w:szCs w:val="20"/>
          <w:u w:val="single"/>
        </w:rPr>
      </w:pPr>
      <w:r w:rsidRPr="008A47AB">
        <w:rPr>
          <w:sz w:val="20"/>
          <w:szCs w:val="20"/>
          <w:u w:val="single"/>
        </w:rPr>
        <w:t xml:space="preserve">Without this funding package, the artistic vibrancy, accessibility and financial viability of the companies </w:t>
      </w:r>
      <w:r w:rsidR="009C7F86" w:rsidRPr="008A47AB">
        <w:rPr>
          <w:sz w:val="20"/>
          <w:szCs w:val="20"/>
          <w:u w:val="single"/>
        </w:rPr>
        <w:t xml:space="preserve">and the jobs they currently generate </w:t>
      </w:r>
      <w:r w:rsidRPr="008A47AB">
        <w:rPr>
          <w:sz w:val="20"/>
          <w:szCs w:val="20"/>
          <w:u w:val="single"/>
        </w:rPr>
        <w:t>will remain under threat.</w:t>
      </w:r>
    </w:p>
    <w:p w:rsidR="003D685A" w:rsidRPr="008A47AB" w:rsidRDefault="003D685A"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b/>
          <w:color w:val="C00000"/>
          <w:sz w:val="20"/>
          <w:szCs w:val="20"/>
          <w:lang w:eastAsia="en-US"/>
        </w:rPr>
      </w:pPr>
      <w:r w:rsidRPr="008A47AB">
        <w:rPr>
          <w:rFonts w:asciiTheme="minorHAnsi" w:eastAsiaTheme="minorHAnsi" w:hAnsiTheme="minorHAnsi" w:cstheme="minorBidi"/>
          <w:b/>
          <w:color w:val="C00000"/>
          <w:sz w:val="20"/>
          <w:szCs w:val="20"/>
          <w:lang w:eastAsia="en-US"/>
        </w:rPr>
        <w:t>Recommendation</w:t>
      </w:r>
      <w:r w:rsidR="0070474E" w:rsidRPr="008A47AB">
        <w:rPr>
          <w:rFonts w:asciiTheme="minorHAnsi" w:eastAsiaTheme="minorHAnsi" w:hAnsiTheme="minorHAnsi" w:cstheme="minorBidi"/>
          <w:b/>
          <w:color w:val="C00000"/>
          <w:sz w:val="20"/>
          <w:szCs w:val="20"/>
          <w:lang w:eastAsia="en-US"/>
        </w:rPr>
        <w:t xml:space="preserve"> </w:t>
      </w:r>
      <w:r w:rsidRPr="008A47AB">
        <w:rPr>
          <w:rFonts w:asciiTheme="minorHAnsi" w:eastAsiaTheme="minorHAnsi" w:hAnsiTheme="minorHAnsi" w:cstheme="minorBidi"/>
          <w:b/>
          <w:color w:val="C00000"/>
          <w:sz w:val="20"/>
          <w:szCs w:val="20"/>
          <w:lang w:eastAsia="en-US"/>
        </w:rPr>
        <w:t xml:space="preserve"> </w:t>
      </w:r>
      <w:r w:rsidR="0070474E" w:rsidRPr="008A47AB">
        <w:rPr>
          <w:rFonts w:asciiTheme="minorHAnsi" w:eastAsiaTheme="minorHAnsi" w:hAnsiTheme="minorHAnsi" w:cstheme="minorBidi"/>
          <w:b/>
          <w:color w:val="C00000"/>
          <w:sz w:val="20"/>
          <w:szCs w:val="20"/>
          <w:lang w:eastAsia="en-US"/>
        </w:rPr>
        <w:t>5</w:t>
      </w:r>
    </w:p>
    <w:p w:rsidR="00401B38" w:rsidRPr="008A47AB" w:rsidRDefault="008E5276"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20"/>
          <w:szCs w:val="20"/>
          <w:lang w:eastAsia="en-US"/>
        </w:rPr>
      </w:pPr>
      <w:r w:rsidRPr="008A47AB">
        <w:rPr>
          <w:rFonts w:asciiTheme="minorHAnsi" w:eastAsiaTheme="minorHAnsi" w:hAnsiTheme="minorHAnsi" w:cstheme="minorBidi"/>
          <w:sz w:val="20"/>
          <w:szCs w:val="20"/>
          <w:lang w:eastAsia="en-US"/>
        </w:rPr>
        <w:t>AM</w:t>
      </w:r>
      <w:r w:rsidR="000C1F40" w:rsidRPr="008A47AB">
        <w:rPr>
          <w:rFonts w:asciiTheme="minorHAnsi" w:eastAsiaTheme="minorHAnsi" w:hAnsiTheme="minorHAnsi" w:cstheme="minorBidi"/>
          <w:sz w:val="20"/>
          <w:szCs w:val="20"/>
          <w:lang w:eastAsia="en-US"/>
        </w:rPr>
        <w:t>P</w:t>
      </w:r>
      <w:r w:rsidRPr="008A47AB">
        <w:rPr>
          <w:rFonts w:asciiTheme="minorHAnsi" w:eastAsiaTheme="minorHAnsi" w:hAnsiTheme="minorHAnsi" w:cstheme="minorBidi"/>
          <w:sz w:val="20"/>
          <w:szCs w:val="20"/>
          <w:lang w:eastAsia="en-US"/>
        </w:rPr>
        <w:t>AG supports recommendation 11:14</w:t>
      </w:r>
      <w:r w:rsidR="006C44EB" w:rsidRPr="008A47AB">
        <w:rPr>
          <w:rFonts w:asciiTheme="minorHAnsi" w:eastAsiaTheme="minorHAnsi" w:hAnsiTheme="minorHAnsi" w:cstheme="minorBidi"/>
          <w:sz w:val="20"/>
          <w:szCs w:val="20"/>
          <w:lang w:eastAsia="en-US"/>
        </w:rPr>
        <w:t xml:space="preserve"> </w:t>
      </w:r>
      <w:r w:rsidR="00B04AD6" w:rsidRPr="008A47AB">
        <w:rPr>
          <w:rFonts w:asciiTheme="minorHAnsi" w:eastAsiaTheme="minorHAnsi" w:hAnsiTheme="minorHAnsi" w:cstheme="minorBidi"/>
          <w:sz w:val="20"/>
          <w:szCs w:val="20"/>
          <w:lang w:eastAsia="en-US"/>
        </w:rPr>
        <w:t xml:space="preserve">of </w:t>
      </w:r>
      <w:r w:rsidR="006C44EB" w:rsidRPr="008A47AB">
        <w:rPr>
          <w:rFonts w:asciiTheme="minorHAnsi" w:eastAsiaTheme="minorHAnsi" w:hAnsiTheme="minorHAnsi" w:cstheme="minorBidi"/>
          <w:sz w:val="20"/>
          <w:szCs w:val="20"/>
          <w:lang w:eastAsia="en-US"/>
        </w:rPr>
        <w:t xml:space="preserve">the Opera </w:t>
      </w:r>
      <w:r w:rsidR="00613AF1" w:rsidRPr="008A47AB">
        <w:rPr>
          <w:rFonts w:asciiTheme="minorHAnsi" w:eastAsiaTheme="minorHAnsi" w:hAnsiTheme="minorHAnsi" w:cstheme="minorBidi"/>
          <w:sz w:val="20"/>
          <w:szCs w:val="20"/>
          <w:lang w:eastAsia="en-US"/>
        </w:rPr>
        <w:t>R</w:t>
      </w:r>
      <w:r w:rsidR="006C44EB" w:rsidRPr="008A47AB">
        <w:rPr>
          <w:rFonts w:asciiTheme="minorHAnsi" w:eastAsiaTheme="minorHAnsi" w:hAnsiTheme="minorHAnsi" w:cstheme="minorBidi"/>
          <w:sz w:val="20"/>
          <w:szCs w:val="20"/>
          <w:lang w:eastAsia="en-US"/>
        </w:rPr>
        <w:t xml:space="preserve">eview </w:t>
      </w:r>
      <w:r w:rsidR="00CA2ADE" w:rsidRPr="008A47AB">
        <w:rPr>
          <w:rFonts w:asciiTheme="minorHAnsi" w:eastAsiaTheme="minorHAnsi" w:hAnsiTheme="minorHAnsi" w:cstheme="minorBidi"/>
          <w:sz w:val="20"/>
          <w:szCs w:val="20"/>
          <w:lang w:eastAsia="en-US"/>
        </w:rPr>
        <w:t xml:space="preserve">to increase funding to the major </w:t>
      </w:r>
      <w:r w:rsidR="00B04AD6" w:rsidRPr="008A47AB">
        <w:rPr>
          <w:rFonts w:asciiTheme="minorHAnsi" w:eastAsiaTheme="minorHAnsi" w:hAnsiTheme="minorHAnsi" w:cstheme="minorBidi"/>
          <w:sz w:val="20"/>
          <w:szCs w:val="20"/>
          <w:lang w:eastAsia="en-US"/>
        </w:rPr>
        <w:t>o</w:t>
      </w:r>
      <w:r w:rsidR="00CA2ADE" w:rsidRPr="008A47AB">
        <w:rPr>
          <w:rFonts w:asciiTheme="minorHAnsi" w:eastAsiaTheme="minorHAnsi" w:hAnsiTheme="minorHAnsi" w:cstheme="minorBidi"/>
          <w:sz w:val="20"/>
          <w:szCs w:val="20"/>
          <w:lang w:eastAsia="en-US"/>
        </w:rPr>
        <w:t xml:space="preserve">pera companies </w:t>
      </w:r>
      <w:r w:rsidR="00CA2ADE" w:rsidRPr="008A47AB">
        <w:rPr>
          <w:rFonts w:asciiTheme="minorHAnsi" w:hAnsiTheme="minorHAnsi"/>
          <w:sz w:val="20"/>
          <w:szCs w:val="20"/>
        </w:rPr>
        <w:t>by $24.136 million over four years through agreed proportional federal</w:t>
      </w:r>
      <w:r w:rsidR="00B04AD6" w:rsidRPr="008A47AB">
        <w:rPr>
          <w:rFonts w:asciiTheme="minorHAnsi" w:hAnsiTheme="minorHAnsi"/>
          <w:sz w:val="20"/>
          <w:szCs w:val="20"/>
        </w:rPr>
        <w:t>–</w:t>
      </w:r>
      <w:r w:rsidR="00CA2ADE" w:rsidRPr="008A47AB">
        <w:rPr>
          <w:rFonts w:asciiTheme="minorHAnsi" w:hAnsiTheme="minorHAnsi"/>
          <w:sz w:val="20"/>
          <w:szCs w:val="20"/>
        </w:rPr>
        <w:t>state government contributions</w:t>
      </w:r>
      <w:r w:rsidR="00401B38" w:rsidRPr="008A47AB">
        <w:rPr>
          <w:rFonts w:asciiTheme="minorHAnsi" w:hAnsiTheme="minorHAnsi"/>
          <w:sz w:val="20"/>
          <w:szCs w:val="20"/>
        </w:rPr>
        <w:t>,</w:t>
      </w:r>
      <w:r w:rsidR="00CA2ADE" w:rsidRPr="008A47AB">
        <w:rPr>
          <w:rFonts w:asciiTheme="minorHAnsi" w:hAnsiTheme="minorHAnsi"/>
          <w:sz w:val="20"/>
          <w:szCs w:val="20"/>
        </w:rPr>
        <w:t xml:space="preserve">  </w:t>
      </w:r>
      <w:r w:rsidR="006C44EB" w:rsidRPr="008A47AB">
        <w:rPr>
          <w:rFonts w:asciiTheme="minorHAnsi" w:eastAsiaTheme="minorHAnsi" w:hAnsiTheme="minorHAnsi" w:cstheme="minorBidi"/>
          <w:sz w:val="20"/>
          <w:szCs w:val="20"/>
          <w:lang w:eastAsia="en-US"/>
        </w:rPr>
        <w:t>in tandem with</w:t>
      </w:r>
      <w:r w:rsidR="00613AF1" w:rsidRPr="008A47AB">
        <w:rPr>
          <w:rFonts w:asciiTheme="minorHAnsi" w:eastAsiaTheme="minorHAnsi" w:hAnsiTheme="minorHAnsi" w:cstheme="minorBidi"/>
          <w:sz w:val="20"/>
          <w:szCs w:val="20"/>
          <w:lang w:eastAsia="en-US"/>
        </w:rPr>
        <w:t xml:space="preserve"> AMPAG’s pre-budget</w:t>
      </w:r>
      <w:r w:rsidR="006C44EB" w:rsidRPr="008A47AB">
        <w:rPr>
          <w:rFonts w:asciiTheme="minorHAnsi" w:eastAsiaTheme="minorHAnsi" w:hAnsiTheme="minorHAnsi" w:cstheme="minorBidi"/>
          <w:sz w:val="20"/>
          <w:szCs w:val="20"/>
          <w:lang w:eastAsia="en-US"/>
        </w:rPr>
        <w:t xml:space="preserve"> recommendations 1 &amp; 2 above</w:t>
      </w:r>
      <w:r w:rsidR="00B04AD6" w:rsidRPr="008A47AB">
        <w:rPr>
          <w:rFonts w:asciiTheme="minorHAnsi" w:eastAsiaTheme="minorHAnsi" w:hAnsiTheme="minorHAnsi" w:cstheme="minorBidi"/>
          <w:sz w:val="20"/>
          <w:szCs w:val="20"/>
          <w:lang w:eastAsia="en-US"/>
        </w:rPr>
        <w:t>.</w:t>
      </w:r>
    </w:p>
    <w:p w:rsidR="00DB14AC" w:rsidRPr="008A47AB" w:rsidRDefault="00DB14AC"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20"/>
          <w:szCs w:val="20"/>
          <w:lang w:eastAsia="en-US"/>
        </w:rPr>
      </w:pPr>
    </w:p>
    <w:p w:rsidR="003D685A" w:rsidRPr="008A47AB" w:rsidRDefault="003D685A"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b/>
          <w:color w:val="C00000"/>
          <w:sz w:val="20"/>
          <w:szCs w:val="20"/>
          <w:lang w:eastAsia="en-US"/>
        </w:rPr>
      </w:pPr>
      <w:r w:rsidRPr="008A47AB">
        <w:rPr>
          <w:rFonts w:asciiTheme="minorHAnsi" w:eastAsiaTheme="minorHAnsi" w:hAnsiTheme="minorHAnsi" w:cstheme="minorBidi"/>
          <w:b/>
          <w:color w:val="C00000"/>
          <w:sz w:val="20"/>
          <w:szCs w:val="20"/>
          <w:lang w:eastAsia="en-US"/>
        </w:rPr>
        <w:t xml:space="preserve">Recommendation </w:t>
      </w:r>
      <w:r w:rsidR="0070474E" w:rsidRPr="008A47AB">
        <w:rPr>
          <w:rFonts w:asciiTheme="minorHAnsi" w:eastAsiaTheme="minorHAnsi" w:hAnsiTheme="minorHAnsi" w:cstheme="minorBidi"/>
          <w:b/>
          <w:color w:val="C00000"/>
          <w:sz w:val="20"/>
          <w:szCs w:val="20"/>
          <w:lang w:eastAsia="en-US"/>
        </w:rPr>
        <w:t xml:space="preserve"> 6</w:t>
      </w:r>
    </w:p>
    <w:p w:rsidR="009F5172" w:rsidRPr="008A47AB" w:rsidRDefault="00CA2ADE"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20"/>
          <w:szCs w:val="20"/>
          <w:u w:val="single"/>
          <w:lang w:eastAsia="en-US"/>
        </w:rPr>
      </w:pPr>
      <w:r w:rsidRPr="008A47AB">
        <w:rPr>
          <w:rFonts w:asciiTheme="minorHAnsi" w:eastAsiaTheme="minorHAnsi" w:hAnsiTheme="minorHAnsi" w:cstheme="minorBidi"/>
          <w:sz w:val="20"/>
          <w:szCs w:val="20"/>
          <w:lang w:eastAsia="en-US"/>
        </w:rPr>
        <w:t xml:space="preserve">AMPAG supports </w:t>
      </w:r>
      <w:r w:rsidR="006C44EB" w:rsidRPr="008A47AB">
        <w:rPr>
          <w:rFonts w:asciiTheme="minorHAnsi" w:eastAsiaTheme="minorHAnsi" w:hAnsiTheme="minorHAnsi" w:cstheme="minorBidi"/>
          <w:sz w:val="20"/>
          <w:szCs w:val="20"/>
          <w:lang w:eastAsia="en-US"/>
        </w:rPr>
        <w:t>recommendation 11:15</w:t>
      </w:r>
      <w:r w:rsidRPr="008A47AB">
        <w:rPr>
          <w:rFonts w:asciiTheme="minorHAnsi" w:eastAsiaTheme="minorHAnsi" w:hAnsiTheme="minorHAnsi" w:cstheme="minorBidi"/>
          <w:sz w:val="20"/>
          <w:szCs w:val="20"/>
          <w:lang w:eastAsia="en-US"/>
        </w:rPr>
        <w:t xml:space="preserve"> </w:t>
      </w:r>
      <w:r w:rsidR="00B04AD6" w:rsidRPr="008A47AB">
        <w:rPr>
          <w:rFonts w:asciiTheme="minorHAnsi" w:eastAsiaTheme="minorHAnsi" w:hAnsiTheme="minorHAnsi" w:cstheme="minorBidi"/>
          <w:sz w:val="20"/>
          <w:szCs w:val="20"/>
          <w:lang w:eastAsia="en-US"/>
        </w:rPr>
        <w:t xml:space="preserve">of </w:t>
      </w:r>
      <w:r w:rsidRPr="008A47AB">
        <w:rPr>
          <w:rFonts w:asciiTheme="minorHAnsi" w:eastAsiaTheme="minorHAnsi" w:hAnsiTheme="minorHAnsi" w:cstheme="minorBidi"/>
          <w:sz w:val="20"/>
          <w:szCs w:val="20"/>
          <w:lang w:eastAsia="en-US"/>
        </w:rPr>
        <w:t xml:space="preserve">the Opera </w:t>
      </w:r>
      <w:r w:rsidR="00613AF1" w:rsidRPr="008A47AB">
        <w:rPr>
          <w:rFonts w:asciiTheme="minorHAnsi" w:eastAsiaTheme="minorHAnsi" w:hAnsiTheme="minorHAnsi" w:cstheme="minorBidi"/>
          <w:sz w:val="20"/>
          <w:szCs w:val="20"/>
          <w:lang w:eastAsia="en-US"/>
        </w:rPr>
        <w:t>R</w:t>
      </w:r>
      <w:r w:rsidRPr="008A47AB">
        <w:rPr>
          <w:rFonts w:asciiTheme="minorHAnsi" w:eastAsiaTheme="minorHAnsi" w:hAnsiTheme="minorHAnsi" w:cstheme="minorBidi"/>
          <w:sz w:val="20"/>
          <w:szCs w:val="20"/>
          <w:lang w:eastAsia="en-US"/>
        </w:rPr>
        <w:t>eview</w:t>
      </w:r>
      <w:r w:rsidR="006C44EB" w:rsidRPr="008A47AB">
        <w:rPr>
          <w:rFonts w:asciiTheme="minorHAnsi" w:eastAsiaTheme="minorHAnsi" w:hAnsiTheme="minorHAnsi" w:cstheme="minorBidi"/>
          <w:sz w:val="20"/>
          <w:szCs w:val="20"/>
          <w:lang w:eastAsia="en-US"/>
        </w:rPr>
        <w:t xml:space="preserve"> that specifies recommendation 11:14 </w:t>
      </w:r>
      <w:r w:rsidR="006C44EB" w:rsidRPr="008A47AB">
        <w:rPr>
          <w:rFonts w:asciiTheme="minorHAnsi" w:eastAsiaTheme="minorHAnsi" w:hAnsiTheme="minorHAnsi" w:cstheme="minorBidi"/>
          <w:sz w:val="20"/>
          <w:szCs w:val="20"/>
          <w:u w:val="single"/>
          <w:lang w:eastAsia="en-US"/>
        </w:rPr>
        <w:t>must be</w:t>
      </w:r>
      <w:r w:rsidR="00DC1700" w:rsidRPr="008A47AB">
        <w:rPr>
          <w:rFonts w:asciiTheme="minorHAnsi" w:eastAsiaTheme="minorHAnsi" w:hAnsiTheme="minorHAnsi" w:cstheme="minorBidi"/>
          <w:sz w:val="20"/>
          <w:szCs w:val="20"/>
          <w:u w:val="single"/>
          <w:lang w:eastAsia="en-US"/>
        </w:rPr>
        <w:t xml:space="preserve"> supported</w:t>
      </w:r>
      <w:r w:rsidR="006C44EB" w:rsidRPr="008A47AB">
        <w:rPr>
          <w:rFonts w:asciiTheme="minorHAnsi" w:eastAsiaTheme="minorHAnsi" w:hAnsiTheme="minorHAnsi" w:cstheme="minorBidi"/>
          <w:sz w:val="20"/>
          <w:szCs w:val="20"/>
          <w:u w:val="single"/>
          <w:lang w:eastAsia="en-US"/>
        </w:rPr>
        <w:t xml:space="preserve"> </w:t>
      </w:r>
      <w:r w:rsidR="00DB14AC" w:rsidRPr="008A47AB">
        <w:rPr>
          <w:rFonts w:asciiTheme="minorHAnsi" w:eastAsiaTheme="minorHAnsi" w:hAnsiTheme="minorHAnsi" w:cstheme="minorBidi"/>
          <w:sz w:val="20"/>
          <w:szCs w:val="20"/>
          <w:u w:val="single"/>
          <w:lang w:eastAsia="en-US"/>
        </w:rPr>
        <w:t xml:space="preserve">through </w:t>
      </w:r>
      <w:r w:rsidR="00DB14AC" w:rsidRPr="008A47AB">
        <w:rPr>
          <w:rFonts w:asciiTheme="minorHAnsi" w:eastAsiaTheme="minorHAnsi" w:hAnsiTheme="minorHAnsi" w:cstheme="minorBidi"/>
          <w:b/>
          <w:sz w:val="20"/>
          <w:szCs w:val="20"/>
          <w:u w:val="single"/>
          <w:lang w:eastAsia="en-US"/>
        </w:rPr>
        <w:t>new</w:t>
      </w:r>
      <w:r w:rsidR="006C44EB" w:rsidRPr="008A47AB">
        <w:rPr>
          <w:rFonts w:asciiTheme="minorHAnsi" w:eastAsiaTheme="minorHAnsi" w:hAnsiTheme="minorHAnsi" w:cstheme="minorBidi"/>
          <w:sz w:val="20"/>
          <w:szCs w:val="20"/>
          <w:u w:val="single"/>
          <w:lang w:eastAsia="en-US"/>
        </w:rPr>
        <w:t xml:space="preserve"> funding and not applied by reducing funding </w:t>
      </w:r>
      <w:r w:rsidRPr="008A47AB">
        <w:rPr>
          <w:rFonts w:asciiTheme="minorHAnsi" w:eastAsiaTheme="minorHAnsi" w:hAnsiTheme="minorHAnsi" w:cstheme="minorBidi"/>
          <w:sz w:val="20"/>
          <w:szCs w:val="20"/>
          <w:u w:val="single"/>
          <w:lang w:eastAsia="en-US"/>
        </w:rPr>
        <w:t>commitment to</w:t>
      </w:r>
      <w:r w:rsidR="006C44EB" w:rsidRPr="008A47AB">
        <w:rPr>
          <w:rFonts w:asciiTheme="minorHAnsi" w:eastAsiaTheme="minorHAnsi" w:hAnsiTheme="minorHAnsi" w:cstheme="minorBidi"/>
          <w:sz w:val="20"/>
          <w:szCs w:val="20"/>
          <w:u w:val="single"/>
          <w:lang w:eastAsia="en-US"/>
        </w:rPr>
        <w:t xml:space="preserve"> other arts programs.</w:t>
      </w:r>
    </w:p>
    <w:p w:rsidR="00401B38" w:rsidRPr="008A47AB" w:rsidRDefault="00401B38" w:rsidP="00DB14AC">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20"/>
          <w:szCs w:val="20"/>
          <w:lang w:eastAsia="en-US"/>
        </w:rPr>
      </w:pPr>
    </w:p>
    <w:p w:rsidR="009F5172" w:rsidRPr="008A47AB" w:rsidRDefault="003D685A" w:rsidP="009C7F86">
      <w:pPr>
        <w:pStyle w:val="NormalWeb"/>
        <w:numPr>
          <w:ilvl w:val="0"/>
          <w:numId w:val="7"/>
        </w:numPr>
        <w:shd w:val="clear" w:color="auto" w:fill="FFFFFF" w:themeFill="background1"/>
        <w:rPr>
          <w:rFonts w:asciiTheme="minorHAnsi" w:eastAsiaTheme="minorHAnsi" w:hAnsiTheme="minorHAnsi" w:cstheme="minorBidi"/>
          <w:b/>
          <w:sz w:val="20"/>
          <w:szCs w:val="20"/>
          <w:lang w:eastAsia="en-US"/>
        </w:rPr>
      </w:pPr>
      <w:r w:rsidRPr="008A47AB">
        <w:rPr>
          <w:rFonts w:asciiTheme="minorHAnsi" w:eastAsiaTheme="minorHAnsi" w:hAnsiTheme="minorHAnsi" w:cstheme="minorBidi"/>
          <w:b/>
          <w:sz w:val="20"/>
          <w:szCs w:val="20"/>
          <w:lang w:eastAsia="en-US"/>
        </w:rPr>
        <w:t xml:space="preserve">Performing </w:t>
      </w:r>
      <w:r w:rsidR="00DC1700" w:rsidRPr="008A47AB">
        <w:rPr>
          <w:rFonts w:asciiTheme="minorHAnsi" w:eastAsiaTheme="minorHAnsi" w:hAnsiTheme="minorHAnsi" w:cstheme="minorBidi"/>
          <w:b/>
          <w:sz w:val="20"/>
          <w:szCs w:val="20"/>
          <w:lang w:eastAsia="en-US"/>
        </w:rPr>
        <w:t xml:space="preserve">arts in rural </w:t>
      </w:r>
      <w:r w:rsidR="009F5172" w:rsidRPr="008A47AB">
        <w:rPr>
          <w:rFonts w:asciiTheme="minorHAnsi" w:eastAsiaTheme="minorHAnsi" w:hAnsiTheme="minorHAnsi" w:cstheme="minorBidi"/>
          <w:b/>
          <w:sz w:val="20"/>
          <w:szCs w:val="20"/>
          <w:lang w:eastAsia="en-US"/>
        </w:rPr>
        <w:t>Australia</w:t>
      </w:r>
      <w:r w:rsidR="00E863D1" w:rsidRPr="008A47AB">
        <w:rPr>
          <w:rFonts w:asciiTheme="minorHAnsi" w:eastAsiaTheme="minorHAnsi" w:hAnsiTheme="minorHAnsi" w:cstheme="minorBidi"/>
          <w:b/>
          <w:sz w:val="20"/>
          <w:szCs w:val="20"/>
          <w:lang w:eastAsia="en-US"/>
        </w:rPr>
        <w:t>—</w:t>
      </w:r>
      <w:r w:rsidR="00DC1700" w:rsidRPr="008A47AB">
        <w:rPr>
          <w:rFonts w:asciiTheme="minorHAnsi" w:eastAsiaTheme="minorHAnsi" w:hAnsiTheme="minorHAnsi" w:cstheme="minorBidi"/>
          <w:b/>
          <w:sz w:val="20"/>
          <w:szCs w:val="20"/>
          <w:lang w:eastAsia="en-US"/>
        </w:rPr>
        <w:t>access and participation</w:t>
      </w:r>
    </w:p>
    <w:p w:rsidR="00491B27" w:rsidRPr="008A47AB" w:rsidRDefault="00491B27" w:rsidP="00491B27">
      <w:pPr>
        <w:autoSpaceDE w:val="0"/>
        <w:autoSpaceDN w:val="0"/>
        <w:adjustRightInd w:val="0"/>
        <w:spacing w:after="240" w:line="240" w:lineRule="auto"/>
        <w:rPr>
          <w:sz w:val="20"/>
          <w:szCs w:val="20"/>
        </w:rPr>
      </w:pPr>
      <w:r w:rsidRPr="008A47AB">
        <w:rPr>
          <w:rFonts w:cs="HelveticaNeue-Light"/>
          <w:color w:val="231F20"/>
          <w:sz w:val="20"/>
          <w:szCs w:val="20"/>
        </w:rPr>
        <w:t>The Australia Council’s report</w:t>
      </w:r>
      <w:r w:rsidR="00401B38" w:rsidRPr="008A47AB">
        <w:rPr>
          <w:rFonts w:cs="HelveticaNeue-Light"/>
          <w:color w:val="231F20"/>
          <w:sz w:val="20"/>
          <w:szCs w:val="20"/>
        </w:rPr>
        <w:t>,</w:t>
      </w:r>
      <w:r w:rsidR="00DC1700" w:rsidRPr="008A47AB">
        <w:rPr>
          <w:rFonts w:cs="HelveticaNeue-Light"/>
          <w:color w:val="231F20"/>
          <w:sz w:val="20"/>
          <w:szCs w:val="20"/>
        </w:rPr>
        <w:t xml:space="preserve"> </w:t>
      </w:r>
      <w:r w:rsidRPr="008A47AB">
        <w:rPr>
          <w:rFonts w:cs="HelveticaNeue-Light"/>
          <w:i/>
          <w:color w:val="231F20"/>
          <w:sz w:val="20"/>
          <w:szCs w:val="20"/>
        </w:rPr>
        <w:t>Arts in Daily Life</w:t>
      </w:r>
      <w:r w:rsidR="00DC1700" w:rsidRPr="008A47AB">
        <w:rPr>
          <w:rFonts w:cs="HelveticaNeue-Light"/>
          <w:color w:val="231F20"/>
          <w:sz w:val="20"/>
          <w:szCs w:val="20"/>
        </w:rPr>
        <w:t>,</w:t>
      </w:r>
      <w:r w:rsidRPr="008A47AB">
        <w:rPr>
          <w:rFonts w:cs="HelveticaNeue-Light"/>
          <w:color w:val="231F20"/>
          <w:sz w:val="20"/>
          <w:szCs w:val="20"/>
        </w:rPr>
        <w:t xml:space="preserve"> </w:t>
      </w:r>
      <w:r w:rsidRPr="008A47AB">
        <w:rPr>
          <w:sz w:val="20"/>
          <w:szCs w:val="20"/>
        </w:rPr>
        <w:t>identified the importance placed on the arts in regional Australia</w:t>
      </w:r>
      <w:r w:rsidR="00DC1700" w:rsidRPr="008A47AB">
        <w:rPr>
          <w:sz w:val="20"/>
          <w:szCs w:val="20"/>
        </w:rPr>
        <w:t>.</w:t>
      </w:r>
      <w:r w:rsidRPr="008A47AB">
        <w:rPr>
          <w:sz w:val="20"/>
          <w:szCs w:val="20"/>
        </w:rPr>
        <w:t xml:space="preserve"> </w:t>
      </w:r>
    </w:p>
    <w:p w:rsidR="00491B27" w:rsidRPr="008A47AB" w:rsidRDefault="00DC1700" w:rsidP="00491B27">
      <w:pPr>
        <w:autoSpaceDE w:val="0"/>
        <w:autoSpaceDN w:val="0"/>
        <w:adjustRightInd w:val="0"/>
        <w:spacing w:after="240" w:line="240" w:lineRule="auto"/>
        <w:rPr>
          <w:sz w:val="20"/>
          <w:szCs w:val="20"/>
        </w:rPr>
      </w:pPr>
      <w:r w:rsidRPr="008A47AB">
        <w:rPr>
          <w:sz w:val="20"/>
          <w:szCs w:val="20"/>
        </w:rPr>
        <w:t>It found</w:t>
      </w:r>
      <w:r w:rsidR="00491B27" w:rsidRPr="008A47AB">
        <w:rPr>
          <w:sz w:val="20"/>
          <w:szCs w:val="20"/>
        </w:rPr>
        <w:t xml:space="preserve"> regional Australians </w:t>
      </w:r>
      <w:r w:rsidRPr="008A47AB">
        <w:rPr>
          <w:sz w:val="20"/>
          <w:szCs w:val="20"/>
        </w:rPr>
        <w:t xml:space="preserve">had </w:t>
      </w:r>
      <w:r w:rsidR="00491B27" w:rsidRPr="008A47AB">
        <w:rPr>
          <w:sz w:val="20"/>
          <w:szCs w:val="20"/>
        </w:rPr>
        <w:t>more limited opportunities to attend and participate in the arts than people in metropolitan areas—66 per cent of people living in regional areas attended at least one arts event in the previous 12 months, compared to 74 per cent of people living in metropolitan areas.</w:t>
      </w:r>
    </w:p>
    <w:p w:rsidR="00491B27" w:rsidRPr="008A47AB" w:rsidRDefault="00491B27" w:rsidP="00491B27">
      <w:pPr>
        <w:autoSpaceDE w:val="0"/>
        <w:autoSpaceDN w:val="0"/>
        <w:adjustRightInd w:val="0"/>
        <w:spacing w:after="240" w:line="240" w:lineRule="auto"/>
        <w:rPr>
          <w:sz w:val="20"/>
          <w:szCs w:val="20"/>
        </w:rPr>
      </w:pPr>
      <w:r w:rsidRPr="008A47AB">
        <w:rPr>
          <w:sz w:val="20"/>
          <w:szCs w:val="20"/>
        </w:rPr>
        <w:t xml:space="preserve">Regional attitudes to the arts differ only marginally from those of people living in metropolitan areas but the points of difference lie in their perceptions of arts experience and opportunity: </w:t>
      </w:r>
    </w:p>
    <w:p w:rsidR="00491B27" w:rsidRPr="008A47AB" w:rsidRDefault="00491B27" w:rsidP="00491B27">
      <w:pPr>
        <w:pStyle w:val="ListParagraph"/>
        <w:numPr>
          <w:ilvl w:val="0"/>
          <w:numId w:val="2"/>
        </w:numPr>
        <w:autoSpaceDE w:val="0"/>
        <w:autoSpaceDN w:val="0"/>
        <w:adjustRightInd w:val="0"/>
        <w:spacing w:after="120" w:line="240" w:lineRule="auto"/>
        <w:ind w:left="714" w:hanging="357"/>
        <w:contextualSpacing w:val="0"/>
        <w:rPr>
          <w:sz w:val="20"/>
          <w:szCs w:val="20"/>
        </w:rPr>
      </w:pPr>
      <w:r w:rsidRPr="008A47AB">
        <w:rPr>
          <w:sz w:val="20"/>
          <w:szCs w:val="20"/>
        </w:rPr>
        <w:t xml:space="preserve">66 per cent of people living in the regions agree that ‘there are plenty  of opportunities to get involved in the arts’, compared with 75 per cent of people in metropolitan areas </w:t>
      </w:r>
    </w:p>
    <w:p w:rsidR="00491B27" w:rsidRPr="008A47AB" w:rsidRDefault="00491B27" w:rsidP="00491B27">
      <w:pPr>
        <w:pStyle w:val="ListParagraph"/>
        <w:numPr>
          <w:ilvl w:val="0"/>
          <w:numId w:val="2"/>
        </w:numPr>
        <w:autoSpaceDE w:val="0"/>
        <w:autoSpaceDN w:val="0"/>
        <w:adjustRightInd w:val="0"/>
        <w:spacing w:after="120" w:line="240" w:lineRule="auto"/>
        <w:ind w:left="714" w:hanging="357"/>
        <w:contextualSpacing w:val="0"/>
        <w:rPr>
          <w:sz w:val="20"/>
          <w:szCs w:val="20"/>
        </w:rPr>
      </w:pPr>
      <w:r w:rsidRPr="008A47AB">
        <w:rPr>
          <w:sz w:val="20"/>
          <w:szCs w:val="20"/>
        </w:rPr>
        <w:t>59 per cent of regional dwellers see the arts as having a big impact on ‘helping us manage stress, anxiety and depression’, compared with 55 per cent of people in metropolitan areas</w:t>
      </w:r>
    </w:p>
    <w:p w:rsidR="00491B27" w:rsidRPr="008A47AB" w:rsidRDefault="00491B27" w:rsidP="00491B27">
      <w:pPr>
        <w:pStyle w:val="ListParagraph"/>
        <w:numPr>
          <w:ilvl w:val="0"/>
          <w:numId w:val="2"/>
        </w:numPr>
        <w:autoSpaceDE w:val="0"/>
        <w:autoSpaceDN w:val="0"/>
        <w:adjustRightInd w:val="0"/>
        <w:spacing w:after="240" w:line="240" w:lineRule="auto"/>
        <w:ind w:left="714" w:hanging="357"/>
        <w:contextualSpacing w:val="0"/>
        <w:rPr>
          <w:sz w:val="20"/>
          <w:szCs w:val="20"/>
        </w:rPr>
      </w:pPr>
      <w:r w:rsidRPr="008A47AB">
        <w:rPr>
          <w:sz w:val="20"/>
          <w:szCs w:val="20"/>
        </w:rPr>
        <w:t>46 per cent of regional dwellers perceive the potential of the arts in ‘bringing visitors to our community’, compared with 42 per cent of people in metropolitan areas.</w:t>
      </w:r>
    </w:p>
    <w:p w:rsidR="00491B27" w:rsidRPr="008A47AB" w:rsidRDefault="00491B27" w:rsidP="00491B27">
      <w:pPr>
        <w:autoSpaceDE w:val="0"/>
        <w:autoSpaceDN w:val="0"/>
        <w:adjustRightInd w:val="0"/>
        <w:spacing w:after="240" w:line="240" w:lineRule="auto"/>
        <w:rPr>
          <w:sz w:val="20"/>
          <w:szCs w:val="20"/>
        </w:rPr>
      </w:pPr>
      <w:r w:rsidRPr="008A47AB">
        <w:rPr>
          <w:sz w:val="20"/>
          <w:szCs w:val="20"/>
        </w:rPr>
        <w:t>Arts helps activate and build vibrancy in communities and can stimulate opportunities for growing tourism and associated economic activity.</w:t>
      </w:r>
    </w:p>
    <w:p w:rsidR="00491B27" w:rsidRPr="008A47AB" w:rsidRDefault="00491B27" w:rsidP="00B62482">
      <w:pPr>
        <w:pStyle w:val="ListParagraph"/>
        <w:autoSpaceDE w:val="0"/>
        <w:autoSpaceDN w:val="0"/>
        <w:adjustRightInd w:val="0"/>
        <w:spacing w:after="240" w:line="240" w:lineRule="auto"/>
        <w:ind w:left="0"/>
        <w:contextualSpacing w:val="0"/>
        <w:rPr>
          <w:sz w:val="20"/>
          <w:szCs w:val="20"/>
        </w:rPr>
      </w:pPr>
      <w:r w:rsidRPr="008A47AB">
        <w:rPr>
          <w:rFonts w:cs="BookAntiqua"/>
          <w:sz w:val="20"/>
          <w:szCs w:val="20"/>
        </w:rPr>
        <w:t xml:space="preserve">Regional communities are also increasingly seeking to create works that might also tour inter-regionally and to city settings to tell stories to build connectivity and insights. </w:t>
      </w:r>
      <w:r w:rsidRPr="008A47AB">
        <w:rPr>
          <w:sz w:val="20"/>
          <w:szCs w:val="20"/>
        </w:rPr>
        <w:t>Creative participation has risen among regional Australians, from 39 per cent in 2009 to 49 per cent in 2013 according to the Arts in Daily Life Report</w:t>
      </w:r>
      <w:r w:rsidR="00DE203A" w:rsidRPr="008A47AB">
        <w:rPr>
          <w:sz w:val="20"/>
          <w:szCs w:val="20"/>
        </w:rPr>
        <w:t>.</w:t>
      </w:r>
      <w:r w:rsidRPr="008A47AB">
        <w:rPr>
          <w:sz w:val="20"/>
          <w:szCs w:val="20"/>
        </w:rPr>
        <w:t xml:space="preserve"> Now people living in regional areas creatively participate at about the same level as those in metropolitan Australia: 49 per cent in regional Australia</w:t>
      </w:r>
      <w:r w:rsidR="00DE203A" w:rsidRPr="008A47AB">
        <w:rPr>
          <w:sz w:val="20"/>
          <w:szCs w:val="20"/>
        </w:rPr>
        <w:t>,</w:t>
      </w:r>
      <w:r w:rsidRPr="008A47AB">
        <w:rPr>
          <w:sz w:val="20"/>
          <w:szCs w:val="20"/>
        </w:rPr>
        <w:t xml:space="preserve"> 47 per cent for those living in metropolitan areas.</w:t>
      </w:r>
      <w:r w:rsidRPr="008A47AB">
        <w:rPr>
          <w:sz w:val="20"/>
          <w:szCs w:val="20"/>
          <w:vertAlign w:val="superscript"/>
        </w:rPr>
        <w:footnoteReference w:id="2"/>
      </w:r>
    </w:p>
    <w:p w:rsidR="00925CF8" w:rsidRPr="008A47AB" w:rsidRDefault="00CA2ADE" w:rsidP="00925CF8">
      <w:pPr>
        <w:autoSpaceDE w:val="0"/>
        <w:autoSpaceDN w:val="0"/>
        <w:adjustRightInd w:val="0"/>
        <w:spacing w:after="0" w:line="240" w:lineRule="auto"/>
        <w:rPr>
          <w:rFonts w:cs="Arial Black"/>
          <w:bCs/>
          <w:sz w:val="20"/>
          <w:szCs w:val="20"/>
        </w:rPr>
      </w:pPr>
      <w:r w:rsidRPr="008A47AB">
        <w:rPr>
          <w:sz w:val="20"/>
          <w:szCs w:val="20"/>
        </w:rPr>
        <w:t xml:space="preserve">The </w:t>
      </w:r>
      <w:r w:rsidR="003D685A" w:rsidRPr="008A47AB">
        <w:rPr>
          <w:sz w:val="20"/>
          <w:szCs w:val="20"/>
        </w:rPr>
        <w:t>House of R</w:t>
      </w:r>
      <w:r w:rsidR="00CF6DA3" w:rsidRPr="008A47AB">
        <w:rPr>
          <w:sz w:val="20"/>
          <w:szCs w:val="20"/>
        </w:rPr>
        <w:t xml:space="preserve">epresentatives </w:t>
      </w:r>
      <w:r w:rsidR="009E4C7C" w:rsidRPr="008A47AB">
        <w:rPr>
          <w:sz w:val="20"/>
          <w:szCs w:val="20"/>
        </w:rPr>
        <w:t>Standing Committee’s i</w:t>
      </w:r>
      <w:r w:rsidR="00CF6DA3" w:rsidRPr="008A47AB">
        <w:rPr>
          <w:sz w:val="20"/>
          <w:szCs w:val="20"/>
        </w:rPr>
        <w:t xml:space="preserve">nquiry into </w:t>
      </w:r>
      <w:r w:rsidR="009E4C7C" w:rsidRPr="008A47AB">
        <w:rPr>
          <w:sz w:val="20"/>
          <w:szCs w:val="20"/>
        </w:rPr>
        <w:t xml:space="preserve">broadcasting, online content and live production to rural and regional Australia </w:t>
      </w:r>
      <w:r w:rsidR="00CF6DA3" w:rsidRPr="008A47AB">
        <w:rPr>
          <w:sz w:val="20"/>
          <w:szCs w:val="20"/>
        </w:rPr>
        <w:t>also achieved bipartisan agreement on the followi</w:t>
      </w:r>
      <w:r w:rsidR="00CF6DA3" w:rsidRPr="008A47AB">
        <w:rPr>
          <w:rFonts w:cs="Arial Black"/>
          <w:bCs/>
          <w:sz w:val="20"/>
          <w:szCs w:val="20"/>
        </w:rPr>
        <w:t>ng:</w:t>
      </w:r>
    </w:p>
    <w:p w:rsidR="00CF6DA3" w:rsidRPr="008A47AB" w:rsidRDefault="00CF6DA3" w:rsidP="00925CF8">
      <w:pPr>
        <w:autoSpaceDE w:val="0"/>
        <w:autoSpaceDN w:val="0"/>
        <w:adjustRightInd w:val="0"/>
        <w:spacing w:after="0" w:line="240" w:lineRule="auto"/>
        <w:rPr>
          <w:rFonts w:cs="Arial Narrow"/>
          <w:bCs/>
          <w:sz w:val="20"/>
          <w:szCs w:val="20"/>
        </w:rPr>
      </w:pPr>
    </w:p>
    <w:p w:rsidR="00902C3A" w:rsidRPr="008A47AB" w:rsidRDefault="00925CF8" w:rsidP="009F5172">
      <w:pPr>
        <w:autoSpaceDE w:val="0"/>
        <w:autoSpaceDN w:val="0"/>
        <w:adjustRightInd w:val="0"/>
        <w:spacing w:after="0" w:line="240" w:lineRule="auto"/>
        <w:rPr>
          <w:rFonts w:cs="BookAntiqua"/>
          <w:sz w:val="20"/>
          <w:szCs w:val="20"/>
        </w:rPr>
      </w:pPr>
      <w:r w:rsidRPr="008A47AB">
        <w:rPr>
          <w:rFonts w:cs="Arial Narrow"/>
          <w:sz w:val="20"/>
          <w:szCs w:val="20"/>
        </w:rPr>
        <w:t>It recommended that the</w:t>
      </w:r>
      <w:r w:rsidRPr="008A47AB">
        <w:rPr>
          <w:sz w:val="20"/>
          <w:szCs w:val="20"/>
        </w:rPr>
        <w:t xml:space="preserve"> </w:t>
      </w:r>
      <w:r w:rsidR="009E4C7C" w:rsidRPr="008A47AB">
        <w:rPr>
          <w:sz w:val="20"/>
          <w:szCs w:val="20"/>
        </w:rPr>
        <w:t xml:space="preserve">Federal </w:t>
      </w:r>
      <w:r w:rsidR="009F5172" w:rsidRPr="008A47AB">
        <w:rPr>
          <w:rFonts w:cs="BookAntiqua"/>
          <w:sz w:val="20"/>
          <w:szCs w:val="20"/>
        </w:rPr>
        <w:t xml:space="preserve">Government, when assessing the effectiveness of its funding, encourage the educative role that performing arts companies play, </w:t>
      </w:r>
      <w:r w:rsidR="00CA2ADE" w:rsidRPr="008A47AB">
        <w:rPr>
          <w:rFonts w:cs="BookAntiqua"/>
          <w:sz w:val="20"/>
          <w:szCs w:val="20"/>
        </w:rPr>
        <w:t>and</w:t>
      </w:r>
      <w:r w:rsidR="009F5172" w:rsidRPr="008A47AB">
        <w:rPr>
          <w:rFonts w:eastAsia="SymbolMT" w:cs="SymbolMT"/>
          <w:sz w:val="20"/>
          <w:szCs w:val="20"/>
        </w:rPr>
        <w:t xml:space="preserve"> </w:t>
      </w:r>
      <w:r w:rsidR="009F5172" w:rsidRPr="008A47AB">
        <w:rPr>
          <w:rFonts w:cs="BookAntiqua"/>
          <w:sz w:val="20"/>
          <w:szCs w:val="20"/>
        </w:rPr>
        <w:t xml:space="preserve">maintain adequate funding for the Australia Council for the </w:t>
      </w:r>
      <w:r w:rsidR="00380ADC" w:rsidRPr="008A47AB">
        <w:rPr>
          <w:rFonts w:cs="BookAntiqua"/>
          <w:sz w:val="20"/>
          <w:szCs w:val="20"/>
        </w:rPr>
        <w:t>Arts</w:t>
      </w:r>
      <w:r w:rsidR="009E4C7C" w:rsidRPr="008A47AB">
        <w:rPr>
          <w:rFonts w:cs="BookAntiqua"/>
          <w:sz w:val="20"/>
          <w:szCs w:val="20"/>
        </w:rPr>
        <w:t>’</w:t>
      </w:r>
      <w:r w:rsidR="00380ADC" w:rsidRPr="008A47AB">
        <w:rPr>
          <w:rFonts w:cs="BookAntiqua"/>
          <w:sz w:val="20"/>
          <w:szCs w:val="20"/>
        </w:rPr>
        <w:t xml:space="preserve"> Playing</w:t>
      </w:r>
      <w:r w:rsidR="002D340C" w:rsidRPr="008A47AB">
        <w:rPr>
          <w:rFonts w:cs="BookAntiqua"/>
          <w:sz w:val="20"/>
          <w:szCs w:val="20"/>
        </w:rPr>
        <w:t xml:space="preserve"> </w:t>
      </w:r>
      <w:r w:rsidR="00380ADC" w:rsidRPr="008A47AB">
        <w:rPr>
          <w:rFonts w:cs="BookAntiqua"/>
          <w:sz w:val="20"/>
          <w:szCs w:val="20"/>
        </w:rPr>
        <w:t>Australia Fund</w:t>
      </w:r>
      <w:r w:rsidR="00CF6DA3" w:rsidRPr="008A47AB">
        <w:rPr>
          <w:rFonts w:cs="BookAntiqua"/>
          <w:sz w:val="20"/>
          <w:szCs w:val="20"/>
        </w:rPr>
        <w:t>.</w:t>
      </w:r>
      <w:r w:rsidR="00380ADC" w:rsidRPr="008A47AB">
        <w:rPr>
          <w:rFonts w:cs="BookAntiqua"/>
          <w:sz w:val="20"/>
          <w:szCs w:val="20"/>
        </w:rPr>
        <w:t xml:space="preserve"> </w:t>
      </w:r>
      <w:r w:rsidR="00CF6DA3" w:rsidRPr="008A47AB">
        <w:rPr>
          <w:rFonts w:cs="BookAntiqua"/>
          <w:sz w:val="20"/>
          <w:szCs w:val="20"/>
        </w:rPr>
        <w:t xml:space="preserve">It also recommended </w:t>
      </w:r>
      <w:r w:rsidR="00902C3A" w:rsidRPr="008A47AB">
        <w:rPr>
          <w:rFonts w:cs="BookAntiqua"/>
          <w:sz w:val="20"/>
          <w:szCs w:val="20"/>
        </w:rPr>
        <w:t xml:space="preserve">that </w:t>
      </w:r>
      <w:r w:rsidR="002D340C" w:rsidRPr="008A47AB">
        <w:rPr>
          <w:rFonts w:cs="BookAntiqua"/>
          <w:sz w:val="20"/>
          <w:szCs w:val="20"/>
        </w:rPr>
        <w:t xml:space="preserve">the </w:t>
      </w:r>
      <w:r w:rsidR="00CF6DA3" w:rsidRPr="008A47AB">
        <w:rPr>
          <w:rFonts w:cs="BookAntiqua"/>
          <w:sz w:val="20"/>
          <w:szCs w:val="20"/>
        </w:rPr>
        <w:t>National</w:t>
      </w:r>
      <w:r w:rsidR="00902C3A" w:rsidRPr="008A47AB">
        <w:rPr>
          <w:rFonts w:cs="BookAntiqua"/>
          <w:sz w:val="20"/>
          <w:szCs w:val="20"/>
        </w:rPr>
        <w:t xml:space="preserve"> Touring Status </w:t>
      </w:r>
      <w:r w:rsidR="00CF6DA3" w:rsidRPr="008A47AB">
        <w:rPr>
          <w:rFonts w:cs="BookAntiqua"/>
          <w:sz w:val="20"/>
          <w:szCs w:val="20"/>
        </w:rPr>
        <w:t xml:space="preserve">(NTS) </w:t>
      </w:r>
      <w:r w:rsidR="003D685A" w:rsidRPr="008A47AB">
        <w:rPr>
          <w:rFonts w:cs="BookAntiqua"/>
          <w:sz w:val="20"/>
          <w:szCs w:val="20"/>
        </w:rPr>
        <w:t>arrangement is</w:t>
      </w:r>
      <w:r w:rsidR="00902C3A" w:rsidRPr="008A47AB">
        <w:rPr>
          <w:rFonts w:cs="BookAntiqua"/>
          <w:sz w:val="20"/>
          <w:szCs w:val="20"/>
        </w:rPr>
        <w:t xml:space="preserve"> retained an</w:t>
      </w:r>
      <w:r w:rsidR="00CF6DA3" w:rsidRPr="008A47AB">
        <w:rPr>
          <w:rFonts w:cs="BookAntiqua"/>
          <w:sz w:val="20"/>
          <w:szCs w:val="20"/>
        </w:rPr>
        <w:t>d</w:t>
      </w:r>
      <w:r w:rsidR="00902C3A" w:rsidRPr="008A47AB">
        <w:rPr>
          <w:rFonts w:cs="BookAntiqua"/>
          <w:sz w:val="20"/>
          <w:szCs w:val="20"/>
        </w:rPr>
        <w:t xml:space="preserve"> extended </w:t>
      </w:r>
      <w:r w:rsidR="00CF6DA3" w:rsidRPr="008A47AB">
        <w:rPr>
          <w:rFonts w:cs="BookAntiqua"/>
          <w:sz w:val="20"/>
          <w:szCs w:val="20"/>
        </w:rPr>
        <w:t>to</w:t>
      </w:r>
      <w:r w:rsidR="003D685A" w:rsidRPr="008A47AB">
        <w:rPr>
          <w:rFonts w:cs="BookAntiqua"/>
          <w:sz w:val="20"/>
          <w:szCs w:val="20"/>
        </w:rPr>
        <w:t xml:space="preserve"> </w:t>
      </w:r>
      <w:r w:rsidR="00902C3A" w:rsidRPr="008A47AB">
        <w:rPr>
          <w:rFonts w:cs="BookAntiqua"/>
          <w:sz w:val="20"/>
          <w:szCs w:val="20"/>
        </w:rPr>
        <w:t>additional perfo</w:t>
      </w:r>
      <w:r w:rsidR="00CF6DA3" w:rsidRPr="008A47AB">
        <w:rPr>
          <w:rFonts w:cs="BookAntiqua"/>
          <w:sz w:val="20"/>
          <w:szCs w:val="20"/>
        </w:rPr>
        <w:t xml:space="preserve">rming </w:t>
      </w:r>
      <w:r w:rsidR="00902C3A" w:rsidRPr="008A47AB">
        <w:rPr>
          <w:rFonts w:cs="BookAntiqua"/>
          <w:sz w:val="20"/>
          <w:szCs w:val="20"/>
        </w:rPr>
        <w:t>arts com</w:t>
      </w:r>
      <w:r w:rsidR="00CF6DA3" w:rsidRPr="008A47AB">
        <w:rPr>
          <w:rFonts w:cs="BookAntiqua"/>
          <w:sz w:val="20"/>
          <w:szCs w:val="20"/>
        </w:rPr>
        <w:t>panies.</w:t>
      </w:r>
    </w:p>
    <w:p w:rsidR="00CF6DA3" w:rsidRPr="008A47AB" w:rsidRDefault="00CF6DA3" w:rsidP="009F5172">
      <w:pPr>
        <w:autoSpaceDE w:val="0"/>
        <w:autoSpaceDN w:val="0"/>
        <w:adjustRightInd w:val="0"/>
        <w:spacing w:after="0" w:line="240" w:lineRule="auto"/>
        <w:rPr>
          <w:rFonts w:cs="BookAntiqua"/>
          <w:sz w:val="20"/>
          <w:szCs w:val="20"/>
        </w:rPr>
      </w:pPr>
    </w:p>
    <w:p w:rsidR="00CF6DA3" w:rsidRPr="008A47AB" w:rsidRDefault="00902C3A" w:rsidP="009F5172">
      <w:pPr>
        <w:autoSpaceDE w:val="0"/>
        <w:autoSpaceDN w:val="0"/>
        <w:adjustRightInd w:val="0"/>
        <w:spacing w:after="0" w:line="240" w:lineRule="auto"/>
        <w:rPr>
          <w:rFonts w:cs="BookAntiqua"/>
          <w:sz w:val="20"/>
          <w:szCs w:val="20"/>
        </w:rPr>
      </w:pPr>
      <w:r w:rsidRPr="008A47AB">
        <w:rPr>
          <w:rFonts w:cs="BookAntiqua"/>
          <w:sz w:val="20"/>
          <w:szCs w:val="20"/>
        </w:rPr>
        <w:t>AMPAG sup</w:t>
      </w:r>
      <w:r w:rsidR="00CF6DA3" w:rsidRPr="008A47AB">
        <w:rPr>
          <w:rFonts w:cs="BookAntiqua"/>
          <w:sz w:val="20"/>
          <w:szCs w:val="20"/>
        </w:rPr>
        <w:t>p</w:t>
      </w:r>
      <w:r w:rsidRPr="008A47AB">
        <w:rPr>
          <w:rFonts w:cs="BookAntiqua"/>
          <w:sz w:val="20"/>
          <w:szCs w:val="20"/>
        </w:rPr>
        <w:t xml:space="preserve">orts </w:t>
      </w:r>
      <w:r w:rsidR="003D685A" w:rsidRPr="008A47AB">
        <w:rPr>
          <w:rFonts w:cs="BookAntiqua"/>
          <w:sz w:val="20"/>
          <w:szCs w:val="20"/>
        </w:rPr>
        <w:t>these recommendations</w:t>
      </w:r>
      <w:r w:rsidR="00887B3C" w:rsidRPr="008A47AB">
        <w:rPr>
          <w:rFonts w:cs="BookAntiqua"/>
          <w:sz w:val="20"/>
          <w:szCs w:val="20"/>
        </w:rPr>
        <w:t xml:space="preserve"> </w:t>
      </w:r>
      <w:r w:rsidR="00CF6DA3" w:rsidRPr="008A47AB">
        <w:rPr>
          <w:rFonts w:cs="BookAntiqua"/>
          <w:sz w:val="20"/>
          <w:szCs w:val="20"/>
        </w:rPr>
        <w:t xml:space="preserve">given </w:t>
      </w:r>
      <w:r w:rsidRPr="008A47AB">
        <w:rPr>
          <w:rFonts w:cs="BookAntiqua"/>
          <w:sz w:val="20"/>
          <w:szCs w:val="20"/>
        </w:rPr>
        <w:t xml:space="preserve">the </w:t>
      </w:r>
      <w:r w:rsidR="00E23BAE" w:rsidRPr="008A47AB">
        <w:rPr>
          <w:rFonts w:cs="BookAntiqua"/>
          <w:sz w:val="20"/>
          <w:szCs w:val="20"/>
        </w:rPr>
        <w:t>high additional cos</w:t>
      </w:r>
      <w:r w:rsidR="00887B3C" w:rsidRPr="008A47AB">
        <w:rPr>
          <w:rFonts w:cs="BookAntiqua"/>
          <w:sz w:val="20"/>
          <w:szCs w:val="20"/>
        </w:rPr>
        <w:t>t</w:t>
      </w:r>
      <w:r w:rsidR="00E23BAE" w:rsidRPr="008A47AB">
        <w:rPr>
          <w:rFonts w:cs="BookAntiqua"/>
          <w:sz w:val="20"/>
          <w:szCs w:val="20"/>
        </w:rPr>
        <w:t xml:space="preserve">s of regional touring and the </w:t>
      </w:r>
      <w:r w:rsidRPr="008A47AB">
        <w:rPr>
          <w:rFonts w:cs="BookAntiqua"/>
          <w:sz w:val="20"/>
          <w:szCs w:val="20"/>
        </w:rPr>
        <w:t xml:space="preserve">positive </w:t>
      </w:r>
      <w:r w:rsidR="00CF6DA3" w:rsidRPr="008A47AB">
        <w:rPr>
          <w:rFonts w:cs="BookAntiqua"/>
          <w:sz w:val="20"/>
          <w:szCs w:val="20"/>
        </w:rPr>
        <w:t>benefits</w:t>
      </w:r>
      <w:r w:rsidR="00717542" w:rsidRPr="008A47AB">
        <w:rPr>
          <w:rFonts w:cs="BookAntiqua"/>
          <w:sz w:val="20"/>
          <w:szCs w:val="20"/>
        </w:rPr>
        <w:t xml:space="preserve"> NTS</w:t>
      </w:r>
      <w:r w:rsidRPr="008A47AB">
        <w:rPr>
          <w:rFonts w:cs="BookAntiqua"/>
          <w:sz w:val="20"/>
          <w:szCs w:val="20"/>
        </w:rPr>
        <w:t xml:space="preserve"> </w:t>
      </w:r>
      <w:r w:rsidR="00CF6DA3" w:rsidRPr="008A47AB">
        <w:rPr>
          <w:rFonts w:cs="BookAntiqua"/>
          <w:sz w:val="20"/>
          <w:szCs w:val="20"/>
        </w:rPr>
        <w:t>delivers</w:t>
      </w:r>
      <w:r w:rsidR="00C60484" w:rsidRPr="008A47AB">
        <w:rPr>
          <w:rFonts w:cs="BookAntiqua"/>
          <w:sz w:val="20"/>
          <w:szCs w:val="20"/>
        </w:rPr>
        <w:t xml:space="preserve">. </w:t>
      </w:r>
      <w:r w:rsidR="00B62482" w:rsidRPr="008A47AB">
        <w:rPr>
          <w:rFonts w:cs="BookAntiqua"/>
          <w:sz w:val="20"/>
          <w:szCs w:val="20"/>
        </w:rPr>
        <w:t>To date it</w:t>
      </w:r>
      <w:r w:rsidR="00CF6DA3" w:rsidRPr="008A47AB">
        <w:rPr>
          <w:rFonts w:cs="BookAntiqua"/>
          <w:sz w:val="20"/>
          <w:szCs w:val="20"/>
        </w:rPr>
        <w:t xml:space="preserve"> </w:t>
      </w:r>
      <w:r w:rsidR="00B62482" w:rsidRPr="008A47AB">
        <w:rPr>
          <w:rFonts w:cs="BookAntiqua"/>
          <w:sz w:val="20"/>
          <w:szCs w:val="20"/>
        </w:rPr>
        <w:t xml:space="preserve">has </w:t>
      </w:r>
      <w:r w:rsidR="00CF6DA3" w:rsidRPr="008A47AB">
        <w:rPr>
          <w:rFonts w:cs="BookAntiqua"/>
          <w:sz w:val="20"/>
          <w:szCs w:val="20"/>
        </w:rPr>
        <w:t>provide</w:t>
      </w:r>
      <w:r w:rsidR="00B62482" w:rsidRPr="008A47AB">
        <w:rPr>
          <w:rFonts w:cs="BookAntiqua"/>
          <w:sz w:val="20"/>
          <w:szCs w:val="20"/>
        </w:rPr>
        <w:t>d</w:t>
      </w:r>
      <w:r w:rsidR="00CF6DA3" w:rsidRPr="008A47AB">
        <w:rPr>
          <w:rFonts w:cs="BookAntiqua"/>
          <w:sz w:val="20"/>
          <w:szCs w:val="20"/>
        </w:rPr>
        <w:t xml:space="preserve"> </w:t>
      </w:r>
      <w:r w:rsidR="00B62482" w:rsidRPr="008A47AB">
        <w:rPr>
          <w:rFonts w:cs="BookAntiqua"/>
          <w:sz w:val="20"/>
          <w:szCs w:val="20"/>
        </w:rPr>
        <w:t xml:space="preserve">three </w:t>
      </w:r>
      <w:r w:rsidR="00CF6DA3" w:rsidRPr="008A47AB">
        <w:rPr>
          <w:rFonts w:cs="BookAntiqua"/>
          <w:sz w:val="20"/>
          <w:szCs w:val="20"/>
        </w:rPr>
        <w:t>year</w:t>
      </w:r>
      <w:r w:rsidRPr="008A47AB">
        <w:rPr>
          <w:rFonts w:cs="BookAntiqua"/>
          <w:sz w:val="20"/>
          <w:szCs w:val="20"/>
        </w:rPr>
        <w:t xml:space="preserve"> </w:t>
      </w:r>
      <w:r w:rsidR="00CF6DA3" w:rsidRPr="008A47AB">
        <w:rPr>
          <w:rFonts w:cs="BookAntiqua"/>
          <w:sz w:val="20"/>
          <w:szCs w:val="20"/>
        </w:rPr>
        <w:t>funding</w:t>
      </w:r>
      <w:r w:rsidRPr="008A47AB">
        <w:rPr>
          <w:rFonts w:cs="BookAntiqua"/>
          <w:sz w:val="20"/>
          <w:szCs w:val="20"/>
        </w:rPr>
        <w:t xml:space="preserve"> </w:t>
      </w:r>
      <w:r w:rsidR="00CF6DA3" w:rsidRPr="008A47AB">
        <w:rPr>
          <w:rFonts w:cs="BookAntiqua"/>
          <w:sz w:val="20"/>
          <w:szCs w:val="20"/>
        </w:rPr>
        <w:t>certain</w:t>
      </w:r>
      <w:r w:rsidR="00C60484" w:rsidRPr="008A47AB">
        <w:rPr>
          <w:rFonts w:cs="BookAntiqua"/>
          <w:sz w:val="20"/>
          <w:szCs w:val="20"/>
        </w:rPr>
        <w:t>ty</w:t>
      </w:r>
      <w:r w:rsidR="00B62482" w:rsidRPr="008A47AB">
        <w:rPr>
          <w:rFonts w:cs="BookAntiqua"/>
          <w:sz w:val="20"/>
          <w:szCs w:val="20"/>
        </w:rPr>
        <w:t xml:space="preserve"> </w:t>
      </w:r>
      <w:r w:rsidR="00EF6C98" w:rsidRPr="008A47AB">
        <w:rPr>
          <w:rFonts w:cs="BookAntiqua"/>
          <w:sz w:val="20"/>
          <w:szCs w:val="20"/>
        </w:rPr>
        <w:t>(2015-2017) to</w:t>
      </w:r>
      <w:r w:rsidR="00B62482" w:rsidRPr="008A47AB">
        <w:rPr>
          <w:rFonts w:cs="BookAntiqua"/>
          <w:sz w:val="20"/>
          <w:szCs w:val="20"/>
        </w:rPr>
        <w:t xml:space="preserve"> four performing arts companies</w:t>
      </w:r>
      <w:r w:rsidR="00EF6C98" w:rsidRPr="008A47AB">
        <w:rPr>
          <w:rFonts w:cs="BookAntiqua"/>
          <w:sz w:val="20"/>
          <w:szCs w:val="20"/>
        </w:rPr>
        <w:t xml:space="preserve"> being; Bell Shakespeare, Sydney  Dance Company Brink Productions and Circa. This has </w:t>
      </w:r>
      <w:r w:rsidR="00CF6DA3" w:rsidRPr="008A47AB">
        <w:rPr>
          <w:rFonts w:cs="BookAntiqua"/>
          <w:sz w:val="20"/>
          <w:szCs w:val="20"/>
        </w:rPr>
        <w:t>enable</w:t>
      </w:r>
      <w:r w:rsidR="00EF6C98" w:rsidRPr="008A47AB">
        <w:rPr>
          <w:rFonts w:cs="BookAntiqua"/>
          <w:sz w:val="20"/>
          <w:szCs w:val="20"/>
        </w:rPr>
        <w:t>d</w:t>
      </w:r>
      <w:r w:rsidRPr="008A47AB">
        <w:rPr>
          <w:rFonts w:cs="BookAntiqua"/>
          <w:sz w:val="20"/>
          <w:szCs w:val="20"/>
        </w:rPr>
        <w:t xml:space="preserve"> greater capacity to leverage other su</w:t>
      </w:r>
      <w:r w:rsidR="00CF6DA3" w:rsidRPr="008A47AB">
        <w:rPr>
          <w:rFonts w:cs="BookAntiqua"/>
          <w:sz w:val="20"/>
          <w:szCs w:val="20"/>
        </w:rPr>
        <w:t>p</w:t>
      </w:r>
      <w:r w:rsidRPr="008A47AB">
        <w:rPr>
          <w:rFonts w:cs="BookAntiqua"/>
          <w:sz w:val="20"/>
          <w:szCs w:val="20"/>
        </w:rPr>
        <w:t xml:space="preserve">port </w:t>
      </w:r>
      <w:r w:rsidR="00CF6DA3" w:rsidRPr="008A47AB">
        <w:rPr>
          <w:rFonts w:cs="BookAntiqua"/>
          <w:sz w:val="20"/>
          <w:szCs w:val="20"/>
        </w:rPr>
        <w:t>and</w:t>
      </w:r>
      <w:r w:rsidRPr="008A47AB">
        <w:rPr>
          <w:rFonts w:cs="BookAntiqua"/>
          <w:sz w:val="20"/>
          <w:szCs w:val="20"/>
        </w:rPr>
        <w:t xml:space="preserve"> to coordinate </w:t>
      </w:r>
      <w:r w:rsidR="00CF6DA3" w:rsidRPr="008A47AB">
        <w:rPr>
          <w:rFonts w:cs="BookAntiqua"/>
          <w:sz w:val="20"/>
          <w:szCs w:val="20"/>
        </w:rPr>
        <w:t>and</w:t>
      </w:r>
      <w:r w:rsidRPr="008A47AB">
        <w:rPr>
          <w:rFonts w:cs="BookAntiqua"/>
          <w:sz w:val="20"/>
          <w:szCs w:val="20"/>
        </w:rPr>
        <w:t xml:space="preserve"> build </w:t>
      </w:r>
      <w:r w:rsidR="00CF6DA3" w:rsidRPr="008A47AB">
        <w:rPr>
          <w:rFonts w:cs="BookAntiqua"/>
          <w:sz w:val="20"/>
          <w:szCs w:val="20"/>
        </w:rPr>
        <w:t>audiences</w:t>
      </w:r>
      <w:r w:rsidR="00C60484" w:rsidRPr="008A47AB">
        <w:rPr>
          <w:rFonts w:cs="BookAntiqua"/>
          <w:sz w:val="20"/>
          <w:szCs w:val="20"/>
        </w:rPr>
        <w:t xml:space="preserve">.  </w:t>
      </w:r>
    </w:p>
    <w:p w:rsidR="00C60484" w:rsidRPr="008A47AB" w:rsidRDefault="00C60484" w:rsidP="009F5172">
      <w:pPr>
        <w:autoSpaceDE w:val="0"/>
        <w:autoSpaceDN w:val="0"/>
        <w:adjustRightInd w:val="0"/>
        <w:spacing w:after="0" w:line="240" w:lineRule="auto"/>
        <w:rPr>
          <w:rFonts w:cs="BookAntiqua"/>
          <w:sz w:val="24"/>
          <w:szCs w:val="24"/>
        </w:rPr>
      </w:pPr>
    </w:p>
    <w:p w:rsidR="00717542" w:rsidRPr="008A47AB" w:rsidRDefault="00902C3A" w:rsidP="009F5172">
      <w:pPr>
        <w:autoSpaceDE w:val="0"/>
        <w:autoSpaceDN w:val="0"/>
        <w:adjustRightInd w:val="0"/>
        <w:spacing w:after="0" w:line="240" w:lineRule="auto"/>
        <w:rPr>
          <w:rFonts w:cs="BookAntiqua"/>
          <w:sz w:val="20"/>
          <w:szCs w:val="20"/>
        </w:rPr>
      </w:pPr>
      <w:r w:rsidRPr="008A47AB">
        <w:rPr>
          <w:rFonts w:cs="BookAntiqua"/>
          <w:sz w:val="20"/>
          <w:szCs w:val="20"/>
        </w:rPr>
        <w:t xml:space="preserve">The </w:t>
      </w:r>
      <w:r w:rsidR="00CF6DA3" w:rsidRPr="008A47AB">
        <w:rPr>
          <w:rFonts w:cs="BookAntiqua"/>
          <w:sz w:val="20"/>
          <w:szCs w:val="20"/>
        </w:rPr>
        <w:t>Playing Australia</w:t>
      </w:r>
      <w:r w:rsidRPr="008A47AB">
        <w:rPr>
          <w:rFonts w:cs="BookAntiqua"/>
          <w:sz w:val="20"/>
          <w:szCs w:val="20"/>
        </w:rPr>
        <w:t xml:space="preserve"> Fund is administered by the </w:t>
      </w:r>
      <w:r w:rsidR="00CF6DA3" w:rsidRPr="008A47AB">
        <w:rPr>
          <w:rFonts w:cs="BookAntiqua"/>
          <w:sz w:val="20"/>
          <w:szCs w:val="20"/>
        </w:rPr>
        <w:t>Austr</w:t>
      </w:r>
      <w:r w:rsidRPr="008A47AB">
        <w:rPr>
          <w:rFonts w:cs="BookAntiqua"/>
          <w:sz w:val="20"/>
          <w:szCs w:val="20"/>
        </w:rPr>
        <w:t>a</w:t>
      </w:r>
      <w:r w:rsidR="00CF6DA3" w:rsidRPr="008A47AB">
        <w:rPr>
          <w:rFonts w:cs="BookAntiqua"/>
          <w:sz w:val="20"/>
          <w:szCs w:val="20"/>
        </w:rPr>
        <w:t>lia</w:t>
      </w:r>
      <w:r w:rsidRPr="008A47AB">
        <w:rPr>
          <w:rFonts w:cs="BookAntiqua"/>
          <w:sz w:val="20"/>
          <w:szCs w:val="20"/>
        </w:rPr>
        <w:t xml:space="preserve"> Council </w:t>
      </w:r>
      <w:r w:rsidR="00CF6DA3" w:rsidRPr="008A47AB">
        <w:rPr>
          <w:rFonts w:cs="BookAntiqua"/>
          <w:sz w:val="20"/>
          <w:szCs w:val="20"/>
        </w:rPr>
        <w:t xml:space="preserve">with part of the </w:t>
      </w:r>
      <w:r w:rsidR="00717542" w:rsidRPr="008A47AB">
        <w:rPr>
          <w:rFonts w:cs="BookAntiqua"/>
          <w:sz w:val="20"/>
          <w:szCs w:val="20"/>
        </w:rPr>
        <w:t>fund</w:t>
      </w:r>
      <w:r w:rsidR="00CF6DA3" w:rsidRPr="008A47AB">
        <w:rPr>
          <w:rFonts w:cs="BookAntiqua"/>
          <w:sz w:val="20"/>
          <w:szCs w:val="20"/>
        </w:rPr>
        <w:t xml:space="preserve"> quarantined for </w:t>
      </w:r>
      <w:r w:rsidR="00717542" w:rsidRPr="008A47AB">
        <w:rPr>
          <w:rFonts w:cs="BookAntiqua"/>
          <w:sz w:val="20"/>
          <w:szCs w:val="20"/>
        </w:rPr>
        <w:t xml:space="preserve">the </w:t>
      </w:r>
      <w:r w:rsidR="00CF6DA3" w:rsidRPr="008A47AB">
        <w:rPr>
          <w:rFonts w:cs="BookAntiqua"/>
          <w:sz w:val="20"/>
          <w:szCs w:val="20"/>
        </w:rPr>
        <w:t xml:space="preserve">NTS program. </w:t>
      </w:r>
      <w:r w:rsidR="00717542" w:rsidRPr="008A47AB">
        <w:rPr>
          <w:rFonts w:cs="BookAntiqua"/>
          <w:sz w:val="20"/>
          <w:szCs w:val="20"/>
        </w:rPr>
        <w:t>While</w:t>
      </w:r>
      <w:r w:rsidR="00CF6DA3" w:rsidRPr="008A47AB">
        <w:rPr>
          <w:rFonts w:cs="BookAntiqua"/>
          <w:sz w:val="20"/>
          <w:szCs w:val="20"/>
        </w:rPr>
        <w:t xml:space="preserve"> we </w:t>
      </w:r>
      <w:r w:rsidR="00717542" w:rsidRPr="008A47AB">
        <w:rPr>
          <w:rFonts w:cs="BookAntiqua"/>
          <w:sz w:val="20"/>
          <w:szCs w:val="20"/>
        </w:rPr>
        <w:t>support</w:t>
      </w:r>
      <w:r w:rsidR="00CF6DA3" w:rsidRPr="008A47AB">
        <w:rPr>
          <w:rFonts w:cs="BookAntiqua"/>
          <w:sz w:val="20"/>
          <w:szCs w:val="20"/>
        </w:rPr>
        <w:t xml:space="preserve"> </w:t>
      </w:r>
      <w:r w:rsidR="00717542" w:rsidRPr="008A47AB">
        <w:rPr>
          <w:rFonts w:cs="BookAntiqua"/>
          <w:sz w:val="20"/>
          <w:szCs w:val="20"/>
        </w:rPr>
        <w:t xml:space="preserve">the notion of extending </w:t>
      </w:r>
      <w:r w:rsidR="00CF6DA3" w:rsidRPr="008A47AB">
        <w:rPr>
          <w:rFonts w:cs="BookAntiqua"/>
          <w:sz w:val="20"/>
          <w:szCs w:val="20"/>
        </w:rPr>
        <w:t xml:space="preserve">NTS to </w:t>
      </w:r>
      <w:r w:rsidR="00717542" w:rsidRPr="008A47AB">
        <w:rPr>
          <w:rFonts w:cs="BookAntiqua"/>
          <w:sz w:val="20"/>
          <w:szCs w:val="20"/>
        </w:rPr>
        <w:t>more</w:t>
      </w:r>
      <w:r w:rsidR="00C60484" w:rsidRPr="008A47AB">
        <w:rPr>
          <w:rFonts w:cs="BookAntiqua"/>
          <w:sz w:val="20"/>
          <w:szCs w:val="20"/>
        </w:rPr>
        <w:t xml:space="preserve"> </w:t>
      </w:r>
      <w:r w:rsidR="00CF6DA3" w:rsidRPr="008A47AB">
        <w:rPr>
          <w:rFonts w:cs="BookAntiqua"/>
          <w:sz w:val="20"/>
          <w:szCs w:val="20"/>
        </w:rPr>
        <w:t>companies we re</w:t>
      </w:r>
      <w:r w:rsidR="00717542" w:rsidRPr="008A47AB">
        <w:rPr>
          <w:rFonts w:cs="BookAntiqua"/>
          <w:sz w:val="20"/>
          <w:szCs w:val="20"/>
        </w:rPr>
        <w:t>co</w:t>
      </w:r>
      <w:r w:rsidR="00CF6DA3" w:rsidRPr="008A47AB">
        <w:rPr>
          <w:rFonts w:cs="BookAntiqua"/>
          <w:sz w:val="20"/>
          <w:szCs w:val="20"/>
        </w:rPr>
        <w:t xml:space="preserve">gnise this </w:t>
      </w:r>
      <w:r w:rsidR="00717542" w:rsidRPr="008A47AB">
        <w:rPr>
          <w:rFonts w:cs="BookAntiqua"/>
          <w:sz w:val="20"/>
          <w:szCs w:val="20"/>
        </w:rPr>
        <w:t>cannot</w:t>
      </w:r>
      <w:r w:rsidR="00CF6DA3" w:rsidRPr="008A47AB">
        <w:rPr>
          <w:rFonts w:cs="BookAntiqua"/>
          <w:sz w:val="20"/>
          <w:szCs w:val="20"/>
        </w:rPr>
        <w:t xml:space="preserve"> be </w:t>
      </w:r>
      <w:r w:rsidR="00717542" w:rsidRPr="008A47AB">
        <w:rPr>
          <w:rFonts w:cs="BookAntiqua"/>
          <w:sz w:val="20"/>
          <w:szCs w:val="20"/>
        </w:rPr>
        <w:t>respons</w:t>
      </w:r>
      <w:r w:rsidR="00A81F17" w:rsidRPr="008A47AB">
        <w:rPr>
          <w:rFonts w:cs="BookAntiqua"/>
          <w:sz w:val="20"/>
          <w:szCs w:val="20"/>
        </w:rPr>
        <w:t>ibly</w:t>
      </w:r>
      <w:r w:rsidR="00717542" w:rsidRPr="008A47AB">
        <w:rPr>
          <w:rFonts w:cs="BookAntiqua"/>
          <w:sz w:val="20"/>
          <w:szCs w:val="20"/>
        </w:rPr>
        <w:t xml:space="preserve"> done without lifting the overall </w:t>
      </w:r>
      <w:r w:rsidR="00E23BAE" w:rsidRPr="008A47AB">
        <w:rPr>
          <w:rFonts w:cs="BookAntiqua"/>
          <w:sz w:val="20"/>
          <w:szCs w:val="20"/>
        </w:rPr>
        <w:t xml:space="preserve">level of </w:t>
      </w:r>
      <w:r w:rsidR="00717542" w:rsidRPr="008A47AB">
        <w:rPr>
          <w:rFonts w:cs="BookAntiqua"/>
          <w:sz w:val="20"/>
          <w:szCs w:val="20"/>
        </w:rPr>
        <w:t xml:space="preserve">funding </w:t>
      </w:r>
      <w:r w:rsidR="002D340C" w:rsidRPr="008A47AB">
        <w:rPr>
          <w:rFonts w:cs="BookAntiqua"/>
          <w:sz w:val="20"/>
          <w:szCs w:val="20"/>
        </w:rPr>
        <w:t xml:space="preserve">of </w:t>
      </w:r>
      <w:r w:rsidR="00717542" w:rsidRPr="008A47AB">
        <w:rPr>
          <w:rFonts w:cs="BookAntiqua"/>
          <w:sz w:val="20"/>
          <w:szCs w:val="20"/>
        </w:rPr>
        <w:t>the Playing Australia</w:t>
      </w:r>
      <w:r w:rsidR="002D340C" w:rsidRPr="008A47AB">
        <w:rPr>
          <w:rFonts w:cs="BookAntiqua"/>
          <w:sz w:val="20"/>
          <w:szCs w:val="20"/>
        </w:rPr>
        <w:t xml:space="preserve"> Fund</w:t>
      </w:r>
      <w:r w:rsidR="009E4C7C" w:rsidRPr="008A47AB">
        <w:rPr>
          <w:rFonts w:cs="BookAntiqua"/>
          <w:sz w:val="20"/>
          <w:szCs w:val="20"/>
        </w:rPr>
        <w:t>.</w:t>
      </w:r>
    </w:p>
    <w:p w:rsidR="00A81F17" w:rsidRPr="008A47AB" w:rsidRDefault="00A81F17" w:rsidP="009F5172">
      <w:pPr>
        <w:autoSpaceDE w:val="0"/>
        <w:autoSpaceDN w:val="0"/>
        <w:adjustRightInd w:val="0"/>
        <w:spacing w:after="0" w:line="240" w:lineRule="auto"/>
        <w:rPr>
          <w:rFonts w:cs="BookAntiqua"/>
          <w:sz w:val="24"/>
          <w:szCs w:val="24"/>
        </w:rPr>
      </w:pPr>
    </w:p>
    <w:p w:rsidR="00A81F17" w:rsidRPr="008A47AB" w:rsidRDefault="00717542" w:rsidP="009F5172">
      <w:pPr>
        <w:autoSpaceDE w:val="0"/>
        <w:autoSpaceDN w:val="0"/>
        <w:adjustRightInd w:val="0"/>
        <w:spacing w:after="0" w:line="240" w:lineRule="auto"/>
        <w:rPr>
          <w:rFonts w:cs="BookAntiqua"/>
          <w:sz w:val="20"/>
          <w:szCs w:val="20"/>
        </w:rPr>
      </w:pPr>
      <w:r w:rsidRPr="008A47AB">
        <w:rPr>
          <w:rFonts w:cs="BookAntiqua"/>
          <w:sz w:val="20"/>
          <w:szCs w:val="20"/>
        </w:rPr>
        <w:t>Despite</w:t>
      </w:r>
      <w:r w:rsidR="00902C3A" w:rsidRPr="008A47AB">
        <w:rPr>
          <w:rFonts w:cs="BookAntiqua"/>
          <w:sz w:val="20"/>
          <w:szCs w:val="20"/>
        </w:rPr>
        <w:t xml:space="preserve"> the value add </w:t>
      </w:r>
      <w:r w:rsidR="00E23BAE" w:rsidRPr="008A47AB">
        <w:rPr>
          <w:rFonts w:cs="BookAntiqua"/>
          <w:sz w:val="20"/>
          <w:szCs w:val="20"/>
        </w:rPr>
        <w:t xml:space="preserve">generated through the NTS </w:t>
      </w:r>
      <w:r w:rsidR="00380ADC" w:rsidRPr="008A47AB">
        <w:rPr>
          <w:rFonts w:cs="BookAntiqua"/>
          <w:sz w:val="20"/>
          <w:szCs w:val="20"/>
        </w:rPr>
        <w:t>approach</w:t>
      </w:r>
      <w:r w:rsidR="00CF6DA3" w:rsidRPr="008A47AB">
        <w:rPr>
          <w:rFonts w:cs="BookAntiqua"/>
          <w:sz w:val="20"/>
          <w:szCs w:val="20"/>
        </w:rPr>
        <w:t>,</w:t>
      </w:r>
      <w:r w:rsidRPr="008A47AB">
        <w:rPr>
          <w:rFonts w:cs="BookAntiqua"/>
          <w:sz w:val="20"/>
          <w:szCs w:val="20"/>
        </w:rPr>
        <w:t xml:space="preserve"> quarantining</w:t>
      </w:r>
      <w:r w:rsidR="00CF6DA3" w:rsidRPr="008A47AB">
        <w:rPr>
          <w:rFonts w:cs="BookAntiqua"/>
          <w:sz w:val="20"/>
          <w:szCs w:val="20"/>
        </w:rPr>
        <w:t xml:space="preserve"> </w:t>
      </w:r>
      <w:r w:rsidR="00A81F17" w:rsidRPr="008A47AB">
        <w:rPr>
          <w:rFonts w:cs="BookAntiqua"/>
          <w:sz w:val="20"/>
          <w:szCs w:val="20"/>
        </w:rPr>
        <w:t xml:space="preserve">an </w:t>
      </w:r>
      <w:r w:rsidR="00CF6DA3" w:rsidRPr="008A47AB">
        <w:rPr>
          <w:rFonts w:cs="BookAntiqua"/>
          <w:sz w:val="20"/>
          <w:szCs w:val="20"/>
        </w:rPr>
        <w:t>additional proportion of the Playing Australia</w:t>
      </w:r>
      <w:r w:rsidR="002D340C" w:rsidRPr="008A47AB">
        <w:rPr>
          <w:rFonts w:cs="BookAntiqua"/>
          <w:sz w:val="20"/>
          <w:szCs w:val="20"/>
        </w:rPr>
        <w:t xml:space="preserve"> Fund</w:t>
      </w:r>
      <w:r w:rsidR="00CF6DA3" w:rsidRPr="008A47AB">
        <w:rPr>
          <w:rFonts w:cs="BookAntiqua"/>
          <w:sz w:val="20"/>
          <w:szCs w:val="20"/>
        </w:rPr>
        <w:t xml:space="preserve"> </w:t>
      </w:r>
      <w:r w:rsidR="00A81F17" w:rsidRPr="008A47AB">
        <w:rPr>
          <w:rFonts w:cs="BookAntiqua"/>
          <w:sz w:val="20"/>
          <w:szCs w:val="20"/>
        </w:rPr>
        <w:t>w</w:t>
      </w:r>
      <w:r w:rsidR="00C60484" w:rsidRPr="008A47AB">
        <w:rPr>
          <w:rFonts w:cs="BookAntiqua"/>
          <w:sz w:val="20"/>
          <w:szCs w:val="20"/>
        </w:rPr>
        <w:t>ould</w:t>
      </w:r>
      <w:r w:rsidR="00A81F17" w:rsidRPr="008A47AB">
        <w:rPr>
          <w:rFonts w:cs="BookAntiqua"/>
          <w:sz w:val="20"/>
          <w:szCs w:val="20"/>
        </w:rPr>
        <w:t xml:space="preserve"> reduce </w:t>
      </w:r>
      <w:r w:rsidR="002D340C" w:rsidRPr="008A47AB">
        <w:rPr>
          <w:rFonts w:cs="BookAntiqua"/>
          <w:sz w:val="20"/>
          <w:szCs w:val="20"/>
        </w:rPr>
        <w:t>its</w:t>
      </w:r>
      <w:r w:rsidR="00A81F17" w:rsidRPr="008A47AB">
        <w:rPr>
          <w:rFonts w:cs="BookAntiqua"/>
          <w:sz w:val="20"/>
          <w:szCs w:val="20"/>
        </w:rPr>
        <w:t xml:space="preserve"> cap</w:t>
      </w:r>
      <w:r w:rsidR="00C60484" w:rsidRPr="008A47AB">
        <w:rPr>
          <w:rFonts w:cs="BookAntiqua"/>
          <w:sz w:val="20"/>
          <w:szCs w:val="20"/>
        </w:rPr>
        <w:t>ac</w:t>
      </w:r>
      <w:r w:rsidR="00A81F17" w:rsidRPr="008A47AB">
        <w:rPr>
          <w:rFonts w:cs="BookAntiqua"/>
          <w:sz w:val="20"/>
          <w:szCs w:val="20"/>
        </w:rPr>
        <w:t xml:space="preserve">ity to </w:t>
      </w:r>
      <w:r w:rsidR="003E50B9" w:rsidRPr="008A47AB">
        <w:rPr>
          <w:rFonts w:cs="BookAntiqua"/>
          <w:sz w:val="20"/>
          <w:szCs w:val="20"/>
        </w:rPr>
        <w:t>provid</w:t>
      </w:r>
      <w:r w:rsidR="002D340C" w:rsidRPr="008A47AB">
        <w:rPr>
          <w:rFonts w:cs="BookAntiqua"/>
          <w:sz w:val="20"/>
          <w:szCs w:val="20"/>
        </w:rPr>
        <w:t>e</w:t>
      </w:r>
      <w:r w:rsidR="00380ADC" w:rsidRPr="008A47AB">
        <w:rPr>
          <w:rFonts w:cs="BookAntiqua"/>
          <w:sz w:val="20"/>
          <w:szCs w:val="20"/>
        </w:rPr>
        <w:t xml:space="preserve"> regional</w:t>
      </w:r>
      <w:r w:rsidR="003E50B9" w:rsidRPr="008A47AB">
        <w:rPr>
          <w:rFonts w:cs="BookAntiqua"/>
          <w:sz w:val="20"/>
          <w:szCs w:val="20"/>
        </w:rPr>
        <w:t xml:space="preserve"> </w:t>
      </w:r>
      <w:r w:rsidR="00E23BAE" w:rsidRPr="008A47AB">
        <w:rPr>
          <w:rFonts w:cs="BookAntiqua"/>
          <w:sz w:val="20"/>
          <w:szCs w:val="20"/>
        </w:rPr>
        <w:t xml:space="preserve">tour </w:t>
      </w:r>
      <w:r w:rsidR="009C7F86" w:rsidRPr="008A47AB">
        <w:rPr>
          <w:rFonts w:cs="BookAntiqua"/>
          <w:sz w:val="20"/>
          <w:szCs w:val="20"/>
        </w:rPr>
        <w:t>support to</w:t>
      </w:r>
      <w:r w:rsidR="003E50B9" w:rsidRPr="008A47AB">
        <w:rPr>
          <w:rFonts w:cs="BookAntiqua"/>
          <w:sz w:val="20"/>
          <w:szCs w:val="20"/>
        </w:rPr>
        <w:t xml:space="preserve"> current </w:t>
      </w:r>
      <w:r w:rsidR="00E23BAE" w:rsidRPr="008A47AB">
        <w:rPr>
          <w:rFonts w:cs="BookAntiqua"/>
          <w:sz w:val="20"/>
          <w:szCs w:val="20"/>
        </w:rPr>
        <w:t>one</w:t>
      </w:r>
      <w:r w:rsidR="009E4C7C" w:rsidRPr="008A47AB">
        <w:rPr>
          <w:rFonts w:cs="BookAntiqua"/>
          <w:sz w:val="20"/>
          <w:szCs w:val="20"/>
        </w:rPr>
        <w:t>-</w:t>
      </w:r>
      <w:r w:rsidR="00E23BAE" w:rsidRPr="008A47AB">
        <w:rPr>
          <w:rFonts w:cs="BookAntiqua"/>
          <w:sz w:val="20"/>
          <w:szCs w:val="20"/>
        </w:rPr>
        <w:t xml:space="preserve">off </w:t>
      </w:r>
      <w:r w:rsidR="003E50B9" w:rsidRPr="008A47AB">
        <w:rPr>
          <w:rFonts w:cs="BookAntiqua"/>
          <w:sz w:val="20"/>
          <w:szCs w:val="20"/>
        </w:rPr>
        <w:t xml:space="preserve">works </w:t>
      </w:r>
      <w:r w:rsidR="00887B3C" w:rsidRPr="008A47AB">
        <w:rPr>
          <w:rFonts w:cs="BookAntiqua"/>
          <w:sz w:val="20"/>
          <w:szCs w:val="20"/>
        </w:rPr>
        <w:t xml:space="preserve">and </w:t>
      </w:r>
      <w:r w:rsidR="00E23BAE" w:rsidRPr="008A47AB">
        <w:rPr>
          <w:rFonts w:cs="BookAntiqua"/>
          <w:sz w:val="20"/>
          <w:szCs w:val="20"/>
        </w:rPr>
        <w:t xml:space="preserve">to facilitate </w:t>
      </w:r>
      <w:r w:rsidR="002D340C" w:rsidRPr="008A47AB">
        <w:rPr>
          <w:rFonts w:cs="BookAntiqua"/>
          <w:sz w:val="20"/>
          <w:szCs w:val="20"/>
        </w:rPr>
        <w:t xml:space="preserve">a </w:t>
      </w:r>
      <w:r w:rsidR="00A81F17" w:rsidRPr="008A47AB">
        <w:rPr>
          <w:rFonts w:cs="BookAntiqua"/>
          <w:sz w:val="20"/>
          <w:szCs w:val="20"/>
        </w:rPr>
        <w:t xml:space="preserve">diverse range of live performance programming </w:t>
      </w:r>
      <w:r w:rsidR="002D340C" w:rsidRPr="008A47AB">
        <w:rPr>
          <w:rFonts w:cs="BookAntiqua"/>
          <w:sz w:val="20"/>
          <w:szCs w:val="20"/>
        </w:rPr>
        <w:t>in regional</w:t>
      </w:r>
      <w:r w:rsidR="00A81F17" w:rsidRPr="008A47AB">
        <w:rPr>
          <w:rFonts w:cs="BookAntiqua"/>
          <w:sz w:val="20"/>
          <w:szCs w:val="20"/>
        </w:rPr>
        <w:t xml:space="preserve"> communities. </w:t>
      </w:r>
      <w:r w:rsidR="00902C3A" w:rsidRPr="008A47AB">
        <w:rPr>
          <w:rFonts w:cs="BookAntiqua"/>
          <w:sz w:val="20"/>
          <w:szCs w:val="20"/>
        </w:rPr>
        <w:t xml:space="preserve"> </w:t>
      </w:r>
    </w:p>
    <w:p w:rsidR="00C60484" w:rsidRPr="008A47AB" w:rsidRDefault="00C60484" w:rsidP="009F5172">
      <w:pPr>
        <w:autoSpaceDE w:val="0"/>
        <w:autoSpaceDN w:val="0"/>
        <w:adjustRightInd w:val="0"/>
        <w:spacing w:after="0" w:line="240" w:lineRule="auto"/>
        <w:rPr>
          <w:rFonts w:cs="BookAntiqua"/>
          <w:sz w:val="24"/>
          <w:szCs w:val="24"/>
        </w:rPr>
      </w:pPr>
    </w:p>
    <w:p w:rsidR="003E50B9" w:rsidRPr="008A47AB" w:rsidRDefault="00C60484" w:rsidP="003E50B9">
      <w:pPr>
        <w:autoSpaceDE w:val="0"/>
        <w:autoSpaceDN w:val="0"/>
        <w:adjustRightInd w:val="0"/>
        <w:spacing w:after="0" w:line="240" w:lineRule="auto"/>
        <w:rPr>
          <w:sz w:val="20"/>
          <w:szCs w:val="20"/>
        </w:rPr>
      </w:pPr>
      <w:r w:rsidRPr="008A47AB">
        <w:rPr>
          <w:rFonts w:cs="BookAntiqua"/>
          <w:sz w:val="20"/>
          <w:szCs w:val="20"/>
        </w:rPr>
        <w:t>The</w:t>
      </w:r>
      <w:r w:rsidR="00717542" w:rsidRPr="008A47AB">
        <w:rPr>
          <w:rFonts w:cs="BookAntiqua"/>
          <w:sz w:val="20"/>
          <w:szCs w:val="20"/>
        </w:rPr>
        <w:t xml:space="preserve"> </w:t>
      </w:r>
      <w:r w:rsidR="00A81F17" w:rsidRPr="008A47AB">
        <w:rPr>
          <w:rFonts w:cs="BookAntiqua"/>
          <w:sz w:val="20"/>
          <w:szCs w:val="20"/>
        </w:rPr>
        <w:t xml:space="preserve">level of </w:t>
      </w:r>
      <w:r w:rsidR="00E863D1" w:rsidRPr="008A47AB">
        <w:rPr>
          <w:rFonts w:cs="BookAntiqua"/>
          <w:sz w:val="20"/>
          <w:szCs w:val="20"/>
        </w:rPr>
        <w:t>g</w:t>
      </w:r>
      <w:r w:rsidR="00E23BAE" w:rsidRPr="008A47AB">
        <w:rPr>
          <w:rFonts w:cs="BookAntiqua"/>
          <w:sz w:val="20"/>
          <w:szCs w:val="20"/>
        </w:rPr>
        <w:t xml:space="preserve">overnment </w:t>
      </w:r>
      <w:r w:rsidR="00A81F17" w:rsidRPr="008A47AB">
        <w:rPr>
          <w:rFonts w:cs="BookAntiqua"/>
          <w:sz w:val="20"/>
          <w:szCs w:val="20"/>
        </w:rPr>
        <w:t xml:space="preserve">financial support </w:t>
      </w:r>
      <w:r w:rsidR="00380ADC" w:rsidRPr="008A47AB">
        <w:rPr>
          <w:rFonts w:cs="BookAntiqua"/>
          <w:sz w:val="20"/>
          <w:szCs w:val="20"/>
        </w:rPr>
        <w:t>thr</w:t>
      </w:r>
      <w:r w:rsidR="00E23BAE" w:rsidRPr="008A47AB">
        <w:rPr>
          <w:rFonts w:cs="BookAntiqua"/>
          <w:sz w:val="20"/>
          <w:szCs w:val="20"/>
        </w:rPr>
        <w:t xml:space="preserve">ough the </w:t>
      </w:r>
      <w:r w:rsidR="00717542" w:rsidRPr="008A47AB">
        <w:rPr>
          <w:rFonts w:cs="BookAntiqua"/>
          <w:sz w:val="20"/>
          <w:szCs w:val="20"/>
        </w:rPr>
        <w:t xml:space="preserve">Playing Australia </w:t>
      </w:r>
      <w:r w:rsidR="00E23BAE" w:rsidRPr="008A47AB">
        <w:rPr>
          <w:rFonts w:cs="BookAntiqua"/>
          <w:sz w:val="20"/>
          <w:szCs w:val="20"/>
        </w:rPr>
        <w:t xml:space="preserve">Fund </w:t>
      </w:r>
      <w:r w:rsidR="00717542" w:rsidRPr="008A47AB">
        <w:rPr>
          <w:rFonts w:cs="BookAntiqua"/>
          <w:sz w:val="20"/>
          <w:szCs w:val="20"/>
        </w:rPr>
        <w:t xml:space="preserve">has fluctuated </w:t>
      </w:r>
      <w:r w:rsidR="00A81F17" w:rsidRPr="008A47AB">
        <w:rPr>
          <w:rFonts w:cs="BookAntiqua"/>
          <w:sz w:val="20"/>
          <w:szCs w:val="20"/>
        </w:rPr>
        <w:t>ov</w:t>
      </w:r>
      <w:r w:rsidRPr="008A47AB">
        <w:rPr>
          <w:rFonts w:cs="BookAntiqua"/>
          <w:sz w:val="20"/>
          <w:szCs w:val="20"/>
        </w:rPr>
        <w:t xml:space="preserve">er the last </w:t>
      </w:r>
      <w:r w:rsidR="009E4C7C" w:rsidRPr="008A47AB">
        <w:rPr>
          <w:rFonts w:cs="BookAntiqua"/>
          <w:sz w:val="20"/>
          <w:szCs w:val="20"/>
        </w:rPr>
        <w:t>eight</w:t>
      </w:r>
      <w:r w:rsidR="00E23BAE" w:rsidRPr="008A47AB">
        <w:rPr>
          <w:rFonts w:cs="BookAntiqua"/>
          <w:sz w:val="20"/>
          <w:szCs w:val="20"/>
        </w:rPr>
        <w:t xml:space="preserve"> </w:t>
      </w:r>
      <w:r w:rsidRPr="008A47AB">
        <w:rPr>
          <w:rFonts w:cs="BookAntiqua"/>
          <w:sz w:val="20"/>
          <w:szCs w:val="20"/>
        </w:rPr>
        <w:t xml:space="preserve">years </w:t>
      </w:r>
      <w:r w:rsidR="003E50B9" w:rsidRPr="008A47AB">
        <w:rPr>
          <w:rFonts w:cs="BookAntiqua"/>
          <w:sz w:val="20"/>
          <w:szCs w:val="20"/>
        </w:rPr>
        <w:t xml:space="preserve">but has </w:t>
      </w:r>
      <w:r w:rsidR="00E23BAE" w:rsidRPr="008A47AB">
        <w:rPr>
          <w:rFonts w:cs="BookAntiqua"/>
          <w:sz w:val="20"/>
          <w:szCs w:val="20"/>
        </w:rPr>
        <w:t xml:space="preserve">generally remained at </w:t>
      </w:r>
      <w:r w:rsidR="009E4C7C" w:rsidRPr="008A47AB">
        <w:rPr>
          <w:rFonts w:cs="BookAntiqua"/>
          <w:sz w:val="20"/>
          <w:szCs w:val="20"/>
        </w:rPr>
        <w:t xml:space="preserve">its </w:t>
      </w:r>
      <w:r w:rsidR="003E50B9" w:rsidRPr="008A47AB">
        <w:rPr>
          <w:rFonts w:cs="BookAntiqua"/>
          <w:sz w:val="20"/>
          <w:szCs w:val="20"/>
        </w:rPr>
        <w:t>2008 value</w:t>
      </w:r>
      <w:r w:rsidR="00E23BAE" w:rsidRPr="008A47AB">
        <w:rPr>
          <w:rFonts w:cs="BookAntiqua"/>
          <w:sz w:val="20"/>
          <w:szCs w:val="20"/>
        </w:rPr>
        <w:t>.</w:t>
      </w:r>
      <w:r w:rsidR="003E50B9" w:rsidRPr="008A47AB">
        <w:rPr>
          <w:rFonts w:cs="BookAntiqua"/>
          <w:sz w:val="20"/>
          <w:szCs w:val="20"/>
        </w:rPr>
        <w:t xml:space="preserve"> </w:t>
      </w:r>
      <w:r w:rsidR="00E23BAE" w:rsidRPr="008A47AB">
        <w:rPr>
          <w:sz w:val="20"/>
          <w:szCs w:val="20"/>
        </w:rPr>
        <w:t>In</w:t>
      </w:r>
      <w:r w:rsidR="003E50B9" w:rsidRPr="008A47AB">
        <w:rPr>
          <w:sz w:val="20"/>
          <w:szCs w:val="20"/>
        </w:rPr>
        <w:t xml:space="preserve"> 2008–09 </w:t>
      </w:r>
      <w:r w:rsidR="00E23BAE" w:rsidRPr="008A47AB">
        <w:rPr>
          <w:sz w:val="20"/>
          <w:szCs w:val="20"/>
        </w:rPr>
        <w:t xml:space="preserve">it was worth </w:t>
      </w:r>
      <w:r w:rsidR="003E50B9" w:rsidRPr="008A47AB">
        <w:rPr>
          <w:sz w:val="20"/>
          <w:szCs w:val="20"/>
        </w:rPr>
        <w:t>$6.06 million, rising to $7.4 million in 2013–14 before dropping back to $6.2 million in 2014–15.</w:t>
      </w:r>
      <w:r w:rsidR="009E4C7C" w:rsidRPr="008A47AB">
        <w:rPr>
          <w:sz w:val="20"/>
          <w:szCs w:val="20"/>
        </w:rPr>
        <w:t xml:space="preserve"> Clearly, its value in real terms has greatly reduced.</w:t>
      </w:r>
    </w:p>
    <w:p w:rsidR="003E50B9" w:rsidRPr="008A47AB" w:rsidRDefault="003E50B9" w:rsidP="003E50B9">
      <w:pPr>
        <w:autoSpaceDE w:val="0"/>
        <w:autoSpaceDN w:val="0"/>
        <w:adjustRightInd w:val="0"/>
        <w:spacing w:after="0" w:line="240" w:lineRule="auto"/>
        <w:rPr>
          <w:sz w:val="20"/>
          <w:szCs w:val="20"/>
        </w:rPr>
      </w:pPr>
    </w:p>
    <w:p w:rsidR="00E23BAE" w:rsidRPr="008A47AB" w:rsidRDefault="00A81F17" w:rsidP="003E50B9">
      <w:pPr>
        <w:autoSpaceDE w:val="0"/>
        <w:autoSpaceDN w:val="0"/>
        <w:adjustRightInd w:val="0"/>
        <w:spacing w:after="0" w:line="240" w:lineRule="auto"/>
        <w:rPr>
          <w:rFonts w:cs="BookAntiqua"/>
          <w:sz w:val="20"/>
          <w:szCs w:val="20"/>
        </w:rPr>
      </w:pPr>
      <w:r w:rsidRPr="008A47AB">
        <w:rPr>
          <w:rFonts w:cs="BookAntiqua"/>
          <w:sz w:val="20"/>
          <w:szCs w:val="20"/>
        </w:rPr>
        <w:t>However</w:t>
      </w:r>
      <w:r w:rsidR="00E863D1" w:rsidRPr="008A47AB">
        <w:rPr>
          <w:rFonts w:cs="BookAntiqua"/>
          <w:sz w:val="20"/>
          <w:szCs w:val="20"/>
        </w:rPr>
        <w:t>,</w:t>
      </w:r>
      <w:r w:rsidR="00C60484" w:rsidRPr="008A47AB">
        <w:rPr>
          <w:rFonts w:cs="BookAntiqua"/>
          <w:sz w:val="20"/>
          <w:szCs w:val="20"/>
        </w:rPr>
        <w:t xml:space="preserve"> over the </w:t>
      </w:r>
      <w:r w:rsidR="009E4C7C" w:rsidRPr="008A47AB">
        <w:rPr>
          <w:rFonts w:cs="BookAntiqua"/>
          <w:sz w:val="20"/>
          <w:szCs w:val="20"/>
        </w:rPr>
        <w:t>past eight</w:t>
      </w:r>
      <w:r w:rsidR="00C60484" w:rsidRPr="008A47AB">
        <w:rPr>
          <w:rFonts w:cs="BookAntiqua"/>
          <w:sz w:val="20"/>
          <w:szCs w:val="20"/>
        </w:rPr>
        <w:t xml:space="preserve"> years there is growing awareness and acceptance of the </w:t>
      </w:r>
      <w:r w:rsidR="00E23BAE" w:rsidRPr="008A47AB">
        <w:rPr>
          <w:rFonts w:cs="BookAntiqua"/>
          <w:sz w:val="20"/>
          <w:szCs w:val="20"/>
        </w:rPr>
        <w:t xml:space="preserve">social </w:t>
      </w:r>
      <w:r w:rsidR="00C60484" w:rsidRPr="008A47AB">
        <w:rPr>
          <w:rFonts w:cs="BookAntiqua"/>
          <w:sz w:val="20"/>
          <w:szCs w:val="20"/>
        </w:rPr>
        <w:t xml:space="preserve">value of broadening the type of activities that go hand in hand with </w:t>
      </w:r>
      <w:r w:rsidR="00E23BAE" w:rsidRPr="008A47AB">
        <w:rPr>
          <w:rFonts w:cs="BookAntiqua"/>
          <w:sz w:val="20"/>
          <w:szCs w:val="20"/>
        </w:rPr>
        <w:t>the</w:t>
      </w:r>
      <w:r w:rsidR="00380ADC" w:rsidRPr="008A47AB">
        <w:rPr>
          <w:rFonts w:cs="BookAntiqua"/>
          <w:sz w:val="20"/>
          <w:szCs w:val="20"/>
        </w:rPr>
        <w:t xml:space="preserve"> </w:t>
      </w:r>
      <w:r w:rsidR="00C60484" w:rsidRPr="008A47AB">
        <w:rPr>
          <w:rFonts w:cs="BookAntiqua"/>
          <w:sz w:val="20"/>
          <w:szCs w:val="20"/>
        </w:rPr>
        <w:t xml:space="preserve">main </w:t>
      </w:r>
      <w:r w:rsidR="00E23BAE" w:rsidRPr="008A47AB">
        <w:rPr>
          <w:rFonts w:cs="BookAntiqua"/>
          <w:sz w:val="20"/>
          <w:szCs w:val="20"/>
        </w:rPr>
        <w:t>performance touring activity</w:t>
      </w:r>
      <w:r w:rsidR="00E863D1" w:rsidRPr="008A47AB">
        <w:rPr>
          <w:rFonts w:cs="BookAntiqua"/>
          <w:sz w:val="20"/>
          <w:szCs w:val="20"/>
        </w:rPr>
        <w:t>—activities such as workshops, masterclasses, school engagement</w:t>
      </w:r>
      <w:r w:rsidR="00C60484" w:rsidRPr="008A47AB">
        <w:rPr>
          <w:rFonts w:cs="BookAntiqua"/>
          <w:sz w:val="20"/>
          <w:szCs w:val="20"/>
        </w:rPr>
        <w:t>. Deeper a</w:t>
      </w:r>
      <w:r w:rsidR="00717542" w:rsidRPr="008A47AB">
        <w:rPr>
          <w:rFonts w:cs="BookAntiqua"/>
          <w:sz w:val="20"/>
          <w:szCs w:val="20"/>
        </w:rPr>
        <w:t xml:space="preserve">rts engagement </w:t>
      </w:r>
      <w:r w:rsidR="00C60484" w:rsidRPr="008A47AB">
        <w:rPr>
          <w:rFonts w:cs="BookAntiqua"/>
          <w:sz w:val="20"/>
          <w:szCs w:val="20"/>
        </w:rPr>
        <w:t xml:space="preserve">offers significant benefits to regional populations. </w:t>
      </w:r>
    </w:p>
    <w:p w:rsidR="00E23BAE" w:rsidRPr="008A47AB" w:rsidRDefault="00E23BAE" w:rsidP="003E50B9">
      <w:pPr>
        <w:autoSpaceDE w:val="0"/>
        <w:autoSpaceDN w:val="0"/>
        <w:adjustRightInd w:val="0"/>
        <w:spacing w:after="0" w:line="240" w:lineRule="auto"/>
        <w:rPr>
          <w:rFonts w:cs="BookAntiqua"/>
          <w:sz w:val="20"/>
          <w:szCs w:val="20"/>
        </w:rPr>
      </w:pPr>
    </w:p>
    <w:p w:rsidR="003E50B9" w:rsidRPr="008A47AB" w:rsidRDefault="003D685A" w:rsidP="003E50B9">
      <w:pPr>
        <w:autoSpaceDE w:val="0"/>
        <w:autoSpaceDN w:val="0"/>
        <w:adjustRightInd w:val="0"/>
        <w:spacing w:after="0" w:line="240" w:lineRule="auto"/>
        <w:rPr>
          <w:sz w:val="20"/>
          <w:szCs w:val="20"/>
        </w:rPr>
      </w:pPr>
      <w:r w:rsidRPr="008A47AB">
        <w:rPr>
          <w:rFonts w:cs="BookAntiqua"/>
          <w:sz w:val="20"/>
          <w:szCs w:val="20"/>
        </w:rPr>
        <w:t xml:space="preserve">All of these additional opportunities need resourcing to overcome the cost that </w:t>
      </w:r>
      <w:r w:rsidR="00491B27" w:rsidRPr="008A47AB">
        <w:rPr>
          <w:rFonts w:cs="BookAntiqua"/>
          <w:sz w:val="20"/>
          <w:szCs w:val="20"/>
        </w:rPr>
        <w:t xml:space="preserve">distance and regional capacity to generate income creates. </w:t>
      </w:r>
      <w:r w:rsidR="003E50B9" w:rsidRPr="008A47AB">
        <w:rPr>
          <w:rFonts w:cs="BookAntiqua"/>
          <w:sz w:val="20"/>
          <w:szCs w:val="20"/>
        </w:rPr>
        <w:t>For example</w:t>
      </w:r>
      <w:r w:rsidR="003E50B9" w:rsidRPr="008A47AB">
        <w:rPr>
          <w:rFonts w:cs="BookAntiqua"/>
          <w:sz w:val="24"/>
          <w:szCs w:val="24"/>
        </w:rPr>
        <w:t xml:space="preserve"> </w:t>
      </w:r>
      <w:r w:rsidR="00491B27" w:rsidRPr="008A47AB">
        <w:rPr>
          <w:rFonts w:cs="BookAntiqua"/>
          <w:sz w:val="20"/>
          <w:szCs w:val="20"/>
        </w:rPr>
        <w:t>a regional v</w:t>
      </w:r>
      <w:r w:rsidR="003E50B9" w:rsidRPr="008A47AB">
        <w:rPr>
          <w:rFonts w:cs="BookAntiqua"/>
          <w:sz w:val="20"/>
          <w:szCs w:val="20"/>
        </w:rPr>
        <w:t>enues’ seating</w:t>
      </w:r>
      <w:r w:rsidR="003E50B9" w:rsidRPr="008A47AB">
        <w:rPr>
          <w:sz w:val="20"/>
          <w:szCs w:val="20"/>
        </w:rPr>
        <w:t xml:space="preserve"> capacity can vary from 200 to 1200 seat—so box office earnings vary dramatically—yet overheads for a performance</w:t>
      </w:r>
      <w:r w:rsidR="00491B27" w:rsidRPr="008A47AB">
        <w:rPr>
          <w:sz w:val="20"/>
          <w:szCs w:val="20"/>
        </w:rPr>
        <w:t>s</w:t>
      </w:r>
      <w:r w:rsidR="003E50B9" w:rsidRPr="008A47AB">
        <w:rPr>
          <w:sz w:val="20"/>
          <w:szCs w:val="20"/>
        </w:rPr>
        <w:t xml:space="preserve"> </w:t>
      </w:r>
      <w:r w:rsidR="00E23BAE" w:rsidRPr="008A47AB">
        <w:rPr>
          <w:sz w:val="20"/>
          <w:szCs w:val="20"/>
        </w:rPr>
        <w:t xml:space="preserve">and workshops </w:t>
      </w:r>
      <w:r w:rsidR="003E50B9" w:rsidRPr="008A47AB">
        <w:rPr>
          <w:sz w:val="20"/>
          <w:szCs w:val="20"/>
        </w:rPr>
        <w:t>are constant.</w:t>
      </w:r>
    </w:p>
    <w:p w:rsidR="00E23BAE" w:rsidRPr="008A47AB" w:rsidRDefault="00E23BAE" w:rsidP="003E50B9">
      <w:pPr>
        <w:autoSpaceDE w:val="0"/>
        <w:autoSpaceDN w:val="0"/>
        <w:adjustRightInd w:val="0"/>
        <w:spacing w:after="0" w:line="240" w:lineRule="auto"/>
        <w:rPr>
          <w:rFonts w:cs="BookAntiqua"/>
          <w:sz w:val="24"/>
          <w:szCs w:val="24"/>
        </w:rPr>
      </w:pPr>
    </w:p>
    <w:p w:rsidR="009217E1" w:rsidRPr="008A47AB" w:rsidRDefault="009217E1" w:rsidP="009F5172">
      <w:pPr>
        <w:autoSpaceDE w:val="0"/>
        <w:autoSpaceDN w:val="0"/>
        <w:adjustRightInd w:val="0"/>
        <w:spacing w:after="0" w:line="240" w:lineRule="auto"/>
        <w:rPr>
          <w:rFonts w:cs="BookAntiqua"/>
          <w:sz w:val="20"/>
          <w:szCs w:val="20"/>
        </w:rPr>
      </w:pPr>
      <w:r w:rsidRPr="008A47AB">
        <w:rPr>
          <w:rFonts w:cs="BookAntiqua"/>
          <w:sz w:val="20"/>
          <w:szCs w:val="20"/>
        </w:rPr>
        <w:t xml:space="preserve">The level of funding to the </w:t>
      </w:r>
      <w:r w:rsidR="00717542" w:rsidRPr="008A47AB">
        <w:rPr>
          <w:rFonts w:cs="BookAntiqua"/>
          <w:sz w:val="20"/>
          <w:szCs w:val="20"/>
        </w:rPr>
        <w:t>P</w:t>
      </w:r>
      <w:r w:rsidR="00A81F17" w:rsidRPr="008A47AB">
        <w:rPr>
          <w:rFonts w:cs="BookAntiqua"/>
          <w:sz w:val="20"/>
          <w:szCs w:val="20"/>
        </w:rPr>
        <w:t>l</w:t>
      </w:r>
      <w:r w:rsidR="00717542" w:rsidRPr="008A47AB">
        <w:rPr>
          <w:rFonts w:cs="BookAntiqua"/>
          <w:sz w:val="20"/>
          <w:szCs w:val="20"/>
        </w:rPr>
        <w:t xml:space="preserve">aying </w:t>
      </w:r>
      <w:r w:rsidRPr="008A47AB">
        <w:rPr>
          <w:rFonts w:cs="BookAntiqua"/>
          <w:sz w:val="20"/>
          <w:szCs w:val="20"/>
        </w:rPr>
        <w:t>Australia</w:t>
      </w:r>
      <w:r w:rsidR="00717542" w:rsidRPr="008A47AB">
        <w:rPr>
          <w:rFonts w:cs="BookAntiqua"/>
          <w:sz w:val="20"/>
          <w:szCs w:val="20"/>
        </w:rPr>
        <w:t xml:space="preserve"> </w:t>
      </w:r>
      <w:r w:rsidRPr="008A47AB">
        <w:rPr>
          <w:rFonts w:cs="BookAntiqua"/>
          <w:sz w:val="20"/>
          <w:szCs w:val="20"/>
        </w:rPr>
        <w:t>program is insufficient to broaden the nature of tour activities and/or to increase the number of companies with NTS responsibly.</w:t>
      </w:r>
    </w:p>
    <w:p w:rsidR="009217E1" w:rsidRPr="008A47AB" w:rsidRDefault="009217E1" w:rsidP="009F5172">
      <w:pPr>
        <w:autoSpaceDE w:val="0"/>
        <w:autoSpaceDN w:val="0"/>
        <w:adjustRightInd w:val="0"/>
        <w:spacing w:after="0" w:line="240" w:lineRule="auto"/>
        <w:rPr>
          <w:rFonts w:cs="BookAntiqua"/>
        </w:rPr>
      </w:pPr>
    </w:p>
    <w:p w:rsidR="003E50B9" w:rsidRPr="008A47AB" w:rsidRDefault="003E50B9"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b/>
          <w:color w:val="C00000"/>
          <w:sz w:val="20"/>
          <w:szCs w:val="20"/>
        </w:rPr>
      </w:pPr>
      <w:r w:rsidRPr="008A47AB">
        <w:rPr>
          <w:rFonts w:cs="BookAntiqua"/>
          <w:b/>
          <w:color w:val="C00000"/>
          <w:sz w:val="20"/>
          <w:szCs w:val="20"/>
        </w:rPr>
        <w:t xml:space="preserve">Recommendation </w:t>
      </w:r>
      <w:r w:rsidR="0070474E" w:rsidRPr="008A47AB">
        <w:rPr>
          <w:rFonts w:cs="BookAntiqua"/>
          <w:b/>
          <w:color w:val="C00000"/>
          <w:sz w:val="20"/>
          <w:szCs w:val="20"/>
        </w:rPr>
        <w:t>7</w:t>
      </w:r>
    </w:p>
    <w:p w:rsidR="00717542" w:rsidRPr="008A47AB" w:rsidRDefault="009217E1"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20"/>
          <w:szCs w:val="20"/>
        </w:rPr>
      </w:pPr>
      <w:r w:rsidRPr="008A47AB">
        <w:rPr>
          <w:rFonts w:cs="BookAntiqua"/>
          <w:sz w:val="20"/>
          <w:szCs w:val="20"/>
        </w:rPr>
        <w:t xml:space="preserve">AMPAG recommends an increase </w:t>
      </w:r>
      <w:r w:rsidR="00E863D1" w:rsidRPr="008A47AB">
        <w:rPr>
          <w:rFonts w:cs="BookAntiqua"/>
          <w:sz w:val="20"/>
          <w:szCs w:val="20"/>
        </w:rPr>
        <w:t xml:space="preserve">in </w:t>
      </w:r>
      <w:r w:rsidRPr="008A47AB">
        <w:rPr>
          <w:rFonts w:cs="BookAntiqua"/>
          <w:sz w:val="20"/>
          <w:szCs w:val="20"/>
        </w:rPr>
        <w:t>the Playing Australia Program of</w:t>
      </w:r>
      <w:r w:rsidR="00C60484" w:rsidRPr="008A47AB">
        <w:rPr>
          <w:rFonts w:cs="BookAntiqua"/>
          <w:sz w:val="20"/>
          <w:szCs w:val="20"/>
        </w:rPr>
        <w:t xml:space="preserve"> </w:t>
      </w:r>
      <w:r w:rsidR="006A34FE" w:rsidRPr="008A47AB">
        <w:rPr>
          <w:rFonts w:cs="BookAntiqua"/>
          <w:sz w:val="20"/>
          <w:szCs w:val="20"/>
        </w:rPr>
        <w:t xml:space="preserve">a minimum of </w:t>
      </w:r>
      <w:r w:rsidR="00C60484" w:rsidRPr="008A47AB">
        <w:rPr>
          <w:rFonts w:cs="BookAntiqua"/>
          <w:sz w:val="20"/>
          <w:szCs w:val="20"/>
        </w:rPr>
        <w:t>$</w:t>
      </w:r>
      <w:r w:rsidR="00380ADC" w:rsidRPr="008A47AB">
        <w:rPr>
          <w:rFonts w:cs="BookAntiqua"/>
          <w:sz w:val="20"/>
          <w:szCs w:val="20"/>
        </w:rPr>
        <w:t>8</w:t>
      </w:r>
      <w:r w:rsidRPr="008A47AB">
        <w:rPr>
          <w:rFonts w:cs="BookAntiqua"/>
          <w:sz w:val="20"/>
          <w:szCs w:val="20"/>
        </w:rPr>
        <w:t xml:space="preserve"> </w:t>
      </w:r>
      <w:r w:rsidR="00C60484" w:rsidRPr="008A47AB">
        <w:rPr>
          <w:rFonts w:cs="BookAntiqua"/>
          <w:sz w:val="20"/>
          <w:szCs w:val="20"/>
        </w:rPr>
        <w:t xml:space="preserve">million </w:t>
      </w:r>
      <w:r w:rsidRPr="008A47AB">
        <w:rPr>
          <w:rFonts w:cs="BookAntiqua"/>
          <w:sz w:val="20"/>
          <w:szCs w:val="20"/>
        </w:rPr>
        <w:t>allocated evenly over</w:t>
      </w:r>
      <w:r w:rsidR="00C60484" w:rsidRPr="008A47AB">
        <w:rPr>
          <w:rFonts w:cs="BookAntiqua"/>
          <w:sz w:val="20"/>
          <w:szCs w:val="20"/>
        </w:rPr>
        <w:t xml:space="preserve"> </w:t>
      </w:r>
      <w:r w:rsidR="00E863D1" w:rsidRPr="008A47AB">
        <w:rPr>
          <w:rFonts w:cs="BookAntiqua"/>
          <w:sz w:val="20"/>
          <w:szCs w:val="20"/>
        </w:rPr>
        <w:t>four</w:t>
      </w:r>
      <w:r w:rsidR="00C60484" w:rsidRPr="008A47AB">
        <w:rPr>
          <w:rFonts w:cs="BookAntiqua"/>
          <w:sz w:val="20"/>
          <w:szCs w:val="20"/>
        </w:rPr>
        <w:t xml:space="preserve"> years </w:t>
      </w:r>
      <w:r w:rsidRPr="008A47AB">
        <w:rPr>
          <w:rFonts w:cs="BookAntiqua"/>
          <w:sz w:val="20"/>
          <w:szCs w:val="20"/>
        </w:rPr>
        <w:t>from 2017</w:t>
      </w:r>
      <w:r w:rsidR="00E863D1" w:rsidRPr="008A47AB">
        <w:rPr>
          <w:rFonts w:cs="BookAntiqua"/>
          <w:sz w:val="20"/>
          <w:szCs w:val="20"/>
        </w:rPr>
        <w:t>–</w:t>
      </w:r>
      <w:r w:rsidRPr="008A47AB">
        <w:rPr>
          <w:rFonts w:cs="BookAntiqua"/>
          <w:sz w:val="20"/>
          <w:szCs w:val="20"/>
        </w:rPr>
        <w:t>18 to 2020</w:t>
      </w:r>
      <w:r w:rsidR="00E863D1" w:rsidRPr="008A47AB">
        <w:rPr>
          <w:rFonts w:cs="BookAntiqua"/>
          <w:sz w:val="20"/>
          <w:szCs w:val="20"/>
        </w:rPr>
        <w:t>–</w:t>
      </w:r>
      <w:r w:rsidRPr="008A47AB">
        <w:rPr>
          <w:rFonts w:cs="BookAntiqua"/>
          <w:sz w:val="20"/>
          <w:szCs w:val="20"/>
        </w:rPr>
        <w:t xml:space="preserve">21 </w:t>
      </w:r>
      <w:r w:rsidR="00A81F17" w:rsidRPr="008A47AB">
        <w:rPr>
          <w:rFonts w:cs="BookAntiqua"/>
          <w:sz w:val="20"/>
          <w:szCs w:val="20"/>
        </w:rPr>
        <w:t xml:space="preserve">to support additional </w:t>
      </w:r>
      <w:r w:rsidR="00717542" w:rsidRPr="008A47AB">
        <w:rPr>
          <w:rFonts w:cs="BookAntiqua"/>
          <w:sz w:val="20"/>
          <w:szCs w:val="20"/>
        </w:rPr>
        <w:t xml:space="preserve">strategic </w:t>
      </w:r>
      <w:r w:rsidR="00C60484" w:rsidRPr="008A47AB">
        <w:rPr>
          <w:rFonts w:cs="BookAntiqua"/>
          <w:sz w:val="20"/>
          <w:szCs w:val="20"/>
        </w:rPr>
        <w:t xml:space="preserve">performing arts access and </w:t>
      </w:r>
      <w:r w:rsidR="00A81F17" w:rsidRPr="008A47AB">
        <w:rPr>
          <w:rFonts w:cs="BookAntiqua"/>
          <w:sz w:val="20"/>
          <w:szCs w:val="20"/>
        </w:rPr>
        <w:t>engagement</w:t>
      </w:r>
      <w:r w:rsidR="00C60484" w:rsidRPr="008A47AB">
        <w:rPr>
          <w:rFonts w:cs="BookAntiqua"/>
          <w:sz w:val="20"/>
          <w:szCs w:val="20"/>
        </w:rPr>
        <w:t xml:space="preserve"> in</w:t>
      </w:r>
      <w:r w:rsidRPr="008A47AB">
        <w:rPr>
          <w:rFonts w:cs="BookAntiqua"/>
          <w:sz w:val="20"/>
          <w:szCs w:val="20"/>
        </w:rPr>
        <w:t xml:space="preserve"> </w:t>
      </w:r>
      <w:r w:rsidR="00C60484" w:rsidRPr="008A47AB">
        <w:rPr>
          <w:rFonts w:cs="BookAntiqua"/>
          <w:sz w:val="20"/>
          <w:szCs w:val="20"/>
        </w:rPr>
        <w:t xml:space="preserve">regional </w:t>
      </w:r>
      <w:r w:rsidR="00717542" w:rsidRPr="008A47AB">
        <w:rPr>
          <w:rFonts w:cs="BookAntiqua"/>
          <w:sz w:val="20"/>
          <w:szCs w:val="20"/>
        </w:rPr>
        <w:t>Austr</w:t>
      </w:r>
      <w:r w:rsidR="00C60484" w:rsidRPr="008A47AB">
        <w:rPr>
          <w:rFonts w:cs="BookAntiqua"/>
          <w:sz w:val="20"/>
          <w:szCs w:val="20"/>
        </w:rPr>
        <w:t>a</w:t>
      </w:r>
      <w:r w:rsidR="00717542" w:rsidRPr="008A47AB">
        <w:rPr>
          <w:rFonts w:cs="BookAntiqua"/>
          <w:sz w:val="20"/>
          <w:szCs w:val="20"/>
        </w:rPr>
        <w:t>lia.</w:t>
      </w:r>
    </w:p>
    <w:p w:rsidR="003E50B9" w:rsidRPr="008A47AB" w:rsidRDefault="003E50B9"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20"/>
          <w:szCs w:val="20"/>
        </w:rPr>
      </w:pPr>
    </w:p>
    <w:p w:rsidR="003E50B9" w:rsidRPr="008A47AB" w:rsidRDefault="003E50B9"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b/>
          <w:color w:val="C00000"/>
          <w:sz w:val="20"/>
          <w:szCs w:val="20"/>
        </w:rPr>
      </w:pPr>
      <w:r w:rsidRPr="008A47AB">
        <w:rPr>
          <w:rFonts w:cs="BookAntiqua"/>
          <w:b/>
          <w:color w:val="C00000"/>
          <w:sz w:val="20"/>
          <w:szCs w:val="20"/>
        </w:rPr>
        <w:t>Recommendation</w:t>
      </w:r>
      <w:r w:rsidR="00DB14AC" w:rsidRPr="008A47AB">
        <w:rPr>
          <w:rFonts w:cs="BookAntiqua"/>
          <w:b/>
          <w:color w:val="C00000"/>
          <w:sz w:val="20"/>
          <w:szCs w:val="20"/>
        </w:rPr>
        <w:t xml:space="preserve"> </w:t>
      </w:r>
      <w:r w:rsidR="0070474E" w:rsidRPr="008A47AB">
        <w:rPr>
          <w:rFonts w:cs="BookAntiqua"/>
          <w:b/>
          <w:color w:val="C00000"/>
          <w:sz w:val="20"/>
          <w:szCs w:val="20"/>
        </w:rPr>
        <w:t>8</w:t>
      </w:r>
    </w:p>
    <w:p w:rsidR="003E50B9" w:rsidRPr="008A47AB" w:rsidRDefault="003E50B9"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20"/>
          <w:szCs w:val="20"/>
        </w:rPr>
      </w:pPr>
      <w:r w:rsidRPr="008A47AB">
        <w:rPr>
          <w:rFonts w:cs="BookAntiqua"/>
          <w:sz w:val="20"/>
          <w:szCs w:val="20"/>
        </w:rPr>
        <w:t>AMPAG recommends an increase in the number of performing arts companies operating with National Touring Status.</w:t>
      </w:r>
    </w:p>
    <w:p w:rsidR="00CF6DA3" w:rsidRPr="008A47AB" w:rsidRDefault="00CF6DA3" w:rsidP="009217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20"/>
          <w:szCs w:val="20"/>
        </w:rPr>
      </w:pPr>
    </w:p>
    <w:p w:rsidR="00902C3A" w:rsidRPr="008A47AB" w:rsidRDefault="00902C3A" w:rsidP="009F5172">
      <w:pPr>
        <w:autoSpaceDE w:val="0"/>
        <w:autoSpaceDN w:val="0"/>
        <w:adjustRightInd w:val="0"/>
        <w:spacing w:after="0" w:line="240" w:lineRule="auto"/>
        <w:rPr>
          <w:rFonts w:cs="BookAntiqua"/>
        </w:rPr>
      </w:pPr>
    </w:p>
    <w:p w:rsidR="009C7F86" w:rsidRPr="008A47AB" w:rsidRDefault="009C7F86" w:rsidP="009F5172">
      <w:pPr>
        <w:autoSpaceDE w:val="0"/>
        <w:autoSpaceDN w:val="0"/>
        <w:adjustRightInd w:val="0"/>
        <w:spacing w:after="0" w:line="240" w:lineRule="auto"/>
        <w:rPr>
          <w:rFonts w:cs="BookAntiqua"/>
        </w:rPr>
      </w:pPr>
    </w:p>
    <w:p w:rsidR="00E23BAE" w:rsidRPr="008A47AB" w:rsidRDefault="00E23BAE" w:rsidP="009C7F86">
      <w:pPr>
        <w:pStyle w:val="ListParagraph"/>
        <w:numPr>
          <w:ilvl w:val="0"/>
          <w:numId w:val="13"/>
        </w:numPr>
        <w:rPr>
          <w:b/>
          <w:color w:val="000000"/>
          <w:sz w:val="20"/>
          <w:szCs w:val="20"/>
        </w:rPr>
      </w:pPr>
      <w:r w:rsidRPr="008A47AB">
        <w:rPr>
          <w:b/>
          <w:color w:val="000000"/>
          <w:sz w:val="20"/>
          <w:szCs w:val="20"/>
        </w:rPr>
        <w:t>Creativity and innovation</w:t>
      </w:r>
      <w:r w:rsidR="00E863D1" w:rsidRPr="008A47AB">
        <w:rPr>
          <w:b/>
          <w:color w:val="000000"/>
          <w:sz w:val="20"/>
          <w:szCs w:val="20"/>
        </w:rPr>
        <w:t>—</w:t>
      </w:r>
      <w:r w:rsidRPr="008A47AB">
        <w:rPr>
          <w:b/>
          <w:color w:val="000000"/>
          <w:sz w:val="20"/>
          <w:szCs w:val="20"/>
        </w:rPr>
        <w:t>ensuring the right skills for the 21</w:t>
      </w:r>
      <w:r w:rsidRPr="008A47AB">
        <w:rPr>
          <w:b/>
          <w:color w:val="000000"/>
          <w:sz w:val="20"/>
          <w:szCs w:val="20"/>
          <w:vertAlign w:val="superscript"/>
        </w:rPr>
        <w:t>st</w:t>
      </w:r>
      <w:r w:rsidRPr="008A47AB">
        <w:rPr>
          <w:b/>
          <w:color w:val="000000"/>
          <w:sz w:val="20"/>
          <w:szCs w:val="20"/>
        </w:rPr>
        <w:t xml:space="preserve"> </w:t>
      </w:r>
      <w:r w:rsidR="00E863D1" w:rsidRPr="008A47AB">
        <w:rPr>
          <w:b/>
          <w:color w:val="000000"/>
          <w:sz w:val="20"/>
          <w:szCs w:val="20"/>
        </w:rPr>
        <w:t>century w</w:t>
      </w:r>
      <w:r w:rsidRPr="008A47AB">
        <w:rPr>
          <w:b/>
          <w:color w:val="000000"/>
          <w:sz w:val="20"/>
          <w:szCs w:val="20"/>
        </w:rPr>
        <w:t>orkplace</w:t>
      </w:r>
    </w:p>
    <w:p w:rsidR="00A70F62" w:rsidRPr="008A47AB" w:rsidRDefault="00A70F62" w:rsidP="00A70F62">
      <w:pPr>
        <w:pStyle w:val="NormalWeb"/>
        <w:shd w:val="clear" w:color="auto" w:fill="FFFFFF"/>
        <w:spacing w:before="0" w:beforeAutospacing="0" w:after="0" w:afterAutospacing="0" w:line="276" w:lineRule="auto"/>
        <w:textAlignment w:val="baseline"/>
        <w:rPr>
          <w:rFonts w:asciiTheme="minorHAnsi" w:hAnsiTheme="minorHAnsi"/>
          <w:color w:val="000000"/>
          <w:sz w:val="20"/>
          <w:szCs w:val="20"/>
          <w:shd w:val="clear" w:color="auto" w:fill="FFFFFF"/>
          <w:lang w:eastAsia="en-US"/>
        </w:rPr>
      </w:pPr>
      <w:r w:rsidRPr="008A47AB">
        <w:rPr>
          <w:rFonts w:asciiTheme="minorHAnsi" w:hAnsiTheme="minorHAnsi"/>
          <w:color w:val="000000"/>
          <w:sz w:val="20"/>
          <w:szCs w:val="20"/>
          <w:shd w:val="clear" w:color="auto" w:fill="FFFFFF"/>
          <w:lang w:eastAsia="en-US"/>
        </w:rPr>
        <w:t>Economics strategist Andrew Charlton</w:t>
      </w:r>
      <w:r w:rsidRPr="008A47AB">
        <w:rPr>
          <w:rStyle w:val="FootnoteReference"/>
          <w:rFonts w:asciiTheme="minorHAnsi" w:hAnsiTheme="minorHAnsi"/>
          <w:color w:val="000000"/>
          <w:sz w:val="20"/>
          <w:szCs w:val="20"/>
          <w:shd w:val="clear" w:color="auto" w:fill="FFFFFF"/>
          <w:lang w:eastAsia="en-US"/>
        </w:rPr>
        <w:footnoteReference w:id="3"/>
      </w:r>
      <w:r w:rsidR="00401B38" w:rsidRPr="008A47AB">
        <w:rPr>
          <w:rFonts w:asciiTheme="minorHAnsi" w:hAnsiTheme="minorHAnsi"/>
          <w:color w:val="000000"/>
          <w:sz w:val="20"/>
          <w:szCs w:val="20"/>
          <w:shd w:val="clear" w:color="auto" w:fill="FFFFFF"/>
          <w:lang w:eastAsia="en-US"/>
        </w:rPr>
        <w:t xml:space="preserve"> </w:t>
      </w:r>
      <w:r w:rsidRPr="008A47AB">
        <w:rPr>
          <w:rFonts w:asciiTheme="minorHAnsi" w:hAnsiTheme="minorHAnsi"/>
          <w:color w:val="000000"/>
          <w:sz w:val="20"/>
          <w:szCs w:val="20"/>
          <w:shd w:val="clear" w:color="auto" w:fill="FFFFFF"/>
          <w:lang w:eastAsia="en-US"/>
        </w:rPr>
        <w:t xml:space="preserve">from AlphaBeta has been collecting online </w:t>
      </w:r>
      <w:r w:rsidR="00E863D1" w:rsidRPr="008A47AB">
        <w:rPr>
          <w:rFonts w:asciiTheme="minorHAnsi" w:hAnsiTheme="minorHAnsi"/>
          <w:color w:val="000000"/>
          <w:sz w:val="20"/>
          <w:szCs w:val="20"/>
          <w:shd w:val="clear" w:color="auto" w:fill="FFFFFF"/>
          <w:lang w:eastAsia="en-US"/>
        </w:rPr>
        <w:t xml:space="preserve">employment </w:t>
      </w:r>
      <w:r w:rsidRPr="008A47AB">
        <w:rPr>
          <w:rFonts w:asciiTheme="minorHAnsi" w:hAnsiTheme="minorHAnsi"/>
          <w:color w:val="000000"/>
          <w:sz w:val="20"/>
          <w:szCs w:val="20"/>
          <w:shd w:val="clear" w:color="auto" w:fill="FFFFFF"/>
          <w:lang w:eastAsia="en-US"/>
        </w:rPr>
        <w:t xml:space="preserve">statistics and </w:t>
      </w:r>
      <w:r w:rsidR="00E863D1" w:rsidRPr="008A47AB">
        <w:rPr>
          <w:rFonts w:asciiTheme="minorHAnsi" w:hAnsiTheme="minorHAnsi"/>
          <w:color w:val="000000"/>
          <w:sz w:val="20"/>
          <w:szCs w:val="20"/>
          <w:shd w:val="clear" w:color="auto" w:fill="FFFFFF"/>
          <w:lang w:eastAsia="en-US"/>
        </w:rPr>
        <w:t xml:space="preserve">has analysed </w:t>
      </w:r>
      <w:r w:rsidRPr="008A47AB">
        <w:rPr>
          <w:rFonts w:asciiTheme="minorHAnsi" w:hAnsiTheme="minorHAnsi"/>
          <w:color w:val="000000"/>
          <w:sz w:val="20"/>
          <w:szCs w:val="20"/>
          <w:shd w:val="clear" w:color="auto" w:fill="FFFFFF"/>
          <w:lang w:eastAsia="en-US"/>
        </w:rPr>
        <w:t xml:space="preserve">4.2 million job advertisements in the past three years. </w:t>
      </w:r>
      <w:r w:rsidR="00E863D1" w:rsidRPr="008A47AB">
        <w:rPr>
          <w:rFonts w:asciiTheme="minorHAnsi" w:hAnsiTheme="minorHAnsi"/>
          <w:color w:val="000000"/>
          <w:sz w:val="20"/>
          <w:szCs w:val="20"/>
          <w:shd w:val="clear" w:color="auto" w:fill="FFFFFF"/>
          <w:lang w:eastAsia="en-US"/>
        </w:rPr>
        <w:t>QUT Distinguished Professor Stuart Cunningham</w:t>
      </w:r>
      <w:r w:rsidR="00034459" w:rsidRPr="008A47AB">
        <w:rPr>
          <w:rFonts w:asciiTheme="minorHAnsi" w:hAnsiTheme="minorHAnsi"/>
          <w:color w:val="000000"/>
          <w:sz w:val="20"/>
          <w:szCs w:val="20"/>
          <w:shd w:val="clear" w:color="auto" w:fill="FFFFFF"/>
          <w:lang w:eastAsia="en-US"/>
        </w:rPr>
        <w:t xml:space="preserve"> said:</w:t>
      </w:r>
      <w:r w:rsidR="00E863D1" w:rsidRPr="008A47AB">
        <w:rPr>
          <w:rFonts w:asciiTheme="minorHAnsi" w:hAnsiTheme="minorHAnsi"/>
          <w:color w:val="000000"/>
          <w:sz w:val="20"/>
          <w:szCs w:val="20"/>
          <w:shd w:val="clear" w:color="auto" w:fill="FFFFFF"/>
          <w:lang w:eastAsia="en-US"/>
        </w:rPr>
        <w:t xml:space="preserve"> </w:t>
      </w:r>
      <w:r w:rsidR="00034459" w:rsidRPr="008A47AB">
        <w:rPr>
          <w:rFonts w:asciiTheme="minorHAnsi" w:hAnsiTheme="minorHAnsi"/>
          <w:color w:val="000000"/>
          <w:sz w:val="20"/>
          <w:szCs w:val="20"/>
          <w:shd w:val="clear" w:color="auto" w:fill="FFFFFF"/>
          <w:lang w:eastAsia="en-US"/>
        </w:rPr>
        <w:t>‘</w:t>
      </w:r>
      <w:r w:rsidRPr="008A47AB">
        <w:rPr>
          <w:rFonts w:asciiTheme="minorHAnsi" w:hAnsiTheme="minorHAnsi"/>
          <w:color w:val="000000"/>
          <w:sz w:val="20"/>
          <w:szCs w:val="20"/>
          <w:shd w:val="clear" w:color="auto" w:fill="FFFFFF"/>
          <w:lang w:eastAsia="en-US"/>
        </w:rPr>
        <w:t>He found a 212 per cent increase in</w:t>
      </w:r>
      <w:r w:rsidRPr="008A47AB">
        <w:rPr>
          <w:rFonts w:asciiTheme="minorHAnsi" w:hAnsiTheme="minorHAnsi"/>
          <w:color w:val="000000"/>
          <w:spacing w:val="2"/>
          <w:sz w:val="20"/>
          <w:szCs w:val="20"/>
          <w:shd w:val="clear" w:color="auto" w:fill="FFFFFF"/>
          <w:lang w:eastAsia="en-US"/>
        </w:rPr>
        <w:t xml:space="preserve"> jobs demanding </w:t>
      </w:r>
      <w:r w:rsidRPr="008A47AB">
        <w:rPr>
          <w:rFonts w:asciiTheme="minorHAnsi" w:hAnsiTheme="minorHAnsi"/>
          <w:color w:val="000000"/>
          <w:sz w:val="20"/>
          <w:szCs w:val="20"/>
          <w:shd w:val="clear" w:color="auto" w:fill="FFFFFF"/>
          <w:lang w:eastAsia="en-US"/>
        </w:rPr>
        <w:t>digital literacy, a 158 per cent rise in jobs demanding critical thinking and a 65 per cent rise in jobs demanding creativity. Many unskilled and repetitive jobs are under threat, as are some in the engineering, accountancy and science disciplines. However jobs that require the human touch</w:t>
      </w:r>
      <w:r w:rsidR="00034459" w:rsidRPr="008A47AB">
        <w:rPr>
          <w:rFonts w:asciiTheme="minorHAnsi" w:hAnsiTheme="minorHAnsi"/>
          <w:color w:val="000000"/>
          <w:sz w:val="20"/>
          <w:szCs w:val="20"/>
          <w:shd w:val="clear" w:color="auto" w:fill="FFFFFF"/>
          <w:lang w:eastAsia="en-US"/>
        </w:rPr>
        <w:t>—</w:t>
      </w:r>
      <w:r w:rsidRPr="008A47AB">
        <w:rPr>
          <w:rFonts w:asciiTheme="minorHAnsi" w:hAnsiTheme="minorHAnsi"/>
          <w:color w:val="000000"/>
          <w:sz w:val="20"/>
          <w:szCs w:val="20"/>
          <w:shd w:val="clear" w:color="auto" w:fill="FFFFFF"/>
          <w:lang w:eastAsia="en-US"/>
        </w:rPr>
        <w:t>creative and emotional intelligence</w:t>
      </w:r>
      <w:r w:rsidR="00034459" w:rsidRPr="008A47AB">
        <w:rPr>
          <w:rFonts w:asciiTheme="minorHAnsi" w:hAnsiTheme="minorHAnsi"/>
          <w:color w:val="000000"/>
          <w:sz w:val="20"/>
          <w:szCs w:val="20"/>
          <w:shd w:val="clear" w:color="auto" w:fill="FFFFFF"/>
          <w:lang w:eastAsia="en-US"/>
        </w:rPr>
        <w:t>—</w:t>
      </w:r>
      <w:r w:rsidRPr="008A47AB">
        <w:rPr>
          <w:rFonts w:asciiTheme="minorHAnsi" w:hAnsiTheme="minorHAnsi"/>
          <w:color w:val="000000"/>
          <w:sz w:val="20"/>
          <w:szCs w:val="20"/>
          <w:shd w:val="clear" w:color="auto" w:fill="FFFFFF"/>
          <w:lang w:eastAsia="en-US"/>
        </w:rPr>
        <w:t>are much less vulnerable. Being so resilient in the face of automation they will be the jobs that will grow over the next 20-plus</w:t>
      </w:r>
      <w:r w:rsidRPr="008A47AB">
        <w:rPr>
          <w:rFonts w:asciiTheme="minorHAnsi" w:hAnsiTheme="minorHAnsi"/>
          <w:color w:val="000000"/>
          <w:spacing w:val="2"/>
          <w:sz w:val="20"/>
          <w:szCs w:val="20"/>
          <w:shd w:val="clear" w:color="auto" w:fill="FFFFFF"/>
          <w:lang w:eastAsia="en-US"/>
        </w:rPr>
        <w:t xml:space="preserve"> years.</w:t>
      </w:r>
      <w:r w:rsidR="00034459" w:rsidRPr="008A47AB">
        <w:rPr>
          <w:rFonts w:asciiTheme="minorHAnsi" w:hAnsiTheme="minorHAnsi"/>
          <w:color w:val="000000"/>
          <w:spacing w:val="2"/>
          <w:sz w:val="20"/>
          <w:szCs w:val="20"/>
          <w:shd w:val="clear" w:color="auto" w:fill="FFFFFF"/>
          <w:lang w:eastAsia="en-US"/>
        </w:rPr>
        <w:t>’</w:t>
      </w:r>
      <w:r w:rsidRPr="008A47AB">
        <w:rPr>
          <w:rFonts w:asciiTheme="minorHAnsi" w:hAnsiTheme="minorHAnsi"/>
          <w:color w:val="000000"/>
          <w:spacing w:val="2"/>
          <w:position w:val="6"/>
          <w:sz w:val="16"/>
          <w:szCs w:val="20"/>
          <w:shd w:val="clear" w:color="auto" w:fill="FFFFFF"/>
          <w:lang w:eastAsia="en-US"/>
        </w:rPr>
        <w:footnoteReference w:id="4"/>
      </w:r>
    </w:p>
    <w:p w:rsidR="008A47AB" w:rsidRDefault="008A47AB" w:rsidP="00A70F62">
      <w:pPr>
        <w:spacing w:after="0"/>
        <w:rPr>
          <w:color w:val="000000"/>
          <w:sz w:val="20"/>
          <w:szCs w:val="20"/>
          <w:shd w:val="clear" w:color="auto" w:fill="FFFFFF"/>
        </w:rPr>
      </w:pPr>
    </w:p>
    <w:p w:rsidR="00380ADC" w:rsidRPr="008A47AB" w:rsidRDefault="00A70F62" w:rsidP="00A70F62">
      <w:pPr>
        <w:spacing w:after="0"/>
        <w:rPr>
          <w:color w:val="000000"/>
          <w:sz w:val="20"/>
          <w:szCs w:val="20"/>
          <w:shd w:val="clear" w:color="auto" w:fill="FFFFFF"/>
        </w:rPr>
      </w:pPr>
      <w:r w:rsidRPr="008A47AB">
        <w:rPr>
          <w:color w:val="000000"/>
          <w:sz w:val="20"/>
          <w:szCs w:val="20"/>
          <w:shd w:val="clear" w:color="auto" w:fill="FFFFFF"/>
        </w:rPr>
        <w:t>Vocational courses in the performing arts will not lead to the total cohort of graduating students becoming elite performers, just as not all science graduates become research scientists. These courses also attract and nurture students with creative aptitude</w:t>
      </w:r>
      <w:r w:rsidR="00034459" w:rsidRPr="008A47AB">
        <w:rPr>
          <w:color w:val="000000"/>
          <w:sz w:val="20"/>
          <w:szCs w:val="20"/>
          <w:shd w:val="clear" w:color="auto" w:fill="FFFFFF"/>
        </w:rPr>
        <w:t>,</w:t>
      </w:r>
      <w:r w:rsidRPr="008A47AB">
        <w:rPr>
          <w:color w:val="000000"/>
          <w:sz w:val="20"/>
          <w:szCs w:val="20"/>
          <w:shd w:val="clear" w:color="auto" w:fill="FFFFFF"/>
        </w:rPr>
        <w:t xml:space="preserve"> some of whom will then progress into aligned jobs in the creative industries </w:t>
      </w:r>
      <w:r w:rsidR="00034459" w:rsidRPr="008A47AB">
        <w:rPr>
          <w:color w:val="000000"/>
          <w:sz w:val="20"/>
          <w:szCs w:val="20"/>
          <w:shd w:val="clear" w:color="auto" w:fill="FFFFFF"/>
        </w:rPr>
        <w:t xml:space="preserve">or </w:t>
      </w:r>
      <w:r w:rsidRPr="008A47AB">
        <w:rPr>
          <w:color w:val="000000"/>
          <w:sz w:val="20"/>
          <w:szCs w:val="20"/>
          <w:shd w:val="clear" w:color="auto" w:fill="FFFFFF"/>
        </w:rPr>
        <w:t xml:space="preserve">creative jobs in the broader sector. </w:t>
      </w:r>
    </w:p>
    <w:p w:rsidR="00A70F62" w:rsidRPr="008A47AB" w:rsidRDefault="00A70F62" w:rsidP="00A70F62">
      <w:pPr>
        <w:spacing w:after="0"/>
        <w:rPr>
          <w:color w:val="000000"/>
          <w:sz w:val="20"/>
          <w:szCs w:val="20"/>
          <w:shd w:val="clear" w:color="auto" w:fill="FFFFFF"/>
        </w:rPr>
      </w:pPr>
      <w:r w:rsidRPr="008A47AB">
        <w:rPr>
          <w:color w:val="000000"/>
          <w:sz w:val="20"/>
          <w:szCs w:val="20"/>
          <w:shd w:val="clear" w:color="auto" w:fill="FFFFFF"/>
        </w:rPr>
        <w:t xml:space="preserve"> </w:t>
      </w:r>
    </w:p>
    <w:p w:rsidR="00A70F62" w:rsidRPr="008A47AB" w:rsidRDefault="00A70F62" w:rsidP="00975798">
      <w:pPr>
        <w:rPr>
          <w:color w:val="000000"/>
          <w:sz w:val="20"/>
          <w:szCs w:val="20"/>
        </w:rPr>
      </w:pPr>
      <w:r w:rsidRPr="008A47AB">
        <w:rPr>
          <w:color w:val="000000"/>
          <w:sz w:val="20"/>
          <w:szCs w:val="20"/>
        </w:rPr>
        <w:t xml:space="preserve">AMPAG is highly critical of the draft regulations prepared by the </w:t>
      </w:r>
      <w:r w:rsidR="00034459" w:rsidRPr="008A47AB">
        <w:rPr>
          <w:color w:val="000000"/>
          <w:sz w:val="20"/>
          <w:szCs w:val="20"/>
        </w:rPr>
        <w:t>D</w:t>
      </w:r>
      <w:r w:rsidRPr="008A47AB">
        <w:rPr>
          <w:color w:val="000000"/>
          <w:sz w:val="20"/>
          <w:szCs w:val="20"/>
        </w:rPr>
        <w:t xml:space="preserve">epartment of Education which fail to include eligibility for VET student loans to any </w:t>
      </w:r>
      <w:r w:rsidR="00034459" w:rsidRPr="008A47AB">
        <w:rPr>
          <w:color w:val="000000"/>
          <w:sz w:val="20"/>
          <w:szCs w:val="20"/>
        </w:rPr>
        <w:t xml:space="preserve">performing arts performance </w:t>
      </w:r>
      <w:r w:rsidRPr="008A47AB">
        <w:rPr>
          <w:color w:val="000000"/>
          <w:sz w:val="20"/>
          <w:szCs w:val="20"/>
        </w:rPr>
        <w:t>courses.</w:t>
      </w:r>
    </w:p>
    <w:p w:rsidR="00A70F62" w:rsidRPr="008A47AB" w:rsidRDefault="00A70F62" w:rsidP="000F1C69">
      <w:pPr>
        <w:pBdr>
          <w:top w:val="single" w:sz="4" w:space="1" w:color="auto"/>
          <w:left w:val="single" w:sz="4" w:space="4" w:color="auto"/>
          <w:bottom w:val="single" w:sz="4" w:space="1" w:color="auto"/>
          <w:right w:val="single" w:sz="4" w:space="4" w:color="auto"/>
        </w:pBdr>
        <w:spacing w:after="0"/>
        <w:rPr>
          <w:b/>
          <w:color w:val="C00000"/>
          <w:sz w:val="20"/>
          <w:szCs w:val="20"/>
        </w:rPr>
      </w:pPr>
      <w:r w:rsidRPr="008A47AB">
        <w:rPr>
          <w:b/>
          <w:color w:val="C00000"/>
          <w:sz w:val="20"/>
          <w:szCs w:val="20"/>
        </w:rPr>
        <w:t xml:space="preserve">Recommendation </w:t>
      </w:r>
      <w:r w:rsidR="0070474E" w:rsidRPr="008A47AB">
        <w:rPr>
          <w:b/>
          <w:color w:val="C00000"/>
          <w:sz w:val="20"/>
          <w:szCs w:val="20"/>
        </w:rPr>
        <w:t>9</w:t>
      </w:r>
    </w:p>
    <w:p w:rsidR="00795C53" w:rsidRPr="008A47AB" w:rsidRDefault="00A70F62" w:rsidP="00795C53">
      <w:pPr>
        <w:pBdr>
          <w:top w:val="single" w:sz="4" w:space="1" w:color="auto"/>
          <w:left w:val="single" w:sz="4" w:space="4" w:color="auto"/>
          <w:bottom w:val="single" w:sz="4" w:space="1" w:color="auto"/>
          <w:right w:val="single" w:sz="4" w:space="4" w:color="auto"/>
        </w:pBdr>
        <w:rPr>
          <w:color w:val="000000"/>
          <w:sz w:val="20"/>
          <w:szCs w:val="20"/>
        </w:rPr>
      </w:pPr>
      <w:r w:rsidRPr="008A47AB">
        <w:rPr>
          <w:color w:val="000000"/>
          <w:sz w:val="20"/>
          <w:szCs w:val="20"/>
        </w:rPr>
        <w:t>Students enrolled in performing arts performance course</w:t>
      </w:r>
      <w:r w:rsidR="00401B38" w:rsidRPr="008A47AB">
        <w:rPr>
          <w:color w:val="000000"/>
          <w:sz w:val="20"/>
          <w:szCs w:val="20"/>
        </w:rPr>
        <w:t>s</w:t>
      </w:r>
      <w:r w:rsidRPr="008A47AB">
        <w:rPr>
          <w:color w:val="000000"/>
          <w:sz w:val="20"/>
          <w:szCs w:val="20"/>
        </w:rPr>
        <w:t xml:space="preserve"> run by reputable training provide</w:t>
      </w:r>
      <w:r w:rsidR="00034459" w:rsidRPr="008A47AB">
        <w:rPr>
          <w:color w:val="000000"/>
          <w:sz w:val="20"/>
          <w:szCs w:val="20"/>
        </w:rPr>
        <w:t>r</w:t>
      </w:r>
      <w:r w:rsidRPr="008A47AB">
        <w:rPr>
          <w:color w:val="000000"/>
          <w:sz w:val="20"/>
          <w:szCs w:val="20"/>
        </w:rPr>
        <w:t xml:space="preserve">s </w:t>
      </w:r>
      <w:r w:rsidR="00795C53" w:rsidRPr="008A47AB">
        <w:rPr>
          <w:color w:val="000000"/>
          <w:sz w:val="20"/>
          <w:szCs w:val="20"/>
        </w:rPr>
        <w:t xml:space="preserve">(commercial, government and not-for-profit) </w:t>
      </w:r>
      <w:r w:rsidRPr="008A47AB">
        <w:rPr>
          <w:color w:val="000000"/>
          <w:sz w:val="20"/>
          <w:szCs w:val="20"/>
        </w:rPr>
        <w:t xml:space="preserve">with demonstrated links to the industry should have access to support through the VET student loan scheme. </w:t>
      </w:r>
    </w:p>
    <w:p w:rsidR="00795C53" w:rsidRPr="008A47AB" w:rsidRDefault="00795C53" w:rsidP="00795C53">
      <w:pPr>
        <w:pStyle w:val="ListParagraph"/>
        <w:autoSpaceDE w:val="0"/>
        <w:autoSpaceDN w:val="0"/>
        <w:adjustRightInd w:val="0"/>
        <w:spacing w:after="0" w:line="240" w:lineRule="auto"/>
        <w:rPr>
          <w:rFonts w:cs="BookAntiqua"/>
        </w:rPr>
      </w:pPr>
    </w:p>
    <w:p w:rsidR="00975798" w:rsidRPr="008A47AB" w:rsidRDefault="00975798" w:rsidP="009C7F86">
      <w:pPr>
        <w:pStyle w:val="ListParagraph"/>
        <w:numPr>
          <w:ilvl w:val="0"/>
          <w:numId w:val="12"/>
        </w:numPr>
        <w:rPr>
          <w:b/>
          <w:color w:val="000000"/>
        </w:rPr>
      </w:pPr>
      <w:r w:rsidRPr="008A47AB">
        <w:rPr>
          <w:b/>
          <w:color w:val="000000"/>
        </w:rPr>
        <w:t>Philanthropy</w:t>
      </w:r>
    </w:p>
    <w:p w:rsidR="00401B38" w:rsidRPr="008A47AB" w:rsidRDefault="00A70F62" w:rsidP="00034459">
      <w:pPr>
        <w:rPr>
          <w:color w:val="000000"/>
          <w:sz w:val="20"/>
          <w:szCs w:val="20"/>
        </w:rPr>
      </w:pPr>
      <w:r w:rsidRPr="008A47AB">
        <w:rPr>
          <w:color w:val="000000"/>
          <w:sz w:val="20"/>
          <w:szCs w:val="20"/>
        </w:rPr>
        <w:t xml:space="preserve">Philanthropy </w:t>
      </w:r>
      <w:r w:rsidR="00AD0CF2" w:rsidRPr="008A47AB">
        <w:rPr>
          <w:color w:val="000000"/>
          <w:sz w:val="20"/>
          <w:szCs w:val="20"/>
        </w:rPr>
        <w:t>provides valuable support to Australia’s art sector</w:t>
      </w:r>
      <w:r w:rsidR="00034459" w:rsidRPr="008A47AB">
        <w:rPr>
          <w:color w:val="000000"/>
          <w:sz w:val="20"/>
          <w:szCs w:val="20"/>
        </w:rPr>
        <w:t>;</w:t>
      </w:r>
      <w:r w:rsidR="00AD0CF2" w:rsidRPr="008A47AB">
        <w:rPr>
          <w:color w:val="000000"/>
          <w:sz w:val="20"/>
          <w:szCs w:val="20"/>
        </w:rPr>
        <w:t xml:space="preserve"> however</w:t>
      </w:r>
      <w:r w:rsidR="00034459" w:rsidRPr="008A47AB">
        <w:rPr>
          <w:color w:val="000000"/>
          <w:sz w:val="20"/>
          <w:szCs w:val="20"/>
        </w:rPr>
        <w:t>,</w:t>
      </w:r>
      <w:r w:rsidR="00380ADC" w:rsidRPr="008A47AB">
        <w:rPr>
          <w:color w:val="000000"/>
          <w:sz w:val="20"/>
          <w:szCs w:val="20"/>
        </w:rPr>
        <w:t xml:space="preserve"> </w:t>
      </w:r>
      <w:r w:rsidR="00AD0CF2" w:rsidRPr="008A47AB">
        <w:rPr>
          <w:color w:val="000000"/>
          <w:sz w:val="20"/>
          <w:szCs w:val="20"/>
        </w:rPr>
        <w:t>there is a need to grow the giving culture within society. S</w:t>
      </w:r>
      <w:r w:rsidR="00975798" w:rsidRPr="008A47AB">
        <w:rPr>
          <w:color w:val="000000"/>
          <w:sz w:val="20"/>
          <w:szCs w:val="20"/>
        </w:rPr>
        <w:t>timulus in the form of matched funding to build Australian philanthropic support for the arts across the community</w:t>
      </w:r>
      <w:r w:rsidR="00AD0CF2" w:rsidRPr="008A47AB">
        <w:rPr>
          <w:color w:val="000000"/>
          <w:sz w:val="20"/>
          <w:szCs w:val="20"/>
        </w:rPr>
        <w:t xml:space="preserve"> is very effective</w:t>
      </w:r>
      <w:r w:rsidR="00975798" w:rsidRPr="008A47AB">
        <w:rPr>
          <w:color w:val="000000"/>
          <w:sz w:val="20"/>
          <w:szCs w:val="20"/>
        </w:rPr>
        <w:t>.</w:t>
      </w:r>
      <w:r w:rsidR="00893F5F" w:rsidRPr="008A47AB">
        <w:rPr>
          <w:color w:val="000000"/>
          <w:sz w:val="20"/>
          <w:szCs w:val="20"/>
        </w:rPr>
        <w:t xml:space="preserve"> </w:t>
      </w:r>
    </w:p>
    <w:p w:rsidR="00AD0CF2" w:rsidRPr="008A47AB" w:rsidRDefault="00401B38" w:rsidP="00034459">
      <w:pPr>
        <w:rPr>
          <w:color w:val="000000"/>
          <w:sz w:val="20"/>
          <w:szCs w:val="20"/>
        </w:rPr>
      </w:pPr>
      <w:r w:rsidRPr="008A47AB">
        <w:rPr>
          <w:color w:val="000000"/>
          <w:sz w:val="20"/>
          <w:szCs w:val="20"/>
        </w:rPr>
        <w:t xml:space="preserve">The </w:t>
      </w:r>
      <w:r w:rsidR="00034459" w:rsidRPr="008A47AB">
        <w:rPr>
          <w:color w:val="000000"/>
          <w:sz w:val="20"/>
          <w:szCs w:val="20"/>
        </w:rPr>
        <w:t>g</w:t>
      </w:r>
      <w:r w:rsidR="00380ADC" w:rsidRPr="008A47AB">
        <w:rPr>
          <w:color w:val="000000"/>
          <w:sz w:val="20"/>
          <w:szCs w:val="20"/>
        </w:rPr>
        <w:t>overnment’s current</w:t>
      </w:r>
      <w:r w:rsidR="00893F5F" w:rsidRPr="008A47AB">
        <w:rPr>
          <w:color w:val="000000"/>
          <w:sz w:val="20"/>
          <w:szCs w:val="20"/>
        </w:rPr>
        <w:t xml:space="preserve"> C</w:t>
      </w:r>
      <w:r w:rsidR="00380ADC" w:rsidRPr="008A47AB">
        <w:rPr>
          <w:color w:val="000000"/>
          <w:sz w:val="20"/>
          <w:szCs w:val="20"/>
        </w:rPr>
        <w:t xml:space="preserve">reative Partnerships Australia </w:t>
      </w:r>
      <w:r w:rsidR="00893F5F" w:rsidRPr="008A47AB">
        <w:rPr>
          <w:color w:val="000000"/>
          <w:sz w:val="20"/>
          <w:szCs w:val="20"/>
        </w:rPr>
        <w:t xml:space="preserve">programming funding ends </w:t>
      </w:r>
      <w:r w:rsidR="00034459" w:rsidRPr="008A47AB">
        <w:rPr>
          <w:color w:val="000000"/>
          <w:sz w:val="20"/>
          <w:szCs w:val="20"/>
        </w:rPr>
        <w:t xml:space="preserve">in </w:t>
      </w:r>
      <w:r w:rsidR="00893F5F" w:rsidRPr="008A47AB">
        <w:rPr>
          <w:color w:val="000000"/>
          <w:sz w:val="20"/>
          <w:szCs w:val="20"/>
        </w:rPr>
        <w:t xml:space="preserve">June 2017. AMPAG supports </w:t>
      </w:r>
      <w:r w:rsidR="00AD0CF2" w:rsidRPr="008A47AB">
        <w:rPr>
          <w:color w:val="000000"/>
          <w:sz w:val="20"/>
          <w:szCs w:val="20"/>
        </w:rPr>
        <w:t xml:space="preserve">an extension of the </w:t>
      </w:r>
      <w:r w:rsidR="00380ADC" w:rsidRPr="008A47AB">
        <w:rPr>
          <w:color w:val="000000"/>
          <w:sz w:val="20"/>
          <w:szCs w:val="20"/>
        </w:rPr>
        <w:t>program</w:t>
      </w:r>
      <w:r w:rsidR="00AD0CF2" w:rsidRPr="008A47AB">
        <w:rPr>
          <w:color w:val="000000"/>
          <w:sz w:val="20"/>
          <w:szCs w:val="20"/>
        </w:rPr>
        <w:t xml:space="preserve"> in </w:t>
      </w:r>
      <w:r w:rsidR="00491B27" w:rsidRPr="008A47AB">
        <w:rPr>
          <w:color w:val="000000"/>
          <w:sz w:val="20"/>
          <w:szCs w:val="20"/>
        </w:rPr>
        <w:t>20</w:t>
      </w:r>
      <w:r w:rsidR="00AD0CF2" w:rsidRPr="008A47AB">
        <w:rPr>
          <w:color w:val="000000"/>
          <w:sz w:val="20"/>
          <w:szCs w:val="20"/>
        </w:rPr>
        <w:t>17</w:t>
      </w:r>
      <w:r w:rsidR="00034459" w:rsidRPr="008A47AB">
        <w:rPr>
          <w:color w:val="000000"/>
          <w:sz w:val="20"/>
          <w:szCs w:val="20"/>
        </w:rPr>
        <w:t>–</w:t>
      </w:r>
      <w:r w:rsidR="00AD0CF2" w:rsidRPr="008A47AB">
        <w:rPr>
          <w:color w:val="000000"/>
          <w:sz w:val="20"/>
          <w:szCs w:val="20"/>
        </w:rPr>
        <w:t>18 and a review</w:t>
      </w:r>
      <w:r w:rsidR="00380ADC" w:rsidRPr="008A47AB">
        <w:rPr>
          <w:color w:val="000000"/>
          <w:sz w:val="20"/>
          <w:szCs w:val="20"/>
        </w:rPr>
        <w:t xml:space="preserve"> of</w:t>
      </w:r>
      <w:r w:rsidR="00AD0CF2" w:rsidRPr="008A47AB">
        <w:rPr>
          <w:color w:val="000000"/>
          <w:sz w:val="20"/>
          <w:szCs w:val="20"/>
        </w:rPr>
        <w:t xml:space="preserve"> </w:t>
      </w:r>
      <w:r w:rsidR="00034459" w:rsidRPr="008A47AB">
        <w:rPr>
          <w:color w:val="000000"/>
          <w:sz w:val="20"/>
          <w:szCs w:val="20"/>
        </w:rPr>
        <w:t xml:space="preserve">the </w:t>
      </w:r>
      <w:r w:rsidR="00AD0CF2" w:rsidRPr="008A47AB">
        <w:rPr>
          <w:color w:val="000000"/>
          <w:sz w:val="20"/>
          <w:szCs w:val="20"/>
        </w:rPr>
        <w:t>impact and strategic outlook to inform future planning and support</w:t>
      </w:r>
      <w:r w:rsidR="00491B27" w:rsidRPr="008A47AB">
        <w:rPr>
          <w:color w:val="000000"/>
          <w:sz w:val="20"/>
          <w:szCs w:val="20"/>
        </w:rPr>
        <w:t xml:space="preserve"> for CPA</w:t>
      </w:r>
      <w:r w:rsidR="00AD0CF2" w:rsidRPr="008A47AB">
        <w:rPr>
          <w:color w:val="000000"/>
          <w:sz w:val="20"/>
          <w:szCs w:val="20"/>
        </w:rPr>
        <w:t>.</w:t>
      </w:r>
    </w:p>
    <w:p w:rsidR="006A34FE" w:rsidRPr="008A47AB" w:rsidRDefault="00795C53" w:rsidP="006A34FE">
      <w:pPr>
        <w:pBdr>
          <w:top w:val="single" w:sz="4" w:space="1" w:color="auto"/>
          <w:left w:val="single" w:sz="4" w:space="4" w:color="auto"/>
          <w:bottom w:val="single" w:sz="4" w:space="1" w:color="auto"/>
          <w:right w:val="single" w:sz="4" w:space="4" w:color="auto"/>
        </w:pBdr>
        <w:rPr>
          <w:b/>
          <w:color w:val="C00000"/>
          <w:sz w:val="20"/>
          <w:szCs w:val="20"/>
        </w:rPr>
      </w:pPr>
      <w:r w:rsidRPr="008A47AB">
        <w:rPr>
          <w:b/>
          <w:color w:val="C00000"/>
          <w:sz w:val="20"/>
          <w:szCs w:val="20"/>
        </w:rPr>
        <w:t xml:space="preserve">Recommendation </w:t>
      </w:r>
      <w:r w:rsidR="0070474E" w:rsidRPr="008A47AB">
        <w:rPr>
          <w:b/>
          <w:color w:val="C00000"/>
          <w:sz w:val="20"/>
          <w:szCs w:val="20"/>
        </w:rPr>
        <w:t>10</w:t>
      </w:r>
    </w:p>
    <w:p w:rsidR="00795C53" w:rsidRPr="008A47AB" w:rsidRDefault="00795C53" w:rsidP="006A34FE">
      <w:pPr>
        <w:pBdr>
          <w:top w:val="single" w:sz="4" w:space="1" w:color="auto"/>
          <w:left w:val="single" w:sz="4" w:space="4" w:color="auto"/>
          <w:bottom w:val="single" w:sz="4" w:space="1" w:color="auto"/>
          <w:right w:val="single" w:sz="4" w:space="4" w:color="auto"/>
        </w:pBdr>
        <w:rPr>
          <w:b/>
          <w:color w:val="C00000"/>
          <w:sz w:val="20"/>
          <w:szCs w:val="20"/>
        </w:rPr>
      </w:pPr>
      <w:r w:rsidRPr="008A47AB">
        <w:rPr>
          <w:sz w:val="20"/>
          <w:szCs w:val="20"/>
        </w:rPr>
        <w:t xml:space="preserve">The Federal Government should </w:t>
      </w:r>
      <w:r w:rsidRPr="008A47AB">
        <w:rPr>
          <w:color w:val="000000"/>
          <w:sz w:val="20"/>
          <w:szCs w:val="20"/>
        </w:rPr>
        <w:t xml:space="preserve">continue to support and encourage private giving through matched funding as a complement to (not a replacement of) core government support in the arts through a matched funding program. </w:t>
      </w:r>
    </w:p>
    <w:p w:rsidR="00795C53" w:rsidRPr="008A47AB" w:rsidRDefault="00795C53" w:rsidP="00795C53">
      <w:pPr>
        <w:pBdr>
          <w:top w:val="single" w:sz="4" w:space="1" w:color="auto"/>
          <w:left w:val="single" w:sz="4" w:space="4" w:color="auto"/>
          <w:bottom w:val="single" w:sz="4" w:space="1" w:color="auto"/>
          <w:right w:val="single" w:sz="4" w:space="4" w:color="auto"/>
        </w:pBdr>
        <w:spacing w:after="0" w:line="240" w:lineRule="auto"/>
        <w:rPr>
          <w:color w:val="000000"/>
          <w:sz w:val="20"/>
          <w:szCs w:val="20"/>
        </w:rPr>
      </w:pPr>
      <w:r w:rsidRPr="008A47AB">
        <w:rPr>
          <w:color w:val="000000"/>
          <w:sz w:val="20"/>
          <w:szCs w:val="20"/>
        </w:rPr>
        <w:t>This program funding for CPA should be extended to 2017–18 and the CPA operation should be reviewed to identify programming needs for the next four years.</w:t>
      </w:r>
    </w:p>
    <w:p w:rsidR="00795C53" w:rsidRDefault="00795C53" w:rsidP="00795C53">
      <w:pPr>
        <w:rPr>
          <w:color w:val="000000"/>
          <w:sz w:val="20"/>
          <w:szCs w:val="20"/>
        </w:rPr>
      </w:pPr>
    </w:p>
    <w:p w:rsidR="008A47AB" w:rsidRPr="008A47AB" w:rsidRDefault="008A47AB" w:rsidP="00795C53">
      <w:pPr>
        <w:rPr>
          <w:color w:val="000000"/>
          <w:sz w:val="20"/>
          <w:szCs w:val="20"/>
        </w:rPr>
      </w:pPr>
    </w:p>
    <w:p w:rsidR="006A34FE" w:rsidRPr="008A47AB" w:rsidRDefault="006A34FE" w:rsidP="006A34FE">
      <w:pPr>
        <w:pStyle w:val="ListParagraph"/>
        <w:numPr>
          <w:ilvl w:val="0"/>
          <w:numId w:val="12"/>
        </w:numPr>
        <w:rPr>
          <w:b/>
          <w:color w:val="262626" w:themeColor="text1" w:themeTint="D9"/>
          <w:sz w:val="20"/>
          <w:szCs w:val="20"/>
        </w:rPr>
      </w:pPr>
      <w:r w:rsidRPr="008A47AB">
        <w:rPr>
          <w:b/>
          <w:color w:val="262626" w:themeColor="text1" w:themeTint="D9"/>
          <w:sz w:val="20"/>
          <w:szCs w:val="20"/>
        </w:rPr>
        <w:t xml:space="preserve">Seed Funding for new works </w:t>
      </w:r>
    </w:p>
    <w:p w:rsidR="00F173B8" w:rsidRDefault="006A34FE" w:rsidP="00F173B8">
      <w:pPr>
        <w:rPr>
          <w:color w:val="000000"/>
          <w:sz w:val="20"/>
          <w:szCs w:val="20"/>
        </w:rPr>
      </w:pPr>
      <w:r w:rsidRPr="008A47AB">
        <w:rPr>
          <w:color w:val="262626" w:themeColor="text1" w:themeTint="D9"/>
          <w:sz w:val="20"/>
          <w:szCs w:val="20"/>
        </w:rPr>
        <w:t xml:space="preserve">Major new Australian works define an evolving national identity, provide the opportunity for innovation and creativity, and enhance the reputation of </w:t>
      </w:r>
      <w:r w:rsidR="00F173B8" w:rsidRPr="008A47AB">
        <w:rPr>
          <w:color w:val="262626" w:themeColor="text1" w:themeTint="D9"/>
          <w:sz w:val="20"/>
          <w:szCs w:val="20"/>
        </w:rPr>
        <w:t>Australia internationally</w:t>
      </w:r>
      <w:r w:rsidRPr="008A47AB">
        <w:rPr>
          <w:color w:val="262626" w:themeColor="text1" w:themeTint="D9"/>
          <w:sz w:val="20"/>
          <w:szCs w:val="20"/>
        </w:rPr>
        <w:t>. Australia’s capacity to develop new ambiti</w:t>
      </w:r>
      <w:r w:rsidR="00F173B8" w:rsidRPr="008A47AB">
        <w:rPr>
          <w:color w:val="262626" w:themeColor="text1" w:themeTint="D9"/>
          <w:sz w:val="20"/>
          <w:szCs w:val="20"/>
        </w:rPr>
        <w:t xml:space="preserve">ous works, </w:t>
      </w:r>
      <w:r w:rsidR="00F173B8" w:rsidRPr="008A47AB">
        <w:rPr>
          <w:color w:val="000000"/>
          <w:sz w:val="20"/>
          <w:szCs w:val="20"/>
        </w:rPr>
        <w:t>including work with export</w:t>
      </w:r>
      <w:r w:rsidR="00924524">
        <w:rPr>
          <w:color w:val="000000"/>
          <w:sz w:val="20"/>
          <w:szCs w:val="20"/>
        </w:rPr>
        <w:t xml:space="preserve"> potential is very</w:t>
      </w:r>
      <w:r w:rsidRPr="008A47AB">
        <w:rPr>
          <w:color w:val="262626" w:themeColor="text1" w:themeTint="D9"/>
          <w:sz w:val="20"/>
          <w:szCs w:val="20"/>
        </w:rPr>
        <w:t xml:space="preserve"> limited</w:t>
      </w:r>
      <w:r w:rsidR="00F173B8" w:rsidRPr="008A47AB">
        <w:rPr>
          <w:color w:val="262626" w:themeColor="text1" w:themeTint="D9"/>
          <w:sz w:val="20"/>
          <w:szCs w:val="20"/>
        </w:rPr>
        <w:t xml:space="preserve"> </w:t>
      </w:r>
      <w:r w:rsidR="00F173B8" w:rsidRPr="008A47AB">
        <w:rPr>
          <w:color w:val="000000"/>
          <w:sz w:val="20"/>
          <w:szCs w:val="20"/>
        </w:rPr>
        <w:t>and this in turn limits sector economic and employment growth.</w:t>
      </w:r>
    </w:p>
    <w:p w:rsidR="00255D2D" w:rsidRPr="008A47AB" w:rsidRDefault="00255D2D" w:rsidP="00F173B8">
      <w:pPr>
        <w:rPr>
          <w:color w:val="000000"/>
          <w:sz w:val="20"/>
          <w:szCs w:val="20"/>
        </w:rPr>
      </w:pPr>
      <w:r>
        <w:rPr>
          <w:color w:val="000000"/>
          <w:sz w:val="20"/>
          <w:szCs w:val="20"/>
        </w:rPr>
        <w:t xml:space="preserve">In 2016 arts tourism grew by 16 per cent. Original major scale works will help stimulate further  international tourism  as well as potential to export  our IP. </w:t>
      </w:r>
    </w:p>
    <w:p w:rsidR="006A34FE" w:rsidRPr="008A47AB" w:rsidRDefault="006A34FE" w:rsidP="006A34FE">
      <w:pPr>
        <w:spacing w:after="240"/>
        <w:rPr>
          <w:color w:val="000000"/>
          <w:sz w:val="20"/>
          <w:szCs w:val="20"/>
        </w:rPr>
      </w:pPr>
      <w:r w:rsidRPr="008A47AB">
        <w:rPr>
          <w:color w:val="000000"/>
          <w:sz w:val="20"/>
          <w:szCs w:val="20"/>
        </w:rPr>
        <w:t>AMPAG supports the establishment of a seed investment and partnership program that enable</w:t>
      </w:r>
      <w:r w:rsidR="00F173B8" w:rsidRPr="008A47AB">
        <w:rPr>
          <w:color w:val="000000"/>
          <w:sz w:val="20"/>
          <w:szCs w:val="20"/>
        </w:rPr>
        <w:t>s</w:t>
      </w:r>
      <w:r w:rsidRPr="008A47AB">
        <w:rPr>
          <w:color w:val="000000"/>
          <w:sz w:val="20"/>
          <w:szCs w:val="20"/>
        </w:rPr>
        <w:t xml:space="preserve"> the creation of major performing art works outside the festival setting that are so often beyond the scope of an individual organisation. </w:t>
      </w:r>
    </w:p>
    <w:p w:rsidR="006A34FE" w:rsidRPr="008A47AB" w:rsidRDefault="006A34FE" w:rsidP="006A34FE">
      <w:pPr>
        <w:spacing w:after="240"/>
        <w:rPr>
          <w:color w:val="000000"/>
          <w:sz w:val="20"/>
          <w:szCs w:val="20"/>
        </w:rPr>
      </w:pPr>
      <w:r w:rsidRPr="008A47AB">
        <w:rPr>
          <w:color w:val="000000"/>
          <w:sz w:val="20"/>
          <w:szCs w:val="20"/>
        </w:rPr>
        <w:t xml:space="preserve">This </w:t>
      </w:r>
      <w:r w:rsidRPr="008A47AB" w:rsidDel="00FD364E">
        <w:rPr>
          <w:color w:val="000000"/>
          <w:sz w:val="20"/>
          <w:szCs w:val="20"/>
        </w:rPr>
        <w:t xml:space="preserve"> </w:t>
      </w:r>
      <w:r w:rsidRPr="008A47AB">
        <w:rPr>
          <w:color w:val="000000"/>
          <w:sz w:val="20"/>
          <w:szCs w:val="20"/>
        </w:rPr>
        <w:t xml:space="preserve">acknowledges the wide-ranging impact of previous major Australian works primarily limited to the Major Festival Initiative—for example, </w:t>
      </w:r>
      <w:r w:rsidRPr="008A47AB">
        <w:rPr>
          <w:i/>
          <w:color w:val="000000"/>
          <w:sz w:val="20"/>
          <w:szCs w:val="20"/>
        </w:rPr>
        <w:t xml:space="preserve">The Rabbits </w:t>
      </w:r>
      <w:r w:rsidRPr="008A47AB">
        <w:rPr>
          <w:color w:val="000000"/>
          <w:sz w:val="20"/>
          <w:szCs w:val="20"/>
        </w:rPr>
        <w:t>(Opera Australia &amp; Barking Gecko co-production in association with West Australian Opera),</w:t>
      </w:r>
      <w:r w:rsidRPr="008A47AB">
        <w:rPr>
          <w:i/>
          <w:color w:val="000000"/>
          <w:sz w:val="20"/>
          <w:szCs w:val="20"/>
        </w:rPr>
        <w:t xml:space="preserve"> Cloudstreet </w:t>
      </w:r>
      <w:r w:rsidRPr="008A47AB">
        <w:rPr>
          <w:color w:val="000000"/>
          <w:sz w:val="20"/>
          <w:szCs w:val="20"/>
        </w:rPr>
        <w:t xml:space="preserve">(Belvoir and Black Swan State Theatre co- production), </w:t>
      </w:r>
      <w:r w:rsidRPr="008A47AB">
        <w:rPr>
          <w:i/>
          <w:color w:val="000000"/>
          <w:sz w:val="20"/>
          <w:szCs w:val="20"/>
        </w:rPr>
        <w:t>Ladies in Black</w:t>
      </w:r>
      <w:r w:rsidRPr="008A47AB">
        <w:rPr>
          <w:color w:val="000000"/>
          <w:sz w:val="20"/>
          <w:szCs w:val="20"/>
        </w:rPr>
        <w:t xml:space="preserve"> (Queensland Theatre Company), </w:t>
      </w:r>
      <w:r w:rsidRPr="008A47AB">
        <w:rPr>
          <w:i/>
          <w:color w:val="000000"/>
          <w:sz w:val="20"/>
          <w:szCs w:val="20"/>
        </w:rPr>
        <w:t>The</w:t>
      </w:r>
      <w:r w:rsidRPr="008A47AB">
        <w:rPr>
          <w:color w:val="000000"/>
          <w:sz w:val="20"/>
          <w:szCs w:val="20"/>
        </w:rPr>
        <w:t xml:space="preserve"> </w:t>
      </w:r>
      <w:r w:rsidRPr="008A47AB">
        <w:rPr>
          <w:i/>
          <w:color w:val="000000"/>
          <w:sz w:val="20"/>
          <w:szCs w:val="20"/>
        </w:rPr>
        <w:t xml:space="preserve">Secret River </w:t>
      </w:r>
      <w:r w:rsidRPr="008A47AB">
        <w:rPr>
          <w:color w:val="000000"/>
          <w:sz w:val="20"/>
          <w:szCs w:val="20"/>
        </w:rPr>
        <w:t xml:space="preserve">(Sydney Theatre Company), </w:t>
      </w:r>
      <w:r w:rsidRPr="008A47AB">
        <w:rPr>
          <w:i/>
          <w:color w:val="000000"/>
          <w:sz w:val="20"/>
          <w:szCs w:val="20"/>
        </w:rPr>
        <w:t>Black Diggers</w:t>
      </w:r>
      <w:r w:rsidRPr="008A47AB">
        <w:rPr>
          <w:color w:val="000000"/>
          <w:sz w:val="20"/>
          <w:szCs w:val="20"/>
        </w:rPr>
        <w:t xml:space="preserve"> (Queensland Theatre Company), Graeme Murphy’s  </w:t>
      </w:r>
      <w:r w:rsidRPr="008A47AB">
        <w:rPr>
          <w:i/>
          <w:color w:val="000000"/>
          <w:sz w:val="20"/>
          <w:szCs w:val="20"/>
        </w:rPr>
        <w:t>Swan Lake</w:t>
      </w:r>
      <w:r w:rsidRPr="008A47AB">
        <w:rPr>
          <w:color w:val="000000"/>
          <w:sz w:val="20"/>
          <w:szCs w:val="20"/>
        </w:rPr>
        <w:t xml:space="preserve"> ( The Australian Ballet) and </w:t>
      </w:r>
      <w:r w:rsidRPr="008A47AB">
        <w:rPr>
          <w:i/>
          <w:color w:val="000000"/>
          <w:sz w:val="20"/>
          <w:szCs w:val="20"/>
        </w:rPr>
        <w:t xml:space="preserve">The Reef </w:t>
      </w:r>
      <w:r w:rsidRPr="008A47AB">
        <w:rPr>
          <w:color w:val="000000"/>
          <w:sz w:val="20"/>
          <w:szCs w:val="20"/>
        </w:rPr>
        <w:t xml:space="preserve">(Australian Chamber Orchestra and Tura New Music co-production). </w:t>
      </w:r>
    </w:p>
    <w:p w:rsidR="006A34FE" w:rsidRPr="008A47AB" w:rsidRDefault="006A34FE" w:rsidP="006A34FE">
      <w:pPr>
        <w:pBdr>
          <w:top w:val="single" w:sz="4" w:space="1" w:color="auto"/>
          <w:left w:val="single" w:sz="4" w:space="4" w:color="auto"/>
          <w:bottom w:val="single" w:sz="4" w:space="1" w:color="auto"/>
          <w:right w:val="single" w:sz="4" w:space="4" w:color="auto"/>
        </w:pBdr>
        <w:rPr>
          <w:b/>
          <w:color w:val="C00000"/>
          <w:sz w:val="20"/>
          <w:szCs w:val="20"/>
        </w:rPr>
      </w:pPr>
      <w:r w:rsidRPr="008A47AB">
        <w:rPr>
          <w:b/>
          <w:color w:val="C00000"/>
          <w:sz w:val="20"/>
          <w:szCs w:val="20"/>
        </w:rPr>
        <w:t xml:space="preserve">Recommendation 11 </w:t>
      </w:r>
    </w:p>
    <w:p w:rsidR="006A34FE" w:rsidRPr="008A47AB" w:rsidRDefault="006A34FE" w:rsidP="006A34FE">
      <w:pPr>
        <w:pBdr>
          <w:top w:val="single" w:sz="4" w:space="1" w:color="auto"/>
          <w:left w:val="single" w:sz="4" w:space="4" w:color="auto"/>
          <w:bottom w:val="single" w:sz="4" w:space="1" w:color="auto"/>
          <w:right w:val="single" w:sz="4" w:space="4" w:color="auto"/>
        </w:pBdr>
        <w:spacing w:after="240"/>
        <w:rPr>
          <w:color w:val="000000"/>
          <w:sz w:val="20"/>
          <w:szCs w:val="20"/>
        </w:rPr>
      </w:pPr>
      <w:r w:rsidRPr="008A47AB">
        <w:rPr>
          <w:color w:val="000000"/>
          <w:sz w:val="20"/>
          <w:szCs w:val="20"/>
        </w:rPr>
        <w:t xml:space="preserve">AMPAG recommends government stimulate development of original IP through a $20 million </w:t>
      </w:r>
      <w:r w:rsidR="00F173B8" w:rsidRPr="008A47AB">
        <w:rPr>
          <w:color w:val="000000"/>
          <w:sz w:val="20"/>
          <w:szCs w:val="20"/>
        </w:rPr>
        <w:t xml:space="preserve">over 4 years </w:t>
      </w:r>
      <w:r w:rsidRPr="008A47AB">
        <w:rPr>
          <w:color w:val="000000"/>
          <w:sz w:val="20"/>
          <w:szCs w:val="20"/>
        </w:rPr>
        <w:t xml:space="preserve">seed fund for new innovative works of scale.   </w:t>
      </w:r>
    </w:p>
    <w:p w:rsidR="00F173B8" w:rsidRPr="008A47AB" w:rsidRDefault="006A34FE" w:rsidP="00EF6C98">
      <w:pPr>
        <w:rPr>
          <w:i/>
          <w:color w:val="000000"/>
          <w:sz w:val="18"/>
          <w:szCs w:val="20"/>
        </w:rPr>
      </w:pPr>
      <w:r w:rsidRPr="008A47AB">
        <w:rPr>
          <w:color w:val="000000"/>
          <w:sz w:val="18"/>
          <w:szCs w:val="20"/>
        </w:rPr>
        <w:t xml:space="preserve">** </w:t>
      </w:r>
      <w:r w:rsidRPr="008A47AB">
        <w:rPr>
          <w:i/>
          <w:color w:val="000000"/>
          <w:sz w:val="18"/>
          <w:szCs w:val="20"/>
        </w:rPr>
        <w:t xml:space="preserve">AMPAG also notes with interest Live Performance Australia’s inclusion in its pre-budget  submission  recommendations for  Government to provision of a tax incentives on pre-productions costs for live productions, –a tax incentive proposal modelled on a similar initiative in the UK. </w:t>
      </w:r>
    </w:p>
    <w:p w:rsidR="006A34FE" w:rsidRPr="008A47AB" w:rsidRDefault="006A34FE" w:rsidP="00EF6C98">
      <w:pPr>
        <w:rPr>
          <w:b/>
          <w:color w:val="000000"/>
          <w:sz w:val="20"/>
          <w:szCs w:val="20"/>
        </w:rPr>
      </w:pPr>
      <w:r w:rsidRPr="008A47AB">
        <w:rPr>
          <w:b/>
          <w:color w:val="000000"/>
          <w:sz w:val="20"/>
          <w:szCs w:val="20"/>
        </w:rPr>
        <w:t>International Cultural Diplomacy</w:t>
      </w:r>
    </w:p>
    <w:p w:rsidR="006A34FE" w:rsidRPr="008A47AB" w:rsidRDefault="006A34FE" w:rsidP="006A34FE">
      <w:pPr>
        <w:spacing w:after="240"/>
        <w:rPr>
          <w:color w:val="000000"/>
          <w:sz w:val="20"/>
          <w:szCs w:val="20"/>
        </w:rPr>
      </w:pPr>
      <w:r w:rsidRPr="008A47AB">
        <w:rPr>
          <w:color w:val="000000"/>
          <w:sz w:val="20"/>
          <w:szCs w:val="20"/>
        </w:rPr>
        <w:t xml:space="preserve">While good work has been done to strengthen insight and co-operation between </w:t>
      </w:r>
      <w:r w:rsidR="00F173B8" w:rsidRPr="008A47AB">
        <w:rPr>
          <w:color w:val="000000"/>
          <w:sz w:val="20"/>
          <w:szCs w:val="20"/>
        </w:rPr>
        <w:t xml:space="preserve">the </w:t>
      </w:r>
      <w:r w:rsidRPr="008A47AB">
        <w:rPr>
          <w:color w:val="000000"/>
          <w:sz w:val="20"/>
          <w:szCs w:val="20"/>
        </w:rPr>
        <w:t>Department of the Arts and Department of Foreign Affairs</w:t>
      </w:r>
      <w:r w:rsidR="00924524">
        <w:rPr>
          <w:color w:val="000000"/>
          <w:sz w:val="20"/>
          <w:szCs w:val="20"/>
        </w:rPr>
        <w:t>,</w:t>
      </w:r>
      <w:r w:rsidRPr="008A47AB">
        <w:rPr>
          <w:color w:val="000000"/>
          <w:sz w:val="20"/>
          <w:szCs w:val="20"/>
        </w:rPr>
        <w:t xml:space="preserve"> funding to support </w:t>
      </w:r>
      <w:r w:rsidR="00F173B8" w:rsidRPr="008A47AB">
        <w:rPr>
          <w:color w:val="000000"/>
          <w:sz w:val="20"/>
          <w:szCs w:val="20"/>
        </w:rPr>
        <w:t xml:space="preserve">Australia work and artists’ international engagement </w:t>
      </w:r>
      <w:r w:rsidRPr="008A47AB">
        <w:rPr>
          <w:color w:val="000000"/>
          <w:sz w:val="20"/>
          <w:szCs w:val="20"/>
        </w:rPr>
        <w:t>is very limited</w:t>
      </w:r>
      <w:r w:rsidR="00F173B8" w:rsidRPr="008A47AB">
        <w:rPr>
          <w:color w:val="000000"/>
          <w:sz w:val="20"/>
          <w:szCs w:val="20"/>
        </w:rPr>
        <w:t xml:space="preserve">. This </w:t>
      </w:r>
      <w:r w:rsidRPr="008A47AB">
        <w:rPr>
          <w:color w:val="000000"/>
          <w:sz w:val="20"/>
          <w:szCs w:val="20"/>
        </w:rPr>
        <w:t>undermines</w:t>
      </w:r>
      <w:r w:rsidR="00F173B8" w:rsidRPr="008A47AB">
        <w:rPr>
          <w:color w:val="000000"/>
          <w:sz w:val="20"/>
          <w:szCs w:val="20"/>
        </w:rPr>
        <w:t xml:space="preserve"> our </w:t>
      </w:r>
      <w:r w:rsidRPr="008A47AB">
        <w:rPr>
          <w:color w:val="000000"/>
          <w:sz w:val="20"/>
          <w:szCs w:val="20"/>
        </w:rPr>
        <w:t xml:space="preserve">capacity </w:t>
      </w:r>
      <w:r w:rsidR="00F173B8" w:rsidRPr="008A47AB">
        <w:rPr>
          <w:color w:val="000000"/>
          <w:sz w:val="20"/>
          <w:szCs w:val="20"/>
        </w:rPr>
        <w:t xml:space="preserve">to </w:t>
      </w:r>
      <w:r w:rsidRPr="008A47AB">
        <w:rPr>
          <w:color w:val="000000"/>
          <w:sz w:val="20"/>
          <w:szCs w:val="20"/>
        </w:rPr>
        <w:t xml:space="preserve">build country to country and people to people relationships and trust through cultural diplomacy. Philanthropy and sponsorship are vital support levers, but without additional government investment our capacity to </w:t>
      </w:r>
      <w:r w:rsidR="00F173B8" w:rsidRPr="008A47AB">
        <w:rPr>
          <w:color w:val="000000"/>
          <w:sz w:val="20"/>
          <w:szCs w:val="20"/>
        </w:rPr>
        <w:t xml:space="preserve">leverage </w:t>
      </w:r>
      <w:r w:rsidRPr="008A47AB">
        <w:rPr>
          <w:color w:val="000000"/>
          <w:sz w:val="20"/>
          <w:szCs w:val="20"/>
        </w:rPr>
        <w:t>our cultural diplomatic potential</w:t>
      </w:r>
      <w:r w:rsidR="00F173B8" w:rsidRPr="008A47AB">
        <w:rPr>
          <w:color w:val="000000"/>
          <w:sz w:val="20"/>
          <w:szCs w:val="20"/>
        </w:rPr>
        <w:t xml:space="preserve"> is not fully realised</w:t>
      </w:r>
      <w:r w:rsidRPr="008A47AB">
        <w:rPr>
          <w:color w:val="000000"/>
          <w:sz w:val="20"/>
          <w:szCs w:val="20"/>
        </w:rPr>
        <w:t>.</w:t>
      </w:r>
    </w:p>
    <w:p w:rsidR="006A34FE" w:rsidRPr="008A47AB" w:rsidRDefault="006A34FE" w:rsidP="006A34FE">
      <w:pPr>
        <w:pBdr>
          <w:top w:val="single" w:sz="4" w:space="1" w:color="auto"/>
          <w:left w:val="single" w:sz="4" w:space="4" w:color="auto"/>
          <w:bottom w:val="single" w:sz="4" w:space="1" w:color="auto"/>
          <w:right w:val="single" w:sz="4" w:space="4" w:color="auto"/>
        </w:pBdr>
        <w:spacing w:after="240"/>
        <w:rPr>
          <w:b/>
          <w:color w:val="C00000"/>
          <w:sz w:val="20"/>
          <w:szCs w:val="20"/>
        </w:rPr>
      </w:pPr>
      <w:r w:rsidRPr="008A47AB">
        <w:rPr>
          <w:b/>
          <w:color w:val="C00000"/>
          <w:sz w:val="20"/>
          <w:szCs w:val="20"/>
        </w:rPr>
        <w:t xml:space="preserve">Recommendations 12 </w:t>
      </w:r>
    </w:p>
    <w:p w:rsidR="00EF6C98" w:rsidRPr="008A47AB" w:rsidRDefault="006A34FE" w:rsidP="00254E5B">
      <w:pPr>
        <w:pBdr>
          <w:top w:val="single" w:sz="4" w:space="1" w:color="auto"/>
          <w:left w:val="single" w:sz="4" w:space="4" w:color="auto"/>
          <w:bottom w:val="single" w:sz="4" w:space="1" w:color="auto"/>
          <w:right w:val="single" w:sz="4" w:space="4" w:color="auto"/>
        </w:pBdr>
        <w:spacing w:after="240"/>
        <w:rPr>
          <w:color w:val="000000"/>
          <w:sz w:val="20"/>
          <w:szCs w:val="20"/>
        </w:rPr>
      </w:pPr>
      <w:r w:rsidRPr="008A47AB">
        <w:rPr>
          <w:color w:val="000000"/>
          <w:sz w:val="20"/>
          <w:szCs w:val="20"/>
        </w:rPr>
        <w:t>Provide an additional $5 million over four years for international touring of Australian productions</w:t>
      </w:r>
    </w:p>
    <w:p w:rsidR="007335A3" w:rsidRPr="008A47AB" w:rsidRDefault="007335A3" w:rsidP="007335A3">
      <w:pPr>
        <w:spacing w:after="0"/>
        <w:rPr>
          <w:color w:val="000000"/>
          <w:sz w:val="16"/>
          <w:szCs w:val="16"/>
        </w:rPr>
      </w:pPr>
      <w:r w:rsidRPr="008A47AB">
        <w:rPr>
          <w:color w:val="000000"/>
          <w:sz w:val="16"/>
          <w:szCs w:val="16"/>
        </w:rPr>
        <w:t>For further information contact:</w:t>
      </w:r>
    </w:p>
    <w:p w:rsidR="007335A3" w:rsidRPr="008A47AB" w:rsidRDefault="007335A3" w:rsidP="007335A3">
      <w:pPr>
        <w:spacing w:after="0"/>
        <w:rPr>
          <w:color w:val="000000"/>
          <w:sz w:val="16"/>
          <w:szCs w:val="16"/>
        </w:rPr>
      </w:pPr>
      <w:r w:rsidRPr="008A47AB">
        <w:rPr>
          <w:b/>
          <w:color w:val="000000"/>
          <w:sz w:val="16"/>
          <w:szCs w:val="16"/>
        </w:rPr>
        <w:t>Bethwyn Serow</w:t>
      </w:r>
    </w:p>
    <w:p w:rsidR="007335A3" w:rsidRPr="008A47AB" w:rsidRDefault="007335A3" w:rsidP="007335A3">
      <w:pPr>
        <w:spacing w:after="0"/>
        <w:rPr>
          <w:color w:val="000000"/>
          <w:sz w:val="16"/>
          <w:szCs w:val="16"/>
        </w:rPr>
      </w:pPr>
      <w:r w:rsidRPr="008A47AB">
        <w:rPr>
          <w:color w:val="000000"/>
          <w:sz w:val="16"/>
          <w:szCs w:val="16"/>
        </w:rPr>
        <w:t>Executive Director AMPAG</w:t>
      </w:r>
    </w:p>
    <w:p w:rsidR="007335A3" w:rsidRPr="008A47AB" w:rsidRDefault="007335A3" w:rsidP="007335A3">
      <w:pPr>
        <w:spacing w:after="0"/>
        <w:rPr>
          <w:color w:val="000000"/>
          <w:sz w:val="16"/>
          <w:szCs w:val="16"/>
        </w:rPr>
      </w:pPr>
      <w:r w:rsidRPr="008A47AB">
        <w:rPr>
          <w:color w:val="000000"/>
          <w:sz w:val="16"/>
          <w:szCs w:val="16"/>
        </w:rPr>
        <w:t>02 9253 5351</w:t>
      </w:r>
    </w:p>
    <w:p w:rsidR="007335A3" w:rsidRPr="008A47AB" w:rsidRDefault="007335A3" w:rsidP="007335A3">
      <w:pPr>
        <w:spacing w:after="0"/>
        <w:rPr>
          <w:color w:val="000000"/>
          <w:sz w:val="16"/>
          <w:szCs w:val="16"/>
        </w:rPr>
      </w:pPr>
      <w:r w:rsidRPr="008A47AB">
        <w:rPr>
          <w:color w:val="000000"/>
          <w:sz w:val="16"/>
          <w:szCs w:val="16"/>
        </w:rPr>
        <w:t>ampag@ampag.com.au</w:t>
      </w:r>
    </w:p>
    <w:p w:rsidR="007335A3" w:rsidRPr="008A47AB" w:rsidRDefault="007335A3" w:rsidP="007335A3">
      <w:pPr>
        <w:rPr>
          <w:color w:val="000000"/>
          <w:sz w:val="16"/>
          <w:szCs w:val="16"/>
        </w:rPr>
      </w:pPr>
      <w:r w:rsidRPr="008A47AB">
        <w:rPr>
          <w:color w:val="000000"/>
          <w:sz w:val="16"/>
          <w:szCs w:val="16"/>
        </w:rPr>
        <w:t>www.ampag.com.au</w:t>
      </w:r>
    </w:p>
    <w:p w:rsidR="00EF6C98" w:rsidRPr="008A47AB" w:rsidRDefault="00EF6C98" w:rsidP="007335A3">
      <w:pPr>
        <w:rPr>
          <w:color w:val="000000"/>
          <w:sz w:val="20"/>
          <w:szCs w:val="20"/>
        </w:rPr>
      </w:pPr>
      <w:r w:rsidRPr="008A47AB">
        <w:rPr>
          <w:color w:val="000000"/>
          <w:sz w:val="20"/>
          <w:szCs w:val="20"/>
        </w:rPr>
        <w:br w:type="page"/>
      </w:r>
    </w:p>
    <w:p w:rsidR="00EF6C98" w:rsidRPr="008A47AB" w:rsidRDefault="00EF6C98" w:rsidP="00EF6C98">
      <w:pPr>
        <w:rPr>
          <w:color w:val="000000" w:themeColor="text1"/>
          <w:sz w:val="20"/>
          <w:szCs w:val="20"/>
        </w:rPr>
      </w:pPr>
      <w:r w:rsidRPr="008A47AB">
        <w:rPr>
          <w:color w:val="C00000"/>
          <w:sz w:val="20"/>
          <w:szCs w:val="20"/>
        </w:rPr>
        <w:t>Appendix 1</w:t>
      </w:r>
      <w:r w:rsidR="00924524">
        <w:rPr>
          <w:color w:val="C00000"/>
          <w:sz w:val="20"/>
          <w:szCs w:val="20"/>
        </w:rPr>
        <w:t xml:space="preserve">: </w:t>
      </w:r>
      <w:r w:rsidRPr="008A47AB">
        <w:rPr>
          <w:color w:val="C00000"/>
          <w:sz w:val="20"/>
          <w:szCs w:val="20"/>
        </w:rPr>
        <w:t xml:space="preserve"> </w:t>
      </w:r>
      <w:r w:rsidRPr="00924524">
        <w:rPr>
          <w:b/>
          <w:color w:val="000000" w:themeColor="text1"/>
          <w:sz w:val="20"/>
          <w:szCs w:val="20"/>
        </w:rPr>
        <w:t>AMPAG list of member companies</w:t>
      </w:r>
    </w:p>
    <w:tbl>
      <w:tblPr>
        <w:tblW w:w="6836" w:type="dxa"/>
        <w:tblInd w:w="360" w:type="dxa"/>
        <w:tblLook w:val="00A0" w:firstRow="1" w:lastRow="0" w:firstColumn="1" w:lastColumn="0" w:noHBand="0" w:noVBand="0"/>
      </w:tblPr>
      <w:tblGrid>
        <w:gridCol w:w="6836"/>
      </w:tblGrid>
      <w:tr w:rsidR="00EF6C98" w:rsidRPr="008A47AB" w:rsidTr="00F7691E">
        <w:trPr>
          <w:trHeight w:val="352"/>
        </w:trPr>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Adelaide Symphony Orchestra</w:t>
            </w:r>
          </w:p>
        </w:tc>
      </w:tr>
      <w:tr w:rsidR="00EF6C98" w:rsidRPr="008A47AB" w:rsidTr="00F7691E">
        <w:trPr>
          <w:trHeight w:val="271"/>
        </w:trPr>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Australian Brandenburg Orchestra</w:t>
            </w:r>
          </w:p>
        </w:tc>
      </w:tr>
      <w:tr w:rsidR="00EF6C98" w:rsidRPr="008A47AB" w:rsidTr="00F7691E">
        <w:trPr>
          <w:trHeight w:val="276"/>
        </w:trPr>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Australian Chamber Orchestra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Bangarra Dance Theatre</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Bell Shakespeare</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Belvoir</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Black Swan State Theatre Company</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Circus Oz</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Malthouse Theatre</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Melbourne Symphony Orchestra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Melbourne Theatre Company</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Musica Viva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Opera Australia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Opera Queensland</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Orchestra Victoria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Queensland Ballet</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Queensland Symphony Orchestra</w:t>
            </w:r>
          </w:p>
        </w:tc>
      </w:tr>
      <w:tr w:rsidR="00EF6C98" w:rsidRPr="008A47AB" w:rsidTr="00F7691E">
        <w:tc>
          <w:tcPr>
            <w:tcW w:w="6836" w:type="dxa"/>
          </w:tcPr>
          <w:p w:rsidR="00EF6C98" w:rsidRPr="008A47AB" w:rsidRDefault="00EF6C98" w:rsidP="00F27E7B">
            <w:pPr>
              <w:spacing w:before="100" w:beforeAutospacing="1" w:after="100" w:afterAutospacing="1" w:line="360" w:lineRule="auto"/>
              <w:rPr>
                <w:lang w:val="en-US" w:eastAsia="en-AU"/>
              </w:rPr>
            </w:pPr>
            <w:r w:rsidRPr="008A47AB">
              <w:rPr>
                <w:lang w:val="en-US" w:eastAsia="en-AU"/>
              </w:rPr>
              <w:t xml:space="preserve">Queensland Theatre </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State Opera of South Australia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State Theatre Company of South Australia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Sydney Dance Company</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Sydney Symphony Orchestra</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Sydney Theatre Company</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Tasmanian Symphony Orchestra</w:t>
            </w:r>
          </w:p>
        </w:tc>
      </w:tr>
      <w:tr w:rsidR="00EF6C98" w:rsidRPr="008A47AB" w:rsidTr="00F7691E">
        <w:tc>
          <w:tcPr>
            <w:tcW w:w="6836" w:type="dxa"/>
          </w:tcPr>
          <w:p w:rsidR="00EF6C98" w:rsidRPr="008A47AB" w:rsidRDefault="00D50EE8" w:rsidP="0009619F">
            <w:pPr>
              <w:spacing w:before="100" w:beforeAutospacing="1" w:after="100" w:afterAutospacing="1" w:line="360" w:lineRule="auto"/>
              <w:rPr>
                <w:lang w:val="en-US" w:eastAsia="en-AU"/>
              </w:rPr>
            </w:pPr>
            <w:hyperlink r:id="rId16" w:tooltip="The Australian Ballet" w:history="1">
              <w:r w:rsidR="00EF6C98" w:rsidRPr="008A47AB">
                <w:rPr>
                  <w:lang w:val="en-US" w:eastAsia="en-AU"/>
                </w:rPr>
                <w:t>The Australian Ballet</w:t>
              </w:r>
            </w:hyperlink>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West Australian Ballet</w:t>
            </w:r>
          </w:p>
        </w:tc>
      </w:tr>
      <w:tr w:rsidR="00EF6C98" w:rsidRPr="008A47AB" w:rsidTr="00F7691E">
        <w:tc>
          <w:tcPr>
            <w:tcW w:w="6836" w:type="dxa"/>
          </w:tcPr>
          <w:p w:rsidR="00EF6C98" w:rsidRPr="008A47AB" w:rsidRDefault="00EF6C98" w:rsidP="0009619F">
            <w:pPr>
              <w:spacing w:before="100" w:beforeAutospacing="1" w:after="100" w:afterAutospacing="1" w:line="360" w:lineRule="auto"/>
              <w:rPr>
                <w:lang w:val="en-US" w:eastAsia="en-AU"/>
              </w:rPr>
            </w:pPr>
            <w:r w:rsidRPr="008A47AB">
              <w:rPr>
                <w:lang w:val="en-US" w:eastAsia="en-AU"/>
              </w:rPr>
              <w:t>West Australian Opera</w:t>
            </w:r>
          </w:p>
        </w:tc>
      </w:tr>
      <w:tr w:rsidR="0009619F" w:rsidRPr="008A47AB" w:rsidTr="0009619F">
        <w:tc>
          <w:tcPr>
            <w:tcW w:w="6836" w:type="dxa"/>
          </w:tcPr>
          <w:p w:rsidR="0009619F" w:rsidRPr="008A47AB" w:rsidRDefault="0009619F" w:rsidP="0009619F">
            <w:pPr>
              <w:spacing w:before="100" w:beforeAutospacing="1" w:after="100" w:afterAutospacing="1" w:line="360" w:lineRule="auto"/>
              <w:rPr>
                <w:lang w:val="en-US" w:eastAsia="en-AU"/>
              </w:rPr>
            </w:pPr>
            <w:r w:rsidRPr="008A47AB">
              <w:rPr>
                <w:lang w:val="en-US" w:eastAsia="en-AU"/>
              </w:rPr>
              <w:t>West Australian Symphony Orchestra</w:t>
            </w:r>
          </w:p>
        </w:tc>
      </w:tr>
    </w:tbl>
    <w:p w:rsidR="0009619F" w:rsidRPr="008A47AB" w:rsidRDefault="0009619F">
      <w:r w:rsidRPr="008A47AB">
        <w:br w:type="page"/>
      </w:r>
    </w:p>
    <w:p w:rsidR="00795C53" w:rsidRPr="008A47AB" w:rsidRDefault="007335A3" w:rsidP="00F7691E">
      <w:pPr>
        <w:spacing w:after="0" w:line="480" w:lineRule="auto"/>
        <w:rPr>
          <w:color w:val="C00000"/>
          <w:sz w:val="18"/>
          <w:szCs w:val="20"/>
        </w:rPr>
      </w:pPr>
      <w:r w:rsidRPr="008A47AB">
        <w:rPr>
          <w:noProof/>
          <w:color w:val="C00000"/>
          <w:sz w:val="18"/>
          <w:szCs w:val="20"/>
          <w:lang w:eastAsia="en-AU"/>
        </w:rPr>
        <w:drawing>
          <wp:anchor distT="0" distB="0" distL="114300" distR="114300" simplePos="0" relativeHeight="251658240" behindDoc="1" locked="0" layoutInCell="1" allowOverlap="1" wp14:anchorId="3A45E735" wp14:editId="26C3A66F">
            <wp:simplePos x="0" y="0"/>
            <wp:positionH relativeFrom="column">
              <wp:posOffset>4994910</wp:posOffset>
            </wp:positionH>
            <wp:positionV relativeFrom="paragraph">
              <wp:posOffset>-234950</wp:posOffset>
            </wp:positionV>
            <wp:extent cx="743585" cy="554990"/>
            <wp:effectExtent l="0" t="0" r="0" b="0"/>
            <wp:wrapTight wrapText="bothSides">
              <wp:wrapPolygon edited="0">
                <wp:start x="0" y="0"/>
                <wp:lineTo x="0" y="20760"/>
                <wp:lineTo x="21028" y="20760"/>
                <wp:lineTo x="210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PAG-PRIMARY-LOGO.jpg"/>
                    <pic:cNvPicPr/>
                  </pic:nvPicPr>
                  <pic:blipFill>
                    <a:blip r:embed="rId17">
                      <a:extLst>
                        <a:ext uri="{28A0092B-C50C-407E-A947-70E740481C1C}">
                          <a14:useLocalDpi xmlns:a14="http://schemas.microsoft.com/office/drawing/2010/main" val="0"/>
                        </a:ext>
                      </a:extLst>
                    </a:blip>
                    <a:stretch>
                      <a:fillRect/>
                    </a:stretch>
                  </pic:blipFill>
                  <pic:spPr>
                    <a:xfrm>
                      <a:off x="0" y="0"/>
                      <a:ext cx="743585" cy="554990"/>
                    </a:xfrm>
                    <a:prstGeom prst="rect">
                      <a:avLst/>
                    </a:prstGeom>
                  </pic:spPr>
                </pic:pic>
              </a:graphicData>
            </a:graphic>
            <wp14:sizeRelH relativeFrom="page">
              <wp14:pctWidth>0</wp14:pctWidth>
            </wp14:sizeRelH>
            <wp14:sizeRelV relativeFrom="page">
              <wp14:pctHeight>0</wp14:pctHeight>
            </wp14:sizeRelV>
          </wp:anchor>
        </w:drawing>
      </w:r>
      <w:r w:rsidR="0009619F" w:rsidRPr="008A47AB">
        <w:rPr>
          <w:color w:val="C00000"/>
          <w:sz w:val="18"/>
          <w:szCs w:val="20"/>
        </w:rPr>
        <w:t xml:space="preserve">Appendix </w:t>
      </w:r>
      <w:r w:rsidR="00795C53" w:rsidRPr="008A47AB">
        <w:rPr>
          <w:color w:val="C00000"/>
          <w:sz w:val="18"/>
          <w:szCs w:val="20"/>
        </w:rPr>
        <w:t>2</w:t>
      </w:r>
      <w:r w:rsidR="0009619F" w:rsidRPr="008A47AB">
        <w:rPr>
          <w:color w:val="C00000"/>
          <w:sz w:val="18"/>
          <w:szCs w:val="20"/>
        </w:rPr>
        <w:t xml:space="preserve"> </w:t>
      </w:r>
    </w:p>
    <w:p w:rsidR="007335A3" w:rsidRPr="008A47AB" w:rsidRDefault="007335A3" w:rsidP="007335A3">
      <w:pPr>
        <w:spacing w:after="0" w:line="240" w:lineRule="auto"/>
        <w:jc w:val="center"/>
        <w:rPr>
          <w:b/>
          <w:color w:val="000000" w:themeColor="text1"/>
          <w:sz w:val="18"/>
          <w:szCs w:val="20"/>
        </w:rPr>
      </w:pPr>
      <w:r w:rsidRPr="008A47AB">
        <w:rPr>
          <w:b/>
          <w:color w:val="000000" w:themeColor="text1"/>
          <w:sz w:val="18"/>
          <w:szCs w:val="20"/>
        </w:rPr>
        <w:t xml:space="preserve">                        </w:t>
      </w:r>
      <w:r w:rsidR="0009619F" w:rsidRPr="008A47AB">
        <w:rPr>
          <w:b/>
          <w:color w:val="000000" w:themeColor="text1"/>
          <w:sz w:val="18"/>
          <w:szCs w:val="20"/>
        </w:rPr>
        <w:t>A</w:t>
      </w:r>
      <w:r w:rsidR="00795C53" w:rsidRPr="008A47AB">
        <w:rPr>
          <w:b/>
          <w:color w:val="000000" w:themeColor="text1"/>
          <w:sz w:val="18"/>
          <w:szCs w:val="20"/>
        </w:rPr>
        <w:t xml:space="preserve">ustralia Major Performing Arts Group </w:t>
      </w:r>
      <w:r w:rsidRPr="008A47AB">
        <w:rPr>
          <w:b/>
          <w:color w:val="000000" w:themeColor="text1"/>
          <w:sz w:val="18"/>
          <w:szCs w:val="20"/>
        </w:rPr>
        <w:t>(</w:t>
      </w:r>
      <w:r w:rsidR="00795C53" w:rsidRPr="008A47AB">
        <w:rPr>
          <w:b/>
          <w:color w:val="000000" w:themeColor="text1"/>
          <w:sz w:val="18"/>
          <w:szCs w:val="20"/>
        </w:rPr>
        <w:t>A</w:t>
      </w:r>
      <w:r w:rsidR="0009619F" w:rsidRPr="008A47AB">
        <w:rPr>
          <w:b/>
          <w:color w:val="000000" w:themeColor="text1"/>
          <w:sz w:val="18"/>
          <w:szCs w:val="20"/>
        </w:rPr>
        <w:t>MPAG</w:t>
      </w:r>
      <w:r w:rsidRPr="008A47AB">
        <w:rPr>
          <w:b/>
          <w:color w:val="000000" w:themeColor="text1"/>
          <w:sz w:val="18"/>
          <w:szCs w:val="20"/>
        </w:rPr>
        <w:t>)</w:t>
      </w:r>
    </w:p>
    <w:p w:rsidR="00EF6C98" w:rsidRPr="008A47AB" w:rsidRDefault="0009619F" w:rsidP="007335A3">
      <w:pPr>
        <w:spacing w:after="0" w:line="240" w:lineRule="auto"/>
        <w:jc w:val="center"/>
        <w:rPr>
          <w:b/>
          <w:color w:val="000000" w:themeColor="text1"/>
          <w:sz w:val="18"/>
          <w:szCs w:val="20"/>
        </w:rPr>
      </w:pPr>
      <w:r w:rsidRPr="008A47AB">
        <w:rPr>
          <w:b/>
          <w:color w:val="000000" w:themeColor="text1"/>
          <w:sz w:val="18"/>
          <w:szCs w:val="20"/>
        </w:rPr>
        <w:t>Pre-</w:t>
      </w:r>
      <w:r w:rsidR="00795C53" w:rsidRPr="008A47AB">
        <w:rPr>
          <w:b/>
          <w:color w:val="000000" w:themeColor="text1"/>
          <w:sz w:val="18"/>
          <w:szCs w:val="20"/>
        </w:rPr>
        <w:t xml:space="preserve">Budget </w:t>
      </w:r>
      <w:r w:rsidR="007335A3" w:rsidRPr="008A47AB">
        <w:rPr>
          <w:b/>
          <w:color w:val="000000" w:themeColor="text1"/>
          <w:sz w:val="18"/>
          <w:szCs w:val="20"/>
        </w:rPr>
        <w:t xml:space="preserve">2017-18 </w:t>
      </w:r>
      <w:r w:rsidR="00795C53" w:rsidRPr="008A47AB">
        <w:rPr>
          <w:b/>
          <w:color w:val="000000" w:themeColor="text1"/>
          <w:sz w:val="18"/>
          <w:szCs w:val="20"/>
        </w:rPr>
        <w:t>Recommendations</w:t>
      </w:r>
      <w:r w:rsidR="007335A3" w:rsidRPr="008A47AB">
        <w:rPr>
          <w:b/>
          <w:color w:val="000000" w:themeColor="text1"/>
          <w:sz w:val="18"/>
          <w:szCs w:val="20"/>
        </w:rPr>
        <w:t xml:space="preserve"> Summary</w:t>
      </w:r>
    </w:p>
    <w:p w:rsidR="007335A3" w:rsidRPr="008A47AB" w:rsidRDefault="007335A3" w:rsidP="007335A3">
      <w:pPr>
        <w:spacing w:after="0" w:line="240" w:lineRule="auto"/>
        <w:jc w:val="center"/>
        <w:rPr>
          <w:b/>
          <w:color w:val="000000" w:themeColor="text1"/>
          <w:sz w:val="18"/>
          <w:szCs w:val="20"/>
        </w:rPr>
      </w:pP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b/>
          <w:color w:val="C00000"/>
          <w:sz w:val="19"/>
          <w:szCs w:val="19"/>
        </w:rPr>
      </w:pP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r w:rsidRPr="008A47AB">
        <w:rPr>
          <w:b/>
          <w:color w:val="C00000"/>
          <w:sz w:val="18"/>
          <w:szCs w:val="18"/>
        </w:rPr>
        <w:t>Recommendation 1</w:t>
      </w:r>
    </w:p>
    <w:p w:rsidR="0070474E"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sz w:val="18"/>
          <w:szCs w:val="18"/>
        </w:rPr>
      </w:pPr>
      <w:r w:rsidRPr="008A47AB">
        <w:rPr>
          <w:sz w:val="18"/>
          <w:szCs w:val="18"/>
        </w:rPr>
        <w:t>The Federal Government return</w:t>
      </w:r>
      <w:r w:rsidR="0070474E" w:rsidRPr="008A47AB">
        <w:rPr>
          <w:sz w:val="18"/>
          <w:szCs w:val="18"/>
        </w:rPr>
        <w:t>s</w:t>
      </w:r>
      <w:r w:rsidRPr="008A47AB">
        <w:rPr>
          <w:sz w:val="18"/>
          <w:szCs w:val="18"/>
        </w:rPr>
        <w:t xml:space="preserve"> remaining Catalyst funds</w:t>
      </w:r>
      <w:r w:rsidR="0070474E" w:rsidRPr="008A47AB">
        <w:rPr>
          <w:sz w:val="18"/>
          <w:szCs w:val="18"/>
        </w:rPr>
        <w:t xml:space="preserve"> to the Australia Council.</w:t>
      </w:r>
    </w:p>
    <w:p w:rsidR="0070474E" w:rsidRPr="008A47AB" w:rsidRDefault="0070474E" w:rsidP="00F173B8">
      <w:pPr>
        <w:pBdr>
          <w:top w:val="single" w:sz="4" w:space="1" w:color="auto"/>
          <w:left w:val="single" w:sz="4" w:space="4" w:color="auto"/>
          <w:bottom w:val="single" w:sz="4" w:space="1" w:color="auto"/>
          <w:right w:val="single" w:sz="4" w:space="4" w:color="auto"/>
        </w:pBdr>
        <w:spacing w:after="0" w:line="240" w:lineRule="auto"/>
        <w:rPr>
          <w:sz w:val="18"/>
          <w:szCs w:val="18"/>
        </w:rPr>
      </w:pPr>
    </w:p>
    <w:p w:rsidR="0070474E" w:rsidRPr="008A47AB" w:rsidRDefault="0070474E" w:rsidP="00F173B8">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r w:rsidRPr="008A47AB">
        <w:rPr>
          <w:b/>
          <w:color w:val="C00000"/>
          <w:sz w:val="18"/>
          <w:szCs w:val="18"/>
        </w:rPr>
        <w:t>Recommendation</w:t>
      </w:r>
      <w:r w:rsidRPr="008A47AB">
        <w:rPr>
          <w:sz w:val="18"/>
          <w:szCs w:val="18"/>
        </w:rPr>
        <w:t xml:space="preserve">  </w:t>
      </w:r>
      <w:r w:rsidRPr="008A47AB">
        <w:rPr>
          <w:b/>
          <w:color w:val="C00000"/>
          <w:sz w:val="18"/>
          <w:szCs w:val="18"/>
        </w:rPr>
        <w:t>2</w:t>
      </w:r>
    </w:p>
    <w:p w:rsidR="0009619F" w:rsidRPr="008A47AB" w:rsidRDefault="0070474E" w:rsidP="00F173B8">
      <w:pPr>
        <w:pBdr>
          <w:top w:val="single" w:sz="4" w:space="1" w:color="auto"/>
          <w:left w:val="single" w:sz="4" w:space="4" w:color="auto"/>
          <w:bottom w:val="single" w:sz="4" w:space="1" w:color="auto"/>
          <w:right w:val="single" w:sz="4" w:space="4" w:color="auto"/>
        </w:pBdr>
        <w:spacing w:after="0" w:line="240" w:lineRule="auto"/>
        <w:rPr>
          <w:sz w:val="18"/>
          <w:szCs w:val="18"/>
        </w:rPr>
      </w:pPr>
      <w:r w:rsidRPr="008A47AB">
        <w:rPr>
          <w:sz w:val="18"/>
          <w:szCs w:val="18"/>
        </w:rPr>
        <w:t xml:space="preserve">The Federal Government </w:t>
      </w:r>
      <w:r w:rsidR="0009619F" w:rsidRPr="008A47AB">
        <w:rPr>
          <w:sz w:val="18"/>
          <w:szCs w:val="18"/>
        </w:rPr>
        <w:t>instigate</w:t>
      </w:r>
      <w:r w:rsidRPr="008A47AB">
        <w:rPr>
          <w:sz w:val="18"/>
          <w:szCs w:val="18"/>
        </w:rPr>
        <w:t>s</w:t>
      </w:r>
      <w:r w:rsidR="0009619F" w:rsidRPr="008A47AB">
        <w:rPr>
          <w:sz w:val="18"/>
          <w:szCs w:val="18"/>
        </w:rPr>
        <w:t xml:space="preserve"> a review of the funding of small to medium-sized performing arts sector.</w:t>
      </w: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b/>
          <w:color w:val="C00000"/>
          <w:sz w:val="18"/>
          <w:szCs w:val="18"/>
        </w:rPr>
        <w:t xml:space="preserve">Recommendation </w:t>
      </w:r>
      <w:r w:rsidR="0070474E" w:rsidRPr="008A47AB">
        <w:rPr>
          <w:b/>
          <w:color w:val="C00000"/>
          <w:sz w:val="18"/>
          <w:szCs w:val="18"/>
        </w:rPr>
        <w:t>3</w:t>
      </w: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color w:val="000000"/>
          <w:sz w:val="18"/>
          <w:szCs w:val="18"/>
        </w:rPr>
        <w:t>The</w:t>
      </w:r>
      <w:r w:rsidRPr="008A47AB">
        <w:rPr>
          <w:sz w:val="18"/>
          <w:szCs w:val="18"/>
        </w:rPr>
        <w:t xml:space="preserve"> Federal Government </w:t>
      </w:r>
      <w:r w:rsidRPr="008A47AB">
        <w:rPr>
          <w:color w:val="000000"/>
          <w:sz w:val="18"/>
          <w:szCs w:val="18"/>
        </w:rPr>
        <w:t xml:space="preserve">extends full CPI indexation to all arts program funding to limit further erosion.  </w:t>
      </w: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b/>
          <w:color w:val="C00000"/>
          <w:sz w:val="18"/>
          <w:szCs w:val="18"/>
        </w:rPr>
        <w:t xml:space="preserve">Recommendation </w:t>
      </w:r>
      <w:r w:rsidR="0070474E" w:rsidRPr="008A47AB">
        <w:rPr>
          <w:b/>
          <w:color w:val="C00000"/>
          <w:sz w:val="18"/>
          <w:szCs w:val="18"/>
        </w:rPr>
        <w:t>4</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18"/>
          <w:szCs w:val="18"/>
        </w:rPr>
      </w:pPr>
      <w:r w:rsidRPr="008A47AB">
        <w:rPr>
          <w:sz w:val="18"/>
          <w:szCs w:val="18"/>
        </w:rPr>
        <w:t xml:space="preserve">The Federal Government continues its financial commitment to the MPA Framework including indexation and core funding for the MPA companies and undertakes to review the framework at regulate intervals to identify and address emerging issues, or signs of market failure, in a timely way to ensure stability of supply. </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18"/>
          <w:szCs w:val="18"/>
        </w:rPr>
      </w:pP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b/>
          <w:color w:val="C00000"/>
          <w:sz w:val="18"/>
          <w:szCs w:val="18"/>
          <w:lang w:eastAsia="en-US"/>
        </w:rPr>
      </w:pPr>
      <w:r w:rsidRPr="008A47AB">
        <w:rPr>
          <w:rFonts w:asciiTheme="minorHAnsi" w:eastAsiaTheme="minorHAnsi" w:hAnsiTheme="minorHAnsi" w:cstheme="minorBidi"/>
          <w:b/>
          <w:color w:val="C00000"/>
          <w:sz w:val="18"/>
          <w:szCs w:val="18"/>
          <w:lang w:eastAsia="en-US"/>
        </w:rPr>
        <w:t xml:space="preserve">Recommendation </w:t>
      </w:r>
      <w:r w:rsidR="0070474E" w:rsidRPr="008A47AB">
        <w:rPr>
          <w:rFonts w:asciiTheme="minorHAnsi" w:eastAsiaTheme="minorHAnsi" w:hAnsiTheme="minorHAnsi" w:cstheme="minorBidi"/>
          <w:b/>
          <w:color w:val="C00000"/>
          <w:sz w:val="18"/>
          <w:szCs w:val="18"/>
          <w:lang w:eastAsia="en-US"/>
        </w:rPr>
        <w:t>5</w:t>
      </w: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18"/>
          <w:szCs w:val="18"/>
          <w:lang w:eastAsia="en-US"/>
        </w:rPr>
      </w:pPr>
      <w:r w:rsidRPr="008A47AB">
        <w:rPr>
          <w:rFonts w:asciiTheme="minorHAnsi" w:eastAsiaTheme="minorHAnsi" w:hAnsiTheme="minorHAnsi" w:cstheme="minorBidi"/>
          <w:sz w:val="18"/>
          <w:szCs w:val="18"/>
          <w:lang w:eastAsia="en-US"/>
        </w:rPr>
        <w:t xml:space="preserve">AMPAG supports recommendation 11:14 of the Opera Review to increase funding to the major opera companies </w:t>
      </w:r>
      <w:r w:rsidRPr="008A47AB">
        <w:rPr>
          <w:rFonts w:asciiTheme="minorHAnsi" w:hAnsiTheme="minorHAnsi"/>
          <w:sz w:val="18"/>
          <w:szCs w:val="18"/>
        </w:rPr>
        <w:t xml:space="preserve">by $24.136 million over four years through agreed proportional federal–state government contributions,  </w:t>
      </w:r>
      <w:r w:rsidRPr="008A47AB">
        <w:rPr>
          <w:rFonts w:asciiTheme="minorHAnsi" w:eastAsiaTheme="minorHAnsi" w:hAnsiTheme="minorHAnsi" w:cstheme="minorBidi"/>
          <w:sz w:val="18"/>
          <w:szCs w:val="18"/>
          <w:lang w:eastAsia="en-US"/>
        </w:rPr>
        <w:t>in tandem with AMPAG’s pre-budget recommendations 1 &amp; 2 above.</w:t>
      </w: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18"/>
          <w:szCs w:val="18"/>
          <w:lang w:eastAsia="en-US"/>
        </w:rPr>
      </w:pP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b/>
          <w:color w:val="C00000"/>
          <w:sz w:val="18"/>
          <w:szCs w:val="18"/>
          <w:lang w:eastAsia="en-US"/>
        </w:rPr>
      </w:pPr>
      <w:r w:rsidRPr="008A47AB">
        <w:rPr>
          <w:rFonts w:asciiTheme="minorHAnsi" w:eastAsiaTheme="minorHAnsi" w:hAnsiTheme="minorHAnsi" w:cstheme="minorBidi"/>
          <w:b/>
          <w:color w:val="C00000"/>
          <w:sz w:val="18"/>
          <w:szCs w:val="18"/>
          <w:lang w:eastAsia="en-US"/>
        </w:rPr>
        <w:t xml:space="preserve">Recommendation </w:t>
      </w:r>
      <w:r w:rsidR="0070474E" w:rsidRPr="008A47AB">
        <w:rPr>
          <w:rFonts w:asciiTheme="minorHAnsi" w:eastAsiaTheme="minorHAnsi" w:hAnsiTheme="minorHAnsi" w:cstheme="minorBidi"/>
          <w:b/>
          <w:color w:val="C00000"/>
          <w:sz w:val="18"/>
          <w:szCs w:val="18"/>
          <w:lang w:eastAsia="en-US"/>
        </w:rPr>
        <w:t>6</w:t>
      </w: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18"/>
          <w:szCs w:val="18"/>
          <w:u w:val="single"/>
          <w:lang w:eastAsia="en-US"/>
        </w:rPr>
      </w:pPr>
      <w:r w:rsidRPr="008A47AB">
        <w:rPr>
          <w:rFonts w:asciiTheme="minorHAnsi" w:eastAsiaTheme="minorHAnsi" w:hAnsiTheme="minorHAnsi" w:cstheme="minorBidi"/>
          <w:sz w:val="18"/>
          <w:szCs w:val="18"/>
          <w:lang w:eastAsia="en-US"/>
        </w:rPr>
        <w:t xml:space="preserve">AMPAG supports recommendation 11:15 of the Opera Review that specifies recommendation 11:14 </w:t>
      </w:r>
      <w:r w:rsidRPr="008A47AB">
        <w:rPr>
          <w:rFonts w:asciiTheme="minorHAnsi" w:eastAsiaTheme="minorHAnsi" w:hAnsiTheme="minorHAnsi" w:cstheme="minorBidi"/>
          <w:sz w:val="18"/>
          <w:szCs w:val="18"/>
          <w:u w:val="single"/>
          <w:lang w:eastAsia="en-US"/>
        </w:rPr>
        <w:t xml:space="preserve">must be supported through </w:t>
      </w:r>
      <w:r w:rsidRPr="008A47AB">
        <w:rPr>
          <w:rFonts w:asciiTheme="minorHAnsi" w:eastAsiaTheme="minorHAnsi" w:hAnsiTheme="minorHAnsi" w:cstheme="minorBidi"/>
          <w:b/>
          <w:sz w:val="18"/>
          <w:szCs w:val="18"/>
          <w:u w:val="single"/>
          <w:lang w:eastAsia="en-US"/>
        </w:rPr>
        <w:t>new</w:t>
      </w:r>
      <w:r w:rsidRPr="008A47AB">
        <w:rPr>
          <w:rFonts w:asciiTheme="minorHAnsi" w:eastAsiaTheme="minorHAnsi" w:hAnsiTheme="minorHAnsi" w:cstheme="minorBidi"/>
          <w:sz w:val="18"/>
          <w:szCs w:val="18"/>
          <w:u w:val="single"/>
          <w:lang w:eastAsia="en-US"/>
        </w:rPr>
        <w:t xml:space="preserve"> funding and not applied by reducing funding commitment to other arts programs.</w:t>
      </w:r>
    </w:p>
    <w:p w:rsidR="0009619F" w:rsidRPr="008A47AB" w:rsidRDefault="0009619F" w:rsidP="00F173B8">
      <w:pPr>
        <w:pStyle w:val="NormalWeb"/>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Theme="minorHAnsi" w:eastAsiaTheme="minorHAnsi" w:hAnsiTheme="minorHAnsi" w:cstheme="minorBidi"/>
          <w:sz w:val="18"/>
          <w:szCs w:val="18"/>
          <w:lang w:eastAsia="en-US"/>
        </w:rPr>
      </w:pP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b/>
          <w:color w:val="C00000"/>
          <w:sz w:val="18"/>
          <w:szCs w:val="18"/>
        </w:rPr>
      </w:pPr>
      <w:r w:rsidRPr="008A47AB">
        <w:rPr>
          <w:rFonts w:cs="BookAntiqua"/>
          <w:b/>
          <w:color w:val="C00000"/>
          <w:sz w:val="18"/>
          <w:szCs w:val="18"/>
        </w:rPr>
        <w:t xml:space="preserve">Recommendation </w:t>
      </w:r>
      <w:r w:rsidR="0070474E" w:rsidRPr="008A47AB">
        <w:rPr>
          <w:rFonts w:cs="BookAntiqua"/>
          <w:b/>
          <w:color w:val="C00000"/>
          <w:sz w:val="18"/>
          <w:szCs w:val="18"/>
        </w:rPr>
        <w:t>7</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18"/>
          <w:szCs w:val="18"/>
        </w:rPr>
      </w:pPr>
      <w:r w:rsidRPr="008A47AB">
        <w:rPr>
          <w:rFonts w:cs="BookAntiqua"/>
          <w:sz w:val="18"/>
          <w:szCs w:val="18"/>
        </w:rPr>
        <w:t>AMPAG recommends an increase in the Playing Australia Program of $8 million allocated evenly over four years from 2017–18 to 2020–21 to support additional strategic performing arts access and engagement in regional Australia.</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18"/>
          <w:szCs w:val="18"/>
        </w:rPr>
      </w:pP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b/>
          <w:color w:val="C00000"/>
          <w:sz w:val="18"/>
          <w:szCs w:val="18"/>
        </w:rPr>
      </w:pPr>
      <w:r w:rsidRPr="008A47AB">
        <w:rPr>
          <w:rFonts w:cs="BookAntiqua"/>
          <w:b/>
          <w:color w:val="C00000"/>
          <w:sz w:val="18"/>
          <w:szCs w:val="18"/>
        </w:rPr>
        <w:t xml:space="preserve">Recommendation </w:t>
      </w:r>
      <w:r w:rsidR="0070474E" w:rsidRPr="008A47AB">
        <w:rPr>
          <w:rFonts w:cs="BookAntiqua"/>
          <w:b/>
          <w:color w:val="C00000"/>
          <w:sz w:val="18"/>
          <w:szCs w:val="18"/>
        </w:rPr>
        <w:t>8</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18"/>
          <w:szCs w:val="18"/>
        </w:rPr>
      </w:pPr>
      <w:r w:rsidRPr="008A47AB">
        <w:rPr>
          <w:rFonts w:cs="BookAntiqua"/>
          <w:sz w:val="18"/>
          <w:szCs w:val="18"/>
        </w:rPr>
        <w:t>AMPAG recommends an increase in the number of performing arts companies operating with National Touring Status.</w:t>
      </w:r>
    </w:p>
    <w:p w:rsidR="0009619F" w:rsidRPr="008A47AB" w:rsidRDefault="0009619F" w:rsidP="00F173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BookAntiqua"/>
          <w:sz w:val="18"/>
          <w:szCs w:val="18"/>
        </w:rPr>
      </w:pP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r w:rsidRPr="008A47AB">
        <w:rPr>
          <w:b/>
          <w:color w:val="C00000"/>
          <w:sz w:val="18"/>
          <w:szCs w:val="18"/>
        </w:rPr>
        <w:t xml:space="preserve">Recommendation </w:t>
      </w:r>
      <w:r w:rsidR="0070474E" w:rsidRPr="008A47AB">
        <w:rPr>
          <w:b/>
          <w:color w:val="C00000"/>
          <w:sz w:val="18"/>
          <w:szCs w:val="18"/>
        </w:rPr>
        <w:t>9</w:t>
      </w:r>
    </w:p>
    <w:p w:rsidR="0009619F" w:rsidRPr="008A47AB" w:rsidRDefault="0009619F" w:rsidP="00F173B8">
      <w:pPr>
        <w:pBdr>
          <w:top w:val="single" w:sz="4" w:space="1" w:color="auto"/>
          <w:left w:val="single" w:sz="4" w:space="4" w:color="auto"/>
          <w:bottom w:val="single" w:sz="4" w:space="1" w:color="auto"/>
          <w:right w:val="single" w:sz="4" w:space="4" w:color="auto"/>
        </w:pBdr>
        <w:spacing w:line="240" w:lineRule="auto"/>
        <w:rPr>
          <w:color w:val="000000"/>
          <w:sz w:val="18"/>
          <w:szCs w:val="18"/>
        </w:rPr>
      </w:pPr>
      <w:r w:rsidRPr="008A47AB">
        <w:rPr>
          <w:color w:val="000000"/>
          <w:sz w:val="18"/>
          <w:szCs w:val="18"/>
        </w:rPr>
        <w:t>Students enrolled in performing arts performance courses run by reputable training providers</w:t>
      </w:r>
      <w:r w:rsidR="00795C53" w:rsidRPr="008A47AB">
        <w:rPr>
          <w:color w:val="000000"/>
          <w:sz w:val="18"/>
          <w:szCs w:val="18"/>
        </w:rPr>
        <w:t xml:space="preserve"> (commercial, government and not-for-profit)</w:t>
      </w:r>
      <w:r w:rsidRPr="008A47AB">
        <w:rPr>
          <w:color w:val="000000"/>
          <w:sz w:val="18"/>
          <w:szCs w:val="18"/>
        </w:rPr>
        <w:t xml:space="preserve"> with demonstrated links to the industry should have access to support through the VET student loan scheme. </w:t>
      </w: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b/>
          <w:color w:val="C00000"/>
          <w:sz w:val="18"/>
          <w:szCs w:val="18"/>
        </w:rPr>
        <w:t xml:space="preserve">Recommendation </w:t>
      </w:r>
      <w:r w:rsidR="0070474E" w:rsidRPr="008A47AB">
        <w:rPr>
          <w:b/>
          <w:color w:val="C00000"/>
          <w:sz w:val="18"/>
          <w:szCs w:val="18"/>
        </w:rPr>
        <w:t>10</w:t>
      </w:r>
    </w:p>
    <w:p w:rsidR="0009619F" w:rsidRPr="008A47AB" w:rsidRDefault="0009619F" w:rsidP="00F173B8">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sz w:val="18"/>
          <w:szCs w:val="18"/>
        </w:rPr>
        <w:t xml:space="preserve">The Federal Government should </w:t>
      </w:r>
      <w:r w:rsidRPr="008A47AB">
        <w:rPr>
          <w:color w:val="000000"/>
          <w:sz w:val="18"/>
          <w:szCs w:val="18"/>
        </w:rPr>
        <w:t>continue to support and encourage private giving through matched funding as a complement to (not a replacement of) core government support in the arts through a matched funding program. This program funding for CPA should be extended to 2017–18 and the CPA operation should be reviewed to identify programming needs for the next four years.</w:t>
      </w:r>
    </w:p>
    <w:p w:rsidR="007335A3" w:rsidRPr="008A47AB" w:rsidRDefault="007335A3" w:rsidP="007335A3">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p>
    <w:p w:rsidR="00F173B8" w:rsidRPr="008A47AB" w:rsidRDefault="00F173B8" w:rsidP="007335A3">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r w:rsidRPr="008A47AB">
        <w:rPr>
          <w:b/>
          <w:color w:val="C00000"/>
          <w:sz w:val="18"/>
          <w:szCs w:val="18"/>
        </w:rPr>
        <w:t xml:space="preserve">Recommendation 11 </w:t>
      </w:r>
    </w:p>
    <w:p w:rsidR="00F173B8" w:rsidRPr="008A47AB" w:rsidRDefault="00F173B8" w:rsidP="007335A3">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color w:val="000000"/>
          <w:sz w:val="18"/>
          <w:szCs w:val="18"/>
        </w:rPr>
        <w:t xml:space="preserve">AMPAG recommends government stimulate development of original IP through a $20 million over 4 years seed fund for new innovative works of scale.   </w:t>
      </w:r>
    </w:p>
    <w:p w:rsidR="007335A3" w:rsidRPr="008A47AB" w:rsidRDefault="007335A3" w:rsidP="007335A3">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p>
    <w:p w:rsidR="00F173B8" w:rsidRPr="008A47AB" w:rsidRDefault="00F173B8" w:rsidP="007335A3">
      <w:pPr>
        <w:pBdr>
          <w:top w:val="single" w:sz="4" w:space="1" w:color="auto"/>
          <w:left w:val="single" w:sz="4" w:space="4" w:color="auto"/>
          <w:bottom w:val="single" w:sz="4" w:space="1" w:color="auto"/>
          <w:right w:val="single" w:sz="4" w:space="4" w:color="auto"/>
        </w:pBdr>
        <w:spacing w:after="0" w:line="240" w:lineRule="auto"/>
        <w:rPr>
          <w:b/>
          <w:color w:val="C00000"/>
          <w:sz w:val="18"/>
          <w:szCs w:val="18"/>
        </w:rPr>
      </w:pPr>
      <w:r w:rsidRPr="008A47AB">
        <w:rPr>
          <w:b/>
          <w:color w:val="C00000"/>
          <w:sz w:val="18"/>
          <w:szCs w:val="18"/>
        </w:rPr>
        <w:t xml:space="preserve">Recommendations 12 </w:t>
      </w:r>
    </w:p>
    <w:p w:rsidR="00F173B8" w:rsidRPr="008A47AB" w:rsidRDefault="00F173B8" w:rsidP="007335A3">
      <w:pPr>
        <w:pBdr>
          <w:top w:val="single" w:sz="4" w:space="1" w:color="auto"/>
          <w:left w:val="single" w:sz="4" w:space="4" w:color="auto"/>
          <w:bottom w:val="single" w:sz="4" w:space="1" w:color="auto"/>
          <w:right w:val="single" w:sz="4" w:space="4" w:color="auto"/>
        </w:pBdr>
        <w:spacing w:after="0" w:line="240" w:lineRule="auto"/>
        <w:rPr>
          <w:color w:val="000000"/>
          <w:sz w:val="18"/>
          <w:szCs w:val="18"/>
        </w:rPr>
      </w:pPr>
      <w:r w:rsidRPr="008A47AB">
        <w:rPr>
          <w:color w:val="000000"/>
          <w:sz w:val="18"/>
          <w:szCs w:val="18"/>
        </w:rPr>
        <w:t>Provide an additional $5 million over four years for international touring of Australian productions</w:t>
      </w:r>
      <w:r w:rsidR="007335A3" w:rsidRPr="008A47AB">
        <w:rPr>
          <w:color w:val="000000"/>
          <w:sz w:val="18"/>
          <w:szCs w:val="18"/>
        </w:rPr>
        <w:t xml:space="preserve"> &amp; artists.</w:t>
      </w:r>
    </w:p>
    <w:p w:rsidR="007335A3" w:rsidRPr="008A47AB" w:rsidRDefault="007335A3" w:rsidP="007335A3">
      <w:pPr>
        <w:spacing w:after="0"/>
        <w:jc w:val="right"/>
        <w:rPr>
          <w:color w:val="000000"/>
          <w:sz w:val="4"/>
          <w:szCs w:val="4"/>
        </w:rPr>
      </w:pPr>
    </w:p>
    <w:p w:rsidR="007335A3" w:rsidRPr="008A47AB" w:rsidRDefault="007335A3" w:rsidP="007335A3">
      <w:pPr>
        <w:spacing w:after="0"/>
        <w:jc w:val="right"/>
        <w:rPr>
          <w:color w:val="000000"/>
          <w:sz w:val="16"/>
          <w:szCs w:val="16"/>
        </w:rPr>
      </w:pPr>
    </w:p>
    <w:p w:rsidR="007335A3" w:rsidRPr="008A47AB" w:rsidRDefault="007335A3" w:rsidP="007335A3">
      <w:pPr>
        <w:spacing w:after="0"/>
        <w:jc w:val="right"/>
        <w:rPr>
          <w:color w:val="000000"/>
          <w:sz w:val="16"/>
          <w:szCs w:val="16"/>
        </w:rPr>
      </w:pPr>
      <w:r w:rsidRPr="008A47AB">
        <w:rPr>
          <w:color w:val="000000"/>
          <w:sz w:val="16"/>
          <w:szCs w:val="16"/>
        </w:rPr>
        <w:t>For further information contact:</w:t>
      </w:r>
    </w:p>
    <w:p w:rsidR="007335A3" w:rsidRPr="008A47AB" w:rsidRDefault="007335A3" w:rsidP="00924524">
      <w:pPr>
        <w:spacing w:after="0"/>
        <w:ind w:left="5040" w:firstLine="720"/>
        <w:jc w:val="right"/>
        <w:rPr>
          <w:b/>
          <w:color w:val="000000"/>
          <w:sz w:val="16"/>
          <w:szCs w:val="16"/>
        </w:rPr>
      </w:pPr>
      <w:r w:rsidRPr="008A47AB">
        <w:rPr>
          <w:color w:val="000000"/>
          <w:sz w:val="16"/>
          <w:szCs w:val="16"/>
        </w:rPr>
        <w:t xml:space="preserve">      </w:t>
      </w:r>
      <w:r w:rsidRPr="008A47AB">
        <w:rPr>
          <w:b/>
          <w:color w:val="000000"/>
          <w:sz w:val="16"/>
          <w:szCs w:val="16"/>
        </w:rPr>
        <w:t>Bethwyn Serow</w:t>
      </w:r>
    </w:p>
    <w:p w:rsidR="007335A3" w:rsidRPr="008A47AB" w:rsidRDefault="007335A3" w:rsidP="007335A3">
      <w:pPr>
        <w:spacing w:after="0"/>
        <w:ind w:left="720"/>
        <w:jc w:val="right"/>
        <w:rPr>
          <w:color w:val="000000"/>
          <w:sz w:val="16"/>
          <w:szCs w:val="16"/>
        </w:rPr>
      </w:pPr>
      <w:r w:rsidRPr="008A47AB">
        <w:rPr>
          <w:color w:val="000000"/>
          <w:sz w:val="16"/>
          <w:szCs w:val="16"/>
        </w:rPr>
        <w:t xml:space="preserve"> Executive Director AMPAG</w:t>
      </w:r>
    </w:p>
    <w:p w:rsidR="007335A3" w:rsidRPr="008A47AB" w:rsidRDefault="007335A3" w:rsidP="007335A3">
      <w:pPr>
        <w:spacing w:after="0"/>
        <w:jc w:val="right"/>
        <w:rPr>
          <w:color w:val="000000"/>
          <w:sz w:val="16"/>
          <w:szCs w:val="16"/>
        </w:rPr>
      </w:pPr>
      <w:r w:rsidRPr="008A47AB">
        <w:rPr>
          <w:color w:val="000000"/>
          <w:sz w:val="16"/>
          <w:szCs w:val="16"/>
        </w:rPr>
        <w:tab/>
        <w:t>02 9253 5351</w:t>
      </w:r>
    </w:p>
    <w:p w:rsidR="007335A3" w:rsidRPr="008A47AB" w:rsidRDefault="007335A3" w:rsidP="007335A3">
      <w:pPr>
        <w:spacing w:after="0"/>
        <w:jc w:val="right"/>
        <w:rPr>
          <w:color w:val="000000"/>
          <w:sz w:val="16"/>
          <w:szCs w:val="16"/>
        </w:rPr>
      </w:pPr>
      <w:r w:rsidRPr="008A47AB">
        <w:rPr>
          <w:color w:val="000000"/>
          <w:sz w:val="16"/>
          <w:szCs w:val="16"/>
        </w:rPr>
        <w:t>ampag@ampag.com.au</w:t>
      </w:r>
    </w:p>
    <w:p w:rsidR="00F173B8" w:rsidRPr="008A47AB" w:rsidRDefault="007335A3" w:rsidP="007335A3">
      <w:pPr>
        <w:jc w:val="right"/>
        <w:rPr>
          <w:color w:val="000000"/>
          <w:sz w:val="16"/>
          <w:szCs w:val="16"/>
        </w:rPr>
      </w:pPr>
      <w:r w:rsidRPr="008A47AB">
        <w:rPr>
          <w:color w:val="000000"/>
          <w:sz w:val="16"/>
          <w:szCs w:val="16"/>
        </w:rPr>
        <w:t>www.ampag.com.au</w:t>
      </w:r>
    </w:p>
    <w:sectPr w:rsidR="00F173B8" w:rsidRPr="008A47AB" w:rsidSect="007335A3">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993"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08" w:rsidRDefault="00480308" w:rsidP="00A16D83">
      <w:pPr>
        <w:spacing w:after="0" w:line="240" w:lineRule="auto"/>
      </w:pPr>
      <w:r>
        <w:separator/>
      </w:r>
    </w:p>
  </w:endnote>
  <w:endnote w:type="continuationSeparator" w:id="0">
    <w:p w:rsidR="00480308" w:rsidRDefault="00480308" w:rsidP="00A1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08" w:rsidRDefault="008A4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87616"/>
      <w:docPartObj>
        <w:docPartGallery w:val="Page Numbers (Bottom of Page)"/>
        <w:docPartUnique/>
      </w:docPartObj>
    </w:sdtPr>
    <w:sdtEndPr>
      <w:rPr>
        <w:noProof/>
      </w:rPr>
    </w:sdtEndPr>
    <w:sdtContent>
      <w:p w:rsidR="009A7EEA" w:rsidRDefault="009A7EEA">
        <w:pPr>
          <w:pStyle w:val="Footer"/>
          <w:jc w:val="right"/>
        </w:pPr>
        <w:r>
          <w:fldChar w:fldCharType="begin"/>
        </w:r>
        <w:r>
          <w:instrText xml:space="preserve"> PAGE   \* MERGEFORMAT </w:instrText>
        </w:r>
        <w:r>
          <w:fldChar w:fldCharType="separate"/>
        </w:r>
        <w:r w:rsidR="00D50EE8">
          <w:rPr>
            <w:noProof/>
          </w:rPr>
          <w:t>2</w:t>
        </w:r>
        <w:r>
          <w:rPr>
            <w:noProof/>
          </w:rPr>
          <w:fldChar w:fldCharType="end"/>
        </w:r>
      </w:p>
    </w:sdtContent>
  </w:sdt>
  <w:p w:rsidR="009A7EEA" w:rsidRPr="004B48FE" w:rsidRDefault="009A7EEA" w:rsidP="004B48FE">
    <w:pPr>
      <w:pStyle w:val="Footer"/>
      <w:jc w:val="center"/>
      <w:rPr>
        <w:rFonts w:ascii="Century Gothic" w:hAnsi="Century Gothic"/>
        <w:color w:val="BFBFBF" w:themeColor="background1" w:themeShade="BF"/>
        <w:sz w:val="20"/>
        <w:szCs w:val="20"/>
      </w:rPr>
    </w:pPr>
    <w:r w:rsidRPr="004B48FE">
      <w:rPr>
        <w:rFonts w:ascii="Century Gothic" w:hAnsi="Century Gothic"/>
        <w:color w:val="BFBFBF" w:themeColor="background1" w:themeShade="BF"/>
        <w:sz w:val="20"/>
        <w:szCs w:val="20"/>
      </w:rPr>
      <w:t>www.ampag.com.au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08" w:rsidRDefault="008A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08" w:rsidRDefault="00480308" w:rsidP="00A16D83">
      <w:pPr>
        <w:spacing w:after="0" w:line="240" w:lineRule="auto"/>
      </w:pPr>
      <w:r>
        <w:separator/>
      </w:r>
    </w:p>
  </w:footnote>
  <w:footnote w:type="continuationSeparator" w:id="0">
    <w:p w:rsidR="00480308" w:rsidRDefault="00480308" w:rsidP="00A16D83">
      <w:pPr>
        <w:spacing w:after="0" w:line="240" w:lineRule="auto"/>
      </w:pPr>
      <w:r>
        <w:continuationSeparator/>
      </w:r>
    </w:p>
  </w:footnote>
  <w:footnote w:id="1">
    <w:p w:rsidR="009A7EEA" w:rsidRDefault="009A7EEA" w:rsidP="00A16D83">
      <w:r>
        <w:rPr>
          <w:rStyle w:val="FootnoteReference"/>
        </w:rPr>
        <w:footnoteRef/>
      </w:r>
      <w:r>
        <w:rPr>
          <w:rFonts w:ascii="Century Gothic" w:hAnsi="Century Gothic"/>
          <w:sz w:val="16"/>
          <w:szCs w:val="16"/>
        </w:rPr>
        <w:t xml:space="preserve"> Tom Fleming Creative Consultancy, </w:t>
      </w:r>
      <w:r>
        <w:rPr>
          <w:rFonts w:ascii="Century Gothic" w:hAnsi="Century Gothic"/>
          <w:i/>
          <w:sz w:val="16"/>
          <w:szCs w:val="16"/>
        </w:rPr>
        <w:t>Cultural and creative spillovers in Europe: Report on a preliminary evidence review</w:t>
      </w:r>
      <w:r>
        <w:rPr>
          <w:rFonts w:ascii="Century Gothic" w:hAnsi="Century Gothic"/>
          <w:sz w:val="16"/>
          <w:szCs w:val="16"/>
        </w:rPr>
        <w:t>, October 2015</w:t>
      </w:r>
    </w:p>
  </w:footnote>
  <w:footnote w:id="2">
    <w:p w:rsidR="009A7EEA" w:rsidRPr="00A63428" w:rsidRDefault="009A7EEA" w:rsidP="00491B27">
      <w:pPr>
        <w:spacing w:after="0"/>
        <w:rPr>
          <w:rFonts w:ascii="Century Gothic" w:hAnsi="Century Gothic"/>
          <w:sz w:val="16"/>
          <w:szCs w:val="16"/>
        </w:rPr>
      </w:pPr>
      <w:r w:rsidRPr="00A63428">
        <w:rPr>
          <w:rStyle w:val="FootnoteReference"/>
        </w:rPr>
        <w:footnoteRef/>
      </w:r>
      <w:r w:rsidRPr="00A63428">
        <w:rPr>
          <w:rFonts w:ascii="Century Gothic" w:hAnsi="Century Gothic"/>
          <w:sz w:val="16"/>
          <w:szCs w:val="16"/>
        </w:rPr>
        <w:t xml:space="preserve"> Australia Council’s </w:t>
      </w:r>
      <w:r w:rsidRPr="00A63428">
        <w:rPr>
          <w:rFonts w:ascii="Century Gothic" w:hAnsi="Century Gothic"/>
          <w:i/>
          <w:sz w:val="16"/>
          <w:szCs w:val="16"/>
        </w:rPr>
        <w:t>Arts in Daily Life</w:t>
      </w:r>
    </w:p>
  </w:footnote>
  <w:footnote w:id="3">
    <w:p w:rsidR="009A7EEA" w:rsidRPr="00034459" w:rsidRDefault="009A7EEA" w:rsidP="00A70F62">
      <w:pPr>
        <w:pStyle w:val="FootnoteText"/>
        <w:rPr>
          <w:sz w:val="16"/>
          <w:szCs w:val="16"/>
        </w:rPr>
      </w:pPr>
      <w:r>
        <w:rPr>
          <w:rStyle w:val="FootnoteReference"/>
        </w:rPr>
        <w:footnoteRef/>
      </w:r>
      <w:r>
        <w:t xml:space="preserve"> </w:t>
      </w:r>
      <w:r w:rsidRPr="00034459">
        <w:rPr>
          <w:sz w:val="16"/>
          <w:szCs w:val="16"/>
        </w:rPr>
        <w:t>Director Alpha Beta Advisors, Masters and Doctorate in Economics from Oxford University, Rhodes Scholar.</w:t>
      </w:r>
    </w:p>
  </w:footnote>
  <w:footnote w:id="4">
    <w:p w:rsidR="009A7EEA" w:rsidRDefault="009A7EEA" w:rsidP="00A70F62">
      <w:pPr>
        <w:pStyle w:val="FootnoteText"/>
      </w:pPr>
      <w:r w:rsidRPr="00034459">
        <w:rPr>
          <w:rStyle w:val="FootnoteReference"/>
          <w:sz w:val="16"/>
          <w:szCs w:val="16"/>
        </w:rPr>
        <w:footnoteRef/>
      </w:r>
      <w:r w:rsidRPr="00034459">
        <w:rPr>
          <w:sz w:val="16"/>
          <w:szCs w:val="16"/>
        </w:rPr>
        <w:t xml:space="preserve"> https://www.qut.edu.au/creative-industries/about/news/news?news-id=108517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08" w:rsidRDefault="008A4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08" w:rsidRDefault="008A4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08" w:rsidRDefault="008A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708"/>
    <w:multiLevelType w:val="hybridMultilevel"/>
    <w:tmpl w:val="D9AC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A680C"/>
    <w:multiLevelType w:val="hybridMultilevel"/>
    <w:tmpl w:val="554499E2"/>
    <w:lvl w:ilvl="0" w:tplc="DDDAB14E">
      <w:start w:val="1"/>
      <w:numFmt w:val="bullet"/>
      <w:pStyle w:val="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70EEF"/>
    <w:multiLevelType w:val="hybridMultilevel"/>
    <w:tmpl w:val="19AC1A36"/>
    <w:lvl w:ilvl="0" w:tplc="1A325F72">
      <w:start w:val="1"/>
      <w:numFmt w:val="decimal"/>
      <w:lvlText w:val="%1"/>
      <w:lvlJc w:val="left"/>
      <w:pPr>
        <w:ind w:left="1965" w:hanging="16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A24726"/>
    <w:multiLevelType w:val="hybridMultilevel"/>
    <w:tmpl w:val="A4B8A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1178C7"/>
    <w:multiLevelType w:val="hybridMultilevel"/>
    <w:tmpl w:val="DAD6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1C4DDC"/>
    <w:multiLevelType w:val="hybridMultilevel"/>
    <w:tmpl w:val="76EE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A65411"/>
    <w:multiLevelType w:val="hybridMultilevel"/>
    <w:tmpl w:val="95FC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AE60FC"/>
    <w:multiLevelType w:val="hybridMultilevel"/>
    <w:tmpl w:val="CC64D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4A661E"/>
    <w:multiLevelType w:val="hybridMultilevel"/>
    <w:tmpl w:val="C916F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E0F5231"/>
    <w:multiLevelType w:val="hybridMultilevel"/>
    <w:tmpl w:val="0952DDBE"/>
    <w:lvl w:ilvl="0" w:tplc="0C090001">
      <w:start w:val="1"/>
      <w:numFmt w:val="bullet"/>
      <w:lvlText w:val=""/>
      <w:lvlJc w:val="left"/>
      <w:pPr>
        <w:ind w:left="720" w:hanging="360"/>
      </w:pPr>
      <w:rPr>
        <w:rFonts w:ascii="Symbol" w:hAnsi="Symbol" w:hint="default"/>
      </w:rPr>
    </w:lvl>
    <w:lvl w:ilvl="1" w:tplc="7D3CEAD0">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0CD6076"/>
    <w:multiLevelType w:val="hybridMultilevel"/>
    <w:tmpl w:val="9A484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5C37BF"/>
    <w:multiLevelType w:val="hybridMultilevel"/>
    <w:tmpl w:val="843EDD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nsid w:val="7B025B04"/>
    <w:multiLevelType w:val="hybridMultilevel"/>
    <w:tmpl w:val="81D8D93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nsid w:val="7BEF430E"/>
    <w:multiLevelType w:val="hybridMultilevel"/>
    <w:tmpl w:val="B82AD736"/>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11"/>
  </w:num>
  <w:num w:numId="5">
    <w:abstractNumId w:val="2"/>
  </w:num>
  <w:num w:numId="6">
    <w:abstractNumId w:val="1"/>
  </w:num>
  <w:num w:numId="7">
    <w:abstractNumId w:val="4"/>
  </w:num>
  <w:num w:numId="8">
    <w:abstractNumId w:val="8"/>
  </w:num>
  <w:num w:numId="9">
    <w:abstractNumId w:val="3"/>
  </w:num>
  <w:num w:numId="10">
    <w:abstractNumId w:val="7"/>
  </w:num>
  <w:num w:numId="11">
    <w:abstractNumId w:val="12"/>
  </w:num>
  <w:num w:numId="12">
    <w:abstractNumId w:val="5"/>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E4"/>
    <w:rsid w:val="00020725"/>
    <w:rsid w:val="00034459"/>
    <w:rsid w:val="00081334"/>
    <w:rsid w:val="0009619F"/>
    <w:rsid w:val="000C1F40"/>
    <w:rsid w:val="000F1C69"/>
    <w:rsid w:val="00145AED"/>
    <w:rsid w:val="0014698F"/>
    <w:rsid w:val="001552BC"/>
    <w:rsid w:val="00175DAF"/>
    <w:rsid w:val="001A7F36"/>
    <w:rsid w:val="00254E5B"/>
    <w:rsid w:val="00255D2D"/>
    <w:rsid w:val="002B68A1"/>
    <w:rsid w:val="002D340C"/>
    <w:rsid w:val="002F46AB"/>
    <w:rsid w:val="00315603"/>
    <w:rsid w:val="003414EF"/>
    <w:rsid w:val="003446A8"/>
    <w:rsid w:val="00380ADC"/>
    <w:rsid w:val="003D685A"/>
    <w:rsid w:val="003E50B9"/>
    <w:rsid w:val="00401B38"/>
    <w:rsid w:val="00480308"/>
    <w:rsid w:val="00491B27"/>
    <w:rsid w:val="004B48FE"/>
    <w:rsid w:val="004B715C"/>
    <w:rsid w:val="00566B81"/>
    <w:rsid w:val="00596010"/>
    <w:rsid w:val="005F2A49"/>
    <w:rsid w:val="00613AF1"/>
    <w:rsid w:val="00617852"/>
    <w:rsid w:val="00670E3B"/>
    <w:rsid w:val="006A34FE"/>
    <w:rsid w:val="006B6A50"/>
    <w:rsid w:val="006C44EB"/>
    <w:rsid w:val="006F47E4"/>
    <w:rsid w:val="0070474E"/>
    <w:rsid w:val="00717542"/>
    <w:rsid w:val="007335A3"/>
    <w:rsid w:val="00770B17"/>
    <w:rsid w:val="00795C53"/>
    <w:rsid w:val="00821812"/>
    <w:rsid w:val="00887B3C"/>
    <w:rsid w:val="0089299D"/>
    <w:rsid w:val="00893F5F"/>
    <w:rsid w:val="00896BBF"/>
    <w:rsid w:val="008A4408"/>
    <w:rsid w:val="008A47AB"/>
    <w:rsid w:val="008B2A8A"/>
    <w:rsid w:val="008E0896"/>
    <w:rsid w:val="008E5276"/>
    <w:rsid w:val="00902C3A"/>
    <w:rsid w:val="009217E1"/>
    <w:rsid w:val="00924524"/>
    <w:rsid w:val="00925CF8"/>
    <w:rsid w:val="00942820"/>
    <w:rsid w:val="00975798"/>
    <w:rsid w:val="009A7EEA"/>
    <w:rsid w:val="009C7F86"/>
    <w:rsid w:val="009E4C7C"/>
    <w:rsid w:val="009F5172"/>
    <w:rsid w:val="00A16D83"/>
    <w:rsid w:val="00A25771"/>
    <w:rsid w:val="00A365BF"/>
    <w:rsid w:val="00A70F62"/>
    <w:rsid w:val="00A7347B"/>
    <w:rsid w:val="00A81F17"/>
    <w:rsid w:val="00AB061C"/>
    <w:rsid w:val="00AD0CF2"/>
    <w:rsid w:val="00B04AD6"/>
    <w:rsid w:val="00B62482"/>
    <w:rsid w:val="00C5086B"/>
    <w:rsid w:val="00C60484"/>
    <w:rsid w:val="00C708F7"/>
    <w:rsid w:val="00CA2ADE"/>
    <w:rsid w:val="00CF6DA3"/>
    <w:rsid w:val="00D00B92"/>
    <w:rsid w:val="00D50EE8"/>
    <w:rsid w:val="00DA4546"/>
    <w:rsid w:val="00DB14AC"/>
    <w:rsid w:val="00DC0821"/>
    <w:rsid w:val="00DC1700"/>
    <w:rsid w:val="00DE203A"/>
    <w:rsid w:val="00DE6C26"/>
    <w:rsid w:val="00E23BAE"/>
    <w:rsid w:val="00E36EE6"/>
    <w:rsid w:val="00E863D1"/>
    <w:rsid w:val="00EC4E24"/>
    <w:rsid w:val="00EC6900"/>
    <w:rsid w:val="00EE6254"/>
    <w:rsid w:val="00EF6C98"/>
    <w:rsid w:val="00F173B8"/>
    <w:rsid w:val="00F20900"/>
    <w:rsid w:val="00F27E7B"/>
    <w:rsid w:val="00F74C88"/>
    <w:rsid w:val="00F7691E"/>
    <w:rsid w:val="00FB63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8E5276"/>
    <w:pPr>
      <w:keepNext/>
      <w:spacing w:before="120" w:line="240" w:lineRule="auto"/>
      <w:ind w:left="992" w:hanging="992"/>
      <w:jc w:val="both"/>
      <w:outlineLvl w:val="3"/>
    </w:pPr>
    <w:rPr>
      <w:rFonts w:ascii="Arial" w:eastAsiaTheme="majorEastAsia" w:hAnsi="Arial"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DM Gen Text,List Paragraph1,List Paragraph11,Recommendation"/>
    <w:basedOn w:val="Normal"/>
    <w:link w:val="ListParagraphChar"/>
    <w:uiPriority w:val="34"/>
    <w:qFormat/>
    <w:rsid w:val="00FB63E4"/>
    <w:pPr>
      <w:ind w:left="720"/>
      <w:contextualSpacing/>
    </w:pPr>
  </w:style>
  <w:style w:type="character" w:customStyle="1" w:styleId="ListParagraphChar">
    <w:name w:val="List Paragraph Char"/>
    <w:aliases w:val="DDM Gen Text Char,List Paragraph1 Char,List Paragraph11 Char,Recommendation Char"/>
    <w:basedOn w:val="DefaultParagraphFont"/>
    <w:link w:val="ListParagraph"/>
    <w:uiPriority w:val="34"/>
    <w:locked/>
    <w:rsid w:val="00FB63E4"/>
  </w:style>
  <w:style w:type="character" w:styleId="FootnoteReference">
    <w:name w:val="footnote reference"/>
    <w:basedOn w:val="DefaultParagraphFont"/>
    <w:uiPriority w:val="99"/>
    <w:semiHidden/>
    <w:unhideWhenUsed/>
    <w:rsid w:val="00A16D83"/>
    <w:rPr>
      <w:vertAlign w:val="superscript"/>
    </w:rPr>
  </w:style>
  <w:style w:type="character" w:styleId="SubtleEmphasis">
    <w:name w:val="Subtle Emphasis"/>
    <w:aliases w:val="Exhibit tables,Exhibit table"/>
    <w:basedOn w:val="DefaultParagraphFont"/>
    <w:uiPriority w:val="19"/>
    <w:qFormat/>
    <w:rsid w:val="00A16D83"/>
    <w:rPr>
      <w:i/>
      <w:iCs/>
      <w:color w:val="808080" w:themeColor="text1" w:themeTint="7F"/>
    </w:rPr>
  </w:style>
  <w:style w:type="table" w:styleId="LightShading-Accent2">
    <w:name w:val="Light Shading Accent 2"/>
    <w:basedOn w:val="TableNormal"/>
    <w:uiPriority w:val="60"/>
    <w:rsid w:val="00A16D8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670E3B"/>
    <w:rPr>
      <w:sz w:val="16"/>
      <w:szCs w:val="16"/>
    </w:rPr>
  </w:style>
  <w:style w:type="paragraph" w:styleId="CommentText">
    <w:name w:val="annotation text"/>
    <w:basedOn w:val="Normal"/>
    <w:link w:val="CommentTextChar"/>
    <w:uiPriority w:val="99"/>
    <w:semiHidden/>
    <w:unhideWhenUsed/>
    <w:rsid w:val="00670E3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70E3B"/>
    <w:rPr>
      <w:sz w:val="20"/>
      <w:szCs w:val="20"/>
    </w:rPr>
  </w:style>
  <w:style w:type="paragraph" w:styleId="BalloonText">
    <w:name w:val="Balloon Text"/>
    <w:basedOn w:val="Normal"/>
    <w:link w:val="BalloonTextChar"/>
    <w:uiPriority w:val="99"/>
    <w:semiHidden/>
    <w:unhideWhenUsed/>
    <w:rsid w:val="0067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E3B"/>
    <w:rPr>
      <w:rFonts w:ascii="Tahoma" w:hAnsi="Tahoma" w:cs="Tahoma"/>
      <w:sz w:val="16"/>
      <w:szCs w:val="16"/>
    </w:rPr>
  </w:style>
  <w:style w:type="character" w:customStyle="1" w:styleId="apple-converted-space">
    <w:name w:val="apple-converted-space"/>
    <w:basedOn w:val="DefaultParagraphFont"/>
    <w:rsid w:val="00975798"/>
  </w:style>
  <w:style w:type="paragraph" w:styleId="NormalWeb">
    <w:name w:val="Normal (Web)"/>
    <w:basedOn w:val="Normal"/>
    <w:uiPriority w:val="99"/>
    <w:unhideWhenUsed/>
    <w:rsid w:val="009757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75798"/>
    <w:rPr>
      <w:b/>
      <w:bCs/>
    </w:rPr>
  </w:style>
  <w:style w:type="character" w:styleId="Emphasis">
    <w:name w:val="Emphasis"/>
    <w:basedOn w:val="DefaultParagraphFont"/>
    <w:uiPriority w:val="20"/>
    <w:qFormat/>
    <w:rsid w:val="00975798"/>
    <w:rPr>
      <w:i/>
      <w:iCs/>
    </w:rPr>
  </w:style>
  <w:style w:type="paragraph" w:customStyle="1" w:styleId="Bulletpoints">
    <w:name w:val="Bulletpoints"/>
    <w:basedOn w:val="ListParagraph"/>
    <w:link w:val="BulletpointsChar"/>
    <w:qFormat/>
    <w:rsid w:val="008E5276"/>
    <w:pPr>
      <w:numPr>
        <w:numId w:val="6"/>
      </w:numPr>
      <w:spacing w:line="240" w:lineRule="auto"/>
      <w:jc w:val="both"/>
    </w:pPr>
    <w:rPr>
      <w:rFonts w:ascii="Arial" w:hAnsi="Arial" w:cs="Arial"/>
      <w:sz w:val="24"/>
      <w:szCs w:val="24"/>
    </w:rPr>
  </w:style>
  <w:style w:type="character" w:customStyle="1" w:styleId="BulletpointsChar">
    <w:name w:val="Bulletpoints Char"/>
    <w:basedOn w:val="ListParagraphChar"/>
    <w:link w:val="Bulletpoints"/>
    <w:rsid w:val="008E5276"/>
    <w:rPr>
      <w:rFonts w:ascii="Arial" w:hAnsi="Arial" w:cs="Arial"/>
      <w:sz w:val="24"/>
      <w:szCs w:val="24"/>
    </w:rPr>
  </w:style>
  <w:style w:type="paragraph" w:customStyle="1" w:styleId="Recommendations">
    <w:name w:val="Recommendations"/>
    <w:basedOn w:val="Normal"/>
    <w:next w:val="Normal"/>
    <w:link w:val="RecommendationsChar"/>
    <w:qFormat/>
    <w:rsid w:val="008E5276"/>
    <w:pPr>
      <w:keepNext/>
      <w:tabs>
        <w:tab w:val="left" w:pos="2722"/>
        <w:tab w:val="left" w:pos="2835"/>
      </w:tabs>
      <w:spacing w:before="40" w:line="240" w:lineRule="auto"/>
      <w:jc w:val="both"/>
    </w:pPr>
    <w:rPr>
      <w:rFonts w:ascii="Arial" w:hAnsi="Arial"/>
      <w:b/>
      <w:sz w:val="24"/>
    </w:rPr>
  </w:style>
  <w:style w:type="character" w:customStyle="1" w:styleId="RecommendationsChar">
    <w:name w:val="Recommendations Char"/>
    <w:basedOn w:val="DefaultParagraphFont"/>
    <w:link w:val="Recommendations"/>
    <w:rsid w:val="008E5276"/>
    <w:rPr>
      <w:rFonts w:ascii="Arial" w:hAnsi="Arial"/>
      <w:b/>
      <w:sz w:val="24"/>
    </w:rPr>
  </w:style>
  <w:style w:type="paragraph" w:styleId="Caption">
    <w:name w:val="caption"/>
    <w:aliases w:val="Exhibit titles"/>
    <w:basedOn w:val="Normal"/>
    <w:next w:val="Normal"/>
    <w:uiPriority w:val="35"/>
    <w:unhideWhenUsed/>
    <w:qFormat/>
    <w:rsid w:val="008E5276"/>
    <w:pPr>
      <w:keepNext/>
      <w:tabs>
        <w:tab w:val="left" w:pos="1418"/>
      </w:tabs>
      <w:spacing w:line="240" w:lineRule="auto"/>
      <w:jc w:val="both"/>
    </w:pPr>
    <w:rPr>
      <w:rFonts w:ascii="Arial" w:hAnsi="Arial"/>
      <w:b/>
      <w:bCs/>
      <w:sz w:val="20"/>
      <w:szCs w:val="18"/>
    </w:rPr>
  </w:style>
  <w:style w:type="paragraph" w:customStyle="1" w:styleId="RecommendationCK">
    <w:name w:val="RecommendationCK"/>
    <w:basedOn w:val="Recommendations"/>
    <w:link w:val="RecommendationCKChar"/>
    <w:qFormat/>
    <w:rsid w:val="008E5276"/>
    <w:pPr>
      <w:tabs>
        <w:tab w:val="left" w:pos="3005"/>
      </w:tabs>
    </w:pPr>
  </w:style>
  <w:style w:type="character" w:customStyle="1" w:styleId="RecommendationCKChar">
    <w:name w:val="RecommendationCK Char"/>
    <w:basedOn w:val="RecommendationsChar"/>
    <w:link w:val="RecommendationCK"/>
    <w:rsid w:val="008E5276"/>
    <w:rPr>
      <w:rFonts w:ascii="Arial" w:hAnsi="Arial"/>
      <w:b/>
      <w:sz w:val="24"/>
    </w:rPr>
  </w:style>
  <w:style w:type="character" w:customStyle="1" w:styleId="Heading4Char">
    <w:name w:val="Heading 4 Char"/>
    <w:basedOn w:val="DefaultParagraphFont"/>
    <w:link w:val="Heading4"/>
    <w:uiPriority w:val="9"/>
    <w:rsid w:val="008E5276"/>
    <w:rPr>
      <w:rFonts w:ascii="Arial" w:eastAsiaTheme="majorEastAsia" w:hAnsi="Arial" w:cstheme="majorBidi"/>
      <w:b/>
      <w:iCs/>
      <w:sz w:val="28"/>
    </w:rPr>
  </w:style>
  <w:style w:type="paragraph" w:styleId="NoSpacing">
    <w:name w:val="No Spacing"/>
    <w:aliases w:val="Footnote,Footnote - 9pt"/>
    <w:basedOn w:val="Normal"/>
    <w:uiPriority w:val="1"/>
    <w:qFormat/>
    <w:rsid w:val="008E5276"/>
    <w:pPr>
      <w:spacing w:line="240" w:lineRule="auto"/>
      <w:jc w:val="both"/>
    </w:pPr>
    <w:rPr>
      <w:rFonts w:ascii="Arial" w:hAnsi="Arial" w:cs="Arial"/>
      <w:sz w:val="18"/>
      <w:szCs w:val="24"/>
    </w:rPr>
  </w:style>
  <w:style w:type="paragraph" w:styleId="FootnoteText">
    <w:name w:val="footnote text"/>
    <w:basedOn w:val="Normal"/>
    <w:link w:val="FootnoteTextChar"/>
    <w:uiPriority w:val="99"/>
    <w:semiHidden/>
    <w:rsid w:val="00A70F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0F62"/>
    <w:rPr>
      <w:rFonts w:ascii="Calibri" w:eastAsia="Calibri" w:hAnsi="Calibri" w:cs="Times New Roman"/>
      <w:sz w:val="20"/>
      <w:szCs w:val="20"/>
    </w:rPr>
  </w:style>
  <w:style w:type="paragraph" w:styleId="Header">
    <w:name w:val="header"/>
    <w:basedOn w:val="Normal"/>
    <w:link w:val="HeaderChar"/>
    <w:uiPriority w:val="99"/>
    <w:unhideWhenUsed/>
    <w:rsid w:val="004B4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8FE"/>
  </w:style>
  <w:style w:type="paragraph" w:styleId="Footer">
    <w:name w:val="footer"/>
    <w:basedOn w:val="Normal"/>
    <w:link w:val="FooterChar"/>
    <w:uiPriority w:val="99"/>
    <w:unhideWhenUsed/>
    <w:rsid w:val="004B4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8FE"/>
  </w:style>
  <w:style w:type="paragraph" w:customStyle="1" w:styleId="Default">
    <w:name w:val="Default"/>
    <w:rsid w:val="00175DA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E203A"/>
    <w:pPr>
      <w:spacing w:after="200"/>
    </w:pPr>
    <w:rPr>
      <w:b/>
      <w:bCs/>
    </w:rPr>
  </w:style>
  <w:style w:type="character" w:customStyle="1" w:styleId="CommentSubjectChar">
    <w:name w:val="Comment Subject Char"/>
    <w:basedOn w:val="CommentTextChar"/>
    <w:link w:val="CommentSubject"/>
    <w:uiPriority w:val="99"/>
    <w:semiHidden/>
    <w:rsid w:val="00DE20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8E5276"/>
    <w:pPr>
      <w:keepNext/>
      <w:spacing w:before="120" w:line="240" w:lineRule="auto"/>
      <w:ind w:left="992" w:hanging="992"/>
      <w:jc w:val="both"/>
      <w:outlineLvl w:val="3"/>
    </w:pPr>
    <w:rPr>
      <w:rFonts w:ascii="Arial" w:eastAsiaTheme="majorEastAsia" w:hAnsi="Arial"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DM Gen Text,List Paragraph1,List Paragraph11,Recommendation"/>
    <w:basedOn w:val="Normal"/>
    <w:link w:val="ListParagraphChar"/>
    <w:uiPriority w:val="34"/>
    <w:qFormat/>
    <w:rsid w:val="00FB63E4"/>
    <w:pPr>
      <w:ind w:left="720"/>
      <w:contextualSpacing/>
    </w:pPr>
  </w:style>
  <w:style w:type="character" w:customStyle="1" w:styleId="ListParagraphChar">
    <w:name w:val="List Paragraph Char"/>
    <w:aliases w:val="DDM Gen Text Char,List Paragraph1 Char,List Paragraph11 Char,Recommendation Char"/>
    <w:basedOn w:val="DefaultParagraphFont"/>
    <w:link w:val="ListParagraph"/>
    <w:uiPriority w:val="34"/>
    <w:locked/>
    <w:rsid w:val="00FB63E4"/>
  </w:style>
  <w:style w:type="character" w:styleId="FootnoteReference">
    <w:name w:val="footnote reference"/>
    <w:basedOn w:val="DefaultParagraphFont"/>
    <w:uiPriority w:val="99"/>
    <w:semiHidden/>
    <w:unhideWhenUsed/>
    <w:rsid w:val="00A16D83"/>
    <w:rPr>
      <w:vertAlign w:val="superscript"/>
    </w:rPr>
  </w:style>
  <w:style w:type="character" w:styleId="SubtleEmphasis">
    <w:name w:val="Subtle Emphasis"/>
    <w:aliases w:val="Exhibit tables,Exhibit table"/>
    <w:basedOn w:val="DefaultParagraphFont"/>
    <w:uiPriority w:val="19"/>
    <w:qFormat/>
    <w:rsid w:val="00A16D83"/>
    <w:rPr>
      <w:i/>
      <w:iCs/>
      <w:color w:val="808080" w:themeColor="text1" w:themeTint="7F"/>
    </w:rPr>
  </w:style>
  <w:style w:type="table" w:styleId="LightShading-Accent2">
    <w:name w:val="Light Shading Accent 2"/>
    <w:basedOn w:val="TableNormal"/>
    <w:uiPriority w:val="60"/>
    <w:rsid w:val="00A16D8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670E3B"/>
    <w:rPr>
      <w:sz w:val="16"/>
      <w:szCs w:val="16"/>
    </w:rPr>
  </w:style>
  <w:style w:type="paragraph" w:styleId="CommentText">
    <w:name w:val="annotation text"/>
    <w:basedOn w:val="Normal"/>
    <w:link w:val="CommentTextChar"/>
    <w:uiPriority w:val="99"/>
    <w:semiHidden/>
    <w:unhideWhenUsed/>
    <w:rsid w:val="00670E3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70E3B"/>
    <w:rPr>
      <w:sz w:val="20"/>
      <w:szCs w:val="20"/>
    </w:rPr>
  </w:style>
  <w:style w:type="paragraph" w:styleId="BalloonText">
    <w:name w:val="Balloon Text"/>
    <w:basedOn w:val="Normal"/>
    <w:link w:val="BalloonTextChar"/>
    <w:uiPriority w:val="99"/>
    <w:semiHidden/>
    <w:unhideWhenUsed/>
    <w:rsid w:val="0067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E3B"/>
    <w:rPr>
      <w:rFonts w:ascii="Tahoma" w:hAnsi="Tahoma" w:cs="Tahoma"/>
      <w:sz w:val="16"/>
      <w:szCs w:val="16"/>
    </w:rPr>
  </w:style>
  <w:style w:type="character" w:customStyle="1" w:styleId="apple-converted-space">
    <w:name w:val="apple-converted-space"/>
    <w:basedOn w:val="DefaultParagraphFont"/>
    <w:rsid w:val="00975798"/>
  </w:style>
  <w:style w:type="paragraph" w:styleId="NormalWeb">
    <w:name w:val="Normal (Web)"/>
    <w:basedOn w:val="Normal"/>
    <w:uiPriority w:val="99"/>
    <w:unhideWhenUsed/>
    <w:rsid w:val="009757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75798"/>
    <w:rPr>
      <w:b/>
      <w:bCs/>
    </w:rPr>
  </w:style>
  <w:style w:type="character" w:styleId="Emphasis">
    <w:name w:val="Emphasis"/>
    <w:basedOn w:val="DefaultParagraphFont"/>
    <w:uiPriority w:val="20"/>
    <w:qFormat/>
    <w:rsid w:val="00975798"/>
    <w:rPr>
      <w:i/>
      <w:iCs/>
    </w:rPr>
  </w:style>
  <w:style w:type="paragraph" w:customStyle="1" w:styleId="Bulletpoints">
    <w:name w:val="Bulletpoints"/>
    <w:basedOn w:val="ListParagraph"/>
    <w:link w:val="BulletpointsChar"/>
    <w:qFormat/>
    <w:rsid w:val="008E5276"/>
    <w:pPr>
      <w:numPr>
        <w:numId w:val="6"/>
      </w:numPr>
      <w:spacing w:line="240" w:lineRule="auto"/>
      <w:jc w:val="both"/>
    </w:pPr>
    <w:rPr>
      <w:rFonts w:ascii="Arial" w:hAnsi="Arial" w:cs="Arial"/>
      <w:sz w:val="24"/>
      <w:szCs w:val="24"/>
    </w:rPr>
  </w:style>
  <w:style w:type="character" w:customStyle="1" w:styleId="BulletpointsChar">
    <w:name w:val="Bulletpoints Char"/>
    <w:basedOn w:val="ListParagraphChar"/>
    <w:link w:val="Bulletpoints"/>
    <w:rsid w:val="008E5276"/>
    <w:rPr>
      <w:rFonts w:ascii="Arial" w:hAnsi="Arial" w:cs="Arial"/>
      <w:sz w:val="24"/>
      <w:szCs w:val="24"/>
    </w:rPr>
  </w:style>
  <w:style w:type="paragraph" w:customStyle="1" w:styleId="Recommendations">
    <w:name w:val="Recommendations"/>
    <w:basedOn w:val="Normal"/>
    <w:next w:val="Normal"/>
    <w:link w:val="RecommendationsChar"/>
    <w:qFormat/>
    <w:rsid w:val="008E5276"/>
    <w:pPr>
      <w:keepNext/>
      <w:tabs>
        <w:tab w:val="left" w:pos="2722"/>
        <w:tab w:val="left" w:pos="2835"/>
      </w:tabs>
      <w:spacing w:before="40" w:line="240" w:lineRule="auto"/>
      <w:jc w:val="both"/>
    </w:pPr>
    <w:rPr>
      <w:rFonts w:ascii="Arial" w:hAnsi="Arial"/>
      <w:b/>
      <w:sz w:val="24"/>
    </w:rPr>
  </w:style>
  <w:style w:type="character" w:customStyle="1" w:styleId="RecommendationsChar">
    <w:name w:val="Recommendations Char"/>
    <w:basedOn w:val="DefaultParagraphFont"/>
    <w:link w:val="Recommendations"/>
    <w:rsid w:val="008E5276"/>
    <w:rPr>
      <w:rFonts w:ascii="Arial" w:hAnsi="Arial"/>
      <w:b/>
      <w:sz w:val="24"/>
    </w:rPr>
  </w:style>
  <w:style w:type="paragraph" w:styleId="Caption">
    <w:name w:val="caption"/>
    <w:aliases w:val="Exhibit titles"/>
    <w:basedOn w:val="Normal"/>
    <w:next w:val="Normal"/>
    <w:uiPriority w:val="35"/>
    <w:unhideWhenUsed/>
    <w:qFormat/>
    <w:rsid w:val="008E5276"/>
    <w:pPr>
      <w:keepNext/>
      <w:tabs>
        <w:tab w:val="left" w:pos="1418"/>
      </w:tabs>
      <w:spacing w:line="240" w:lineRule="auto"/>
      <w:jc w:val="both"/>
    </w:pPr>
    <w:rPr>
      <w:rFonts w:ascii="Arial" w:hAnsi="Arial"/>
      <w:b/>
      <w:bCs/>
      <w:sz w:val="20"/>
      <w:szCs w:val="18"/>
    </w:rPr>
  </w:style>
  <w:style w:type="paragraph" w:customStyle="1" w:styleId="RecommendationCK">
    <w:name w:val="RecommendationCK"/>
    <w:basedOn w:val="Recommendations"/>
    <w:link w:val="RecommendationCKChar"/>
    <w:qFormat/>
    <w:rsid w:val="008E5276"/>
    <w:pPr>
      <w:tabs>
        <w:tab w:val="left" w:pos="3005"/>
      </w:tabs>
    </w:pPr>
  </w:style>
  <w:style w:type="character" w:customStyle="1" w:styleId="RecommendationCKChar">
    <w:name w:val="RecommendationCK Char"/>
    <w:basedOn w:val="RecommendationsChar"/>
    <w:link w:val="RecommendationCK"/>
    <w:rsid w:val="008E5276"/>
    <w:rPr>
      <w:rFonts w:ascii="Arial" w:hAnsi="Arial"/>
      <w:b/>
      <w:sz w:val="24"/>
    </w:rPr>
  </w:style>
  <w:style w:type="character" w:customStyle="1" w:styleId="Heading4Char">
    <w:name w:val="Heading 4 Char"/>
    <w:basedOn w:val="DefaultParagraphFont"/>
    <w:link w:val="Heading4"/>
    <w:uiPriority w:val="9"/>
    <w:rsid w:val="008E5276"/>
    <w:rPr>
      <w:rFonts w:ascii="Arial" w:eastAsiaTheme="majorEastAsia" w:hAnsi="Arial" w:cstheme="majorBidi"/>
      <w:b/>
      <w:iCs/>
      <w:sz w:val="28"/>
    </w:rPr>
  </w:style>
  <w:style w:type="paragraph" w:styleId="NoSpacing">
    <w:name w:val="No Spacing"/>
    <w:aliases w:val="Footnote,Footnote - 9pt"/>
    <w:basedOn w:val="Normal"/>
    <w:uiPriority w:val="1"/>
    <w:qFormat/>
    <w:rsid w:val="008E5276"/>
    <w:pPr>
      <w:spacing w:line="240" w:lineRule="auto"/>
      <w:jc w:val="both"/>
    </w:pPr>
    <w:rPr>
      <w:rFonts w:ascii="Arial" w:hAnsi="Arial" w:cs="Arial"/>
      <w:sz w:val="18"/>
      <w:szCs w:val="24"/>
    </w:rPr>
  </w:style>
  <w:style w:type="paragraph" w:styleId="FootnoteText">
    <w:name w:val="footnote text"/>
    <w:basedOn w:val="Normal"/>
    <w:link w:val="FootnoteTextChar"/>
    <w:uiPriority w:val="99"/>
    <w:semiHidden/>
    <w:rsid w:val="00A70F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70F62"/>
    <w:rPr>
      <w:rFonts w:ascii="Calibri" w:eastAsia="Calibri" w:hAnsi="Calibri" w:cs="Times New Roman"/>
      <w:sz w:val="20"/>
      <w:szCs w:val="20"/>
    </w:rPr>
  </w:style>
  <w:style w:type="paragraph" w:styleId="Header">
    <w:name w:val="header"/>
    <w:basedOn w:val="Normal"/>
    <w:link w:val="HeaderChar"/>
    <w:uiPriority w:val="99"/>
    <w:unhideWhenUsed/>
    <w:rsid w:val="004B4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8FE"/>
  </w:style>
  <w:style w:type="paragraph" w:styleId="Footer">
    <w:name w:val="footer"/>
    <w:basedOn w:val="Normal"/>
    <w:link w:val="FooterChar"/>
    <w:uiPriority w:val="99"/>
    <w:unhideWhenUsed/>
    <w:rsid w:val="004B4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8FE"/>
  </w:style>
  <w:style w:type="paragraph" w:customStyle="1" w:styleId="Default">
    <w:name w:val="Default"/>
    <w:rsid w:val="00175DA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E203A"/>
    <w:pPr>
      <w:spacing w:after="200"/>
    </w:pPr>
    <w:rPr>
      <w:b/>
      <w:bCs/>
    </w:rPr>
  </w:style>
  <w:style w:type="character" w:customStyle="1" w:styleId="CommentSubjectChar">
    <w:name w:val="Comment Subject Char"/>
    <w:basedOn w:val="CommentTextChar"/>
    <w:link w:val="CommentSubject"/>
    <w:uiPriority w:val="99"/>
    <w:semiHidden/>
    <w:rsid w:val="00DE20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4032">
      <w:bodyDiv w:val="1"/>
      <w:marLeft w:val="0"/>
      <w:marRight w:val="0"/>
      <w:marTop w:val="0"/>
      <w:marBottom w:val="0"/>
      <w:divBdr>
        <w:top w:val="none" w:sz="0" w:space="0" w:color="auto"/>
        <w:left w:val="none" w:sz="0" w:space="0" w:color="auto"/>
        <w:bottom w:val="none" w:sz="0" w:space="0" w:color="auto"/>
        <w:right w:val="none" w:sz="0" w:space="0" w:color="auto"/>
      </w:divBdr>
    </w:div>
    <w:div w:id="734351621">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60"/>
          <w:marBottom w:val="0"/>
          <w:divBdr>
            <w:top w:val="none" w:sz="0" w:space="0" w:color="auto"/>
            <w:left w:val="none" w:sz="0" w:space="0" w:color="auto"/>
            <w:bottom w:val="none" w:sz="0" w:space="0" w:color="auto"/>
            <w:right w:val="none" w:sz="0" w:space="0" w:color="auto"/>
          </w:divBdr>
        </w:div>
        <w:div w:id="1660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mpag.com.au/performing-arts/performing-companies/the-australian-ball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2017FG-94-5611</_dlc_DocId>
    <TaxCatchAll xmlns="e544e5cc-ab70-42e1-849e-1a0f8bb1f4ef">
      <Value>2</Value>
    </TaxCatchAll>
    <_dlc_DocIdUrl xmlns="e544e5cc-ab70-42e1-849e-1a0f8bb1f4ef">
      <Url>http://tweb/sites/fg/bpd/_layouts/15/DocIdRedir.aspx?ID=2017FG-94-5611</Url>
      <Description>2017FG-94-5611</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0F34-BF89-41B5-8AE9-D16294DAF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EED7E-27CB-42BA-8BB1-391A9069E6E1}">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1D5F51A5-684F-408E-9C6C-3F89A00FBD51}">
  <ds:schemaRefs>
    <ds:schemaRef ds:uri="http://schemas.microsoft.com/sharepoint/v3/contenttype/forms"/>
  </ds:schemaRefs>
</ds:datastoreItem>
</file>

<file path=customXml/itemProps4.xml><?xml version="1.0" encoding="utf-8"?>
<ds:datastoreItem xmlns:ds="http://schemas.openxmlformats.org/officeDocument/2006/customXml" ds:itemID="{666C6648-DD7B-44F1-A094-9370C81D6562}">
  <ds:schemaRefs>
    <ds:schemaRef ds:uri="office.server.policy"/>
  </ds:schemaRefs>
</ds:datastoreItem>
</file>

<file path=customXml/itemProps5.xml><?xml version="1.0" encoding="utf-8"?>
<ds:datastoreItem xmlns:ds="http://schemas.openxmlformats.org/officeDocument/2006/customXml" ds:itemID="{3229C5A1-5A31-488F-8B43-A214C9E90666}">
  <ds:schemaRefs>
    <ds:schemaRef ds:uri="http://schemas.microsoft.com/sharepoint/events"/>
  </ds:schemaRefs>
</ds:datastoreItem>
</file>

<file path=customXml/itemProps6.xml><?xml version="1.0" encoding="utf-8"?>
<ds:datastoreItem xmlns:ds="http://schemas.openxmlformats.org/officeDocument/2006/customXml" ds:itemID="{A9144C7A-AAB5-40C3-8571-6476C95A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3626</Words>
  <Characters>21104</Characters>
  <Application>Microsoft Office Word</Application>
  <DocSecurity>0</DocSecurity>
  <Lines>429</Lines>
  <Paragraphs>193</Paragraphs>
  <ScaleCrop>false</ScaleCrop>
  <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Major Performing Arts Group - 2017-18 Pre-Budget Submission</dc:title>
  <dc:creator/>
  <cp:lastModifiedBy/>
  <cp:revision>1</cp:revision>
  <dcterms:created xsi:type="dcterms:W3CDTF">2017-02-14T04:01:00Z</dcterms:created>
  <dcterms:modified xsi:type="dcterms:W3CDTF">2017-02-14T04:01:00Z</dcterms:modified>
  <dc:language>English</dc:language>
</cp:coreProperties>
</file>