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86" w:rsidRDefault="00986086">
      <w:pPr>
        <w:rPr>
          <w:rFonts w:ascii="Arial" w:hAnsi="Arial" w:cs="Arial"/>
          <w:sz w:val="22"/>
          <w:szCs w:val="22"/>
          <w:lang w:val="en-US"/>
        </w:rPr>
      </w:pPr>
      <w:bookmarkStart w:id="0" w:name="_GoBack"/>
      <w:bookmarkEnd w:id="0"/>
    </w:p>
    <w:p w:rsidR="008B33D4" w:rsidRDefault="008B33D4">
      <w:pPr>
        <w:rPr>
          <w:rFonts w:ascii="Arial" w:hAnsi="Arial" w:cs="Arial"/>
          <w:sz w:val="22"/>
          <w:szCs w:val="22"/>
          <w:lang w:val="en-US"/>
        </w:rPr>
      </w:pPr>
    </w:p>
    <w:p w:rsidR="00B60241" w:rsidRDefault="008E5C7E" w:rsidP="00B6024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1</w:t>
      </w:r>
      <w:r w:rsidR="000323ED">
        <w:rPr>
          <w:rFonts w:ascii="Arial" w:hAnsi="Arial" w:cs="Arial"/>
          <w:color w:val="000000"/>
          <w:sz w:val="22"/>
          <w:szCs w:val="22"/>
        </w:rPr>
        <w:t xml:space="preserve">9 </w:t>
      </w:r>
      <w:r w:rsidR="00B60241">
        <w:rPr>
          <w:rFonts w:ascii="Arial" w:hAnsi="Arial" w:cs="Arial"/>
          <w:color w:val="000000"/>
          <w:sz w:val="22"/>
          <w:szCs w:val="22"/>
        </w:rPr>
        <w:t>January 201</w:t>
      </w:r>
      <w:r w:rsidR="000323ED">
        <w:rPr>
          <w:rFonts w:ascii="Arial" w:hAnsi="Arial" w:cs="Arial"/>
          <w:color w:val="000000"/>
          <w:sz w:val="22"/>
          <w:szCs w:val="22"/>
        </w:rPr>
        <w:t>7</w:t>
      </w:r>
    </w:p>
    <w:p w:rsidR="00B60241" w:rsidRDefault="00B60241" w:rsidP="00B60241">
      <w:pPr>
        <w:pStyle w:val="NormalWeb"/>
        <w:shd w:val="clear" w:color="auto" w:fill="FFFFFF"/>
        <w:spacing w:before="0" w:beforeAutospacing="0" w:after="0" w:afterAutospacing="0"/>
        <w:rPr>
          <w:rFonts w:ascii="Arial" w:hAnsi="Arial" w:cs="Arial"/>
          <w:color w:val="000000"/>
          <w:sz w:val="22"/>
          <w:szCs w:val="22"/>
        </w:rPr>
      </w:pPr>
    </w:p>
    <w:p w:rsidR="008B33D4" w:rsidRPr="00B60241" w:rsidRDefault="00FB09EE" w:rsidP="00B6024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Hon Michael McCormack </w:t>
      </w:r>
      <w:r w:rsidR="008B33D4" w:rsidRPr="00B60241">
        <w:rPr>
          <w:rFonts w:ascii="Arial" w:hAnsi="Arial" w:cs="Arial"/>
          <w:color w:val="000000"/>
          <w:sz w:val="22"/>
          <w:szCs w:val="22"/>
        </w:rPr>
        <w:t>MP</w:t>
      </w:r>
    </w:p>
    <w:p w:rsidR="008B33D4" w:rsidRPr="00B60241" w:rsidRDefault="00FB09EE" w:rsidP="00B6024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Minister for Small Business</w:t>
      </w:r>
    </w:p>
    <w:p w:rsidR="00B60241" w:rsidRDefault="007744C1" w:rsidP="00B60241">
      <w:pPr>
        <w:pStyle w:val="NormalWeb"/>
        <w:shd w:val="clear" w:color="auto" w:fill="FFFFFF"/>
        <w:spacing w:before="0" w:beforeAutospacing="0" w:after="0" w:afterAutospacing="0"/>
        <w:rPr>
          <w:rFonts w:ascii="Arial" w:hAnsi="Arial" w:cs="Arial"/>
          <w:color w:val="000000"/>
          <w:sz w:val="22"/>
          <w:szCs w:val="22"/>
        </w:rPr>
      </w:pPr>
      <w:r w:rsidRPr="007744C1">
        <w:rPr>
          <w:rFonts w:ascii="Arial" w:hAnsi="Arial" w:cs="Arial"/>
          <w:color w:val="000000"/>
          <w:sz w:val="22"/>
          <w:szCs w:val="22"/>
        </w:rPr>
        <w:t>PO Box 6022</w:t>
      </w:r>
      <w:r w:rsidRPr="007744C1">
        <w:rPr>
          <w:rFonts w:ascii="Arial" w:hAnsi="Arial" w:cs="Arial"/>
          <w:color w:val="000000"/>
          <w:sz w:val="22"/>
          <w:szCs w:val="22"/>
        </w:rPr>
        <w:br/>
        <w:t>Parliament House</w:t>
      </w:r>
      <w:r w:rsidRPr="007744C1">
        <w:rPr>
          <w:rFonts w:ascii="Arial" w:hAnsi="Arial" w:cs="Arial"/>
          <w:color w:val="000000"/>
          <w:sz w:val="22"/>
          <w:szCs w:val="22"/>
        </w:rPr>
        <w:br/>
        <w:t>Canberra</w:t>
      </w:r>
      <w:r>
        <w:rPr>
          <w:rFonts w:ascii="Arial" w:hAnsi="Arial" w:cs="Arial"/>
          <w:color w:val="000000"/>
          <w:sz w:val="22"/>
          <w:szCs w:val="22"/>
        </w:rPr>
        <w:t xml:space="preserve"> </w:t>
      </w:r>
      <w:r w:rsidRPr="007744C1">
        <w:rPr>
          <w:rFonts w:ascii="Arial" w:hAnsi="Arial" w:cs="Arial"/>
          <w:color w:val="000000"/>
          <w:sz w:val="22"/>
          <w:szCs w:val="22"/>
        </w:rPr>
        <w:t xml:space="preserve"> ACT </w:t>
      </w:r>
      <w:r>
        <w:rPr>
          <w:rFonts w:ascii="Arial" w:hAnsi="Arial" w:cs="Arial"/>
          <w:color w:val="000000"/>
          <w:sz w:val="22"/>
          <w:szCs w:val="22"/>
        </w:rPr>
        <w:t xml:space="preserve"> </w:t>
      </w:r>
      <w:r w:rsidRPr="007744C1">
        <w:rPr>
          <w:rFonts w:ascii="Arial" w:hAnsi="Arial" w:cs="Arial"/>
          <w:color w:val="000000"/>
          <w:sz w:val="22"/>
          <w:szCs w:val="22"/>
        </w:rPr>
        <w:t>2600</w:t>
      </w:r>
    </w:p>
    <w:p w:rsidR="007744C1" w:rsidRDefault="007744C1" w:rsidP="00B60241">
      <w:pPr>
        <w:pStyle w:val="NormalWeb"/>
        <w:shd w:val="clear" w:color="auto" w:fill="FFFFFF"/>
        <w:spacing w:before="0" w:beforeAutospacing="0" w:after="0" w:afterAutospacing="0"/>
        <w:rPr>
          <w:rFonts w:ascii="Arial" w:hAnsi="Arial" w:cs="Arial"/>
          <w:color w:val="000000"/>
          <w:sz w:val="22"/>
          <w:szCs w:val="22"/>
        </w:rPr>
      </w:pPr>
    </w:p>
    <w:p w:rsidR="008B33D4" w:rsidRPr="005E3EDB" w:rsidRDefault="007744C1" w:rsidP="00B60241">
      <w:pPr>
        <w:pStyle w:val="NormalWeb"/>
        <w:shd w:val="clear" w:color="auto" w:fill="FFFFFF"/>
        <w:spacing w:before="0" w:beforeAutospacing="0" w:after="0" w:afterAutospacing="0"/>
        <w:rPr>
          <w:rFonts w:ascii="Arial" w:hAnsi="Arial" w:cs="Arial"/>
          <w:i/>
          <w:color w:val="000000"/>
          <w:sz w:val="22"/>
          <w:szCs w:val="22"/>
        </w:rPr>
      </w:pPr>
      <w:r w:rsidRPr="005E3EDB">
        <w:rPr>
          <w:rFonts w:ascii="Arial" w:hAnsi="Arial" w:cs="Arial"/>
          <w:i/>
          <w:color w:val="000000"/>
          <w:sz w:val="22"/>
          <w:szCs w:val="22"/>
        </w:rPr>
        <w:t>Submission uploaded to treasury.gov.au</w:t>
      </w:r>
    </w:p>
    <w:p w:rsidR="00B60241" w:rsidRDefault="00B60241" w:rsidP="00B60241">
      <w:pPr>
        <w:shd w:val="clear" w:color="auto" w:fill="FFFFFF"/>
        <w:outlineLvl w:val="0"/>
        <w:rPr>
          <w:rFonts w:ascii="Arial" w:hAnsi="Arial" w:cs="Arial"/>
          <w:color w:val="000000"/>
          <w:sz w:val="22"/>
          <w:szCs w:val="22"/>
          <w:lang w:eastAsia="en-AU"/>
        </w:rPr>
      </w:pPr>
    </w:p>
    <w:p w:rsidR="008B33D4" w:rsidRPr="00B60241" w:rsidRDefault="008B33D4" w:rsidP="00B60241">
      <w:pPr>
        <w:shd w:val="clear" w:color="auto" w:fill="FFFFFF"/>
        <w:outlineLvl w:val="0"/>
        <w:rPr>
          <w:rFonts w:ascii="Arial" w:hAnsi="Arial" w:cs="Arial"/>
          <w:color w:val="000000"/>
          <w:sz w:val="22"/>
          <w:szCs w:val="22"/>
          <w:lang w:eastAsia="en-AU"/>
        </w:rPr>
      </w:pPr>
      <w:r w:rsidRPr="00B60241">
        <w:rPr>
          <w:rFonts w:ascii="Arial" w:hAnsi="Arial" w:cs="Arial"/>
          <w:color w:val="000000"/>
          <w:sz w:val="22"/>
          <w:szCs w:val="22"/>
          <w:lang w:eastAsia="en-AU"/>
        </w:rPr>
        <w:t xml:space="preserve">Dear </w:t>
      </w:r>
      <w:r w:rsidR="007744C1">
        <w:rPr>
          <w:rFonts w:ascii="Arial" w:hAnsi="Arial" w:cs="Arial"/>
          <w:color w:val="000000"/>
          <w:sz w:val="22"/>
          <w:szCs w:val="22"/>
          <w:lang w:eastAsia="en-AU"/>
        </w:rPr>
        <w:t>Minist</w:t>
      </w:r>
      <w:r w:rsidRPr="00B60241">
        <w:rPr>
          <w:rFonts w:ascii="Arial" w:hAnsi="Arial" w:cs="Arial"/>
          <w:color w:val="000000"/>
          <w:sz w:val="22"/>
          <w:szCs w:val="22"/>
          <w:lang w:eastAsia="en-AU"/>
        </w:rPr>
        <w:t>er</w:t>
      </w:r>
      <w:r w:rsidR="005E3EDB">
        <w:rPr>
          <w:rFonts w:ascii="Arial" w:hAnsi="Arial" w:cs="Arial"/>
          <w:color w:val="000000"/>
          <w:sz w:val="22"/>
          <w:szCs w:val="22"/>
          <w:lang w:eastAsia="en-AU"/>
        </w:rPr>
        <w:t xml:space="preserve"> McCormack</w:t>
      </w:r>
      <w:r w:rsidRPr="00B60241">
        <w:rPr>
          <w:rFonts w:ascii="Arial" w:hAnsi="Arial" w:cs="Arial"/>
          <w:color w:val="000000"/>
          <w:sz w:val="22"/>
          <w:szCs w:val="22"/>
          <w:lang w:eastAsia="en-AU"/>
        </w:rPr>
        <w:t>,</w:t>
      </w:r>
    </w:p>
    <w:p w:rsidR="00B60241" w:rsidRDefault="00B60241" w:rsidP="00B60241">
      <w:pPr>
        <w:shd w:val="clear" w:color="auto" w:fill="FFFFFF"/>
        <w:outlineLvl w:val="0"/>
        <w:rPr>
          <w:rFonts w:ascii="Arial" w:hAnsi="Arial" w:cs="Arial"/>
          <w:color w:val="000000"/>
          <w:sz w:val="22"/>
          <w:szCs w:val="22"/>
          <w:lang w:eastAsia="en-AU"/>
        </w:rPr>
      </w:pPr>
    </w:p>
    <w:p w:rsidR="008B33D4" w:rsidRPr="008B33D4" w:rsidRDefault="008B33D4" w:rsidP="00B60241">
      <w:pPr>
        <w:shd w:val="clear" w:color="auto" w:fill="FFFFFF"/>
        <w:outlineLvl w:val="0"/>
        <w:rPr>
          <w:rFonts w:ascii="Arial" w:hAnsi="Arial" w:cs="Arial"/>
          <w:b/>
          <w:color w:val="000000"/>
          <w:sz w:val="22"/>
          <w:szCs w:val="22"/>
          <w:lang w:eastAsia="en-AU"/>
        </w:rPr>
      </w:pPr>
      <w:r w:rsidRPr="008B33D4">
        <w:rPr>
          <w:rFonts w:ascii="Arial" w:hAnsi="Arial" w:cs="Arial"/>
          <w:b/>
          <w:color w:val="000000"/>
          <w:sz w:val="22"/>
          <w:szCs w:val="22"/>
          <w:lang w:eastAsia="en-AU"/>
        </w:rPr>
        <w:t>201</w:t>
      </w:r>
      <w:r w:rsidR="000323ED">
        <w:rPr>
          <w:rFonts w:ascii="Arial" w:hAnsi="Arial" w:cs="Arial"/>
          <w:b/>
          <w:color w:val="000000"/>
          <w:sz w:val="22"/>
          <w:szCs w:val="22"/>
          <w:lang w:eastAsia="en-AU"/>
        </w:rPr>
        <w:t>7</w:t>
      </w:r>
      <w:r w:rsidRPr="008B33D4">
        <w:rPr>
          <w:rFonts w:ascii="Arial" w:hAnsi="Arial" w:cs="Arial"/>
          <w:b/>
          <w:color w:val="000000"/>
          <w:sz w:val="22"/>
          <w:szCs w:val="22"/>
          <w:lang w:eastAsia="en-AU"/>
        </w:rPr>
        <w:t>-1</w:t>
      </w:r>
      <w:r w:rsidR="000323ED">
        <w:rPr>
          <w:rFonts w:ascii="Arial" w:hAnsi="Arial" w:cs="Arial"/>
          <w:b/>
          <w:color w:val="000000"/>
          <w:sz w:val="22"/>
          <w:szCs w:val="22"/>
          <w:lang w:eastAsia="en-AU"/>
        </w:rPr>
        <w:t>8</w:t>
      </w:r>
      <w:r w:rsidRPr="008B33D4">
        <w:rPr>
          <w:rFonts w:ascii="Arial" w:hAnsi="Arial" w:cs="Arial"/>
          <w:b/>
          <w:color w:val="000000"/>
          <w:sz w:val="22"/>
          <w:szCs w:val="22"/>
          <w:lang w:eastAsia="en-AU"/>
        </w:rPr>
        <w:t xml:space="preserve"> Pre-Budget Submission</w:t>
      </w:r>
    </w:p>
    <w:p w:rsidR="008B33D4" w:rsidRPr="00B60241" w:rsidRDefault="008B33D4" w:rsidP="00B60241">
      <w:pPr>
        <w:rPr>
          <w:rFonts w:ascii="Arial" w:hAnsi="Arial" w:cs="Arial"/>
          <w:color w:val="000000"/>
          <w:sz w:val="22"/>
          <w:szCs w:val="22"/>
          <w:lang w:eastAsia="en-AU"/>
        </w:rPr>
      </w:pPr>
    </w:p>
    <w:p w:rsidR="006270E6" w:rsidRDefault="008B33D4" w:rsidP="00E53FBF">
      <w:pPr>
        <w:pStyle w:val="Default"/>
        <w:spacing w:after="160" w:line="280" w:lineRule="exact"/>
        <w:rPr>
          <w:rFonts w:ascii="Arial" w:hAnsi="Arial" w:cs="Arial"/>
          <w:sz w:val="22"/>
          <w:szCs w:val="22"/>
        </w:rPr>
      </w:pPr>
      <w:r w:rsidRPr="00B60241">
        <w:rPr>
          <w:rFonts w:ascii="Arial" w:hAnsi="Arial" w:cs="Arial"/>
          <w:sz w:val="22"/>
          <w:szCs w:val="22"/>
        </w:rPr>
        <w:t>The Association of Heads of Independent Schools of Australia (AHISA) a</w:t>
      </w:r>
      <w:r w:rsidR="003919B6">
        <w:rPr>
          <w:rFonts w:ascii="Arial" w:hAnsi="Arial" w:cs="Arial"/>
          <w:sz w:val="22"/>
          <w:szCs w:val="22"/>
        </w:rPr>
        <w:t>cknowledges</w:t>
      </w:r>
      <w:r w:rsidRPr="00B60241">
        <w:rPr>
          <w:rFonts w:ascii="Arial" w:hAnsi="Arial" w:cs="Arial"/>
          <w:sz w:val="22"/>
          <w:szCs w:val="22"/>
        </w:rPr>
        <w:t xml:space="preserve"> the Australian Government’s ongoing </w:t>
      </w:r>
      <w:r w:rsidR="006270E6">
        <w:rPr>
          <w:rFonts w:ascii="Arial" w:hAnsi="Arial" w:cs="Arial"/>
          <w:sz w:val="22"/>
          <w:szCs w:val="22"/>
        </w:rPr>
        <w:t>support for</w:t>
      </w:r>
      <w:r w:rsidRPr="00B60241">
        <w:rPr>
          <w:rFonts w:ascii="Arial" w:hAnsi="Arial" w:cs="Arial"/>
          <w:sz w:val="22"/>
          <w:szCs w:val="22"/>
        </w:rPr>
        <w:t xml:space="preserve"> the education of young Australians and</w:t>
      </w:r>
      <w:r w:rsidR="00B60241">
        <w:rPr>
          <w:rFonts w:ascii="Arial" w:hAnsi="Arial" w:cs="Arial"/>
          <w:sz w:val="22"/>
          <w:szCs w:val="22"/>
        </w:rPr>
        <w:t>, in particular,</w:t>
      </w:r>
      <w:r w:rsidRPr="00B60241">
        <w:rPr>
          <w:rFonts w:ascii="Arial" w:hAnsi="Arial" w:cs="Arial"/>
          <w:sz w:val="22"/>
          <w:szCs w:val="22"/>
        </w:rPr>
        <w:t xml:space="preserve"> its support of students attending non-government schools</w:t>
      </w:r>
      <w:r w:rsidR="00B60241" w:rsidRPr="00B60241">
        <w:rPr>
          <w:rFonts w:ascii="Arial" w:hAnsi="Arial" w:cs="Arial"/>
          <w:sz w:val="22"/>
          <w:szCs w:val="22"/>
        </w:rPr>
        <w:t>.</w:t>
      </w:r>
    </w:p>
    <w:p w:rsidR="00FF5CDD" w:rsidRDefault="003919B6" w:rsidP="007D13E2">
      <w:pPr>
        <w:pStyle w:val="Default"/>
        <w:spacing w:after="80" w:line="280" w:lineRule="exact"/>
        <w:rPr>
          <w:rFonts w:ascii="Arial" w:hAnsi="Arial" w:cs="Arial"/>
          <w:sz w:val="22"/>
          <w:szCs w:val="22"/>
        </w:rPr>
      </w:pPr>
      <w:r>
        <w:rPr>
          <w:rFonts w:ascii="Arial" w:hAnsi="Arial" w:cs="Arial"/>
          <w:sz w:val="22"/>
          <w:szCs w:val="22"/>
        </w:rPr>
        <w:t xml:space="preserve">AHISA </w:t>
      </w:r>
      <w:r w:rsidR="005E3EDB">
        <w:rPr>
          <w:rFonts w:ascii="Arial" w:hAnsi="Arial" w:cs="Arial"/>
          <w:sz w:val="22"/>
          <w:szCs w:val="22"/>
        </w:rPr>
        <w:t>further acknowledges that Australian Government funding arrangements for schools post-2017 are currently under review and that</w:t>
      </w:r>
      <w:r w:rsidR="006270E6">
        <w:rPr>
          <w:rFonts w:ascii="Arial" w:hAnsi="Arial" w:cs="Arial"/>
          <w:sz w:val="22"/>
          <w:szCs w:val="22"/>
        </w:rPr>
        <w:t xml:space="preserve"> the Government</w:t>
      </w:r>
      <w:r w:rsidR="005E3EDB">
        <w:rPr>
          <w:rFonts w:ascii="Arial" w:hAnsi="Arial" w:cs="Arial"/>
          <w:sz w:val="22"/>
          <w:szCs w:val="22"/>
        </w:rPr>
        <w:t xml:space="preserve"> is seeking</w:t>
      </w:r>
      <w:r w:rsidR="006270E6">
        <w:rPr>
          <w:rFonts w:ascii="Arial" w:hAnsi="Arial" w:cs="Arial"/>
          <w:sz w:val="22"/>
          <w:szCs w:val="22"/>
        </w:rPr>
        <w:t xml:space="preserve"> to find savings</w:t>
      </w:r>
      <w:r w:rsidR="005E3EDB">
        <w:rPr>
          <w:rFonts w:ascii="Arial" w:hAnsi="Arial" w:cs="Arial"/>
          <w:sz w:val="22"/>
          <w:szCs w:val="22"/>
        </w:rPr>
        <w:t xml:space="preserve"> or contain</w:t>
      </w:r>
      <w:r w:rsidR="006270E6">
        <w:rPr>
          <w:rFonts w:ascii="Arial" w:hAnsi="Arial" w:cs="Arial"/>
          <w:sz w:val="22"/>
          <w:szCs w:val="22"/>
        </w:rPr>
        <w:t xml:space="preserve"> expenditure</w:t>
      </w:r>
      <w:r w:rsidR="005E3EDB">
        <w:rPr>
          <w:rFonts w:ascii="Arial" w:hAnsi="Arial" w:cs="Arial"/>
          <w:sz w:val="22"/>
          <w:szCs w:val="22"/>
        </w:rPr>
        <w:t xml:space="preserve"> across it ministry portfolios.</w:t>
      </w:r>
      <w:r w:rsidR="00FF5CDD">
        <w:rPr>
          <w:rFonts w:ascii="Arial" w:hAnsi="Arial" w:cs="Arial"/>
          <w:sz w:val="22"/>
          <w:szCs w:val="22"/>
        </w:rPr>
        <w:t xml:space="preserve"> </w:t>
      </w:r>
      <w:r w:rsidR="005E3EDB">
        <w:rPr>
          <w:rFonts w:ascii="Arial" w:hAnsi="Arial" w:cs="Arial"/>
          <w:sz w:val="22"/>
          <w:szCs w:val="22"/>
        </w:rPr>
        <w:t xml:space="preserve">At the same time, </w:t>
      </w:r>
      <w:r w:rsidR="007C608A">
        <w:rPr>
          <w:rFonts w:ascii="Arial" w:hAnsi="Arial" w:cs="Arial"/>
          <w:sz w:val="22"/>
          <w:szCs w:val="22"/>
        </w:rPr>
        <w:t xml:space="preserve">it must be recognised that </w:t>
      </w:r>
      <w:r w:rsidR="005E3EDB">
        <w:rPr>
          <w:rFonts w:ascii="Arial" w:hAnsi="Arial" w:cs="Arial"/>
          <w:sz w:val="22"/>
          <w:szCs w:val="22"/>
        </w:rPr>
        <w:t xml:space="preserve">there are key issues in </w:t>
      </w:r>
      <w:r w:rsidR="00FF5CDD">
        <w:rPr>
          <w:rFonts w:ascii="Arial" w:hAnsi="Arial" w:cs="Arial"/>
          <w:sz w:val="22"/>
          <w:szCs w:val="22"/>
        </w:rPr>
        <w:t xml:space="preserve">Australian </w:t>
      </w:r>
      <w:r w:rsidR="005E3EDB">
        <w:rPr>
          <w:rFonts w:ascii="Arial" w:hAnsi="Arial" w:cs="Arial"/>
          <w:sz w:val="22"/>
          <w:szCs w:val="22"/>
        </w:rPr>
        <w:t>school education demanding the attention of governments.</w:t>
      </w:r>
      <w:r w:rsidR="00FF5CDD">
        <w:rPr>
          <w:rFonts w:ascii="Arial" w:hAnsi="Arial" w:cs="Arial"/>
          <w:sz w:val="22"/>
          <w:szCs w:val="22"/>
        </w:rPr>
        <w:t xml:space="preserve"> In this submission we focus on three:</w:t>
      </w:r>
    </w:p>
    <w:p w:rsidR="00F633DE" w:rsidRDefault="00FF5CDD" w:rsidP="0067338C">
      <w:pPr>
        <w:pStyle w:val="Default"/>
        <w:numPr>
          <w:ilvl w:val="0"/>
          <w:numId w:val="4"/>
        </w:numPr>
        <w:spacing w:after="80" w:line="280" w:lineRule="exact"/>
        <w:rPr>
          <w:rFonts w:ascii="Arial" w:hAnsi="Arial" w:cs="Arial"/>
          <w:sz w:val="22"/>
          <w:szCs w:val="22"/>
        </w:rPr>
      </w:pPr>
      <w:r w:rsidRPr="00F633DE">
        <w:rPr>
          <w:rFonts w:ascii="Arial" w:hAnsi="Arial" w:cs="Arial"/>
          <w:sz w:val="22"/>
          <w:szCs w:val="22"/>
        </w:rPr>
        <w:t xml:space="preserve">The achievement gap between non-Indigenous and Indigenous students </w:t>
      </w:r>
    </w:p>
    <w:p w:rsidR="00FF5CDD" w:rsidRPr="00F633DE" w:rsidRDefault="00FF5CDD" w:rsidP="0067338C">
      <w:pPr>
        <w:pStyle w:val="Default"/>
        <w:numPr>
          <w:ilvl w:val="0"/>
          <w:numId w:val="4"/>
        </w:numPr>
        <w:spacing w:after="80" w:line="280" w:lineRule="exact"/>
        <w:rPr>
          <w:rFonts w:ascii="Arial" w:hAnsi="Arial" w:cs="Arial"/>
          <w:sz w:val="22"/>
          <w:szCs w:val="22"/>
        </w:rPr>
      </w:pPr>
      <w:r w:rsidRPr="00F633DE">
        <w:rPr>
          <w:rFonts w:ascii="Arial" w:hAnsi="Arial" w:cs="Arial"/>
          <w:sz w:val="22"/>
          <w:szCs w:val="22"/>
        </w:rPr>
        <w:t>The evolution of schools in response to rapid social and technological change</w:t>
      </w:r>
    </w:p>
    <w:p w:rsidR="00FF5CDD" w:rsidRDefault="00FF5CDD" w:rsidP="0067338C">
      <w:pPr>
        <w:pStyle w:val="Default"/>
        <w:numPr>
          <w:ilvl w:val="0"/>
          <w:numId w:val="4"/>
        </w:numPr>
        <w:spacing w:after="160" w:line="280" w:lineRule="exact"/>
        <w:rPr>
          <w:rFonts w:ascii="Arial" w:hAnsi="Arial" w:cs="Arial"/>
          <w:sz w:val="22"/>
          <w:szCs w:val="22"/>
        </w:rPr>
      </w:pPr>
      <w:r>
        <w:rPr>
          <w:rFonts w:ascii="Arial" w:hAnsi="Arial" w:cs="Arial"/>
          <w:sz w:val="22"/>
          <w:szCs w:val="22"/>
        </w:rPr>
        <w:t>Projected increases in Australia’s school population and therefore in</w:t>
      </w:r>
      <w:r w:rsidR="00E53FBF">
        <w:rPr>
          <w:rFonts w:ascii="Arial" w:hAnsi="Arial" w:cs="Arial"/>
          <w:sz w:val="22"/>
          <w:szCs w:val="22"/>
        </w:rPr>
        <w:t>creases in</w:t>
      </w:r>
      <w:r>
        <w:rPr>
          <w:rFonts w:ascii="Arial" w:hAnsi="Arial" w:cs="Arial"/>
          <w:sz w:val="22"/>
          <w:szCs w:val="22"/>
        </w:rPr>
        <w:t xml:space="preserve"> the capital and recurrent costs of schooling provision.</w:t>
      </w:r>
    </w:p>
    <w:p w:rsidR="00EE72BE" w:rsidRDefault="00E53FBF" w:rsidP="00FC7B73">
      <w:pPr>
        <w:pStyle w:val="Default"/>
        <w:spacing w:after="240" w:line="280" w:lineRule="exact"/>
        <w:rPr>
          <w:rFonts w:ascii="Arial" w:hAnsi="Arial" w:cs="Arial"/>
          <w:sz w:val="22"/>
          <w:szCs w:val="22"/>
        </w:rPr>
      </w:pPr>
      <w:r>
        <w:rPr>
          <w:rFonts w:ascii="Arial" w:hAnsi="Arial" w:cs="Arial"/>
          <w:sz w:val="22"/>
          <w:szCs w:val="22"/>
        </w:rPr>
        <w:t>While r</w:t>
      </w:r>
      <w:r w:rsidR="009D6BF7">
        <w:rPr>
          <w:rFonts w:ascii="Arial" w:hAnsi="Arial" w:cs="Arial"/>
          <w:sz w:val="22"/>
          <w:szCs w:val="22"/>
        </w:rPr>
        <w:t>esponses to these issues will of necessity demand additional resources</w:t>
      </w:r>
      <w:r w:rsidR="007C608A">
        <w:rPr>
          <w:rFonts w:ascii="Arial" w:hAnsi="Arial" w:cs="Arial"/>
          <w:sz w:val="22"/>
          <w:szCs w:val="22"/>
        </w:rPr>
        <w:t xml:space="preserve">, </w:t>
      </w:r>
      <w:r w:rsidR="009D6BF7">
        <w:rPr>
          <w:rFonts w:ascii="Arial" w:hAnsi="Arial" w:cs="Arial"/>
          <w:sz w:val="22"/>
          <w:szCs w:val="22"/>
        </w:rPr>
        <w:t xml:space="preserve">we </w:t>
      </w:r>
      <w:r>
        <w:rPr>
          <w:rFonts w:ascii="Arial" w:hAnsi="Arial" w:cs="Arial"/>
          <w:sz w:val="22"/>
          <w:szCs w:val="22"/>
        </w:rPr>
        <w:t>describe</w:t>
      </w:r>
      <w:r w:rsidR="007C608A">
        <w:rPr>
          <w:rFonts w:ascii="Arial" w:hAnsi="Arial" w:cs="Arial"/>
          <w:sz w:val="22"/>
          <w:szCs w:val="22"/>
        </w:rPr>
        <w:t xml:space="preserve"> policy and program </w:t>
      </w:r>
      <w:r w:rsidR="009D6BF7">
        <w:rPr>
          <w:rFonts w:ascii="Arial" w:hAnsi="Arial" w:cs="Arial"/>
          <w:sz w:val="22"/>
          <w:szCs w:val="22"/>
        </w:rPr>
        <w:t>options</w:t>
      </w:r>
      <w:r w:rsidR="007C608A">
        <w:rPr>
          <w:rFonts w:ascii="Arial" w:hAnsi="Arial" w:cs="Arial"/>
          <w:sz w:val="22"/>
          <w:szCs w:val="22"/>
        </w:rPr>
        <w:t xml:space="preserve"> </w:t>
      </w:r>
      <w:r>
        <w:rPr>
          <w:rFonts w:ascii="Arial" w:hAnsi="Arial" w:cs="Arial"/>
          <w:sz w:val="22"/>
          <w:szCs w:val="22"/>
        </w:rPr>
        <w:t>that draw on the capacity of schools – and independent schools in particular – to leverage private contribution for public benefit</w:t>
      </w:r>
      <w:r w:rsidR="007C608A">
        <w:rPr>
          <w:rFonts w:ascii="Arial" w:hAnsi="Arial" w:cs="Arial"/>
          <w:sz w:val="22"/>
          <w:szCs w:val="22"/>
        </w:rPr>
        <w:t xml:space="preserve">. </w:t>
      </w:r>
      <w:r w:rsidR="00FC7B73">
        <w:rPr>
          <w:rFonts w:ascii="Arial" w:hAnsi="Arial" w:cs="Arial"/>
          <w:sz w:val="22"/>
          <w:szCs w:val="22"/>
        </w:rPr>
        <w:t xml:space="preserve">An outline of independent schools, private contribution and savings to government </w:t>
      </w:r>
      <w:r w:rsidR="00D5028A">
        <w:rPr>
          <w:rFonts w:ascii="Arial" w:hAnsi="Arial" w:cs="Arial"/>
          <w:sz w:val="22"/>
          <w:szCs w:val="22"/>
        </w:rPr>
        <w:t xml:space="preserve">therefore </w:t>
      </w:r>
      <w:r w:rsidR="00FC7B73">
        <w:rPr>
          <w:rFonts w:ascii="Arial" w:hAnsi="Arial" w:cs="Arial"/>
          <w:sz w:val="22"/>
          <w:szCs w:val="22"/>
        </w:rPr>
        <w:t>form</w:t>
      </w:r>
      <w:r w:rsidR="00754D2B">
        <w:rPr>
          <w:rFonts w:ascii="Arial" w:hAnsi="Arial" w:cs="Arial"/>
          <w:sz w:val="22"/>
          <w:szCs w:val="22"/>
        </w:rPr>
        <w:t>s</w:t>
      </w:r>
      <w:r w:rsidR="00FC7B73">
        <w:rPr>
          <w:rFonts w:ascii="Arial" w:hAnsi="Arial" w:cs="Arial"/>
          <w:sz w:val="22"/>
          <w:szCs w:val="22"/>
        </w:rPr>
        <w:t xml:space="preserve"> </w:t>
      </w:r>
      <w:r w:rsidR="00F633DE">
        <w:rPr>
          <w:rFonts w:ascii="Arial" w:hAnsi="Arial" w:cs="Arial"/>
          <w:sz w:val="22"/>
          <w:szCs w:val="22"/>
        </w:rPr>
        <w:t>an</w:t>
      </w:r>
      <w:r w:rsidR="00FC7B73">
        <w:rPr>
          <w:rFonts w:ascii="Arial" w:hAnsi="Arial" w:cs="Arial"/>
          <w:sz w:val="22"/>
          <w:szCs w:val="22"/>
        </w:rPr>
        <w:t xml:space="preserve"> introduction to this submission.</w:t>
      </w:r>
    </w:p>
    <w:p w:rsidR="00FC7B73" w:rsidRDefault="00FC7B73" w:rsidP="007C608A">
      <w:pPr>
        <w:pStyle w:val="Default"/>
        <w:spacing w:after="80" w:line="280" w:lineRule="exact"/>
        <w:rPr>
          <w:rFonts w:ascii="Arial" w:hAnsi="Arial" w:cs="Arial"/>
          <w:sz w:val="22"/>
          <w:szCs w:val="22"/>
        </w:rPr>
      </w:pPr>
      <w:r>
        <w:rPr>
          <w:rFonts w:ascii="Arial" w:hAnsi="Arial" w:cs="Arial"/>
          <w:sz w:val="22"/>
          <w:szCs w:val="22"/>
        </w:rPr>
        <w:t>Yours faithfully,</w:t>
      </w:r>
    </w:p>
    <w:p w:rsidR="00FC7B73" w:rsidRDefault="00FC7B73" w:rsidP="007C608A">
      <w:pPr>
        <w:pStyle w:val="Default"/>
        <w:spacing w:after="80" w:line="280" w:lineRule="exact"/>
        <w:rPr>
          <w:rFonts w:ascii="Arial" w:hAnsi="Arial" w:cs="Arial"/>
          <w:sz w:val="22"/>
          <w:szCs w:val="22"/>
        </w:rPr>
      </w:pPr>
    </w:p>
    <w:p w:rsidR="00FC7B73" w:rsidRPr="00FC7B73" w:rsidRDefault="00FC7B73" w:rsidP="00FC7B73">
      <w:pPr>
        <w:pStyle w:val="Default"/>
        <w:spacing w:after="240" w:line="280" w:lineRule="exact"/>
        <w:rPr>
          <w:rFonts w:ascii="Arial" w:hAnsi="Arial" w:cs="Arial"/>
          <w:b/>
          <w:sz w:val="22"/>
          <w:szCs w:val="22"/>
        </w:rPr>
      </w:pPr>
      <w:r w:rsidRPr="00FC7B73">
        <w:rPr>
          <w:rFonts w:ascii="Arial" w:hAnsi="Arial" w:cs="Arial"/>
          <w:b/>
          <w:sz w:val="22"/>
          <w:szCs w:val="22"/>
        </w:rPr>
        <w:t>(Mrs) Karen Spiller</w:t>
      </w:r>
    </w:p>
    <w:p w:rsidR="00FC7B73" w:rsidRDefault="00FC7B73" w:rsidP="00FC7B73">
      <w:pPr>
        <w:pStyle w:val="Default"/>
        <w:rPr>
          <w:rFonts w:ascii="Arial" w:hAnsi="Arial" w:cs="Arial"/>
          <w:sz w:val="22"/>
          <w:szCs w:val="22"/>
        </w:rPr>
      </w:pPr>
      <w:r>
        <w:rPr>
          <w:rFonts w:ascii="Arial" w:hAnsi="Arial" w:cs="Arial"/>
          <w:sz w:val="22"/>
          <w:szCs w:val="22"/>
        </w:rPr>
        <w:t>AHISA National Chair</w:t>
      </w:r>
    </w:p>
    <w:p w:rsidR="00FC7B73" w:rsidRDefault="00FC7B73" w:rsidP="00FC7B73">
      <w:pPr>
        <w:pStyle w:val="Default"/>
        <w:rPr>
          <w:rFonts w:ascii="Arial" w:hAnsi="Arial" w:cs="Arial"/>
          <w:sz w:val="22"/>
          <w:szCs w:val="22"/>
        </w:rPr>
      </w:pPr>
      <w:r>
        <w:rPr>
          <w:rFonts w:ascii="Arial" w:hAnsi="Arial" w:cs="Arial"/>
          <w:sz w:val="22"/>
          <w:szCs w:val="22"/>
        </w:rPr>
        <w:t>Principal of St Aidan’s Anglican Girls’ School, Qld</w:t>
      </w:r>
    </w:p>
    <w:p w:rsidR="00450EC4" w:rsidRDefault="00450EC4" w:rsidP="00FC7B73">
      <w:pPr>
        <w:pStyle w:val="Default"/>
        <w:rPr>
          <w:rFonts w:ascii="Arial" w:hAnsi="Arial" w:cs="Arial"/>
          <w:sz w:val="22"/>
          <w:szCs w:val="22"/>
        </w:rPr>
      </w:pPr>
    </w:p>
    <w:p w:rsidR="00450EC4" w:rsidRPr="00450EC4" w:rsidRDefault="00450EC4" w:rsidP="00450EC4">
      <w:pPr>
        <w:spacing w:before="120"/>
        <w:ind w:right="170"/>
        <w:rPr>
          <w:rFonts w:ascii="Arial" w:hAnsi="Arial" w:cs="Arial"/>
          <w:sz w:val="20"/>
          <w:szCs w:val="20"/>
        </w:rPr>
      </w:pPr>
      <w:r w:rsidRPr="00450EC4">
        <w:rPr>
          <w:rFonts w:ascii="Arial" w:hAnsi="Arial" w:cs="Arial"/>
          <w:sz w:val="20"/>
          <w:szCs w:val="20"/>
        </w:rPr>
        <w:t>Further inquiries may be addressed to AHISA’s Chief Executive Officer, Ms Beth Blackwood, telephone (02) 6247 7300; email ceo@ahisa.edu.au.</w:t>
      </w:r>
    </w:p>
    <w:p w:rsidR="00450EC4" w:rsidRDefault="00450EC4" w:rsidP="00FC7B73">
      <w:pPr>
        <w:pStyle w:val="Default"/>
        <w:rPr>
          <w:rFonts w:ascii="Arial" w:hAnsi="Arial" w:cs="Arial"/>
          <w:i/>
          <w:sz w:val="18"/>
          <w:szCs w:val="18"/>
        </w:rPr>
      </w:pPr>
    </w:p>
    <w:p w:rsidR="00FC7B73" w:rsidRDefault="00BC0EC7" w:rsidP="00D5028A">
      <w:pPr>
        <w:spacing w:after="360" w:line="280" w:lineRule="exact"/>
        <w:rPr>
          <w:rFonts w:ascii="Arial" w:hAnsi="Arial" w:cs="Arial"/>
          <w:color w:val="343434"/>
          <w:sz w:val="21"/>
          <w:szCs w:val="21"/>
        </w:rPr>
      </w:pPr>
      <w:r>
        <w:rPr>
          <w:rFonts w:ascii="Arial" w:hAnsi="Arial" w:cs="Arial"/>
          <w:noProof/>
          <w:color w:val="000000"/>
          <w:sz w:val="22"/>
          <w:szCs w:val="22"/>
          <w:lang w:eastAsia="en-AU"/>
        </w:rPr>
        <w:lastRenderedPageBreak/>
        <mc:AlternateContent>
          <mc:Choice Requires="wps">
            <w:drawing>
              <wp:anchor distT="0" distB="0" distL="114300" distR="114300" simplePos="0" relativeHeight="251659264" behindDoc="0" locked="0" layoutInCell="1" allowOverlap="1" wp14:anchorId="6436FBD1" wp14:editId="2C676D93">
                <wp:simplePos x="0" y="0"/>
                <wp:positionH relativeFrom="column">
                  <wp:posOffset>55245</wp:posOffset>
                </wp:positionH>
                <wp:positionV relativeFrom="paragraph">
                  <wp:posOffset>253365</wp:posOffset>
                </wp:positionV>
                <wp:extent cx="6332855" cy="7498080"/>
                <wp:effectExtent l="0" t="0" r="0" b="7620"/>
                <wp:wrapTopAndBottom/>
                <wp:docPr id="1" name="Text Box 1"/>
                <wp:cNvGraphicFramePr/>
                <a:graphic xmlns:a="http://schemas.openxmlformats.org/drawingml/2006/main">
                  <a:graphicData uri="http://schemas.microsoft.com/office/word/2010/wordprocessingShape">
                    <wps:wsp>
                      <wps:cNvSpPr txBox="1"/>
                      <wps:spPr>
                        <a:xfrm>
                          <a:off x="0" y="0"/>
                          <a:ext cx="6332855" cy="7498080"/>
                        </a:xfrm>
                        <a:prstGeom prst="rect">
                          <a:avLst/>
                        </a:prstGeom>
                        <a:solidFill>
                          <a:srgbClr val="EDEFF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600C" w:rsidRPr="00C252C7" w:rsidRDefault="00D6600C" w:rsidP="00C252C7">
                            <w:pPr>
                              <w:spacing w:before="360"/>
                              <w:ind w:left="284" w:right="284"/>
                              <w:rPr>
                                <w:rFonts w:ascii="Arial" w:hAnsi="Arial" w:cs="Arial"/>
                                <w:color w:val="7030A0"/>
                                <w:sz w:val="28"/>
                                <w:szCs w:val="28"/>
                              </w:rPr>
                            </w:pPr>
                            <w:r w:rsidRPr="00C252C7">
                              <w:rPr>
                                <w:rFonts w:ascii="Arial" w:hAnsi="Arial" w:cs="Arial"/>
                                <w:color w:val="7030A0"/>
                                <w:sz w:val="28"/>
                                <w:szCs w:val="28"/>
                              </w:rPr>
                              <w:t>SUMMARY OF RECOMMENDATIONS</w:t>
                            </w:r>
                          </w:p>
                          <w:p w:rsidR="00D6600C" w:rsidRDefault="00D6600C" w:rsidP="00C252C7">
                            <w:pPr>
                              <w:ind w:left="284" w:right="284"/>
                              <w:rPr>
                                <w:rFonts w:ascii="Arial" w:hAnsi="Arial" w:cs="Arial"/>
                                <w:sz w:val="22"/>
                                <w:szCs w:val="22"/>
                              </w:rPr>
                            </w:pPr>
                          </w:p>
                          <w:p w:rsidR="00D6600C" w:rsidRDefault="00D6600C" w:rsidP="00C252C7">
                            <w:pPr>
                              <w:ind w:left="284" w:right="284"/>
                              <w:rPr>
                                <w:rFonts w:ascii="Arial" w:hAnsi="Arial" w:cs="Arial"/>
                                <w:sz w:val="22"/>
                                <w:szCs w:val="22"/>
                              </w:rPr>
                            </w:pPr>
                          </w:p>
                          <w:p w:rsidR="00D6600C" w:rsidRPr="00C252C7" w:rsidRDefault="00D6600C" w:rsidP="00C252C7">
                            <w:pPr>
                              <w:spacing w:after="240" w:line="280" w:lineRule="exact"/>
                              <w:ind w:left="284" w:right="284"/>
                              <w:rPr>
                                <w:rFonts w:ascii="Arial" w:hAnsi="Arial" w:cs="Arial"/>
                                <w:color w:val="002060"/>
                                <w:sz w:val="22"/>
                                <w:szCs w:val="22"/>
                              </w:rPr>
                            </w:pPr>
                            <w:r w:rsidRPr="00C252C7">
                              <w:rPr>
                                <w:rFonts w:ascii="Arial" w:hAnsi="Arial" w:cs="Arial"/>
                                <w:color w:val="002060"/>
                                <w:sz w:val="22"/>
                                <w:szCs w:val="22"/>
                              </w:rPr>
                              <w:t>RECOMMENDATION 1</w:t>
                            </w:r>
                          </w:p>
                          <w:p w:rsidR="00D6600C" w:rsidRPr="00C252C7" w:rsidRDefault="00D6600C" w:rsidP="00C252C7">
                            <w:pPr>
                              <w:spacing w:after="360" w:line="280" w:lineRule="exact"/>
                              <w:ind w:left="720" w:right="284"/>
                              <w:rPr>
                                <w:rFonts w:ascii="Arial" w:hAnsi="Arial" w:cs="Arial"/>
                                <w:b/>
                                <w:color w:val="002060"/>
                                <w:sz w:val="22"/>
                                <w:szCs w:val="22"/>
                              </w:rPr>
                            </w:pPr>
                            <w:r w:rsidRPr="00C252C7">
                              <w:rPr>
                                <w:rFonts w:ascii="Arial" w:hAnsi="Arial" w:cs="Arial"/>
                                <w:b/>
                                <w:color w:val="002060"/>
                                <w:sz w:val="22"/>
                                <w:szCs w:val="22"/>
                              </w:rPr>
                              <w:t>The Australian Government to introduce greater flexibility into its general recurrent funding model for non-government schools to support the establishment by existing non-government schools of a separate campus or satellite school for Indigenous students, whereby students attending the campus will attract the maximum rate of federal per student general recurrent funding as per the Majority Aboriginal and Torres Strait Islander schools category of funding (MATSIS), irrespective of the socio-economic background (SES) of those students attending the parent school.</w:t>
                            </w:r>
                          </w:p>
                          <w:p w:rsidR="00D6600C" w:rsidRPr="00C252C7" w:rsidRDefault="00D6600C" w:rsidP="00C252C7">
                            <w:pPr>
                              <w:spacing w:after="240" w:line="280" w:lineRule="exact"/>
                              <w:ind w:left="284" w:right="284"/>
                              <w:rPr>
                                <w:rFonts w:ascii="Arial" w:hAnsi="Arial" w:cs="Arial"/>
                                <w:color w:val="002060"/>
                                <w:sz w:val="22"/>
                                <w:szCs w:val="22"/>
                              </w:rPr>
                            </w:pPr>
                            <w:r w:rsidRPr="00C252C7">
                              <w:rPr>
                                <w:rFonts w:ascii="Arial" w:hAnsi="Arial" w:cs="Arial"/>
                                <w:color w:val="002060"/>
                                <w:sz w:val="22"/>
                                <w:szCs w:val="22"/>
                              </w:rPr>
                              <w:t>RECOMMENDATION 2</w:t>
                            </w:r>
                          </w:p>
                          <w:p w:rsidR="00D6600C" w:rsidRPr="00C252C7" w:rsidRDefault="00D6600C" w:rsidP="00C252C7">
                            <w:pPr>
                              <w:spacing w:after="360" w:line="280" w:lineRule="exact"/>
                              <w:ind w:left="720" w:right="284"/>
                              <w:rPr>
                                <w:rFonts w:ascii="Arial" w:hAnsi="Arial" w:cs="Arial"/>
                                <w:b/>
                                <w:color w:val="002060"/>
                                <w:sz w:val="22"/>
                                <w:szCs w:val="22"/>
                              </w:rPr>
                            </w:pPr>
                            <w:r>
                              <w:rPr>
                                <w:rFonts w:ascii="Arial" w:hAnsi="Arial" w:cs="Arial"/>
                                <w:b/>
                                <w:color w:val="002060"/>
                                <w:sz w:val="22"/>
                                <w:szCs w:val="22"/>
                              </w:rPr>
                              <w:t xml:space="preserve">The Australian Government to establish a national </w:t>
                            </w:r>
                            <w:r w:rsidRPr="00C252C7">
                              <w:rPr>
                                <w:rFonts w:ascii="Arial" w:hAnsi="Arial" w:cs="Arial"/>
                                <w:b/>
                                <w:color w:val="002060"/>
                                <w:sz w:val="22"/>
                                <w:szCs w:val="22"/>
                              </w:rPr>
                              <w:t xml:space="preserve">Schools Innovation Fund to assist schools as they respond to 21st century demands. </w:t>
                            </w:r>
                            <w:r w:rsidRPr="006433D2">
                              <w:rPr>
                                <w:rFonts w:ascii="Arial" w:hAnsi="Arial" w:cs="Arial"/>
                                <w:b/>
                                <w:color w:val="002060"/>
                                <w:sz w:val="22"/>
                                <w:szCs w:val="22"/>
                              </w:rPr>
                              <w:t>Grants could be competitive and open to schools, clusters of schools and/or school systems</w:t>
                            </w:r>
                            <w:r w:rsidR="00E93EA9">
                              <w:rPr>
                                <w:rFonts w:ascii="Arial" w:hAnsi="Arial" w:cs="Arial"/>
                                <w:b/>
                                <w:color w:val="002060"/>
                                <w:sz w:val="22"/>
                                <w:szCs w:val="22"/>
                              </w:rPr>
                              <w:t xml:space="preserve"> </w:t>
                            </w:r>
                            <w:r w:rsidR="00E93EA9" w:rsidRPr="00E93EA9">
                              <w:rPr>
                                <w:rFonts w:ascii="Arial" w:hAnsi="Arial" w:cs="Arial"/>
                                <w:b/>
                                <w:color w:val="002060"/>
                                <w:sz w:val="22"/>
                                <w:szCs w:val="22"/>
                              </w:rPr>
                              <w:t>and schools partnering with other organisations such as universities</w:t>
                            </w:r>
                            <w:r w:rsidRPr="006433D2">
                              <w:rPr>
                                <w:rFonts w:ascii="Arial" w:hAnsi="Arial" w:cs="Arial"/>
                                <w:b/>
                                <w:color w:val="002060"/>
                                <w:sz w:val="22"/>
                                <w:szCs w:val="22"/>
                              </w:rPr>
                              <w:t>. A precedent for such a model is t</w:t>
                            </w:r>
                            <w:r w:rsidRPr="00C252C7">
                              <w:rPr>
                                <w:rFonts w:ascii="Arial" w:hAnsi="Arial" w:cs="Arial"/>
                                <w:b/>
                                <w:color w:val="002060"/>
                                <w:sz w:val="22"/>
                                <w:szCs w:val="22"/>
                              </w:rPr>
                              <w:t xml:space="preserve">he successful </w:t>
                            </w:r>
                            <w:r w:rsidRPr="00B26B8A">
                              <w:rPr>
                                <w:rFonts w:ascii="Arial" w:hAnsi="Arial" w:cs="Arial"/>
                                <w:b/>
                                <w:color w:val="002060"/>
                                <w:sz w:val="22"/>
                                <w:szCs w:val="22"/>
                              </w:rPr>
                              <w:t xml:space="preserve">Becoming Asia Literate: Grants to Schools (BALGS) </w:t>
                            </w:r>
                            <w:r w:rsidRPr="00C252C7">
                              <w:rPr>
                                <w:rFonts w:ascii="Arial" w:hAnsi="Arial" w:cs="Arial"/>
                                <w:b/>
                                <w:color w:val="002060"/>
                                <w:sz w:val="22"/>
                                <w:szCs w:val="22"/>
                              </w:rPr>
                              <w:t>competitive grants model, which disbursed some $7.2 million on 335 projects among 521 schools during the four years of its operation.</w:t>
                            </w:r>
                          </w:p>
                          <w:p w:rsidR="00D6600C" w:rsidRPr="004C610F" w:rsidRDefault="00D6600C" w:rsidP="004C610F">
                            <w:pPr>
                              <w:spacing w:after="240" w:line="280" w:lineRule="exact"/>
                              <w:ind w:left="284" w:right="284"/>
                              <w:rPr>
                                <w:rFonts w:ascii="Arial" w:hAnsi="Arial" w:cs="Arial"/>
                                <w:color w:val="002060"/>
                                <w:sz w:val="22"/>
                                <w:szCs w:val="22"/>
                              </w:rPr>
                            </w:pPr>
                            <w:r w:rsidRPr="004C610F">
                              <w:rPr>
                                <w:rFonts w:ascii="Arial" w:hAnsi="Arial" w:cs="Arial"/>
                                <w:color w:val="002060"/>
                                <w:sz w:val="22"/>
                                <w:szCs w:val="22"/>
                              </w:rPr>
                              <w:t>RECOMMENDATION 3</w:t>
                            </w:r>
                          </w:p>
                          <w:p w:rsidR="00D6600C" w:rsidRPr="004C610F" w:rsidRDefault="00D6600C" w:rsidP="004C610F">
                            <w:pPr>
                              <w:spacing w:after="360" w:line="280" w:lineRule="exact"/>
                              <w:ind w:left="720" w:right="284"/>
                              <w:rPr>
                                <w:rFonts w:ascii="Arial" w:hAnsi="Arial" w:cs="Arial"/>
                                <w:b/>
                                <w:color w:val="002060"/>
                                <w:sz w:val="22"/>
                                <w:szCs w:val="22"/>
                              </w:rPr>
                            </w:pPr>
                            <w:r w:rsidRPr="004C610F">
                              <w:rPr>
                                <w:rFonts w:ascii="Arial" w:hAnsi="Arial" w:cs="Arial"/>
                                <w:b/>
                                <w:color w:val="002060"/>
                                <w:sz w:val="22"/>
                                <w:szCs w:val="22"/>
                              </w:rPr>
                              <w:t>The Australian Government to increase the pool of funds available under the federal Capital Grants Program for non-government schools and consider the introduction of a loans subsidy, loans guarantee or other scheme to support the establishment of new non-government schools and expansion or refurbishment of existing schools.</w:t>
                            </w:r>
                          </w:p>
                          <w:p w:rsidR="00D6600C" w:rsidRPr="00D5028A" w:rsidRDefault="00D6600C" w:rsidP="00D5028A">
                            <w:pPr>
                              <w:ind w:left="170" w:right="17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5pt;margin-top:19.95pt;width:498.65pt;height:59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" fillcolor="#edeff5" stroked="f" strokeweight=".5pt">
                <v:textbox>
                  <w:txbxContent>
                    <w:p w:rsidR="00D6600C" w:rsidRPr="00C252C7" w:rsidRDefault="00D6600C" w:rsidP="00C252C7">
                      <w:pPr>
                        <w:spacing w:before="360"/>
                        <w:ind w:left="284" w:right="284"/>
                        <w:rPr>
                          <w:rFonts w:ascii="Arial" w:hAnsi="Arial" w:cs="Arial"/>
                          <w:color w:val="7030A0"/>
                          <w:sz w:val="28"/>
                          <w:szCs w:val="28"/>
                        </w:rPr>
                      </w:pPr>
                      <w:r w:rsidRPr="00C252C7">
                        <w:rPr>
                          <w:rFonts w:ascii="Arial" w:hAnsi="Arial" w:cs="Arial"/>
                          <w:color w:val="7030A0"/>
                          <w:sz w:val="28"/>
                          <w:szCs w:val="28"/>
                        </w:rPr>
                        <w:t>SUMMARY OF RECOMMENDATIONS</w:t>
                      </w:r>
                    </w:p>
                    <w:p w:rsidR="00D6600C" w:rsidRDefault="00D6600C" w:rsidP="00C252C7">
                      <w:pPr>
                        <w:ind w:left="284" w:right="284"/>
                        <w:rPr>
                          <w:rFonts w:ascii="Arial" w:hAnsi="Arial" w:cs="Arial"/>
                          <w:sz w:val="22"/>
                          <w:szCs w:val="22"/>
                        </w:rPr>
                      </w:pPr>
                    </w:p>
                    <w:p w:rsidR="00D6600C" w:rsidRDefault="00D6600C" w:rsidP="00C252C7">
                      <w:pPr>
                        <w:ind w:left="284" w:right="284"/>
                        <w:rPr>
                          <w:rFonts w:ascii="Arial" w:hAnsi="Arial" w:cs="Arial"/>
                          <w:sz w:val="22"/>
                          <w:szCs w:val="22"/>
                        </w:rPr>
                      </w:pPr>
                    </w:p>
                    <w:p w:rsidR="00D6600C" w:rsidRPr="00C252C7" w:rsidRDefault="00D6600C" w:rsidP="00C252C7">
                      <w:pPr>
                        <w:spacing w:after="240" w:line="280" w:lineRule="exact"/>
                        <w:ind w:left="284" w:right="284"/>
                        <w:rPr>
                          <w:rFonts w:ascii="Arial" w:hAnsi="Arial" w:cs="Arial"/>
                          <w:color w:val="002060"/>
                          <w:sz w:val="22"/>
                          <w:szCs w:val="22"/>
                        </w:rPr>
                      </w:pPr>
                      <w:r w:rsidRPr="00C252C7">
                        <w:rPr>
                          <w:rFonts w:ascii="Arial" w:hAnsi="Arial" w:cs="Arial"/>
                          <w:color w:val="002060"/>
                          <w:sz w:val="22"/>
                          <w:szCs w:val="22"/>
                        </w:rPr>
                        <w:t>RECOMMENDATION 1</w:t>
                      </w:r>
                    </w:p>
                    <w:p w:rsidR="00D6600C" w:rsidRPr="00C252C7" w:rsidRDefault="00D6600C" w:rsidP="00C252C7">
                      <w:pPr>
                        <w:spacing w:after="360" w:line="280" w:lineRule="exact"/>
                        <w:ind w:left="720" w:right="284"/>
                        <w:rPr>
                          <w:rFonts w:ascii="Arial" w:hAnsi="Arial" w:cs="Arial"/>
                          <w:b/>
                          <w:color w:val="002060"/>
                          <w:sz w:val="22"/>
                          <w:szCs w:val="22"/>
                        </w:rPr>
                      </w:pPr>
                      <w:r w:rsidRPr="00C252C7">
                        <w:rPr>
                          <w:rFonts w:ascii="Arial" w:hAnsi="Arial" w:cs="Arial"/>
                          <w:b/>
                          <w:color w:val="002060"/>
                          <w:sz w:val="22"/>
                          <w:szCs w:val="22"/>
                        </w:rPr>
                        <w:t>The Australian Government to introduce greater flexibility into its general recurrent funding model for non-government schools to support the establishment by existing non-government schools of a separate campus or satellite school for Indigenous students, whereby students attending the campus will attract the maximum rate of federal per student general recurrent funding as per the Majority Aboriginal and Torres Strait Islander schools category of funding (MATSIS), irrespective of the socio-economic background (SES) of those students attending the parent school.</w:t>
                      </w:r>
                    </w:p>
                    <w:p w:rsidR="00D6600C" w:rsidRPr="00C252C7" w:rsidRDefault="00D6600C" w:rsidP="00C252C7">
                      <w:pPr>
                        <w:spacing w:after="240" w:line="280" w:lineRule="exact"/>
                        <w:ind w:left="284" w:right="284"/>
                        <w:rPr>
                          <w:rFonts w:ascii="Arial" w:hAnsi="Arial" w:cs="Arial"/>
                          <w:color w:val="002060"/>
                          <w:sz w:val="22"/>
                          <w:szCs w:val="22"/>
                        </w:rPr>
                      </w:pPr>
                      <w:r w:rsidRPr="00C252C7">
                        <w:rPr>
                          <w:rFonts w:ascii="Arial" w:hAnsi="Arial" w:cs="Arial"/>
                          <w:color w:val="002060"/>
                          <w:sz w:val="22"/>
                          <w:szCs w:val="22"/>
                        </w:rPr>
                        <w:t>RECOMMENDATION 2</w:t>
                      </w:r>
                    </w:p>
                    <w:p w:rsidR="00D6600C" w:rsidRPr="00C252C7" w:rsidRDefault="00D6600C" w:rsidP="00C252C7">
                      <w:pPr>
                        <w:spacing w:after="360" w:line="280" w:lineRule="exact"/>
                        <w:ind w:left="720" w:right="284"/>
                        <w:rPr>
                          <w:rFonts w:ascii="Arial" w:hAnsi="Arial" w:cs="Arial"/>
                          <w:b/>
                          <w:color w:val="002060"/>
                          <w:sz w:val="22"/>
                          <w:szCs w:val="22"/>
                        </w:rPr>
                      </w:pPr>
                      <w:r>
                        <w:rPr>
                          <w:rFonts w:ascii="Arial" w:hAnsi="Arial" w:cs="Arial"/>
                          <w:b/>
                          <w:color w:val="002060"/>
                          <w:sz w:val="22"/>
                          <w:szCs w:val="22"/>
                        </w:rPr>
                        <w:t xml:space="preserve">The Australian Government to establish a national </w:t>
                      </w:r>
                      <w:r w:rsidRPr="00C252C7">
                        <w:rPr>
                          <w:rFonts w:ascii="Arial" w:hAnsi="Arial" w:cs="Arial"/>
                          <w:b/>
                          <w:color w:val="002060"/>
                          <w:sz w:val="22"/>
                          <w:szCs w:val="22"/>
                        </w:rPr>
                        <w:t xml:space="preserve">Schools Innovation Fund to assist schools as they respond to 21st century demands. </w:t>
                      </w:r>
                      <w:r w:rsidRPr="006433D2">
                        <w:rPr>
                          <w:rFonts w:ascii="Arial" w:hAnsi="Arial" w:cs="Arial"/>
                          <w:b/>
                          <w:color w:val="002060"/>
                          <w:sz w:val="22"/>
                          <w:szCs w:val="22"/>
                        </w:rPr>
                        <w:t>Grants could be competitive and open to schools, clusters of schools and/or school systems</w:t>
                      </w:r>
                      <w:r w:rsidR="00E93EA9">
                        <w:rPr>
                          <w:rFonts w:ascii="Arial" w:hAnsi="Arial" w:cs="Arial"/>
                          <w:b/>
                          <w:color w:val="002060"/>
                          <w:sz w:val="22"/>
                          <w:szCs w:val="22"/>
                        </w:rPr>
                        <w:t xml:space="preserve"> </w:t>
                      </w:r>
                      <w:r w:rsidR="00E93EA9" w:rsidRPr="00E93EA9">
                        <w:rPr>
                          <w:rFonts w:ascii="Arial" w:hAnsi="Arial" w:cs="Arial"/>
                          <w:b/>
                          <w:color w:val="002060"/>
                          <w:sz w:val="22"/>
                          <w:szCs w:val="22"/>
                        </w:rPr>
                        <w:t>and schools partnering with other organisations such as universities</w:t>
                      </w:r>
                      <w:r w:rsidRPr="006433D2">
                        <w:rPr>
                          <w:rFonts w:ascii="Arial" w:hAnsi="Arial" w:cs="Arial"/>
                          <w:b/>
                          <w:color w:val="002060"/>
                          <w:sz w:val="22"/>
                          <w:szCs w:val="22"/>
                        </w:rPr>
                        <w:t>. A precedent for such a model is t</w:t>
                      </w:r>
                      <w:r w:rsidRPr="00C252C7">
                        <w:rPr>
                          <w:rFonts w:ascii="Arial" w:hAnsi="Arial" w:cs="Arial"/>
                          <w:b/>
                          <w:color w:val="002060"/>
                          <w:sz w:val="22"/>
                          <w:szCs w:val="22"/>
                        </w:rPr>
                        <w:t xml:space="preserve">he successful </w:t>
                      </w:r>
                      <w:r w:rsidRPr="00B26B8A">
                        <w:rPr>
                          <w:rFonts w:ascii="Arial" w:hAnsi="Arial" w:cs="Arial"/>
                          <w:b/>
                          <w:color w:val="002060"/>
                          <w:sz w:val="22"/>
                          <w:szCs w:val="22"/>
                        </w:rPr>
                        <w:t xml:space="preserve">Becoming Asia Literate: Grants to Schools (BALGS) </w:t>
                      </w:r>
                      <w:r w:rsidRPr="00C252C7">
                        <w:rPr>
                          <w:rFonts w:ascii="Arial" w:hAnsi="Arial" w:cs="Arial"/>
                          <w:b/>
                          <w:color w:val="002060"/>
                          <w:sz w:val="22"/>
                          <w:szCs w:val="22"/>
                        </w:rPr>
                        <w:t>competitive grants model, which disbursed some $7.2 million on 335 projects among 521 schools during the four years of its operation.</w:t>
                      </w:r>
                    </w:p>
                    <w:p w:rsidR="00D6600C" w:rsidRPr="004C610F" w:rsidRDefault="00D6600C" w:rsidP="004C610F">
                      <w:pPr>
                        <w:spacing w:after="240" w:line="280" w:lineRule="exact"/>
                        <w:ind w:left="284" w:right="284"/>
                        <w:rPr>
                          <w:rFonts w:ascii="Arial" w:hAnsi="Arial" w:cs="Arial"/>
                          <w:color w:val="002060"/>
                          <w:sz w:val="22"/>
                          <w:szCs w:val="22"/>
                        </w:rPr>
                      </w:pPr>
                      <w:r w:rsidRPr="004C610F">
                        <w:rPr>
                          <w:rFonts w:ascii="Arial" w:hAnsi="Arial" w:cs="Arial"/>
                          <w:color w:val="002060"/>
                          <w:sz w:val="22"/>
                          <w:szCs w:val="22"/>
                        </w:rPr>
                        <w:t>RECOMMENDATION 3</w:t>
                      </w:r>
                    </w:p>
                    <w:p w:rsidR="00D6600C" w:rsidRPr="004C610F" w:rsidRDefault="00D6600C" w:rsidP="004C610F">
                      <w:pPr>
                        <w:spacing w:after="360" w:line="280" w:lineRule="exact"/>
                        <w:ind w:left="720" w:right="284"/>
                        <w:rPr>
                          <w:rFonts w:ascii="Arial" w:hAnsi="Arial" w:cs="Arial"/>
                          <w:b/>
                          <w:color w:val="002060"/>
                          <w:sz w:val="22"/>
                          <w:szCs w:val="22"/>
                        </w:rPr>
                      </w:pPr>
                      <w:r w:rsidRPr="004C610F">
                        <w:rPr>
                          <w:rFonts w:ascii="Arial" w:hAnsi="Arial" w:cs="Arial"/>
                          <w:b/>
                          <w:color w:val="002060"/>
                          <w:sz w:val="22"/>
                          <w:szCs w:val="22"/>
                        </w:rPr>
                        <w:t>The Australian Government to increase the pool of funds available under the federal Capital Grants Program for non-government schools and consider the introduction of a loans subsidy, loans guarantee or other scheme to support the establishment of new non-government schools and expansion or refurbishment of existing schools.</w:t>
                      </w:r>
                    </w:p>
                    <w:p w:rsidR="00D6600C" w:rsidRPr="00D5028A" w:rsidRDefault="00D6600C" w:rsidP="00D5028A">
                      <w:pPr>
                        <w:ind w:left="170" w:right="170"/>
                        <w:rPr>
                          <w:rFonts w:ascii="Arial" w:hAnsi="Arial" w:cs="Arial"/>
                          <w:sz w:val="22"/>
                          <w:szCs w:val="22"/>
                        </w:rPr>
                      </w:pPr>
                    </w:p>
                  </w:txbxContent>
                </v:textbox>
                <w10:wrap type="topAndBottom"/>
              </v:shape>
            </w:pict>
          </mc:Fallback>
        </mc:AlternateContent>
      </w:r>
      <w:r w:rsidR="00FC7B73">
        <w:rPr>
          <w:rFonts w:ascii="Arial" w:hAnsi="Arial" w:cs="Arial"/>
          <w:color w:val="343434"/>
          <w:sz w:val="21"/>
          <w:szCs w:val="21"/>
        </w:rPr>
        <w:br w:type="page"/>
      </w:r>
    </w:p>
    <w:p w:rsidR="00D5028A" w:rsidRPr="004C610F" w:rsidRDefault="008A4CBC" w:rsidP="00D5028A">
      <w:pPr>
        <w:pStyle w:val="Default"/>
        <w:spacing w:after="200" w:line="280" w:lineRule="exact"/>
        <w:rPr>
          <w:rFonts w:ascii="Arial" w:hAnsi="Arial" w:cs="Arial"/>
          <w:b/>
        </w:rPr>
      </w:pPr>
      <w:r w:rsidRPr="004C610F">
        <w:rPr>
          <w:rFonts w:ascii="Arial" w:hAnsi="Arial" w:cs="Arial"/>
          <w:b/>
          <w:color w:val="3F2B71"/>
        </w:rPr>
        <w:lastRenderedPageBreak/>
        <w:t>1</w:t>
      </w:r>
      <w:r w:rsidR="00D5028A" w:rsidRPr="004C610F">
        <w:rPr>
          <w:rFonts w:ascii="Arial" w:hAnsi="Arial" w:cs="Arial"/>
          <w:b/>
        </w:rPr>
        <w:t xml:space="preserve"> </w:t>
      </w:r>
      <w:r w:rsidR="00D5028A" w:rsidRPr="004C610F">
        <w:rPr>
          <w:rFonts w:ascii="Arial" w:hAnsi="Arial" w:cs="Arial"/>
          <w:b/>
          <w:color w:val="B99D57"/>
        </w:rPr>
        <w:t>|</w:t>
      </w:r>
      <w:r w:rsidR="00D5028A" w:rsidRPr="004C610F">
        <w:rPr>
          <w:rFonts w:ascii="Arial" w:hAnsi="Arial" w:cs="Arial"/>
          <w:b/>
        </w:rPr>
        <w:t xml:space="preserve"> </w:t>
      </w:r>
      <w:r w:rsidR="00D5028A" w:rsidRPr="004C610F">
        <w:rPr>
          <w:rFonts w:ascii="Arial" w:hAnsi="Arial" w:cs="Arial"/>
          <w:b/>
          <w:color w:val="3F2B71"/>
        </w:rPr>
        <w:t>About AHISA</w:t>
      </w:r>
    </w:p>
    <w:p w:rsidR="00D5028A" w:rsidRPr="00B60241" w:rsidRDefault="00D5028A" w:rsidP="00D5028A">
      <w:pPr>
        <w:pStyle w:val="Default"/>
        <w:spacing w:after="160" w:line="280" w:lineRule="exact"/>
        <w:rPr>
          <w:rFonts w:ascii="Arial" w:hAnsi="Arial" w:cs="Arial"/>
          <w:sz w:val="22"/>
          <w:szCs w:val="22"/>
        </w:rPr>
      </w:pPr>
      <w:r w:rsidRPr="00B60241">
        <w:rPr>
          <w:rFonts w:ascii="Arial" w:hAnsi="Arial" w:cs="Arial"/>
          <w:sz w:val="22"/>
          <w:szCs w:val="22"/>
        </w:rPr>
        <w:t>The primary object of AHISA is to optimise the opportunity for the education and welfare of Australia’s young people through the maintenance of collegiality and high standards of professional practice and conduct amongst its members.</w:t>
      </w:r>
    </w:p>
    <w:p w:rsidR="00D5028A" w:rsidRPr="00B60241" w:rsidRDefault="00D5028A" w:rsidP="00D5028A">
      <w:pPr>
        <w:pStyle w:val="Default"/>
        <w:spacing w:after="160" w:line="280" w:lineRule="exact"/>
        <w:rPr>
          <w:rFonts w:ascii="Arial" w:hAnsi="Arial" w:cs="Arial"/>
          <w:sz w:val="22"/>
          <w:szCs w:val="22"/>
        </w:rPr>
      </w:pPr>
      <w:r w:rsidRPr="00B60241">
        <w:rPr>
          <w:rFonts w:ascii="Arial" w:hAnsi="Arial" w:cs="Arial"/>
          <w:sz w:val="22"/>
          <w:szCs w:val="22"/>
        </w:rPr>
        <w:t>The membership of AHISA Ltd comprises principals of 42</w:t>
      </w:r>
      <w:r>
        <w:rPr>
          <w:rFonts w:ascii="Arial" w:hAnsi="Arial" w:cs="Arial"/>
          <w:sz w:val="22"/>
          <w:szCs w:val="22"/>
        </w:rPr>
        <w:t>5</w:t>
      </w:r>
      <w:r w:rsidRPr="00B60241">
        <w:rPr>
          <w:rFonts w:ascii="Arial" w:hAnsi="Arial" w:cs="Arial"/>
          <w:sz w:val="22"/>
          <w:szCs w:val="22"/>
        </w:rPr>
        <w:t xml:space="preserve"> independent schools with a collective enrolment of some 4</w:t>
      </w:r>
      <w:r>
        <w:rPr>
          <w:rFonts w:ascii="Arial" w:hAnsi="Arial" w:cs="Arial"/>
          <w:sz w:val="22"/>
          <w:szCs w:val="22"/>
        </w:rPr>
        <w:t>30</w:t>
      </w:r>
      <w:r w:rsidRPr="00B60241">
        <w:rPr>
          <w:rFonts w:ascii="Arial" w:hAnsi="Arial" w:cs="Arial"/>
          <w:sz w:val="22"/>
          <w:szCs w:val="22"/>
        </w:rPr>
        <w:t xml:space="preserve">,000 students, representing </w:t>
      </w:r>
      <w:r>
        <w:rPr>
          <w:rFonts w:ascii="Arial" w:hAnsi="Arial" w:cs="Arial"/>
          <w:sz w:val="22"/>
          <w:szCs w:val="22"/>
        </w:rPr>
        <w:t>11.5</w:t>
      </w:r>
      <w:r w:rsidRPr="00B60241">
        <w:rPr>
          <w:rFonts w:ascii="Arial" w:hAnsi="Arial" w:cs="Arial"/>
          <w:sz w:val="22"/>
          <w:szCs w:val="22"/>
        </w:rPr>
        <w:t xml:space="preserve"> per cent of total Australian school enrolments and 20 per cent of Australia’s total Year 12 enrolment. </w:t>
      </w:r>
      <w:r>
        <w:rPr>
          <w:rFonts w:ascii="Arial" w:hAnsi="Arial" w:cs="Arial"/>
          <w:sz w:val="22"/>
          <w:szCs w:val="22"/>
        </w:rPr>
        <w:t>One in every five Australian Year 12 students has gained part of their education at AHISA members</w:t>
      </w:r>
      <w:r w:rsidR="00F633DE">
        <w:rPr>
          <w:rFonts w:ascii="Arial" w:hAnsi="Arial" w:cs="Arial"/>
          <w:sz w:val="22"/>
          <w:szCs w:val="22"/>
        </w:rPr>
        <w:t>’</w:t>
      </w:r>
      <w:r>
        <w:rPr>
          <w:rFonts w:ascii="Arial" w:hAnsi="Arial" w:cs="Arial"/>
          <w:sz w:val="22"/>
          <w:szCs w:val="22"/>
        </w:rPr>
        <w:t xml:space="preserve"> school</w:t>
      </w:r>
      <w:r w:rsidR="00F633DE">
        <w:rPr>
          <w:rFonts w:ascii="Arial" w:hAnsi="Arial" w:cs="Arial"/>
          <w:sz w:val="22"/>
          <w:szCs w:val="22"/>
        </w:rPr>
        <w:t>s</w:t>
      </w:r>
      <w:r>
        <w:rPr>
          <w:rFonts w:ascii="Arial" w:hAnsi="Arial" w:cs="Arial"/>
          <w:sz w:val="22"/>
          <w:szCs w:val="22"/>
        </w:rPr>
        <w:t>.</w:t>
      </w:r>
    </w:p>
    <w:p w:rsidR="00D5028A" w:rsidRPr="00E53FBF" w:rsidRDefault="00D5028A" w:rsidP="00D5028A">
      <w:pPr>
        <w:pStyle w:val="Default"/>
        <w:spacing w:after="160" w:line="280" w:lineRule="exact"/>
        <w:rPr>
          <w:rFonts w:ascii="Arial" w:hAnsi="Arial" w:cs="Arial"/>
          <w:sz w:val="22"/>
          <w:szCs w:val="22"/>
        </w:rPr>
      </w:pPr>
      <w:r w:rsidRPr="00E53FBF">
        <w:rPr>
          <w:rFonts w:ascii="Arial" w:hAnsi="Arial" w:cs="Arial"/>
          <w:sz w:val="22"/>
          <w:szCs w:val="22"/>
        </w:rPr>
        <w:t>Almost a third of AHISA members lead schools with boarding facilities, collectively providing for over 15,000 boarding students. Some 85 per cent of members’ schools have an early learning centre.</w:t>
      </w:r>
    </w:p>
    <w:p w:rsidR="00D5028A" w:rsidRPr="00E53FBF" w:rsidRDefault="00D5028A" w:rsidP="00D5028A">
      <w:pPr>
        <w:pStyle w:val="Default"/>
        <w:spacing w:after="160" w:line="280" w:lineRule="exact"/>
        <w:rPr>
          <w:rFonts w:ascii="Arial" w:hAnsi="Arial" w:cs="Arial"/>
          <w:sz w:val="22"/>
          <w:szCs w:val="22"/>
        </w:rPr>
      </w:pPr>
      <w:r w:rsidRPr="00E53FBF">
        <w:rPr>
          <w:rFonts w:ascii="Arial" w:hAnsi="Arial" w:cs="Arial"/>
          <w:sz w:val="22"/>
          <w:szCs w:val="22"/>
        </w:rPr>
        <w:t>AHISA’s members lead a collective workforce of over 40,000 full- and part-time teaching staff and 25,000 full- and part-time support staff.</w:t>
      </w:r>
    </w:p>
    <w:p w:rsidR="00D5028A" w:rsidRDefault="00D5028A" w:rsidP="00D5028A">
      <w:pPr>
        <w:pStyle w:val="Default"/>
        <w:spacing w:after="160" w:line="280" w:lineRule="exact"/>
        <w:rPr>
          <w:rFonts w:ascii="Arial" w:hAnsi="Arial" w:cs="Arial"/>
          <w:sz w:val="22"/>
          <w:szCs w:val="22"/>
        </w:rPr>
      </w:pPr>
      <w:r w:rsidRPr="00B60241">
        <w:rPr>
          <w:rFonts w:ascii="Arial" w:hAnsi="Arial" w:cs="Arial"/>
          <w:sz w:val="22"/>
          <w:szCs w:val="22"/>
        </w:rPr>
        <w:t xml:space="preserve">The socio-economic profile of AHISA members’ schools is diverse. Over 20 per cent of our members lead schools </w:t>
      </w:r>
      <w:r>
        <w:rPr>
          <w:rFonts w:ascii="Arial" w:hAnsi="Arial" w:cs="Arial"/>
          <w:sz w:val="22"/>
          <w:szCs w:val="22"/>
        </w:rPr>
        <w:t>serving low- to very low-SE</w:t>
      </w:r>
      <w:r w:rsidRPr="00B60241">
        <w:rPr>
          <w:rFonts w:ascii="Arial" w:hAnsi="Arial" w:cs="Arial"/>
          <w:sz w:val="22"/>
          <w:szCs w:val="22"/>
        </w:rPr>
        <w:t>S</w:t>
      </w:r>
      <w:r>
        <w:rPr>
          <w:rFonts w:ascii="Arial" w:hAnsi="Arial" w:cs="Arial"/>
          <w:sz w:val="22"/>
          <w:szCs w:val="22"/>
        </w:rPr>
        <w:t xml:space="preserve"> communities</w:t>
      </w:r>
      <w:r w:rsidRPr="00B60241">
        <w:rPr>
          <w:rFonts w:ascii="Arial" w:hAnsi="Arial" w:cs="Arial"/>
          <w:sz w:val="22"/>
          <w:szCs w:val="22"/>
        </w:rPr>
        <w:t>.</w:t>
      </w:r>
    </w:p>
    <w:p w:rsidR="00D5028A" w:rsidRPr="00522AC9" w:rsidRDefault="00D5028A" w:rsidP="00D5028A">
      <w:pPr>
        <w:autoSpaceDE w:val="0"/>
        <w:autoSpaceDN w:val="0"/>
        <w:adjustRightInd w:val="0"/>
        <w:spacing w:after="80" w:line="280" w:lineRule="exact"/>
        <w:rPr>
          <w:rFonts w:ascii="Arial" w:hAnsi="Arial" w:cs="Arial"/>
          <w:color w:val="000000"/>
          <w:sz w:val="22"/>
          <w:szCs w:val="22"/>
        </w:rPr>
      </w:pPr>
      <w:r w:rsidRPr="00522AC9">
        <w:rPr>
          <w:rFonts w:ascii="Arial" w:hAnsi="Arial" w:cs="Arial"/>
          <w:color w:val="000000"/>
          <w:sz w:val="22"/>
          <w:szCs w:val="22"/>
        </w:rPr>
        <w:t>AHISA believes that a high quality schooling system in Australia depends on:</w:t>
      </w:r>
    </w:p>
    <w:p w:rsidR="00D5028A" w:rsidRPr="00F76FBC" w:rsidRDefault="00D5028A" w:rsidP="0067338C">
      <w:pPr>
        <w:pStyle w:val="ListParagraph"/>
        <w:numPr>
          <w:ilvl w:val="0"/>
          <w:numId w:val="1"/>
        </w:numPr>
        <w:spacing w:after="80" w:line="280" w:lineRule="exact"/>
        <w:ind w:left="720"/>
        <w:contextualSpacing w:val="0"/>
        <w:rPr>
          <w:rFonts w:ascii="Arial" w:hAnsi="Arial" w:cs="Arial"/>
          <w:color w:val="000000"/>
        </w:rPr>
      </w:pPr>
      <w:r w:rsidRPr="00F76FBC">
        <w:rPr>
          <w:rFonts w:ascii="Arial" w:hAnsi="Arial" w:cs="Arial"/>
          <w:color w:val="000000"/>
        </w:rPr>
        <w:t>Parents having the freedom to exercise their rights and responsibilities in regard to the education of their children</w:t>
      </w:r>
    </w:p>
    <w:p w:rsidR="00D5028A" w:rsidRPr="00F76FBC" w:rsidRDefault="00D5028A" w:rsidP="0067338C">
      <w:pPr>
        <w:pStyle w:val="ListParagraph"/>
        <w:numPr>
          <w:ilvl w:val="0"/>
          <w:numId w:val="1"/>
        </w:numPr>
        <w:spacing w:after="80" w:line="280" w:lineRule="exact"/>
        <w:ind w:left="720"/>
        <w:contextualSpacing w:val="0"/>
        <w:rPr>
          <w:rFonts w:ascii="Arial" w:hAnsi="Arial" w:cs="Arial"/>
          <w:color w:val="000000"/>
        </w:rPr>
      </w:pPr>
      <w:r w:rsidRPr="00F76FBC">
        <w:rPr>
          <w:rFonts w:ascii="Arial" w:hAnsi="Arial" w:cs="Arial"/>
          <w:color w:val="000000"/>
        </w:rPr>
        <w:t>Students and their families having the freedom to choose among diverse schooling options</w:t>
      </w:r>
    </w:p>
    <w:p w:rsidR="00D5028A" w:rsidRPr="00F76FBC" w:rsidRDefault="00D5028A" w:rsidP="0067338C">
      <w:pPr>
        <w:pStyle w:val="ListParagraph"/>
        <w:numPr>
          <w:ilvl w:val="0"/>
          <w:numId w:val="1"/>
        </w:numPr>
        <w:spacing w:after="160" w:line="280" w:lineRule="exact"/>
        <w:ind w:left="720"/>
        <w:rPr>
          <w:rFonts w:ascii="Arial" w:hAnsi="Arial" w:cs="Arial"/>
          <w:color w:val="000000"/>
        </w:rPr>
      </w:pPr>
      <w:r w:rsidRPr="00F76FBC">
        <w:rPr>
          <w:rFonts w:ascii="Arial" w:hAnsi="Arial" w:cs="Arial"/>
          <w:color w:val="000000"/>
        </w:rPr>
        <w:t xml:space="preserve">Schools having the autonomy to exercise educational leadership as they respond to the emerging needs of their communities in a rapidly changing society. </w:t>
      </w:r>
    </w:p>
    <w:p w:rsidR="00D5028A" w:rsidRPr="00522AC9" w:rsidRDefault="00D5028A" w:rsidP="00D5028A">
      <w:pPr>
        <w:spacing w:after="320" w:line="280" w:lineRule="exact"/>
        <w:rPr>
          <w:rFonts w:ascii="Arial" w:hAnsi="Arial" w:cs="Arial"/>
          <w:color w:val="000000"/>
          <w:sz w:val="22"/>
          <w:szCs w:val="22"/>
        </w:rPr>
      </w:pPr>
      <w:r w:rsidRPr="00522AC9">
        <w:rPr>
          <w:rFonts w:ascii="Arial" w:hAnsi="Arial" w:cs="Arial"/>
          <w:color w:val="000000"/>
          <w:sz w:val="22"/>
          <w:szCs w:val="22"/>
        </w:rPr>
        <w:t>If schools are to offer rich learning experiences in an environment conducive to high levels of student and teacher achievement, principals must have the operational autonomy to positively shape and lead the educational, pastoral, community, financial, spiritual, cultural and managerial practices of their school. All of these elements combine to create a holistic educational environment and all are subject to the primary strategic goal of student development and success.</w:t>
      </w:r>
    </w:p>
    <w:p w:rsidR="00253477" w:rsidRDefault="00253477" w:rsidP="00D5028A">
      <w:pPr>
        <w:pStyle w:val="Default"/>
        <w:spacing w:after="200" w:line="280" w:lineRule="exact"/>
        <w:rPr>
          <w:rFonts w:ascii="Arial" w:hAnsi="Arial" w:cs="Arial"/>
          <w:b/>
          <w:color w:val="3F2B71"/>
          <w:sz w:val="22"/>
          <w:szCs w:val="22"/>
        </w:rPr>
      </w:pPr>
      <w:r>
        <w:rPr>
          <w:rFonts w:ascii="Arial" w:hAnsi="Arial" w:cs="Arial"/>
          <w:b/>
          <w:color w:val="3F2B71"/>
          <w:sz w:val="22"/>
          <w:szCs w:val="22"/>
        </w:rPr>
        <w:br w:type="page"/>
      </w:r>
    </w:p>
    <w:p w:rsidR="00485D26" w:rsidRPr="004C610F" w:rsidRDefault="008A4CBC" w:rsidP="00D5028A">
      <w:pPr>
        <w:pStyle w:val="Default"/>
        <w:spacing w:after="200" w:line="280" w:lineRule="exact"/>
        <w:rPr>
          <w:rFonts w:ascii="Arial" w:hAnsi="Arial" w:cs="Arial"/>
          <w:b/>
          <w:color w:val="3F2B71"/>
        </w:rPr>
      </w:pPr>
      <w:r w:rsidRPr="004C610F">
        <w:rPr>
          <w:rFonts w:ascii="Arial" w:hAnsi="Arial" w:cs="Arial"/>
          <w:b/>
          <w:color w:val="3F2B71"/>
        </w:rPr>
        <w:lastRenderedPageBreak/>
        <w:t>2</w:t>
      </w:r>
      <w:r w:rsidR="00D5028A" w:rsidRPr="004C610F">
        <w:rPr>
          <w:rFonts w:ascii="Arial" w:hAnsi="Arial" w:cs="Arial"/>
          <w:b/>
        </w:rPr>
        <w:t xml:space="preserve"> </w:t>
      </w:r>
      <w:r w:rsidR="00D5028A" w:rsidRPr="004C610F">
        <w:rPr>
          <w:rFonts w:ascii="Arial" w:hAnsi="Arial" w:cs="Arial"/>
          <w:b/>
          <w:color w:val="B99D57"/>
        </w:rPr>
        <w:t>|</w:t>
      </w:r>
      <w:r w:rsidR="00D5028A" w:rsidRPr="004C610F">
        <w:rPr>
          <w:rFonts w:ascii="Arial" w:hAnsi="Arial" w:cs="Arial"/>
          <w:b/>
        </w:rPr>
        <w:t xml:space="preserve"> </w:t>
      </w:r>
      <w:r w:rsidR="00D5028A" w:rsidRPr="004C610F">
        <w:rPr>
          <w:rFonts w:ascii="Arial" w:hAnsi="Arial" w:cs="Arial"/>
          <w:b/>
          <w:color w:val="3F2B71"/>
        </w:rPr>
        <w:t>Independent schools, private contribution and public benefit</w:t>
      </w:r>
    </w:p>
    <w:p w:rsidR="00D5028A" w:rsidRPr="00D5028A" w:rsidRDefault="00D5028A" w:rsidP="00D5028A">
      <w:pPr>
        <w:pStyle w:val="Default"/>
        <w:spacing w:after="120" w:line="280" w:lineRule="exact"/>
        <w:rPr>
          <w:rFonts w:ascii="Arial" w:hAnsi="Arial" w:cs="Arial"/>
          <w:sz w:val="22"/>
          <w:szCs w:val="22"/>
        </w:rPr>
      </w:pPr>
      <w:r w:rsidRPr="00D5028A">
        <w:rPr>
          <w:rFonts w:ascii="Arial" w:hAnsi="Arial" w:cs="Arial"/>
          <w:sz w:val="22"/>
          <w:szCs w:val="22"/>
        </w:rPr>
        <w:t>Independent schools are significant providers in the mix of Australian schooling provision, and demonstrate the capacity of non-government entities to provide public services.</w:t>
      </w:r>
    </w:p>
    <w:p w:rsidR="00A83F63" w:rsidRDefault="00253477" w:rsidP="00D5028A">
      <w:pPr>
        <w:pStyle w:val="Default"/>
        <w:spacing w:after="160" w:line="280" w:lineRule="exact"/>
        <w:rPr>
          <w:rFonts w:ascii="Arial" w:hAnsi="Arial" w:cs="Arial"/>
          <w:sz w:val="22"/>
          <w:szCs w:val="22"/>
          <w:vertAlign w:val="superscript"/>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2455D7B" wp14:editId="1A202741">
                <wp:simplePos x="0" y="0"/>
                <wp:positionH relativeFrom="column">
                  <wp:posOffset>-5715</wp:posOffset>
                </wp:positionH>
                <wp:positionV relativeFrom="paragraph">
                  <wp:posOffset>42545</wp:posOffset>
                </wp:positionV>
                <wp:extent cx="1653540" cy="1402080"/>
                <wp:effectExtent l="0" t="0" r="3810" b="7620"/>
                <wp:wrapSquare wrapText="bothSides"/>
                <wp:docPr id="2" name="Text Box 2"/>
                <wp:cNvGraphicFramePr/>
                <a:graphic xmlns:a="http://schemas.openxmlformats.org/drawingml/2006/main">
                  <a:graphicData uri="http://schemas.microsoft.com/office/word/2010/wordprocessingShape">
                    <wps:wsp>
                      <wps:cNvSpPr txBox="1"/>
                      <wps:spPr>
                        <a:xfrm>
                          <a:off x="0" y="0"/>
                          <a:ext cx="1653540" cy="1402080"/>
                        </a:xfrm>
                        <a:prstGeom prst="rect">
                          <a:avLst/>
                        </a:prstGeom>
                        <a:solidFill>
                          <a:srgbClr val="EDEFF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600C" w:rsidRPr="00253477" w:rsidRDefault="00D6600C" w:rsidP="00253477">
                            <w:pPr>
                              <w:pStyle w:val="Default"/>
                              <w:spacing w:before="80" w:line="300" w:lineRule="exact"/>
                              <w:jc w:val="center"/>
                              <w:rPr>
                                <w:rFonts w:ascii="Arial" w:hAnsi="Arial" w:cs="Arial"/>
                                <w:b/>
                                <w:color w:val="002060"/>
                                <w:sz w:val="20"/>
                                <w:szCs w:val="20"/>
                              </w:rPr>
                            </w:pPr>
                            <w:r w:rsidRPr="00253477">
                              <w:rPr>
                                <w:rFonts w:ascii="Arial" w:hAnsi="Arial" w:cs="Arial"/>
                                <w:b/>
                                <w:color w:val="002060"/>
                                <w:sz w:val="20"/>
                                <w:szCs w:val="20"/>
                              </w:rPr>
                              <w:t>Independent schools educate 14.5% of all Australian school students and nearly 20% of all senior secondary students.</w:t>
                            </w:r>
                          </w:p>
                          <w:p w:rsidR="00D6600C" w:rsidRDefault="00D660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45pt;margin-top:3.35pt;width:130.2pt;height:110.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" fillcolor="#edeff5" stroked="f" strokeweight=".5pt">
                <v:textbox>
                  <w:txbxContent>
                    <w:p w:rsidR="00D6600C" w:rsidRPr="00253477" w:rsidRDefault="00D6600C" w:rsidP="00253477">
                      <w:pPr>
                        <w:pStyle w:val="Default"/>
                        <w:spacing w:before="80" w:line="300" w:lineRule="exact"/>
                        <w:jc w:val="center"/>
                        <w:rPr>
                          <w:rFonts w:ascii="Arial" w:hAnsi="Arial" w:cs="Arial"/>
                          <w:b/>
                          <w:color w:val="002060"/>
                          <w:sz w:val="20"/>
                          <w:szCs w:val="20"/>
                        </w:rPr>
                      </w:pPr>
                      <w:r w:rsidRPr="00253477">
                        <w:rPr>
                          <w:rFonts w:ascii="Arial" w:hAnsi="Arial" w:cs="Arial"/>
                          <w:b/>
                          <w:color w:val="002060"/>
                          <w:sz w:val="20"/>
                          <w:szCs w:val="20"/>
                        </w:rPr>
                        <w:t>Independent schools educate 14.5% of all Australian school students and nearly 20% of all senior secondary students.</w:t>
                      </w:r>
                    </w:p>
                    <w:p w:rsidR="00D6600C" w:rsidRDefault="00D6600C"/>
                  </w:txbxContent>
                </v:textbox>
                <w10:wrap type="square"/>
              </v:shape>
            </w:pict>
          </mc:Fallback>
        </mc:AlternateContent>
      </w:r>
      <w:r w:rsidR="00D5028A">
        <w:rPr>
          <w:rFonts w:ascii="Arial" w:hAnsi="Arial" w:cs="Arial"/>
          <w:sz w:val="22"/>
          <w:szCs w:val="22"/>
        </w:rPr>
        <w:t xml:space="preserve">In 2015, </w:t>
      </w:r>
      <w:r w:rsidR="00D5028A" w:rsidRPr="007D13E2">
        <w:rPr>
          <w:rFonts w:ascii="Arial" w:hAnsi="Arial" w:cs="Arial"/>
          <w:sz w:val="22"/>
          <w:szCs w:val="22"/>
        </w:rPr>
        <w:t xml:space="preserve">there were 1,091 </w:t>
      </w:r>
      <w:r w:rsidR="00D5028A">
        <w:rPr>
          <w:rFonts w:ascii="Arial" w:hAnsi="Arial" w:cs="Arial"/>
          <w:sz w:val="22"/>
          <w:szCs w:val="22"/>
        </w:rPr>
        <w:t xml:space="preserve">independent </w:t>
      </w:r>
      <w:r w:rsidR="00D5028A" w:rsidRPr="007D13E2">
        <w:rPr>
          <w:rFonts w:ascii="Arial" w:hAnsi="Arial" w:cs="Arial"/>
          <w:sz w:val="22"/>
          <w:szCs w:val="22"/>
        </w:rPr>
        <w:t xml:space="preserve">schools </w:t>
      </w:r>
      <w:r w:rsidR="00D5028A">
        <w:rPr>
          <w:rFonts w:ascii="Arial" w:hAnsi="Arial" w:cs="Arial"/>
          <w:sz w:val="22"/>
          <w:szCs w:val="22"/>
        </w:rPr>
        <w:t>in Australia, including independent Catholic schools. Collectively, independent schools educated</w:t>
      </w:r>
      <w:r w:rsidR="00D5028A" w:rsidRPr="007D13E2">
        <w:rPr>
          <w:rFonts w:ascii="Arial" w:hAnsi="Arial" w:cs="Arial"/>
          <w:sz w:val="22"/>
          <w:szCs w:val="22"/>
        </w:rPr>
        <w:t xml:space="preserve"> just over 586,800 full-time equivalent students</w:t>
      </w:r>
      <w:r w:rsidR="00D5028A">
        <w:rPr>
          <w:rFonts w:ascii="Arial" w:hAnsi="Arial" w:cs="Arial"/>
          <w:sz w:val="22"/>
          <w:szCs w:val="22"/>
        </w:rPr>
        <w:t xml:space="preserve"> or 14.5 per cent of Australia’s total school enrolments. The non-government schools sector as a whole (that is, independent schools and Catholic systemic schools) provided for 35 per cent of Australia’s total school enrolments. At senior secondary level, independent schools accounted for 19.8 per cent of all enrolments.</w:t>
      </w:r>
      <w:r w:rsidR="00D5028A" w:rsidRPr="00EE056F">
        <w:rPr>
          <w:rFonts w:ascii="Arial" w:hAnsi="Arial" w:cs="Arial"/>
          <w:sz w:val="22"/>
          <w:szCs w:val="22"/>
          <w:vertAlign w:val="superscript"/>
        </w:rPr>
        <w:t>1</w:t>
      </w:r>
    </w:p>
    <w:p w:rsidR="008B0CB2" w:rsidRPr="00BA7314" w:rsidRDefault="00253477" w:rsidP="008B0CB2">
      <w:pPr>
        <w:pStyle w:val="Default"/>
        <w:spacing w:after="240" w:line="280" w:lineRule="exact"/>
        <w:rPr>
          <w:rFonts w:ascii="Arial" w:hAnsi="Arial" w:cs="Arial"/>
          <w:b/>
          <w:sz w:val="22"/>
          <w:szCs w:val="22"/>
        </w:rPr>
      </w:pPr>
      <w:r>
        <w:rPr>
          <w:rFonts w:ascii="Arial" w:hAnsi="Arial" w:cs="Arial"/>
          <w:sz w:val="22"/>
          <w:szCs w:val="22"/>
        </w:rPr>
        <w:t>Government grants (from federal, state and territory governments) to students in non-government schools represent only a portion of government expenditure on students in government schools.</w:t>
      </w:r>
      <w:r w:rsidR="008B0CB2">
        <w:rPr>
          <w:rFonts w:ascii="Arial" w:hAnsi="Arial" w:cs="Arial"/>
          <w:sz w:val="22"/>
          <w:szCs w:val="22"/>
        </w:rPr>
        <w:t xml:space="preserve"> </w:t>
      </w:r>
      <w:r w:rsidR="008B0CB2" w:rsidRPr="008B0CB2">
        <w:rPr>
          <w:rFonts w:ascii="Arial" w:hAnsi="Arial" w:cs="Arial"/>
          <w:sz w:val="22"/>
          <w:szCs w:val="22"/>
        </w:rPr>
        <w:t xml:space="preserve">Private contribution to Australian education via independent schooling </w:t>
      </w:r>
      <w:r w:rsidR="008B0CB2">
        <w:rPr>
          <w:rFonts w:ascii="Arial" w:hAnsi="Arial" w:cs="Arial"/>
          <w:sz w:val="22"/>
          <w:szCs w:val="22"/>
        </w:rPr>
        <w:t xml:space="preserve">therefore </w:t>
      </w:r>
      <w:r w:rsidR="008B0CB2" w:rsidRPr="008B0CB2">
        <w:rPr>
          <w:rFonts w:ascii="Arial" w:hAnsi="Arial" w:cs="Arial"/>
          <w:sz w:val="22"/>
          <w:szCs w:val="22"/>
        </w:rPr>
        <w:t>represents a significant saving to governments.</w:t>
      </w:r>
    </w:p>
    <w:tbl>
      <w:tblPr>
        <w:tblStyle w:val="TableGrid"/>
        <w:tblW w:w="0" w:type="auto"/>
        <w:jc w:val="center"/>
        <w:tblInd w:w="38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EDEFF5"/>
        <w:tblLook w:val="04A0" w:firstRow="1" w:lastRow="0" w:firstColumn="1" w:lastColumn="0" w:noHBand="0" w:noVBand="1"/>
      </w:tblPr>
      <w:tblGrid>
        <w:gridCol w:w="3623"/>
        <w:gridCol w:w="1978"/>
      </w:tblGrid>
      <w:tr w:rsidR="00253477" w:rsidTr="00736CA1">
        <w:trPr>
          <w:trHeight w:val="426"/>
          <w:jc w:val="center"/>
        </w:trPr>
        <w:tc>
          <w:tcPr>
            <w:tcW w:w="5601" w:type="dxa"/>
            <w:gridSpan w:val="2"/>
            <w:tcBorders>
              <w:bottom w:val="single" w:sz="18" w:space="0" w:color="FFFFFF" w:themeColor="background1"/>
            </w:tcBorders>
            <w:shd w:val="clear" w:color="auto" w:fill="002060"/>
          </w:tcPr>
          <w:p w:rsidR="00253477" w:rsidRPr="008B0CB2" w:rsidRDefault="00253477" w:rsidP="0097169F">
            <w:pPr>
              <w:spacing w:before="80" w:after="80"/>
              <w:jc w:val="center"/>
              <w:rPr>
                <w:rFonts w:ascii="Arial" w:hAnsi="Arial" w:cs="Arial"/>
                <w:b/>
                <w:color w:val="002060"/>
                <w:sz w:val="20"/>
                <w:szCs w:val="20"/>
                <w:lang w:eastAsia="en-AU"/>
              </w:rPr>
            </w:pPr>
            <w:r w:rsidRPr="008B0CB2">
              <w:rPr>
                <w:rFonts w:ascii="Arial" w:hAnsi="Arial" w:cs="Arial"/>
                <w:color w:val="002060"/>
                <w:sz w:val="22"/>
                <w:szCs w:val="22"/>
                <w:lang w:eastAsia="en-AU"/>
              </w:rPr>
              <w:t xml:space="preserve"> </w:t>
            </w:r>
            <w:r w:rsidRPr="008B0CB2">
              <w:rPr>
                <w:rFonts w:ascii="Arial" w:hAnsi="Arial" w:cs="Arial"/>
                <w:b/>
                <w:color w:val="FFFFFF" w:themeColor="background1"/>
                <w:sz w:val="20"/>
                <w:szCs w:val="20"/>
                <w:lang w:eastAsia="en-AU"/>
              </w:rPr>
              <w:t>Average total government recurrent funding per student by sector, 2013-14</w:t>
            </w:r>
            <w:r w:rsidRPr="008B0CB2">
              <w:rPr>
                <w:rFonts w:ascii="Arial" w:hAnsi="Arial" w:cs="Arial"/>
                <w:color w:val="FFFFFF" w:themeColor="background1"/>
                <w:sz w:val="20"/>
                <w:szCs w:val="20"/>
                <w:vertAlign w:val="superscript"/>
                <w:lang w:eastAsia="en-AU"/>
              </w:rPr>
              <w:t>2</w:t>
            </w:r>
          </w:p>
        </w:tc>
      </w:tr>
      <w:tr w:rsidR="00253477" w:rsidTr="00736CA1">
        <w:trPr>
          <w:trHeight w:val="426"/>
          <w:jc w:val="center"/>
        </w:trPr>
        <w:tc>
          <w:tcPr>
            <w:tcW w:w="36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DEFF5"/>
          </w:tcPr>
          <w:p w:rsidR="00253477" w:rsidRPr="008B0CB2" w:rsidRDefault="00253477" w:rsidP="0097169F">
            <w:pPr>
              <w:spacing w:before="80" w:after="80"/>
              <w:rPr>
                <w:rFonts w:ascii="Arial" w:hAnsi="Arial" w:cs="Arial"/>
                <w:color w:val="002060"/>
                <w:sz w:val="20"/>
                <w:szCs w:val="20"/>
                <w:lang w:eastAsia="en-AU"/>
              </w:rPr>
            </w:pPr>
            <w:r w:rsidRPr="008B0CB2">
              <w:rPr>
                <w:rFonts w:ascii="Arial" w:hAnsi="Arial" w:cs="Arial"/>
                <w:color w:val="002060"/>
                <w:sz w:val="20"/>
                <w:szCs w:val="20"/>
                <w:lang w:eastAsia="en-AU"/>
              </w:rPr>
              <w:t>Government</w:t>
            </w:r>
          </w:p>
        </w:tc>
        <w:tc>
          <w:tcPr>
            <w:tcW w:w="19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DEFF5"/>
          </w:tcPr>
          <w:p w:rsidR="00253477" w:rsidRPr="008B0CB2" w:rsidRDefault="00253477" w:rsidP="0097169F">
            <w:pPr>
              <w:spacing w:before="80" w:after="80"/>
              <w:jc w:val="center"/>
              <w:rPr>
                <w:rFonts w:ascii="Arial" w:hAnsi="Arial" w:cs="Arial"/>
                <w:color w:val="002060"/>
                <w:sz w:val="20"/>
                <w:szCs w:val="20"/>
                <w:lang w:eastAsia="en-AU"/>
              </w:rPr>
            </w:pPr>
            <w:r w:rsidRPr="008B0CB2">
              <w:rPr>
                <w:rFonts w:ascii="Arial" w:hAnsi="Arial" w:cs="Arial"/>
                <w:color w:val="002060"/>
                <w:sz w:val="20"/>
                <w:szCs w:val="20"/>
                <w:lang w:eastAsia="en-AU"/>
              </w:rPr>
              <w:t>$16,180</w:t>
            </w:r>
          </w:p>
        </w:tc>
      </w:tr>
      <w:tr w:rsidR="00253477" w:rsidTr="00736CA1">
        <w:trPr>
          <w:trHeight w:val="413"/>
          <w:jc w:val="center"/>
        </w:trPr>
        <w:tc>
          <w:tcPr>
            <w:tcW w:w="36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DEFF5"/>
          </w:tcPr>
          <w:p w:rsidR="00253477" w:rsidRPr="008B0CB2" w:rsidRDefault="00253477" w:rsidP="0097169F">
            <w:pPr>
              <w:spacing w:before="80" w:after="80"/>
              <w:rPr>
                <w:rFonts w:ascii="Arial" w:hAnsi="Arial" w:cs="Arial"/>
                <w:color w:val="002060"/>
                <w:sz w:val="20"/>
                <w:szCs w:val="20"/>
                <w:lang w:eastAsia="en-AU"/>
              </w:rPr>
            </w:pPr>
            <w:r w:rsidRPr="008B0CB2">
              <w:rPr>
                <w:rFonts w:ascii="Arial" w:hAnsi="Arial" w:cs="Arial"/>
                <w:color w:val="002060"/>
                <w:sz w:val="20"/>
                <w:szCs w:val="20"/>
                <w:lang w:eastAsia="en-AU"/>
              </w:rPr>
              <w:t>Catholic</w:t>
            </w:r>
          </w:p>
        </w:tc>
        <w:tc>
          <w:tcPr>
            <w:tcW w:w="19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DEFF5"/>
          </w:tcPr>
          <w:p w:rsidR="00253477" w:rsidRPr="008B0CB2" w:rsidRDefault="00253477" w:rsidP="0097169F">
            <w:pPr>
              <w:spacing w:before="80" w:after="80"/>
              <w:jc w:val="center"/>
              <w:rPr>
                <w:rFonts w:ascii="Arial" w:hAnsi="Arial" w:cs="Arial"/>
                <w:color w:val="002060"/>
                <w:sz w:val="20"/>
                <w:szCs w:val="20"/>
                <w:lang w:eastAsia="en-AU"/>
              </w:rPr>
            </w:pPr>
            <w:r w:rsidRPr="008B0CB2">
              <w:rPr>
                <w:rFonts w:ascii="Arial" w:hAnsi="Arial" w:cs="Arial"/>
                <w:color w:val="002060"/>
                <w:sz w:val="20"/>
                <w:szCs w:val="20"/>
                <w:lang w:eastAsia="en-AU"/>
              </w:rPr>
              <w:t>$9,750</w:t>
            </w:r>
          </w:p>
        </w:tc>
      </w:tr>
      <w:tr w:rsidR="00253477" w:rsidTr="00736CA1">
        <w:trPr>
          <w:trHeight w:val="440"/>
          <w:jc w:val="center"/>
        </w:trPr>
        <w:tc>
          <w:tcPr>
            <w:tcW w:w="362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DEFF5"/>
          </w:tcPr>
          <w:p w:rsidR="00253477" w:rsidRPr="008B0CB2" w:rsidRDefault="00253477" w:rsidP="0097169F">
            <w:pPr>
              <w:spacing w:before="80" w:after="80"/>
              <w:rPr>
                <w:rFonts w:ascii="Arial" w:hAnsi="Arial" w:cs="Arial"/>
                <w:color w:val="002060"/>
                <w:sz w:val="20"/>
                <w:szCs w:val="20"/>
                <w:lang w:eastAsia="en-AU"/>
              </w:rPr>
            </w:pPr>
            <w:r w:rsidRPr="008B0CB2">
              <w:rPr>
                <w:rFonts w:ascii="Arial" w:hAnsi="Arial" w:cs="Arial"/>
                <w:color w:val="002060"/>
                <w:sz w:val="20"/>
                <w:szCs w:val="20"/>
                <w:lang w:eastAsia="en-AU"/>
              </w:rPr>
              <w:t>Independent</w:t>
            </w:r>
          </w:p>
        </w:tc>
        <w:tc>
          <w:tcPr>
            <w:tcW w:w="19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DEFF5"/>
          </w:tcPr>
          <w:p w:rsidR="00253477" w:rsidRPr="008B0CB2" w:rsidRDefault="00253477" w:rsidP="0097169F">
            <w:pPr>
              <w:spacing w:before="80" w:after="80"/>
              <w:jc w:val="center"/>
              <w:rPr>
                <w:rFonts w:ascii="Arial" w:hAnsi="Arial" w:cs="Arial"/>
                <w:color w:val="002060"/>
                <w:sz w:val="20"/>
                <w:szCs w:val="20"/>
                <w:lang w:eastAsia="en-AU"/>
              </w:rPr>
            </w:pPr>
            <w:r w:rsidRPr="008B0CB2">
              <w:rPr>
                <w:rFonts w:ascii="Arial" w:hAnsi="Arial" w:cs="Arial"/>
                <w:color w:val="002060"/>
                <w:sz w:val="20"/>
                <w:szCs w:val="20"/>
                <w:lang w:eastAsia="en-AU"/>
              </w:rPr>
              <w:t>$7,940</w:t>
            </w:r>
          </w:p>
        </w:tc>
      </w:tr>
    </w:tbl>
    <w:p w:rsidR="00203432" w:rsidRDefault="00203432" w:rsidP="007E7D14">
      <w:pPr>
        <w:spacing w:before="200" w:after="360" w:line="280" w:lineRule="exact"/>
        <w:rPr>
          <w:rFonts w:ascii="Arial" w:hAnsi="Arial" w:cs="Arial"/>
          <w:color w:val="000000"/>
          <w:sz w:val="22"/>
          <w:szCs w:val="22"/>
          <w:shd w:val="clear" w:color="auto" w:fill="FFFFFF"/>
        </w:rPr>
      </w:pPr>
      <w:r>
        <w:rPr>
          <w:rFonts w:ascii="Arial" w:hAnsi="Arial" w:cs="Arial"/>
          <w:color w:val="000000"/>
          <w:sz w:val="22"/>
          <w:szCs w:val="22"/>
          <w:lang w:eastAsia="en-AU"/>
        </w:rPr>
        <w:t>Partial government subsidies mean that p</w:t>
      </w:r>
      <w:r w:rsidRPr="007B61DD">
        <w:rPr>
          <w:rFonts w:ascii="Arial" w:hAnsi="Arial" w:cs="Arial"/>
          <w:color w:val="000000"/>
          <w:sz w:val="22"/>
          <w:szCs w:val="22"/>
          <w:lang w:eastAsia="en-AU"/>
        </w:rPr>
        <w:t>arents contribute substantially to the cost of educating their children in a non-government school. In 201</w:t>
      </w:r>
      <w:r>
        <w:rPr>
          <w:rFonts w:ascii="Arial" w:hAnsi="Arial" w:cs="Arial"/>
          <w:color w:val="000000"/>
          <w:sz w:val="22"/>
          <w:szCs w:val="22"/>
          <w:lang w:eastAsia="en-AU"/>
        </w:rPr>
        <w:t>3</w:t>
      </w:r>
      <w:r w:rsidRPr="007B61DD">
        <w:rPr>
          <w:rFonts w:ascii="Arial" w:hAnsi="Arial" w:cs="Arial"/>
          <w:color w:val="000000"/>
          <w:sz w:val="22"/>
          <w:szCs w:val="22"/>
          <w:lang w:eastAsia="en-AU"/>
        </w:rPr>
        <w:t>-1</w:t>
      </w:r>
      <w:r>
        <w:rPr>
          <w:rFonts w:ascii="Arial" w:hAnsi="Arial" w:cs="Arial"/>
          <w:color w:val="000000"/>
          <w:sz w:val="22"/>
          <w:szCs w:val="22"/>
          <w:lang w:eastAsia="en-AU"/>
        </w:rPr>
        <w:t>4</w:t>
      </w:r>
      <w:r w:rsidR="00F633DE">
        <w:rPr>
          <w:rFonts w:ascii="Arial" w:hAnsi="Arial" w:cs="Arial"/>
          <w:color w:val="000000"/>
          <w:sz w:val="22"/>
          <w:szCs w:val="22"/>
          <w:lang w:eastAsia="en-AU"/>
        </w:rPr>
        <w:t xml:space="preserve"> (latest available data)</w:t>
      </w:r>
      <w:r w:rsidRPr="007B61DD">
        <w:rPr>
          <w:rFonts w:ascii="Arial" w:hAnsi="Arial" w:cs="Arial"/>
          <w:color w:val="000000"/>
          <w:sz w:val="22"/>
          <w:szCs w:val="22"/>
          <w:lang w:eastAsia="en-AU"/>
        </w:rPr>
        <w:t xml:space="preserve">, private contribution to recurrent expenditure in </w:t>
      </w:r>
      <w:r w:rsidRPr="00562487">
        <w:rPr>
          <w:rFonts w:ascii="Arial" w:hAnsi="Arial" w:cs="Arial"/>
          <w:color w:val="000000"/>
          <w:sz w:val="22"/>
          <w:szCs w:val="22"/>
        </w:rPr>
        <w:t>the combined non-government sector was $7.</w:t>
      </w:r>
      <w:r>
        <w:rPr>
          <w:rFonts w:ascii="Arial" w:hAnsi="Arial" w:cs="Arial"/>
          <w:color w:val="000000"/>
          <w:sz w:val="22"/>
          <w:szCs w:val="22"/>
        </w:rPr>
        <w:t>8</w:t>
      </w:r>
      <w:r w:rsidRPr="00562487">
        <w:rPr>
          <w:rFonts w:ascii="Arial" w:hAnsi="Arial" w:cs="Arial"/>
          <w:color w:val="000000"/>
          <w:sz w:val="22"/>
          <w:szCs w:val="22"/>
        </w:rPr>
        <w:t xml:space="preserve"> billion</w:t>
      </w:r>
      <w:r>
        <w:rPr>
          <w:rFonts w:ascii="Arial" w:hAnsi="Arial" w:cs="Arial"/>
          <w:color w:val="000000"/>
          <w:sz w:val="22"/>
          <w:szCs w:val="22"/>
        </w:rPr>
        <w:t xml:space="preserve">. In the </w:t>
      </w:r>
      <w:r>
        <w:rPr>
          <w:rFonts w:ascii="Arial" w:hAnsi="Arial" w:cs="Arial"/>
          <w:color w:val="000000"/>
          <w:sz w:val="22"/>
          <w:szCs w:val="22"/>
          <w:lang w:eastAsia="en-AU"/>
        </w:rPr>
        <w:t>independent</w:t>
      </w:r>
      <w:r w:rsidRPr="007B61DD">
        <w:rPr>
          <w:rFonts w:ascii="Arial" w:hAnsi="Arial" w:cs="Arial"/>
          <w:color w:val="000000"/>
          <w:sz w:val="22"/>
          <w:szCs w:val="22"/>
          <w:lang w:eastAsia="en-AU"/>
        </w:rPr>
        <w:t xml:space="preserve"> s</w:t>
      </w:r>
      <w:r>
        <w:rPr>
          <w:rFonts w:ascii="Arial" w:hAnsi="Arial" w:cs="Arial"/>
          <w:color w:val="000000"/>
          <w:sz w:val="22"/>
          <w:szCs w:val="22"/>
          <w:lang w:eastAsia="en-AU"/>
        </w:rPr>
        <w:t xml:space="preserve">ector only, </w:t>
      </w:r>
      <w:r w:rsidRPr="007B61DD">
        <w:rPr>
          <w:rFonts w:ascii="Arial" w:hAnsi="Arial" w:cs="Arial"/>
          <w:color w:val="000000"/>
          <w:sz w:val="22"/>
          <w:szCs w:val="22"/>
          <w:lang w:eastAsia="en-AU"/>
        </w:rPr>
        <w:t>private contribution to recurrent expenditure was $</w:t>
      </w:r>
      <w:r>
        <w:rPr>
          <w:rFonts w:ascii="Arial" w:hAnsi="Arial" w:cs="Arial"/>
          <w:color w:val="000000"/>
          <w:sz w:val="22"/>
          <w:szCs w:val="22"/>
          <w:lang w:eastAsia="en-AU"/>
        </w:rPr>
        <w:t>5.3</w:t>
      </w:r>
      <w:r w:rsidRPr="007B61DD">
        <w:rPr>
          <w:rFonts w:ascii="Arial" w:hAnsi="Arial" w:cs="Arial"/>
          <w:color w:val="000000"/>
          <w:sz w:val="22"/>
          <w:szCs w:val="22"/>
          <w:lang w:eastAsia="en-AU"/>
        </w:rPr>
        <w:t xml:space="preserve"> billion, with </w:t>
      </w:r>
      <w:r>
        <w:rPr>
          <w:rFonts w:ascii="Arial" w:hAnsi="Arial" w:cs="Arial"/>
          <w:color w:val="000000"/>
          <w:sz w:val="22"/>
          <w:szCs w:val="22"/>
          <w:lang w:eastAsia="en-AU"/>
        </w:rPr>
        <w:t xml:space="preserve">an </w:t>
      </w:r>
      <w:r w:rsidRPr="00BA7314">
        <w:rPr>
          <w:rFonts w:ascii="Arial" w:hAnsi="Arial" w:cs="Arial"/>
          <w:color w:val="000000"/>
          <w:sz w:val="22"/>
          <w:szCs w:val="22"/>
          <w:lang w:eastAsia="en-AU"/>
        </w:rPr>
        <w:t>estimated saving to governments of $4.3 billion.</w:t>
      </w:r>
      <w:r w:rsidRPr="00BA7314">
        <w:rPr>
          <w:rFonts w:ascii="Arial" w:hAnsi="Arial" w:cs="Arial"/>
          <w:color w:val="000000"/>
          <w:sz w:val="22"/>
          <w:szCs w:val="22"/>
          <w:vertAlign w:val="superscript"/>
        </w:rPr>
        <w:t>3</w:t>
      </w:r>
      <w:r w:rsidRPr="00BA7314">
        <w:rPr>
          <w:rFonts w:ascii="Arial" w:hAnsi="Arial" w:cs="Arial"/>
          <w:color w:val="000000"/>
          <w:sz w:val="22"/>
          <w:szCs w:val="22"/>
          <w:lang w:eastAsia="en-AU"/>
        </w:rPr>
        <w:t xml:space="preserve"> (Savings are calculated as </w:t>
      </w:r>
      <w:r w:rsidRPr="00BA7314">
        <w:rPr>
          <w:rFonts w:ascii="Arial" w:hAnsi="Arial" w:cs="Arial"/>
          <w:color w:val="000000"/>
          <w:sz w:val="22"/>
          <w:szCs w:val="22"/>
          <w:shd w:val="clear" w:color="auto" w:fill="FFFFFF"/>
        </w:rPr>
        <w:t>the difference between government expenditure on students attending independent schools and the average cost to governments of educating a student in a government school.)</w:t>
      </w:r>
    </w:p>
    <w:tbl>
      <w:tblPr>
        <w:tblStyle w:val="TableGrid"/>
        <w:tblW w:w="0" w:type="auto"/>
        <w:jc w:val="center"/>
        <w:tblInd w:w="135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667"/>
        <w:gridCol w:w="1985"/>
      </w:tblGrid>
      <w:tr w:rsidR="00352359" w:rsidTr="00127148">
        <w:trPr>
          <w:jc w:val="center"/>
        </w:trPr>
        <w:tc>
          <w:tcPr>
            <w:tcW w:w="3667" w:type="dxa"/>
            <w:shd w:val="clear" w:color="auto" w:fill="EDEFF5"/>
          </w:tcPr>
          <w:p w:rsidR="00352359" w:rsidRPr="00D52EBB" w:rsidRDefault="00352359" w:rsidP="00203432">
            <w:pPr>
              <w:spacing w:before="120" w:after="120"/>
              <w:rPr>
                <w:rFonts w:ascii="Arial" w:hAnsi="Arial" w:cs="Arial"/>
                <w:b/>
                <w:color w:val="000000"/>
                <w:sz w:val="20"/>
                <w:szCs w:val="20"/>
                <w:lang w:eastAsia="en-AU"/>
              </w:rPr>
            </w:pPr>
            <w:r w:rsidRPr="00127148">
              <w:rPr>
                <w:rFonts w:ascii="Arial" w:hAnsi="Arial" w:cs="Arial"/>
                <w:b/>
                <w:color w:val="002060"/>
                <w:sz w:val="20"/>
                <w:szCs w:val="20"/>
                <w:lang w:eastAsia="en-AU"/>
              </w:rPr>
              <w:t xml:space="preserve">Private contribution to recurrent expenditure in independent schools </w:t>
            </w:r>
          </w:p>
        </w:tc>
        <w:tc>
          <w:tcPr>
            <w:tcW w:w="1985" w:type="dxa"/>
            <w:shd w:val="clear" w:color="auto" w:fill="002060"/>
          </w:tcPr>
          <w:p w:rsidR="00352359" w:rsidRPr="00D52EBB" w:rsidRDefault="00352359" w:rsidP="00D52EBB">
            <w:pPr>
              <w:spacing w:before="120" w:after="120"/>
              <w:rPr>
                <w:rFonts w:ascii="Arial" w:hAnsi="Arial" w:cs="Arial"/>
                <w:b/>
                <w:color w:val="000000"/>
                <w:sz w:val="20"/>
                <w:szCs w:val="20"/>
                <w:lang w:eastAsia="en-AU"/>
              </w:rPr>
            </w:pPr>
            <w:r w:rsidRPr="00127148">
              <w:rPr>
                <w:rFonts w:ascii="Arial" w:hAnsi="Arial" w:cs="Arial"/>
                <w:b/>
                <w:color w:val="FFFFFF" w:themeColor="background1"/>
                <w:sz w:val="20"/>
                <w:szCs w:val="20"/>
                <w:lang w:eastAsia="en-AU"/>
              </w:rPr>
              <w:t>$5.3 billion in 2013-14</w:t>
            </w:r>
          </w:p>
        </w:tc>
      </w:tr>
      <w:tr w:rsidR="007E7D14" w:rsidTr="007E7D14">
        <w:trPr>
          <w:trHeight w:val="95"/>
          <w:jc w:val="center"/>
        </w:trPr>
        <w:tc>
          <w:tcPr>
            <w:tcW w:w="3667" w:type="dxa"/>
            <w:shd w:val="clear" w:color="auto" w:fill="FFFFFF" w:themeFill="background1"/>
          </w:tcPr>
          <w:p w:rsidR="007E7D14" w:rsidRPr="007E7D14" w:rsidRDefault="007E7D14" w:rsidP="007E7D14">
            <w:pPr>
              <w:rPr>
                <w:rFonts w:ascii="Arial" w:hAnsi="Arial" w:cs="Arial"/>
                <w:b/>
                <w:color w:val="002060"/>
                <w:sz w:val="16"/>
                <w:szCs w:val="16"/>
                <w:lang w:eastAsia="en-AU"/>
              </w:rPr>
            </w:pPr>
          </w:p>
        </w:tc>
        <w:tc>
          <w:tcPr>
            <w:tcW w:w="1985" w:type="dxa"/>
            <w:shd w:val="clear" w:color="auto" w:fill="FFFFFF" w:themeFill="background1"/>
          </w:tcPr>
          <w:p w:rsidR="007E7D14" w:rsidRPr="00127148" w:rsidRDefault="007E7D14" w:rsidP="007E7D14">
            <w:pPr>
              <w:rPr>
                <w:rFonts w:ascii="Arial" w:hAnsi="Arial" w:cs="Arial"/>
                <w:b/>
                <w:color w:val="FFFFFF" w:themeColor="background1"/>
                <w:sz w:val="20"/>
                <w:szCs w:val="20"/>
                <w:lang w:eastAsia="en-AU"/>
              </w:rPr>
            </w:pPr>
          </w:p>
        </w:tc>
      </w:tr>
      <w:tr w:rsidR="007E7D14" w:rsidTr="00127148">
        <w:trPr>
          <w:jc w:val="center"/>
        </w:trPr>
        <w:tc>
          <w:tcPr>
            <w:tcW w:w="3667" w:type="dxa"/>
            <w:shd w:val="clear" w:color="auto" w:fill="EDEFF5"/>
          </w:tcPr>
          <w:p w:rsidR="007E7D14" w:rsidRPr="00127148" w:rsidRDefault="007E7D14" w:rsidP="00203432">
            <w:pPr>
              <w:spacing w:before="120" w:after="120"/>
              <w:rPr>
                <w:rFonts w:ascii="Arial" w:hAnsi="Arial" w:cs="Arial"/>
                <w:b/>
                <w:color w:val="002060"/>
                <w:sz w:val="20"/>
                <w:szCs w:val="20"/>
                <w:lang w:eastAsia="en-AU"/>
              </w:rPr>
            </w:pPr>
            <w:r w:rsidRPr="00127148">
              <w:rPr>
                <w:rFonts w:ascii="Arial" w:hAnsi="Arial" w:cs="Arial"/>
                <w:b/>
                <w:color w:val="002060"/>
                <w:sz w:val="20"/>
                <w:szCs w:val="20"/>
                <w:lang w:eastAsia="en-AU"/>
              </w:rPr>
              <w:t>Savings to governments from independent schooling provision 2013-14</w:t>
            </w:r>
          </w:p>
        </w:tc>
        <w:tc>
          <w:tcPr>
            <w:tcW w:w="1985" w:type="dxa"/>
            <w:shd w:val="clear" w:color="auto" w:fill="002060"/>
          </w:tcPr>
          <w:p w:rsidR="007E7D14" w:rsidRPr="00127148" w:rsidRDefault="007E7D14" w:rsidP="00D52EBB">
            <w:pPr>
              <w:spacing w:before="120" w:after="120"/>
              <w:rPr>
                <w:rFonts w:ascii="Arial" w:hAnsi="Arial" w:cs="Arial"/>
                <w:b/>
                <w:color w:val="FFFFFF" w:themeColor="background1"/>
                <w:sz w:val="20"/>
                <w:szCs w:val="20"/>
                <w:lang w:eastAsia="en-AU"/>
              </w:rPr>
            </w:pPr>
            <w:r w:rsidRPr="00127148">
              <w:rPr>
                <w:rFonts w:ascii="Arial" w:hAnsi="Arial" w:cs="Arial"/>
                <w:b/>
                <w:color w:val="FFFFFF" w:themeColor="background1"/>
                <w:sz w:val="20"/>
                <w:szCs w:val="20"/>
                <w:lang w:eastAsia="en-AU"/>
              </w:rPr>
              <w:t>$4.3 billion in recurrent funding</w:t>
            </w:r>
          </w:p>
        </w:tc>
      </w:tr>
    </w:tbl>
    <w:p w:rsidR="00D52EBB" w:rsidRDefault="00D52EBB" w:rsidP="00203432">
      <w:pPr>
        <w:rPr>
          <w:rFonts w:ascii="Arial" w:hAnsi="Arial" w:cs="Arial"/>
          <w:color w:val="000000"/>
          <w:sz w:val="22"/>
          <w:szCs w:val="22"/>
          <w:lang w:eastAsia="en-AU"/>
        </w:rPr>
      </w:pPr>
    </w:p>
    <w:p w:rsidR="00253477" w:rsidRDefault="00253477" w:rsidP="007E7D14">
      <w:pPr>
        <w:pStyle w:val="Default"/>
        <w:spacing w:after="160" w:line="280" w:lineRule="exact"/>
        <w:rPr>
          <w:rFonts w:ascii="Arial" w:hAnsi="Arial" w:cs="Arial"/>
          <w:sz w:val="22"/>
          <w:szCs w:val="22"/>
        </w:rPr>
      </w:pPr>
      <w:r>
        <w:rPr>
          <w:rFonts w:ascii="Arial" w:hAnsi="Arial" w:cs="Arial"/>
          <w:sz w:val="22"/>
          <w:szCs w:val="22"/>
        </w:rPr>
        <w:t xml:space="preserve">It is important to note that private contribution to school </w:t>
      </w:r>
      <w:r w:rsidR="008B0CB2">
        <w:rPr>
          <w:rFonts w:ascii="Arial" w:hAnsi="Arial" w:cs="Arial"/>
          <w:sz w:val="22"/>
          <w:szCs w:val="22"/>
        </w:rPr>
        <w:t>recurrent costs in the form of fees</w:t>
      </w:r>
      <w:r>
        <w:rPr>
          <w:rFonts w:ascii="Arial" w:hAnsi="Arial" w:cs="Arial"/>
          <w:sz w:val="22"/>
          <w:szCs w:val="22"/>
        </w:rPr>
        <w:t xml:space="preserve"> is made from families’ after-tax income.</w:t>
      </w:r>
    </w:p>
    <w:p w:rsidR="00107F1B" w:rsidRDefault="00107F1B" w:rsidP="00253477">
      <w:pPr>
        <w:pStyle w:val="Default"/>
        <w:spacing w:after="160" w:line="280" w:lineRule="exact"/>
        <w:rPr>
          <w:rFonts w:ascii="Arial" w:hAnsi="Arial" w:cs="Arial"/>
          <w:sz w:val="22"/>
          <w:szCs w:val="22"/>
        </w:rPr>
      </w:pPr>
      <w:r>
        <w:rPr>
          <w:rFonts w:ascii="Arial" w:hAnsi="Arial" w:cs="Arial"/>
          <w:sz w:val="22"/>
          <w:szCs w:val="22"/>
        </w:rPr>
        <w:t xml:space="preserve">In the independent sector, school fees also contribute to capital costs. Donations and </w:t>
      </w:r>
      <w:r w:rsidR="006C2852">
        <w:rPr>
          <w:rFonts w:ascii="Arial" w:hAnsi="Arial" w:cs="Arial"/>
          <w:sz w:val="22"/>
          <w:szCs w:val="22"/>
        </w:rPr>
        <w:t xml:space="preserve">income from </w:t>
      </w:r>
      <w:r>
        <w:rPr>
          <w:rFonts w:ascii="Arial" w:hAnsi="Arial" w:cs="Arial"/>
          <w:sz w:val="22"/>
          <w:szCs w:val="22"/>
        </w:rPr>
        <w:t xml:space="preserve">fundraising </w:t>
      </w:r>
      <w:r w:rsidR="006C2852">
        <w:rPr>
          <w:rFonts w:ascii="Arial" w:hAnsi="Arial" w:cs="Arial"/>
          <w:sz w:val="22"/>
          <w:szCs w:val="22"/>
        </w:rPr>
        <w:t xml:space="preserve">activities </w:t>
      </w:r>
      <w:r>
        <w:rPr>
          <w:rFonts w:ascii="Arial" w:hAnsi="Arial" w:cs="Arial"/>
          <w:sz w:val="22"/>
          <w:szCs w:val="22"/>
        </w:rPr>
        <w:t xml:space="preserve">are other forms of private contribution to capital costs in independent schools. In 2014, some 86 per cent of the costs of capital in the independent sector were sourced through private contribution, </w:t>
      </w:r>
      <w:r w:rsidR="00203432">
        <w:rPr>
          <w:rFonts w:ascii="Arial" w:hAnsi="Arial" w:cs="Arial"/>
          <w:sz w:val="22"/>
          <w:szCs w:val="22"/>
        </w:rPr>
        <w:t>r</w:t>
      </w:r>
      <w:r>
        <w:rPr>
          <w:rFonts w:ascii="Arial" w:hAnsi="Arial" w:cs="Arial"/>
          <w:sz w:val="22"/>
          <w:szCs w:val="22"/>
        </w:rPr>
        <w:t xml:space="preserve">epresenting over $855 million. The federal government contributed </w:t>
      </w:r>
      <w:r w:rsidR="00203432">
        <w:rPr>
          <w:rFonts w:ascii="Arial" w:hAnsi="Arial" w:cs="Arial"/>
          <w:sz w:val="22"/>
          <w:szCs w:val="22"/>
        </w:rPr>
        <w:t>eight</w:t>
      </w:r>
      <w:r>
        <w:rPr>
          <w:rFonts w:ascii="Arial" w:hAnsi="Arial" w:cs="Arial"/>
          <w:sz w:val="22"/>
          <w:szCs w:val="22"/>
        </w:rPr>
        <w:t xml:space="preserve"> per cent or approximately $52 million of capital expenditure in the sector, and some </w:t>
      </w:r>
      <w:r w:rsidR="00203432">
        <w:rPr>
          <w:rFonts w:ascii="Arial" w:hAnsi="Arial" w:cs="Arial"/>
          <w:sz w:val="22"/>
          <w:szCs w:val="22"/>
        </w:rPr>
        <w:t>six</w:t>
      </w:r>
      <w:r>
        <w:rPr>
          <w:rFonts w:ascii="Arial" w:hAnsi="Arial" w:cs="Arial"/>
          <w:sz w:val="22"/>
          <w:szCs w:val="22"/>
        </w:rPr>
        <w:t xml:space="preserve"> per cent was sourced from state government grants.</w:t>
      </w:r>
      <w:r w:rsidRPr="00107F1B">
        <w:rPr>
          <w:rFonts w:ascii="Arial" w:hAnsi="Arial" w:cs="Arial"/>
          <w:sz w:val="22"/>
          <w:szCs w:val="22"/>
          <w:vertAlign w:val="superscript"/>
        </w:rPr>
        <w:t>4</w:t>
      </w:r>
    </w:p>
    <w:tbl>
      <w:tblPr>
        <w:tblStyle w:val="TableGrid"/>
        <w:tblW w:w="0" w:type="auto"/>
        <w:jc w:val="center"/>
        <w:tblInd w:w="135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667"/>
        <w:gridCol w:w="1985"/>
      </w:tblGrid>
      <w:tr w:rsidR="00203432" w:rsidTr="00326854">
        <w:trPr>
          <w:jc w:val="center"/>
        </w:trPr>
        <w:tc>
          <w:tcPr>
            <w:tcW w:w="3667" w:type="dxa"/>
            <w:shd w:val="clear" w:color="auto" w:fill="EDEFF5"/>
          </w:tcPr>
          <w:p w:rsidR="00203432" w:rsidRPr="00D52EBB" w:rsidRDefault="00203432" w:rsidP="00203432">
            <w:pPr>
              <w:spacing w:before="120" w:after="120"/>
              <w:rPr>
                <w:rFonts w:ascii="Arial" w:hAnsi="Arial" w:cs="Arial"/>
                <w:b/>
                <w:color w:val="000000"/>
                <w:sz w:val="20"/>
                <w:szCs w:val="20"/>
                <w:lang w:eastAsia="en-AU"/>
              </w:rPr>
            </w:pPr>
            <w:r w:rsidRPr="00326854">
              <w:rPr>
                <w:rFonts w:ascii="Arial" w:hAnsi="Arial" w:cs="Arial"/>
                <w:b/>
                <w:color w:val="002060"/>
                <w:sz w:val="20"/>
                <w:szCs w:val="20"/>
                <w:lang w:eastAsia="en-AU"/>
              </w:rPr>
              <w:t>Private contribution to capital expenditure in independent schools 2014</w:t>
            </w:r>
          </w:p>
        </w:tc>
        <w:tc>
          <w:tcPr>
            <w:tcW w:w="1985" w:type="dxa"/>
            <w:shd w:val="clear" w:color="auto" w:fill="002060"/>
          </w:tcPr>
          <w:p w:rsidR="00203432" w:rsidRPr="00D52EBB" w:rsidRDefault="00203432" w:rsidP="00203432">
            <w:pPr>
              <w:spacing w:before="120" w:after="120"/>
              <w:rPr>
                <w:rFonts w:ascii="Arial" w:hAnsi="Arial" w:cs="Arial"/>
                <w:b/>
                <w:color w:val="000000"/>
                <w:sz w:val="20"/>
                <w:szCs w:val="20"/>
                <w:lang w:eastAsia="en-AU"/>
              </w:rPr>
            </w:pPr>
            <w:r w:rsidRPr="00326854">
              <w:rPr>
                <w:rFonts w:ascii="Arial" w:hAnsi="Arial" w:cs="Arial"/>
                <w:b/>
                <w:color w:val="FFFFFF" w:themeColor="background1"/>
                <w:sz w:val="20"/>
                <w:szCs w:val="20"/>
                <w:lang w:eastAsia="en-AU"/>
              </w:rPr>
              <w:t>$855 million or 86% of expenditure</w:t>
            </w:r>
          </w:p>
        </w:tc>
      </w:tr>
    </w:tbl>
    <w:p w:rsidR="006E4041" w:rsidRDefault="006E4041" w:rsidP="00FD6354">
      <w:pPr>
        <w:spacing w:before="240" w:after="160" w:line="280" w:lineRule="exact"/>
        <w:rPr>
          <w:rFonts w:ascii="Arial" w:hAnsi="Arial" w:cs="Arial"/>
          <w:color w:val="000000"/>
          <w:sz w:val="22"/>
          <w:szCs w:val="22"/>
          <w:lang w:eastAsia="en-AU"/>
        </w:rPr>
      </w:pPr>
      <w:r>
        <w:rPr>
          <w:rFonts w:ascii="Arial" w:hAnsi="Arial" w:cs="Arial"/>
          <w:color w:val="000000"/>
          <w:sz w:val="22"/>
          <w:szCs w:val="22"/>
          <w:lang w:eastAsia="en-AU"/>
        </w:rPr>
        <w:t>Australia’s independent schools contribute not only in the form of monetary savings</w:t>
      </w:r>
      <w:r w:rsidR="00326854">
        <w:rPr>
          <w:rFonts w:ascii="Arial" w:hAnsi="Arial" w:cs="Arial"/>
          <w:color w:val="000000"/>
          <w:sz w:val="22"/>
          <w:szCs w:val="22"/>
          <w:lang w:eastAsia="en-AU"/>
        </w:rPr>
        <w:t xml:space="preserve"> to government</w:t>
      </w:r>
      <w:r>
        <w:rPr>
          <w:rFonts w:ascii="Arial" w:hAnsi="Arial" w:cs="Arial"/>
          <w:color w:val="000000"/>
          <w:sz w:val="22"/>
          <w:szCs w:val="22"/>
          <w:lang w:eastAsia="en-AU"/>
        </w:rPr>
        <w:t xml:space="preserve"> but in terms of the delivery of quality schooling for the development of Australia’s human capital. </w:t>
      </w:r>
    </w:p>
    <w:p w:rsidR="006E4041" w:rsidRDefault="006E4041" w:rsidP="006E4041">
      <w:pPr>
        <w:pStyle w:val="Default"/>
        <w:spacing w:after="160" w:line="280" w:lineRule="exact"/>
        <w:rPr>
          <w:rFonts w:ascii="Arial" w:hAnsi="Arial" w:cs="Arial"/>
          <w:sz w:val="22"/>
          <w:szCs w:val="22"/>
        </w:rPr>
      </w:pPr>
      <w:r>
        <w:rPr>
          <w:rFonts w:ascii="Arial" w:hAnsi="Arial" w:cs="Arial"/>
          <w:sz w:val="22"/>
          <w:szCs w:val="22"/>
        </w:rPr>
        <w:t>Australian research is consistent in showing a</w:t>
      </w:r>
      <w:r w:rsidR="00326854">
        <w:rPr>
          <w:rFonts w:ascii="Arial" w:hAnsi="Arial" w:cs="Arial"/>
          <w:sz w:val="22"/>
          <w:szCs w:val="22"/>
        </w:rPr>
        <w:t>n average</w:t>
      </w:r>
      <w:r>
        <w:rPr>
          <w:rFonts w:ascii="Arial" w:hAnsi="Arial" w:cs="Arial"/>
          <w:sz w:val="22"/>
          <w:szCs w:val="22"/>
        </w:rPr>
        <w:t xml:space="preserve"> ‘value adding’ of eight points</w:t>
      </w:r>
      <w:r w:rsidR="00326854">
        <w:rPr>
          <w:rFonts w:ascii="Arial" w:hAnsi="Arial" w:cs="Arial"/>
          <w:sz w:val="22"/>
          <w:szCs w:val="22"/>
        </w:rPr>
        <w:t xml:space="preserve"> on </w:t>
      </w:r>
      <w:r>
        <w:rPr>
          <w:rFonts w:ascii="Arial" w:hAnsi="Arial" w:cs="Arial"/>
          <w:sz w:val="22"/>
          <w:szCs w:val="22"/>
        </w:rPr>
        <w:t>the tertiary entrance score of students attending independent schools, even after allowing for students’ socio-economic status and prior ability.</w:t>
      </w:r>
      <w:r>
        <w:rPr>
          <w:rFonts w:ascii="Arial" w:hAnsi="Arial" w:cs="Arial"/>
          <w:sz w:val="22"/>
          <w:szCs w:val="22"/>
          <w:vertAlign w:val="superscript"/>
        </w:rPr>
        <w:t xml:space="preserve">5 </w:t>
      </w:r>
      <w:r w:rsidRPr="00FA28BD">
        <w:rPr>
          <w:rFonts w:ascii="Arial" w:hAnsi="Arial" w:cs="Arial"/>
          <w:sz w:val="22"/>
          <w:szCs w:val="22"/>
        </w:rPr>
        <w:t xml:space="preserve">The gain is greatest </w:t>
      </w:r>
      <w:r>
        <w:rPr>
          <w:rFonts w:ascii="Arial" w:hAnsi="Arial" w:cs="Arial"/>
          <w:sz w:val="22"/>
          <w:szCs w:val="22"/>
        </w:rPr>
        <w:t>for students of lower to middle ability.</w:t>
      </w:r>
    </w:p>
    <w:p w:rsidR="006E4041" w:rsidRDefault="006E4041" w:rsidP="006E4041">
      <w:pPr>
        <w:pStyle w:val="Default"/>
        <w:spacing w:after="160" w:line="280" w:lineRule="exact"/>
        <w:rPr>
          <w:rFonts w:ascii="Arial" w:hAnsi="Arial" w:cs="Arial"/>
          <w:sz w:val="22"/>
          <w:szCs w:val="22"/>
          <w:vertAlign w:val="superscript"/>
        </w:rPr>
      </w:pPr>
      <w:r>
        <w:rPr>
          <w:rFonts w:ascii="Arial" w:hAnsi="Arial" w:cs="Arial"/>
          <w:sz w:val="22"/>
          <w:szCs w:val="22"/>
        </w:rPr>
        <w:t xml:space="preserve">Students at independent schools are up to 4 times more likely to complete Year 12 and more likely to enrol in university or post-school training. They are </w:t>
      </w:r>
      <w:r w:rsidRPr="00C4416D">
        <w:rPr>
          <w:rFonts w:ascii="Arial" w:hAnsi="Arial" w:cs="Arial"/>
          <w:sz w:val="22"/>
          <w:szCs w:val="22"/>
        </w:rPr>
        <w:t>2.8 times more likely to complete their university degree.</w:t>
      </w:r>
      <w:r>
        <w:rPr>
          <w:rFonts w:ascii="Arial" w:hAnsi="Arial" w:cs="Arial"/>
          <w:sz w:val="22"/>
          <w:szCs w:val="22"/>
          <w:vertAlign w:val="superscript"/>
        </w:rPr>
        <w:t>6</w:t>
      </w:r>
    </w:p>
    <w:p w:rsidR="00253477" w:rsidRPr="00AD0B0B" w:rsidRDefault="00326854" w:rsidP="00CD32B9">
      <w:pPr>
        <w:spacing w:after="360" w:line="280" w:lineRule="exact"/>
        <w:rPr>
          <w:rFonts w:ascii="Arial" w:hAnsi="Arial" w:cs="Arial"/>
          <w:color w:val="000000"/>
          <w:sz w:val="22"/>
          <w:szCs w:val="22"/>
          <w:lang w:eastAsia="en-AU"/>
        </w:rPr>
      </w:pPr>
      <w:r>
        <w:rPr>
          <w:rFonts w:ascii="Arial" w:hAnsi="Arial" w:cs="Arial"/>
          <w:color w:val="000000"/>
          <w:sz w:val="22"/>
          <w:szCs w:val="22"/>
          <w:lang w:eastAsia="en-AU"/>
        </w:rPr>
        <w:t>In</w:t>
      </w:r>
      <w:r w:rsidR="00253477" w:rsidRPr="00AD0B0B">
        <w:rPr>
          <w:rFonts w:ascii="Arial" w:hAnsi="Arial" w:cs="Arial"/>
          <w:color w:val="000000"/>
          <w:sz w:val="22"/>
          <w:szCs w:val="22"/>
          <w:lang w:eastAsia="en-AU"/>
        </w:rPr>
        <w:t xml:space="preserve"> the OECD’s </w:t>
      </w:r>
      <w:r w:rsidR="00253477">
        <w:rPr>
          <w:rFonts w:ascii="Arial" w:hAnsi="Arial" w:cs="Arial"/>
          <w:color w:val="000000"/>
          <w:sz w:val="22"/>
          <w:szCs w:val="22"/>
          <w:lang w:eastAsia="en-AU"/>
        </w:rPr>
        <w:t xml:space="preserve">Programme for International Student Assessment </w:t>
      </w:r>
      <w:r w:rsidR="006E4041">
        <w:rPr>
          <w:rFonts w:ascii="Arial" w:hAnsi="Arial" w:cs="Arial"/>
          <w:color w:val="000000"/>
          <w:sz w:val="22"/>
          <w:szCs w:val="22"/>
          <w:lang w:eastAsia="en-AU"/>
        </w:rPr>
        <w:t xml:space="preserve">(PISA) </w:t>
      </w:r>
      <w:r w:rsidR="00253477" w:rsidRPr="00AD0B0B">
        <w:rPr>
          <w:rFonts w:ascii="Arial" w:hAnsi="Arial" w:cs="Arial"/>
          <w:color w:val="000000"/>
          <w:sz w:val="22"/>
          <w:szCs w:val="22"/>
          <w:lang w:eastAsia="en-AU"/>
        </w:rPr>
        <w:t xml:space="preserve">2015 </w:t>
      </w:r>
      <w:r w:rsidR="00253477">
        <w:rPr>
          <w:rFonts w:ascii="Arial" w:hAnsi="Arial" w:cs="Arial"/>
          <w:color w:val="000000"/>
          <w:sz w:val="22"/>
          <w:szCs w:val="22"/>
          <w:lang w:eastAsia="en-AU"/>
        </w:rPr>
        <w:t>cycle of</w:t>
      </w:r>
      <w:r w:rsidR="00253477" w:rsidRPr="00AD0B0B">
        <w:rPr>
          <w:rFonts w:ascii="Arial" w:hAnsi="Arial" w:cs="Arial"/>
          <w:color w:val="000000"/>
          <w:sz w:val="22"/>
          <w:szCs w:val="22"/>
          <w:lang w:eastAsia="en-AU"/>
        </w:rPr>
        <w:t xml:space="preserve"> tests, the results of 15-year-old students in Australian independent schools ranked with those of the top-performing countries, helping to </w:t>
      </w:r>
      <w:r w:rsidR="00A74BD7">
        <w:rPr>
          <w:rFonts w:ascii="Arial" w:hAnsi="Arial" w:cs="Arial"/>
          <w:color w:val="000000"/>
          <w:sz w:val="22"/>
          <w:szCs w:val="22"/>
          <w:lang w:eastAsia="en-AU"/>
        </w:rPr>
        <w:t>lift</w:t>
      </w:r>
      <w:r w:rsidR="00253477" w:rsidRPr="00AD0B0B">
        <w:rPr>
          <w:rFonts w:ascii="Arial" w:hAnsi="Arial" w:cs="Arial"/>
          <w:color w:val="000000"/>
          <w:sz w:val="22"/>
          <w:szCs w:val="22"/>
          <w:lang w:eastAsia="en-AU"/>
        </w:rPr>
        <w:t xml:space="preserve"> Australia’s overall country ranking.</w:t>
      </w:r>
    </w:p>
    <w:tbl>
      <w:tblPr>
        <w:tblStyle w:val="TableGrid"/>
        <w:tblW w:w="0" w:type="auto"/>
        <w:jc w:val="center"/>
        <w:tblInd w:w="-1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85"/>
        <w:gridCol w:w="483"/>
        <w:gridCol w:w="2932"/>
        <w:gridCol w:w="483"/>
        <w:gridCol w:w="2964"/>
        <w:gridCol w:w="483"/>
      </w:tblGrid>
      <w:tr w:rsidR="00253477" w:rsidRPr="00835AC5" w:rsidTr="000B33FB">
        <w:trPr>
          <w:jc w:val="center"/>
        </w:trPr>
        <w:tc>
          <w:tcPr>
            <w:tcW w:w="10330" w:type="dxa"/>
            <w:gridSpan w:val="6"/>
            <w:tcBorders>
              <w:bottom w:val="single" w:sz="18" w:space="0" w:color="FFFFFF" w:themeColor="background1"/>
            </w:tcBorders>
            <w:shd w:val="clear" w:color="auto" w:fill="002060"/>
          </w:tcPr>
          <w:p w:rsidR="00253477" w:rsidRPr="00736CA1" w:rsidRDefault="00253477" w:rsidP="00736CA1">
            <w:pPr>
              <w:pStyle w:val="Default"/>
              <w:spacing w:before="120" w:after="40"/>
              <w:jc w:val="center"/>
              <w:rPr>
                <w:rFonts w:ascii="Arial" w:hAnsi="Arial" w:cs="Arial"/>
                <w:b/>
                <w:color w:val="FFFFFF" w:themeColor="background1"/>
                <w:sz w:val="20"/>
                <w:szCs w:val="20"/>
              </w:rPr>
            </w:pPr>
            <w:r w:rsidRPr="00736CA1">
              <w:rPr>
                <w:rFonts w:ascii="Arial" w:hAnsi="Arial" w:cs="Arial"/>
                <w:b/>
                <w:color w:val="FFFFFF" w:themeColor="background1"/>
                <w:sz w:val="20"/>
                <w:szCs w:val="20"/>
              </w:rPr>
              <w:t>PISA 2015</w:t>
            </w:r>
          </w:p>
          <w:p w:rsidR="00253477" w:rsidRPr="00835AC5" w:rsidRDefault="00971A28" w:rsidP="00736CA1">
            <w:pPr>
              <w:pStyle w:val="Default"/>
              <w:spacing w:before="40" w:after="120"/>
              <w:jc w:val="center"/>
              <w:rPr>
                <w:rFonts w:ascii="Arial" w:hAnsi="Arial" w:cs="Arial"/>
                <w:sz w:val="16"/>
                <w:szCs w:val="16"/>
              </w:rPr>
            </w:pPr>
            <w:r w:rsidRPr="00736CA1">
              <w:rPr>
                <w:rFonts w:ascii="Arial" w:hAnsi="Arial" w:cs="Arial"/>
                <w:b/>
                <w:color w:val="FFFFFF" w:themeColor="background1"/>
                <w:sz w:val="20"/>
                <w:szCs w:val="20"/>
              </w:rPr>
              <w:t>Australian independent school students &amp; t</w:t>
            </w:r>
            <w:r w:rsidR="00253477" w:rsidRPr="00736CA1">
              <w:rPr>
                <w:rFonts w:ascii="Arial" w:hAnsi="Arial" w:cs="Arial"/>
                <w:b/>
                <w:color w:val="FFFFFF" w:themeColor="background1"/>
                <w:sz w:val="20"/>
                <w:szCs w:val="20"/>
              </w:rPr>
              <w:t>op 5 participating countries/economies</w:t>
            </w:r>
            <w:r w:rsidR="00736CA1" w:rsidRPr="00736CA1">
              <w:rPr>
                <w:rFonts w:ascii="Arial" w:hAnsi="Arial" w:cs="Arial"/>
                <w:b/>
                <w:color w:val="FFFFFF" w:themeColor="background1"/>
                <w:sz w:val="20"/>
                <w:szCs w:val="20"/>
              </w:rPr>
              <w:t>,</w:t>
            </w:r>
            <w:r w:rsidR="00253477" w:rsidRPr="00736CA1">
              <w:rPr>
                <w:rFonts w:ascii="Arial" w:hAnsi="Arial" w:cs="Arial"/>
                <w:b/>
                <w:color w:val="FFFFFF" w:themeColor="background1"/>
                <w:sz w:val="20"/>
                <w:szCs w:val="20"/>
              </w:rPr>
              <w:t xml:space="preserve"> </w:t>
            </w:r>
            <w:r w:rsidRPr="00736CA1">
              <w:rPr>
                <w:rFonts w:ascii="Arial" w:hAnsi="Arial" w:cs="Arial"/>
                <w:b/>
                <w:color w:val="FFFFFF" w:themeColor="background1"/>
                <w:sz w:val="20"/>
                <w:szCs w:val="20"/>
              </w:rPr>
              <w:t xml:space="preserve">as </w:t>
            </w:r>
            <w:r w:rsidR="00253477" w:rsidRPr="00736CA1">
              <w:rPr>
                <w:rFonts w:ascii="Arial" w:hAnsi="Arial" w:cs="Arial"/>
                <w:b/>
                <w:color w:val="FFFFFF" w:themeColor="background1"/>
                <w:sz w:val="20"/>
                <w:szCs w:val="20"/>
              </w:rPr>
              <w:t xml:space="preserve">ranked by </w:t>
            </w:r>
            <w:r w:rsidRPr="00736CA1">
              <w:rPr>
                <w:rFonts w:ascii="Arial" w:hAnsi="Arial" w:cs="Arial"/>
                <w:b/>
                <w:color w:val="FFFFFF" w:themeColor="background1"/>
                <w:sz w:val="20"/>
                <w:szCs w:val="20"/>
              </w:rPr>
              <w:t xml:space="preserve">unadjusted </w:t>
            </w:r>
            <w:r w:rsidR="00253477" w:rsidRPr="00736CA1">
              <w:rPr>
                <w:rFonts w:ascii="Arial" w:hAnsi="Arial" w:cs="Arial"/>
                <w:b/>
                <w:color w:val="FFFFFF" w:themeColor="background1"/>
                <w:sz w:val="20"/>
                <w:szCs w:val="20"/>
              </w:rPr>
              <w:t>average scor</w:t>
            </w:r>
            <w:r w:rsidR="00253477" w:rsidRPr="00AA0DAB">
              <w:rPr>
                <w:rFonts w:ascii="Arial" w:hAnsi="Arial" w:cs="Arial"/>
                <w:b/>
                <w:color w:val="FFFFFF" w:themeColor="background1"/>
                <w:sz w:val="20"/>
                <w:szCs w:val="20"/>
              </w:rPr>
              <w:t>e</w:t>
            </w:r>
            <w:r w:rsidR="00AA0DAB" w:rsidRPr="00AA0DAB">
              <w:rPr>
                <w:rFonts w:ascii="Arial" w:hAnsi="Arial" w:cs="Arial"/>
                <w:color w:val="FFFFFF" w:themeColor="background1"/>
                <w:sz w:val="22"/>
                <w:szCs w:val="22"/>
                <w:vertAlign w:val="superscript"/>
                <w:lang w:eastAsia="en-AU"/>
              </w:rPr>
              <w:t>7</w:t>
            </w:r>
          </w:p>
        </w:tc>
      </w:tr>
      <w:tr w:rsidR="000B33FB" w:rsidRPr="00835AC5" w:rsidTr="000B33FB">
        <w:trPr>
          <w:jc w:val="center"/>
        </w:trPr>
        <w:tc>
          <w:tcPr>
            <w:tcW w:w="3418"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6D9F1" w:themeFill="text2" w:themeFillTint="33"/>
          </w:tcPr>
          <w:p w:rsidR="00253477" w:rsidRPr="00AD0B0B" w:rsidRDefault="00253477" w:rsidP="00736CA1">
            <w:pPr>
              <w:pStyle w:val="Default"/>
              <w:spacing w:before="80" w:after="80" w:line="280" w:lineRule="exact"/>
              <w:jc w:val="center"/>
              <w:rPr>
                <w:rFonts w:ascii="Arial" w:hAnsi="Arial" w:cs="Arial"/>
                <w:b/>
                <w:sz w:val="16"/>
                <w:szCs w:val="16"/>
              </w:rPr>
            </w:pPr>
            <w:r w:rsidRPr="00AD0B0B">
              <w:rPr>
                <w:rFonts w:ascii="Arial" w:hAnsi="Arial" w:cs="Arial"/>
                <w:b/>
                <w:sz w:val="16"/>
                <w:szCs w:val="16"/>
              </w:rPr>
              <w:t>SCIENTIFIC LITERACY</w:t>
            </w:r>
          </w:p>
        </w:tc>
        <w:tc>
          <w:tcPr>
            <w:tcW w:w="344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6D9F1" w:themeFill="text2" w:themeFillTint="33"/>
          </w:tcPr>
          <w:p w:rsidR="00253477" w:rsidRPr="00AD0B0B" w:rsidRDefault="00253477" w:rsidP="00736CA1">
            <w:pPr>
              <w:pStyle w:val="Default"/>
              <w:spacing w:before="80" w:after="80" w:line="280" w:lineRule="exact"/>
              <w:jc w:val="center"/>
              <w:rPr>
                <w:rFonts w:ascii="Arial" w:hAnsi="Arial" w:cs="Arial"/>
                <w:b/>
                <w:sz w:val="16"/>
                <w:szCs w:val="16"/>
              </w:rPr>
            </w:pPr>
            <w:r w:rsidRPr="00AD0B0B">
              <w:rPr>
                <w:rFonts w:ascii="Arial" w:hAnsi="Arial" w:cs="Arial"/>
                <w:b/>
                <w:sz w:val="16"/>
                <w:szCs w:val="16"/>
              </w:rPr>
              <w:t>READING LITERACY</w:t>
            </w:r>
          </w:p>
        </w:tc>
        <w:tc>
          <w:tcPr>
            <w:tcW w:w="3472"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6D9F1" w:themeFill="text2" w:themeFillTint="33"/>
          </w:tcPr>
          <w:p w:rsidR="00253477" w:rsidRPr="00AD0B0B" w:rsidRDefault="00253477" w:rsidP="00736CA1">
            <w:pPr>
              <w:pStyle w:val="Default"/>
              <w:spacing w:before="80" w:after="80" w:line="280" w:lineRule="exact"/>
              <w:jc w:val="center"/>
              <w:rPr>
                <w:rFonts w:ascii="Arial" w:hAnsi="Arial" w:cs="Arial"/>
                <w:b/>
                <w:sz w:val="16"/>
                <w:szCs w:val="16"/>
              </w:rPr>
            </w:pPr>
            <w:r w:rsidRPr="00AD0B0B">
              <w:rPr>
                <w:rFonts w:ascii="Arial" w:hAnsi="Arial" w:cs="Arial"/>
                <w:b/>
                <w:sz w:val="16"/>
                <w:szCs w:val="16"/>
              </w:rPr>
              <w:t>MATHEMATICAL LITERACY</w:t>
            </w:r>
          </w:p>
        </w:tc>
      </w:tr>
      <w:tr w:rsidR="00736CA1" w:rsidRPr="00835AC5" w:rsidTr="000B33FB">
        <w:trPr>
          <w:jc w:val="center"/>
        </w:trPr>
        <w:tc>
          <w:tcPr>
            <w:tcW w:w="3011" w:type="dxa"/>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 xml:space="preserve">Singapore </w:t>
            </w:r>
          </w:p>
        </w:tc>
        <w:tc>
          <w:tcPr>
            <w:tcW w:w="407"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556</w:t>
            </w:r>
          </w:p>
        </w:tc>
        <w:tc>
          <w:tcPr>
            <w:tcW w:w="2957"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0B33FB" w:rsidRDefault="00971A28" w:rsidP="000B33FB">
            <w:pPr>
              <w:spacing w:before="80" w:after="80"/>
              <w:rPr>
                <w:rFonts w:ascii="Arial" w:hAnsi="Arial" w:cs="Arial"/>
                <w:b/>
                <w:color w:val="002060"/>
                <w:sz w:val="16"/>
                <w:szCs w:val="16"/>
              </w:rPr>
            </w:pPr>
            <w:r w:rsidRPr="000B33FB">
              <w:rPr>
                <w:rFonts w:ascii="Arial" w:hAnsi="Arial" w:cs="Arial"/>
                <w:b/>
                <w:color w:val="002060"/>
                <w:sz w:val="16"/>
                <w:szCs w:val="16"/>
              </w:rPr>
              <w:t>Australian independent schools</w:t>
            </w:r>
            <w:r w:rsidR="00736CA1" w:rsidRPr="000B33FB">
              <w:rPr>
                <w:rFonts w:ascii="Arial" w:hAnsi="Arial" w:cs="Arial"/>
                <w:b/>
                <w:color w:val="002060"/>
                <w:sz w:val="16"/>
                <w:szCs w:val="16"/>
              </w:rPr>
              <w:t xml:space="preserve"> </w:t>
            </w:r>
            <w:r w:rsidR="00253477" w:rsidRPr="000B33FB">
              <w:rPr>
                <w:rFonts w:ascii="Arial" w:hAnsi="Arial" w:cs="Arial"/>
                <w:b/>
                <w:color w:val="002060"/>
                <w:sz w:val="16"/>
                <w:szCs w:val="16"/>
              </w:rPr>
              <w:t>#1</w:t>
            </w:r>
          </w:p>
        </w:tc>
        <w:tc>
          <w:tcPr>
            <w:tcW w:w="483"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0B33FB" w:rsidRDefault="00253477" w:rsidP="000B33FB">
            <w:pPr>
              <w:spacing w:before="80" w:after="80"/>
              <w:jc w:val="center"/>
              <w:rPr>
                <w:rFonts w:ascii="Arial" w:hAnsi="Arial" w:cs="Arial"/>
                <w:b/>
                <w:color w:val="002060"/>
                <w:sz w:val="16"/>
                <w:szCs w:val="16"/>
              </w:rPr>
            </w:pPr>
            <w:r w:rsidRPr="000B33FB">
              <w:rPr>
                <w:rFonts w:ascii="Arial" w:hAnsi="Arial" w:cs="Arial"/>
                <w:b/>
                <w:color w:val="002060"/>
                <w:sz w:val="16"/>
                <w:szCs w:val="16"/>
              </w:rPr>
              <w:t>544</w:t>
            </w:r>
          </w:p>
        </w:tc>
        <w:tc>
          <w:tcPr>
            <w:tcW w:w="2989"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Singapore</w:t>
            </w:r>
          </w:p>
        </w:tc>
        <w:tc>
          <w:tcPr>
            <w:tcW w:w="0" w:type="auto"/>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564</w:t>
            </w:r>
          </w:p>
        </w:tc>
      </w:tr>
      <w:tr w:rsidR="00736CA1" w:rsidRPr="00835AC5" w:rsidTr="000B33FB">
        <w:trPr>
          <w:jc w:val="center"/>
        </w:trPr>
        <w:tc>
          <w:tcPr>
            <w:tcW w:w="3011"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0B33FB" w:rsidRDefault="00736CA1" w:rsidP="000B33FB">
            <w:pPr>
              <w:spacing w:before="80" w:after="80"/>
              <w:rPr>
                <w:rFonts w:ascii="Arial" w:hAnsi="Arial" w:cs="Arial"/>
                <w:b/>
                <w:color w:val="002060"/>
                <w:sz w:val="16"/>
                <w:szCs w:val="16"/>
                <w:highlight w:val="yellow"/>
              </w:rPr>
            </w:pPr>
            <w:r w:rsidRPr="000B33FB">
              <w:rPr>
                <w:rFonts w:ascii="Arial" w:hAnsi="Arial" w:cs="Arial"/>
                <w:b/>
                <w:color w:val="002060"/>
                <w:sz w:val="16"/>
                <w:szCs w:val="16"/>
              </w:rPr>
              <w:t xml:space="preserve">Australian independent schools </w:t>
            </w:r>
            <w:r w:rsidR="00253477" w:rsidRPr="000B33FB">
              <w:rPr>
                <w:rFonts w:ascii="Arial" w:hAnsi="Arial" w:cs="Arial"/>
                <w:b/>
                <w:color w:val="002060"/>
                <w:sz w:val="16"/>
                <w:szCs w:val="16"/>
              </w:rPr>
              <w:t>#2</w:t>
            </w:r>
          </w:p>
        </w:tc>
        <w:tc>
          <w:tcPr>
            <w:tcW w:w="407"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0B33FB" w:rsidRDefault="00253477" w:rsidP="000B33FB">
            <w:pPr>
              <w:spacing w:before="80" w:after="80"/>
              <w:jc w:val="center"/>
              <w:rPr>
                <w:rFonts w:ascii="Arial" w:hAnsi="Arial" w:cs="Arial"/>
                <w:b/>
                <w:color w:val="002060"/>
                <w:sz w:val="16"/>
                <w:szCs w:val="16"/>
                <w:highlight w:val="yellow"/>
              </w:rPr>
            </w:pPr>
            <w:r w:rsidRPr="000B33FB">
              <w:rPr>
                <w:rFonts w:ascii="Arial" w:hAnsi="Arial" w:cs="Arial"/>
                <w:b/>
                <w:color w:val="002060"/>
                <w:sz w:val="16"/>
                <w:szCs w:val="16"/>
              </w:rPr>
              <w:t>552</w:t>
            </w:r>
          </w:p>
        </w:tc>
        <w:tc>
          <w:tcPr>
            <w:tcW w:w="2957"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Singapore</w:t>
            </w:r>
          </w:p>
        </w:tc>
        <w:tc>
          <w:tcPr>
            <w:tcW w:w="483"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535</w:t>
            </w:r>
          </w:p>
        </w:tc>
        <w:tc>
          <w:tcPr>
            <w:tcW w:w="2989"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Hong Kong (China)</w:t>
            </w:r>
          </w:p>
        </w:tc>
        <w:tc>
          <w:tcPr>
            <w:tcW w:w="0" w:type="auto"/>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548</w:t>
            </w:r>
          </w:p>
        </w:tc>
      </w:tr>
      <w:tr w:rsidR="00736CA1" w:rsidRPr="00835AC5" w:rsidTr="000B33FB">
        <w:trPr>
          <w:jc w:val="center"/>
        </w:trPr>
        <w:tc>
          <w:tcPr>
            <w:tcW w:w="3011"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Japan</w:t>
            </w:r>
          </w:p>
        </w:tc>
        <w:tc>
          <w:tcPr>
            <w:tcW w:w="407"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538</w:t>
            </w:r>
          </w:p>
        </w:tc>
        <w:tc>
          <w:tcPr>
            <w:tcW w:w="2957"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Hong Kong (China)</w:t>
            </w:r>
          </w:p>
        </w:tc>
        <w:tc>
          <w:tcPr>
            <w:tcW w:w="483"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527</w:t>
            </w:r>
          </w:p>
        </w:tc>
        <w:tc>
          <w:tcPr>
            <w:tcW w:w="2989"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Macao (China)</w:t>
            </w:r>
          </w:p>
        </w:tc>
        <w:tc>
          <w:tcPr>
            <w:tcW w:w="0" w:type="auto"/>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544</w:t>
            </w:r>
          </w:p>
        </w:tc>
      </w:tr>
      <w:tr w:rsidR="00736CA1" w:rsidRPr="00835AC5" w:rsidTr="000B33FB">
        <w:trPr>
          <w:jc w:val="center"/>
        </w:trPr>
        <w:tc>
          <w:tcPr>
            <w:tcW w:w="3011"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 xml:space="preserve">Estonia </w:t>
            </w:r>
          </w:p>
        </w:tc>
        <w:tc>
          <w:tcPr>
            <w:tcW w:w="407"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534</w:t>
            </w:r>
          </w:p>
        </w:tc>
        <w:tc>
          <w:tcPr>
            <w:tcW w:w="2957"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Canada</w:t>
            </w:r>
          </w:p>
        </w:tc>
        <w:tc>
          <w:tcPr>
            <w:tcW w:w="483"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527</w:t>
            </w:r>
          </w:p>
        </w:tc>
        <w:tc>
          <w:tcPr>
            <w:tcW w:w="2989"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Chinese Taipei</w:t>
            </w:r>
          </w:p>
        </w:tc>
        <w:tc>
          <w:tcPr>
            <w:tcW w:w="0" w:type="auto"/>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542</w:t>
            </w:r>
          </w:p>
        </w:tc>
      </w:tr>
      <w:tr w:rsidR="00736CA1" w:rsidRPr="00835AC5" w:rsidTr="000B33FB">
        <w:trPr>
          <w:jc w:val="center"/>
        </w:trPr>
        <w:tc>
          <w:tcPr>
            <w:tcW w:w="3011"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 xml:space="preserve">Chinese Taipei </w:t>
            </w:r>
          </w:p>
        </w:tc>
        <w:tc>
          <w:tcPr>
            <w:tcW w:w="407"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532</w:t>
            </w:r>
          </w:p>
        </w:tc>
        <w:tc>
          <w:tcPr>
            <w:tcW w:w="2957"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Finland</w:t>
            </w:r>
          </w:p>
        </w:tc>
        <w:tc>
          <w:tcPr>
            <w:tcW w:w="483"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526</w:t>
            </w:r>
          </w:p>
        </w:tc>
        <w:tc>
          <w:tcPr>
            <w:tcW w:w="2989"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Japan</w:t>
            </w:r>
          </w:p>
        </w:tc>
        <w:tc>
          <w:tcPr>
            <w:tcW w:w="0" w:type="auto"/>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532</w:t>
            </w:r>
          </w:p>
        </w:tc>
      </w:tr>
      <w:tr w:rsidR="00736CA1" w:rsidRPr="00835AC5" w:rsidTr="000B33FB">
        <w:trPr>
          <w:jc w:val="center"/>
        </w:trPr>
        <w:tc>
          <w:tcPr>
            <w:tcW w:w="3011"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Finland</w:t>
            </w:r>
          </w:p>
        </w:tc>
        <w:tc>
          <w:tcPr>
            <w:tcW w:w="407"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531</w:t>
            </w:r>
          </w:p>
        </w:tc>
        <w:tc>
          <w:tcPr>
            <w:tcW w:w="2957"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Ireland</w:t>
            </w:r>
          </w:p>
        </w:tc>
        <w:tc>
          <w:tcPr>
            <w:tcW w:w="483"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521</w:t>
            </w:r>
          </w:p>
        </w:tc>
        <w:tc>
          <w:tcPr>
            <w:tcW w:w="2989"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0B33FB" w:rsidRDefault="00971A28" w:rsidP="000B33FB">
            <w:pPr>
              <w:spacing w:before="80" w:after="80"/>
              <w:rPr>
                <w:rFonts w:ascii="Arial" w:hAnsi="Arial" w:cs="Arial"/>
                <w:b/>
                <w:color w:val="002060"/>
                <w:sz w:val="16"/>
                <w:szCs w:val="16"/>
              </w:rPr>
            </w:pPr>
            <w:r w:rsidRPr="000B33FB">
              <w:rPr>
                <w:rFonts w:ascii="Arial" w:hAnsi="Arial" w:cs="Arial"/>
                <w:b/>
                <w:color w:val="002060"/>
                <w:sz w:val="16"/>
                <w:szCs w:val="16"/>
              </w:rPr>
              <w:t xml:space="preserve">Australian independent schools </w:t>
            </w:r>
            <w:r w:rsidR="00736CA1" w:rsidRPr="000B33FB">
              <w:rPr>
                <w:rFonts w:ascii="Arial" w:hAnsi="Arial" w:cs="Arial"/>
                <w:b/>
                <w:color w:val="002060"/>
                <w:sz w:val="16"/>
                <w:szCs w:val="16"/>
              </w:rPr>
              <w:t>=</w:t>
            </w:r>
            <w:r w:rsidR="00253477" w:rsidRPr="000B33FB">
              <w:rPr>
                <w:rFonts w:ascii="Arial" w:hAnsi="Arial" w:cs="Arial"/>
                <w:b/>
                <w:color w:val="002060"/>
                <w:sz w:val="16"/>
                <w:szCs w:val="16"/>
              </w:rPr>
              <w:t>#5</w:t>
            </w:r>
          </w:p>
        </w:tc>
        <w:tc>
          <w:tcPr>
            <w:tcW w:w="0" w:type="auto"/>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DEFF5"/>
          </w:tcPr>
          <w:p w:rsidR="00253477" w:rsidRPr="000B33FB" w:rsidRDefault="00253477" w:rsidP="000B33FB">
            <w:pPr>
              <w:spacing w:before="80" w:after="80"/>
              <w:jc w:val="center"/>
              <w:rPr>
                <w:rFonts w:ascii="Arial" w:hAnsi="Arial" w:cs="Arial"/>
                <w:b/>
                <w:color w:val="002060"/>
                <w:sz w:val="16"/>
                <w:szCs w:val="16"/>
              </w:rPr>
            </w:pPr>
            <w:r w:rsidRPr="000B33FB">
              <w:rPr>
                <w:rFonts w:ascii="Arial" w:hAnsi="Arial" w:cs="Arial"/>
                <w:b/>
                <w:color w:val="002060"/>
                <w:sz w:val="16"/>
                <w:szCs w:val="16"/>
              </w:rPr>
              <w:t>532</w:t>
            </w:r>
          </w:p>
        </w:tc>
      </w:tr>
      <w:tr w:rsidR="00736CA1" w:rsidRPr="00835AC5" w:rsidTr="000B33FB">
        <w:trPr>
          <w:jc w:val="center"/>
        </w:trPr>
        <w:tc>
          <w:tcPr>
            <w:tcW w:w="3011"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AUSTRALIA</w:t>
            </w:r>
            <w:r w:rsidR="00A74BD7">
              <w:rPr>
                <w:rFonts w:ascii="Arial" w:hAnsi="Arial" w:cs="Arial"/>
                <w:sz w:val="16"/>
                <w:szCs w:val="16"/>
              </w:rPr>
              <w:t xml:space="preserve"> national average</w:t>
            </w:r>
            <w:r w:rsidRPr="00835AC5">
              <w:rPr>
                <w:rFonts w:ascii="Arial" w:hAnsi="Arial" w:cs="Arial"/>
                <w:sz w:val="16"/>
                <w:szCs w:val="16"/>
              </w:rPr>
              <w:t xml:space="preserve"> (</w:t>
            </w:r>
            <w:r w:rsidRPr="00835AC5">
              <w:rPr>
                <w:rFonts w:ascii="Arial" w:hAnsi="Arial" w:cs="Arial"/>
                <w:b/>
                <w:sz w:val="16"/>
                <w:szCs w:val="16"/>
              </w:rPr>
              <w:t>#14)</w:t>
            </w:r>
          </w:p>
        </w:tc>
        <w:tc>
          <w:tcPr>
            <w:tcW w:w="407"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510</w:t>
            </w:r>
          </w:p>
        </w:tc>
        <w:tc>
          <w:tcPr>
            <w:tcW w:w="2957"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AUSTRALIA</w:t>
            </w:r>
            <w:r w:rsidR="00A74BD7">
              <w:rPr>
                <w:rFonts w:ascii="Arial" w:hAnsi="Arial" w:cs="Arial"/>
                <w:sz w:val="16"/>
                <w:szCs w:val="16"/>
              </w:rPr>
              <w:t xml:space="preserve"> national average</w:t>
            </w:r>
            <w:r w:rsidRPr="00835AC5">
              <w:rPr>
                <w:rFonts w:ascii="Arial" w:hAnsi="Arial" w:cs="Arial"/>
                <w:sz w:val="16"/>
                <w:szCs w:val="16"/>
              </w:rPr>
              <w:t xml:space="preserve"> </w:t>
            </w:r>
            <w:r>
              <w:rPr>
                <w:rFonts w:ascii="Arial" w:hAnsi="Arial" w:cs="Arial"/>
                <w:sz w:val="16"/>
                <w:szCs w:val="16"/>
              </w:rPr>
              <w:t>(</w:t>
            </w:r>
            <w:r w:rsidRPr="00835AC5">
              <w:rPr>
                <w:rFonts w:ascii="Arial" w:hAnsi="Arial" w:cs="Arial"/>
                <w:b/>
                <w:sz w:val="16"/>
                <w:szCs w:val="16"/>
              </w:rPr>
              <w:t>#16</w:t>
            </w:r>
            <w:r>
              <w:rPr>
                <w:rFonts w:ascii="Arial" w:hAnsi="Arial" w:cs="Arial"/>
                <w:b/>
                <w:sz w:val="16"/>
                <w:szCs w:val="16"/>
              </w:rPr>
              <w:t>)</w:t>
            </w:r>
          </w:p>
        </w:tc>
        <w:tc>
          <w:tcPr>
            <w:tcW w:w="483" w:type="dxa"/>
            <w:tcBorders>
              <w:top w:val="single" w:sz="18" w:space="0" w:color="FFFFFF" w:themeColor="background1"/>
              <w:left w:val="single" w:sz="8" w:space="0" w:color="FFFFFF" w:themeColor="background1"/>
              <w:bottom w:val="single" w:sz="1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503</w:t>
            </w:r>
          </w:p>
        </w:tc>
        <w:tc>
          <w:tcPr>
            <w:tcW w:w="2989" w:type="dxa"/>
            <w:tcBorders>
              <w:top w:val="single" w:sz="18"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sz w:val="16"/>
                <w:szCs w:val="16"/>
              </w:rPr>
            </w:pPr>
            <w:r w:rsidRPr="00835AC5">
              <w:rPr>
                <w:rFonts w:ascii="Arial" w:hAnsi="Arial" w:cs="Arial"/>
                <w:sz w:val="16"/>
                <w:szCs w:val="16"/>
              </w:rPr>
              <w:t>AUSTRALIA</w:t>
            </w:r>
            <w:r w:rsidR="00A74BD7">
              <w:rPr>
                <w:rFonts w:ascii="Arial" w:hAnsi="Arial" w:cs="Arial"/>
                <w:sz w:val="16"/>
                <w:szCs w:val="16"/>
              </w:rPr>
              <w:t xml:space="preserve"> national average</w:t>
            </w:r>
            <w:r w:rsidRPr="00835AC5">
              <w:rPr>
                <w:rFonts w:ascii="Arial" w:hAnsi="Arial" w:cs="Arial"/>
                <w:sz w:val="16"/>
                <w:szCs w:val="16"/>
              </w:rPr>
              <w:t xml:space="preserve"> </w:t>
            </w:r>
            <w:r>
              <w:rPr>
                <w:rFonts w:ascii="Arial" w:hAnsi="Arial" w:cs="Arial"/>
                <w:sz w:val="16"/>
                <w:szCs w:val="16"/>
              </w:rPr>
              <w:t>(</w:t>
            </w:r>
            <w:r w:rsidRPr="00835AC5">
              <w:rPr>
                <w:rFonts w:ascii="Arial" w:hAnsi="Arial" w:cs="Arial"/>
                <w:b/>
                <w:sz w:val="16"/>
                <w:szCs w:val="16"/>
              </w:rPr>
              <w:t>#16</w:t>
            </w:r>
            <w:r>
              <w:rPr>
                <w:rFonts w:ascii="Arial" w:hAnsi="Arial" w:cs="Arial"/>
                <w:b/>
                <w:sz w:val="16"/>
                <w:szCs w:val="16"/>
              </w:rPr>
              <w:t>)</w:t>
            </w:r>
          </w:p>
        </w:tc>
        <w:tc>
          <w:tcPr>
            <w:tcW w:w="0" w:type="auto"/>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494</w:t>
            </w:r>
          </w:p>
        </w:tc>
      </w:tr>
      <w:tr w:rsidR="00736CA1" w:rsidRPr="00835AC5" w:rsidTr="000B33FB">
        <w:trPr>
          <w:jc w:val="center"/>
        </w:trPr>
        <w:tc>
          <w:tcPr>
            <w:tcW w:w="3011" w:type="dxa"/>
            <w:tcBorders>
              <w:top w:val="single" w:sz="1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color w:val="00B050"/>
                <w:sz w:val="16"/>
                <w:szCs w:val="16"/>
              </w:rPr>
            </w:pPr>
            <w:r w:rsidRPr="00835AC5">
              <w:rPr>
                <w:rFonts w:ascii="Arial" w:hAnsi="Arial" w:cs="Arial"/>
                <w:sz w:val="16"/>
                <w:szCs w:val="16"/>
              </w:rPr>
              <w:t>OECD average</w:t>
            </w:r>
          </w:p>
        </w:tc>
        <w:tc>
          <w:tcPr>
            <w:tcW w:w="407" w:type="dxa"/>
            <w:tcBorders>
              <w:top w:val="single" w:sz="18" w:space="0" w:color="FFFFFF" w:themeColor="background1"/>
              <w:left w:val="single" w:sz="8" w:space="0" w:color="FFFFFF" w:themeColor="background1"/>
              <w:bottom w:val="single" w:sz="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493</w:t>
            </w:r>
          </w:p>
        </w:tc>
        <w:tc>
          <w:tcPr>
            <w:tcW w:w="2957" w:type="dxa"/>
            <w:tcBorders>
              <w:top w:val="single" w:sz="18" w:space="0" w:color="FFFFFF" w:themeColor="background1"/>
              <w:left w:val="single" w:sz="18" w:space="0" w:color="FFFFFF" w:themeColor="background1"/>
              <w:bottom w:val="single" w:sz="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color w:val="00B050"/>
                <w:sz w:val="16"/>
                <w:szCs w:val="16"/>
              </w:rPr>
            </w:pPr>
            <w:r w:rsidRPr="00835AC5">
              <w:rPr>
                <w:rFonts w:ascii="Arial" w:hAnsi="Arial" w:cs="Arial"/>
                <w:sz w:val="16"/>
                <w:szCs w:val="16"/>
              </w:rPr>
              <w:t>OECD average</w:t>
            </w:r>
          </w:p>
        </w:tc>
        <w:tc>
          <w:tcPr>
            <w:tcW w:w="483" w:type="dxa"/>
            <w:tcBorders>
              <w:top w:val="single" w:sz="18" w:space="0" w:color="FFFFFF" w:themeColor="background1"/>
              <w:left w:val="single" w:sz="8" w:space="0" w:color="FFFFFF" w:themeColor="background1"/>
              <w:bottom w:val="single" w:sz="8" w:space="0" w:color="FFFFFF" w:themeColor="background1"/>
              <w:right w:val="single" w:sz="1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493</w:t>
            </w:r>
          </w:p>
        </w:tc>
        <w:tc>
          <w:tcPr>
            <w:tcW w:w="2989" w:type="dxa"/>
            <w:tcBorders>
              <w:top w:val="single" w:sz="18" w:space="0" w:color="FFFFFF" w:themeColor="background1"/>
              <w:left w:val="single" w:sz="18" w:space="0" w:color="FFFFFF" w:themeColor="background1"/>
              <w:bottom w:val="single" w:sz="8" w:space="0" w:color="FFFFFF" w:themeColor="background1"/>
              <w:right w:val="single" w:sz="8" w:space="0" w:color="FFFFFF" w:themeColor="background1"/>
            </w:tcBorders>
            <w:shd w:val="clear" w:color="auto" w:fill="EDEFF5"/>
          </w:tcPr>
          <w:p w:rsidR="00253477" w:rsidRPr="00835AC5" w:rsidRDefault="00253477" w:rsidP="000B33FB">
            <w:pPr>
              <w:spacing w:before="80" w:after="80"/>
              <w:rPr>
                <w:rFonts w:ascii="Arial" w:hAnsi="Arial" w:cs="Arial"/>
                <w:color w:val="00B050"/>
                <w:sz w:val="16"/>
                <w:szCs w:val="16"/>
              </w:rPr>
            </w:pPr>
            <w:r w:rsidRPr="00835AC5">
              <w:rPr>
                <w:rFonts w:ascii="Arial" w:hAnsi="Arial" w:cs="Arial"/>
                <w:sz w:val="16"/>
                <w:szCs w:val="16"/>
              </w:rPr>
              <w:t>OECD average</w:t>
            </w:r>
          </w:p>
        </w:tc>
        <w:tc>
          <w:tcPr>
            <w:tcW w:w="0" w:type="auto"/>
            <w:tcBorders>
              <w:top w:val="single" w:sz="1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FF5"/>
          </w:tcPr>
          <w:p w:rsidR="00253477" w:rsidRPr="00835AC5" w:rsidRDefault="00253477" w:rsidP="000B33FB">
            <w:pPr>
              <w:spacing w:before="80" w:after="80"/>
              <w:jc w:val="center"/>
              <w:rPr>
                <w:rFonts w:ascii="Arial" w:hAnsi="Arial" w:cs="Arial"/>
                <w:sz w:val="16"/>
                <w:szCs w:val="16"/>
              </w:rPr>
            </w:pPr>
            <w:r w:rsidRPr="00835AC5">
              <w:rPr>
                <w:rFonts w:ascii="Arial" w:hAnsi="Arial" w:cs="Arial"/>
                <w:sz w:val="16"/>
                <w:szCs w:val="16"/>
              </w:rPr>
              <w:t>493</w:t>
            </w:r>
          </w:p>
        </w:tc>
      </w:tr>
    </w:tbl>
    <w:p w:rsidR="00253477" w:rsidRDefault="00253477" w:rsidP="00253477">
      <w:pPr>
        <w:pStyle w:val="Default"/>
        <w:spacing w:after="160" w:line="280" w:lineRule="exact"/>
        <w:rPr>
          <w:rFonts w:ascii="Arial" w:hAnsi="Arial" w:cs="Arial"/>
          <w:sz w:val="22"/>
          <w:szCs w:val="22"/>
          <w:vertAlign w:val="superscript"/>
        </w:rPr>
      </w:pPr>
    </w:p>
    <w:p w:rsidR="00A83F63" w:rsidRDefault="00A83F63" w:rsidP="007D13E2">
      <w:pPr>
        <w:pStyle w:val="Default"/>
        <w:spacing w:after="80" w:line="280" w:lineRule="exact"/>
        <w:rPr>
          <w:rFonts w:ascii="Arial" w:hAnsi="Arial" w:cs="Arial"/>
          <w:sz w:val="22"/>
          <w:szCs w:val="22"/>
        </w:rPr>
      </w:pPr>
    </w:p>
    <w:p w:rsidR="007D13E2" w:rsidRDefault="007D13E2" w:rsidP="007D13E2">
      <w:pPr>
        <w:pStyle w:val="Default"/>
        <w:spacing w:after="80" w:line="280" w:lineRule="exact"/>
        <w:rPr>
          <w:rFonts w:ascii="Arial" w:hAnsi="Arial" w:cs="Arial"/>
          <w:sz w:val="22"/>
          <w:szCs w:val="22"/>
        </w:rPr>
      </w:pPr>
    </w:p>
    <w:p w:rsidR="007D13E2" w:rsidRDefault="007D13E2" w:rsidP="00BA7314">
      <w:pPr>
        <w:pStyle w:val="Default"/>
        <w:spacing w:line="280" w:lineRule="exact"/>
        <w:ind w:left="357"/>
        <w:rPr>
          <w:rFonts w:ascii="Arial" w:hAnsi="Arial" w:cs="Arial"/>
          <w:sz w:val="22"/>
          <w:szCs w:val="22"/>
        </w:rPr>
      </w:pPr>
    </w:p>
    <w:p w:rsidR="00EE056F" w:rsidRDefault="00EE056F" w:rsidP="00BA7314">
      <w:pPr>
        <w:pStyle w:val="Default"/>
        <w:spacing w:line="280" w:lineRule="exact"/>
        <w:ind w:left="357"/>
        <w:rPr>
          <w:rFonts w:ascii="Arial" w:hAnsi="Arial" w:cs="Arial"/>
          <w:sz w:val="22"/>
          <w:szCs w:val="22"/>
        </w:rPr>
      </w:pPr>
    </w:p>
    <w:p w:rsidR="00EE056F" w:rsidRDefault="00EE056F" w:rsidP="00BA7314">
      <w:pPr>
        <w:pStyle w:val="Default"/>
        <w:spacing w:line="280" w:lineRule="exact"/>
        <w:ind w:left="357"/>
        <w:rPr>
          <w:rFonts w:ascii="Arial" w:hAnsi="Arial" w:cs="Arial"/>
          <w:sz w:val="22"/>
          <w:szCs w:val="22"/>
        </w:rPr>
      </w:pPr>
    </w:p>
    <w:p w:rsidR="00EE056F" w:rsidRPr="007D13E2" w:rsidRDefault="00EE056F" w:rsidP="00BA7314">
      <w:pPr>
        <w:pStyle w:val="Default"/>
        <w:spacing w:line="280" w:lineRule="exact"/>
        <w:ind w:left="357"/>
        <w:rPr>
          <w:rFonts w:ascii="Arial" w:hAnsi="Arial" w:cs="Arial"/>
          <w:sz w:val="22"/>
          <w:szCs w:val="22"/>
        </w:rPr>
      </w:pPr>
    </w:p>
    <w:p w:rsidR="00D33E83" w:rsidRPr="004C610F" w:rsidRDefault="00D33E83" w:rsidP="00D33E83">
      <w:pPr>
        <w:pStyle w:val="Default"/>
        <w:spacing w:after="200" w:line="280" w:lineRule="exact"/>
        <w:rPr>
          <w:rFonts w:ascii="Arial" w:hAnsi="Arial" w:cs="Arial"/>
          <w:b/>
          <w:color w:val="3F2B71"/>
        </w:rPr>
      </w:pPr>
      <w:r w:rsidRPr="004C610F">
        <w:rPr>
          <w:rFonts w:ascii="Arial" w:hAnsi="Arial" w:cs="Arial"/>
          <w:b/>
          <w:color w:val="3F2B71"/>
        </w:rPr>
        <w:t>3</w:t>
      </w:r>
      <w:r w:rsidRPr="004C610F">
        <w:rPr>
          <w:rFonts w:ascii="Arial" w:hAnsi="Arial" w:cs="Arial"/>
          <w:b/>
        </w:rPr>
        <w:t xml:space="preserve"> </w:t>
      </w:r>
      <w:r w:rsidRPr="004C610F">
        <w:rPr>
          <w:rFonts w:ascii="Arial" w:hAnsi="Arial" w:cs="Arial"/>
          <w:b/>
          <w:color w:val="B99D57"/>
        </w:rPr>
        <w:t>|</w:t>
      </w:r>
      <w:r w:rsidRPr="004C610F">
        <w:rPr>
          <w:rFonts w:ascii="Arial" w:hAnsi="Arial" w:cs="Arial"/>
          <w:b/>
        </w:rPr>
        <w:t xml:space="preserve"> </w:t>
      </w:r>
      <w:r w:rsidRPr="004C610F">
        <w:rPr>
          <w:rFonts w:ascii="Arial" w:hAnsi="Arial" w:cs="Arial"/>
          <w:b/>
          <w:color w:val="3F2B71"/>
        </w:rPr>
        <w:t>Progressing Australian education</w:t>
      </w:r>
    </w:p>
    <w:p w:rsidR="00D33E83" w:rsidRPr="00677DA9" w:rsidRDefault="00D33E83" w:rsidP="007752D0">
      <w:pPr>
        <w:spacing w:after="240" w:line="280" w:lineRule="exact"/>
        <w:rPr>
          <w:rFonts w:ascii="Arial" w:hAnsi="Arial" w:cs="Arial"/>
          <w:color w:val="000000"/>
          <w:lang w:eastAsia="en-AU"/>
        </w:rPr>
      </w:pPr>
      <w:r>
        <w:rPr>
          <w:rFonts w:ascii="Arial" w:hAnsi="Arial" w:cs="Arial"/>
          <w:color w:val="000000"/>
          <w:sz w:val="22"/>
          <w:szCs w:val="22"/>
          <w:lang w:eastAsia="en-AU"/>
        </w:rPr>
        <w:t xml:space="preserve">     </w:t>
      </w:r>
      <w:r w:rsidR="00677DA9" w:rsidRPr="00677DA9">
        <w:rPr>
          <w:rFonts w:ascii="Arial" w:hAnsi="Arial" w:cs="Arial"/>
          <w:b/>
          <w:color w:val="B99D57"/>
          <w:lang w:eastAsia="en-AU"/>
        </w:rPr>
        <w:t>3</w:t>
      </w:r>
      <w:r w:rsidR="006C2852">
        <w:rPr>
          <w:rFonts w:ascii="Arial" w:hAnsi="Arial" w:cs="Arial"/>
          <w:color w:val="000000"/>
          <w:lang w:eastAsia="en-AU"/>
        </w:rPr>
        <w:t>-</w:t>
      </w:r>
      <w:r w:rsidRPr="00677DA9">
        <w:rPr>
          <w:rFonts w:ascii="Arial" w:hAnsi="Arial" w:cs="Arial"/>
          <w:b/>
          <w:color w:val="B99D57"/>
          <w:lang w:eastAsia="en-AU"/>
        </w:rPr>
        <w:t>A</w:t>
      </w:r>
      <w:r w:rsidRPr="00677DA9">
        <w:rPr>
          <w:rFonts w:ascii="Arial" w:hAnsi="Arial" w:cs="Arial"/>
          <w:color w:val="000000"/>
          <w:lang w:eastAsia="en-AU"/>
        </w:rPr>
        <w:t xml:space="preserve"> </w:t>
      </w:r>
      <w:r w:rsidR="00677DA9" w:rsidRPr="00677DA9">
        <w:rPr>
          <w:rFonts w:ascii="Arial" w:hAnsi="Arial" w:cs="Arial"/>
          <w:b/>
          <w:color w:val="B99D57"/>
        </w:rPr>
        <w:t>|</w:t>
      </w:r>
      <w:r w:rsidRPr="00677DA9">
        <w:rPr>
          <w:rFonts w:ascii="Arial" w:hAnsi="Arial" w:cs="Arial"/>
          <w:color w:val="000000"/>
          <w:lang w:eastAsia="en-AU"/>
        </w:rPr>
        <w:t xml:space="preserve"> </w:t>
      </w:r>
      <w:r w:rsidRPr="00677DA9">
        <w:rPr>
          <w:rFonts w:ascii="Arial" w:hAnsi="Arial" w:cs="Arial"/>
          <w:color w:val="002060"/>
          <w:lang w:eastAsia="en-AU"/>
        </w:rPr>
        <w:t xml:space="preserve">HELPING TO CLOSE THE </w:t>
      </w:r>
      <w:r w:rsidR="004342E3" w:rsidRPr="00677DA9">
        <w:rPr>
          <w:rFonts w:ascii="Arial" w:hAnsi="Arial" w:cs="Arial"/>
          <w:color w:val="002060"/>
          <w:lang w:eastAsia="en-AU"/>
        </w:rPr>
        <w:t xml:space="preserve">ACHIEVEMENT </w:t>
      </w:r>
      <w:r w:rsidRPr="00677DA9">
        <w:rPr>
          <w:rFonts w:ascii="Arial" w:hAnsi="Arial" w:cs="Arial"/>
          <w:color w:val="002060"/>
          <w:lang w:eastAsia="en-AU"/>
        </w:rPr>
        <w:t>GAP FOR INDIGENOUS STUDENTS</w:t>
      </w:r>
    </w:p>
    <w:p w:rsidR="008F2F48" w:rsidRDefault="007752D0" w:rsidP="008A73A1">
      <w:pPr>
        <w:autoSpaceDE w:val="0"/>
        <w:autoSpaceDN w:val="0"/>
        <w:adjustRightInd w:val="0"/>
        <w:spacing w:after="160" w:line="280" w:lineRule="exact"/>
        <w:ind w:right="567"/>
        <w:rPr>
          <w:rFonts w:ascii="Arial" w:hAnsi="Arial" w:cs="Arial"/>
          <w:sz w:val="22"/>
          <w:szCs w:val="22"/>
          <w:lang w:val="en-US"/>
        </w:rPr>
      </w:pPr>
      <w:r>
        <w:rPr>
          <w:rFonts w:ascii="Arial" w:hAnsi="Arial" w:cs="Arial"/>
          <w:color w:val="000000"/>
          <w:sz w:val="22"/>
          <w:szCs w:val="22"/>
          <w:lang w:eastAsia="en-AU"/>
        </w:rPr>
        <w:t xml:space="preserve">While </w:t>
      </w:r>
      <w:r w:rsidRPr="008F2F48">
        <w:rPr>
          <w:rFonts w:ascii="Arial" w:hAnsi="Arial" w:cs="Arial"/>
          <w:color w:val="000000"/>
          <w:sz w:val="22"/>
          <w:szCs w:val="22"/>
          <w:lang w:eastAsia="en-AU"/>
        </w:rPr>
        <w:t xml:space="preserve">the NAPLAN 2016 </w:t>
      </w:r>
      <w:r w:rsidR="0097169F" w:rsidRPr="008F2F48">
        <w:rPr>
          <w:rFonts w:ascii="Arial" w:hAnsi="Arial" w:cs="Arial"/>
          <w:color w:val="000000"/>
          <w:sz w:val="22"/>
          <w:szCs w:val="22"/>
          <w:lang w:eastAsia="en-AU"/>
        </w:rPr>
        <w:t xml:space="preserve">National </w:t>
      </w:r>
      <w:r w:rsidRPr="008F2F48">
        <w:rPr>
          <w:rFonts w:ascii="Arial" w:hAnsi="Arial" w:cs="Arial"/>
          <w:color w:val="000000"/>
          <w:sz w:val="22"/>
          <w:szCs w:val="22"/>
          <w:lang w:eastAsia="en-AU"/>
        </w:rPr>
        <w:t>Report</w:t>
      </w:r>
      <w:r w:rsidR="00E8325A" w:rsidRPr="008F2F48">
        <w:rPr>
          <w:rFonts w:ascii="Arial" w:hAnsi="Arial" w:cs="Arial"/>
          <w:sz w:val="22"/>
          <w:szCs w:val="22"/>
          <w:vertAlign w:val="superscript"/>
          <w:lang w:val="en-US"/>
        </w:rPr>
        <w:t>8</w:t>
      </w:r>
      <w:r w:rsidRPr="008F2F48">
        <w:rPr>
          <w:rFonts w:ascii="Arial" w:hAnsi="Arial" w:cs="Arial"/>
          <w:sz w:val="22"/>
          <w:szCs w:val="22"/>
          <w:lang w:val="en-US"/>
        </w:rPr>
        <w:t xml:space="preserve"> shows overall gains for Indigenous students in reading and numeracy for Years 3 and 5, the achievement gap between Indigenous and non-Indigenous Australian students still remains, and is especially concerning for students in remote and very remote regions. </w:t>
      </w:r>
      <w:r w:rsidR="000D3D6C">
        <w:rPr>
          <w:rFonts w:ascii="Arial" w:hAnsi="Arial" w:cs="Arial"/>
          <w:color w:val="000000"/>
          <w:sz w:val="22"/>
          <w:szCs w:val="22"/>
          <w:lang w:eastAsia="en-AU"/>
        </w:rPr>
        <w:t>The academic achievement of Indigenous students declines the further students live from major cities.</w:t>
      </w:r>
      <w:r w:rsidR="000D3D6C" w:rsidRPr="008F2F48">
        <w:rPr>
          <w:rFonts w:ascii="Arial" w:hAnsi="Arial" w:cs="Arial"/>
          <w:sz w:val="22"/>
          <w:szCs w:val="22"/>
          <w:lang w:val="en-US"/>
        </w:rPr>
        <w:t xml:space="preserve"> </w:t>
      </w:r>
      <w:r w:rsidR="00896F51" w:rsidRPr="008F2F48">
        <w:rPr>
          <w:rFonts w:ascii="Arial" w:hAnsi="Arial" w:cs="Arial"/>
          <w:sz w:val="22"/>
          <w:szCs w:val="22"/>
          <w:lang w:val="en-US"/>
        </w:rPr>
        <w:t xml:space="preserve">(A table comparing percentages of non-Indigenous and Indigenous students reaching the national minimum standard in Years 3, 5, 7 and 9 in the three domains of reading, writing and numeracy is included </w:t>
      </w:r>
      <w:r w:rsidR="008F2F48">
        <w:rPr>
          <w:rFonts w:ascii="Arial" w:hAnsi="Arial" w:cs="Arial"/>
          <w:sz w:val="22"/>
          <w:szCs w:val="22"/>
          <w:lang w:val="en-US"/>
        </w:rPr>
        <w:t>as an appendix</w:t>
      </w:r>
      <w:r w:rsidR="00326854">
        <w:rPr>
          <w:rFonts w:ascii="Arial" w:hAnsi="Arial" w:cs="Arial"/>
          <w:sz w:val="22"/>
          <w:szCs w:val="22"/>
          <w:lang w:val="en-US"/>
        </w:rPr>
        <w:t xml:space="preserve"> to this submission</w:t>
      </w:r>
      <w:r w:rsidR="008F2F48">
        <w:rPr>
          <w:rFonts w:ascii="Arial" w:hAnsi="Arial" w:cs="Arial"/>
          <w:sz w:val="22"/>
          <w:szCs w:val="22"/>
          <w:lang w:val="en-US"/>
        </w:rPr>
        <w:t>.)</w:t>
      </w:r>
    </w:p>
    <w:p w:rsidR="007752D0" w:rsidRDefault="003D0FAE" w:rsidP="000E512E">
      <w:pPr>
        <w:autoSpaceDE w:val="0"/>
        <w:autoSpaceDN w:val="0"/>
        <w:adjustRightInd w:val="0"/>
        <w:spacing w:after="120" w:line="280" w:lineRule="exact"/>
        <w:ind w:right="567"/>
        <w:rPr>
          <w:rFonts w:ascii="Arial" w:hAnsi="Arial" w:cs="Arial"/>
          <w:sz w:val="22"/>
          <w:szCs w:val="22"/>
          <w:lang w:val="en-US"/>
        </w:rPr>
      </w:pPr>
      <w:r>
        <w:rPr>
          <w:noProof/>
          <w:lang w:eastAsia="en-AU"/>
        </w:rPr>
        <w:drawing>
          <wp:anchor distT="0" distB="0" distL="114300" distR="114300" simplePos="0" relativeHeight="251661312" behindDoc="0" locked="0" layoutInCell="1" allowOverlap="1" wp14:anchorId="283B6507" wp14:editId="099F755E">
            <wp:simplePos x="0" y="0"/>
            <wp:positionH relativeFrom="column">
              <wp:posOffset>360045</wp:posOffset>
            </wp:positionH>
            <wp:positionV relativeFrom="paragraph">
              <wp:posOffset>890905</wp:posOffset>
            </wp:positionV>
            <wp:extent cx="5349240" cy="2792730"/>
            <wp:effectExtent l="0" t="0" r="22860" b="2667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7752D0" w:rsidRPr="008F2F48">
        <w:rPr>
          <w:rFonts w:ascii="Arial" w:hAnsi="Arial" w:cs="Arial"/>
          <w:sz w:val="22"/>
          <w:szCs w:val="22"/>
          <w:lang w:val="en-US"/>
        </w:rPr>
        <w:t>Even in major metropolitan areas, where the achievement gap is narrowest, nearly 40 per cent of Year 9 Indigenous students are failing to meet the national minimum standard in writing.</w:t>
      </w:r>
      <w:r w:rsidR="00C90B78">
        <w:rPr>
          <w:rFonts w:ascii="Arial" w:hAnsi="Arial" w:cs="Arial"/>
          <w:sz w:val="22"/>
          <w:szCs w:val="22"/>
          <w:lang w:val="en-US"/>
        </w:rPr>
        <w:t xml:space="preserve"> Just over 80 per cent of Year 9 Indigenous students in very remote regions are failing to meet the national minimum standard in writing.</w:t>
      </w:r>
    </w:p>
    <w:p w:rsidR="00C90B78" w:rsidRPr="008F2F48" w:rsidRDefault="00C90B78" w:rsidP="000E512E">
      <w:pPr>
        <w:autoSpaceDE w:val="0"/>
        <w:autoSpaceDN w:val="0"/>
        <w:adjustRightInd w:val="0"/>
        <w:spacing w:after="120" w:line="300" w:lineRule="exact"/>
        <w:ind w:right="567"/>
        <w:rPr>
          <w:rFonts w:ascii="Arial" w:hAnsi="Arial" w:cs="Arial"/>
          <w:sz w:val="22"/>
          <w:szCs w:val="22"/>
          <w:lang w:val="en-US"/>
        </w:rPr>
      </w:pPr>
    </w:p>
    <w:p w:rsidR="00ED372A" w:rsidRDefault="000D3D6C" w:rsidP="00ED372A">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I</w:t>
      </w:r>
      <w:r w:rsidR="00FB6027">
        <w:rPr>
          <w:rFonts w:ascii="Arial" w:hAnsi="Arial" w:cs="Arial"/>
          <w:color w:val="000000"/>
          <w:sz w:val="22"/>
          <w:szCs w:val="22"/>
          <w:lang w:eastAsia="en-AU"/>
        </w:rPr>
        <w:t xml:space="preserve">n its </w:t>
      </w:r>
      <w:r w:rsidR="00FB6027" w:rsidRPr="00FB6027">
        <w:rPr>
          <w:rFonts w:ascii="Arial" w:hAnsi="Arial" w:cs="Arial"/>
          <w:i/>
          <w:color w:val="000000"/>
          <w:sz w:val="22"/>
          <w:szCs w:val="22"/>
          <w:lang w:eastAsia="en-AU"/>
        </w:rPr>
        <w:t>Overcoming Indigenous disadvantage: Key indicators 2016</w:t>
      </w:r>
      <w:r w:rsidR="00FB6027" w:rsidRPr="00FB6027">
        <w:rPr>
          <w:rFonts w:ascii="Arial" w:hAnsi="Arial" w:cs="Arial"/>
          <w:color w:val="000000"/>
          <w:sz w:val="22"/>
          <w:szCs w:val="22"/>
          <w:lang w:eastAsia="en-AU"/>
        </w:rPr>
        <w:t xml:space="preserve"> report</w:t>
      </w:r>
      <w:r w:rsidR="00FB6027" w:rsidRPr="000E497C">
        <w:rPr>
          <w:rFonts w:ascii="Arial" w:hAnsi="Arial" w:cs="Arial"/>
          <w:color w:val="000000"/>
          <w:sz w:val="22"/>
          <w:szCs w:val="22"/>
          <w:vertAlign w:val="superscript"/>
          <w:lang w:eastAsia="en-AU"/>
        </w:rPr>
        <w:t>9</w:t>
      </w:r>
      <w:r w:rsidR="00FB6027" w:rsidRPr="00FB6027">
        <w:rPr>
          <w:rFonts w:ascii="Arial" w:hAnsi="Arial" w:cs="Arial"/>
          <w:color w:val="000000"/>
          <w:sz w:val="22"/>
          <w:szCs w:val="22"/>
          <w:lang w:eastAsia="en-AU"/>
        </w:rPr>
        <w:t>, t</w:t>
      </w:r>
      <w:r w:rsidR="008F2F48">
        <w:rPr>
          <w:rFonts w:ascii="Arial" w:hAnsi="Arial" w:cs="Arial"/>
          <w:color w:val="000000"/>
          <w:sz w:val="22"/>
          <w:szCs w:val="22"/>
          <w:lang w:eastAsia="en-AU"/>
        </w:rPr>
        <w:t xml:space="preserve">he Productivity Commission </w:t>
      </w:r>
      <w:r w:rsidR="00FB6027">
        <w:rPr>
          <w:rFonts w:ascii="Arial" w:hAnsi="Arial" w:cs="Arial"/>
          <w:color w:val="000000"/>
          <w:sz w:val="22"/>
          <w:szCs w:val="22"/>
          <w:lang w:eastAsia="en-AU"/>
        </w:rPr>
        <w:t>note</w:t>
      </w:r>
      <w:r w:rsidR="008F2F48">
        <w:rPr>
          <w:rFonts w:ascii="Arial" w:hAnsi="Arial" w:cs="Arial"/>
          <w:color w:val="000000"/>
          <w:sz w:val="22"/>
          <w:szCs w:val="22"/>
          <w:lang w:eastAsia="en-AU"/>
        </w:rPr>
        <w:t>s that</w:t>
      </w:r>
      <w:r w:rsidR="00ED372A">
        <w:rPr>
          <w:rFonts w:ascii="Arial" w:hAnsi="Arial" w:cs="Arial"/>
          <w:color w:val="000000"/>
          <w:sz w:val="22"/>
          <w:szCs w:val="22"/>
          <w:lang w:eastAsia="en-AU"/>
        </w:rPr>
        <w:t>, nationally, school attendance rates for Indigenous students declined by 11.2 percentage points from Year 5 to Year 10. The decline was larger in government schools (12.6 percentage points) than in non-government schools (5.6 percentage points).</w:t>
      </w:r>
    </w:p>
    <w:p w:rsidR="00D33E83" w:rsidRDefault="00ED372A" w:rsidP="008A73A1">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The </w:t>
      </w:r>
      <w:r w:rsidRPr="00294CE0">
        <w:rPr>
          <w:rFonts w:ascii="Arial" w:hAnsi="Arial" w:cs="Arial"/>
          <w:i/>
          <w:color w:val="000000"/>
          <w:sz w:val="22"/>
          <w:szCs w:val="22"/>
          <w:lang w:eastAsia="en-AU"/>
        </w:rPr>
        <w:t>Key indicators 2016</w:t>
      </w:r>
      <w:r>
        <w:rPr>
          <w:rFonts w:ascii="Arial" w:hAnsi="Arial" w:cs="Arial"/>
          <w:color w:val="000000"/>
          <w:sz w:val="22"/>
          <w:szCs w:val="22"/>
          <w:lang w:eastAsia="en-AU"/>
        </w:rPr>
        <w:t xml:space="preserve"> report also notes that,</w:t>
      </w:r>
      <w:r w:rsidR="008F2F48">
        <w:rPr>
          <w:rFonts w:ascii="Arial" w:hAnsi="Arial" w:cs="Arial"/>
          <w:color w:val="000000"/>
          <w:sz w:val="22"/>
          <w:szCs w:val="22"/>
          <w:lang w:eastAsia="en-AU"/>
        </w:rPr>
        <w:t xml:space="preserve"> </w:t>
      </w:r>
      <w:r w:rsidR="004F2B3B" w:rsidRPr="004F2B3B">
        <w:rPr>
          <w:rFonts w:ascii="Arial" w:hAnsi="Arial" w:cs="Arial"/>
          <w:color w:val="000000"/>
          <w:sz w:val="22"/>
          <w:szCs w:val="22"/>
          <w:lang w:eastAsia="en-AU"/>
        </w:rPr>
        <w:t>in</w:t>
      </w:r>
      <w:r w:rsidR="008F2F48" w:rsidRPr="004F2B3B">
        <w:rPr>
          <w:rFonts w:ascii="Arial" w:hAnsi="Arial" w:cs="Arial"/>
          <w:color w:val="000000"/>
          <w:sz w:val="22"/>
          <w:szCs w:val="22"/>
          <w:lang w:eastAsia="en-AU"/>
        </w:rPr>
        <w:t xml:space="preserve"> 2015, 8.5 per cent of the Aboriginal and Torres Strait Islander potential </w:t>
      </w:r>
      <w:r w:rsidR="004F2B3B">
        <w:rPr>
          <w:rFonts w:ascii="Arial" w:hAnsi="Arial" w:cs="Arial"/>
          <w:color w:val="000000"/>
          <w:sz w:val="22"/>
          <w:szCs w:val="22"/>
          <w:lang w:eastAsia="en-AU"/>
        </w:rPr>
        <w:t>Y</w:t>
      </w:r>
      <w:r w:rsidR="008F2F48" w:rsidRPr="004F2B3B">
        <w:rPr>
          <w:rFonts w:ascii="Arial" w:hAnsi="Arial" w:cs="Arial"/>
          <w:color w:val="000000"/>
          <w:sz w:val="22"/>
          <w:szCs w:val="22"/>
          <w:lang w:eastAsia="en-AU"/>
        </w:rPr>
        <w:t>ear 12 population achieved an ATAR of 50.00 or above</w:t>
      </w:r>
      <w:r w:rsidR="003D0FAE">
        <w:rPr>
          <w:rFonts w:ascii="Arial" w:hAnsi="Arial" w:cs="Arial"/>
          <w:color w:val="000000"/>
          <w:sz w:val="22"/>
          <w:szCs w:val="22"/>
          <w:lang w:eastAsia="en-AU"/>
        </w:rPr>
        <w:t xml:space="preserve"> (the highest possible ATAR score is 99.95)</w:t>
      </w:r>
      <w:r w:rsidR="004F2B3B">
        <w:rPr>
          <w:rFonts w:ascii="Arial" w:hAnsi="Arial" w:cs="Arial"/>
          <w:color w:val="000000"/>
          <w:sz w:val="22"/>
          <w:szCs w:val="22"/>
          <w:lang w:eastAsia="en-AU"/>
        </w:rPr>
        <w:t>. While this represents a significant</w:t>
      </w:r>
      <w:r w:rsidR="008F2F48" w:rsidRPr="004F2B3B">
        <w:rPr>
          <w:rFonts w:ascii="Arial" w:hAnsi="Arial" w:cs="Arial"/>
          <w:color w:val="000000"/>
          <w:sz w:val="22"/>
          <w:szCs w:val="22"/>
          <w:lang w:eastAsia="en-AU"/>
        </w:rPr>
        <w:t xml:space="preserve"> increase </w:t>
      </w:r>
      <w:r w:rsidR="004F2B3B">
        <w:rPr>
          <w:rFonts w:ascii="Arial" w:hAnsi="Arial" w:cs="Arial"/>
          <w:color w:val="000000"/>
          <w:sz w:val="22"/>
          <w:szCs w:val="22"/>
          <w:lang w:eastAsia="en-AU"/>
        </w:rPr>
        <w:t>on the</w:t>
      </w:r>
      <w:r w:rsidR="008F2F48" w:rsidRPr="004F2B3B">
        <w:rPr>
          <w:rFonts w:ascii="Arial" w:hAnsi="Arial" w:cs="Arial"/>
          <w:color w:val="000000"/>
          <w:sz w:val="22"/>
          <w:szCs w:val="22"/>
          <w:lang w:eastAsia="en-AU"/>
        </w:rPr>
        <w:t xml:space="preserve"> 5.7 per cent </w:t>
      </w:r>
      <w:r w:rsidR="003D0FAE">
        <w:rPr>
          <w:rFonts w:ascii="Arial" w:hAnsi="Arial" w:cs="Arial"/>
          <w:color w:val="000000"/>
          <w:sz w:val="22"/>
          <w:szCs w:val="22"/>
          <w:lang w:eastAsia="en-AU"/>
        </w:rPr>
        <w:t xml:space="preserve">of potential </w:t>
      </w:r>
      <w:r w:rsidR="00294CE0" w:rsidRPr="004F2B3B">
        <w:rPr>
          <w:rFonts w:ascii="Arial" w:hAnsi="Arial" w:cs="Arial"/>
          <w:color w:val="000000"/>
          <w:sz w:val="22"/>
          <w:szCs w:val="22"/>
          <w:lang w:eastAsia="en-AU"/>
        </w:rPr>
        <w:t>Aboriginal and Torres Strait Islander</w:t>
      </w:r>
      <w:r w:rsidR="003D0FAE">
        <w:rPr>
          <w:rFonts w:ascii="Arial" w:hAnsi="Arial" w:cs="Arial"/>
          <w:color w:val="000000"/>
          <w:sz w:val="22"/>
          <w:szCs w:val="22"/>
          <w:lang w:eastAsia="en-AU"/>
        </w:rPr>
        <w:t xml:space="preserve"> students </w:t>
      </w:r>
      <w:r w:rsidR="004F2B3B">
        <w:rPr>
          <w:rFonts w:ascii="Arial" w:hAnsi="Arial" w:cs="Arial"/>
          <w:color w:val="000000"/>
          <w:sz w:val="22"/>
          <w:szCs w:val="22"/>
          <w:lang w:eastAsia="en-AU"/>
        </w:rPr>
        <w:t>achieving an ATAR of 50.00 or above</w:t>
      </w:r>
      <w:r w:rsidR="003D0FAE">
        <w:rPr>
          <w:rFonts w:ascii="Arial" w:hAnsi="Arial" w:cs="Arial"/>
          <w:color w:val="000000"/>
          <w:sz w:val="22"/>
          <w:szCs w:val="22"/>
          <w:lang w:eastAsia="en-AU"/>
        </w:rPr>
        <w:t xml:space="preserve"> </w:t>
      </w:r>
      <w:r w:rsidR="008F2F48" w:rsidRPr="004F2B3B">
        <w:rPr>
          <w:rFonts w:ascii="Arial" w:hAnsi="Arial" w:cs="Arial"/>
          <w:color w:val="000000"/>
          <w:sz w:val="22"/>
          <w:szCs w:val="22"/>
          <w:lang w:eastAsia="en-AU"/>
        </w:rPr>
        <w:t>in 2007</w:t>
      </w:r>
      <w:r w:rsidR="004F2B3B">
        <w:rPr>
          <w:rFonts w:ascii="Arial" w:hAnsi="Arial" w:cs="Arial"/>
          <w:color w:val="000000"/>
          <w:sz w:val="22"/>
          <w:szCs w:val="22"/>
          <w:lang w:eastAsia="en-AU"/>
        </w:rPr>
        <w:t>, it is still well below the proportion of</w:t>
      </w:r>
      <w:r w:rsidR="008F2F48" w:rsidRPr="004F2B3B">
        <w:rPr>
          <w:rFonts w:ascii="Arial" w:hAnsi="Arial" w:cs="Arial"/>
          <w:color w:val="000000"/>
          <w:sz w:val="22"/>
          <w:szCs w:val="22"/>
          <w:lang w:eastAsia="en-AU"/>
        </w:rPr>
        <w:t xml:space="preserve"> </w:t>
      </w:r>
      <w:r w:rsidR="004F2B3B">
        <w:rPr>
          <w:rFonts w:ascii="Arial" w:hAnsi="Arial" w:cs="Arial"/>
          <w:color w:val="000000"/>
          <w:sz w:val="22"/>
          <w:szCs w:val="22"/>
          <w:lang w:eastAsia="en-AU"/>
        </w:rPr>
        <w:t xml:space="preserve">43.8 per cent of potential </w:t>
      </w:r>
      <w:r w:rsidR="008F2F48" w:rsidRPr="004F2B3B">
        <w:rPr>
          <w:rFonts w:ascii="Arial" w:hAnsi="Arial" w:cs="Arial"/>
          <w:color w:val="000000"/>
          <w:sz w:val="22"/>
          <w:szCs w:val="22"/>
          <w:lang w:eastAsia="en-AU"/>
        </w:rPr>
        <w:t xml:space="preserve">non-Indigenous </w:t>
      </w:r>
      <w:r w:rsidR="00294CE0">
        <w:rPr>
          <w:rFonts w:ascii="Arial" w:hAnsi="Arial" w:cs="Arial"/>
          <w:color w:val="000000"/>
          <w:sz w:val="22"/>
          <w:szCs w:val="22"/>
          <w:lang w:eastAsia="en-AU"/>
        </w:rPr>
        <w:t>students</w:t>
      </w:r>
      <w:r w:rsidR="004F2B3B">
        <w:rPr>
          <w:rFonts w:ascii="Arial" w:hAnsi="Arial" w:cs="Arial"/>
          <w:color w:val="000000"/>
          <w:sz w:val="22"/>
          <w:szCs w:val="22"/>
          <w:lang w:eastAsia="en-AU"/>
        </w:rPr>
        <w:t xml:space="preserve"> achieving</w:t>
      </w:r>
      <w:r w:rsidR="008F2F48" w:rsidRPr="004F2B3B">
        <w:rPr>
          <w:rFonts w:ascii="Arial" w:hAnsi="Arial" w:cs="Arial"/>
          <w:color w:val="000000"/>
          <w:sz w:val="22"/>
          <w:szCs w:val="22"/>
          <w:lang w:eastAsia="en-AU"/>
        </w:rPr>
        <w:t xml:space="preserve"> an ATAR of 50.00 or above in 2015</w:t>
      </w:r>
      <w:r w:rsidR="004F2B3B">
        <w:rPr>
          <w:rFonts w:ascii="Arial" w:hAnsi="Arial" w:cs="Arial"/>
          <w:color w:val="000000"/>
          <w:sz w:val="22"/>
          <w:szCs w:val="22"/>
          <w:lang w:eastAsia="en-AU"/>
        </w:rPr>
        <w:t>.</w:t>
      </w:r>
    </w:p>
    <w:p w:rsidR="002B46E8" w:rsidRPr="000E512E" w:rsidRDefault="003B426D" w:rsidP="000E512E">
      <w:pPr>
        <w:spacing w:after="80" w:line="280" w:lineRule="exact"/>
        <w:rPr>
          <w:rFonts w:ascii="Arial" w:hAnsi="Arial" w:cs="Arial"/>
          <w:b/>
          <w:color w:val="000000"/>
          <w:sz w:val="22"/>
          <w:szCs w:val="22"/>
          <w:lang w:eastAsia="en-AU"/>
        </w:rPr>
      </w:pPr>
      <w:r w:rsidRPr="003B426D">
        <w:rPr>
          <w:rFonts w:ascii="Arial" w:hAnsi="Arial" w:cs="Arial"/>
          <w:color w:val="000000"/>
          <w:sz w:val="22"/>
          <w:szCs w:val="22"/>
          <w:lang w:eastAsia="en-AU"/>
        </w:rPr>
        <w:t>In 2013, the apparent retention rate of full-time Aboriginal and Torres Strait Islander students from Years 7/8 to Year 12 was 55 per cent, compared with 83 per cent for other students.</w:t>
      </w:r>
      <w:r>
        <w:rPr>
          <w:rFonts w:ascii="Arial" w:hAnsi="Arial" w:cs="Arial"/>
          <w:color w:val="000000"/>
          <w:sz w:val="22"/>
          <w:szCs w:val="22"/>
          <w:vertAlign w:val="superscript"/>
          <w:lang w:eastAsia="en-AU"/>
        </w:rPr>
        <w:t>10</w:t>
      </w:r>
      <w:r w:rsidRPr="003B426D">
        <w:rPr>
          <w:rFonts w:ascii="Helvetica" w:hAnsi="Helvetica" w:cs="Helvetica"/>
          <w:color w:val="0C0C0C"/>
          <w:spacing w:val="6"/>
          <w:sz w:val="22"/>
          <w:szCs w:val="22"/>
          <w:shd w:val="clear" w:color="auto" w:fill="FFFFFF"/>
        </w:rPr>
        <w:t xml:space="preserve"> </w:t>
      </w:r>
    </w:p>
    <w:p w:rsidR="001D588E" w:rsidRPr="001D588E" w:rsidRDefault="001D588E" w:rsidP="001D588E">
      <w:pPr>
        <w:spacing w:after="120" w:line="280" w:lineRule="exact"/>
        <w:rPr>
          <w:rFonts w:ascii="Arial" w:hAnsi="Arial" w:cs="Arial"/>
          <w:b/>
          <w:i/>
          <w:color w:val="002060"/>
          <w:sz w:val="22"/>
          <w:szCs w:val="22"/>
          <w:lang w:eastAsia="en-AU"/>
        </w:rPr>
      </w:pPr>
      <w:r w:rsidRPr="001D588E">
        <w:rPr>
          <w:rFonts w:ascii="Arial" w:hAnsi="Arial" w:cs="Arial"/>
          <w:b/>
          <w:i/>
          <w:color w:val="002060"/>
          <w:sz w:val="22"/>
          <w:szCs w:val="22"/>
          <w:lang w:eastAsia="en-AU"/>
        </w:rPr>
        <w:t>Innovation for effective solutions</w:t>
      </w:r>
    </w:p>
    <w:p w:rsidR="001D588E" w:rsidRDefault="001D588E" w:rsidP="001D588E">
      <w:pPr>
        <w:spacing w:after="120" w:line="280" w:lineRule="exact"/>
        <w:rPr>
          <w:rFonts w:ascii="Arial" w:hAnsi="Arial" w:cs="Arial"/>
          <w:color w:val="000000"/>
          <w:sz w:val="22"/>
          <w:szCs w:val="22"/>
          <w:lang w:eastAsia="en-AU"/>
        </w:rPr>
      </w:pPr>
      <w:r>
        <w:rPr>
          <w:rFonts w:ascii="Arial" w:hAnsi="Arial" w:cs="Arial"/>
          <w:color w:val="000000"/>
          <w:sz w:val="22"/>
          <w:szCs w:val="22"/>
          <w:lang w:eastAsia="en-AU"/>
        </w:rPr>
        <w:t xml:space="preserve">In his speech to Parliament on the </w:t>
      </w:r>
      <w:r w:rsidRPr="001D588E">
        <w:rPr>
          <w:rFonts w:ascii="Arial" w:hAnsi="Arial" w:cs="Arial"/>
          <w:i/>
          <w:color w:val="000000"/>
          <w:sz w:val="22"/>
          <w:szCs w:val="22"/>
          <w:lang w:eastAsia="en-AU"/>
        </w:rPr>
        <w:t xml:space="preserve">2016 Closing the Gap </w:t>
      </w:r>
      <w:r>
        <w:rPr>
          <w:rFonts w:ascii="Arial" w:hAnsi="Arial" w:cs="Arial"/>
          <w:i/>
          <w:color w:val="000000"/>
          <w:sz w:val="22"/>
          <w:szCs w:val="22"/>
          <w:lang w:eastAsia="en-AU"/>
        </w:rPr>
        <w:t>r</w:t>
      </w:r>
      <w:r w:rsidRPr="001D588E">
        <w:rPr>
          <w:rFonts w:ascii="Arial" w:hAnsi="Arial" w:cs="Arial"/>
          <w:i/>
          <w:color w:val="000000"/>
          <w:sz w:val="22"/>
          <w:szCs w:val="22"/>
          <w:lang w:eastAsia="en-AU"/>
        </w:rPr>
        <w:t>eport</w:t>
      </w:r>
      <w:r w:rsidR="00FA3218" w:rsidRPr="001D588E">
        <w:rPr>
          <w:rFonts w:ascii="Arial" w:hAnsi="Arial" w:cs="Arial"/>
          <w:color w:val="000000"/>
          <w:sz w:val="22"/>
          <w:szCs w:val="22"/>
          <w:vertAlign w:val="superscript"/>
          <w:lang w:eastAsia="en-AU"/>
        </w:rPr>
        <w:t>1</w:t>
      </w:r>
      <w:r w:rsidR="00FA3218">
        <w:rPr>
          <w:rFonts w:ascii="Arial" w:hAnsi="Arial" w:cs="Arial"/>
          <w:color w:val="000000"/>
          <w:sz w:val="22"/>
          <w:szCs w:val="22"/>
          <w:vertAlign w:val="superscript"/>
          <w:lang w:eastAsia="en-AU"/>
        </w:rPr>
        <w:t>1</w:t>
      </w:r>
      <w:r>
        <w:rPr>
          <w:rFonts w:ascii="Arial" w:hAnsi="Arial" w:cs="Arial"/>
          <w:color w:val="000000"/>
          <w:sz w:val="22"/>
          <w:szCs w:val="22"/>
          <w:lang w:eastAsia="en-AU"/>
        </w:rPr>
        <w:t>, the Prime Minister, the Hon Malcolm Turnbull, affirmed:</w:t>
      </w:r>
    </w:p>
    <w:p w:rsidR="001D588E" w:rsidRPr="004342E3" w:rsidRDefault="001D588E" w:rsidP="000D3D6C">
      <w:pPr>
        <w:pStyle w:val="NormalWeb"/>
        <w:spacing w:before="0" w:beforeAutospacing="0" w:after="120" w:afterAutospacing="0" w:line="280" w:lineRule="exact"/>
        <w:ind w:left="720"/>
        <w:rPr>
          <w:rFonts w:ascii="Arial" w:hAnsi="Arial" w:cs="Arial"/>
          <w:color w:val="343434"/>
          <w:sz w:val="22"/>
          <w:szCs w:val="22"/>
        </w:rPr>
      </w:pPr>
      <w:r w:rsidRPr="004342E3">
        <w:rPr>
          <w:rFonts w:ascii="Arial" w:hAnsi="Arial" w:cs="Arial"/>
          <w:color w:val="343434"/>
          <w:sz w:val="22"/>
          <w:szCs w:val="22"/>
        </w:rPr>
        <w:t>We have to stay the course on key policy priorities: the transformative power of education, the fulfilment that comes from employment, the right of all people to be safe and free from family and domestic violence, especially women and children. While delivering on these priorities we must be innovative in creating effective solutions, in partnership with the community, to address those challenges.</w:t>
      </w:r>
    </w:p>
    <w:p w:rsidR="001D588E" w:rsidRPr="004342E3" w:rsidRDefault="001D588E" w:rsidP="000D3D6C">
      <w:pPr>
        <w:pStyle w:val="NormalWeb"/>
        <w:spacing w:before="0" w:beforeAutospacing="0" w:after="160" w:afterAutospacing="0" w:line="280" w:lineRule="exact"/>
        <w:ind w:left="720"/>
        <w:rPr>
          <w:rFonts w:ascii="Arial" w:hAnsi="Arial" w:cs="Arial"/>
          <w:color w:val="343434"/>
          <w:sz w:val="22"/>
          <w:szCs w:val="22"/>
        </w:rPr>
      </w:pPr>
      <w:r w:rsidRPr="004342E3">
        <w:rPr>
          <w:rFonts w:ascii="Arial" w:hAnsi="Arial" w:cs="Arial"/>
          <w:color w:val="343434"/>
          <w:sz w:val="22"/>
          <w:szCs w:val="22"/>
        </w:rPr>
        <w:t>We have to be agile, and we have to allow for new approaches – this will enable us to continue to build the evidence base where it doesn’t yet exist.</w:t>
      </w:r>
    </w:p>
    <w:p w:rsidR="00476F83" w:rsidRDefault="00B323FB" w:rsidP="00875026">
      <w:pPr>
        <w:spacing w:after="80" w:line="280" w:lineRule="exact"/>
        <w:rPr>
          <w:rFonts w:ascii="Arial" w:hAnsi="Arial" w:cs="Arial"/>
          <w:color w:val="000000"/>
          <w:sz w:val="22"/>
          <w:szCs w:val="22"/>
          <w:lang w:eastAsia="en-AU"/>
        </w:rPr>
      </w:pPr>
      <w:r w:rsidRPr="00B323FB">
        <w:rPr>
          <w:rFonts w:ascii="Arial" w:hAnsi="Arial" w:cs="Arial"/>
          <w:color w:val="000000"/>
          <w:sz w:val="22"/>
          <w:szCs w:val="22"/>
          <w:lang w:eastAsia="en-AU"/>
        </w:rPr>
        <w:t xml:space="preserve">In </w:t>
      </w:r>
      <w:r w:rsidR="00FC7B73" w:rsidRPr="00B323FB">
        <w:rPr>
          <w:rFonts w:ascii="Arial" w:hAnsi="Arial" w:cs="Arial"/>
          <w:color w:val="000000"/>
          <w:sz w:val="22"/>
          <w:szCs w:val="22"/>
          <w:lang w:eastAsia="en-AU"/>
        </w:rPr>
        <w:t xml:space="preserve">AHISA’s </w:t>
      </w:r>
      <w:r w:rsidRPr="00B323FB">
        <w:rPr>
          <w:rFonts w:ascii="Arial" w:hAnsi="Arial" w:cs="Arial"/>
          <w:color w:val="000000"/>
          <w:sz w:val="22"/>
          <w:szCs w:val="22"/>
          <w:lang w:eastAsia="en-AU"/>
        </w:rPr>
        <w:t xml:space="preserve">second </w:t>
      </w:r>
      <w:r w:rsidR="00FC7B73" w:rsidRPr="00B323FB">
        <w:rPr>
          <w:rFonts w:ascii="Arial" w:hAnsi="Arial" w:cs="Arial"/>
          <w:color w:val="000000"/>
          <w:sz w:val="22"/>
          <w:szCs w:val="22"/>
          <w:lang w:eastAsia="en-AU"/>
        </w:rPr>
        <w:t>submission</w:t>
      </w:r>
      <w:r w:rsidRPr="00B323FB">
        <w:rPr>
          <w:rFonts w:ascii="Arial" w:hAnsi="Arial" w:cs="Arial"/>
          <w:color w:val="000000"/>
          <w:sz w:val="22"/>
          <w:szCs w:val="22"/>
          <w:vertAlign w:val="superscript"/>
          <w:lang w:eastAsia="en-AU"/>
        </w:rPr>
        <w:t>1</w:t>
      </w:r>
      <w:r w:rsidR="000E512E">
        <w:rPr>
          <w:rFonts w:ascii="Arial" w:hAnsi="Arial" w:cs="Arial"/>
          <w:color w:val="000000"/>
          <w:sz w:val="22"/>
          <w:szCs w:val="22"/>
          <w:vertAlign w:val="superscript"/>
          <w:lang w:eastAsia="en-AU"/>
        </w:rPr>
        <w:t>2</w:t>
      </w:r>
      <w:r w:rsidR="00FC7B73" w:rsidRPr="00B323FB">
        <w:rPr>
          <w:rFonts w:ascii="Arial" w:hAnsi="Arial" w:cs="Arial"/>
          <w:color w:val="000000"/>
          <w:sz w:val="22"/>
          <w:szCs w:val="22"/>
          <w:lang w:eastAsia="en-AU"/>
        </w:rPr>
        <w:t xml:space="preserve"> to the federal parliamentary Inquiry into Educational Opportunities of Aboriginal and Torres Strait Islander Students, </w:t>
      </w:r>
      <w:r w:rsidRPr="00B323FB">
        <w:rPr>
          <w:rFonts w:ascii="Arial" w:hAnsi="Arial" w:cs="Arial"/>
          <w:color w:val="000000"/>
          <w:sz w:val="22"/>
          <w:szCs w:val="22"/>
          <w:lang w:eastAsia="en-AU"/>
        </w:rPr>
        <w:t>we described</w:t>
      </w:r>
      <w:r w:rsidR="00FC7B73" w:rsidRPr="00B323FB">
        <w:rPr>
          <w:rFonts w:ascii="Arial" w:hAnsi="Arial" w:cs="Arial"/>
          <w:color w:val="000000"/>
          <w:sz w:val="22"/>
          <w:szCs w:val="22"/>
          <w:lang w:eastAsia="en-AU"/>
        </w:rPr>
        <w:t xml:space="preserve"> five </w:t>
      </w:r>
      <w:r w:rsidR="00ED372A">
        <w:rPr>
          <w:rFonts w:ascii="Arial" w:hAnsi="Arial" w:cs="Arial"/>
          <w:color w:val="000000"/>
          <w:sz w:val="22"/>
          <w:szCs w:val="22"/>
          <w:lang w:eastAsia="en-AU"/>
        </w:rPr>
        <w:t xml:space="preserve">successful </w:t>
      </w:r>
      <w:r w:rsidR="00FC7B73" w:rsidRPr="00B323FB">
        <w:rPr>
          <w:rFonts w:ascii="Arial" w:hAnsi="Arial" w:cs="Arial"/>
          <w:color w:val="000000"/>
          <w:sz w:val="22"/>
          <w:szCs w:val="22"/>
          <w:lang w:eastAsia="en-AU"/>
        </w:rPr>
        <w:t xml:space="preserve">models of </w:t>
      </w:r>
      <w:r w:rsidRPr="00B323FB">
        <w:rPr>
          <w:rFonts w:ascii="Arial" w:hAnsi="Arial" w:cs="Arial"/>
          <w:color w:val="000000"/>
          <w:sz w:val="22"/>
          <w:szCs w:val="22"/>
          <w:lang w:eastAsia="en-AU"/>
        </w:rPr>
        <w:t xml:space="preserve">innovative </w:t>
      </w:r>
      <w:r w:rsidR="00FC7B73" w:rsidRPr="00B323FB">
        <w:rPr>
          <w:rFonts w:ascii="Arial" w:hAnsi="Arial" w:cs="Arial"/>
          <w:color w:val="000000"/>
          <w:sz w:val="22"/>
          <w:szCs w:val="22"/>
          <w:lang w:eastAsia="en-AU"/>
        </w:rPr>
        <w:t xml:space="preserve">provision </w:t>
      </w:r>
      <w:r w:rsidRPr="00B323FB">
        <w:rPr>
          <w:rFonts w:ascii="Arial" w:hAnsi="Arial" w:cs="Arial"/>
          <w:color w:val="000000"/>
          <w:sz w:val="22"/>
          <w:szCs w:val="22"/>
          <w:lang w:eastAsia="en-AU"/>
        </w:rPr>
        <w:t>for Indigenous students – both out of country and on country – developed by independent schools in collaborative partnerships with Indigenous communities or schools</w:t>
      </w:r>
      <w:r w:rsidR="00476F83">
        <w:rPr>
          <w:rFonts w:ascii="Arial" w:hAnsi="Arial" w:cs="Arial"/>
          <w:color w:val="000000"/>
          <w:sz w:val="22"/>
          <w:szCs w:val="22"/>
          <w:lang w:eastAsia="en-AU"/>
        </w:rPr>
        <w:t>:</w:t>
      </w:r>
    </w:p>
    <w:p w:rsidR="00476F83" w:rsidRPr="00476F83" w:rsidRDefault="00476F83" w:rsidP="0067338C">
      <w:pPr>
        <w:pStyle w:val="ListParagraph"/>
        <w:numPr>
          <w:ilvl w:val="0"/>
          <w:numId w:val="7"/>
        </w:numPr>
        <w:spacing w:after="80" w:line="280" w:lineRule="exact"/>
        <w:ind w:left="714" w:hanging="357"/>
        <w:contextualSpacing w:val="0"/>
        <w:rPr>
          <w:rFonts w:ascii="Arial" w:hAnsi="Arial" w:cs="Arial"/>
          <w:color w:val="000000"/>
          <w:lang w:eastAsia="en-AU"/>
        </w:rPr>
      </w:pPr>
      <w:r w:rsidRPr="00476F83">
        <w:rPr>
          <w:rFonts w:ascii="Arial" w:hAnsi="Arial" w:cs="Arial"/>
          <w:b/>
          <w:color w:val="000000"/>
          <w:lang w:eastAsia="en-AU"/>
        </w:rPr>
        <w:t>Melbourne Indigenous Transition School</w:t>
      </w:r>
      <w:r w:rsidR="00154E64">
        <w:rPr>
          <w:rFonts w:ascii="Arial" w:hAnsi="Arial" w:cs="Arial"/>
          <w:color w:val="000000"/>
          <w:lang w:eastAsia="en-AU"/>
        </w:rPr>
        <w:t xml:space="preserve"> (MITS)</w:t>
      </w:r>
      <w:r w:rsidRPr="00476F83">
        <w:rPr>
          <w:rFonts w:ascii="Arial" w:hAnsi="Arial" w:cs="Arial"/>
          <w:color w:val="000000"/>
          <w:lang w:eastAsia="en-AU"/>
        </w:rPr>
        <w:t xml:space="preserve">, Richmond, Victoria. </w:t>
      </w:r>
      <w:r w:rsidR="00154E64">
        <w:rPr>
          <w:rFonts w:ascii="Arial" w:hAnsi="Arial" w:cs="Arial"/>
          <w:color w:val="000000"/>
          <w:lang w:eastAsia="en-AU"/>
        </w:rPr>
        <w:t xml:space="preserve">MITS is a new independent school in Victoria which welcomed its first cohort of students in 2016. Established </w:t>
      </w:r>
      <w:r w:rsidRPr="00476F83">
        <w:rPr>
          <w:rFonts w:ascii="Arial" w:hAnsi="Arial" w:cs="Arial"/>
          <w:color w:val="000000"/>
          <w:lang w:eastAsia="en-AU"/>
        </w:rPr>
        <w:t xml:space="preserve">with substantial support from the leaders and school communities of Trinity Grammar School, Kew, and St Kevin’s College, Toorak, MITS provides a one-year residential and academic program for up to 22 </w:t>
      </w:r>
      <w:r w:rsidR="00154E64">
        <w:rPr>
          <w:rFonts w:ascii="Arial" w:hAnsi="Arial" w:cs="Arial"/>
          <w:color w:val="000000"/>
          <w:lang w:eastAsia="en-AU"/>
        </w:rPr>
        <w:t xml:space="preserve">Indigenous </w:t>
      </w:r>
      <w:r w:rsidRPr="00476F83">
        <w:rPr>
          <w:rFonts w:ascii="Arial" w:hAnsi="Arial" w:cs="Arial"/>
          <w:color w:val="000000"/>
          <w:lang w:eastAsia="en-AU"/>
        </w:rPr>
        <w:t xml:space="preserve">students from Victorian and Northern Territory schools to assist them transition successfully to </w:t>
      </w:r>
      <w:r w:rsidR="00154E64">
        <w:rPr>
          <w:rFonts w:ascii="Arial" w:hAnsi="Arial" w:cs="Arial"/>
          <w:color w:val="000000"/>
          <w:lang w:eastAsia="en-AU"/>
        </w:rPr>
        <w:t xml:space="preserve">secondary school in </w:t>
      </w:r>
      <w:r w:rsidRPr="00476F83">
        <w:rPr>
          <w:rFonts w:ascii="Arial" w:hAnsi="Arial" w:cs="Arial"/>
          <w:color w:val="000000"/>
          <w:lang w:eastAsia="en-AU"/>
        </w:rPr>
        <w:t>mainstream Melbourne schools.</w:t>
      </w:r>
    </w:p>
    <w:p w:rsidR="00476F83" w:rsidRPr="00476F83" w:rsidRDefault="00476F83" w:rsidP="0067338C">
      <w:pPr>
        <w:pStyle w:val="ListParagraph"/>
        <w:numPr>
          <w:ilvl w:val="0"/>
          <w:numId w:val="7"/>
        </w:numPr>
        <w:spacing w:after="80" w:line="280" w:lineRule="exact"/>
        <w:ind w:left="714" w:hanging="357"/>
        <w:contextualSpacing w:val="0"/>
        <w:rPr>
          <w:rFonts w:ascii="Arial" w:hAnsi="Arial" w:cs="Arial"/>
          <w:color w:val="000000"/>
          <w:lang w:eastAsia="en-AU"/>
        </w:rPr>
      </w:pPr>
      <w:r w:rsidRPr="00154E64">
        <w:rPr>
          <w:rFonts w:ascii="Arial" w:hAnsi="Arial" w:cs="Arial"/>
          <w:b/>
          <w:color w:val="000000"/>
          <w:lang w:eastAsia="en-AU"/>
        </w:rPr>
        <w:t>Woodleigh School</w:t>
      </w:r>
      <w:r w:rsidRPr="00476F83">
        <w:rPr>
          <w:rFonts w:ascii="Arial" w:hAnsi="Arial" w:cs="Arial"/>
          <w:color w:val="000000"/>
          <w:lang w:eastAsia="en-AU"/>
        </w:rPr>
        <w:t>, Mornington Peninsula, Victoria. Woodleigh School has programs associated with three Indigenous communities. One relationship, developed by the Head of Woodleigh’s Penbank campus, entails providing assistance in program development and teacher professional learning for a primary school in the remote NT community of Wugularr. The program also involves primary-level student exchange.</w:t>
      </w:r>
    </w:p>
    <w:p w:rsidR="00476F83" w:rsidRPr="00476F83" w:rsidRDefault="00476F83" w:rsidP="0067338C">
      <w:pPr>
        <w:pStyle w:val="ListParagraph"/>
        <w:numPr>
          <w:ilvl w:val="0"/>
          <w:numId w:val="7"/>
        </w:numPr>
        <w:spacing w:after="80" w:line="280" w:lineRule="exact"/>
        <w:ind w:left="714" w:hanging="357"/>
        <w:contextualSpacing w:val="0"/>
        <w:rPr>
          <w:rFonts w:ascii="Arial" w:hAnsi="Arial" w:cs="Arial"/>
          <w:color w:val="000000"/>
          <w:lang w:eastAsia="en-AU"/>
        </w:rPr>
      </w:pPr>
      <w:r w:rsidRPr="00154E64">
        <w:rPr>
          <w:rFonts w:ascii="Arial" w:hAnsi="Arial" w:cs="Arial"/>
          <w:b/>
          <w:color w:val="000000"/>
          <w:lang w:eastAsia="en-AU"/>
        </w:rPr>
        <w:t>Yiramalay/Wesley Studio School</w:t>
      </w:r>
      <w:r w:rsidRPr="00476F83">
        <w:rPr>
          <w:rFonts w:ascii="Arial" w:hAnsi="Arial" w:cs="Arial"/>
          <w:color w:val="000000"/>
          <w:lang w:eastAsia="en-AU"/>
        </w:rPr>
        <w:t xml:space="preserve">, Fitzroy Valley, WA. </w:t>
      </w:r>
      <w:r w:rsidR="00154E64">
        <w:rPr>
          <w:rFonts w:ascii="Arial" w:hAnsi="Arial" w:cs="Arial"/>
          <w:color w:val="000000"/>
          <w:lang w:eastAsia="en-AU"/>
        </w:rPr>
        <w:t>Established by Wesley College, Melbourne, Victoria, t</w:t>
      </w:r>
      <w:r w:rsidRPr="00476F83">
        <w:rPr>
          <w:rFonts w:ascii="Arial" w:hAnsi="Arial" w:cs="Arial"/>
          <w:color w:val="000000"/>
          <w:lang w:eastAsia="en-AU"/>
        </w:rPr>
        <w:t>he Studio School provides on country provision for Aboriginal students in Years 10 to 12. Wesley College serves as a remote campus for the Studio School students, and Year 9 Melbourne-based Wesley students undertake programs at Yiramalay.</w:t>
      </w:r>
      <w:r w:rsidR="00154E64">
        <w:rPr>
          <w:rFonts w:ascii="Arial" w:hAnsi="Arial" w:cs="Arial"/>
          <w:color w:val="000000"/>
          <w:lang w:eastAsia="en-AU"/>
        </w:rPr>
        <w:t xml:space="preserve"> Yiramalay is an independent school registered in WA.</w:t>
      </w:r>
    </w:p>
    <w:p w:rsidR="00476F83" w:rsidRPr="00476F83" w:rsidRDefault="00476F83" w:rsidP="0067338C">
      <w:pPr>
        <w:pStyle w:val="ListParagraph"/>
        <w:numPr>
          <w:ilvl w:val="0"/>
          <w:numId w:val="7"/>
        </w:numPr>
        <w:spacing w:after="80" w:line="280" w:lineRule="exact"/>
        <w:ind w:left="714" w:hanging="357"/>
        <w:contextualSpacing w:val="0"/>
        <w:rPr>
          <w:rFonts w:ascii="Arial" w:hAnsi="Arial" w:cs="Arial"/>
          <w:color w:val="000000"/>
          <w:lang w:eastAsia="en-AU"/>
        </w:rPr>
      </w:pPr>
      <w:r w:rsidRPr="00154E64">
        <w:rPr>
          <w:rFonts w:ascii="Arial" w:hAnsi="Arial" w:cs="Arial"/>
          <w:b/>
          <w:color w:val="000000"/>
          <w:lang w:eastAsia="en-AU"/>
        </w:rPr>
        <w:t>Gawura School</w:t>
      </w:r>
      <w:r w:rsidRPr="00476F83">
        <w:rPr>
          <w:rFonts w:ascii="Arial" w:hAnsi="Arial" w:cs="Arial"/>
          <w:color w:val="000000"/>
          <w:lang w:eastAsia="en-AU"/>
        </w:rPr>
        <w:t xml:space="preserve">, Sydney, NSW. Gawura is a primary school for </w:t>
      </w:r>
      <w:r w:rsidR="00072ED6">
        <w:rPr>
          <w:rFonts w:ascii="Arial" w:hAnsi="Arial" w:cs="Arial"/>
          <w:color w:val="000000"/>
          <w:lang w:eastAsia="en-AU"/>
        </w:rPr>
        <w:t>up to 28</w:t>
      </w:r>
      <w:r w:rsidRPr="00476F83">
        <w:rPr>
          <w:rFonts w:ascii="Arial" w:hAnsi="Arial" w:cs="Arial"/>
          <w:color w:val="000000"/>
          <w:lang w:eastAsia="en-AU"/>
        </w:rPr>
        <w:t xml:space="preserve"> Indigenous students living in inner city Sydney</w:t>
      </w:r>
      <w:r w:rsidR="00154E64">
        <w:rPr>
          <w:rFonts w:ascii="Arial" w:hAnsi="Arial" w:cs="Arial"/>
          <w:color w:val="000000"/>
          <w:lang w:eastAsia="en-AU"/>
        </w:rPr>
        <w:t>, founded by and e</w:t>
      </w:r>
      <w:r w:rsidRPr="00476F83">
        <w:rPr>
          <w:rFonts w:ascii="Arial" w:hAnsi="Arial" w:cs="Arial"/>
          <w:color w:val="000000"/>
          <w:lang w:eastAsia="en-AU"/>
        </w:rPr>
        <w:t>stablished within the site of St Andrew’s Cathedral Schoo</w:t>
      </w:r>
      <w:r w:rsidR="00072ED6">
        <w:rPr>
          <w:rFonts w:ascii="Arial" w:hAnsi="Arial" w:cs="Arial"/>
          <w:color w:val="000000"/>
          <w:lang w:eastAsia="en-AU"/>
        </w:rPr>
        <w:t xml:space="preserve">l in </w:t>
      </w:r>
      <w:r w:rsidRPr="00476F83">
        <w:rPr>
          <w:rFonts w:ascii="Arial" w:hAnsi="Arial" w:cs="Arial"/>
          <w:color w:val="000000"/>
          <w:lang w:eastAsia="en-AU"/>
        </w:rPr>
        <w:t>Sydney</w:t>
      </w:r>
      <w:r w:rsidR="00072ED6">
        <w:rPr>
          <w:rFonts w:ascii="Arial" w:hAnsi="Arial" w:cs="Arial"/>
          <w:color w:val="000000"/>
          <w:lang w:eastAsia="en-AU"/>
        </w:rPr>
        <w:t>’s CBD</w:t>
      </w:r>
      <w:r w:rsidRPr="00476F83">
        <w:rPr>
          <w:rFonts w:ascii="Arial" w:hAnsi="Arial" w:cs="Arial"/>
          <w:color w:val="000000"/>
          <w:lang w:eastAsia="en-AU"/>
        </w:rPr>
        <w:t>.</w:t>
      </w:r>
      <w:r w:rsidR="00154E64">
        <w:rPr>
          <w:rFonts w:ascii="Arial" w:hAnsi="Arial" w:cs="Arial"/>
          <w:color w:val="000000"/>
          <w:lang w:eastAsia="en-AU"/>
        </w:rPr>
        <w:t xml:space="preserve"> Gawura is a separately registered independent school</w:t>
      </w:r>
      <w:r w:rsidR="00ED372A">
        <w:rPr>
          <w:rFonts w:ascii="Arial" w:hAnsi="Arial" w:cs="Arial"/>
          <w:color w:val="000000"/>
          <w:lang w:eastAsia="en-AU"/>
        </w:rPr>
        <w:t xml:space="preserve"> in NSW</w:t>
      </w:r>
      <w:r w:rsidR="00154E64">
        <w:rPr>
          <w:rFonts w:ascii="Arial" w:hAnsi="Arial" w:cs="Arial"/>
          <w:color w:val="000000"/>
          <w:lang w:eastAsia="en-AU"/>
        </w:rPr>
        <w:t>.</w:t>
      </w:r>
    </w:p>
    <w:p w:rsidR="00476F83" w:rsidRPr="00476F83" w:rsidRDefault="00476F83" w:rsidP="0067338C">
      <w:pPr>
        <w:pStyle w:val="ListParagraph"/>
        <w:numPr>
          <w:ilvl w:val="0"/>
          <w:numId w:val="7"/>
        </w:numPr>
        <w:spacing w:after="160" w:line="280" w:lineRule="exact"/>
        <w:ind w:left="714" w:hanging="357"/>
        <w:contextualSpacing w:val="0"/>
        <w:rPr>
          <w:rFonts w:ascii="Arial" w:hAnsi="Arial" w:cs="Arial"/>
          <w:color w:val="000000"/>
          <w:lang w:eastAsia="en-AU"/>
        </w:rPr>
      </w:pPr>
      <w:r w:rsidRPr="00154E64">
        <w:rPr>
          <w:rFonts w:ascii="Arial" w:hAnsi="Arial" w:cs="Arial"/>
          <w:b/>
          <w:color w:val="000000"/>
          <w:lang w:eastAsia="en-AU"/>
        </w:rPr>
        <w:t>Darkinjung Barker College</w:t>
      </w:r>
      <w:r w:rsidRPr="00476F83">
        <w:rPr>
          <w:rFonts w:ascii="Arial" w:hAnsi="Arial" w:cs="Arial"/>
          <w:color w:val="000000"/>
          <w:lang w:eastAsia="en-AU"/>
        </w:rPr>
        <w:t xml:space="preserve">, Wyong, NSW. </w:t>
      </w:r>
      <w:r w:rsidR="00154E64">
        <w:rPr>
          <w:rFonts w:ascii="Arial" w:hAnsi="Arial" w:cs="Arial"/>
          <w:color w:val="000000"/>
          <w:lang w:eastAsia="en-AU"/>
        </w:rPr>
        <w:t>Darkinjung Barker is a regional primary campus of</w:t>
      </w:r>
      <w:r w:rsidRPr="00476F83">
        <w:rPr>
          <w:rFonts w:ascii="Arial" w:hAnsi="Arial" w:cs="Arial"/>
          <w:color w:val="000000"/>
          <w:lang w:eastAsia="en-AU"/>
        </w:rPr>
        <w:t xml:space="preserve"> Barker College in Hornsby, NSW </w:t>
      </w:r>
      <w:r w:rsidR="00154E64">
        <w:rPr>
          <w:rFonts w:ascii="Arial" w:hAnsi="Arial" w:cs="Arial"/>
          <w:color w:val="000000"/>
          <w:lang w:eastAsia="en-AU"/>
        </w:rPr>
        <w:t>which</w:t>
      </w:r>
      <w:r w:rsidRPr="00476F83">
        <w:rPr>
          <w:rFonts w:ascii="Arial" w:hAnsi="Arial" w:cs="Arial"/>
          <w:color w:val="000000"/>
          <w:lang w:eastAsia="en-AU"/>
        </w:rPr>
        <w:t xml:space="preserve"> serve</w:t>
      </w:r>
      <w:r w:rsidR="00154E64">
        <w:rPr>
          <w:rFonts w:ascii="Arial" w:hAnsi="Arial" w:cs="Arial"/>
          <w:color w:val="000000"/>
          <w:lang w:eastAsia="en-AU"/>
        </w:rPr>
        <w:t>s</w:t>
      </w:r>
      <w:r w:rsidRPr="00476F83">
        <w:rPr>
          <w:rFonts w:ascii="Arial" w:hAnsi="Arial" w:cs="Arial"/>
          <w:color w:val="000000"/>
          <w:lang w:eastAsia="en-AU"/>
        </w:rPr>
        <w:t xml:space="preserve"> Aboriginal students in the Wyong region. </w:t>
      </w:r>
    </w:p>
    <w:p w:rsidR="00FC7B73" w:rsidRPr="00875026" w:rsidRDefault="00875026" w:rsidP="00875026">
      <w:pPr>
        <w:spacing w:after="80" w:line="280" w:lineRule="exact"/>
        <w:rPr>
          <w:rFonts w:ascii="Arial" w:hAnsi="Arial" w:cs="Arial"/>
          <w:color w:val="000000"/>
          <w:sz w:val="22"/>
          <w:szCs w:val="22"/>
          <w:lang w:eastAsia="en-AU"/>
        </w:rPr>
      </w:pPr>
      <w:r>
        <w:rPr>
          <w:rFonts w:ascii="Arial" w:hAnsi="Arial" w:cs="Arial"/>
          <w:color w:val="000000"/>
          <w:sz w:val="22"/>
          <w:szCs w:val="22"/>
          <w:lang w:eastAsia="en-AU"/>
        </w:rPr>
        <w:t xml:space="preserve"> The submission </w:t>
      </w:r>
      <w:r w:rsidR="00FC7B73" w:rsidRPr="00875026">
        <w:rPr>
          <w:rFonts w:ascii="Arial" w:hAnsi="Arial" w:cs="Arial"/>
          <w:color w:val="000000"/>
          <w:sz w:val="22"/>
          <w:szCs w:val="22"/>
          <w:lang w:eastAsia="en-AU"/>
        </w:rPr>
        <w:t>sets out 25 key findings, including:</w:t>
      </w:r>
    </w:p>
    <w:p w:rsidR="00FC7B73" w:rsidRPr="00875026" w:rsidRDefault="00FC7B73" w:rsidP="0067338C">
      <w:pPr>
        <w:pStyle w:val="ListParagraph"/>
        <w:numPr>
          <w:ilvl w:val="0"/>
          <w:numId w:val="5"/>
        </w:numPr>
        <w:spacing w:after="80" w:line="280" w:lineRule="exact"/>
        <w:contextualSpacing w:val="0"/>
        <w:rPr>
          <w:rFonts w:ascii="Arial" w:hAnsi="Arial" w:cs="Arial"/>
          <w:color w:val="000000"/>
          <w:lang w:eastAsia="en-AU"/>
        </w:rPr>
      </w:pPr>
      <w:r w:rsidRPr="00875026">
        <w:rPr>
          <w:rFonts w:ascii="Arial" w:hAnsi="Arial" w:cs="Arial"/>
          <w:color w:val="000000"/>
          <w:lang w:eastAsia="en-AU"/>
        </w:rPr>
        <w:t>There is no one-size-fits-all solution to increase educational opportunities in remote Indigenous communities. Partnerships between city schools and remote schools and communities require flexibility and the freedom to generate collaborations that are the most beneficial and which reflect the needs and capacities of those involved.</w:t>
      </w:r>
    </w:p>
    <w:p w:rsidR="00FC7B73" w:rsidRPr="00875026" w:rsidRDefault="00FC7B73" w:rsidP="0067338C">
      <w:pPr>
        <w:pStyle w:val="ListParagraph"/>
        <w:numPr>
          <w:ilvl w:val="0"/>
          <w:numId w:val="5"/>
        </w:numPr>
        <w:spacing w:after="80" w:line="280" w:lineRule="exact"/>
        <w:contextualSpacing w:val="0"/>
        <w:rPr>
          <w:rFonts w:ascii="Arial" w:hAnsi="Arial" w:cs="Arial"/>
          <w:color w:val="000000"/>
          <w:lang w:eastAsia="en-AU"/>
        </w:rPr>
      </w:pPr>
      <w:r w:rsidRPr="00875026">
        <w:rPr>
          <w:rFonts w:ascii="Arial" w:hAnsi="Arial" w:cs="Arial"/>
          <w:color w:val="000000"/>
          <w:lang w:eastAsia="en-AU"/>
        </w:rPr>
        <w:t>Educational programs for Indigenous students, delivered on country or in metropolitan schools, must be culturally appropriate.</w:t>
      </w:r>
    </w:p>
    <w:p w:rsidR="00FC7B73" w:rsidRPr="00875026" w:rsidRDefault="00FC7B73" w:rsidP="0067338C">
      <w:pPr>
        <w:pStyle w:val="ListParagraph"/>
        <w:numPr>
          <w:ilvl w:val="0"/>
          <w:numId w:val="5"/>
        </w:numPr>
        <w:spacing w:after="80" w:line="280" w:lineRule="exact"/>
        <w:contextualSpacing w:val="0"/>
        <w:rPr>
          <w:rFonts w:ascii="Arial" w:hAnsi="Arial" w:cs="Arial"/>
          <w:color w:val="000000"/>
          <w:lang w:eastAsia="en-AU"/>
        </w:rPr>
      </w:pPr>
      <w:r w:rsidRPr="00875026">
        <w:rPr>
          <w:rFonts w:ascii="Arial" w:hAnsi="Arial" w:cs="Arial"/>
          <w:color w:val="000000"/>
          <w:lang w:eastAsia="en-AU"/>
        </w:rPr>
        <w:t>Valuing the language of Indigenous students is an important part of having a culturally strong school.</w:t>
      </w:r>
    </w:p>
    <w:p w:rsidR="00FC7B73" w:rsidRPr="00875026" w:rsidRDefault="00875026" w:rsidP="0067338C">
      <w:pPr>
        <w:pStyle w:val="ListParagraph"/>
        <w:numPr>
          <w:ilvl w:val="0"/>
          <w:numId w:val="5"/>
        </w:numPr>
        <w:spacing w:after="160" w:line="280" w:lineRule="exact"/>
        <w:ind w:left="714" w:hanging="357"/>
        <w:contextualSpacing w:val="0"/>
        <w:rPr>
          <w:rFonts w:ascii="Arial" w:hAnsi="Arial" w:cs="Arial"/>
          <w:color w:val="000000"/>
          <w:lang w:eastAsia="en-AU"/>
        </w:rPr>
      </w:pPr>
      <w:r>
        <w:rPr>
          <w:rFonts w:ascii="Arial" w:hAnsi="Arial" w:cs="Arial"/>
          <w:color w:val="000000"/>
          <w:lang w:eastAsia="en-AU"/>
        </w:rPr>
        <w:t>Metropolitan school</w:t>
      </w:r>
      <w:r w:rsidR="00FC7B73" w:rsidRPr="00875026">
        <w:rPr>
          <w:rFonts w:ascii="Arial" w:hAnsi="Arial" w:cs="Arial"/>
          <w:color w:val="000000"/>
          <w:lang w:eastAsia="en-AU"/>
        </w:rPr>
        <w:t xml:space="preserve"> communities must be prepared for ‘two-ways learning’ if cross-cultural efforts are to be successful, sustainable and have their greatest impact.</w:t>
      </w:r>
    </w:p>
    <w:p w:rsidR="00FC7B73" w:rsidRPr="00875026" w:rsidRDefault="00875026" w:rsidP="00875026">
      <w:pPr>
        <w:spacing w:after="80" w:line="280" w:lineRule="exact"/>
        <w:rPr>
          <w:rFonts w:ascii="Arial" w:hAnsi="Arial" w:cs="Arial"/>
          <w:color w:val="000000"/>
          <w:sz w:val="22"/>
          <w:szCs w:val="22"/>
          <w:lang w:eastAsia="en-AU"/>
        </w:rPr>
      </w:pPr>
      <w:r>
        <w:rPr>
          <w:rFonts w:ascii="Arial" w:hAnsi="Arial" w:cs="Arial"/>
          <w:color w:val="000000"/>
          <w:sz w:val="22"/>
          <w:szCs w:val="22"/>
          <w:lang w:eastAsia="en-AU"/>
        </w:rPr>
        <w:t>The</w:t>
      </w:r>
      <w:r w:rsidR="00FC7B73" w:rsidRPr="00875026">
        <w:rPr>
          <w:rFonts w:ascii="Arial" w:hAnsi="Arial" w:cs="Arial"/>
          <w:color w:val="000000"/>
          <w:sz w:val="22"/>
          <w:szCs w:val="22"/>
          <w:lang w:eastAsia="en-AU"/>
        </w:rPr>
        <w:t xml:space="preserve"> submission</w:t>
      </w:r>
      <w:r>
        <w:rPr>
          <w:rFonts w:ascii="Arial" w:hAnsi="Arial" w:cs="Arial"/>
          <w:color w:val="000000"/>
          <w:sz w:val="22"/>
          <w:szCs w:val="22"/>
          <w:lang w:eastAsia="en-AU"/>
        </w:rPr>
        <w:t xml:space="preserve"> also</w:t>
      </w:r>
      <w:r w:rsidR="00FC7B73" w:rsidRPr="00875026">
        <w:rPr>
          <w:rFonts w:ascii="Arial" w:hAnsi="Arial" w:cs="Arial"/>
          <w:color w:val="000000"/>
          <w:sz w:val="22"/>
          <w:szCs w:val="22"/>
          <w:lang w:eastAsia="en-AU"/>
        </w:rPr>
        <w:t xml:space="preserve"> identifies key areas where government funding could have a profound impact on outcomes of Indigenous students, including:</w:t>
      </w:r>
    </w:p>
    <w:p w:rsidR="00FC7B73" w:rsidRPr="00875026" w:rsidRDefault="00FC7B73" w:rsidP="0067338C">
      <w:pPr>
        <w:pStyle w:val="ListParagraph"/>
        <w:numPr>
          <w:ilvl w:val="0"/>
          <w:numId w:val="6"/>
        </w:numPr>
        <w:spacing w:after="80" w:line="280" w:lineRule="exact"/>
        <w:contextualSpacing w:val="0"/>
        <w:rPr>
          <w:rFonts w:ascii="Arial" w:hAnsi="Arial" w:cs="Arial"/>
          <w:color w:val="000000"/>
          <w:lang w:eastAsia="en-AU"/>
        </w:rPr>
      </w:pPr>
      <w:r w:rsidRPr="00875026">
        <w:rPr>
          <w:rFonts w:ascii="Arial" w:hAnsi="Arial" w:cs="Arial"/>
          <w:color w:val="000000"/>
          <w:lang w:eastAsia="en-AU"/>
        </w:rPr>
        <w:t xml:space="preserve">Seed funding to lay the foundations for and/or trial innovative models of education provision for Aboriginal and </w:t>
      </w:r>
      <w:r w:rsidR="000D3D6C">
        <w:rPr>
          <w:rFonts w:ascii="Arial" w:hAnsi="Arial" w:cs="Arial"/>
          <w:color w:val="000000"/>
          <w:lang w:eastAsia="en-AU"/>
        </w:rPr>
        <w:t>Torres Strait Islander students</w:t>
      </w:r>
    </w:p>
    <w:p w:rsidR="00FC7B73" w:rsidRPr="00875026" w:rsidRDefault="00FC7B73" w:rsidP="0067338C">
      <w:pPr>
        <w:pStyle w:val="ListParagraph"/>
        <w:numPr>
          <w:ilvl w:val="0"/>
          <w:numId w:val="6"/>
        </w:numPr>
        <w:spacing w:after="80" w:line="280" w:lineRule="exact"/>
        <w:contextualSpacing w:val="0"/>
        <w:rPr>
          <w:rFonts w:ascii="Arial" w:hAnsi="Arial" w:cs="Arial"/>
          <w:color w:val="000000"/>
          <w:lang w:eastAsia="en-AU"/>
        </w:rPr>
      </w:pPr>
      <w:r w:rsidRPr="00875026">
        <w:rPr>
          <w:rFonts w:ascii="Arial" w:hAnsi="Arial" w:cs="Arial"/>
          <w:color w:val="000000"/>
          <w:lang w:eastAsia="en-AU"/>
        </w:rPr>
        <w:t>Funding to support teacher exchanges and ongoing collaborative professional development of teachers in remote Indigenous community schoo</w:t>
      </w:r>
      <w:r w:rsidR="000D3D6C">
        <w:rPr>
          <w:rFonts w:ascii="Arial" w:hAnsi="Arial" w:cs="Arial"/>
          <w:color w:val="000000"/>
          <w:lang w:eastAsia="en-AU"/>
        </w:rPr>
        <w:t>ls</w:t>
      </w:r>
    </w:p>
    <w:p w:rsidR="00FC7B73" w:rsidRPr="00875026" w:rsidRDefault="00FC7B73" w:rsidP="0067338C">
      <w:pPr>
        <w:pStyle w:val="ListParagraph"/>
        <w:numPr>
          <w:ilvl w:val="0"/>
          <w:numId w:val="6"/>
        </w:numPr>
        <w:spacing w:after="80" w:line="280" w:lineRule="exact"/>
        <w:contextualSpacing w:val="0"/>
        <w:rPr>
          <w:rFonts w:ascii="Arial" w:hAnsi="Arial" w:cs="Arial"/>
          <w:color w:val="000000"/>
          <w:lang w:eastAsia="en-AU"/>
        </w:rPr>
      </w:pPr>
      <w:r w:rsidRPr="00875026">
        <w:rPr>
          <w:rFonts w:ascii="Arial" w:hAnsi="Arial" w:cs="Arial"/>
          <w:color w:val="000000"/>
          <w:lang w:eastAsia="en-AU"/>
        </w:rPr>
        <w:t xml:space="preserve">Capital funding for schools willing to establish teacher visitation programs to remote communities to build teacher accommodation in these communities, suitable </w:t>
      </w:r>
      <w:r w:rsidR="000D3D6C">
        <w:rPr>
          <w:rFonts w:ascii="Arial" w:hAnsi="Arial" w:cs="Arial"/>
          <w:color w:val="000000"/>
          <w:lang w:eastAsia="en-AU"/>
        </w:rPr>
        <w:t>for short and longer-term stays</w:t>
      </w:r>
    </w:p>
    <w:p w:rsidR="00FC7B73" w:rsidRPr="00875026" w:rsidRDefault="00FC7B73" w:rsidP="0067338C">
      <w:pPr>
        <w:pStyle w:val="ListParagraph"/>
        <w:numPr>
          <w:ilvl w:val="0"/>
          <w:numId w:val="6"/>
        </w:numPr>
        <w:spacing w:after="80" w:line="280" w:lineRule="exact"/>
        <w:contextualSpacing w:val="0"/>
        <w:rPr>
          <w:rFonts w:ascii="Arial" w:hAnsi="Arial" w:cs="Arial"/>
          <w:color w:val="000000"/>
          <w:lang w:eastAsia="en-AU"/>
        </w:rPr>
      </w:pPr>
      <w:r w:rsidRPr="00875026">
        <w:rPr>
          <w:rFonts w:ascii="Arial" w:hAnsi="Arial" w:cs="Arial"/>
          <w:color w:val="000000"/>
          <w:lang w:eastAsia="en-AU"/>
        </w:rPr>
        <w:t xml:space="preserve">Longer-term funding for projects where warranted. The success of many school-to-school initiatives depends </w:t>
      </w:r>
      <w:r w:rsidR="000D3D6C">
        <w:rPr>
          <w:rFonts w:ascii="Arial" w:hAnsi="Arial" w:cs="Arial"/>
          <w:color w:val="000000"/>
          <w:lang w:eastAsia="en-AU"/>
        </w:rPr>
        <w:t>on consistency and continuity; w</w:t>
      </w:r>
      <w:r w:rsidRPr="00875026">
        <w:rPr>
          <w:rFonts w:ascii="Arial" w:hAnsi="Arial" w:cs="Arial"/>
          <w:color w:val="000000"/>
          <w:lang w:eastAsia="en-AU"/>
        </w:rPr>
        <w:t>hen projects are dependent solely on schools finding funds from already committed annual budgets or on fundraisin</w:t>
      </w:r>
      <w:r w:rsidR="000D3D6C">
        <w:rPr>
          <w:rFonts w:ascii="Arial" w:hAnsi="Arial" w:cs="Arial"/>
          <w:color w:val="000000"/>
          <w:lang w:eastAsia="en-AU"/>
        </w:rPr>
        <w:t>g, they are easily destabilised</w:t>
      </w:r>
    </w:p>
    <w:p w:rsidR="00FC7B73" w:rsidRPr="00875026" w:rsidRDefault="00FC7B73" w:rsidP="0067338C">
      <w:pPr>
        <w:pStyle w:val="ListParagraph"/>
        <w:numPr>
          <w:ilvl w:val="0"/>
          <w:numId w:val="6"/>
        </w:numPr>
        <w:spacing w:after="80" w:line="280" w:lineRule="exact"/>
        <w:contextualSpacing w:val="0"/>
        <w:rPr>
          <w:rFonts w:ascii="Arial" w:hAnsi="Arial" w:cs="Arial"/>
          <w:color w:val="000000"/>
          <w:lang w:eastAsia="en-AU"/>
        </w:rPr>
      </w:pPr>
      <w:r w:rsidRPr="00875026">
        <w:rPr>
          <w:rFonts w:ascii="Arial" w:hAnsi="Arial" w:cs="Arial"/>
          <w:color w:val="000000"/>
          <w:lang w:eastAsia="en-AU"/>
        </w:rPr>
        <w:t>Scholarship schemes for urban Aboriginal and Torres Strait Islander children as day students in non-government schools. Unlike boarding school scholarship schemes, schemes for urban Indigenous students could support children in the early years of learning, to avoid the achievement gaps suffered by many students by the t</w:t>
      </w:r>
      <w:r w:rsidR="000D3D6C">
        <w:rPr>
          <w:rFonts w:ascii="Arial" w:hAnsi="Arial" w:cs="Arial"/>
          <w:color w:val="000000"/>
          <w:lang w:eastAsia="en-AU"/>
        </w:rPr>
        <w:t>ime they reach secondary school</w:t>
      </w:r>
    </w:p>
    <w:p w:rsidR="00FC7B73" w:rsidRPr="00875026" w:rsidRDefault="00FC7B73" w:rsidP="0067338C">
      <w:pPr>
        <w:pStyle w:val="ListParagraph"/>
        <w:numPr>
          <w:ilvl w:val="0"/>
          <w:numId w:val="6"/>
        </w:numPr>
        <w:spacing w:after="120" w:line="280" w:lineRule="exact"/>
        <w:rPr>
          <w:rFonts w:ascii="Arial" w:hAnsi="Arial" w:cs="Arial"/>
          <w:color w:val="000000"/>
          <w:lang w:eastAsia="en-AU"/>
        </w:rPr>
      </w:pPr>
      <w:r w:rsidRPr="00875026">
        <w:rPr>
          <w:rFonts w:ascii="Arial" w:hAnsi="Arial" w:cs="Arial"/>
          <w:color w:val="000000"/>
          <w:lang w:eastAsia="en-AU"/>
        </w:rPr>
        <w:t>Greater flexibility in current funding models for non-government schools to ensure support for innovative on country educational provision for Aboriginal and Torres Strait Islander students.</w:t>
      </w:r>
    </w:p>
    <w:p w:rsidR="00EF51AA" w:rsidRDefault="00A33FDD" w:rsidP="00A33FDD">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It is the last proposal we </w:t>
      </w:r>
      <w:r w:rsidR="00877B73">
        <w:rPr>
          <w:rFonts w:ascii="Arial" w:hAnsi="Arial" w:cs="Arial"/>
          <w:color w:val="000000"/>
          <w:sz w:val="22"/>
          <w:szCs w:val="22"/>
          <w:lang w:eastAsia="en-AU"/>
        </w:rPr>
        <w:t xml:space="preserve">now </w:t>
      </w:r>
      <w:r>
        <w:rPr>
          <w:rFonts w:ascii="Arial" w:hAnsi="Arial" w:cs="Arial"/>
          <w:color w:val="000000"/>
          <w:sz w:val="22"/>
          <w:szCs w:val="22"/>
          <w:lang w:eastAsia="en-AU"/>
        </w:rPr>
        <w:t xml:space="preserve">put before Treasury for the 2017-18 Budget, as a </w:t>
      </w:r>
      <w:r w:rsidR="00877B73">
        <w:rPr>
          <w:rFonts w:ascii="Arial" w:hAnsi="Arial" w:cs="Arial"/>
          <w:color w:val="000000"/>
          <w:sz w:val="22"/>
          <w:szCs w:val="22"/>
          <w:lang w:eastAsia="en-AU"/>
        </w:rPr>
        <w:t>policy</w:t>
      </w:r>
      <w:r w:rsidR="00547B65">
        <w:rPr>
          <w:rFonts w:ascii="Arial" w:hAnsi="Arial" w:cs="Arial"/>
          <w:color w:val="000000"/>
          <w:sz w:val="22"/>
          <w:szCs w:val="22"/>
          <w:lang w:eastAsia="en-AU"/>
        </w:rPr>
        <w:t>/</w:t>
      </w:r>
      <w:r w:rsidR="00877B73">
        <w:rPr>
          <w:rFonts w:ascii="Arial" w:hAnsi="Arial" w:cs="Arial"/>
          <w:color w:val="000000"/>
          <w:sz w:val="22"/>
          <w:szCs w:val="22"/>
          <w:lang w:eastAsia="en-AU"/>
        </w:rPr>
        <w:t>program</w:t>
      </w:r>
      <w:r>
        <w:rPr>
          <w:rFonts w:ascii="Arial" w:hAnsi="Arial" w:cs="Arial"/>
          <w:color w:val="000000"/>
          <w:sz w:val="22"/>
          <w:szCs w:val="22"/>
          <w:lang w:eastAsia="en-AU"/>
        </w:rPr>
        <w:t xml:space="preserve"> option for </w:t>
      </w:r>
      <w:r w:rsidR="00877B73">
        <w:rPr>
          <w:rFonts w:ascii="Arial" w:hAnsi="Arial" w:cs="Arial"/>
          <w:color w:val="000000"/>
          <w:sz w:val="22"/>
          <w:szCs w:val="22"/>
          <w:lang w:eastAsia="en-AU"/>
        </w:rPr>
        <w:t>the G</w:t>
      </w:r>
      <w:r>
        <w:rPr>
          <w:rFonts w:ascii="Arial" w:hAnsi="Arial" w:cs="Arial"/>
          <w:color w:val="000000"/>
          <w:sz w:val="22"/>
          <w:szCs w:val="22"/>
          <w:lang w:eastAsia="en-AU"/>
        </w:rPr>
        <w:t>overnment</w:t>
      </w:r>
      <w:r w:rsidR="00EF51AA">
        <w:rPr>
          <w:rFonts w:ascii="Arial" w:hAnsi="Arial" w:cs="Arial"/>
          <w:color w:val="000000"/>
          <w:sz w:val="22"/>
          <w:szCs w:val="22"/>
          <w:lang w:eastAsia="en-AU"/>
        </w:rPr>
        <w:t>.</w:t>
      </w:r>
    </w:p>
    <w:p w:rsidR="00316133" w:rsidRPr="00316133" w:rsidRDefault="00316133" w:rsidP="00316133">
      <w:pPr>
        <w:spacing w:after="120" w:line="280" w:lineRule="exact"/>
        <w:rPr>
          <w:rFonts w:ascii="Arial" w:hAnsi="Arial" w:cs="Arial"/>
          <w:b/>
          <w:i/>
          <w:color w:val="002060"/>
          <w:sz w:val="22"/>
          <w:szCs w:val="22"/>
          <w:lang w:eastAsia="en-AU"/>
        </w:rPr>
      </w:pPr>
      <w:r w:rsidRPr="00316133">
        <w:rPr>
          <w:rFonts w:ascii="Arial" w:hAnsi="Arial" w:cs="Arial"/>
          <w:b/>
          <w:i/>
          <w:color w:val="002060"/>
          <w:sz w:val="22"/>
          <w:szCs w:val="22"/>
          <w:lang w:eastAsia="en-AU"/>
        </w:rPr>
        <w:t>Supporting innovative solutions</w:t>
      </w:r>
    </w:p>
    <w:p w:rsidR="00476F83" w:rsidRDefault="00877B73" w:rsidP="00A33FDD">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In brief, </w:t>
      </w:r>
      <w:r w:rsidR="003207BB">
        <w:rPr>
          <w:rFonts w:ascii="Arial" w:hAnsi="Arial" w:cs="Arial"/>
          <w:color w:val="000000"/>
          <w:sz w:val="22"/>
          <w:szCs w:val="22"/>
          <w:lang w:eastAsia="en-AU"/>
        </w:rPr>
        <w:t>AHISA proposes that</w:t>
      </w:r>
      <w:r>
        <w:rPr>
          <w:rFonts w:ascii="Arial" w:hAnsi="Arial" w:cs="Arial"/>
          <w:color w:val="000000"/>
          <w:sz w:val="22"/>
          <w:szCs w:val="22"/>
          <w:lang w:eastAsia="en-AU"/>
        </w:rPr>
        <w:t xml:space="preserve"> the Government </w:t>
      </w:r>
      <w:r w:rsidR="006C134D">
        <w:rPr>
          <w:rFonts w:ascii="Arial" w:hAnsi="Arial" w:cs="Arial"/>
          <w:color w:val="000000"/>
          <w:sz w:val="22"/>
          <w:szCs w:val="22"/>
          <w:lang w:eastAsia="en-AU"/>
        </w:rPr>
        <w:t>makes provision under its schools funding</w:t>
      </w:r>
      <w:r w:rsidR="00476F83">
        <w:rPr>
          <w:rFonts w:ascii="Arial" w:hAnsi="Arial" w:cs="Arial"/>
          <w:color w:val="000000"/>
          <w:sz w:val="22"/>
          <w:szCs w:val="22"/>
          <w:lang w:eastAsia="en-AU"/>
        </w:rPr>
        <w:t xml:space="preserve"> model </w:t>
      </w:r>
      <w:r w:rsidR="006C134D">
        <w:rPr>
          <w:rFonts w:ascii="Arial" w:hAnsi="Arial" w:cs="Arial"/>
          <w:color w:val="000000"/>
          <w:sz w:val="22"/>
          <w:szCs w:val="22"/>
          <w:lang w:eastAsia="en-AU"/>
        </w:rPr>
        <w:t>such that</w:t>
      </w:r>
      <w:r w:rsidR="00476F83">
        <w:rPr>
          <w:rFonts w:ascii="Arial" w:hAnsi="Arial" w:cs="Arial"/>
          <w:color w:val="000000"/>
          <w:sz w:val="22"/>
          <w:szCs w:val="22"/>
          <w:lang w:eastAsia="en-AU"/>
        </w:rPr>
        <w:t xml:space="preserve"> </w:t>
      </w:r>
      <w:r>
        <w:rPr>
          <w:rFonts w:ascii="Arial" w:hAnsi="Arial" w:cs="Arial"/>
          <w:color w:val="000000"/>
          <w:sz w:val="22"/>
          <w:szCs w:val="22"/>
          <w:lang w:eastAsia="en-AU"/>
        </w:rPr>
        <w:t xml:space="preserve">an existing non-government school </w:t>
      </w:r>
      <w:r w:rsidR="00476F83">
        <w:rPr>
          <w:rFonts w:ascii="Arial" w:hAnsi="Arial" w:cs="Arial"/>
          <w:color w:val="000000"/>
          <w:sz w:val="22"/>
          <w:szCs w:val="22"/>
          <w:lang w:eastAsia="en-AU"/>
        </w:rPr>
        <w:t>can establish</w:t>
      </w:r>
      <w:r>
        <w:rPr>
          <w:rFonts w:ascii="Arial" w:hAnsi="Arial" w:cs="Arial"/>
          <w:color w:val="000000"/>
          <w:sz w:val="22"/>
          <w:szCs w:val="22"/>
          <w:lang w:eastAsia="en-AU"/>
        </w:rPr>
        <w:t xml:space="preserve"> a campus </w:t>
      </w:r>
      <w:r w:rsidR="006C134D">
        <w:rPr>
          <w:rFonts w:ascii="Arial" w:hAnsi="Arial" w:cs="Arial"/>
          <w:color w:val="000000"/>
          <w:sz w:val="22"/>
          <w:szCs w:val="22"/>
          <w:lang w:eastAsia="en-AU"/>
        </w:rPr>
        <w:t xml:space="preserve">or satellite school </w:t>
      </w:r>
      <w:r>
        <w:rPr>
          <w:rFonts w:ascii="Arial" w:hAnsi="Arial" w:cs="Arial"/>
          <w:color w:val="000000"/>
          <w:sz w:val="22"/>
          <w:szCs w:val="22"/>
          <w:lang w:eastAsia="en-AU"/>
        </w:rPr>
        <w:t xml:space="preserve">to cater for Indigenous students </w:t>
      </w:r>
      <w:r w:rsidR="00476F83">
        <w:rPr>
          <w:rFonts w:ascii="Arial" w:hAnsi="Arial" w:cs="Arial"/>
          <w:color w:val="000000"/>
          <w:sz w:val="22"/>
          <w:szCs w:val="22"/>
          <w:lang w:eastAsia="en-AU"/>
        </w:rPr>
        <w:t>who will</w:t>
      </w:r>
      <w:r>
        <w:rPr>
          <w:rFonts w:ascii="Arial" w:hAnsi="Arial" w:cs="Arial"/>
          <w:color w:val="000000"/>
          <w:sz w:val="22"/>
          <w:szCs w:val="22"/>
          <w:lang w:eastAsia="en-AU"/>
        </w:rPr>
        <w:t xml:space="preserve"> attract the maximum rate </w:t>
      </w:r>
      <w:r w:rsidR="00476F83">
        <w:rPr>
          <w:rFonts w:ascii="Arial" w:hAnsi="Arial" w:cs="Arial"/>
          <w:color w:val="000000"/>
          <w:sz w:val="22"/>
          <w:szCs w:val="22"/>
          <w:lang w:eastAsia="en-AU"/>
        </w:rPr>
        <w:t xml:space="preserve">of </w:t>
      </w:r>
      <w:r w:rsidR="003207BB">
        <w:rPr>
          <w:rFonts w:ascii="Arial" w:hAnsi="Arial" w:cs="Arial"/>
          <w:color w:val="000000"/>
          <w:sz w:val="22"/>
          <w:szCs w:val="22"/>
          <w:lang w:eastAsia="en-AU"/>
        </w:rPr>
        <w:t xml:space="preserve">federal per student </w:t>
      </w:r>
      <w:r w:rsidR="00476F83">
        <w:rPr>
          <w:rFonts w:ascii="Arial" w:hAnsi="Arial" w:cs="Arial"/>
          <w:color w:val="000000"/>
          <w:sz w:val="22"/>
          <w:szCs w:val="22"/>
          <w:lang w:eastAsia="en-AU"/>
        </w:rPr>
        <w:t>general recurrent funding</w:t>
      </w:r>
      <w:r w:rsidR="004E3677">
        <w:rPr>
          <w:rFonts w:ascii="Arial" w:hAnsi="Arial" w:cs="Arial"/>
          <w:color w:val="000000"/>
          <w:sz w:val="22"/>
          <w:szCs w:val="22"/>
          <w:lang w:eastAsia="en-AU"/>
        </w:rPr>
        <w:t xml:space="preserve"> </w:t>
      </w:r>
      <w:r w:rsidR="00316133">
        <w:rPr>
          <w:rFonts w:ascii="Arial" w:hAnsi="Arial" w:cs="Arial"/>
          <w:color w:val="000000"/>
          <w:sz w:val="22"/>
          <w:szCs w:val="22"/>
          <w:lang w:eastAsia="en-AU"/>
        </w:rPr>
        <w:t>as per the</w:t>
      </w:r>
      <w:r w:rsidR="004E3677">
        <w:rPr>
          <w:rFonts w:ascii="Arial" w:hAnsi="Arial" w:cs="Arial"/>
          <w:color w:val="000000"/>
          <w:sz w:val="22"/>
          <w:szCs w:val="22"/>
          <w:lang w:eastAsia="en-AU"/>
        </w:rPr>
        <w:t xml:space="preserve"> Majority Aboriginal and Torres Strait Islander schools </w:t>
      </w:r>
      <w:r w:rsidR="00316133">
        <w:rPr>
          <w:rFonts w:ascii="Arial" w:hAnsi="Arial" w:cs="Arial"/>
          <w:color w:val="000000"/>
          <w:sz w:val="22"/>
          <w:szCs w:val="22"/>
          <w:lang w:eastAsia="en-AU"/>
        </w:rPr>
        <w:t xml:space="preserve">category of funding </w:t>
      </w:r>
      <w:r w:rsidR="00ED372A">
        <w:rPr>
          <w:rFonts w:ascii="Arial" w:hAnsi="Arial" w:cs="Arial"/>
          <w:color w:val="000000"/>
          <w:sz w:val="22"/>
          <w:szCs w:val="22"/>
          <w:lang w:eastAsia="en-AU"/>
        </w:rPr>
        <w:t>(MATSIS)</w:t>
      </w:r>
      <w:r w:rsidR="004E3677">
        <w:rPr>
          <w:rFonts w:ascii="Arial" w:hAnsi="Arial" w:cs="Arial"/>
          <w:color w:val="000000"/>
          <w:sz w:val="22"/>
          <w:szCs w:val="22"/>
          <w:lang w:eastAsia="en-AU"/>
        </w:rPr>
        <w:t>,</w:t>
      </w:r>
      <w:r w:rsidR="00ED372A">
        <w:rPr>
          <w:rFonts w:ascii="Arial" w:hAnsi="Arial" w:cs="Arial"/>
          <w:color w:val="000000"/>
          <w:sz w:val="22"/>
          <w:szCs w:val="22"/>
          <w:lang w:eastAsia="en-AU"/>
        </w:rPr>
        <w:t xml:space="preserve"> </w:t>
      </w:r>
      <w:r w:rsidR="00476F83">
        <w:rPr>
          <w:rFonts w:ascii="Arial" w:hAnsi="Arial" w:cs="Arial"/>
          <w:color w:val="000000"/>
          <w:sz w:val="22"/>
          <w:szCs w:val="22"/>
          <w:lang w:eastAsia="en-AU"/>
        </w:rPr>
        <w:t xml:space="preserve">irrespective of the </w:t>
      </w:r>
      <w:r w:rsidR="00D2785B" w:rsidRPr="0062676A">
        <w:rPr>
          <w:rFonts w:ascii="Arial" w:hAnsi="Arial" w:cs="Arial"/>
          <w:color w:val="000000"/>
          <w:sz w:val="22"/>
          <w:szCs w:val="22"/>
          <w:lang w:eastAsia="en-AU"/>
        </w:rPr>
        <w:t>socio-economic background</w:t>
      </w:r>
      <w:r w:rsidR="00D2785B">
        <w:rPr>
          <w:rFonts w:ascii="Arial" w:hAnsi="Arial" w:cs="Arial"/>
          <w:color w:val="000000"/>
          <w:sz w:val="22"/>
          <w:szCs w:val="22"/>
          <w:lang w:eastAsia="en-AU"/>
        </w:rPr>
        <w:t xml:space="preserve"> (SES) </w:t>
      </w:r>
      <w:r w:rsidR="00476F83">
        <w:rPr>
          <w:rFonts w:ascii="Arial" w:hAnsi="Arial" w:cs="Arial"/>
          <w:color w:val="000000"/>
          <w:sz w:val="22"/>
          <w:szCs w:val="22"/>
          <w:lang w:eastAsia="en-AU"/>
        </w:rPr>
        <w:t xml:space="preserve">of </w:t>
      </w:r>
      <w:r w:rsidR="00D2785B">
        <w:rPr>
          <w:rFonts w:ascii="Arial" w:hAnsi="Arial" w:cs="Arial"/>
          <w:color w:val="000000"/>
          <w:sz w:val="22"/>
          <w:szCs w:val="22"/>
          <w:lang w:eastAsia="en-AU"/>
        </w:rPr>
        <w:t xml:space="preserve">those students attending </w:t>
      </w:r>
      <w:r w:rsidR="00476F83">
        <w:rPr>
          <w:rFonts w:ascii="Arial" w:hAnsi="Arial" w:cs="Arial"/>
          <w:color w:val="000000"/>
          <w:sz w:val="22"/>
          <w:szCs w:val="22"/>
          <w:lang w:eastAsia="en-AU"/>
        </w:rPr>
        <w:t xml:space="preserve">the </w:t>
      </w:r>
      <w:r w:rsidR="006C134D">
        <w:rPr>
          <w:rFonts w:ascii="Arial" w:hAnsi="Arial" w:cs="Arial"/>
          <w:color w:val="000000"/>
          <w:sz w:val="22"/>
          <w:szCs w:val="22"/>
          <w:lang w:eastAsia="en-AU"/>
        </w:rPr>
        <w:t>parent</w:t>
      </w:r>
      <w:r w:rsidR="00476F83">
        <w:rPr>
          <w:rFonts w:ascii="Arial" w:hAnsi="Arial" w:cs="Arial"/>
          <w:color w:val="000000"/>
          <w:sz w:val="22"/>
          <w:szCs w:val="22"/>
          <w:lang w:eastAsia="en-AU"/>
        </w:rPr>
        <w:t xml:space="preserve"> school.</w:t>
      </w:r>
    </w:p>
    <w:p w:rsidR="00BE0C22" w:rsidRDefault="00BE0C22" w:rsidP="00A33FDD">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The proposal relates only to a campus or satellite school established within the same state or territory as the founding school, as non-government schools are registered by their state or territory government for operation within that jurisdiction according to the laws and regulations applying </w:t>
      </w:r>
      <w:r w:rsidR="00072ED6">
        <w:rPr>
          <w:rFonts w:ascii="Arial" w:hAnsi="Arial" w:cs="Arial"/>
          <w:color w:val="000000"/>
          <w:sz w:val="22"/>
          <w:szCs w:val="22"/>
          <w:lang w:eastAsia="en-AU"/>
        </w:rPr>
        <w:t xml:space="preserve">to schools </w:t>
      </w:r>
      <w:r>
        <w:rPr>
          <w:rFonts w:ascii="Arial" w:hAnsi="Arial" w:cs="Arial"/>
          <w:color w:val="000000"/>
          <w:sz w:val="22"/>
          <w:szCs w:val="22"/>
          <w:lang w:eastAsia="en-AU"/>
        </w:rPr>
        <w:t>within that jurisdiction.</w:t>
      </w:r>
    </w:p>
    <w:p w:rsidR="00AA0BDE" w:rsidRDefault="000D3D6C" w:rsidP="00D2785B">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(AHISA is aware that</w:t>
      </w:r>
      <w:r w:rsidR="005D50AD">
        <w:rPr>
          <w:rFonts w:ascii="Arial" w:hAnsi="Arial" w:cs="Arial"/>
          <w:color w:val="000000"/>
          <w:sz w:val="22"/>
          <w:szCs w:val="22"/>
          <w:lang w:eastAsia="en-AU"/>
        </w:rPr>
        <w:t xml:space="preserve"> ‘Children and Schooling’ is a specific program stream under the Australian Government’s Indigenous Advance Strategy (IAS), and covers projects aimed at improving school attendance and education outcomes</w:t>
      </w:r>
      <w:r>
        <w:rPr>
          <w:rFonts w:ascii="Arial" w:hAnsi="Arial" w:cs="Arial"/>
          <w:color w:val="000000"/>
          <w:sz w:val="22"/>
          <w:szCs w:val="22"/>
          <w:lang w:eastAsia="en-AU"/>
        </w:rPr>
        <w:t>. However,</w:t>
      </w:r>
      <w:r w:rsidR="005D50AD">
        <w:rPr>
          <w:rFonts w:ascii="Arial" w:hAnsi="Arial" w:cs="Arial"/>
          <w:color w:val="000000"/>
          <w:sz w:val="22"/>
          <w:szCs w:val="22"/>
          <w:lang w:eastAsia="en-AU"/>
        </w:rPr>
        <w:t xml:space="preserve"> the IAS does not fund activities that are funded via federal general</w:t>
      </w:r>
      <w:r>
        <w:rPr>
          <w:rFonts w:ascii="Arial" w:hAnsi="Arial" w:cs="Arial"/>
          <w:color w:val="000000"/>
          <w:sz w:val="22"/>
          <w:szCs w:val="22"/>
          <w:lang w:eastAsia="en-AU"/>
        </w:rPr>
        <w:t xml:space="preserve"> recurrent funding for schools and </w:t>
      </w:r>
      <w:r w:rsidR="005D50AD">
        <w:rPr>
          <w:rFonts w:ascii="Arial" w:hAnsi="Arial" w:cs="Arial"/>
          <w:color w:val="000000"/>
          <w:sz w:val="22"/>
          <w:szCs w:val="22"/>
          <w:lang w:eastAsia="en-AU"/>
        </w:rPr>
        <w:t>an amendment to the federal schools funding model</w:t>
      </w:r>
      <w:r w:rsidR="000C5299">
        <w:rPr>
          <w:rFonts w:ascii="Arial" w:hAnsi="Arial" w:cs="Arial"/>
          <w:color w:val="000000"/>
          <w:sz w:val="22"/>
          <w:szCs w:val="22"/>
          <w:lang w:eastAsia="en-AU"/>
        </w:rPr>
        <w:t xml:space="preserve"> is therefore the only option to support innovative effort by established schools and create more equitable funding arrangements for disadvantaged Indigenous students</w:t>
      </w:r>
      <w:r w:rsidR="00AA0BDE">
        <w:rPr>
          <w:rFonts w:ascii="Arial" w:hAnsi="Arial" w:cs="Arial"/>
          <w:color w:val="000000"/>
          <w:sz w:val="22"/>
          <w:szCs w:val="22"/>
          <w:lang w:eastAsia="en-AU"/>
        </w:rPr>
        <w:t>.</w:t>
      </w:r>
      <w:r>
        <w:rPr>
          <w:rFonts w:ascii="Arial" w:hAnsi="Arial" w:cs="Arial"/>
          <w:color w:val="000000"/>
          <w:sz w:val="22"/>
          <w:szCs w:val="22"/>
          <w:lang w:eastAsia="en-AU"/>
        </w:rPr>
        <w:t>)</w:t>
      </w:r>
    </w:p>
    <w:p w:rsidR="00D2785B" w:rsidRDefault="00D2785B" w:rsidP="00D2785B">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Under the </w:t>
      </w:r>
      <w:r w:rsidR="00AA0BDE">
        <w:rPr>
          <w:rFonts w:ascii="Arial" w:hAnsi="Arial" w:cs="Arial"/>
          <w:color w:val="000000"/>
          <w:sz w:val="22"/>
          <w:szCs w:val="22"/>
          <w:lang w:eastAsia="en-AU"/>
        </w:rPr>
        <w:t xml:space="preserve">federal schools </w:t>
      </w:r>
      <w:r>
        <w:rPr>
          <w:rFonts w:ascii="Arial" w:hAnsi="Arial" w:cs="Arial"/>
          <w:color w:val="000000"/>
          <w:sz w:val="22"/>
          <w:szCs w:val="22"/>
          <w:lang w:eastAsia="en-AU"/>
        </w:rPr>
        <w:t xml:space="preserve">funding model described in the </w:t>
      </w:r>
      <w:r w:rsidRPr="008F3B13">
        <w:rPr>
          <w:rFonts w:ascii="Arial" w:hAnsi="Arial" w:cs="Arial"/>
          <w:i/>
          <w:color w:val="000000"/>
          <w:sz w:val="22"/>
          <w:szCs w:val="22"/>
          <w:lang w:eastAsia="en-AU"/>
        </w:rPr>
        <w:t>Australian Education Act 2013</w:t>
      </w:r>
      <w:r>
        <w:rPr>
          <w:rFonts w:ascii="Arial" w:hAnsi="Arial" w:cs="Arial"/>
          <w:color w:val="000000"/>
          <w:sz w:val="22"/>
          <w:szCs w:val="22"/>
          <w:lang w:eastAsia="en-AU"/>
        </w:rPr>
        <w:t>, students in non-systemic independent schools are eligible for a base recurrent funding amount (a proportion of the Schools Resourcing Standard, or SRS) and may also attract loadings that address disadvantage. The proportion of the base funding component varies according to ‘capacity to contribute’, where capacity to contribute is an aggregate measure of the</w:t>
      </w:r>
      <w:r w:rsidRPr="000A74B0">
        <w:rPr>
          <w:rFonts w:ascii="Arial" w:hAnsi="Arial" w:cs="Arial"/>
          <w:color w:val="000000"/>
          <w:sz w:val="22"/>
          <w:szCs w:val="22"/>
          <w:lang w:eastAsia="en-AU"/>
        </w:rPr>
        <w:t xml:space="preserve"> </w:t>
      </w:r>
      <w:r>
        <w:rPr>
          <w:rFonts w:ascii="Arial" w:hAnsi="Arial" w:cs="Arial"/>
          <w:color w:val="000000"/>
          <w:sz w:val="22"/>
          <w:szCs w:val="22"/>
          <w:lang w:eastAsia="en-AU"/>
        </w:rPr>
        <w:t xml:space="preserve">SES of all students attending the school. </w:t>
      </w:r>
      <w:r w:rsidRPr="008F3B13">
        <w:rPr>
          <w:rFonts w:ascii="Arial" w:hAnsi="Arial" w:cs="Arial"/>
          <w:color w:val="000000"/>
          <w:sz w:val="22"/>
          <w:szCs w:val="22"/>
          <w:lang w:eastAsia="en-AU"/>
        </w:rPr>
        <w:t>S</w:t>
      </w:r>
      <w:r>
        <w:rPr>
          <w:rFonts w:ascii="Arial" w:hAnsi="Arial" w:cs="Arial"/>
          <w:color w:val="000000"/>
          <w:sz w:val="22"/>
          <w:szCs w:val="22"/>
          <w:lang w:eastAsia="en-AU"/>
        </w:rPr>
        <w:t>tudents attending independent s</w:t>
      </w:r>
      <w:r w:rsidRPr="008F3B13">
        <w:rPr>
          <w:rFonts w:ascii="Arial" w:hAnsi="Arial" w:cs="Arial"/>
          <w:color w:val="000000"/>
          <w:sz w:val="22"/>
          <w:szCs w:val="22"/>
          <w:lang w:eastAsia="en-AU"/>
        </w:rPr>
        <w:t xml:space="preserve">chools with a higher </w:t>
      </w:r>
      <w:r>
        <w:rPr>
          <w:rFonts w:ascii="Arial" w:hAnsi="Arial" w:cs="Arial"/>
          <w:color w:val="000000"/>
          <w:sz w:val="22"/>
          <w:szCs w:val="22"/>
          <w:lang w:eastAsia="en-AU"/>
        </w:rPr>
        <w:t>SES score would receive</w:t>
      </w:r>
      <w:r w:rsidRPr="008F3B13">
        <w:rPr>
          <w:rFonts w:ascii="Arial" w:hAnsi="Arial" w:cs="Arial"/>
          <w:color w:val="000000"/>
          <w:sz w:val="22"/>
          <w:szCs w:val="22"/>
          <w:lang w:eastAsia="en-AU"/>
        </w:rPr>
        <w:t xml:space="preserve"> less per capita base funding</w:t>
      </w:r>
      <w:r>
        <w:rPr>
          <w:rFonts w:ascii="Arial" w:hAnsi="Arial" w:cs="Arial"/>
          <w:color w:val="000000"/>
          <w:sz w:val="22"/>
          <w:szCs w:val="22"/>
          <w:lang w:eastAsia="en-AU"/>
        </w:rPr>
        <w:t xml:space="preserve"> than students attending schools with a lower SES score.</w:t>
      </w:r>
    </w:p>
    <w:p w:rsidR="00D2785B" w:rsidRDefault="00D2785B" w:rsidP="00D2785B">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Under this model, all students within the one independent school attract the same base funding amount irrespective of the student’s individual SES or the individual family’s capacity to pay. A student from a family with a lower income attending an independent school with a high SES score is therefore eligible only for a small base grant (but may attract a loading</w:t>
      </w:r>
      <w:r w:rsidR="000C5299">
        <w:rPr>
          <w:rFonts w:ascii="Arial" w:hAnsi="Arial" w:cs="Arial"/>
          <w:color w:val="000000"/>
          <w:sz w:val="22"/>
          <w:szCs w:val="22"/>
          <w:lang w:eastAsia="en-AU"/>
        </w:rPr>
        <w:t xml:space="preserve"> for a specified disadvantage such as indigeneity</w:t>
      </w:r>
      <w:r>
        <w:rPr>
          <w:rFonts w:ascii="Arial" w:hAnsi="Arial" w:cs="Arial"/>
          <w:color w:val="000000"/>
          <w:sz w:val="22"/>
          <w:szCs w:val="22"/>
          <w:lang w:eastAsia="en-AU"/>
        </w:rPr>
        <w:t xml:space="preserve">). On the other hand, a student from a high-income family attending a mid- or lower-SES school would be eligible for a larger government base grant. </w:t>
      </w:r>
    </w:p>
    <w:p w:rsidR="003207BB" w:rsidRDefault="00D2785B" w:rsidP="009908CB">
      <w:pPr>
        <w:spacing w:after="200" w:line="280" w:lineRule="exact"/>
        <w:rPr>
          <w:rFonts w:ascii="Arial" w:hAnsi="Arial" w:cs="Arial"/>
          <w:color w:val="000000"/>
          <w:sz w:val="22"/>
          <w:szCs w:val="22"/>
          <w:lang w:eastAsia="en-AU"/>
        </w:rPr>
      </w:pPr>
      <w:r>
        <w:rPr>
          <w:rFonts w:ascii="Arial" w:hAnsi="Arial" w:cs="Arial"/>
          <w:color w:val="000000"/>
          <w:sz w:val="22"/>
          <w:szCs w:val="22"/>
          <w:lang w:eastAsia="en-AU"/>
        </w:rPr>
        <w:t xml:space="preserve">AHISA’s proposal would </w:t>
      </w:r>
      <w:r w:rsidR="000C5299">
        <w:rPr>
          <w:rFonts w:ascii="Arial" w:hAnsi="Arial" w:cs="Arial"/>
          <w:color w:val="000000"/>
          <w:sz w:val="22"/>
          <w:szCs w:val="22"/>
          <w:lang w:eastAsia="en-AU"/>
        </w:rPr>
        <w:t xml:space="preserve">ensure low SES Indigenous students attending a campus or satellite school established under the aegis of an existing non-government school would attract government funding reflecting their own circumstances rather than the ‘capacity to pay’ of the </w:t>
      </w:r>
      <w:r w:rsidR="006C134D">
        <w:rPr>
          <w:rFonts w:ascii="Arial" w:hAnsi="Arial" w:cs="Arial"/>
          <w:color w:val="000000"/>
          <w:sz w:val="22"/>
          <w:szCs w:val="22"/>
          <w:lang w:eastAsia="en-AU"/>
        </w:rPr>
        <w:t>parent</w:t>
      </w:r>
      <w:r w:rsidR="000C5299">
        <w:rPr>
          <w:rFonts w:ascii="Arial" w:hAnsi="Arial" w:cs="Arial"/>
          <w:color w:val="000000"/>
          <w:sz w:val="22"/>
          <w:szCs w:val="22"/>
          <w:lang w:eastAsia="en-AU"/>
        </w:rPr>
        <w:t xml:space="preserve"> school’s community. This amendment to current funding arrangements would </w:t>
      </w:r>
      <w:r>
        <w:rPr>
          <w:rFonts w:ascii="Arial" w:hAnsi="Arial" w:cs="Arial"/>
          <w:color w:val="000000"/>
          <w:sz w:val="22"/>
          <w:szCs w:val="22"/>
          <w:lang w:eastAsia="en-AU"/>
        </w:rPr>
        <w:t xml:space="preserve">offer greater equity and choice of schooling to Indigenous families and support the extension of the resources of </w:t>
      </w:r>
      <w:r w:rsidR="00640D83">
        <w:rPr>
          <w:rFonts w:ascii="Arial" w:hAnsi="Arial" w:cs="Arial"/>
          <w:color w:val="000000"/>
          <w:sz w:val="22"/>
          <w:szCs w:val="22"/>
          <w:lang w:eastAsia="en-AU"/>
        </w:rPr>
        <w:t xml:space="preserve">established </w:t>
      </w:r>
      <w:r>
        <w:rPr>
          <w:rFonts w:ascii="Arial" w:hAnsi="Arial" w:cs="Arial"/>
          <w:color w:val="000000"/>
          <w:sz w:val="22"/>
          <w:szCs w:val="22"/>
          <w:lang w:eastAsia="en-AU"/>
        </w:rPr>
        <w:t xml:space="preserve">independent school communities to Indigenous communities. </w:t>
      </w:r>
      <w:r w:rsidR="00476F83">
        <w:rPr>
          <w:rFonts w:ascii="Arial" w:hAnsi="Arial" w:cs="Arial"/>
          <w:color w:val="000000"/>
          <w:sz w:val="22"/>
          <w:szCs w:val="22"/>
          <w:lang w:eastAsia="en-AU"/>
        </w:rPr>
        <w:t>The</w:t>
      </w:r>
      <w:r w:rsidR="003207BB">
        <w:rPr>
          <w:rFonts w:ascii="Arial" w:hAnsi="Arial" w:cs="Arial"/>
          <w:color w:val="000000"/>
          <w:sz w:val="22"/>
          <w:szCs w:val="22"/>
          <w:lang w:eastAsia="en-AU"/>
        </w:rPr>
        <w:t xml:space="preserve"> cases of Gawura School and Darkinjung Barker College, both in NSW, are used to illustrate the proposal.</w:t>
      </w:r>
    </w:p>
    <w:p w:rsidR="00037C4B" w:rsidRPr="00916F15" w:rsidRDefault="00037C4B" w:rsidP="004A1D26">
      <w:pPr>
        <w:spacing w:after="80" w:line="280" w:lineRule="exact"/>
        <w:rPr>
          <w:rFonts w:ascii="Arial" w:hAnsi="Arial" w:cs="Arial"/>
          <w:i/>
          <w:color w:val="7030A0"/>
          <w:sz w:val="22"/>
          <w:szCs w:val="22"/>
          <w:lang w:eastAsia="en-AU"/>
        </w:rPr>
      </w:pPr>
      <w:r w:rsidRPr="00916F15">
        <w:rPr>
          <w:rFonts w:ascii="Arial" w:hAnsi="Arial" w:cs="Arial"/>
          <w:i/>
          <w:color w:val="7030A0"/>
          <w:sz w:val="22"/>
          <w:szCs w:val="22"/>
          <w:lang w:eastAsia="en-AU"/>
        </w:rPr>
        <w:t>Gawura</w:t>
      </w:r>
      <w:r w:rsidR="00916F15" w:rsidRPr="00916F15">
        <w:rPr>
          <w:rFonts w:ascii="Arial" w:hAnsi="Arial" w:cs="Arial"/>
          <w:i/>
          <w:color w:val="7030A0"/>
          <w:sz w:val="22"/>
          <w:szCs w:val="22"/>
          <w:lang w:eastAsia="en-AU"/>
        </w:rPr>
        <w:t xml:space="preserve"> School</w:t>
      </w:r>
    </w:p>
    <w:p w:rsidR="001B1DC4" w:rsidRPr="001B1DC4" w:rsidRDefault="004E3677" w:rsidP="008D3A79">
      <w:pPr>
        <w:spacing w:after="80" w:line="280" w:lineRule="exact"/>
        <w:rPr>
          <w:rFonts w:ascii="Arial" w:hAnsi="Arial" w:cs="Arial"/>
          <w:sz w:val="22"/>
          <w:szCs w:val="22"/>
        </w:rPr>
      </w:pPr>
      <w:r w:rsidRPr="001B1DC4">
        <w:rPr>
          <w:rFonts w:ascii="Arial" w:hAnsi="Arial" w:cs="Arial"/>
          <w:color w:val="000000"/>
          <w:sz w:val="22"/>
          <w:szCs w:val="22"/>
          <w:lang w:eastAsia="en-AU"/>
        </w:rPr>
        <w:t xml:space="preserve">Gawura was first established </w:t>
      </w:r>
      <w:r w:rsidR="00BA4AC6" w:rsidRPr="001B1DC4">
        <w:rPr>
          <w:rFonts w:ascii="Arial" w:hAnsi="Arial" w:cs="Arial"/>
          <w:color w:val="000000"/>
          <w:sz w:val="22"/>
          <w:szCs w:val="22"/>
          <w:lang w:eastAsia="en-AU"/>
        </w:rPr>
        <w:t xml:space="preserve">in 2007 </w:t>
      </w:r>
      <w:r w:rsidRPr="001B1DC4">
        <w:rPr>
          <w:rFonts w:ascii="Arial" w:hAnsi="Arial" w:cs="Arial"/>
          <w:color w:val="000000"/>
          <w:sz w:val="22"/>
          <w:szCs w:val="22"/>
          <w:lang w:eastAsia="en-AU"/>
        </w:rPr>
        <w:t>as a ‘school within a school’ by St Andrew</w:t>
      </w:r>
      <w:r w:rsidR="00BA4AC6" w:rsidRPr="001B1DC4">
        <w:rPr>
          <w:rFonts w:ascii="Arial" w:hAnsi="Arial" w:cs="Arial"/>
          <w:color w:val="000000"/>
          <w:sz w:val="22"/>
          <w:szCs w:val="22"/>
          <w:lang w:eastAsia="en-AU"/>
        </w:rPr>
        <w:t>’</w:t>
      </w:r>
      <w:r w:rsidRPr="001B1DC4">
        <w:rPr>
          <w:rFonts w:ascii="Arial" w:hAnsi="Arial" w:cs="Arial"/>
          <w:color w:val="000000"/>
          <w:sz w:val="22"/>
          <w:szCs w:val="22"/>
          <w:lang w:eastAsia="en-AU"/>
        </w:rPr>
        <w:t xml:space="preserve">s Cathedral School </w:t>
      </w:r>
      <w:r w:rsidR="00D2785B" w:rsidRPr="001B1DC4">
        <w:rPr>
          <w:rFonts w:ascii="Arial" w:hAnsi="Arial" w:cs="Arial"/>
          <w:color w:val="000000"/>
          <w:sz w:val="22"/>
          <w:szCs w:val="22"/>
          <w:lang w:eastAsia="en-AU"/>
        </w:rPr>
        <w:t xml:space="preserve">in Sydney’s CBD </w:t>
      </w:r>
      <w:r w:rsidR="00BA4AC6" w:rsidRPr="001B1DC4">
        <w:rPr>
          <w:rFonts w:ascii="Arial" w:hAnsi="Arial" w:cs="Arial"/>
          <w:color w:val="000000"/>
          <w:sz w:val="22"/>
          <w:szCs w:val="22"/>
          <w:lang w:eastAsia="en-AU"/>
        </w:rPr>
        <w:t>and has since register</w:t>
      </w:r>
      <w:r w:rsidR="00D2785B" w:rsidRPr="001B1DC4">
        <w:rPr>
          <w:rFonts w:ascii="Arial" w:hAnsi="Arial" w:cs="Arial"/>
          <w:color w:val="000000"/>
          <w:sz w:val="22"/>
          <w:szCs w:val="22"/>
          <w:lang w:eastAsia="en-AU"/>
        </w:rPr>
        <w:t>ed</w:t>
      </w:r>
      <w:r w:rsidR="00BA4AC6" w:rsidRPr="001B1DC4">
        <w:rPr>
          <w:rFonts w:ascii="Arial" w:hAnsi="Arial" w:cs="Arial"/>
          <w:color w:val="000000"/>
          <w:sz w:val="22"/>
          <w:szCs w:val="22"/>
          <w:lang w:eastAsia="en-AU"/>
        </w:rPr>
        <w:t xml:space="preserve"> as a school in its own right</w:t>
      </w:r>
      <w:r w:rsidRPr="001B1DC4">
        <w:rPr>
          <w:rFonts w:ascii="Arial" w:hAnsi="Arial" w:cs="Arial"/>
          <w:color w:val="000000"/>
          <w:sz w:val="22"/>
          <w:szCs w:val="22"/>
          <w:lang w:eastAsia="en-AU"/>
        </w:rPr>
        <w:t>.</w:t>
      </w:r>
      <w:r w:rsidR="00BA4AC6" w:rsidRPr="001B1DC4">
        <w:rPr>
          <w:rFonts w:ascii="Arial" w:hAnsi="Arial" w:cs="Arial"/>
          <w:color w:val="000000"/>
          <w:sz w:val="22"/>
          <w:szCs w:val="22"/>
          <w:lang w:eastAsia="en-AU"/>
        </w:rPr>
        <w:t xml:space="preserve"> </w:t>
      </w:r>
      <w:r w:rsidR="001B1DC4" w:rsidRPr="001B1DC4">
        <w:rPr>
          <w:rFonts w:ascii="Arial" w:hAnsi="Arial" w:cs="Arial"/>
          <w:color w:val="000000"/>
          <w:sz w:val="22"/>
          <w:szCs w:val="22"/>
          <w:lang w:eastAsia="en-AU"/>
        </w:rPr>
        <w:t xml:space="preserve">It </w:t>
      </w:r>
      <w:r w:rsidR="004A1D26">
        <w:rPr>
          <w:rFonts w:ascii="Arial" w:hAnsi="Arial" w:cs="Arial"/>
          <w:color w:val="000000"/>
          <w:sz w:val="22"/>
          <w:szCs w:val="22"/>
          <w:lang w:eastAsia="en-AU"/>
        </w:rPr>
        <w:t xml:space="preserve">is a day school </w:t>
      </w:r>
      <w:r w:rsidR="001B1DC4" w:rsidRPr="001B1DC4">
        <w:rPr>
          <w:rFonts w:ascii="Arial" w:hAnsi="Arial" w:cs="Arial"/>
          <w:color w:val="000000"/>
          <w:sz w:val="22"/>
          <w:szCs w:val="22"/>
          <w:lang w:eastAsia="en-AU"/>
        </w:rPr>
        <w:t>provid</w:t>
      </w:r>
      <w:r w:rsidR="004A1D26">
        <w:rPr>
          <w:rFonts w:ascii="Arial" w:hAnsi="Arial" w:cs="Arial"/>
          <w:color w:val="000000"/>
          <w:sz w:val="22"/>
          <w:szCs w:val="22"/>
          <w:lang w:eastAsia="en-AU"/>
        </w:rPr>
        <w:t>ing</w:t>
      </w:r>
      <w:r w:rsidR="001B1DC4" w:rsidRPr="001B1DC4">
        <w:rPr>
          <w:rFonts w:ascii="Arial" w:hAnsi="Arial" w:cs="Arial"/>
          <w:color w:val="000000"/>
          <w:sz w:val="22"/>
          <w:szCs w:val="22"/>
          <w:lang w:eastAsia="en-AU"/>
        </w:rPr>
        <w:t xml:space="preserve"> for up to 28 students – four in each year level from Kindergarten to Year 6</w:t>
      </w:r>
      <w:r w:rsidR="004A1D26">
        <w:rPr>
          <w:rFonts w:ascii="Arial" w:hAnsi="Arial" w:cs="Arial"/>
          <w:color w:val="000000"/>
          <w:sz w:val="22"/>
          <w:szCs w:val="22"/>
          <w:lang w:eastAsia="en-AU"/>
        </w:rPr>
        <w:t xml:space="preserve"> – who reside in inner Sydney with family or carers. </w:t>
      </w:r>
      <w:r w:rsidR="001B1DC4" w:rsidRPr="001B1DC4">
        <w:rPr>
          <w:rFonts w:ascii="Arial" w:hAnsi="Arial" w:cs="Arial"/>
          <w:sz w:val="22"/>
          <w:szCs w:val="22"/>
        </w:rPr>
        <w:t>Its program is built upon key educational and cultural foundations:</w:t>
      </w:r>
    </w:p>
    <w:p w:rsidR="001B1DC4" w:rsidRPr="001B1DC4" w:rsidRDefault="001B1DC4" w:rsidP="0067338C">
      <w:pPr>
        <w:pStyle w:val="ListParagraph"/>
        <w:numPr>
          <w:ilvl w:val="0"/>
          <w:numId w:val="11"/>
        </w:numPr>
        <w:spacing w:after="80" w:line="280" w:lineRule="exact"/>
        <w:ind w:left="714" w:hanging="357"/>
        <w:contextualSpacing w:val="0"/>
        <w:rPr>
          <w:rFonts w:ascii="Arial" w:hAnsi="Arial" w:cs="Arial"/>
        </w:rPr>
      </w:pPr>
      <w:r w:rsidRPr="001B1DC4">
        <w:rPr>
          <w:rFonts w:ascii="Arial" w:hAnsi="Arial" w:cs="Arial"/>
        </w:rPr>
        <w:t xml:space="preserve">Early childhood and Stage 1 education is vital to long term success </w:t>
      </w:r>
    </w:p>
    <w:p w:rsidR="001B1DC4" w:rsidRPr="001B1DC4" w:rsidRDefault="001B1DC4" w:rsidP="0067338C">
      <w:pPr>
        <w:pStyle w:val="ListParagraph"/>
        <w:numPr>
          <w:ilvl w:val="0"/>
          <w:numId w:val="11"/>
        </w:numPr>
        <w:spacing w:after="80" w:line="280" w:lineRule="exact"/>
        <w:ind w:left="714" w:hanging="357"/>
        <w:contextualSpacing w:val="0"/>
        <w:rPr>
          <w:rFonts w:ascii="Arial" w:hAnsi="Arial" w:cs="Arial"/>
        </w:rPr>
      </w:pPr>
      <w:r w:rsidRPr="001B1DC4">
        <w:rPr>
          <w:rFonts w:ascii="Arial" w:hAnsi="Arial" w:cs="Arial"/>
        </w:rPr>
        <w:t>A focus on literacy, numeracy, cultural awareness and socialisation</w:t>
      </w:r>
    </w:p>
    <w:p w:rsidR="001B1DC4" w:rsidRPr="001B1DC4" w:rsidRDefault="001B1DC4" w:rsidP="0067338C">
      <w:pPr>
        <w:pStyle w:val="ListParagraph"/>
        <w:numPr>
          <w:ilvl w:val="0"/>
          <w:numId w:val="11"/>
        </w:numPr>
        <w:spacing w:after="80" w:line="280" w:lineRule="exact"/>
        <w:ind w:left="714" w:hanging="357"/>
        <w:contextualSpacing w:val="0"/>
        <w:rPr>
          <w:rFonts w:ascii="Arial" w:hAnsi="Arial" w:cs="Arial"/>
        </w:rPr>
      </w:pPr>
      <w:r w:rsidRPr="001B1DC4">
        <w:rPr>
          <w:rFonts w:ascii="Arial" w:hAnsi="Arial" w:cs="Arial"/>
        </w:rPr>
        <w:t>Academically rigorous teaching and learning in an environment where Aboriginal and Torres Strait Islander culture is predominant</w:t>
      </w:r>
      <w:r w:rsidR="009725BA">
        <w:rPr>
          <w:rFonts w:ascii="Arial" w:hAnsi="Arial" w:cs="Arial"/>
        </w:rPr>
        <w:t xml:space="preserve"> (</w:t>
      </w:r>
      <w:r w:rsidR="009725BA" w:rsidRPr="001B1DC4">
        <w:rPr>
          <w:rFonts w:ascii="Arial" w:hAnsi="Arial" w:cs="Arial"/>
          <w:color w:val="000000"/>
          <w:lang w:eastAsia="en-AU"/>
        </w:rPr>
        <w:t>Wiradjuri has been embraced as the official Aboriginal dialect and is taught to all students in Gawura</w:t>
      </w:r>
      <w:r w:rsidR="009725BA">
        <w:rPr>
          <w:rFonts w:ascii="Arial" w:hAnsi="Arial" w:cs="Arial"/>
          <w:color w:val="000000"/>
          <w:lang w:eastAsia="en-AU"/>
        </w:rPr>
        <w:t>)</w:t>
      </w:r>
    </w:p>
    <w:p w:rsidR="001B1DC4" w:rsidRPr="001B1DC4" w:rsidRDefault="001B1DC4" w:rsidP="0067338C">
      <w:pPr>
        <w:pStyle w:val="ListParagraph"/>
        <w:numPr>
          <w:ilvl w:val="0"/>
          <w:numId w:val="11"/>
        </w:numPr>
        <w:spacing w:after="80" w:line="280" w:lineRule="exact"/>
        <w:ind w:left="714" w:hanging="357"/>
        <w:contextualSpacing w:val="0"/>
        <w:rPr>
          <w:rFonts w:ascii="Arial" w:hAnsi="Arial" w:cs="Arial"/>
        </w:rPr>
      </w:pPr>
      <w:r w:rsidRPr="001B1DC4">
        <w:rPr>
          <w:rFonts w:ascii="Arial" w:hAnsi="Arial" w:cs="Arial"/>
        </w:rPr>
        <w:t>The celebration of cultural identities as definitional</w:t>
      </w:r>
    </w:p>
    <w:p w:rsidR="001B1DC4" w:rsidRPr="001B1DC4" w:rsidRDefault="001B1DC4" w:rsidP="0067338C">
      <w:pPr>
        <w:pStyle w:val="ListParagraph"/>
        <w:numPr>
          <w:ilvl w:val="0"/>
          <w:numId w:val="11"/>
        </w:numPr>
        <w:spacing w:after="80" w:line="280" w:lineRule="exact"/>
        <w:ind w:left="714" w:hanging="357"/>
        <w:contextualSpacing w:val="0"/>
        <w:rPr>
          <w:rFonts w:ascii="Arial" w:hAnsi="Arial" w:cs="Arial"/>
        </w:rPr>
      </w:pPr>
      <w:r w:rsidRPr="001B1DC4">
        <w:rPr>
          <w:rFonts w:ascii="Arial" w:hAnsi="Arial" w:cs="Arial"/>
        </w:rPr>
        <w:t xml:space="preserve">Working together with families </w:t>
      </w:r>
    </w:p>
    <w:p w:rsidR="001B1DC4" w:rsidRPr="001B1DC4" w:rsidRDefault="001B1DC4" w:rsidP="0067338C">
      <w:pPr>
        <w:pStyle w:val="ListParagraph"/>
        <w:numPr>
          <w:ilvl w:val="0"/>
          <w:numId w:val="11"/>
        </w:numPr>
        <w:spacing w:after="80" w:line="280" w:lineRule="exact"/>
        <w:ind w:left="714" w:hanging="357"/>
        <w:contextualSpacing w:val="0"/>
        <w:rPr>
          <w:rFonts w:ascii="Arial" w:hAnsi="Arial" w:cs="Arial"/>
        </w:rPr>
      </w:pPr>
      <w:r w:rsidRPr="001B1DC4">
        <w:rPr>
          <w:rFonts w:ascii="Arial" w:hAnsi="Arial" w:cs="Arial"/>
        </w:rPr>
        <w:t>Continuity of practice, the development of good work habits, high expectations of students and regular attendance support high achievement</w:t>
      </w:r>
    </w:p>
    <w:p w:rsidR="001B1DC4" w:rsidRPr="001B1DC4" w:rsidRDefault="001B1DC4" w:rsidP="0067338C">
      <w:pPr>
        <w:pStyle w:val="ListParagraph"/>
        <w:numPr>
          <w:ilvl w:val="0"/>
          <w:numId w:val="11"/>
        </w:numPr>
        <w:spacing w:after="160" w:line="280" w:lineRule="exact"/>
        <w:ind w:left="714" w:hanging="357"/>
        <w:contextualSpacing w:val="0"/>
        <w:rPr>
          <w:rFonts w:ascii="Arial" w:hAnsi="Arial" w:cs="Arial"/>
        </w:rPr>
      </w:pPr>
      <w:r w:rsidRPr="001B1DC4">
        <w:rPr>
          <w:rFonts w:ascii="Arial" w:hAnsi="Arial" w:cs="Arial"/>
        </w:rPr>
        <w:t xml:space="preserve">Learning is a community experience, with close kinship connections between the children supported and differences in backgrounds and traditional family areas respected. </w:t>
      </w:r>
    </w:p>
    <w:p w:rsidR="008D3A79" w:rsidRPr="008D3A79" w:rsidRDefault="008D3A79" w:rsidP="008D3A79">
      <w:pPr>
        <w:spacing w:after="160" w:line="280" w:lineRule="exact"/>
        <w:rPr>
          <w:rFonts w:ascii="Arial" w:hAnsi="Arial" w:cs="Arial"/>
          <w:color w:val="000000"/>
          <w:sz w:val="22"/>
          <w:szCs w:val="22"/>
          <w:lang w:eastAsia="en-AU"/>
        </w:rPr>
      </w:pPr>
      <w:r w:rsidRPr="008D3A79">
        <w:rPr>
          <w:rFonts w:ascii="Arial" w:hAnsi="Arial" w:cs="Arial"/>
          <w:color w:val="000000"/>
          <w:sz w:val="22"/>
          <w:szCs w:val="22"/>
          <w:lang w:eastAsia="en-AU"/>
        </w:rPr>
        <w:t xml:space="preserve">To ameliorate the lack of homework facilities or support at home, students must attend the </w:t>
      </w:r>
      <w:r w:rsidR="00B83F2B">
        <w:rPr>
          <w:rFonts w:ascii="Arial" w:hAnsi="Arial" w:cs="Arial"/>
          <w:color w:val="000000"/>
          <w:sz w:val="22"/>
          <w:szCs w:val="22"/>
          <w:lang w:eastAsia="en-AU"/>
        </w:rPr>
        <w:t xml:space="preserve">School’s </w:t>
      </w:r>
      <w:r w:rsidRPr="008D3A79">
        <w:rPr>
          <w:rFonts w:ascii="Arial" w:hAnsi="Arial" w:cs="Arial"/>
          <w:color w:val="000000"/>
          <w:sz w:val="22"/>
          <w:szCs w:val="22"/>
          <w:lang w:eastAsia="en-AU"/>
        </w:rPr>
        <w:t>Aboriginal Homework Club two to three afternoons per week. This is supervised by Indigenous and non-Indigenous staff, who assist students with their work.</w:t>
      </w:r>
    </w:p>
    <w:p w:rsidR="001B1DC4" w:rsidRDefault="009725BA" w:rsidP="001B1DC4">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The program</w:t>
      </w:r>
      <w:r w:rsidR="001B1DC4" w:rsidRPr="001B1DC4">
        <w:rPr>
          <w:rFonts w:ascii="Arial" w:hAnsi="Arial" w:cs="Arial"/>
          <w:color w:val="000000"/>
          <w:sz w:val="22"/>
          <w:szCs w:val="22"/>
          <w:lang w:eastAsia="en-AU"/>
        </w:rPr>
        <w:t xml:space="preserve"> </w:t>
      </w:r>
      <w:r>
        <w:rPr>
          <w:rFonts w:ascii="Arial" w:hAnsi="Arial" w:cs="Arial"/>
          <w:color w:val="000000"/>
          <w:sz w:val="22"/>
          <w:szCs w:val="22"/>
          <w:lang w:eastAsia="en-AU"/>
        </w:rPr>
        <w:t>at Gawura enables students</w:t>
      </w:r>
      <w:r w:rsidR="001B1DC4" w:rsidRPr="001B1DC4">
        <w:rPr>
          <w:rFonts w:ascii="Arial" w:hAnsi="Arial" w:cs="Arial"/>
          <w:color w:val="000000"/>
          <w:sz w:val="22"/>
          <w:szCs w:val="22"/>
          <w:lang w:eastAsia="en-AU"/>
        </w:rPr>
        <w:t xml:space="preserve"> to enter St Andrew’s secondary school on an equal footing, academically and socially, with students of all other ethnicities commencing in Year 7.</w:t>
      </w:r>
    </w:p>
    <w:p w:rsidR="00BE0C22" w:rsidRPr="00BE0C22" w:rsidRDefault="00BE0C22" w:rsidP="001B1DC4">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(A more detailed description of the Gawura program and the School’s operations is available in AHISA’s submission to the Parliamentary </w:t>
      </w:r>
      <w:r w:rsidRPr="00BE0C22">
        <w:rPr>
          <w:rFonts w:ascii="Arial" w:hAnsi="Arial" w:cs="Arial"/>
          <w:color w:val="000000"/>
          <w:sz w:val="22"/>
          <w:szCs w:val="22"/>
          <w:lang w:eastAsia="en-AU"/>
        </w:rPr>
        <w:t>Inquiry into Educational Opportunities of Aboriginal and Torres Strait Islander Students, available at</w:t>
      </w:r>
      <w:r>
        <w:rPr>
          <w:rFonts w:ascii="Arial" w:hAnsi="Arial" w:cs="Arial"/>
          <w:color w:val="000000"/>
          <w:sz w:val="20"/>
          <w:szCs w:val="20"/>
          <w:lang w:eastAsia="en-AU"/>
        </w:rPr>
        <w:t xml:space="preserve"> </w:t>
      </w:r>
      <w:hyperlink r:id="rId15" w:history="1">
        <w:r w:rsidRPr="00BE0C22">
          <w:rPr>
            <w:rStyle w:val="Hyperlink"/>
            <w:rFonts w:ascii="Arial" w:hAnsi="Arial" w:cs="Arial"/>
            <w:sz w:val="22"/>
            <w:szCs w:val="22"/>
            <w:lang w:eastAsia="en-AU"/>
          </w:rPr>
          <w:t>http://www.ahisa.edu.au/wp-content/uploads/2016/03/AHISA-Never-Give-Up-Part-2-29Feb16.pdf</w:t>
        </w:r>
      </w:hyperlink>
      <w:r w:rsidRPr="00BE0C22">
        <w:rPr>
          <w:rFonts w:ascii="Arial" w:hAnsi="Arial" w:cs="Arial"/>
          <w:color w:val="000000"/>
          <w:sz w:val="22"/>
          <w:szCs w:val="22"/>
          <w:lang w:eastAsia="en-AU"/>
        </w:rPr>
        <w:t>.</w:t>
      </w:r>
      <w:r>
        <w:rPr>
          <w:rFonts w:ascii="Arial" w:hAnsi="Arial" w:cs="Arial"/>
          <w:color w:val="000000"/>
          <w:sz w:val="22"/>
          <w:szCs w:val="22"/>
          <w:lang w:eastAsia="en-AU"/>
        </w:rPr>
        <w:t>)</w:t>
      </w:r>
    </w:p>
    <w:p w:rsidR="001B1DC4" w:rsidRDefault="00037C4B" w:rsidP="001B1DC4">
      <w:pPr>
        <w:spacing w:after="160" w:line="280" w:lineRule="exact"/>
        <w:rPr>
          <w:rFonts w:ascii="Arial" w:hAnsi="Arial" w:cs="Arial"/>
          <w:color w:val="000000"/>
          <w:sz w:val="22"/>
          <w:szCs w:val="22"/>
          <w:lang w:eastAsia="en-AU"/>
        </w:rPr>
      </w:pPr>
      <w:r w:rsidRPr="00B83F2B">
        <w:rPr>
          <w:rFonts w:ascii="Arial" w:hAnsi="Arial" w:cs="Arial"/>
          <w:color w:val="000000"/>
          <w:sz w:val="22"/>
          <w:szCs w:val="22"/>
          <w:lang w:eastAsia="en-AU"/>
        </w:rPr>
        <w:t>Success indicators include:</w:t>
      </w:r>
    </w:p>
    <w:p w:rsidR="00037C4B" w:rsidRPr="001F178D" w:rsidRDefault="000C5299" w:rsidP="0067338C">
      <w:pPr>
        <w:pStyle w:val="ListParagraph"/>
        <w:numPr>
          <w:ilvl w:val="0"/>
          <w:numId w:val="12"/>
        </w:numPr>
        <w:spacing w:after="160" w:line="280" w:lineRule="exact"/>
        <w:rPr>
          <w:rFonts w:ascii="Arial" w:hAnsi="Arial" w:cs="Arial"/>
          <w:color w:val="000000"/>
          <w:lang w:eastAsia="en-AU"/>
        </w:rPr>
      </w:pPr>
      <w:r w:rsidRPr="0037525A">
        <w:rPr>
          <w:rFonts w:ascii="Arial" w:hAnsi="Arial" w:cs="Arial"/>
          <w:b/>
          <w:i/>
          <w:noProof/>
          <w:color w:val="000000"/>
          <w:lang w:eastAsia="en-AU"/>
        </w:rPr>
        <w:drawing>
          <wp:anchor distT="0" distB="0" distL="114300" distR="114300" simplePos="0" relativeHeight="251662336" behindDoc="0" locked="0" layoutInCell="1" allowOverlap="1" wp14:anchorId="1E6CF436" wp14:editId="54E17683">
            <wp:simplePos x="0" y="0"/>
            <wp:positionH relativeFrom="column">
              <wp:posOffset>2540</wp:posOffset>
            </wp:positionH>
            <wp:positionV relativeFrom="paragraph">
              <wp:posOffset>903605</wp:posOffset>
            </wp:positionV>
            <wp:extent cx="6080125" cy="60655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080125" cy="6065520"/>
                    </a:xfrm>
                    <a:prstGeom prst="rect">
                      <a:avLst/>
                    </a:prstGeom>
                  </pic:spPr>
                </pic:pic>
              </a:graphicData>
            </a:graphic>
            <wp14:sizeRelH relativeFrom="page">
              <wp14:pctWidth>0</wp14:pctWidth>
            </wp14:sizeRelH>
            <wp14:sizeRelV relativeFrom="page">
              <wp14:pctHeight>0</wp14:pctHeight>
            </wp14:sizeRelV>
          </wp:anchor>
        </w:drawing>
      </w:r>
      <w:r w:rsidR="00061758" w:rsidRPr="0037525A">
        <w:rPr>
          <w:rFonts w:ascii="Arial" w:hAnsi="Arial" w:cs="Arial"/>
          <w:b/>
          <w:i/>
          <w:color w:val="000000"/>
          <w:lang w:eastAsia="en-AU"/>
        </w:rPr>
        <w:t>NAPLAN</w:t>
      </w:r>
      <w:r w:rsidR="00061758" w:rsidRPr="00B83F2B">
        <w:rPr>
          <w:rFonts w:ascii="Arial" w:hAnsi="Arial" w:cs="Arial"/>
          <w:color w:val="000000"/>
          <w:lang w:eastAsia="en-AU"/>
        </w:rPr>
        <w:t>.</w:t>
      </w:r>
      <w:r w:rsidR="00061758">
        <w:rPr>
          <w:rFonts w:ascii="Arial" w:hAnsi="Arial" w:cs="Arial"/>
          <w:color w:val="000000"/>
          <w:lang w:eastAsia="en-AU"/>
        </w:rPr>
        <w:t xml:space="preserve"> </w:t>
      </w:r>
      <w:r w:rsidR="00037C4B" w:rsidRPr="001F178D">
        <w:rPr>
          <w:rFonts w:ascii="Arial" w:hAnsi="Arial" w:cs="Arial"/>
          <w:color w:val="000000"/>
          <w:lang w:eastAsia="en-AU"/>
        </w:rPr>
        <w:t xml:space="preserve">Gawura students </w:t>
      </w:r>
      <w:r w:rsidR="00B83F2B">
        <w:rPr>
          <w:rFonts w:ascii="Arial" w:hAnsi="Arial" w:cs="Arial"/>
          <w:color w:val="000000"/>
          <w:lang w:eastAsia="en-AU"/>
        </w:rPr>
        <w:t xml:space="preserve">have </w:t>
      </w:r>
      <w:r w:rsidR="00037C4B" w:rsidRPr="001F178D">
        <w:rPr>
          <w:rFonts w:ascii="Arial" w:hAnsi="Arial" w:cs="Arial"/>
          <w:color w:val="000000"/>
          <w:lang w:eastAsia="en-AU"/>
        </w:rPr>
        <w:t>achieve</w:t>
      </w:r>
      <w:r w:rsidR="00B83F2B">
        <w:rPr>
          <w:rFonts w:ascii="Arial" w:hAnsi="Arial" w:cs="Arial"/>
          <w:color w:val="000000"/>
          <w:lang w:eastAsia="en-AU"/>
        </w:rPr>
        <w:t>d</w:t>
      </w:r>
      <w:r w:rsidR="00037C4B" w:rsidRPr="001F178D">
        <w:rPr>
          <w:rFonts w:ascii="Arial" w:hAnsi="Arial" w:cs="Arial"/>
          <w:color w:val="000000"/>
          <w:lang w:eastAsia="en-AU"/>
        </w:rPr>
        <w:t xml:space="preserve"> significantly above the national Australian average in NAPLAN</w:t>
      </w:r>
      <w:r w:rsidR="00B83F2B">
        <w:rPr>
          <w:rFonts w:ascii="Arial" w:hAnsi="Arial" w:cs="Arial"/>
          <w:color w:val="000000"/>
          <w:lang w:eastAsia="en-AU"/>
        </w:rPr>
        <w:t xml:space="preserve">. As evidenced from the latest data available on the </w:t>
      </w:r>
      <w:r w:rsidR="004E6CB6">
        <w:rPr>
          <w:rFonts w:ascii="Arial" w:hAnsi="Arial" w:cs="Arial"/>
          <w:color w:val="000000"/>
          <w:lang w:eastAsia="en-AU"/>
        </w:rPr>
        <w:t xml:space="preserve">federal government’s </w:t>
      </w:r>
      <w:r w:rsidR="00B83F2B" w:rsidRPr="004E6CB6">
        <w:rPr>
          <w:rFonts w:ascii="Arial" w:hAnsi="Arial" w:cs="Arial"/>
          <w:i/>
          <w:color w:val="000000"/>
          <w:lang w:eastAsia="en-AU"/>
        </w:rPr>
        <w:t>My School</w:t>
      </w:r>
      <w:r w:rsidR="00B83F2B">
        <w:rPr>
          <w:rFonts w:ascii="Arial" w:hAnsi="Arial" w:cs="Arial"/>
          <w:color w:val="000000"/>
          <w:lang w:eastAsia="en-AU"/>
        </w:rPr>
        <w:t xml:space="preserve"> website, in 2015</w:t>
      </w:r>
      <w:r w:rsidR="00037C4B" w:rsidRPr="001F178D">
        <w:rPr>
          <w:rFonts w:ascii="Arial" w:hAnsi="Arial" w:cs="Arial"/>
          <w:color w:val="000000"/>
          <w:lang w:eastAsia="en-AU"/>
        </w:rPr>
        <w:t xml:space="preserve"> the </w:t>
      </w:r>
      <w:r w:rsidR="00B83F2B">
        <w:rPr>
          <w:rFonts w:ascii="Arial" w:hAnsi="Arial" w:cs="Arial"/>
          <w:color w:val="000000"/>
          <w:lang w:eastAsia="en-AU"/>
        </w:rPr>
        <w:t>S</w:t>
      </w:r>
      <w:r w:rsidR="00037C4B" w:rsidRPr="001F178D">
        <w:rPr>
          <w:rFonts w:ascii="Arial" w:hAnsi="Arial" w:cs="Arial"/>
          <w:color w:val="000000"/>
          <w:lang w:eastAsia="en-AU"/>
        </w:rPr>
        <w:t xml:space="preserve">chool’s average results </w:t>
      </w:r>
      <w:r w:rsidR="00B83F2B">
        <w:rPr>
          <w:rFonts w:ascii="Arial" w:hAnsi="Arial" w:cs="Arial"/>
          <w:color w:val="000000"/>
          <w:lang w:eastAsia="en-AU"/>
        </w:rPr>
        <w:t>we</w:t>
      </w:r>
      <w:r w:rsidR="00037C4B" w:rsidRPr="001F178D">
        <w:rPr>
          <w:rFonts w:ascii="Arial" w:hAnsi="Arial" w:cs="Arial"/>
          <w:color w:val="000000"/>
          <w:lang w:eastAsia="en-AU"/>
        </w:rPr>
        <w:t>re well above those of statistically similar schools (that is, schools with similar students).</w:t>
      </w:r>
    </w:p>
    <w:p w:rsidR="00037C4B" w:rsidRPr="001B1DC4" w:rsidRDefault="00037C4B" w:rsidP="00640D83">
      <w:pPr>
        <w:spacing w:line="280" w:lineRule="exact"/>
        <w:rPr>
          <w:rFonts w:ascii="Arial" w:hAnsi="Arial" w:cs="Arial"/>
          <w:color w:val="000000"/>
          <w:sz w:val="22"/>
          <w:szCs w:val="22"/>
          <w:lang w:eastAsia="en-AU"/>
        </w:rPr>
      </w:pPr>
    </w:p>
    <w:p w:rsidR="00B83F2B" w:rsidRDefault="00B83F2B" w:rsidP="0067338C">
      <w:pPr>
        <w:pStyle w:val="ListParagraph"/>
        <w:numPr>
          <w:ilvl w:val="0"/>
          <w:numId w:val="12"/>
        </w:numPr>
        <w:spacing w:after="80" w:line="280" w:lineRule="exact"/>
        <w:ind w:left="714" w:hanging="357"/>
        <w:contextualSpacing w:val="0"/>
        <w:rPr>
          <w:rFonts w:ascii="Arial" w:hAnsi="Arial" w:cs="Arial"/>
          <w:b/>
          <w:color w:val="000000"/>
          <w:highlight w:val="yellow"/>
          <w:lang w:eastAsia="en-AU"/>
        </w:rPr>
      </w:pPr>
      <w:r>
        <w:rPr>
          <w:rFonts w:ascii="Arial" w:hAnsi="Arial" w:cs="Arial"/>
          <w:b/>
          <w:color w:val="000000"/>
          <w:highlight w:val="yellow"/>
          <w:lang w:eastAsia="en-AU"/>
        </w:rPr>
        <w:br w:type="page"/>
      </w:r>
    </w:p>
    <w:p w:rsidR="00B83F2B" w:rsidRPr="001F178D" w:rsidRDefault="00B83F2B" w:rsidP="00B83F2B">
      <w:pPr>
        <w:pStyle w:val="ListParagraph"/>
        <w:numPr>
          <w:ilvl w:val="0"/>
          <w:numId w:val="12"/>
        </w:numPr>
        <w:spacing w:after="80" w:line="280" w:lineRule="exact"/>
        <w:ind w:left="714" w:hanging="357"/>
        <w:contextualSpacing w:val="0"/>
        <w:rPr>
          <w:rFonts w:ascii="Arial" w:hAnsi="Arial" w:cs="Arial"/>
          <w:color w:val="000000"/>
          <w:lang w:eastAsia="en-AU"/>
        </w:rPr>
      </w:pPr>
      <w:r w:rsidRPr="0037525A">
        <w:rPr>
          <w:rFonts w:ascii="Arial" w:hAnsi="Arial" w:cs="Arial"/>
          <w:b/>
          <w:i/>
          <w:color w:val="000000"/>
          <w:lang w:eastAsia="en-AU"/>
        </w:rPr>
        <w:t>Attendance</w:t>
      </w:r>
      <w:r w:rsidRPr="00B83F2B">
        <w:rPr>
          <w:rFonts w:ascii="Arial" w:hAnsi="Arial" w:cs="Arial"/>
          <w:color w:val="000000"/>
          <w:lang w:eastAsia="en-AU"/>
        </w:rPr>
        <w:t>.</w:t>
      </w:r>
      <w:r>
        <w:rPr>
          <w:rFonts w:ascii="Arial" w:hAnsi="Arial" w:cs="Arial"/>
          <w:color w:val="000000"/>
          <w:lang w:eastAsia="en-AU"/>
        </w:rPr>
        <w:t xml:space="preserve"> </w:t>
      </w:r>
      <w:r w:rsidRPr="001F178D">
        <w:rPr>
          <w:rFonts w:ascii="Arial" w:hAnsi="Arial" w:cs="Arial"/>
          <w:color w:val="000000"/>
          <w:lang w:eastAsia="en-AU"/>
        </w:rPr>
        <w:t>Attendance rates</w:t>
      </w:r>
      <w:r>
        <w:rPr>
          <w:rFonts w:ascii="Arial" w:hAnsi="Arial" w:cs="Arial"/>
          <w:color w:val="000000"/>
          <w:lang w:eastAsia="en-AU"/>
        </w:rPr>
        <w:t xml:space="preserve"> of Gawura students consistently hover at 93 to 94 per cent. </w:t>
      </w:r>
      <w:r w:rsidRPr="008D3A79">
        <w:rPr>
          <w:rFonts w:ascii="Arial" w:hAnsi="Arial" w:cs="Arial"/>
          <w:color w:val="000000"/>
          <w:lang w:eastAsia="en-AU"/>
        </w:rPr>
        <w:t>This exceptional result is supported by the collection of children and their safe return home each school day by bus.</w:t>
      </w:r>
    </w:p>
    <w:p w:rsidR="001F178D" w:rsidRPr="00B83F2B" w:rsidRDefault="00036344" w:rsidP="0067338C">
      <w:pPr>
        <w:pStyle w:val="ListParagraph"/>
        <w:numPr>
          <w:ilvl w:val="0"/>
          <w:numId w:val="12"/>
        </w:numPr>
        <w:spacing w:after="80" w:line="280" w:lineRule="exact"/>
        <w:ind w:left="714" w:hanging="357"/>
        <w:contextualSpacing w:val="0"/>
        <w:rPr>
          <w:rFonts w:ascii="Arial" w:hAnsi="Arial" w:cs="Arial"/>
          <w:b/>
          <w:color w:val="000000"/>
          <w:lang w:eastAsia="en-AU"/>
        </w:rPr>
      </w:pPr>
      <w:r w:rsidRPr="0037525A">
        <w:rPr>
          <w:rFonts w:ascii="Arial" w:hAnsi="Arial" w:cs="Arial"/>
          <w:b/>
          <w:i/>
          <w:color w:val="000000"/>
          <w:lang w:eastAsia="en-AU"/>
        </w:rPr>
        <w:t>R</w:t>
      </w:r>
      <w:r w:rsidR="001F178D" w:rsidRPr="0037525A">
        <w:rPr>
          <w:rFonts w:ascii="Arial" w:hAnsi="Arial" w:cs="Arial"/>
          <w:b/>
          <w:i/>
          <w:color w:val="000000"/>
          <w:lang w:eastAsia="en-AU"/>
        </w:rPr>
        <w:t>etention</w:t>
      </w:r>
      <w:r w:rsidR="00061758" w:rsidRPr="00B83F2B">
        <w:rPr>
          <w:rFonts w:ascii="Arial" w:hAnsi="Arial" w:cs="Arial"/>
          <w:b/>
          <w:color w:val="000000"/>
          <w:lang w:eastAsia="en-AU"/>
        </w:rPr>
        <w:t>.</w:t>
      </w:r>
      <w:r w:rsidRPr="00B83F2B">
        <w:rPr>
          <w:rFonts w:ascii="Arial" w:hAnsi="Arial" w:cs="Arial"/>
          <w:b/>
          <w:color w:val="000000"/>
          <w:lang w:eastAsia="en-AU"/>
        </w:rPr>
        <w:t xml:space="preserve"> </w:t>
      </w:r>
      <w:r w:rsidR="00CD28E2">
        <w:rPr>
          <w:rFonts w:ascii="Arial" w:hAnsi="Arial" w:cs="Arial"/>
          <w:color w:val="000000"/>
          <w:lang w:eastAsia="en-AU"/>
        </w:rPr>
        <w:t>All</w:t>
      </w:r>
      <w:r w:rsidR="00B83F2B" w:rsidRPr="00B83F2B">
        <w:rPr>
          <w:rFonts w:ascii="Arial" w:hAnsi="Arial" w:cs="Arial"/>
          <w:color w:val="000000"/>
          <w:lang w:eastAsia="en-AU"/>
        </w:rPr>
        <w:t xml:space="preserve"> Gawura School students </w:t>
      </w:r>
      <w:r w:rsidR="00CD28E2">
        <w:rPr>
          <w:rFonts w:ascii="Arial" w:hAnsi="Arial" w:cs="Arial"/>
          <w:color w:val="000000"/>
          <w:lang w:eastAsia="en-AU"/>
        </w:rPr>
        <w:t>have so far transitioned to</w:t>
      </w:r>
      <w:r w:rsidR="004E6CB6">
        <w:rPr>
          <w:rFonts w:ascii="Arial" w:hAnsi="Arial" w:cs="Arial"/>
          <w:color w:val="000000"/>
          <w:lang w:eastAsia="en-AU"/>
        </w:rPr>
        <w:t xml:space="preserve"> </w:t>
      </w:r>
      <w:r w:rsidR="00CD28E2">
        <w:rPr>
          <w:rFonts w:ascii="Arial" w:hAnsi="Arial" w:cs="Arial"/>
          <w:color w:val="000000"/>
          <w:lang w:eastAsia="en-AU"/>
        </w:rPr>
        <w:t xml:space="preserve">Year 7 at </w:t>
      </w:r>
      <w:r w:rsidR="004E6CB6">
        <w:rPr>
          <w:rFonts w:ascii="Arial" w:hAnsi="Arial" w:cs="Arial"/>
          <w:color w:val="000000"/>
          <w:lang w:eastAsia="en-AU"/>
        </w:rPr>
        <w:t>St Andrew’s</w:t>
      </w:r>
      <w:r w:rsidR="00B83F2B" w:rsidRPr="00B83F2B">
        <w:rPr>
          <w:rFonts w:ascii="Arial" w:hAnsi="Arial" w:cs="Arial"/>
          <w:color w:val="000000"/>
          <w:lang w:eastAsia="en-AU"/>
        </w:rPr>
        <w:t>. This is a significant result given the highly disadvantaged background of Gawura students</w:t>
      </w:r>
      <w:r w:rsidR="00CD28E2">
        <w:rPr>
          <w:rFonts w:ascii="Arial" w:hAnsi="Arial" w:cs="Arial"/>
          <w:color w:val="000000"/>
          <w:lang w:eastAsia="en-AU"/>
        </w:rPr>
        <w:t>. Retention figures to Year 12 are not available, as some students return with family to their homelands</w:t>
      </w:r>
      <w:r w:rsidR="00B83F2B" w:rsidRPr="00B83F2B">
        <w:rPr>
          <w:rFonts w:ascii="Arial" w:hAnsi="Arial" w:cs="Arial"/>
          <w:color w:val="000000"/>
          <w:lang w:eastAsia="en-AU"/>
        </w:rPr>
        <w:t xml:space="preserve"> </w:t>
      </w:r>
      <w:r w:rsidR="00CD28E2">
        <w:rPr>
          <w:rFonts w:ascii="Arial" w:hAnsi="Arial" w:cs="Arial"/>
          <w:color w:val="000000"/>
          <w:lang w:eastAsia="en-AU"/>
        </w:rPr>
        <w:t xml:space="preserve">or </w:t>
      </w:r>
      <w:r w:rsidR="00EC140C">
        <w:rPr>
          <w:rFonts w:ascii="Arial" w:hAnsi="Arial" w:cs="Arial"/>
          <w:color w:val="000000"/>
          <w:lang w:eastAsia="en-AU"/>
        </w:rPr>
        <w:t xml:space="preserve">move schools when </w:t>
      </w:r>
      <w:r w:rsidR="00CD28E2">
        <w:rPr>
          <w:rFonts w:ascii="Arial" w:hAnsi="Arial" w:cs="Arial"/>
          <w:color w:val="000000"/>
          <w:lang w:eastAsia="en-AU"/>
        </w:rPr>
        <w:t>family accommodation changes make St Andrew’s inaccessible for daily attendance. However, for those students able to remain at St Andrew’s, their completion rate and academic achievement is outstanding, as evidenced by their post-school pathways described below</w:t>
      </w:r>
      <w:r w:rsidR="004E6CB6">
        <w:rPr>
          <w:rFonts w:ascii="Arial" w:hAnsi="Arial" w:cs="Arial"/>
          <w:color w:val="000000"/>
          <w:lang w:eastAsia="en-AU"/>
        </w:rPr>
        <w:t xml:space="preserve">. </w:t>
      </w:r>
    </w:p>
    <w:p w:rsidR="00036344" w:rsidRPr="00B83F2B" w:rsidRDefault="001F178D" w:rsidP="0037525A">
      <w:pPr>
        <w:pStyle w:val="ListParagraph"/>
        <w:numPr>
          <w:ilvl w:val="0"/>
          <w:numId w:val="12"/>
        </w:numPr>
        <w:spacing w:after="160" w:line="280" w:lineRule="exact"/>
        <w:ind w:left="714" w:hanging="357"/>
        <w:contextualSpacing w:val="0"/>
        <w:rPr>
          <w:rFonts w:ascii="Arial" w:hAnsi="Arial" w:cs="Arial"/>
          <w:color w:val="000000"/>
          <w:lang w:eastAsia="en-AU"/>
        </w:rPr>
      </w:pPr>
      <w:r w:rsidRPr="0037525A">
        <w:rPr>
          <w:rFonts w:ascii="Arial" w:hAnsi="Arial" w:cs="Arial"/>
          <w:b/>
          <w:i/>
          <w:color w:val="000000"/>
          <w:lang w:eastAsia="en-AU"/>
        </w:rPr>
        <w:t>Post-school pathways</w:t>
      </w:r>
      <w:r w:rsidR="00061758" w:rsidRPr="00B83F2B">
        <w:rPr>
          <w:rFonts w:ascii="Arial" w:hAnsi="Arial" w:cs="Arial"/>
          <w:color w:val="000000"/>
          <w:lang w:eastAsia="en-AU"/>
        </w:rPr>
        <w:t>.</w:t>
      </w:r>
      <w:r w:rsidR="00036344" w:rsidRPr="00B83F2B">
        <w:rPr>
          <w:rFonts w:ascii="Arial" w:hAnsi="Arial" w:cs="Arial"/>
          <w:color w:val="000000"/>
          <w:lang w:eastAsia="en-AU"/>
        </w:rPr>
        <w:t xml:space="preserve"> Since 2012, 1</w:t>
      </w:r>
      <w:r w:rsidR="00B83F2B" w:rsidRPr="00B83F2B">
        <w:rPr>
          <w:rFonts w:ascii="Arial" w:hAnsi="Arial" w:cs="Arial"/>
          <w:color w:val="000000"/>
          <w:lang w:eastAsia="en-AU"/>
        </w:rPr>
        <w:t>0</w:t>
      </w:r>
      <w:r w:rsidR="00036344" w:rsidRPr="00B83F2B">
        <w:rPr>
          <w:rFonts w:ascii="Arial" w:hAnsi="Arial" w:cs="Arial"/>
          <w:color w:val="000000"/>
          <w:lang w:eastAsia="en-AU"/>
        </w:rPr>
        <w:t xml:space="preserve"> Gawura students have graduated Year 12 from St Andrew’s Cathedral School and entered university courses in law, fine arts, teacher education, nursing and business management.</w:t>
      </w:r>
    </w:p>
    <w:p w:rsidR="00316133" w:rsidRDefault="00316133" w:rsidP="00316133">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According to data on the </w:t>
      </w:r>
      <w:r w:rsidRPr="00316133">
        <w:rPr>
          <w:rFonts w:ascii="Arial" w:hAnsi="Arial" w:cs="Arial"/>
          <w:i/>
          <w:color w:val="000000"/>
          <w:sz w:val="22"/>
          <w:szCs w:val="22"/>
          <w:lang w:eastAsia="en-AU"/>
        </w:rPr>
        <w:t>My School</w:t>
      </w:r>
      <w:r>
        <w:rPr>
          <w:rFonts w:ascii="Arial" w:hAnsi="Arial" w:cs="Arial"/>
          <w:color w:val="000000"/>
          <w:sz w:val="22"/>
          <w:szCs w:val="22"/>
          <w:lang w:eastAsia="en-AU"/>
        </w:rPr>
        <w:t xml:space="preserve"> website, St Andrew’s has an ICSEA (Index of Community Socio-Economic Educational Advantage) score of 1163 while Gawura has an ICSEA score of 782. St Andrew’s SES score (on which federal general recurrent grants are calculated) is 121; Gawura is funded as a Majority Aboriginal and Torres Strait Islander school (MATSIS), with students therefore attracting the highest possible </w:t>
      </w:r>
      <w:r w:rsidR="00BB6742">
        <w:rPr>
          <w:rFonts w:ascii="Arial" w:hAnsi="Arial" w:cs="Arial"/>
          <w:color w:val="000000"/>
          <w:sz w:val="22"/>
          <w:szCs w:val="22"/>
          <w:lang w:eastAsia="en-AU"/>
        </w:rPr>
        <w:t xml:space="preserve">federal </w:t>
      </w:r>
      <w:r>
        <w:rPr>
          <w:rFonts w:ascii="Arial" w:hAnsi="Arial" w:cs="Arial"/>
          <w:color w:val="000000"/>
          <w:sz w:val="22"/>
          <w:szCs w:val="22"/>
          <w:lang w:eastAsia="en-AU"/>
        </w:rPr>
        <w:t>general recurrent grants for Indigenous students.</w:t>
      </w:r>
    </w:p>
    <w:p w:rsidR="00640D83" w:rsidRDefault="00640D83" w:rsidP="00640D83">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Gawura’s transition to a registered school means that Gawura students are now able to attract federal general recurrent funding based on the profile of those attending Gawura rather than those students attending St Andrew’s. This is vital for the financial stability of Gawura, as students’ families are highly disadvantaged and do not have the same capacity to contribute as families of s</w:t>
      </w:r>
      <w:r w:rsidR="000C5299">
        <w:rPr>
          <w:rFonts w:ascii="Arial" w:hAnsi="Arial" w:cs="Arial"/>
          <w:color w:val="000000"/>
          <w:sz w:val="22"/>
          <w:szCs w:val="22"/>
          <w:lang w:eastAsia="en-AU"/>
        </w:rPr>
        <w:t>tudents attending St Andrew’s. A</w:t>
      </w:r>
      <w:r>
        <w:rPr>
          <w:rFonts w:ascii="Arial" w:hAnsi="Arial" w:cs="Arial"/>
          <w:color w:val="000000"/>
          <w:sz w:val="22"/>
          <w:szCs w:val="22"/>
          <w:lang w:eastAsia="en-AU"/>
        </w:rPr>
        <w:t>ny gap between government funding and the cost of educational provision must therefore be met through fundraising</w:t>
      </w:r>
      <w:r w:rsidR="000C5299">
        <w:rPr>
          <w:rFonts w:ascii="Arial" w:hAnsi="Arial" w:cs="Arial"/>
          <w:color w:val="000000"/>
          <w:sz w:val="22"/>
          <w:szCs w:val="22"/>
          <w:lang w:eastAsia="en-AU"/>
        </w:rPr>
        <w:t xml:space="preserve"> and donations</w:t>
      </w:r>
      <w:r>
        <w:rPr>
          <w:rFonts w:ascii="Arial" w:hAnsi="Arial" w:cs="Arial"/>
          <w:color w:val="000000"/>
          <w:sz w:val="22"/>
          <w:szCs w:val="22"/>
          <w:lang w:eastAsia="en-AU"/>
        </w:rPr>
        <w:t>.</w:t>
      </w:r>
    </w:p>
    <w:p w:rsidR="00640D83" w:rsidRPr="00640D83" w:rsidRDefault="00640D83" w:rsidP="00640D83">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The advantage to Gawura students of being eligible for the MATSIS category of federal recurrent funding is apparent in the table below, which presents 2014 </w:t>
      </w:r>
      <w:r w:rsidRPr="00640D83">
        <w:rPr>
          <w:rFonts w:ascii="Arial" w:hAnsi="Arial" w:cs="Arial"/>
          <w:color w:val="000000"/>
          <w:sz w:val="22"/>
          <w:szCs w:val="22"/>
          <w:lang w:eastAsia="en-AU"/>
        </w:rPr>
        <w:t xml:space="preserve">financial data (latest available data) </w:t>
      </w:r>
      <w:r>
        <w:rPr>
          <w:rFonts w:ascii="Arial" w:hAnsi="Arial" w:cs="Arial"/>
          <w:color w:val="000000"/>
          <w:sz w:val="22"/>
          <w:szCs w:val="22"/>
          <w:lang w:eastAsia="en-AU"/>
        </w:rPr>
        <w:t xml:space="preserve">for Gawura and St Andrew’s Cathedral School </w:t>
      </w:r>
      <w:r w:rsidRPr="00640D83">
        <w:rPr>
          <w:rFonts w:ascii="Arial" w:hAnsi="Arial" w:cs="Arial"/>
          <w:color w:val="000000"/>
          <w:sz w:val="22"/>
          <w:szCs w:val="22"/>
          <w:lang w:eastAsia="en-AU"/>
        </w:rPr>
        <w:t xml:space="preserve">as published on </w:t>
      </w:r>
      <w:r w:rsidRPr="00640D83">
        <w:rPr>
          <w:rFonts w:ascii="Arial" w:hAnsi="Arial" w:cs="Arial"/>
          <w:i/>
          <w:color w:val="000000"/>
          <w:sz w:val="22"/>
          <w:szCs w:val="22"/>
          <w:lang w:eastAsia="en-AU"/>
        </w:rPr>
        <w:t>My School</w:t>
      </w:r>
      <w:r>
        <w:rPr>
          <w:rFonts w:ascii="Arial" w:hAnsi="Arial" w:cs="Arial"/>
          <w:color w:val="000000"/>
          <w:sz w:val="22"/>
          <w:szCs w:val="22"/>
          <w:lang w:eastAsia="en-AU"/>
        </w:rPr>
        <w:t>.</w:t>
      </w:r>
    </w:p>
    <w:p w:rsidR="00640D83" w:rsidRPr="00640D83" w:rsidRDefault="00640D83" w:rsidP="00640D83">
      <w:pPr>
        <w:rPr>
          <w:rFonts w:ascii="Arial" w:hAnsi="Arial" w:cs="Arial"/>
          <w:sz w:val="22"/>
          <w:szCs w:val="22"/>
        </w:rPr>
      </w:pPr>
    </w:p>
    <w:tbl>
      <w:tblPr>
        <w:tblStyle w:val="TableGrid"/>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4786"/>
        <w:gridCol w:w="2268"/>
        <w:gridCol w:w="2188"/>
      </w:tblGrid>
      <w:tr w:rsidR="00640D83" w:rsidRPr="00640D83" w:rsidTr="007E1DD9">
        <w:trPr>
          <w:jc w:val="center"/>
        </w:trPr>
        <w:tc>
          <w:tcPr>
            <w:tcW w:w="9242" w:type="dxa"/>
            <w:gridSpan w:val="3"/>
            <w:shd w:val="clear" w:color="auto" w:fill="002060"/>
          </w:tcPr>
          <w:p w:rsidR="00640D83" w:rsidRPr="00E048A2" w:rsidRDefault="00640D83" w:rsidP="00E048A2">
            <w:pPr>
              <w:spacing w:before="80" w:after="80"/>
              <w:jc w:val="center"/>
              <w:rPr>
                <w:rFonts w:ascii="Arial" w:hAnsi="Arial" w:cs="Arial"/>
                <w:b/>
                <w:sz w:val="22"/>
                <w:szCs w:val="22"/>
              </w:rPr>
            </w:pPr>
            <w:r w:rsidRPr="00E048A2">
              <w:rPr>
                <w:rFonts w:ascii="Arial" w:hAnsi="Arial" w:cs="Arial"/>
                <w:b/>
                <w:sz w:val="22"/>
                <w:szCs w:val="22"/>
              </w:rPr>
              <w:t>Per student recurrent income 2014</w:t>
            </w:r>
          </w:p>
        </w:tc>
      </w:tr>
      <w:tr w:rsidR="00640D83" w:rsidRPr="00640D83" w:rsidTr="007E1DD9">
        <w:trPr>
          <w:jc w:val="center"/>
        </w:trPr>
        <w:tc>
          <w:tcPr>
            <w:tcW w:w="4786" w:type="dxa"/>
            <w:shd w:val="clear" w:color="auto" w:fill="DBE5F1" w:themeFill="accent1" w:themeFillTint="33"/>
          </w:tcPr>
          <w:p w:rsidR="00640D83" w:rsidRPr="00E048A2" w:rsidRDefault="00640D83" w:rsidP="00E048A2">
            <w:pPr>
              <w:spacing w:before="60" w:after="60"/>
              <w:rPr>
                <w:rFonts w:ascii="Arial" w:hAnsi="Arial" w:cs="Arial"/>
                <w:sz w:val="20"/>
                <w:szCs w:val="20"/>
              </w:rPr>
            </w:pPr>
          </w:p>
        </w:tc>
        <w:tc>
          <w:tcPr>
            <w:tcW w:w="2268" w:type="dxa"/>
            <w:shd w:val="clear" w:color="auto" w:fill="DBE5F1" w:themeFill="accent1" w:themeFillTint="33"/>
          </w:tcPr>
          <w:p w:rsidR="00640D83" w:rsidRPr="007E1DD9" w:rsidRDefault="007E1DD9" w:rsidP="00E048A2">
            <w:pPr>
              <w:spacing w:before="60" w:after="60"/>
              <w:jc w:val="center"/>
              <w:rPr>
                <w:rFonts w:ascii="Arial" w:hAnsi="Arial" w:cs="Arial"/>
                <w:b/>
                <w:sz w:val="16"/>
                <w:szCs w:val="16"/>
              </w:rPr>
            </w:pPr>
            <w:r w:rsidRPr="007E1DD9">
              <w:rPr>
                <w:rFonts w:ascii="Arial" w:hAnsi="Arial" w:cs="Arial"/>
                <w:b/>
                <w:sz w:val="16"/>
                <w:szCs w:val="16"/>
              </w:rPr>
              <w:t>ST ANDREW’S CATHEDRAL SCHOOL</w:t>
            </w:r>
          </w:p>
        </w:tc>
        <w:tc>
          <w:tcPr>
            <w:tcW w:w="2188" w:type="dxa"/>
            <w:shd w:val="clear" w:color="auto" w:fill="DBE5F1" w:themeFill="accent1" w:themeFillTint="33"/>
          </w:tcPr>
          <w:p w:rsidR="00640D83" w:rsidRPr="007E1DD9" w:rsidRDefault="007E1DD9" w:rsidP="00E048A2">
            <w:pPr>
              <w:spacing w:before="120" w:after="60"/>
              <w:jc w:val="center"/>
              <w:rPr>
                <w:rFonts w:ascii="Arial" w:hAnsi="Arial" w:cs="Arial"/>
                <w:b/>
                <w:sz w:val="16"/>
                <w:szCs w:val="16"/>
              </w:rPr>
            </w:pPr>
            <w:r w:rsidRPr="007E1DD9">
              <w:rPr>
                <w:rFonts w:ascii="Arial" w:hAnsi="Arial" w:cs="Arial"/>
                <w:b/>
                <w:sz w:val="16"/>
                <w:szCs w:val="16"/>
              </w:rPr>
              <w:t>GAWURA SCHOOL</w:t>
            </w:r>
          </w:p>
        </w:tc>
      </w:tr>
      <w:tr w:rsidR="00640D83" w:rsidRPr="00640D83" w:rsidTr="007E1DD9">
        <w:trPr>
          <w:jc w:val="center"/>
        </w:trPr>
        <w:tc>
          <w:tcPr>
            <w:tcW w:w="4786" w:type="dxa"/>
            <w:shd w:val="clear" w:color="auto" w:fill="EDEFF5"/>
          </w:tcPr>
          <w:p w:rsidR="00640D83" w:rsidRPr="00E048A2" w:rsidRDefault="00640D83" w:rsidP="00E048A2">
            <w:pPr>
              <w:spacing w:before="60" w:after="60"/>
              <w:rPr>
                <w:rFonts w:ascii="Arial" w:hAnsi="Arial" w:cs="Arial"/>
                <w:sz w:val="20"/>
                <w:szCs w:val="20"/>
              </w:rPr>
            </w:pPr>
            <w:r w:rsidRPr="00E048A2">
              <w:rPr>
                <w:rFonts w:ascii="Arial" w:hAnsi="Arial" w:cs="Arial"/>
                <w:sz w:val="20"/>
                <w:szCs w:val="20"/>
              </w:rPr>
              <w:t>Australian Government recurrent funding</w:t>
            </w:r>
          </w:p>
        </w:tc>
        <w:tc>
          <w:tcPr>
            <w:tcW w:w="226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3,479</w:t>
            </w:r>
          </w:p>
        </w:tc>
        <w:tc>
          <w:tcPr>
            <w:tcW w:w="218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15,697</w:t>
            </w:r>
          </w:p>
        </w:tc>
      </w:tr>
      <w:tr w:rsidR="00640D83" w:rsidRPr="00640D83" w:rsidTr="007E1DD9">
        <w:trPr>
          <w:jc w:val="center"/>
        </w:trPr>
        <w:tc>
          <w:tcPr>
            <w:tcW w:w="4786" w:type="dxa"/>
            <w:shd w:val="clear" w:color="auto" w:fill="EDEFF5"/>
          </w:tcPr>
          <w:p w:rsidR="00640D83" w:rsidRPr="00E048A2" w:rsidRDefault="00640D83" w:rsidP="00E048A2">
            <w:pPr>
              <w:spacing w:before="60" w:after="60"/>
              <w:rPr>
                <w:rFonts w:ascii="Arial" w:hAnsi="Arial" w:cs="Arial"/>
                <w:sz w:val="20"/>
                <w:szCs w:val="20"/>
              </w:rPr>
            </w:pPr>
            <w:r w:rsidRPr="00E048A2">
              <w:rPr>
                <w:rFonts w:ascii="Arial" w:hAnsi="Arial" w:cs="Arial"/>
                <w:sz w:val="20"/>
                <w:szCs w:val="20"/>
              </w:rPr>
              <w:t>NSW Govt recurrent funding</w:t>
            </w:r>
          </w:p>
        </w:tc>
        <w:tc>
          <w:tcPr>
            <w:tcW w:w="226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1,170</w:t>
            </w:r>
          </w:p>
        </w:tc>
        <w:tc>
          <w:tcPr>
            <w:tcW w:w="218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2,683</w:t>
            </w:r>
          </w:p>
        </w:tc>
      </w:tr>
      <w:tr w:rsidR="00640D83" w:rsidRPr="00640D83" w:rsidTr="007E1DD9">
        <w:trPr>
          <w:jc w:val="center"/>
        </w:trPr>
        <w:tc>
          <w:tcPr>
            <w:tcW w:w="4786" w:type="dxa"/>
            <w:shd w:val="clear" w:color="auto" w:fill="EDEFF5"/>
          </w:tcPr>
          <w:p w:rsidR="00640D83" w:rsidRPr="00E048A2" w:rsidRDefault="00640D83" w:rsidP="00E048A2">
            <w:pPr>
              <w:spacing w:before="60" w:after="60"/>
              <w:rPr>
                <w:rFonts w:ascii="Arial" w:hAnsi="Arial" w:cs="Arial"/>
                <w:sz w:val="20"/>
                <w:szCs w:val="20"/>
              </w:rPr>
            </w:pPr>
            <w:r w:rsidRPr="00E048A2">
              <w:rPr>
                <w:rFonts w:ascii="Arial" w:hAnsi="Arial" w:cs="Arial"/>
                <w:sz w:val="20"/>
                <w:szCs w:val="20"/>
              </w:rPr>
              <w:t>Fees, charges &amp; parent contribution</w:t>
            </w:r>
          </w:p>
        </w:tc>
        <w:tc>
          <w:tcPr>
            <w:tcW w:w="226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23,699</w:t>
            </w:r>
          </w:p>
        </w:tc>
        <w:tc>
          <w:tcPr>
            <w:tcW w:w="218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519</w:t>
            </w:r>
          </w:p>
        </w:tc>
      </w:tr>
      <w:tr w:rsidR="00640D83" w:rsidRPr="00640D83" w:rsidTr="007E1DD9">
        <w:trPr>
          <w:jc w:val="center"/>
        </w:trPr>
        <w:tc>
          <w:tcPr>
            <w:tcW w:w="4786" w:type="dxa"/>
            <w:shd w:val="clear" w:color="auto" w:fill="EDEFF5"/>
          </w:tcPr>
          <w:p w:rsidR="00640D83" w:rsidRPr="00E048A2" w:rsidRDefault="00640D83" w:rsidP="00E048A2">
            <w:pPr>
              <w:spacing w:before="60" w:after="60"/>
              <w:rPr>
                <w:rFonts w:ascii="Arial" w:hAnsi="Arial" w:cs="Arial"/>
                <w:sz w:val="20"/>
                <w:szCs w:val="20"/>
              </w:rPr>
            </w:pPr>
            <w:r w:rsidRPr="00E048A2">
              <w:rPr>
                <w:rFonts w:ascii="Arial" w:hAnsi="Arial" w:cs="Arial"/>
                <w:sz w:val="20"/>
                <w:szCs w:val="20"/>
              </w:rPr>
              <w:t>Other private sources</w:t>
            </w:r>
          </w:p>
        </w:tc>
        <w:tc>
          <w:tcPr>
            <w:tcW w:w="226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1,620</w:t>
            </w:r>
          </w:p>
        </w:tc>
        <w:tc>
          <w:tcPr>
            <w:tcW w:w="218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2,388</w:t>
            </w:r>
          </w:p>
        </w:tc>
      </w:tr>
      <w:tr w:rsidR="00640D83" w:rsidRPr="00640D83" w:rsidTr="007E1DD9">
        <w:trPr>
          <w:jc w:val="center"/>
        </w:trPr>
        <w:tc>
          <w:tcPr>
            <w:tcW w:w="4786" w:type="dxa"/>
            <w:shd w:val="clear" w:color="auto" w:fill="EDEFF5"/>
          </w:tcPr>
          <w:p w:rsidR="00640D83" w:rsidRPr="00E048A2" w:rsidRDefault="00640D83" w:rsidP="00E048A2">
            <w:pPr>
              <w:spacing w:before="60" w:after="60"/>
              <w:rPr>
                <w:rFonts w:ascii="Arial" w:hAnsi="Arial" w:cs="Arial"/>
                <w:sz w:val="20"/>
                <w:szCs w:val="20"/>
              </w:rPr>
            </w:pPr>
            <w:r w:rsidRPr="00E048A2">
              <w:rPr>
                <w:rFonts w:ascii="Arial" w:hAnsi="Arial" w:cs="Arial"/>
                <w:sz w:val="20"/>
                <w:szCs w:val="20"/>
              </w:rPr>
              <w:t>Total gross income (excluding income from govt capital grants)</w:t>
            </w:r>
          </w:p>
        </w:tc>
        <w:tc>
          <w:tcPr>
            <w:tcW w:w="226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29,969</w:t>
            </w:r>
          </w:p>
        </w:tc>
        <w:tc>
          <w:tcPr>
            <w:tcW w:w="218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21,286</w:t>
            </w:r>
          </w:p>
        </w:tc>
      </w:tr>
      <w:tr w:rsidR="00640D83" w:rsidRPr="00640D83" w:rsidTr="007E1DD9">
        <w:trPr>
          <w:jc w:val="center"/>
        </w:trPr>
        <w:tc>
          <w:tcPr>
            <w:tcW w:w="4786" w:type="dxa"/>
            <w:shd w:val="clear" w:color="auto" w:fill="EDEFF5"/>
          </w:tcPr>
          <w:p w:rsidR="00640D83" w:rsidRPr="00E048A2" w:rsidRDefault="00640D83" w:rsidP="00E048A2">
            <w:pPr>
              <w:spacing w:before="60" w:after="60"/>
              <w:rPr>
                <w:rFonts w:ascii="Arial" w:hAnsi="Arial" w:cs="Arial"/>
                <w:sz w:val="20"/>
                <w:szCs w:val="20"/>
              </w:rPr>
            </w:pPr>
            <w:r w:rsidRPr="00E048A2">
              <w:rPr>
                <w:rFonts w:ascii="Arial" w:hAnsi="Arial" w:cs="Arial"/>
                <w:sz w:val="20"/>
                <w:szCs w:val="20"/>
              </w:rPr>
              <w:t>Less deductions</w:t>
            </w:r>
          </w:p>
        </w:tc>
        <w:tc>
          <w:tcPr>
            <w:tcW w:w="226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2,367</w:t>
            </w:r>
          </w:p>
        </w:tc>
        <w:tc>
          <w:tcPr>
            <w:tcW w:w="218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0</w:t>
            </w:r>
          </w:p>
        </w:tc>
      </w:tr>
      <w:tr w:rsidR="00640D83" w:rsidRPr="00640D83" w:rsidTr="007E1DD9">
        <w:trPr>
          <w:jc w:val="center"/>
        </w:trPr>
        <w:tc>
          <w:tcPr>
            <w:tcW w:w="4786" w:type="dxa"/>
            <w:shd w:val="clear" w:color="auto" w:fill="EDEFF5"/>
          </w:tcPr>
          <w:p w:rsidR="00640D83" w:rsidRPr="00E048A2" w:rsidRDefault="00640D83" w:rsidP="00E048A2">
            <w:pPr>
              <w:spacing w:before="60" w:after="60"/>
              <w:rPr>
                <w:rFonts w:ascii="Arial" w:hAnsi="Arial" w:cs="Arial"/>
                <w:sz w:val="20"/>
                <w:szCs w:val="20"/>
              </w:rPr>
            </w:pPr>
            <w:r w:rsidRPr="00E048A2">
              <w:rPr>
                <w:rFonts w:ascii="Arial" w:hAnsi="Arial" w:cs="Arial"/>
                <w:sz w:val="20"/>
                <w:szCs w:val="20"/>
              </w:rPr>
              <w:t>Total net recurrent income</w:t>
            </w:r>
          </w:p>
        </w:tc>
        <w:tc>
          <w:tcPr>
            <w:tcW w:w="226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27,602</w:t>
            </w:r>
          </w:p>
        </w:tc>
        <w:tc>
          <w:tcPr>
            <w:tcW w:w="2188" w:type="dxa"/>
            <w:shd w:val="clear" w:color="auto" w:fill="EDEFF5"/>
          </w:tcPr>
          <w:p w:rsidR="00640D83" w:rsidRPr="00E048A2" w:rsidRDefault="00E048A2" w:rsidP="00E048A2">
            <w:pPr>
              <w:spacing w:before="60" w:after="60"/>
              <w:jc w:val="right"/>
              <w:rPr>
                <w:rFonts w:ascii="Arial" w:hAnsi="Arial" w:cs="Arial"/>
                <w:sz w:val="20"/>
                <w:szCs w:val="20"/>
              </w:rPr>
            </w:pPr>
            <w:r w:rsidRPr="00E048A2">
              <w:rPr>
                <w:rFonts w:ascii="Arial" w:hAnsi="Arial" w:cs="Arial"/>
                <w:sz w:val="20"/>
                <w:szCs w:val="20"/>
              </w:rPr>
              <w:t>$</w:t>
            </w:r>
            <w:r w:rsidR="00640D83" w:rsidRPr="00E048A2">
              <w:rPr>
                <w:rFonts w:ascii="Arial" w:hAnsi="Arial" w:cs="Arial"/>
                <w:sz w:val="20"/>
                <w:szCs w:val="20"/>
              </w:rPr>
              <w:t>21,286</w:t>
            </w:r>
          </w:p>
        </w:tc>
      </w:tr>
    </w:tbl>
    <w:p w:rsidR="00640D83" w:rsidRPr="00640D83" w:rsidRDefault="00640D83" w:rsidP="00640D83">
      <w:pPr>
        <w:rPr>
          <w:rFonts w:ascii="Arial" w:hAnsi="Arial" w:cs="Arial"/>
          <w:sz w:val="22"/>
          <w:szCs w:val="22"/>
        </w:rPr>
      </w:pPr>
    </w:p>
    <w:p w:rsidR="007E1DD9" w:rsidRDefault="00E048A2" w:rsidP="009A4B32">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As the table demonstrates, MATSIS funding </w:t>
      </w:r>
      <w:r w:rsidR="007E1DD9">
        <w:rPr>
          <w:rFonts w:ascii="Arial" w:hAnsi="Arial" w:cs="Arial"/>
          <w:color w:val="000000"/>
          <w:sz w:val="22"/>
          <w:szCs w:val="22"/>
          <w:lang w:eastAsia="en-AU"/>
        </w:rPr>
        <w:t>serves the interests of equity for Gawura students. Even so, it should be noted that the cost of educating students at Gawura is still subsidised significantly by private donations</w:t>
      </w:r>
      <w:r w:rsidR="009A4B32">
        <w:rPr>
          <w:rFonts w:ascii="Arial" w:hAnsi="Arial" w:cs="Arial"/>
          <w:color w:val="000000"/>
          <w:sz w:val="22"/>
          <w:szCs w:val="22"/>
          <w:lang w:eastAsia="en-AU"/>
        </w:rPr>
        <w:t>.</w:t>
      </w:r>
    </w:p>
    <w:p w:rsidR="00916F15" w:rsidRDefault="005B39E2" w:rsidP="00916F15">
      <w:pPr>
        <w:spacing w:after="80" w:line="280" w:lineRule="exact"/>
        <w:rPr>
          <w:rFonts w:ascii="Arial" w:hAnsi="Arial" w:cs="Arial"/>
          <w:color w:val="000000"/>
          <w:sz w:val="22"/>
          <w:szCs w:val="22"/>
          <w:lang w:eastAsia="en-AU"/>
        </w:rPr>
      </w:pPr>
      <w:r>
        <w:rPr>
          <w:rFonts w:ascii="Arial" w:hAnsi="Arial" w:cs="Arial"/>
          <w:color w:val="000000"/>
          <w:sz w:val="22"/>
          <w:szCs w:val="22"/>
          <w:lang w:eastAsia="en-AU"/>
        </w:rPr>
        <w:t>While school registration may seem the obvious</w:t>
      </w:r>
      <w:r w:rsidR="00916F15">
        <w:rPr>
          <w:rFonts w:ascii="Arial" w:hAnsi="Arial" w:cs="Arial"/>
          <w:color w:val="000000"/>
          <w:sz w:val="22"/>
          <w:szCs w:val="22"/>
          <w:lang w:eastAsia="en-AU"/>
        </w:rPr>
        <w:t xml:space="preserve"> course to obtain better funding for Indigenous students in campus-style </w:t>
      </w:r>
      <w:r w:rsidR="009908CB">
        <w:rPr>
          <w:rFonts w:ascii="Arial" w:hAnsi="Arial" w:cs="Arial"/>
          <w:color w:val="000000"/>
          <w:sz w:val="22"/>
          <w:szCs w:val="22"/>
          <w:lang w:eastAsia="en-AU"/>
        </w:rPr>
        <w:t xml:space="preserve">or satellite school </w:t>
      </w:r>
      <w:r w:rsidR="00916F15">
        <w:rPr>
          <w:rFonts w:ascii="Arial" w:hAnsi="Arial" w:cs="Arial"/>
          <w:color w:val="000000"/>
          <w:sz w:val="22"/>
          <w:szCs w:val="22"/>
          <w:lang w:eastAsia="en-AU"/>
        </w:rPr>
        <w:t>operations</w:t>
      </w:r>
      <w:r w:rsidR="009908CB">
        <w:rPr>
          <w:rFonts w:ascii="Arial" w:hAnsi="Arial" w:cs="Arial"/>
          <w:color w:val="000000"/>
          <w:sz w:val="22"/>
          <w:szCs w:val="22"/>
          <w:lang w:eastAsia="en-AU"/>
        </w:rPr>
        <w:t xml:space="preserve"> of already established schools</w:t>
      </w:r>
      <w:r w:rsidR="00916F15">
        <w:rPr>
          <w:rFonts w:ascii="Arial" w:hAnsi="Arial" w:cs="Arial"/>
          <w:color w:val="000000"/>
          <w:sz w:val="22"/>
          <w:szCs w:val="22"/>
          <w:lang w:eastAsia="en-AU"/>
        </w:rPr>
        <w:t>, there are two major drawbacks to registration of the campus as a separate school:</w:t>
      </w:r>
    </w:p>
    <w:p w:rsidR="00916F15" w:rsidRPr="00916F15" w:rsidRDefault="00916F15" w:rsidP="0067338C">
      <w:pPr>
        <w:pStyle w:val="ListParagraph"/>
        <w:numPr>
          <w:ilvl w:val="0"/>
          <w:numId w:val="13"/>
        </w:numPr>
        <w:spacing w:after="80" w:line="280" w:lineRule="exact"/>
        <w:contextualSpacing w:val="0"/>
        <w:rPr>
          <w:rFonts w:ascii="Arial" w:hAnsi="Arial" w:cs="Arial"/>
          <w:color w:val="000000"/>
          <w:lang w:eastAsia="en-AU"/>
        </w:rPr>
      </w:pPr>
      <w:r w:rsidRPr="00916F15">
        <w:rPr>
          <w:rFonts w:ascii="Arial" w:hAnsi="Arial" w:cs="Arial"/>
          <w:color w:val="000000"/>
          <w:lang w:eastAsia="en-AU"/>
        </w:rPr>
        <w:t xml:space="preserve">The lead time required for registration </w:t>
      </w:r>
      <w:r w:rsidR="00901AFA">
        <w:rPr>
          <w:rFonts w:ascii="Arial" w:hAnsi="Arial" w:cs="Arial"/>
          <w:color w:val="000000"/>
          <w:lang w:eastAsia="en-AU"/>
        </w:rPr>
        <w:t xml:space="preserve">of a new school </w:t>
      </w:r>
      <w:r w:rsidRPr="00916F15">
        <w:rPr>
          <w:rFonts w:ascii="Arial" w:hAnsi="Arial" w:cs="Arial"/>
          <w:color w:val="000000"/>
          <w:lang w:eastAsia="en-AU"/>
        </w:rPr>
        <w:t>means a half-generation of students will miss the opportunity for the best possible academic outcomes</w:t>
      </w:r>
    </w:p>
    <w:p w:rsidR="00F000CC" w:rsidRPr="00916F15" w:rsidRDefault="00916F15" w:rsidP="0067338C">
      <w:pPr>
        <w:pStyle w:val="ListParagraph"/>
        <w:numPr>
          <w:ilvl w:val="0"/>
          <w:numId w:val="13"/>
        </w:numPr>
        <w:spacing w:after="200" w:line="280" w:lineRule="exact"/>
        <w:ind w:left="714" w:hanging="357"/>
        <w:contextualSpacing w:val="0"/>
        <w:rPr>
          <w:rFonts w:ascii="Arial" w:hAnsi="Arial" w:cs="Arial"/>
          <w:color w:val="000000"/>
          <w:lang w:eastAsia="en-AU"/>
        </w:rPr>
      </w:pPr>
      <w:r w:rsidRPr="00916F15">
        <w:rPr>
          <w:rFonts w:ascii="Arial" w:hAnsi="Arial" w:cs="Arial"/>
          <w:color w:val="000000"/>
          <w:lang w:eastAsia="en-AU"/>
        </w:rPr>
        <w:t>Administration of the campus as a separate</w:t>
      </w:r>
      <w:r w:rsidR="00901AFA">
        <w:rPr>
          <w:rFonts w:ascii="Arial" w:hAnsi="Arial" w:cs="Arial"/>
          <w:color w:val="000000"/>
          <w:lang w:eastAsia="en-AU"/>
        </w:rPr>
        <w:t>ly registered</w:t>
      </w:r>
      <w:r w:rsidRPr="00916F15">
        <w:rPr>
          <w:rFonts w:ascii="Arial" w:hAnsi="Arial" w:cs="Arial"/>
          <w:color w:val="000000"/>
          <w:lang w:eastAsia="en-AU"/>
        </w:rPr>
        <w:t xml:space="preserve"> school is</w:t>
      </w:r>
      <w:r w:rsidR="00F000CC" w:rsidRPr="00916F15">
        <w:rPr>
          <w:rFonts w:ascii="Arial" w:hAnsi="Arial" w:cs="Arial"/>
          <w:color w:val="000000"/>
          <w:lang w:eastAsia="en-AU"/>
        </w:rPr>
        <w:t xml:space="preserve"> unduly complex</w:t>
      </w:r>
      <w:r w:rsidR="009908CB" w:rsidRPr="00916F15">
        <w:rPr>
          <w:rFonts w:ascii="Arial" w:hAnsi="Arial" w:cs="Arial"/>
          <w:color w:val="000000"/>
          <w:lang w:eastAsia="en-AU"/>
        </w:rPr>
        <w:t>, and therefore costly</w:t>
      </w:r>
      <w:r w:rsidR="009908CB">
        <w:rPr>
          <w:rFonts w:ascii="Arial" w:hAnsi="Arial" w:cs="Arial"/>
          <w:color w:val="000000"/>
          <w:lang w:eastAsia="en-AU"/>
        </w:rPr>
        <w:t>,</w:t>
      </w:r>
      <w:r w:rsidRPr="00916F15">
        <w:rPr>
          <w:rFonts w:ascii="Arial" w:hAnsi="Arial" w:cs="Arial"/>
          <w:color w:val="000000"/>
          <w:lang w:eastAsia="en-AU"/>
        </w:rPr>
        <w:t xml:space="preserve"> when </w:t>
      </w:r>
      <w:r w:rsidR="009908CB">
        <w:rPr>
          <w:rFonts w:ascii="Arial" w:hAnsi="Arial" w:cs="Arial"/>
          <w:color w:val="000000"/>
          <w:lang w:eastAsia="en-AU"/>
        </w:rPr>
        <w:t>depth of the curriculum and co-curriculum offerings</w:t>
      </w:r>
      <w:r w:rsidRPr="00916F15">
        <w:rPr>
          <w:rFonts w:ascii="Arial" w:hAnsi="Arial" w:cs="Arial"/>
          <w:color w:val="000000"/>
          <w:lang w:eastAsia="en-AU"/>
        </w:rPr>
        <w:t xml:space="preserve"> </w:t>
      </w:r>
      <w:r w:rsidR="009908CB">
        <w:rPr>
          <w:rFonts w:ascii="Arial" w:hAnsi="Arial" w:cs="Arial"/>
          <w:color w:val="000000"/>
          <w:lang w:eastAsia="en-AU"/>
        </w:rPr>
        <w:t>and overall success of the program depend</w:t>
      </w:r>
      <w:r w:rsidRPr="00916F15">
        <w:rPr>
          <w:rFonts w:ascii="Arial" w:hAnsi="Arial" w:cs="Arial"/>
          <w:color w:val="000000"/>
          <w:lang w:eastAsia="en-AU"/>
        </w:rPr>
        <w:t xml:space="preserve"> on </w:t>
      </w:r>
      <w:r w:rsidR="009908CB">
        <w:rPr>
          <w:rFonts w:ascii="Arial" w:hAnsi="Arial" w:cs="Arial"/>
          <w:color w:val="000000"/>
          <w:lang w:eastAsia="en-AU"/>
        </w:rPr>
        <w:t xml:space="preserve">flexibility in </w:t>
      </w:r>
      <w:r w:rsidRPr="00916F15">
        <w:rPr>
          <w:rFonts w:ascii="Arial" w:hAnsi="Arial" w:cs="Arial"/>
          <w:color w:val="000000"/>
          <w:lang w:eastAsia="en-AU"/>
        </w:rPr>
        <w:t>resource sharing</w:t>
      </w:r>
      <w:r w:rsidR="00901AFA">
        <w:rPr>
          <w:rFonts w:ascii="Arial" w:hAnsi="Arial" w:cs="Arial"/>
          <w:color w:val="000000"/>
          <w:lang w:eastAsia="en-AU"/>
        </w:rPr>
        <w:t xml:space="preserve"> between the parent school and the satellite school</w:t>
      </w:r>
      <w:r w:rsidR="00F000CC" w:rsidRPr="00916F15">
        <w:rPr>
          <w:rFonts w:ascii="Arial" w:hAnsi="Arial" w:cs="Arial"/>
          <w:color w:val="000000"/>
          <w:lang w:eastAsia="en-AU"/>
        </w:rPr>
        <w:t>.</w:t>
      </w:r>
      <w:r w:rsidR="00547B65">
        <w:rPr>
          <w:rFonts w:ascii="Arial" w:hAnsi="Arial" w:cs="Arial"/>
          <w:color w:val="000000"/>
          <w:lang w:eastAsia="en-AU"/>
        </w:rPr>
        <w:t xml:space="preserve"> </w:t>
      </w:r>
      <w:r w:rsidR="005939AE">
        <w:rPr>
          <w:rFonts w:ascii="Arial" w:hAnsi="Arial" w:cs="Arial"/>
          <w:color w:val="000000"/>
          <w:lang w:eastAsia="en-AU"/>
        </w:rPr>
        <w:t xml:space="preserve">For example, </w:t>
      </w:r>
      <w:r w:rsidR="00901AFA">
        <w:rPr>
          <w:rFonts w:ascii="Arial" w:hAnsi="Arial" w:cs="Arial"/>
          <w:color w:val="000000"/>
          <w:lang w:eastAsia="en-AU"/>
        </w:rPr>
        <w:t xml:space="preserve">Gawura shares the same site as St Andrew’s Cathedral School yet </w:t>
      </w:r>
      <w:r w:rsidR="005939AE">
        <w:rPr>
          <w:rFonts w:ascii="Arial" w:hAnsi="Arial" w:cs="Arial"/>
          <w:color w:val="000000"/>
          <w:lang w:eastAsia="en-AU"/>
        </w:rPr>
        <w:t>s</w:t>
      </w:r>
      <w:r w:rsidR="00547B65">
        <w:rPr>
          <w:rFonts w:ascii="Arial" w:hAnsi="Arial" w:cs="Arial"/>
          <w:color w:val="000000"/>
          <w:lang w:eastAsia="en-AU"/>
        </w:rPr>
        <w:t>eparat</w:t>
      </w:r>
      <w:r w:rsidR="005939AE">
        <w:rPr>
          <w:rFonts w:ascii="Arial" w:hAnsi="Arial" w:cs="Arial"/>
          <w:color w:val="000000"/>
          <w:lang w:eastAsia="en-AU"/>
        </w:rPr>
        <w:t>e</w:t>
      </w:r>
      <w:r w:rsidR="00547B65">
        <w:rPr>
          <w:rFonts w:ascii="Arial" w:hAnsi="Arial" w:cs="Arial"/>
          <w:color w:val="000000"/>
          <w:lang w:eastAsia="en-AU"/>
        </w:rPr>
        <w:t xml:space="preserve"> registration</w:t>
      </w:r>
      <w:r w:rsidR="005939AE">
        <w:rPr>
          <w:rFonts w:ascii="Arial" w:hAnsi="Arial" w:cs="Arial"/>
          <w:color w:val="000000"/>
          <w:lang w:eastAsia="en-AU"/>
        </w:rPr>
        <w:t xml:space="preserve"> entails separate acquittals, a separate compliance regime and complex transactions governing deployment of St Andrew’s staff in Gawura for specialist activities.</w:t>
      </w:r>
    </w:p>
    <w:p w:rsidR="00E048A2" w:rsidRPr="00916F15" w:rsidRDefault="00E048A2" w:rsidP="00A33FDD">
      <w:pPr>
        <w:spacing w:after="160" w:line="280" w:lineRule="exact"/>
        <w:rPr>
          <w:rFonts w:ascii="Arial" w:hAnsi="Arial" w:cs="Arial"/>
          <w:i/>
          <w:color w:val="7030A0"/>
          <w:sz w:val="22"/>
          <w:szCs w:val="22"/>
          <w:lang w:eastAsia="en-AU"/>
        </w:rPr>
      </w:pPr>
      <w:r w:rsidRPr="00916F15">
        <w:rPr>
          <w:rFonts w:ascii="Arial" w:hAnsi="Arial" w:cs="Arial"/>
          <w:i/>
          <w:color w:val="7030A0"/>
          <w:sz w:val="22"/>
          <w:szCs w:val="22"/>
          <w:lang w:eastAsia="en-AU"/>
        </w:rPr>
        <w:t xml:space="preserve">Darkinjung Barker College </w:t>
      </w:r>
    </w:p>
    <w:p w:rsidR="00901AFA" w:rsidRDefault="00316133" w:rsidP="00A33FDD">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Darkinjung Barker College </w:t>
      </w:r>
      <w:r w:rsidR="00623C05">
        <w:rPr>
          <w:rFonts w:ascii="Arial" w:hAnsi="Arial" w:cs="Arial"/>
          <w:color w:val="000000"/>
          <w:sz w:val="22"/>
          <w:szCs w:val="22"/>
          <w:lang w:eastAsia="en-AU"/>
        </w:rPr>
        <w:t xml:space="preserve">originated in a vision to ‘take Barker College to the communities’ and </w:t>
      </w:r>
      <w:r w:rsidR="00F000CC">
        <w:rPr>
          <w:rFonts w:ascii="Arial" w:hAnsi="Arial" w:cs="Arial"/>
          <w:color w:val="000000"/>
          <w:sz w:val="22"/>
          <w:szCs w:val="22"/>
          <w:lang w:eastAsia="en-AU"/>
        </w:rPr>
        <w:t>began operation in 2016</w:t>
      </w:r>
      <w:r w:rsidR="00623C05">
        <w:rPr>
          <w:rFonts w:ascii="Arial" w:hAnsi="Arial" w:cs="Arial"/>
          <w:color w:val="000000"/>
          <w:sz w:val="22"/>
          <w:szCs w:val="22"/>
          <w:lang w:eastAsia="en-AU"/>
        </w:rPr>
        <w:t>.</w:t>
      </w:r>
      <w:r w:rsidR="00DE6E82">
        <w:rPr>
          <w:rFonts w:ascii="Arial" w:hAnsi="Arial" w:cs="Arial"/>
          <w:color w:val="000000"/>
          <w:sz w:val="22"/>
          <w:szCs w:val="22"/>
          <w:lang w:eastAsia="en-AU"/>
        </w:rPr>
        <w:t xml:space="preserve"> It is supported by </w:t>
      </w:r>
      <w:r w:rsidR="00DE6E82" w:rsidRPr="00DE6E82">
        <w:rPr>
          <w:rFonts w:ascii="Arial" w:hAnsi="Arial" w:cs="Arial"/>
          <w:color w:val="000000"/>
          <w:sz w:val="22"/>
          <w:szCs w:val="22"/>
          <w:lang w:eastAsia="en-AU"/>
        </w:rPr>
        <w:t>Darkinjung Local Aboriginal Land Council (DLALC)</w:t>
      </w:r>
      <w:r w:rsidR="00901AFA">
        <w:rPr>
          <w:rFonts w:ascii="Arial" w:hAnsi="Arial" w:cs="Arial"/>
          <w:color w:val="000000"/>
          <w:sz w:val="22"/>
          <w:szCs w:val="22"/>
          <w:lang w:eastAsia="en-AU"/>
        </w:rPr>
        <w:t xml:space="preserve"> under a Memorandum of Understanding with Barker College</w:t>
      </w:r>
      <w:r w:rsidR="00DE6E82" w:rsidRPr="00DE6E82">
        <w:rPr>
          <w:rFonts w:ascii="Arial" w:hAnsi="Arial" w:cs="Arial"/>
          <w:color w:val="000000"/>
          <w:sz w:val="22"/>
          <w:szCs w:val="22"/>
          <w:lang w:eastAsia="en-AU"/>
        </w:rPr>
        <w:t xml:space="preserve">. </w:t>
      </w:r>
    </w:p>
    <w:p w:rsidR="00316133" w:rsidRDefault="00901AFA" w:rsidP="00A33FDD">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Darkinjung Barker College </w:t>
      </w:r>
      <w:r w:rsidR="00316133">
        <w:rPr>
          <w:rFonts w:ascii="Arial" w:hAnsi="Arial" w:cs="Arial"/>
          <w:color w:val="000000"/>
          <w:sz w:val="22"/>
          <w:szCs w:val="22"/>
          <w:lang w:eastAsia="en-AU"/>
        </w:rPr>
        <w:t>has not yet made the transition to a registered school in its own right.</w:t>
      </w:r>
      <w:r w:rsidR="00F000CC">
        <w:rPr>
          <w:rFonts w:ascii="Arial" w:hAnsi="Arial" w:cs="Arial"/>
          <w:color w:val="000000"/>
          <w:sz w:val="22"/>
          <w:szCs w:val="22"/>
          <w:lang w:eastAsia="en-AU"/>
        </w:rPr>
        <w:t xml:space="preserve"> </w:t>
      </w:r>
      <w:r w:rsidR="00DE6E82">
        <w:rPr>
          <w:rFonts w:ascii="Arial" w:hAnsi="Arial" w:cs="Arial"/>
          <w:color w:val="000000"/>
          <w:sz w:val="22"/>
          <w:szCs w:val="22"/>
          <w:lang w:eastAsia="en-AU"/>
        </w:rPr>
        <w:t>W</w:t>
      </w:r>
      <w:r w:rsidR="00F000CC">
        <w:rPr>
          <w:rFonts w:ascii="Arial" w:hAnsi="Arial" w:cs="Arial"/>
          <w:color w:val="000000"/>
          <w:sz w:val="22"/>
          <w:szCs w:val="22"/>
          <w:lang w:eastAsia="en-AU"/>
        </w:rPr>
        <w:t xml:space="preserve">hile waiting for registration to begin operation was an option, Barker College as the founding school believed it was important to address the needs of Darkinjung </w:t>
      </w:r>
      <w:r w:rsidR="00623C05">
        <w:rPr>
          <w:rFonts w:ascii="Arial" w:hAnsi="Arial" w:cs="Arial"/>
          <w:color w:val="000000"/>
          <w:sz w:val="22"/>
          <w:szCs w:val="22"/>
          <w:lang w:eastAsia="en-AU"/>
        </w:rPr>
        <w:t xml:space="preserve">community </w:t>
      </w:r>
      <w:r w:rsidR="00F000CC">
        <w:rPr>
          <w:rFonts w:ascii="Arial" w:hAnsi="Arial" w:cs="Arial"/>
          <w:color w:val="000000"/>
          <w:sz w:val="22"/>
          <w:szCs w:val="22"/>
          <w:lang w:eastAsia="en-AU"/>
        </w:rPr>
        <w:t xml:space="preserve">students as soon as possible. </w:t>
      </w:r>
      <w:r w:rsidR="00623C05">
        <w:rPr>
          <w:rFonts w:ascii="Arial" w:hAnsi="Arial" w:cs="Arial"/>
          <w:color w:val="000000"/>
          <w:sz w:val="22"/>
          <w:szCs w:val="22"/>
          <w:lang w:eastAsia="en-AU"/>
        </w:rPr>
        <w:t xml:space="preserve">Children in the region were entering Year 7 between two and four years behind their peers in levels of academic achievement. </w:t>
      </w:r>
      <w:r w:rsidR="00F000CC">
        <w:rPr>
          <w:rFonts w:ascii="Arial" w:hAnsi="Arial" w:cs="Arial"/>
          <w:color w:val="000000"/>
          <w:sz w:val="22"/>
          <w:szCs w:val="22"/>
          <w:lang w:eastAsia="en-AU"/>
        </w:rPr>
        <w:t xml:space="preserve">A business model was developed for the </w:t>
      </w:r>
      <w:r w:rsidR="00534679">
        <w:rPr>
          <w:rFonts w:ascii="Arial" w:hAnsi="Arial" w:cs="Arial"/>
          <w:color w:val="000000"/>
          <w:sz w:val="22"/>
          <w:szCs w:val="22"/>
          <w:lang w:eastAsia="en-AU"/>
        </w:rPr>
        <w:t>start-up</w:t>
      </w:r>
      <w:r w:rsidR="00F000CC">
        <w:rPr>
          <w:rFonts w:ascii="Arial" w:hAnsi="Arial" w:cs="Arial"/>
          <w:color w:val="000000"/>
          <w:sz w:val="22"/>
          <w:szCs w:val="22"/>
          <w:lang w:eastAsia="en-AU"/>
        </w:rPr>
        <w:t xml:space="preserve"> of the school that relies on cross-subsidisation by Barker College and private donations.</w:t>
      </w:r>
    </w:p>
    <w:p w:rsidR="00DE6E82" w:rsidRDefault="00A43257" w:rsidP="00A43257">
      <w:pPr>
        <w:spacing w:after="80" w:line="280" w:lineRule="exact"/>
        <w:rPr>
          <w:rFonts w:ascii="Arial" w:hAnsi="Arial" w:cs="Arial"/>
          <w:color w:val="000000"/>
          <w:sz w:val="22"/>
          <w:szCs w:val="22"/>
          <w:lang w:eastAsia="en-AU"/>
        </w:rPr>
      </w:pPr>
      <w:r>
        <w:rPr>
          <w:rFonts w:ascii="Arial" w:hAnsi="Arial" w:cs="Arial"/>
          <w:color w:val="000000"/>
          <w:sz w:val="22"/>
          <w:szCs w:val="22"/>
          <w:lang w:eastAsia="en-AU"/>
        </w:rPr>
        <w:t>E</w:t>
      </w:r>
      <w:r w:rsidR="00DE6E82">
        <w:rPr>
          <w:rFonts w:ascii="Arial" w:hAnsi="Arial" w:cs="Arial"/>
          <w:color w:val="000000"/>
          <w:sz w:val="22"/>
          <w:szCs w:val="22"/>
          <w:lang w:eastAsia="en-AU"/>
        </w:rPr>
        <w:t xml:space="preserve">nrolment </w:t>
      </w:r>
      <w:r>
        <w:rPr>
          <w:rFonts w:ascii="Arial" w:hAnsi="Arial" w:cs="Arial"/>
          <w:color w:val="000000"/>
          <w:sz w:val="22"/>
          <w:szCs w:val="22"/>
          <w:lang w:eastAsia="en-AU"/>
        </w:rPr>
        <w:t xml:space="preserve">at Darkinjung Barker College </w:t>
      </w:r>
      <w:r w:rsidR="00DE6E82">
        <w:rPr>
          <w:rFonts w:ascii="Arial" w:hAnsi="Arial" w:cs="Arial"/>
          <w:color w:val="000000"/>
          <w:sz w:val="22"/>
          <w:szCs w:val="22"/>
          <w:lang w:eastAsia="en-AU"/>
        </w:rPr>
        <w:t xml:space="preserve">is limited to 30 students, allowing the school to </w:t>
      </w:r>
      <w:r w:rsidR="00DE6E82" w:rsidRPr="00DE6E82">
        <w:rPr>
          <w:rFonts w:ascii="Arial" w:hAnsi="Arial" w:cs="Arial"/>
          <w:color w:val="000000"/>
          <w:sz w:val="22"/>
          <w:szCs w:val="22"/>
          <w:lang w:eastAsia="en-AU"/>
        </w:rPr>
        <w:t xml:space="preserve">function essentially in one space. This enables students to remain in close contact with one another, and maintains family groupings. </w:t>
      </w:r>
      <w:r>
        <w:rPr>
          <w:rFonts w:ascii="Arial" w:hAnsi="Arial" w:cs="Arial"/>
          <w:color w:val="000000"/>
          <w:sz w:val="22"/>
          <w:szCs w:val="22"/>
          <w:lang w:eastAsia="en-AU"/>
        </w:rPr>
        <w:t>The basis of the program offered at the College entails:</w:t>
      </w:r>
    </w:p>
    <w:p w:rsidR="00A43257" w:rsidRPr="00A43257" w:rsidRDefault="00A43257" w:rsidP="0067338C">
      <w:pPr>
        <w:pStyle w:val="ListParagraph"/>
        <w:numPr>
          <w:ilvl w:val="0"/>
          <w:numId w:val="13"/>
        </w:numPr>
        <w:spacing w:after="80" w:line="280" w:lineRule="exact"/>
        <w:contextualSpacing w:val="0"/>
        <w:rPr>
          <w:rFonts w:ascii="Arial" w:hAnsi="Arial" w:cs="Arial"/>
          <w:color w:val="000000"/>
          <w:lang w:eastAsia="en-AU"/>
        </w:rPr>
      </w:pPr>
      <w:r w:rsidRPr="00A43257">
        <w:rPr>
          <w:rFonts w:ascii="Arial" w:hAnsi="Arial" w:cs="Arial"/>
          <w:color w:val="000000"/>
          <w:lang w:eastAsia="en-AU"/>
        </w:rPr>
        <w:t>Provision of high-quality, culturally appropriate education and training programs as a foundation for lifelong learning</w:t>
      </w:r>
    </w:p>
    <w:p w:rsidR="00A43257" w:rsidRPr="00A43257" w:rsidRDefault="00A43257" w:rsidP="0067338C">
      <w:pPr>
        <w:pStyle w:val="ListParagraph"/>
        <w:numPr>
          <w:ilvl w:val="0"/>
          <w:numId w:val="13"/>
        </w:numPr>
        <w:spacing w:after="80" w:line="280" w:lineRule="exact"/>
        <w:contextualSpacing w:val="0"/>
        <w:rPr>
          <w:rFonts w:ascii="Arial" w:hAnsi="Arial" w:cs="Arial"/>
          <w:color w:val="000000"/>
          <w:lang w:eastAsia="en-AU"/>
        </w:rPr>
      </w:pPr>
      <w:r w:rsidRPr="00A43257">
        <w:rPr>
          <w:rFonts w:ascii="Arial" w:hAnsi="Arial" w:cs="Arial"/>
          <w:color w:val="000000"/>
          <w:lang w:eastAsia="en-AU"/>
        </w:rPr>
        <w:t>Provision of appropriate intervention and support programs to improve literacy and numeracy outcomes</w:t>
      </w:r>
    </w:p>
    <w:p w:rsidR="00A43257" w:rsidRPr="00A43257" w:rsidRDefault="00A43257" w:rsidP="0067338C">
      <w:pPr>
        <w:pStyle w:val="ListParagraph"/>
        <w:numPr>
          <w:ilvl w:val="0"/>
          <w:numId w:val="13"/>
        </w:numPr>
        <w:spacing w:after="80" w:line="280" w:lineRule="exact"/>
        <w:contextualSpacing w:val="0"/>
        <w:rPr>
          <w:rFonts w:ascii="Arial" w:hAnsi="Arial" w:cs="Arial"/>
          <w:color w:val="000000"/>
          <w:lang w:eastAsia="en-AU"/>
        </w:rPr>
      </w:pPr>
      <w:r w:rsidRPr="00A43257">
        <w:rPr>
          <w:rFonts w:ascii="Arial" w:hAnsi="Arial" w:cs="Arial"/>
          <w:color w:val="000000"/>
          <w:lang w:eastAsia="en-AU"/>
        </w:rPr>
        <w:t xml:space="preserve">Provision of programs that promote student engagement and maintain high levels of attendance </w:t>
      </w:r>
    </w:p>
    <w:p w:rsidR="00A43257" w:rsidRPr="00A43257" w:rsidRDefault="00A43257" w:rsidP="0067338C">
      <w:pPr>
        <w:pStyle w:val="ListParagraph"/>
        <w:numPr>
          <w:ilvl w:val="0"/>
          <w:numId w:val="13"/>
        </w:numPr>
        <w:spacing w:after="160" w:line="280" w:lineRule="exact"/>
        <w:ind w:left="714" w:hanging="357"/>
        <w:contextualSpacing w:val="0"/>
        <w:rPr>
          <w:rFonts w:ascii="Arial" w:hAnsi="Arial" w:cs="Arial"/>
          <w:color w:val="000000"/>
          <w:lang w:eastAsia="en-AU"/>
        </w:rPr>
      </w:pPr>
      <w:r w:rsidRPr="00A43257">
        <w:rPr>
          <w:rFonts w:ascii="Arial" w:hAnsi="Arial" w:cs="Arial"/>
          <w:color w:val="000000"/>
          <w:lang w:eastAsia="en-AU"/>
        </w:rPr>
        <w:t>Preparation of students for a successful transition into high school education.</w:t>
      </w:r>
    </w:p>
    <w:p w:rsidR="00BE0C22" w:rsidRPr="00BE0C22" w:rsidRDefault="00BE0C22" w:rsidP="00BE0C22">
      <w:pPr>
        <w:spacing w:after="160" w:line="280" w:lineRule="exact"/>
        <w:rPr>
          <w:rFonts w:ascii="Arial" w:hAnsi="Arial" w:cs="Arial"/>
          <w:color w:val="000000"/>
          <w:sz w:val="22"/>
          <w:szCs w:val="22"/>
          <w:lang w:eastAsia="en-AU"/>
        </w:rPr>
      </w:pPr>
      <w:r w:rsidRPr="00BE0C22">
        <w:rPr>
          <w:rFonts w:ascii="Arial" w:hAnsi="Arial" w:cs="Arial"/>
          <w:color w:val="000000"/>
          <w:sz w:val="22"/>
          <w:szCs w:val="22"/>
          <w:lang w:eastAsia="en-AU"/>
        </w:rPr>
        <w:t xml:space="preserve">(A more detailed description of Darkinjung Barker College is available in AHISA’s submission to the Parliamentary Inquiry into Educational Opportunities of Aboriginal and Torres Strait Islander Students, available at </w:t>
      </w:r>
      <w:hyperlink r:id="rId17" w:history="1">
        <w:r w:rsidRPr="00BE0C22">
          <w:rPr>
            <w:rStyle w:val="Hyperlink"/>
            <w:rFonts w:ascii="Arial" w:hAnsi="Arial" w:cs="Arial"/>
            <w:sz w:val="22"/>
            <w:szCs w:val="22"/>
            <w:lang w:eastAsia="en-AU"/>
          </w:rPr>
          <w:t>http://www.ahisa.edu.au/wp-content/uploads/2016/03/AHISA-Never-Give-Up-Part-2-29Feb16.pdf</w:t>
        </w:r>
      </w:hyperlink>
      <w:r w:rsidRPr="00BE0C22">
        <w:rPr>
          <w:rFonts w:ascii="Arial" w:hAnsi="Arial" w:cs="Arial"/>
          <w:color w:val="000000"/>
          <w:sz w:val="22"/>
          <w:szCs w:val="22"/>
          <w:lang w:eastAsia="en-AU"/>
        </w:rPr>
        <w:t>.)</w:t>
      </w:r>
    </w:p>
    <w:p w:rsidR="00FF5163" w:rsidRPr="00DC757F" w:rsidRDefault="00FF5163" w:rsidP="00B76909">
      <w:pPr>
        <w:spacing w:after="80" w:line="280" w:lineRule="exact"/>
        <w:rPr>
          <w:rFonts w:ascii="Arial" w:hAnsi="Arial" w:cs="Arial"/>
          <w:color w:val="000000"/>
          <w:sz w:val="22"/>
          <w:szCs w:val="22"/>
          <w:lang w:eastAsia="en-AU"/>
        </w:rPr>
      </w:pPr>
      <w:r w:rsidRPr="00B3374B">
        <w:rPr>
          <w:rFonts w:ascii="Arial" w:hAnsi="Arial" w:cs="Arial"/>
          <w:color w:val="000000"/>
          <w:sz w:val="22"/>
          <w:szCs w:val="22"/>
          <w:lang w:eastAsia="en-AU"/>
        </w:rPr>
        <w:t>Success indicators</w:t>
      </w:r>
      <w:r w:rsidRPr="00DC757F">
        <w:rPr>
          <w:rFonts w:ascii="Arial" w:hAnsi="Arial" w:cs="Arial"/>
          <w:color w:val="000000"/>
          <w:sz w:val="22"/>
          <w:szCs w:val="22"/>
          <w:lang w:eastAsia="en-AU"/>
        </w:rPr>
        <w:t xml:space="preserve"> in the first year of operation of Darkinjung Barker College include:</w:t>
      </w:r>
    </w:p>
    <w:p w:rsidR="00FF5163" w:rsidRPr="00DC757F" w:rsidRDefault="00DC757F" w:rsidP="0067338C">
      <w:pPr>
        <w:pStyle w:val="ListParagraph"/>
        <w:numPr>
          <w:ilvl w:val="0"/>
          <w:numId w:val="13"/>
        </w:numPr>
        <w:spacing w:after="80" w:line="280" w:lineRule="exact"/>
        <w:contextualSpacing w:val="0"/>
        <w:rPr>
          <w:rFonts w:ascii="Arial" w:hAnsi="Arial" w:cs="Arial"/>
          <w:color w:val="000000"/>
          <w:lang w:eastAsia="en-AU"/>
        </w:rPr>
      </w:pPr>
      <w:r w:rsidRPr="00DC757F">
        <w:rPr>
          <w:rFonts w:ascii="Arial" w:hAnsi="Arial" w:cs="Arial"/>
          <w:color w:val="000000"/>
          <w:lang w:eastAsia="en-AU"/>
        </w:rPr>
        <w:t>Overall,</w:t>
      </w:r>
      <w:r>
        <w:rPr>
          <w:rFonts w:ascii="Arial" w:hAnsi="Arial" w:cs="Arial"/>
          <w:b/>
          <w:color w:val="000000"/>
          <w:lang w:eastAsia="en-AU"/>
        </w:rPr>
        <w:t xml:space="preserve"> </w:t>
      </w:r>
      <w:r w:rsidRPr="00DC757F">
        <w:rPr>
          <w:rFonts w:ascii="Arial" w:hAnsi="Arial" w:cs="Arial"/>
          <w:color w:val="000000"/>
          <w:lang w:eastAsia="en-AU"/>
        </w:rPr>
        <w:t>s</w:t>
      </w:r>
      <w:r w:rsidR="00FF5163" w:rsidRPr="00DC757F">
        <w:rPr>
          <w:rFonts w:ascii="Arial" w:hAnsi="Arial" w:cs="Arial"/>
          <w:color w:val="000000"/>
          <w:lang w:eastAsia="en-AU"/>
        </w:rPr>
        <w:t>tudent</w:t>
      </w:r>
      <w:r w:rsidRPr="00DC757F">
        <w:rPr>
          <w:rFonts w:ascii="Arial" w:hAnsi="Arial" w:cs="Arial"/>
          <w:color w:val="000000"/>
          <w:lang w:eastAsia="en-AU"/>
        </w:rPr>
        <w:t>s</w:t>
      </w:r>
      <w:r w:rsidR="00FF5163" w:rsidRPr="00DC757F">
        <w:rPr>
          <w:rFonts w:ascii="Arial" w:hAnsi="Arial" w:cs="Arial"/>
          <w:color w:val="000000"/>
          <w:lang w:eastAsia="en-AU"/>
        </w:rPr>
        <w:t xml:space="preserve"> gain</w:t>
      </w:r>
      <w:r w:rsidRPr="00DC757F">
        <w:rPr>
          <w:rFonts w:ascii="Arial" w:hAnsi="Arial" w:cs="Arial"/>
          <w:color w:val="000000"/>
          <w:lang w:eastAsia="en-AU"/>
        </w:rPr>
        <w:t>ed</w:t>
      </w:r>
      <w:r w:rsidR="00FF5163" w:rsidRPr="00DC757F">
        <w:rPr>
          <w:rFonts w:ascii="Arial" w:hAnsi="Arial" w:cs="Arial"/>
          <w:color w:val="000000"/>
          <w:lang w:eastAsia="en-AU"/>
        </w:rPr>
        <w:t xml:space="preserve"> between 1.5 and 5 years</w:t>
      </w:r>
      <w:r w:rsidR="00B76909" w:rsidRPr="00DC757F">
        <w:rPr>
          <w:rFonts w:ascii="Arial" w:hAnsi="Arial" w:cs="Arial"/>
          <w:color w:val="000000"/>
          <w:lang w:eastAsia="en-AU"/>
        </w:rPr>
        <w:t xml:space="preserve"> in academic achievement</w:t>
      </w:r>
      <w:r w:rsidR="00570C54" w:rsidRPr="00DC757F">
        <w:rPr>
          <w:rFonts w:ascii="Arial" w:hAnsi="Arial" w:cs="Arial"/>
          <w:color w:val="000000"/>
          <w:lang w:eastAsia="en-AU"/>
        </w:rPr>
        <w:t>.</w:t>
      </w:r>
    </w:p>
    <w:p w:rsidR="00570C54" w:rsidRDefault="00570C54" w:rsidP="0067338C">
      <w:pPr>
        <w:pStyle w:val="ListParagraph"/>
        <w:numPr>
          <w:ilvl w:val="0"/>
          <w:numId w:val="13"/>
        </w:numPr>
        <w:spacing w:after="80" w:line="280" w:lineRule="exact"/>
        <w:contextualSpacing w:val="0"/>
        <w:rPr>
          <w:rFonts w:ascii="Arial" w:hAnsi="Arial" w:cs="Arial"/>
          <w:color w:val="000000"/>
          <w:lang w:eastAsia="en-AU"/>
        </w:rPr>
      </w:pPr>
      <w:r w:rsidRPr="00DC757F">
        <w:rPr>
          <w:rFonts w:ascii="Arial" w:hAnsi="Arial" w:cs="Arial"/>
          <w:color w:val="000000"/>
          <w:lang w:eastAsia="en-AU"/>
        </w:rPr>
        <w:t xml:space="preserve">In </w:t>
      </w:r>
      <w:r w:rsidRPr="00B3374B">
        <w:rPr>
          <w:rFonts w:ascii="Arial" w:hAnsi="Arial" w:cs="Arial"/>
          <w:b/>
          <w:color w:val="000000"/>
          <w:lang w:eastAsia="en-AU"/>
        </w:rPr>
        <w:t>reading</w:t>
      </w:r>
      <w:r w:rsidRPr="00DC757F">
        <w:rPr>
          <w:rFonts w:ascii="Arial" w:hAnsi="Arial" w:cs="Arial"/>
          <w:color w:val="000000"/>
          <w:lang w:eastAsia="en-AU"/>
        </w:rPr>
        <w:t xml:space="preserve">, 61 per cent of students commencing in February 2016 </w:t>
      </w:r>
      <w:r w:rsidR="00DC757F">
        <w:rPr>
          <w:rFonts w:ascii="Arial" w:hAnsi="Arial" w:cs="Arial"/>
          <w:color w:val="000000"/>
          <w:lang w:eastAsia="en-AU"/>
        </w:rPr>
        <w:t xml:space="preserve">in Years 1 to 5 </w:t>
      </w:r>
      <w:r w:rsidRPr="00DC757F">
        <w:rPr>
          <w:rFonts w:ascii="Arial" w:hAnsi="Arial" w:cs="Arial"/>
          <w:color w:val="000000"/>
          <w:lang w:eastAsia="en-AU"/>
        </w:rPr>
        <w:t xml:space="preserve">were </w:t>
      </w:r>
      <w:r w:rsidR="00E54BDF">
        <w:rPr>
          <w:rFonts w:ascii="Arial" w:hAnsi="Arial" w:cs="Arial"/>
          <w:color w:val="000000"/>
          <w:lang w:eastAsia="en-AU"/>
        </w:rPr>
        <w:t>diagnosed</w:t>
      </w:r>
      <w:r w:rsidRPr="00DC757F">
        <w:rPr>
          <w:rFonts w:ascii="Arial" w:hAnsi="Arial" w:cs="Arial"/>
          <w:color w:val="000000"/>
          <w:lang w:eastAsia="en-AU"/>
        </w:rPr>
        <w:t xml:space="preserve"> as having a severe reading comprehension problem according to the York </w:t>
      </w:r>
      <w:r w:rsidR="00DC757F">
        <w:rPr>
          <w:rFonts w:ascii="Arial" w:hAnsi="Arial" w:cs="Arial"/>
          <w:color w:val="000000"/>
          <w:lang w:eastAsia="en-AU"/>
        </w:rPr>
        <w:t xml:space="preserve">Assessment of Reading for Comprehension (YARC) </w:t>
      </w:r>
      <w:r w:rsidRPr="00DC757F">
        <w:rPr>
          <w:rFonts w:ascii="Arial" w:hAnsi="Arial" w:cs="Arial"/>
          <w:color w:val="000000"/>
          <w:lang w:eastAsia="en-AU"/>
        </w:rPr>
        <w:t xml:space="preserve">scale. By November 2016, no students </w:t>
      </w:r>
      <w:r w:rsidR="00DC757F">
        <w:rPr>
          <w:rFonts w:ascii="Arial" w:hAnsi="Arial" w:cs="Arial"/>
          <w:color w:val="000000"/>
          <w:lang w:eastAsia="en-AU"/>
        </w:rPr>
        <w:t xml:space="preserve">in this group </w:t>
      </w:r>
      <w:r w:rsidRPr="00DC757F">
        <w:rPr>
          <w:rFonts w:ascii="Arial" w:hAnsi="Arial" w:cs="Arial"/>
          <w:color w:val="000000"/>
          <w:lang w:eastAsia="en-AU"/>
        </w:rPr>
        <w:t>measured as having a severe reading comprehension</w:t>
      </w:r>
      <w:r w:rsidR="00DC757F">
        <w:rPr>
          <w:rFonts w:ascii="Arial" w:hAnsi="Arial" w:cs="Arial"/>
          <w:color w:val="000000"/>
          <w:lang w:eastAsia="en-AU"/>
        </w:rPr>
        <w:t xml:space="preserve"> problem</w:t>
      </w:r>
      <w:r w:rsidRPr="00DC757F">
        <w:rPr>
          <w:rFonts w:ascii="Arial" w:hAnsi="Arial" w:cs="Arial"/>
          <w:color w:val="000000"/>
          <w:lang w:eastAsia="en-AU"/>
        </w:rPr>
        <w:t xml:space="preserve">: 38 per cent had a moderate reading problem; 38 per cent measured as </w:t>
      </w:r>
      <w:r w:rsidR="00DC757F">
        <w:rPr>
          <w:rFonts w:ascii="Arial" w:hAnsi="Arial" w:cs="Arial"/>
          <w:color w:val="000000"/>
          <w:lang w:eastAsia="en-AU"/>
        </w:rPr>
        <w:t>‘</w:t>
      </w:r>
      <w:r w:rsidRPr="00DC757F">
        <w:rPr>
          <w:rFonts w:ascii="Arial" w:hAnsi="Arial" w:cs="Arial"/>
          <w:color w:val="000000"/>
          <w:lang w:eastAsia="en-AU"/>
        </w:rPr>
        <w:t>average</w:t>
      </w:r>
      <w:r w:rsidR="00DC757F">
        <w:rPr>
          <w:rFonts w:ascii="Arial" w:hAnsi="Arial" w:cs="Arial"/>
          <w:color w:val="000000"/>
          <w:lang w:eastAsia="en-AU"/>
        </w:rPr>
        <w:t>’</w:t>
      </w:r>
      <w:r w:rsidRPr="00DC757F">
        <w:rPr>
          <w:rFonts w:ascii="Arial" w:hAnsi="Arial" w:cs="Arial"/>
          <w:color w:val="000000"/>
          <w:lang w:eastAsia="en-AU"/>
        </w:rPr>
        <w:t xml:space="preserve"> readers; 15 per cent measured as ‘good</w:t>
      </w:r>
      <w:r w:rsidR="00DC757F">
        <w:rPr>
          <w:rFonts w:ascii="Arial" w:hAnsi="Arial" w:cs="Arial"/>
          <w:color w:val="000000"/>
          <w:lang w:eastAsia="en-AU"/>
        </w:rPr>
        <w:t>’</w:t>
      </w:r>
      <w:r w:rsidRPr="00DC757F">
        <w:rPr>
          <w:rFonts w:ascii="Arial" w:hAnsi="Arial" w:cs="Arial"/>
          <w:color w:val="000000"/>
          <w:lang w:eastAsia="en-AU"/>
        </w:rPr>
        <w:t xml:space="preserve"> readers; and </w:t>
      </w:r>
      <w:r w:rsidR="00DC757F" w:rsidRPr="00DC757F">
        <w:rPr>
          <w:rFonts w:ascii="Arial" w:hAnsi="Arial" w:cs="Arial"/>
          <w:color w:val="000000"/>
          <w:lang w:eastAsia="en-AU"/>
        </w:rPr>
        <w:t>8 per cent achieved an ‘excellent reader’ score in reading comprehension.</w:t>
      </w:r>
    </w:p>
    <w:p w:rsidR="00E54BDF" w:rsidRPr="00606AB7" w:rsidRDefault="00024F5D" w:rsidP="0067338C">
      <w:pPr>
        <w:pStyle w:val="ListParagraph"/>
        <w:numPr>
          <w:ilvl w:val="0"/>
          <w:numId w:val="13"/>
        </w:numPr>
        <w:spacing w:after="80" w:line="280" w:lineRule="exact"/>
        <w:contextualSpacing w:val="0"/>
        <w:rPr>
          <w:rFonts w:ascii="Arial" w:hAnsi="Arial" w:cs="Arial"/>
          <w:color w:val="000000"/>
          <w:lang w:eastAsia="en-AU"/>
        </w:rPr>
      </w:pPr>
      <w:r w:rsidRPr="00606AB7">
        <w:rPr>
          <w:rFonts w:ascii="Arial" w:hAnsi="Arial" w:cs="Arial"/>
          <w:color w:val="000000"/>
          <w:lang w:eastAsia="en-AU"/>
        </w:rPr>
        <w:t xml:space="preserve">In </w:t>
      </w:r>
      <w:r w:rsidRPr="00B3374B">
        <w:rPr>
          <w:rFonts w:ascii="Arial" w:hAnsi="Arial" w:cs="Arial"/>
          <w:b/>
          <w:color w:val="000000"/>
          <w:lang w:eastAsia="en-AU"/>
        </w:rPr>
        <w:t>spelling</w:t>
      </w:r>
      <w:r w:rsidRPr="00606AB7">
        <w:rPr>
          <w:rFonts w:ascii="Arial" w:hAnsi="Arial" w:cs="Arial"/>
          <w:color w:val="000000"/>
          <w:lang w:eastAsia="en-AU"/>
        </w:rPr>
        <w:t xml:space="preserve">, </w:t>
      </w:r>
      <w:r w:rsidR="00E54BDF" w:rsidRPr="00606AB7">
        <w:rPr>
          <w:rFonts w:ascii="Arial" w:hAnsi="Arial" w:cs="Arial"/>
          <w:color w:val="000000"/>
          <w:lang w:eastAsia="en-AU"/>
        </w:rPr>
        <w:t xml:space="preserve">56 per cent of students commencing in February 2016 in Years 1 to 5 were diagnosed as experiencing severe difficulties (that is, the students’ academic performance was at or below the fifth percentile for his or her year of schooling) according to the Dalwood Spelling Test. By November 2016, only 19 per cent of students were still diagnosed at this level: 37 per cent were diagnosed as ‘borderline’; 12 per cent were ‘average’ for their school year level; </w:t>
      </w:r>
      <w:r w:rsidR="00606AB7" w:rsidRPr="00606AB7">
        <w:rPr>
          <w:rFonts w:ascii="Arial" w:hAnsi="Arial" w:cs="Arial"/>
          <w:color w:val="000000"/>
          <w:lang w:eastAsia="en-AU"/>
        </w:rPr>
        <w:t>6 per cent were ‘above average’; and 25 per cent measured as having ‘superior achievement’ (that is, with scores at or above the 95th percentile for the student’s school year level).</w:t>
      </w:r>
    </w:p>
    <w:p w:rsidR="00FF5163" w:rsidRPr="00537A83" w:rsidRDefault="00537A83" w:rsidP="00537A83">
      <w:pPr>
        <w:pStyle w:val="ListParagraph"/>
        <w:numPr>
          <w:ilvl w:val="0"/>
          <w:numId w:val="13"/>
        </w:numPr>
        <w:spacing w:after="160" w:line="280" w:lineRule="exact"/>
        <w:ind w:left="714" w:hanging="357"/>
        <w:contextualSpacing w:val="0"/>
        <w:rPr>
          <w:rFonts w:ascii="Arial" w:hAnsi="Arial" w:cs="Arial"/>
          <w:color w:val="000000"/>
          <w:lang w:eastAsia="en-AU"/>
        </w:rPr>
      </w:pPr>
      <w:r w:rsidRPr="00B3374B">
        <w:rPr>
          <w:rFonts w:ascii="Arial" w:hAnsi="Arial" w:cs="Arial"/>
          <w:b/>
          <w:color w:val="000000"/>
          <w:lang w:eastAsia="en-AU"/>
        </w:rPr>
        <w:t>A</w:t>
      </w:r>
      <w:r w:rsidR="00B76909" w:rsidRPr="00B3374B">
        <w:rPr>
          <w:rFonts w:ascii="Arial" w:hAnsi="Arial" w:cs="Arial"/>
          <w:b/>
          <w:color w:val="000000"/>
          <w:lang w:eastAsia="en-AU"/>
        </w:rPr>
        <w:t>ttendance</w:t>
      </w:r>
      <w:r w:rsidR="00B76909" w:rsidRPr="00537A83">
        <w:rPr>
          <w:rFonts w:ascii="Arial" w:hAnsi="Arial" w:cs="Arial"/>
          <w:color w:val="000000"/>
          <w:lang w:eastAsia="en-AU"/>
        </w:rPr>
        <w:t xml:space="preserve"> </w:t>
      </w:r>
      <w:r w:rsidRPr="00537A83">
        <w:rPr>
          <w:rFonts w:ascii="Arial" w:hAnsi="Arial" w:cs="Arial"/>
          <w:color w:val="000000"/>
          <w:lang w:eastAsia="en-AU"/>
        </w:rPr>
        <w:t>at Darkinjung Barker is supported by the operation of two buses for the collection and drop off of students across the region. The buses are driven by members of DLALC community and the costs are shared between DLALC and Barker.</w:t>
      </w:r>
    </w:p>
    <w:p w:rsidR="00035117" w:rsidRDefault="00D6600C" w:rsidP="00035117">
      <w:pPr>
        <w:spacing w:after="160" w:line="280" w:lineRule="exact"/>
        <w:rPr>
          <w:rFonts w:ascii="Arial" w:hAnsi="Arial" w:cs="Arial"/>
          <w:color w:val="000000"/>
          <w:sz w:val="22"/>
          <w:szCs w:val="22"/>
          <w:lang w:eastAsia="en-AU"/>
        </w:rPr>
      </w:pPr>
      <w:r w:rsidRPr="00035117">
        <w:rPr>
          <w:rFonts w:ascii="Arial" w:hAnsi="Arial" w:cs="Arial"/>
          <w:color w:val="000000"/>
          <w:sz w:val="22"/>
          <w:szCs w:val="22"/>
          <w:lang w:eastAsia="en-AU"/>
        </w:rPr>
        <w:t xml:space="preserve">The current </w:t>
      </w:r>
      <w:r w:rsidR="00035117" w:rsidRPr="00035117">
        <w:rPr>
          <w:rFonts w:ascii="Arial" w:hAnsi="Arial" w:cs="Arial"/>
          <w:color w:val="000000"/>
          <w:sz w:val="22"/>
          <w:szCs w:val="22"/>
          <w:lang w:eastAsia="en-AU"/>
        </w:rPr>
        <w:t xml:space="preserve">average </w:t>
      </w:r>
      <w:r w:rsidRPr="00035117">
        <w:rPr>
          <w:rFonts w:ascii="Arial" w:hAnsi="Arial" w:cs="Arial"/>
          <w:color w:val="000000"/>
          <w:sz w:val="22"/>
          <w:szCs w:val="22"/>
          <w:lang w:eastAsia="en-AU"/>
        </w:rPr>
        <w:t>per student expenditure at Darkinjung Barker is $22,849 per student</w:t>
      </w:r>
      <w:r w:rsidR="009D2D81">
        <w:rPr>
          <w:rFonts w:ascii="Arial" w:hAnsi="Arial" w:cs="Arial"/>
          <w:color w:val="000000"/>
          <w:sz w:val="22"/>
          <w:szCs w:val="22"/>
          <w:lang w:eastAsia="en-AU"/>
        </w:rPr>
        <w:t>, reflec</w:t>
      </w:r>
      <w:r w:rsidR="00EC140C">
        <w:rPr>
          <w:rFonts w:ascii="Arial" w:hAnsi="Arial" w:cs="Arial"/>
          <w:color w:val="000000"/>
          <w:sz w:val="22"/>
          <w:szCs w:val="22"/>
          <w:lang w:eastAsia="en-AU"/>
        </w:rPr>
        <w:t>ting the cost of a low student:</w:t>
      </w:r>
      <w:r w:rsidR="009D2D81">
        <w:rPr>
          <w:rFonts w:ascii="Arial" w:hAnsi="Arial" w:cs="Arial"/>
          <w:color w:val="000000"/>
          <w:sz w:val="22"/>
          <w:szCs w:val="22"/>
          <w:lang w:eastAsia="en-AU"/>
        </w:rPr>
        <w:t>staff ratio (there are two teachers and two teachers’ aides).</w:t>
      </w:r>
      <w:r w:rsidR="00AE1668" w:rsidRPr="00035117">
        <w:rPr>
          <w:rFonts w:ascii="Arial" w:hAnsi="Arial" w:cs="Arial"/>
          <w:color w:val="000000"/>
          <w:sz w:val="22"/>
          <w:szCs w:val="22"/>
          <w:lang w:eastAsia="en-AU"/>
        </w:rPr>
        <w:t xml:space="preserve"> Of this</w:t>
      </w:r>
      <w:r w:rsidR="009D2D81">
        <w:rPr>
          <w:rFonts w:ascii="Arial" w:hAnsi="Arial" w:cs="Arial"/>
          <w:color w:val="000000"/>
          <w:sz w:val="22"/>
          <w:szCs w:val="22"/>
          <w:lang w:eastAsia="en-AU"/>
        </w:rPr>
        <w:t xml:space="preserve"> amount</w:t>
      </w:r>
      <w:r w:rsidR="00AE1668" w:rsidRPr="00035117">
        <w:rPr>
          <w:rFonts w:ascii="Arial" w:hAnsi="Arial" w:cs="Arial"/>
          <w:color w:val="000000"/>
          <w:sz w:val="22"/>
          <w:szCs w:val="22"/>
          <w:lang w:eastAsia="en-AU"/>
        </w:rPr>
        <w:t>, the Australian Government contributes $6,760 (</w:t>
      </w:r>
      <w:r w:rsidR="00EC140C">
        <w:rPr>
          <w:rFonts w:ascii="Arial" w:hAnsi="Arial" w:cs="Arial"/>
          <w:color w:val="000000"/>
          <w:sz w:val="22"/>
          <w:szCs w:val="22"/>
          <w:lang w:eastAsia="en-AU"/>
        </w:rPr>
        <w:t>reflect</w:t>
      </w:r>
      <w:r w:rsidR="00AE1668" w:rsidRPr="00035117">
        <w:rPr>
          <w:rFonts w:ascii="Arial" w:hAnsi="Arial" w:cs="Arial"/>
          <w:color w:val="000000"/>
          <w:sz w:val="22"/>
          <w:szCs w:val="22"/>
          <w:lang w:eastAsia="en-AU"/>
        </w:rPr>
        <w:t>ing the Indigenous loading</w:t>
      </w:r>
      <w:r w:rsidR="00EC140C">
        <w:rPr>
          <w:rFonts w:ascii="Arial" w:hAnsi="Arial" w:cs="Arial"/>
          <w:color w:val="000000"/>
          <w:sz w:val="22"/>
          <w:szCs w:val="22"/>
          <w:lang w:eastAsia="en-AU"/>
        </w:rPr>
        <w:t xml:space="preserve"> on the students’ base entitlement</w:t>
      </w:r>
      <w:r w:rsidR="00AE1668" w:rsidRPr="00035117">
        <w:rPr>
          <w:rFonts w:ascii="Arial" w:hAnsi="Arial" w:cs="Arial"/>
          <w:color w:val="000000"/>
          <w:sz w:val="22"/>
          <w:szCs w:val="22"/>
          <w:lang w:eastAsia="en-AU"/>
        </w:rPr>
        <w:t xml:space="preserve">) and the NSW Government $2,604, bringing total government per student funding </w:t>
      </w:r>
      <w:r w:rsidR="00035117" w:rsidRPr="00035117">
        <w:rPr>
          <w:rFonts w:ascii="Arial" w:hAnsi="Arial" w:cs="Arial"/>
          <w:color w:val="000000"/>
          <w:sz w:val="22"/>
          <w:szCs w:val="22"/>
          <w:lang w:eastAsia="en-AU"/>
        </w:rPr>
        <w:t xml:space="preserve">to </w:t>
      </w:r>
      <w:r w:rsidR="00035117">
        <w:rPr>
          <w:rFonts w:ascii="Arial" w:hAnsi="Arial" w:cs="Arial"/>
          <w:color w:val="000000"/>
          <w:sz w:val="22"/>
          <w:szCs w:val="22"/>
          <w:lang w:eastAsia="en-AU"/>
        </w:rPr>
        <w:t>$9,364. The funding gap is bridged from non-government sources.</w:t>
      </w:r>
    </w:p>
    <w:p w:rsidR="00035117" w:rsidRDefault="00AE1668" w:rsidP="00035117">
      <w:pPr>
        <w:spacing w:after="160" w:line="280" w:lineRule="exact"/>
        <w:rPr>
          <w:rFonts w:ascii="Arial" w:hAnsi="Arial" w:cs="Arial"/>
          <w:color w:val="000000"/>
          <w:sz w:val="22"/>
          <w:szCs w:val="22"/>
          <w:lang w:eastAsia="en-AU"/>
        </w:rPr>
      </w:pPr>
      <w:r w:rsidRPr="00035117">
        <w:rPr>
          <w:rFonts w:ascii="Arial" w:hAnsi="Arial" w:cs="Arial"/>
          <w:color w:val="000000"/>
          <w:sz w:val="22"/>
          <w:szCs w:val="22"/>
          <w:lang w:eastAsia="en-AU"/>
        </w:rPr>
        <w:t xml:space="preserve">As noted above, </w:t>
      </w:r>
      <w:r w:rsidR="00035117" w:rsidRPr="00035117">
        <w:rPr>
          <w:rFonts w:ascii="Arial" w:hAnsi="Arial" w:cs="Arial"/>
          <w:color w:val="000000"/>
          <w:sz w:val="22"/>
          <w:szCs w:val="22"/>
          <w:lang w:eastAsia="en-AU"/>
        </w:rPr>
        <w:t>average total government per student funding for students attending</w:t>
      </w:r>
      <w:r w:rsidRPr="00035117">
        <w:rPr>
          <w:rFonts w:ascii="Arial" w:hAnsi="Arial" w:cs="Arial"/>
          <w:color w:val="000000"/>
          <w:sz w:val="22"/>
          <w:szCs w:val="22"/>
          <w:lang w:eastAsia="en-AU"/>
        </w:rPr>
        <w:t xml:space="preserve"> Gawura </w:t>
      </w:r>
      <w:r w:rsidR="00035117">
        <w:rPr>
          <w:rFonts w:ascii="Arial" w:hAnsi="Arial" w:cs="Arial"/>
          <w:color w:val="000000"/>
          <w:sz w:val="22"/>
          <w:szCs w:val="22"/>
          <w:lang w:eastAsia="en-AU"/>
        </w:rPr>
        <w:t>was</w:t>
      </w:r>
      <w:r w:rsidRPr="00035117">
        <w:rPr>
          <w:rFonts w:ascii="Arial" w:hAnsi="Arial" w:cs="Arial"/>
          <w:color w:val="000000"/>
          <w:sz w:val="22"/>
          <w:szCs w:val="22"/>
          <w:lang w:eastAsia="en-AU"/>
        </w:rPr>
        <w:t xml:space="preserve"> $18,380</w:t>
      </w:r>
      <w:r w:rsidR="00035117">
        <w:rPr>
          <w:rFonts w:ascii="Arial" w:hAnsi="Arial" w:cs="Arial"/>
          <w:color w:val="000000"/>
          <w:sz w:val="22"/>
          <w:szCs w:val="22"/>
          <w:lang w:eastAsia="en-AU"/>
        </w:rPr>
        <w:t xml:space="preserve"> in 2014</w:t>
      </w:r>
      <w:r w:rsidR="00035117" w:rsidRPr="00035117">
        <w:rPr>
          <w:rFonts w:ascii="Arial" w:hAnsi="Arial" w:cs="Arial"/>
          <w:color w:val="000000"/>
          <w:sz w:val="22"/>
          <w:szCs w:val="22"/>
          <w:lang w:eastAsia="en-AU"/>
        </w:rPr>
        <w:t xml:space="preserve">. </w:t>
      </w:r>
      <w:r w:rsidR="009D2D81">
        <w:rPr>
          <w:rFonts w:ascii="Arial" w:hAnsi="Arial" w:cs="Arial"/>
          <w:color w:val="000000"/>
          <w:sz w:val="22"/>
          <w:szCs w:val="22"/>
          <w:lang w:eastAsia="en-AU"/>
        </w:rPr>
        <w:t xml:space="preserve">Total government per student funding for students </w:t>
      </w:r>
      <w:r w:rsidR="00035117">
        <w:rPr>
          <w:rFonts w:ascii="Arial" w:hAnsi="Arial" w:cs="Arial"/>
          <w:color w:val="000000"/>
          <w:sz w:val="22"/>
          <w:szCs w:val="22"/>
          <w:lang w:eastAsia="en-AU"/>
        </w:rPr>
        <w:t xml:space="preserve">at Walgett Community College Primary School, a </w:t>
      </w:r>
      <w:r w:rsidR="009D2D81">
        <w:rPr>
          <w:rFonts w:ascii="Arial" w:hAnsi="Arial" w:cs="Arial"/>
          <w:color w:val="000000"/>
          <w:sz w:val="22"/>
          <w:szCs w:val="22"/>
          <w:lang w:eastAsia="en-AU"/>
        </w:rPr>
        <w:t xml:space="preserve">NSW </w:t>
      </w:r>
      <w:r w:rsidR="00035117">
        <w:rPr>
          <w:rFonts w:ascii="Arial" w:hAnsi="Arial" w:cs="Arial"/>
          <w:color w:val="000000"/>
          <w:sz w:val="22"/>
          <w:szCs w:val="22"/>
          <w:lang w:eastAsia="en-AU"/>
        </w:rPr>
        <w:t xml:space="preserve">regional government school with 96 per cent Indigenous enrolment, was $20,718. </w:t>
      </w:r>
    </w:p>
    <w:p w:rsidR="00035117" w:rsidRDefault="00035117" w:rsidP="00035117">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The a</w:t>
      </w:r>
      <w:r w:rsidRPr="00035117">
        <w:rPr>
          <w:rFonts w:ascii="Arial" w:hAnsi="Arial" w:cs="Arial"/>
          <w:color w:val="000000"/>
          <w:sz w:val="22"/>
          <w:szCs w:val="22"/>
          <w:lang w:eastAsia="en-AU"/>
        </w:rPr>
        <w:t xml:space="preserve">verage total government per student funding for students attending </w:t>
      </w:r>
      <w:r>
        <w:rPr>
          <w:rFonts w:ascii="Arial" w:hAnsi="Arial" w:cs="Arial"/>
          <w:color w:val="000000"/>
          <w:sz w:val="22"/>
          <w:szCs w:val="22"/>
          <w:lang w:eastAsia="en-AU"/>
        </w:rPr>
        <w:t>Barker College, Hornsby in 2014 was $3,841. While students at Darkinjung Barker attract significantly more government funding than students attending Barker College</w:t>
      </w:r>
      <w:r w:rsidR="009D2D81">
        <w:rPr>
          <w:rFonts w:ascii="Arial" w:hAnsi="Arial" w:cs="Arial"/>
          <w:color w:val="000000"/>
          <w:sz w:val="22"/>
          <w:szCs w:val="22"/>
          <w:lang w:eastAsia="en-AU"/>
        </w:rPr>
        <w:t xml:space="preserve"> because of their eligibility for an Indigenous loading</w:t>
      </w:r>
      <w:r>
        <w:rPr>
          <w:rFonts w:ascii="Arial" w:hAnsi="Arial" w:cs="Arial"/>
          <w:color w:val="000000"/>
          <w:sz w:val="22"/>
          <w:szCs w:val="22"/>
          <w:lang w:eastAsia="en-AU"/>
        </w:rPr>
        <w:t>, they are still funded at well below the level of funding they would attract if Darkinjung Barker</w:t>
      </w:r>
      <w:r w:rsidR="000C1D9E">
        <w:rPr>
          <w:rFonts w:ascii="Arial" w:hAnsi="Arial" w:cs="Arial"/>
          <w:color w:val="000000"/>
          <w:sz w:val="22"/>
          <w:szCs w:val="22"/>
          <w:lang w:eastAsia="en-AU"/>
        </w:rPr>
        <w:t xml:space="preserve"> was able to be recognised for the MATSIS category of federal funding.</w:t>
      </w:r>
    </w:p>
    <w:p w:rsidR="00547B65" w:rsidRDefault="00B76909" w:rsidP="004342E3">
      <w:pPr>
        <w:spacing w:after="200" w:line="280" w:lineRule="exact"/>
        <w:rPr>
          <w:rFonts w:ascii="Arial" w:hAnsi="Arial" w:cs="Arial"/>
          <w:color w:val="000000"/>
          <w:sz w:val="22"/>
          <w:szCs w:val="22"/>
          <w:lang w:eastAsia="en-AU"/>
        </w:rPr>
      </w:pPr>
      <w:r>
        <w:rPr>
          <w:rFonts w:ascii="Arial" w:hAnsi="Arial" w:cs="Arial"/>
          <w:color w:val="000000"/>
          <w:sz w:val="22"/>
          <w:szCs w:val="22"/>
          <w:lang w:eastAsia="en-AU"/>
        </w:rPr>
        <w:t xml:space="preserve">A positive for </w:t>
      </w:r>
      <w:r w:rsidR="00547B65">
        <w:rPr>
          <w:rFonts w:ascii="Arial" w:hAnsi="Arial" w:cs="Arial"/>
          <w:color w:val="000000"/>
          <w:sz w:val="22"/>
          <w:szCs w:val="22"/>
          <w:lang w:eastAsia="en-AU"/>
        </w:rPr>
        <w:t>Darkinjung Barker</w:t>
      </w:r>
      <w:r>
        <w:rPr>
          <w:rFonts w:ascii="Arial" w:hAnsi="Arial" w:cs="Arial"/>
          <w:color w:val="000000"/>
          <w:sz w:val="22"/>
          <w:szCs w:val="22"/>
          <w:lang w:eastAsia="en-AU"/>
        </w:rPr>
        <w:t xml:space="preserve"> has been the NSW Government</w:t>
      </w:r>
      <w:r w:rsidR="00547B65">
        <w:rPr>
          <w:rFonts w:ascii="Arial" w:hAnsi="Arial" w:cs="Arial"/>
          <w:color w:val="000000"/>
          <w:sz w:val="22"/>
          <w:szCs w:val="22"/>
          <w:lang w:eastAsia="en-AU"/>
        </w:rPr>
        <w:t>’s decision</w:t>
      </w:r>
      <w:r>
        <w:rPr>
          <w:rFonts w:ascii="Arial" w:hAnsi="Arial" w:cs="Arial"/>
          <w:color w:val="000000"/>
          <w:sz w:val="22"/>
          <w:szCs w:val="22"/>
          <w:lang w:eastAsia="en-AU"/>
        </w:rPr>
        <w:t xml:space="preserve"> </w:t>
      </w:r>
      <w:r w:rsidR="0007687A">
        <w:rPr>
          <w:rFonts w:ascii="Arial" w:hAnsi="Arial" w:cs="Arial"/>
          <w:color w:val="000000"/>
          <w:sz w:val="22"/>
          <w:szCs w:val="22"/>
          <w:lang w:eastAsia="en-AU"/>
        </w:rPr>
        <w:t xml:space="preserve">in 2016 </w:t>
      </w:r>
      <w:r>
        <w:rPr>
          <w:rFonts w:ascii="Arial" w:hAnsi="Arial" w:cs="Arial"/>
          <w:color w:val="000000"/>
          <w:sz w:val="22"/>
          <w:szCs w:val="22"/>
          <w:lang w:eastAsia="en-AU"/>
        </w:rPr>
        <w:t>to fund students at the campus on their SES score, plus an Indigenous loading, bringing state government per student recurrent funding to</w:t>
      </w:r>
      <w:r w:rsidR="00547B65">
        <w:rPr>
          <w:rFonts w:ascii="Arial" w:hAnsi="Arial" w:cs="Arial"/>
          <w:color w:val="000000"/>
          <w:sz w:val="22"/>
          <w:szCs w:val="22"/>
          <w:lang w:eastAsia="en-AU"/>
        </w:rPr>
        <w:t xml:space="preserve"> </w:t>
      </w:r>
      <w:r w:rsidR="00547B65" w:rsidRPr="000C1D9E">
        <w:rPr>
          <w:rFonts w:ascii="Arial" w:hAnsi="Arial" w:cs="Arial"/>
          <w:color w:val="000000"/>
          <w:sz w:val="22"/>
          <w:szCs w:val="22"/>
          <w:lang w:eastAsia="en-AU"/>
        </w:rPr>
        <w:t>$</w:t>
      </w:r>
      <w:r w:rsidR="000C1D9E">
        <w:rPr>
          <w:rFonts w:ascii="Arial" w:hAnsi="Arial" w:cs="Arial"/>
          <w:color w:val="000000"/>
          <w:sz w:val="22"/>
          <w:szCs w:val="22"/>
          <w:lang w:eastAsia="en-AU"/>
        </w:rPr>
        <w:t>2,604</w:t>
      </w:r>
      <w:r w:rsidR="0007687A">
        <w:rPr>
          <w:rFonts w:ascii="Arial" w:hAnsi="Arial" w:cs="Arial"/>
          <w:color w:val="000000"/>
          <w:sz w:val="22"/>
          <w:szCs w:val="22"/>
          <w:lang w:eastAsia="en-AU"/>
        </w:rPr>
        <w:t xml:space="preserve"> – well above the $1,497 per student </w:t>
      </w:r>
      <w:r w:rsidR="000C1D9E">
        <w:rPr>
          <w:rFonts w:ascii="Arial" w:hAnsi="Arial" w:cs="Arial"/>
          <w:color w:val="000000"/>
          <w:sz w:val="22"/>
          <w:szCs w:val="22"/>
          <w:lang w:eastAsia="en-AU"/>
        </w:rPr>
        <w:t xml:space="preserve">NSW Government funding </w:t>
      </w:r>
      <w:r w:rsidR="0007687A">
        <w:rPr>
          <w:rFonts w:ascii="Arial" w:hAnsi="Arial" w:cs="Arial"/>
          <w:color w:val="000000"/>
          <w:sz w:val="22"/>
          <w:szCs w:val="22"/>
          <w:lang w:eastAsia="en-AU"/>
        </w:rPr>
        <w:t>for students attending Barker College in Hornsby</w:t>
      </w:r>
      <w:r w:rsidR="00547B65">
        <w:rPr>
          <w:rFonts w:ascii="Arial" w:hAnsi="Arial" w:cs="Arial"/>
          <w:color w:val="000000"/>
          <w:sz w:val="22"/>
          <w:szCs w:val="22"/>
          <w:lang w:eastAsia="en-AU"/>
        </w:rPr>
        <w:t xml:space="preserve">. This </w:t>
      </w:r>
      <w:r w:rsidR="0007687A">
        <w:rPr>
          <w:rFonts w:ascii="Arial" w:hAnsi="Arial" w:cs="Arial"/>
          <w:color w:val="000000"/>
          <w:sz w:val="22"/>
          <w:szCs w:val="22"/>
          <w:lang w:eastAsia="en-AU"/>
        </w:rPr>
        <w:t xml:space="preserve">move on the part of the NSW Government </w:t>
      </w:r>
      <w:r w:rsidR="00547B65">
        <w:rPr>
          <w:rFonts w:ascii="Arial" w:hAnsi="Arial" w:cs="Arial"/>
          <w:color w:val="000000"/>
          <w:sz w:val="22"/>
          <w:szCs w:val="22"/>
          <w:lang w:eastAsia="en-AU"/>
        </w:rPr>
        <w:t xml:space="preserve">establishes a </w:t>
      </w:r>
      <w:r w:rsidR="000C1D9E">
        <w:rPr>
          <w:rFonts w:ascii="Arial" w:hAnsi="Arial" w:cs="Arial"/>
          <w:color w:val="000000"/>
          <w:sz w:val="22"/>
          <w:szCs w:val="22"/>
          <w:lang w:eastAsia="en-AU"/>
        </w:rPr>
        <w:t>funding precedent</w:t>
      </w:r>
      <w:r w:rsidR="00547B65">
        <w:rPr>
          <w:rFonts w:ascii="Arial" w:hAnsi="Arial" w:cs="Arial"/>
          <w:color w:val="000000"/>
          <w:sz w:val="22"/>
          <w:szCs w:val="22"/>
          <w:lang w:eastAsia="en-AU"/>
        </w:rPr>
        <w:t xml:space="preserve"> for the Australian Government</w:t>
      </w:r>
      <w:r w:rsidR="0007687A">
        <w:rPr>
          <w:rFonts w:ascii="Arial" w:hAnsi="Arial" w:cs="Arial"/>
          <w:color w:val="000000"/>
          <w:sz w:val="22"/>
          <w:szCs w:val="22"/>
          <w:lang w:eastAsia="en-AU"/>
        </w:rPr>
        <w:t xml:space="preserve"> </w:t>
      </w:r>
      <w:r w:rsidR="000C1D9E">
        <w:rPr>
          <w:rFonts w:ascii="Arial" w:hAnsi="Arial" w:cs="Arial"/>
          <w:color w:val="000000"/>
          <w:sz w:val="22"/>
          <w:szCs w:val="22"/>
          <w:lang w:eastAsia="en-AU"/>
        </w:rPr>
        <w:t xml:space="preserve">in </w:t>
      </w:r>
      <w:r w:rsidR="0007687A">
        <w:rPr>
          <w:rFonts w:ascii="Arial" w:hAnsi="Arial" w:cs="Arial"/>
          <w:color w:val="000000"/>
          <w:sz w:val="22"/>
          <w:szCs w:val="22"/>
          <w:lang w:eastAsia="en-AU"/>
        </w:rPr>
        <w:t>introduc</w:t>
      </w:r>
      <w:r w:rsidR="000C1D9E">
        <w:rPr>
          <w:rFonts w:ascii="Arial" w:hAnsi="Arial" w:cs="Arial"/>
          <w:color w:val="000000"/>
          <w:sz w:val="22"/>
          <w:szCs w:val="22"/>
          <w:lang w:eastAsia="en-AU"/>
        </w:rPr>
        <w:t>ing</w:t>
      </w:r>
      <w:r w:rsidR="0007687A">
        <w:rPr>
          <w:rFonts w:ascii="Arial" w:hAnsi="Arial" w:cs="Arial"/>
          <w:color w:val="000000"/>
          <w:sz w:val="22"/>
          <w:szCs w:val="22"/>
          <w:lang w:eastAsia="en-AU"/>
        </w:rPr>
        <w:t xml:space="preserve"> similar flexibility to </w:t>
      </w:r>
      <w:r w:rsidR="00547B65">
        <w:rPr>
          <w:rFonts w:ascii="Arial" w:hAnsi="Arial" w:cs="Arial"/>
          <w:color w:val="000000"/>
          <w:sz w:val="22"/>
          <w:szCs w:val="22"/>
          <w:lang w:eastAsia="en-AU"/>
        </w:rPr>
        <w:t>its recurrent funding model.</w:t>
      </w:r>
    </w:p>
    <w:p w:rsidR="002735A6" w:rsidRPr="002735A6" w:rsidRDefault="002735A6" w:rsidP="002735A6">
      <w:pPr>
        <w:spacing w:after="160" w:line="280" w:lineRule="exact"/>
        <w:rPr>
          <w:rFonts w:ascii="Arial" w:hAnsi="Arial" w:cs="Arial"/>
          <w:b/>
          <w:i/>
          <w:color w:val="002060"/>
          <w:sz w:val="22"/>
          <w:szCs w:val="22"/>
          <w:lang w:eastAsia="en-AU"/>
        </w:rPr>
      </w:pPr>
      <w:r w:rsidRPr="002735A6">
        <w:rPr>
          <w:rFonts w:ascii="Arial" w:hAnsi="Arial" w:cs="Arial"/>
          <w:b/>
          <w:i/>
          <w:color w:val="002060"/>
          <w:sz w:val="22"/>
          <w:szCs w:val="22"/>
          <w:lang w:eastAsia="en-AU"/>
        </w:rPr>
        <w:t>The value of a parent school</w:t>
      </w:r>
    </w:p>
    <w:p w:rsidR="004342E3" w:rsidRDefault="004342E3" w:rsidP="004342E3">
      <w:pPr>
        <w:spacing w:after="80" w:line="280" w:lineRule="exact"/>
        <w:rPr>
          <w:rFonts w:ascii="Arial" w:hAnsi="Arial" w:cs="Arial"/>
          <w:color w:val="000000"/>
          <w:sz w:val="22"/>
          <w:szCs w:val="22"/>
          <w:lang w:eastAsia="en-AU"/>
        </w:rPr>
      </w:pPr>
      <w:r>
        <w:rPr>
          <w:rFonts w:ascii="Arial" w:hAnsi="Arial" w:cs="Arial"/>
          <w:color w:val="000000"/>
          <w:sz w:val="22"/>
          <w:szCs w:val="22"/>
          <w:lang w:eastAsia="en-AU"/>
        </w:rPr>
        <w:t>A funding model which recognises the Indigenous students at a dedicated campus of an already registered school as eligible for full federal funding would have multiple benefits:</w:t>
      </w:r>
    </w:p>
    <w:p w:rsidR="004342E3" w:rsidRPr="006920CB" w:rsidRDefault="004342E3" w:rsidP="0067338C">
      <w:pPr>
        <w:pStyle w:val="ListParagraph"/>
        <w:numPr>
          <w:ilvl w:val="0"/>
          <w:numId w:val="8"/>
        </w:numPr>
        <w:spacing w:after="80" w:line="280" w:lineRule="exact"/>
        <w:contextualSpacing w:val="0"/>
        <w:rPr>
          <w:rFonts w:ascii="Arial" w:hAnsi="Arial" w:cs="Arial"/>
          <w:color w:val="000000"/>
          <w:lang w:eastAsia="en-AU"/>
        </w:rPr>
      </w:pPr>
      <w:r w:rsidRPr="006920CB">
        <w:rPr>
          <w:rFonts w:ascii="Arial" w:hAnsi="Arial" w:cs="Arial"/>
          <w:color w:val="000000"/>
          <w:lang w:eastAsia="en-AU"/>
        </w:rPr>
        <w:t xml:space="preserve">Encourage non-government schools to </w:t>
      </w:r>
      <w:r w:rsidR="00562580">
        <w:rPr>
          <w:rFonts w:ascii="Arial" w:hAnsi="Arial" w:cs="Arial"/>
          <w:color w:val="000000"/>
          <w:lang w:eastAsia="en-AU"/>
        </w:rPr>
        <w:t xml:space="preserve">work with Indigenous communities to </w:t>
      </w:r>
      <w:r w:rsidRPr="006920CB">
        <w:rPr>
          <w:rFonts w:ascii="Arial" w:hAnsi="Arial" w:cs="Arial"/>
          <w:color w:val="000000"/>
          <w:lang w:eastAsia="en-AU"/>
        </w:rPr>
        <w:t xml:space="preserve">establish campuses </w:t>
      </w:r>
      <w:r>
        <w:rPr>
          <w:rFonts w:ascii="Arial" w:hAnsi="Arial" w:cs="Arial"/>
          <w:color w:val="000000"/>
          <w:lang w:eastAsia="en-AU"/>
        </w:rPr>
        <w:t xml:space="preserve">or satellite schools </w:t>
      </w:r>
      <w:r w:rsidRPr="006920CB">
        <w:rPr>
          <w:rFonts w:ascii="Arial" w:hAnsi="Arial" w:cs="Arial"/>
          <w:color w:val="000000"/>
          <w:lang w:eastAsia="en-AU"/>
        </w:rPr>
        <w:t>making specific provision for Indigenous students</w:t>
      </w:r>
    </w:p>
    <w:p w:rsidR="004342E3" w:rsidRPr="006920CB" w:rsidRDefault="004342E3" w:rsidP="0067338C">
      <w:pPr>
        <w:pStyle w:val="ListParagraph"/>
        <w:numPr>
          <w:ilvl w:val="0"/>
          <w:numId w:val="8"/>
        </w:numPr>
        <w:spacing w:after="80" w:line="280" w:lineRule="exact"/>
        <w:contextualSpacing w:val="0"/>
        <w:rPr>
          <w:rFonts w:ascii="Arial" w:hAnsi="Arial" w:cs="Arial"/>
          <w:color w:val="000000"/>
          <w:lang w:eastAsia="en-AU"/>
        </w:rPr>
      </w:pPr>
      <w:r w:rsidRPr="006920CB">
        <w:rPr>
          <w:rFonts w:ascii="Arial" w:hAnsi="Arial" w:cs="Arial"/>
          <w:color w:val="000000"/>
          <w:lang w:eastAsia="en-AU"/>
        </w:rPr>
        <w:t>Speed the process of establishing such campuses and therefore the impact on the learning outcomes of Indigenous children</w:t>
      </w:r>
      <w:r>
        <w:rPr>
          <w:rFonts w:ascii="Arial" w:hAnsi="Arial" w:cs="Arial"/>
          <w:color w:val="000000"/>
          <w:lang w:eastAsia="en-AU"/>
        </w:rPr>
        <w:t xml:space="preserve"> in regional areas</w:t>
      </w:r>
    </w:p>
    <w:p w:rsidR="004342E3" w:rsidRPr="006920CB" w:rsidRDefault="004342E3" w:rsidP="0067338C">
      <w:pPr>
        <w:pStyle w:val="ListParagraph"/>
        <w:numPr>
          <w:ilvl w:val="0"/>
          <w:numId w:val="8"/>
        </w:numPr>
        <w:spacing w:after="80" w:line="280" w:lineRule="exact"/>
        <w:contextualSpacing w:val="0"/>
        <w:rPr>
          <w:rFonts w:ascii="Arial" w:hAnsi="Arial" w:cs="Arial"/>
          <w:color w:val="000000"/>
          <w:lang w:eastAsia="en-AU"/>
        </w:rPr>
      </w:pPr>
      <w:r w:rsidRPr="006920CB">
        <w:rPr>
          <w:rFonts w:ascii="Arial" w:hAnsi="Arial" w:cs="Arial"/>
          <w:color w:val="000000"/>
          <w:lang w:eastAsia="en-AU"/>
        </w:rPr>
        <w:t>Reduce the administrative costs of and therefore facilitate the cooperation and sharing of resources – including human resources – between the founding school and the Indigenous campus</w:t>
      </w:r>
      <w:r w:rsidR="00562580">
        <w:rPr>
          <w:rFonts w:ascii="Arial" w:hAnsi="Arial" w:cs="Arial"/>
          <w:color w:val="000000"/>
          <w:lang w:eastAsia="en-AU"/>
        </w:rPr>
        <w:t xml:space="preserve"> (</w:t>
      </w:r>
      <w:r>
        <w:rPr>
          <w:rFonts w:ascii="Arial" w:hAnsi="Arial" w:cs="Arial"/>
          <w:color w:val="000000"/>
          <w:lang w:eastAsia="en-AU"/>
        </w:rPr>
        <w:t xml:space="preserve">these </w:t>
      </w:r>
      <w:r w:rsidR="00562580">
        <w:rPr>
          <w:rFonts w:ascii="Arial" w:hAnsi="Arial" w:cs="Arial"/>
          <w:color w:val="000000"/>
          <w:lang w:eastAsia="en-AU"/>
        </w:rPr>
        <w:t xml:space="preserve">administrative </w:t>
      </w:r>
      <w:r>
        <w:rPr>
          <w:rFonts w:ascii="Arial" w:hAnsi="Arial" w:cs="Arial"/>
          <w:color w:val="000000"/>
          <w:lang w:eastAsia="en-AU"/>
        </w:rPr>
        <w:t>costs are borne not just by schools but by the school registration and compliance authorities</w:t>
      </w:r>
      <w:r w:rsidR="00562580">
        <w:rPr>
          <w:rFonts w:ascii="Arial" w:hAnsi="Arial" w:cs="Arial"/>
          <w:color w:val="000000"/>
          <w:lang w:eastAsia="en-AU"/>
        </w:rPr>
        <w:t>)</w:t>
      </w:r>
    </w:p>
    <w:p w:rsidR="004342E3" w:rsidRPr="006920CB" w:rsidRDefault="004342E3" w:rsidP="0067338C">
      <w:pPr>
        <w:pStyle w:val="ListParagraph"/>
        <w:numPr>
          <w:ilvl w:val="0"/>
          <w:numId w:val="8"/>
        </w:numPr>
        <w:spacing w:after="80" w:line="280" w:lineRule="exact"/>
        <w:contextualSpacing w:val="0"/>
        <w:rPr>
          <w:rFonts w:ascii="Arial" w:hAnsi="Arial" w:cs="Arial"/>
          <w:color w:val="000000"/>
          <w:lang w:eastAsia="en-AU"/>
        </w:rPr>
      </w:pPr>
      <w:r w:rsidRPr="006920CB">
        <w:rPr>
          <w:rFonts w:ascii="Arial" w:hAnsi="Arial" w:cs="Arial"/>
          <w:color w:val="000000"/>
          <w:lang w:eastAsia="en-AU"/>
        </w:rPr>
        <w:t>Minimise the costs of fundraising and provide greater financial stability for the operations of the Indigenous campus</w:t>
      </w:r>
    </w:p>
    <w:p w:rsidR="004342E3" w:rsidRPr="006920CB" w:rsidRDefault="004342E3" w:rsidP="0067338C">
      <w:pPr>
        <w:pStyle w:val="ListParagraph"/>
        <w:numPr>
          <w:ilvl w:val="0"/>
          <w:numId w:val="8"/>
        </w:numPr>
        <w:spacing w:after="160" w:line="280" w:lineRule="exact"/>
        <w:ind w:left="714" w:hanging="357"/>
        <w:contextualSpacing w:val="0"/>
        <w:rPr>
          <w:rFonts w:ascii="Arial" w:hAnsi="Arial" w:cs="Arial"/>
          <w:color w:val="000000"/>
          <w:lang w:eastAsia="en-AU"/>
        </w:rPr>
      </w:pPr>
      <w:r>
        <w:rPr>
          <w:rFonts w:ascii="Arial" w:hAnsi="Arial" w:cs="Arial"/>
          <w:color w:val="000000"/>
          <w:lang w:eastAsia="en-AU"/>
        </w:rPr>
        <w:t>Harvest private contribution to augment government fund</w:t>
      </w:r>
      <w:r w:rsidR="00562580">
        <w:rPr>
          <w:rFonts w:ascii="Arial" w:hAnsi="Arial" w:cs="Arial"/>
          <w:color w:val="000000"/>
          <w:lang w:eastAsia="en-AU"/>
        </w:rPr>
        <w:t>ing for</w:t>
      </w:r>
      <w:r>
        <w:rPr>
          <w:rFonts w:ascii="Arial" w:hAnsi="Arial" w:cs="Arial"/>
          <w:color w:val="000000"/>
          <w:lang w:eastAsia="en-AU"/>
        </w:rPr>
        <w:t xml:space="preserve"> on country provision for Indigenous students.</w:t>
      </w:r>
    </w:p>
    <w:p w:rsidR="0025735B" w:rsidRDefault="00547B65" w:rsidP="00365847">
      <w:pPr>
        <w:spacing w:after="80" w:line="280" w:lineRule="exact"/>
        <w:rPr>
          <w:rFonts w:ascii="Arial" w:hAnsi="Arial" w:cs="Arial"/>
          <w:color w:val="000000"/>
          <w:sz w:val="22"/>
          <w:szCs w:val="22"/>
          <w:lang w:eastAsia="en-AU"/>
        </w:rPr>
      </w:pPr>
      <w:r>
        <w:rPr>
          <w:rFonts w:ascii="Arial" w:hAnsi="Arial" w:cs="Arial"/>
          <w:color w:val="000000"/>
          <w:sz w:val="22"/>
          <w:szCs w:val="22"/>
          <w:lang w:eastAsia="en-AU"/>
        </w:rPr>
        <w:t>V</w:t>
      </w:r>
      <w:r w:rsidR="0025735B">
        <w:rPr>
          <w:rFonts w:ascii="Arial" w:hAnsi="Arial" w:cs="Arial"/>
          <w:color w:val="000000"/>
          <w:sz w:val="22"/>
          <w:szCs w:val="22"/>
          <w:lang w:eastAsia="en-AU"/>
        </w:rPr>
        <w:t xml:space="preserve">entures such as Gawura and Darkinjung Barker College </w:t>
      </w:r>
      <w:r w:rsidR="00365847">
        <w:rPr>
          <w:rFonts w:ascii="Arial" w:hAnsi="Arial" w:cs="Arial"/>
          <w:color w:val="000000"/>
          <w:sz w:val="22"/>
          <w:szCs w:val="22"/>
          <w:lang w:eastAsia="en-AU"/>
        </w:rPr>
        <w:t xml:space="preserve">– and MITS and Yiramalay/Wesley Studio School – </w:t>
      </w:r>
      <w:r w:rsidR="0025735B">
        <w:rPr>
          <w:rFonts w:ascii="Arial" w:hAnsi="Arial" w:cs="Arial"/>
          <w:color w:val="000000"/>
          <w:sz w:val="22"/>
          <w:szCs w:val="22"/>
          <w:lang w:eastAsia="en-AU"/>
        </w:rPr>
        <w:t xml:space="preserve">have demonstrated that </w:t>
      </w:r>
      <w:r w:rsidR="00562580">
        <w:rPr>
          <w:rFonts w:ascii="Arial" w:hAnsi="Arial" w:cs="Arial"/>
          <w:color w:val="000000"/>
          <w:sz w:val="22"/>
          <w:szCs w:val="22"/>
          <w:lang w:eastAsia="en-AU"/>
        </w:rPr>
        <w:t>established independent schools can readily</w:t>
      </w:r>
      <w:r w:rsidR="0025735B">
        <w:rPr>
          <w:rFonts w:ascii="Arial" w:hAnsi="Arial" w:cs="Arial"/>
          <w:color w:val="000000"/>
          <w:sz w:val="22"/>
          <w:szCs w:val="22"/>
          <w:lang w:eastAsia="en-AU"/>
        </w:rPr>
        <w:t xml:space="preserve"> meet those criteria identified as essential for the success of Indigenous community schools</w:t>
      </w:r>
      <w:r w:rsidR="00365847" w:rsidRPr="00365847">
        <w:rPr>
          <w:rFonts w:ascii="Arial" w:hAnsi="Arial" w:cs="Arial"/>
          <w:color w:val="000000"/>
          <w:sz w:val="22"/>
          <w:szCs w:val="22"/>
          <w:vertAlign w:val="superscript"/>
          <w:lang w:eastAsia="en-AU"/>
        </w:rPr>
        <w:t>1</w:t>
      </w:r>
      <w:r w:rsidR="00EF6412">
        <w:rPr>
          <w:rFonts w:ascii="Arial" w:hAnsi="Arial" w:cs="Arial"/>
          <w:color w:val="000000"/>
          <w:sz w:val="22"/>
          <w:szCs w:val="22"/>
          <w:vertAlign w:val="superscript"/>
          <w:lang w:eastAsia="en-AU"/>
        </w:rPr>
        <w:t>3</w:t>
      </w:r>
      <w:r w:rsidR="0025735B">
        <w:rPr>
          <w:rFonts w:ascii="Arial" w:hAnsi="Arial" w:cs="Arial"/>
          <w:color w:val="000000"/>
          <w:sz w:val="22"/>
          <w:szCs w:val="22"/>
          <w:lang w:eastAsia="en-AU"/>
        </w:rPr>
        <w:t>:</w:t>
      </w:r>
    </w:p>
    <w:p w:rsidR="00243137" w:rsidRDefault="00243137" w:rsidP="0067338C">
      <w:pPr>
        <w:pStyle w:val="ListParagraph"/>
        <w:numPr>
          <w:ilvl w:val="0"/>
          <w:numId w:val="9"/>
        </w:numPr>
        <w:spacing w:after="80" w:line="280" w:lineRule="exact"/>
        <w:contextualSpacing w:val="0"/>
        <w:rPr>
          <w:rFonts w:ascii="Arial" w:hAnsi="Arial" w:cs="Arial"/>
          <w:color w:val="000000"/>
          <w:lang w:eastAsia="en-AU"/>
        </w:rPr>
      </w:pPr>
      <w:r>
        <w:rPr>
          <w:rFonts w:ascii="Arial" w:hAnsi="Arial" w:cs="Arial"/>
          <w:color w:val="000000"/>
          <w:lang w:eastAsia="en-AU"/>
        </w:rPr>
        <w:t>Quality l</w:t>
      </w:r>
      <w:r w:rsidR="0025735B" w:rsidRPr="00243137">
        <w:rPr>
          <w:rFonts w:ascii="Arial" w:hAnsi="Arial" w:cs="Arial"/>
          <w:color w:val="000000"/>
          <w:lang w:eastAsia="en-AU"/>
        </w:rPr>
        <w:t>eadership</w:t>
      </w:r>
    </w:p>
    <w:p w:rsidR="0025735B" w:rsidRPr="00243137" w:rsidRDefault="0025735B" w:rsidP="0067338C">
      <w:pPr>
        <w:pStyle w:val="ListParagraph"/>
        <w:numPr>
          <w:ilvl w:val="0"/>
          <w:numId w:val="9"/>
        </w:numPr>
        <w:spacing w:after="80" w:line="280" w:lineRule="exact"/>
        <w:contextualSpacing w:val="0"/>
        <w:rPr>
          <w:rFonts w:ascii="Arial" w:hAnsi="Arial" w:cs="Arial"/>
          <w:color w:val="000000"/>
          <w:lang w:eastAsia="en-AU"/>
        </w:rPr>
      </w:pPr>
      <w:r w:rsidRPr="00243137">
        <w:rPr>
          <w:rFonts w:ascii="Arial" w:hAnsi="Arial" w:cs="Arial"/>
          <w:color w:val="000000"/>
          <w:lang w:eastAsia="en-AU"/>
        </w:rPr>
        <w:t xml:space="preserve">Profound understanding of the importance of school–community partnerships </w:t>
      </w:r>
    </w:p>
    <w:p w:rsidR="0025735B" w:rsidRPr="00365847" w:rsidRDefault="0025735B" w:rsidP="0067338C">
      <w:pPr>
        <w:pStyle w:val="ListParagraph"/>
        <w:numPr>
          <w:ilvl w:val="0"/>
          <w:numId w:val="9"/>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 xml:space="preserve">A school culture built on high expectations for all students </w:t>
      </w:r>
    </w:p>
    <w:p w:rsidR="0025735B" w:rsidRPr="00365847" w:rsidRDefault="0025735B" w:rsidP="0067338C">
      <w:pPr>
        <w:pStyle w:val="ListParagraph"/>
        <w:numPr>
          <w:ilvl w:val="0"/>
          <w:numId w:val="9"/>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 xml:space="preserve">Coherent whole-school approaches to evidence-based literacy and numeracy teaching </w:t>
      </w:r>
    </w:p>
    <w:p w:rsidR="0025735B" w:rsidRPr="00365847" w:rsidRDefault="0025735B" w:rsidP="0067338C">
      <w:pPr>
        <w:pStyle w:val="ListParagraph"/>
        <w:numPr>
          <w:ilvl w:val="0"/>
          <w:numId w:val="9"/>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 xml:space="preserve">Building and sustaining teacher capacity to deliver whole-school practice </w:t>
      </w:r>
    </w:p>
    <w:p w:rsidR="0025735B" w:rsidRPr="00365847" w:rsidRDefault="0025735B" w:rsidP="0067338C">
      <w:pPr>
        <w:pStyle w:val="ListParagraph"/>
        <w:numPr>
          <w:ilvl w:val="0"/>
          <w:numId w:val="9"/>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 xml:space="preserve">Empowering, supporting and engaging Aboriginal and Torres Strait Islander students to enhance their learning capacity </w:t>
      </w:r>
    </w:p>
    <w:p w:rsidR="0025735B" w:rsidRPr="00365847" w:rsidRDefault="0025735B" w:rsidP="0067338C">
      <w:pPr>
        <w:pStyle w:val="ListParagraph"/>
        <w:numPr>
          <w:ilvl w:val="0"/>
          <w:numId w:val="9"/>
        </w:numPr>
        <w:spacing w:after="160" w:line="280" w:lineRule="exact"/>
        <w:ind w:left="714" w:hanging="357"/>
        <w:contextualSpacing w:val="0"/>
        <w:rPr>
          <w:rFonts w:ascii="Arial" w:hAnsi="Arial" w:cs="Arial"/>
          <w:color w:val="000000"/>
          <w:lang w:eastAsia="en-AU"/>
        </w:rPr>
      </w:pPr>
      <w:r w:rsidRPr="00365847">
        <w:rPr>
          <w:rFonts w:ascii="Arial" w:hAnsi="Arial" w:cs="Arial"/>
          <w:color w:val="000000"/>
          <w:lang w:eastAsia="en-AU"/>
        </w:rPr>
        <w:t>Making learning content engaging, accessible and culturally responsive</w:t>
      </w:r>
      <w:r w:rsidR="00365847">
        <w:rPr>
          <w:rFonts w:ascii="Arial" w:hAnsi="Arial" w:cs="Arial"/>
          <w:color w:val="000000"/>
          <w:lang w:eastAsia="en-AU"/>
        </w:rPr>
        <w:t>.</w:t>
      </w:r>
      <w:r w:rsidRPr="00365847">
        <w:rPr>
          <w:rFonts w:ascii="Arial" w:hAnsi="Arial" w:cs="Arial"/>
          <w:color w:val="000000"/>
          <w:lang w:eastAsia="en-AU"/>
        </w:rPr>
        <w:t xml:space="preserve"> </w:t>
      </w:r>
    </w:p>
    <w:p w:rsidR="003207BB" w:rsidRDefault="003207BB" w:rsidP="00365847">
      <w:pPr>
        <w:spacing w:after="80" w:line="280" w:lineRule="exact"/>
        <w:rPr>
          <w:rFonts w:ascii="Arial" w:hAnsi="Arial" w:cs="Arial"/>
          <w:color w:val="000000"/>
          <w:sz w:val="22"/>
          <w:szCs w:val="22"/>
          <w:lang w:eastAsia="en-AU"/>
        </w:rPr>
      </w:pPr>
      <w:r>
        <w:rPr>
          <w:rFonts w:ascii="Arial" w:hAnsi="Arial" w:cs="Arial"/>
          <w:color w:val="000000"/>
          <w:sz w:val="22"/>
          <w:szCs w:val="22"/>
          <w:lang w:eastAsia="en-AU"/>
        </w:rPr>
        <w:t>Long-established independent schools have many tangible and intangible assets they can draw on to establish and maintain successful provision for Indigenous students through a separate campus arrangement:</w:t>
      </w:r>
    </w:p>
    <w:p w:rsidR="003207BB" w:rsidRPr="00365847" w:rsidRDefault="003207BB" w:rsidP="0067338C">
      <w:pPr>
        <w:pStyle w:val="ListParagraph"/>
        <w:numPr>
          <w:ilvl w:val="0"/>
          <w:numId w:val="10"/>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Entrepreneurial leadership</w:t>
      </w:r>
    </w:p>
    <w:p w:rsidR="00703AB5" w:rsidRPr="00365847" w:rsidRDefault="00703AB5" w:rsidP="0067338C">
      <w:pPr>
        <w:pStyle w:val="ListParagraph"/>
        <w:numPr>
          <w:ilvl w:val="0"/>
          <w:numId w:val="10"/>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 xml:space="preserve">Quality teaching staff with specialists in curriculum, early learning, literacy and numeracy </w:t>
      </w:r>
      <w:r w:rsidR="00562580">
        <w:rPr>
          <w:rFonts w:ascii="Arial" w:hAnsi="Arial" w:cs="Arial"/>
          <w:color w:val="000000"/>
          <w:lang w:eastAsia="en-AU"/>
        </w:rPr>
        <w:t>and</w:t>
      </w:r>
      <w:r w:rsidRPr="00365847">
        <w:rPr>
          <w:rFonts w:ascii="Arial" w:hAnsi="Arial" w:cs="Arial"/>
          <w:color w:val="000000"/>
          <w:lang w:eastAsia="en-AU"/>
        </w:rPr>
        <w:t xml:space="preserve"> special learning needs</w:t>
      </w:r>
    </w:p>
    <w:p w:rsidR="00703AB5" w:rsidRPr="00365847" w:rsidRDefault="00E30DCC" w:rsidP="0067338C">
      <w:pPr>
        <w:pStyle w:val="ListParagraph"/>
        <w:numPr>
          <w:ilvl w:val="0"/>
          <w:numId w:val="10"/>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 xml:space="preserve">Non-teaching staff </w:t>
      </w:r>
      <w:r w:rsidR="00562580">
        <w:rPr>
          <w:rFonts w:ascii="Arial" w:hAnsi="Arial" w:cs="Arial"/>
          <w:color w:val="000000"/>
          <w:lang w:eastAsia="en-AU"/>
        </w:rPr>
        <w:t>with</w:t>
      </w:r>
      <w:r w:rsidRPr="00365847">
        <w:rPr>
          <w:rFonts w:ascii="Arial" w:hAnsi="Arial" w:cs="Arial"/>
          <w:color w:val="000000"/>
          <w:lang w:eastAsia="en-AU"/>
        </w:rPr>
        <w:t xml:space="preserve"> f</w:t>
      </w:r>
      <w:r w:rsidR="00703AB5" w:rsidRPr="00365847">
        <w:rPr>
          <w:rFonts w:ascii="Arial" w:hAnsi="Arial" w:cs="Arial"/>
          <w:color w:val="000000"/>
          <w:lang w:eastAsia="en-AU"/>
        </w:rPr>
        <w:t>inance and business management, fundraising and communications</w:t>
      </w:r>
      <w:r w:rsidR="00562580">
        <w:rPr>
          <w:rFonts w:ascii="Arial" w:hAnsi="Arial" w:cs="Arial"/>
          <w:color w:val="000000"/>
          <w:lang w:eastAsia="en-AU"/>
        </w:rPr>
        <w:t xml:space="preserve"> skills</w:t>
      </w:r>
    </w:p>
    <w:p w:rsidR="00703AB5" w:rsidRPr="00365847" w:rsidRDefault="00703AB5" w:rsidP="0067338C">
      <w:pPr>
        <w:pStyle w:val="ListParagraph"/>
        <w:numPr>
          <w:ilvl w:val="0"/>
          <w:numId w:val="10"/>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Well</w:t>
      </w:r>
      <w:r w:rsidR="008D587F" w:rsidRPr="00365847">
        <w:rPr>
          <w:rFonts w:ascii="Arial" w:hAnsi="Arial" w:cs="Arial"/>
          <w:color w:val="000000"/>
          <w:lang w:eastAsia="en-AU"/>
        </w:rPr>
        <w:t>-</w:t>
      </w:r>
      <w:r w:rsidRPr="00365847">
        <w:rPr>
          <w:rFonts w:ascii="Arial" w:hAnsi="Arial" w:cs="Arial"/>
          <w:color w:val="000000"/>
          <w:lang w:eastAsia="en-AU"/>
        </w:rPr>
        <w:t>established traditions in service learning and community service projects</w:t>
      </w:r>
    </w:p>
    <w:p w:rsidR="00703AB5" w:rsidRPr="00365847" w:rsidRDefault="00703AB5" w:rsidP="0067338C">
      <w:pPr>
        <w:pStyle w:val="ListParagraph"/>
        <w:numPr>
          <w:ilvl w:val="0"/>
          <w:numId w:val="10"/>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 xml:space="preserve">Many </w:t>
      </w:r>
      <w:r w:rsidR="00243137">
        <w:rPr>
          <w:rFonts w:ascii="Arial" w:hAnsi="Arial" w:cs="Arial"/>
          <w:color w:val="000000"/>
          <w:lang w:eastAsia="en-AU"/>
        </w:rPr>
        <w:t xml:space="preserve">schools </w:t>
      </w:r>
      <w:r w:rsidR="00365847" w:rsidRPr="00365847">
        <w:rPr>
          <w:rFonts w:ascii="Arial" w:hAnsi="Arial" w:cs="Arial"/>
          <w:color w:val="000000"/>
          <w:lang w:eastAsia="en-AU"/>
        </w:rPr>
        <w:t xml:space="preserve">already </w:t>
      </w:r>
      <w:r w:rsidRPr="00365847">
        <w:rPr>
          <w:rFonts w:ascii="Arial" w:hAnsi="Arial" w:cs="Arial"/>
          <w:color w:val="000000"/>
          <w:lang w:eastAsia="en-AU"/>
        </w:rPr>
        <w:t>have long-established relationships with Indigenous communities</w:t>
      </w:r>
    </w:p>
    <w:p w:rsidR="00703AB5" w:rsidRPr="00365847" w:rsidRDefault="00703AB5" w:rsidP="0067338C">
      <w:pPr>
        <w:pStyle w:val="ListParagraph"/>
        <w:numPr>
          <w:ilvl w:val="0"/>
          <w:numId w:val="10"/>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 xml:space="preserve">Broad-based school communities comprising families and friends of current students and alumni groups. Older established schools can have as many as 15,000 actively engaged alumni who may also </w:t>
      </w:r>
      <w:r w:rsidR="00365847" w:rsidRPr="00365847">
        <w:rPr>
          <w:rFonts w:ascii="Arial" w:hAnsi="Arial" w:cs="Arial"/>
          <w:color w:val="000000"/>
          <w:lang w:eastAsia="en-AU"/>
        </w:rPr>
        <w:t xml:space="preserve">be willing to </w:t>
      </w:r>
      <w:r w:rsidRPr="00365847">
        <w:rPr>
          <w:rFonts w:ascii="Arial" w:hAnsi="Arial" w:cs="Arial"/>
          <w:color w:val="000000"/>
          <w:lang w:eastAsia="en-AU"/>
        </w:rPr>
        <w:t>contribute to scholarship and building program</w:t>
      </w:r>
      <w:r w:rsidR="002735A6" w:rsidRPr="00365847">
        <w:rPr>
          <w:rFonts w:ascii="Arial" w:hAnsi="Arial" w:cs="Arial"/>
          <w:color w:val="000000"/>
          <w:lang w:eastAsia="en-AU"/>
        </w:rPr>
        <w:t>s</w:t>
      </w:r>
    </w:p>
    <w:p w:rsidR="00703AB5" w:rsidRPr="00365847" w:rsidRDefault="002735A6" w:rsidP="0067338C">
      <w:pPr>
        <w:pStyle w:val="ListParagraph"/>
        <w:numPr>
          <w:ilvl w:val="0"/>
          <w:numId w:val="10"/>
        </w:numPr>
        <w:spacing w:after="80" w:line="280" w:lineRule="exact"/>
        <w:contextualSpacing w:val="0"/>
        <w:rPr>
          <w:rFonts w:ascii="Arial" w:hAnsi="Arial" w:cs="Arial"/>
          <w:color w:val="000000"/>
          <w:lang w:eastAsia="en-AU"/>
        </w:rPr>
      </w:pPr>
      <w:r w:rsidRPr="00365847">
        <w:rPr>
          <w:rFonts w:ascii="Arial" w:hAnsi="Arial" w:cs="Arial"/>
          <w:color w:val="000000"/>
          <w:lang w:eastAsia="en-AU"/>
        </w:rPr>
        <w:t>Established relationships with banks and other financial institutions</w:t>
      </w:r>
      <w:r w:rsidR="00562580">
        <w:rPr>
          <w:rFonts w:ascii="Arial" w:hAnsi="Arial" w:cs="Arial"/>
          <w:color w:val="000000"/>
          <w:lang w:eastAsia="en-AU"/>
        </w:rPr>
        <w:t xml:space="preserve"> and philanthropic foundations</w:t>
      </w:r>
    </w:p>
    <w:p w:rsidR="002735A6" w:rsidRPr="00365847" w:rsidRDefault="002735A6" w:rsidP="0067338C">
      <w:pPr>
        <w:pStyle w:val="ListParagraph"/>
        <w:numPr>
          <w:ilvl w:val="0"/>
          <w:numId w:val="10"/>
        </w:numPr>
        <w:spacing w:after="160" w:line="280" w:lineRule="exact"/>
        <w:rPr>
          <w:rFonts w:ascii="Arial" w:hAnsi="Arial" w:cs="Arial"/>
          <w:color w:val="000000"/>
          <w:lang w:eastAsia="en-AU"/>
        </w:rPr>
      </w:pPr>
      <w:r w:rsidRPr="00365847">
        <w:rPr>
          <w:rFonts w:ascii="Arial" w:hAnsi="Arial" w:cs="Arial"/>
          <w:color w:val="000000"/>
          <w:lang w:eastAsia="en-AU"/>
        </w:rPr>
        <w:t>Good will and a sense of moral purpose.</w:t>
      </w:r>
    </w:p>
    <w:p w:rsidR="001D588E" w:rsidRDefault="00365847" w:rsidP="00846319">
      <w:pPr>
        <w:spacing w:after="480" w:line="280" w:lineRule="exact"/>
        <w:rPr>
          <w:rFonts w:ascii="Arial" w:hAnsi="Arial" w:cs="Arial"/>
          <w:color w:val="000000"/>
          <w:sz w:val="22"/>
          <w:szCs w:val="22"/>
          <w:lang w:eastAsia="en-AU"/>
        </w:rPr>
      </w:pPr>
      <w:r>
        <w:rPr>
          <w:rFonts w:ascii="Arial" w:hAnsi="Arial" w:cs="Arial"/>
          <w:color w:val="000000"/>
          <w:sz w:val="22"/>
          <w:szCs w:val="22"/>
          <w:lang w:eastAsia="en-AU"/>
        </w:rPr>
        <w:t xml:space="preserve">In other words, many independent schools have the critical mass of </w:t>
      </w:r>
      <w:r w:rsidR="00CD7E94">
        <w:rPr>
          <w:rFonts w:ascii="Arial" w:hAnsi="Arial" w:cs="Arial"/>
          <w:color w:val="000000"/>
          <w:sz w:val="22"/>
          <w:szCs w:val="22"/>
          <w:lang w:eastAsia="en-AU"/>
        </w:rPr>
        <w:t xml:space="preserve">leadership, </w:t>
      </w:r>
      <w:r>
        <w:rPr>
          <w:rFonts w:ascii="Arial" w:hAnsi="Arial" w:cs="Arial"/>
          <w:color w:val="000000"/>
          <w:sz w:val="22"/>
          <w:szCs w:val="22"/>
          <w:lang w:eastAsia="en-AU"/>
        </w:rPr>
        <w:t>educational expertise,</w:t>
      </w:r>
      <w:r w:rsidR="00277BD1" w:rsidRPr="00365847">
        <w:rPr>
          <w:rFonts w:ascii="Arial" w:hAnsi="Arial" w:cs="Arial"/>
          <w:color w:val="000000"/>
          <w:sz w:val="22"/>
          <w:szCs w:val="22"/>
          <w:lang w:eastAsia="en-AU"/>
        </w:rPr>
        <w:t xml:space="preserve"> resources</w:t>
      </w:r>
      <w:r w:rsidR="00562580">
        <w:rPr>
          <w:rFonts w:ascii="Arial" w:hAnsi="Arial" w:cs="Arial"/>
          <w:color w:val="000000"/>
          <w:sz w:val="22"/>
          <w:szCs w:val="22"/>
          <w:lang w:eastAsia="en-AU"/>
        </w:rPr>
        <w:t>, networks</w:t>
      </w:r>
      <w:r w:rsidR="00277BD1" w:rsidRPr="00365847">
        <w:rPr>
          <w:rFonts w:ascii="Arial" w:hAnsi="Arial" w:cs="Arial"/>
          <w:color w:val="000000"/>
          <w:sz w:val="22"/>
          <w:szCs w:val="22"/>
          <w:lang w:eastAsia="en-AU"/>
        </w:rPr>
        <w:t xml:space="preserve"> </w:t>
      </w:r>
      <w:r>
        <w:rPr>
          <w:rFonts w:ascii="Arial" w:hAnsi="Arial" w:cs="Arial"/>
          <w:color w:val="000000"/>
          <w:sz w:val="22"/>
          <w:szCs w:val="22"/>
          <w:lang w:eastAsia="en-AU"/>
        </w:rPr>
        <w:t xml:space="preserve">and relationships </w:t>
      </w:r>
      <w:r w:rsidR="00277BD1" w:rsidRPr="00365847">
        <w:rPr>
          <w:rFonts w:ascii="Arial" w:hAnsi="Arial" w:cs="Arial"/>
          <w:color w:val="000000"/>
          <w:sz w:val="22"/>
          <w:szCs w:val="22"/>
          <w:lang w:eastAsia="en-AU"/>
        </w:rPr>
        <w:t xml:space="preserve">to </w:t>
      </w:r>
      <w:r>
        <w:rPr>
          <w:rFonts w:ascii="Arial" w:hAnsi="Arial" w:cs="Arial"/>
          <w:color w:val="000000"/>
          <w:sz w:val="22"/>
          <w:szCs w:val="22"/>
          <w:lang w:eastAsia="en-AU"/>
        </w:rPr>
        <w:t xml:space="preserve">support entrepreneurial </w:t>
      </w:r>
      <w:r w:rsidR="00CD7E94">
        <w:rPr>
          <w:rFonts w:ascii="Arial" w:hAnsi="Arial" w:cs="Arial"/>
          <w:color w:val="000000"/>
          <w:sz w:val="22"/>
          <w:szCs w:val="22"/>
          <w:lang w:eastAsia="en-AU"/>
        </w:rPr>
        <w:t>action</w:t>
      </w:r>
      <w:r>
        <w:rPr>
          <w:rFonts w:ascii="Arial" w:hAnsi="Arial" w:cs="Arial"/>
          <w:color w:val="000000"/>
          <w:sz w:val="22"/>
          <w:szCs w:val="22"/>
          <w:lang w:eastAsia="en-AU"/>
        </w:rPr>
        <w:t xml:space="preserve"> and deliver successful outcomes for Indigenous students.</w:t>
      </w:r>
    </w:p>
    <w:p w:rsidR="00BB5E38" w:rsidRPr="003F66A5" w:rsidRDefault="00BB5E38" w:rsidP="00BB5E38">
      <w:pPr>
        <w:spacing w:after="240" w:line="280" w:lineRule="exact"/>
        <w:rPr>
          <w:rFonts w:ascii="Arial" w:hAnsi="Arial" w:cs="Arial"/>
          <w:color w:val="7030A0"/>
          <w:sz w:val="22"/>
          <w:szCs w:val="22"/>
        </w:rPr>
      </w:pPr>
      <w:r w:rsidRPr="003F66A5">
        <w:rPr>
          <w:rFonts w:ascii="Arial" w:hAnsi="Arial" w:cs="Arial"/>
          <w:color w:val="7030A0"/>
          <w:sz w:val="22"/>
          <w:szCs w:val="22"/>
        </w:rPr>
        <w:t xml:space="preserve">RECOMMENDATION </w:t>
      </w:r>
      <w:r>
        <w:rPr>
          <w:rFonts w:ascii="Arial" w:hAnsi="Arial" w:cs="Arial"/>
          <w:color w:val="7030A0"/>
          <w:sz w:val="22"/>
          <w:szCs w:val="22"/>
        </w:rPr>
        <w:t>1</w:t>
      </w:r>
    </w:p>
    <w:p w:rsidR="00BB5E38" w:rsidRPr="0037525A" w:rsidRDefault="00BB5E38" w:rsidP="00677DA9">
      <w:pPr>
        <w:spacing w:after="480" w:line="280" w:lineRule="exact"/>
        <w:ind w:left="301"/>
        <w:rPr>
          <w:rFonts w:ascii="Arial" w:hAnsi="Arial" w:cs="Arial"/>
          <w:color w:val="000000"/>
          <w:sz w:val="22"/>
          <w:szCs w:val="22"/>
          <w:lang w:eastAsia="en-AU"/>
        </w:rPr>
      </w:pPr>
      <w:r w:rsidRPr="00C252C7">
        <w:rPr>
          <w:rFonts w:ascii="Arial" w:hAnsi="Arial" w:cs="Arial"/>
          <w:b/>
          <w:color w:val="7030A0"/>
          <w:sz w:val="22"/>
          <w:szCs w:val="22"/>
        </w:rPr>
        <w:t>The Australian Government to introduce greater flexibility into its general recurrent funding model for non-government schools</w:t>
      </w:r>
      <w:r w:rsidR="00C252C7" w:rsidRPr="00C252C7">
        <w:rPr>
          <w:rFonts w:ascii="Arial" w:hAnsi="Arial" w:cs="Arial"/>
          <w:b/>
          <w:color w:val="7030A0"/>
          <w:sz w:val="22"/>
          <w:szCs w:val="22"/>
        </w:rPr>
        <w:t xml:space="preserve"> to support the establishment by </w:t>
      </w:r>
      <w:r w:rsidRPr="00C252C7">
        <w:rPr>
          <w:rFonts w:ascii="Arial" w:hAnsi="Arial" w:cs="Arial"/>
          <w:b/>
          <w:color w:val="7030A0"/>
          <w:sz w:val="22"/>
          <w:szCs w:val="22"/>
        </w:rPr>
        <w:t>existing non-government school</w:t>
      </w:r>
      <w:r w:rsidR="00C252C7" w:rsidRPr="00C252C7">
        <w:rPr>
          <w:rFonts w:ascii="Arial" w:hAnsi="Arial" w:cs="Arial"/>
          <w:b/>
          <w:color w:val="7030A0"/>
          <w:sz w:val="22"/>
          <w:szCs w:val="22"/>
        </w:rPr>
        <w:t>s</w:t>
      </w:r>
      <w:r w:rsidRPr="00C252C7">
        <w:rPr>
          <w:rFonts w:ascii="Arial" w:hAnsi="Arial" w:cs="Arial"/>
          <w:b/>
          <w:color w:val="7030A0"/>
          <w:sz w:val="22"/>
          <w:szCs w:val="22"/>
        </w:rPr>
        <w:t xml:space="preserve"> </w:t>
      </w:r>
      <w:r w:rsidR="00C252C7" w:rsidRPr="00C252C7">
        <w:rPr>
          <w:rFonts w:ascii="Arial" w:hAnsi="Arial" w:cs="Arial"/>
          <w:b/>
          <w:color w:val="7030A0"/>
          <w:sz w:val="22"/>
          <w:szCs w:val="22"/>
        </w:rPr>
        <w:t>of</w:t>
      </w:r>
      <w:r w:rsidRPr="00C252C7">
        <w:rPr>
          <w:rFonts w:ascii="Arial" w:hAnsi="Arial" w:cs="Arial"/>
          <w:b/>
          <w:color w:val="7030A0"/>
          <w:sz w:val="22"/>
          <w:szCs w:val="22"/>
        </w:rPr>
        <w:t xml:space="preserve"> a </w:t>
      </w:r>
      <w:r w:rsidR="00C252C7" w:rsidRPr="00C252C7">
        <w:rPr>
          <w:rFonts w:ascii="Arial" w:hAnsi="Arial" w:cs="Arial"/>
          <w:b/>
          <w:color w:val="7030A0"/>
          <w:sz w:val="22"/>
          <w:szCs w:val="22"/>
        </w:rPr>
        <w:t xml:space="preserve">separate </w:t>
      </w:r>
      <w:r w:rsidRPr="00C252C7">
        <w:rPr>
          <w:rFonts w:ascii="Arial" w:hAnsi="Arial" w:cs="Arial"/>
          <w:b/>
          <w:color w:val="7030A0"/>
          <w:sz w:val="22"/>
          <w:szCs w:val="22"/>
        </w:rPr>
        <w:t xml:space="preserve">campus </w:t>
      </w:r>
      <w:r w:rsidR="00C252C7" w:rsidRPr="00C252C7">
        <w:rPr>
          <w:rFonts w:ascii="Arial" w:hAnsi="Arial" w:cs="Arial"/>
          <w:b/>
          <w:color w:val="7030A0"/>
          <w:sz w:val="22"/>
          <w:szCs w:val="22"/>
        </w:rPr>
        <w:t xml:space="preserve">or satellite school </w:t>
      </w:r>
      <w:r w:rsidRPr="00C252C7">
        <w:rPr>
          <w:rFonts w:ascii="Arial" w:hAnsi="Arial" w:cs="Arial"/>
          <w:b/>
          <w:color w:val="7030A0"/>
          <w:sz w:val="22"/>
          <w:szCs w:val="22"/>
        </w:rPr>
        <w:t>for Indigenous students</w:t>
      </w:r>
      <w:r w:rsidR="00C252C7" w:rsidRPr="00C252C7">
        <w:rPr>
          <w:rFonts w:ascii="Arial" w:hAnsi="Arial" w:cs="Arial"/>
          <w:b/>
          <w:color w:val="7030A0"/>
          <w:sz w:val="22"/>
          <w:szCs w:val="22"/>
        </w:rPr>
        <w:t>, whereby students attending the campus</w:t>
      </w:r>
      <w:r w:rsidRPr="00C252C7">
        <w:rPr>
          <w:rFonts w:ascii="Arial" w:hAnsi="Arial" w:cs="Arial"/>
          <w:b/>
          <w:color w:val="7030A0"/>
          <w:sz w:val="22"/>
          <w:szCs w:val="22"/>
        </w:rPr>
        <w:t xml:space="preserve"> will attract the maximum rate of federal per student general recurrent funding as per the Majority Aboriginal and Torres Strait Islander schools category of funding (MATSIS), irrespective of the socio-economic background (SES) of </w:t>
      </w:r>
      <w:r w:rsidRPr="0037525A">
        <w:rPr>
          <w:rFonts w:ascii="Arial" w:hAnsi="Arial" w:cs="Arial"/>
          <w:b/>
          <w:color w:val="7030A0"/>
          <w:sz w:val="22"/>
          <w:szCs w:val="22"/>
        </w:rPr>
        <w:t xml:space="preserve">those students attending the </w:t>
      </w:r>
      <w:r w:rsidR="00C252C7" w:rsidRPr="0037525A">
        <w:rPr>
          <w:rFonts w:ascii="Arial" w:hAnsi="Arial" w:cs="Arial"/>
          <w:b/>
          <w:color w:val="7030A0"/>
          <w:sz w:val="22"/>
          <w:szCs w:val="22"/>
        </w:rPr>
        <w:t>parent</w:t>
      </w:r>
      <w:r w:rsidRPr="0037525A">
        <w:rPr>
          <w:rFonts w:ascii="Arial" w:hAnsi="Arial" w:cs="Arial"/>
          <w:b/>
          <w:color w:val="7030A0"/>
          <w:sz w:val="22"/>
          <w:szCs w:val="22"/>
        </w:rPr>
        <w:t xml:space="preserve"> school.</w:t>
      </w:r>
    </w:p>
    <w:p w:rsidR="00076571" w:rsidRDefault="0037525A" w:rsidP="00076571">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It should be noted that this recommendation aims to make innovations such as those represented by Gawura School and Darkinjung Barker College more readily replicable by non-government schools. AHISA has not here addressed the issue of funding </w:t>
      </w:r>
      <w:r w:rsidR="00076571">
        <w:rPr>
          <w:rFonts w:ascii="Arial" w:hAnsi="Arial" w:cs="Arial"/>
          <w:color w:val="000000"/>
          <w:sz w:val="22"/>
          <w:szCs w:val="22"/>
          <w:lang w:eastAsia="en-AU"/>
        </w:rPr>
        <w:t>for</w:t>
      </w:r>
      <w:r>
        <w:rPr>
          <w:rFonts w:ascii="Arial" w:hAnsi="Arial" w:cs="Arial"/>
          <w:color w:val="000000"/>
          <w:sz w:val="22"/>
          <w:szCs w:val="22"/>
          <w:lang w:eastAsia="en-AU"/>
        </w:rPr>
        <w:t xml:space="preserve"> students from such satellite schools who then go on to attend the parent school or other high-SES independent schools that are open to students of all backgrounds</w:t>
      </w:r>
      <w:r w:rsidR="00076571">
        <w:rPr>
          <w:rFonts w:ascii="Arial" w:hAnsi="Arial" w:cs="Arial"/>
          <w:color w:val="000000"/>
          <w:sz w:val="22"/>
          <w:szCs w:val="22"/>
          <w:lang w:eastAsia="en-AU"/>
        </w:rPr>
        <w:t xml:space="preserve">. For example once students attending Gawura transition to St Andrew’s they </w:t>
      </w:r>
      <w:r w:rsidR="00092256">
        <w:rPr>
          <w:rFonts w:ascii="Arial" w:hAnsi="Arial" w:cs="Arial"/>
          <w:color w:val="000000"/>
          <w:sz w:val="22"/>
          <w:szCs w:val="22"/>
          <w:lang w:eastAsia="en-AU"/>
        </w:rPr>
        <w:t>attract the same base funding as other students at St Andrew’s and thus their</w:t>
      </w:r>
      <w:r w:rsidR="00076571">
        <w:rPr>
          <w:rFonts w:ascii="Arial" w:hAnsi="Arial" w:cs="Arial"/>
          <w:color w:val="000000"/>
          <w:sz w:val="22"/>
          <w:szCs w:val="22"/>
          <w:lang w:eastAsia="en-AU"/>
        </w:rPr>
        <w:t xml:space="preserve"> government support </w:t>
      </w:r>
      <w:r w:rsidR="00092256">
        <w:rPr>
          <w:rFonts w:ascii="Arial" w:hAnsi="Arial" w:cs="Arial"/>
          <w:color w:val="000000"/>
          <w:sz w:val="22"/>
          <w:szCs w:val="22"/>
          <w:lang w:eastAsia="en-AU"/>
        </w:rPr>
        <w:t xml:space="preserve">drops to a level far lower </w:t>
      </w:r>
      <w:r w:rsidR="00076571">
        <w:rPr>
          <w:rFonts w:ascii="Arial" w:hAnsi="Arial" w:cs="Arial"/>
          <w:color w:val="000000"/>
          <w:sz w:val="22"/>
          <w:szCs w:val="22"/>
          <w:lang w:eastAsia="en-AU"/>
        </w:rPr>
        <w:t xml:space="preserve">than that </w:t>
      </w:r>
      <w:r w:rsidR="00092256">
        <w:rPr>
          <w:rFonts w:ascii="Arial" w:hAnsi="Arial" w:cs="Arial"/>
          <w:color w:val="000000"/>
          <w:sz w:val="22"/>
          <w:szCs w:val="22"/>
          <w:lang w:eastAsia="en-AU"/>
        </w:rPr>
        <w:t>for</w:t>
      </w:r>
      <w:r w:rsidR="00076571">
        <w:rPr>
          <w:rFonts w:ascii="Arial" w:hAnsi="Arial" w:cs="Arial"/>
          <w:color w:val="000000"/>
          <w:sz w:val="22"/>
          <w:szCs w:val="22"/>
          <w:lang w:eastAsia="en-AU"/>
        </w:rPr>
        <w:t xml:space="preserve"> an Indigenous student attending a government-owned school. </w:t>
      </w:r>
    </w:p>
    <w:p w:rsidR="0037525A" w:rsidRPr="0037525A" w:rsidRDefault="00076571" w:rsidP="0037525A">
      <w:pPr>
        <w:spacing w:after="480" w:line="280" w:lineRule="exact"/>
        <w:rPr>
          <w:rFonts w:ascii="Arial" w:hAnsi="Arial" w:cs="Arial"/>
          <w:color w:val="000000"/>
          <w:sz w:val="22"/>
          <w:szCs w:val="22"/>
          <w:lang w:eastAsia="en-AU"/>
        </w:rPr>
      </w:pPr>
      <w:r>
        <w:rPr>
          <w:rFonts w:ascii="Arial" w:hAnsi="Arial" w:cs="Arial"/>
          <w:color w:val="000000"/>
          <w:sz w:val="22"/>
          <w:szCs w:val="22"/>
          <w:lang w:eastAsia="en-AU"/>
        </w:rPr>
        <w:t>Many non-government schools would struggle to finance the cost of the ongoing education of Indigenous students and/or the costs of time and expertise to source funds from trusts, foundations and philanthropists. We would hope that in the future the Australian Government would make funding available for scholarships for Indigenous students living in metropolitan areas or special general recurrent funding arrangements for Aboriginal and Torres Strait Islander students attending non-government schools, irrespective of the schools’ SES scores.</w:t>
      </w:r>
    </w:p>
    <w:p w:rsidR="00646150" w:rsidRDefault="00646150" w:rsidP="00677DA9">
      <w:pPr>
        <w:spacing w:after="40" w:line="280" w:lineRule="exact"/>
        <w:ind w:left="301"/>
        <w:rPr>
          <w:rFonts w:ascii="Arial" w:hAnsi="Arial" w:cs="Arial"/>
          <w:b/>
          <w:color w:val="B99D57"/>
          <w:lang w:eastAsia="en-AU"/>
        </w:rPr>
      </w:pPr>
      <w:r>
        <w:rPr>
          <w:rFonts w:ascii="Arial" w:hAnsi="Arial" w:cs="Arial"/>
          <w:b/>
          <w:color w:val="B99D57"/>
          <w:lang w:eastAsia="en-AU"/>
        </w:rPr>
        <w:br w:type="page"/>
      </w:r>
    </w:p>
    <w:p w:rsidR="009E1D03" w:rsidRPr="00677DA9" w:rsidRDefault="00677DA9" w:rsidP="00677DA9">
      <w:pPr>
        <w:spacing w:after="40" w:line="280" w:lineRule="exact"/>
        <w:ind w:left="301"/>
        <w:rPr>
          <w:rFonts w:ascii="Arial" w:hAnsi="Arial" w:cs="Arial"/>
          <w:color w:val="002060"/>
          <w:lang w:eastAsia="en-AU"/>
        </w:rPr>
      </w:pPr>
      <w:r w:rsidRPr="00677DA9">
        <w:rPr>
          <w:rFonts w:ascii="Arial" w:hAnsi="Arial" w:cs="Arial"/>
          <w:b/>
          <w:color w:val="B99D57"/>
          <w:lang w:eastAsia="en-AU"/>
        </w:rPr>
        <w:t>3</w:t>
      </w:r>
      <w:r w:rsidR="006C2852">
        <w:rPr>
          <w:rFonts w:ascii="Arial" w:hAnsi="Arial" w:cs="Arial"/>
          <w:color w:val="000000"/>
          <w:lang w:eastAsia="en-AU"/>
        </w:rPr>
        <w:t>-</w:t>
      </w:r>
      <w:r w:rsidRPr="00677DA9">
        <w:rPr>
          <w:rFonts w:ascii="Arial" w:hAnsi="Arial" w:cs="Arial"/>
          <w:b/>
          <w:color w:val="B99D57"/>
          <w:lang w:eastAsia="en-AU"/>
        </w:rPr>
        <w:t>B</w:t>
      </w:r>
      <w:r w:rsidRPr="00677DA9">
        <w:rPr>
          <w:rFonts w:ascii="Arial" w:hAnsi="Arial" w:cs="Arial"/>
          <w:color w:val="000000"/>
          <w:lang w:eastAsia="en-AU"/>
        </w:rPr>
        <w:t xml:space="preserve"> </w:t>
      </w:r>
      <w:r w:rsidRPr="00677DA9">
        <w:rPr>
          <w:rFonts w:ascii="Arial" w:hAnsi="Arial" w:cs="Arial"/>
          <w:b/>
          <w:color w:val="B99D57"/>
        </w:rPr>
        <w:t>|</w:t>
      </w:r>
      <w:r w:rsidRPr="00677DA9">
        <w:rPr>
          <w:rFonts w:ascii="Arial" w:hAnsi="Arial" w:cs="Arial"/>
          <w:color w:val="000000"/>
          <w:lang w:eastAsia="en-AU"/>
        </w:rPr>
        <w:t xml:space="preserve"> </w:t>
      </w:r>
      <w:r w:rsidR="00547B65" w:rsidRPr="00677DA9">
        <w:rPr>
          <w:rFonts w:ascii="Arial" w:hAnsi="Arial" w:cs="Arial"/>
          <w:color w:val="000000"/>
          <w:lang w:eastAsia="en-AU"/>
        </w:rPr>
        <w:t xml:space="preserve"> </w:t>
      </w:r>
      <w:r w:rsidR="00750B2A" w:rsidRPr="00677DA9">
        <w:rPr>
          <w:rFonts w:ascii="Arial" w:hAnsi="Arial" w:cs="Arial"/>
          <w:color w:val="002060"/>
          <w:lang w:eastAsia="en-AU"/>
        </w:rPr>
        <w:t>THE EVOLUTION OF SCHOOLS</w:t>
      </w:r>
      <w:r w:rsidR="009E1D03" w:rsidRPr="00677DA9">
        <w:rPr>
          <w:rFonts w:ascii="Arial" w:hAnsi="Arial" w:cs="Arial"/>
          <w:color w:val="002060"/>
          <w:lang w:eastAsia="en-AU"/>
        </w:rPr>
        <w:t xml:space="preserve"> IN RESPONSE TO RAPID SOCIAL AND  </w:t>
      </w:r>
    </w:p>
    <w:p w:rsidR="00547B65" w:rsidRPr="00677DA9" w:rsidRDefault="009E1D03" w:rsidP="006433D2">
      <w:pPr>
        <w:spacing w:after="240" w:line="280" w:lineRule="exact"/>
        <w:ind w:left="301"/>
        <w:rPr>
          <w:rFonts w:ascii="Arial" w:hAnsi="Arial" w:cs="Arial"/>
          <w:color w:val="000000"/>
          <w:lang w:eastAsia="en-AU"/>
        </w:rPr>
      </w:pPr>
      <w:r w:rsidRPr="00677DA9">
        <w:rPr>
          <w:rFonts w:ascii="Arial" w:hAnsi="Arial" w:cs="Arial"/>
          <w:b/>
          <w:color w:val="B99D57"/>
          <w:lang w:eastAsia="en-AU"/>
        </w:rPr>
        <w:t xml:space="preserve">     </w:t>
      </w:r>
      <w:r w:rsidR="00677DA9" w:rsidRPr="00677DA9">
        <w:rPr>
          <w:rFonts w:ascii="Arial" w:hAnsi="Arial" w:cs="Arial"/>
          <w:b/>
          <w:color w:val="B99D57"/>
          <w:lang w:eastAsia="en-AU"/>
        </w:rPr>
        <w:t xml:space="preserve">     </w:t>
      </w:r>
      <w:r w:rsidRPr="00677DA9">
        <w:rPr>
          <w:rFonts w:ascii="Arial" w:hAnsi="Arial" w:cs="Arial"/>
          <w:color w:val="002060"/>
          <w:lang w:eastAsia="en-AU"/>
        </w:rPr>
        <w:t>TECHNOLOGICAL CHANGE</w:t>
      </w:r>
    </w:p>
    <w:p w:rsidR="00FC7B73" w:rsidRDefault="00FC7B73" w:rsidP="003F66A5">
      <w:pPr>
        <w:spacing w:after="160" w:line="280" w:lineRule="exact"/>
        <w:rPr>
          <w:rFonts w:ascii="Arial" w:hAnsi="Arial" w:cs="Arial"/>
          <w:color w:val="000000"/>
          <w:sz w:val="22"/>
          <w:szCs w:val="22"/>
          <w:lang w:eastAsia="en-AU"/>
        </w:rPr>
      </w:pPr>
      <w:r w:rsidRPr="009E1D03">
        <w:rPr>
          <w:rFonts w:ascii="Arial" w:hAnsi="Arial" w:cs="Arial"/>
          <w:color w:val="000000"/>
          <w:sz w:val="22"/>
          <w:szCs w:val="22"/>
          <w:lang w:eastAsia="en-AU"/>
        </w:rPr>
        <w:t>Australian schools are facing two significant 21st century challenges: rapid social change and technological disruption.</w:t>
      </w:r>
      <w:r w:rsidR="00F95C04">
        <w:rPr>
          <w:rFonts w:ascii="Arial" w:hAnsi="Arial" w:cs="Arial"/>
          <w:color w:val="000000"/>
          <w:sz w:val="22"/>
          <w:szCs w:val="22"/>
          <w:lang w:eastAsia="en-AU"/>
        </w:rPr>
        <w:t xml:space="preserve"> </w:t>
      </w:r>
      <w:r w:rsidRPr="009E1D03">
        <w:rPr>
          <w:rFonts w:ascii="Arial" w:hAnsi="Arial" w:cs="Arial"/>
          <w:color w:val="000000"/>
          <w:sz w:val="22"/>
          <w:szCs w:val="22"/>
          <w:lang w:eastAsia="en-AU"/>
        </w:rPr>
        <w:t>In developing schools policies and programs</w:t>
      </w:r>
      <w:r w:rsidR="00F95C04">
        <w:rPr>
          <w:rFonts w:ascii="Arial" w:hAnsi="Arial" w:cs="Arial"/>
          <w:color w:val="000000"/>
          <w:sz w:val="22"/>
          <w:szCs w:val="22"/>
          <w:lang w:eastAsia="en-AU"/>
        </w:rPr>
        <w:t xml:space="preserve"> that will equip young Australians to participate in and contribute to the life of our nation in the future</w:t>
      </w:r>
      <w:r w:rsidRPr="009E1D03">
        <w:rPr>
          <w:rFonts w:ascii="Arial" w:hAnsi="Arial" w:cs="Arial"/>
          <w:color w:val="000000"/>
          <w:sz w:val="22"/>
          <w:szCs w:val="22"/>
          <w:lang w:eastAsia="en-AU"/>
        </w:rPr>
        <w:t>, governments must envision schools not just as consumers of the initiatives of tertiary institutions or governments, but as dynamic sites for research, innovation and entrepreneurial action in their own right.</w:t>
      </w:r>
    </w:p>
    <w:p w:rsidR="00FC7B73" w:rsidRPr="00416BB2" w:rsidRDefault="00416BB2" w:rsidP="003F66A5">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As a means for government to leverage the entrepreneurial capacity of schools, </w:t>
      </w:r>
      <w:r w:rsidR="00FC7B73" w:rsidRPr="00416BB2">
        <w:rPr>
          <w:rFonts w:ascii="Arial" w:hAnsi="Arial" w:cs="Arial"/>
          <w:color w:val="000000"/>
          <w:sz w:val="22"/>
          <w:szCs w:val="22"/>
          <w:lang w:eastAsia="en-AU"/>
        </w:rPr>
        <w:t>AHISA has consistently advocated for the institution of a national Schools Innovation Fund to support the capacity of schools to drive innovation in Australian education</w:t>
      </w:r>
      <w:r w:rsidR="003F66A5">
        <w:rPr>
          <w:rFonts w:ascii="Arial" w:hAnsi="Arial" w:cs="Arial"/>
          <w:color w:val="000000"/>
          <w:sz w:val="22"/>
          <w:szCs w:val="22"/>
          <w:lang w:eastAsia="en-AU"/>
        </w:rPr>
        <w:t>.</w:t>
      </w:r>
    </w:p>
    <w:p w:rsidR="003F66A5" w:rsidRDefault="00FC7B73" w:rsidP="003F66A5">
      <w:pPr>
        <w:pStyle w:val="Default"/>
        <w:spacing w:after="160" w:line="280" w:lineRule="exact"/>
        <w:ind w:right="170"/>
        <w:rPr>
          <w:rFonts w:ascii="Arial" w:hAnsi="Arial" w:cs="Arial"/>
          <w:sz w:val="22"/>
          <w:szCs w:val="22"/>
        </w:rPr>
      </w:pPr>
      <w:r w:rsidRPr="00E23C3C">
        <w:rPr>
          <w:rFonts w:ascii="Arial" w:hAnsi="Arial" w:cs="Arial"/>
          <w:sz w:val="22"/>
          <w:szCs w:val="22"/>
        </w:rPr>
        <w:t>Grants under the Schools Innovation Fund could be competitive and open to schools, clusters of schools and/or school systems</w:t>
      </w:r>
      <w:r w:rsidR="00DF75BE">
        <w:rPr>
          <w:rFonts w:ascii="Arial" w:hAnsi="Arial" w:cs="Arial"/>
          <w:sz w:val="22"/>
          <w:szCs w:val="22"/>
        </w:rPr>
        <w:t xml:space="preserve"> and schools partnering with outside organisations such as universities</w:t>
      </w:r>
      <w:r w:rsidRPr="00E23C3C">
        <w:rPr>
          <w:rFonts w:ascii="Arial" w:hAnsi="Arial" w:cs="Arial"/>
          <w:sz w:val="22"/>
          <w:szCs w:val="22"/>
        </w:rPr>
        <w:t xml:space="preserve">. </w:t>
      </w:r>
      <w:r w:rsidR="00416BB2">
        <w:rPr>
          <w:rFonts w:ascii="Arial" w:hAnsi="Arial" w:cs="Arial"/>
          <w:sz w:val="22"/>
          <w:szCs w:val="22"/>
        </w:rPr>
        <w:t xml:space="preserve">Ideally, such a program should </w:t>
      </w:r>
      <w:r w:rsidR="00416BB2" w:rsidRPr="00416BB2">
        <w:rPr>
          <w:rFonts w:ascii="Arial" w:hAnsi="Arial" w:cs="Arial"/>
          <w:sz w:val="22"/>
          <w:szCs w:val="22"/>
        </w:rPr>
        <w:t>be broad-based to encourage creativity and innovation in project development but could be tied to government-mandated priorities</w:t>
      </w:r>
      <w:r w:rsidR="00416BB2">
        <w:rPr>
          <w:rFonts w:ascii="Arial" w:hAnsi="Arial" w:cs="Arial"/>
          <w:sz w:val="22"/>
          <w:szCs w:val="22"/>
        </w:rPr>
        <w:t>,</w:t>
      </w:r>
      <w:r w:rsidR="00416BB2" w:rsidRPr="00416BB2">
        <w:rPr>
          <w:rFonts w:ascii="Arial" w:hAnsi="Arial" w:cs="Arial"/>
          <w:sz w:val="22"/>
          <w:szCs w:val="22"/>
        </w:rPr>
        <w:t xml:space="preserve"> such as improving student engagement in STEM</w:t>
      </w:r>
      <w:r w:rsidR="00416BB2">
        <w:rPr>
          <w:rFonts w:ascii="Arial" w:hAnsi="Arial" w:cs="Arial"/>
          <w:sz w:val="22"/>
          <w:szCs w:val="22"/>
        </w:rPr>
        <w:t>.</w:t>
      </w:r>
      <w:r w:rsidR="00416BB2" w:rsidRPr="00E23C3C">
        <w:rPr>
          <w:rFonts w:ascii="Arial" w:hAnsi="Arial" w:cs="Arial"/>
          <w:sz w:val="22"/>
          <w:szCs w:val="22"/>
        </w:rPr>
        <w:t xml:space="preserve"> </w:t>
      </w:r>
    </w:p>
    <w:p w:rsidR="00FC7B73" w:rsidRPr="00E23C3C" w:rsidRDefault="00FC7B73" w:rsidP="003F66A5">
      <w:pPr>
        <w:pStyle w:val="Default"/>
        <w:spacing w:after="160" w:line="280" w:lineRule="exact"/>
        <w:ind w:right="170"/>
        <w:rPr>
          <w:rFonts w:ascii="Arial" w:hAnsi="Arial" w:cs="Arial"/>
          <w:sz w:val="22"/>
          <w:szCs w:val="22"/>
        </w:rPr>
      </w:pPr>
      <w:r w:rsidRPr="00E23C3C">
        <w:rPr>
          <w:rFonts w:ascii="Arial" w:hAnsi="Arial" w:cs="Arial"/>
          <w:sz w:val="22"/>
          <w:szCs w:val="22"/>
        </w:rPr>
        <w:t>A successful precedent a</w:t>
      </w:r>
      <w:r w:rsidR="00416BB2">
        <w:rPr>
          <w:rFonts w:ascii="Arial" w:hAnsi="Arial" w:cs="Arial"/>
          <w:sz w:val="22"/>
          <w:szCs w:val="22"/>
        </w:rPr>
        <w:t>lready exists for such a model.</w:t>
      </w:r>
      <w:r w:rsidR="003F66A5">
        <w:rPr>
          <w:rFonts w:ascii="Arial" w:hAnsi="Arial" w:cs="Arial"/>
          <w:sz w:val="22"/>
          <w:szCs w:val="22"/>
        </w:rPr>
        <w:t xml:space="preserve"> </w:t>
      </w:r>
      <w:r w:rsidRPr="00E23C3C">
        <w:rPr>
          <w:rFonts w:ascii="Arial" w:hAnsi="Arial" w:cs="Arial"/>
          <w:sz w:val="22"/>
          <w:szCs w:val="22"/>
        </w:rPr>
        <w:t>A program of competitive</w:t>
      </w:r>
      <w:r w:rsidR="00DF75BE">
        <w:rPr>
          <w:rFonts w:ascii="Arial" w:hAnsi="Arial" w:cs="Arial"/>
          <w:sz w:val="22"/>
          <w:szCs w:val="22"/>
        </w:rPr>
        <w:t>,</w:t>
      </w:r>
      <w:r w:rsidRPr="00E23C3C">
        <w:rPr>
          <w:rFonts w:ascii="Arial" w:hAnsi="Arial" w:cs="Arial"/>
          <w:sz w:val="22"/>
          <w:szCs w:val="22"/>
        </w:rPr>
        <w:t xml:space="preserve"> direct-to-school grants was administered on behalf of the Australian Government by the Asia Education Foundation (AEF) under the National Asian Languages and Studies in Schools Program (NALSSP). The Becoming Asia Literate: Grants to Schools (BALGS) program operated between 2009 and 2012 and attracted 2,000 applications. During the life of the program, some $7.2 million was</w:t>
      </w:r>
      <w:r>
        <w:rPr>
          <w:rFonts w:ascii="Arial" w:hAnsi="Arial" w:cs="Arial"/>
          <w:sz w:val="22"/>
          <w:szCs w:val="22"/>
        </w:rPr>
        <w:t xml:space="preserve"> </w:t>
      </w:r>
      <w:r w:rsidRPr="00E23C3C">
        <w:rPr>
          <w:rFonts w:ascii="Arial" w:hAnsi="Arial" w:cs="Arial"/>
          <w:sz w:val="22"/>
          <w:szCs w:val="22"/>
        </w:rPr>
        <w:t xml:space="preserve">disbursed on 335 projects among 521 schools. </w:t>
      </w:r>
    </w:p>
    <w:p w:rsidR="00FC7B73" w:rsidRDefault="00FC7B73" w:rsidP="003F66A5">
      <w:pPr>
        <w:pStyle w:val="Default"/>
        <w:spacing w:after="80" w:line="280" w:lineRule="exact"/>
        <w:rPr>
          <w:rFonts w:ascii="Arial" w:hAnsi="Arial" w:cs="Arial"/>
          <w:sz w:val="22"/>
          <w:szCs w:val="22"/>
        </w:rPr>
      </w:pPr>
      <w:r>
        <w:rPr>
          <w:rFonts w:ascii="Arial" w:hAnsi="Arial" w:cs="Arial"/>
          <w:sz w:val="22"/>
          <w:szCs w:val="22"/>
        </w:rPr>
        <w:t>The evaluation of the BALGS program, published by AEF in 2013</w:t>
      </w:r>
      <w:r w:rsidR="00416BB2" w:rsidRPr="00416BB2">
        <w:rPr>
          <w:rFonts w:ascii="Arial" w:hAnsi="Arial" w:cs="Arial"/>
          <w:sz w:val="22"/>
          <w:szCs w:val="22"/>
          <w:vertAlign w:val="superscript"/>
        </w:rPr>
        <w:t>1</w:t>
      </w:r>
      <w:r w:rsidR="00534679">
        <w:rPr>
          <w:rFonts w:ascii="Arial" w:hAnsi="Arial" w:cs="Arial"/>
          <w:sz w:val="22"/>
          <w:szCs w:val="22"/>
          <w:vertAlign w:val="superscript"/>
        </w:rPr>
        <w:t>4</w:t>
      </w:r>
      <w:r>
        <w:rPr>
          <w:rFonts w:ascii="Arial" w:hAnsi="Arial" w:cs="Arial"/>
          <w:sz w:val="22"/>
          <w:szCs w:val="22"/>
        </w:rPr>
        <w:t>, offers valuable insights into how direct-to-schools grants can be effectively managed to meet government objectives. Outcomes of the program, which covered both primary and secondary schools, included:</w:t>
      </w:r>
    </w:p>
    <w:p w:rsidR="00FC7B73" w:rsidRDefault="00FC7B73" w:rsidP="0067338C">
      <w:pPr>
        <w:pStyle w:val="Default"/>
        <w:numPr>
          <w:ilvl w:val="0"/>
          <w:numId w:val="2"/>
        </w:numPr>
        <w:spacing w:after="80" w:line="280" w:lineRule="exact"/>
        <w:rPr>
          <w:rFonts w:ascii="Arial" w:hAnsi="Arial" w:cs="Arial"/>
          <w:sz w:val="22"/>
          <w:szCs w:val="22"/>
        </w:rPr>
      </w:pPr>
      <w:r>
        <w:rPr>
          <w:rFonts w:ascii="Arial" w:hAnsi="Arial" w:cs="Arial"/>
          <w:sz w:val="22"/>
          <w:szCs w:val="22"/>
        </w:rPr>
        <w:t>Enabling su</w:t>
      </w:r>
      <w:r w:rsidR="003F66A5">
        <w:rPr>
          <w:rFonts w:ascii="Arial" w:hAnsi="Arial" w:cs="Arial"/>
          <w:sz w:val="22"/>
          <w:szCs w:val="22"/>
        </w:rPr>
        <w:t>stainable change and innovation</w:t>
      </w:r>
    </w:p>
    <w:p w:rsidR="00FC7B73" w:rsidRDefault="00FC7B73" w:rsidP="0067338C">
      <w:pPr>
        <w:pStyle w:val="Default"/>
        <w:numPr>
          <w:ilvl w:val="0"/>
          <w:numId w:val="2"/>
        </w:numPr>
        <w:spacing w:after="80" w:line="280" w:lineRule="exact"/>
        <w:rPr>
          <w:rFonts w:ascii="Arial" w:hAnsi="Arial" w:cs="Arial"/>
          <w:sz w:val="22"/>
          <w:szCs w:val="22"/>
        </w:rPr>
      </w:pPr>
      <w:r>
        <w:rPr>
          <w:rFonts w:ascii="Arial" w:hAnsi="Arial" w:cs="Arial"/>
          <w:sz w:val="22"/>
          <w:szCs w:val="22"/>
        </w:rPr>
        <w:t xml:space="preserve">Enabling curriculum renewal </w:t>
      </w:r>
      <w:r w:rsidR="003F66A5">
        <w:rPr>
          <w:rFonts w:ascii="Arial" w:hAnsi="Arial" w:cs="Arial"/>
          <w:sz w:val="22"/>
          <w:szCs w:val="22"/>
        </w:rPr>
        <w:t>and refreshing pedagogy</w:t>
      </w:r>
    </w:p>
    <w:p w:rsidR="00FC7B73" w:rsidRDefault="00FC7B73" w:rsidP="0067338C">
      <w:pPr>
        <w:pStyle w:val="Default"/>
        <w:numPr>
          <w:ilvl w:val="0"/>
          <w:numId w:val="2"/>
        </w:numPr>
        <w:spacing w:after="80" w:line="280" w:lineRule="exact"/>
        <w:rPr>
          <w:rFonts w:ascii="Arial" w:hAnsi="Arial" w:cs="Arial"/>
          <w:sz w:val="22"/>
          <w:szCs w:val="22"/>
        </w:rPr>
      </w:pPr>
      <w:r>
        <w:rPr>
          <w:rFonts w:ascii="Arial" w:hAnsi="Arial" w:cs="Arial"/>
          <w:sz w:val="22"/>
          <w:szCs w:val="22"/>
        </w:rPr>
        <w:t>Building teacher capacit</w:t>
      </w:r>
      <w:r w:rsidR="003F66A5">
        <w:rPr>
          <w:rFonts w:ascii="Arial" w:hAnsi="Arial" w:cs="Arial"/>
          <w:sz w:val="22"/>
          <w:szCs w:val="22"/>
        </w:rPr>
        <w:t>y, within and beyond the school</w:t>
      </w:r>
    </w:p>
    <w:p w:rsidR="00FC7B73" w:rsidRDefault="00FC7B73" w:rsidP="0067338C">
      <w:pPr>
        <w:pStyle w:val="Default"/>
        <w:numPr>
          <w:ilvl w:val="0"/>
          <w:numId w:val="2"/>
        </w:numPr>
        <w:spacing w:after="80" w:line="280" w:lineRule="exact"/>
        <w:rPr>
          <w:rFonts w:ascii="Arial" w:hAnsi="Arial" w:cs="Arial"/>
          <w:sz w:val="22"/>
          <w:szCs w:val="22"/>
        </w:rPr>
      </w:pPr>
      <w:r>
        <w:rPr>
          <w:rFonts w:ascii="Arial" w:hAnsi="Arial" w:cs="Arial"/>
          <w:sz w:val="22"/>
          <w:szCs w:val="22"/>
        </w:rPr>
        <w:t>Developing teacher-leaders to drive an</w:t>
      </w:r>
      <w:r w:rsidR="003F66A5">
        <w:rPr>
          <w:rFonts w:ascii="Arial" w:hAnsi="Arial" w:cs="Arial"/>
          <w:sz w:val="22"/>
          <w:szCs w:val="22"/>
        </w:rPr>
        <w:t>d support curriculum innovation</w:t>
      </w:r>
    </w:p>
    <w:p w:rsidR="00FC7B73" w:rsidRDefault="00FC7B73" w:rsidP="0067338C">
      <w:pPr>
        <w:pStyle w:val="Default"/>
        <w:numPr>
          <w:ilvl w:val="0"/>
          <w:numId w:val="2"/>
        </w:numPr>
        <w:spacing w:after="80" w:line="280" w:lineRule="exact"/>
        <w:rPr>
          <w:rFonts w:ascii="Arial" w:hAnsi="Arial" w:cs="Arial"/>
          <w:sz w:val="22"/>
          <w:szCs w:val="22"/>
        </w:rPr>
      </w:pPr>
      <w:r>
        <w:rPr>
          <w:rFonts w:ascii="Arial" w:hAnsi="Arial" w:cs="Arial"/>
          <w:sz w:val="22"/>
          <w:szCs w:val="22"/>
        </w:rPr>
        <w:t>Engagement with research to develop evidence-informed practice</w:t>
      </w:r>
    </w:p>
    <w:p w:rsidR="00FC7B73" w:rsidRDefault="00FC7B73" w:rsidP="0067338C">
      <w:pPr>
        <w:pStyle w:val="Default"/>
        <w:numPr>
          <w:ilvl w:val="0"/>
          <w:numId w:val="2"/>
        </w:numPr>
        <w:spacing w:after="160" w:line="280" w:lineRule="exact"/>
        <w:ind w:left="714" w:hanging="357"/>
        <w:rPr>
          <w:rFonts w:ascii="Arial" w:hAnsi="Arial" w:cs="Arial"/>
          <w:sz w:val="22"/>
          <w:szCs w:val="22"/>
        </w:rPr>
      </w:pPr>
      <w:r>
        <w:rPr>
          <w:rFonts w:ascii="Arial" w:hAnsi="Arial" w:cs="Arial"/>
          <w:sz w:val="22"/>
          <w:szCs w:val="22"/>
        </w:rPr>
        <w:t>Building strategic collaborations and sustainable partnerships within and between schools.</w:t>
      </w:r>
    </w:p>
    <w:p w:rsidR="00FC7B73" w:rsidRDefault="00FC7B73" w:rsidP="003F66A5">
      <w:pPr>
        <w:pStyle w:val="Default"/>
        <w:spacing w:after="160" w:line="280" w:lineRule="exact"/>
        <w:rPr>
          <w:rFonts w:ascii="Arial" w:hAnsi="Arial" w:cs="Arial"/>
          <w:sz w:val="22"/>
          <w:szCs w:val="22"/>
        </w:rPr>
      </w:pPr>
      <w:r>
        <w:rPr>
          <w:rFonts w:ascii="Arial" w:hAnsi="Arial" w:cs="Arial"/>
          <w:sz w:val="22"/>
          <w:szCs w:val="22"/>
        </w:rPr>
        <w:t>Importantly, the program enabled schools to engage in innovation and build professional practice irrespective of where the schools were on the practice continuum, and to develop practices that met the specific needs and contexts of the school.</w:t>
      </w:r>
    </w:p>
    <w:p w:rsidR="00FC7B73" w:rsidRDefault="00FC7B73" w:rsidP="003F66A5">
      <w:pPr>
        <w:pStyle w:val="Default"/>
        <w:spacing w:after="80" w:line="280" w:lineRule="exact"/>
        <w:rPr>
          <w:rFonts w:ascii="Arial" w:hAnsi="Arial" w:cs="Arial"/>
          <w:sz w:val="22"/>
          <w:szCs w:val="22"/>
        </w:rPr>
      </w:pPr>
      <w:r>
        <w:rPr>
          <w:rFonts w:ascii="Arial" w:hAnsi="Arial" w:cs="Arial"/>
          <w:sz w:val="22"/>
          <w:szCs w:val="22"/>
        </w:rPr>
        <w:t>Other features worth noting are:</w:t>
      </w:r>
    </w:p>
    <w:p w:rsidR="00FC7B73" w:rsidRDefault="00FC7B73" w:rsidP="0067338C">
      <w:pPr>
        <w:pStyle w:val="Default"/>
        <w:numPr>
          <w:ilvl w:val="0"/>
          <w:numId w:val="3"/>
        </w:numPr>
        <w:spacing w:after="80" w:line="280" w:lineRule="exact"/>
        <w:rPr>
          <w:rFonts w:ascii="Arial" w:hAnsi="Arial" w:cs="Arial"/>
          <w:sz w:val="22"/>
          <w:szCs w:val="22"/>
        </w:rPr>
      </w:pPr>
      <w:r>
        <w:rPr>
          <w:rFonts w:ascii="Arial" w:hAnsi="Arial" w:cs="Arial"/>
          <w:sz w:val="22"/>
          <w:szCs w:val="22"/>
        </w:rPr>
        <w:t>Project proposals were assessed, scored and ranked by independent assessors in the states and territories. Schools which won grants were obliged to follow accountability procedures and guidelines, make progress reports and develop plans for the sustainability of the funded projects.</w:t>
      </w:r>
    </w:p>
    <w:p w:rsidR="00FC7B73" w:rsidRDefault="00FC7B73" w:rsidP="0067338C">
      <w:pPr>
        <w:pStyle w:val="Default"/>
        <w:numPr>
          <w:ilvl w:val="0"/>
          <w:numId w:val="3"/>
        </w:numPr>
        <w:spacing w:after="80" w:line="280" w:lineRule="exact"/>
        <w:rPr>
          <w:rFonts w:ascii="Arial" w:hAnsi="Arial" w:cs="Arial"/>
          <w:sz w:val="22"/>
          <w:szCs w:val="22"/>
        </w:rPr>
      </w:pPr>
      <w:r>
        <w:rPr>
          <w:rFonts w:ascii="Arial" w:hAnsi="Arial" w:cs="Arial"/>
          <w:sz w:val="22"/>
          <w:szCs w:val="22"/>
        </w:rPr>
        <w:t>Over 12 per cent of registrations in the program were from clusters of two to four schools, indicating a high level of interest among schools in developing communities of practice.</w:t>
      </w:r>
    </w:p>
    <w:p w:rsidR="00FC7B73" w:rsidRDefault="00FC7B73" w:rsidP="0067338C">
      <w:pPr>
        <w:pStyle w:val="Default"/>
        <w:numPr>
          <w:ilvl w:val="0"/>
          <w:numId w:val="3"/>
        </w:numPr>
        <w:spacing w:after="160" w:line="280" w:lineRule="exact"/>
        <w:ind w:left="714" w:hanging="357"/>
        <w:rPr>
          <w:rFonts w:ascii="Arial" w:hAnsi="Arial" w:cs="Arial"/>
          <w:sz w:val="22"/>
          <w:szCs w:val="22"/>
        </w:rPr>
      </w:pPr>
      <w:r>
        <w:rPr>
          <w:rFonts w:ascii="Arial" w:hAnsi="Arial" w:cs="Arial"/>
          <w:sz w:val="22"/>
          <w:szCs w:val="22"/>
        </w:rPr>
        <w:t>For successful proposals, o</w:t>
      </w:r>
      <w:r w:rsidRPr="00EB41A2">
        <w:rPr>
          <w:rFonts w:ascii="Arial" w:hAnsi="Arial" w:cs="Arial"/>
          <w:sz w:val="22"/>
          <w:szCs w:val="22"/>
        </w:rPr>
        <w:t xml:space="preserve">n-call professional learning support was </w:t>
      </w:r>
      <w:r>
        <w:rPr>
          <w:rFonts w:ascii="Arial" w:hAnsi="Arial" w:cs="Arial"/>
          <w:sz w:val="22"/>
          <w:szCs w:val="22"/>
        </w:rPr>
        <w:t>available</w:t>
      </w:r>
      <w:r w:rsidRPr="00EB41A2">
        <w:rPr>
          <w:rFonts w:ascii="Arial" w:hAnsi="Arial" w:cs="Arial"/>
          <w:sz w:val="22"/>
          <w:szCs w:val="22"/>
        </w:rPr>
        <w:t xml:space="preserve"> to steer schools through the process of </w:t>
      </w:r>
      <w:r>
        <w:rPr>
          <w:rFonts w:ascii="Arial" w:hAnsi="Arial" w:cs="Arial"/>
          <w:sz w:val="22"/>
          <w:szCs w:val="22"/>
        </w:rPr>
        <w:t xml:space="preserve">project </w:t>
      </w:r>
      <w:r w:rsidRPr="00EB41A2">
        <w:rPr>
          <w:rFonts w:ascii="Arial" w:hAnsi="Arial" w:cs="Arial"/>
          <w:sz w:val="22"/>
          <w:szCs w:val="22"/>
        </w:rPr>
        <w:t>design, implementation and review.</w:t>
      </w:r>
    </w:p>
    <w:p w:rsidR="003F66A5" w:rsidRDefault="00FC7B73" w:rsidP="009077AA">
      <w:pPr>
        <w:pStyle w:val="Default"/>
        <w:spacing w:after="480" w:line="280" w:lineRule="exact"/>
        <w:rPr>
          <w:rFonts w:ascii="Arial" w:hAnsi="Arial" w:cs="Arial"/>
          <w:sz w:val="22"/>
          <w:szCs w:val="22"/>
        </w:rPr>
      </w:pPr>
      <w:r>
        <w:rPr>
          <w:rFonts w:ascii="Arial" w:hAnsi="Arial" w:cs="Arial"/>
          <w:sz w:val="22"/>
          <w:szCs w:val="22"/>
        </w:rPr>
        <w:t>The BALGS program demonstrates that, due to the increasingly collaborative nature of the teaching profession, the impact of supported projects extends well beyond individual school communities.</w:t>
      </w:r>
      <w:r w:rsidR="003F66A5">
        <w:rPr>
          <w:rFonts w:ascii="Arial" w:hAnsi="Arial" w:cs="Arial"/>
          <w:sz w:val="22"/>
          <w:szCs w:val="22"/>
        </w:rPr>
        <w:t xml:space="preserve"> The program also demonstrates the return on investment to government. This is significant, given that the scheme would not be open-ended in terms of either money or time.</w:t>
      </w:r>
    </w:p>
    <w:p w:rsidR="00A90275" w:rsidRPr="00A90275" w:rsidRDefault="00A90275" w:rsidP="00A90275">
      <w:pPr>
        <w:spacing w:after="240" w:line="280" w:lineRule="exact"/>
        <w:ind w:right="284"/>
        <w:rPr>
          <w:rFonts w:ascii="Arial" w:hAnsi="Arial" w:cs="Arial"/>
          <w:color w:val="7030A0"/>
          <w:sz w:val="22"/>
          <w:szCs w:val="22"/>
        </w:rPr>
      </w:pPr>
      <w:r w:rsidRPr="00A90275">
        <w:rPr>
          <w:rFonts w:ascii="Arial" w:hAnsi="Arial" w:cs="Arial"/>
          <w:color w:val="7030A0"/>
          <w:sz w:val="22"/>
          <w:szCs w:val="22"/>
        </w:rPr>
        <w:t>RECOMMENDATION 2</w:t>
      </w:r>
    </w:p>
    <w:p w:rsidR="00A90275" w:rsidRPr="00A90275" w:rsidRDefault="00A90275" w:rsidP="00A90275">
      <w:pPr>
        <w:spacing w:after="360" w:line="280" w:lineRule="exact"/>
        <w:ind w:left="301" w:right="284"/>
        <w:rPr>
          <w:rFonts w:ascii="Arial" w:hAnsi="Arial" w:cs="Arial"/>
          <w:b/>
          <w:color w:val="7030A0"/>
          <w:sz w:val="22"/>
          <w:szCs w:val="22"/>
        </w:rPr>
      </w:pPr>
      <w:r w:rsidRPr="00A90275">
        <w:rPr>
          <w:rFonts w:ascii="Arial" w:hAnsi="Arial" w:cs="Arial"/>
          <w:b/>
          <w:color w:val="7030A0"/>
          <w:sz w:val="22"/>
          <w:szCs w:val="22"/>
        </w:rPr>
        <w:t>The Australian Government to establish a national Schools Innovation Fund to assist schools as they respond to 21st century demands. Grants could be competitive and open to schools, clusters of schools and/or school systems</w:t>
      </w:r>
      <w:r w:rsidR="00E93EA9">
        <w:rPr>
          <w:rFonts w:ascii="Arial" w:hAnsi="Arial" w:cs="Arial"/>
          <w:b/>
          <w:color w:val="7030A0"/>
          <w:sz w:val="22"/>
          <w:szCs w:val="22"/>
        </w:rPr>
        <w:t xml:space="preserve"> and schools partnering with other organisations such as universities</w:t>
      </w:r>
      <w:r w:rsidRPr="00A90275">
        <w:rPr>
          <w:rFonts w:ascii="Arial" w:hAnsi="Arial" w:cs="Arial"/>
          <w:b/>
          <w:color w:val="7030A0"/>
          <w:sz w:val="22"/>
          <w:szCs w:val="22"/>
        </w:rPr>
        <w:t>. A precedent for such a m</w:t>
      </w:r>
      <w:r w:rsidR="00D111FC">
        <w:rPr>
          <w:rFonts w:ascii="Arial" w:hAnsi="Arial" w:cs="Arial"/>
          <w:b/>
          <w:color w:val="7030A0"/>
          <w:sz w:val="22"/>
          <w:szCs w:val="22"/>
        </w:rPr>
        <w:t>odel is the successful BALG</w:t>
      </w:r>
      <w:r w:rsidRPr="00A90275">
        <w:rPr>
          <w:rFonts w:ascii="Arial" w:hAnsi="Arial" w:cs="Arial"/>
          <w:b/>
          <w:color w:val="7030A0"/>
          <w:sz w:val="22"/>
          <w:szCs w:val="22"/>
        </w:rPr>
        <w:t>S competitive grants model, which disbursed some $7.2 million on 335 projects among 521 schools during the four years of its operation.</w:t>
      </w:r>
    </w:p>
    <w:p w:rsidR="00FC7B73" w:rsidRDefault="00FC7B73" w:rsidP="00FC7B73">
      <w:pPr>
        <w:spacing w:after="160" w:line="280" w:lineRule="exact"/>
        <w:rPr>
          <w:rFonts w:ascii="Arial" w:hAnsi="Arial" w:cs="Arial"/>
          <w:color w:val="000000"/>
          <w:sz w:val="22"/>
          <w:szCs w:val="22"/>
          <w:lang w:eastAsia="en-AU"/>
        </w:rPr>
      </w:pPr>
    </w:p>
    <w:p w:rsidR="00534679" w:rsidRDefault="00534679" w:rsidP="006433D2">
      <w:pPr>
        <w:spacing w:after="240" w:line="280" w:lineRule="exact"/>
        <w:ind w:left="301"/>
        <w:rPr>
          <w:rFonts w:ascii="Arial" w:hAnsi="Arial" w:cs="Arial"/>
          <w:b/>
          <w:color w:val="B99D57"/>
          <w:lang w:eastAsia="en-AU"/>
        </w:rPr>
      </w:pPr>
      <w:r>
        <w:rPr>
          <w:rFonts w:ascii="Arial" w:hAnsi="Arial" w:cs="Arial"/>
          <w:b/>
          <w:color w:val="B99D57"/>
          <w:lang w:eastAsia="en-AU"/>
        </w:rPr>
        <w:br w:type="page"/>
      </w:r>
    </w:p>
    <w:p w:rsidR="006433D2" w:rsidRPr="00677DA9" w:rsidRDefault="00677DA9" w:rsidP="006433D2">
      <w:pPr>
        <w:spacing w:after="240" w:line="280" w:lineRule="exact"/>
        <w:ind w:left="301"/>
        <w:rPr>
          <w:rFonts w:ascii="Arial" w:hAnsi="Arial" w:cs="Arial"/>
          <w:color w:val="002060"/>
          <w:lang w:eastAsia="en-AU"/>
        </w:rPr>
      </w:pPr>
      <w:r w:rsidRPr="00677DA9">
        <w:rPr>
          <w:rFonts w:ascii="Arial" w:hAnsi="Arial" w:cs="Arial"/>
          <w:b/>
          <w:color w:val="B99D57"/>
          <w:lang w:eastAsia="en-AU"/>
        </w:rPr>
        <w:t>3</w:t>
      </w:r>
      <w:r w:rsidR="008B498C">
        <w:rPr>
          <w:rFonts w:ascii="Arial" w:hAnsi="Arial" w:cs="Arial"/>
          <w:color w:val="000000"/>
          <w:lang w:eastAsia="en-AU"/>
        </w:rPr>
        <w:t>-</w:t>
      </w:r>
      <w:r w:rsidRPr="00677DA9">
        <w:rPr>
          <w:rFonts w:ascii="Arial" w:hAnsi="Arial" w:cs="Arial"/>
          <w:b/>
          <w:color w:val="B99D57"/>
          <w:lang w:eastAsia="en-AU"/>
        </w:rPr>
        <w:t>C</w:t>
      </w:r>
      <w:r w:rsidRPr="00677DA9">
        <w:rPr>
          <w:rFonts w:ascii="Arial" w:hAnsi="Arial" w:cs="Arial"/>
          <w:color w:val="000000"/>
          <w:lang w:eastAsia="en-AU"/>
        </w:rPr>
        <w:t xml:space="preserve"> </w:t>
      </w:r>
      <w:r w:rsidRPr="00677DA9">
        <w:rPr>
          <w:rFonts w:ascii="Arial" w:hAnsi="Arial" w:cs="Arial"/>
          <w:b/>
          <w:color w:val="B99D57"/>
        </w:rPr>
        <w:t>|</w:t>
      </w:r>
      <w:r w:rsidRPr="00677DA9">
        <w:rPr>
          <w:rFonts w:ascii="Arial" w:hAnsi="Arial" w:cs="Arial"/>
          <w:color w:val="000000"/>
          <w:lang w:eastAsia="en-AU"/>
        </w:rPr>
        <w:t xml:space="preserve"> </w:t>
      </w:r>
      <w:r w:rsidR="006433D2" w:rsidRPr="00677DA9">
        <w:rPr>
          <w:rFonts w:ascii="Arial" w:hAnsi="Arial" w:cs="Arial"/>
          <w:color w:val="000000"/>
          <w:lang w:eastAsia="en-AU"/>
        </w:rPr>
        <w:t xml:space="preserve"> </w:t>
      </w:r>
      <w:r w:rsidR="006433D2" w:rsidRPr="00677DA9">
        <w:rPr>
          <w:rFonts w:ascii="Arial" w:hAnsi="Arial" w:cs="Arial"/>
          <w:color w:val="002060"/>
          <w:lang w:eastAsia="en-AU"/>
        </w:rPr>
        <w:t xml:space="preserve">PROVIDING FOR </w:t>
      </w:r>
      <w:r w:rsidR="008B498C">
        <w:rPr>
          <w:rFonts w:ascii="Arial" w:hAnsi="Arial" w:cs="Arial"/>
          <w:color w:val="002060"/>
          <w:lang w:eastAsia="en-AU"/>
        </w:rPr>
        <w:t xml:space="preserve">A </w:t>
      </w:r>
      <w:r w:rsidR="006433D2" w:rsidRPr="00677DA9">
        <w:rPr>
          <w:rFonts w:ascii="Arial" w:hAnsi="Arial" w:cs="Arial"/>
          <w:color w:val="002060"/>
          <w:lang w:eastAsia="en-AU"/>
        </w:rPr>
        <w:t>BOOMING SCHOOL-AGED POPULATION</w:t>
      </w:r>
    </w:p>
    <w:p w:rsidR="00FC7B73" w:rsidRPr="00597C82" w:rsidRDefault="00597C82" w:rsidP="00597C82">
      <w:pPr>
        <w:spacing w:after="160" w:line="280" w:lineRule="exact"/>
        <w:rPr>
          <w:rFonts w:ascii="Arial" w:hAnsi="Arial" w:cs="Arial"/>
          <w:color w:val="000000"/>
          <w:sz w:val="22"/>
          <w:szCs w:val="22"/>
          <w:lang w:eastAsia="en-AU"/>
        </w:rPr>
      </w:pPr>
      <w:r w:rsidRPr="00597C82">
        <w:rPr>
          <w:rFonts w:ascii="Arial" w:hAnsi="Arial" w:cs="Arial"/>
          <w:color w:val="000000"/>
          <w:sz w:val="22"/>
          <w:szCs w:val="22"/>
          <w:lang w:eastAsia="en-AU"/>
        </w:rPr>
        <w:t>I</w:t>
      </w:r>
      <w:r w:rsidR="00FC7B73" w:rsidRPr="00597C82">
        <w:rPr>
          <w:rFonts w:ascii="Arial" w:hAnsi="Arial" w:cs="Arial"/>
          <w:color w:val="000000"/>
          <w:sz w:val="22"/>
          <w:szCs w:val="22"/>
          <w:lang w:eastAsia="en-AU"/>
        </w:rPr>
        <w:t xml:space="preserve">ncreases in Australia’s school population </w:t>
      </w:r>
      <w:r w:rsidRPr="00597C82">
        <w:rPr>
          <w:rFonts w:ascii="Arial" w:hAnsi="Arial" w:cs="Arial"/>
          <w:color w:val="000000"/>
          <w:sz w:val="22"/>
          <w:szCs w:val="22"/>
          <w:lang w:eastAsia="en-AU"/>
        </w:rPr>
        <w:t>must of necessity entail</w:t>
      </w:r>
      <w:r w:rsidR="00FC7B73" w:rsidRPr="00597C82">
        <w:rPr>
          <w:rFonts w:ascii="Arial" w:hAnsi="Arial" w:cs="Arial"/>
          <w:color w:val="000000"/>
          <w:sz w:val="22"/>
          <w:szCs w:val="22"/>
          <w:lang w:eastAsia="en-AU"/>
        </w:rPr>
        <w:t xml:space="preserve"> increases in</w:t>
      </w:r>
      <w:r w:rsidRPr="00597C82">
        <w:rPr>
          <w:rFonts w:ascii="Arial" w:hAnsi="Arial" w:cs="Arial"/>
          <w:color w:val="000000"/>
          <w:sz w:val="22"/>
          <w:szCs w:val="22"/>
          <w:lang w:eastAsia="en-AU"/>
        </w:rPr>
        <w:t xml:space="preserve"> both</w:t>
      </w:r>
      <w:r w:rsidR="00FC7B73" w:rsidRPr="00597C82">
        <w:rPr>
          <w:rFonts w:ascii="Arial" w:hAnsi="Arial" w:cs="Arial"/>
          <w:color w:val="000000"/>
          <w:sz w:val="22"/>
          <w:szCs w:val="22"/>
          <w:lang w:eastAsia="en-AU"/>
        </w:rPr>
        <w:t xml:space="preserve"> the capital and recurrent costs of schooling provision.</w:t>
      </w:r>
    </w:p>
    <w:p w:rsidR="00D679BA" w:rsidRDefault="00D679BA" w:rsidP="007772BE">
      <w:pPr>
        <w:spacing w:after="80" w:line="280" w:lineRule="exact"/>
        <w:rPr>
          <w:rFonts w:ascii="Arial" w:hAnsi="Arial" w:cs="Arial"/>
          <w:color w:val="000000"/>
          <w:sz w:val="22"/>
          <w:szCs w:val="22"/>
          <w:lang w:eastAsia="en-AU"/>
        </w:rPr>
      </w:pPr>
      <w:r>
        <w:rPr>
          <w:rFonts w:ascii="Arial" w:hAnsi="Arial" w:cs="Arial"/>
          <w:color w:val="000000"/>
          <w:sz w:val="22"/>
          <w:szCs w:val="22"/>
          <w:lang w:eastAsia="en-AU"/>
        </w:rPr>
        <w:t xml:space="preserve">In its report, </w:t>
      </w:r>
      <w:r w:rsidRPr="007772BE">
        <w:rPr>
          <w:rFonts w:ascii="Arial" w:hAnsi="Arial" w:cs="Arial"/>
          <w:i/>
          <w:color w:val="000000"/>
          <w:sz w:val="22"/>
          <w:szCs w:val="22"/>
          <w:lang w:eastAsia="en-AU"/>
        </w:rPr>
        <w:t>The teacher workforce in Australia: Supply, demand and data issues</w:t>
      </w:r>
      <w:r w:rsidR="00F34CAE" w:rsidRPr="00F34CAE">
        <w:rPr>
          <w:rFonts w:ascii="Arial" w:hAnsi="Arial" w:cs="Arial"/>
          <w:color w:val="000000"/>
          <w:sz w:val="22"/>
          <w:szCs w:val="22"/>
          <w:vertAlign w:val="superscript"/>
          <w:lang w:eastAsia="en-AU"/>
        </w:rPr>
        <w:t>1</w:t>
      </w:r>
      <w:r w:rsidR="00534679">
        <w:rPr>
          <w:rFonts w:ascii="Arial" w:hAnsi="Arial" w:cs="Arial"/>
          <w:color w:val="000000"/>
          <w:sz w:val="22"/>
          <w:szCs w:val="22"/>
          <w:vertAlign w:val="superscript"/>
          <w:lang w:eastAsia="en-AU"/>
        </w:rPr>
        <w:t>5</w:t>
      </w:r>
      <w:r>
        <w:rPr>
          <w:rFonts w:ascii="Arial" w:hAnsi="Arial" w:cs="Arial"/>
          <w:color w:val="000000"/>
          <w:sz w:val="22"/>
          <w:szCs w:val="22"/>
          <w:lang w:eastAsia="en-AU"/>
        </w:rPr>
        <w:t>, the Australian Council for Educati</w:t>
      </w:r>
      <w:r w:rsidR="008B498C">
        <w:rPr>
          <w:rFonts w:ascii="Arial" w:hAnsi="Arial" w:cs="Arial"/>
          <w:color w:val="000000"/>
          <w:sz w:val="22"/>
          <w:szCs w:val="22"/>
          <w:lang w:eastAsia="en-AU"/>
        </w:rPr>
        <w:t xml:space="preserve">onal Research (ACER) notes that, </w:t>
      </w:r>
      <w:r>
        <w:rPr>
          <w:rFonts w:ascii="Arial" w:hAnsi="Arial" w:cs="Arial"/>
          <w:color w:val="000000"/>
          <w:sz w:val="22"/>
          <w:szCs w:val="22"/>
          <w:lang w:eastAsia="en-AU"/>
        </w:rPr>
        <w:t xml:space="preserve">based on an average class size of 24 student per class, </w:t>
      </w:r>
      <w:r w:rsidR="008B498C">
        <w:rPr>
          <w:rFonts w:ascii="Arial" w:hAnsi="Arial" w:cs="Arial"/>
          <w:color w:val="000000"/>
          <w:sz w:val="22"/>
          <w:szCs w:val="22"/>
          <w:lang w:eastAsia="en-AU"/>
        </w:rPr>
        <w:t xml:space="preserve">between 2011 and 2020 </w:t>
      </w:r>
      <w:r>
        <w:rPr>
          <w:rFonts w:ascii="Arial" w:hAnsi="Arial" w:cs="Arial"/>
          <w:color w:val="000000"/>
          <w:sz w:val="22"/>
          <w:szCs w:val="22"/>
          <w:lang w:eastAsia="en-AU"/>
        </w:rPr>
        <w:t>the increase in the number of primary school-aged children in Australia would entail for each year of that period:</w:t>
      </w:r>
    </w:p>
    <w:p w:rsidR="00D679BA" w:rsidRPr="007772BE" w:rsidRDefault="00D679BA" w:rsidP="0067338C">
      <w:pPr>
        <w:pStyle w:val="ListParagraph"/>
        <w:numPr>
          <w:ilvl w:val="0"/>
          <w:numId w:val="14"/>
        </w:numPr>
        <w:spacing w:after="80" w:line="280" w:lineRule="exact"/>
        <w:contextualSpacing w:val="0"/>
        <w:rPr>
          <w:rFonts w:ascii="Arial" w:hAnsi="Arial" w:cs="Arial"/>
          <w:color w:val="000000"/>
          <w:lang w:eastAsia="en-AU"/>
        </w:rPr>
      </w:pPr>
      <w:r w:rsidRPr="007772BE">
        <w:rPr>
          <w:rFonts w:ascii="Arial" w:hAnsi="Arial" w:cs="Arial"/>
          <w:color w:val="000000"/>
          <w:lang w:eastAsia="en-AU"/>
        </w:rPr>
        <w:t xml:space="preserve">An additional 443 primary classes per year in Queensland </w:t>
      </w:r>
    </w:p>
    <w:p w:rsidR="00D679BA" w:rsidRPr="007772BE" w:rsidRDefault="00D679BA" w:rsidP="0067338C">
      <w:pPr>
        <w:pStyle w:val="ListParagraph"/>
        <w:numPr>
          <w:ilvl w:val="0"/>
          <w:numId w:val="14"/>
        </w:numPr>
        <w:spacing w:after="80" w:line="280" w:lineRule="exact"/>
        <w:contextualSpacing w:val="0"/>
        <w:rPr>
          <w:rFonts w:ascii="Arial" w:hAnsi="Arial" w:cs="Arial"/>
          <w:color w:val="000000"/>
          <w:lang w:eastAsia="en-AU"/>
        </w:rPr>
      </w:pPr>
      <w:r w:rsidRPr="007772BE">
        <w:rPr>
          <w:rFonts w:ascii="Arial" w:hAnsi="Arial" w:cs="Arial"/>
          <w:color w:val="000000"/>
          <w:lang w:eastAsia="en-AU"/>
        </w:rPr>
        <w:t>An additional 385 primary classes per year in NSW</w:t>
      </w:r>
    </w:p>
    <w:p w:rsidR="00D679BA" w:rsidRPr="007772BE" w:rsidRDefault="00D679BA" w:rsidP="0067338C">
      <w:pPr>
        <w:pStyle w:val="ListParagraph"/>
        <w:numPr>
          <w:ilvl w:val="0"/>
          <w:numId w:val="14"/>
        </w:numPr>
        <w:spacing w:after="80" w:line="280" w:lineRule="exact"/>
        <w:contextualSpacing w:val="0"/>
        <w:rPr>
          <w:rFonts w:ascii="Arial" w:hAnsi="Arial" w:cs="Arial"/>
          <w:color w:val="000000"/>
          <w:lang w:eastAsia="en-AU"/>
        </w:rPr>
      </w:pPr>
      <w:r w:rsidRPr="007772BE">
        <w:rPr>
          <w:rFonts w:ascii="Arial" w:hAnsi="Arial" w:cs="Arial"/>
          <w:color w:val="000000"/>
          <w:lang w:eastAsia="en-AU"/>
        </w:rPr>
        <w:t>An additional 448 primary classes per year in Victoria</w:t>
      </w:r>
    </w:p>
    <w:p w:rsidR="00D679BA" w:rsidRPr="007772BE" w:rsidRDefault="00D679BA" w:rsidP="0067338C">
      <w:pPr>
        <w:pStyle w:val="ListParagraph"/>
        <w:numPr>
          <w:ilvl w:val="0"/>
          <w:numId w:val="14"/>
        </w:numPr>
        <w:spacing w:after="160" w:line="280" w:lineRule="exact"/>
        <w:ind w:left="714" w:hanging="357"/>
        <w:contextualSpacing w:val="0"/>
        <w:rPr>
          <w:rFonts w:ascii="Arial" w:hAnsi="Arial" w:cs="Arial"/>
          <w:color w:val="000000"/>
          <w:lang w:eastAsia="en-AU"/>
        </w:rPr>
      </w:pPr>
      <w:r w:rsidRPr="007772BE">
        <w:rPr>
          <w:rFonts w:ascii="Arial" w:hAnsi="Arial" w:cs="Arial"/>
          <w:color w:val="000000"/>
          <w:lang w:eastAsia="en-AU"/>
        </w:rPr>
        <w:t>An additional 352 primary classes per year in WA.</w:t>
      </w:r>
    </w:p>
    <w:p w:rsidR="00F34CAE" w:rsidRDefault="00F34CAE" w:rsidP="00F34CAE">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In these four states, the total additional enrolment would be 390,480 students in primary schools.</w:t>
      </w:r>
    </w:p>
    <w:p w:rsidR="00D679BA" w:rsidRDefault="00D679BA" w:rsidP="00F34CAE">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The Independent Schools Council of Australia (ISCA) reports that Australian school enrolments are expected to increase by some 499,000 students between 2015 and 2025, entailing the establishment of </w:t>
      </w:r>
      <w:r w:rsidR="009077AA">
        <w:rPr>
          <w:rFonts w:ascii="Arial" w:hAnsi="Arial" w:cs="Arial"/>
          <w:color w:val="000000"/>
          <w:sz w:val="22"/>
          <w:szCs w:val="22"/>
          <w:lang w:eastAsia="en-AU"/>
        </w:rPr>
        <w:t xml:space="preserve">547 new primary schools and 710 new </w:t>
      </w:r>
      <w:r>
        <w:rPr>
          <w:rFonts w:ascii="Arial" w:hAnsi="Arial" w:cs="Arial"/>
          <w:color w:val="000000"/>
          <w:sz w:val="22"/>
          <w:szCs w:val="22"/>
          <w:lang w:eastAsia="en-AU"/>
        </w:rPr>
        <w:t>secondary</w:t>
      </w:r>
      <w:r w:rsidR="008B498C">
        <w:rPr>
          <w:rFonts w:ascii="Arial" w:hAnsi="Arial" w:cs="Arial"/>
          <w:color w:val="000000"/>
          <w:sz w:val="22"/>
          <w:szCs w:val="22"/>
          <w:lang w:eastAsia="en-AU"/>
        </w:rPr>
        <w:t xml:space="preserve"> </w:t>
      </w:r>
      <w:r>
        <w:rPr>
          <w:rFonts w:ascii="Arial" w:hAnsi="Arial" w:cs="Arial"/>
          <w:color w:val="000000"/>
          <w:sz w:val="22"/>
          <w:szCs w:val="22"/>
          <w:lang w:eastAsia="en-AU"/>
        </w:rPr>
        <w:t>schools.</w:t>
      </w:r>
      <w:r>
        <w:rPr>
          <w:rFonts w:ascii="Arial" w:hAnsi="Arial" w:cs="Arial"/>
          <w:color w:val="000000"/>
          <w:vertAlign w:val="superscript"/>
        </w:rPr>
        <w:t>1</w:t>
      </w:r>
      <w:r w:rsidR="00534679">
        <w:rPr>
          <w:rFonts w:ascii="Arial" w:hAnsi="Arial" w:cs="Arial"/>
          <w:color w:val="000000"/>
          <w:vertAlign w:val="superscript"/>
        </w:rPr>
        <w:t>6</w:t>
      </w:r>
    </w:p>
    <w:p w:rsidR="00626F3E" w:rsidRDefault="00626F3E" w:rsidP="00597C82">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Capital costs of meeting rising enrolment</w:t>
      </w:r>
      <w:r w:rsidR="008B498C">
        <w:rPr>
          <w:rFonts w:ascii="Arial" w:hAnsi="Arial" w:cs="Arial"/>
          <w:color w:val="000000"/>
          <w:sz w:val="22"/>
          <w:szCs w:val="22"/>
          <w:lang w:eastAsia="en-AU"/>
        </w:rPr>
        <w:t>s</w:t>
      </w:r>
      <w:r>
        <w:rPr>
          <w:rFonts w:ascii="Arial" w:hAnsi="Arial" w:cs="Arial"/>
          <w:color w:val="000000"/>
          <w:sz w:val="22"/>
          <w:szCs w:val="22"/>
          <w:lang w:eastAsia="en-AU"/>
        </w:rPr>
        <w:t xml:space="preserve"> will be high. The cost of the infrastructure required to meet increasing enrolments in Queensland out to 2031 has been estimated at </w:t>
      </w:r>
      <w:r w:rsidR="002B4CC3">
        <w:rPr>
          <w:rFonts w:ascii="Arial" w:hAnsi="Arial" w:cs="Arial"/>
          <w:color w:val="000000"/>
          <w:sz w:val="22"/>
          <w:szCs w:val="22"/>
          <w:lang w:eastAsia="en-AU"/>
        </w:rPr>
        <w:t xml:space="preserve">between </w:t>
      </w:r>
      <w:r>
        <w:rPr>
          <w:rFonts w:ascii="Arial" w:hAnsi="Arial" w:cs="Arial"/>
          <w:color w:val="000000"/>
          <w:sz w:val="22"/>
          <w:szCs w:val="22"/>
          <w:lang w:eastAsia="en-AU"/>
        </w:rPr>
        <w:t xml:space="preserve">$4 billion </w:t>
      </w:r>
      <w:r w:rsidR="002B4CC3">
        <w:rPr>
          <w:rFonts w:ascii="Arial" w:hAnsi="Arial" w:cs="Arial"/>
          <w:color w:val="000000"/>
          <w:sz w:val="22"/>
          <w:szCs w:val="22"/>
          <w:lang w:eastAsia="en-AU"/>
        </w:rPr>
        <w:t>and</w:t>
      </w:r>
      <w:r>
        <w:rPr>
          <w:rFonts w:ascii="Arial" w:hAnsi="Arial" w:cs="Arial"/>
          <w:color w:val="000000"/>
          <w:sz w:val="22"/>
          <w:szCs w:val="22"/>
          <w:lang w:eastAsia="en-AU"/>
        </w:rPr>
        <w:t xml:space="preserve"> $5 billion, based on the build cost of a </w:t>
      </w:r>
      <w:r w:rsidR="008B498C">
        <w:rPr>
          <w:rFonts w:ascii="Arial" w:hAnsi="Arial" w:cs="Arial"/>
          <w:color w:val="000000"/>
          <w:sz w:val="22"/>
          <w:szCs w:val="22"/>
          <w:lang w:eastAsia="en-AU"/>
        </w:rPr>
        <w:t>government</w:t>
      </w:r>
      <w:r>
        <w:rPr>
          <w:rFonts w:ascii="Arial" w:hAnsi="Arial" w:cs="Arial"/>
          <w:color w:val="000000"/>
          <w:sz w:val="22"/>
          <w:szCs w:val="22"/>
          <w:lang w:eastAsia="en-AU"/>
        </w:rPr>
        <w:t xml:space="preserve"> primary school of $30 million and $50 million for a </w:t>
      </w:r>
      <w:r w:rsidR="008B498C">
        <w:rPr>
          <w:rFonts w:ascii="Arial" w:hAnsi="Arial" w:cs="Arial"/>
          <w:color w:val="000000"/>
          <w:sz w:val="22"/>
          <w:szCs w:val="22"/>
          <w:lang w:eastAsia="en-AU"/>
        </w:rPr>
        <w:t>government</w:t>
      </w:r>
      <w:r>
        <w:rPr>
          <w:rFonts w:ascii="Arial" w:hAnsi="Arial" w:cs="Arial"/>
          <w:color w:val="000000"/>
          <w:sz w:val="22"/>
          <w:szCs w:val="22"/>
          <w:lang w:eastAsia="en-AU"/>
        </w:rPr>
        <w:t xml:space="preserve"> secondary school.</w:t>
      </w:r>
      <w:r w:rsidRPr="00626F3E">
        <w:rPr>
          <w:rFonts w:ascii="Arial" w:hAnsi="Arial" w:cs="Arial"/>
          <w:color w:val="000000"/>
          <w:sz w:val="22"/>
          <w:szCs w:val="22"/>
          <w:vertAlign w:val="superscript"/>
          <w:lang w:eastAsia="en-AU"/>
        </w:rPr>
        <w:t>1</w:t>
      </w:r>
      <w:r w:rsidR="00534679">
        <w:rPr>
          <w:rFonts w:ascii="Arial" w:hAnsi="Arial" w:cs="Arial"/>
          <w:color w:val="000000"/>
          <w:sz w:val="22"/>
          <w:szCs w:val="22"/>
          <w:vertAlign w:val="superscript"/>
          <w:lang w:eastAsia="en-AU"/>
        </w:rPr>
        <w:t>7</w:t>
      </w:r>
      <w:r w:rsidR="002B4CC3">
        <w:rPr>
          <w:rFonts w:ascii="Arial" w:hAnsi="Arial" w:cs="Arial"/>
          <w:color w:val="000000"/>
          <w:sz w:val="22"/>
          <w:szCs w:val="22"/>
          <w:vertAlign w:val="superscript"/>
          <w:lang w:eastAsia="en-AU"/>
        </w:rPr>
        <w:t xml:space="preserve"> </w:t>
      </w:r>
      <w:r w:rsidR="002B4CC3" w:rsidRPr="002B4CC3">
        <w:rPr>
          <w:rFonts w:ascii="Arial" w:hAnsi="Arial" w:cs="Arial"/>
          <w:color w:val="000000"/>
          <w:sz w:val="22"/>
          <w:szCs w:val="22"/>
          <w:lang w:eastAsia="en-AU"/>
        </w:rPr>
        <w:t>Where growth is in inner city areas, the cost of land</w:t>
      </w:r>
      <w:r w:rsidR="008B498C">
        <w:rPr>
          <w:rFonts w:ascii="Arial" w:hAnsi="Arial" w:cs="Arial"/>
          <w:color w:val="000000"/>
          <w:sz w:val="22"/>
          <w:szCs w:val="22"/>
          <w:lang w:eastAsia="en-AU"/>
        </w:rPr>
        <w:t xml:space="preserve"> </w:t>
      </w:r>
      <w:r w:rsidR="002B4CC3">
        <w:rPr>
          <w:rFonts w:ascii="Arial" w:hAnsi="Arial" w:cs="Arial"/>
          <w:color w:val="000000"/>
          <w:sz w:val="22"/>
          <w:szCs w:val="22"/>
          <w:lang w:eastAsia="en-AU"/>
        </w:rPr>
        <w:t>and the scarcity of open space</w:t>
      </w:r>
      <w:r w:rsidR="008B498C">
        <w:rPr>
          <w:rFonts w:ascii="Arial" w:hAnsi="Arial" w:cs="Arial"/>
          <w:color w:val="000000"/>
          <w:sz w:val="22"/>
          <w:szCs w:val="22"/>
          <w:lang w:eastAsia="en-AU"/>
        </w:rPr>
        <w:t xml:space="preserve"> </w:t>
      </w:r>
      <w:r w:rsidR="002B4CC3">
        <w:rPr>
          <w:rFonts w:ascii="Arial" w:hAnsi="Arial" w:cs="Arial"/>
          <w:color w:val="000000"/>
          <w:sz w:val="22"/>
          <w:szCs w:val="22"/>
          <w:lang w:eastAsia="en-AU"/>
        </w:rPr>
        <w:t>are additional challenges.</w:t>
      </w:r>
      <w:r w:rsidR="002B4CC3" w:rsidRPr="002B4CC3">
        <w:rPr>
          <w:rFonts w:ascii="Arial" w:hAnsi="Arial" w:cs="Arial"/>
          <w:color w:val="000000"/>
          <w:sz w:val="22"/>
          <w:szCs w:val="22"/>
          <w:vertAlign w:val="superscript"/>
          <w:lang w:eastAsia="en-AU"/>
        </w:rPr>
        <w:t>1</w:t>
      </w:r>
      <w:r w:rsidR="00534679">
        <w:rPr>
          <w:rFonts w:ascii="Arial" w:hAnsi="Arial" w:cs="Arial"/>
          <w:color w:val="000000"/>
          <w:sz w:val="22"/>
          <w:szCs w:val="22"/>
          <w:vertAlign w:val="superscript"/>
          <w:lang w:eastAsia="en-AU"/>
        </w:rPr>
        <w:t>8</w:t>
      </w:r>
    </w:p>
    <w:p w:rsidR="002B4CC3" w:rsidRDefault="002B4CC3" w:rsidP="006C4BCB">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To help meet demand for additional classrooms and new schools, AHISA advocates that governments urgently consider mechanisms that wi</w:t>
      </w:r>
      <w:r w:rsidR="006C4BCB">
        <w:rPr>
          <w:rFonts w:ascii="Arial" w:hAnsi="Arial" w:cs="Arial"/>
          <w:color w:val="000000"/>
          <w:sz w:val="22"/>
          <w:szCs w:val="22"/>
          <w:lang w:eastAsia="en-AU"/>
        </w:rPr>
        <w:t>ll enable non-government school communities</w:t>
      </w:r>
      <w:r>
        <w:rPr>
          <w:rFonts w:ascii="Arial" w:hAnsi="Arial" w:cs="Arial"/>
          <w:color w:val="000000"/>
          <w:sz w:val="22"/>
          <w:szCs w:val="22"/>
          <w:lang w:eastAsia="en-AU"/>
        </w:rPr>
        <w:t xml:space="preserve"> to contribute to capital provision.</w:t>
      </w:r>
    </w:p>
    <w:p w:rsidR="008F18B4" w:rsidRDefault="008B498C" w:rsidP="006C4BCB">
      <w:pPr>
        <w:spacing w:after="160" w:line="280" w:lineRule="exact"/>
        <w:rPr>
          <w:rFonts w:ascii="Arial" w:hAnsi="Arial" w:cs="Arial"/>
          <w:color w:val="000000"/>
          <w:sz w:val="22"/>
          <w:szCs w:val="22"/>
          <w:lang w:eastAsia="en-AU"/>
        </w:rPr>
      </w:pPr>
      <w:r>
        <w:rPr>
          <w:rFonts w:ascii="Arial" w:hAnsi="Arial" w:cs="Arial"/>
          <w:color w:val="000000"/>
          <w:sz w:val="22"/>
          <w:szCs w:val="22"/>
          <w:lang w:eastAsia="en-AU"/>
        </w:rPr>
        <w:t xml:space="preserve">As noted above, in Section 2, </w:t>
      </w:r>
      <w:r w:rsidR="009B2424">
        <w:rPr>
          <w:rFonts w:ascii="Arial" w:hAnsi="Arial" w:cs="Arial"/>
          <w:color w:val="000000"/>
          <w:sz w:val="22"/>
          <w:szCs w:val="22"/>
          <w:lang w:eastAsia="en-AU"/>
        </w:rPr>
        <w:t>ISCA</w:t>
      </w:r>
      <w:r w:rsidR="00541C25">
        <w:rPr>
          <w:rFonts w:ascii="Arial" w:hAnsi="Arial" w:cs="Arial"/>
          <w:color w:val="000000"/>
          <w:sz w:val="22"/>
          <w:szCs w:val="22"/>
          <w:lang w:eastAsia="en-AU"/>
        </w:rPr>
        <w:t xml:space="preserve"> </w:t>
      </w:r>
      <w:r w:rsidR="008F18B4">
        <w:rPr>
          <w:rFonts w:ascii="Arial" w:hAnsi="Arial" w:cs="Arial"/>
          <w:color w:val="000000"/>
          <w:sz w:val="22"/>
          <w:szCs w:val="22"/>
          <w:lang w:eastAsia="en-AU"/>
        </w:rPr>
        <w:t>reports that</w:t>
      </w:r>
      <w:r w:rsidR="009B2424">
        <w:rPr>
          <w:rFonts w:ascii="Arial" w:hAnsi="Arial" w:cs="Arial"/>
          <w:color w:val="000000"/>
          <w:sz w:val="22"/>
          <w:szCs w:val="22"/>
          <w:lang w:eastAsia="en-AU"/>
        </w:rPr>
        <w:t xml:space="preserve"> in 2014</w:t>
      </w:r>
      <w:r w:rsidR="008F18B4" w:rsidRPr="00836DB4">
        <w:rPr>
          <w:rFonts w:ascii="Arial" w:hAnsi="Arial" w:cs="Arial"/>
          <w:color w:val="000000"/>
          <w:sz w:val="22"/>
          <w:szCs w:val="22"/>
          <w:lang w:eastAsia="en-AU"/>
        </w:rPr>
        <w:t xml:space="preserve"> parents and donors </w:t>
      </w:r>
      <w:r w:rsidR="009B2424">
        <w:rPr>
          <w:rFonts w:ascii="Arial" w:hAnsi="Arial" w:cs="Arial"/>
          <w:color w:val="000000"/>
          <w:sz w:val="22"/>
          <w:szCs w:val="22"/>
          <w:lang w:eastAsia="en-AU"/>
        </w:rPr>
        <w:t>contributed 86 per cent of funds for capital developments</w:t>
      </w:r>
      <w:r w:rsidR="008F18B4" w:rsidRPr="00836DB4">
        <w:rPr>
          <w:rFonts w:ascii="Arial" w:hAnsi="Arial" w:cs="Arial"/>
          <w:color w:val="000000"/>
          <w:sz w:val="22"/>
          <w:szCs w:val="22"/>
          <w:lang w:eastAsia="en-AU"/>
        </w:rPr>
        <w:t xml:space="preserve"> </w:t>
      </w:r>
      <w:r w:rsidR="009B2424">
        <w:rPr>
          <w:rFonts w:ascii="Arial" w:hAnsi="Arial" w:cs="Arial"/>
          <w:color w:val="000000"/>
          <w:sz w:val="22"/>
          <w:szCs w:val="22"/>
          <w:lang w:eastAsia="en-AU"/>
        </w:rPr>
        <w:t>in</w:t>
      </w:r>
      <w:r w:rsidR="008F18B4" w:rsidRPr="00836DB4">
        <w:rPr>
          <w:rFonts w:ascii="Arial" w:hAnsi="Arial" w:cs="Arial"/>
          <w:color w:val="000000"/>
          <w:sz w:val="22"/>
          <w:szCs w:val="22"/>
          <w:lang w:eastAsia="en-AU"/>
        </w:rPr>
        <w:t xml:space="preserve"> independent schools</w:t>
      </w:r>
      <w:r w:rsidR="006C4BCB">
        <w:rPr>
          <w:rFonts w:ascii="Arial" w:hAnsi="Arial" w:cs="Arial"/>
          <w:color w:val="000000"/>
          <w:sz w:val="22"/>
          <w:szCs w:val="22"/>
          <w:lang w:eastAsia="en-AU"/>
        </w:rPr>
        <w:t>; 8 per cent of capital expenditure was sourced from Australian Government grants and 6 per cent from state and territory governments.</w:t>
      </w:r>
    </w:p>
    <w:p w:rsidR="0021412E" w:rsidRPr="0021412E" w:rsidRDefault="0021412E" w:rsidP="0021412E">
      <w:pPr>
        <w:spacing w:after="120" w:line="280" w:lineRule="exact"/>
        <w:rPr>
          <w:rFonts w:ascii="Arial" w:hAnsi="Arial" w:cs="Arial"/>
          <w:color w:val="000000"/>
          <w:sz w:val="22"/>
          <w:szCs w:val="22"/>
          <w:lang w:eastAsia="en-AU"/>
        </w:rPr>
      </w:pPr>
      <w:r w:rsidRPr="0021412E">
        <w:rPr>
          <w:rFonts w:ascii="Arial" w:hAnsi="Arial" w:cs="Arial"/>
          <w:color w:val="000000"/>
          <w:sz w:val="22"/>
          <w:szCs w:val="22"/>
          <w:lang w:eastAsia="en-AU"/>
        </w:rPr>
        <w:t>ISCA further notes:</w:t>
      </w:r>
    </w:p>
    <w:p w:rsidR="006E1FEA" w:rsidRPr="0021412E" w:rsidRDefault="006E1FEA" w:rsidP="0021412E">
      <w:pPr>
        <w:spacing w:after="120" w:line="280" w:lineRule="exact"/>
        <w:ind w:left="720"/>
        <w:rPr>
          <w:rFonts w:ascii="Arial" w:hAnsi="Arial" w:cs="Arial"/>
          <w:color w:val="000000"/>
          <w:sz w:val="22"/>
          <w:szCs w:val="22"/>
          <w:lang w:eastAsia="en-AU"/>
        </w:rPr>
      </w:pPr>
      <w:r w:rsidRPr="00356CD0">
        <w:rPr>
          <w:rFonts w:ascii="Arial" w:hAnsi="Arial" w:cs="Arial"/>
          <w:color w:val="000000"/>
          <w:sz w:val="22"/>
          <w:szCs w:val="22"/>
        </w:rPr>
        <w:t xml:space="preserve">Government investment in </w:t>
      </w:r>
      <w:r w:rsidR="0021412E" w:rsidRPr="00356CD0">
        <w:rPr>
          <w:rFonts w:ascii="Arial" w:hAnsi="Arial" w:cs="Arial"/>
          <w:color w:val="000000"/>
          <w:sz w:val="22"/>
          <w:szCs w:val="22"/>
        </w:rPr>
        <w:t>i</w:t>
      </w:r>
      <w:r w:rsidRPr="00356CD0">
        <w:rPr>
          <w:rFonts w:ascii="Arial" w:hAnsi="Arial" w:cs="Arial"/>
          <w:color w:val="000000"/>
          <w:sz w:val="22"/>
          <w:szCs w:val="22"/>
        </w:rPr>
        <w:t xml:space="preserve">ndependent school capital is a very efficient use of scarce government resources. For example, the Building the Education Revolution initiative leveraged an additional $370 million in private contributions from </w:t>
      </w:r>
      <w:r w:rsidR="009F7005" w:rsidRPr="00356CD0">
        <w:rPr>
          <w:rFonts w:ascii="Arial" w:hAnsi="Arial" w:cs="Arial"/>
          <w:color w:val="000000"/>
          <w:sz w:val="22"/>
          <w:szCs w:val="22"/>
        </w:rPr>
        <w:t>i</w:t>
      </w:r>
      <w:r w:rsidRPr="00356CD0">
        <w:rPr>
          <w:rFonts w:ascii="Arial" w:hAnsi="Arial" w:cs="Arial"/>
          <w:color w:val="000000"/>
          <w:sz w:val="22"/>
          <w:szCs w:val="22"/>
        </w:rPr>
        <w:t>ndependent school communities towards BER projects</w:t>
      </w:r>
      <w:r w:rsidRPr="00892EAC">
        <w:rPr>
          <w:rFonts w:ascii="Arial" w:hAnsi="Arial" w:cs="Arial"/>
          <w:color w:val="000000"/>
          <w:sz w:val="20"/>
          <w:szCs w:val="20"/>
        </w:rPr>
        <w:t>.</w:t>
      </w:r>
      <w:r w:rsidR="00917ED8">
        <w:rPr>
          <w:rFonts w:ascii="Arial" w:hAnsi="Arial" w:cs="Arial"/>
          <w:color w:val="000000"/>
          <w:sz w:val="22"/>
          <w:szCs w:val="22"/>
          <w:vertAlign w:val="superscript"/>
          <w:lang w:eastAsia="en-AU"/>
        </w:rPr>
        <w:t>1</w:t>
      </w:r>
      <w:r w:rsidR="00534679">
        <w:rPr>
          <w:rFonts w:ascii="Arial" w:hAnsi="Arial" w:cs="Arial"/>
          <w:color w:val="000000"/>
          <w:sz w:val="22"/>
          <w:szCs w:val="22"/>
          <w:vertAlign w:val="superscript"/>
          <w:lang w:eastAsia="en-AU"/>
        </w:rPr>
        <w:t>9</w:t>
      </w:r>
    </w:p>
    <w:p w:rsidR="00356CD0" w:rsidRDefault="006C4BCB" w:rsidP="00BE4861">
      <w:pPr>
        <w:spacing w:after="240" w:line="280" w:lineRule="exact"/>
        <w:rPr>
          <w:rFonts w:ascii="Arial" w:hAnsi="Arial" w:cs="Arial"/>
          <w:color w:val="000000"/>
          <w:sz w:val="22"/>
          <w:szCs w:val="22"/>
          <w:lang w:eastAsia="en-AU"/>
        </w:rPr>
      </w:pPr>
      <w:r>
        <w:rPr>
          <w:rFonts w:ascii="Arial" w:hAnsi="Arial" w:cs="Arial"/>
          <w:color w:val="000000"/>
          <w:sz w:val="22"/>
          <w:szCs w:val="22"/>
          <w:lang w:eastAsia="en-AU"/>
        </w:rPr>
        <w:t>To en</w:t>
      </w:r>
      <w:r w:rsidR="008B498C">
        <w:rPr>
          <w:rFonts w:ascii="Arial" w:hAnsi="Arial" w:cs="Arial"/>
          <w:color w:val="000000"/>
          <w:sz w:val="22"/>
          <w:szCs w:val="22"/>
          <w:lang w:eastAsia="en-AU"/>
        </w:rPr>
        <w:t xml:space="preserve">courage private contribution to help meet </w:t>
      </w:r>
      <w:r>
        <w:rPr>
          <w:rFonts w:ascii="Arial" w:hAnsi="Arial" w:cs="Arial"/>
          <w:color w:val="000000"/>
          <w:sz w:val="22"/>
          <w:szCs w:val="22"/>
          <w:lang w:eastAsia="en-AU"/>
        </w:rPr>
        <w:t xml:space="preserve">rising </w:t>
      </w:r>
      <w:r w:rsidR="008B498C">
        <w:rPr>
          <w:rFonts w:ascii="Arial" w:hAnsi="Arial" w:cs="Arial"/>
          <w:color w:val="000000"/>
          <w:sz w:val="22"/>
          <w:szCs w:val="22"/>
          <w:lang w:eastAsia="en-AU"/>
        </w:rPr>
        <w:t xml:space="preserve">school </w:t>
      </w:r>
      <w:r>
        <w:rPr>
          <w:rFonts w:ascii="Arial" w:hAnsi="Arial" w:cs="Arial"/>
          <w:color w:val="000000"/>
          <w:sz w:val="22"/>
          <w:szCs w:val="22"/>
          <w:lang w:eastAsia="en-AU"/>
        </w:rPr>
        <w:t xml:space="preserve">infrastructure </w:t>
      </w:r>
      <w:r w:rsidR="008B498C">
        <w:rPr>
          <w:rFonts w:ascii="Arial" w:hAnsi="Arial" w:cs="Arial"/>
          <w:color w:val="000000"/>
          <w:sz w:val="22"/>
          <w:szCs w:val="22"/>
          <w:lang w:eastAsia="en-AU"/>
        </w:rPr>
        <w:t>cost</w:t>
      </w:r>
      <w:r>
        <w:rPr>
          <w:rFonts w:ascii="Arial" w:hAnsi="Arial" w:cs="Arial"/>
          <w:color w:val="000000"/>
          <w:sz w:val="22"/>
          <w:szCs w:val="22"/>
          <w:lang w:eastAsia="en-AU"/>
        </w:rPr>
        <w:t>s, AHISA proposes that the Australian Government increases the pool of funds available under the federal Capital Grants Program for non-government schools</w:t>
      </w:r>
      <w:r w:rsidR="00AE2FEA">
        <w:rPr>
          <w:rFonts w:ascii="Arial" w:hAnsi="Arial" w:cs="Arial"/>
          <w:color w:val="000000"/>
          <w:sz w:val="22"/>
          <w:szCs w:val="22"/>
          <w:lang w:eastAsia="en-AU"/>
        </w:rPr>
        <w:t xml:space="preserve"> and considers the introduction of a loans subsidy, loans guarantee or other scheme to support the establishment of new non-government schools or expansion of existing schools.</w:t>
      </w:r>
    </w:p>
    <w:p w:rsidR="00534679" w:rsidRDefault="00534679" w:rsidP="00AE2FEA">
      <w:pPr>
        <w:spacing w:after="240" w:line="280" w:lineRule="exact"/>
        <w:ind w:right="284"/>
        <w:rPr>
          <w:rFonts w:ascii="Arial" w:hAnsi="Arial" w:cs="Arial"/>
          <w:color w:val="7030A0"/>
          <w:sz w:val="22"/>
          <w:szCs w:val="22"/>
        </w:rPr>
      </w:pPr>
      <w:r>
        <w:rPr>
          <w:rFonts w:ascii="Arial" w:hAnsi="Arial" w:cs="Arial"/>
          <w:color w:val="7030A0"/>
          <w:sz w:val="22"/>
          <w:szCs w:val="22"/>
        </w:rPr>
        <w:br w:type="page"/>
      </w:r>
    </w:p>
    <w:p w:rsidR="00534679" w:rsidRDefault="00534679" w:rsidP="00AE2FEA">
      <w:pPr>
        <w:spacing w:after="240" w:line="280" w:lineRule="exact"/>
        <w:ind w:right="284"/>
        <w:rPr>
          <w:rFonts w:ascii="Arial" w:hAnsi="Arial" w:cs="Arial"/>
          <w:color w:val="7030A0"/>
          <w:sz w:val="22"/>
          <w:szCs w:val="22"/>
        </w:rPr>
      </w:pPr>
    </w:p>
    <w:p w:rsidR="00AE2FEA" w:rsidRPr="00A90275" w:rsidRDefault="00AE2FEA" w:rsidP="00AE2FEA">
      <w:pPr>
        <w:spacing w:after="240" w:line="280" w:lineRule="exact"/>
        <w:ind w:right="284"/>
        <w:rPr>
          <w:rFonts w:ascii="Arial" w:hAnsi="Arial" w:cs="Arial"/>
          <w:color w:val="7030A0"/>
          <w:sz w:val="22"/>
          <w:szCs w:val="22"/>
        </w:rPr>
      </w:pPr>
      <w:r w:rsidRPr="00A90275">
        <w:rPr>
          <w:rFonts w:ascii="Arial" w:hAnsi="Arial" w:cs="Arial"/>
          <w:color w:val="7030A0"/>
          <w:sz w:val="22"/>
          <w:szCs w:val="22"/>
        </w:rPr>
        <w:t xml:space="preserve">RECOMMENDATION </w:t>
      </w:r>
      <w:r>
        <w:rPr>
          <w:rFonts w:ascii="Arial" w:hAnsi="Arial" w:cs="Arial"/>
          <w:color w:val="7030A0"/>
          <w:sz w:val="22"/>
          <w:szCs w:val="22"/>
        </w:rPr>
        <w:t>3</w:t>
      </w:r>
    </w:p>
    <w:p w:rsidR="00AE2FEA" w:rsidRPr="00AE2FEA" w:rsidRDefault="00AE2FEA" w:rsidP="00AE2FEA">
      <w:pPr>
        <w:spacing w:after="360" w:line="280" w:lineRule="exact"/>
        <w:ind w:left="301" w:right="284"/>
        <w:rPr>
          <w:rFonts w:ascii="Arial" w:hAnsi="Arial" w:cs="Arial"/>
          <w:b/>
          <w:color w:val="7030A0"/>
          <w:sz w:val="22"/>
          <w:szCs w:val="22"/>
        </w:rPr>
      </w:pPr>
      <w:r w:rsidRPr="00A90275">
        <w:rPr>
          <w:rFonts w:ascii="Arial" w:hAnsi="Arial" w:cs="Arial"/>
          <w:b/>
          <w:color w:val="7030A0"/>
          <w:sz w:val="22"/>
          <w:szCs w:val="22"/>
        </w:rPr>
        <w:t xml:space="preserve">The Australian Government to </w:t>
      </w:r>
      <w:r w:rsidRPr="00AE2FEA">
        <w:rPr>
          <w:rFonts w:ascii="Arial" w:hAnsi="Arial" w:cs="Arial"/>
          <w:b/>
          <w:color w:val="7030A0"/>
          <w:sz w:val="22"/>
          <w:szCs w:val="22"/>
        </w:rPr>
        <w:t xml:space="preserve">increase the pool of funds available under the federal Capital Grants Program for non-government schools and consider the introduction of a loans subsidy, loans guarantee or other scheme to support the establishment of new non-government schools </w:t>
      </w:r>
      <w:r>
        <w:rPr>
          <w:rFonts w:ascii="Arial" w:hAnsi="Arial" w:cs="Arial"/>
          <w:b/>
          <w:color w:val="7030A0"/>
          <w:sz w:val="22"/>
          <w:szCs w:val="22"/>
        </w:rPr>
        <w:t>and</w:t>
      </w:r>
      <w:r w:rsidRPr="00AE2FEA">
        <w:rPr>
          <w:rFonts w:ascii="Arial" w:hAnsi="Arial" w:cs="Arial"/>
          <w:b/>
          <w:color w:val="7030A0"/>
          <w:sz w:val="22"/>
          <w:szCs w:val="22"/>
        </w:rPr>
        <w:t xml:space="preserve"> expansion </w:t>
      </w:r>
      <w:r>
        <w:rPr>
          <w:rFonts w:ascii="Arial" w:hAnsi="Arial" w:cs="Arial"/>
          <w:b/>
          <w:color w:val="7030A0"/>
          <w:sz w:val="22"/>
          <w:szCs w:val="22"/>
        </w:rPr>
        <w:t xml:space="preserve">or refurbishment </w:t>
      </w:r>
      <w:r w:rsidRPr="00AE2FEA">
        <w:rPr>
          <w:rFonts w:ascii="Arial" w:hAnsi="Arial" w:cs="Arial"/>
          <w:b/>
          <w:color w:val="7030A0"/>
          <w:sz w:val="22"/>
          <w:szCs w:val="22"/>
        </w:rPr>
        <w:t>of existing schools.</w:t>
      </w:r>
    </w:p>
    <w:p w:rsidR="008E2F1E" w:rsidRDefault="008E2F1E" w:rsidP="00AE2FEA">
      <w:pPr>
        <w:spacing w:after="360" w:line="280" w:lineRule="exact"/>
        <w:ind w:left="301" w:right="284"/>
        <w:rPr>
          <w:rFonts w:ascii="Arial" w:hAnsi="Arial" w:cs="Arial"/>
          <w:sz w:val="22"/>
          <w:szCs w:val="22"/>
        </w:rPr>
      </w:pPr>
    </w:p>
    <w:p w:rsidR="00224A41" w:rsidRDefault="00224A41" w:rsidP="003D76A8">
      <w:pPr>
        <w:rPr>
          <w:rFonts w:ascii="Arial" w:hAnsi="Arial" w:cs="Arial"/>
          <w:b/>
          <w:sz w:val="20"/>
          <w:szCs w:val="20"/>
        </w:rPr>
      </w:pPr>
    </w:p>
    <w:p w:rsidR="00AD036B" w:rsidRDefault="00AD036B" w:rsidP="003D76A8">
      <w:pPr>
        <w:rPr>
          <w:rFonts w:ascii="Arial" w:hAnsi="Arial" w:cs="Arial"/>
          <w:b/>
          <w:sz w:val="20"/>
          <w:szCs w:val="20"/>
        </w:rPr>
      </w:pPr>
    </w:p>
    <w:p w:rsidR="00534679" w:rsidRDefault="00534679" w:rsidP="003D76A8">
      <w:pPr>
        <w:rPr>
          <w:rFonts w:ascii="Arial" w:hAnsi="Arial" w:cs="Arial"/>
          <w:b/>
          <w:color w:val="002060"/>
          <w:sz w:val="20"/>
          <w:szCs w:val="20"/>
        </w:rPr>
      </w:pPr>
      <w:r>
        <w:rPr>
          <w:rFonts w:ascii="Arial" w:hAnsi="Arial" w:cs="Arial"/>
          <w:b/>
          <w:color w:val="002060"/>
          <w:sz w:val="20"/>
          <w:szCs w:val="20"/>
        </w:rPr>
        <w:br w:type="page"/>
      </w:r>
    </w:p>
    <w:p w:rsidR="000F22EC" w:rsidRPr="004C610F" w:rsidRDefault="000F22EC" w:rsidP="003D76A8">
      <w:pPr>
        <w:rPr>
          <w:rFonts w:ascii="Arial" w:hAnsi="Arial" w:cs="Arial"/>
          <w:b/>
          <w:color w:val="002060"/>
          <w:sz w:val="20"/>
          <w:szCs w:val="20"/>
        </w:rPr>
      </w:pPr>
      <w:r w:rsidRPr="004C610F">
        <w:rPr>
          <w:rFonts w:ascii="Arial" w:hAnsi="Arial" w:cs="Arial"/>
          <w:b/>
          <w:color w:val="002060"/>
          <w:sz w:val="20"/>
          <w:szCs w:val="20"/>
        </w:rPr>
        <w:t>NOTES</w:t>
      </w:r>
    </w:p>
    <w:p w:rsidR="000F22EC" w:rsidRPr="00782574" w:rsidRDefault="000F22EC" w:rsidP="003D76A8">
      <w:pPr>
        <w:rPr>
          <w:rFonts w:ascii="Arial" w:hAnsi="Arial" w:cs="Arial"/>
          <w:sz w:val="20"/>
          <w:szCs w:val="20"/>
        </w:rPr>
      </w:pPr>
    </w:p>
    <w:p w:rsidR="003D76A8" w:rsidRPr="00782574" w:rsidRDefault="006A349E" w:rsidP="00A1419F">
      <w:pPr>
        <w:spacing w:after="120"/>
        <w:rPr>
          <w:rFonts w:ascii="Arial" w:hAnsi="Arial" w:cs="Arial"/>
          <w:sz w:val="20"/>
          <w:szCs w:val="20"/>
        </w:rPr>
      </w:pPr>
      <w:r w:rsidRPr="00782574">
        <w:rPr>
          <w:rFonts w:ascii="Arial" w:hAnsi="Arial" w:cs="Arial"/>
          <w:sz w:val="20"/>
          <w:szCs w:val="20"/>
          <w:vertAlign w:val="superscript"/>
        </w:rPr>
        <w:t>1</w:t>
      </w:r>
      <w:r w:rsidRPr="00782574">
        <w:rPr>
          <w:rFonts w:ascii="Arial" w:hAnsi="Arial" w:cs="Arial"/>
          <w:sz w:val="20"/>
          <w:szCs w:val="20"/>
        </w:rPr>
        <w:t xml:space="preserve">  </w:t>
      </w:r>
      <w:r w:rsidR="003D76A8" w:rsidRPr="00782574">
        <w:rPr>
          <w:rFonts w:ascii="Arial" w:hAnsi="Arial" w:cs="Arial"/>
          <w:sz w:val="20"/>
          <w:szCs w:val="20"/>
        </w:rPr>
        <w:t xml:space="preserve">Independent Schools Council of Australia </w:t>
      </w:r>
      <w:r w:rsidR="009D1979" w:rsidRPr="00782574">
        <w:rPr>
          <w:rFonts w:ascii="Arial" w:hAnsi="Arial" w:cs="Arial"/>
          <w:sz w:val="20"/>
          <w:szCs w:val="20"/>
        </w:rPr>
        <w:t xml:space="preserve">(ISCA) </w:t>
      </w:r>
      <w:r w:rsidR="003D76A8" w:rsidRPr="00782574">
        <w:rPr>
          <w:rFonts w:ascii="Arial" w:hAnsi="Arial" w:cs="Arial"/>
          <w:sz w:val="20"/>
          <w:szCs w:val="20"/>
        </w:rPr>
        <w:t>(201</w:t>
      </w:r>
      <w:r w:rsidR="006B2A28" w:rsidRPr="00782574">
        <w:rPr>
          <w:rFonts w:ascii="Arial" w:hAnsi="Arial" w:cs="Arial"/>
          <w:sz w:val="20"/>
          <w:szCs w:val="20"/>
        </w:rPr>
        <w:t>6</w:t>
      </w:r>
      <w:r w:rsidR="00B17E0D">
        <w:rPr>
          <w:rFonts w:ascii="Arial" w:hAnsi="Arial" w:cs="Arial"/>
          <w:sz w:val="20"/>
          <w:szCs w:val="20"/>
        </w:rPr>
        <w:t>a</w:t>
      </w:r>
      <w:r w:rsidR="003D76A8" w:rsidRPr="00782574">
        <w:rPr>
          <w:rFonts w:ascii="Arial" w:hAnsi="Arial" w:cs="Arial"/>
          <w:sz w:val="20"/>
          <w:szCs w:val="20"/>
        </w:rPr>
        <w:t xml:space="preserve">) </w:t>
      </w:r>
      <w:r w:rsidR="003D76A8" w:rsidRPr="00782574">
        <w:rPr>
          <w:rFonts w:ascii="Arial" w:hAnsi="Arial" w:cs="Arial"/>
          <w:i/>
          <w:sz w:val="20"/>
          <w:szCs w:val="20"/>
        </w:rPr>
        <w:t>Independent Schooling in Australia Snapshot 201</w:t>
      </w:r>
      <w:r w:rsidR="006B2A28" w:rsidRPr="00782574">
        <w:rPr>
          <w:rFonts w:ascii="Arial" w:hAnsi="Arial" w:cs="Arial"/>
          <w:i/>
          <w:sz w:val="20"/>
          <w:szCs w:val="20"/>
        </w:rPr>
        <w:t>6</w:t>
      </w:r>
      <w:r w:rsidR="003D76A8" w:rsidRPr="00782574">
        <w:rPr>
          <w:rFonts w:ascii="Arial" w:hAnsi="Arial" w:cs="Arial"/>
          <w:sz w:val="20"/>
          <w:szCs w:val="20"/>
        </w:rPr>
        <w:t>. Canberra: ISCA.</w:t>
      </w:r>
      <w:r w:rsidR="003D76A8" w:rsidRPr="00782574">
        <w:rPr>
          <w:rFonts w:ascii="Arial" w:hAnsi="Arial" w:cs="Arial"/>
          <w:sz w:val="20"/>
          <w:szCs w:val="20"/>
          <w:lang w:val="en-US"/>
        </w:rPr>
        <w:t xml:space="preserve"> Available at </w:t>
      </w:r>
      <w:hyperlink r:id="rId18" w:history="1">
        <w:r w:rsidR="00496138" w:rsidRPr="00782574">
          <w:rPr>
            <w:rStyle w:val="Hyperlink"/>
            <w:rFonts w:ascii="Arial" w:hAnsi="Arial" w:cs="Arial"/>
            <w:sz w:val="20"/>
            <w:szCs w:val="20"/>
          </w:rPr>
          <w:t>http://isca.edu.au/wp-content/uploads/2011/03/ISCA-Snapshot-2016-A4-2pp.pdf</w:t>
        </w:r>
      </w:hyperlink>
      <w:r w:rsidRPr="00782574">
        <w:rPr>
          <w:rFonts w:ascii="Arial" w:hAnsi="Arial" w:cs="Arial"/>
          <w:sz w:val="20"/>
          <w:szCs w:val="20"/>
        </w:rPr>
        <w:t>.</w:t>
      </w:r>
      <w:r w:rsidR="00496138" w:rsidRPr="00782574">
        <w:rPr>
          <w:rFonts w:ascii="Arial" w:hAnsi="Arial" w:cs="Arial"/>
          <w:sz w:val="20"/>
          <w:szCs w:val="20"/>
        </w:rPr>
        <w:t xml:space="preserve"> </w:t>
      </w:r>
      <w:r w:rsidRPr="00782574">
        <w:rPr>
          <w:rFonts w:ascii="Arial" w:hAnsi="Arial" w:cs="Arial"/>
          <w:sz w:val="20"/>
          <w:szCs w:val="20"/>
        </w:rPr>
        <w:t xml:space="preserve">(Enrolment data sourced from </w:t>
      </w:r>
      <w:r w:rsidR="0059594A" w:rsidRPr="00782574">
        <w:rPr>
          <w:rFonts w:ascii="Arial" w:hAnsi="Arial" w:cs="Arial"/>
          <w:sz w:val="20"/>
          <w:szCs w:val="20"/>
        </w:rPr>
        <w:t xml:space="preserve">the </w:t>
      </w:r>
      <w:r w:rsidRPr="00782574">
        <w:rPr>
          <w:rFonts w:ascii="Arial" w:hAnsi="Arial" w:cs="Arial"/>
          <w:sz w:val="20"/>
          <w:szCs w:val="20"/>
        </w:rPr>
        <w:t>Australian Bureau of Statistics</w:t>
      </w:r>
      <w:r w:rsidR="006B2A28" w:rsidRPr="00782574">
        <w:rPr>
          <w:rFonts w:ascii="Arial" w:hAnsi="Arial" w:cs="Arial"/>
          <w:sz w:val="20"/>
          <w:szCs w:val="20"/>
        </w:rPr>
        <w:t xml:space="preserve"> and</w:t>
      </w:r>
      <w:r w:rsidR="00160CA9" w:rsidRPr="00782574">
        <w:rPr>
          <w:rFonts w:ascii="Arial" w:hAnsi="Arial" w:cs="Arial"/>
          <w:sz w:val="20"/>
          <w:szCs w:val="20"/>
        </w:rPr>
        <w:t xml:space="preserve"> Australian</w:t>
      </w:r>
      <w:r w:rsidR="006B2A28" w:rsidRPr="00782574">
        <w:rPr>
          <w:rFonts w:ascii="Arial" w:hAnsi="Arial" w:cs="Arial"/>
          <w:sz w:val="20"/>
          <w:szCs w:val="20"/>
        </w:rPr>
        <w:t xml:space="preserve"> Department of Education</w:t>
      </w:r>
      <w:r w:rsidR="00160CA9" w:rsidRPr="00782574">
        <w:rPr>
          <w:rFonts w:ascii="Arial" w:hAnsi="Arial" w:cs="Arial"/>
          <w:sz w:val="20"/>
          <w:szCs w:val="20"/>
        </w:rPr>
        <w:t xml:space="preserve"> and Training</w:t>
      </w:r>
      <w:r w:rsidRPr="00782574">
        <w:rPr>
          <w:rFonts w:ascii="Arial" w:hAnsi="Arial" w:cs="Arial"/>
          <w:sz w:val="20"/>
          <w:szCs w:val="20"/>
        </w:rPr>
        <w:t>.)</w:t>
      </w:r>
    </w:p>
    <w:p w:rsidR="006A349E" w:rsidRPr="00B323FB" w:rsidRDefault="006A349E" w:rsidP="00A1419F">
      <w:pPr>
        <w:spacing w:after="120"/>
        <w:rPr>
          <w:rFonts w:ascii="Arial" w:hAnsi="Arial" w:cs="Arial"/>
          <w:sz w:val="20"/>
          <w:szCs w:val="20"/>
        </w:rPr>
      </w:pPr>
      <w:r w:rsidRPr="00B323FB">
        <w:rPr>
          <w:rFonts w:ascii="Arial" w:hAnsi="Arial" w:cs="Arial"/>
          <w:sz w:val="20"/>
          <w:szCs w:val="20"/>
          <w:vertAlign w:val="superscript"/>
        </w:rPr>
        <w:t>2</w:t>
      </w:r>
      <w:r w:rsidRPr="00B323FB">
        <w:rPr>
          <w:rFonts w:ascii="Arial" w:hAnsi="Arial" w:cs="Arial"/>
          <w:sz w:val="20"/>
          <w:szCs w:val="20"/>
        </w:rPr>
        <w:t xml:space="preserve">  </w:t>
      </w:r>
      <w:r w:rsidR="009D1979" w:rsidRPr="00B323FB">
        <w:rPr>
          <w:rFonts w:ascii="Arial" w:hAnsi="Arial" w:cs="Arial"/>
          <w:sz w:val="20"/>
          <w:szCs w:val="20"/>
        </w:rPr>
        <w:t>ISCA (201</w:t>
      </w:r>
      <w:r w:rsidR="00F25821" w:rsidRPr="00B323FB">
        <w:rPr>
          <w:rFonts w:ascii="Arial" w:hAnsi="Arial" w:cs="Arial"/>
          <w:sz w:val="20"/>
          <w:szCs w:val="20"/>
        </w:rPr>
        <w:t>6</w:t>
      </w:r>
      <w:r w:rsidR="00B17E0D">
        <w:rPr>
          <w:rFonts w:ascii="Arial" w:hAnsi="Arial" w:cs="Arial"/>
          <w:sz w:val="20"/>
          <w:szCs w:val="20"/>
        </w:rPr>
        <w:t>a</w:t>
      </w:r>
      <w:r w:rsidR="009D1979" w:rsidRPr="00B323FB">
        <w:rPr>
          <w:rFonts w:ascii="Arial" w:hAnsi="Arial" w:cs="Arial"/>
          <w:sz w:val="20"/>
          <w:szCs w:val="20"/>
        </w:rPr>
        <w:t>); i</w:t>
      </w:r>
      <w:r w:rsidRPr="00B323FB">
        <w:rPr>
          <w:rFonts w:ascii="Arial" w:hAnsi="Arial" w:cs="Arial"/>
          <w:sz w:val="20"/>
          <w:szCs w:val="20"/>
        </w:rPr>
        <w:t xml:space="preserve">bid. (Expenditure data sourced from </w:t>
      </w:r>
      <w:r w:rsidR="0059594A" w:rsidRPr="00B323FB">
        <w:rPr>
          <w:rFonts w:ascii="Arial" w:hAnsi="Arial" w:cs="Arial"/>
          <w:sz w:val="20"/>
          <w:szCs w:val="20"/>
        </w:rPr>
        <w:t xml:space="preserve">the </w:t>
      </w:r>
      <w:r w:rsidRPr="00B323FB">
        <w:rPr>
          <w:rFonts w:ascii="Arial" w:hAnsi="Arial" w:cs="Arial"/>
          <w:sz w:val="20"/>
          <w:szCs w:val="20"/>
        </w:rPr>
        <w:t xml:space="preserve">Productivity Commission’s </w:t>
      </w:r>
      <w:r w:rsidRPr="00B323FB">
        <w:rPr>
          <w:rFonts w:ascii="Arial" w:hAnsi="Arial" w:cs="Arial"/>
          <w:i/>
          <w:sz w:val="20"/>
          <w:szCs w:val="20"/>
        </w:rPr>
        <w:t>Report on Government Services</w:t>
      </w:r>
      <w:r w:rsidRPr="00B323FB">
        <w:rPr>
          <w:rFonts w:ascii="Arial" w:hAnsi="Arial" w:cs="Arial"/>
          <w:sz w:val="20"/>
          <w:szCs w:val="20"/>
        </w:rPr>
        <w:t xml:space="preserve"> and Financial Questionnaire data as provided by schools to the Aus</w:t>
      </w:r>
      <w:r w:rsidR="00F25821" w:rsidRPr="00B323FB">
        <w:rPr>
          <w:rFonts w:ascii="Arial" w:hAnsi="Arial" w:cs="Arial"/>
          <w:sz w:val="20"/>
          <w:szCs w:val="20"/>
        </w:rPr>
        <w:t>tralian Department of Education and Training.</w:t>
      </w:r>
      <w:r w:rsidRPr="00B323FB">
        <w:rPr>
          <w:rFonts w:ascii="Arial" w:hAnsi="Arial" w:cs="Arial"/>
          <w:sz w:val="20"/>
          <w:szCs w:val="20"/>
        </w:rPr>
        <w:t>)</w:t>
      </w:r>
    </w:p>
    <w:p w:rsidR="0059594A" w:rsidRPr="00B323FB" w:rsidRDefault="00E623BD" w:rsidP="0059594A">
      <w:pPr>
        <w:spacing w:after="120"/>
        <w:rPr>
          <w:rFonts w:ascii="Arial" w:hAnsi="Arial" w:cs="Arial"/>
          <w:sz w:val="20"/>
          <w:szCs w:val="20"/>
        </w:rPr>
      </w:pPr>
      <w:r w:rsidRPr="00B323FB">
        <w:rPr>
          <w:rFonts w:ascii="Arial" w:hAnsi="Arial" w:cs="Arial"/>
          <w:color w:val="000000"/>
          <w:sz w:val="20"/>
          <w:szCs w:val="20"/>
          <w:vertAlign w:val="superscript"/>
          <w:lang w:eastAsia="en-AU"/>
        </w:rPr>
        <w:t>3</w:t>
      </w:r>
      <w:r w:rsidRPr="00B323FB">
        <w:rPr>
          <w:rFonts w:ascii="Arial" w:hAnsi="Arial" w:cs="Arial"/>
          <w:sz w:val="20"/>
          <w:szCs w:val="20"/>
        </w:rPr>
        <w:t xml:space="preserve">  ISCA (201</w:t>
      </w:r>
      <w:r w:rsidR="00B17E0D">
        <w:rPr>
          <w:rFonts w:ascii="Arial" w:hAnsi="Arial" w:cs="Arial"/>
          <w:sz w:val="20"/>
          <w:szCs w:val="20"/>
        </w:rPr>
        <w:t>6a</w:t>
      </w:r>
      <w:r w:rsidRPr="00B323FB">
        <w:rPr>
          <w:rFonts w:ascii="Arial" w:hAnsi="Arial" w:cs="Arial"/>
          <w:sz w:val="20"/>
          <w:szCs w:val="20"/>
        </w:rPr>
        <w:t>)</w:t>
      </w:r>
      <w:r w:rsidR="00F25821" w:rsidRPr="00B323FB">
        <w:rPr>
          <w:rFonts w:ascii="Arial" w:hAnsi="Arial" w:cs="Arial"/>
          <w:sz w:val="20"/>
          <w:szCs w:val="20"/>
        </w:rPr>
        <w:t>; ibid.</w:t>
      </w:r>
      <w:r w:rsidR="0059594A" w:rsidRPr="00B323FB">
        <w:rPr>
          <w:rFonts w:ascii="Arial" w:hAnsi="Arial" w:cs="Arial"/>
          <w:sz w:val="20"/>
          <w:szCs w:val="20"/>
        </w:rPr>
        <w:t xml:space="preserve"> (Expenditure data sourced from the Productivity Commission’s </w:t>
      </w:r>
      <w:r w:rsidR="0059594A" w:rsidRPr="00B323FB">
        <w:rPr>
          <w:rFonts w:ascii="Arial" w:hAnsi="Arial" w:cs="Arial"/>
          <w:i/>
          <w:sz w:val="20"/>
          <w:szCs w:val="20"/>
        </w:rPr>
        <w:t>Report on Government Services</w:t>
      </w:r>
      <w:r w:rsidR="0059594A" w:rsidRPr="00B323FB">
        <w:rPr>
          <w:rFonts w:ascii="Arial" w:hAnsi="Arial" w:cs="Arial"/>
          <w:sz w:val="20"/>
          <w:szCs w:val="20"/>
        </w:rPr>
        <w:t xml:space="preserve"> and Financial Questionnaire data as provided by schools to the Australian Department of Education and Training.)</w:t>
      </w:r>
    </w:p>
    <w:p w:rsidR="00107F1B" w:rsidRPr="00B323FB" w:rsidRDefault="00107F1B" w:rsidP="000E497C">
      <w:pPr>
        <w:spacing w:after="120"/>
        <w:rPr>
          <w:rFonts w:ascii="Arial" w:hAnsi="Arial" w:cs="Arial"/>
          <w:sz w:val="20"/>
          <w:szCs w:val="20"/>
        </w:rPr>
      </w:pPr>
      <w:r w:rsidRPr="00B323FB">
        <w:rPr>
          <w:rFonts w:ascii="Arial" w:hAnsi="Arial" w:cs="Arial"/>
          <w:sz w:val="20"/>
          <w:szCs w:val="20"/>
          <w:vertAlign w:val="superscript"/>
        </w:rPr>
        <w:t>4</w:t>
      </w:r>
      <w:r w:rsidR="00B17E0D">
        <w:rPr>
          <w:rFonts w:ascii="Arial" w:hAnsi="Arial" w:cs="Arial"/>
          <w:sz w:val="20"/>
          <w:szCs w:val="20"/>
        </w:rPr>
        <w:t xml:space="preserve">  ISCA (2016a</w:t>
      </w:r>
      <w:r w:rsidRPr="00B323FB">
        <w:rPr>
          <w:rFonts w:ascii="Arial" w:hAnsi="Arial" w:cs="Arial"/>
          <w:sz w:val="20"/>
          <w:szCs w:val="20"/>
        </w:rPr>
        <w:t xml:space="preserve">), ibid; and ISCA (2016b) </w:t>
      </w:r>
      <w:r w:rsidRPr="00B323FB">
        <w:rPr>
          <w:rFonts w:ascii="Arial" w:hAnsi="Arial" w:cs="Arial"/>
          <w:i/>
          <w:sz w:val="20"/>
          <w:szCs w:val="20"/>
        </w:rPr>
        <w:t xml:space="preserve">Capital </w:t>
      </w:r>
      <w:r w:rsidR="00E90E4D" w:rsidRPr="00B323FB">
        <w:rPr>
          <w:rFonts w:ascii="Arial" w:hAnsi="Arial" w:cs="Arial"/>
          <w:i/>
          <w:sz w:val="20"/>
          <w:szCs w:val="20"/>
        </w:rPr>
        <w:t>f</w:t>
      </w:r>
      <w:r w:rsidRPr="00B323FB">
        <w:rPr>
          <w:rFonts w:ascii="Arial" w:hAnsi="Arial" w:cs="Arial"/>
          <w:i/>
          <w:sz w:val="20"/>
          <w:szCs w:val="20"/>
        </w:rPr>
        <w:t>unding</w:t>
      </w:r>
      <w:r w:rsidRPr="00B323FB">
        <w:rPr>
          <w:rFonts w:ascii="Arial" w:hAnsi="Arial" w:cs="Arial"/>
          <w:sz w:val="20"/>
          <w:szCs w:val="20"/>
        </w:rPr>
        <w:t xml:space="preserve">; </w:t>
      </w:r>
      <w:r w:rsidR="00E90E4D" w:rsidRPr="00B323FB">
        <w:rPr>
          <w:rFonts w:ascii="Arial" w:hAnsi="Arial" w:cs="Arial"/>
          <w:i/>
          <w:sz w:val="20"/>
          <w:szCs w:val="20"/>
        </w:rPr>
        <w:t>Independent Update</w:t>
      </w:r>
      <w:r w:rsidR="00E90E4D" w:rsidRPr="00B323FB">
        <w:rPr>
          <w:rFonts w:ascii="Arial" w:hAnsi="Arial" w:cs="Arial"/>
          <w:sz w:val="20"/>
          <w:szCs w:val="20"/>
        </w:rPr>
        <w:t xml:space="preserve">, </w:t>
      </w:r>
      <w:r w:rsidRPr="00B323FB">
        <w:rPr>
          <w:rFonts w:ascii="Arial" w:hAnsi="Arial" w:cs="Arial"/>
          <w:sz w:val="20"/>
          <w:szCs w:val="20"/>
        </w:rPr>
        <w:t xml:space="preserve">Issue 4, 2016. Accessed at </w:t>
      </w:r>
      <w:hyperlink r:id="rId19" w:history="1">
        <w:r w:rsidRPr="00B323FB">
          <w:rPr>
            <w:rStyle w:val="Hyperlink"/>
            <w:rFonts w:ascii="Arial" w:hAnsi="Arial" w:cs="Arial"/>
            <w:sz w:val="20"/>
            <w:szCs w:val="20"/>
          </w:rPr>
          <w:t>http://isca.edu.au/wp-content/uploads/2011/07/2016-Independent-Update-4-Capital-funding.pdf</w:t>
        </w:r>
      </w:hyperlink>
      <w:r w:rsidRPr="00B323FB">
        <w:rPr>
          <w:rFonts w:ascii="Arial" w:hAnsi="Arial" w:cs="Arial"/>
          <w:sz w:val="20"/>
          <w:szCs w:val="20"/>
        </w:rPr>
        <w:t xml:space="preserve">. </w:t>
      </w:r>
    </w:p>
    <w:p w:rsidR="00F25821" w:rsidRPr="00B323FB" w:rsidRDefault="006E4041" w:rsidP="00297F06">
      <w:pPr>
        <w:spacing w:after="120"/>
        <w:rPr>
          <w:rFonts w:ascii="Arial" w:hAnsi="Arial" w:cs="Arial"/>
          <w:color w:val="333333"/>
          <w:sz w:val="20"/>
          <w:szCs w:val="20"/>
          <w:shd w:val="clear" w:color="auto" w:fill="FFFFFF"/>
        </w:rPr>
      </w:pPr>
      <w:r w:rsidRPr="00B323FB">
        <w:rPr>
          <w:rFonts w:ascii="Arial" w:hAnsi="Arial" w:cs="Arial"/>
          <w:color w:val="333333"/>
          <w:sz w:val="20"/>
          <w:szCs w:val="20"/>
          <w:shd w:val="clear" w:color="auto" w:fill="FFFFFF"/>
          <w:vertAlign w:val="superscript"/>
        </w:rPr>
        <w:t>5</w:t>
      </w:r>
      <w:r w:rsidR="00297F06" w:rsidRPr="00B323FB">
        <w:rPr>
          <w:rFonts w:ascii="Arial" w:hAnsi="Arial" w:cs="Arial"/>
          <w:color w:val="333333"/>
          <w:sz w:val="20"/>
          <w:szCs w:val="20"/>
          <w:shd w:val="clear" w:color="auto" w:fill="FFFFFF"/>
        </w:rPr>
        <w:t xml:space="preserve">  See Marks, G.N. (2015) Do Catholic and independent schools ‘add-value’ to students’ Tertiary Entrance Performance? Evidence from longitudinal population data. </w:t>
      </w:r>
      <w:r w:rsidR="00297F06" w:rsidRPr="00B323FB">
        <w:rPr>
          <w:rStyle w:val="Emphasis"/>
          <w:rFonts w:ascii="Arial" w:hAnsi="Arial" w:cs="Arial"/>
          <w:color w:val="333333"/>
          <w:sz w:val="20"/>
          <w:szCs w:val="20"/>
          <w:bdr w:val="none" w:sz="0" w:space="0" w:color="auto" w:frame="1"/>
          <w:shd w:val="clear" w:color="auto" w:fill="FFFFFF"/>
        </w:rPr>
        <w:t>Australian Journal of Education</w:t>
      </w:r>
      <w:r w:rsidR="00297F06" w:rsidRPr="00B323FB">
        <w:rPr>
          <w:rStyle w:val="apple-converted-space"/>
          <w:rFonts w:ascii="Arial" w:hAnsi="Arial" w:cs="Arial"/>
          <w:color w:val="333333"/>
          <w:sz w:val="20"/>
          <w:szCs w:val="20"/>
          <w:shd w:val="clear" w:color="auto" w:fill="FFFFFF"/>
        </w:rPr>
        <w:t> </w:t>
      </w:r>
      <w:r w:rsidR="00297F06" w:rsidRPr="00B323FB">
        <w:rPr>
          <w:rFonts w:ascii="Arial" w:hAnsi="Arial" w:cs="Arial"/>
          <w:color w:val="333333"/>
          <w:sz w:val="20"/>
          <w:szCs w:val="20"/>
          <w:shd w:val="clear" w:color="auto" w:fill="FFFFFF"/>
        </w:rPr>
        <w:t xml:space="preserve">DOI: 10.1177/0004944115586658; available at </w:t>
      </w:r>
      <w:hyperlink r:id="rId20" w:tgtFrame="_blank" w:history="1">
        <w:r w:rsidR="00297F06" w:rsidRPr="00B323FB">
          <w:rPr>
            <w:rStyle w:val="Hyperlink"/>
            <w:rFonts w:ascii="Arial" w:hAnsi="Arial" w:cs="Arial"/>
            <w:sz w:val="20"/>
            <w:szCs w:val="20"/>
            <w:bdr w:val="none" w:sz="0" w:space="0" w:color="auto" w:frame="1"/>
            <w:shd w:val="clear" w:color="auto" w:fill="FFFFFF"/>
          </w:rPr>
          <w:t>http://aed.sagepub.com/content/early/2015/05/29/0004944115586658.full.pdf+html</w:t>
        </w:r>
      </w:hyperlink>
      <w:r w:rsidRPr="00B323FB">
        <w:rPr>
          <w:rFonts w:ascii="Arial" w:hAnsi="Arial" w:cs="Arial"/>
          <w:color w:val="333333"/>
          <w:sz w:val="20"/>
          <w:szCs w:val="20"/>
          <w:shd w:val="clear" w:color="auto" w:fill="FFFFFF"/>
        </w:rPr>
        <w:t xml:space="preserve">; and </w:t>
      </w:r>
      <w:r w:rsidR="00297F06" w:rsidRPr="00B323FB">
        <w:rPr>
          <w:rFonts w:ascii="Arial" w:hAnsi="Arial" w:cs="Arial"/>
          <w:color w:val="333333"/>
          <w:sz w:val="20"/>
          <w:szCs w:val="20"/>
          <w:shd w:val="clear" w:color="auto" w:fill="FFFFFF"/>
        </w:rPr>
        <w:t>Ryan, C. &amp; Watson, L. (2009)</w:t>
      </w:r>
      <w:r w:rsidR="00297F06" w:rsidRPr="00B323FB">
        <w:rPr>
          <w:rStyle w:val="apple-converted-space"/>
          <w:rFonts w:ascii="Arial" w:hAnsi="Arial" w:cs="Arial"/>
          <w:i/>
          <w:iCs/>
          <w:color w:val="333333"/>
          <w:sz w:val="20"/>
          <w:szCs w:val="20"/>
          <w:bdr w:val="none" w:sz="0" w:space="0" w:color="auto" w:frame="1"/>
          <w:shd w:val="clear" w:color="auto" w:fill="FFFFFF"/>
        </w:rPr>
        <w:t> </w:t>
      </w:r>
      <w:r w:rsidR="00297F06" w:rsidRPr="00B323FB">
        <w:rPr>
          <w:rStyle w:val="Emphasis"/>
          <w:rFonts w:ascii="Arial" w:hAnsi="Arial" w:cs="Arial"/>
          <w:color w:val="333333"/>
          <w:sz w:val="20"/>
          <w:szCs w:val="20"/>
          <w:bdr w:val="none" w:sz="0" w:space="0" w:color="auto" w:frame="1"/>
          <w:shd w:val="clear" w:color="auto" w:fill="FFFFFF"/>
        </w:rPr>
        <w:t>The impact of school choice on students’ university entrance rank scores in Australia</w:t>
      </w:r>
      <w:r w:rsidR="00297F06" w:rsidRPr="00B323FB">
        <w:rPr>
          <w:rFonts w:ascii="Arial" w:hAnsi="Arial" w:cs="Arial"/>
          <w:color w:val="333333"/>
          <w:sz w:val="20"/>
          <w:szCs w:val="20"/>
          <w:shd w:val="clear" w:color="auto" w:fill="FFFFFF"/>
        </w:rPr>
        <w:t>; available at</w:t>
      </w:r>
      <w:r w:rsidR="00297F06" w:rsidRPr="00B323FB">
        <w:rPr>
          <w:rFonts w:ascii="Arial" w:hAnsi="Arial" w:cs="Arial"/>
          <w:color w:val="333333"/>
          <w:sz w:val="20"/>
          <w:szCs w:val="20"/>
        </w:rPr>
        <w:br/>
      </w:r>
      <w:hyperlink r:id="rId21" w:tgtFrame="_blank" w:history="1">
        <w:r w:rsidR="00297F06" w:rsidRPr="00B323FB">
          <w:rPr>
            <w:rStyle w:val="Hyperlink"/>
            <w:rFonts w:ascii="Arial" w:hAnsi="Arial" w:cs="Arial"/>
            <w:sz w:val="20"/>
            <w:szCs w:val="20"/>
            <w:bdr w:val="none" w:sz="0" w:space="0" w:color="auto" w:frame="1"/>
            <w:shd w:val="clear" w:color="auto" w:fill="FFFFFF"/>
          </w:rPr>
          <w:t>http://www.vanderbilt.edu/schoolchoice/conference/papers/Ryan-Watson%20COMPLETE_updated.pdf</w:t>
        </w:r>
      </w:hyperlink>
      <w:r w:rsidR="00297F06" w:rsidRPr="00B323FB">
        <w:rPr>
          <w:rFonts w:ascii="Arial" w:hAnsi="Arial" w:cs="Arial"/>
          <w:color w:val="333333"/>
          <w:sz w:val="20"/>
          <w:szCs w:val="20"/>
          <w:shd w:val="clear" w:color="auto" w:fill="FFFFFF"/>
        </w:rPr>
        <w:t>.</w:t>
      </w:r>
    </w:p>
    <w:p w:rsidR="00782574" w:rsidRPr="00B323FB" w:rsidRDefault="006E4041" w:rsidP="00297F06">
      <w:pPr>
        <w:spacing w:after="120"/>
        <w:rPr>
          <w:rFonts w:ascii="Arial" w:hAnsi="Arial" w:cs="Arial"/>
          <w:color w:val="333333"/>
          <w:sz w:val="20"/>
          <w:szCs w:val="20"/>
          <w:shd w:val="clear" w:color="auto" w:fill="FFFFFF"/>
        </w:rPr>
      </w:pPr>
      <w:r w:rsidRPr="00B323FB">
        <w:rPr>
          <w:rFonts w:ascii="Arial" w:hAnsi="Arial" w:cs="Arial"/>
          <w:color w:val="333333"/>
          <w:sz w:val="20"/>
          <w:szCs w:val="20"/>
          <w:shd w:val="clear" w:color="auto" w:fill="FFFFFF"/>
          <w:vertAlign w:val="superscript"/>
        </w:rPr>
        <w:t>6</w:t>
      </w:r>
      <w:r w:rsidR="00782574" w:rsidRPr="00B323FB">
        <w:rPr>
          <w:rFonts w:ascii="Arial" w:hAnsi="Arial" w:cs="Arial"/>
          <w:color w:val="333333"/>
          <w:sz w:val="20"/>
          <w:szCs w:val="20"/>
          <w:shd w:val="clear" w:color="auto" w:fill="FFFFFF"/>
        </w:rPr>
        <w:t xml:space="preserve">  Research sources are listed at </w:t>
      </w:r>
      <w:hyperlink r:id="rId22" w:history="1">
        <w:r w:rsidR="00782574" w:rsidRPr="00B323FB">
          <w:rPr>
            <w:rStyle w:val="Hyperlink"/>
            <w:rFonts w:ascii="Arial" w:hAnsi="Arial" w:cs="Arial"/>
            <w:sz w:val="20"/>
            <w:szCs w:val="20"/>
            <w:shd w:val="clear" w:color="auto" w:fill="FFFFFF"/>
          </w:rPr>
          <w:t>http://www.ahisa.edu.au/resources/ahisa-infographics/ahisa-infographic-1/</w:t>
        </w:r>
      </w:hyperlink>
      <w:r w:rsidR="00782574" w:rsidRPr="00B323FB">
        <w:rPr>
          <w:rFonts w:ascii="Arial" w:hAnsi="Arial" w:cs="Arial"/>
          <w:color w:val="333333"/>
          <w:sz w:val="20"/>
          <w:szCs w:val="20"/>
          <w:shd w:val="clear" w:color="auto" w:fill="FFFFFF"/>
        </w:rPr>
        <w:t>.</w:t>
      </w:r>
    </w:p>
    <w:p w:rsidR="006E4041" w:rsidRPr="00B323FB" w:rsidRDefault="006E4041" w:rsidP="000E497C">
      <w:pPr>
        <w:spacing w:after="120"/>
        <w:rPr>
          <w:rFonts w:ascii="Arial" w:hAnsi="Arial" w:cs="Arial"/>
          <w:i/>
          <w:sz w:val="20"/>
          <w:szCs w:val="20"/>
        </w:rPr>
      </w:pPr>
      <w:r w:rsidRPr="00B323FB">
        <w:rPr>
          <w:rFonts w:ascii="Arial" w:hAnsi="Arial" w:cs="Arial"/>
          <w:sz w:val="20"/>
          <w:szCs w:val="20"/>
          <w:vertAlign w:val="superscript"/>
        </w:rPr>
        <w:t>7</w:t>
      </w:r>
      <w:r w:rsidRPr="00B323FB">
        <w:rPr>
          <w:rFonts w:ascii="Arial" w:hAnsi="Arial" w:cs="Arial"/>
          <w:sz w:val="20"/>
          <w:szCs w:val="20"/>
        </w:rPr>
        <w:t xml:space="preserve">  Australian Council for Educational Research (ACER) (2016)</w:t>
      </w:r>
      <w:r w:rsidRPr="00B323FB">
        <w:rPr>
          <w:rFonts w:ascii="Arial" w:hAnsi="Arial" w:cs="Arial"/>
          <w:i/>
          <w:sz w:val="20"/>
          <w:szCs w:val="20"/>
        </w:rPr>
        <w:t xml:space="preserve"> PISA 2015: A first look at Australia’s results. </w:t>
      </w:r>
      <w:r w:rsidRPr="00B323FB">
        <w:rPr>
          <w:rFonts w:ascii="Arial" w:hAnsi="Arial" w:cs="Arial"/>
          <w:sz w:val="20"/>
          <w:szCs w:val="20"/>
        </w:rPr>
        <w:t xml:space="preserve">Available at </w:t>
      </w:r>
      <w:hyperlink r:id="rId23" w:history="1">
        <w:r w:rsidRPr="00B323FB">
          <w:rPr>
            <w:rStyle w:val="Hyperlink"/>
            <w:rFonts w:ascii="Arial" w:hAnsi="Arial" w:cs="Arial"/>
            <w:sz w:val="20"/>
            <w:szCs w:val="20"/>
          </w:rPr>
          <w:t>https://www.acer.edu.au/ozpisa/pisa-2015</w:t>
        </w:r>
      </w:hyperlink>
      <w:r w:rsidRPr="00B323FB">
        <w:rPr>
          <w:rFonts w:ascii="Arial" w:hAnsi="Arial" w:cs="Arial"/>
          <w:sz w:val="20"/>
          <w:szCs w:val="20"/>
        </w:rPr>
        <w:t xml:space="preserve">. </w:t>
      </w:r>
    </w:p>
    <w:p w:rsidR="00E8325A" w:rsidRPr="00B323FB" w:rsidRDefault="00E8325A" w:rsidP="000E497C">
      <w:pPr>
        <w:autoSpaceDE w:val="0"/>
        <w:autoSpaceDN w:val="0"/>
        <w:adjustRightInd w:val="0"/>
        <w:spacing w:after="120"/>
        <w:rPr>
          <w:rFonts w:ascii="Arial" w:hAnsi="Arial" w:cs="Arial"/>
          <w:sz w:val="20"/>
          <w:szCs w:val="20"/>
        </w:rPr>
      </w:pPr>
      <w:r w:rsidRPr="00B323FB">
        <w:rPr>
          <w:rFonts w:ascii="Arial" w:hAnsi="Arial" w:cs="Arial"/>
          <w:sz w:val="20"/>
          <w:szCs w:val="20"/>
          <w:vertAlign w:val="superscript"/>
        </w:rPr>
        <w:t>8</w:t>
      </w:r>
      <w:r w:rsidRPr="00B323FB">
        <w:rPr>
          <w:rFonts w:ascii="Arial" w:hAnsi="Arial" w:cs="Arial"/>
          <w:sz w:val="20"/>
          <w:szCs w:val="20"/>
        </w:rPr>
        <w:t xml:space="preserve">  Australian Curriculum, Assessment and Reporting Authority (ACARA) (2016) </w:t>
      </w:r>
      <w:r w:rsidRPr="00B323FB">
        <w:rPr>
          <w:rFonts w:ascii="Arial" w:hAnsi="Arial" w:cs="Arial"/>
          <w:i/>
          <w:sz w:val="20"/>
          <w:szCs w:val="20"/>
        </w:rPr>
        <w:t>NAPLAN Achievement in Reading, Writing, Language Conventions and Numeracy: National Report for 2016</w:t>
      </w:r>
      <w:r w:rsidRPr="00B323FB">
        <w:rPr>
          <w:rFonts w:ascii="Arial" w:hAnsi="Arial" w:cs="Arial"/>
          <w:sz w:val="20"/>
          <w:szCs w:val="20"/>
        </w:rPr>
        <w:t>. Sydney: ACARA.</w:t>
      </w:r>
    </w:p>
    <w:p w:rsidR="00F25821" w:rsidRPr="00B323FB" w:rsidRDefault="000E497C" w:rsidP="000E497C">
      <w:pPr>
        <w:spacing w:after="120"/>
        <w:rPr>
          <w:rFonts w:ascii="Arial" w:hAnsi="Arial" w:cs="Arial"/>
          <w:sz w:val="20"/>
          <w:szCs w:val="20"/>
        </w:rPr>
      </w:pPr>
      <w:r w:rsidRPr="00B323FB">
        <w:rPr>
          <w:rFonts w:ascii="Arial" w:hAnsi="Arial" w:cs="Arial"/>
          <w:sz w:val="20"/>
          <w:szCs w:val="20"/>
          <w:vertAlign w:val="superscript"/>
        </w:rPr>
        <w:t>9</w:t>
      </w:r>
      <w:r w:rsidRPr="00B323FB">
        <w:rPr>
          <w:rFonts w:ascii="Arial" w:hAnsi="Arial" w:cs="Arial"/>
          <w:sz w:val="20"/>
          <w:szCs w:val="20"/>
        </w:rPr>
        <w:t xml:space="preserve">  Steering Committee for the Review of Government Service Provision (SCRGSP) (2016) </w:t>
      </w:r>
      <w:r w:rsidRPr="00B323FB">
        <w:rPr>
          <w:rFonts w:ascii="Arial" w:hAnsi="Arial" w:cs="Arial"/>
          <w:i/>
          <w:iCs/>
          <w:sz w:val="20"/>
          <w:szCs w:val="20"/>
        </w:rPr>
        <w:t>Overcoming Indigenous disadvantage: Key indicators 2016</w:t>
      </w:r>
      <w:r w:rsidRPr="00B323FB">
        <w:rPr>
          <w:rFonts w:ascii="Arial" w:hAnsi="Arial" w:cs="Arial"/>
          <w:sz w:val="20"/>
          <w:szCs w:val="20"/>
        </w:rPr>
        <w:t>. Canberra: Productivity Commission.</w:t>
      </w:r>
    </w:p>
    <w:p w:rsidR="003B426D" w:rsidRPr="003B426D" w:rsidRDefault="003B426D" w:rsidP="003B426D">
      <w:pPr>
        <w:spacing w:after="120"/>
        <w:rPr>
          <w:rFonts w:ascii="Arial" w:hAnsi="Arial" w:cs="Arial"/>
          <w:color w:val="000000"/>
          <w:sz w:val="20"/>
          <w:szCs w:val="20"/>
          <w:lang w:eastAsia="en-AU"/>
        </w:rPr>
      </w:pPr>
      <w:r w:rsidRPr="003B426D">
        <w:rPr>
          <w:rFonts w:ascii="Arial" w:hAnsi="Arial" w:cs="Arial"/>
          <w:color w:val="000000"/>
          <w:sz w:val="20"/>
          <w:szCs w:val="20"/>
          <w:vertAlign w:val="superscript"/>
          <w:lang w:eastAsia="en-AU"/>
        </w:rPr>
        <w:t>1</w:t>
      </w:r>
      <w:r>
        <w:rPr>
          <w:rFonts w:ascii="Arial" w:hAnsi="Arial" w:cs="Arial"/>
          <w:color w:val="000000"/>
          <w:sz w:val="20"/>
          <w:szCs w:val="20"/>
          <w:vertAlign w:val="superscript"/>
          <w:lang w:eastAsia="en-AU"/>
        </w:rPr>
        <w:t>0</w:t>
      </w:r>
      <w:r w:rsidRPr="003B426D">
        <w:rPr>
          <w:rFonts w:ascii="Arial" w:hAnsi="Arial" w:cs="Arial"/>
          <w:color w:val="000000"/>
          <w:sz w:val="20"/>
          <w:szCs w:val="20"/>
          <w:vertAlign w:val="superscript"/>
          <w:lang w:eastAsia="en-AU"/>
        </w:rPr>
        <w:t xml:space="preserve"> </w:t>
      </w:r>
      <w:r w:rsidRPr="003B426D">
        <w:rPr>
          <w:rFonts w:ascii="Arial" w:hAnsi="Arial" w:cs="Arial"/>
          <w:color w:val="000000"/>
          <w:sz w:val="20"/>
          <w:szCs w:val="20"/>
          <w:lang w:eastAsia="en-AU"/>
        </w:rPr>
        <w:t xml:space="preserve"> Department of the Prime Minister and Cabinet (2014) Aboriginal and Torres Strait Islander Health Performance Framework 2014 Report; section 2.05 – Education outcomes for young people. Accessed at </w:t>
      </w:r>
      <w:hyperlink r:id="rId24" w:history="1">
        <w:r w:rsidRPr="003B426D">
          <w:rPr>
            <w:rStyle w:val="Hyperlink"/>
            <w:rFonts w:ascii="Arial" w:hAnsi="Arial" w:cs="Arial"/>
            <w:sz w:val="20"/>
            <w:szCs w:val="20"/>
            <w:lang w:eastAsia="en-AU"/>
          </w:rPr>
          <w:t>https://www.dpmc.gov.au/sites/default/files/publications/indigenous/Health-Performance-Framework-2014/tier-2-determinants-health/205-education-outcomes-young-people.html</w:t>
        </w:r>
      </w:hyperlink>
      <w:r w:rsidRPr="003B426D">
        <w:rPr>
          <w:rFonts w:ascii="Arial" w:hAnsi="Arial" w:cs="Arial"/>
          <w:color w:val="000000"/>
          <w:sz w:val="20"/>
          <w:szCs w:val="20"/>
          <w:lang w:eastAsia="en-AU"/>
        </w:rPr>
        <w:t>.</w:t>
      </w:r>
    </w:p>
    <w:p w:rsidR="001D588E" w:rsidRPr="00B323FB" w:rsidRDefault="001D588E" w:rsidP="000E497C">
      <w:pPr>
        <w:spacing w:after="120"/>
        <w:rPr>
          <w:rFonts w:ascii="Arial" w:hAnsi="Arial" w:cs="Arial"/>
          <w:sz w:val="20"/>
          <w:szCs w:val="20"/>
        </w:rPr>
      </w:pPr>
      <w:r w:rsidRPr="00B323FB">
        <w:rPr>
          <w:rFonts w:ascii="Arial" w:hAnsi="Arial" w:cs="Arial"/>
          <w:sz w:val="20"/>
          <w:szCs w:val="20"/>
          <w:vertAlign w:val="superscript"/>
        </w:rPr>
        <w:t>1</w:t>
      </w:r>
      <w:r w:rsidR="003B426D">
        <w:rPr>
          <w:rFonts w:ascii="Arial" w:hAnsi="Arial" w:cs="Arial"/>
          <w:sz w:val="20"/>
          <w:szCs w:val="20"/>
          <w:vertAlign w:val="superscript"/>
        </w:rPr>
        <w:t>1</w:t>
      </w:r>
      <w:r w:rsidRPr="00B323FB">
        <w:rPr>
          <w:rFonts w:ascii="Arial" w:hAnsi="Arial" w:cs="Arial"/>
          <w:sz w:val="20"/>
          <w:szCs w:val="20"/>
          <w:vertAlign w:val="superscript"/>
        </w:rPr>
        <w:t xml:space="preserve"> </w:t>
      </w:r>
      <w:r w:rsidRPr="00B323FB">
        <w:rPr>
          <w:rFonts w:ascii="Arial" w:hAnsi="Arial" w:cs="Arial"/>
          <w:sz w:val="20"/>
          <w:szCs w:val="20"/>
        </w:rPr>
        <w:t xml:space="preserve"> Turnbull, M. (2016) Speech to Parliament on the </w:t>
      </w:r>
      <w:r w:rsidRPr="00B323FB">
        <w:rPr>
          <w:rFonts w:ascii="Arial" w:hAnsi="Arial" w:cs="Arial"/>
          <w:i/>
          <w:sz w:val="20"/>
          <w:szCs w:val="20"/>
        </w:rPr>
        <w:t>2016 Closing the Gap report</w:t>
      </w:r>
      <w:r w:rsidRPr="00B323FB">
        <w:rPr>
          <w:rFonts w:ascii="Arial" w:hAnsi="Arial" w:cs="Arial"/>
          <w:sz w:val="20"/>
          <w:szCs w:val="20"/>
        </w:rPr>
        <w:t xml:space="preserve">, 10 February 2016; accessed at </w:t>
      </w:r>
      <w:hyperlink r:id="rId25" w:history="1">
        <w:r w:rsidRPr="00B323FB">
          <w:rPr>
            <w:rStyle w:val="Hyperlink"/>
            <w:rFonts w:ascii="Arial" w:hAnsi="Arial" w:cs="Arial"/>
            <w:sz w:val="20"/>
            <w:szCs w:val="20"/>
          </w:rPr>
          <w:t>http://www.malcolmturnbull.com.au/media/speech-to-parliament-on-the-2016-closing-the-gap-report</w:t>
        </w:r>
      </w:hyperlink>
      <w:r w:rsidRPr="00B323FB">
        <w:rPr>
          <w:rFonts w:ascii="Arial" w:hAnsi="Arial" w:cs="Arial"/>
          <w:sz w:val="20"/>
          <w:szCs w:val="20"/>
        </w:rPr>
        <w:t xml:space="preserve">. </w:t>
      </w:r>
    </w:p>
    <w:p w:rsidR="001D588E" w:rsidRDefault="00B323FB" w:rsidP="000E497C">
      <w:pPr>
        <w:spacing w:after="120"/>
        <w:rPr>
          <w:rFonts w:ascii="Arial" w:hAnsi="Arial" w:cs="Arial"/>
          <w:color w:val="000000"/>
          <w:sz w:val="20"/>
          <w:szCs w:val="20"/>
          <w:lang w:eastAsia="en-AU"/>
        </w:rPr>
      </w:pPr>
      <w:r w:rsidRPr="00B323FB">
        <w:rPr>
          <w:rFonts w:ascii="Arial" w:hAnsi="Arial" w:cs="Arial"/>
          <w:sz w:val="20"/>
          <w:szCs w:val="20"/>
          <w:vertAlign w:val="superscript"/>
        </w:rPr>
        <w:t>1</w:t>
      </w:r>
      <w:r w:rsidR="003B426D">
        <w:rPr>
          <w:rFonts w:ascii="Arial" w:hAnsi="Arial" w:cs="Arial"/>
          <w:sz w:val="20"/>
          <w:szCs w:val="20"/>
          <w:vertAlign w:val="superscript"/>
        </w:rPr>
        <w:t>2</w:t>
      </w:r>
      <w:r w:rsidRPr="00B323FB">
        <w:rPr>
          <w:rFonts w:ascii="Arial" w:hAnsi="Arial" w:cs="Arial"/>
          <w:sz w:val="20"/>
          <w:szCs w:val="20"/>
        </w:rPr>
        <w:t xml:space="preserve"> Association of Heads of Independent Schools of Australia (AHISA) (2016) </w:t>
      </w:r>
      <w:r w:rsidRPr="00B323FB">
        <w:rPr>
          <w:rFonts w:ascii="Arial" w:hAnsi="Arial" w:cs="Arial"/>
          <w:i/>
          <w:sz w:val="20"/>
          <w:szCs w:val="20"/>
        </w:rPr>
        <w:t xml:space="preserve">Never Give Up: Submission to the </w:t>
      </w:r>
      <w:r w:rsidRPr="00B323FB">
        <w:rPr>
          <w:rFonts w:ascii="Arial" w:hAnsi="Arial" w:cs="Arial"/>
          <w:i/>
          <w:color w:val="000000"/>
          <w:sz w:val="20"/>
          <w:szCs w:val="20"/>
          <w:lang w:eastAsia="en-AU"/>
        </w:rPr>
        <w:t>Inquiry into Educational Opportunities of Aboriginal and Torres Strait Islander Students</w:t>
      </w:r>
      <w:r>
        <w:rPr>
          <w:rFonts w:ascii="Arial" w:hAnsi="Arial" w:cs="Arial"/>
          <w:color w:val="000000"/>
          <w:sz w:val="20"/>
          <w:szCs w:val="20"/>
          <w:lang w:eastAsia="en-AU"/>
        </w:rPr>
        <w:t xml:space="preserve">, Part 2. Available at </w:t>
      </w:r>
      <w:hyperlink r:id="rId26" w:history="1">
        <w:r w:rsidRPr="00510B2C">
          <w:rPr>
            <w:rStyle w:val="Hyperlink"/>
            <w:rFonts w:ascii="Arial" w:hAnsi="Arial" w:cs="Arial"/>
            <w:sz w:val="20"/>
            <w:szCs w:val="20"/>
            <w:lang w:eastAsia="en-AU"/>
          </w:rPr>
          <w:t>http://www.ahisa.edu.au/wp-content/uploads/2016/03/AHISA-Never-Give-Up-Part-2-29Feb16.pdf</w:t>
        </w:r>
      </w:hyperlink>
      <w:r>
        <w:rPr>
          <w:rFonts w:ascii="Arial" w:hAnsi="Arial" w:cs="Arial"/>
          <w:color w:val="000000"/>
          <w:sz w:val="20"/>
          <w:szCs w:val="20"/>
          <w:lang w:eastAsia="en-AU"/>
        </w:rPr>
        <w:t>.</w:t>
      </w:r>
    </w:p>
    <w:p w:rsidR="00B323FB" w:rsidRDefault="0015740B" w:rsidP="000E497C">
      <w:pPr>
        <w:spacing w:after="120"/>
        <w:rPr>
          <w:rFonts w:ascii="Arial" w:hAnsi="Arial" w:cs="Arial"/>
          <w:sz w:val="20"/>
          <w:szCs w:val="20"/>
        </w:rPr>
      </w:pPr>
      <w:r w:rsidRPr="0015740B">
        <w:rPr>
          <w:rFonts w:ascii="Arial" w:hAnsi="Arial" w:cs="Arial"/>
          <w:color w:val="000000"/>
          <w:sz w:val="20"/>
          <w:szCs w:val="20"/>
          <w:vertAlign w:val="superscript"/>
          <w:lang w:eastAsia="en-AU"/>
        </w:rPr>
        <w:t>13</w:t>
      </w:r>
      <w:r>
        <w:rPr>
          <w:rFonts w:ascii="Arial" w:hAnsi="Arial" w:cs="Arial"/>
          <w:color w:val="000000"/>
          <w:sz w:val="20"/>
          <w:szCs w:val="20"/>
          <w:lang w:eastAsia="en-AU"/>
        </w:rPr>
        <w:t xml:space="preserve">  </w:t>
      </w:r>
      <w:r w:rsidR="00365847">
        <w:rPr>
          <w:rFonts w:ascii="Arial" w:hAnsi="Arial" w:cs="Arial"/>
          <w:color w:val="000000"/>
          <w:sz w:val="20"/>
          <w:szCs w:val="20"/>
          <w:lang w:eastAsia="en-AU"/>
        </w:rPr>
        <w:t xml:space="preserve">National Curriculum Services (2012) </w:t>
      </w:r>
      <w:r w:rsidR="00365847" w:rsidRPr="00365847">
        <w:rPr>
          <w:rFonts w:ascii="Arial" w:hAnsi="Arial" w:cs="Arial"/>
          <w:i/>
          <w:color w:val="000000"/>
          <w:sz w:val="20"/>
          <w:szCs w:val="20"/>
          <w:lang w:eastAsia="en-AU"/>
        </w:rPr>
        <w:t xml:space="preserve">What Works. The Work Program. Success in remote schools: </w:t>
      </w:r>
      <w:r w:rsidR="00A85DC1">
        <w:rPr>
          <w:rFonts w:ascii="Arial" w:hAnsi="Arial" w:cs="Arial"/>
          <w:i/>
          <w:color w:val="000000"/>
          <w:sz w:val="20"/>
          <w:szCs w:val="20"/>
          <w:lang w:eastAsia="en-AU"/>
        </w:rPr>
        <w:t>A</w:t>
      </w:r>
      <w:r w:rsidR="00365847" w:rsidRPr="00365847">
        <w:rPr>
          <w:rFonts w:ascii="Arial" w:hAnsi="Arial" w:cs="Arial"/>
          <w:i/>
          <w:color w:val="000000"/>
          <w:sz w:val="20"/>
          <w:szCs w:val="20"/>
          <w:lang w:eastAsia="en-AU"/>
        </w:rPr>
        <w:t xml:space="preserve"> research study of eleven improving remote schools.</w:t>
      </w:r>
      <w:r w:rsidR="00365847" w:rsidRPr="00365847">
        <w:rPr>
          <w:rFonts w:ascii="Arial" w:hAnsi="Arial" w:cs="Arial"/>
          <w:color w:val="000000"/>
          <w:sz w:val="20"/>
          <w:szCs w:val="20"/>
          <w:lang w:eastAsia="en-AU"/>
        </w:rPr>
        <w:t xml:space="preserve"> Accessed at</w:t>
      </w:r>
      <w:r w:rsidR="00365847">
        <w:t xml:space="preserve"> </w:t>
      </w:r>
      <w:hyperlink r:id="rId27" w:history="1">
        <w:r w:rsidR="00365847" w:rsidRPr="00CF6677">
          <w:rPr>
            <w:rStyle w:val="Hyperlink"/>
            <w:rFonts w:ascii="Arial" w:hAnsi="Arial" w:cs="Arial"/>
            <w:sz w:val="20"/>
            <w:szCs w:val="20"/>
          </w:rPr>
          <w:t>http://www.whatworks.edu.au/upload/1341805220784_file_SuccessinRemoteSchools2012.pdf</w:t>
        </w:r>
      </w:hyperlink>
      <w:r w:rsidR="00451293">
        <w:rPr>
          <w:rFonts w:ascii="Arial" w:hAnsi="Arial" w:cs="Arial"/>
          <w:sz w:val="20"/>
          <w:szCs w:val="20"/>
        </w:rPr>
        <w:t>.</w:t>
      </w:r>
    </w:p>
    <w:p w:rsidR="00451293" w:rsidRDefault="00451293" w:rsidP="00451293">
      <w:pPr>
        <w:spacing w:after="120" w:line="240" w:lineRule="exact"/>
        <w:ind w:right="170"/>
        <w:rPr>
          <w:rFonts w:ascii="Arial" w:hAnsi="Arial" w:cs="Arial"/>
          <w:sz w:val="20"/>
          <w:szCs w:val="20"/>
        </w:rPr>
      </w:pPr>
      <w:r>
        <w:rPr>
          <w:rFonts w:ascii="Arial" w:hAnsi="Arial" w:cs="Arial"/>
          <w:sz w:val="20"/>
          <w:szCs w:val="20"/>
          <w:vertAlign w:val="superscript"/>
        </w:rPr>
        <w:t>1</w:t>
      </w:r>
      <w:r w:rsidR="0015740B">
        <w:rPr>
          <w:rFonts w:ascii="Arial" w:hAnsi="Arial" w:cs="Arial"/>
          <w:sz w:val="20"/>
          <w:szCs w:val="20"/>
          <w:vertAlign w:val="superscript"/>
        </w:rPr>
        <w:t>4</w:t>
      </w:r>
      <w:r>
        <w:rPr>
          <w:rFonts w:ascii="Arial" w:hAnsi="Arial" w:cs="Arial"/>
          <w:sz w:val="20"/>
          <w:szCs w:val="20"/>
        </w:rPr>
        <w:t xml:space="preserve">  </w:t>
      </w:r>
      <w:r w:rsidRPr="00A00EF5">
        <w:rPr>
          <w:rFonts w:ascii="Arial" w:hAnsi="Arial" w:cs="Arial"/>
          <w:sz w:val="20"/>
          <w:szCs w:val="20"/>
        </w:rPr>
        <w:t xml:space="preserve">Australia Education Foundation (2013) </w:t>
      </w:r>
      <w:r w:rsidRPr="00A00EF5">
        <w:rPr>
          <w:rFonts w:ascii="Arial" w:hAnsi="Arial" w:cs="Arial"/>
          <w:i/>
          <w:sz w:val="20"/>
          <w:szCs w:val="20"/>
        </w:rPr>
        <w:t>What works 5. Schools becoming Asia literate: what works?</w:t>
      </w:r>
      <w:r w:rsidRPr="00A00EF5">
        <w:rPr>
          <w:rFonts w:ascii="Arial" w:hAnsi="Arial" w:cs="Arial"/>
          <w:sz w:val="20"/>
          <w:szCs w:val="20"/>
        </w:rPr>
        <w:t xml:space="preserve"> Available at </w:t>
      </w:r>
      <w:hyperlink r:id="rId28" w:history="1">
        <w:r w:rsidRPr="00A00EF5">
          <w:rPr>
            <w:rStyle w:val="Hyperlink"/>
            <w:rFonts w:ascii="Arial" w:hAnsi="Arial" w:cs="Arial"/>
            <w:sz w:val="20"/>
            <w:szCs w:val="20"/>
          </w:rPr>
          <w:t>http://www.asiaeducation.edu.au/docs/default-source/what-works-pdf/what-works-5-report.pdf</w:t>
        </w:r>
      </w:hyperlink>
      <w:r w:rsidRPr="00A00EF5">
        <w:rPr>
          <w:rFonts w:ascii="Arial" w:hAnsi="Arial" w:cs="Arial"/>
          <w:sz w:val="20"/>
          <w:szCs w:val="20"/>
        </w:rPr>
        <w:t>.</w:t>
      </w:r>
    </w:p>
    <w:p w:rsidR="007772BE" w:rsidRPr="007772BE" w:rsidRDefault="0043761D" w:rsidP="007772BE">
      <w:pPr>
        <w:spacing w:after="120"/>
        <w:rPr>
          <w:rFonts w:ascii="Arial" w:hAnsi="Arial" w:cs="Arial"/>
          <w:color w:val="000000"/>
          <w:sz w:val="20"/>
          <w:szCs w:val="20"/>
          <w:lang w:eastAsia="en-AU"/>
        </w:rPr>
      </w:pPr>
      <w:r w:rsidRPr="0043761D">
        <w:rPr>
          <w:rFonts w:ascii="Arial" w:hAnsi="Arial" w:cs="Arial"/>
          <w:sz w:val="20"/>
          <w:szCs w:val="20"/>
          <w:vertAlign w:val="superscript"/>
        </w:rPr>
        <w:t>1</w:t>
      </w:r>
      <w:r w:rsidR="0015740B">
        <w:rPr>
          <w:rFonts w:ascii="Arial" w:hAnsi="Arial" w:cs="Arial"/>
          <w:sz w:val="20"/>
          <w:szCs w:val="20"/>
          <w:vertAlign w:val="superscript"/>
        </w:rPr>
        <w:t>5</w:t>
      </w:r>
      <w:r>
        <w:rPr>
          <w:rFonts w:ascii="Arial" w:hAnsi="Arial" w:cs="Arial"/>
          <w:sz w:val="20"/>
          <w:szCs w:val="20"/>
        </w:rPr>
        <w:t xml:space="preserve">  </w:t>
      </w:r>
      <w:r w:rsidR="007772BE" w:rsidRPr="007772BE">
        <w:rPr>
          <w:rFonts w:ascii="Arial" w:hAnsi="Arial" w:cs="Arial"/>
          <w:sz w:val="20"/>
          <w:szCs w:val="20"/>
        </w:rPr>
        <w:t>Weldon, P.</w:t>
      </w:r>
      <w:r w:rsidR="007772BE">
        <w:rPr>
          <w:rFonts w:ascii="Arial" w:hAnsi="Arial" w:cs="Arial"/>
          <w:sz w:val="20"/>
          <w:szCs w:val="20"/>
        </w:rPr>
        <w:t>R.</w:t>
      </w:r>
      <w:r w:rsidR="007772BE" w:rsidRPr="007772BE">
        <w:rPr>
          <w:rFonts w:ascii="Arial" w:hAnsi="Arial" w:cs="Arial"/>
          <w:sz w:val="20"/>
          <w:szCs w:val="20"/>
        </w:rPr>
        <w:t xml:space="preserve"> (</w:t>
      </w:r>
      <w:r w:rsidR="007772BE">
        <w:rPr>
          <w:rFonts w:ascii="Arial" w:hAnsi="Arial" w:cs="Arial"/>
          <w:sz w:val="20"/>
          <w:szCs w:val="20"/>
        </w:rPr>
        <w:t>2015</w:t>
      </w:r>
      <w:r w:rsidR="007772BE" w:rsidRPr="007772BE">
        <w:rPr>
          <w:rFonts w:ascii="Arial" w:hAnsi="Arial" w:cs="Arial"/>
          <w:sz w:val="20"/>
          <w:szCs w:val="20"/>
        </w:rPr>
        <w:t>)</w:t>
      </w:r>
      <w:r w:rsidR="007772BE" w:rsidRPr="007772BE">
        <w:rPr>
          <w:rFonts w:ascii="Arial" w:hAnsi="Arial" w:cs="Arial"/>
          <w:i/>
          <w:color w:val="000000"/>
          <w:sz w:val="20"/>
          <w:szCs w:val="20"/>
          <w:lang w:eastAsia="en-AU"/>
        </w:rPr>
        <w:t xml:space="preserve">The teacher workforce in Australia: Supply, demand and data issues. </w:t>
      </w:r>
      <w:r w:rsidR="007772BE" w:rsidRPr="007772BE">
        <w:rPr>
          <w:rFonts w:ascii="Arial" w:hAnsi="Arial" w:cs="Arial"/>
          <w:color w:val="000000"/>
          <w:sz w:val="20"/>
          <w:szCs w:val="20"/>
          <w:lang w:eastAsia="en-AU"/>
        </w:rPr>
        <w:t>Melbourne: ACER.</w:t>
      </w:r>
      <w:r w:rsidR="00AE2FEA">
        <w:rPr>
          <w:rFonts w:ascii="Arial" w:hAnsi="Arial" w:cs="Arial"/>
          <w:color w:val="000000"/>
          <w:sz w:val="20"/>
          <w:szCs w:val="20"/>
          <w:lang w:eastAsia="en-AU"/>
        </w:rPr>
        <w:t xml:space="preserve"> Accessed at </w:t>
      </w:r>
      <w:hyperlink r:id="rId29" w:history="1">
        <w:r w:rsidR="00AE2FEA" w:rsidRPr="00AE2FEA">
          <w:rPr>
            <w:rStyle w:val="Hyperlink"/>
            <w:rFonts w:ascii="Arial" w:hAnsi="Arial" w:cs="Arial"/>
            <w:sz w:val="20"/>
            <w:szCs w:val="20"/>
            <w:lang w:val="en-US"/>
          </w:rPr>
          <w:t>http://research.acer.edu.au/cgi/viewcontent.cgi?article=1001&amp;context=policyinsights</w:t>
        </w:r>
      </w:hyperlink>
      <w:r w:rsidR="00AE2FEA" w:rsidRPr="00AE2FEA">
        <w:rPr>
          <w:rStyle w:val="Hyperlink"/>
          <w:rFonts w:ascii="Arial" w:hAnsi="Arial" w:cs="Arial"/>
          <w:sz w:val="20"/>
          <w:szCs w:val="20"/>
          <w:lang w:val="en-US"/>
        </w:rPr>
        <w:t>.</w:t>
      </w:r>
    </w:p>
    <w:p w:rsidR="0043761D" w:rsidRDefault="007772BE" w:rsidP="00626F3E">
      <w:pPr>
        <w:spacing w:after="120"/>
        <w:rPr>
          <w:rFonts w:ascii="Arial" w:hAnsi="Arial" w:cs="Arial"/>
          <w:sz w:val="20"/>
          <w:szCs w:val="20"/>
        </w:rPr>
      </w:pPr>
      <w:r w:rsidRPr="007772BE">
        <w:rPr>
          <w:rFonts w:ascii="Arial" w:hAnsi="Arial" w:cs="Arial"/>
          <w:color w:val="000000"/>
          <w:sz w:val="20"/>
          <w:szCs w:val="20"/>
          <w:vertAlign w:val="superscript"/>
          <w:lang w:eastAsia="en-AU"/>
        </w:rPr>
        <w:t>1</w:t>
      </w:r>
      <w:r w:rsidR="0015740B">
        <w:rPr>
          <w:rFonts w:ascii="Arial" w:hAnsi="Arial" w:cs="Arial"/>
          <w:color w:val="000000"/>
          <w:sz w:val="20"/>
          <w:szCs w:val="20"/>
          <w:vertAlign w:val="superscript"/>
          <w:lang w:eastAsia="en-AU"/>
        </w:rPr>
        <w:t>6</w:t>
      </w:r>
      <w:r w:rsidRPr="007772BE">
        <w:rPr>
          <w:rFonts w:ascii="Arial" w:hAnsi="Arial" w:cs="Arial"/>
          <w:color w:val="000000"/>
          <w:sz w:val="20"/>
          <w:szCs w:val="20"/>
          <w:lang w:eastAsia="en-AU"/>
        </w:rPr>
        <w:t xml:space="preserve">  </w:t>
      </w:r>
      <w:r w:rsidR="0043761D">
        <w:rPr>
          <w:rFonts w:ascii="Arial" w:hAnsi="Arial" w:cs="Arial"/>
          <w:sz w:val="20"/>
          <w:szCs w:val="20"/>
        </w:rPr>
        <w:t>ISCA (201</w:t>
      </w:r>
      <w:r w:rsidR="00B17E0D">
        <w:rPr>
          <w:rFonts w:ascii="Arial" w:hAnsi="Arial" w:cs="Arial"/>
          <w:sz w:val="20"/>
          <w:szCs w:val="20"/>
        </w:rPr>
        <w:t>7</w:t>
      </w:r>
      <w:r w:rsidR="0043761D">
        <w:rPr>
          <w:rFonts w:ascii="Arial" w:hAnsi="Arial" w:cs="Arial"/>
          <w:sz w:val="20"/>
          <w:szCs w:val="20"/>
        </w:rPr>
        <w:t xml:space="preserve">) Enrolment trends in independent schools. </w:t>
      </w:r>
      <w:r w:rsidR="002B4CC3">
        <w:rPr>
          <w:rFonts w:ascii="Arial" w:hAnsi="Arial" w:cs="Arial"/>
          <w:sz w:val="20"/>
          <w:szCs w:val="20"/>
        </w:rPr>
        <w:t>Web article, a</w:t>
      </w:r>
      <w:r w:rsidR="0043761D">
        <w:rPr>
          <w:rFonts w:ascii="Arial" w:hAnsi="Arial" w:cs="Arial"/>
          <w:sz w:val="20"/>
          <w:szCs w:val="20"/>
        </w:rPr>
        <w:t xml:space="preserve">ccessed at </w:t>
      </w:r>
      <w:hyperlink r:id="rId30" w:history="1">
        <w:r w:rsidR="0043761D" w:rsidRPr="00CF6677">
          <w:rPr>
            <w:rStyle w:val="Hyperlink"/>
            <w:rFonts w:ascii="Arial" w:hAnsi="Arial" w:cs="Arial"/>
            <w:sz w:val="20"/>
            <w:szCs w:val="20"/>
          </w:rPr>
          <w:t>http://isca.edu.au/about-independent-schools/enrolment-trends-in-independent-schools/</w:t>
        </w:r>
      </w:hyperlink>
      <w:r w:rsidR="0043761D">
        <w:rPr>
          <w:rFonts w:ascii="Arial" w:hAnsi="Arial" w:cs="Arial"/>
          <w:sz w:val="20"/>
          <w:szCs w:val="20"/>
        </w:rPr>
        <w:t>.</w:t>
      </w:r>
    </w:p>
    <w:p w:rsidR="00626F3E" w:rsidRDefault="00626F3E" w:rsidP="00626F3E">
      <w:pPr>
        <w:rPr>
          <w:rStyle w:val="Hyperlink"/>
          <w:rFonts w:ascii="Arial" w:hAnsi="Arial" w:cs="Arial"/>
          <w:sz w:val="20"/>
          <w:szCs w:val="20"/>
          <w:lang w:val="en-US"/>
        </w:rPr>
      </w:pPr>
      <w:r w:rsidRPr="00626F3E">
        <w:rPr>
          <w:rFonts w:ascii="Arial" w:hAnsi="Arial" w:cs="Arial"/>
          <w:sz w:val="20"/>
          <w:szCs w:val="20"/>
          <w:vertAlign w:val="superscript"/>
        </w:rPr>
        <w:t>1</w:t>
      </w:r>
      <w:r w:rsidR="0015740B">
        <w:rPr>
          <w:rFonts w:ascii="Arial" w:hAnsi="Arial" w:cs="Arial"/>
          <w:sz w:val="20"/>
          <w:szCs w:val="20"/>
          <w:vertAlign w:val="superscript"/>
        </w:rPr>
        <w:t>7</w:t>
      </w:r>
      <w:r w:rsidRPr="00626F3E">
        <w:rPr>
          <w:rFonts w:ascii="Arial" w:hAnsi="Arial" w:cs="Arial"/>
          <w:sz w:val="20"/>
          <w:szCs w:val="20"/>
        </w:rPr>
        <w:t xml:space="preserve">  Drew, M.E. and Walk, A.N. (2015) </w:t>
      </w:r>
      <w:r w:rsidRPr="00626F3E">
        <w:rPr>
          <w:rFonts w:ascii="Arial" w:hAnsi="Arial" w:cs="Arial"/>
          <w:i/>
          <w:sz w:val="20"/>
          <w:szCs w:val="20"/>
        </w:rPr>
        <w:t>Financing school infrastructure: A discussion paper for Independent Schools Queensland</w:t>
      </w:r>
      <w:r w:rsidRPr="00626F3E">
        <w:rPr>
          <w:rFonts w:ascii="Arial" w:hAnsi="Arial" w:cs="Arial"/>
          <w:sz w:val="20"/>
          <w:szCs w:val="20"/>
        </w:rPr>
        <w:t xml:space="preserve">. Brisbane: ISQ. Accessed at </w:t>
      </w:r>
      <w:hyperlink r:id="rId31" w:history="1">
        <w:r w:rsidRPr="00626F3E">
          <w:rPr>
            <w:rStyle w:val="Hyperlink"/>
            <w:rFonts w:ascii="Arial" w:hAnsi="Arial" w:cs="Arial"/>
            <w:sz w:val="20"/>
            <w:szCs w:val="20"/>
            <w:lang w:val="en-US"/>
          </w:rPr>
          <w:t>http://www.isq.qld.edu.au/files/file/News%20and%20Media/Reports/FinancialSchoolInfrastructureReportEmail.pdf</w:t>
        </w:r>
      </w:hyperlink>
      <w:r w:rsidR="002B4CC3">
        <w:rPr>
          <w:rStyle w:val="Hyperlink"/>
          <w:rFonts w:ascii="Arial" w:hAnsi="Arial" w:cs="Arial"/>
          <w:sz w:val="20"/>
          <w:szCs w:val="20"/>
          <w:lang w:val="en-US"/>
        </w:rPr>
        <w:t>.</w:t>
      </w:r>
    </w:p>
    <w:p w:rsidR="002B4CC3" w:rsidRDefault="002B4CC3" w:rsidP="009B2424">
      <w:pPr>
        <w:spacing w:after="120"/>
        <w:rPr>
          <w:rFonts w:ascii="Arial" w:hAnsi="Arial" w:cs="Arial"/>
          <w:sz w:val="20"/>
          <w:szCs w:val="20"/>
        </w:rPr>
      </w:pPr>
      <w:r w:rsidRPr="002B4CC3">
        <w:rPr>
          <w:rFonts w:ascii="Arial" w:hAnsi="Arial" w:cs="Arial"/>
          <w:sz w:val="20"/>
          <w:szCs w:val="20"/>
          <w:vertAlign w:val="superscript"/>
        </w:rPr>
        <w:t>1</w:t>
      </w:r>
      <w:r w:rsidR="0015740B">
        <w:rPr>
          <w:rFonts w:ascii="Arial" w:hAnsi="Arial" w:cs="Arial"/>
          <w:sz w:val="20"/>
          <w:szCs w:val="20"/>
          <w:vertAlign w:val="superscript"/>
        </w:rPr>
        <w:t>8</w:t>
      </w:r>
      <w:r w:rsidRPr="002B4CC3">
        <w:rPr>
          <w:rFonts w:ascii="Arial" w:hAnsi="Arial" w:cs="Arial"/>
          <w:sz w:val="20"/>
          <w:szCs w:val="20"/>
        </w:rPr>
        <w:t xml:space="preserve">  Goss, P. (2016) People pressure: Planning changes in your school population. </w:t>
      </w:r>
      <w:r>
        <w:rPr>
          <w:rFonts w:ascii="Arial" w:hAnsi="Arial" w:cs="Arial"/>
          <w:sz w:val="20"/>
          <w:szCs w:val="20"/>
        </w:rPr>
        <w:t>Web article, a</w:t>
      </w:r>
      <w:r w:rsidRPr="002B4CC3">
        <w:rPr>
          <w:rFonts w:ascii="Arial" w:hAnsi="Arial" w:cs="Arial"/>
          <w:sz w:val="20"/>
          <w:szCs w:val="20"/>
        </w:rPr>
        <w:t xml:space="preserve">ccessed at </w:t>
      </w:r>
      <w:hyperlink r:id="rId32" w:history="1">
        <w:r w:rsidRPr="00CF6677">
          <w:rPr>
            <w:rStyle w:val="Hyperlink"/>
            <w:rFonts w:ascii="Arial" w:hAnsi="Arial" w:cs="Arial"/>
            <w:sz w:val="20"/>
            <w:szCs w:val="20"/>
          </w:rPr>
          <w:t>https://grattan.edu.au/news/people-pressure-planning-changes-in-your-school-population/</w:t>
        </w:r>
      </w:hyperlink>
      <w:r>
        <w:rPr>
          <w:rFonts w:ascii="Arial" w:hAnsi="Arial" w:cs="Arial"/>
          <w:sz w:val="20"/>
          <w:szCs w:val="20"/>
        </w:rPr>
        <w:t xml:space="preserve">. </w:t>
      </w:r>
    </w:p>
    <w:p w:rsidR="006C4BCB" w:rsidRPr="00BE406E" w:rsidRDefault="006C4BCB" w:rsidP="006C4BCB">
      <w:pPr>
        <w:spacing w:after="120"/>
        <w:rPr>
          <w:rFonts w:ascii="Arial" w:hAnsi="Arial" w:cs="Arial"/>
          <w:sz w:val="20"/>
          <w:szCs w:val="20"/>
        </w:rPr>
      </w:pPr>
      <w:r w:rsidRPr="00BE406E">
        <w:rPr>
          <w:rFonts w:ascii="Arial" w:hAnsi="Arial" w:cs="Arial"/>
          <w:sz w:val="20"/>
          <w:szCs w:val="20"/>
          <w:vertAlign w:val="superscript"/>
        </w:rPr>
        <w:t>1</w:t>
      </w:r>
      <w:r w:rsidR="0015740B">
        <w:rPr>
          <w:rFonts w:ascii="Arial" w:hAnsi="Arial" w:cs="Arial"/>
          <w:sz w:val="20"/>
          <w:szCs w:val="20"/>
          <w:vertAlign w:val="superscript"/>
        </w:rPr>
        <w:t>9</w:t>
      </w:r>
      <w:r w:rsidRPr="00BE406E">
        <w:rPr>
          <w:rFonts w:ascii="Arial" w:hAnsi="Arial" w:cs="Arial"/>
          <w:sz w:val="20"/>
          <w:szCs w:val="20"/>
        </w:rPr>
        <w:t xml:space="preserve">  ISCA (2014) </w:t>
      </w:r>
      <w:r w:rsidRPr="006C4BCB">
        <w:rPr>
          <w:rFonts w:ascii="Arial" w:hAnsi="Arial" w:cs="Arial"/>
          <w:sz w:val="20"/>
          <w:szCs w:val="20"/>
        </w:rPr>
        <w:t xml:space="preserve">ISCA </w:t>
      </w:r>
      <w:r w:rsidR="002122BA">
        <w:rPr>
          <w:rFonts w:ascii="Arial" w:hAnsi="Arial" w:cs="Arial"/>
          <w:sz w:val="20"/>
          <w:szCs w:val="20"/>
        </w:rPr>
        <w:t>s</w:t>
      </w:r>
      <w:r w:rsidRPr="006C4BCB">
        <w:rPr>
          <w:rFonts w:ascii="Arial" w:hAnsi="Arial" w:cs="Arial"/>
          <w:sz w:val="20"/>
          <w:szCs w:val="20"/>
        </w:rPr>
        <w:t>ubmission to the Competition Policy Review</w:t>
      </w:r>
      <w:r>
        <w:rPr>
          <w:rFonts w:ascii="Arial" w:hAnsi="Arial" w:cs="Arial"/>
          <w:sz w:val="20"/>
          <w:szCs w:val="20"/>
        </w:rPr>
        <w:t xml:space="preserve">, </w:t>
      </w:r>
      <w:r w:rsidRPr="00BE406E">
        <w:rPr>
          <w:rFonts w:ascii="Arial" w:hAnsi="Arial" w:cs="Arial"/>
          <w:sz w:val="20"/>
          <w:szCs w:val="20"/>
        </w:rPr>
        <w:t xml:space="preserve">21 November 2014. Accessed at </w:t>
      </w:r>
      <w:hyperlink r:id="rId33" w:history="1">
        <w:r w:rsidRPr="00BE406E">
          <w:rPr>
            <w:rStyle w:val="Hyperlink"/>
            <w:rFonts w:ascii="Arial" w:hAnsi="Arial" w:cs="Arial"/>
            <w:sz w:val="20"/>
            <w:szCs w:val="20"/>
          </w:rPr>
          <w:t>http://competitionpolicyreview.gov.au/files/2014/12/ISCA.pdf</w:t>
        </w:r>
      </w:hyperlink>
      <w:r w:rsidRPr="00BE406E">
        <w:rPr>
          <w:rFonts w:ascii="Arial" w:hAnsi="Arial" w:cs="Arial"/>
          <w:sz w:val="20"/>
          <w:szCs w:val="20"/>
        </w:rPr>
        <w:t>.</w:t>
      </w:r>
    </w:p>
    <w:p w:rsidR="006C4BCB" w:rsidRDefault="006C4BCB" w:rsidP="009B2424">
      <w:pPr>
        <w:spacing w:after="120"/>
      </w:pPr>
    </w:p>
    <w:p w:rsidR="002B4CC3" w:rsidRPr="002B4CC3" w:rsidRDefault="002B4CC3" w:rsidP="00626F3E">
      <w:pPr>
        <w:rPr>
          <w:rFonts w:ascii="Arial" w:hAnsi="Arial" w:cs="Arial"/>
          <w:sz w:val="20"/>
          <w:szCs w:val="20"/>
        </w:rPr>
      </w:pPr>
    </w:p>
    <w:p w:rsidR="00626F3E" w:rsidRPr="007772BE" w:rsidRDefault="00626F3E" w:rsidP="0043761D">
      <w:pPr>
        <w:rPr>
          <w:rFonts w:ascii="Arial" w:hAnsi="Arial" w:cs="Arial"/>
          <w:color w:val="000000"/>
          <w:sz w:val="20"/>
          <w:szCs w:val="20"/>
          <w:lang w:eastAsia="en-AU"/>
        </w:rPr>
      </w:pPr>
    </w:p>
    <w:p w:rsidR="0043761D" w:rsidRDefault="0043761D" w:rsidP="0043761D"/>
    <w:p w:rsidR="00AE2FEA" w:rsidRDefault="00AE2FEA" w:rsidP="006A06A9">
      <w:pPr>
        <w:rPr>
          <w:rFonts w:ascii="Arial" w:hAnsi="Arial" w:cs="Arial"/>
          <w:color w:val="002060"/>
          <w:sz w:val="22"/>
          <w:szCs w:val="22"/>
          <w:lang w:val="en-US"/>
        </w:rPr>
      </w:pPr>
      <w:r>
        <w:rPr>
          <w:rFonts w:ascii="Arial" w:hAnsi="Arial" w:cs="Arial"/>
          <w:color w:val="002060"/>
          <w:sz w:val="22"/>
          <w:szCs w:val="22"/>
          <w:lang w:val="en-US"/>
        </w:rPr>
        <w:br w:type="page"/>
      </w:r>
    </w:p>
    <w:p w:rsidR="00AE2FEA" w:rsidRDefault="0021060B" w:rsidP="00AE2FEA">
      <w:pPr>
        <w:spacing w:after="240"/>
        <w:rPr>
          <w:rFonts w:ascii="Arial" w:hAnsi="Arial" w:cs="Arial"/>
          <w:color w:val="002060"/>
          <w:sz w:val="22"/>
          <w:szCs w:val="22"/>
          <w:lang w:val="en-US"/>
        </w:rPr>
      </w:pPr>
      <w:r w:rsidRPr="00AE2FEA">
        <w:rPr>
          <w:rFonts w:ascii="Arial" w:hAnsi="Arial" w:cs="Arial"/>
          <w:b/>
          <w:color w:val="002060"/>
          <w:sz w:val="22"/>
          <w:szCs w:val="22"/>
          <w:lang w:val="en-US"/>
        </w:rPr>
        <w:t>APPENDIX</w:t>
      </w:r>
    </w:p>
    <w:p w:rsidR="00896F51" w:rsidRPr="0021060B" w:rsidRDefault="0021060B" w:rsidP="006A06A9">
      <w:pPr>
        <w:rPr>
          <w:rFonts w:ascii="Arial" w:hAnsi="Arial" w:cs="Arial"/>
          <w:color w:val="002060"/>
          <w:sz w:val="22"/>
          <w:szCs w:val="22"/>
          <w:lang w:val="en-US"/>
        </w:rPr>
      </w:pPr>
      <w:r w:rsidRPr="0021060B">
        <w:rPr>
          <w:rFonts w:ascii="Arial" w:hAnsi="Arial" w:cs="Arial"/>
          <w:color w:val="002060"/>
          <w:sz w:val="22"/>
          <w:szCs w:val="22"/>
          <w:lang w:val="en-US"/>
        </w:rPr>
        <w:t>NAPLAN 2016: PERCENTAGE OF NON-INDIGENOUS AND INDIGENOUS STUDENTS AT OR ABOVE THE NATIONAL MINIMUM STANDARD BY GEOLOCATION</w:t>
      </w:r>
    </w:p>
    <w:p w:rsidR="0021060B" w:rsidRDefault="0021060B" w:rsidP="006A06A9">
      <w:pPr>
        <w:rPr>
          <w:rFonts w:ascii="Arial" w:hAnsi="Arial" w:cs="Arial"/>
          <w:sz w:val="22"/>
          <w:szCs w:val="22"/>
          <w:lang w:val="en-US"/>
        </w:rPr>
      </w:pPr>
    </w:p>
    <w:tbl>
      <w:tblPr>
        <w:tblW w:w="10080" w:type="dxa"/>
        <w:tblInd w:w="93" w:type="dxa"/>
        <w:tblLook w:val="04A0" w:firstRow="1" w:lastRow="0" w:firstColumn="1" w:lastColumn="0" w:noHBand="0" w:noVBand="1"/>
      </w:tblPr>
      <w:tblGrid>
        <w:gridCol w:w="1858"/>
        <w:gridCol w:w="1843"/>
        <w:gridCol w:w="1276"/>
        <w:gridCol w:w="1275"/>
        <w:gridCol w:w="1276"/>
        <w:gridCol w:w="1276"/>
        <w:gridCol w:w="1276"/>
      </w:tblGrid>
      <w:tr w:rsidR="0021060B" w:rsidRPr="0021060B" w:rsidTr="0021060B">
        <w:trPr>
          <w:trHeight w:val="288"/>
        </w:trPr>
        <w:tc>
          <w:tcPr>
            <w:tcW w:w="10080" w:type="dxa"/>
            <w:gridSpan w:val="7"/>
            <w:tcBorders>
              <w:left w:val="nil"/>
              <w:bottom w:val="single" w:sz="12" w:space="0" w:color="FFFFFF" w:themeColor="background1"/>
              <w:right w:val="nil"/>
            </w:tcBorders>
            <w:shd w:val="clear" w:color="auto" w:fill="002060"/>
            <w:noWrap/>
            <w:vAlign w:val="bottom"/>
            <w:hideMark/>
          </w:tcPr>
          <w:p w:rsidR="0021060B" w:rsidRPr="0021060B" w:rsidRDefault="0021060B" w:rsidP="0021060B">
            <w:pPr>
              <w:spacing w:before="120"/>
              <w:jc w:val="center"/>
              <w:rPr>
                <w:rFonts w:ascii="Arial" w:hAnsi="Arial" w:cs="Arial"/>
                <w:b/>
                <w:color w:val="FFFFFF" w:themeColor="background1"/>
                <w:sz w:val="20"/>
                <w:szCs w:val="20"/>
              </w:rPr>
            </w:pPr>
            <w:r w:rsidRPr="0021060B">
              <w:rPr>
                <w:rFonts w:ascii="Arial" w:hAnsi="Arial" w:cs="Arial"/>
                <w:b/>
                <w:color w:val="FFFFFF" w:themeColor="background1"/>
                <w:sz w:val="20"/>
                <w:szCs w:val="20"/>
              </w:rPr>
              <w:t>NAPLAN 2016</w:t>
            </w:r>
          </w:p>
          <w:p w:rsidR="0021060B" w:rsidRPr="0021060B" w:rsidRDefault="0021060B" w:rsidP="0021060B">
            <w:pPr>
              <w:spacing w:after="240"/>
              <w:jc w:val="center"/>
              <w:rPr>
                <w:rFonts w:ascii="Arial" w:hAnsi="Arial" w:cs="Arial"/>
                <w:color w:val="000000"/>
                <w:sz w:val="20"/>
                <w:szCs w:val="20"/>
              </w:rPr>
            </w:pPr>
            <w:r w:rsidRPr="0021060B">
              <w:rPr>
                <w:rFonts w:ascii="Arial" w:hAnsi="Arial" w:cs="Arial"/>
                <w:b/>
                <w:color w:val="FFFFFF" w:themeColor="background1"/>
                <w:sz w:val="20"/>
                <w:szCs w:val="20"/>
              </w:rPr>
              <w:t>% of students at or above the national minimum standard</w:t>
            </w:r>
          </w:p>
        </w:tc>
      </w:tr>
      <w:tr w:rsidR="0021060B" w:rsidRPr="0021060B" w:rsidTr="00AE2FEA">
        <w:trPr>
          <w:trHeight w:val="576"/>
        </w:trPr>
        <w:tc>
          <w:tcPr>
            <w:tcW w:w="1858" w:type="dxa"/>
            <w:tcBorders>
              <w:top w:val="single" w:sz="12" w:space="0" w:color="FFFFFF" w:themeColor="background1"/>
              <w:left w:val="nil"/>
              <w:bottom w:val="single" w:sz="12" w:space="0" w:color="002060"/>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12" w:space="0" w:color="FFFFFF" w:themeColor="background1"/>
              <w:left w:val="nil"/>
              <w:bottom w:val="single" w:sz="12" w:space="0" w:color="002060"/>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276" w:type="dxa"/>
            <w:tcBorders>
              <w:top w:val="single" w:sz="12" w:space="0" w:color="FFFFFF" w:themeColor="background1"/>
              <w:left w:val="nil"/>
              <w:bottom w:val="single" w:sz="12" w:space="0" w:color="002060"/>
              <w:right w:val="nil"/>
            </w:tcBorders>
            <w:shd w:val="clear" w:color="auto" w:fill="auto"/>
            <w:vAlign w:val="bottom"/>
            <w:hideMark/>
          </w:tcPr>
          <w:p w:rsidR="0021060B" w:rsidRPr="0021060B" w:rsidRDefault="0021060B" w:rsidP="0097169F">
            <w:pPr>
              <w:spacing w:before="6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Major Cities</w:t>
            </w:r>
          </w:p>
        </w:tc>
        <w:tc>
          <w:tcPr>
            <w:tcW w:w="1275" w:type="dxa"/>
            <w:tcBorders>
              <w:top w:val="single" w:sz="12" w:space="0" w:color="FFFFFF" w:themeColor="background1"/>
              <w:left w:val="nil"/>
              <w:bottom w:val="single" w:sz="12" w:space="0" w:color="002060"/>
              <w:right w:val="nil"/>
            </w:tcBorders>
            <w:shd w:val="clear" w:color="auto" w:fill="auto"/>
            <w:vAlign w:val="bottom"/>
            <w:hideMark/>
          </w:tcPr>
          <w:p w:rsidR="0021060B" w:rsidRPr="0021060B" w:rsidRDefault="0021060B" w:rsidP="0097169F">
            <w:pPr>
              <w:spacing w:before="6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Inner Regional</w:t>
            </w:r>
          </w:p>
        </w:tc>
        <w:tc>
          <w:tcPr>
            <w:tcW w:w="1276" w:type="dxa"/>
            <w:tcBorders>
              <w:top w:val="single" w:sz="12" w:space="0" w:color="FFFFFF" w:themeColor="background1"/>
              <w:left w:val="nil"/>
              <w:bottom w:val="single" w:sz="12" w:space="0" w:color="002060"/>
              <w:right w:val="nil"/>
            </w:tcBorders>
            <w:shd w:val="clear" w:color="auto" w:fill="auto"/>
            <w:vAlign w:val="bottom"/>
            <w:hideMark/>
          </w:tcPr>
          <w:p w:rsidR="0021060B" w:rsidRPr="0021060B" w:rsidRDefault="0021060B" w:rsidP="0097169F">
            <w:pPr>
              <w:spacing w:before="6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Outer Regional</w:t>
            </w:r>
          </w:p>
        </w:tc>
        <w:tc>
          <w:tcPr>
            <w:tcW w:w="1276" w:type="dxa"/>
            <w:tcBorders>
              <w:top w:val="single" w:sz="12" w:space="0" w:color="FFFFFF" w:themeColor="background1"/>
              <w:left w:val="nil"/>
              <w:bottom w:val="single" w:sz="12" w:space="0" w:color="002060"/>
              <w:right w:val="nil"/>
            </w:tcBorders>
            <w:shd w:val="clear" w:color="auto" w:fill="auto"/>
            <w:vAlign w:val="bottom"/>
            <w:hideMark/>
          </w:tcPr>
          <w:p w:rsidR="0021060B" w:rsidRPr="0021060B" w:rsidRDefault="0021060B" w:rsidP="0097169F">
            <w:pPr>
              <w:spacing w:before="6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Remote</w:t>
            </w:r>
          </w:p>
        </w:tc>
        <w:tc>
          <w:tcPr>
            <w:tcW w:w="1276" w:type="dxa"/>
            <w:tcBorders>
              <w:top w:val="single" w:sz="12" w:space="0" w:color="FFFFFF" w:themeColor="background1"/>
              <w:left w:val="nil"/>
              <w:bottom w:val="single" w:sz="12" w:space="0" w:color="002060"/>
              <w:right w:val="nil"/>
            </w:tcBorders>
            <w:shd w:val="clear" w:color="auto" w:fill="auto"/>
            <w:vAlign w:val="bottom"/>
            <w:hideMark/>
          </w:tcPr>
          <w:p w:rsidR="0021060B" w:rsidRPr="0021060B" w:rsidRDefault="0021060B" w:rsidP="0097169F">
            <w:pPr>
              <w:spacing w:before="6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Very Remote</w:t>
            </w:r>
          </w:p>
        </w:tc>
      </w:tr>
      <w:tr w:rsidR="0021060B" w:rsidRPr="0021060B" w:rsidTr="00AE2FEA">
        <w:trPr>
          <w:trHeight w:val="288"/>
        </w:trPr>
        <w:tc>
          <w:tcPr>
            <w:tcW w:w="1858" w:type="dxa"/>
            <w:tcBorders>
              <w:top w:val="single" w:sz="12" w:space="0" w:color="002060"/>
              <w:left w:val="nil"/>
              <w:bottom w:val="nil"/>
              <w:right w:val="nil"/>
            </w:tcBorders>
            <w:shd w:val="clear" w:color="auto" w:fill="DBE5F1" w:themeFill="accent1" w:themeFillTint="33"/>
            <w:noWrap/>
            <w:vAlign w:val="bottom"/>
            <w:hideMark/>
          </w:tcPr>
          <w:p w:rsidR="0021060B" w:rsidRPr="0021060B" w:rsidRDefault="0021060B" w:rsidP="0097169F">
            <w:pPr>
              <w:rPr>
                <w:rFonts w:ascii="Arial" w:hAnsi="Arial" w:cs="Arial"/>
                <w:b/>
                <w:bCs/>
                <w:color w:val="000000"/>
                <w:sz w:val="20"/>
                <w:szCs w:val="20"/>
              </w:rPr>
            </w:pPr>
            <w:r w:rsidRPr="0021060B">
              <w:rPr>
                <w:rFonts w:ascii="Arial" w:hAnsi="Arial" w:cs="Arial"/>
                <w:b/>
                <w:bCs/>
                <w:color w:val="002060"/>
                <w:sz w:val="20"/>
                <w:szCs w:val="20"/>
              </w:rPr>
              <w:t>READING</w:t>
            </w:r>
          </w:p>
        </w:tc>
        <w:tc>
          <w:tcPr>
            <w:tcW w:w="1843"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5"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r>
      <w:tr w:rsidR="0021060B" w:rsidRPr="0021060B" w:rsidTr="0097169F">
        <w:trPr>
          <w:trHeight w:val="288"/>
        </w:trPr>
        <w:tc>
          <w:tcPr>
            <w:tcW w:w="1858" w:type="dxa"/>
            <w:tcBorders>
              <w:top w:val="nil"/>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3 reading</w:t>
            </w:r>
          </w:p>
        </w:tc>
        <w:tc>
          <w:tcPr>
            <w:tcW w:w="1843"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96.3</w:t>
            </w:r>
          </w:p>
        </w:tc>
        <w:tc>
          <w:tcPr>
            <w:tcW w:w="1275"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95.5</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94.9</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94.8</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94.5</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87.5</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88.2</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82.2</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64.0</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46.9</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5 reading</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94.9</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93.7</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92.2</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92.4</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90.7</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81.2</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80.4</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72.9</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52.0</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26.1</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7 reading</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95.9</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95.0</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94.2</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94.7</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92.8</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86.2</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84.9</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77.5</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56.5</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37.7</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9 reading</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94.3</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93.2</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92.8</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94.3</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91.1</w:t>
            </w:r>
          </w:p>
        </w:tc>
      </w:tr>
      <w:tr w:rsidR="0021060B" w:rsidRPr="0021060B" w:rsidTr="0021060B">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82.1</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80.9</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72.3</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55.1</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33.9</w:t>
            </w:r>
          </w:p>
        </w:tc>
      </w:tr>
      <w:tr w:rsidR="0021060B" w:rsidRPr="0021060B" w:rsidTr="0021060B">
        <w:trPr>
          <w:trHeight w:val="288"/>
        </w:trPr>
        <w:tc>
          <w:tcPr>
            <w:tcW w:w="1858"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276"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Major Cities</w:t>
            </w:r>
          </w:p>
        </w:tc>
        <w:tc>
          <w:tcPr>
            <w:tcW w:w="1275"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Inner Regional</w:t>
            </w:r>
          </w:p>
        </w:tc>
        <w:tc>
          <w:tcPr>
            <w:tcW w:w="1276"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Outer Regional</w:t>
            </w:r>
          </w:p>
        </w:tc>
        <w:tc>
          <w:tcPr>
            <w:tcW w:w="1276"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Remote</w:t>
            </w:r>
          </w:p>
        </w:tc>
        <w:tc>
          <w:tcPr>
            <w:tcW w:w="1276"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Very Remote</w:t>
            </w:r>
          </w:p>
        </w:tc>
      </w:tr>
      <w:tr w:rsidR="0021060B" w:rsidRPr="0021060B" w:rsidTr="00AE2FEA">
        <w:trPr>
          <w:trHeight w:val="288"/>
        </w:trPr>
        <w:tc>
          <w:tcPr>
            <w:tcW w:w="1858" w:type="dxa"/>
            <w:tcBorders>
              <w:top w:val="single" w:sz="12" w:space="0" w:color="002060"/>
              <w:left w:val="nil"/>
              <w:bottom w:val="nil"/>
              <w:right w:val="nil"/>
            </w:tcBorders>
            <w:shd w:val="clear" w:color="auto" w:fill="DBE5F1" w:themeFill="accent1" w:themeFillTint="33"/>
            <w:noWrap/>
            <w:vAlign w:val="bottom"/>
            <w:hideMark/>
          </w:tcPr>
          <w:p w:rsidR="0021060B" w:rsidRPr="0021060B" w:rsidRDefault="0021060B" w:rsidP="0097169F">
            <w:pPr>
              <w:rPr>
                <w:rFonts w:ascii="Arial" w:hAnsi="Arial" w:cs="Arial"/>
                <w:b/>
                <w:bCs/>
                <w:color w:val="000000"/>
                <w:sz w:val="20"/>
                <w:szCs w:val="20"/>
              </w:rPr>
            </w:pPr>
            <w:r w:rsidRPr="0021060B">
              <w:rPr>
                <w:rFonts w:ascii="Arial" w:hAnsi="Arial" w:cs="Arial"/>
                <w:b/>
                <w:bCs/>
                <w:color w:val="002060"/>
                <w:sz w:val="20"/>
                <w:szCs w:val="20"/>
              </w:rPr>
              <w:t>WRITING</w:t>
            </w:r>
          </w:p>
        </w:tc>
        <w:tc>
          <w:tcPr>
            <w:tcW w:w="1843"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5"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r>
      <w:tr w:rsidR="0021060B" w:rsidRPr="0021060B" w:rsidTr="0097169F">
        <w:trPr>
          <w:trHeight w:val="288"/>
        </w:trPr>
        <w:tc>
          <w:tcPr>
            <w:tcW w:w="1858" w:type="dxa"/>
            <w:tcBorders>
              <w:top w:val="nil"/>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3 writing</w:t>
            </w:r>
          </w:p>
        </w:tc>
        <w:tc>
          <w:tcPr>
            <w:tcW w:w="1843"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97.2</w:t>
            </w:r>
          </w:p>
        </w:tc>
        <w:tc>
          <w:tcPr>
            <w:tcW w:w="1275"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96.8</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96.7</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96.8</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96.2</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90.6</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91.9</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88.6</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71.9</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52.1</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5 writing</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95.0</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93.3</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92.3</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92.6</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91.3</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82.2</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82.0</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77.4</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55.1</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32.1</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7 writing</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92.4</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88.7</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87.2</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87.6</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85.9</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74.4</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71.6</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61.2</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40.3</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21.8</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9 writing</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86.4</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80.8</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78.7</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79.3</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73.4</w:t>
            </w:r>
          </w:p>
        </w:tc>
      </w:tr>
      <w:tr w:rsidR="0021060B" w:rsidRPr="0021060B" w:rsidTr="0021060B">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62.8</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58.3</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49.6</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32.7</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16.6</w:t>
            </w:r>
          </w:p>
        </w:tc>
      </w:tr>
      <w:tr w:rsidR="0021060B" w:rsidRPr="0021060B" w:rsidTr="0021060B">
        <w:trPr>
          <w:trHeight w:val="288"/>
        </w:trPr>
        <w:tc>
          <w:tcPr>
            <w:tcW w:w="1858"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276"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Major Cities</w:t>
            </w:r>
          </w:p>
        </w:tc>
        <w:tc>
          <w:tcPr>
            <w:tcW w:w="1275"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Inner Regional</w:t>
            </w:r>
          </w:p>
        </w:tc>
        <w:tc>
          <w:tcPr>
            <w:tcW w:w="1276"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Outer Regional</w:t>
            </w:r>
          </w:p>
        </w:tc>
        <w:tc>
          <w:tcPr>
            <w:tcW w:w="1276"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Remote</w:t>
            </w:r>
          </w:p>
        </w:tc>
        <w:tc>
          <w:tcPr>
            <w:tcW w:w="1276" w:type="dxa"/>
            <w:tcBorders>
              <w:top w:val="single" w:sz="1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before="120"/>
              <w:jc w:val="center"/>
              <w:rPr>
                <w:rFonts w:ascii="Arial" w:hAnsi="Arial" w:cs="Arial"/>
                <w:color w:val="244061" w:themeColor="accent1" w:themeShade="80"/>
                <w:sz w:val="20"/>
                <w:szCs w:val="20"/>
              </w:rPr>
            </w:pPr>
            <w:r w:rsidRPr="0021060B">
              <w:rPr>
                <w:rFonts w:ascii="Arial" w:hAnsi="Arial" w:cs="Arial"/>
                <w:color w:val="244061" w:themeColor="accent1" w:themeShade="80"/>
                <w:sz w:val="20"/>
                <w:szCs w:val="20"/>
              </w:rPr>
              <w:t>Very Remote</w:t>
            </w:r>
          </w:p>
        </w:tc>
      </w:tr>
      <w:tr w:rsidR="0021060B" w:rsidRPr="0021060B" w:rsidTr="00AE2FEA">
        <w:trPr>
          <w:trHeight w:val="288"/>
        </w:trPr>
        <w:tc>
          <w:tcPr>
            <w:tcW w:w="1858" w:type="dxa"/>
            <w:tcBorders>
              <w:top w:val="single" w:sz="12" w:space="0" w:color="002060"/>
              <w:left w:val="nil"/>
              <w:bottom w:val="nil"/>
              <w:right w:val="nil"/>
            </w:tcBorders>
            <w:shd w:val="clear" w:color="auto" w:fill="DBE5F1" w:themeFill="accent1" w:themeFillTint="33"/>
            <w:noWrap/>
            <w:vAlign w:val="bottom"/>
            <w:hideMark/>
          </w:tcPr>
          <w:p w:rsidR="0021060B" w:rsidRPr="0021060B" w:rsidRDefault="0021060B" w:rsidP="0097169F">
            <w:pPr>
              <w:rPr>
                <w:rFonts w:ascii="Arial" w:hAnsi="Arial" w:cs="Arial"/>
                <w:b/>
                <w:bCs/>
                <w:color w:val="000000"/>
                <w:sz w:val="20"/>
                <w:szCs w:val="20"/>
              </w:rPr>
            </w:pPr>
            <w:r w:rsidRPr="0021060B">
              <w:rPr>
                <w:rFonts w:ascii="Arial" w:hAnsi="Arial" w:cs="Arial"/>
                <w:b/>
                <w:bCs/>
                <w:color w:val="002060"/>
                <w:sz w:val="20"/>
                <w:szCs w:val="20"/>
              </w:rPr>
              <w:t>NUMERACY</w:t>
            </w:r>
          </w:p>
        </w:tc>
        <w:tc>
          <w:tcPr>
            <w:tcW w:w="1843"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5"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c>
          <w:tcPr>
            <w:tcW w:w="1276" w:type="dxa"/>
            <w:tcBorders>
              <w:top w:val="single" w:sz="12" w:space="0" w:color="002060"/>
              <w:left w:val="nil"/>
              <w:right w:val="nil"/>
            </w:tcBorders>
            <w:shd w:val="clear" w:color="auto" w:fill="DBE5F1" w:themeFill="accent1" w:themeFillTint="33"/>
            <w:noWrap/>
            <w:vAlign w:val="bottom"/>
            <w:hideMark/>
          </w:tcPr>
          <w:p w:rsidR="0021060B" w:rsidRPr="0021060B" w:rsidRDefault="0021060B" w:rsidP="0097169F">
            <w:pPr>
              <w:jc w:val="center"/>
              <w:rPr>
                <w:rFonts w:ascii="Arial" w:hAnsi="Arial" w:cs="Arial"/>
                <w:color w:val="000000"/>
                <w:sz w:val="20"/>
                <w:szCs w:val="20"/>
              </w:rPr>
            </w:pPr>
          </w:p>
        </w:tc>
      </w:tr>
      <w:tr w:rsidR="0021060B" w:rsidRPr="0021060B" w:rsidTr="0097169F">
        <w:trPr>
          <w:trHeight w:val="288"/>
        </w:trPr>
        <w:tc>
          <w:tcPr>
            <w:tcW w:w="1858" w:type="dxa"/>
            <w:tcBorders>
              <w:top w:val="nil"/>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3 numeracy</w:t>
            </w:r>
          </w:p>
        </w:tc>
        <w:tc>
          <w:tcPr>
            <w:tcW w:w="1843"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96.5</w:t>
            </w:r>
          </w:p>
        </w:tc>
        <w:tc>
          <w:tcPr>
            <w:tcW w:w="1275"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9.06</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95.9</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96.0</w:t>
            </w:r>
          </w:p>
        </w:tc>
        <w:tc>
          <w:tcPr>
            <w:tcW w:w="1276" w:type="dxa"/>
            <w:tcBorders>
              <w:top w:val="nil"/>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95.3</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88.2</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89.3</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84.5</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70.1</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52.4</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5 numeracy</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95.8</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94.9</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94.3</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94.3</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94.2</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84.3</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83.6</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78.0</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59.7</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41.7</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7 numeracy</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96.7</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95.8</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95.6</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96.0</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95.7</w:t>
            </w:r>
          </w:p>
        </w:tc>
      </w:tr>
      <w:tr w:rsidR="0021060B" w:rsidRPr="0021060B" w:rsidTr="0097169F">
        <w:trPr>
          <w:trHeight w:val="288"/>
        </w:trPr>
        <w:tc>
          <w:tcPr>
            <w:tcW w:w="1858" w:type="dxa"/>
            <w:tcBorders>
              <w:top w:val="nil"/>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86.9</w:t>
            </w:r>
          </w:p>
        </w:tc>
        <w:tc>
          <w:tcPr>
            <w:tcW w:w="1275"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85.9</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79.3</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61.2</w:t>
            </w:r>
          </w:p>
        </w:tc>
        <w:tc>
          <w:tcPr>
            <w:tcW w:w="1276" w:type="dxa"/>
            <w:tcBorders>
              <w:top w:val="single" w:sz="2" w:space="0" w:color="B8CCE4" w:themeColor="accent1" w:themeTint="66"/>
              <w:left w:val="nil"/>
              <w:bottom w:val="single" w:sz="1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46.3</w:t>
            </w:r>
          </w:p>
        </w:tc>
      </w:tr>
      <w:tr w:rsidR="0021060B" w:rsidRPr="0021060B" w:rsidTr="0097169F">
        <w:trPr>
          <w:trHeight w:val="288"/>
        </w:trPr>
        <w:tc>
          <w:tcPr>
            <w:tcW w:w="1858" w:type="dxa"/>
            <w:tcBorders>
              <w:top w:val="single" w:sz="12" w:space="0" w:color="B8CCE4" w:themeColor="accent1" w:themeTint="66"/>
              <w:left w:val="nil"/>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Year 9 numeracy</w:t>
            </w:r>
          </w:p>
        </w:tc>
        <w:tc>
          <w:tcPr>
            <w:tcW w:w="1843"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r w:rsidRPr="0021060B">
              <w:rPr>
                <w:rFonts w:ascii="Arial" w:hAnsi="Arial" w:cs="Arial"/>
                <w:color w:val="000000"/>
                <w:sz w:val="20"/>
                <w:szCs w:val="20"/>
              </w:rPr>
              <w:t>Non-Indigenous</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96.4</w:t>
            </w:r>
          </w:p>
        </w:tc>
        <w:tc>
          <w:tcPr>
            <w:tcW w:w="1275"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95.1</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95.7</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96.8</w:t>
            </w:r>
          </w:p>
        </w:tc>
        <w:tc>
          <w:tcPr>
            <w:tcW w:w="1276" w:type="dxa"/>
            <w:tcBorders>
              <w:top w:val="single" w:sz="12" w:space="0" w:color="B8CCE4" w:themeColor="accent1" w:themeTint="66"/>
              <w:left w:val="nil"/>
              <w:bottom w:val="single" w:sz="2" w:space="0" w:color="B8CCE4" w:themeColor="accent1" w:themeTint="66"/>
              <w:right w:val="nil"/>
            </w:tcBorders>
            <w:shd w:val="clear" w:color="auto" w:fill="auto"/>
            <w:noWrap/>
            <w:vAlign w:val="bottom"/>
            <w:hideMark/>
          </w:tcPr>
          <w:p w:rsidR="0021060B" w:rsidRPr="0021060B" w:rsidRDefault="0021060B" w:rsidP="0097169F">
            <w:pPr>
              <w:jc w:val="center"/>
              <w:rPr>
                <w:rFonts w:ascii="Arial" w:hAnsi="Arial" w:cs="Arial"/>
                <w:color w:val="000000"/>
                <w:sz w:val="20"/>
                <w:szCs w:val="20"/>
              </w:rPr>
            </w:pPr>
            <w:r w:rsidRPr="0021060B">
              <w:rPr>
                <w:rFonts w:ascii="Arial" w:hAnsi="Arial" w:cs="Arial"/>
                <w:color w:val="000000"/>
                <w:sz w:val="20"/>
                <w:szCs w:val="20"/>
              </w:rPr>
              <w:t>95.6</w:t>
            </w:r>
          </w:p>
        </w:tc>
      </w:tr>
      <w:tr w:rsidR="0021060B" w:rsidRPr="0021060B" w:rsidTr="0021060B">
        <w:trPr>
          <w:trHeight w:val="288"/>
        </w:trPr>
        <w:tc>
          <w:tcPr>
            <w:tcW w:w="1858" w:type="dxa"/>
            <w:tcBorders>
              <w:top w:val="nil"/>
              <w:left w:val="nil"/>
              <w:bottom w:val="single" w:sz="12" w:space="0" w:color="002060"/>
              <w:right w:val="nil"/>
            </w:tcBorders>
            <w:shd w:val="clear" w:color="auto" w:fill="auto"/>
            <w:noWrap/>
            <w:vAlign w:val="bottom"/>
            <w:hideMark/>
          </w:tcPr>
          <w:p w:rsidR="0021060B" w:rsidRPr="0021060B" w:rsidRDefault="0021060B" w:rsidP="0097169F">
            <w:pPr>
              <w:rPr>
                <w:rFonts w:ascii="Arial" w:hAnsi="Arial" w:cs="Arial"/>
                <w:color w:val="000000"/>
                <w:sz w:val="20"/>
                <w:szCs w:val="20"/>
              </w:rPr>
            </w:pPr>
          </w:p>
        </w:tc>
        <w:tc>
          <w:tcPr>
            <w:tcW w:w="1843" w:type="dxa"/>
            <w:tcBorders>
              <w:top w:val="single" w:sz="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after="120"/>
              <w:rPr>
                <w:rFonts w:ascii="Arial" w:hAnsi="Arial" w:cs="Arial"/>
                <w:color w:val="000000"/>
                <w:sz w:val="20"/>
                <w:szCs w:val="20"/>
              </w:rPr>
            </w:pPr>
            <w:r w:rsidRPr="0021060B">
              <w:rPr>
                <w:rFonts w:ascii="Arial" w:hAnsi="Arial" w:cs="Arial"/>
                <w:color w:val="000000"/>
                <w:sz w:val="20"/>
                <w:szCs w:val="20"/>
              </w:rPr>
              <w:t>Indigenous</w:t>
            </w:r>
          </w:p>
        </w:tc>
        <w:tc>
          <w:tcPr>
            <w:tcW w:w="1276" w:type="dxa"/>
            <w:tcBorders>
              <w:top w:val="single" w:sz="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after="120"/>
              <w:jc w:val="center"/>
              <w:rPr>
                <w:rFonts w:ascii="Arial" w:hAnsi="Arial" w:cs="Arial"/>
                <w:color w:val="000000"/>
                <w:sz w:val="20"/>
                <w:szCs w:val="20"/>
              </w:rPr>
            </w:pPr>
            <w:r w:rsidRPr="0021060B">
              <w:rPr>
                <w:rFonts w:ascii="Arial" w:hAnsi="Arial" w:cs="Arial"/>
                <w:color w:val="000000"/>
                <w:sz w:val="20"/>
                <w:szCs w:val="20"/>
              </w:rPr>
              <w:t>86.3</w:t>
            </w:r>
          </w:p>
        </w:tc>
        <w:tc>
          <w:tcPr>
            <w:tcW w:w="1275" w:type="dxa"/>
            <w:tcBorders>
              <w:top w:val="single" w:sz="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after="120"/>
              <w:jc w:val="center"/>
              <w:rPr>
                <w:rFonts w:ascii="Arial" w:hAnsi="Arial" w:cs="Arial"/>
                <w:color w:val="000000"/>
                <w:sz w:val="20"/>
                <w:szCs w:val="20"/>
              </w:rPr>
            </w:pPr>
            <w:r w:rsidRPr="0021060B">
              <w:rPr>
                <w:rFonts w:ascii="Arial" w:hAnsi="Arial" w:cs="Arial"/>
                <w:color w:val="000000"/>
                <w:sz w:val="20"/>
                <w:szCs w:val="20"/>
              </w:rPr>
              <w:t>85.2</w:t>
            </w:r>
          </w:p>
        </w:tc>
        <w:tc>
          <w:tcPr>
            <w:tcW w:w="1276" w:type="dxa"/>
            <w:tcBorders>
              <w:top w:val="single" w:sz="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after="120"/>
              <w:jc w:val="center"/>
              <w:rPr>
                <w:rFonts w:ascii="Arial" w:hAnsi="Arial" w:cs="Arial"/>
                <w:color w:val="000000"/>
                <w:sz w:val="20"/>
                <w:szCs w:val="20"/>
              </w:rPr>
            </w:pPr>
            <w:r w:rsidRPr="0021060B">
              <w:rPr>
                <w:rFonts w:ascii="Arial" w:hAnsi="Arial" w:cs="Arial"/>
                <w:color w:val="000000"/>
                <w:sz w:val="20"/>
                <w:szCs w:val="20"/>
              </w:rPr>
              <w:t>80.1</w:t>
            </w:r>
          </w:p>
        </w:tc>
        <w:tc>
          <w:tcPr>
            <w:tcW w:w="1276" w:type="dxa"/>
            <w:tcBorders>
              <w:top w:val="single" w:sz="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after="120"/>
              <w:jc w:val="center"/>
              <w:rPr>
                <w:rFonts w:ascii="Arial" w:hAnsi="Arial" w:cs="Arial"/>
                <w:color w:val="000000"/>
                <w:sz w:val="20"/>
                <w:szCs w:val="20"/>
              </w:rPr>
            </w:pPr>
            <w:r w:rsidRPr="0021060B">
              <w:rPr>
                <w:rFonts w:ascii="Arial" w:hAnsi="Arial" w:cs="Arial"/>
                <w:color w:val="000000"/>
                <w:sz w:val="20"/>
                <w:szCs w:val="20"/>
              </w:rPr>
              <w:t>63.9</w:t>
            </w:r>
          </w:p>
        </w:tc>
        <w:tc>
          <w:tcPr>
            <w:tcW w:w="1276" w:type="dxa"/>
            <w:tcBorders>
              <w:top w:val="single" w:sz="2" w:space="0" w:color="B8CCE4" w:themeColor="accent1" w:themeTint="66"/>
              <w:left w:val="nil"/>
              <w:bottom w:val="single" w:sz="12" w:space="0" w:color="002060"/>
              <w:right w:val="nil"/>
            </w:tcBorders>
            <w:shd w:val="clear" w:color="auto" w:fill="auto"/>
            <w:noWrap/>
            <w:vAlign w:val="bottom"/>
            <w:hideMark/>
          </w:tcPr>
          <w:p w:rsidR="0021060B" w:rsidRPr="0021060B" w:rsidRDefault="0021060B" w:rsidP="0097169F">
            <w:pPr>
              <w:spacing w:after="120"/>
              <w:jc w:val="center"/>
              <w:rPr>
                <w:rFonts w:ascii="Arial" w:hAnsi="Arial" w:cs="Arial"/>
                <w:color w:val="000000"/>
                <w:sz w:val="20"/>
                <w:szCs w:val="20"/>
              </w:rPr>
            </w:pPr>
            <w:r w:rsidRPr="0021060B">
              <w:rPr>
                <w:rFonts w:ascii="Arial" w:hAnsi="Arial" w:cs="Arial"/>
                <w:color w:val="000000"/>
                <w:sz w:val="20"/>
                <w:szCs w:val="20"/>
              </w:rPr>
              <w:t>47.8</w:t>
            </w:r>
          </w:p>
        </w:tc>
      </w:tr>
    </w:tbl>
    <w:p w:rsidR="0021060B" w:rsidRDefault="0021060B" w:rsidP="006A06A9">
      <w:pPr>
        <w:rPr>
          <w:rFonts w:ascii="Arial" w:hAnsi="Arial" w:cs="Arial"/>
          <w:sz w:val="22"/>
          <w:szCs w:val="22"/>
          <w:lang w:val="en-US"/>
        </w:rPr>
      </w:pPr>
    </w:p>
    <w:p w:rsidR="0021060B" w:rsidRPr="0021060B" w:rsidRDefault="0021060B" w:rsidP="006A06A9">
      <w:pPr>
        <w:rPr>
          <w:rFonts w:ascii="Arial" w:hAnsi="Arial" w:cs="Arial"/>
          <w:sz w:val="18"/>
          <w:szCs w:val="18"/>
          <w:lang w:val="en-US"/>
        </w:rPr>
      </w:pPr>
      <w:r w:rsidRPr="0021060B">
        <w:rPr>
          <w:rFonts w:ascii="Arial" w:hAnsi="Arial" w:cs="Arial"/>
          <w:sz w:val="18"/>
          <w:szCs w:val="18"/>
          <w:lang w:val="en-US"/>
        </w:rPr>
        <w:t>SOURCE: Compiled from data presented in the 2016 N</w:t>
      </w:r>
      <w:r>
        <w:rPr>
          <w:rFonts w:ascii="Arial" w:hAnsi="Arial" w:cs="Arial"/>
          <w:sz w:val="18"/>
          <w:szCs w:val="18"/>
          <w:lang w:val="en-US"/>
        </w:rPr>
        <w:t>APLAN</w:t>
      </w:r>
      <w:r w:rsidRPr="0021060B">
        <w:rPr>
          <w:rFonts w:ascii="Arial" w:hAnsi="Arial" w:cs="Arial"/>
          <w:sz w:val="18"/>
          <w:szCs w:val="18"/>
          <w:lang w:val="en-US"/>
        </w:rPr>
        <w:t xml:space="preserve"> </w:t>
      </w:r>
      <w:r>
        <w:rPr>
          <w:rFonts w:ascii="Arial" w:hAnsi="Arial" w:cs="Arial"/>
          <w:sz w:val="18"/>
          <w:szCs w:val="18"/>
          <w:lang w:val="en-US"/>
        </w:rPr>
        <w:t xml:space="preserve">National </w:t>
      </w:r>
      <w:r w:rsidRPr="0021060B">
        <w:rPr>
          <w:rFonts w:ascii="Arial" w:hAnsi="Arial" w:cs="Arial"/>
          <w:sz w:val="18"/>
          <w:szCs w:val="18"/>
          <w:lang w:val="en-US"/>
        </w:rPr>
        <w:t>Report.</w:t>
      </w:r>
    </w:p>
    <w:sectPr w:rsidR="0021060B" w:rsidRPr="0021060B" w:rsidSect="009817EF">
      <w:headerReference w:type="default" r:id="rId34"/>
      <w:footerReference w:type="default" r:id="rId35"/>
      <w:headerReference w:type="first" r:id="rId36"/>
      <w:footerReference w:type="first" r:id="rId37"/>
      <w:pgSz w:w="11907" w:h="16840" w:code="9"/>
      <w:pgMar w:top="851" w:right="851" w:bottom="851" w:left="1077"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28B" w:rsidRDefault="0092628B">
      <w:r>
        <w:separator/>
      </w:r>
    </w:p>
  </w:endnote>
  <w:endnote w:type="continuationSeparator" w:id="0">
    <w:p w:rsidR="0092628B" w:rsidRDefault="0092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Bemb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0C" w:rsidRDefault="00D6600C">
    <w:pPr>
      <w:pStyle w:val="Footer"/>
      <w:rPr>
        <w:noProof/>
        <w:lang w:eastAsia="en-AU"/>
      </w:rPr>
    </w:pPr>
  </w:p>
  <w:p w:rsidR="00D6600C" w:rsidRDefault="00D6600C" w:rsidP="002C4B7B">
    <w:pPr>
      <w:pStyle w:val="Footer"/>
      <w:jc w:val="right"/>
    </w:pPr>
  </w:p>
  <w:p w:rsidR="00D6600C" w:rsidRDefault="00D6600C">
    <w:pPr>
      <w:pStyle w:val="Footer"/>
    </w:pPr>
  </w:p>
  <w:p w:rsidR="00D6600C" w:rsidRPr="005B775A" w:rsidRDefault="00D66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0C" w:rsidRDefault="00D6600C" w:rsidP="002B0098">
    <w:pPr>
      <w:pStyle w:val="Footer"/>
      <w:jc w:val="right"/>
    </w:pPr>
    <w:r>
      <w:rPr>
        <w:noProof/>
        <w:lang w:eastAsia="en-AU"/>
      </w:rPr>
      <w:drawing>
        <wp:inline distT="0" distB="0" distL="0" distR="0" wp14:anchorId="6285287C" wp14:editId="296F0174">
          <wp:extent cx="6062134" cy="9652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5144" r="6184" b="33790"/>
                  <a:stretch/>
                </pic:blipFill>
                <pic:spPr bwMode="auto">
                  <a:xfrm>
                    <a:off x="0" y="0"/>
                    <a:ext cx="6079412" cy="967951"/>
                  </a:xfrm>
                  <a:prstGeom prst="rect">
                    <a:avLst/>
                  </a:prstGeom>
                  <a:noFill/>
                  <a:ln>
                    <a:noFill/>
                  </a:ln>
                  <a:extLst>
                    <a:ext uri="{53640926-AAD7-44D8-BBD7-CCE9431645EC}">
                      <a14:shadowObscured xmlns:a14="http://schemas.microsoft.com/office/drawing/2010/main"/>
                    </a:ext>
                  </a:extLst>
                </pic:spPr>
              </pic:pic>
            </a:graphicData>
          </a:graphic>
        </wp:inline>
      </w:drawing>
    </w:r>
  </w:p>
  <w:p w:rsidR="00D6600C" w:rsidRDefault="00D66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28B" w:rsidRDefault="0092628B">
      <w:r>
        <w:separator/>
      </w:r>
    </w:p>
  </w:footnote>
  <w:footnote w:type="continuationSeparator" w:id="0">
    <w:p w:rsidR="0092628B" w:rsidRDefault="00926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0C" w:rsidRDefault="00D6600C">
    <w:pPr>
      <w:pStyle w:val="Header"/>
    </w:pPr>
    <w:r>
      <w:rPr>
        <w:noProof/>
        <w:lang w:eastAsia="en-AU"/>
      </w:rPr>
      <w:drawing>
        <wp:anchor distT="0" distB="0" distL="114300" distR="114300" simplePos="0" relativeHeight="251659264" behindDoc="0" locked="0" layoutInCell="1" allowOverlap="1" wp14:anchorId="24544449" wp14:editId="4FCC6E79">
          <wp:simplePos x="0" y="0"/>
          <wp:positionH relativeFrom="column">
            <wp:posOffset>5021580</wp:posOffset>
          </wp:positionH>
          <wp:positionV relativeFrom="paragraph">
            <wp:posOffset>-73025</wp:posOffset>
          </wp:positionV>
          <wp:extent cx="1459865" cy="973455"/>
          <wp:effectExtent l="0" t="0" r="698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gold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9865" cy="973455"/>
                  </a:xfrm>
                  <a:prstGeom prst="rect">
                    <a:avLst/>
                  </a:prstGeom>
                </pic:spPr>
              </pic:pic>
            </a:graphicData>
          </a:graphic>
          <wp14:sizeRelH relativeFrom="margin">
            <wp14:pctWidth>0</wp14:pctWidth>
          </wp14:sizeRelH>
          <wp14:sizeRelV relativeFrom="margin">
            <wp14:pctHeight>0</wp14:pctHeight>
          </wp14:sizeRelV>
        </wp:anchor>
      </w:drawing>
    </w:r>
  </w:p>
  <w:p w:rsidR="00D6600C" w:rsidRDefault="00D6600C">
    <w:pPr>
      <w:pStyle w:val="Header"/>
    </w:pPr>
  </w:p>
  <w:sdt>
    <w:sdtPr>
      <w:id w:val="481366278"/>
      <w:docPartObj>
        <w:docPartGallery w:val="Page Numbers (Top of Page)"/>
        <w:docPartUnique/>
      </w:docPartObj>
    </w:sdtPr>
    <w:sdtEndPr>
      <w:rPr>
        <w:rFonts w:ascii="Arial" w:hAnsi="Arial" w:cs="Arial"/>
        <w:noProof/>
        <w:color w:val="7030A0"/>
        <w:sz w:val="18"/>
        <w:szCs w:val="18"/>
      </w:rPr>
    </w:sdtEndPr>
    <w:sdtContent>
      <w:p w:rsidR="00D6600C" w:rsidRPr="00CE0F1A" w:rsidRDefault="00D6600C" w:rsidP="00CE0F1A">
        <w:pPr>
          <w:pStyle w:val="Header"/>
          <w:rPr>
            <w:rFonts w:ascii="Arial" w:hAnsi="Arial" w:cs="Arial"/>
            <w:color w:val="7030A0"/>
            <w:sz w:val="18"/>
            <w:szCs w:val="18"/>
          </w:rPr>
        </w:pPr>
        <w:r w:rsidRPr="00CE0F1A">
          <w:rPr>
            <w:rFonts w:ascii="Arial" w:hAnsi="Arial" w:cs="Arial"/>
            <w:color w:val="7030A0"/>
            <w:sz w:val="18"/>
            <w:szCs w:val="18"/>
          </w:rPr>
          <w:fldChar w:fldCharType="begin"/>
        </w:r>
        <w:r w:rsidRPr="00CE0F1A">
          <w:rPr>
            <w:rFonts w:ascii="Arial" w:hAnsi="Arial" w:cs="Arial"/>
            <w:color w:val="7030A0"/>
            <w:sz w:val="18"/>
            <w:szCs w:val="18"/>
          </w:rPr>
          <w:instrText xml:space="preserve"> PAGE   \* MERGEFORMAT </w:instrText>
        </w:r>
        <w:r w:rsidRPr="00CE0F1A">
          <w:rPr>
            <w:rFonts w:ascii="Arial" w:hAnsi="Arial" w:cs="Arial"/>
            <w:color w:val="7030A0"/>
            <w:sz w:val="18"/>
            <w:szCs w:val="18"/>
          </w:rPr>
          <w:fldChar w:fldCharType="separate"/>
        </w:r>
        <w:r w:rsidR="006C4474">
          <w:rPr>
            <w:rFonts w:ascii="Arial" w:hAnsi="Arial" w:cs="Arial"/>
            <w:noProof/>
            <w:color w:val="7030A0"/>
            <w:sz w:val="18"/>
            <w:szCs w:val="18"/>
          </w:rPr>
          <w:t>2</w:t>
        </w:r>
        <w:r w:rsidRPr="00CE0F1A">
          <w:rPr>
            <w:rFonts w:ascii="Arial" w:hAnsi="Arial" w:cs="Arial"/>
            <w:noProof/>
            <w:color w:val="7030A0"/>
            <w:sz w:val="18"/>
            <w:szCs w:val="18"/>
          </w:rPr>
          <w:fldChar w:fldCharType="end"/>
        </w:r>
        <w:r w:rsidRPr="00CE0F1A">
          <w:rPr>
            <w:rFonts w:ascii="Arial" w:hAnsi="Arial" w:cs="Arial"/>
            <w:noProof/>
            <w:color w:val="B99D57"/>
            <w:sz w:val="18"/>
            <w:szCs w:val="18"/>
          </w:rPr>
          <w:t xml:space="preserve"> </w:t>
        </w:r>
        <w:r w:rsidRPr="00CE0F1A">
          <w:rPr>
            <w:rFonts w:ascii="Arial" w:hAnsi="Arial" w:cs="Arial"/>
            <w:color w:val="B99D57"/>
            <w:sz w:val="18"/>
            <w:szCs w:val="18"/>
          </w:rPr>
          <w:t xml:space="preserve">| </w:t>
        </w:r>
        <w:r w:rsidRPr="00AF4E3A">
          <w:rPr>
            <w:rFonts w:ascii="Arial" w:hAnsi="Arial" w:cs="Arial"/>
            <w:color w:val="3F2B71"/>
            <w:sz w:val="18"/>
            <w:szCs w:val="18"/>
          </w:rPr>
          <w:t xml:space="preserve">AHISA 2017-18 </w:t>
        </w:r>
        <w:r>
          <w:rPr>
            <w:rFonts w:ascii="Arial" w:hAnsi="Arial" w:cs="Arial"/>
            <w:color w:val="3F2B71"/>
            <w:sz w:val="18"/>
            <w:szCs w:val="18"/>
          </w:rPr>
          <w:t>PRE-BUDGET SUBMISSION</w:t>
        </w:r>
        <w:r w:rsidRPr="00AF4E3A">
          <w:rPr>
            <w:rFonts w:ascii="Arial" w:hAnsi="Arial" w:cs="Arial"/>
            <w:color w:val="0F243E" w:themeColor="text2" w:themeShade="80"/>
            <w:sz w:val="18"/>
            <w:szCs w:val="18"/>
          </w:rPr>
          <w:t xml:space="preserve">           </w:t>
        </w:r>
      </w:p>
      <w:p w:rsidR="00D6600C" w:rsidRPr="00CE0F1A" w:rsidRDefault="006C4474">
        <w:pPr>
          <w:pStyle w:val="Header"/>
          <w:rPr>
            <w:rFonts w:ascii="Arial" w:hAnsi="Arial" w:cs="Arial"/>
            <w:color w:val="7030A0"/>
            <w:sz w:val="18"/>
            <w:szCs w:val="18"/>
          </w:rPr>
        </w:pPr>
      </w:p>
    </w:sdtContent>
  </w:sdt>
  <w:p w:rsidR="00D6600C" w:rsidRDefault="00D6600C">
    <w:pPr>
      <w:pStyle w:val="Header"/>
    </w:pPr>
  </w:p>
  <w:p w:rsidR="00D6600C" w:rsidRDefault="00D6600C">
    <w:pPr>
      <w:pStyle w:val="Header"/>
    </w:pPr>
  </w:p>
  <w:p w:rsidR="00D6600C" w:rsidRPr="005B775A" w:rsidRDefault="00D660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0C" w:rsidRDefault="00D6600C">
    <w:pPr>
      <w:pStyle w:val="Header"/>
    </w:pPr>
    <w:r>
      <w:rPr>
        <w:noProof/>
        <w:lang w:eastAsia="en-AU"/>
      </w:rPr>
      <w:drawing>
        <wp:inline distT="0" distB="0" distL="0" distR="0" wp14:anchorId="70B6FC82" wp14:editId="3701FE4A">
          <wp:extent cx="6480175" cy="1303483"/>
          <wp:effectExtent l="0" t="0" r="0" b="0"/>
          <wp:docPr id="7" name="Picture 7" descr="Logo f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130348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425"/>
    <w:multiLevelType w:val="hybridMultilevel"/>
    <w:tmpl w:val="D22EC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3E4B10"/>
    <w:multiLevelType w:val="hybridMultilevel"/>
    <w:tmpl w:val="F1A8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CD08B9"/>
    <w:multiLevelType w:val="hybridMultilevel"/>
    <w:tmpl w:val="9C1A18B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nsid w:val="1B1357B0"/>
    <w:multiLevelType w:val="hybridMultilevel"/>
    <w:tmpl w:val="79B20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FE1D63"/>
    <w:multiLevelType w:val="hybridMultilevel"/>
    <w:tmpl w:val="1434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EC1679"/>
    <w:multiLevelType w:val="hybridMultilevel"/>
    <w:tmpl w:val="C3DC8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FF5771"/>
    <w:multiLevelType w:val="hybridMultilevel"/>
    <w:tmpl w:val="1A8E3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351B18"/>
    <w:multiLevelType w:val="hybridMultilevel"/>
    <w:tmpl w:val="20DE3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0CF0D55"/>
    <w:multiLevelType w:val="hybridMultilevel"/>
    <w:tmpl w:val="5AA02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F76253"/>
    <w:multiLevelType w:val="hybridMultilevel"/>
    <w:tmpl w:val="B72CB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A75223"/>
    <w:multiLevelType w:val="hybridMultilevel"/>
    <w:tmpl w:val="7B5AA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EDD20F9"/>
    <w:multiLevelType w:val="hybridMultilevel"/>
    <w:tmpl w:val="501E0C44"/>
    <w:lvl w:ilvl="0" w:tplc="8FB6E1CE">
      <w:start w:val="1"/>
      <w:numFmt w:val="lowerLetter"/>
      <w:lvlText w:val="%1."/>
      <w:lvlJc w:val="left"/>
      <w:pPr>
        <w:ind w:left="720" w:hanging="360"/>
      </w:pPr>
      <w:rPr>
        <w:rFonts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E664BE"/>
    <w:multiLevelType w:val="hybridMultilevel"/>
    <w:tmpl w:val="3CE81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9A4AAB"/>
    <w:multiLevelType w:val="hybridMultilevel"/>
    <w:tmpl w:val="A43E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11"/>
  </w:num>
  <w:num w:numId="5">
    <w:abstractNumId w:val="8"/>
  </w:num>
  <w:num w:numId="6">
    <w:abstractNumId w:val="3"/>
  </w:num>
  <w:num w:numId="7">
    <w:abstractNumId w:val="10"/>
  </w:num>
  <w:num w:numId="8">
    <w:abstractNumId w:val="13"/>
  </w:num>
  <w:num w:numId="9">
    <w:abstractNumId w:val="0"/>
  </w:num>
  <w:num w:numId="10">
    <w:abstractNumId w:val="1"/>
  </w:num>
  <w:num w:numId="11">
    <w:abstractNumId w:val="9"/>
  </w:num>
  <w:num w:numId="12">
    <w:abstractNumId w:val="6"/>
  </w:num>
  <w:num w:numId="13">
    <w:abstractNumId w:val="5"/>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53"/>
    <w:rsid w:val="00000A54"/>
    <w:rsid w:val="00000B2B"/>
    <w:rsid w:val="00006DCB"/>
    <w:rsid w:val="00010DE4"/>
    <w:rsid w:val="00012032"/>
    <w:rsid w:val="000150D4"/>
    <w:rsid w:val="00023BCF"/>
    <w:rsid w:val="00024F5D"/>
    <w:rsid w:val="000323ED"/>
    <w:rsid w:val="00033BB6"/>
    <w:rsid w:val="00035117"/>
    <w:rsid w:val="00036344"/>
    <w:rsid w:val="00037C4B"/>
    <w:rsid w:val="00042121"/>
    <w:rsid w:val="00045502"/>
    <w:rsid w:val="000465DE"/>
    <w:rsid w:val="00051560"/>
    <w:rsid w:val="0005167A"/>
    <w:rsid w:val="000560AB"/>
    <w:rsid w:val="00056735"/>
    <w:rsid w:val="00057498"/>
    <w:rsid w:val="00057924"/>
    <w:rsid w:val="00061758"/>
    <w:rsid w:val="00063E8B"/>
    <w:rsid w:val="00064594"/>
    <w:rsid w:val="00071D01"/>
    <w:rsid w:val="00072ED6"/>
    <w:rsid w:val="00072FCB"/>
    <w:rsid w:val="00076571"/>
    <w:rsid w:val="0007687A"/>
    <w:rsid w:val="00076B09"/>
    <w:rsid w:val="0008050B"/>
    <w:rsid w:val="00084679"/>
    <w:rsid w:val="00092256"/>
    <w:rsid w:val="00094D11"/>
    <w:rsid w:val="0009641A"/>
    <w:rsid w:val="00096B0F"/>
    <w:rsid w:val="000A6C3F"/>
    <w:rsid w:val="000A74B0"/>
    <w:rsid w:val="000B33FB"/>
    <w:rsid w:val="000B4C0F"/>
    <w:rsid w:val="000B5B7B"/>
    <w:rsid w:val="000C1D9E"/>
    <w:rsid w:val="000C31FE"/>
    <w:rsid w:val="000C5299"/>
    <w:rsid w:val="000D2EC8"/>
    <w:rsid w:val="000D3D6C"/>
    <w:rsid w:val="000D73E0"/>
    <w:rsid w:val="000E1AD7"/>
    <w:rsid w:val="000E497C"/>
    <w:rsid w:val="000E512E"/>
    <w:rsid w:val="000F10FF"/>
    <w:rsid w:val="000F19F4"/>
    <w:rsid w:val="000F22EC"/>
    <w:rsid w:val="000F2628"/>
    <w:rsid w:val="001072CD"/>
    <w:rsid w:val="00107F1B"/>
    <w:rsid w:val="001114BB"/>
    <w:rsid w:val="00113098"/>
    <w:rsid w:val="001135BA"/>
    <w:rsid w:val="00114514"/>
    <w:rsid w:val="00127148"/>
    <w:rsid w:val="00127825"/>
    <w:rsid w:val="0013154E"/>
    <w:rsid w:val="001370D7"/>
    <w:rsid w:val="00141710"/>
    <w:rsid w:val="001457BB"/>
    <w:rsid w:val="001470A5"/>
    <w:rsid w:val="0014759C"/>
    <w:rsid w:val="00153A58"/>
    <w:rsid w:val="00154E64"/>
    <w:rsid w:val="00155A0E"/>
    <w:rsid w:val="0015740B"/>
    <w:rsid w:val="00160CA9"/>
    <w:rsid w:val="00164976"/>
    <w:rsid w:val="00166F67"/>
    <w:rsid w:val="00181A44"/>
    <w:rsid w:val="00182A0C"/>
    <w:rsid w:val="00191B30"/>
    <w:rsid w:val="001B1A0E"/>
    <w:rsid w:val="001B1DC4"/>
    <w:rsid w:val="001B28F9"/>
    <w:rsid w:val="001C4EF8"/>
    <w:rsid w:val="001C7CCD"/>
    <w:rsid w:val="001D1797"/>
    <w:rsid w:val="001D588E"/>
    <w:rsid w:val="001E653B"/>
    <w:rsid w:val="001F178D"/>
    <w:rsid w:val="001F3782"/>
    <w:rsid w:val="001F6348"/>
    <w:rsid w:val="00203432"/>
    <w:rsid w:val="002052CE"/>
    <w:rsid w:val="00207C0D"/>
    <w:rsid w:val="0021060B"/>
    <w:rsid w:val="002122BA"/>
    <w:rsid w:val="0021271E"/>
    <w:rsid w:val="0021412E"/>
    <w:rsid w:val="00224A41"/>
    <w:rsid w:val="00234726"/>
    <w:rsid w:val="002357D6"/>
    <w:rsid w:val="002363B1"/>
    <w:rsid w:val="002367D9"/>
    <w:rsid w:val="00236EF9"/>
    <w:rsid w:val="002403B7"/>
    <w:rsid w:val="002417D2"/>
    <w:rsid w:val="00243137"/>
    <w:rsid w:val="00250F8E"/>
    <w:rsid w:val="00251300"/>
    <w:rsid w:val="00253477"/>
    <w:rsid w:val="002550E5"/>
    <w:rsid w:val="0025735B"/>
    <w:rsid w:val="00265164"/>
    <w:rsid w:val="00266673"/>
    <w:rsid w:val="00266C7A"/>
    <w:rsid w:val="00266F39"/>
    <w:rsid w:val="002717C3"/>
    <w:rsid w:val="002735A6"/>
    <w:rsid w:val="002764DD"/>
    <w:rsid w:val="00277BD1"/>
    <w:rsid w:val="0028008C"/>
    <w:rsid w:val="00281765"/>
    <w:rsid w:val="00283C16"/>
    <w:rsid w:val="0028474D"/>
    <w:rsid w:val="00286189"/>
    <w:rsid w:val="00286928"/>
    <w:rsid w:val="00292097"/>
    <w:rsid w:val="00293D07"/>
    <w:rsid w:val="0029415C"/>
    <w:rsid w:val="00294CE0"/>
    <w:rsid w:val="00294D37"/>
    <w:rsid w:val="00297F06"/>
    <w:rsid w:val="002A1D27"/>
    <w:rsid w:val="002A25A2"/>
    <w:rsid w:val="002A3EA4"/>
    <w:rsid w:val="002A4B73"/>
    <w:rsid w:val="002A6207"/>
    <w:rsid w:val="002A6664"/>
    <w:rsid w:val="002B0098"/>
    <w:rsid w:val="002B46E8"/>
    <w:rsid w:val="002B4B56"/>
    <w:rsid w:val="002B4CC3"/>
    <w:rsid w:val="002B5590"/>
    <w:rsid w:val="002C465C"/>
    <w:rsid w:val="002C4B7B"/>
    <w:rsid w:val="002C6223"/>
    <w:rsid w:val="002C77D2"/>
    <w:rsid w:val="002D6273"/>
    <w:rsid w:val="002E0E04"/>
    <w:rsid w:val="002E4C79"/>
    <w:rsid w:val="002F0FAD"/>
    <w:rsid w:val="002F3456"/>
    <w:rsid w:val="002F4637"/>
    <w:rsid w:val="002F5BBE"/>
    <w:rsid w:val="00316133"/>
    <w:rsid w:val="003207BB"/>
    <w:rsid w:val="00326854"/>
    <w:rsid w:val="00345C92"/>
    <w:rsid w:val="00352359"/>
    <w:rsid w:val="00356CD0"/>
    <w:rsid w:val="00357B24"/>
    <w:rsid w:val="00362745"/>
    <w:rsid w:val="00363B8F"/>
    <w:rsid w:val="00365847"/>
    <w:rsid w:val="00374F20"/>
    <w:rsid w:val="0037525A"/>
    <w:rsid w:val="003762BA"/>
    <w:rsid w:val="003865DA"/>
    <w:rsid w:val="003919B6"/>
    <w:rsid w:val="003A139F"/>
    <w:rsid w:val="003A4303"/>
    <w:rsid w:val="003A54EA"/>
    <w:rsid w:val="003B1F89"/>
    <w:rsid w:val="003B426D"/>
    <w:rsid w:val="003C1284"/>
    <w:rsid w:val="003C382D"/>
    <w:rsid w:val="003C3C2B"/>
    <w:rsid w:val="003D0FAE"/>
    <w:rsid w:val="003D1EA9"/>
    <w:rsid w:val="003D5ECC"/>
    <w:rsid w:val="003D7091"/>
    <w:rsid w:val="003D76A8"/>
    <w:rsid w:val="003E1C4C"/>
    <w:rsid w:val="003E1D53"/>
    <w:rsid w:val="003F66A5"/>
    <w:rsid w:val="00401830"/>
    <w:rsid w:val="00402577"/>
    <w:rsid w:val="0040787A"/>
    <w:rsid w:val="00413499"/>
    <w:rsid w:val="00414877"/>
    <w:rsid w:val="0041646D"/>
    <w:rsid w:val="00416BB2"/>
    <w:rsid w:val="004331DE"/>
    <w:rsid w:val="004342E3"/>
    <w:rsid w:val="00434ADF"/>
    <w:rsid w:val="0043761D"/>
    <w:rsid w:val="0044409A"/>
    <w:rsid w:val="0044436D"/>
    <w:rsid w:val="00450EC4"/>
    <w:rsid w:val="00451293"/>
    <w:rsid w:val="00452097"/>
    <w:rsid w:val="00452284"/>
    <w:rsid w:val="004539BB"/>
    <w:rsid w:val="00453A2A"/>
    <w:rsid w:val="00462E08"/>
    <w:rsid w:val="00467753"/>
    <w:rsid w:val="00474220"/>
    <w:rsid w:val="0047690A"/>
    <w:rsid w:val="00476F83"/>
    <w:rsid w:val="00480F84"/>
    <w:rsid w:val="00481A0F"/>
    <w:rsid w:val="00485D26"/>
    <w:rsid w:val="00486904"/>
    <w:rsid w:val="00491CDB"/>
    <w:rsid w:val="00494A71"/>
    <w:rsid w:val="00496138"/>
    <w:rsid w:val="004A1D26"/>
    <w:rsid w:val="004A2447"/>
    <w:rsid w:val="004A5DA5"/>
    <w:rsid w:val="004B37F8"/>
    <w:rsid w:val="004B4AA7"/>
    <w:rsid w:val="004C068F"/>
    <w:rsid w:val="004C277D"/>
    <w:rsid w:val="004C610F"/>
    <w:rsid w:val="004D6879"/>
    <w:rsid w:val="004D6C83"/>
    <w:rsid w:val="004E3677"/>
    <w:rsid w:val="004E491A"/>
    <w:rsid w:val="004E5531"/>
    <w:rsid w:val="004E5FF9"/>
    <w:rsid w:val="004E6CB6"/>
    <w:rsid w:val="004E793E"/>
    <w:rsid w:val="004F2AEE"/>
    <w:rsid w:val="004F2B3B"/>
    <w:rsid w:val="004F3840"/>
    <w:rsid w:val="004F69FF"/>
    <w:rsid w:val="00500D72"/>
    <w:rsid w:val="005017D9"/>
    <w:rsid w:val="00505EBA"/>
    <w:rsid w:val="005076F5"/>
    <w:rsid w:val="00507782"/>
    <w:rsid w:val="005102E3"/>
    <w:rsid w:val="005122F6"/>
    <w:rsid w:val="0052173E"/>
    <w:rsid w:val="00521C93"/>
    <w:rsid w:val="00522AC9"/>
    <w:rsid w:val="00524ED0"/>
    <w:rsid w:val="005325A9"/>
    <w:rsid w:val="00534679"/>
    <w:rsid w:val="00537A83"/>
    <w:rsid w:val="00541C25"/>
    <w:rsid w:val="00547B65"/>
    <w:rsid w:val="00560031"/>
    <w:rsid w:val="00561EDD"/>
    <w:rsid w:val="00562487"/>
    <w:rsid w:val="00562580"/>
    <w:rsid w:val="0056491A"/>
    <w:rsid w:val="005677E2"/>
    <w:rsid w:val="00570C54"/>
    <w:rsid w:val="00574A47"/>
    <w:rsid w:val="005805CF"/>
    <w:rsid w:val="005855EA"/>
    <w:rsid w:val="00587CE7"/>
    <w:rsid w:val="005939AE"/>
    <w:rsid w:val="00593B78"/>
    <w:rsid w:val="005940DA"/>
    <w:rsid w:val="0059594A"/>
    <w:rsid w:val="00597C82"/>
    <w:rsid w:val="005A2052"/>
    <w:rsid w:val="005A31F0"/>
    <w:rsid w:val="005A41E8"/>
    <w:rsid w:val="005A4EEE"/>
    <w:rsid w:val="005A5CE4"/>
    <w:rsid w:val="005B0224"/>
    <w:rsid w:val="005B0B2C"/>
    <w:rsid w:val="005B18D9"/>
    <w:rsid w:val="005B39E2"/>
    <w:rsid w:val="005B4C0A"/>
    <w:rsid w:val="005B4DA4"/>
    <w:rsid w:val="005B775A"/>
    <w:rsid w:val="005B7993"/>
    <w:rsid w:val="005B7E5F"/>
    <w:rsid w:val="005C24F7"/>
    <w:rsid w:val="005D04B8"/>
    <w:rsid w:val="005D2160"/>
    <w:rsid w:val="005D3B01"/>
    <w:rsid w:val="005D50AD"/>
    <w:rsid w:val="005D58C5"/>
    <w:rsid w:val="005D71F3"/>
    <w:rsid w:val="005E2145"/>
    <w:rsid w:val="005E2EEA"/>
    <w:rsid w:val="005E3745"/>
    <w:rsid w:val="005E3EDB"/>
    <w:rsid w:val="005E5A38"/>
    <w:rsid w:val="005F2AB3"/>
    <w:rsid w:val="005F56A8"/>
    <w:rsid w:val="005F757E"/>
    <w:rsid w:val="00602AF3"/>
    <w:rsid w:val="0060476B"/>
    <w:rsid w:val="00606AB7"/>
    <w:rsid w:val="00606D34"/>
    <w:rsid w:val="00611E86"/>
    <w:rsid w:val="00617701"/>
    <w:rsid w:val="00623C05"/>
    <w:rsid w:val="00623CFA"/>
    <w:rsid w:val="00625D48"/>
    <w:rsid w:val="0062676A"/>
    <w:rsid w:val="00626F3E"/>
    <w:rsid w:val="006270E6"/>
    <w:rsid w:val="006304DE"/>
    <w:rsid w:val="00640D83"/>
    <w:rsid w:val="006433D2"/>
    <w:rsid w:val="00645FE7"/>
    <w:rsid w:val="00646150"/>
    <w:rsid w:val="00651F2C"/>
    <w:rsid w:val="00657ACD"/>
    <w:rsid w:val="0066492C"/>
    <w:rsid w:val="0067338C"/>
    <w:rsid w:val="00677825"/>
    <w:rsid w:val="00677DA9"/>
    <w:rsid w:val="00680A1B"/>
    <w:rsid w:val="00680EC1"/>
    <w:rsid w:val="00687C65"/>
    <w:rsid w:val="006920CB"/>
    <w:rsid w:val="00694EA6"/>
    <w:rsid w:val="00695F41"/>
    <w:rsid w:val="006A06A9"/>
    <w:rsid w:val="006A349E"/>
    <w:rsid w:val="006A5FA2"/>
    <w:rsid w:val="006B2A28"/>
    <w:rsid w:val="006B749E"/>
    <w:rsid w:val="006C134D"/>
    <w:rsid w:val="006C2852"/>
    <w:rsid w:val="006C4474"/>
    <w:rsid w:val="006C4BCB"/>
    <w:rsid w:val="006C6023"/>
    <w:rsid w:val="006D3B54"/>
    <w:rsid w:val="006E1FEA"/>
    <w:rsid w:val="006E3113"/>
    <w:rsid w:val="006E4041"/>
    <w:rsid w:val="006E5938"/>
    <w:rsid w:val="006F3572"/>
    <w:rsid w:val="006F744A"/>
    <w:rsid w:val="0070221A"/>
    <w:rsid w:val="00703422"/>
    <w:rsid w:val="00703AB5"/>
    <w:rsid w:val="00706755"/>
    <w:rsid w:val="0071136D"/>
    <w:rsid w:val="00711C47"/>
    <w:rsid w:val="007224E8"/>
    <w:rsid w:val="0073235E"/>
    <w:rsid w:val="00736CA1"/>
    <w:rsid w:val="00741C09"/>
    <w:rsid w:val="00742876"/>
    <w:rsid w:val="0074737A"/>
    <w:rsid w:val="00747F4F"/>
    <w:rsid w:val="00750B2A"/>
    <w:rsid w:val="00751635"/>
    <w:rsid w:val="00751A3C"/>
    <w:rsid w:val="0075458A"/>
    <w:rsid w:val="00754D2B"/>
    <w:rsid w:val="007643A2"/>
    <w:rsid w:val="007648D4"/>
    <w:rsid w:val="00766F97"/>
    <w:rsid w:val="007706F1"/>
    <w:rsid w:val="007744C1"/>
    <w:rsid w:val="007752D0"/>
    <w:rsid w:val="007772BE"/>
    <w:rsid w:val="00782574"/>
    <w:rsid w:val="0079699D"/>
    <w:rsid w:val="00796D3E"/>
    <w:rsid w:val="007A09F5"/>
    <w:rsid w:val="007B0B9C"/>
    <w:rsid w:val="007B2E4A"/>
    <w:rsid w:val="007B5031"/>
    <w:rsid w:val="007B61DD"/>
    <w:rsid w:val="007C16B7"/>
    <w:rsid w:val="007C608A"/>
    <w:rsid w:val="007D13E2"/>
    <w:rsid w:val="007D3135"/>
    <w:rsid w:val="007D5EEC"/>
    <w:rsid w:val="007D5F1E"/>
    <w:rsid w:val="007D7AEB"/>
    <w:rsid w:val="007E06E7"/>
    <w:rsid w:val="007E1DD9"/>
    <w:rsid w:val="007E4209"/>
    <w:rsid w:val="007E7D14"/>
    <w:rsid w:val="007F2345"/>
    <w:rsid w:val="007F3C99"/>
    <w:rsid w:val="007F44DB"/>
    <w:rsid w:val="00800A02"/>
    <w:rsid w:val="008111F8"/>
    <w:rsid w:val="0081598A"/>
    <w:rsid w:val="00820E42"/>
    <w:rsid w:val="00824686"/>
    <w:rsid w:val="00825BC9"/>
    <w:rsid w:val="00834D78"/>
    <w:rsid w:val="00835AC5"/>
    <w:rsid w:val="00836DB4"/>
    <w:rsid w:val="00846319"/>
    <w:rsid w:val="00854487"/>
    <w:rsid w:val="0085458C"/>
    <w:rsid w:val="00871F53"/>
    <w:rsid w:val="00873B89"/>
    <w:rsid w:val="00875026"/>
    <w:rsid w:val="00875906"/>
    <w:rsid w:val="00877B73"/>
    <w:rsid w:val="00883C4A"/>
    <w:rsid w:val="008849EC"/>
    <w:rsid w:val="00887E00"/>
    <w:rsid w:val="00892EAC"/>
    <w:rsid w:val="00894F9A"/>
    <w:rsid w:val="00896517"/>
    <w:rsid w:val="00896F51"/>
    <w:rsid w:val="008A03BC"/>
    <w:rsid w:val="008A11F3"/>
    <w:rsid w:val="008A22FC"/>
    <w:rsid w:val="008A3F57"/>
    <w:rsid w:val="008A4CBC"/>
    <w:rsid w:val="008A73A1"/>
    <w:rsid w:val="008A7DBE"/>
    <w:rsid w:val="008B0963"/>
    <w:rsid w:val="008B0CB2"/>
    <w:rsid w:val="008B33D4"/>
    <w:rsid w:val="008B498C"/>
    <w:rsid w:val="008C2672"/>
    <w:rsid w:val="008D0C83"/>
    <w:rsid w:val="008D2018"/>
    <w:rsid w:val="008D3A79"/>
    <w:rsid w:val="008D587F"/>
    <w:rsid w:val="008D63A7"/>
    <w:rsid w:val="008E1793"/>
    <w:rsid w:val="008E18E7"/>
    <w:rsid w:val="008E2F1E"/>
    <w:rsid w:val="008E5C7E"/>
    <w:rsid w:val="008F18B4"/>
    <w:rsid w:val="008F19A5"/>
    <w:rsid w:val="008F2F48"/>
    <w:rsid w:val="008F34F0"/>
    <w:rsid w:val="008F3B13"/>
    <w:rsid w:val="008F5BD1"/>
    <w:rsid w:val="008F6193"/>
    <w:rsid w:val="00901AFA"/>
    <w:rsid w:val="00906FF0"/>
    <w:rsid w:val="009077AA"/>
    <w:rsid w:val="00914A68"/>
    <w:rsid w:val="00916F15"/>
    <w:rsid w:val="00917ED8"/>
    <w:rsid w:val="00922EB6"/>
    <w:rsid w:val="00924FDD"/>
    <w:rsid w:val="00925493"/>
    <w:rsid w:val="00925DD5"/>
    <w:rsid w:val="0092628B"/>
    <w:rsid w:val="009276E2"/>
    <w:rsid w:val="00930568"/>
    <w:rsid w:val="00930D3C"/>
    <w:rsid w:val="0093285F"/>
    <w:rsid w:val="009460DB"/>
    <w:rsid w:val="00951603"/>
    <w:rsid w:val="0097169F"/>
    <w:rsid w:val="00971A28"/>
    <w:rsid w:val="009725BA"/>
    <w:rsid w:val="009768F1"/>
    <w:rsid w:val="00976BFF"/>
    <w:rsid w:val="00976F13"/>
    <w:rsid w:val="00981630"/>
    <w:rsid w:val="009817EF"/>
    <w:rsid w:val="00986086"/>
    <w:rsid w:val="00987B99"/>
    <w:rsid w:val="009908CB"/>
    <w:rsid w:val="0099124D"/>
    <w:rsid w:val="009A4B32"/>
    <w:rsid w:val="009A53BB"/>
    <w:rsid w:val="009A74D7"/>
    <w:rsid w:val="009A76FC"/>
    <w:rsid w:val="009B0CB5"/>
    <w:rsid w:val="009B2424"/>
    <w:rsid w:val="009B3BD6"/>
    <w:rsid w:val="009B63EB"/>
    <w:rsid w:val="009B6587"/>
    <w:rsid w:val="009C6A3D"/>
    <w:rsid w:val="009D1979"/>
    <w:rsid w:val="009D24FD"/>
    <w:rsid w:val="009D2D81"/>
    <w:rsid w:val="009D462F"/>
    <w:rsid w:val="009D6BF7"/>
    <w:rsid w:val="009E1D03"/>
    <w:rsid w:val="009E3747"/>
    <w:rsid w:val="009F278E"/>
    <w:rsid w:val="009F5833"/>
    <w:rsid w:val="009F6457"/>
    <w:rsid w:val="009F7005"/>
    <w:rsid w:val="00A12638"/>
    <w:rsid w:val="00A1419F"/>
    <w:rsid w:val="00A16E85"/>
    <w:rsid w:val="00A214E5"/>
    <w:rsid w:val="00A237FA"/>
    <w:rsid w:val="00A33FDD"/>
    <w:rsid w:val="00A43257"/>
    <w:rsid w:val="00A5094C"/>
    <w:rsid w:val="00A52908"/>
    <w:rsid w:val="00A61159"/>
    <w:rsid w:val="00A637D8"/>
    <w:rsid w:val="00A63A1F"/>
    <w:rsid w:val="00A65204"/>
    <w:rsid w:val="00A72478"/>
    <w:rsid w:val="00A7409D"/>
    <w:rsid w:val="00A7490B"/>
    <w:rsid w:val="00A74BD7"/>
    <w:rsid w:val="00A83F63"/>
    <w:rsid w:val="00A85554"/>
    <w:rsid w:val="00A85DC1"/>
    <w:rsid w:val="00A90275"/>
    <w:rsid w:val="00A94F46"/>
    <w:rsid w:val="00A97373"/>
    <w:rsid w:val="00AA0BDE"/>
    <w:rsid w:val="00AA0DAB"/>
    <w:rsid w:val="00AA34EA"/>
    <w:rsid w:val="00AA53DD"/>
    <w:rsid w:val="00AB7614"/>
    <w:rsid w:val="00AC0768"/>
    <w:rsid w:val="00AC1718"/>
    <w:rsid w:val="00AD036B"/>
    <w:rsid w:val="00AD0B0B"/>
    <w:rsid w:val="00AD0C83"/>
    <w:rsid w:val="00AD2EDD"/>
    <w:rsid w:val="00AE1668"/>
    <w:rsid w:val="00AE2E68"/>
    <w:rsid w:val="00AE2FEA"/>
    <w:rsid w:val="00AE5FC3"/>
    <w:rsid w:val="00AF274C"/>
    <w:rsid w:val="00AF3895"/>
    <w:rsid w:val="00AF4A58"/>
    <w:rsid w:val="00AF4E3A"/>
    <w:rsid w:val="00AF7F0D"/>
    <w:rsid w:val="00B0646E"/>
    <w:rsid w:val="00B0710B"/>
    <w:rsid w:val="00B112AE"/>
    <w:rsid w:val="00B17E0D"/>
    <w:rsid w:val="00B23120"/>
    <w:rsid w:val="00B26B8A"/>
    <w:rsid w:val="00B323FB"/>
    <w:rsid w:val="00B3269F"/>
    <w:rsid w:val="00B32F4E"/>
    <w:rsid w:val="00B3374B"/>
    <w:rsid w:val="00B37831"/>
    <w:rsid w:val="00B3787D"/>
    <w:rsid w:val="00B45CF9"/>
    <w:rsid w:val="00B512FC"/>
    <w:rsid w:val="00B52A94"/>
    <w:rsid w:val="00B576A3"/>
    <w:rsid w:val="00B57F4A"/>
    <w:rsid w:val="00B60241"/>
    <w:rsid w:val="00B63B0E"/>
    <w:rsid w:val="00B71B01"/>
    <w:rsid w:val="00B7433C"/>
    <w:rsid w:val="00B76065"/>
    <w:rsid w:val="00B76909"/>
    <w:rsid w:val="00B83F2B"/>
    <w:rsid w:val="00B85441"/>
    <w:rsid w:val="00B95472"/>
    <w:rsid w:val="00BA03CB"/>
    <w:rsid w:val="00BA17E6"/>
    <w:rsid w:val="00BA4974"/>
    <w:rsid w:val="00BA4AC6"/>
    <w:rsid w:val="00BA68AA"/>
    <w:rsid w:val="00BA7314"/>
    <w:rsid w:val="00BB1EFA"/>
    <w:rsid w:val="00BB232A"/>
    <w:rsid w:val="00BB2C4E"/>
    <w:rsid w:val="00BB5E38"/>
    <w:rsid w:val="00BB5F4C"/>
    <w:rsid w:val="00BB6742"/>
    <w:rsid w:val="00BC0EC7"/>
    <w:rsid w:val="00BC4058"/>
    <w:rsid w:val="00BC7BE1"/>
    <w:rsid w:val="00BD0819"/>
    <w:rsid w:val="00BD2030"/>
    <w:rsid w:val="00BD2708"/>
    <w:rsid w:val="00BD3F3C"/>
    <w:rsid w:val="00BE0C22"/>
    <w:rsid w:val="00BE2618"/>
    <w:rsid w:val="00BE406E"/>
    <w:rsid w:val="00BE4861"/>
    <w:rsid w:val="00BE72E5"/>
    <w:rsid w:val="00C00582"/>
    <w:rsid w:val="00C02CB8"/>
    <w:rsid w:val="00C075D4"/>
    <w:rsid w:val="00C14A3E"/>
    <w:rsid w:val="00C15820"/>
    <w:rsid w:val="00C1624B"/>
    <w:rsid w:val="00C17B48"/>
    <w:rsid w:val="00C252C7"/>
    <w:rsid w:val="00C2549A"/>
    <w:rsid w:val="00C33BED"/>
    <w:rsid w:val="00C34CE4"/>
    <w:rsid w:val="00C37F67"/>
    <w:rsid w:val="00C43BB7"/>
    <w:rsid w:val="00C4416D"/>
    <w:rsid w:val="00C4493B"/>
    <w:rsid w:val="00C50F2F"/>
    <w:rsid w:val="00C516C2"/>
    <w:rsid w:val="00C566C4"/>
    <w:rsid w:val="00C61F08"/>
    <w:rsid w:val="00C7130D"/>
    <w:rsid w:val="00C76B04"/>
    <w:rsid w:val="00C85AA1"/>
    <w:rsid w:val="00C90828"/>
    <w:rsid w:val="00C90B78"/>
    <w:rsid w:val="00C92041"/>
    <w:rsid w:val="00C92603"/>
    <w:rsid w:val="00C93645"/>
    <w:rsid w:val="00C95C01"/>
    <w:rsid w:val="00C96127"/>
    <w:rsid w:val="00CA4298"/>
    <w:rsid w:val="00CB0C6F"/>
    <w:rsid w:val="00CB604B"/>
    <w:rsid w:val="00CB7F23"/>
    <w:rsid w:val="00CD0DDD"/>
    <w:rsid w:val="00CD1078"/>
    <w:rsid w:val="00CD28E2"/>
    <w:rsid w:val="00CD32B9"/>
    <w:rsid w:val="00CD6532"/>
    <w:rsid w:val="00CD70CB"/>
    <w:rsid w:val="00CD7E94"/>
    <w:rsid w:val="00CE0F1A"/>
    <w:rsid w:val="00CE1A3C"/>
    <w:rsid w:val="00CF5A48"/>
    <w:rsid w:val="00D00D8C"/>
    <w:rsid w:val="00D0192C"/>
    <w:rsid w:val="00D03248"/>
    <w:rsid w:val="00D03531"/>
    <w:rsid w:val="00D111FC"/>
    <w:rsid w:val="00D165D0"/>
    <w:rsid w:val="00D22C46"/>
    <w:rsid w:val="00D2785B"/>
    <w:rsid w:val="00D33BCE"/>
    <w:rsid w:val="00D33E83"/>
    <w:rsid w:val="00D3523B"/>
    <w:rsid w:val="00D46648"/>
    <w:rsid w:val="00D5028A"/>
    <w:rsid w:val="00D50808"/>
    <w:rsid w:val="00D52EBB"/>
    <w:rsid w:val="00D57C29"/>
    <w:rsid w:val="00D61740"/>
    <w:rsid w:val="00D6286C"/>
    <w:rsid w:val="00D6600C"/>
    <w:rsid w:val="00D679BA"/>
    <w:rsid w:val="00D71541"/>
    <w:rsid w:val="00D747C5"/>
    <w:rsid w:val="00D8069E"/>
    <w:rsid w:val="00D86A8A"/>
    <w:rsid w:val="00DA2851"/>
    <w:rsid w:val="00DA6AC0"/>
    <w:rsid w:val="00DB04E8"/>
    <w:rsid w:val="00DB1E37"/>
    <w:rsid w:val="00DC360D"/>
    <w:rsid w:val="00DC757F"/>
    <w:rsid w:val="00DD3154"/>
    <w:rsid w:val="00DD53BC"/>
    <w:rsid w:val="00DD6ADD"/>
    <w:rsid w:val="00DE43FE"/>
    <w:rsid w:val="00DE6E82"/>
    <w:rsid w:val="00DE72B5"/>
    <w:rsid w:val="00DF6E6A"/>
    <w:rsid w:val="00DF75BE"/>
    <w:rsid w:val="00E01A32"/>
    <w:rsid w:val="00E03D8E"/>
    <w:rsid w:val="00E048A2"/>
    <w:rsid w:val="00E1134C"/>
    <w:rsid w:val="00E128C8"/>
    <w:rsid w:val="00E22E7C"/>
    <w:rsid w:val="00E30DCC"/>
    <w:rsid w:val="00E32D23"/>
    <w:rsid w:val="00E4227D"/>
    <w:rsid w:val="00E517DC"/>
    <w:rsid w:val="00E53FBF"/>
    <w:rsid w:val="00E54BDF"/>
    <w:rsid w:val="00E5559A"/>
    <w:rsid w:val="00E556E1"/>
    <w:rsid w:val="00E62224"/>
    <w:rsid w:val="00E623BD"/>
    <w:rsid w:val="00E647E4"/>
    <w:rsid w:val="00E6611B"/>
    <w:rsid w:val="00E673E4"/>
    <w:rsid w:val="00E704E1"/>
    <w:rsid w:val="00E81F06"/>
    <w:rsid w:val="00E82035"/>
    <w:rsid w:val="00E8325A"/>
    <w:rsid w:val="00E87BA9"/>
    <w:rsid w:val="00E90E4D"/>
    <w:rsid w:val="00E93371"/>
    <w:rsid w:val="00E93EA9"/>
    <w:rsid w:val="00EA74D2"/>
    <w:rsid w:val="00EB1226"/>
    <w:rsid w:val="00EB68B1"/>
    <w:rsid w:val="00EC05C9"/>
    <w:rsid w:val="00EC0C19"/>
    <w:rsid w:val="00EC140C"/>
    <w:rsid w:val="00EC6E8E"/>
    <w:rsid w:val="00ED0604"/>
    <w:rsid w:val="00ED372A"/>
    <w:rsid w:val="00ED442A"/>
    <w:rsid w:val="00EE056F"/>
    <w:rsid w:val="00EE5036"/>
    <w:rsid w:val="00EE6EBC"/>
    <w:rsid w:val="00EE72BE"/>
    <w:rsid w:val="00EF3FBF"/>
    <w:rsid w:val="00EF51AA"/>
    <w:rsid w:val="00EF5B5D"/>
    <w:rsid w:val="00EF6412"/>
    <w:rsid w:val="00EF7FDF"/>
    <w:rsid w:val="00F000CC"/>
    <w:rsid w:val="00F0417E"/>
    <w:rsid w:val="00F07A61"/>
    <w:rsid w:val="00F11E47"/>
    <w:rsid w:val="00F22298"/>
    <w:rsid w:val="00F25821"/>
    <w:rsid w:val="00F31BDC"/>
    <w:rsid w:val="00F34CAE"/>
    <w:rsid w:val="00F35A04"/>
    <w:rsid w:val="00F44169"/>
    <w:rsid w:val="00F441E2"/>
    <w:rsid w:val="00F52B25"/>
    <w:rsid w:val="00F560A6"/>
    <w:rsid w:val="00F5784A"/>
    <w:rsid w:val="00F60CEF"/>
    <w:rsid w:val="00F633DE"/>
    <w:rsid w:val="00F72A87"/>
    <w:rsid w:val="00F73D64"/>
    <w:rsid w:val="00F76FBC"/>
    <w:rsid w:val="00F8404D"/>
    <w:rsid w:val="00F939FD"/>
    <w:rsid w:val="00F95C04"/>
    <w:rsid w:val="00FA28BD"/>
    <w:rsid w:val="00FA3218"/>
    <w:rsid w:val="00FA6F1F"/>
    <w:rsid w:val="00FA7674"/>
    <w:rsid w:val="00FB09EE"/>
    <w:rsid w:val="00FB6027"/>
    <w:rsid w:val="00FB7F82"/>
    <w:rsid w:val="00FC3B3C"/>
    <w:rsid w:val="00FC66CB"/>
    <w:rsid w:val="00FC68A5"/>
    <w:rsid w:val="00FC7B73"/>
    <w:rsid w:val="00FD21C7"/>
    <w:rsid w:val="00FD32A7"/>
    <w:rsid w:val="00FD589E"/>
    <w:rsid w:val="00FD6354"/>
    <w:rsid w:val="00FE0C0B"/>
    <w:rsid w:val="00FE6D36"/>
    <w:rsid w:val="00FF5163"/>
    <w:rsid w:val="00FF5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71"/>
    <w:rPr>
      <w:sz w:val="24"/>
      <w:szCs w:val="24"/>
      <w:lang w:eastAsia="en-US"/>
    </w:rPr>
  </w:style>
  <w:style w:type="paragraph" w:styleId="Heading1">
    <w:name w:val="heading 1"/>
    <w:basedOn w:val="Normal"/>
    <w:link w:val="Heading1Char"/>
    <w:uiPriority w:val="9"/>
    <w:qFormat/>
    <w:rsid w:val="008B33D4"/>
    <w:pPr>
      <w:spacing w:before="100" w:beforeAutospacing="1" w:after="100" w:afterAutospacing="1"/>
      <w:outlineLvl w:val="0"/>
    </w:pPr>
    <w:rPr>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775A"/>
    <w:pPr>
      <w:tabs>
        <w:tab w:val="center" w:pos="4320"/>
        <w:tab w:val="right" w:pos="8640"/>
      </w:tabs>
    </w:pPr>
  </w:style>
  <w:style w:type="paragraph" w:styleId="Footer">
    <w:name w:val="footer"/>
    <w:basedOn w:val="Normal"/>
    <w:rsid w:val="005B775A"/>
    <w:pPr>
      <w:tabs>
        <w:tab w:val="center" w:pos="4320"/>
        <w:tab w:val="right" w:pos="8640"/>
      </w:tabs>
    </w:pPr>
  </w:style>
  <w:style w:type="paragraph" w:styleId="BalloonText">
    <w:name w:val="Balloon Text"/>
    <w:basedOn w:val="Normal"/>
    <w:link w:val="BalloonTextChar"/>
    <w:rsid w:val="009A53BB"/>
    <w:rPr>
      <w:rFonts w:ascii="Tahoma" w:hAnsi="Tahoma" w:cs="Tahoma"/>
      <w:sz w:val="16"/>
      <w:szCs w:val="16"/>
    </w:rPr>
  </w:style>
  <w:style w:type="character" w:customStyle="1" w:styleId="BalloonTextChar">
    <w:name w:val="Balloon Text Char"/>
    <w:basedOn w:val="DefaultParagraphFont"/>
    <w:link w:val="BalloonText"/>
    <w:rsid w:val="009A53BB"/>
    <w:rPr>
      <w:rFonts w:ascii="Tahoma" w:hAnsi="Tahoma" w:cs="Tahoma"/>
      <w:sz w:val="16"/>
      <w:szCs w:val="16"/>
      <w:lang w:eastAsia="en-US"/>
    </w:rPr>
  </w:style>
  <w:style w:type="paragraph" w:styleId="ListParagraph">
    <w:name w:val="List Paragraph"/>
    <w:basedOn w:val="Normal"/>
    <w:uiPriority w:val="34"/>
    <w:qFormat/>
    <w:rsid w:val="00796D3E"/>
    <w:pPr>
      <w:ind w:left="720"/>
      <w:contextualSpacing/>
    </w:pPr>
    <w:rPr>
      <w:rFonts w:ascii="Calibri" w:eastAsiaTheme="minorHAnsi" w:hAnsi="Calibri"/>
      <w:sz w:val="22"/>
      <w:szCs w:val="22"/>
    </w:rPr>
  </w:style>
  <w:style w:type="paragraph" w:customStyle="1" w:styleId="Default">
    <w:name w:val="Default"/>
    <w:rsid w:val="0056491A"/>
    <w:pPr>
      <w:autoSpaceDE w:val="0"/>
      <w:autoSpaceDN w:val="0"/>
      <w:adjustRightInd w:val="0"/>
    </w:pPr>
    <w:rPr>
      <w:rFonts w:ascii="Bembo" w:hAnsi="Bembo" w:cs="Bembo"/>
      <w:color w:val="000000"/>
      <w:sz w:val="24"/>
      <w:szCs w:val="24"/>
    </w:rPr>
  </w:style>
  <w:style w:type="table" w:styleId="TableGrid">
    <w:name w:val="Table Grid"/>
    <w:basedOn w:val="TableNormal"/>
    <w:uiPriority w:val="59"/>
    <w:rsid w:val="00854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3CFA"/>
    <w:rPr>
      <w:color w:val="0000FF"/>
      <w:u w:val="single"/>
    </w:rPr>
  </w:style>
  <w:style w:type="paragraph" w:styleId="NormalWeb">
    <w:name w:val="Normal (Web)"/>
    <w:basedOn w:val="Normal"/>
    <w:uiPriority w:val="99"/>
    <w:unhideWhenUsed/>
    <w:rsid w:val="008B33D4"/>
    <w:pPr>
      <w:spacing w:before="100" w:beforeAutospacing="1" w:after="100" w:afterAutospacing="1"/>
    </w:pPr>
    <w:rPr>
      <w:lang w:eastAsia="en-AU"/>
    </w:rPr>
  </w:style>
  <w:style w:type="character" w:customStyle="1" w:styleId="apple-converted-space">
    <w:name w:val="apple-converted-space"/>
    <w:basedOn w:val="DefaultParagraphFont"/>
    <w:rsid w:val="008B33D4"/>
  </w:style>
  <w:style w:type="character" w:customStyle="1" w:styleId="Heading1Char">
    <w:name w:val="Heading 1 Char"/>
    <w:basedOn w:val="DefaultParagraphFont"/>
    <w:link w:val="Heading1"/>
    <w:uiPriority w:val="9"/>
    <w:rsid w:val="008B33D4"/>
    <w:rPr>
      <w:b/>
      <w:bCs/>
      <w:kern w:val="36"/>
      <w:sz w:val="48"/>
      <w:szCs w:val="48"/>
    </w:rPr>
  </w:style>
  <w:style w:type="character" w:styleId="FollowedHyperlink">
    <w:name w:val="FollowedHyperlink"/>
    <w:basedOn w:val="DefaultParagraphFont"/>
    <w:rsid w:val="00467753"/>
    <w:rPr>
      <w:color w:val="800080" w:themeColor="followedHyperlink"/>
      <w:u w:val="single"/>
    </w:rPr>
  </w:style>
  <w:style w:type="character" w:customStyle="1" w:styleId="release-meta">
    <w:name w:val="release-meta"/>
    <w:basedOn w:val="DefaultParagraphFont"/>
    <w:rsid w:val="008E1793"/>
  </w:style>
  <w:style w:type="character" w:customStyle="1" w:styleId="date-display-single">
    <w:name w:val="date-display-single"/>
    <w:basedOn w:val="DefaultParagraphFont"/>
    <w:rsid w:val="008E1793"/>
  </w:style>
  <w:style w:type="character" w:styleId="Strong">
    <w:name w:val="Strong"/>
    <w:basedOn w:val="DefaultParagraphFont"/>
    <w:uiPriority w:val="22"/>
    <w:qFormat/>
    <w:rsid w:val="00434ADF"/>
    <w:rPr>
      <w:b/>
      <w:bCs/>
    </w:rPr>
  </w:style>
  <w:style w:type="character" w:styleId="Emphasis">
    <w:name w:val="Emphasis"/>
    <w:basedOn w:val="DefaultParagraphFont"/>
    <w:uiPriority w:val="20"/>
    <w:qFormat/>
    <w:rsid w:val="00297F06"/>
    <w:rPr>
      <w:i/>
      <w:iCs/>
    </w:rPr>
  </w:style>
  <w:style w:type="character" w:customStyle="1" w:styleId="HeaderChar">
    <w:name w:val="Header Char"/>
    <w:basedOn w:val="DefaultParagraphFont"/>
    <w:link w:val="Header"/>
    <w:uiPriority w:val="99"/>
    <w:rsid w:val="002A6207"/>
    <w:rPr>
      <w:sz w:val="24"/>
      <w:szCs w:val="24"/>
      <w:lang w:eastAsia="en-US"/>
    </w:rPr>
  </w:style>
  <w:style w:type="character" w:customStyle="1" w:styleId="Date1">
    <w:name w:val="Date1"/>
    <w:basedOn w:val="DefaultParagraphFont"/>
    <w:rsid w:val="00212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71"/>
    <w:rPr>
      <w:sz w:val="24"/>
      <w:szCs w:val="24"/>
      <w:lang w:eastAsia="en-US"/>
    </w:rPr>
  </w:style>
  <w:style w:type="paragraph" w:styleId="Heading1">
    <w:name w:val="heading 1"/>
    <w:basedOn w:val="Normal"/>
    <w:link w:val="Heading1Char"/>
    <w:uiPriority w:val="9"/>
    <w:qFormat/>
    <w:rsid w:val="008B33D4"/>
    <w:pPr>
      <w:spacing w:before="100" w:beforeAutospacing="1" w:after="100" w:afterAutospacing="1"/>
      <w:outlineLvl w:val="0"/>
    </w:pPr>
    <w:rPr>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775A"/>
    <w:pPr>
      <w:tabs>
        <w:tab w:val="center" w:pos="4320"/>
        <w:tab w:val="right" w:pos="8640"/>
      </w:tabs>
    </w:pPr>
  </w:style>
  <w:style w:type="paragraph" w:styleId="Footer">
    <w:name w:val="footer"/>
    <w:basedOn w:val="Normal"/>
    <w:rsid w:val="005B775A"/>
    <w:pPr>
      <w:tabs>
        <w:tab w:val="center" w:pos="4320"/>
        <w:tab w:val="right" w:pos="8640"/>
      </w:tabs>
    </w:pPr>
  </w:style>
  <w:style w:type="paragraph" w:styleId="BalloonText">
    <w:name w:val="Balloon Text"/>
    <w:basedOn w:val="Normal"/>
    <w:link w:val="BalloonTextChar"/>
    <w:rsid w:val="009A53BB"/>
    <w:rPr>
      <w:rFonts w:ascii="Tahoma" w:hAnsi="Tahoma" w:cs="Tahoma"/>
      <w:sz w:val="16"/>
      <w:szCs w:val="16"/>
    </w:rPr>
  </w:style>
  <w:style w:type="character" w:customStyle="1" w:styleId="BalloonTextChar">
    <w:name w:val="Balloon Text Char"/>
    <w:basedOn w:val="DefaultParagraphFont"/>
    <w:link w:val="BalloonText"/>
    <w:rsid w:val="009A53BB"/>
    <w:rPr>
      <w:rFonts w:ascii="Tahoma" w:hAnsi="Tahoma" w:cs="Tahoma"/>
      <w:sz w:val="16"/>
      <w:szCs w:val="16"/>
      <w:lang w:eastAsia="en-US"/>
    </w:rPr>
  </w:style>
  <w:style w:type="paragraph" w:styleId="ListParagraph">
    <w:name w:val="List Paragraph"/>
    <w:basedOn w:val="Normal"/>
    <w:uiPriority w:val="34"/>
    <w:qFormat/>
    <w:rsid w:val="00796D3E"/>
    <w:pPr>
      <w:ind w:left="720"/>
      <w:contextualSpacing/>
    </w:pPr>
    <w:rPr>
      <w:rFonts w:ascii="Calibri" w:eastAsiaTheme="minorHAnsi" w:hAnsi="Calibri"/>
      <w:sz w:val="22"/>
      <w:szCs w:val="22"/>
    </w:rPr>
  </w:style>
  <w:style w:type="paragraph" w:customStyle="1" w:styleId="Default">
    <w:name w:val="Default"/>
    <w:rsid w:val="0056491A"/>
    <w:pPr>
      <w:autoSpaceDE w:val="0"/>
      <w:autoSpaceDN w:val="0"/>
      <w:adjustRightInd w:val="0"/>
    </w:pPr>
    <w:rPr>
      <w:rFonts w:ascii="Bembo" w:hAnsi="Bembo" w:cs="Bembo"/>
      <w:color w:val="000000"/>
      <w:sz w:val="24"/>
      <w:szCs w:val="24"/>
    </w:rPr>
  </w:style>
  <w:style w:type="table" w:styleId="TableGrid">
    <w:name w:val="Table Grid"/>
    <w:basedOn w:val="TableNormal"/>
    <w:uiPriority w:val="59"/>
    <w:rsid w:val="00854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3CFA"/>
    <w:rPr>
      <w:color w:val="0000FF"/>
      <w:u w:val="single"/>
    </w:rPr>
  </w:style>
  <w:style w:type="paragraph" w:styleId="NormalWeb">
    <w:name w:val="Normal (Web)"/>
    <w:basedOn w:val="Normal"/>
    <w:uiPriority w:val="99"/>
    <w:unhideWhenUsed/>
    <w:rsid w:val="008B33D4"/>
    <w:pPr>
      <w:spacing w:before="100" w:beforeAutospacing="1" w:after="100" w:afterAutospacing="1"/>
    </w:pPr>
    <w:rPr>
      <w:lang w:eastAsia="en-AU"/>
    </w:rPr>
  </w:style>
  <w:style w:type="character" w:customStyle="1" w:styleId="apple-converted-space">
    <w:name w:val="apple-converted-space"/>
    <w:basedOn w:val="DefaultParagraphFont"/>
    <w:rsid w:val="008B33D4"/>
  </w:style>
  <w:style w:type="character" w:customStyle="1" w:styleId="Heading1Char">
    <w:name w:val="Heading 1 Char"/>
    <w:basedOn w:val="DefaultParagraphFont"/>
    <w:link w:val="Heading1"/>
    <w:uiPriority w:val="9"/>
    <w:rsid w:val="008B33D4"/>
    <w:rPr>
      <w:b/>
      <w:bCs/>
      <w:kern w:val="36"/>
      <w:sz w:val="48"/>
      <w:szCs w:val="48"/>
    </w:rPr>
  </w:style>
  <w:style w:type="character" w:styleId="FollowedHyperlink">
    <w:name w:val="FollowedHyperlink"/>
    <w:basedOn w:val="DefaultParagraphFont"/>
    <w:rsid w:val="00467753"/>
    <w:rPr>
      <w:color w:val="800080" w:themeColor="followedHyperlink"/>
      <w:u w:val="single"/>
    </w:rPr>
  </w:style>
  <w:style w:type="character" w:customStyle="1" w:styleId="release-meta">
    <w:name w:val="release-meta"/>
    <w:basedOn w:val="DefaultParagraphFont"/>
    <w:rsid w:val="008E1793"/>
  </w:style>
  <w:style w:type="character" w:customStyle="1" w:styleId="date-display-single">
    <w:name w:val="date-display-single"/>
    <w:basedOn w:val="DefaultParagraphFont"/>
    <w:rsid w:val="008E1793"/>
  </w:style>
  <w:style w:type="character" w:styleId="Strong">
    <w:name w:val="Strong"/>
    <w:basedOn w:val="DefaultParagraphFont"/>
    <w:uiPriority w:val="22"/>
    <w:qFormat/>
    <w:rsid w:val="00434ADF"/>
    <w:rPr>
      <w:b/>
      <w:bCs/>
    </w:rPr>
  </w:style>
  <w:style w:type="character" w:styleId="Emphasis">
    <w:name w:val="Emphasis"/>
    <w:basedOn w:val="DefaultParagraphFont"/>
    <w:uiPriority w:val="20"/>
    <w:qFormat/>
    <w:rsid w:val="00297F06"/>
    <w:rPr>
      <w:i/>
      <w:iCs/>
    </w:rPr>
  </w:style>
  <w:style w:type="character" w:customStyle="1" w:styleId="HeaderChar">
    <w:name w:val="Header Char"/>
    <w:basedOn w:val="DefaultParagraphFont"/>
    <w:link w:val="Header"/>
    <w:uiPriority w:val="99"/>
    <w:rsid w:val="002A6207"/>
    <w:rPr>
      <w:sz w:val="24"/>
      <w:szCs w:val="24"/>
      <w:lang w:eastAsia="en-US"/>
    </w:rPr>
  </w:style>
  <w:style w:type="character" w:customStyle="1" w:styleId="Date1">
    <w:name w:val="Date1"/>
    <w:basedOn w:val="DefaultParagraphFont"/>
    <w:rsid w:val="0021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5404">
      <w:bodyDiv w:val="1"/>
      <w:marLeft w:val="0"/>
      <w:marRight w:val="0"/>
      <w:marTop w:val="0"/>
      <w:marBottom w:val="0"/>
      <w:divBdr>
        <w:top w:val="none" w:sz="0" w:space="0" w:color="auto"/>
        <w:left w:val="none" w:sz="0" w:space="0" w:color="auto"/>
        <w:bottom w:val="none" w:sz="0" w:space="0" w:color="auto"/>
        <w:right w:val="none" w:sz="0" w:space="0" w:color="auto"/>
      </w:divBdr>
    </w:div>
    <w:div w:id="620378479">
      <w:bodyDiv w:val="1"/>
      <w:marLeft w:val="0"/>
      <w:marRight w:val="0"/>
      <w:marTop w:val="0"/>
      <w:marBottom w:val="0"/>
      <w:divBdr>
        <w:top w:val="none" w:sz="0" w:space="0" w:color="auto"/>
        <w:left w:val="none" w:sz="0" w:space="0" w:color="auto"/>
        <w:bottom w:val="none" w:sz="0" w:space="0" w:color="auto"/>
        <w:right w:val="none" w:sz="0" w:space="0" w:color="auto"/>
      </w:divBdr>
      <w:divsChild>
        <w:div w:id="1774351396">
          <w:marLeft w:val="0"/>
          <w:marRight w:val="0"/>
          <w:marTop w:val="0"/>
          <w:marBottom w:val="0"/>
          <w:divBdr>
            <w:top w:val="none" w:sz="0" w:space="0" w:color="auto"/>
            <w:left w:val="none" w:sz="0" w:space="0" w:color="auto"/>
            <w:bottom w:val="none" w:sz="0" w:space="0" w:color="auto"/>
            <w:right w:val="none" w:sz="0" w:space="0" w:color="auto"/>
          </w:divBdr>
          <w:divsChild>
            <w:div w:id="1280841043">
              <w:marLeft w:val="0"/>
              <w:marRight w:val="0"/>
              <w:marTop w:val="0"/>
              <w:marBottom w:val="0"/>
              <w:divBdr>
                <w:top w:val="none" w:sz="0" w:space="0" w:color="auto"/>
                <w:left w:val="none" w:sz="0" w:space="0" w:color="auto"/>
                <w:bottom w:val="none" w:sz="0" w:space="0" w:color="auto"/>
                <w:right w:val="none" w:sz="0" w:space="0" w:color="auto"/>
              </w:divBdr>
              <w:divsChild>
                <w:div w:id="1220097253">
                  <w:marLeft w:val="0"/>
                  <w:marRight w:val="0"/>
                  <w:marTop w:val="0"/>
                  <w:marBottom w:val="0"/>
                  <w:divBdr>
                    <w:top w:val="none" w:sz="0" w:space="0" w:color="auto"/>
                    <w:left w:val="none" w:sz="0" w:space="0" w:color="auto"/>
                    <w:bottom w:val="none" w:sz="0" w:space="0" w:color="auto"/>
                    <w:right w:val="none" w:sz="0" w:space="0" w:color="auto"/>
                  </w:divBdr>
                  <w:divsChild>
                    <w:div w:id="9926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43253">
              <w:marLeft w:val="0"/>
              <w:marRight w:val="0"/>
              <w:marTop w:val="0"/>
              <w:marBottom w:val="0"/>
              <w:divBdr>
                <w:top w:val="none" w:sz="0" w:space="0" w:color="auto"/>
                <w:left w:val="none" w:sz="0" w:space="0" w:color="auto"/>
                <w:bottom w:val="none" w:sz="0" w:space="0" w:color="auto"/>
                <w:right w:val="none" w:sz="0" w:space="0" w:color="auto"/>
              </w:divBdr>
              <w:divsChild>
                <w:div w:id="1033116805">
                  <w:marLeft w:val="0"/>
                  <w:marRight w:val="0"/>
                  <w:marTop w:val="0"/>
                  <w:marBottom w:val="0"/>
                  <w:divBdr>
                    <w:top w:val="none" w:sz="0" w:space="0" w:color="auto"/>
                    <w:left w:val="none" w:sz="0" w:space="0" w:color="auto"/>
                    <w:bottom w:val="none" w:sz="0" w:space="0" w:color="auto"/>
                    <w:right w:val="none" w:sz="0" w:space="0" w:color="auto"/>
                  </w:divBdr>
                  <w:divsChild>
                    <w:div w:id="5277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3173">
              <w:marLeft w:val="0"/>
              <w:marRight w:val="0"/>
              <w:marTop w:val="0"/>
              <w:marBottom w:val="0"/>
              <w:divBdr>
                <w:top w:val="none" w:sz="0" w:space="0" w:color="auto"/>
                <w:left w:val="none" w:sz="0" w:space="0" w:color="auto"/>
                <w:bottom w:val="none" w:sz="0" w:space="0" w:color="auto"/>
                <w:right w:val="none" w:sz="0" w:space="0" w:color="auto"/>
              </w:divBdr>
              <w:divsChild>
                <w:div w:id="1939289596">
                  <w:marLeft w:val="0"/>
                  <w:marRight w:val="0"/>
                  <w:marTop w:val="0"/>
                  <w:marBottom w:val="0"/>
                  <w:divBdr>
                    <w:top w:val="none" w:sz="0" w:space="0" w:color="auto"/>
                    <w:left w:val="none" w:sz="0" w:space="0" w:color="auto"/>
                    <w:bottom w:val="none" w:sz="0" w:space="0" w:color="auto"/>
                    <w:right w:val="none" w:sz="0" w:space="0" w:color="auto"/>
                  </w:divBdr>
                  <w:divsChild>
                    <w:div w:id="14129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716">
              <w:marLeft w:val="0"/>
              <w:marRight w:val="0"/>
              <w:marTop w:val="0"/>
              <w:marBottom w:val="0"/>
              <w:divBdr>
                <w:top w:val="none" w:sz="0" w:space="0" w:color="auto"/>
                <w:left w:val="none" w:sz="0" w:space="0" w:color="auto"/>
                <w:bottom w:val="none" w:sz="0" w:space="0" w:color="auto"/>
                <w:right w:val="none" w:sz="0" w:space="0" w:color="auto"/>
              </w:divBdr>
              <w:divsChild>
                <w:div w:id="1327711716">
                  <w:marLeft w:val="0"/>
                  <w:marRight w:val="0"/>
                  <w:marTop w:val="0"/>
                  <w:marBottom w:val="0"/>
                  <w:divBdr>
                    <w:top w:val="none" w:sz="0" w:space="0" w:color="auto"/>
                    <w:left w:val="none" w:sz="0" w:space="0" w:color="auto"/>
                    <w:bottom w:val="none" w:sz="0" w:space="0" w:color="auto"/>
                    <w:right w:val="none" w:sz="0" w:space="0" w:color="auto"/>
                  </w:divBdr>
                  <w:divsChild>
                    <w:div w:id="10155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26453">
      <w:bodyDiv w:val="1"/>
      <w:marLeft w:val="0"/>
      <w:marRight w:val="0"/>
      <w:marTop w:val="0"/>
      <w:marBottom w:val="0"/>
      <w:divBdr>
        <w:top w:val="none" w:sz="0" w:space="0" w:color="auto"/>
        <w:left w:val="none" w:sz="0" w:space="0" w:color="auto"/>
        <w:bottom w:val="none" w:sz="0" w:space="0" w:color="auto"/>
        <w:right w:val="none" w:sz="0" w:space="0" w:color="auto"/>
      </w:divBdr>
    </w:div>
    <w:div w:id="1273318081">
      <w:bodyDiv w:val="1"/>
      <w:marLeft w:val="0"/>
      <w:marRight w:val="0"/>
      <w:marTop w:val="0"/>
      <w:marBottom w:val="0"/>
      <w:divBdr>
        <w:top w:val="none" w:sz="0" w:space="0" w:color="auto"/>
        <w:left w:val="none" w:sz="0" w:space="0" w:color="auto"/>
        <w:bottom w:val="none" w:sz="0" w:space="0" w:color="auto"/>
        <w:right w:val="none" w:sz="0" w:space="0" w:color="auto"/>
      </w:divBdr>
    </w:div>
    <w:div w:id="1472014439">
      <w:bodyDiv w:val="1"/>
      <w:marLeft w:val="0"/>
      <w:marRight w:val="0"/>
      <w:marTop w:val="0"/>
      <w:marBottom w:val="0"/>
      <w:divBdr>
        <w:top w:val="none" w:sz="0" w:space="0" w:color="auto"/>
        <w:left w:val="none" w:sz="0" w:space="0" w:color="auto"/>
        <w:bottom w:val="none" w:sz="0" w:space="0" w:color="auto"/>
        <w:right w:val="none" w:sz="0" w:space="0" w:color="auto"/>
      </w:divBdr>
    </w:div>
    <w:div w:id="1477062793">
      <w:bodyDiv w:val="1"/>
      <w:marLeft w:val="0"/>
      <w:marRight w:val="0"/>
      <w:marTop w:val="0"/>
      <w:marBottom w:val="0"/>
      <w:divBdr>
        <w:top w:val="none" w:sz="0" w:space="0" w:color="auto"/>
        <w:left w:val="none" w:sz="0" w:space="0" w:color="auto"/>
        <w:bottom w:val="none" w:sz="0" w:space="0" w:color="auto"/>
        <w:right w:val="none" w:sz="0" w:space="0" w:color="auto"/>
      </w:divBdr>
    </w:div>
    <w:div w:id="17884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isca.edu.au/wp-content/uploads/2011/03/ISCA-Snapshot-2016-A4-2pp.pdf" TargetMode="External"/><Relationship Id="rId26" Type="http://schemas.openxmlformats.org/officeDocument/2006/relationships/hyperlink" Target="http://www.ahisa.edu.au/wp-content/uploads/2016/03/AHISA-Never-Give-Up-Part-2-29Feb16.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anderbilt.edu/schoolchoice/conference/papers/Ryan-Watson%20COMPLETE_updated.pdf"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ahisa.edu.au/wp-content/uploads/2016/03/AHISA-Never-Give-Up-Part-2-29Feb16.pdf" TargetMode="External"/><Relationship Id="rId25" Type="http://schemas.openxmlformats.org/officeDocument/2006/relationships/hyperlink" Target="http://www.malcolmturnbull.com.au/media/speech-to-parliament-on-the-2016-closing-the-gap-report" TargetMode="External"/><Relationship Id="rId33" Type="http://schemas.openxmlformats.org/officeDocument/2006/relationships/hyperlink" Target="http://competitionpolicyreview.gov.au/files/2014/12/ISCA.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aed.sagepub.com/content/early/2015/05/29/0004944115586658.full.pdf+html" TargetMode="External"/><Relationship Id="rId29" Type="http://schemas.openxmlformats.org/officeDocument/2006/relationships/hyperlink" Target="http://research.acer.edu.au/cgi/viewcontent.cgi?article=1001&amp;context=policyinsigh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dpmc.gov.au/sites/default/files/publications/indigenous/Health-Performance-Framework-2014/tier-2-determinants-health/205-education-outcomes-young-people.html" TargetMode="External"/><Relationship Id="rId32" Type="http://schemas.openxmlformats.org/officeDocument/2006/relationships/hyperlink" Target="https://grattan.edu.au/news/people-pressure-planning-changes-in-your-school-population/"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ahisa.edu.au/wp-content/uploads/2016/03/AHISA-Never-Give-Up-Part-2-29Feb16.pdf" TargetMode="External"/><Relationship Id="rId23" Type="http://schemas.openxmlformats.org/officeDocument/2006/relationships/hyperlink" Target="https://www.acer.edu.au/ozpisa/pisa-2015" TargetMode="External"/><Relationship Id="rId28" Type="http://schemas.openxmlformats.org/officeDocument/2006/relationships/hyperlink" Target="http://www.asiaeducation.edu.au/docs/default-source/what-works-pdf/what-works-5-report.pdf"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isca.edu.au/wp-content/uploads/2011/07/2016-Independent-Update-4-Capital-funding.pdf" TargetMode="External"/><Relationship Id="rId31" Type="http://schemas.openxmlformats.org/officeDocument/2006/relationships/hyperlink" Target="http://www.isq.qld.edu.au/files/file/News%20and%20Media/Reports/FinancialSchoolInfrastructureReportEmail.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hart" Target="charts/chart1.xml"/><Relationship Id="rId22" Type="http://schemas.openxmlformats.org/officeDocument/2006/relationships/hyperlink" Target="http://www.ahisa.edu.au/resources/ahisa-infographics/ahisa-infographic-1/" TargetMode="External"/><Relationship Id="rId27" Type="http://schemas.openxmlformats.org/officeDocument/2006/relationships/hyperlink" Target="http://www.whatworks.edu.au/upload/1341805220784_file_SuccessinRemoteSchools2012.pdf" TargetMode="External"/><Relationship Id="rId30" Type="http://schemas.openxmlformats.org/officeDocument/2006/relationships/hyperlink" Target="http://isca.edu.au/about-independent-schools/enrolment-trends-in-independent-schools/"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dal\Documents\Corporate%20affairs\AHISA%20Logo%20letterhead%20etc\AHISA%20National%20Office%20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yndal\Documents\Media%20and%20communications\Media%20releases%20and%20statements\14%20Dec%2016%20-%20NAPLAN%20Report\NAPLAN%202016%20-%20Reading-Writing-Numeracy%20-%20Australia%20-%20By%20Geoloc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NAPLAN 2016 - Y9 Reading-Writing-Numeracy</a:t>
            </a:r>
          </a:p>
          <a:p>
            <a:pPr>
              <a:defRPr/>
            </a:pPr>
            <a:r>
              <a:rPr lang="en-US" sz="1200"/>
              <a:t>Indigenous Students - Australia</a:t>
            </a:r>
          </a:p>
        </c:rich>
      </c:tx>
      <c:overlay val="0"/>
    </c:title>
    <c:autoTitleDeleted val="0"/>
    <c:plotArea>
      <c:layout/>
      <c:lineChart>
        <c:grouping val="standard"/>
        <c:varyColors val="0"/>
        <c:ser>
          <c:idx val="0"/>
          <c:order val="0"/>
          <c:tx>
            <c:strRef>
              <c:f>CHARTS!$B$45</c:f>
              <c:strCache>
                <c:ptCount val="1"/>
                <c:pt idx="0">
                  <c:v>Y9 reading</c:v>
                </c:pt>
              </c:strCache>
            </c:strRef>
          </c:tx>
          <c:cat>
            <c:strRef>
              <c:f>CHARTS!$C$44:$G$44</c:f>
              <c:strCache>
                <c:ptCount val="5"/>
                <c:pt idx="0">
                  <c:v>Major Cities</c:v>
                </c:pt>
                <c:pt idx="1">
                  <c:v>Inner Regional</c:v>
                </c:pt>
                <c:pt idx="2">
                  <c:v>Outer Regional</c:v>
                </c:pt>
                <c:pt idx="3">
                  <c:v>Remote</c:v>
                </c:pt>
                <c:pt idx="4">
                  <c:v>Very Remote</c:v>
                </c:pt>
              </c:strCache>
            </c:strRef>
          </c:cat>
          <c:val>
            <c:numRef>
              <c:f>CHARTS!$C$45:$G$45</c:f>
              <c:numCache>
                <c:formatCode>General</c:formatCode>
                <c:ptCount val="5"/>
                <c:pt idx="0">
                  <c:v>82.1</c:v>
                </c:pt>
                <c:pt idx="1">
                  <c:v>80.900000000000006</c:v>
                </c:pt>
                <c:pt idx="2">
                  <c:v>72.3</c:v>
                </c:pt>
                <c:pt idx="3">
                  <c:v>55.1</c:v>
                </c:pt>
                <c:pt idx="4">
                  <c:v>33.9</c:v>
                </c:pt>
              </c:numCache>
            </c:numRef>
          </c:val>
          <c:smooth val="0"/>
        </c:ser>
        <c:ser>
          <c:idx val="1"/>
          <c:order val="1"/>
          <c:tx>
            <c:strRef>
              <c:f>CHARTS!$B$46</c:f>
              <c:strCache>
                <c:ptCount val="1"/>
                <c:pt idx="0">
                  <c:v>Y9 writing</c:v>
                </c:pt>
              </c:strCache>
            </c:strRef>
          </c:tx>
          <c:cat>
            <c:strRef>
              <c:f>CHARTS!$C$44:$G$44</c:f>
              <c:strCache>
                <c:ptCount val="5"/>
                <c:pt idx="0">
                  <c:v>Major Cities</c:v>
                </c:pt>
                <c:pt idx="1">
                  <c:v>Inner Regional</c:v>
                </c:pt>
                <c:pt idx="2">
                  <c:v>Outer Regional</c:v>
                </c:pt>
                <c:pt idx="3">
                  <c:v>Remote</c:v>
                </c:pt>
                <c:pt idx="4">
                  <c:v>Very Remote</c:v>
                </c:pt>
              </c:strCache>
            </c:strRef>
          </c:cat>
          <c:val>
            <c:numRef>
              <c:f>CHARTS!$C$46:$G$46</c:f>
              <c:numCache>
                <c:formatCode>General</c:formatCode>
                <c:ptCount val="5"/>
                <c:pt idx="0">
                  <c:v>62.8</c:v>
                </c:pt>
                <c:pt idx="1">
                  <c:v>58.3</c:v>
                </c:pt>
                <c:pt idx="2">
                  <c:v>49.6</c:v>
                </c:pt>
                <c:pt idx="3">
                  <c:v>32.700000000000003</c:v>
                </c:pt>
                <c:pt idx="4">
                  <c:v>16.600000000000001</c:v>
                </c:pt>
              </c:numCache>
            </c:numRef>
          </c:val>
          <c:smooth val="0"/>
        </c:ser>
        <c:ser>
          <c:idx val="2"/>
          <c:order val="2"/>
          <c:tx>
            <c:strRef>
              <c:f>CHARTS!$B$47</c:f>
              <c:strCache>
                <c:ptCount val="1"/>
                <c:pt idx="0">
                  <c:v>Y9 numeracy</c:v>
                </c:pt>
              </c:strCache>
            </c:strRef>
          </c:tx>
          <c:cat>
            <c:strRef>
              <c:f>CHARTS!$C$44:$G$44</c:f>
              <c:strCache>
                <c:ptCount val="5"/>
                <c:pt idx="0">
                  <c:v>Major Cities</c:v>
                </c:pt>
                <c:pt idx="1">
                  <c:v>Inner Regional</c:v>
                </c:pt>
                <c:pt idx="2">
                  <c:v>Outer Regional</c:v>
                </c:pt>
                <c:pt idx="3">
                  <c:v>Remote</c:v>
                </c:pt>
                <c:pt idx="4">
                  <c:v>Very Remote</c:v>
                </c:pt>
              </c:strCache>
            </c:strRef>
          </c:cat>
          <c:val>
            <c:numRef>
              <c:f>CHARTS!$C$47:$G$47</c:f>
              <c:numCache>
                <c:formatCode>General</c:formatCode>
                <c:ptCount val="5"/>
                <c:pt idx="0">
                  <c:v>86.3</c:v>
                </c:pt>
                <c:pt idx="1">
                  <c:v>85.2</c:v>
                </c:pt>
                <c:pt idx="2">
                  <c:v>80.099999999999994</c:v>
                </c:pt>
                <c:pt idx="3">
                  <c:v>63.9</c:v>
                </c:pt>
                <c:pt idx="4">
                  <c:v>47.8</c:v>
                </c:pt>
              </c:numCache>
            </c:numRef>
          </c:val>
          <c:smooth val="0"/>
        </c:ser>
        <c:dLbls>
          <c:showLegendKey val="0"/>
          <c:showVal val="0"/>
          <c:showCatName val="0"/>
          <c:showSerName val="0"/>
          <c:showPercent val="0"/>
          <c:showBubbleSize val="0"/>
        </c:dLbls>
        <c:marker val="1"/>
        <c:smooth val="0"/>
        <c:axId val="190703104"/>
        <c:axId val="190705024"/>
      </c:lineChart>
      <c:catAx>
        <c:axId val="190703104"/>
        <c:scaling>
          <c:orientation val="minMax"/>
        </c:scaling>
        <c:delete val="0"/>
        <c:axPos val="b"/>
        <c:majorTickMark val="out"/>
        <c:minorTickMark val="none"/>
        <c:tickLblPos val="nextTo"/>
        <c:txPr>
          <a:bodyPr/>
          <a:lstStyle/>
          <a:p>
            <a:pPr>
              <a:defRPr sz="900" b="1"/>
            </a:pPr>
            <a:endParaRPr lang="en-US"/>
          </a:p>
        </c:txPr>
        <c:crossAx val="190705024"/>
        <c:crosses val="autoZero"/>
        <c:auto val="1"/>
        <c:lblAlgn val="ctr"/>
        <c:lblOffset val="100"/>
        <c:noMultiLvlLbl val="0"/>
      </c:catAx>
      <c:valAx>
        <c:axId val="190705024"/>
        <c:scaling>
          <c:orientation val="minMax"/>
        </c:scaling>
        <c:delete val="0"/>
        <c:axPos val="l"/>
        <c:majorGridlines/>
        <c:title>
          <c:tx>
            <c:rich>
              <a:bodyPr rot="-5400000" vert="horz"/>
              <a:lstStyle/>
              <a:p>
                <a:pPr>
                  <a:defRPr/>
                </a:pPr>
                <a:r>
                  <a:rPr lang="en-US"/>
                  <a:t>Per cent of students at or above minimum national standard</a:t>
                </a:r>
              </a:p>
            </c:rich>
          </c:tx>
          <c:overlay val="0"/>
        </c:title>
        <c:numFmt formatCode="General" sourceLinked="1"/>
        <c:majorTickMark val="out"/>
        <c:minorTickMark val="none"/>
        <c:tickLblPos val="nextTo"/>
        <c:crossAx val="190703104"/>
        <c:crosses val="autoZero"/>
        <c:crossBetween val="between"/>
      </c:valAx>
      <c:spPr>
        <a:solidFill>
          <a:srgbClr val="F0F5FA"/>
        </a:solidFill>
      </c:spPr>
    </c:plotArea>
    <c:legend>
      <c:legendPos val="r"/>
      <c:overlay val="0"/>
    </c:legend>
    <c:plotVisOnly val="1"/>
    <c:dispBlanksAs val="gap"/>
    <c:showDLblsOverMax val="0"/>
  </c:chart>
  <c:spPr>
    <a:solidFill>
      <a:srgbClr val="F0F5FA"/>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2017FG-94-5544</_dlc_DocId>
    <TaxCatchAll xmlns="e544e5cc-ab70-42e1-849e-1a0f8bb1f4ef">
      <Value>2</Value>
    </TaxCatchAll>
    <_dlc_DocIdUrl xmlns="e544e5cc-ab70-42e1-849e-1a0f8bb1f4ef">
      <Url>http://tweb/sites/fg/bpd/_layouts/15/DocIdRedir.aspx?ID=2017FG-94-5544</Url>
      <Description>2017FG-94-5544</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2EDE-36BA-4C8F-8331-EC59DB4EB938}">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2.xml><?xml version="1.0" encoding="utf-8"?>
<ds:datastoreItem xmlns:ds="http://schemas.openxmlformats.org/officeDocument/2006/customXml" ds:itemID="{249D2073-6FEA-49DE-AA1C-D724AC7BB50F}">
  <ds:schemaRefs>
    <ds:schemaRef ds:uri="http://schemas.microsoft.com/sharepoint/v3/contenttype/forms"/>
  </ds:schemaRefs>
</ds:datastoreItem>
</file>

<file path=customXml/itemProps3.xml><?xml version="1.0" encoding="utf-8"?>
<ds:datastoreItem xmlns:ds="http://schemas.openxmlformats.org/officeDocument/2006/customXml" ds:itemID="{88EEDE9D-5C2D-4507-B5F4-1886B9E308BC}">
  <ds:schemaRefs>
    <ds:schemaRef ds:uri="office.server.policy"/>
  </ds:schemaRefs>
</ds:datastoreItem>
</file>

<file path=customXml/itemProps4.xml><?xml version="1.0" encoding="utf-8"?>
<ds:datastoreItem xmlns:ds="http://schemas.openxmlformats.org/officeDocument/2006/customXml" ds:itemID="{68E2600F-629C-4AA2-9E79-18DD8BACBEE8}">
  <ds:schemaRefs>
    <ds:schemaRef ds:uri="http://schemas.microsoft.com/sharepoint/events"/>
  </ds:schemaRefs>
</ds:datastoreItem>
</file>

<file path=customXml/itemProps5.xml><?xml version="1.0" encoding="utf-8"?>
<ds:datastoreItem xmlns:ds="http://schemas.openxmlformats.org/officeDocument/2006/customXml" ds:itemID="{3452FC11-B469-465B-BD24-011C5A329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19678A-55E4-4478-99D6-10862471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AHISA National Office Template.dotx</Template>
  <TotalTime>0</TotalTime>
  <Pages>4</Pages>
  <Words>6883</Words>
  <Characters>41537</Characters>
  <Application>Microsoft Office Word</Application>
  <DocSecurity>0</DocSecurity>
  <Lines>944</Lines>
  <Paragraphs>475</Paragraphs>
  <ScaleCrop>false</ScaleCrop>
  <Company/>
  <LinksUpToDate>false</LinksUpToDate>
  <CharactersWithSpaces>48102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Heads of Independent Schools of Australia - 2017-18 Pre-Budget Submission</dc:title>
  <dc:creator/>
  <cp:lastModifiedBy/>
  <cp:revision>1</cp:revision>
  <dcterms:created xsi:type="dcterms:W3CDTF">2017-02-14T04:01:00Z</dcterms:created>
  <dcterms:modified xsi:type="dcterms:W3CDTF">2017-02-14T04:01:00Z</dcterms:modified>
  <dc:language>English</dc:language>
</cp:coreProperties>
</file>