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FBDD9" w14:textId="77777777" w:rsidR="009C07A1" w:rsidRDefault="009C07A1" w:rsidP="002576C7">
      <w:pPr>
        <w:pStyle w:val="Baseparagraphcentred"/>
      </w:pPr>
      <w:bookmarkStart w:id="0" w:name="_GoBack"/>
      <w:bookmarkEnd w:id="0"/>
    </w:p>
    <w:p w14:paraId="5627CB2F" w14:textId="77777777" w:rsidR="009C07A1" w:rsidRDefault="009C07A1" w:rsidP="002576C7">
      <w:pPr>
        <w:pStyle w:val="Baseparagraphcentred"/>
      </w:pPr>
    </w:p>
    <w:p w14:paraId="7F07B5AA" w14:textId="77777777" w:rsidR="009C07A1" w:rsidRDefault="009C07A1" w:rsidP="002576C7">
      <w:pPr>
        <w:pStyle w:val="Baseparagraphcentred"/>
      </w:pPr>
    </w:p>
    <w:p w14:paraId="0EF2A126" w14:textId="77777777" w:rsidR="00453DAD" w:rsidRDefault="00453DAD" w:rsidP="002576C7">
      <w:pPr>
        <w:pStyle w:val="Baseparagraphcentred"/>
      </w:pPr>
    </w:p>
    <w:p w14:paraId="1AF69A30" w14:textId="77777777" w:rsidR="00FC6AF0" w:rsidRDefault="00FC6AF0" w:rsidP="00FC6AF0">
      <w:pPr>
        <w:pStyle w:val="Baseparagraphcentred"/>
      </w:pPr>
      <w:r>
        <w:t>EXPOSURE DRAFT</w:t>
      </w:r>
    </w:p>
    <w:p w14:paraId="0F17FB38" w14:textId="77777777" w:rsidR="009931F2" w:rsidRDefault="009931F2" w:rsidP="002576C7">
      <w:pPr>
        <w:pStyle w:val="Baseparagraphcentred"/>
      </w:pPr>
    </w:p>
    <w:p w14:paraId="3C2203EB" w14:textId="77777777" w:rsidR="009931F2" w:rsidRDefault="009931F2" w:rsidP="002576C7">
      <w:pPr>
        <w:pStyle w:val="Baseparagraphcentred"/>
      </w:pPr>
    </w:p>
    <w:p w14:paraId="55BF6FCC" w14:textId="77777777" w:rsidR="009931F2" w:rsidRDefault="009931F2" w:rsidP="002576C7">
      <w:pPr>
        <w:pStyle w:val="Baseparagraphcentred"/>
      </w:pPr>
    </w:p>
    <w:p w14:paraId="4A8DC4F2" w14:textId="3CCD4DDF" w:rsidR="000B2AC9" w:rsidRDefault="004633B3" w:rsidP="002576C7">
      <w:pPr>
        <w:pStyle w:val="BillName"/>
      </w:pPr>
      <w:r>
        <w:t>TAX LAWS AMENDMENT (</w:t>
      </w:r>
      <w:r w:rsidR="009931F2">
        <w:t>Combating Multinational Tax Avoidance</w:t>
      </w:r>
      <w:r>
        <w:t>) BILL 2016</w:t>
      </w:r>
      <w:r w:rsidR="009931F2">
        <w:t>: DIVERTED PROFITS TAX</w:t>
      </w:r>
    </w:p>
    <w:p w14:paraId="3BC9543A" w14:textId="77777777" w:rsidR="000B2AC9" w:rsidRDefault="000B2AC9" w:rsidP="002576C7">
      <w:pPr>
        <w:pStyle w:val="Baseparagraphcentred"/>
      </w:pPr>
    </w:p>
    <w:p w14:paraId="6353E0CD" w14:textId="77777777" w:rsidR="000B2AC9" w:rsidRDefault="000B2AC9" w:rsidP="002576C7">
      <w:pPr>
        <w:pStyle w:val="Baseparagraphcentred"/>
      </w:pPr>
    </w:p>
    <w:p w14:paraId="23E3F310" w14:textId="77777777" w:rsidR="000B2AC9" w:rsidRDefault="000B2AC9" w:rsidP="002576C7">
      <w:pPr>
        <w:pStyle w:val="Baseparagraphcentred"/>
      </w:pPr>
    </w:p>
    <w:p w14:paraId="7AF07770" w14:textId="77777777" w:rsidR="000B2AC9" w:rsidRDefault="000B2AC9" w:rsidP="002576C7">
      <w:pPr>
        <w:pStyle w:val="Baseparagraphcentred"/>
      </w:pPr>
      <w:r>
        <w:t>EXPLANATORY MEMORANDUM</w:t>
      </w:r>
    </w:p>
    <w:p w14:paraId="76230097" w14:textId="77777777" w:rsidR="000B2AC9" w:rsidRDefault="000B2AC9" w:rsidP="002576C7">
      <w:pPr>
        <w:pStyle w:val="Baseparagraphcentred"/>
      </w:pPr>
    </w:p>
    <w:p w14:paraId="37DA9944" w14:textId="77777777" w:rsidR="000B2AC9" w:rsidRDefault="000B2AC9" w:rsidP="002576C7">
      <w:pPr>
        <w:pStyle w:val="Baseparagraphcentred"/>
      </w:pPr>
    </w:p>
    <w:p w14:paraId="58369BA5" w14:textId="77777777" w:rsidR="000B2AC9" w:rsidRDefault="000B2AC9" w:rsidP="002576C7">
      <w:pPr>
        <w:pStyle w:val="Baseparagraphcentred"/>
      </w:pPr>
    </w:p>
    <w:p w14:paraId="1DA1AF0D" w14:textId="77777777" w:rsidR="00981524" w:rsidRDefault="00981524" w:rsidP="002576C7">
      <w:pPr>
        <w:pStyle w:val="Baseparagraphcentred"/>
      </w:pPr>
    </w:p>
    <w:p w14:paraId="51C984CA" w14:textId="77777777" w:rsidR="000B2AC9" w:rsidRDefault="000B2AC9" w:rsidP="002576C7">
      <w:pPr>
        <w:pStyle w:val="Hiddentext"/>
      </w:pPr>
      <w:r>
        <w:t>Do not remove section break.</w:t>
      </w:r>
    </w:p>
    <w:p w14:paraId="3AF808CF" w14:textId="77777777" w:rsidR="000B2AC9" w:rsidRDefault="000B2AC9" w:rsidP="002576C7">
      <w:pPr>
        <w:pStyle w:val="base-text-paragraphnonumbers"/>
        <w:sectPr w:rsidR="000B2AC9" w:rsidSect="00A92BD4">
          <w:headerReference w:type="even" r:id="rId14"/>
          <w:headerReference w:type="default" r:id="rId15"/>
          <w:footerReference w:type="even" r:id="rId16"/>
          <w:footerReference w:type="default" r:id="rId17"/>
          <w:type w:val="oddPage"/>
          <w:pgSz w:w="11906" w:h="16838" w:code="9"/>
          <w:pgMar w:top="2466" w:right="2098" w:bottom="2466" w:left="2098" w:header="1559" w:footer="1899" w:gutter="0"/>
          <w:cols w:space="708"/>
          <w:titlePg/>
          <w:docGrid w:linePitch="360"/>
        </w:sectPr>
      </w:pPr>
    </w:p>
    <w:p w14:paraId="5D183AD3" w14:textId="77777777" w:rsidR="000B2AC9" w:rsidRPr="00D67ADC" w:rsidRDefault="000B2AC9" w:rsidP="00A92BD4">
      <w:pPr>
        <w:pStyle w:val="Chapterheadingsubdocument"/>
      </w:pPr>
      <w:bookmarkStart w:id="1" w:name="_Toc467336585"/>
      <w:r w:rsidRPr="00D67ADC">
        <w:lastRenderedPageBreak/>
        <w:t>Glossary</w:t>
      </w:r>
      <w:bookmarkEnd w:id="1"/>
    </w:p>
    <w:p w14:paraId="05959788" w14:textId="77777777" w:rsidR="000B2AC9" w:rsidRDefault="000B2AC9" w:rsidP="00A92BD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0B2AC9" w:rsidRPr="00123D96" w14:paraId="1203E358" w14:textId="77777777" w:rsidTr="00A92BD4">
        <w:tc>
          <w:tcPr>
            <w:tcW w:w="2721" w:type="dxa"/>
          </w:tcPr>
          <w:p w14:paraId="56E2FEF1" w14:textId="77777777" w:rsidR="000B2AC9" w:rsidRPr="00123D96" w:rsidRDefault="000B2AC9" w:rsidP="00A92BD4">
            <w:pPr>
              <w:pStyle w:val="tableheaderwithintable"/>
            </w:pPr>
            <w:r w:rsidRPr="00123D96">
              <w:t>Abbreviation</w:t>
            </w:r>
          </w:p>
        </w:tc>
        <w:tc>
          <w:tcPr>
            <w:tcW w:w="3885" w:type="dxa"/>
          </w:tcPr>
          <w:p w14:paraId="5D5B48C7" w14:textId="77777777" w:rsidR="000B2AC9" w:rsidRPr="00123D96" w:rsidRDefault="000B2AC9" w:rsidP="00A92BD4">
            <w:pPr>
              <w:pStyle w:val="tableheaderwithintable"/>
            </w:pPr>
            <w:r w:rsidRPr="00123D96">
              <w:t>Definition</w:t>
            </w:r>
          </w:p>
        </w:tc>
      </w:tr>
      <w:tr w:rsidR="000B2AC9" w:rsidRPr="002C43E8" w14:paraId="29294A76" w14:textId="77777777" w:rsidTr="00A92BD4">
        <w:tc>
          <w:tcPr>
            <w:tcW w:w="2721" w:type="dxa"/>
          </w:tcPr>
          <w:p w14:paraId="6F910FAF" w14:textId="20A8668C" w:rsidR="000B2AC9" w:rsidRPr="002C43E8" w:rsidRDefault="00AD28D0" w:rsidP="00A92BD4">
            <w:pPr>
              <w:pStyle w:val="Glossarytabletext"/>
              <w:rPr>
                <w:lang w:val="en-US" w:eastAsia="en-US"/>
              </w:rPr>
            </w:pPr>
            <w:r>
              <w:rPr>
                <w:lang w:val="en-US" w:eastAsia="en-US"/>
              </w:rPr>
              <w:t>Commissioner</w:t>
            </w:r>
          </w:p>
        </w:tc>
        <w:tc>
          <w:tcPr>
            <w:tcW w:w="3885" w:type="dxa"/>
          </w:tcPr>
          <w:p w14:paraId="2B139434" w14:textId="287A99F1" w:rsidR="000B2AC9" w:rsidRPr="002C43E8" w:rsidRDefault="00AD28D0" w:rsidP="00A92BD4">
            <w:pPr>
              <w:pStyle w:val="Glossarytabletext"/>
              <w:rPr>
                <w:lang w:val="en-US" w:eastAsia="en-US"/>
              </w:rPr>
            </w:pPr>
            <w:r>
              <w:rPr>
                <w:lang w:val="en-US" w:eastAsia="en-US"/>
              </w:rPr>
              <w:t>Commissioner of Taxation</w:t>
            </w:r>
          </w:p>
        </w:tc>
      </w:tr>
      <w:tr w:rsidR="000B2AC9" w:rsidRPr="002C43E8" w14:paraId="5F80CD55" w14:textId="77777777" w:rsidTr="00A92BD4">
        <w:tc>
          <w:tcPr>
            <w:tcW w:w="2721" w:type="dxa"/>
          </w:tcPr>
          <w:p w14:paraId="301A53DB" w14:textId="639BB157" w:rsidR="000B2AC9" w:rsidRPr="002C43E8" w:rsidRDefault="00842483" w:rsidP="00A92BD4">
            <w:pPr>
              <w:pStyle w:val="Glossarytabletext"/>
              <w:rPr>
                <w:lang w:val="en-US" w:eastAsia="en-US"/>
              </w:rPr>
            </w:pPr>
            <w:r>
              <w:rPr>
                <w:lang w:val="en-US" w:eastAsia="en-US"/>
              </w:rPr>
              <w:t>DPT</w:t>
            </w:r>
          </w:p>
        </w:tc>
        <w:tc>
          <w:tcPr>
            <w:tcW w:w="3885" w:type="dxa"/>
          </w:tcPr>
          <w:p w14:paraId="7D0FBADE" w14:textId="66234B90" w:rsidR="000B2AC9" w:rsidRPr="002C43E8" w:rsidRDefault="00C65E08" w:rsidP="00A92BD4">
            <w:pPr>
              <w:pStyle w:val="Glossarytabletext"/>
              <w:rPr>
                <w:lang w:val="en-US" w:eastAsia="en-US"/>
              </w:rPr>
            </w:pPr>
            <w:r>
              <w:rPr>
                <w:lang w:val="en-US" w:eastAsia="en-US"/>
              </w:rPr>
              <w:t xml:space="preserve">Diverted </w:t>
            </w:r>
            <w:r w:rsidR="00044354">
              <w:rPr>
                <w:lang w:val="en-US" w:eastAsia="en-US"/>
              </w:rPr>
              <w:t>profits t</w:t>
            </w:r>
            <w:r>
              <w:rPr>
                <w:lang w:val="en-US" w:eastAsia="en-US"/>
              </w:rPr>
              <w:t>ax</w:t>
            </w:r>
          </w:p>
        </w:tc>
      </w:tr>
      <w:tr w:rsidR="000B2AC9" w:rsidRPr="002C43E8" w14:paraId="423BE76F" w14:textId="77777777" w:rsidTr="00A92BD4">
        <w:tc>
          <w:tcPr>
            <w:tcW w:w="2721" w:type="dxa"/>
          </w:tcPr>
          <w:p w14:paraId="02B19D72" w14:textId="7DC982F8" w:rsidR="000B2AC9" w:rsidRPr="002C43E8" w:rsidRDefault="00F96C92" w:rsidP="00F96C92">
            <w:pPr>
              <w:pStyle w:val="Glossarytabletext"/>
              <w:rPr>
                <w:lang w:val="en-US" w:eastAsia="en-US"/>
              </w:rPr>
            </w:pPr>
            <w:r>
              <w:rPr>
                <w:lang w:val="en-US" w:eastAsia="en-US"/>
              </w:rPr>
              <w:t>ITAA 1936</w:t>
            </w:r>
          </w:p>
        </w:tc>
        <w:tc>
          <w:tcPr>
            <w:tcW w:w="3885" w:type="dxa"/>
          </w:tcPr>
          <w:p w14:paraId="72F1D316" w14:textId="7EB32E15" w:rsidR="000B2AC9" w:rsidRPr="002C43E8" w:rsidRDefault="00F96C92" w:rsidP="00A92BD4">
            <w:pPr>
              <w:pStyle w:val="Glossarytabletext"/>
              <w:rPr>
                <w:lang w:val="en-US" w:eastAsia="en-US"/>
              </w:rPr>
            </w:pPr>
            <w:r>
              <w:rPr>
                <w:i/>
              </w:rPr>
              <w:t>Income Tax Assessment Act 1936</w:t>
            </w:r>
          </w:p>
        </w:tc>
      </w:tr>
      <w:tr w:rsidR="000B2AC9" w:rsidRPr="002C43E8" w14:paraId="0BEB6E4A" w14:textId="77777777" w:rsidTr="00A92BD4">
        <w:tc>
          <w:tcPr>
            <w:tcW w:w="2721" w:type="dxa"/>
          </w:tcPr>
          <w:p w14:paraId="0F2A6212" w14:textId="506D20FD" w:rsidR="000B2AC9" w:rsidRPr="002C43E8" w:rsidRDefault="00F96C92" w:rsidP="00A92BD4">
            <w:pPr>
              <w:pStyle w:val="Glossarytabletext"/>
              <w:rPr>
                <w:lang w:val="en-US" w:eastAsia="en-US"/>
              </w:rPr>
            </w:pPr>
            <w:r>
              <w:rPr>
                <w:lang w:val="en-US" w:eastAsia="en-US"/>
              </w:rPr>
              <w:t>ITAA 1997</w:t>
            </w:r>
          </w:p>
        </w:tc>
        <w:tc>
          <w:tcPr>
            <w:tcW w:w="3885" w:type="dxa"/>
          </w:tcPr>
          <w:p w14:paraId="680110B9" w14:textId="0B6710D5" w:rsidR="000B2AC9" w:rsidRPr="002C43E8" w:rsidRDefault="00F96C92" w:rsidP="00A92BD4">
            <w:pPr>
              <w:pStyle w:val="Glossarytabletext"/>
              <w:rPr>
                <w:lang w:val="en-US" w:eastAsia="en-US"/>
              </w:rPr>
            </w:pPr>
            <w:r>
              <w:rPr>
                <w:i/>
              </w:rPr>
              <w:t>Income Tax Assessment Act 1997</w:t>
            </w:r>
          </w:p>
        </w:tc>
      </w:tr>
      <w:tr w:rsidR="000B2AC9" w:rsidRPr="002C43E8" w14:paraId="18C28941" w14:textId="77777777" w:rsidTr="00A92BD4">
        <w:tc>
          <w:tcPr>
            <w:tcW w:w="2721" w:type="dxa"/>
          </w:tcPr>
          <w:p w14:paraId="61F2C1A1" w14:textId="0B505758" w:rsidR="000B2AC9" w:rsidRPr="002C43E8" w:rsidRDefault="00AD28D0" w:rsidP="00A92BD4">
            <w:pPr>
              <w:pStyle w:val="Glossarytabletext"/>
              <w:rPr>
                <w:lang w:val="en-US" w:eastAsia="en-US"/>
              </w:rPr>
            </w:pPr>
            <w:r>
              <w:rPr>
                <w:lang w:val="en-US" w:eastAsia="en-US"/>
              </w:rPr>
              <w:t>OECD</w:t>
            </w:r>
          </w:p>
        </w:tc>
        <w:tc>
          <w:tcPr>
            <w:tcW w:w="3885" w:type="dxa"/>
          </w:tcPr>
          <w:p w14:paraId="38FB38E5" w14:textId="2964DC91" w:rsidR="000B2AC9" w:rsidRPr="002C43E8" w:rsidRDefault="00AD28D0" w:rsidP="00A92BD4">
            <w:pPr>
              <w:pStyle w:val="Glossarytabletext"/>
              <w:rPr>
                <w:lang w:val="en-US" w:eastAsia="en-US"/>
              </w:rPr>
            </w:pPr>
            <w:r w:rsidRPr="00AD28D0">
              <w:rPr>
                <w:lang w:val="en-US" w:eastAsia="en-US"/>
              </w:rPr>
              <w:t>Organisation for Economic Co-operation and Development</w:t>
            </w:r>
          </w:p>
        </w:tc>
      </w:tr>
      <w:tr w:rsidR="000B2AC9" w:rsidRPr="002C43E8" w14:paraId="7C2AA0D8" w14:textId="77777777" w:rsidTr="00A92BD4">
        <w:tc>
          <w:tcPr>
            <w:tcW w:w="2721" w:type="dxa"/>
          </w:tcPr>
          <w:p w14:paraId="64FF53DB" w14:textId="61EE5F69" w:rsidR="000B2AC9" w:rsidRPr="002C43E8" w:rsidRDefault="00F96C92" w:rsidP="00A92BD4">
            <w:pPr>
              <w:pStyle w:val="Glossarytabletext"/>
              <w:rPr>
                <w:lang w:val="en-US" w:eastAsia="en-US"/>
              </w:rPr>
            </w:pPr>
            <w:r>
              <w:rPr>
                <w:lang w:val="en-US" w:eastAsia="en-US"/>
              </w:rPr>
              <w:t>TAA</w:t>
            </w:r>
            <w:r w:rsidR="00AD28D0">
              <w:rPr>
                <w:lang w:val="en-US" w:eastAsia="en-US"/>
              </w:rPr>
              <w:t xml:space="preserve"> 1953</w:t>
            </w:r>
          </w:p>
        </w:tc>
        <w:tc>
          <w:tcPr>
            <w:tcW w:w="3885" w:type="dxa"/>
          </w:tcPr>
          <w:p w14:paraId="3240D4A6" w14:textId="62D8EA03" w:rsidR="000B2AC9" w:rsidRPr="002C43E8" w:rsidRDefault="00F96C92" w:rsidP="00A92BD4">
            <w:pPr>
              <w:pStyle w:val="Glossarytabletext"/>
              <w:rPr>
                <w:lang w:val="en-US" w:eastAsia="en-US"/>
              </w:rPr>
            </w:pPr>
            <w:r>
              <w:rPr>
                <w:i/>
              </w:rPr>
              <w:t>Taxation Administration Act 1953</w:t>
            </w:r>
          </w:p>
        </w:tc>
      </w:tr>
    </w:tbl>
    <w:p w14:paraId="6E905B68" w14:textId="77777777" w:rsidR="000B2AC9" w:rsidRDefault="000B2AC9" w:rsidP="00A92BD4">
      <w:pPr>
        <w:sectPr w:rsidR="000B2AC9" w:rsidSect="00A92BD4">
          <w:headerReference w:type="even" r:id="rId18"/>
          <w:headerReference w:type="default" r:id="rId19"/>
          <w:footerReference w:type="even" r:id="rId20"/>
          <w:footerReference w:type="default" r:id="rId21"/>
          <w:footerReference w:type="first" r:id="rId22"/>
          <w:type w:val="oddPage"/>
          <w:pgSz w:w="11906" w:h="16838" w:code="9"/>
          <w:pgMar w:top="2466" w:right="2098" w:bottom="2466" w:left="2098" w:header="1559" w:footer="1899" w:gutter="0"/>
          <w:pgNumType w:start="1"/>
          <w:cols w:space="708"/>
          <w:titlePg/>
          <w:docGrid w:linePitch="360"/>
        </w:sectPr>
      </w:pPr>
    </w:p>
    <w:p w14:paraId="6C387926" w14:textId="7E965BFF" w:rsidR="000B2AC9" w:rsidRPr="00F51A71" w:rsidRDefault="000B2AC9" w:rsidP="00A92BD4">
      <w:pPr>
        <w:pStyle w:val="ChapterHeading"/>
        <w:tabs>
          <w:tab w:val="clear" w:pos="1134"/>
          <w:tab w:val="num" w:pos="360"/>
        </w:tabs>
      </w:pPr>
      <w:r w:rsidRPr="00F51A71">
        <w:lastRenderedPageBreak/>
        <w:br/>
      </w:r>
      <w:bookmarkStart w:id="2" w:name="_Toc467336587"/>
      <w:r w:rsidR="004633B3">
        <w:t>Diverted profits tax</w:t>
      </w:r>
      <w:bookmarkEnd w:id="2"/>
    </w:p>
    <w:p w14:paraId="4D8C8EF4" w14:textId="77777777" w:rsidR="000B2AC9" w:rsidRDefault="000B2AC9" w:rsidP="00A92BD4">
      <w:pPr>
        <w:pStyle w:val="Heading2"/>
      </w:pPr>
      <w:r>
        <w:t>Outline of chapter</w:t>
      </w:r>
    </w:p>
    <w:p w14:paraId="717020C5" w14:textId="716ECDEC" w:rsidR="00F96C92" w:rsidRDefault="000B63B3" w:rsidP="002E7BE9">
      <w:pPr>
        <w:pStyle w:val="base-text-paragraph"/>
      </w:pPr>
      <w:r>
        <w:t>Schedule 1</w:t>
      </w:r>
      <w:r w:rsidR="00CA52FE">
        <w:t xml:space="preserve"> to this </w:t>
      </w:r>
      <w:r w:rsidR="009C0D64">
        <w:t xml:space="preserve">Exposure Draft </w:t>
      </w:r>
      <w:r w:rsidR="00CA52FE">
        <w:t>Bill</w:t>
      </w:r>
      <w:r w:rsidR="00F96C92">
        <w:t xml:space="preserve"> amends the </w:t>
      </w:r>
      <w:r w:rsidR="00F96C92" w:rsidRPr="00C35A51">
        <w:rPr>
          <w:i/>
        </w:rPr>
        <w:t>Income Tax Assessment Act 1936</w:t>
      </w:r>
      <w:r w:rsidR="00F96C92">
        <w:t xml:space="preserve"> (ITAA 1936), the </w:t>
      </w:r>
      <w:r w:rsidR="00F96C92">
        <w:rPr>
          <w:i/>
        </w:rPr>
        <w:t>Taxation Administration Act 1953</w:t>
      </w:r>
      <w:r w:rsidR="00F96C92">
        <w:t xml:space="preserve"> (the TAA 1953) and associated Acts to introduce a new </w:t>
      </w:r>
      <w:r w:rsidR="00044354">
        <w:t>diverted profits tax</w:t>
      </w:r>
      <w:r w:rsidR="00C65E08">
        <w:t xml:space="preserve"> </w:t>
      </w:r>
      <w:r w:rsidR="00842483">
        <w:t>(DPT)</w:t>
      </w:r>
      <w:r w:rsidR="00F96C92">
        <w:t xml:space="preserve">. </w:t>
      </w:r>
    </w:p>
    <w:p w14:paraId="245512EA" w14:textId="5AF96309" w:rsidR="000B2AC9" w:rsidRDefault="00263AD1" w:rsidP="002E7BE9">
      <w:pPr>
        <w:pStyle w:val="base-text-paragraph"/>
      </w:pPr>
      <w:r>
        <w:t>The</w:t>
      </w:r>
      <w:r w:rsidR="009C0D64">
        <w:t xml:space="preserve"> DPT</w:t>
      </w:r>
      <w:r>
        <w:t xml:space="preserve"> will apply </w:t>
      </w:r>
      <w:r w:rsidR="00802D5D">
        <w:t>in respect of a significant global entity operating in Australia where, based on information available</w:t>
      </w:r>
      <w:r>
        <w:t xml:space="preserve"> to the Commissioner</w:t>
      </w:r>
      <w:r w:rsidR="00E825A6">
        <w:t xml:space="preserve"> of Taxation (the Commissioner)</w:t>
      </w:r>
      <w:r w:rsidR="00802D5D">
        <w:t>, it is reasonable to conclude that profits have been artificially diverted from Australia.</w:t>
      </w:r>
      <w:r w:rsidR="00E825A6">
        <w:t xml:space="preserve"> If the DPT applies, tax will be payable on the amount of the diverted profit </w:t>
      </w:r>
      <w:r w:rsidR="00AF18CD">
        <w:t xml:space="preserve">at a </w:t>
      </w:r>
      <w:r w:rsidR="00E825A6">
        <w:t xml:space="preserve">tax rate of 40 per cent. </w:t>
      </w:r>
    </w:p>
    <w:p w14:paraId="6EC3608A" w14:textId="77777777" w:rsidR="000B2AC9" w:rsidRDefault="000B2AC9" w:rsidP="00A92BD4">
      <w:pPr>
        <w:pStyle w:val="Heading2"/>
      </w:pPr>
      <w:r>
        <w:t>Context of amendments</w:t>
      </w:r>
    </w:p>
    <w:p w14:paraId="2F726D11" w14:textId="77777777" w:rsidR="00C65E08" w:rsidRDefault="00C65E08" w:rsidP="00C65E08">
      <w:pPr>
        <w:pStyle w:val="base-text-paragraph"/>
      </w:pPr>
      <w:r>
        <w:t>The DPT will provide the Commissioner with extra powers to deal with taxpayers who transfer profits to offshore associates using arrangements entered into or carried out with a principal purpose of avoiding Australian tax.</w:t>
      </w:r>
    </w:p>
    <w:p w14:paraId="53CEFDE4" w14:textId="15E22D17" w:rsidR="00C65E08" w:rsidRDefault="00C65E08" w:rsidP="00C65E08">
      <w:pPr>
        <w:pStyle w:val="base-text-paragraph"/>
      </w:pPr>
      <w:r>
        <w:t>Australia's anti</w:t>
      </w:r>
      <w:r>
        <w:noBreakHyphen/>
        <w:t xml:space="preserve">avoidance and transfer pricing rules, already amongst the strongest in the world, will be bolstered by the DPT which will be inserted into Part IVA of the ITAA 1936. </w:t>
      </w:r>
    </w:p>
    <w:p w14:paraId="46EEF011" w14:textId="603328D8" w:rsidR="00C65E08" w:rsidRDefault="00C65E08" w:rsidP="00C65E08">
      <w:pPr>
        <w:pStyle w:val="base-text-paragraph"/>
      </w:pPr>
      <w:r>
        <w:t>By making it easier to apply Australia's anti</w:t>
      </w:r>
      <w:r>
        <w:noBreakHyphen/>
        <w:t>avoidance provisions and applying a 40 per cent rate of tax, which will need to be paid immediately to the Commissioner, the DPT will:</w:t>
      </w:r>
    </w:p>
    <w:p w14:paraId="577C86A7" w14:textId="57534573" w:rsidR="00C65E08" w:rsidRDefault="00C65E08" w:rsidP="00C65E08">
      <w:pPr>
        <w:pStyle w:val="dotpoint"/>
      </w:pPr>
      <w:r>
        <w:t>complement the application of the existing anti</w:t>
      </w:r>
      <w:r>
        <w:noBreakHyphen/>
        <w:t>avoidance rules in Part IVA of the ITAA 1936;</w:t>
      </w:r>
    </w:p>
    <w:p w14:paraId="5F46A3A3" w14:textId="77777777" w:rsidR="00C65E08" w:rsidRDefault="00C65E08" w:rsidP="00C65E08">
      <w:pPr>
        <w:pStyle w:val="dotpoint"/>
      </w:pPr>
      <w:r>
        <w:t xml:space="preserve">encourage greater compliance by large multinational enterprises with their tax obligations in Australia, including with Australia's transfer pricing rules in Division 815 of the </w:t>
      </w:r>
      <w:r w:rsidRPr="00C65E08">
        <w:rPr>
          <w:i/>
        </w:rPr>
        <w:t>Income Tax Assessment Act 1997</w:t>
      </w:r>
      <w:r>
        <w:t xml:space="preserve"> (ITAA 1997); and</w:t>
      </w:r>
    </w:p>
    <w:p w14:paraId="34007E6E" w14:textId="77777777" w:rsidR="00C65E08" w:rsidRDefault="00C65E08" w:rsidP="00C65E08">
      <w:pPr>
        <w:pStyle w:val="dotpoint"/>
      </w:pPr>
      <w:r>
        <w:lastRenderedPageBreak/>
        <w:t>encourage greater openness with the Commissioner, address information asymmetries and allow for speedier resolution of disputes.</w:t>
      </w:r>
    </w:p>
    <w:p w14:paraId="11FF101D" w14:textId="795177F7" w:rsidR="00C65E08" w:rsidRDefault="00C65E08" w:rsidP="00C65E08">
      <w:pPr>
        <w:pStyle w:val="base-text-paragraph"/>
      </w:pPr>
      <w:r>
        <w:t xml:space="preserve">The DPT will apply to large multinationals (significant global entities with annual global income of $1 billion or more) with total Australian turnover of </w:t>
      </w:r>
      <w:r w:rsidR="00715C27">
        <w:t xml:space="preserve">more than </w:t>
      </w:r>
      <w:r>
        <w:t>$25 million with schemes that involve associated entities in lower tax jurisdictions that do not have the economic substance to justify their income.</w:t>
      </w:r>
    </w:p>
    <w:p w14:paraId="0119ED53" w14:textId="77777777" w:rsidR="00C65E08" w:rsidRDefault="00C65E08" w:rsidP="00C65E08">
      <w:pPr>
        <w:pStyle w:val="base-text-paragraph"/>
      </w:pPr>
      <w:r>
        <w:t>By changing the payment and appeal processes in these situations and supporting the Commissioner to act on limited information, the DPT will encourage taxpayers to be more transparent and cooperative with the Commissioner. In many cases this will enable an agreed outcome to be reached with the Commissioner under the existing taxation provisions during a 12 month period of review.</w:t>
      </w:r>
    </w:p>
    <w:p w14:paraId="34D397C4" w14:textId="3EAE67C0" w:rsidR="00C65E08" w:rsidRDefault="00C65E08" w:rsidP="00C65E08">
      <w:pPr>
        <w:pStyle w:val="base-text-paragraph"/>
      </w:pPr>
      <w:r>
        <w:t>Similar to the previously enacted multinat</w:t>
      </w:r>
      <w:r w:rsidR="0013440E">
        <w:t>ional anti</w:t>
      </w:r>
      <w:r w:rsidR="0013440E">
        <w:noBreakHyphen/>
      </w:r>
      <w:r>
        <w:t>avoidance law, the DPT will apply a lower threshold test, making it e</w:t>
      </w:r>
      <w:r w:rsidR="0013440E">
        <w:t>asier to apply Australia's anti</w:t>
      </w:r>
      <w:r w:rsidR="0013440E">
        <w:noBreakHyphen/>
      </w:r>
      <w:r>
        <w:t>avoidance provisions. This lower threshold is aligned with Organisation for Economic Co</w:t>
      </w:r>
      <w:r>
        <w:noBreakHyphen/>
        <w:t>operation and Development (OECD) guidance on anti</w:t>
      </w:r>
      <w:r>
        <w:noBreakHyphen/>
        <w:t>abuse rules for international tax treaties. While not expanding the coverage of the corporate tax base, this will make it easier for</w:t>
      </w:r>
      <w:r w:rsidR="0013440E">
        <w:t xml:space="preserve"> the Commissioner to apply anti</w:t>
      </w:r>
      <w:r w:rsidR="0013440E">
        <w:noBreakHyphen/>
      </w:r>
      <w:r>
        <w:t>avoidance provisions to the situations targeted by the DPT.</w:t>
      </w:r>
    </w:p>
    <w:p w14:paraId="48EC67F5" w14:textId="77777777" w:rsidR="000B2AC9" w:rsidRDefault="000B2AC9" w:rsidP="00A92BD4">
      <w:pPr>
        <w:pStyle w:val="Heading2"/>
      </w:pPr>
      <w:r>
        <w:t>Summary of new law</w:t>
      </w:r>
    </w:p>
    <w:p w14:paraId="305D04C3" w14:textId="45302BC6" w:rsidR="000B2AC9" w:rsidRDefault="000B63B3" w:rsidP="002E7BE9">
      <w:pPr>
        <w:pStyle w:val="base-text-paragraph"/>
      </w:pPr>
      <w:r>
        <w:t>Schedule 1</w:t>
      </w:r>
      <w:r w:rsidR="004F2552">
        <w:t xml:space="preserve"> to this </w:t>
      </w:r>
      <w:r w:rsidR="009C0D64">
        <w:t xml:space="preserve">Exposure Draft </w:t>
      </w:r>
      <w:r w:rsidR="004F2552">
        <w:t>Bill</w:t>
      </w:r>
      <w:r w:rsidR="004F4756">
        <w:t xml:space="preserve"> </w:t>
      </w:r>
      <w:r w:rsidR="00842483">
        <w:t xml:space="preserve">introduces the DPT to ensure that large multinationals are </w:t>
      </w:r>
      <w:r w:rsidR="002A6BE4">
        <w:t>not able to avoid their Australian tax obligations by diverting profits generated in Australia offshore</w:t>
      </w:r>
      <w:r w:rsidR="00842483">
        <w:t>.</w:t>
      </w:r>
    </w:p>
    <w:p w14:paraId="3AA9F6B1" w14:textId="5639A9A3" w:rsidR="009024B7" w:rsidRDefault="009024B7" w:rsidP="009024B7">
      <w:pPr>
        <w:pStyle w:val="base-text-paragraph"/>
      </w:pPr>
      <w:r>
        <w:t xml:space="preserve">The DPT </w:t>
      </w:r>
      <w:r w:rsidR="003D6537">
        <w:t>will</w:t>
      </w:r>
      <w:r>
        <w:t xml:space="preserve"> apply to an entity (</w:t>
      </w:r>
      <w:r w:rsidR="00EC3DCF">
        <w:t>the relevant taxpayer)</w:t>
      </w:r>
      <w:r>
        <w:t xml:space="preserve"> </w:t>
      </w:r>
      <w:r w:rsidR="003D6537">
        <w:t>if</w:t>
      </w:r>
      <w:r w:rsidR="00EC3DCF">
        <w:t>, broadly</w:t>
      </w:r>
      <w:r>
        <w:t>:</w:t>
      </w:r>
    </w:p>
    <w:p w14:paraId="5E7A2117" w14:textId="6F16EE70" w:rsidR="000F262C" w:rsidRDefault="003D6537" w:rsidP="003D6537">
      <w:pPr>
        <w:pStyle w:val="dotpoint"/>
      </w:pPr>
      <w:r>
        <w:t xml:space="preserve">it is reasonable to conclude that </w:t>
      </w:r>
      <w:r w:rsidR="00CC1319">
        <w:t xml:space="preserve">a </w:t>
      </w:r>
      <w:r>
        <w:t xml:space="preserve">scheme (or any part of </w:t>
      </w:r>
      <w:r w:rsidR="00CC1319">
        <w:t xml:space="preserve">a </w:t>
      </w:r>
      <w:r>
        <w:t>scheme) was carried out for a principal purpose of</w:t>
      </w:r>
      <w:r w:rsidR="00EC3DCF">
        <w:t>, or for more than one principal purpose that includes a purpose of</w:t>
      </w:r>
      <w:r w:rsidR="000F262C">
        <w:t>:</w:t>
      </w:r>
    </w:p>
    <w:p w14:paraId="72E7B1B3" w14:textId="561D0A1F" w:rsidR="003D6537" w:rsidRDefault="00EC3DCF" w:rsidP="000F262C">
      <w:pPr>
        <w:pStyle w:val="dotpoint"/>
        <w:numPr>
          <w:ilvl w:val="1"/>
          <w:numId w:val="2"/>
        </w:numPr>
      </w:pPr>
      <w:r>
        <w:t xml:space="preserve">enabling </w:t>
      </w:r>
      <w:r w:rsidR="004960AF">
        <w:t>a taxpayer (</w:t>
      </w:r>
      <w:r w:rsidR="003D6537">
        <w:t>the relevant taxpayer</w:t>
      </w:r>
      <w:r w:rsidR="004960AF">
        <w:t>)</w:t>
      </w:r>
      <w:r w:rsidR="003D6537">
        <w:t xml:space="preserve"> </w:t>
      </w:r>
      <w:r w:rsidR="00A02153" w:rsidRPr="00F15C60">
        <w:rPr>
          <w:lang w:val="en-US" w:eastAsia="en-US"/>
        </w:rPr>
        <w:t xml:space="preserve">to obtain </w:t>
      </w:r>
      <w:r w:rsidR="00A02153">
        <w:rPr>
          <w:lang w:val="en-US" w:eastAsia="en-US"/>
        </w:rPr>
        <w:t xml:space="preserve">a </w:t>
      </w:r>
      <w:r w:rsidR="00A02153" w:rsidRPr="00F15C60">
        <w:rPr>
          <w:lang w:val="en-US" w:eastAsia="en-US"/>
        </w:rPr>
        <w:t>tax benefit</w:t>
      </w:r>
      <w:r w:rsidR="00A02153">
        <w:rPr>
          <w:lang w:val="en-US" w:eastAsia="en-US"/>
        </w:rPr>
        <w:t>,</w:t>
      </w:r>
      <w:r w:rsidR="00A02153" w:rsidRPr="00F15C60">
        <w:rPr>
          <w:lang w:val="en-US" w:eastAsia="en-US"/>
        </w:rPr>
        <w:t xml:space="preserve"> or </w:t>
      </w:r>
      <w:r w:rsidR="00A02153">
        <w:rPr>
          <w:lang w:val="en-US" w:eastAsia="en-US"/>
        </w:rPr>
        <w:t xml:space="preserve">both to obtain a tax benefit and </w:t>
      </w:r>
      <w:r w:rsidR="00A02153" w:rsidRPr="00F15C60">
        <w:rPr>
          <w:lang w:val="en-US" w:eastAsia="en-US"/>
        </w:rPr>
        <w:t xml:space="preserve">reduce </w:t>
      </w:r>
      <w:r w:rsidR="00A02153">
        <w:rPr>
          <w:lang w:val="en-US" w:eastAsia="en-US"/>
        </w:rPr>
        <w:t>a</w:t>
      </w:r>
      <w:r w:rsidR="00A02153" w:rsidRPr="00F15C60">
        <w:rPr>
          <w:lang w:val="en-US" w:eastAsia="en-US"/>
        </w:rPr>
        <w:t xml:space="preserve"> foreign tax liabilit</w:t>
      </w:r>
      <w:r w:rsidR="00A02153">
        <w:rPr>
          <w:lang w:val="en-US" w:eastAsia="en-US"/>
        </w:rPr>
        <w:t>y</w:t>
      </w:r>
      <w:r w:rsidR="003D6537">
        <w:t xml:space="preserve">; </w:t>
      </w:r>
      <w:r w:rsidR="000F262C">
        <w:t>or</w:t>
      </w:r>
    </w:p>
    <w:p w14:paraId="37A1D2B4" w14:textId="4AE3FAB2" w:rsidR="000F262C" w:rsidRDefault="000F262C" w:rsidP="000F262C">
      <w:pPr>
        <w:pStyle w:val="dotpoint"/>
        <w:numPr>
          <w:ilvl w:val="1"/>
          <w:numId w:val="2"/>
        </w:numPr>
      </w:pPr>
      <w:r>
        <w:t xml:space="preserve">enabling the relevant taxpayer and another taxpayer (or other taxpayers) </w:t>
      </w:r>
      <w:r w:rsidRPr="00F15C60">
        <w:rPr>
          <w:lang w:val="en-US" w:eastAsia="en-US"/>
        </w:rPr>
        <w:t xml:space="preserve">to obtain </w:t>
      </w:r>
      <w:r>
        <w:rPr>
          <w:lang w:val="en-US" w:eastAsia="en-US"/>
        </w:rPr>
        <w:t xml:space="preserve">a </w:t>
      </w:r>
      <w:r w:rsidRPr="00F15C60">
        <w:rPr>
          <w:lang w:val="en-US" w:eastAsia="en-US"/>
        </w:rPr>
        <w:t>tax benefit</w:t>
      </w:r>
      <w:r>
        <w:rPr>
          <w:lang w:val="en-US" w:eastAsia="en-US"/>
        </w:rPr>
        <w:t>,</w:t>
      </w:r>
      <w:r w:rsidRPr="00F15C60">
        <w:rPr>
          <w:lang w:val="en-US" w:eastAsia="en-US"/>
        </w:rPr>
        <w:t xml:space="preserve"> or </w:t>
      </w:r>
      <w:r>
        <w:rPr>
          <w:lang w:val="en-US" w:eastAsia="en-US"/>
        </w:rPr>
        <w:t xml:space="preserve">both to obtain a tax benefit and </w:t>
      </w:r>
      <w:r w:rsidRPr="00F15C60">
        <w:rPr>
          <w:lang w:val="en-US" w:eastAsia="en-US"/>
        </w:rPr>
        <w:t xml:space="preserve">reduce </w:t>
      </w:r>
      <w:r>
        <w:rPr>
          <w:lang w:val="en-US" w:eastAsia="en-US"/>
        </w:rPr>
        <w:t>a</w:t>
      </w:r>
      <w:r w:rsidRPr="00F15C60">
        <w:rPr>
          <w:lang w:val="en-US" w:eastAsia="en-US"/>
        </w:rPr>
        <w:t xml:space="preserve"> foreign tax liabilit</w:t>
      </w:r>
      <w:r>
        <w:rPr>
          <w:lang w:val="en-US" w:eastAsia="en-US"/>
        </w:rPr>
        <w:t>y</w:t>
      </w:r>
      <w:r w:rsidR="0000678D">
        <w:rPr>
          <w:lang w:val="en-US" w:eastAsia="en-US"/>
        </w:rPr>
        <w:t>;</w:t>
      </w:r>
    </w:p>
    <w:p w14:paraId="7ACE1638" w14:textId="56F54F72" w:rsidR="004960AF" w:rsidRDefault="003D6537" w:rsidP="003D6537">
      <w:pPr>
        <w:pStyle w:val="dotpoint"/>
      </w:pPr>
      <w:r>
        <w:t xml:space="preserve">the relevant taxpayer is a significant global entity </w:t>
      </w:r>
      <w:r w:rsidR="004F2552">
        <w:t>— that</w:t>
      </w:r>
      <w:r>
        <w:t xml:space="preserve"> is</w:t>
      </w:r>
      <w:r w:rsidR="004F2552">
        <w:t>, broadly,</w:t>
      </w:r>
      <w:r>
        <w:t xml:space="preserve"> a member of a group with a member that is a global parent entity whose annual global income is at least $1</w:t>
      </w:r>
      <w:r w:rsidR="004F2552">
        <w:t> </w:t>
      </w:r>
      <w:r>
        <w:t>billion</w:t>
      </w:r>
      <w:r w:rsidR="004960AF">
        <w:t>; and</w:t>
      </w:r>
    </w:p>
    <w:p w14:paraId="3D9902EF" w14:textId="3184A141" w:rsidR="003D6537" w:rsidRDefault="004960AF" w:rsidP="003D6537">
      <w:pPr>
        <w:pStyle w:val="dotpoint"/>
      </w:pPr>
      <w:r>
        <w:t>the relevant taxpayer obtains a tax benefit in connection with a scheme</w:t>
      </w:r>
      <w:r w:rsidR="00DA6291">
        <w:t xml:space="preserve"> involving a foreign associate</w:t>
      </w:r>
      <w:r w:rsidR="003D6537">
        <w:t>.</w:t>
      </w:r>
    </w:p>
    <w:p w14:paraId="680DF057" w14:textId="328052B0" w:rsidR="00230AE3" w:rsidRDefault="004F2552" w:rsidP="00230AE3">
      <w:pPr>
        <w:pStyle w:val="base-text-paragraph"/>
      </w:pPr>
      <w:r>
        <w:t>However, t</w:t>
      </w:r>
      <w:r w:rsidR="00230AE3">
        <w:t>he DPT will not apply</w:t>
      </w:r>
      <w:r w:rsidR="0000678D">
        <w:t xml:space="preserve"> if</w:t>
      </w:r>
      <w:r>
        <w:t xml:space="preserve"> it is reasonable to conclude that one of</w:t>
      </w:r>
      <w:r w:rsidR="00230AE3">
        <w:t xml:space="preserve"> the following </w:t>
      </w:r>
      <w:r w:rsidR="00E167E4">
        <w:t>tests appl</w:t>
      </w:r>
      <w:r w:rsidR="00BD72BC">
        <w:t>ies</w:t>
      </w:r>
      <w:r w:rsidR="00E167E4">
        <w:t xml:space="preserve"> to the relevant taxpayer</w:t>
      </w:r>
      <w:r w:rsidR="00230AE3">
        <w:t>:</w:t>
      </w:r>
    </w:p>
    <w:p w14:paraId="79CA16E3" w14:textId="7B4862D2" w:rsidR="00230AE3" w:rsidRDefault="00E167E4" w:rsidP="00230AE3">
      <w:pPr>
        <w:pStyle w:val="dotpoint"/>
      </w:pPr>
      <w:r>
        <w:t xml:space="preserve">the $25 million </w:t>
      </w:r>
      <w:r w:rsidR="00230AE3">
        <w:t xml:space="preserve">turnover test </w:t>
      </w:r>
      <w:r>
        <w:t xml:space="preserve">— this test will apply if, broadly, the </w:t>
      </w:r>
      <w:r w:rsidR="008154D6">
        <w:t xml:space="preserve">sum of the </w:t>
      </w:r>
      <w:r w:rsidR="003C3B1E">
        <w:t xml:space="preserve">Australian </w:t>
      </w:r>
      <w:r w:rsidR="00230AE3">
        <w:t xml:space="preserve">turnover of </w:t>
      </w:r>
      <w:r w:rsidR="007509CD">
        <w:t xml:space="preserve">the relevant taxpayer and </w:t>
      </w:r>
      <w:r w:rsidR="00CC1319">
        <w:t xml:space="preserve">the </w:t>
      </w:r>
      <w:r w:rsidR="003C3B1E">
        <w:t>Australian</w:t>
      </w:r>
      <w:r w:rsidR="00CC1319">
        <w:t xml:space="preserve"> turnover of </w:t>
      </w:r>
      <w:r w:rsidR="007509CD">
        <w:t>any other Australian entities that are part of the same significant global group</w:t>
      </w:r>
      <w:r w:rsidR="00230AE3">
        <w:t xml:space="preserve"> does not exceed $25 million;</w:t>
      </w:r>
    </w:p>
    <w:p w14:paraId="58DD0823" w14:textId="5A4B8285" w:rsidR="00230AE3" w:rsidRDefault="00E167E4" w:rsidP="00230AE3">
      <w:pPr>
        <w:pStyle w:val="dotpoint"/>
      </w:pPr>
      <w:r>
        <w:t xml:space="preserve">the sufficient </w:t>
      </w:r>
      <w:r w:rsidR="00EB4BFE">
        <w:t>foreign</w:t>
      </w:r>
      <w:r w:rsidR="00230AE3">
        <w:t xml:space="preserve"> tax test </w:t>
      </w:r>
      <w:r>
        <w:t>— this test will apply if</w:t>
      </w:r>
      <w:r w:rsidR="007509CD">
        <w:t>, broadly,</w:t>
      </w:r>
      <w:r>
        <w:t xml:space="preserve"> the </w:t>
      </w:r>
      <w:r w:rsidR="008154D6">
        <w:t xml:space="preserve">increase in the </w:t>
      </w:r>
      <w:r w:rsidR="00230AE3">
        <w:t>foreign tax liabilit</w:t>
      </w:r>
      <w:r w:rsidR="003C3B1E">
        <w:t>ies</w:t>
      </w:r>
      <w:r w:rsidR="00230AE3">
        <w:t xml:space="preserve"> of foreign entities resulting from </w:t>
      </w:r>
      <w:r w:rsidR="00A05EF2">
        <w:t xml:space="preserve">the </w:t>
      </w:r>
      <w:r w:rsidR="00230AE3">
        <w:t>scheme is 80</w:t>
      </w:r>
      <w:r>
        <w:t> per cent</w:t>
      </w:r>
      <w:r w:rsidR="00230AE3">
        <w:t xml:space="preserve"> or more of the</w:t>
      </w:r>
      <w:r w:rsidR="008154D6">
        <w:t xml:space="preserve"> reduction in the</w:t>
      </w:r>
      <w:r w:rsidR="00230AE3">
        <w:t xml:space="preserve"> </w:t>
      </w:r>
      <w:r>
        <w:t xml:space="preserve">Australian </w:t>
      </w:r>
      <w:r w:rsidR="00230AE3">
        <w:t xml:space="preserve">tax </w:t>
      </w:r>
      <w:r w:rsidR="008154D6">
        <w:t>liability of</w:t>
      </w:r>
      <w:r w:rsidR="00230AE3">
        <w:t xml:space="preserve"> the relevant taxpayer;</w:t>
      </w:r>
      <w:r w:rsidR="007509CD">
        <w:t xml:space="preserve"> or</w:t>
      </w:r>
    </w:p>
    <w:p w14:paraId="0ABED543" w14:textId="4F3EBB0A" w:rsidR="00783B1D" w:rsidRDefault="00E167E4" w:rsidP="00ED2DCD">
      <w:pPr>
        <w:pStyle w:val="dotpoint"/>
      </w:pPr>
      <w:r>
        <w:t xml:space="preserve">the </w:t>
      </w:r>
      <w:r w:rsidR="00230AE3">
        <w:t xml:space="preserve">sufficient economic substance test </w:t>
      </w:r>
      <w:r>
        <w:t>— this test will apply if, broadly</w:t>
      </w:r>
      <w:r w:rsidR="00A02153">
        <w:t>, the income derived, received or made as a result of the scheme by each entity that entered into or carried out the scheme</w:t>
      </w:r>
      <w:r w:rsidR="00A02153" w:rsidRPr="00FA324F">
        <w:t xml:space="preserve"> </w:t>
      </w:r>
      <w:r w:rsidR="00A02153">
        <w:t>or any part of the scheme, or that is otherwise connected with the scheme</w:t>
      </w:r>
      <w:r w:rsidR="00A02153" w:rsidRPr="00FA324F">
        <w:t xml:space="preserve"> </w:t>
      </w:r>
      <w:r w:rsidR="00A02153">
        <w:t>or any part of the scheme, reasonably reflects the economic substance of the entity’s activities in connection with the scheme.</w:t>
      </w:r>
    </w:p>
    <w:p w14:paraId="65BAE759" w14:textId="688E6142" w:rsidR="000D084B" w:rsidRPr="000D084B" w:rsidRDefault="006D5ADB" w:rsidP="006D5ADB">
      <w:pPr>
        <w:pStyle w:val="base-text-paragraph"/>
      </w:pPr>
      <w:r w:rsidRPr="006D5ADB">
        <w:t>If the DPT applies to a scheme, the Commissioner may issue a DPT assessment</w:t>
      </w:r>
      <w:r w:rsidR="001D1525">
        <w:t xml:space="preserve"> to the relevant taxpayer</w:t>
      </w:r>
      <w:r w:rsidRPr="006D5ADB">
        <w:t>. Under the DPT assessment, tax is payable on the amount of the diverted profit</w:t>
      </w:r>
      <w:r>
        <w:t>s</w:t>
      </w:r>
      <w:r w:rsidRPr="006D5ADB">
        <w:t xml:space="preserve"> at a </w:t>
      </w:r>
      <w:r w:rsidR="00E31A0F">
        <w:t xml:space="preserve">penalty </w:t>
      </w:r>
      <w:r w:rsidRPr="006D5ADB">
        <w:t xml:space="preserve">rate of </w:t>
      </w:r>
      <w:r w:rsidR="00E31A0F" w:rsidRPr="006D5ADB">
        <w:t>40</w:t>
      </w:r>
      <w:r w:rsidR="00E31A0F">
        <w:t> </w:t>
      </w:r>
      <w:r w:rsidR="00E31A0F" w:rsidRPr="006D5ADB">
        <w:t>per</w:t>
      </w:r>
      <w:r w:rsidR="00E31A0F">
        <w:t> </w:t>
      </w:r>
      <w:r w:rsidRPr="006D5ADB">
        <w:t>cent</w:t>
      </w:r>
      <w:r w:rsidR="000D084B" w:rsidRPr="000D084B">
        <w:t>.</w:t>
      </w:r>
    </w:p>
    <w:p w14:paraId="7AB98F89" w14:textId="51E491ED" w:rsidR="0012100A" w:rsidRDefault="0012100A" w:rsidP="00434BB6">
      <w:pPr>
        <w:pStyle w:val="base-text-paragraph"/>
      </w:pPr>
      <w:r>
        <w:t xml:space="preserve">Where the Commissioner </w:t>
      </w:r>
      <w:r w:rsidR="00F15C60">
        <w:t>makes</w:t>
      </w:r>
      <w:r>
        <w:t xml:space="preserve"> a DPT assessment, the taxpayer </w:t>
      </w:r>
      <w:r w:rsidR="00F15C60">
        <w:t>will have</w:t>
      </w:r>
      <w:r>
        <w:t xml:space="preserve"> 21 days to pay the amount set out in the </w:t>
      </w:r>
      <w:r w:rsidR="00F15C60">
        <w:t xml:space="preserve">DPT </w:t>
      </w:r>
      <w:r>
        <w:t>assessment.</w:t>
      </w:r>
    </w:p>
    <w:p w14:paraId="79205099" w14:textId="3936023C" w:rsidR="0012100A" w:rsidRDefault="008F3B90" w:rsidP="00434BB6">
      <w:pPr>
        <w:pStyle w:val="base-text-paragraph"/>
      </w:pPr>
      <w:r>
        <w:t>F</w:t>
      </w:r>
      <w:r w:rsidR="0012100A">
        <w:t xml:space="preserve">ollowing the notice of </w:t>
      </w:r>
      <w:r>
        <w:t xml:space="preserve">the </w:t>
      </w:r>
      <w:r w:rsidR="0012100A">
        <w:t>DPT assessment</w:t>
      </w:r>
      <w:r w:rsidR="00F15C60">
        <w:t>, the</w:t>
      </w:r>
      <w:r w:rsidR="0012100A">
        <w:t xml:space="preserve"> taxpayer </w:t>
      </w:r>
      <w:r w:rsidR="00F15C60">
        <w:t xml:space="preserve">will be able </w:t>
      </w:r>
      <w:r w:rsidR="0012100A">
        <w:t xml:space="preserve">to provide the Commissioner with </w:t>
      </w:r>
      <w:r w:rsidR="00F15C60">
        <w:t xml:space="preserve">further </w:t>
      </w:r>
      <w:r w:rsidR="0012100A">
        <w:t>information disclosing reasons why the DPT assessment should be reduced (including to nil)</w:t>
      </w:r>
      <w:r>
        <w:t xml:space="preserve"> during the period of review (generally 12 months after notice is given of the DPT assessment)</w:t>
      </w:r>
      <w:r w:rsidR="0012100A">
        <w:t>.</w:t>
      </w:r>
    </w:p>
    <w:p w14:paraId="60B0BF21" w14:textId="4232FCBB" w:rsidR="00F15C60" w:rsidRDefault="006D5ADB" w:rsidP="006D5ADB">
      <w:pPr>
        <w:pStyle w:val="base-text-paragraph"/>
      </w:pPr>
      <w:r w:rsidRPr="006D5ADB">
        <w:t>If, at the end of that period</w:t>
      </w:r>
      <w:r w:rsidR="008F3B90">
        <w:t xml:space="preserve"> of review</w:t>
      </w:r>
      <w:r w:rsidRPr="006D5ADB">
        <w:t xml:space="preserve">, the </w:t>
      </w:r>
      <w:r w:rsidR="00BD72BC">
        <w:t xml:space="preserve">relevant </w:t>
      </w:r>
      <w:r w:rsidRPr="006D5ADB">
        <w:t xml:space="preserve">taxpayer is dissatisfied with the DPT assessment, or the amended DPT assessment, the taxpayer </w:t>
      </w:r>
      <w:r w:rsidR="008F3B90">
        <w:t xml:space="preserve">will have 30 days </w:t>
      </w:r>
      <w:r w:rsidRPr="006D5ADB">
        <w:t>to challenge the assessment by making an appeal to the Federal Court of Australia.</w:t>
      </w:r>
      <w:r w:rsidR="00F15C60">
        <w:t xml:space="preserve"> However, </w:t>
      </w:r>
      <w:r w:rsidR="0072743B">
        <w:t>when</w:t>
      </w:r>
      <w:r w:rsidR="00F15C60">
        <w:t xml:space="preserve"> considering the appeal, the Federal Court will generally be restricted to considering evidence that was provided to the Commissioner before the end of the </w:t>
      </w:r>
      <w:r w:rsidR="008F3B90">
        <w:t>period of</w:t>
      </w:r>
      <w:r w:rsidR="00F15C60">
        <w:t xml:space="preserve"> review.</w:t>
      </w:r>
    </w:p>
    <w:p w14:paraId="7B8C6FBF" w14:textId="77777777" w:rsidR="000B2AC9" w:rsidRDefault="000B2AC9" w:rsidP="00A92BD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0B2AC9" w:rsidRPr="004666B8" w14:paraId="4155EEF4" w14:textId="77777777" w:rsidTr="00A92BD4">
        <w:tc>
          <w:tcPr>
            <w:tcW w:w="3275" w:type="dxa"/>
          </w:tcPr>
          <w:p w14:paraId="55A7FA75" w14:textId="77777777" w:rsidR="000B2AC9" w:rsidRPr="004666B8" w:rsidRDefault="000B2AC9" w:rsidP="00A92BD4">
            <w:pPr>
              <w:pStyle w:val="tableheaderwithintable"/>
              <w:rPr>
                <w:lang w:val="en-US" w:eastAsia="en-US"/>
              </w:rPr>
            </w:pPr>
            <w:r w:rsidRPr="004666B8">
              <w:rPr>
                <w:lang w:val="en-US" w:eastAsia="en-US"/>
              </w:rPr>
              <w:t>New law</w:t>
            </w:r>
          </w:p>
        </w:tc>
        <w:tc>
          <w:tcPr>
            <w:tcW w:w="3276" w:type="dxa"/>
          </w:tcPr>
          <w:p w14:paraId="28402EF3" w14:textId="77777777" w:rsidR="000B2AC9" w:rsidRPr="004666B8" w:rsidRDefault="000B2AC9" w:rsidP="00A92BD4">
            <w:pPr>
              <w:pStyle w:val="tableheaderwithintable"/>
              <w:rPr>
                <w:lang w:val="en-US" w:eastAsia="en-US"/>
              </w:rPr>
            </w:pPr>
            <w:r w:rsidRPr="004666B8">
              <w:rPr>
                <w:lang w:val="en-US" w:eastAsia="en-US"/>
              </w:rPr>
              <w:t>Current law</w:t>
            </w:r>
          </w:p>
        </w:tc>
      </w:tr>
      <w:tr w:rsidR="00EF6EA0" w:rsidRPr="00EF6EA0" w14:paraId="4AAE22C3" w14:textId="77777777" w:rsidTr="00A92BD4">
        <w:tc>
          <w:tcPr>
            <w:tcW w:w="3275" w:type="dxa"/>
          </w:tcPr>
          <w:p w14:paraId="26A55109" w14:textId="6BDDA404" w:rsidR="00F0001D" w:rsidRDefault="00F0001D" w:rsidP="00F15C60">
            <w:pPr>
              <w:pStyle w:val="tabletext"/>
              <w:rPr>
                <w:lang w:val="en-US" w:eastAsia="en-US"/>
              </w:rPr>
            </w:pPr>
            <w:r>
              <w:rPr>
                <w:lang w:val="en-US" w:eastAsia="en-US"/>
              </w:rPr>
              <w:t>The scope of Part </w:t>
            </w:r>
            <w:r w:rsidRPr="0072743B">
              <w:rPr>
                <w:lang w:val="en-US" w:eastAsia="en-US"/>
              </w:rPr>
              <w:t xml:space="preserve">IVA </w:t>
            </w:r>
            <w:r w:rsidR="0072743B" w:rsidRPr="0072743B">
              <w:rPr>
                <w:lang w:val="en-US" w:eastAsia="en-US"/>
              </w:rPr>
              <w:t xml:space="preserve">of the ITAA 1936 </w:t>
            </w:r>
            <w:r w:rsidRPr="0072743B">
              <w:rPr>
                <w:lang w:val="en-US" w:eastAsia="en-US"/>
              </w:rPr>
              <w:t>will</w:t>
            </w:r>
            <w:r>
              <w:rPr>
                <w:lang w:val="en-US" w:eastAsia="en-US"/>
              </w:rPr>
              <w:t xml:space="preserve"> be expanded by introducing a new</w:t>
            </w:r>
            <w:r>
              <w:rPr>
                <w:b/>
                <w:i/>
                <w:lang w:val="en-US" w:eastAsia="en-US"/>
              </w:rPr>
              <w:t xml:space="preserve"> </w:t>
            </w:r>
            <w:r w:rsidRPr="00F0001D">
              <w:t>anti</w:t>
            </w:r>
            <w:r w:rsidRPr="00F0001D">
              <w:noBreakHyphen/>
              <w:t>avoidance rule</w:t>
            </w:r>
            <w:r>
              <w:t xml:space="preserve"> —</w:t>
            </w:r>
            <w:r w:rsidRPr="00F0001D">
              <w:t xml:space="preserve"> the</w:t>
            </w:r>
            <w:r>
              <w:rPr>
                <w:lang w:val="en-US" w:eastAsia="en-US"/>
              </w:rPr>
              <w:t xml:space="preserve"> DPT.</w:t>
            </w:r>
          </w:p>
          <w:p w14:paraId="68E54724" w14:textId="45071CF6" w:rsidR="00F15C60" w:rsidRDefault="00F15C60" w:rsidP="00F15C60">
            <w:pPr>
              <w:pStyle w:val="tabletext"/>
              <w:rPr>
                <w:lang w:val="en-US" w:eastAsia="en-US"/>
              </w:rPr>
            </w:pPr>
            <w:r w:rsidRPr="00F15C60">
              <w:rPr>
                <w:lang w:val="en-US" w:eastAsia="en-US"/>
              </w:rPr>
              <w:t>The DPT will apply to an</w:t>
            </w:r>
            <w:r w:rsidR="00816F92">
              <w:rPr>
                <w:lang w:val="en-US" w:eastAsia="en-US"/>
              </w:rPr>
              <w:t xml:space="preserve"> entity (the relevant taxpayer)</w:t>
            </w:r>
            <w:r w:rsidRPr="00F15C60">
              <w:rPr>
                <w:lang w:val="en-US" w:eastAsia="en-US"/>
              </w:rPr>
              <w:t xml:space="preserve"> if, broadly:</w:t>
            </w:r>
          </w:p>
          <w:p w14:paraId="3A9B090F" w14:textId="0B3BCF7C" w:rsidR="0000678D" w:rsidRPr="0000678D" w:rsidRDefault="0000678D" w:rsidP="0000678D">
            <w:pPr>
              <w:pStyle w:val="tabledotpoint"/>
              <w:rPr>
                <w:lang w:val="en-US" w:eastAsia="en-US"/>
              </w:rPr>
            </w:pPr>
            <w:r w:rsidRPr="0000678D">
              <w:rPr>
                <w:lang w:val="en-US" w:eastAsia="en-US"/>
              </w:rPr>
              <w:t>it is reasonable to conclude that a scheme (or any part of a scheme) was carried out for a principal purpose of, or for more than one principal purpose that includes a purpose of:</w:t>
            </w:r>
          </w:p>
          <w:p w14:paraId="68B755F8" w14:textId="1C2E5F65" w:rsidR="0000678D" w:rsidRPr="0000678D" w:rsidRDefault="0000678D" w:rsidP="0000678D">
            <w:pPr>
              <w:pStyle w:val="tabledotpoint2"/>
              <w:rPr>
                <w:lang w:val="en-US" w:eastAsia="en-US"/>
              </w:rPr>
            </w:pPr>
            <w:r w:rsidRPr="0000678D">
              <w:rPr>
                <w:lang w:val="en-US" w:eastAsia="en-US"/>
              </w:rPr>
              <w:t>enabling a taxpayer (the relevant taxpayer) to obtain a tax benefit, or both to obtain a tax benefit and reduce a foreign tax liability; or</w:t>
            </w:r>
          </w:p>
          <w:p w14:paraId="27156624" w14:textId="15FD9CCA" w:rsidR="0000678D" w:rsidRPr="00F15C60" w:rsidRDefault="0000678D" w:rsidP="0000678D">
            <w:pPr>
              <w:pStyle w:val="tabledotpoint2"/>
              <w:rPr>
                <w:lang w:val="en-US" w:eastAsia="en-US"/>
              </w:rPr>
            </w:pPr>
            <w:r w:rsidRPr="0000678D">
              <w:rPr>
                <w:lang w:val="en-US" w:eastAsia="en-US"/>
              </w:rPr>
              <w:t>enabling the relevant taxpayer and another taxpayer (or other taxpayers) to obtain a tax benefit, or both to obtain a tax benefit and reduce a foreign tax liability</w:t>
            </w:r>
            <w:r>
              <w:rPr>
                <w:lang w:val="en-US" w:eastAsia="en-US"/>
              </w:rPr>
              <w:t>;</w:t>
            </w:r>
          </w:p>
          <w:p w14:paraId="461D0CDD" w14:textId="03E5BCE5" w:rsidR="00F15C60" w:rsidRPr="00F15C60" w:rsidRDefault="00F15C60" w:rsidP="00F15C60">
            <w:pPr>
              <w:pStyle w:val="tabledotpoint"/>
              <w:rPr>
                <w:lang w:val="en-US" w:eastAsia="en-US"/>
              </w:rPr>
            </w:pPr>
            <w:r w:rsidRPr="00F15C60">
              <w:rPr>
                <w:lang w:val="en-US" w:eastAsia="en-US"/>
              </w:rPr>
              <w:t>the relevant taxpayer is a significant global entity — that is, broadly, a member of a group with a member that is a global parent entity whose annual global income is at least $1 billion; and</w:t>
            </w:r>
          </w:p>
          <w:p w14:paraId="63834E47" w14:textId="14A34545" w:rsidR="00F15C60" w:rsidRPr="00F15C60" w:rsidRDefault="00F15C60" w:rsidP="00F15C60">
            <w:pPr>
              <w:pStyle w:val="tabledotpoint"/>
              <w:rPr>
                <w:lang w:val="en-US" w:eastAsia="en-US"/>
              </w:rPr>
            </w:pPr>
            <w:r w:rsidRPr="00F15C60">
              <w:rPr>
                <w:lang w:val="en-US" w:eastAsia="en-US"/>
              </w:rPr>
              <w:t>the relevant taxpayer obtains a tax benefit in connection with a scheme.</w:t>
            </w:r>
          </w:p>
          <w:p w14:paraId="3F5EEB62" w14:textId="495256D0" w:rsidR="00F15C60" w:rsidRPr="00F15C60" w:rsidRDefault="00F15C60" w:rsidP="00F15C60">
            <w:pPr>
              <w:pStyle w:val="tabletext"/>
              <w:rPr>
                <w:lang w:val="en-US" w:eastAsia="en-US"/>
              </w:rPr>
            </w:pPr>
            <w:r w:rsidRPr="00F15C60">
              <w:rPr>
                <w:lang w:val="en-US" w:eastAsia="en-US"/>
              </w:rPr>
              <w:t>However, the DPT will not app</w:t>
            </w:r>
            <w:r w:rsidR="0000678D">
              <w:rPr>
                <w:lang w:val="en-US" w:eastAsia="en-US"/>
              </w:rPr>
              <w:t xml:space="preserve">ly if </w:t>
            </w:r>
            <w:r w:rsidRPr="00F15C60">
              <w:rPr>
                <w:lang w:val="en-US" w:eastAsia="en-US"/>
              </w:rPr>
              <w:t>it is reasonable to conclude that one of the following tests appl</w:t>
            </w:r>
            <w:r w:rsidR="00BD72BC">
              <w:rPr>
                <w:lang w:val="en-US" w:eastAsia="en-US"/>
              </w:rPr>
              <w:t>ies</w:t>
            </w:r>
            <w:r w:rsidRPr="00F15C60">
              <w:rPr>
                <w:lang w:val="en-US" w:eastAsia="en-US"/>
              </w:rPr>
              <w:t xml:space="preserve"> to the relevant taxpayer:</w:t>
            </w:r>
          </w:p>
          <w:p w14:paraId="3778F687" w14:textId="0354095C" w:rsidR="00F15C60" w:rsidRPr="00F15C60" w:rsidRDefault="006D5ADB" w:rsidP="00F15C60">
            <w:pPr>
              <w:pStyle w:val="tabledotpoint"/>
              <w:rPr>
                <w:lang w:val="en-US" w:eastAsia="en-US"/>
              </w:rPr>
            </w:pPr>
            <w:r>
              <w:rPr>
                <w:lang w:val="en-US" w:eastAsia="en-US"/>
              </w:rPr>
              <w:t>the $25 million turnover test</w:t>
            </w:r>
            <w:r w:rsidR="00F15C60" w:rsidRPr="00F15C60">
              <w:rPr>
                <w:lang w:val="en-US" w:eastAsia="en-US"/>
              </w:rPr>
              <w:t>;</w:t>
            </w:r>
          </w:p>
          <w:p w14:paraId="36967069" w14:textId="5CAF6698" w:rsidR="00F15C60" w:rsidRPr="00F15C60" w:rsidRDefault="00F15C60" w:rsidP="00F15C60">
            <w:pPr>
              <w:pStyle w:val="tabledotpoint"/>
              <w:rPr>
                <w:lang w:val="en-US" w:eastAsia="en-US"/>
              </w:rPr>
            </w:pPr>
            <w:r w:rsidRPr="00F15C60">
              <w:rPr>
                <w:lang w:val="en-US" w:eastAsia="en-US"/>
              </w:rPr>
              <w:t xml:space="preserve">the sufficient </w:t>
            </w:r>
            <w:r w:rsidR="00EB4BFE">
              <w:t xml:space="preserve">foreign </w:t>
            </w:r>
            <w:r w:rsidRPr="00F15C60">
              <w:rPr>
                <w:lang w:val="en-US" w:eastAsia="en-US"/>
              </w:rPr>
              <w:t xml:space="preserve">tax </w:t>
            </w:r>
            <w:r w:rsidR="006D5ADB">
              <w:rPr>
                <w:lang w:val="en-US" w:eastAsia="en-US"/>
              </w:rPr>
              <w:t>test</w:t>
            </w:r>
            <w:r w:rsidRPr="00F15C60">
              <w:rPr>
                <w:lang w:val="en-US" w:eastAsia="en-US"/>
              </w:rPr>
              <w:t>; or</w:t>
            </w:r>
          </w:p>
          <w:p w14:paraId="31D9779B" w14:textId="55FB1E37" w:rsidR="00F0001D" w:rsidRPr="00FC4366" w:rsidRDefault="00F15C60" w:rsidP="00FC4366">
            <w:pPr>
              <w:pStyle w:val="tabledotpoint"/>
              <w:rPr>
                <w:lang w:val="en-US" w:eastAsia="en-US"/>
              </w:rPr>
            </w:pPr>
            <w:r w:rsidRPr="00F15C60">
              <w:rPr>
                <w:lang w:val="en-US" w:eastAsia="en-US"/>
              </w:rPr>
              <w:t>the suffi</w:t>
            </w:r>
            <w:r w:rsidR="006D5ADB">
              <w:rPr>
                <w:lang w:val="en-US" w:eastAsia="en-US"/>
              </w:rPr>
              <w:t>cient economic substance test</w:t>
            </w:r>
            <w:r w:rsidR="00FC4366">
              <w:rPr>
                <w:lang w:val="en-US" w:eastAsia="en-US"/>
              </w:rPr>
              <w:t>.</w:t>
            </w:r>
          </w:p>
        </w:tc>
        <w:tc>
          <w:tcPr>
            <w:tcW w:w="3276" w:type="dxa"/>
          </w:tcPr>
          <w:p w14:paraId="4B9E2621" w14:textId="4269B316" w:rsidR="00140E97" w:rsidRDefault="00EF6EA0" w:rsidP="00140E97">
            <w:pPr>
              <w:pStyle w:val="tableheaderwithintable"/>
              <w:jc w:val="left"/>
              <w:rPr>
                <w:b w:val="0"/>
                <w:i w:val="0"/>
                <w:lang w:val="en-US" w:eastAsia="en-US"/>
              </w:rPr>
            </w:pPr>
            <w:r>
              <w:rPr>
                <w:b w:val="0"/>
                <w:i w:val="0"/>
                <w:lang w:val="en-US" w:eastAsia="en-US"/>
              </w:rPr>
              <w:t xml:space="preserve">Part </w:t>
            </w:r>
            <w:r w:rsidRPr="0072743B">
              <w:rPr>
                <w:b w:val="0"/>
                <w:i w:val="0"/>
                <w:lang w:val="en-US" w:eastAsia="en-US"/>
              </w:rPr>
              <w:t xml:space="preserve">IVA </w:t>
            </w:r>
            <w:r w:rsidR="0072743B" w:rsidRPr="0072743B">
              <w:rPr>
                <w:b w:val="0"/>
                <w:i w:val="0"/>
                <w:lang w:val="en-US" w:eastAsia="en-US"/>
              </w:rPr>
              <w:t>of the ITAA 1936</w:t>
            </w:r>
            <w:r w:rsidR="0072743B" w:rsidRPr="0072743B">
              <w:rPr>
                <w:b w:val="0"/>
                <w:lang w:val="en-US" w:eastAsia="en-US"/>
              </w:rPr>
              <w:t xml:space="preserve"> </w:t>
            </w:r>
            <w:r w:rsidR="00140E97" w:rsidRPr="0072743B">
              <w:rPr>
                <w:b w:val="0"/>
                <w:i w:val="0"/>
                <w:lang w:val="en-US" w:eastAsia="en-US"/>
              </w:rPr>
              <w:t>contains</w:t>
            </w:r>
            <w:r w:rsidR="00140E97">
              <w:rPr>
                <w:b w:val="0"/>
                <w:i w:val="0"/>
                <w:lang w:val="en-US" w:eastAsia="en-US"/>
              </w:rPr>
              <w:t xml:space="preserve"> a range of anti</w:t>
            </w:r>
            <w:r w:rsidR="00140E97">
              <w:rPr>
                <w:b w:val="0"/>
                <w:i w:val="0"/>
                <w:lang w:val="en-US" w:eastAsia="en-US"/>
              </w:rPr>
              <w:noBreakHyphen/>
              <w:t>avoidance rules that apply to schemes which are designed to reduce income tax. The two primary anti</w:t>
            </w:r>
            <w:r w:rsidR="00140E97">
              <w:rPr>
                <w:b w:val="0"/>
                <w:i w:val="0"/>
                <w:lang w:val="en-US" w:eastAsia="en-US"/>
              </w:rPr>
              <w:noBreakHyphen/>
              <w:t>avoidance rules that may apply to schemes entered into by multinationals are:</w:t>
            </w:r>
          </w:p>
          <w:p w14:paraId="12916E13" w14:textId="6C082DF4" w:rsidR="00140E97" w:rsidRDefault="00140E97" w:rsidP="00140E97">
            <w:pPr>
              <w:pStyle w:val="tabledotpoint"/>
              <w:rPr>
                <w:lang w:val="en-US" w:eastAsia="en-US"/>
              </w:rPr>
            </w:pPr>
            <w:r>
              <w:rPr>
                <w:lang w:val="en-US" w:eastAsia="en-US"/>
              </w:rPr>
              <w:t xml:space="preserve">the general anti-avoidance rule (section 177D); and </w:t>
            </w:r>
          </w:p>
          <w:p w14:paraId="3F6BC7B7" w14:textId="10D7D71D" w:rsidR="00140E97" w:rsidRDefault="00140E97" w:rsidP="00140E97">
            <w:pPr>
              <w:pStyle w:val="tabledotpoint"/>
              <w:rPr>
                <w:lang w:val="en-US" w:eastAsia="en-US"/>
              </w:rPr>
            </w:pPr>
            <w:r>
              <w:rPr>
                <w:lang w:val="en-US" w:eastAsia="en-US"/>
              </w:rPr>
              <w:t>the multinational anti-avoidance law (section 177DA).</w:t>
            </w:r>
          </w:p>
          <w:p w14:paraId="7ECE4807" w14:textId="20C308F3" w:rsidR="00EF6EA0" w:rsidRPr="00F15C60" w:rsidRDefault="00EF6EA0" w:rsidP="00140E97">
            <w:pPr>
              <w:pStyle w:val="tableheaderwithintable"/>
              <w:jc w:val="left"/>
              <w:rPr>
                <w:b w:val="0"/>
                <w:i w:val="0"/>
                <w:lang w:val="en-US" w:eastAsia="en-US"/>
              </w:rPr>
            </w:pPr>
          </w:p>
        </w:tc>
      </w:tr>
      <w:tr w:rsidR="00F0001D" w:rsidRPr="00F0001D" w14:paraId="2B2BE756" w14:textId="77777777" w:rsidTr="00A92BD4">
        <w:tc>
          <w:tcPr>
            <w:tcW w:w="3275" w:type="dxa"/>
          </w:tcPr>
          <w:p w14:paraId="0CE8BFE2" w14:textId="63ABC33A" w:rsidR="0000678D" w:rsidRDefault="0000678D" w:rsidP="00F0001D">
            <w:pPr>
              <w:pStyle w:val="tabletext"/>
              <w:rPr>
                <w:lang w:val="en-US" w:eastAsia="en-US"/>
              </w:rPr>
            </w:pPr>
            <w:r w:rsidRPr="0000678D">
              <w:rPr>
                <w:lang w:val="en-US" w:eastAsia="en-US"/>
              </w:rPr>
              <w:t>If the DPT applies to a scheme, the Commissioner may issue a DPT assessment to the relevant taxpayer. Under the DPT assessment, tax is payable on the amount of the diverted profits at a penalty rate of 40 per cent</w:t>
            </w:r>
            <w:r>
              <w:rPr>
                <w:lang w:val="en-US" w:eastAsia="en-US"/>
              </w:rPr>
              <w:t>.</w:t>
            </w:r>
          </w:p>
          <w:p w14:paraId="5815FD45" w14:textId="77777777" w:rsidR="00F0001D" w:rsidRDefault="00F0001D" w:rsidP="00F0001D">
            <w:pPr>
              <w:pStyle w:val="tabletext"/>
              <w:rPr>
                <w:lang w:val="en-US" w:eastAsia="en-US"/>
              </w:rPr>
            </w:pPr>
            <w:r w:rsidRPr="00F15C60">
              <w:rPr>
                <w:lang w:val="en-US" w:eastAsia="en-US"/>
              </w:rPr>
              <w:t>Where the Commissioner makes a DPT assessment, the taxpayer will have 21 days to pay the amount set out in the DPT assessment.</w:t>
            </w:r>
          </w:p>
          <w:p w14:paraId="63CA0550" w14:textId="01E4E349" w:rsidR="008F3B90" w:rsidRPr="00F0001D" w:rsidRDefault="008F3B90" w:rsidP="00F0001D">
            <w:pPr>
              <w:pStyle w:val="tabletext"/>
              <w:rPr>
                <w:lang w:val="en-US" w:eastAsia="en-US"/>
              </w:rPr>
            </w:pPr>
            <w:r w:rsidRPr="008F3B90">
              <w:rPr>
                <w:lang w:val="en-US" w:eastAsia="en-US"/>
              </w:rPr>
              <w:t>Following the notice of the DPT assessment, the taxpayer will be able to provide the Commissioner with further information disclosing reasons why the DPT assessment should be reduced (including to nil) during a</w:t>
            </w:r>
            <w:r w:rsidR="00816F92">
              <w:rPr>
                <w:lang w:val="en-US" w:eastAsia="en-US"/>
              </w:rPr>
              <w:t xml:space="preserve"> period of review (generally 12 </w:t>
            </w:r>
            <w:r w:rsidRPr="008F3B90">
              <w:rPr>
                <w:lang w:val="en-US" w:eastAsia="en-US"/>
              </w:rPr>
              <w:t>months after notice is given of the DPT assessment)</w:t>
            </w:r>
            <w:r>
              <w:rPr>
                <w:lang w:val="en-US" w:eastAsia="en-US"/>
              </w:rPr>
              <w:t>.</w:t>
            </w:r>
          </w:p>
          <w:p w14:paraId="14B993C4" w14:textId="447824FB" w:rsidR="00F0001D" w:rsidRDefault="008F3B90" w:rsidP="00BD72BC">
            <w:pPr>
              <w:pStyle w:val="tabletext"/>
              <w:rPr>
                <w:lang w:val="en-US" w:eastAsia="en-US"/>
              </w:rPr>
            </w:pPr>
            <w:r w:rsidRPr="006D5ADB">
              <w:t>If, at the end of that period</w:t>
            </w:r>
            <w:r>
              <w:t xml:space="preserve"> of review</w:t>
            </w:r>
            <w:r w:rsidRPr="006D5ADB">
              <w:t xml:space="preserve">, the </w:t>
            </w:r>
            <w:r w:rsidR="00BD72BC">
              <w:t xml:space="preserve">relevant </w:t>
            </w:r>
            <w:r w:rsidRPr="006D5ADB">
              <w:t xml:space="preserve">taxpayer is dissatisfied with the DPT assessment, or the amended DPT assessment, the taxpayer </w:t>
            </w:r>
            <w:r>
              <w:t xml:space="preserve">will have 30 days </w:t>
            </w:r>
            <w:r w:rsidRPr="006D5ADB">
              <w:t>to challenge the assessment by making an appeal to the Federal Court.</w:t>
            </w:r>
            <w:r>
              <w:t xml:space="preserve"> However, </w:t>
            </w:r>
            <w:r w:rsidR="0072743B">
              <w:t>when</w:t>
            </w:r>
            <w:r>
              <w:t xml:space="preserve"> considering the appeal, the Federal Court will generally be restricted to considering evidence that was provided to the Commissioner before the end of the period of review.</w:t>
            </w:r>
          </w:p>
        </w:tc>
        <w:tc>
          <w:tcPr>
            <w:tcW w:w="3276" w:type="dxa"/>
          </w:tcPr>
          <w:p w14:paraId="5F034816" w14:textId="036A145F" w:rsidR="00F0001D" w:rsidRDefault="00F0001D" w:rsidP="00F0001D">
            <w:pPr>
              <w:pStyle w:val="tableheaderwithintable"/>
              <w:jc w:val="left"/>
              <w:rPr>
                <w:b w:val="0"/>
                <w:i w:val="0"/>
                <w:lang w:val="en-US" w:eastAsia="en-US"/>
              </w:rPr>
            </w:pPr>
            <w:r>
              <w:rPr>
                <w:b w:val="0"/>
                <w:i w:val="0"/>
                <w:lang w:val="en-US" w:eastAsia="en-US"/>
              </w:rPr>
              <w:t xml:space="preserve">If the </w:t>
            </w:r>
            <w:r w:rsidRPr="00140E97">
              <w:rPr>
                <w:b w:val="0"/>
                <w:i w:val="0"/>
                <w:lang w:val="en-US" w:eastAsia="en-US"/>
              </w:rPr>
              <w:t xml:space="preserve">general anti-avoidance rule </w:t>
            </w:r>
            <w:r>
              <w:rPr>
                <w:b w:val="0"/>
                <w:i w:val="0"/>
                <w:lang w:val="en-US" w:eastAsia="en-US"/>
              </w:rPr>
              <w:t xml:space="preserve">or the </w:t>
            </w:r>
            <w:r w:rsidRPr="00140E97">
              <w:rPr>
                <w:b w:val="0"/>
                <w:i w:val="0"/>
                <w:lang w:val="en-US" w:eastAsia="en-US"/>
              </w:rPr>
              <w:t xml:space="preserve">multinational anti-avoidance law </w:t>
            </w:r>
            <w:r>
              <w:rPr>
                <w:b w:val="0"/>
                <w:i w:val="0"/>
                <w:lang w:val="en-US" w:eastAsia="en-US"/>
              </w:rPr>
              <w:t>applies to a scheme, the Commissioner may cancel the tax benefit that arises because of the scheme (section 177F</w:t>
            </w:r>
            <w:r w:rsidR="0072743B">
              <w:rPr>
                <w:b w:val="0"/>
                <w:i w:val="0"/>
                <w:lang w:val="en-US" w:eastAsia="en-US"/>
              </w:rPr>
              <w:t xml:space="preserve"> </w:t>
            </w:r>
            <w:r w:rsidR="0072743B" w:rsidRPr="0072743B">
              <w:rPr>
                <w:b w:val="0"/>
                <w:i w:val="0"/>
                <w:lang w:val="en-US" w:eastAsia="en-US"/>
              </w:rPr>
              <w:t>of the ITAA 1936</w:t>
            </w:r>
            <w:r>
              <w:rPr>
                <w:b w:val="0"/>
                <w:i w:val="0"/>
                <w:lang w:val="en-US" w:eastAsia="en-US"/>
              </w:rPr>
              <w:t xml:space="preserve">). </w:t>
            </w:r>
          </w:p>
          <w:p w14:paraId="2F3EDC6F" w14:textId="77777777" w:rsidR="006D5ADB" w:rsidRDefault="00F0001D" w:rsidP="00F0001D">
            <w:pPr>
              <w:pStyle w:val="tableheaderwithintable"/>
              <w:jc w:val="left"/>
              <w:rPr>
                <w:b w:val="0"/>
                <w:i w:val="0"/>
                <w:lang w:val="en-US" w:eastAsia="en-US"/>
              </w:rPr>
            </w:pPr>
            <w:r>
              <w:rPr>
                <w:b w:val="0"/>
                <w:i w:val="0"/>
                <w:lang w:val="en-US" w:eastAsia="en-US"/>
              </w:rPr>
              <w:t>In these circumstances, the Commissioner will amend the taxpayer’s income tax assessment for the relevant income year to increase the taxpayer’s liability to income tax</w:t>
            </w:r>
            <w:r w:rsidR="006D5ADB">
              <w:rPr>
                <w:b w:val="0"/>
                <w:i w:val="0"/>
                <w:lang w:val="en-US" w:eastAsia="en-US"/>
              </w:rPr>
              <w:t>.</w:t>
            </w:r>
          </w:p>
          <w:p w14:paraId="23EED480" w14:textId="72FD5C90" w:rsidR="006D5ADB" w:rsidRDefault="006D5ADB" w:rsidP="006D5ADB">
            <w:pPr>
              <w:pStyle w:val="tableheaderwithintable"/>
              <w:jc w:val="left"/>
              <w:rPr>
                <w:b w:val="0"/>
                <w:i w:val="0"/>
                <w:lang w:val="en-US" w:eastAsia="en-US"/>
              </w:rPr>
            </w:pPr>
            <w:r>
              <w:rPr>
                <w:b w:val="0"/>
                <w:i w:val="0"/>
                <w:lang w:val="en-US" w:eastAsia="en-US"/>
              </w:rPr>
              <w:t xml:space="preserve">Tax is payable on the increased tax liability at the corporate tax rate. Penalties may apply </w:t>
            </w:r>
            <w:r w:rsidR="00005E84">
              <w:rPr>
                <w:b w:val="0"/>
                <w:i w:val="0"/>
                <w:lang w:val="en-US" w:eastAsia="en-US"/>
              </w:rPr>
              <w:t xml:space="preserve">in addition to the </w:t>
            </w:r>
            <w:r>
              <w:rPr>
                <w:b w:val="0"/>
                <w:i w:val="0"/>
                <w:lang w:val="en-US" w:eastAsia="en-US"/>
              </w:rPr>
              <w:t xml:space="preserve">increase </w:t>
            </w:r>
            <w:r w:rsidR="00005E84">
              <w:rPr>
                <w:b w:val="0"/>
                <w:i w:val="0"/>
                <w:lang w:val="en-US" w:eastAsia="en-US"/>
              </w:rPr>
              <w:t xml:space="preserve">in </w:t>
            </w:r>
            <w:r>
              <w:rPr>
                <w:b w:val="0"/>
                <w:i w:val="0"/>
                <w:lang w:val="en-US" w:eastAsia="en-US"/>
              </w:rPr>
              <w:t>the amount of the tax liability.</w:t>
            </w:r>
          </w:p>
          <w:p w14:paraId="2E6671E3" w14:textId="32D78098" w:rsidR="00F0001D" w:rsidRDefault="006D5ADB" w:rsidP="006D5ADB">
            <w:pPr>
              <w:pStyle w:val="tableheaderwithintable"/>
              <w:jc w:val="left"/>
              <w:rPr>
                <w:b w:val="0"/>
                <w:i w:val="0"/>
                <w:lang w:val="en-US" w:eastAsia="en-US"/>
              </w:rPr>
            </w:pPr>
            <w:r>
              <w:rPr>
                <w:b w:val="0"/>
                <w:i w:val="0"/>
                <w:lang w:val="en-US" w:eastAsia="en-US"/>
              </w:rPr>
              <w:t>If the taxpayer is dissatisfied with the amended income tax assessment, the taxpayer has 60 days to object to the assessment (in the manner set out in Part IVC of the TAA 1953).</w:t>
            </w:r>
          </w:p>
        </w:tc>
      </w:tr>
    </w:tbl>
    <w:p w14:paraId="6A4F666B" w14:textId="77777777" w:rsidR="00E12C93" w:rsidRDefault="00E12C93" w:rsidP="00A92BD4">
      <w:pPr>
        <w:pStyle w:val="Heading2"/>
      </w:pPr>
    </w:p>
    <w:p w14:paraId="6F6FA0EF" w14:textId="77777777" w:rsidR="00E12C93" w:rsidRDefault="00E12C93">
      <w:pPr>
        <w:spacing w:before="0" w:after="0"/>
        <w:rPr>
          <w:rFonts w:ascii="Helvetica" w:hAnsi="Helvetica"/>
          <w:b/>
          <w:sz w:val="26"/>
        </w:rPr>
      </w:pPr>
      <w:r>
        <w:br w:type="page"/>
      </w:r>
    </w:p>
    <w:p w14:paraId="564A3935" w14:textId="0318F4AF" w:rsidR="000B2AC9" w:rsidRDefault="000B2AC9" w:rsidP="00A92BD4">
      <w:pPr>
        <w:pStyle w:val="Heading2"/>
      </w:pPr>
      <w:r>
        <w:t>Detailed explanation of new law</w:t>
      </w:r>
    </w:p>
    <w:p w14:paraId="422B20E4" w14:textId="76C61A89" w:rsidR="00E167E4" w:rsidRDefault="000B63B3" w:rsidP="00E167E4">
      <w:pPr>
        <w:pStyle w:val="base-text-paragraph"/>
      </w:pPr>
      <w:r>
        <w:t>Schedule 1</w:t>
      </w:r>
      <w:r w:rsidR="00E167E4">
        <w:t xml:space="preserve"> to this </w:t>
      </w:r>
      <w:r w:rsidR="009C0D64">
        <w:t xml:space="preserve">Exposure Draft </w:t>
      </w:r>
      <w:r w:rsidR="00E167E4">
        <w:t xml:space="preserve">Bill introduces the DPT </w:t>
      </w:r>
      <w:r w:rsidR="00C65E08">
        <w:t xml:space="preserve">aimed at </w:t>
      </w:r>
      <w:r w:rsidR="00E167E4">
        <w:t>ensur</w:t>
      </w:r>
      <w:r w:rsidR="00C65E08">
        <w:t>ing</w:t>
      </w:r>
      <w:r w:rsidR="00E167E4">
        <w:t xml:space="preserve"> that large multinationals </w:t>
      </w:r>
      <w:r w:rsidR="00867326">
        <w:t>are not able to avoid their Australian tax obligations by diverting profits generated in Australia offshore.</w:t>
      </w:r>
      <w:r w:rsidR="00E167E4">
        <w:t xml:space="preserve"> The Schedule specifies:</w:t>
      </w:r>
    </w:p>
    <w:p w14:paraId="3C2B1349" w14:textId="156F2B84" w:rsidR="00E167E4" w:rsidRDefault="00E167E4" w:rsidP="00A23595">
      <w:pPr>
        <w:pStyle w:val="dotpoint"/>
        <w:spacing w:before="0"/>
        <w:ind w:left="2269"/>
      </w:pPr>
      <w:r>
        <w:t>the circumstances in which the DPT applies to a taxpayer;</w:t>
      </w:r>
    </w:p>
    <w:p w14:paraId="49184C49" w14:textId="18FB929C" w:rsidR="00E167E4" w:rsidRDefault="00E167E4" w:rsidP="00A23595">
      <w:pPr>
        <w:pStyle w:val="dotpoint"/>
        <w:spacing w:before="0"/>
        <w:ind w:left="2269"/>
      </w:pPr>
      <w:r>
        <w:t xml:space="preserve">the </w:t>
      </w:r>
      <w:r w:rsidR="00E86A13">
        <w:t>consequences that arise if the DPT applies to a taxpayer</w:t>
      </w:r>
      <w:r>
        <w:t>; and</w:t>
      </w:r>
    </w:p>
    <w:p w14:paraId="0560B9BC" w14:textId="74B5A6E9" w:rsidR="00E96045" w:rsidRDefault="00F40376" w:rsidP="00A23595">
      <w:pPr>
        <w:pStyle w:val="dotpoint"/>
        <w:spacing w:before="0"/>
        <w:ind w:left="2269"/>
      </w:pPr>
      <w:r>
        <w:t xml:space="preserve">the DPT assessment </w:t>
      </w:r>
      <w:r w:rsidR="004817CF">
        <w:t xml:space="preserve">and review </w:t>
      </w:r>
      <w:r>
        <w:t>process.</w:t>
      </w:r>
    </w:p>
    <w:p w14:paraId="404C2300" w14:textId="0CCF33EE" w:rsidR="00A23595" w:rsidRDefault="00A23595" w:rsidP="004F4CD5">
      <w:pPr>
        <w:pStyle w:val="base-text-paragraph"/>
        <w:numPr>
          <w:ilvl w:val="0"/>
          <w:numId w:val="0"/>
        </w:numPr>
        <w:ind w:left="1277"/>
      </w:pPr>
    </w:p>
    <w:p w14:paraId="43E784B3" w14:textId="72BD87A1" w:rsidR="00A23595" w:rsidRDefault="00A23595" w:rsidP="004F4CD5">
      <w:pPr>
        <w:pStyle w:val="base-text-paragraph"/>
        <w:numPr>
          <w:ilvl w:val="0"/>
          <w:numId w:val="0"/>
        </w:numPr>
        <w:ind w:left="1277"/>
      </w:pPr>
    </w:p>
    <w:p w14:paraId="23DAAEBB" w14:textId="0D96B630" w:rsidR="00E12C93" w:rsidRDefault="00E12C93">
      <w:pPr>
        <w:spacing w:before="0" w:after="0"/>
      </w:pPr>
      <w:r>
        <w:br w:type="page"/>
      </w:r>
    </w:p>
    <w:p w14:paraId="686DDB33" w14:textId="77777777" w:rsidR="00E12C93" w:rsidRDefault="00E12C93" w:rsidP="00E12C93">
      <w:pPr>
        <w:pStyle w:val="Heading3"/>
      </w:pPr>
      <w:r>
        <w:t>Circumstances in which the DPT will apply</w:t>
      </w:r>
    </w:p>
    <w:p w14:paraId="597F26B1" w14:textId="77777777" w:rsidR="00E12C93" w:rsidRDefault="00E12C93" w:rsidP="00E12C93">
      <w:pPr>
        <w:pStyle w:val="base-text-paragraph"/>
        <w:numPr>
          <w:ilvl w:val="1"/>
          <w:numId w:val="43"/>
        </w:numPr>
      </w:pPr>
      <w:r>
        <w:t>The following flow chart outlines, in general terms, when the DPT may apply to a taxpayer.</w:t>
      </w:r>
    </w:p>
    <w:p w14:paraId="69D81292" w14:textId="579326B7" w:rsidR="00A23595" w:rsidRDefault="00A23595" w:rsidP="004F4CD5">
      <w:pPr>
        <w:pStyle w:val="base-text-paragraph"/>
        <w:numPr>
          <w:ilvl w:val="0"/>
          <w:numId w:val="0"/>
        </w:numPr>
        <w:ind w:left="1277"/>
      </w:pPr>
    </w:p>
    <w:p w14:paraId="176DFE66" w14:textId="43412F38" w:rsidR="00A23595" w:rsidRDefault="0011674D" w:rsidP="004F4CD5">
      <w:pPr>
        <w:pStyle w:val="base-text-paragraph"/>
        <w:numPr>
          <w:ilvl w:val="0"/>
          <w:numId w:val="0"/>
        </w:numPr>
        <w:ind w:left="1277"/>
      </w:pPr>
      <w:r w:rsidRPr="0011674D">
        <w:rPr>
          <w:noProof/>
        </w:rPr>
        <mc:AlternateContent>
          <mc:Choice Requires="wpg">
            <w:drawing>
              <wp:anchor distT="0" distB="0" distL="114300" distR="114300" simplePos="0" relativeHeight="251659264" behindDoc="0" locked="0" layoutInCell="1" allowOverlap="1" wp14:anchorId="6FD23233" wp14:editId="1E641BB5">
                <wp:simplePos x="0" y="0"/>
                <wp:positionH relativeFrom="column">
                  <wp:posOffset>39370</wp:posOffset>
                </wp:positionH>
                <wp:positionV relativeFrom="paragraph">
                  <wp:posOffset>20320</wp:posOffset>
                </wp:positionV>
                <wp:extent cx="4838700" cy="6096001"/>
                <wp:effectExtent l="0" t="0" r="19050" b="19050"/>
                <wp:wrapNone/>
                <wp:docPr id="83" name="Group 1"/>
                <wp:cNvGraphicFramePr/>
                <a:graphic xmlns:a="http://schemas.openxmlformats.org/drawingml/2006/main">
                  <a:graphicData uri="http://schemas.microsoft.com/office/word/2010/wordprocessingGroup">
                    <wpg:wgp>
                      <wpg:cNvGrpSpPr/>
                      <wpg:grpSpPr>
                        <a:xfrm>
                          <a:off x="0" y="0"/>
                          <a:ext cx="4838700" cy="6096001"/>
                          <a:chOff x="0" y="0"/>
                          <a:chExt cx="4839252" cy="6096252"/>
                        </a:xfrm>
                      </wpg:grpSpPr>
                      <wps:wsp>
                        <wps:cNvPr id="84" name="TextBox 45"/>
                        <wps:cNvSpPr txBox="1"/>
                        <wps:spPr>
                          <a:xfrm>
                            <a:off x="1924396" y="914798"/>
                            <a:ext cx="409995" cy="230832"/>
                          </a:xfrm>
                          <a:prstGeom prst="rect">
                            <a:avLst/>
                          </a:prstGeom>
                          <a:noFill/>
                          <a:ln>
                            <a:noFill/>
                          </a:ln>
                        </wps:spPr>
                        <wps:txbx>
                          <w:txbxContent>
                            <w:p w14:paraId="38532A09" w14:textId="77777777" w:rsidR="0011674D" w:rsidRDefault="0011674D" w:rsidP="0011674D">
                              <w:pPr>
                                <w:pStyle w:val="NormalWeb"/>
                                <w:spacing w:before="0" w:after="0"/>
                              </w:pPr>
                              <w:r>
                                <w:rPr>
                                  <w:rFonts w:asciiTheme="minorHAnsi" w:hAnsi="Calibri" w:cstheme="minorBidi"/>
                                  <w:color w:val="000000" w:themeColor="text1"/>
                                  <w:kern w:val="24"/>
                                  <w:sz w:val="18"/>
                                  <w:szCs w:val="18"/>
                                </w:rPr>
                                <w:t>YES</w:t>
                              </w:r>
                            </w:p>
                          </w:txbxContent>
                        </wps:txbx>
                        <wps:bodyPr wrap="square" rtlCol="0">
                          <a:spAutoFit/>
                        </wps:bodyPr>
                      </wps:wsp>
                      <wps:wsp>
                        <wps:cNvPr id="85" name="TextBox 46"/>
                        <wps:cNvSpPr txBox="1"/>
                        <wps:spPr>
                          <a:xfrm>
                            <a:off x="1917830" y="332588"/>
                            <a:ext cx="432048" cy="230832"/>
                          </a:xfrm>
                          <a:prstGeom prst="rect">
                            <a:avLst/>
                          </a:prstGeom>
                          <a:noFill/>
                          <a:ln>
                            <a:noFill/>
                          </a:ln>
                        </wps:spPr>
                        <wps:txbx>
                          <w:txbxContent>
                            <w:p w14:paraId="69806153" w14:textId="77777777" w:rsidR="0011674D" w:rsidRDefault="0011674D" w:rsidP="0011674D">
                              <w:pPr>
                                <w:pStyle w:val="NormalWeb"/>
                                <w:spacing w:before="0" w:after="0"/>
                              </w:pPr>
                              <w:r>
                                <w:rPr>
                                  <w:rFonts w:asciiTheme="minorHAnsi" w:hAnsi="Calibri" w:cstheme="minorBidi"/>
                                  <w:color w:val="000000" w:themeColor="text1"/>
                                  <w:kern w:val="24"/>
                                  <w:sz w:val="18"/>
                                  <w:szCs w:val="18"/>
                                </w:rPr>
                                <w:t>YES</w:t>
                              </w:r>
                            </w:p>
                          </w:txbxContent>
                        </wps:txbx>
                        <wps:bodyPr wrap="square" rtlCol="0">
                          <a:spAutoFit/>
                        </wps:bodyPr>
                      </wps:wsp>
                      <wps:wsp>
                        <wps:cNvPr id="86" name="TextBox 67"/>
                        <wps:cNvSpPr txBox="1"/>
                        <wps:spPr>
                          <a:xfrm>
                            <a:off x="3502869" y="2967136"/>
                            <a:ext cx="437752" cy="230832"/>
                          </a:xfrm>
                          <a:prstGeom prst="rect">
                            <a:avLst/>
                          </a:prstGeom>
                          <a:noFill/>
                          <a:ln>
                            <a:noFill/>
                          </a:ln>
                        </wps:spPr>
                        <wps:txbx>
                          <w:txbxContent>
                            <w:p w14:paraId="7D22A6FB" w14:textId="77777777" w:rsidR="0011674D" w:rsidRDefault="0011674D" w:rsidP="0011674D">
                              <w:pPr>
                                <w:pStyle w:val="NormalWeb"/>
                                <w:spacing w:before="0" w:after="0"/>
                              </w:pPr>
                              <w:r>
                                <w:rPr>
                                  <w:rFonts w:asciiTheme="minorHAnsi" w:hAnsi="Calibri" w:cstheme="minorBidi"/>
                                  <w:color w:val="000000" w:themeColor="text1"/>
                                  <w:kern w:val="24"/>
                                  <w:sz w:val="18"/>
                                  <w:szCs w:val="18"/>
                                </w:rPr>
                                <w:t>YES</w:t>
                              </w:r>
                            </w:p>
                          </w:txbxContent>
                        </wps:txbx>
                        <wps:bodyPr wrap="square" rtlCol="0">
                          <a:spAutoFit/>
                        </wps:bodyPr>
                      </wps:wsp>
                      <wps:wsp>
                        <wps:cNvPr id="87" name="TextBox 69"/>
                        <wps:cNvSpPr txBox="1"/>
                        <wps:spPr>
                          <a:xfrm>
                            <a:off x="3511318" y="2103040"/>
                            <a:ext cx="453446" cy="230832"/>
                          </a:xfrm>
                          <a:prstGeom prst="rect">
                            <a:avLst/>
                          </a:prstGeom>
                          <a:noFill/>
                          <a:ln>
                            <a:noFill/>
                          </a:ln>
                        </wps:spPr>
                        <wps:txbx>
                          <w:txbxContent>
                            <w:p w14:paraId="356CF8B9" w14:textId="77777777" w:rsidR="0011674D" w:rsidRDefault="0011674D" w:rsidP="0011674D">
                              <w:pPr>
                                <w:pStyle w:val="NormalWeb"/>
                                <w:spacing w:before="0" w:after="0"/>
                              </w:pPr>
                              <w:r>
                                <w:rPr>
                                  <w:rFonts w:asciiTheme="minorHAnsi" w:hAnsi="Calibri" w:cstheme="minorBidi"/>
                                  <w:color w:val="000000" w:themeColor="text1"/>
                                  <w:kern w:val="24"/>
                                  <w:sz w:val="18"/>
                                  <w:szCs w:val="18"/>
                                </w:rPr>
                                <w:t>NO</w:t>
                              </w:r>
                            </w:p>
                          </w:txbxContent>
                        </wps:txbx>
                        <wps:bodyPr wrap="square" rtlCol="0">
                          <a:spAutoFit/>
                        </wps:bodyPr>
                      </wps:wsp>
                      <wps:wsp>
                        <wps:cNvPr id="91" name="TextBox 70"/>
                        <wps:cNvSpPr txBox="1"/>
                        <wps:spPr>
                          <a:xfrm>
                            <a:off x="3508573" y="1224136"/>
                            <a:ext cx="515696" cy="230832"/>
                          </a:xfrm>
                          <a:prstGeom prst="rect">
                            <a:avLst/>
                          </a:prstGeom>
                          <a:noFill/>
                          <a:ln>
                            <a:noFill/>
                          </a:ln>
                        </wps:spPr>
                        <wps:txbx>
                          <w:txbxContent>
                            <w:p w14:paraId="308EAFB1" w14:textId="77777777" w:rsidR="0011674D" w:rsidRDefault="0011674D" w:rsidP="0011674D">
                              <w:pPr>
                                <w:pStyle w:val="NormalWeb"/>
                                <w:spacing w:before="0" w:after="0"/>
                              </w:pPr>
                              <w:r>
                                <w:rPr>
                                  <w:rFonts w:asciiTheme="minorHAnsi" w:hAnsi="Calibri" w:cstheme="minorBidi"/>
                                  <w:color w:val="000000" w:themeColor="text1"/>
                                  <w:kern w:val="24"/>
                                  <w:sz w:val="18"/>
                                  <w:szCs w:val="18"/>
                                </w:rPr>
                                <w:t>NO</w:t>
                              </w:r>
                            </w:p>
                          </w:txbxContent>
                        </wps:txbx>
                        <wps:bodyPr wrap="square" rtlCol="0">
                          <a:spAutoFit/>
                        </wps:bodyPr>
                      </wps:wsp>
                      <wps:wsp>
                        <wps:cNvPr id="94" name="TextBox 53"/>
                        <wps:cNvSpPr txBox="1"/>
                        <wps:spPr>
                          <a:xfrm>
                            <a:off x="1936117" y="2659066"/>
                            <a:ext cx="462051" cy="230832"/>
                          </a:xfrm>
                          <a:prstGeom prst="rect">
                            <a:avLst/>
                          </a:prstGeom>
                          <a:noFill/>
                          <a:ln>
                            <a:noFill/>
                          </a:ln>
                        </wps:spPr>
                        <wps:txbx>
                          <w:txbxContent>
                            <w:p w14:paraId="6CF6F503" w14:textId="77777777" w:rsidR="0011674D" w:rsidRDefault="0011674D" w:rsidP="0011674D">
                              <w:pPr>
                                <w:pStyle w:val="NormalWeb"/>
                                <w:spacing w:before="0" w:after="0"/>
                              </w:pPr>
                              <w:r>
                                <w:rPr>
                                  <w:rFonts w:asciiTheme="minorHAnsi" w:hAnsi="Calibri" w:cstheme="minorBidi"/>
                                  <w:color w:val="000000" w:themeColor="text1"/>
                                  <w:kern w:val="24"/>
                                  <w:sz w:val="18"/>
                                  <w:szCs w:val="18"/>
                                </w:rPr>
                                <w:t>YES</w:t>
                              </w:r>
                            </w:p>
                          </w:txbxContent>
                        </wps:txbx>
                        <wps:bodyPr wrap="square" rtlCol="0">
                          <a:spAutoFit/>
                        </wps:bodyPr>
                      </wps:wsp>
                      <wps:wsp>
                        <wps:cNvPr id="95" name="TextBox 48"/>
                        <wps:cNvSpPr txBox="1"/>
                        <wps:spPr>
                          <a:xfrm>
                            <a:off x="3484005" y="518864"/>
                            <a:ext cx="456616" cy="230832"/>
                          </a:xfrm>
                          <a:prstGeom prst="rect">
                            <a:avLst/>
                          </a:prstGeom>
                          <a:noFill/>
                          <a:ln>
                            <a:noFill/>
                          </a:ln>
                        </wps:spPr>
                        <wps:txbx>
                          <w:txbxContent>
                            <w:p w14:paraId="59225A84" w14:textId="77777777" w:rsidR="0011674D" w:rsidRDefault="0011674D" w:rsidP="0011674D">
                              <w:pPr>
                                <w:pStyle w:val="NormalWeb"/>
                                <w:spacing w:before="0" w:after="0"/>
                              </w:pPr>
                              <w:r>
                                <w:rPr>
                                  <w:rFonts w:asciiTheme="minorHAnsi" w:hAnsi="Calibri" w:cstheme="minorBidi"/>
                                  <w:color w:val="000000" w:themeColor="text1"/>
                                  <w:kern w:val="24"/>
                                  <w:sz w:val="18"/>
                                  <w:szCs w:val="18"/>
                                </w:rPr>
                                <w:t xml:space="preserve"> NO</w:t>
                              </w:r>
                            </w:p>
                          </w:txbxContent>
                        </wps:txbx>
                        <wps:bodyPr wrap="square" rtlCol="0">
                          <a:spAutoFit/>
                        </wps:bodyPr>
                      </wps:wsp>
                      <wps:wsp>
                        <wps:cNvPr id="96" name="TextBox 56"/>
                        <wps:cNvSpPr txBox="1"/>
                        <wps:spPr>
                          <a:xfrm>
                            <a:off x="3478937" y="0"/>
                            <a:ext cx="456616" cy="230832"/>
                          </a:xfrm>
                          <a:prstGeom prst="rect">
                            <a:avLst/>
                          </a:prstGeom>
                          <a:noFill/>
                          <a:ln>
                            <a:noFill/>
                          </a:ln>
                        </wps:spPr>
                        <wps:txbx>
                          <w:txbxContent>
                            <w:p w14:paraId="15F75F7C" w14:textId="77777777" w:rsidR="0011674D" w:rsidRDefault="0011674D" w:rsidP="0011674D">
                              <w:pPr>
                                <w:pStyle w:val="NormalWeb"/>
                                <w:spacing w:before="0" w:after="0"/>
                              </w:pPr>
                              <w:r>
                                <w:rPr>
                                  <w:rFonts w:asciiTheme="minorHAnsi" w:hAnsi="Calibri" w:cstheme="minorBidi"/>
                                  <w:color w:val="000000" w:themeColor="text1"/>
                                  <w:kern w:val="24"/>
                                  <w:sz w:val="18"/>
                                  <w:szCs w:val="18"/>
                                </w:rPr>
                                <w:t xml:space="preserve"> NO</w:t>
                              </w:r>
                            </w:p>
                          </w:txbxContent>
                        </wps:txbx>
                        <wps:bodyPr wrap="square" rtlCol="0">
                          <a:spAutoFit/>
                        </wps:bodyPr>
                      </wps:wsp>
                      <wps:wsp>
                        <wps:cNvPr id="97" name="Straight Arrow Connector 97"/>
                        <wps:cNvCnPr/>
                        <wps:spPr>
                          <a:xfrm>
                            <a:off x="3849053" y="2591843"/>
                            <a:ext cx="251538" cy="445"/>
                          </a:xfrm>
                          <a:prstGeom prst="straightConnector1">
                            <a:avLst/>
                          </a:prstGeom>
                          <a:ln w="12700">
                            <a:solidFill>
                              <a:schemeClr val="tx1"/>
                            </a:solidFill>
                            <a:tailEnd type="triangle" w="lg" len="lg"/>
                          </a:ln>
                          <a:effectLst/>
                        </wps:spPr>
                        <wps:style>
                          <a:lnRef idx="2">
                            <a:schemeClr val="accent1"/>
                          </a:lnRef>
                          <a:fillRef idx="0">
                            <a:schemeClr val="accent1"/>
                          </a:fillRef>
                          <a:effectRef idx="1">
                            <a:schemeClr val="accent1"/>
                          </a:effectRef>
                          <a:fontRef idx="minor">
                            <a:schemeClr val="tx1"/>
                          </a:fontRef>
                        </wps:style>
                        <wps:bodyPr/>
                      </wps:wsp>
                      <wpg:grpSp>
                        <wpg:cNvPr id="98" name="Group 98"/>
                        <wpg:cNvGrpSpPr/>
                        <wpg:grpSpPr>
                          <a:xfrm>
                            <a:off x="16989" y="17039"/>
                            <a:ext cx="3449579" cy="351663"/>
                            <a:chOff x="16989" y="17039"/>
                            <a:chExt cx="4881093" cy="665862"/>
                          </a:xfrm>
                        </wpg:grpSpPr>
                        <wps:wsp>
                          <wps:cNvPr id="99" name="Rectangle 99"/>
                          <wps:cNvSpPr/>
                          <wps:spPr>
                            <a:xfrm>
                              <a:off x="1187587" y="17039"/>
                              <a:ext cx="3710495" cy="665862"/>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16D03E" w14:textId="77777777" w:rsidR="0011674D" w:rsidRDefault="0011674D" w:rsidP="0011674D">
                                <w:pPr>
                                  <w:pStyle w:val="NormalWeb"/>
                                  <w:spacing w:before="0" w:after="0"/>
                                </w:pPr>
                                <w:r>
                                  <w:rPr>
                                    <w:rFonts w:asciiTheme="minorHAnsi" w:hAnsi="Calibri" w:cstheme="minorBidi"/>
                                    <w:color w:val="000000" w:themeColor="dark1"/>
                                    <w:kern w:val="24"/>
                                    <w:sz w:val="16"/>
                                    <w:szCs w:val="16"/>
                                  </w:rPr>
                                  <w:t>Are you an Australian taxpayer or an Australian permanent establishment of a foreign resident?</w:t>
                                </w:r>
                              </w:p>
                            </w:txbxContent>
                          </wps:txbx>
                          <wps:bodyPr numCol="1" rtlCol="0" anchor="t"/>
                        </wps:wsp>
                        <wps:wsp>
                          <wps:cNvPr id="100" name="Rectangle 100"/>
                          <wps:cNvSpPr/>
                          <wps:spPr>
                            <a:xfrm>
                              <a:off x="16989" y="17039"/>
                              <a:ext cx="1170598" cy="665862"/>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3FBD34" w14:textId="77777777" w:rsidR="0011674D" w:rsidRDefault="0011674D" w:rsidP="0011674D">
                                <w:pPr>
                                  <w:pStyle w:val="NormalWeb"/>
                                  <w:spacing w:before="0" w:after="0"/>
                                  <w:jc w:val="center"/>
                                </w:pPr>
                                <w:r>
                                  <w:rPr>
                                    <w:rFonts w:asciiTheme="minorHAnsi" w:hAnsi="Calibri" w:cstheme="minorBidi"/>
                                    <w:b/>
                                    <w:bCs/>
                                    <w:color w:val="000000" w:themeColor="text1"/>
                                    <w:kern w:val="24"/>
                                    <w:sz w:val="16"/>
                                    <w:szCs w:val="16"/>
                                  </w:rPr>
                                  <w:t>Australian taxpayer</w:t>
                                </w:r>
                              </w:p>
                            </w:txbxContent>
                          </wps:txbx>
                          <wps:bodyPr rtlCol="0" anchor="ctr"/>
                        </wps:wsp>
                      </wpg:grpSp>
                      <wpg:grpSp>
                        <wpg:cNvPr id="101" name="Group 101"/>
                        <wpg:cNvGrpSpPr/>
                        <wpg:grpSpPr>
                          <a:xfrm>
                            <a:off x="14907" y="518864"/>
                            <a:ext cx="3462446" cy="421582"/>
                            <a:chOff x="14907" y="518864"/>
                            <a:chExt cx="4886401" cy="665862"/>
                          </a:xfrm>
                        </wpg:grpSpPr>
                        <wps:wsp>
                          <wps:cNvPr id="103" name="Rectangle 103"/>
                          <wps:cNvSpPr/>
                          <wps:spPr>
                            <a:xfrm>
                              <a:off x="1182419" y="518864"/>
                              <a:ext cx="3718889" cy="665862"/>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4A5633" w14:textId="77777777" w:rsidR="0011674D" w:rsidRDefault="0011674D" w:rsidP="0011674D">
                                <w:pPr>
                                  <w:pStyle w:val="NormalWeb"/>
                                  <w:spacing w:before="0" w:after="0"/>
                                </w:pPr>
                                <w:r>
                                  <w:rPr>
                                    <w:rFonts w:asciiTheme="minorHAnsi" w:hAnsi="Calibri" w:cstheme="minorBidi"/>
                                    <w:color w:val="000000" w:themeColor="dark1"/>
                                    <w:kern w:val="24"/>
                                    <w:sz w:val="16"/>
                                    <w:szCs w:val="16"/>
                                  </w:rPr>
                                  <w:t>Are you a significant global entity (i.e. annual global income of $1 billion or more)?</w:t>
                                </w:r>
                              </w:p>
                            </w:txbxContent>
                          </wps:txbx>
                          <wps:bodyPr numCol="1" rtlCol="0" anchor="t"/>
                        </wps:wsp>
                        <wps:wsp>
                          <wps:cNvPr id="104" name="Rectangle 104"/>
                          <wps:cNvSpPr/>
                          <wps:spPr>
                            <a:xfrm>
                              <a:off x="14907" y="518864"/>
                              <a:ext cx="1167513" cy="665862"/>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D9A1FF" w14:textId="77777777" w:rsidR="0011674D" w:rsidRDefault="0011674D" w:rsidP="0011674D">
                                <w:pPr>
                                  <w:pStyle w:val="NormalWeb"/>
                                  <w:spacing w:before="0" w:after="0"/>
                                  <w:jc w:val="center"/>
                                </w:pPr>
                                <w:r>
                                  <w:rPr>
                                    <w:rFonts w:asciiTheme="minorHAnsi" w:hAnsi="Calibri" w:cstheme="minorBidi"/>
                                    <w:b/>
                                    <w:bCs/>
                                    <w:color w:val="000000" w:themeColor="text1"/>
                                    <w:kern w:val="24"/>
                                    <w:sz w:val="16"/>
                                    <w:szCs w:val="16"/>
                                  </w:rPr>
                                  <w:t>Large multinational</w:t>
                                </w:r>
                              </w:p>
                            </w:txbxContent>
                          </wps:txbx>
                          <wps:bodyPr rtlCol="0" anchor="ctr"/>
                        </wps:wsp>
                      </wpg:grpSp>
                      <wpg:grpSp>
                        <wpg:cNvPr id="105" name="Group 105"/>
                        <wpg:cNvGrpSpPr/>
                        <wpg:grpSpPr>
                          <a:xfrm>
                            <a:off x="16491" y="1100568"/>
                            <a:ext cx="3462446" cy="641536"/>
                            <a:chOff x="16491" y="1100568"/>
                            <a:chExt cx="4886399" cy="752140"/>
                          </a:xfrm>
                        </wpg:grpSpPr>
                        <wps:wsp>
                          <wps:cNvPr id="106" name="Rectangle 106"/>
                          <wps:cNvSpPr/>
                          <wps:spPr>
                            <a:xfrm>
                              <a:off x="1184004" y="1100568"/>
                              <a:ext cx="3718886" cy="752136"/>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286157" w14:textId="77777777" w:rsidR="0011674D" w:rsidRDefault="0011674D" w:rsidP="0011674D">
                                <w:pPr>
                                  <w:pStyle w:val="NormalWeb"/>
                                  <w:spacing w:before="0" w:after="0"/>
                                </w:pPr>
                                <w:r>
                                  <w:rPr>
                                    <w:rFonts w:asciiTheme="minorHAnsi" w:hAnsi="Calibri" w:cstheme="minorBidi"/>
                                    <w:color w:val="000000" w:themeColor="dark1"/>
                                    <w:kern w:val="24"/>
                                    <w:sz w:val="16"/>
                                    <w:szCs w:val="16"/>
                                  </w:rPr>
                                  <w:t>Do you have a scheme (or any part) that involves dealings with an associate (or associates) that is a foreign entity?</w:t>
                                </w:r>
                              </w:p>
                            </w:txbxContent>
                          </wps:txbx>
                          <wps:bodyPr numCol="1" rtlCol="0" anchor="t"/>
                        </wps:wsp>
                        <wps:wsp>
                          <wps:cNvPr id="107" name="Rectangle 107"/>
                          <wps:cNvSpPr/>
                          <wps:spPr>
                            <a:xfrm>
                              <a:off x="16491" y="1100573"/>
                              <a:ext cx="1167513" cy="75213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2B3F2C" w14:textId="77777777" w:rsidR="0011674D" w:rsidRDefault="0011674D" w:rsidP="0011674D">
                                <w:pPr>
                                  <w:pStyle w:val="NormalWeb"/>
                                  <w:spacing w:before="0" w:after="0"/>
                                  <w:jc w:val="center"/>
                                </w:pPr>
                                <w:r>
                                  <w:rPr>
                                    <w:rFonts w:asciiTheme="minorHAnsi" w:hAnsi="Calibri" w:cstheme="minorBidi"/>
                                    <w:b/>
                                    <w:bCs/>
                                    <w:color w:val="000000" w:themeColor="text1"/>
                                    <w:kern w:val="24"/>
                                    <w:sz w:val="16"/>
                                    <w:szCs w:val="16"/>
                                  </w:rPr>
                                  <w:t>Scheme involving offshore associates</w:t>
                                </w:r>
                              </w:p>
                            </w:txbxContent>
                          </wps:txbx>
                          <wps:bodyPr rtlCol="0" anchor="ctr"/>
                        </wps:wsp>
                      </wpg:grpSp>
                      <wpg:grpSp>
                        <wpg:cNvPr id="108" name="Group 108"/>
                        <wpg:cNvGrpSpPr/>
                        <wpg:grpSpPr>
                          <a:xfrm>
                            <a:off x="13979" y="2872592"/>
                            <a:ext cx="3458763" cy="665377"/>
                            <a:chOff x="13979" y="2872592"/>
                            <a:chExt cx="3458762" cy="665862"/>
                          </a:xfrm>
                        </wpg:grpSpPr>
                        <wps:wsp>
                          <wps:cNvPr id="109" name="Rectangle 109"/>
                          <wps:cNvSpPr/>
                          <wps:spPr>
                            <a:xfrm>
                              <a:off x="874011" y="2872592"/>
                              <a:ext cx="2598730" cy="665862"/>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232911" w14:textId="77777777" w:rsidR="0011674D" w:rsidRDefault="0011674D" w:rsidP="0011674D">
                                <w:pPr>
                                  <w:pStyle w:val="NormalWeb"/>
                                  <w:spacing w:before="0" w:after="0"/>
                                </w:pPr>
                                <w:r>
                                  <w:rPr>
                                    <w:rFonts w:asciiTheme="minorHAnsi" w:hAnsi="Calibri" w:cstheme="minorBidi"/>
                                    <w:color w:val="000000" w:themeColor="text1"/>
                                    <w:kern w:val="24"/>
                                    <w:sz w:val="16"/>
                                    <w:szCs w:val="16"/>
                                  </w:rPr>
                                  <w:t>Is it reasonable to conclude that you and your associated entities have total turnover in Australia that does not exceed $25 million and that you or an associated entity have not artificially booked any turnover offshore?</w:t>
                                </w:r>
                              </w:p>
                            </w:txbxContent>
                          </wps:txbx>
                          <wps:bodyPr numCol="1" rtlCol="0" anchor="t"/>
                        </wps:wsp>
                        <wps:wsp>
                          <wps:cNvPr id="110" name="Rectangle 110"/>
                          <wps:cNvSpPr/>
                          <wps:spPr>
                            <a:xfrm>
                              <a:off x="13979" y="2872592"/>
                              <a:ext cx="860032" cy="665862"/>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EB3FD9" w14:textId="77777777" w:rsidR="0011674D" w:rsidRDefault="0011674D" w:rsidP="0011674D">
                                <w:pPr>
                                  <w:pStyle w:val="NormalWeb"/>
                                  <w:spacing w:before="0" w:after="0"/>
                                  <w:jc w:val="center"/>
                                </w:pPr>
                                <w:r>
                                  <w:rPr>
                                    <w:rFonts w:asciiTheme="minorHAnsi" w:hAnsi="Calibri" w:cstheme="minorBidi"/>
                                    <w:b/>
                                    <w:bCs/>
                                    <w:color w:val="000000" w:themeColor="text1"/>
                                    <w:kern w:val="24"/>
                                    <w:sz w:val="16"/>
                                    <w:szCs w:val="16"/>
                                  </w:rPr>
                                  <w:t>$25 million turnover test (section 177J)</w:t>
                                </w:r>
                              </w:p>
                            </w:txbxContent>
                          </wps:txbx>
                          <wps:bodyPr rtlCol="0" anchor="ctr"/>
                        </wps:wsp>
                      </wpg:grpSp>
                      <wpg:grpSp>
                        <wpg:cNvPr id="111" name="Group 111"/>
                        <wpg:cNvGrpSpPr/>
                        <wpg:grpSpPr>
                          <a:xfrm>
                            <a:off x="11973" y="1908645"/>
                            <a:ext cx="3461702" cy="794997"/>
                            <a:chOff x="11973" y="1908645"/>
                            <a:chExt cx="4886400" cy="1064275"/>
                          </a:xfrm>
                        </wpg:grpSpPr>
                        <wps:wsp>
                          <wps:cNvPr id="112" name="Rectangle 112"/>
                          <wps:cNvSpPr/>
                          <wps:spPr>
                            <a:xfrm>
                              <a:off x="1209876" y="1908645"/>
                              <a:ext cx="3688497" cy="106427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FD5D64" w14:textId="77777777" w:rsidR="0011674D" w:rsidRDefault="0011674D" w:rsidP="0011674D">
                                <w:pPr>
                                  <w:pStyle w:val="NormalWeb"/>
                                  <w:spacing w:before="0" w:after="0"/>
                                </w:pPr>
                                <w:r>
                                  <w:rPr>
                                    <w:rFonts w:asciiTheme="minorHAnsi" w:hAnsi="Calibri" w:cstheme="minorBidi"/>
                                    <w:color w:val="000000" w:themeColor="dark1"/>
                                    <w:kern w:val="24"/>
                                    <w:sz w:val="16"/>
                                    <w:szCs w:val="16"/>
                                  </w:rPr>
                                  <w:t xml:space="preserve">Is it reasonable to conclude that </w:t>
                                </w:r>
                                <w:r>
                                  <w:rPr>
                                    <w:rFonts w:asciiTheme="minorHAnsi" w:hAnsi="Calibri" w:cstheme="minorBidi"/>
                                    <w:color w:val="000000" w:themeColor="dark1"/>
                                    <w:kern w:val="24"/>
                                    <w:sz w:val="16"/>
                                    <w:szCs w:val="16"/>
                                    <w:lang w:val="en-US"/>
                                  </w:rPr>
                                  <w:t>the scheme (or any part) was entered into or carried out for a principal purpose, or for more than one principal purpose that includes a purpose of obtaining a tax benefit, or both a tax benefit and a reduction in a foreign tax liability?</w:t>
                                </w:r>
                              </w:p>
                            </w:txbxContent>
                          </wps:txbx>
                          <wps:bodyPr numCol="1" rtlCol="0" anchor="ctr"/>
                        </wps:wsp>
                        <wps:wsp>
                          <wps:cNvPr id="113" name="Rectangle 113"/>
                          <wps:cNvSpPr/>
                          <wps:spPr>
                            <a:xfrm>
                              <a:off x="11973" y="1908645"/>
                              <a:ext cx="1197903" cy="10642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F4C561" w14:textId="77777777" w:rsidR="0011674D" w:rsidRDefault="0011674D" w:rsidP="0011674D">
                                <w:pPr>
                                  <w:pStyle w:val="NormalWeb"/>
                                  <w:spacing w:before="0" w:after="0"/>
                                  <w:jc w:val="center"/>
                                </w:pPr>
                                <w:r>
                                  <w:rPr>
                                    <w:rFonts w:asciiTheme="minorHAnsi" w:hAnsi="Calibri" w:cstheme="minorBidi"/>
                                    <w:b/>
                                    <w:bCs/>
                                    <w:color w:val="000000" w:themeColor="text1"/>
                                    <w:kern w:val="24"/>
                                    <w:sz w:val="16"/>
                                    <w:szCs w:val="16"/>
                                  </w:rPr>
                                  <w:t>Tax avoidance purpose</w:t>
                                </w:r>
                              </w:p>
                              <w:p w14:paraId="41450469" w14:textId="77777777" w:rsidR="0011674D" w:rsidRDefault="0011674D" w:rsidP="0011674D">
                                <w:pPr>
                                  <w:pStyle w:val="NormalWeb"/>
                                  <w:spacing w:before="0"/>
                                  <w:jc w:val="center"/>
                                </w:pPr>
                                <w:r>
                                  <w:rPr>
                                    <w:rFonts w:asciiTheme="minorHAnsi" w:hAnsi="Calibri" w:cstheme="minorBidi"/>
                                    <w:b/>
                                    <w:bCs/>
                                    <w:color w:val="000000" w:themeColor="text1"/>
                                    <w:kern w:val="24"/>
                                    <w:sz w:val="16"/>
                                    <w:szCs w:val="16"/>
                                  </w:rPr>
                                  <w:t>(section 177H)</w:t>
                                </w:r>
                              </w:p>
                            </w:txbxContent>
                          </wps:txbx>
                          <wps:bodyPr rtlCol="0" anchor="ctr"/>
                        </wps:wsp>
                      </wpg:grpSp>
                      <wps:wsp>
                        <wps:cNvPr id="114" name="Straight Arrow Connector 114"/>
                        <wps:cNvCnPr>
                          <a:stCxn id="103" idx="3"/>
                        </wps:cNvCnPr>
                        <wps:spPr>
                          <a:xfrm>
                            <a:off x="3477353" y="729652"/>
                            <a:ext cx="357346" cy="0"/>
                          </a:xfrm>
                          <a:prstGeom prst="straightConnector1">
                            <a:avLst/>
                          </a:prstGeom>
                          <a:ln w="12700">
                            <a:solidFill>
                              <a:schemeClr val="tx1"/>
                            </a:solidFill>
                            <a:tailEnd type="none"/>
                          </a:ln>
                          <a:effectLst/>
                        </wps:spPr>
                        <wps:style>
                          <a:lnRef idx="2">
                            <a:schemeClr val="accent1"/>
                          </a:lnRef>
                          <a:fillRef idx="0">
                            <a:schemeClr val="accent1"/>
                          </a:fillRef>
                          <a:effectRef idx="1">
                            <a:schemeClr val="accent1"/>
                          </a:effectRef>
                          <a:fontRef idx="minor">
                            <a:schemeClr val="tx1"/>
                          </a:fontRef>
                        </wps:style>
                        <wps:bodyPr/>
                      </wps:wsp>
                      <wps:wsp>
                        <wps:cNvPr id="115" name="Straight Arrow Connector 115"/>
                        <wps:cNvCnPr/>
                        <wps:spPr>
                          <a:xfrm flipV="1">
                            <a:off x="3473502" y="3183160"/>
                            <a:ext cx="365048" cy="2"/>
                          </a:xfrm>
                          <a:prstGeom prst="straightConnector1">
                            <a:avLst/>
                          </a:prstGeom>
                          <a:ln w="12700">
                            <a:solidFill>
                              <a:schemeClr val="tx1"/>
                            </a:solidFill>
                            <a:tailEnd type="none"/>
                          </a:ln>
                          <a:effectLst/>
                        </wps:spPr>
                        <wps:style>
                          <a:lnRef idx="2">
                            <a:schemeClr val="accent1"/>
                          </a:lnRef>
                          <a:fillRef idx="0">
                            <a:schemeClr val="accent1"/>
                          </a:fillRef>
                          <a:effectRef idx="1">
                            <a:schemeClr val="accent1"/>
                          </a:effectRef>
                          <a:fontRef idx="minor">
                            <a:schemeClr val="tx1"/>
                          </a:fontRef>
                        </wps:style>
                        <wps:bodyPr/>
                      </wps:wsp>
                      <wps:wsp>
                        <wps:cNvPr id="116" name="TextBox 174"/>
                        <wps:cNvSpPr txBox="1"/>
                        <wps:spPr>
                          <a:xfrm>
                            <a:off x="1939097" y="5451726"/>
                            <a:ext cx="462051" cy="230832"/>
                          </a:xfrm>
                          <a:prstGeom prst="rect">
                            <a:avLst/>
                          </a:prstGeom>
                          <a:noFill/>
                          <a:ln>
                            <a:noFill/>
                          </a:ln>
                        </wps:spPr>
                        <wps:txbx>
                          <w:txbxContent>
                            <w:p w14:paraId="0FC718BF" w14:textId="77777777" w:rsidR="0011674D" w:rsidRDefault="0011674D" w:rsidP="0011674D">
                              <w:pPr>
                                <w:pStyle w:val="NormalWeb"/>
                                <w:spacing w:before="0" w:after="0"/>
                              </w:pPr>
                              <w:r>
                                <w:rPr>
                                  <w:rFonts w:asciiTheme="minorHAnsi" w:hAnsi="Calibri" w:cstheme="minorBidi"/>
                                  <w:color w:val="000000" w:themeColor="text1"/>
                                  <w:kern w:val="24"/>
                                  <w:sz w:val="18"/>
                                  <w:szCs w:val="18"/>
                                </w:rPr>
                                <w:t>NO</w:t>
                              </w:r>
                            </w:p>
                          </w:txbxContent>
                        </wps:txbx>
                        <wps:bodyPr wrap="square" rtlCol="0">
                          <a:spAutoFit/>
                        </wps:bodyPr>
                      </wps:wsp>
                      <wps:wsp>
                        <wps:cNvPr id="117" name="TextBox 176"/>
                        <wps:cNvSpPr txBox="1"/>
                        <wps:spPr>
                          <a:xfrm>
                            <a:off x="1939098" y="3487268"/>
                            <a:ext cx="462051" cy="230832"/>
                          </a:xfrm>
                          <a:prstGeom prst="rect">
                            <a:avLst/>
                          </a:prstGeom>
                          <a:noFill/>
                          <a:ln>
                            <a:noFill/>
                          </a:ln>
                        </wps:spPr>
                        <wps:txbx>
                          <w:txbxContent>
                            <w:p w14:paraId="640D20BD" w14:textId="77777777" w:rsidR="0011674D" w:rsidRDefault="0011674D" w:rsidP="0011674D">
                              <w:pPr>
                                <w:pStyle w:val="NormalWeb"/>
                                <w:spacing w:before="0" w:after="0"/>
                              </w:pPr>
                              <w:r>
                                <w:rPr>
                                  <w:rFonts w:asciiTheme="minorHAnsi" w:hAnsi="Calibri" w:cstheme="minorBidi"/>
                                  <w:color w:val="000000" w:themeColor="text1"/>
                                  <w:kern w:val="24"/>
                                  <w:sz w:val="18"/>
                                  <w:szCs w:val="18"/>
                                </w:rPr>
                                <w:t>NO</w:t>
                              </w:r>
                            </w:p>
                          </w:txbxContent>
                        </wps:txbx>
                        <wps:bodyPr wrap="square" rtlCol="0">
                          <a:spAutoFit/>
                        </wps:bodyPr>
                      </wps:wsp>
                      <wps:wsp>
                        <wps:cNvPr id="118" name="Rectangle 118"/>
                        <wps:cNvSpPr/>
                        <wps:spPr>
                          <a:xfrm>
                            <a:off x="993023" y="5811452"/>
                            <a:ext cx="1852843" cy="2848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ADEC31" w14:textId="77777777" w:rsidR="0011674D" w:rsidRDefault="0011674D" w:rsidP="0011674D">
                              <w:pPr>
                                <w:pStyle w:val="NormalWeb"/>
                                <w:spacing w:before="0" w:after="0"/>
                                <w:jc w:val="center"/>
                              </w:pPr>
                              <w:r>
                                <w:rPr>
                                  <w:rFonts w:asciiTheme="minorHAnsi" w:hAnsi="Calibri" w:cstheme="minorBidi"/>
                                  <w:b/>
                                  <w:bCs/>
                                  <w:color w:val="000000" w:themeColor="text1"/>
                                  <w:kern w:val="24"/>
                                  <w:sz w:val="21"/>
                                  <w:szCs w:val="21"/>
                                </w:rPr>
                                <w:t>The DPT may apply to you</w:t>
                              </w:r>
                            </w:p>
                          </w:txbxContent>
                        </wps:txbx>
                        <wps:bodyPr rtlCol="0" anchor="ctr"/>
                      </wps:wsp>
                      <wps:wsp>
                        <wps:cNvPr id="119" name="Rectangle 119"/>
                        <wps:cNvSpPr/>
                        <wps:spPr>
                          <a:xfrm>
                            <a:off x="4100591" y="2181152"/>
                            <a:ext cx="738661" cy="9300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4B0578" w14:textId="77777777" w:rsidR="0011674D" w:rsidRDefault="0011674D" w:rsidP="0011674D">
                              <w:pPr>
                                <w:pStyle w:val="NormalWeb"/>
                                <w:spacing w:before="0" w:after="0"/>
                                <w:jc w:val="center"/>
                              </w:pPr>
                              <w:r>
                                <w:rPr>
                                  <w:rFonts w:asciiTheme="minorHAnsi" w:hAnsi="Calibri" w:cstheme="minorBidi"/>
                                  <w:b/>
                                  <w:bCs/>
                                  <w:color w:val="000000" w:themeColor="text1"/>
                                  <w:kern w:val="24"/>
                                  <w:sz w:val="20"/>
                                  <w:szCs w:val="20"/>
                                </w:rPr>
                                <w:t>The DPT does not apply to you</w:t>
                              </w:r>
                            </w:p>
                          </w:txbxContent>
                        </wps:txbx>
                        <wps:bodyPr rtlCol="0" anchor="ctr"/>
                      </wps:wsp>
                      <wps:wsp>
                        <wps:cNvPr id="120" name="Down Arrow 120"/>
                        <wps:cNvSpPr/>
                        <wps:spPr>
                          <a:xfrm>
                            <a:off x="1662705" y="5493198"/>
                            <a:ext cx="357309" cy="288033"/>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1D9521" w14:textId="77777777" w:rsidR="0011674D" w:rsidRDefault="0011674D" w:rsidP="0011674D"/>
                          </w:txbxContent>
                        </wps:txbx>
                        <wps:bodyPr rtlCol="0" anchor="ctr"/>
                      </wps:wsp>
                      <wps:wsp>
                        <wps:cNvPr id="121" name="TextBox 71"/>
                        <wps:cNvSpPr txBox="1"/>
                        <wps:spPr>
                          <a:xfrm>
                            <a:off x="3508573" y="3816424"/>
                            <a:ext cx="462051" cy="230832"/>
                          </a:xfrm>
                          <a:prstGeom prst="rect">
                            <a:avLst/>
                          </a:prstGeom>
                          <a:noFill/>
                          <a:ln>
                            <a:noFill/>
                          </a:ln>
                        </wps:spPr>
                        <wps:txbx>
                          <w:txbxContent>
                            <w:p w14:paraId="1FEEBFDF" w14:textId="77777777" w:rsidR="0011674D" w:rsidRDefault="0011674D" w:rsidP="0011674D">
                              <w:pPr>
                                <w:pStyle w:val="NormalWeb"/>
                                <w:spacing w:before="0" w:after="0"/>
                              </w:pPr>
                              <w:r>
                                <w:rPr>
                                  <w:rFonts w:asciiTheme="minorHAnsi" w:hAnsi="Calibri" w:cstheme="minorBidi"/>
                                  <w:color w:val="000000" w:themeColor="text1"/>
                                  <w:kern w:val="24"/>
                                  <w:sz w:val="18"/>
                                  <w:szCs w:val="18"/>
                                </w:rPr>
                                <w:t>YES</w:t>
                              </w:r>
                            </w:p>
                          </w:txbxContent>
                        </wps:txbx>
                        <wps:bodyPr wrap="square" rtlCol="0">
                          <a:spAutoFit/>
                        </wps:bodyPr>
                      </wps:wsp>
                      <wpg:grpSp>
                        <wpg:cNvPr id="122" name="Group 122"/>
                        <wpg:cNvGrpSpPr/>
                        <wpg:grpSpPr>
                          <a:xfrm>
                            <a:off x="5178" y="3691522"/>
                            <a:ext cx="3473097" cy="795076"/>
                            <a:chOff x="5178" y="3691522"/>
                            <a:chExt cx="4881092" cy="730094"/>
                          </a:xfrm>
                        </wpg:grpSpPr>
                        <wps:wsp>
                          <wps:cNvPr id="123" name="Rectangle 123"/>
                          <wps:cNvSpPr/>
                          <wps:spPr>
                            <a:xfrm>
                              <a:off x="1213867" y="3691522"/>
                              <a:ext cx="3672403" cy="730094"/>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43A049" w14:textId="77777777" w:rsidR="0011674D" w:rsidRDefault="0011674D" w:rsidP="0011674D">
                                <w:pPr>
                                  <w:pStyle w:val="NormalWeb"/>
                                  <w:spacing w:before="0" w:after="0"/>
                                </w:pPr>
                                <w:r>
                                  <w:rPr>
                                    <w:rFonts w:asciiTheme="minorHAnsi" w:hAnsi="Calibri" w:cstheme="minorBidi"/>
                                    <w:color w:val="000000" w:themeColor="dark1"/>
                                    <w:kern w:val="24"/>
                                    <w:sz w:val="16"/>
                                    <w:szCs w:val="16"/>
                                  </w:rPr>
                                  <w:t>Is it reasonable to conclude that the total increase in the foreign tax liabilities of each of the foreign entities connected to the scheme as a result of the scheme equals or exceeds 80 per cent of the corresponding reduction in your Australian tax liability?</w:t>
                                </w:r>
                              </w:p>
                            </w:txbxContent>
                          </wps:txbx>
                          <wps:bodyPr numCol="1" rtlCol="0" anchor="t"/>
                        </wps:wsp>
                        <wps:wsp>
                          <wps:cNvPr id="124" name="Rectangle 124"/>
                          <wps:cNvSpPr/>
                          <wps:spPr>
                            <a:xfrm>
                              <a:off x="5178" y="3691522"/>
                              <a:ext cx="1208689" cy="730094"/>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68D4EE" w14:textId="77777777" w:rsidR="0011674D" w:rsidRDefault="0011674D" w:rsidP="0011674D">
                                <w:pPr>
                                  <w:pStyle w:val="NormalWeb"/>
                                  <w:spacing w:before="0" w:after="0"/>
                                  <w:jc w:val="center"/>
                                </w:pPr>
                                <w:r>
                                  <w:rPr>
                                    <w:rFonts w:asciiTheme="minorHAnsi" w:hAnsi="Calibri" w:cstheme="minorBidi"/>
                                    <w:b/>
                                    <w:bCs/>
                                    <w:color w:val="000000" w:themeColor="text1"/>
                                    <w:kern w:val="24"/>
                                    <w:sz w:val="16"/>
                                    <w:szCs w:val="16"/>
                                  </w:rPr>
                                  <w:t>Sufficient foreign tax test</w:t>
                                </w:r>
                              </w:p>
                              <w:p w14:paraId="06BD8216" w14:textId="77777777" w:rsidR="0011674D" w:rsidRDefault="0011674D" w:rsidP="0011674D">
                                <w:pPr>
                                  <w:pStyle w:val="NormalWeb"/>
                                  <w:spacing w:before="0" w:after="0"/>
                                  <w:jc w:val="center"/>
                                </w:pPr>
                                <w:r>
                                  <w:rPr>
                                    <w:rFonts w:asciiTheme="minorHAnsi" w:hAnsi="Calibri" w:cstheme="minorBidi"/>
                                    <w:b/>
                                    <w:bCs/>
                                    <w:color w:val="000000" w:themeColor="text1"/>
                                    <w:kern w:val="24"/>
                                    <w:sz w:val="16"/>
                                    <w:szCs w:val="16"/>
                                  </w:rPr>
                                  <w:t>(section 177K)</w:t>
                                </w:r>
                              </w:p>
                            </w:txbxContent>
                          </wps:txbx>
                          <wps:bodyPr rtlCol="0" anchor="ctr"/>
                        </wps:wsp>
                      </wpg:grpSp>
                      <wps:wsp>
                        <wps:cNvPr id="125" name="TextBox 103"/>
                        <wps:cNvSpPr txBox="1"/>
                        <wps:spPr>
                          <a:xfrm>
                            <a:off x="1930330" y="1693464"/>
                            <a:ext cx="462051" cy="230832"/>
                          </a:xfrm>
                          <a:prstGeom prst="rect">
                            <a:avLst/>
                          </a:prstGeom>
                          <a:noFill/>
                          <a:ln>
                            <a:noFill/>
                          </a:ln>
                        </wps:spPr>
                        <wps:txbx>
                          <w:txbxContent>
                            <w:p w14:paraId="2F342E61" w14:textId="77777777" w:rsidR="0011674D" w:rsidRDefault="0011674D" w:rsidP="0011674D">
                              <w:pPr>
                                <w:pStyle w:val="NormalWeb"/>
                                <w:spacing w:before="0" w:after="0"/>
                              </w:pPr>
                              <w:r>
                                <w:rPr>
                                  <w:rFonts w:asciiTheme="minorHAnsi" w:hAnsi="Calibri" w:cstheme="minorBidi"/>
                                  <w:color w:val="000000" w:themeColor="text1"/>
                                  <w:kern w:val="24"/>
                                  <w:sz w:val="18"/>
                                  <w:szCs w:val="18"/>
                                </w:rPr>
                                <w:t>YES</w:t>
                              </w:r>
                            </w:p>
                          </w:txbxContent>
                        </wps:txbx>
                        <wps:bodyPr wrap="square" rtlCol="0">
                          <a:spAutoFit/>
                        </wps:bodyPr>
                      </wps:wsp>
                      <wpg:grpSp>
                        <wpg:cNvPr id="126" name="Group 126"/>
                        <wpg:cNvGrpSpPr/>
                        <wpg:grpSpPr>
                          <a:xfrm>
                            <a:off x="0" y="4674448"/>
                            <a:ext cx="3479054" cy="816482"/>
                            <a:chOff x="0" y="4674448"/>
                            <a:chExt cx="4915065" cy="507206"/>
                          </a:xfrm>
                        </wpg:grpSpPr>
                        <wps:wsp>
                          <wps:cNvPr id="127" name="Rectangle 127"/>
                          <wps:cNvSpPr/>
                          <wps:spPr>
                            <a:xfrm>
                              <a:off x="1216660" y="4674448"/>
                              <a:ext cx="3698405" cy="50720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E41567" w14:textId="77777777" w:rsidR="0011674D" w:rsidRDefault="0011674D" w:rsidP="0011674D">
                                <w:pPr>
                                  <w:pStyle w:val="NormalWeb"/>
                                  <w:spacing w:before="0" w:after="0"/>
                                </w:pPr>
                                <w:r>
                                  <w:rPr>
                                    <w:rFonts w:asciiTheme="minorHAnsi" w:hAnsi="Calibri" w:cstheme="minorBidi"/>
                                    <w:color w:val="000000" w:themeColor="text1"/>
                                    <w:kern w:val="24"/>
                                    <w:sz w:val="16"/>
                                    <w:szCs w:val="16"/>
                                  </w:rPr>
                                  <w:t>Is it reasonable to conclude that the income derived, received or made as a result of the scheme by each entity connected to the scheme reasonably reflects the economic substance of the entity’s activities in connection with the scheme?</w:t>
                                </w:r>
                              </w:p>
                            </w:txbxContent>
                          </wps:txbx>
                          <wps:bodyPr numCol="1" rtlCol="0" anchor="ctr"/>
                        </wps:wsp>
                        <wps:wsp>
                          <wps:cNvPr id="128" name="Rectangle 128"/>
                          <wps:cNvSpPr/>
                          <wps:spPr>
                            <a:xfrm>
                              <a:off x="0" y="4674449"/>
                              <a:ext cx="1216660" cy="50720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60C46" w14:textId="77777777" w:rsidR="0011674D" w:rsidRDefault="0011674D" w:rsidP="0011674D">
                                <w:pPr>
                                  <w:pStyle w:val="NormalWeb"/>
                                  <w:spacing w:before="0" w:after="0"/>
                                  <w:jc w:val="center"/>
                                </w:pPr>
                                <w:r>
                                  <w:rPr>
                                    <w:rFonts w:asciiTheme="minorHAnsi" w:hAnsi="Calibri" w:cstheme="minorBidi"/>
                                    <w:b/>
                                    <w:bCs/>
                                    <w:color w:val="000000" w:themeColor="text1"/>
                                    <w:kern w:val="24"/>
                                    <w:sz w:val="16"/>
                                    <w:szCs w:val="16"/>
                                  </w:rPr>
                                  <w:t>Sufficient economic substance test</w:t>
                                </w:r>
                              </w:p>
                              <w:p w14:paraId="24E1BD03" w14:textId="77777777" w:rsidR="0011674D" w:rsidRDefault="0011674D" w:rsidP="0011674D">
                                <w:pPr>
                                  <w:pStyle w:val="NormalWeb"/>
                                  <w:spacing w:before="0"/>
                                  <w:jc w:val="center"/>
                                </w:pPr>
                                <w:r>
                                  <w:rPr>
                                    <w:rFonts w:asciiTheme="minorHAnsi" w:hAnsi="Calibri" w:cstheme="minorBidi"/>
                                    <w:b/>
                                    <w:bCs/>
                                    <w:color w:val="000000" w:themeColor="text1"/>
                                    <w:kern w:val="24"/>
                                    <w:sz w:val="16"/>
                                    <w:szCs w:val="16"/>
                                  </w:rPr>
                                  <w:t>(section 177L)</w:t>
                                </w:r>
                              </w:p>
                            </w:txbxContent>
                          </wps:txbx>
                          <wps:bodyPr rtlCol="0" anchor="ctr"/>
                        </wps:wsp>
                      </wpg:grpSp>
                      <wps:wsp>
                        <wps:cNvPr id="129" name="TextBox 59"/>
                        <wps:cNvSpPr txBox="1"/>
                        <wps:spPr>
                          <a:xfrm>
                            <a:off x="1939096" y="4479730"/>
                            <a:ext cx="462051" cy="230832"/>
                          </a:xfrm>
                          <a:prstGeom prst="rect">
                            <a:avLst/>
                          </a:prstGeom>
                          <a:noFill/>
                          <a:ln>
                            <a:noFill/>
                          </a:ln>
                        </wps:spPr>
                        <wps:txbx>
                          <w:txbxContent>
                            <w:p w14:paraId="031CDF01" w14:textId="77777777" w:rsidR="0011674D" w:rsidRDefault="0011674D" w:rsidP="0011674D">
                              <w:pPr>
                                <w:pStyle w:val="NormalWeb"/>
                                <w:spacing w:before="0" w:after="0"/>
                              </w:pPr>
                              <w:r>
                                <w:rPr>
                                  <w:rFonts w:asciiTheme="minorHAnsi" w:hAnsi="Calibri" w:cstheme="minorBidi"/>
                                  <w:color w:val="000000" w:themeColor="text1"/>
                                  <w:kern w:val="24"/>
                                  <w:sz w:val="18"/>
                                  <w:szCs w:val="18"/>
                                </w:rPr>
                                <w:t>NO</w:t>
                              </w:r>
                            </w:p>
                          </w:txbxContent>
                        </wps:txbx>
                        <wps:bodyPr wrap="square" rtlCol="0">
                          <a:spAutoFit/>
                        </wps:bodyPr>
                      </wps:wsp>
                      <wps:wsp>
                        <wps:cNvPr id="130" name="TextBox 66"/>
                        <wps:cNvSpPr txBox="1"/>
                        <wps:spPr>
                          <a:xfrm>
                            <a:off x="3502713" y="4851854"/>
                            <a:ext cx="462051" cy="230832"/>
                          </a:xfrm>
                          <a:prstGeom prst="rect">
                            <a:avLst/>
                          </a:prstGeom>
                          <a:noFill/>
                          <a:ln>
                            <a:noFill/>
                          </a:ln>
                        </wps:spPr>
                        <wps:txbx>
                          <w:txbxContent>
                            <w:p w14:paraId="05A3E4B6" w14:textId="77777777" w:rsidR="0011674D" w:rsidRDefault="0011674D" w:rsidP="0011674D">
                              <w:pPr>
                                <w:pStyle w:val="NormalWeb"/>
                                <w:spacing w:before="0" w:after="0"/>
                              </w:pPr>
                              <w:r>
                                <w:rPr>
                                  <w:rFonts w:asciiTheme="minorHAnsi" w:hAnsi="Calibri" w:cstheme="minorBidi"/>
                                  <w:color w:val="000000" w:themeColor="text1"/>
                                  <w:kern w:val="24"/>
                                  <w:sz w:val="18"/>
                                  <w:szCs w:val="18"/>
                                </w:rPr>
                                <w:t>YES</w:t>
                              </w:r>
                            </w:p>
                          </w:txbxContent>
                        </wps:txbx>
                        <wps:bodyPr wrap="square" rtlCol="0">
                          <a:spAutoFit/>
                        </wps:bodyPr>
                      </wps:wsp>
                      <wps:wsp>
                        <wps:cNvPr id="131" name="Straight Arrow Connector 131"/>
                        <wps:cNvCnPr/>
                        <wps:spPr>
                          <a:xfrm>
                            <a:off x="3478510" y="1440160"/>
                            <a:ext cx="360040" cy="0"/>
                          </a:xfrm>
                          <a:prstGeom prst="straightConnector1">
                            <a:avLst/>
                          </a:prstGeom>
                          <a:ln w="12700">
                            <a:solidFill>
                              <a:schemeClr val="tx1"/>
                            </a:solidFill>
                            <a:tailEnd type="none"/>
                          </a:ln>
                          <a:effectLst/>
                        </wps:spPr>
                        <wps:style>
                          <a:lnRef idx="2">
                            <a:schemeClr val="accent1"/>
                          </a:lnRef>
                          <a:fillRef idx="0">
                            <a:schemeClr val="accent1"/>
                          </a:fillRef>
                          <a:effectRef idx="1">
                            <a:schemeClr val="accent1"/>
                          </a:effectRef>
                          <a:fontRef idx="minor">
                            <a:schemeClr val="tx1"/>
                          </a:fontRef>
                        </wps:style>
                        <wps:bodyPr/>
                      </wps:wsp>
                      <wps:wsp>
                        <wps:cNvPr id="132" name="Straight Arrow Connector 132"/>
                        <wps:cNvCnPr/>
                        <wps:spPr>
                          <a:xfrm>
                            <a:off x="1852389" y="368702"/>
                            <a:ext cx="0" cy="158604"/>
                          </a:xfrm>
                          <a:prstGeom prst="straightConnector1">
                            <a:avLst/>
                          </a:prstGeom>
                          <a:ln w="1270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133" name="Straight Arrow Connector 133"/>
                        <wps:cNvCnPr/>
                        <wps:spPr>
                          <a:xfrm>
                            <a:off x="1862459" y="928912"/>
                            <a:ext cx="0" cy="158604"/>
                          </a:xfrm>
                          <a:prstGeom prst="straightConnector1">
                            <a:avLst/>
                          </a:prstGeom>
                          <a:ln w="1270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134" name="Straight Arrow Connector 134"/>
                        <wps:cNvCnPr/>
                        <wps:spPr>
                          <a:xfrm>
                            <a:off x="1852389" y="1743000"/>
                            <a:ext cx="0" cy="158604"/>
                          </a:xfrm>
                          <a:prstGeom prst="straightConnector1">
                            <a:avLst/>
                          </a:prstGeom>
                          <a:ln w="1270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135" name="Straight Arrow Connector 135"/>
                        <wps:cNvCnPr/>
                        <wps:spPr>
                          <a:xfrm>
                            <a:off x="1862459" y="2697684"/>
                            <a:ext cx="0" cy="158604"/>
                          </a:xfrm>
                          <a:prstGeom prst="straightConnector1">
                            <a:avLst/>
                          </a:prstGeom>
                          <a:ln w="1270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136" name="Straight Arrow Connector 136"/>
                        <wps:cNvCnPr/>
                        <wps:spPr>
                          <a:xfrm>
                            <a:off x="1863277" y="3537969"/>
                            <a:ext cx="0" cy="158604"/>
                          </a:xfrm>
                          <a:prstGeom prst="straightConnector1">
                            <a:avLst/>
                          </a:prstGeom>
                          <a:ln w="1270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137" name="Straight Arrow Connector 137"/>
                        <wps:cNvCnPr/>
                        <wps:spPr>
                          <a:xfrm>
                            <a:off x="1852389" y="4496426"/>
                            <a:ext cx="0" cy="158604"/>
                          </a:xfrm>
                          <a:prstGeom prst="straightConnector1">
                            <a:avLst/>
                          </a:prstGeom>
                          <a:ln w="1270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138" name="Straight Arrow Connector 138"/>
                        <wps:cNvCnPr/>
                        <wps:spPr>
                          <a:xfrm>
                            <a:off x="3477353" y="202954"/>
                            <a:ext cx="357346" cy="0"/>
                          </a:xfrm>
                          <a:prstGeom prst="straightConnector1">
                            <a:avLst/>
                          </a:prstGeom>
                          <a:ln w="12700">
                            <a:solidFill>
                              <a:schemeClr val="tx1"/>
                            </a:solidFill>
                            <a:tailEnd type="none"/>
                          </a:ln>
                          <a:effectLst/>
                        </wps:spPr>
                        <wps:style>
                          <a:lnRef idx="2">
                            <a:schemeClr val="accent1"/>
                          </a:lnRef>
                          <a:fillRef idx="0">
                            <a:schemeClr val="accent1"/>
                          </a:fillRef>
                          <a:effectRef idx="1">
                            <a:schemeClr val="accent1"/>
                          </a:effectRef>
                          <a:fontRef idx="minor">
                            <a:schemeClr val="tx1"/>
                          </a:fontRef>
                        </wps:style>
                        <wps:bodyPr/>
                      </wps:wsp>
                      <wps:wsp>
                        <wps:cNvPr id="139" name="Straight Connector 139"/>
                        <wps:cNvCnPr/>
                        <wps:spPr>
                          <a:xfrm>
                            <a:off x="3838550" y="192870"/>
                            <a:ext cx="0" cy="48898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0" name="Straight Arrow Connector 140"/>
                        <wps:cNvCnPr/>
                        <wps:spPr>
                          <a:xfrm>
                            <a:off x="3484005" y="2319064"/>
                            <a:ext cx="360040" cy="0"/>
                          </a:xfrm>
                          <a:prstGeom prst="straightConnector1">
                            <a:avLst/>
                          </a:prstGeom>
                          <a:ln w="12700">
                            <a:solidFill>
                              <a:schemeClr val="tx1"/>
                            </a:solidFill>
                            <a:tailEnd type="none"/>
                          </a:ln>
                          <a:effectLst/>
                        </wps:spPr>
                        <wps:style>
                          <a:lnRef idx="2">
                            <a:schemeClr val="accent1"/>
                          </a:lnRef>
                          <a:fillRef idx="0">
                            <a:schemeClr val="accent1"/>
                          </a:fillRef>
                          <a:effectRef idx="1">
                            <a:schemeClr val="accent1"/>
                          </a:effectRef>
                          <a:fontRef idx="minor">
                            <a:schemeClr val="tx1"/>
                          </a:fontRef>
                        </wps:style>
                        <wps:bodyPr/>
                      </wps:wsp>
                      <wps:wsp>
                        <wps:cNvPr id="141" name="Straight Arrow Connector 141"/>
                        <wps:cNvCnPr/>
                        <wps:spPr>
                          <a:xfrm flipV="1">
                            <a:off x="3469651" y="4047254"/>
                            <a:ext cx="365048" cy="2"/>
                          </a:xfrm>
                          <a:prstGeom prst="straightConnector1">
                            <a:avLst/>
                          </a:prstGeom>
                          <a:ln w="12700">
                            <a:solidFill>
                              <a:schemeClr val="tx1"/>
                            </a:solidFill>
                            <a:tailEnd type="none"/>
                          </a:ln>
                          <a:effectLst/>
                        </wps:spPr>
                        <wps:style>
                          <a:lnRef idx="2">
                            <a:schemeClr val="accent1"/>
                          </a:lnRef>
                          <a:fillRef idx="0">
                            <a:schemeClr val="accent1"/>
                          </a:fillRef>
                          <a:effectRef idx="1">
                            <a:schemeClr val="accent1"/>
                          </a:effectRef>
                          <a:fontRef idx="minor">
                            <a:schemeClr val="tx1"/>
                          </a:fontRef>
                        </wps:style>
                        <wps:bodyPr/>
                      </wps:wsp>
                      <wps:wsp>
                        <wps:cNvPr id="142" name="Straight Arrow Connector 142"/>
                        <wps:cNvCnPr/>
                        <wps:spPr>
                          <a:xfrm flipV="1">
                            <a:off x="3472742" y="5082686"/>
                            <a:ext cx="365048" cy="2"/>
                          </a:xfrm>
                          <a:prstGeom prst="straightConnector1">
                            <a:avLst/>
                          </a:prstGeom>
                          <a:ln w="12700">
                            <a:solidFill>
                              <a:schemeClr val="tx1"/>
                            </a:solidFill>
                            <a:tailEnd type="none"/>
                          </a:ln>
                          <a:effectLst/>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id="Group 1" o:spid="_x0000_s1026" style="position:absolute;left:0;text-align:left;margin-left:3.1pt;margin-top:1.6pt;width:381pt;height:480pt;z-index:251659264;mso-height-relative:margin" coordsize="48392,60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">
                <v:shapetype id="_x0000_t202" coordsize="21600,21600" o:spt="202" path="m,l,21600r21600,l21600,xe">
                  <v:stroke joinstyle="miter"/>
                  <v:path gradientshapeok="t" o:connecttype="rect"/>
                </v:shapetype>
                <v:shape id="TextBox 45" o:spid="_x0000_s1027" type="#_x0000_t202" style="position:absolute;left:19243;top:9147;width:4100;height:2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L0vMIA&#10;AADbAAAADwAAAGRycy9kb3ducmV2LnhtbESPT2vCQBTE74V+h+UVeqsbpRWJriL+AQ+9qPH+yL5m&#10;Q7NvQ/Zp4rd3hUKPw8z8hlmsBt+oG3WxDmxgPMpAEZfB1lwZKM77jxmoKMgWm8Bk4E4RVsvXlwXm&#10;NvR8pNtJKpUgHHM04ETaXOtYOvIYR6ElTt5P6DxKkl2lbYd9gvtGT7Jsqj3WnBYctrRxVP6ert6A&#10;iF2P78XOx8Nl+N72Liu/sDDm/W1Yz0EJDfIf/msfrIHZJ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svS8wgAAANsAAAAPAAAAAAAAAAAAAAAAAJgCAABkcnMvZG93&#10;bnJldi54bWxQSwUGAAAAAAQABAD1AAAAhwMAAAAA&#10;" filled="f" stroked="f">
                  <v:textbox style="mso-fit-shape-to-text:t">
                    <w:txbxContent>
                      <w:p w14:paraId="38532A09" w14:textId="77777777" w:rsidR="0011674D" w:rsidRDefault="0011674D" w:rsidP="0011674D">
                        <w:pPr>
                          <w:pStyle w:val="NormalWeb"/>
                          <w:spacing w:before="0" w:after="0"/>
                        </w:pPr>
                        <w:r>
                          <w:rPr>
                            <w:rFonts w:asciiTheme="minorHAnsi" w:hAnsi="Calibri" w:cstheme="minorBidi"/>
                            <w:color w:val="000000" w:themeColor="text1"/>
                            <w:kern w:val="24"/>
                            <w:sz w:val="18"/>
                            <w:szCs w:val="18"/>
                          </w:rPr>
                          <w:t>YES</w:t>
                        </w:r>
                      </w:p>
                    </w:txbxContent>
                  </v:textbox>
                </v:shape>
                <v:shape id="TextBox 46" o:spid="_x0000_s1028" type="#_x0000_t202" style="position:absolute;left:19178;top:3325;width:4320;height:2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5RJ8EA&#10;AADbAAAADwAAAGRycy9kb3ducmV2LnhtbESPQWvCQBSE74X+h+UVvNWNBUWiq0it4MGLGu+P7DMb&#10;mn0bsk8T/71bKHgcZuYbZrkefKPu1MU6sIHJOANFXAZbc2WgOO8+56CiIFtsApOBB0VYr97flpjb&#10;0POR7iepVIJwzNGAE2lzrWPpyGMch5Y4edfQeZQku0rbDvsE943+yrKZ9lhzWnDY0rej8vd08wZE&#10;7GbyKH583F+Gw7Z3WTnFwpjRx7BZgBIa5BX+b++tgfkU/r6kH6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USfBAAAA2wAAAA8AAAAAAAAAAAAAAAAAmAIAAGRycy9kb3du&#10;cmV2LnhtbFBLBQYAAAAABAAEAPUAAACGAwAAAAA=&#10;" filled="f" stroked="f">
                  <v:textbox style="mso-fit-shape-to-text:t">
                    <w:txbxContent>
                      <w:p w14:paraId="69806153" w14:textId="77777777" w:rsidR="0011674D" w:rsidRDefault="0011674D" w:rsidP="0011674D">
                        <w:pPr>
                          <w:pStyle w:val="NormalWeb"/>
                          <w:spacing w:before="0" w:after="0"/>
                        </w:pPr>
                        <w:r>
                          <w:rPr>
                            <w:rFonts w:asciiTheme="minorHAnsi" w:hAnsi="Calibri" w:cstheme="minorBidi"/>
                            <w:color w:val="000000" w:themeColor="text1"/>
                            <w:kern w:val="24"/>
                            <w:sz w:val="18"/>
                            <w:szCs w:val="18"/>
                          </w:rPr>
                          <w:t>YES</w:t>
                        </w:r>
                      </w:p>
                    </w:txbxContent>
                  </v:textbox>
                </v:shape>
                <v:shape id="TextBox 67" o:spid="_x0000_s1029" type="#_x0000_t202" style="position:absolute;left:35028;top:29671;width:4378;height:2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zPUMEA&#10;AADbAAAADwAAAGRycy9kb3ducmV2LnhtbESPQWvCQBSE74L/YXlCb7pRUCS6ilQFD73Uxvsj+8yG&#10;Zt+G7NPEf98tFHocZuYbZrsffKOe1MU6sIH5LANFXAZbc2Wg+DpP16CiIFtsApOBF0XY78ajLeY2&#10;9PxJz6tUKkE45mjAibS51rF05DHOQkucvHvoPEqSXaVth32C+0YvsmylPdacFhy29O6o/L4+vAER&#10;e5i/ipOPl9vwcexdVi6xMOZtMhw2oIQG+Q//tS/WwHoFv1/SD9C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sz1DBAAAA2wAAAA8AAAAAAAAAAAAAAAAAmAIAAGRycy9kb3du&#10;cmV2LnhtbFBLBQYAAAAABAAEAPUAAACGAwAAAAA=&#10;" filled="f" stroked="f">
                  <v:textbox style="mso-fit-shape-to-text:t">
                    <w:txbxContent>
                      <w:p w14:paraId="7D22A6FB" w14:textId="77777777" w:rsidR="0011674D" w:rsidRDefault="0011674D" w:rsidP="0011674D">
                        <w:pPr>
                          <w:pStyle w:val="NormalWeb"/>
                          <w:spacing w:before="0" w:after="0"/>
                        </w:pPr>
                        <w:r>
                          <w:rPr>
                            <w:rFonts w:asciiTheme="minorHAnsi" w:hAnsi="Calibri" w:cstheme="minorBidi"/>
                            <w:color w:val="000000" w:themeColor="text1"/>
                            <w:kern w:val="24"/>
                            <w:sz w:val="18"/>
                            <w:szCs w:val="18"/>
                          </w:rPr>
                          <w:t>YES</w:t>
                        </w:r>
                      </w:p>
                    </w:txbxContent>
                  </v:textbox>
                </v:shape>
                <v:shape id="TextBox 69" o:spid="_x0000_s1030" type="#_x0000_t202" style="position:absolute;left:35113;top:21030;width:4534;height:2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Bqy8IA&#10;AADbAAAADwAAAGRycy9kb3ducmV2LnhtbESPT2vCQBTE74V+h+UVeqsbhVaJriL+AQ+9qPH+yL5m&#10;Q7NvQ/Zp4rd3hUKPw8z8hlmsBt+oG3WxDmxgPMpAEZfB1lwZKM77jxmoKMgWm8Bk4E4RVsvXlwXm&#10;NvR8pNtJKpUgHHM04ETaXOtYOvIYR6ElTt5P6DxKkl2lbYd9gvtGT7LsS3usOS04bGnjqPw9Xb0B&#10;Ebse34udj4fL8L3tXVZ+YmHM+9uwnoMSGuQ//Nc+WAOz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YGrLwgAAANsAAAAPAAAAAAAAAAAAAAAAAJgCAABkcnMvZG93&#10;bnJldi54bWxQSwUGAAAAAAQABAD1AAAAhwMAAAAA&#10;" filled="f" stroked="f">
                  <v:textbox style="mso-fit-shape-to-text:t">
                    <w:txbxContent>
                      <w:p w14:paraId="356CF8B9" w14:textId="77777777" w:rsidR="0011674D" w:rsidRDefault="0011674D" w:rsidP="0011674D">
                        <w:pPr>
                          <w:pStyle w:val="NormalWeb"/>
                          <w:spacing w:before="0" w:after="0"/>
                        </w:pPr>
                        <w:r>
                          <w:rPr>
                            <w:rFonts w:asciiTheme="minorHAnsi" w:hAnsi="Calibri" w:cstheme="minorBidi"/>
                            <w:color w:val="000000" w:themeColor="text1"/>
                            <w:kern w:val="24"/>
                            <w:sz w:val="18"/>
                            <w:szCs w:val="18"/>
                          </w:rPr>
                          <w:t>NO</w:t>
                        </w:r>
                      </w:p>
                    </w:txbxContent>
                  </v:textbox>
                </v:shape>
                <v:shape id="TextBox 70" o:spid="_x0000_s1031" type="#_x0000_t202" style="position:absolute;left:35085;top:12241;width:5157;height:2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zB+cIA&#10;AADbAAAADwAAAGRycy9kb3ducmV2LnhtbESPzWrDMBCE74W+g9hCb43sQEvqRAkhP5BDL0md+2Jt&#10;LVNrZaxN7Lx9FCj0OMzMN8xiNfpWXamPTWAD+SQDRVwF23BtoPzev81ARUG22AYmAzeKsFo+Py2w&#10;sGHgI11PUqsE4VigASfSFVrHypHHOAkdcfJ+Qu9RkuxrbXscEty3epplH9pjw2nBYUcbR9Xv6eIN&#10;iNh1fit3Ph7O49d2cFn1jqUxry/jeg5KaJT/8F/7YA185v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HMH5wgAAANsAAAAPAAAAAAAAAAAAAAAAAJgCAABkcnMvZG93&#10;bnJldi54bWxQSwUGAAAAAAQABAD1AAAAhwMAAAAA&#10;" filled="f" stroked="f">
                  <v:textbox style="mso-fit-shape-to-text:t">
                    <w:txbxContent>
                      <w:p w14:paraId="308EAFB1" w14:textId="77777777" w:rsidR="0011674D" w:rsidRDefault="0011674D" w:rsidP="0011674D">
                        <w:pPr>
                          <w:pStyle w:val="NormalWeb"/>
                          <w:spacing w:before="0" w:after="0"/>
                        </w:pPr>
                        <w:r>
                          <w:rPr>
                            <w:rFonts w:asciiTheme="minorHAnsi" w:hAnsi="Calibri" w:cstheme="minorBidi"/>
                            <w:color w:val="000000" w:themeColor="text1"/>
                            <w:kern w:val="24"/>
                            <w:sz w:val="18"/>
                            <w:szCs w:val="18"/>
                          </w:rPr>
                          <w:t>NO</w:t>
                        </w:r>
                      </w:p>
                    </w:txbxContent>
                  </v:textbox>
                </v:shape>
                <v:shape id="TextBox 53" o:spid="_x0000_s1032" type="#_x0000_t202" style="position:absolute;left:19361;top:26590;width:4620;height:2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tiYcIA&#10;AADbAAAADwAAAGRycy9kb3ducmV2LnhtbESPQWvCQBSE7wX/w/KE3upGscWmriJqwYOXarw/sq/Z&#10;0OzbkH2a+O+7hYLHYWa+YZbrwTfqRl2sAxuYTjJQxGWwNVcGivPnywJUFGSLTWAycKcI69XoaYm5&#10;DT1/0e0klUoQjjkacCJtrnUsHXmMk9ASJ+87dB4lya7StsM+wX2jZ1n2pj3WnBYctrR1VP6crt6A&#10;iN1M78Xex8NlOO56l5WvWBjzPB42H6CEBnmE/9sHa+B9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2JhwgAAANsAAAAPAAAAAAAAAAAAAAAAAJgCAABkcnMvZG93&#10;bnJldi54bWxQSwUGAAAAAAQABAD1AAAAhwMAAAAA&#10;" filled="f" stroked="f">
                  <v:textbox style="mso-fit-shape-to-text:t">
                    <w:txbxContent>
                      <w:p w14:paraId="6CF6F503" w14:textId="77777777" w:rsidR="0011674D" w:rsidRDefault="0011674D" w:rsidP="0011674D">
                        <w:pPr>
                          <w:pStyle w:val="NormalWeb"/>
                          <w:spacing w:before="0" w:after="0"/>
                        </w:pPr>
                        <w:r>
                          <w:rPr>
                            <w:rFonts w:asciiTheme="minorHAnsi" w:hAnsi="Calibri" w:cstheme="minorBidi"/>
                            <w:color w:val="000000" w:themeColor="text1"/>
                            <w:kern w:val="24"/>
                            <w:sz w:val="18"/>
                            <w:szCs w:val="18"/>
                          </w:rPr>
                          <w:t>YES</w:t>
                        </w:r>
                      </w:p>
                    </w:txbxContent>
                  </v:textbox>
                </v:shape>
                <v:shape id="TextBox 48" o:spid="_x0000_s1033" type="#_x0000_t202" style="position:absolute;left:34840;top:5188;width:4566;height:2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fH+sEA&#10;AADbAAAADwAAAGRycy9kb3ducmV2LnhtbESPQWvCQBSE7wX/w/IK3upGwaKpq4hW8NCLGu+P7Gs2&#10;NPs2ZF9N/PfdguBxmJlvmNVm8I26URfrwAamkwwUcRlszZWB4nJ4W4CKgmyxCUwG7hRhsx69rDC3&#10;oecT3c5SqQThmKMBJ9LmWsfSkcc4CS1x8r5D51GS7CptO+wT3Dd6lmXv2mPNacFhSztH5c/51xsQ&#10;sdvpvfj08Xgdvva9y8o5FsaMX4ftByihQZ7hR/toDSzn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nx/rBAAAA2wAAAA8AAAAAAAAAAAAAAAAAmAIAAGRycy9kb3du&#10;cmV2LnhtbFBLBQYAAAAABAAEAPUAAACGAwAAAAA=&#10;" filled="f" stroked="f">
                  <v:textbox style="mso-fit-shape-to-text:t">
                    <w:txbxContent>
                      <w:p w14:paraId="59225A84" w14:textId="77777777" w:rsidR="0011674D" w:rsidRDefault="0011674D" w:rsidP="0011674D">
                        <w:pPr>
                          <w:pStyle w:val="NormalWeb"/>
                          <w:spacing w:before="0" w:after="0"/>
                        </w:pPr>
                        <w:r>
                          <w:rPr>
                            <w:rFonts w:asciiTheme="minorHAnsi" w:hAnsi="Calibri" w:cstheme="minorBidi"/>
                            <w:color w:val="000000" w:themeColor="text1"/>
                            <w:kern w:val="24"/>
                            <w:sz w:val="18"/>
                            <w:szCs w:val="18"/>
                          </w:rPr>
                          <w:t xml:space="preserve"> NO</w:t>
                        </w:r>
                      </w:p>
                    </w:txbxContent>
                  </v:textbox>
                </v:shape>
                <v:shape id="TextBox 56" o:spid="_x0000_s1034" type="#_x0000_t202" style="position:absolute;left:34789;width:4566;height:2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ZjcEA&#10;AADbAAAADwAAAGRycy9kb3ducmV2LnhtbESPQWvCQBSE7wX/w/IKvdWNgqKpq4hW8OBFjfdH9jUb&#10;mn0bsq8m/vuuUOhxmJlvmNVm8I26UxfrwAYm4wwUcRlszZWB4np4X4CKgmyxCUwGHhRhsx69rDC3&#10;oecz3S9SqQThmKMBJ9LmWsfSkcc4Di1x8r5C51GS7CptO+wT3Dd6mmVz7bHmtOCwpZ2j8vvy4w2I&#10;2O3kUXz6eLwNp33vsnKGhTFvr8P2A5TQIP/hv/bRGljO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1WY3BAAAA2wAAAA8AAAAAAAAAAAAAAAAAmAIAAGRycy9kb3du&#10;cmV2LnhtbFBLBQYAAAAABAAEAPUAAACGAwAAAAA=&#10;" filled="f" stroked="f">
                  <v:textbox style="mso-fit-shape-to-text:t">
                    <w:txbxContent>
                      <w:p w14:paraId="15F75F7C" w14:textId="77777777" w:rsidR="0011674D" w:rsidRDefault="0011674D" w:rsidP="0011674D">
                        <w:pPr>
                          <w:pStyle w:val="NormalWeb"/>
                          <w:spacing w:before="0" w:after="0"/>
                        </w:pPr>
                        <w:r>
                          <w:rPr>
                            <w:rFonts w:asciiTheme="minorHAnsi" w:hAnsi="Calibri" w:cstheme="minorBidi"/>
                            <w:color w:val="000000" w:themeColor="text1"/>
                            <w:kern w:val="24"/>
                            <w:sz w:val="18"/>
                            <w:szCs w:val="18"/>
                          </w:rPr>
                          <w:t xml:space="preserve"> NO</w:t>
                        </w:r>
                      </w:p>
                    </w:txbxContent>
                  </v:textbox>
                </v:shape>
                <v:shapetype id="_x0000_t32" coordsize="21600,21600" o:spt="32" o:oned="t" path="m,l21600,21600e" filled="f">
                  <v:path arrowok="t" fillok="f" o:connecttype="none"/>
                  <o:lock v:ext="edit" shapetype="t"/>
                </v:shapetype>
                <v:shape id="Straight Arrow Connector 97" o:spid="_x0000_s1035" type="#_x0000_t32" style="position:absolute;left:38490;top:25918;width:2515;height: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bB6cUAAADbAAAADwAAAGRycy9kb3ducmV2LnhtbESPQWvCQBCF74L/YRmht7qxlKrRNUi1&#10;pSdLo4LHMTsmIdnZkN3GtL++KxQ8Pt68781bJr2pRUetKy0rmIwjEMSZ1SXnCg77t8cZCOeRNdaW&#10;ScEPOUhWw8ESY22v/EVd6nMRIOxiVFB438RSuqwgg25sG+LgXWxr0AfZ5lK3eA1wU8unKHqRBksO&#10;DQU29FpQVqXfJrzRbS+b33R3qtLPTHbT4/tZPhulHkb9egHCU+/vx//pD61gPoXblgAA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CbB6cUAAADbAAAADwAAAAAAAAAA&#10;AAAAAAChAgAAZHJzL2Rvd25yZXYueG1sUEsFBgAAAAAEAAQA+QAAAJMDAAAAAA==&#10;" strokecolor="black [3213]" strokeweight="1pt">
                  <v:stroke endarrow="block" endarrowwidth="wide" endarrowlength="long"/>
                </v:shape>
                <v:group id="Group 98" o:spid="_x0000_s1036" style="position:absolute;left:169;top:170;width:34496;height:3517" coordorigin="169,170" coordsize="48810,6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rect id="Rectangle 99" o:spid="_x0000_s1037" style="position:absolute;left:11875;top:170;width:37105;height:6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8mIMIA&#10;AADbAAAADwAAAGRycy9kb3ducmV2LnhtbESPQYvCMBSE78L+h/AWvGmqrGKrURZB1sMetIrnR/Ns&#10;i8lLabK2/vuNIHgcZuYbZrXprRF3an3tWMFknIAgLpyuuVRwPu1GCxA+IGs0jknBgzxs1h+DFWba&#10;dXykex5KESHsM1RQhdBkUvqiIot+7Bri6F1dazFE2ZZSt9hFuDVymiRzabHmuFBhQ9uKilv+ZxXs&#10;OjObmMXh5/ibWnv5yh/TpNwqNfzsv5cgAvXhHX6191pBmsLzS/w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yYgwgAAANsAAAAPAAAAAAAAAAAAAAAAAJgCAABkcnMvZG93&#10;bnJldi54bWxQSwUGAAAAAAQABAD1AAAAhwMAAAAA&#10;" fillcolor="white [3201]" strokecolor="black [3213]" strokeweight="1pt">
                    <v:textbox>
                      <w:txbxContent>
                        <w:p w14:paraId="4E16D03E" w14:textId="77777777" w:rsidR="0011674D" w:rsidRDefault="0011674D" w:rsidP="0011674D">
                          <w:pPr>
                            <w:pStyle w:val="NormalWeb"/>
                            <w:spacing w:before="0" w:after="0"/>
                          </w:pPr>
                          <w:r>
                            <w:rPr>
                              <w:rFonts w:asciiTheme="minorHAnsi" w:hAnsi="Calibri" w:cstheme="minorBidi"/>
                              <w:color w:val="000000" w:themeColor="dark1"/>
                              <w:kern w:val="24"/>
                              <w:sz w:val="16"/>
                              <w:szCs w:val="16"/>
                            </w:rPr>
                            <w:t>Are you an Australian taxpayer or an Australian permanent establishment of a foreign resident?</w:t>
                          </w:r>
                        </w:p>
                      </w:txbxContent>
                    </v:textbox>
                  </v:rect>
                  <v:rect id="Rectangle 100" o:spid="_x0000_s1038" style="position:absolute;left:169;top:170;width:11706;height:66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8JLMMA&#10;AADcAAAADwAAAGRycy9kb3ducmV2LnhtbESPQU8CQQyF7yb+h0lNvMmMHMAsDAQ1KngThXOzU3Y3&#10;bDubnRFWf709kHhr817f+zpfDtyaE/WpieLhfuTAkJQxNFJ5+Pp8uXsAkzJKwDYKefihBMvF9dUc&#10;ixDP8kGnba6Mhkgq0EOdc1dYm8qaGNModiSqHWLPmHXtKxt6PGs4t3bs3MQyNqINNXb0VFN53H6z&#10;B36Xx2735pDHk81v4vJ1+tzsvb+9GVYzMJmG/G++XK+D4jvF12d0Arv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8JLMMAAADcAAAADwAAAAAAAAAAAAAAAACYAgAAZHJzL2Rv&#10;d25yZXYueG1sUEsFBgAAAAAEAAQA9QAAAIgDAAAAAA==&#10;" fillcolor="white [3212]" strokecolor="black [3213]" strokeweight="1pt">
                    <v:textbox>
                      <w:txbxContent>
                        <w:p w14:paraId="5C3FBD34" w14:textId="77777777" w:rsidR="0011674D" w:rsidRDefault="0011674D" w:rsidP="0011674D">
                          <w:pPr>
                            <w:pStyle w:val="NormalWeb"/>
                            <w:spacing w:before="0" w:after="0"/>
                            <w:jc w:val="center"/>
                          </w:pPr>
                          <w:r>
                            <w:rPr>
                              <w:rFonts w:asciiTheme="minorHAnsi" w:hAnsi="Calibri" w:cstheme="minorBidi"/>
                              <w:b/>
                              <w:bCs/>
                              <w:color w:val="000000" w:themeColor="text1"/>
                              <w:kern w:val="24"/>
                              <w:sz w:val="16"/>
                              <w:szCs w:val="16"/>
                            </w:rPr>
                            <w:t>Australian taxpayer</w:t>
                          </w:r>
                        </w:p>
                      </w:txbxContent>
                    </v:textbox>
                  </v:rect>
                </v:group>
                <v:group id="Group 101" o:spid="_x0000_s1039" style="position:absolute;left:149;top:5188;width:34624;height:4216" coordorigin="149,5188" coordsize="48864,6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rect id="Rectangle 103" o:spid="_x0000_s1040" style="position:absolute;left:11824;top:5188;width:37189;height:6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EmcIA&#10;AADcAAAADwAAAGRycy9kb3ducmV2LnhtbERPTWsCMRC9C/6HMEJvmmi16NYoRRA99KDb0vOwGXeX&#10;JpNlk7rrvzcFwds83uest72z4kptqD1rmE4UCOLCm5pLDd9f+/ESRIjIBq1n0nCjANvNcLDGzPiO&#10;z3TNYylSCIcMNVQxNpmUoajIYZj4hjhxF986jAm2pTQtdincWTlT6k06rDk1VNjQrqLiN/9zGvad&#10;XUzt8nQ4f66c+5nnt5kqd1q/jPqPdxCR+vgUP9xHk+arV/h/Jl0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U0SZwgAAANwAAAAPAAAAAAAAAAAAAAAAAJgCAABkcnMvZG93&#10;bnJldi54bWxQSwUGAAAAAAQABAD1AAAAhwMAAAAA&#10;" fillcolor="white [3201]" strokecolor="black [3213]" strokeweight="1pt">
                    <v:textbox>
                      <w:txbxContent>
                        <w:p w14:paraId="144A5633" w14:textId="77777777" w:rsidR="0011674D" w:rsidRDefault="0011674D" w:rsidP="0011674D">
                          <w:pPr>
                            <w:pStyle w:val="NormalWeb"/>
                            <w:spacing w:before="0" w:after="0"/>
                          </w:pPr>
                          <w:r>
                            <w:rPr>
                              <w:rFonts w:asciiTheme="minorHAnsi" w:hAnsi="Calibri" w:cstheme="minorBidi"/>
                              <w:color w:val="000000" w:themeColor="dark1"/>
                              <w:kern w:val="24"/>
                              <w:sz w:val="16"/>
                              <w:szCs w:val="16"/>
                            </w:rPr>
                            <w:t>Are you a significant global entity (i.e. annual global income of $1 billion or more)?</w:t>
                          </w:r>
                        </w:p>
                      </w:txbxContent>
                    </v:textbox>
                  </v:rect>
                  <v:rect id="Rectangle 104" o:spid="_x0000_s1041" style="position:absolute;left:149;top:5188;width:11675;height:66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QPL8IA&#10;AADcAAAADwAAAGRycy9kb3ducmV2LnhtbERPS2vCQBC+C/6HZYTedLdSrKSuUi192Ftj2/OQHZNg&#10;ZjZkt5r217sFwdt8fM9ZrHpu1JG6UHuxcDsxoEgK72opLXzunsdzUCGiOGy8kIVfCrBaDgcLzJw/&#10;yQcd81iqFCIhQwtVjG2mdSgqYgwT35Ikbu87xphgV2rX4SmFc6Onxsw0Yy2pocKWNhUVh/yHLfC7&#10;rNuvV4M8nW3/Ahcv90/1t7U3o/7xAVSkPl7FF/ebS/PNHfw/ky7Qyz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NA8vwgAAANwAAAAPAAAAAAAAAAAAAAAAAJgCAABkcnMvZG93&#10;bnJldi54bWxQSwUGAAAAAAQABAD1AAAAhwMAAAAA&#10;" fillcolor="white [3212]" strokecolor="black [3213]" strokeweight="1pt">
                    <v:textbox>
                      <w:txbxContent>
                        <w:p w14:paraId="02D9A1FF" w14:textId="77777777" w:rsidR="0011674D" w:rsidRDefault="0011674D" w:rsidP="0011674D">
                          <w:pPr>
                            <w:pStyle w:val="NormalWeb"/>
                            <w:spacing w:before="0" w:after="0"/>
                            <w:jc w:val="center"/>
                          </w:pPr>
                          <w:r>
                            <w:rPr>
                              <w:rFonts w:asciiTheme="minorHAnsi" w:hAnsi="Calibri" w:cstheme="minorBidi"/>
                              <w:b/>
                              <w:bCs/>
                              <w:color w:val="000000" w:themeColor="text1"/>
                              <w:kern w:val="24"/>
                              <w:sz w:val="16"/>
                              <w:szCs w:val="16"/>
                            </w:rPr>
                            <w:t>Large multinational</w:t>
                          </w:r>
                        </w:p>
                      </w:txbxContent>
                    </v:textbox>
                  </v:rect>
                </v:group>
                <v:group id="Group 105" o:spid="_x0000_s1042" style="position:absolute;left:164;top:11005;width:34625;height:6416" coordorigin="164,11005" coordsize="48863,7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rect id="Rectangle 106" o:spid="_x0000_s1043" style="position:absolute;left:11840;top:11005;width:37188;height:7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8BlsUA&#10;AADcAAAADwAAAGRycy9kb3ducmV2LnhtbESPQYvCMBCF78L+hzCCF1lTBWWpRnEVQVwErSIeh2a2&#10;LdtMShO17q83guBthvfeN28ms8aU4kq1Kywr6PciEMSp1QVnCo6H1ecXCOeRNZaWScGdHMymH60J&#10;xtreeE/XxGciQNjFqCD3voqldGlOBl3PVsRB+7W1QR/WOpO6xluAm1IOomgkDRYcLuRY0SKn9C+5&#10;mEDRxfkw7G9225+Frk74vx8uu99KddrNfAzCU+Pf5ld6rUP9aATPZ8IEcv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PwGWxQAAANwAAAAPAAAAAAAAAAAAAAAAAJgCAABkcnMv&#10;ZG93bnJldi54bWxQSwUGAAAAAAQABAD1AAAAigMAAAAA&#10;" filled="f" strokecolor="black [3213]" strokeweight="1pt">
                    <v:textbox>
                      <w:txbxContent>
                        <w:p w14:paraId="72286157" w14:textId="77777777" w:rsidR="0011674D" w:rsidRDefault="0011674D" w:rsidP="0011674D">
                          <w:pPr>
                            <w:pStyle w:val="NormalWeb"/>
                            <w:spacing w:before="0" w:after="0"/>
                          </w:pPr>
                          <w:r>
                            <w:rPr>
                              <w:rFonts w:asciiTheme="minorHAnsi" w:hAnsi="Calibri" w:cstheme="minorBidi"/>
                              <w:color w:val="000000" w:themeColor="dark1"/>
                              <w:kern w:val="24"/>
                              <w:sz w:val="16"/>
                              <w:szCs w:val="16"/>
                            </w:rPr>
                            <w:t>Do you have a scheme (or any part) that involves dealings with an associate (or associates) that is a foreign entity?</w:t>
                          </w:r>
                        </w:p>
                      </w:txbxContent>
                    </v:textbox>
                  </v:rect>
                  <v:rect id="Rectangle 107" o:spid="_x0000_s1044" style="position:absolute;left:164;top:11005;width:11676;height:75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WMAA&#10;AADcAAAADwAAAGRycy9kb3ducmV2LnhtbERPyW7CMBC9I/EP1iD1BjYcoAoYBK26cSvbeRQPSURm&#10;HMUupP36GqlSb/P01lmsOq7VldpQebEwHhlQJLl3lRQWDvuX4SOoEFEc1l7IwjcFWC37vQVmzt/k&#10;k667WKgUIiFDC2WMTaZ1yEtiDCPfkCTu7FvGmGBbaNfiLYVzrSfGTDVjJamhxIaeSsovuy+2wFvZ&#10;NMc3gzyZfvwEzl9nz9XJ2odBt56DitTFf/Gf+92l+WYG92fSBXr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aRWMAAAADcAAAADwAAAAAAAAAAAAAAAACYAgAAZHJzL2Rvd25y&#10;ZXYueG1sUEsFBgAAAAAEAAQA9QAAAIUDAAAAAA==&#10;" fillcolor="white [3212]" strokecolor="black [3213]" strokeweight="1pt">
                    <v:textbox>
                      <w:txbxContent>
                        <w:p w14:paraId="122B3F2C" w14:textId="77777777" w:rsidR="0011674D" w:rsidRDefault="0011674D" w:rsidP="0011674D">
                          <w:pPr>
                            <w:pStyle w:val="NormalWeb"/>
                            <w:spacing w:before="0" w:after="0"/>
                            <w:jc w:val="center"/>
                          </w:pPr>
                          <w:r>
                            <w:rPr>
                              <w:rFonts w:asciiTheme="minorHAnsi" w:hAnsi="Calibri" w:cstheme="minorBidi"/>
                              <w:b/>
                              <w:bCs/>
                              <w:color w:val="000000" w:themeColor="text1"/>
                              <w:kern w:val="24"/>
                              <w:sz w:val="16"/>
                              <w:szCs w:val="16"/>
                            </w:rPr>
                            <w:t>Scheme involving offshore associates</w:t>
                          </w:r>
                        </w:p>
                      </w:txbxContent>
                    </v:textbox>
                  </v:rect>
                </v:group>
                <v:group id="Group 108" o:spid="_x0000_s1045" style="position:absolute;left:139;top:28725;width:34588;height:6654" coordorigin="139,28725" coordsize="34587,6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rect id="Rectangle 109" o:spid="_x0000_s1046" style="position:absolute;left:8740;top:28725;width:25987;height:6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CV5MYA&#10;AADcAAAADwAAAGRycy9kb3ducmV2LnhtbESP3YrCMBCF74V9hzAL3oimCspu1yirIogi+Id4OTSz&#10;bdlmUpqo1ac3guDdDOecb84Mx7UpxIUql1tW0O1EIIgTq3NOFRz28/YXCOeRNRaWScGNHIxHH40h&#10;xtpeeUuXnU9FgLCLUUHmfRlL6ZKMDLqOLYmD9mcrgz6sVSp1hdcAN4XsRdFAGsw5XMiwpGlGyf/u&#10;bAJF56d9v7vcrFdTXR7xvu3PWhOlmp/17w8IT7V/m1/phQ71o294PhMmkK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CV5MYAAADcAAAADwAAAAAAAAAAAAAAAACYAgAAZHJz&#10;L2Rvd25yZXYueG1sUEsFBgAAAAAEAAQA9QAAAIsDAAAAAA==&#10;" filled="f" strokecolor="black [3213]" strokeweight="1pt">
                    <v:textbox>
                      <w:txbxContent>
                        <w:p w14:paraId="20232911" w14:textId="77777777" w:rsidR="0011674D" w:rsidRDefault="0011674D" w:rsidP="0011674D">
                          <w:pPr>
                            <w:pStyle w:val="NormalWeb"/>
                            <w:spacing w:before="0" w:after="0"/>
                          </w:pPr>
                          <w:r>
                            <w:rPr>
                              <w:rFonts w:asciiTheme="minorHAnsi" w:hAnsi="Calibri" w:cstheme="minorBidi"/>
                              <w:color w:val="000000" w:themeColor="text1"/>
                              <w:kern w:val="24"/>
                              <w:sz w:val="16"/>
                              <w:szCs w:val="16"/>
                            </w:rPr>
                            <w:t>Is it reasonable to conclude that you and your associated entities have total turnover in Australia that does not exceed $25 million and that you or an associated entity have not artificially booked any turnover offshore?</w:t>
                          </w:r>
                        </w:p>
                      </w:txbxContent>
                    </v:textbox>
                  </v:rect>
                  <v:rect id="Rectangle 110" o:spid="_x0000_s1047" style="position:absolute;left:139;top:28725;width:8601;height:66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af8cQA&#10;AADcAAAADwAAAGRycy9kb3ducmV2LnhtbESPzU7DQAyE70h9h5UrcaOb5FBQ6LaCVlDgRvk5W1mT&#10;RMTeKLu0aZ++PiD1ZmvGM58Xq5E7s6chtkEc5LMMDEkVfCu1g8+Pp5s7MDGheOyCkIMjRVgtJ1cL&#10;LH04yDvtd6k2GiKxRAdNSn1pbawaYoyz0JOo9hMGxqTrUFs/4EHDubNFls0tYyva0GBP64aq390f&#10;O+A3eey/thlyMX89Ra6ebzftt3PX0/HhHkyiMV3M/9cvXvFzxddndAK7P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Wn/HEAAAA3AAAAA8AAAAAAAAAAAAAAAAAmAIAAGRycy9k&#10;b3ducmV2LnhtbFBLBQYAAAAABAAEAPUAAACJAwAAAAA=&#10;" fillcolor="white [3212]" strokecolor="black [3213]" strokeweight="1pt">
                    <v:textbox>
                      <w:txbxContent>
                        <w:p w14:paraId="7FEB3FD9" w14:textId="77777777" w:rsidR="0011674D" w:rsidRDefault="0011674D" w:rsidP="0011674D">
                          <w:pPr>
                            <w:pStyle w:val="NormalWeb"/>
                            <w:spacing w:before="0" w:after="0"/>
                            <w:jc w:val="center"/>
                          </w:pPr>
                          <w:r>
                            <w:rPr>
                              <w:rFonts w:asciiTheme="minorHAnsi" w:hAnsi="Calibri" w:cstheme="minorBidi"/>
                              <w:b/>
                              <w:bCs/>
                              <w:color w:val="000000" w:themeColor="text1"/>
                              <w:kern w:val="24"/>
                              <w:sz w:val="16"/>
                              <w:szCs w:val="16"/>
                            </w:rPr>
                            <w:t>$25 million turnover test (section 177J)</w:t>
                          </w:r>
                        </w:p>
                      </w:txbxContent>
                    </v:textbox>
                  </v:rect>
                </v:group>
                <v:group id="Group 111" o:spid="_x0000_s1048" style="position:absolute;left:119;top:19086;width:34617;height:7950" coordorigin="119,19086" coordsize="48864,10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rect id="Rectangle 112" o:spid="_x0000_s1049" style="position:absolute;left:12098;top:19086;width:36885;height:10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7WWcQA&#10;AADcAAAADwAAAGRycy9kb3ducmV2LnhtbERPTWvCQBC9F/wPywheRDfxUEp0FbG05CBCbXvobcxO&#10;s6nZ2ZCdavz33UKht3m8z1ltBt+qC/WxCWwgn2egiKtgG64NvL0+zR5ARUG22AYmAzeKsFmP7lZY&#10;2HDlF7ocpVYphGOBBpxIV2gdK0ce4zx0xIn7DL1HSbCvte3xmsJ9qxdZdq89NpwaHHa0c1Sdj9/e&#10;wEc5SP2VP8v+jNP3aelO1eHxZMxkPGyXoIQG+Rf/uUub5ucL+H0mXa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1lnEAAAA3AAAAA8AAAAAAAAAAAAAAAAAmAIAAGRycy9k&#10;b3ducmV2LnhtbFBLBQYAAAAABAAEAPUAAACJAwAAAAA=&#10;" filled="f" strokecolor="black [3213]" strokeweight="1pt">
                    <v:textbox>
                      <w:txbxContent>
                        <w:p w14:paraId="7EFD5D64" w14:textId="77777777" w:rsidR="0011674D" w:rsidRDefault="0011674D" w:rsidP="0011674D">
                          <w:pPr>
                            <w:pStyle w:val="NormalWeb"/>
                            <w:spacing w:before="0" w:after="0"/>
                          </w:pPr>
                          <w:r>
                            <w:rPr>
                              <w:rFonts w:asciiTheme="minorHAnsi" w:hAnsi="Calibri" w:cstheme="minorBidi"/>
                              <w:color w:val="000000" w:themeColor="dark1"/>
                              <w:kern w:val="24"/>
                              <w:sz w:val="16"/>
                              <w:szCs w:val="16"/>
                            </w:rPr>
                            <w:t xml:space="preserve">Is it reasonable to conclude that </w:t>
                          </w:r>
                          <w:r>
                            <w:rPr>
                              <w:rFonts w:asciiTheme="minorHAnsi" w:hAnsi="Calibri" w:cstheme="minorBidi"/>
                              <w:color w:val="000000" w:themeColor="dark1"/>
                              <w:kern w:val="24"/>
                              <w:sz w:val="16"/>
                              <w:szCs w:val="16"/>
                              <w:lang w:val="en-US"/>
                            </w:rPr>
                            <w:t>the scheme (or any part) was entered into or carried out for a principal purpose, or for more than one principal purpose that includes a purpose of obtaining a tax benefit, or both a tax benefit and a reduction in a foreign tax liability?</w:t>
                          </w:r>
                        </w:p>
                      </w:txbxContent>
                    </v:textbox>
                  </v:rect>
                  <v:rect id="Rectangle 113" o:spid="_x0000_s1050" style="position:absolute;left:119;top:19086;width:11979;height:10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QBhsIA&#10;AADcAAAADwAAAGRycy9kb3ducmV2LnhtbERPS2vCQBC+C/0PyxS86UYFW6KrtBXr49a09jxkp0lo&#10;ZjZktxr99W5B8DYf33Pmy45rdaTWV04MjIYJKJLc2UoKA1+f68EzKB9QLNZOyMCZPCwXD705ptad&#10;5IOOWShUDBGfooEyhCbV2uclMfqha0gi9+NaxhBhW2jb4imGc63HSTLVjJXEhhIbeisp/83+2ADv&#10;5bU5bBLk8XR38Zy/P62qb2P6j93LDFSgLtzFN/fWxvmjCfw/Ey/Qi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BAGGwgAAANwAAAAPAAAAAAAAAAAAAAAAAJgCAABkcnMvZG93&#10;bnJldi54bWxQSwUGAAAAAAQABAD1AAAAhwMAAAAA&#10;" fillcolor="white [3212]" strokecolor="black [3213]" strokeweight="1pt">
                    <v:textbox>
                      <w:txbxContent>
                        <w:p w14:paraId="58F4C561" w14:textId="77777777" w:rsidR="0011674D" w:rsidRDefault="0011674D" w:rsidP="0011674D">
                          <w:pPr>
                            <w:pStyle w:val="NormalWeb"/>
                            <w:spacing w:before="0" w:after="0"/>
                            <w:jc w:val="center"/>
                          </w:pPr>
                          <w:r>
                            <w:rPr>
                              <w:rFonts w:asciiTheme="minorHAnsi" w:hAnsi="Calibri" w:cstheme="minorBidi"/>
                              <w:b/>
                              <w:bCs/>
                              <w:color w:val="000000" w:themeColor="text1"/>
                              <w:kern w:val="24"/>
                              <w:sz w:val="16"/>
                              <w:szCs w:val="16"/>
                            </w:rPr>
                            <w:t>Tax avoidance purpose</w:t>
                          </w:r>
                        </w:p>
                        <w:p w14:paraId="41450469" w14:textId="77777777" w:rsidR="0011674D" w:rsidRDefault="0011674D" w:rsidP="0011674D">
                          <w:pPr>
                            <w:pStyle w:val="NormalWeb"/>
                            <w:spacing w:before="0"/>
                            <w:jc w:val="center"/>
                          </w:pPr>
                          <w:r>
                            <w:rPr>
                              <w:rFonts w:asciiTheme="minorHAnsi" w:hAnsi="Calibri" w:cstheme="minorBidi"/>
                              <w:b/>
                              <w:bCs/>
                              <w:color w:val="000000" w:themeColor="text1"/>
                              <w:kern w:val="24"/>
                              <w:sz w:val="16"/>
                              <w:szCs w:val="16"/>
                            </w:rPr>
                            <w:t>(section 177H)</w:t>
                          </w:r>
                        </w:p>
                      </w:txbxContent>
                    </v:textbox>
                  </v:rect>
                </v:group>
                <v:shape id="Straight Arrow Connector 114" o:spid="_x0000_s1051" type="#_x0000_t32" style="position:absolute;left:34773;top:7296;width:35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WRZb8AAADcAAAADwAAAGRycy9kb3ducmV2LnhtbERPy6rCMBDdC/cfwgjuNFUuotUo4qVc&#10;Vz6q7odmbIvNpDRR698bQXA3h/Oc+bI1lbhT40rLCoaDCARxZnXJuYLTMelPQDiPrLGyTAqe5GC5&#10;+OnMMdb2wQe6pz4XIYRdjAoK7+tYSpcVZNANbE0cuIttDPoAm1zqBh8h3FRyFEVjabDk0FBgTeuC&#10;smt6Mwr8+K+V+/8pn9fZxOntOdmd0kSpXrddzUB4av1X/HFvdJg//IX3M+ECuXg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8WRZb8AAADcAAAADwAAAAAAAAAAAAAAAACh&#10;AgAAZHJzL2Rvd25yZXYueG1sUEsFBgAAAAAEAAQA+QAAAI0DAAAAAA==&#10;" strokecolor="black [3213]" strokeweight="1pt"/>
                <v:shape id="Straight Arrow Connector 115" o:spid="_x0000_s1052" type="#_x0000_t32" style="position:absolute;left:34735;top:31831;width:3650;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6Av8MAAADcAAAADwAAAGRycy9kb3ducmV2LnhtbERPTWvCQBC9F/wPywi91Y2CpUZXkWKh&#10;0CI0tp7H7Jikzc6G7DRGf71bEHqbx/ucxap3teqoDZVnA+NRAoo497biwsDn7uXhCVQQZIu1ZzJw&#10;pgCr5eBugan1J/6gLpNCxRAOKRooRZpU65CX5DCMfEMcuaNvHUqEbaFti6cY7mo9SZJH7bDi2FBi&#10;Q88l5T/ZrzMwvSTSZN33+9rR1+ZtdthvZTMx5n7Yr+eghHr5F9/crzbOH0/h75l4gV5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OgL/DAAAA3AAAAA8AAAAAAAAAAAAA&#10;AAAAoQIAAGRycy9kb3ducmV2LnhtbFBLBQYAAAAABAAEAPkAAACRAwAAAAA=&#10;" strokecolor="black [3213]" strokeweight="1pt"/>
                <v:shape id="TextBox 174" o:spid="_x0000_s1053" type="#_x0000_t202" style="position:absolute;left:19390;top:54517;width:4621;height:2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Zy78A&#10;AADcAAAADwAAAGRycy9kb3ducmV2LnhtbERPTWvCQBC9F/wPyxS81U0ERVJXkVrBgxc1vQ/ZaTY0&#10;OxuyUxP/vVsoeJvH+5z1dvStulEfm8AG8lkGirgKtuHaQHk9vK1ARUG22AYmA3eKsN1MXtZY2DDw&#10;mW4XqVUK4VigASfSFVrHypHHOAsdceK+Q+9REuxrbXscUrhv9TzLltpjw6nBYUcfjqqfy683IGJ3&#10;+b389PH4NZ72g8uqBZbGTF/H3TsooVGe4n/30ab5+RL+nkkX6M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7qBnLvwAAANwAAAAPAAAAAAAAAAAAAAAAAJgCAABkcnMvZG93bnJl&#10;di54bWxQSwUGAAAAAAQABAD1AAAAhAMAAAAA&#10;" filled="f" stroked="f">
                  <v:textbox style="mso-fit-shape-to-text:t">
                    <w:txbxContent>
                      <w:p w14:paraId="0FC718BF" w14:textId="77777777" w:rsidR="0011674D" w:rsidRDefault="0011674D" w:rsidP="0011674D">
                        <w:pPr>
                          <w:pStyle w:val="NormalWeb"/>
                          <w:spacing w:before="0" w:after="0"/>
                        </w:pPr>
                        <w:r>
                          <w:rPr>
                            <w:rFonts w:asciiTheme="minorHAnsi" w:hAnsi="Calibri" w:cstheme="minorBidi"/>
                            <w:color w:val="000000" w:themeColor="text1"/>
                            <w:kern w:val="24"/>
                            <w:sz w:val="18"/>
                            <w:szCs w:val="18"/>
                          </w:rPr>
                          <w:t>NO</w:t>
                        </w:r>
                      </w:p>
                    </w:txbxContent>
                  </v:textbox>
                </v:shape>
                <v:shape id="TextBox 176" o:spid="_x0000_s1054" type="#_x0000_t202" style="position:absolute;left:19390;top:34872;width:4621;height:2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S8UMAA&#10;AADcAAAADwAAAGRycy9kb3ducmV2LnhtbERPS2vCQBC+F/oflin0VjcRWkt0FfEBHnrRxvuQnWZD&#10;s7MhO5r4712h0Nt8fM9ZrEbfqiv1sQlsIJ9koIirYBuuDZTf+7dPUFGQLbaBycCNIqyWz08LLGwY&#10;+EjXk9QqhXAs0IAT6QqtY+XIY5yEjjhxP6H3KAn2tbY9Dinct3qaZR/aY8OpwWFHG0fV7+niDYjY&#10;dX4rdz4ezuPXdnBZ9Y6lMa8v43oOSmiUf/Gf+2DT/HwGj2fSBXp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OS8UMAAAADcAAAADwAAAAAAAAAAAAAAAACYAgAAZHJzL2Rvd25y&#10;ZXYueG1sUEsFBgAAAAAEAAQA9QAAAIUDAAAAAA==&#10;" filled="f" stroked="f">
                  <v:textbox style="mso-fit-shape-to-text:t">
                    <w:txbxContent>
                      <w:p w14:paraId="640D20BD" w14:textId="77777777" w:rsidR="0011674D" w:rsidRDefault="0011674D" w:rsidP="0011674D">
                        <w:pPr>
                          <w:pStyle w:val="NormalWeb"/>
                          <w:spacing w:before="0" w:after="0"/>
                        </w:pPr>
                        <w:r>
                          <w:rPr>
                            <w:rFonts w:asciiTheme="minorHAnsi" w:hAnsi="Calibri" w:cstheme="minorBidi"/>
                            <w:color w:val="000000" w:themeColor="text1"/>
                            <w:kern w:val="24"/>
                            <w:sz w:val="18"/>
                            <w:szCs w:val="18"/>
                          </w:rPr>
                          <w:t>NO</w:t>
                        </w:r>
                      </w:p>
                    </w:txbxContent>
                  </v:textbox>
                </v:shape>
                <v:rect id="Rectangle 118" o:spid="_x0000_s1055" style="position:absolute;left:9930;top:58114;width:18528;height:28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T98QA&#10;AADcAAAADwAAAGRycy9kb3ducmV2LnhtbESPzU7DQAyE70h9h5UrcaOb5FBQ6LaCVlDgRvk5W1mT&#10;RMTeKLu0aZ++PiD1ZmvGM58Xq5E7s6chtkEc5LMMDEkVfCu1g8+Pp5s7MDGheOyCkIMjRVgtJ1cL&#10;LH04yDvtd6k2GiKxRAdNSn1pbawaYoyz0JOo9hMGxqTrUFs/4EHDubNFls0tYyva0GBP64aq390f&#10;O+A3eey/thlyMX89Ra6ebzftt3PX0/HhHkyiMV3M/9cvXvFzpdVndAK7P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gk/fEAAAA3AAAAA8AAAAAAAAAAAAAAAAAmAIAAGRycy9k&#10;b3ducmV2LnhtbFBLBQYAAAAABAAEAPUAAACJAwAAAAA=&#10;" fillcolor="white [3212]" strokecolor="black [3213]" strokeweight="1pt">
                  <v:textbox>
                    <w:txbxContent>
                      <w:p w14:paraId="66ADEC31" w14:textId="77777777" w:rsidR="0011674D" w:rsidRDefault="0011674D" w:rsidP="0011674D">
                        <w:pPr>
                          <w:pStyle w:val="NormalWeb"/>
                          <w:spacing w:before="0" w:after="0"/>
                          <w:jc w:val="center"/>
                        </w:pPr>
                        <w:r>
                          <w:rPr>
                            <w:rFonts w:asciiTheme="minorHAnsi" w:hAnsi="Calibri" w:cstheme="minorBidi"/>
                            <w:b/>
                            <w:bCs/>
                            <w:color w:val="000000" w:themeColor="text1"/>
                            <w:kern w:val="24"/>
                            <w:sz w:val="21"/>
                            <w:szCs w:val="21"/>
                          </w:rPr>
                          <w:t>The DPT may apply to you</w:t>
                        </w:r>
                      </w:p>
                    </w:txbxContent>
                  </v:textbox>
                </v:rect>
                <v:rect id="Rectangle 119" o:spid="_x0000_s1056" style="position:absolute;left:41005;top:21811;width:7387;height:9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w2bMEA&#10;AADcAAAADwAAAGRycy9kb3ducmV2LnhtbERPTU/CQBC9k/gfNmPiDbZwQC0sBDAqcLOA50l3bBs6&#10;s013hcqvZ01IuM3L+5zpvONanaj1lRMDw0ECiiR3tpLCwH733n8B5QOKxdoJGfgjD/PZQ2+KqXVn&#10;+aJTFgoVQ8SnaKAMoUm19nlJjH7gGpLI/biWMUTYFtq2eI7hXOtRkow1YyWxocSGViXlx+yXDfBW&#10;ls3hM0EejTcXz/nH81v1bczTY7eYgArUhbv45l7bOH/4Cv/PxAv07A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sNmzBAAAA3AAAAA8AAAAAAAAAAAAAAAAAmAIAAGRycy9kb3du&#10;cmV2LnhtbFBLBQYAAAAABAAEAPUAAACGAwAAAAA=&#10;" fillcolor="white [3212]" strokecolor="black [3213]" strokeweight="1pt">
                  <v:textbox>
                    <w:txbxContent>
                      <w:p w14:paraId="394B0578" w14:textId="77777777" w:rsidR="0011674D" w:rsidRDefault="0011674D" w:rsidP="0011674D">
                        <w:pPr>
                          <w:pStyle w:val="NormalWeb"/>
                          <w:spacing w:before="0" w:after="0"/>
                          <w:jc w:val="center"/>
                        </w:pPr>
                        <w:r>
                          <w:rPr>
                            <w:rFonts w:asciiTheme="minorHAnsi" w:hAnsi="Calibri" w:cstheme="minorBidi"/>
                            <w:b/>
                            <w:bCs/>
                            <w:color w:val="000000" w:themeColor="text1"/>
                            <w:kern w:val="24"/>
                            <w:sz w:val="20"/>
                            <w:szCs w:val="20"/>
                          </w:rPr>
                          <w:t>The DPT does not apply to you</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0" o:spid="_x0000_s1057" type="#_x0000_t67" style="position:absolute;left:16627;top:54931;width:3573;height:28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ZT1MQA&#10;AADcAAAADwAAAGRycy9kb3ducmV2LnhtbESPQWvCQBCF7wX/wzJCb3VjQCmpq1RBECy0jaXnITvN&#10;hmZnY3Y18d87h0JvM7w3732z2oy+VVfqYxPYwHyWgSKugm24NvB12j89g4oJ2WIbmAzcKMJmPXlY&#10;YWHDwJ90LVOtJIRjgQZcSl2hdawceYyz0BGL9hN6j0nWvta2x0HCfavzLFtqjw1Lg8OOdo6q3/Li&#10;DZyOVd6VtB3Oi7fs+50/xuXOOmMep+PrC6hEY/o3/10frODngi/PyAR6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WU9TEAAAA3AAAAA8AAAAAAAAAAAAAAAAAmAIAAGRycy9k&#10;b3ducmV2LnhtbFBLBQYAAAAABAAEAPUAAACJAwAAAAA=&#10;" adj="10800" fillcolor="white [3212]" strokecolor="black [3213]" strokeweight="1pt">
                  <v:textbox>
                    <w:txbxContent>
                      <w:p w14:paraId="0E1D9521" w14:textId="77777777" w:rsidR="0011674D" w:rsidRDefault="0011674D" w:rsidP="0011674D"/>
                    </w:txbxContent>
                  </v:textbox>
                </v:shape>
                <v:shape id="TextBox 71" o:spid="_x0000_s1058" type="#_x0000_t202" style="position:absolute;left:35085;top:38164;width:4621;height:2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1LAr8A&#10;AADcAAAADwAAAGRycy9kb3ducmV2LnhtbERPTWvCQBC9F/wPyxS81U0ERVJXkVrBgxdteh+y02xo&#10;djZkpyb+e1cQepvH+5z1dvStulIfm8AG8lkGirgKtuHaQPl1eFuBioJssQ1MBm4UYbuZvKyxsGHg&#10;M10vUqsUwrFAA06kK7SOlSOPcRY64sT9hN6jJNjX2vY4pHDf6nmWLbXHhlODw44+HFW/lz9vQMTu&#10;8lv56ePxezztB5dVCyyNmb6Ou3dQQqP8i5/uo03z5zk8nkkX6M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LUsCvwAAANwAAAAPAAAAAAAAAAAAAAAAAJgCAABkcnMvZG93bnJl&#10;di54bWxQSwUGAAAAAAQABAD1AAAAhAMAAAAA&#10;" filled="f" stroked="f">
                  <v:textbox style="mso-fit-shape-to-text:t">
                    <w:txbxContent>
                      <w:p w14:paraId="1FEEBFDF" w14:textId="77777777" w:rsidR="0011674D" w:rsidRDefault="0011674D" w:rsidP="0011674D">
                        <w:pPr>
                          <w:pStyle w:val="NormalWeb"/>
                          <w:spacing w:before="0" w:after="0"/>
                        </w:pPr>
                        <w:r>
                          <w:rPr>
                            <w:rFonts w:asciiTheme="minorHAnsi" w:hAnsi="Calibri" w:cstheme="minorBidi"/>
                            <w:color w:val="000000" w:themeColor="text1"/>
                            <w:kern w:val="24"/>
                            <w:sz w:val="18"/>
                            <w:szCs w:val="18"/>
                          </w:rPr>
                          <w:t>YES</w:t>
                        </w:r>
                      </w:p>
                    </w:txbxContent>
                  </v:textbox>
                </v:shape>
                <v:group id="Group 122" o:spid="_x0000_s1059" style="position:absolute;left:51;top:36915;width:34731;height:7950" coordorigin="51,36915" coordsize="48810,7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rect id="Rectangle 123" o:spid="_x0000_s1060" style="position:absolute;left:12138;top:36915;width:36724;height:7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Y+cIA&#10;AADcAAAADwAAAGRycy9kb3ducmV2LnhtbERPS4vCMBC+C/6HMMLeNLX7wK1GEUHcg4dtd9nz0My2&#10;xWRSmmjrvzeC4G0+vuesNoM14kKdbxwrmM8SEMSl0w1XCn5/9tMFCB+QNRrHpOBKHjbr8WiFmXY9&#10;53QpQiViCPsMFdQhtJmUvqzJop+5ljhy/66zGCLsKqk77GO4NTJNkg9pseHYUGNLu5rKU3G2Cva9&#10;eZ+bxfchP35a+/dWXNOk2in1Mhm2SxCBhvAUP9xfOs5PX+H+TLxAr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5hj5wgAAANwAAAAPAAAAAAAAAAAAAAAAAJgCAABkcnMvZG93&#10;bnJldi54bWxQSwUGAAAAAAQABAD1AAAAhwMAAAAA&#10;" fillcolor="white [3201]" strokecolor="black [3213]" strokeweight="1pt">
                    <v:textbox>
                      <w:txbxContent>
                        <w:p w14:paraId="2543A049" w14:textId="77777777" w:rsidR="0011674D" w:rsidRDefault="0011674D" w:rsidP="0011674D">
                          <w:pPr>
                            <w:pStyle w:val="NormalWeb"/>
                            <w:spacing w:before="0" w:after="0"/>
                          </w:pPr>
                          <w:r>
                            <w:rPr>
                              <w:rFonts w:asciiTheme="minorHAnsi" w:hAnsi="Calibri" w:cstheme="minorBidi"/>
                              <w:color w:val="000000" w:themeColor="dark1"/>
                              <w:kern w:val="24"/>
                              <w:sz w:val="16"/>
                              <w:szCs w:val="16"/>
                            </w:rPr>
                            <w:t>Is it reasonable to conclude that the total increase in the foreign tax liabilities of each of the foreign entities connected to the scheme as a result of the scheme equals or exceeds 80 per cent of the corresponding reduction in your Australian tax liability?</w:t>
                          </w:r>
                        </w:p>
                      </w:txbxContent>
                    </v:textbox>
                  </v:rect>
                  <v:rect id="Rectangle 124" o:spid="_x0000_s1061" style="position:absolute;left:51;top:36915;width:12087;height:73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FTT8EA&#10;AADcAAAADwAAAGRycy9kb3ducmV2LnhtbERPS2vCQBC+F/oflil4q5sG0RJdpa34aG+16nnIjkkw&#10;Mxuyq0Z/fVco9DYf33Mms45rdabWV04MvPQTUCS5s5UUBrY/i+dXUD6gWKydkIEreZhNHx8mmFl3&#10;kW86b0KhYoj4DA2UITSZ1j4vidH3XUMSuYNrGUOEbaFti5cYzrVOk2SoGSuJDSU29FFSftyc2AB/&#10;yXuzWyXI6fDz5jlfjubV3pjeU/c2BhWoC//iP/faxvnpAO7PxAv09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BU0/BAAAA3AAAAA8AAAAAAAAAAAAAAAAAmAIAAGRycy9kb3du&#10;cmV2LnhtbFBLBQYAAAAABAAEAPUAAACGAwAAAAA=&#10;" fillcolor="white [3212]" strokecolor="black [3213]" strokeweight="1pt">
                    <v:textbox>
                      <w:txbxContent>
                        <w:p w14:paraId="2E68D4EE" w14:textId="77777777" w:rsidR="0011674D" w:rsidRDefault="0011674D" w:rsidP="0011674D">
                          <w:pPr>
                            <w:pStyle w:val="NormalWeb"/>
                            <w:spacing w:before="0" w:after="0"/>
                            <w:jc w:val="center"/>
                          </w:pPr>
                          <w:r>
                            <w:rPr>
                              <w:rFonts w:asciiTheme="minorHAnsi" w:hAnsi="Calibri" w:cstheme="minorBidi"/>
                              <w:b/>
                              <w:bCs/>
                              <w:color w:val="000000" w:themeColor="text1"/>
                              <w:kern w:val="24"/>
                              <w:sz w:val="16"/>
                              <w:szCs w:val="16"/>
                            </w:rPr>
                            <w:t>Sufficient foreign tax test</w:t>
                          </w:r>
                        </w:p>
                        <w:p w14:paraId="06BD8216" w14:textId="77777777" w:rsidR="0011674D" w:rsidRDefault="0011674D" w:rsidP="0011674D">
                          <w:pPr>
                            <w:pStyle w:val="NormalWeb"/>
                            <w:spacing w:before="0" w:after="0"/>
                            <w:jc w:val="center"/>
                          </w:pPr>
                          <w:r>
                            <w:rPr>
                              <w:rFonts w:asciiTheme="minorHAnsi" w:hAnsi="Calibri" w:cstheme="minorBidi"/>
                              <w:b/>
                              <w:bCs/>
                              <w:color w:val="000000" w:themeColor="text1"/>
                              <w:kern w:val="24"/>
                              <w:sz w:val="16"/>
                              <w:szCs w:val="16"/>
                            </w:rPr>
                            <w:t>(section 177K)</w:t>
                          </w:r>
                        </w:p>
                      </w:txbxContent>
                    </v:textbox>
                  </v:rect>
                </v:group>
                <v:shape id="TextBox 103" o:spid="_x0000_s1062" type="#_x0000_t202" style="position:absolute;left:19303;top:16934;width:4620;height:2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ZNAb8A&#10;AADcAAAADwAAAGRycy9kb3ducmV2LnhtbERPTWvCQBC9F/oflil4qxsFRaKrSG3BgxdtvA/ZMRua&#10;nQ3Z0cR/7wpCb/N4n7PaDL5RN+piHdjAZJyBIi6DrbkyUPz+fC5ARUG22AQmA3eKsFm/v60wt6Hn&#10;I91OUqkUwjFHA06kzbWOpSOPcRxa4sRdQudREuwqbTvsU7hv9DTL5tpjzanBYUtfjsq/09UbELHb&#10;yb349nF/Hg673mXlDAtjRh/DdglKaJB/8cu9t2n+dAbPZ9IFev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Fk0BvwAAANwAAAAPAAAAAAAAAAAAAAAAAJgCAABkcnMvZG93bnJl&#10;di54bWxQSwUGAAAAAAQABAD1AAAAhAMAAAAA&#10;" filled="f" stroked="f">
                  <v:textbox style="mso-fit-shape-to-text:t">
                    <w:txbxContent>
                      <w:p w14:paraId="2F342E61" w14:textId="77777777" w:rsidR="0011674D" w:rsidRDefault="0011674D" w:rsidP="0011674D">
                        <w:pPr>
                          <w:pStyle w:val="NormalWeb"/>
                          <w:spacing w:before="0" w:after="0"/>
                        </w:pPr>
                        <w:r>
                          <w:rPr>
                            <w:rFonts w:asciiTheme="minorHAnsi" w:hAnsi="Calibri" w:cstheme="minorBidi"/>
                            <w:color w:val="000000" w:themeColor="text1"/>
                            <w:kern w:val="24"/>
                            <w:sz w:val="18"/>
                            <w:szCs w:val="18"/>
                          </w:rPr>
                          <w:t>YES</w:t>
                        </w:r>
                      </w:p>
                    </w:txbxContent>
                  </v:textbox>
                </v:shape>
                <v:group id="Group 126" o:spid="_x0000_s1063" style="position:absolute;top:46744;width:34790;height:8165" coordorigin=",46744" coordsize="49150,5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rect id="Rectangle 127" o:spid="_x0000_s1064" style="position:absolute;left:12166;top:46744;width:36984;height:50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W/fMQA&#10;AADcAAAADwAAAGRycy9kb3ducmV2LnhtbERPS2vCQBC+F/oflin0IrrRQyvRVYrSkkMp1MfB25gd&#10;s6nZ2ZCdavrvu4WCt/n4njNf9r5RF+piHdjAeJSBIi6DrbkysNu+DqegoiBbbAKTgR+KsFzc380x&#10;t+HKn3TZSKVSCMccDTiRNtc6lo48xlFoiRN3Cp1HSbCrtO3wmsJ9oydZ9qQ91pwaHLa0clSeN9/e&#10;wKHopfoav8n7GQf7QeGO5cf6aMzjQ/8yAyXUy0387y5smj95hr9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Vv3zEAAAA3AAAAA8AAAAAAAAAAAAAAAAAmAIAAGRycy9k&#10;b3ducmV2LnhtbFBLBQYAAAAABAAEAPUAAACJAwAAAAA=&#10;" filled="f" strokecolor="black [3213]" strokeweight="1pt">
                    <v:textbox>
                      <w:txbxContent>
                        <w:p w14:paraId="7FE41567" w14:textId="77777777" w:rsidR="0011674D" w:rsidRDefault="0011674D" w:rsidP="0011674D">
                          <w:pPr>
                            <w:pStyle w:val="NormalWeb"/>
                            <w:spacing w:before="0" w:after="0"/>
                          </w:pPr>
                          <w:r>
                            <w:rPr>
                              <w:rFonts w:asciiTheme="minorHAnsi" w:hAnsi="Calibri" w:cstheme="minorBidi"/>
                              <w:color w:val="000000" w:themeColor="text1"/>
                              <w:kern w:val="24"/>
                              <w:sz w:val="16"/>
                              <w:szCs w:val="16"/>
                            </w:rPr>
                            <w:t>Is it reasonable to conclude that the income derived, received or made as a result of the scheme by each entity connected to the scheme reasonably reflects the economic substance of the entity’s activities in connection with the scheme?</w:t>
                          </w:r>
                        </w:p>
                      </w:txbxContent>
                    </v:textbox>
                  </v:rect>
                  <v:rect id="Rectangle 128" o:spid="_x0000_s1065" style="position:absolute;top:46744;width:12166;height:50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xZSsMA&#10;AADcAAAADwAAAGRycy9kb3ducmV2LnhtbESPQU/CQBCF7yb8h82QeJMtPYApLEQ0KHoThfOkO7SN&#10;ndmmu0D11zsHE28zeW/e+2a5Hrg1F+pjE8TBdJKBISmDb6Ry8PmxvbsHExOKxzYIOfimCOvV6GaJ&#10;hQ9XeafLPlVGQyQW6KBOqSusjWVNjHESOhLVTqFnTLr2lfU9XjWcW5tn2cwyNqINNXb0WFP5tT+z&#10;A36TTXd4yZDz2etP5PJ5/tQcnbsdDw8LMImG9G/+u955xc+VVp/RCez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xZSsMAAADcAAAADwAAAAAAAAAAAAAAAACYAgAAZHJzL2Rv&#10;d25yZXYueG1sUEsFBgAAAAAEAAQA9QAAAIgDAAAAAA==&#10;" fillcolor="white [3212]" strokecolor="black [3213]" strokeweight="1pt">
                    <v:textbox>
                      <w:txbxContent>
                        <w:p w14:paraId="6C160C46" w14:textId="77777777" w:rsidR="0011674D" w:rsidRDefault="0011674D" w:rsidP="0011674D">
                          <w:pPr>
                            <w:pStyle w:val="NormalWeb"/>
                            <w:spacing w:before="0" w:after="0"/>
                            <w:jc w:val="center"/>
                          </w:pPr>
                          <w:r>
                            <w:rPr>
                              <w:rFonts w:asciiTheme="minorHAnsi" w:hAnsi="Calibri" w:cstheme="minorBidi"/>
                              <w:b/>
                              <w:bCs/>
                              <w:color w:val="000000" w:themeColor="text1"/>
                              <w:kern w:val="24"/>
                              <w:sz w:val="16"/>
                              <w:szCs w:val="16"/>
                            </w:rPr>
                            <w:t>Sufficient economic substance test</w:t>
                          </w:r>
                        </w:p>
                        <w:p w14:paraId="24E1BD03" w14:textId="77777777" w:rsidR="0011674D" w:rsidRDefault="0011674D" w:rsidP="0011674D">
                          <w:pPr>
                            <w:pStyle w:val="NormalWeb"/>
                            <w:spacing w:before="0"/>
                            <w:jc w:val="center"/>
                          </w:pPr>
                          <w:r>
                            <w:rPr>
                              <w:rFonts w:asciiTheme="minorHAnsi" w:hAnsi="Calibri" w:cstheme="minorBidi"/>
                              <w:b/>
                              <w:bCs/>
                              <w:color w:val="000000" w:themeColor="text1"/>
                              <w:kern w:val="24"/>
                              <w:sz w:val="16"/>
                              <w:szCs w:val="16"/>
                            </w:rPr>
                            <w:t>(section 177L)</w:t>
                          </w:r>
                        </w:p>
                      </w:txbxContent>
                    </v:textbox>
                  </v:rect>
                </v:group>
                <v:shape id="TextBox 59" o:spid="_x0000_s1066" type="#_x0000_t202" style="position:absolute;left:19390;top:44797;width:4621;height:2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tHBMAA&#10;AADcAAAADwAAAGRycy9kb3ducmV2LnhtbERPS2vCQBC+F/wPyxR6qxuFFk1dRXyAh17UeB+y02xo&#10;djZkRxP/vSsUepuP7zmL1eAbdaMu1oENTMYZKOIy2JorA8V5/z4DFQXZYhOYDNwpwmo5ellgbkPP&#10;R7qdpFIphGOOBpxIm2sdS0ce4zi0xIn7CZ1HSbCrtO2wT+G+0dMs+9Qea04NDlvaOCp/T1dvQMSu&#10;J/di5+PhMnxve5eVH1gY8/Y6rL9ACQ3yL/5zH2yaP53D85l0gV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tHBMAAAADcAAAADwAAAAAAAAAAAAAAAACYAgAAZHJzL2Rvd25y&#10;ZXYueG1sUEsFBgAAAAAEAAQA9QAAAIUDAAAAAA==&#10;" filled="f" stroked="f">
                  <v:textbox style="mso-fit-shape-to-text:t">
                    <w:txbxContent>
                      <w:p w14:paraId="031CDF01" w14:textId="77777777" w:rsidR="0011674D" w:rsidRDefault="0011674D" w:rsidP="0011674D">
                        <w:pPr>
                          <w:pStyle w:val="NormalWeb"/>
                          <w:spacing w:before="0" w:after="0"/>
                        </w:pPr>
                        <w:r>
                          <w:rPr>
                            <w:rFonts w:asciiTheme="minorHAnsi" w:hAnsi="Calibri" w:cstheme="minorBidi"/>
                            <w:color w:val="000000" w:themeColor="text1"/>
                            <w:kern w:val="24"/>
                            <w:sz w:val="18"/>
                            <w:szCs w:val="18"/>
                          </w:rPr>
                          <w:t>NO</w:t>
                        </w:r>
                      </w:p>
                    </w:txbxContent>
                  </v:textbox>
                </v:shape>
                <v:shape id="TextBox 66" o:spid="_x0000_s1067" type="#_x0000_t202" style="position:absolute;left:35027;top:48518;width:4620;height:2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h4RMMA&#10;AADcAAAADwAAAGRycy9kb3ducmV2LnhtbESPQU/DMAyF70j7D5EncWPpQKCpLJumAdIOXNi6u9WY&#10;plrjVI1Zu3+PD0jcbL3n9z6vt1PszJWG3CZ2sFwUYIjr5FtuHFSnj4cVmCzIHrvE5OBGGbab2d0a&#10;S59G/qLrURqjIZxLdBBE+tLaXAeKmBepJ1btOw0RRdehsX7AUcNjZx+L4sVGbFkbAva0D1Rfjj/R&#10;gYjfLW/Ve8yH8/T5NoaifsbKufv5tHsFIzTJv/nv+uAV/0nx9Rmdw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h4RMMAAADcAAAADwAAAAAAAAAAAAAAAACYAgAAZHJzL2Rv&#10;d25yZXYueG1sUEsFBgAAAAAEAAQA9QAAAIgDAAAAAA==&#10;" filled="f" stroked="f">
                  <v:textbox style="mso-fit-shape-to-text:t">
                    <w:txbxContent>
                      <w:p w14:paraId="05A3E4B6" w14:textId="77777777" w:rsidR="0011674D" w:rsidRDefault="0011674D" w:rsidP="0011674D">
                        <w:pPr>
                          <w:pStyle w:val="NormalWeb"/>
                          <w:spacing w:before="0" w:after="0"/>
                        </w:pPr>
                        <w:r>
                          <w:rPr>
                            <w:rFonts w:asciiTheme="minorHAnsi" w:hAnsi="Calibri" w:cstheme="minorBidi"/>
                            <w:color w:val="000000" w:themeColor="text1"/>
                            <w:kern w:val="24"/>
                            <w:sz w:val="18"/>
                            <w:szCs w:val="18"/>
                          </w:rPr>
                          <w:t>YES</w:t>
                        </w:r>
                      </w:p>
                    </w:txbxContent>
                  </v:textbox>
                </v:shape>
                <v:shape id="Straight Arrow Connector 131" o:spid="_x0000_s1068" type="#_x0000_t32" style="position:absolute;left:34785;top:14401;width:3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dunb8AAADcAAAADwAAAGRycy9kb3ducmV2LnhtbERPy6rCMBDdC/cfwgjuNNULotUo4qVc&#10;Vz6q7odmbIvNpDRR698bQXA3h/Oc+bI1lbhT40rLCoaDCARxZnXJuYLTMelPQDiPrLGyTAqe5GC5&#10;+OnMMdb2wQe6pz4XIYRdjAoK7+tYSpcVZNANbE0cuIttDPoAm1zqBh8h3FRyFEVjabDk0FBgTeuC&#10;smt6Mwr8+K+V+/8pn9fZxOntOdmd0kSpXrddzUB4av1X/HFvdJj/O4T3M+ECuXg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Adunb8AAADcAAAADwAAAAAAAAAAAAAAAACh&#10;AgAAZHJzL2Rvd25yZXYueG1sUEsFBgAAAAAEAAQA+QAAAI0DAAAAAA==&#10;" strokecolor="black [3213]" strokeweight="1pt"/>
                <v:shape id="Straight Arrow Connector 132" o:spid="_x0000_s1069" type="#_x0000_t32" style="position:absolute;left:18523;top:3687;width:0;height:15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elsQAAADcAAAADwAAAGRycy9kb3ducmV2LnhtbERPzWrCQBC+F/oOyxS8SLNRodToKrao&#10;9WARTR9gyI7ZYHY2ZFeNPn23IPQ2H9/vTOedrcWFWl85VjBIUhDEhdMVlwp+8tXrOwgfkDXWjknB&#10;jTzMZ89PU8y0u/KeLodQihjCPkMFJoQmk9IXhiz6xDXEkTu61mKIsC2lbvEaw20th2n6Ji1WHBsM&#10;NvRpqDgdzlZB+Lqv9x/nfre4V6fNLjfj5XbwrVTvpVtMQATqwr/44d7oOH80hL9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b96WxAAAANwAAAAPAAAAAAAAAAAA&#10;AAAAAKECAABkcnMvZG93bnJldi54bWxQSwUGAAAAAAQABAD5AAAAkgMAAAAA&#10;" strokecolor="black [3213]" strokeweight="1pt">
                  <v:stroke endarrow="open"/>
                </v:shape>
                <v:shape id="Straight Arrow Connector 133" o:spid="_x0000_s1070" type="#_x0000_t32" style="position:absolute;left:18624;top:9289;width:0;height:15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N7DcQAAADcAAAADwAAAGRycy9kb3ducmV2LnhtbERP22oCMRB9F/oPYQq+SM2qIO3WKLZ4&#10;e7AUtR8wbKabxc1k2WR19euNIPg2h3Odyay1pThR7QvHCgb9BARx5nTBuYK/w/LtHYQPyBpLx6Tg&#10;Qh5m05fOBFPtzryj0z7kIoawT1GBCaFKpfSZIYu+7yriyP272mKIsM6lrvEcw20ph0kylhYLjg0G&#10;K/o2lB33jVUQ1tfV7qvptfNrcdz8HszHYjv4Uar72s4/QQRqw1P8cG90nD8awf2ZeIG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I3sNxAAAANwAAAAPAAAAAAAAAAAA&#10;AAAAAKECAABkcnMvZG93bnJldi54bWxQSwUGAAAAAAQABAD5AAAAkgMAAAAA&#10;" strokecolor="black [3213]" strokeweight="1pt">
                  <v:stroke endarrow="open"/>
                </v:shape>
                <v:shape id="Straight Arrow Connector 134" o:spid="_x0000_s1071" type="#_x0000_t32" style="position:absolute;left:18523;top:17430;width:0;height:15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rjecQAAADcAAAADwAAAGRycy9kb3ducmV2LnhtbERP22oCMRB9F/oPYQq+SM16odTVKLZo&#10;9aGlePmAYTNuFjeTZRN19esbQfBtDuc6k1ljS3Gm2heOFfS6CQjizOmCcwX73fLtA4QPyBpLx6Tg&#10;Sh5m05fWBFPtLryh8zbkIoawT1GBCaFKpfSZIYu+6yriyB1cbTFEWOdS13iJ4baU/SR5lxYLjg0G&#10;K/oylB23J6sgrG7fm89Tp5nfiuP6b2dGi5/er1Lt12Y+BhGoCU/xw73Wcf5gCPdn4gV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yuN5xAAAANwAAAAPAAAAAAAAAAAA&#10;AAAAAKECAABkcnMvZG93bnJldi54bWxQSwUGAAAAAAQABAD5AAAAkgMAAAAA&#10;" strokecolor="black [3213]" strokeweight="1pt">
                  <v:stroke endarrow="open"/>
                </v:shape>
                <v:shape id="Straight Arrow Connector 135" o:spid="_x0000_s1072" type="#_x0000_t32" style="position:absolute;left:18624;top:26976;width:0;height:15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G4sQAAADcAAAADwAAAGRycy9kb3ducmV2LnhtbERP22oCMRB9F/oPYQq+SM2qWOpqFFu0&#10;+tBSvHzAsBk3i5vJsom6+vWNIPg2h3OdyayxpThT7QvHCnrdBARx5nTBuYL9bvn2AcIHZI2lY1Jw&#10;JQ+z6Utrgql2F97QeRtyEUPYp6jAhFClUvrMkEXfdRVx5A6uthgirHOpa7zEcFvKfpK8S4sFxwaD&#10;FX0Zyo7bk1UQVrfvzeep08xvxXH9tzOjxU/vV6n2azMfgwjUhKf44V7rOH8whPsz8QI5/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hkbixAAAANwAAAAPAAAAAAAAAAAA&#10;AAAAAKECAABkcnMvZG93bnJldi54bWxQSwUGAAAAAAQABAD5AAAAkgMAAAAA&#10;" strokecolor="black [3213]" strokeweight="1pt">
                  <v:stroke endarrow="open"/>
                </v:shape>
                <v:shape id="Straight Arrow Connector 136" o:spid="_x0000_s1073" type="#_x0000_t32" style="position:absolute;left:18632;top:35379;width:0;height:15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TYlcQAAADcAAAADwAAAGRycy9kb3ducmV2LnhtbERP24rCMBB9X/Afwgj7Ipq6C6LVKCp7&#10;8UERLx8wNGNTbCalSbXr128WhH2bw7nObNHaUtyo9oVjBcNBAoI4c7rgXMH59Nkfg/ABWWPpmBT8&#10;kIfFvPMyw1S7Ox/odgy5iCHsU1RgQqhSKX1myKIfuIo4chdXWwwR1rnUNd5juC3lW5KMpMWCY4PB&#10;itaGsuuxsQrC9+PrsGp67fJRXDf7k5l8bIc7pV677XIKIlAb/sVP90bH+e8j+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NiVxAAAANwAAAAPAAAAAAAAAAAA&#10;AAAAAKECAABkcnMvZG93bnJldi54bWxQSwUGAAAAAAQABAD5AAAAkgMAAAAA&#10;" strokecolor="black [3213]" strokeweight="1pt">
                  <v:stroke endarrow="open"/>
                </v:shape>
                <v:shape id="Straight Arrow Connector 137" o:spid="_x0000_s1074" type="#_x0000_t32" style="position:absolute;left:18523;top:44964;width:0;height:15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h9DsQAAADcAAAADwAAAGRycy9kb3ducmV2LnhtbERP22oCMRB9F/oPYQq+SM2qYOtqFFu0&#10;+tBSvHzAsBk3i5vJsom6+vWNIPg2h3OdyayxpThT7QvHCnrdBARx5nTBuYL9bvn2AcIHZI2lY1Jw&#10;JQ+z6Utrgql2F97QeRtyEUPYp6jAhFClUvrMkEXfdRVx5A6uthgirHOpa7zEcFvKfpIMpcWCY4PB&#10;ir4MZcftySoIq9v35vPUaea34rj+25nR4qf3q1T7tZmPQQRqwlP8cK91nD94h/sz8QI5/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GH0OxAAAANwAAAAPAAAAAAAAAAAA&#10;AAAAAKECAABkcnMvZG93bnJldi54bWxQSwUGAAAAAAQABAD5AAAAkgMAAAAA&#10;" strokecolor="black [3213]" strokeweight="1pt">
                  <v:stroke endarrow="open"/>
                </v:shape>
                <v:shape id="Straight Arrow Connector 138" o:spid="_x0000_s1075" type="#_x0000_t32" style="position:absolute;left:34773;top:2029;width:35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3HAMMAAADcAAAADwAAAGRycy9kb3ducmV2LnhtbESPQWvCQBCF7wX/wzKCt7pRQWzqKqIE&#10;PVWb6n3ITpPQ7GzIrhr/fecgeJvhvXnvm+W6d426URdqzwYm4wQUceFtzaWB80/2vgAVIrLFxjMZ&#10;eFCA9WrwtsTU+jt/0y2PpZIQDikaqGJsU61DUZHDMPYtsWi/vnMYZe1KbTu8S7hr9DRJ5tphzdJQ&#10;YUvbioq//OoMxPmu16f9B1+2xSLYr0t2POeZMaNhv/kEFamPL/Pz+mAFfya08oxMo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09xwDDAAAA3AAAAA8AAAAAAAAAAAAA&#10;AAAAoQIAAGRycy9kb3ducmV2LnhtbFBLBQYAAAAABAAEAPkAAACRAwAAAAA=&#10;" strokecolor="black [3213]" strokeweight="1pt"/>
                <v:line id="Straight Connector 139" o:spid="_x0000_s1076" style="position:absolute;visibility:visible;mso-wrap-style:square" from="38385,1928" to="38385,50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cnkcQAAADcAAAADwAAAGRycy9kb3ducmV2LnhtbERPTWvCQBC9C/6HZYReim5UtE3MRqSl&#10;4EVKUw/2NmTHJJidDdmtSf+9KxS8zeN9TrodTCOu1LnasoL5LAJBXFhdc6ng+P0xfQXhPLLGxjIp&#10;+CMH22w8SjHRtucvuua+FCGEXYIKKu/bREpXVGTQzWxLHLiz7Qz6ALtS6g77EG4auYiitTRYc2io&#10;sKW3iopL/msUvB/XfR6Xq5fn+fIwxPy5OP0cjFJPk2G3AeFp8A/xv3uvw/xlDPdnwgUy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1yeRxAAAANwAAAAPAAAAAAAAAAAA&#10;AAAAAKECAABkcnMvZG93bnJldi54bWxQSwUGAAAAAAQABAD5AAAAkgMAAAAA&#10;" strokecolor="black [3213]" strokeweight="1pt"/>
                <v:shape id="Straight Arrow Connector 140" o:spid="_x0000_s1077" type="#_x0000_t32" style="position:absolute;left:34840;top:23190;width:3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024e8MAAADcAAAADwAAAGRycy9kb3ducmV2LnhtbESPQWvCQBCF7wX/wzKCt7pRRGzqKqIE&#10;PVWb6n3ITpPQ7GzIrhr/fecgeJvhvXnvm+W6d426URdqzwYm4wQUceFtzaWB80/2vgAVIrLFxjMZ&#10;eFCA9WrwtsTU+jt/0y2PpZIQDikaqGJsU61DUZHDMPYtsWi/vnMYZe1KbTu8S7hr9DRJ5tphzdJQ&#10;YUvbioq//OoMxPmu16f9B1+2xSLYr0t2POeZMaNhv/kEFamPL/Pz+mAFfyb48oxMo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NuHvDAAAA3AAAAA8AAAAAAAAAAAAA&#10;AAAAoQIAAGRycy9kb3ducmV2LnhtbFBLBQYAAAAABAAEAPkAAACRAwAAAAA=&#10;" strokecolor="black [3213]" strokeweight="1pt"/>
                <v:shape id="Straight Arrow Connector 141" o:spid="_x0000_s1078" type="#_x0000_t32" style="position:absolute;left:34696;top:40472;width:3650;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apocMAAADcAAAADwAAAGRycy9kb3ducmV2LnhtbERP22rCQBB9F/yHZQp9043Slja6iohC&#10;oVIwvTxPs2OSmp0N2WmMfr1bKPRtDuc682XvatVRGyrPBibjBBRx7m3FhYH3t+3oEVQQZIu1ZzJw&#10;pgDLxXAwx9T6E++py6RQMYRDigZKkSbVOuQlOQxj3xBH7uBbhxJhW2jb4imGu1pPk+RBO6w4NpTY&#10;0Lqk/Jj9OAP3l0SarPverRx9bF6evj5fZTM15vamX81ACfXyL/5zP9s4/24Cv8/EC/Ti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GqaHDAAAA3AAAAA8AAAAAAAAAAAAA&#10;AAAAoQIAAGRycy9kb3ducmV2LnhtbFBLBQYAAAAABAAEAPkAAACRAwAAAAA=&#10;" strokecolor="black [3213]" strokeweight="1pt"/>
                <v:shape id="Straight Arrow Connector 142" o:spid="_x0000_s1079" type="#_x0000_t32" style="position:absolute;left:34727;top:50826;width:3650;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Q31sQAAADcAAAADwAAAGRycy9kb3ducmV2LnhtbERP22rCQBB9L/QflhH6VjeGKm3qKlIs&#10;FJRC08vzNDsmsdnZkJ3G6Ne7BaFvczjXmS8H16ieulB7NjAZJ6CIC29rLg18vD/f3oMKgmyx8UwG&#10;jhRgubi+mmNm/YHfqM+lVDGEQ4YGKpE20zoUFTkMY98SR27nO4cSYVdq2+EhhrtGp0ky0w5rjg0V&#10;tvRUUfGT/zoD01Mibd7vtytHn+vNw/fXq6xTY25Gw+oRlNAg/+KL+8XG+Xcp/D0TL9CL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VDfWxAAAANwAAAAPAAAAAAAAAAAA&#10;AAAAAKECAABkcnMvZG93bnJldi54bWxQSwUGAAAAAAQABAD5AAAAkgMAAAAA&#10;" strokecolor="black [3213]" strokeweight="1pt"/>
              </v:group>
            </w:pict>
          </mc:Fallback>
        </mc:AlternateContent>
      </w:r>
    </w:p>
    <w:p w14:paraId="2E0381C4" w14:textId="095DA606" w:rsidR="00E640B6" w:rsidRPr="00E12C93" w:rsidRDefault="00E12C93" w:rsidP="00E12C93">
      <w:pPr>
        <w:spacing w:before="0" w:after="0"/>
      </w:pPr>
      <w:r>
        <w:br w:type="page"/>
      </w:r>
    </w:p>
    <w:p w14:paraId="6B4B3F9A" w14:textId="134196DB" w:rsidR="00EC3DCF" w:rsidRDefault="00072016" w:rsidP="002E7BE9">
      <w:pPr>
        <w:pStyle w:val="base-text-paragraph"/>
      </w:pPr>
      <w:r>
        <w:t>The DPT will apply to an entity</w:t>
      </w:r>
      <w:r w:rsidR="00EC3DCF">
        <w:t xml:space="preserve"> if, broadly:</w:t>
      </w:r>
    </w:p>
    <w:p w14:paraId="5862FFC5" w14:textId="74310D53" w:rsidR="0000678D" w:rsidRDefault="0000678D" w:rsidP="0000678D">
      <w:pPr>
        <w:pStyle w:val="dotpoint"/>
      </w:pPr>
      <w:r>
        <w:t>it is reasonable to conclude that a scheme (or any part of a scheme) was carried out for a principal purpose of, or for more than one principal purpose that includes a purpose of:</w:t>
      </w:r>
    </w:p>
    <w:p w14:paraId="68FB1DFA" w14:textId="77777777" w:rsidR="0000678D" w:rsidRDefault="0000678D" w:rsidP="0000678D">
      <w:pPr>
        <w:pStyle w:val="dotpoint"/>
        <w:numPr>
          <w:ilvl w:val="1"/>
          <w:numId w:val="2"/>
        </w:numPr>
      </w:pPr>
      <w:r>
        <w:t xml:space="preserve">enabling a taxpayer (the relevant taxpayer) </w:t>
      </w:r>
      <w:r w:rsidRPr="00F15C60">
        <w:rPr>
          <w:lang w:val="en-US" w:eastAsia="en-US"/>
        </w:rPr>
        <w:t xml:space="preserve">to obtain </w:t>
      </w:r>
      <w:r>
        <w:rPr>
          <w:lang w:val="en-US" w:eastAsia="en-US"/>
        </w:rPr>
        <w:t xml:space="preserve">a </w:t>
      </w:r>
      <w:r w:rsidRPr="00F15C60">
        <w:rPr>
          <w:lang w:val="en-US" w:eastAsia="en-US"/>
        </w:rPr>
        <w:t>tax benefit</w:t>
      </w:r>
      <w:r>
        <w:rPr>
          <w:lang w:val="en-US" w:eastAsia="en-US"/>
        </w:rPr>
        <w:t>,</w:t>
      </w:r>
      <w:r w:rsidRPr="00F15C60">
        <w:rPr>
          <w:lang w:val="en-US" w:eastAsia="en-US"/>
        </w:rPr>
        <w:t xml:space="preserve"> or </w:t>
      </w:r>
      <w:r>
        <w:rPr>
          <w:lang w:val="en-US" w:eastAsia="en-US"/>
        </w:rPr>
        <w:t xml:space="preserve">both to obtain a tax benefit and </w:t>
      </w:r>
      <w:r w:rsidRPr="00F15C60">
        <w:rPr>
          <w:lang w:val="en-US" w:eastAsia="en-US"/>
        </w:rPr>
        <w:t xml:space="preserve">reduce </w:t>
      </w:r>
      <w:r>
        <w:rPr>
          <w:lang w:val="en-US" w:eastAsia="en-US"/>
        </w:rPr>
        <w:t>a</w:t>
      </w:r>
      <w:r w:rsidRPr="00F15C60">
        <w:rPr>
          <w:lang w:val="en-US" w:eastAsia="en-US"/>
        </w:rPr>
        <w:t xml:space="preserve"> foreign tax liabilit</w:t>
      </w:r>
      <w:r>
        <w:rPr>
          <w:lang w:val="en-US" w:eastAsia="en-US"/>
        </w:rPr>
        <w:t>y</w:t>
      </w:r>
      <w:r>
        <w:t>; or</w:t>
      </w:r>
    </w:p>
    <w:p w14:paraId="04B9F1DD" w14:textId="77777777" w:rsidR="0000678D" w:rsidRDefault="0000678D" w:rsidP="0000678D">
      <w:pPr>
        <w:pStyle w:val="dotpoint"/>
        <w:numPr>
          <w:ilvl w:val="1"/>
          <w:numId w:val="2"/>
        </w:numPr>
      </w:pPr>
      <w:r>
        <w:t xml:space="preserve">enabling the relevant taxpayer and another taxpayer (or other taxpayers) </w:t>
      </w:r>
      <w:r w:rsidRPr="00F15C60">
        <w:rPr>
          <w:lang w:val="en-US" w:eastAsia="en-US"/>
        </w:rPr>
        <w:t xml:space="preserve">to obtain </w:t>
      </w:r>
      <w:r>
        <w:rPr>
          <w:lang w:val="en-US" w:eastAsia="en-US"/>
        </w:rPr>
        <w:t xml:space="preserve">a </w:t>
      </w:r>
      <w:r w:rsidRPr="00F15C60">
        <w:rPr>
          <w:lang w:val="en-US" w:eastAsia="en-US"/>
        </w:rPr>
        <w:t>tax benefit</w:t>
      </w:r>
      <w:r>
        <w:rPr>
          <w:lang w:val="en-US" w:eastAsia="en-US"/>
        </w:rPr>
        <w:t>,</w:t>
      </w:r>
      <w:r w:rsidRPr="00F15C60">
        <w:rPr>
          <w:lang w:val="en-US" w:eastAsia="en-US"/>
        </w:rPr>
        <w:t xml:space="preserve"> or </w:t>
      </w:r>
      <w:r>
        <w:rPr>
          <w:lang w:val="en-US" w:eastAsia="en-US"/>
        </w:rPr>
        <w:t xml:space="preserve">both to obtain a tax benefit and </w:t>
      </w:r>
      <w:r w:rsidRPr="00F15C60">
        <w:rPr>
          <w:lang w:val="en-US" w:eastAsia="en-US"/>
        </w:rPr>
        <w:t xml:space="preserve">reduce </w:t>
      </w:r>
      <w:r>
        <w:rPr>
          <w:lang w:val="en-US" w:eastAsia="en-US"/>
        </w:rPr>
        <w:t>a</w:t>
      </w:r>
      <w:r w:rsidRPr="00F15C60">
        <w:rPr>
          <w:lang w:val="en-US" w:eastAsia="en-US"/>
        </w:rPr>
        <w:t xml:space="preserve"> foreign tax liabilit</w:t>
      </w:r>
      <w:r>
        <w:rPr>
          <w:lang w:val="en-US" w:eastAsia="en-US"/>
        </w:rPr>
        <w:t>y;</w:t>
      </w:r>
    </w:p>
    <w:p w14:paraId="61D0B0CB" w14:textId="73D28F60" w:rsidR="00AC0347" w:rsidRDefault="00EC3DCF" w:rsidP="00EC3DCF">
      <w:pPr>
        <w:pStyle w:val="dotpoint"/>
      </w:pPr>
      <w:r>
        <w:t>the relevant taxpayer</w:t>
      </w:r>
      <w:r w:rsidR="004960AF">
        <w:t xml:space="preserve"> is a significant global entity</w:t>
      </w:r>
      <w:r w:rsidR="00C322C8">
        <w:t xml:space="preserve"> for the income year in which the relevant taxpayer, or one or more other taxpayers, would </w:t>
      </w:r>
      <w:r w:rsidR="00AC0347">
        <w:t>obtain a tax benefit or reduce a foreign tax liability in connection with the scheme</w:t>
      </w:r>
      <w:r w:rsidR="004960AF">
        <w:t xml:space="preserve">; </w:t>
      </w:r>
    </w:p>
    <w:p w14:paraId="5626F8BB" w14:textId="24209D89" w:rsidR="004960AF" w:rsidRDefault="00AC0347" w:rsidP="00B62148">
      <w:pPr>
        <w:pStyle w:val="dotpoint"/>
      </w:pPr>
      <w:r>
        <w:t>a foreign entity</w:t>
      </w:r>
      <w:r w:rsidR="00226677">
        <w:t xml:space="preserve"> that is an associate </w:t>
      </w:r>
      <w:r w:rsidR="0000678D">
        <w:t>(as defined in section 318 of the ITAA </w:t>
      </w:r>
      <w:r w:rsidR="0000678D" w:rsidRPr="00B62148">
        <w:t>1936</w:t>
      </w:r>
      <w:r w:rsidR="0000678D">
        <w:t xml:space="preserve">) </w:t>
      </w:r>
      <w:r w:rsidR="00F93D5F">
        <w:t xml:space="preserve">of the relevant taxpayer </w:t>
      </w:r>
      <w:r>
        <w:t>is the person, or one of the persons, who entered into or carried out the scheme or any part of the scheme</w:t>
      </w:r>
      <w:r w:rsidR="00A87FE5">
        <w:t>, or is otherwise connected with the scheme</w:t>
      </w:r>
      <w:r w:rsidR="003548D3" w:rsidRPr="003548D3">
        <w:t xml:space="preserve"> </w:t>
      </w:r>
      <w:r w:rsidR="003548D3">
        <w:t>or any part of the scheme</w:t>
      </w:r>
      <w:r w:rsidR="004960AF">
        <w:t>; and</w:t>
      </w:r>
    </w:p>
    <w:p w14:paraId="3A5D0A01" w14:textId="4586F82D" w:rsidR="00EC3DCF" w:rsidRDefault="004960AF" w:rsidP="004960AF">
      <w:pPr>
        <w:pStyle w:val="dotpoint"/>
      </w:pPr>
      <w:r>
        <w:t>the relevant taxpayer obtains a tax benefit in connection with a scheme.</w:t>
      </w:r>
    </w:p>
    <w:p w14:paraId="0FC1B7CC" w14:textId="720EDA34" w:rsidR="00072016" w:rsidRDefault="00072016" w:rsidP="00072016">
      <w:pPr>
        <w:pStyle w:val="base-text-paragraphnonumbers"/>
      </w:pPr>
      <w:r>
        <w:rPr>
          <w:rStyle w:val="Referencingstyle"/>
        </w:rPr>
        <w:t>[</w:t>
      </w:r>
      <w:r w:rsidR="000B63B3">
        <w:rPr>
          <w:rStyle w:val="Referencingstyle"/>
        </w:rPr>
        <w:t>Schedule 1</w:t>
      </w:r>
      <w:r>
        <w:rPr>
          <w:rStyle w:val="Referencingstyle"/>
        </w:rPr>
        <w:t xml:space="preserve">, </w:t>
      </w:r>
      <w:r w:rsidR="000B63B3">
        <w:rPr>
          <w:rStyle w:val="Referencingstyle"/>
        </w:rPr>
        <w:t>item 5</w:t>
      </w:r>
      <w:r>
        <w:rPr>
          <w:rStyle w:val="Referencingstyle"/>
        </w:rPr>
        <w:t>, section 177H of the ITAA 1936]</w:t>
      </w:r>
    </w:p>
    <w:p w14:paraId="1E559A90" w14:textId="094538BF" w:rsidR="00EC3DCF" w:rsidRDefault="00EC3DCF" w:rsidP="002E7BE9">
      <w:pPr>
        <w:pStyle w:val="base-text-paragraph"/>
      </w:pPr>
      <w:r>
        <w:t>Howe</w:t>
      </w:r>
      <w:r w:rsidR="0000678D">
        <w:t xml:space="preserve">ver, the DPT will not apply if </w:t>
      </w:r>
      <w:r>
        <w:t xml:space="preserve">it is reasonable to conclude that one of the following </w:t>
      </w:r>
      <w:r w:rsidR="00C63557">
        <w:t>tests</w:t>
      </w:r>
      <w:r>
        <w:t xml:space="preserve"> appl</w:t>
      </w:r>
      <w:r w:rsidR="00BD72BC">
        <w:t>ies</w:t>
      </w:r>
      <w:r>
        <w:t xml:space="preserve"> to the relevant taxpayer:</w:t>
      </w:r>
    </w:p>
    <w:p w14:paraId="551743C1" w14:textId="091CA2AF" w:rsidR="00EC3DCF" w:rsidRDefault="00EC3DCF" w:rsidP="00EC3DCF">
      <w:pPr>
        <w:pStyle w:val="dotpoint"/>
      </w:pPr>
      <w:r>
        <w:t>the $25 million turnover test;</w:t>
      </w:r>
    </w:p>
    <w:p w14:paraId="788F1ADA" w14:textId="6A7056C0" w:rsidR="00EC3DCF" w:rsidRDefault="00EC3DCF" w:rsidP="00EC3DCF">
      <w:pPr>
        <w:pStyle w:val="dotpoint"/>
      </w:pPr>
      <w:r>
        <w:t xml:space="preserve">the sufficient </w:t>
      </w:r>
      <w:r w:rsidR="0039018D">
        <w:t>foreign</w:t>
      </w:r>
      <w:r>
        <w:t xml:space="preserve"> tax test;</w:t>
      </w:r>
      <w:r w:rsidR="00131814">
        <w:t xml:space="preserve"> or</w:t>
      </w:r>
    </w:p>
    <w:p w14:paraId="151BB24C" w14:textId="189209B8" w:rsidR="0083612F" w:rsidRDefault="0083612F" w:rsidP="00EC3DCF">
      <w:pPr>
        <w:pStyle w:val="dotpoint"/>
      </w:pPr>
      <w:r>
        <w:t>the sufficient economic substance test.</w:t>
      </w:r>
    </w:p>
    <w:p w14:paraId="17FA1393" w14:textId="3369874F" w:rsidR="00072016" w:rsidRDefault="00072016" w:rsidP="00072016">
      <w:pPr>
        <w:pStyle w:val="base-text-paragraphnonumbers"/>
        <w:rPr>
          <w:rStyle w:val="Referencingstyle"/>
        </w:rPr>
      </w:pPr>
      <w:r>
        <w:rPr>
          <w:rStyle w:val="Referencingstyle"/>
        </w:rPr>
        <w:t>[</w:t>
      </w:r>
      <w:r w:rsidR="000B63B3">
        <w:rPr>
          <w:rStyle w:val="Referencingstyle"/>
        </w:rPr>
        <w:t>Schedule 1</w:t>
      </w:r>
      <w:r>
        <w:rPr>
          <w:rStyle w:val="Referencingstyle"/>
        </w:rPr>
        <w:t xml:space="preserve">, </w:t>
      </w:r>
      <w:r w:rsidR="000B63B3">
        <w:rPr>
          <w:rStyle w:val="Referencingstyle"/>
        </w:rPr>
        <w:t>item 5</w:t>
      </w:r>
      <w:r>
        <w:rPr>
          <w:rStyle w:val="Referencingstyle"/>
        </w:rPr>
        <w:t>, paragraph 177H(1)(</w:t>
      </w:r>
      <w:r w:rsidR="0039018D">
        <w:rPr>
          <w:rStyle w:val="Referencingstyle"/>
        </w:rPr>
        <w:t>e</w:t>
      </w:r>
      <w:r>
        <w:rPr>
          <w:rStyle w:val="Referencingstyle"/>
        </w:rPr>
        <w:t>)</w:t>
      </w:r>
      <w:r w:rsidR="00131814">
        <w:rPr>
          <w:rStyle w:val="Referencingstyle"/>
        </w:rPr>
        <w:t>,</w:t>
      </w:r>
      <w:r w:rsidR="009C0D64">
        <w:rPr>
          <w:rStyle w:val="Referencingstyle"/>
        </w:rPr>
        <w:t xml:space="preserve"> sections 177</w:t>
      </w:r>
      <w:r w:rsidR="00A57C71">
        <w:rPr>
          <w:rStyle w:val="Referencingstyle"/>
        </w:rPr>
        <w:t>J</w:t>
      </w:r>
      <w:r w:rsidR="009C0D64">
        <w:rPr>
          <w:rStyle w:val="Referencingstyle"/>
        </w:rPr>
        <w:t>, 177</w:t>
      </w:r>
      <w:r w:rsidR="00A57C71">
        <w:rPr>
          <w:rStyle w:val="Referencingstyle"/>
        </w:rPr>
        <w:t>K</w:t>
      </w:r>
      <w:r w:rsidR="009C0D64">
        <w:rPr>
          <w:rStyle w:val="Referencingstyle"/>
        </w:rPr>
        <w:t xml:space="preserve"> and 177L </w:t>
      </w:r>
      <w:r w:rsidR="00131814">
        <w:rPr>
          <w:rStyle w:val="Referencingstyle"/>
        </w:rPr>
        <w:t>of the ITAA </w:t>
      </w:r>
      <w:r>
        <w:rPr>
          <w:rStyle w:val="Referencingstyle"/>
        </w:rPr>
        <w:t>1936]</w:t>
      </w:r>
    </w:p>
    <w:p w14:paraId="022EFE61" w14:textId="33519C30" w:rsidR="00226677" w:rsidRDefault="00226677" w:rsidP="002E7BE9">
      <w:pPr>
        <w:pStyle w:val="base-text-paragraph"/>
      </w:pPr>
      <w:r>
        <w:t xml:space="preserve">The Commissioner’s ability to make a reasonable conclusion is not prevented by a lack of, or incomplete, information provided by the taxpayer. Further, </w:t>
      </w:r>
      <w:r w:rsidR="00FF4E8B">
        <w:t>the Commissioner is not required to actively seek further information to reach a reasonable conclusion.</w:t>
      </w:r>
    </w:p>
    <w:p w14:paraId="52B99F65" w14:textId="7E77800E" w:rsidR="00ED2DCD" w:rsidRDefault="00ED2DCD" w:rsidP="00E60BE4">
      <w:pPr>
        <w:pStyle w:val="Heading4"/>
      </w:pPr>
      <w:r>
        <w:t>T</w:t>
      </w:r>
      <w:r w:rsidR="008E716D">
        <w:t>he</w:t>
      </w:r>
      <w:r>
        <w:t xml:space="preserve"> </w:t>
      </w:r>
      <w:r w:rsidRPr="000B63B3">
        <w:t>purpose</w:t>
      </w:r>
      <w:r>
        <w:t xml:space="preserve"> test</w:t>
      </w:r>
    </w:p>
    <w:p w14:paraId="392F0BFC" w14:textId="1985FE59" w:rsidR="007B6097" w:rsidRDefault="009C0D64" w:rsidP="002E7BE9">
      <w:pPr>
        <w:pStyle w:val="base-text-paragraph"/>
      </w:pPr>
      <w:r>
        <w:t>T</w:t>
      </w:r>
      <w:r w:rsidR="00ED2DCD">
        <w:t xml:space="preserve">he </w:t>
      </w:r>
      <w:r>
        <w:t xml:space="preserve">primary condition for </w:t>
      </w:r>
      <w:r w:rsidR="00ED2DCD">
        <w:t>the DPT to apply</w:t>
      </w:r>
      <w:r>
        <w:t xml:space="preserve"> to a scheme is that</w:t>
      </w:r>
      <w:r w:rsidR="00ED2DCD">
        <w:t xml:space="preserve"> it is reasonable to conclude that </w:t>
      </w:r>
      <w:r>
        <w:t xml:space="preserve">(having regard to certain matters) </w:t>
      </w:r>
      <w:r w:rsidR="00ED2DCD">
        <w:t>the scheme (or any part of the scheme) was carried out for a principal purpose of</w:t>
      </w:r>
      <w:r w:rsidR="007B6097">
        <w:t>, or for more than one principal purpose that includes a purpose of:</w:t>
      </w:r>
    </w:p>
    <w:p w14:paraId="2D1B8402" w14:textId="7FC1378F" w:rsidR="007B6097" w:rsidRDefault="007B6097" w:rsidP="007B6097">
      <w:pPr>
        <w:pStyle w:val="dotpoint"/>
      </w:pPr>
      <w:r>
        <w:t>enabling a taxpayer (a relevant taxpayer) to</w:t>
      </w:r>
      <w:r w:rsidR="00ED2DCD">
        <w:t xml:space="preserve"> obtain</w:t>
      </w:r>
      <w:r>
        <w:t xml:space="preserve"> one or more </w:t>
      </w:r>
      <w:r w:rsidR="00ED2DCD">
        <w:t>tax benefit</w:t>
      </w:r>
      <w:r>
        <w:t>s, or both</w:t>
      </w:r>
      <w:r w:rsidR="00ED2DCD">
        <w:t xml:space="preserve"> </w:t>
      </w:r>
      <w:r>
        <w:t>to obtain one or more tax benefits and</w:t>
      </w:r>
      <w:r w:rsidR="00ED2DCD">
        <w:t xml:space="preserve"> to reduce </w:t>
      </w:r>
      <w:r>
        <w:t xml:space="preserve">one or more </w:t>
      </w:r>
      <w:r w:rsidR="00ED2DCD">
        <w:t>foreign tax</w:t>
      </w:r>
      <w:r>
        <w:t xml:space="preserve"> </w:t>
      </w:r>
      <w:r w:rsidR="00ED2DCD">
        <w:t>liabilit</w:t>
      </w:r>
      <w:r>
        <w:t>ies, in connection with the scheme; or</w:t>
      </w:r>
      <w:r w:rsidR="008E716D">
        <w:t xml:space="preserve"> </w:t>
      </w:r>
    </w:p>
    <w:p w14:paraId="52773AB1" w14:textId="47D71AD4" w:rsidR="007B6097" w:rsidRDefault="007B6097" w:rsidP="007B6097">
      <w:pPr>
        <w:pStyle w:val="dotpoint"/>
      </w:pPr>
      <w:r>
        <w:t>enabling the relevant taxpayer and another taxpayer each to obtain one or more tax benefits, or both to obtain one or more tax benefits and to reduce one or more foreign tax liabilities, in connection with the scheme</w:t>
      </w:r>
      <w:r w:rsidR="00A92BD4">
        <w:t>.</w:t>
      </w:r>
    </w:p>
    <w:p w14:paraId="3624D7CF" w14:textId="321F7AE8" w:rsidR="00ED2DCD" w:rsidRDefault="00A92BD4" w:rsidP="007B6097">
      <w:pPr>
        <w:pStyle w:val="base-text-paragraphnonumbers"/>
      </w:pPr>
      <w:r>
        <w:rPr>
          <w:rStyle w:val="Referencingstyle"/>
        </w:rPr>
        <w:t>[</w:t>
      </w:r>
      <w:r w:rsidR="000B63B3">
        <w:rPr>
          <w:rStyle w:val="Referencingstyle"/>
        </w:rPr>
        <w:t>Schedule 1</w:t>
      </w:r>
      <w:r>
        <w:rPr>
          <w:rStyle w:val="Referencingstyle"/>
        </w:rPr>
        <w:t xml:space="preserve">, </w:t>
      </w:r>
      <w:r w:rsidR="000B63B3">
        <w:rPr>
          <w:rStyle w:val="Referencingstyle"/>
        </w:rPr>
        <w:t>item 5</w:t>
      </w:r>
      <w:r>
        <w:rPr>
          <w:rStyle w:val="Referencingstyle"/>
        </w:rPr>
        <w:t>, paragraph 177H(1)(</w:t>
      </w:r>
      <w:r w:rsidR="0039018D">
        <w:rPr>
          <w:rStyle w:val="Referencingstyle"/>
        </w:rPr>
        <w:t>a</w:t>
      </w:r>
      <w:r>
        <w:rPr>
          <w:rStyle w:val="Referencingstyle"/>
        </w:rPr>
        <w:t>) of the ITAA 1936]</w:t>
      </w:r>
    </w:p>
    <w:p w14:paraId="1DB80E45" w14:textId="03B632EF" w:rsidR="001D1525" w:rsidRDefault="001D1525" w:rsidP="0072743B">
      <w:pPr>
        <w:pStyle w:val="base-text-paragraph"/>
      </w:pPr>
      <w:r>
        <w:t>The requirements in subparagraph 177H(1)(a</w:t>
      </w:r>
      <w:r w:rsidRPr="001D1525">
        <w:t xml:space="preserve">)(ii) </w:t>
      </w:r>
      <w:r w:rsidR="0072743B">
        <w:t>of the ITAA </w:t>
      </w:r>
      <w:r w:rsidR="0072743B" w:rsidRPr="0072743B">
        <w:t xml:space="preserve">1936 </w:t>
      </w:r>
      <w:r w:rsidRPr="001D1525">
        <w:t>will be satisfied where</w:t>
      </w:r>
      <w:r>
        <w:t>:</w:t>
      </w:r>
    </w:p>
    <w:p w14:paraId="722489DA" w14:textId="77777777" w:rsidR="001D1525" w:rsidRDefault="001D1525" w:rsidP="001D1525">
      <w:pPr>
        <w:pStyle w:val="dotpoint"/>
      </w:pPr>
      <w:r w:rsidRPr="001D1525">
        <w:t>the relevant taxpayer obtains a tax benefit</w:t>
      </w:r>
      <w:r>
        <w:t>;</w:t>
      </w:r>
      <w:r w:rsidRPr="001D1525">
        <w:t xml:space="preserve"> and</w:t>
      </w:r>
    </w:p>
    <w:p w14:paraId="63338ACE" w14:textId="19AE4568" w:rsidR="001D1525" w:rsidRDefault="001D1525" w:rsidP="001D1525">
      <w:pPr>
        <w:pStyle w:val="dotpoint"/>
      </w:pPr>
      <w:r w:rsidRPr="001D1525">
        <w:t>another taxpayer obtains a reduction in a foreign tax liability</w:t>
      </w:r>
      <w:r>
        <w:t>.</w:t>
      </w:r>
    </w:p>
    <w:p w14:paraId="7C1DF36B" w14:textId="5864B7C9" w:rsidR="001D1525" w:rsidRDefault="001D1525" w:rsidP="002E7BE9">
      <w:pPr>
        <w:pStyle w:val="base-text-paragraph"/>
      </w:pPr>
      <w:r>
        <w:t>In considering paragraph 177H(1)(a</w:t>
      </w:r>
      <w:r w:rsidRPr="001D1525">
        <w:t>)</w:t>
      </w:r>
      <w:r w:rsidR="0072743B" w:rsidRPr="0072743B">
        <w:t xml:space="preserve"> </w:t>
      </w:r>
      <w:r w:rsidR="0072743B">
        <w:t>of the ITAA </w:t>
      </w:r>
      <w:r w:rsidR="0072743B" w:rsidRPr="0072743B">
        <w:t>1936</w:t>
      </w:r>
      <w:r>
        <w:t xml:space="preserve">, </w:t>
      </w:r>
      <w:r w:rsidRPr="001D1525">
        <w:t>the purposes</w:t>
      </w:r>
      <w:r>
        <w:t xml:space="preserve"> of obtaining a</w:t>
      </w:r>
      <w:r w:rsidRPr="001D1525">
        <w:t xml:space="preserve"> tax benefit and </w:t>
      </w:r>
      <w:r>
        <w:t>of reducing a foreign tax liability</w:t>
      </w:r>
      <w:r w:rsidRPr="001D1525">
        <w:t xml:space="preserve"> can be combined and considered together to determine whether the combined purpose was a principal purpose of </w:t>
      </w:r>
      <w:r w:rsidR="006216E5">
        <w:t>a</w:t>
      </w:r>
      <w:r w:rsidRPr="001D1525">
        <w:t xml:space="preserve"> person, or more </w:t>
      </w:r>
      <w:r w:rsidR="006216E5">
        <w:t>than one</w:t>
      </w:r>
      <w:r w:rsidRPr="001D1525">
        <w:t xml:space="preserve"> person, who entered into or carried out the scheme, or any part of the scheme.</w:t>
      </w:r>
    </w:p>
    <w:p w14:paraId="222D005F" w14:textId="7CBAE780" w:rsidR="007B6097" w:rsidRDefault="008E716D" w:rsidP="001D1525">
      <w:pPr>
        <w:pStyle w:val="base-text-paragraph"/>
      </w:pPr>
      <w:r>
        <w:t>The person who entered into or carried out the scheme or any part of the scheme does not have to be the same person as the taxpayer who obtains the tax benefit, or both obtains the tax benefit and reduces a foreign tax liability in connection with the scheme.</w:t>
      </w:r>
      <w:r w:rsidR="007B6097">
        <w:t xml:space="preserve"> </w:t>
      </w:r>
      <w:r>
        <w:rPr>
          <w:rStyle w:val="Referencingstyle"/>
        </w:rPr>
        <w:t>[</w:t>
      </w:r>
      <w:r w:rsidR="000B63B3">
        <w:rPr>
          <w:rStyle w:val="Referencingstyle"/>
        </w:rPr>
        <w:t>Schedule 1</w:t>
      </w:r>
      <w:r>
        <w:rPr>
          <w:rStyle w:val="Referencingstyle"/>
        </w:rPr>
        <w:t xml:space="preserve">, </w:t>
      </w:r>
      <w:r w:rsidR="000B63B3">
        <w:rPr>
          <w:rStyle w:val="Referencingstyle"/>
        </w:rPr>
        <w:t>item 5</w:t>
      </w:r>
      <w:r>
        <w:rPr>
          <w:rStyle w:val="Referencingstyle"/>
        </w:rPr>
        <w:t>, paragraph 177H(1)(</w:t>
      </w:r>
      <w:r w:rsidR="0039018D">
        <w:rPr>
          <w:rStyle w:val="Referencingstyle"/>
        </w:rPr>
        <w:t>a</w:t>
      </w:r>
      <w:r>
        <w:rPr>
          <w:rStyle w:val="Referencingstyle"/>
        </w:rPr>
        <w:t>) of the ITAA 1936]</w:t>
      </w:r>
    </w:p>
    <w:p w14:paraId="2122C9BD" w14:textId="17E41161" w:rsidR="00F751C6" w:rsidRDefault="00FC5E2B" w:rsidP="00435E5D">
      <w:pPr>
        <w:pStyle w:val="base-text-paragraph"/>
      </w:pPr>
      <w:r>
        <w:t xml:space="preserve">This is important because significant global entities that </w:t>
      </w:r>
      <w:r w:rsidR="008D2EDA">
        <w:t>seek</w:t>
      </w:r>
      <w:r>
        <w:t xml:space="preserve"> to obtain a tax benefit in Australia </w:t>
      </w:r>
      <w:r w:rsidR="00B52B0C">
        <w:t>may</w:t>
      </w:r>
      <w:r w:rsidR="008D2EDA">
        <w:t xml:space="preserve"> </w:t>
      </w:r>
      <w:r w:rsidR="00685E2C">
        <w:t xml:space="preserve">also </w:t>
      </w:r>
      <w:r w:rsidR="008D2EDA">
        <w:t>arrang</w:t>
      </w:r>
      <w:r w:rsidR="00B52B0C">
        <w:t>e</w:t>
      </w:r>
      <w:r w:rsidR="008D2EDA">
        <w:t xml:space="preserve"> their affairs so as to pay less tax in other jurisdictions. </w:t>
      </w:r>
      <w:r w:rsidR="00984C85">
        <w:t>The DPT is designed to apply notwithstanding that the entities that enter into or carry out the scheme or any part of the scheme have an additional purpose of reducing tax liabilities of the group under foreign laws.</w:t>
      </w:r>
    </w:p>
    <w:p w14:paraId="19AC5B3C" w14:textId="67213745" w:rsidR="00ED2DCD" w:rsidRDefault="00FD13A5" w:rsidP="00435E5D">
      <w:pPr>
        <w:pStyle w:val="base-text-paragraph"/>
      </w:pPr>
      <w:r>
        <w:t xml:space="preserve">The required purpose must be established objectively based on the information available to the Commissioner at the time that he or she decides to make a DPT assessment and an analysis of how the scheme was implemented, what the scheme actually achieved as a matter of substance or reality as distinct from legal form (that is, its end effect), and the nature of any connection between the taxpayer and other parties. </w:t>
      </w:r>
    </w:p>
    <w:p w14:paraId="14E9575F" w14:textId="5145320A" w:rsidR="003B6C0D" w:rsidRDefault="003B6C0D" w:rsidP="00435E5D">
      <w:pPr>
        <w:pStyle w:val="base-text-paragraph"/>
      </w:pPr>
      <w:r>
        <w:t>The ‘princip</w:t>
      </w:r>
      <w:r w:rsidR="00DC4B76">
        <w:t>a</w:t>
      </w:r>
      <w:r>
        <w:t>l purpose or more than one principal purpose’ threshold is lower than the ‘sole or dominant purpose threshold’, which is used in subsection 177D(1) of the ITAA 1936. Consistent with the multinational anti</w:t>
      </w:r>
      <w:r>
        <w:noBreakHyphen/>
        <w:t xml:space="preserve">avoidance law, the relevant principal purpose need not be the sole or dominant purpose of a person or persons who entered into or carried out the scheme, but must be one of the main purposes, having regard to all the facts and circumstances. </w:t>
      </w:r>
    </w:p>
    <w:p w14:paraId="2E6B8147" w14:textId="6728BAD6" w:rsidR="003B6C0D" w:rsidRDefault="003B6C0D" w:rsidP="00435E5D">
      <w:pPr>
        <w:pStyle w:val="base-text-paragraph"/>
      </w:pPr>
      <w:r>
        <w:t>This recognises that a scheme or part of a scheme may be entered into or carried out for a number of purposes, some or all of which are princip</w:t>
      </w:r>
      <w:r w:rsidR="00DC4B76">
        <w:t>a</w:t>
      </w:r>
      <w:r>
        <w:t xml:space="preserve">l purposes. The scheme will be caught under section 177H </w:t>
      </w:r>
      <w:r w:rsidR="000B63B3">
        <w:t xml:space="preserve">of the ITAA 1936 </w:t>
      </w:r>
      <w:r>
        <w:t>as long as one of those</w:t>
      </w:r>
      <w:r w:rsidRPr="003B6C0D">
        <w:t xml:space="preserve"> </w:t>
      </w:r>
      <w:r>
        <w:t>princip</w:t>
      </w:r>
      <w:r w:rsidR="00DC4B76">
        <w:t>a</w:t>
      </w:r>
      <w:r>
        <w:t xml:space="preserve">l purposes satisfies the tax benefit requirements </w:t>
      </w:r>
      <w:r w:rsidR="00703E6C">
        <w:t>of the princip</w:t>
      </w:r>
      <w:r w:rsidR="00DC4B76">
        <w:t>a</w:t>
      </w:r>
      <w:r w:rsidR="00703E6C">
        <w:t>l purpose test.</w:t>
      </w:r>
      <w:r>
        <w:t xml:space="preserve"> </w:t>
      </w:r>
    </w:p>
    <w:p w14:paraId="78F36E91" w14:textId="30B6C60E" w:rsidR="00ED2DCD" w:rsidRDefault="00ED2DCD" w:rsidP="00ED2DCD">
      <w:pPr>
        <w:pStyle w:val="base-text-paragraph"/>
      </w:pPr>
      <w:r>
        <w:t xml:space="preserve">In </w:t>
      </w:r>
      <w:r w:rsidR="00FD13A5">
        <w:t>coming to a conclusion about whether the purpose test is satisfied</w:t>
      </w:r>
      <w:r>
        <w:t xml:space="preserve">, regard </w:t>
      </w:r>
      <w:r w:rsidR="00FD13A5">
        <w:t xml:space="preserve">must be had </w:t>
      </w:r>
      <w:r>
        <w:t>to:</w:t>
      </w:r>
    </w:p>
    <w:p w14:paraId="2DE5B6A6" w14:textId="20949C01" w:rsidR="00ED2DCD" w:rsidRDefault="00ED2DCD" w:rsidP="00ED2DCD">
      <w:pPr>
        <w:pStyle w:val="dotpoint"/>
      </w:pPr>
      <w:r>
        <w:t xml:space="preserve">the matters </w:t>
      </w:r>
      <w:r w:rsidR="00FD13A5">
        <w:t xml:space="preserve">listed </w:t>
      </w:r>
      <w:r>
        <w:t>in subsection 177D(2)</w:t>
      </w:r>
      <w:r w:rsidR="000B63B3">
        <w:t xml:space="preserve"> of the ITAA 1936</w:t>
      </w:r>
      <w:r>
        <w:t>;</w:t>
      </w:r>
      <w:r w:rsidR="00F159E3">
        <w:t xml:space="preserve"> </w:t>
      </w:r>
    </w:p>
    <w:p w14:paraId="4C2E1924" w14:textId="5C9AB761" w:rsidR="003E4505" w:rsidRDefault="00ED2DCD" w:rsidP="00ED2DCD">
      <w:pPr>
        <w:pStyle w:val="dotpoint"/>
      </w:pPr>
      <w:r>
        <w:t xml:space="preserve">the </w:t>
      </w:r>
      <w:r w:rsidR="00F159E3">
        <w:t>extent to which non</w:t>
      </w:r>
      <w:r w:rsidR="00633B8A">
        <w:noBreakHyphen/>
      </w:r>
      <w:r w:rsidR="00F159E3">
        <w:t>tax financial benefits that are quantifiable have resulted, will result, or may reasonably be expected to result, from the scheme</w:t>
      </w:r>
      <w:r w:rsidR="003E4505">
        <w:t xml:space="preserve">; </w:t>
      </w:r>
    </w:p>
    <w:p w14:paraId="4560540F" w14:textId="612C56AE" w:rsidR="003E4505" w:rsidRDefault="003E4505" w:rsidP="00ED2DCD">
      <w:pPr>
        <w:pStyle w:val="dotpoint"/>
      </w:pPr>
      <w:r>
        <w:t>the result, in relation to the operation of any foreign law relating to taxation, that would be achieved by the scheme; and</w:t>
      </w:r>
    </w:p>
    <w:p w14:paraId="609CCF73" w14:textId="6FC7B35D" w:rsidR="00ED2DCD" w:rsidRDefault="003E4505" w:rsidP="00ED2DCD">
      <w:pPr>
        <w:pStyle w:val="dotpoint"/>
      </w:pPr>
      <w:r>
        <w:t>the amount of the tax benefit that arises in connection with the scheme</w:t>
      </w:r>
      <w:r w:rsidR="00F159E3">
        <w:t>.</w:t>
      </w:r>
    </w:p>
    <w:p w14:paraId="7ACF641D" w14:textId="7D062919" w:rsidR="00ED2DCD" w:rsidRDefault="00F159E3" w:rsidP="00F159E3">
      <w:pPr>
        <w:pStyle w:val="base-text-paragraphnonumbers"/>
      </w:pPr>
      <w:r>
        <w:rPr>
          <w:rStyle w:val="Referencingstyle"/>
        </w:rPr>
        <w:t>[</w:t>
      </w:r>
      <w:r w:rsidR="000B63B3">
        <w:rPr>
          <w:rStyle w:val="Referencingstyle"/>
        </w:rPr>
        <w:t>Schedule 1</w:t>
      </w:r>
      <w:r>
        <w:rPr>
          <w:rStyle w:val="Referencingstyle"/>
        </w:rPr>
        <w:t xml:space="preserve">, </w:t>
      </w:r>
      <w:r w:rsidR="000B63B3">
        <w:rPr>
          <w:rStyle w:val="Referencingstyle"/>
        </w:rPr>
        <w:t>item 5</w:t>
      </w:r>
      <w:r>
        <w:rPr>
          <w:rStyle w:val="Referencingstyle"/>
        </w:rPr>
        <w:t>, subsection 177H(2) of the ITAA 1936]</w:t>
      </w:r>
    </w:p>
    <w:p w14:paraId="3934D510" w14:textId="7F3D74EC" w:rsidR="00E7583F" w:rsidRDefault="00E7583F" w:rsidP="00A92BD4">
      <w:pPr>
        <w:pStyle w:val="base-text-paragraph"/>
      </w:pPr>
      <w:r>
        <w:t>In considering the extent to which non</w:t>
      </w:r>
      <w:r w:rsidR="00633B8A">
        <w:noBreakHyphen/>
      </w:r>
      <w:r>
        <w:t>tax financial benefits that are quantifiable have resulted, will result, or may reasonably be expected to result, from the scheme, the amount of the quantifiable non</w:t>
      </w:r>
      <w:r>
        <w:noBreakHyphen/>
        <w:t>tax financial benefits should be compared to the amount of the tax benefits. If the amount of the quantifiable non</w:t>
      </w:r>
      <w:r>
        <w:noBreakHyphen/>
        <w:t xml:space="preserve">tax financial benefits exceeds the amount of the tax benefits, then this may indicate that </w:t>
      </w:r>
      <w:r w:rsidR="003B6C0D">
        <w:t xml:space="preserve">it is reasonable to conclude that </w:t>
      </w:r>
      <w:r>
        <w:t>a princip</w:t>
      </w:r>
      <w:r w:rsidR="00F5731D">
        <w:t>a</w:t>
      </w:r>
      <w:r>
        <w:t xml:space="preserve">l purpose of the scheme is not the purpose of enabling a taxpayer to obtain a tax benefit. </w:t>
      </w:r>
    </w:p>
    <w:p w14:paraId="2AC4AC02" w14:textId="1E04821E" w:rsidR="00B730CB" w:rsidRDefault="00DA5517" w:rsidP="00A92BD4">
      <w:pPr>
        <w:pStyle w:val="base-text-paragraph"/>
      </w:pPr>
      <w:r>
        <w:t>N</w:t>
      </w:r>
      <w:r w:rsidR="000B63B3">
        <w:t>on</w:t>
      </w:r>
      <w:r w:rsidR="000B63B3">
        <w:noBreakHyphen/>
      </w:r>
      <w:r w:rsidR="00B730CB">
        <w:t>tax financial benefits</w:t>
      </w:r>
      <w:r>
        <w:t xml:space="preserve"> that are quantifiable</w:t>
      </w:r>
      <w:r w:rsidR="00B730CB">
        <w:t xml:space="preserve"> </w:t>
      </w:r>
      <w:r w:rsidR="000B63B3">
        <w:t>are</w:t>
      </w:r>
      <w:r>
        <w:t xml:space="preserve"> </w:t>
      </w:r>
      <w:r w:rsidR="000B63B3">
        <w:t xml:space="preserve">quantifiable </w:t>
      </w:r>
      <w:r>
        <w:t xml:space="preserve">commercial benefits </w:t>
      </w:r>
      <w:r w:rsidR="000B63B3">
        <w:t xml:space="preserve">arising </w:t>
      </w:r>
      <w:r>
        <w:t>from a scheme</w:t>
      </w:r>
      <w:r w:rsidR="000B63B3">
        <w:t xml:space="preserve"> —</w:t>
      </w:r>
      <w:r>
        <w:t xml:space="preserve"> for example, a computable and identifiable amount of economic value generated from the scheme. Tax outcomes are not included in this quantification.</w:t>
      </w:r>
      <w:r w:rsidR="001760B7">
        <w:t xml:space="preserve"> The quantification of </w:t>
      </w:r>
      <w:r w:rsidR="000B63B3">
        <w:t>non</w:t>
      </w:r>
      <w:r w:rsidR="000B63B3">
        <w:noBreakHyphen/>
      </w:r>
      <w:r>
        <w:t xml:space="preserve">tax financial benefits </w:t>
      </w:r>
      <w:r w:rsidR="00633B8A">
        <w:t xml:space="preserve">is based on the value of those benefits </w:t>
      </w:r>
      <w:r w:rsidR="001760B7">
        <w:t xml:space="preserve">at the time </w:t>
      </w:r>
      <w:r>
        <w:t>of entering into the scheme.</w:t>
      </w:r>
    </w:p>
    <w:p w14:paraId="788199B7" w14:textId="7DD553FF" w:rsidR="000B2AC9" w:rsidRDefault="00F159E3" w:rsidP="00A92BD4">
      <w:pPr>
        <w:pStyle w:val="base-text-paragraph"/>
      </w:pPr>
      <w:r>
        <w:t>Consistent with the current purpose test for the general anti</w:t>
      </w:r>
      <w:r>
        <w:noBreakHyphen/>
        <w:t>avoidance rule in subsection 177D(2)</w:t>
      </w:r>
      <w:r w:rsidR="0072743B" w:rsidRPr="0072743B">
        <w:t xml:space="preserve"> </w:t>
      </w:r>
      <w:r w:rsidR="0072743B">
        <w:t>of the ITAA 1936</w:t>
      </w:r>
      <w:r>
        <w:t xml:space="preserve"> and for the multinational anti</w:t>
      </w:r>
      <w:r>
        <w:noBreakHyphen/>
        <w:t>avoidance law in subsection 177DA(1), it is the purpose of the person or one or the persons who entered into or carried out the scheme or any part of the scheme that is assessed under the DPT. Where a person acts on professional advice, it may be appropriate, in certain circumstances, to attribute the objective purpose of the professional adviser to the person</w:t>
      </w:r>
      <w:r w:rsidR="00131814">
        <w:t>.</w:t>
      </w:r>
    </w:p>
    <w:p w14:paraId="355118F7" w14:textId="020FC22D" w:rsidR="00435E5D" w:rsidRDefault="001740E9" w:rsidP="00E60BE4">
      <w:pPr>
        <w:pStyle w:val="Heading4"/>
      </w:pPr>
      <w:r>
        <w:t>The relevant taxpayer must be a s</w:t>
      </w:r>
      <w:r w:rsidR="00435E5D">
        <w:t>ignificant global entity</w:t>
      </w:r>
    </w:p>
    <w:p w14:paraId="033798DF" w14:textId="10BB13D7" w:rsidR="00435E5D" w:rsidRDefault="00435E5D" w:rsidP="00435E5D">
      <w:pPr>
        <w:pStyle w:val="base-text-paragraph"/>
      </w:pPr>
      <w:r>
        <w:t>For the DPT to apply, the relevant taxpayer must be a significant global entity</w:t>
      </w:r>
      <w:r w:rsidR="00AC0347">
        <w:t xml:space="preserve"> for the income year in which the relevant taxpayer, or one or more other taxpayers, would obtain a tax benefit or reduce a foreign tax liability in connection with the scheme</w:t>
      </w:r>
      <w:r>
        <w:t>.</w:t>
      </w:r>
      <w:r w:rsidR="00AC0347">
        <w:t xml:space="preserve"> </w:t>
      </w:r>
      <w:r w:rsidR="00AC0347">
        <w:rPr>
          <w:rStyle w:val="Referencingstyle"/>
        </w:rPr>
        <w:t>[</w:t>
      </w:r>
      <w:r w:rsidR="000B63B3">
        <w:rPr>
          <w:rStyle w:val="Referencingstyle"/>
        </w:rPr>
        <w:t>Schedule 1</w:t>
      </w:r>
      <w:r w:rsidR="00AC0347">
        <w:rPr>
          <w:rStyle w:val="Referencingstyle"/>
        </w:rPr>
        <w:t xml:space="preserve">, </w:t>
      </w:r>
      <w:r w:rsidR="000B63B3">
        <w:rPr>
          <w:rStyle w:val="Referencingstyle"/>
        </w:rPr>
        <w:t>item 5</w:t>
      </w:r>
      <w:r w:rsidR="00AC0347">
        <w:rPr>
          <w:rStyle w:val="Referencingstyle"/>
        </w:rPr>
        <w:t>, paragraph 177H(1)(</w:t>
      </w:r>
      <w:r w:rsidR="0039018D">
        <w:rPr>
          <w:rStyle w:val="Referencingstyle"/>
        </w:rPr>
        <w:t>b</w:t>
      </w:r>
      <w:r w:rsidR="00AC0347">
        <w:rPr>
          <w:rStyle w:val="Referencingstyle"/>
        </w:rPr>
        <w:t>) of the ITAA 1936]</w:t>
      </w:r>
    </w:p>
    <w:p w14:paraId="6DCF089E" w14:textId="1845833E" w:rsidR="00F93257" w:rsidRDefault="00AC0347" w:rsidP="00435E5D">
      <w:pPr>
        <w:pStyle w:val="base-text-paragraph"/>
      </w:pPr>
      <w:r>
        <w:t xml:space="preserve">An entity is a significant global entity </w:t>
      </w:r>
      <w:r w:rsidR="00F93257">
        <w:t>for an income year if it has annual global income of $1 billion or more in that income year (s</w:t>
      </w:r>
      <w:r w:rsidR="00435E5D">
        <w:t>ubsection</w:t>
      </w:r>
      <w:r w:rsidR="00F93257">
        <w:t> 960</w:t>
      </w:r>
      <w:r w:rsidR="00F93257">
        <w:noBreakHyphen/>
      </w:r>
      <w:r w:rsidR="00435E5D">
        <w:t>555(</w:t>
      </w:r>
      <w:r w:rsidR="00F93257">
        <w:t>1</w:t>
      </w:r>
      <w:r w:rsidR="00435E5D">
        <w:t>)</w:t>
      </w:r>
      <w:r w:rsidR="006216E5">
        <w:t xml:space="preserve"> of the ITAA 1997</w:t>
      </w:r>
      <w:r w:rsidR="00F93257">
        <w:t>).</w:t>
      </w:r>
    </w:p>
    <w:p w14:paraId="06F04E06" w14:textId="58873F76" w:rsidR="00435E5D" w:rsidRDefault="00F93257" w:rsidP="00435E5D">
      <w:pPr>
        <w:pStyle w:val="base-text-paragraph"/>
      </w:pPr>
      <w:r>
        <w:t>An entity will also be a significant global entity if it is a</w:t>
      </w:r>
      <w:r w:rsidR="00435E5D">
        <w:t xml:space="preserve"> member of a group of entities</w:t>
      </w:r>
      <w:r>
        <w:t xml:space="preserve"> that are consolidated for accounting purposes as a single group, and </w:t>
      </w:r>
      <w:r w:rsidR="006216E5">
        <w:t xml:space="preserve">one of the other members of the group is a </w:t>
      </w:r>
      <w:r>
        <w:t xml:space="preserve">global parent entity </w:t>
      </w:r>
      <w:r w:rsidR="006216E5">
        <w:t>whose</w:t>
      </w:r>
      <w:r>
        <w:t xml:space="preserve"> annual global income is $1 billion or more</w:t>
      </w:r>
      <w:r w:rsidR="006216E5">
        <w:t xml:space="preserve"> (subsection 960</w:t>
      </w:r>
      <w:r w:rsidR="006216E5">
        <w:noBreakHyphen/>
        <w:t>555(2)</w:t>
      </w:r>
      <w:r w:rsidR="006216E5" w:rsidRPr="006216E5">
        <w:t xml:space="preserve"> </w:t>
      </w:r>
      <w:r w:rsidR="006216E5">
        <w:t>of the ITAA 1997)</w:t>
      </w:r>
      <w:r>
        <w:t>.</w:t>
      </w:r>
    </w:p>
    <w:p w14:paraId="08B55150" w14:textId="25A1725B" w:rsidR="001740E9" w:rsidRDefault="001740E9" w:rsidP="001740E9">
      <w:pPr>
        <w:pStyle w:val="Heading4"/>
      </w:pPr>
      <w:r>
        <w:t xml:space="preserve">A foreign entity must be </w:t>
      </w:r>
      <w:r w:rsidR="0039018D">
        <w:t xml:space="preserve">an associate and </w:t>
      </w:r>
      <w:r>
        <w:t>involved in the scheme</w:t>
      </w:r>
    </w:p>
    <w:p w14:paraId="7AD04324" w14:textId="6F608148" w:rsidR="0039018D" w:rsidRDefault="001740E9" w:rsidP="00435E5D">
      <w:pPr>
        <w:pStyle w:val="base-text-paragraph"/>
      </w:pPr>
      <w:r>
        <w:t>For the DPT to apply, a foreign entity must be</w:t>
      </w:r>
      <w:r w:rsidR="0039018D">
        <w:t xml:space="preserve"> an associate (within the meaning of section 318</w:t>
      </w:r>
      <w:r w:rsidR="0072743B" w:rsidRPr="0072743B">
        <w:t xml:space="preserve"> </w:t>
      </w:r>
      <w:r w:rsidR="0072743B">
        <w:t>of the ITAA </w:t>
      </w:r>
      <w:r w:rsidR="0072743B" w:rsidRPr="0072743B">
        <w:t>1936</w:t>
      </w:r>
      <w:r w:rsidR="0039018D">
        <w:t xml:space="preserve">) of the relevant </w:t>
      </w:r>
      <w:r w:rsidR="00074AD4">
        <w:t xml:space="preserve">taxpayer </w:t>
      </w:r>
      <w:r w:rsidR="0039018D">
        <w:t xml:space="preserve">in the relevant income year. </w:t>
      </w:r>
      <w:r w:rsidR="0039018D">
        <w:rPr>
          <w:rStyle w:val="Referencingstyle"/>
        </w:rPr>
        <w:t>[</w:t>
      </w:r>
      <w:r w:rsidR="000B63B3">
        <w:rPr>
          <w:rStyle w:val="Referencingstyle"/>
        </w:rPr>
        <w:t>Schedule 1</w:t>
      </w:r>
      <w:r w:rsidR="0039018D">
        <w:rPr>
          <w:rStyle w:val="Referencingstyle"/>
        </w:rPr>
        <w:t xml:space="preserve">, </w:t>
      </w:r>
      <w:r w:rsidR="000B63B3">
        <w:rPr>
          <w:rStyle w:val="Referencingstyle"/>
        </w:rPr>
        <w:t>item 5</w:t>
      </w:r>
      <w:r w:rsidR="0039018D">
        <w:rPr>
          <w:rStyle w:val="Referencingstyle"/>
        </w:rPr>
        <w:t>, p</w:t>
      </w:r>
      <w:r w:rsidR="00633B8A">
        <w:rPr>
          <w:rStyle w:val="Referencingstyle"/>
        </w:rPr>
        <w:t>aragraph </w:t>
      </w:r>
      <w:r w:rsidR="0072743B">
        <w:rPr>
          <w:rStyle w:val="Referencingstyle"/>
        </w:rPr>
        <w:t>177H(1)(c) of the ITAA </w:t>
      </w:r>
      <w:r w:rsidR="0039018D">
        <w:rPr>
          <w:rStyle w:val="Referencingstyle"/>
        </w:rPr>
        <w:t>1936]</w:t>
      </w:r>
    </w:p>
    <w:p w14:paraId="39D03C47" w14:textId="74E9CE8A" w:rsidR="0039018D" w:rsidRDefault="0039018D" w:rsidP="00435E5D">
      <w:pPr>
        <w:pStyle w:val="base-text-paragraph"/>
      </w:pPr>
      <w:r>
        <w:t>In addition, that foreign entity must be:</w:t>
      </w:r>
    </w:p>
    <w:p w14:paraId="6649B897" w14:textId="77777777" w:rsidR="0039018D" w:rsidRDefault="001740E9" w:rsidP="0039018D">
      <w:pPr>
        <w:pStyle w:val="dotpoint"/>
      </w:pPr>
      <w:r>
        <w:t>the person, or one of the persons, who entered into or carried out the scheme or any part of the scheme</w:t>
      </w:r>
      <w:r w:rsidR="0039018D">
        <w:t>; or</w:t>
      </w:r>
    </w:p>
    <w:p w14:paraId="1B4C6A54" w14:textId="0B783770" w:rsidR="0039018D" w:rsidRDefault="0039018D" w:rsidP="0039018D">
      <w:pPr>
        <w:pStyle w:val="dotpoint"/>
      </w:pPr>
      <w:r>
        <w:t>otherwise connected to the scheme</w:t>
      </w:r>
      <w:r w:rsidR="00FA324F" w:rsidRPr="00FA324F">
        <w:t xml:space="preserve"> </w:t>
      </w:r>
      <w:r w:rsidR="00FA324F">
        <w:t>or any part of the scheme</w:t>
      </w:r>
      <w:r>
        <w:t>.</w:t>
      </w:r>
    </w:p>
    <w:p w14:paraId="7EB6C968" w14:textId="644C9E84" w:rsidR="001740E9" w:rsidRPr="001740E9" w:rsidRDefault="001740E9" w:rsidP="0039018D">
      <w:pPr>
        <w:pStyle w:val="base-text-paragraphnonumbers"/>
        <w:rPr>
          <w:rStyle w:val="Referencingstyle"/>
          <w:b w:val="0"/>
          <w:i w:val="0"/>
          <w:sz w:val="22"/>
        </w:rPr>
      </w:pPr>
      <w:r>
        <w:rPr>
          <w:rStyle w:val="Referencingstyle"/>
        </w:rPr>
        <w:t>[</w:t>
      </w:r>
      <w:r w:rsidR="000B63B3">
        <w:rPr>
          <w:rStyle w:val="Referencingstyle"/>
        </w:rPr>
        <w:t>Schedule 1</w:t>
      </w:r>
      <w:r>
        <w:rPr>
          <w:rStyle w:val="Referencingstyle"/>
        </w:rPr>
        <w:t xml:space="preserve">, </w:t>
      </w:r>
      <w:r w:rsidR="000B63B3">
        <w:rPr>
          <w:rStyle w:val="Referencingstyle"/>
        </w:rPr>
        <w:t>item 5</w:t>
      </w:r>
      <w:r>
        <w:rPr>
          <w:rStyle w:val="Referencingstyle"/>
        </w:rPr>
        <w:t>, paragraph 177H(1)(</w:t>
      </w:r>
      <w:r w:rsidR="0039018D">
        <w:rPr>
          <w:rStyle w:val="Referencingstyle"/>
        </w:rPr>
        <w:t>d</w:t>
      </w:r>
      <w:r>
        <w:rPr>
          <w:rStyle w:val="Referencingstyle"/>
        </w:rPr>
        <w:t>) of the ITAA 1936]</w:t>
      </w:r>
    </w:p>
    <w:p w14:paraId="4F65AFCF" w14:textId="125E4936" w:rsidR="001740E9" w:rsidRDefault="001740E9" w:rsidP="00435E5D">
      <w:pPr>
        <w:pStyle w:val="base-text-paragraph"/>
      </w:pPr>
      <w:r>
        <w:t xml:space="preserve">Therefore, the DPT will apply if at least one of the parties to the scheme is a foreign entity. </w:t>
      </w:r>
      <w:r w:rsidR="00BA20F8">
        <w:t>T</w:t>
      </w:r>
      <w:r>
        <w:t xml:space="preserve">he DPT will not apply to a scheme </w:t>
      </w:r>
      <w:r w:rsidR="00074AD4">
        <w:t>with which</w:t>
      </w:r>
      <w:r>
        <w:t xml:space="preserve"> only Australian entities</w:t>
      </w:r>
      <w:r w:rsidR="00074AD4">
        <w:t xml:space="preserve"> are connected</w:t>
      </w:r>
      <w:r>
        <w:t>.</w:t>
      </w:r>
    </w:p>
    <w:p w14:paraId="6C8E85F4" w14:textId="21E0843D" w:rsidR="001740E9" w:rsidRDefault="001740E9" w:rsidP="00E60BE4">
      <w:pPr>
        <w:pStyle w:val="Heading4"/>
      </w:pPr>
      <w:r>
        <w:t>The relevant taxpayer must obtain a tax benefit in connection with the scheme</w:t>
      </w:r>
    </w:p>
    <w:p w14:paraId="32B5C6B8" w14:textId="3B377344" w:rsidR="001740E9" w:rsidRDefault="001740E9" w:rsidP="001740E9">
      <w:pPr>
        <w:pStyle w:val="base-text-paragraph"/>
      </w:pPr>
      <w:r>
        <w:t xml:space="preserve">For the DPT to apply, the relevant taxpayer must have obtained a tax benefit </w:t>
      </w:r>
      <w:r w:rsidR="00823C4F">
        <w:t>(as defined in section 177C</w:t>
      </w:r>
      <w:r w:rsidR="0072743B">
        <w:t xml:space="preserve"> of the ITAA </w:t>
      </w:r>
      <w:r w:rsidR="0072743B" w:rsidRPr="0072743B">
        <w:t>1936</w:t>
      </w:r>
      <w:r w:rsidR="00823C4F">
        <w:t xml:space="preserve">) </w:t>
      </w:r>
      <w:r>
        <w:t xml:space="preserve">in connection with a scheme. </w:t>
      </w:r>
      <w:r>
        <w:rPr>
          <w:rStyle w:val="Referencingstyle"/>
        </w:rPr>
        <w:t>[</w:t>
      </w:r>
      <w:r w:rsidR="000B63B3">
        <w:rPr>
          <w:rStyle w:val="Referencingstyle"/>
        </w:rPr>
        <w:t>Schedule 1</w:t>
      </w:r>
      <w:r>
        <w:rPr>
          <w:rStyle w:val="Referencingstyle"/>
        </w:rPr>
        <w:t xml:space="preserve">, </w:t>
      </w:r>
      <w:r w:rsidR="000B63B3">
        <w:rPr>
          <w:rStyle w:val="Referencingstyle"/>
        </w:rPr>
        <w:t>item 5</w:t>
      </w:r>
      <w:r>
        <w:rPr>
          <w:rStyle w:val="Referencingstyle"/>
        </w:rPr>
        <w:t>,</w:t>
      </w:r>
      <w:r w:rsidR="004F1697">
        <w:rPr>
          <w:rStyle w:val="Referencingstyle"/>
        </w:rPr>
        <w:t xml:space="preserve"> subsection 177H(4) of the ITAA </w:t>
      </w:r>
      <w:r>
        <w:rPr>
          <w:rStyle w:val="Referencingstyle"/>
        </w:rPr>
        <w:t>1936]</w:t>
      </w:r>
    </w:p>
    <w:p w14:paraId="47D0D472" w14:textId="77777777" w:rsidR="00823C4F" w:rsidRDefault="00823C4F" w:rsidP="001740E9">
      <w:pPr>
        <w:pStyle w:val="base-text-paragraph"/>
      </w:pPr>
      <w:r w:rsidRPr="00823C4F">
        <w:t>Sectio</w:t>
      </w:r>
      <w:r>
        <w:t xml:space="preserve">n 177C specifies a range of </w:t>
      </w:r>
      <w:r w:rsidR="001740E9">
        <w:t>tax benefit</w:t>
      </w:r>
      <w:r>
        <w:t>s</w:t>
      </w:r>
      <w:r w:rsidR="001740E9">
        <w:t xml:space="preserve"> </w:t>
      </w:r>
      <w:r>
        <w:t>that can be obtained under the Australian income tax law. For DPT purposes, the most common tax benefits that are likely to arise in relation to a scheme are:</w:t>
      </w:r>
    </w:p>
    <w:p w14:paraId="7B03CF40" w14:textId="77777777" w:rsidR="00823C4F" w:rsidRDefault="00823C4F" w:rsidP="00823C4F">
      <w:pPr>
        <w:pStyle w:val="dotpoint"/>
      </w:pPr>
      <w:r>
        <w:t>a tax benefit relating to the understatement of assessable income; or</w:t>
      </w:r>
    </w:p>
    <w:p w14:paraId="24332721" w14:textId="5C9C1C40" w:rsidR="001740E9" w:rsidRDefault="00823C4F" w:rsidP="00823C4F">
      <w:pPr>
        <w:pStyle w:val="dotpoint"/>
      </w:pPr>
      <w:r>
        <w:t>a tax benefit relating to the overstatement of a deduction.</w:t>
      </w:r>
      <w:r w:rsidR="001740E9">
        <w:t xml:space="preserve"> </w:t>
      </w:r>
    </w:p>
    <w:p w14:paraId="2BE855EB" w14:textId="6399D1F3" w:rsidR="00DB2C15" w:rsidRDefault="006216E5" w:rsidP="00823C4F">
      <w:pPr>
        <w:pStyle w:val="Heading4"/>
      </w:pPr>
      <w:r>
        <w:t>Circumstances in which the DPT will not apply</w:t>
      </w:r>
    </w:p>
    <w:p w14:paraId="77374063" w14:textId="7850C910" w:rsidR="004D4F70" w:rsidRDefault="00633B8A" w:rsidP="004D4F70">
      <w:pPr>
        <w:pStyle w:val="base-text-paragraph"/>
      </w:pPr>
      <w:r>
        <w:t>The DPT will not apply if</w:t>
      </w:r>
      <w:r w:rsidR="004D4F70">
        <w:t xml:space="preserve"> it is reasonable to conclude that one of the following tests appl</w:t>
      </w:r>
      <w:r w:rsidR="00BD72BC">
        <w:t>ies</w:t>
      </w:r>
      <w:r w:rsidR="004D4F70">
        <w:t xml:space="preserve"> to the relevant taxpayer:</w:t>
      </w:r>
    </w:p>
    <w:p w14:paraId="1DAE168B" w14:textId="77777777" w:rsidR="004D4F70" w:rsidRDefault="004D4F70" w:rsidP="004D4F70">
      <w:pPr>
        <w:pStyle w:val="dotpoint"/>
      </w:pPr>
      <w:r>
        <w:t>the $25 million turnover test;</w:t>
      </w:r>
    </w:p>
    <w:p w14:paraId="3AA3A0A6" w14:textId="0A69E675" w:rsidR="004D4F70" w:rsidRDefault="004D4F70" w:rsidP="004D4F70">
      <w:pPr>
        <w:pStyle w:val="dotpoint"/>
      </w:pPr>
      <w:r>
        <w:t xml:space="preserve">the sufficient </w:t>
      </w:r>
      <w:r w:rsidR="0039018D">
        <w:t>foreign</w:t>
      </w:r>
      <w:r>
        <w:t xml:space="preserve"> tax test;</w:t>
      </w:r>
      <w:r w:rsidR="00131814">
        <w:t xml:space="preserve"> or</w:t>
      </w:r>
    </w:p>
    <w:p w14:paraId="3256C517" w14:textId="77777777" w:rsidR="004D4F70" w:rsidRDefault="004D4F70" w:rsidP="004D4F70">
      <w:pPr>
        <w:pStyle w:val="dotpoint"/>
      </w:pPr>
      <w:r>
        <w:t>the sufficient economic substance test.</w:t>
      </w:r>
    </w:p>
    <w:p w14:paraId="45D3D374" w14:textId="07339451" w:rsidR="004D4F70" w:rsidRDefault="004D4F70" w:rsidP="004D4F70">
      <w:pPr>
        <w:pStyle w:val="base-text-paragraphnonumbers"/>
        <w:rPr>
          <w:rStyle w:val="Referencingstyle"/>
        </w:rPr>
      </w:pPr>
      <w:r>
        <w:rPr>
          <w:rStyle w:val="Referencingstyle"/>
        </w:rPr>
        <w:t>[</w:t>
      </w:r>
      <w:r w:rsidR="000B63B3">
        <w:rPr>
          <w:rStyle w:val="Referencingstyle"/>
        </w:rPr>
        <w:t>Schedule 1</w:t>
      </w:r>
      <w:r>
        <w:rPr>
          <w:rStyle w:val="Referencingstyle"/>
        </w:rPr>
        <w:t xml:space="preserve">, </w:t>
      </w:r>
      <w:r w:rsidR="000B63B3">
        <w:rPr>
          <w:rStyle w:val="Referencingstyle"/>
        </w:rPr>
        <w:t>item 5</w:t>
      </w:r>
      <w:r>
        <w:rPr>
          <w:rStyle w:val="Referencingstyle"/>
        </w:rPr>
        <w:t>, paragraph 177H(1)(</w:t>
      </w:r>
      <w:r w:rsidR="0039018D">
        <w:rPr>
          <w:rStyle w:val="Referencingstyle"/>
        </w:rPr>
        <w:t>e</w:t>
      </w:r>
      <w:r>
        <w:rPr>
          <w:rStyle w:val="Referencingstyle"/>
        </w:rPr>
        <w:t>)</w:t>
      </w:r>
      <w:r w:rsidR="00131814">
        <w:rPr>
          <w:rStyle w:val="Referencingstyle"/>
        </w:rPr>
        <w:t xml:space="preserve">, </w:t>
      </w:r>
      <w:r>
        <w:rPr>
          <w:rStyle w:val="Referencingstyle"/>
        </w:rPr>
        <w:t xml:space="preserve">sections </w:t>
      </w:r>
      <w:r w:rsidR="00131814">
        <w:rPr>
          <w:rStyle w:val="Referencingstyle"/>
        </w:rPr>
        <w:t>177J, 177K and 177L of the ITAA </w:t>
      </w:r>
      <w:r>
        <w:rPr>
          <w:rStyle w:val="Referencingstyle"/>
        </w:rPr>
        <w:t>1936]</w:t>
      </w:r>
    </w:p>
    <w:p w14:paraId="77CE888B" w14:textId="3C20C382" w:rsidR="001D1525" w:rsidRDefault="001D1525" w:rsidP="006216E5">
      <w:pPr>
        <w:pStyle w:val="base-text-paragraph"/>
      </w:pPr>
      <w:r>
        <w:t>These tests ensure that the DPT is appropriately targeted and does not impose an undue compliance burden on low risk taxpayers.</w:t>
      </w:r>
      <w:r w:rsidR="006216E5">
        <w:t xml:space="preserve"> However, a</w:t>
      </w:r>
      <w:r w:rsidR="006216E5" w:rsidRPr="006216E5">
        <w:t xml:space="preserve"> taxpayer must provide sufficient information to satisfy the Commissioner that any one of these tests </w:t>
      </w:r>
      <w:r w:rsidR="006216E5">
        <w:t xml:space="preserve">may </w:t>
      </w:r>
      <w:r w:rsidR="006216E5" w:rsidRPr="006216E5">
        <w:t>apply to it</w:t>
      </w:r>
      <w:r w:rsidR="003C3B1E">
        <w:t>.</w:t>
      </w:r>
    </w:p>
    <w:p w14:paraId="3D3FF21F" w14:textId="77777777" w:rsidR="006216E5" w:rsidRDefault="006216E5" w:rsidP="006216E5">
      <w:pPr>
        <w:pStyle w:val="Heading4"/>
      </w:pPr>
      <w:r>
        <w:t>The $25 million turnover test</w:t>
      </w:r>
    </w:p>
    <w:p w14:paraId="2ABABA9F" w14:textId="7895B3A9" w:rsidR="009B6722" w:rsidRDefault="00823C4F" w:rsidP="00DB2C15">
      <w:pPr>
        <w:pStyle w:val="base-text-paragraph"/>
      </w:pPr>
      <w:r>
        <w:t xml:space="preserve">Under the </w:t>
      </w:r>
      <w:r w:rsidR="004D4F70">
        <w:t>$25 million turnover test</w:t>
      </w:r>
      <w:r>
        <w:t>, t</w:t>
      </w:r>
      <w:r w:rsidR="00DB2C15">
        <w:t xml:space="preserve">he DPT will not apply </w:t>
      </w:r>
      <w:r w:rsidR="00A42DC6">
        <w:t xml:space="preserve">in relation to the relevant taxpayer </w:t>
      </w:r>
      <w:r w:rsidR="00DB2C15">
        <w:t xml:space="preserve">if it is reasonable to conclude that the </w:t>
      </w:r>
      <w:r w:rsidR="009B6722">
        <w:t>total</w:t>
      </w:r>
      <w:r w:rsidR="00DB2C15">
        <w:t xml:space="preserve"> </w:t>
      </w:r>
      <w:r w:rsidR="00633B8A">
        <w:t xml:space="preserve">Australian </w:t>
      </w:r>
      <w:r w:rsidR="00DB2C15">
        <w:t xml:space="preserve">turnover </w:t>
      </w:r>
      <w:r w:rsidR="00A42DC6">
        <w:t xml:space="preserve">for the financial year corresponding to the income year </w:t>
      </w:r>
      <w:r w:rsidR="00DB2C15">
        <w:t xml:space="preserve">of </w:t>
      </w:r>
      <w:r w:rsidR="00A42DC6">
        <w:t xml:space="preserve">the </w:t>
      </w:r>
      <w:r w:rsidR="009B6722">
        <w:t xml:space="preserve">following </w:t>
      </w:r>
      <w:r w:rsidR="00DB2C15">
        <w:t>entities does not exceed $25</w:t>
      </w:r>
      <w:r w:rsidR="009B6722">
        <w:t> </w:t>
      </w:r>
      <w:r w:rsidR="00DB2C15">
        <w:t>million</w:t>
      </w:r>
      <w:r w:rsidR="009B6722">
        <w:t>:</w:t>
      </w:r>
    </w:p>
    <w:p w14:paraId="1DFBCACF" w14:textId="5F2B538C" w:rsidR="009B6722" w:rsidRDefault="009B6722" w:rsidP="009B6722">
      <w:pPr>
        <w:pStyle w:val="dotpoint"/>
      </w:pPr>
      <w:r>
        <w:t>the relevant taxpayer;</w:t>
      </w:r>
    </w:p>
    <w:p w14:paraId="2739602D" w14:textId="0A625BAF" w:rsidR="009B6722" w:rsidRDefault="009B6722" w:rsidP="009B6722">
      <w:pPr>
        <w:pStyle w:val="dotpoint"/>
      </w:pPr>
      <w:r>
        <w:t>another entity that is an Australian entity, where both the relevant taxpayer and the other entity are significant global entities because they are members of the same global group</w:t>
      </w:r>
      <w:r w:rsidR="00171B8C">
        <w:t>.</w:t>
      </w:r>
      <w:r>
        <w:t xml:space="preserve"> </w:t>
      </w:r>
    </w:p>
    <w:p w14:paraId="0B34F0F1" w14:textId="5C5EDFC2" w:rsidR="00DB2C15" w:rsidRDefault="00A42DC6" w:rsidP="009B6722">
      <w:pPr>
        <w:pStyle w:val="base-text-paragraphnonumbers"/>
      </w:pPr>
      <w:r>
        <w:rPr>
          <w:rStyle w:val="Referencingstyle"/>
        </w:rPr>
        <w:t>[</w:t>
      </w:r>
      <w:r w:rsidR="000B63B3">
        <w:rPr>
          <w:rStyle w:val="Referencingstyle"/>
        </w:rPr>
        <w:t>Schedule 1</w:t>
      </w:r>
      <w:r>
        <w:rPr>
          <w:rStyle w:val="Referencingstyle"/>
        </w:rPr>
        <w:t xml:space="preserve">, </w:t>
      </w:r>
      <w:r w:rsidR="000B63B3">
        <w:rPr>
          <w:rStyle w:val="Referencingstyle"/>
        </w:rPr>
        <w:t>item 5</w:t>
      </w:r>
      <w:r>
        <w:rPr>
          <w:rStyle w:val="Referencingstyle"/>
        </w:rPr>
        <w:t xml:space="preserve">, </w:t>
      </w:r>
      <w:r w:rsidR="00F34EF2">
        <w:rPr>
          <w:rStyle w:val="Referencingstyle"/>
        </w:rPr>
        <w:t>paragraph</w:t>
      </w:r>
      <w:r w:rsidR="00A57C71">
        <w:rPr>
          <w:rStyle w:val="Referencingstyle"/>
        </w:rPr>
        <w:t>s</w:t>
      </w:r>
      <w:r w:rsidR="00F34EF2">
        <w:rPr>
          <w:rStyle w:val="Referencingstyle"/>
        </w:rPr>
        <w:t> 177H(1)(</w:t>
      </w:r>
      <w:r w:rsidR="0039018D">
        <w:rPr>
          <w:rStyle w:val="Referencingstyle"/>
        </w:rPr>
        <w:t>e</w:t>
      </w:r>
      <w:r>
        <w:rPr>
          <w:rStyle w:val="Referencingstyle"/>
        </w:rPr>
        <w:t xml:space="preserve">) </w:t>
      </w:r>
      <w:r w:rsidR="000D26C8">
        <w:rPr>
          <w:rStyle w:val="Referencingstyle"/>
        </w:rPr>
        <w:t xml:space="preserve">and </w:t>
      </w:r>
      <w:r w:rsidR="00A57C71">
        <w:rPr>
          <w:rStyle w:val="Referencingstyle"/>
        </w:rPr>
        <w:t xml:space="preserve">177J(1)(a), </w:t>
      </w:r>
      <w:r>
        <w:rPr>
          <w:rStyle w:val="Referencingstyle"/>
        </w:rPr>
        <w:t>subsection </w:t>
      </w:r>
      <w:r w:rsidR="00A57C71">
        <w:rPr>
          <w:rStyle w:val="Referencingstyle"/>
        </w:rPr>
        <w:t>177J</w:t>
      </w:r>
      <w:r w:rsidR="000D26C8">
        <w:rPr>
          <w:rStyle w:val="Referencingstyle"/>
        </w:rPr>
        <w:t>(2)</w:t>
      </w:r>
      <w:r>
        <w:rPr>
          <w:rStyle w:val="Referencingstyle"/>
        </w:rPr>
        <w:t xml:space="preserve"> of the ITAA</w:t>
      </w:r>
      <w:r w:rsidR="00F34EF2">
        <w:rPr>
          <w:rStyle w:val="Referencingstyle"/>
        </w:rPr>
        <w:t> </w:t>
      </w:r>
      <w:r>
        <w:rPr>
          <w:rStyle w:val="Referencingstyle"/>
        </w:rPr>
        <w:t>1936]</w:t>
      </w:r>
    </w:p>
    <w:p w14:paraId="2C09D464" w14:textId="040929B8" w:rsidR="00C472C6" w:rsidRDefault="000D26C8" w:rsidP="00DB2C15">
      <w:pPr>
        <w:pStyle w:val="base-text-paragraph"/>
      </w:pPr>
      <w:r>
        <w:t xml:space="preserve">The $25 million turnover </w:t>
      </w:r>
      <w:r w:rsidR="000042F6">
        <w:t>test</w:t>
      </w:r>
      <w:r>
        <w:t xml:space="preserve"> ensures that the DPT does not apply in circumstances where </w:t>
      </w:r>
      <w:r w:rsidR="00C472C6">
        <w:t xml:space="preserve">the operations of the relevant taxpayer and </w:t>
      </w:r>
      <w:r w:rsidR="00FD6075">
        <w:t xml:space="preserve">associated </w:t>
      </w:r>
      <w:r w:rsidR="00C472C6">
        <w:t xml:space="preserve">Australian entities </w:t>
      </w:r>
      <w:r w:rsidR="00FD6075">
        <w:t xml:space="preserve">are </w:t>
      </w:r>
      <w:r w:rsidR="00C472C6">
        <w:t>relatively small.</w:t>
      </w:r>
    </w:p>
    <w:p w14:paraId="5A7F36A6" w14:textId="2435A8C4" w:rsidR="00C472C6" w:rsidRDefault="00C472C6" w:rsidP="00DB2C15">
      <w:pPr>
        <w:pStyle w:val="base-text-paragraph"/>
      </w:pPr>
      <w:r>
        <w:t xml:space="preserve">However, </w:t>
      </w:r>
      <w:r w:rsidR="00FD6075">
        <w:t>the</w:t>
      </w:r>
      <w:r>
        <w:t xml:space="preserve"> $25 million turnover </w:t>
      </w:r>
      <w:r w:rsidR="000042F6">
        <w:t>test</w:t>
      </w:r>
      <w:r w:rsidR="00633B8A">
        <w:t xml:space="preserve"> will not apply if</w:t>
      </w:r>
      <w:r>
        <w:t xml:space="preserve"> it is reasonable to conclude that the relevant taxpayer</w:t>
      </w:r>
      <w:r w:rsidR="00E405C4">
        <w:t>,</w:t>
      </w:r>
      <w:r>
        <w:t xml:space="preserve"> or another entity </w:t>
      </w:r>
      <w:r w:rsidR="00E405C4">
        <w:t>that is a significant global entity because it is a member of the same global group as the relevant taxpayer,</w:t>
      </w:r>
      <w:r>
        <w:t xml:space="preserve"> has artificially booked turnover outside Australia. </w:t>
      </w:r>
      <w:r>
        <w:rPr>
          <w:rStyle w:val="Referencingstyle"/>
        </w:rPr>
        <w:t>[</w:t>
      </w:r>
      <w:r w:rsidR="000B63B3">
        <w:rPr>
          <w:rStyle w:val="Referencingstyle"/>
        </w:rPr>
        <w:t>Schedule 1</w:t>
      </w:r>
      <w:r>
        <w:rPr>
          <w:rStyle w:val="Referencingstyle"/>
        </w:rPr>
        <w:t xml:space="preserve">, </w:t>
      </w:r>
      <w:r w:rsidR="000B63B3">
        <w:rPr>
          <w:rStyle w:val="Referencingstyle"/>
        </w:rPr>
        <w:t>item 5</w:t>
      </w:r>
      <w:r>
        <w:rPr>
          <w:rStyle w:val="Referencingstyle"/>
        </w:rPr>
        <w:t xml:space="preserve">, </w:t>
      </w:r>
      <w:r w:rsidR="00A57C71">
        <w:rPr>
          <w:rStyle w:val="Referencingstyle"/>
        </w:rPr>
        <w:t>paragraph</w:t>
      </w:r>
      <w:r>
        <w:rPr>
          <w:rStyle w:val="Referencingstyle"/>
        </w:rPr>
        <w:t> 177</w:t>
      </w:r>
      <w:r w:rsidR="00A57C71">
        <w:rPr>
          <w:rStyle w:val="Referencingstyle"/>
        </w:rPr>
        <w:t>J</w:t>
      </w:r>
      <w:r>
        <w:rPr>
          <w:rStyle w:val="Referencingstyle"/>
        </w:rPr>
        <w:t>(</w:t>
      </w:r>
      <w:r w:rsidR="00A57C71">
        <w:rPr>
          <w:rStyle w:val="Referencingstyle"/>
        </w:rPr>
        <w:t>1)(b</w:t>
      </w:r>
      <w:r>
        <w:rPr>
          <w:rStyle w:val="Referencingstyle"/>
        </w:rPr>
        <w:t>)</w:t>
      </w:r>
      <w:r w:rsidR="0030628A">
        <w:rPr>
          <w:rStyle w:val="Referencingstyle"/>
        </w:rPr>
        <w:t xml:space="preserve"> </w:t>
      </w:r>
      <w:r>
        <w:rPr>
          <w:rStyle w:val="Referencingstyle"/>
        </w:rPr>
        <w:t>of the ITAA 1936]</w:t>
      </w:r>
    </w:p>
    <w:p w14:paraId="60FC3A24" w14:textId="33796515" w:rsidR="00DB2C15" w:rsidRDefault="00C472C6" w:rsidP="00DB2C15">
      <w:pPr>
        <w:pStyle w:val="base-text-paragraph"/>
      </w:pPr>
      <w:r>
        <w:t xml:space="preserve">For these purposes, turnover </w:t>
      </w:r>
      <w:r w:rsidR="00E22EDB">
        <w:t xml:space="preserve">of an entity </w:t>
      </w:r>
      <w:r>
        <w:t xml:space="preserve">will </w:t>
      </w:r>
      <w:r w:rsidR="00D7186C">
        <w:t xml:space="preserve">be </w:t>
      </w:r>
      <w:r>
        <w:t xml:space="preserve">considered to be artificially booked outside Australia if, for example, </w:t>
      </w:r>
      <w:r w:rsidR="00E22EDB">
        <w:t>the turnover of the entity that is reported for accounting purposes in Australia does not reflect the substance of the activities carried on by the entity in Australia.</w:t>
      </w:r>
      <w:r w:rsidR="00DB2C15">
        <w:t xml:space="preserve"> </w:t>
      </w:r>
    </w:p>
    <w:p w14:paraId="725CA7C2" w14:textId="5338CE4A" w:rsidR="0007403E" w:rsidRDefault="004D4F70" w:rsidP="00F34EF2">
      <w:pPr>
        <w:pStyle w:val="Heading4"/>
      </w:pPr>
      <w:r>
        <w:t>The</w:t>
      </w:r>
      <w:r w:rsidR="0007403E">
        <w:t xml:space="preserve"> </w:t>
      </w:r>
      <w:r>
        <w:t>s</w:t>
      </w:r>
      <w:r w:rsidR="00F34EF2">
        <w:t xml:space="preserve">ufficient </w:t>
      </w:r>
      <w:r w:rsidR="00E405C4">
        <w:t>foreign</w:t>
      </w:r>
      <w:r w:rsidR="0007403E">
        <w:t xml:space="preserve"> tax test</w:t>
      </w:r>
    </w:p>
    <w:p w14:paraId="679CADB8" w14:textId="32C56431" w:rsidR="0007403E" w:rsidRDefault="00F34EF2" w:rsidP="0007403E">
      <w:pPr>
        <w:pStyle w:val="base-text-paragraph"/>
      </w:pPr>
      <w:r>
        <w:t xml:space="preserve">Under the </w:t>
      </w:r>
      <w:r w:rsidR="004D4F70">
        <w:t xml:space="preserve">sufficient </w:t>
      </w:r>
      <w:r w:rsidR="00E405C4">
        <w:t>foreign</w:t>
      </w:r>
      <w:r w:rsidR="004D4F70">
        <w:t xml:space="preserve"> tax test</w:t>
      </w:r>
      <w:r>
        <w:t>, t</w:t>
      </w:r>
      <w:r w:rsidR="0007403E">
        <w:t xml:space="preserve">he DPT will not apply </w:t>
      </w:r>
      <w:r>
        <w:t>in relation to the relevant taxpayer</w:t>
      </w:r>
      <w:r w:rsidR="00633B8A">
        <w:t xml:space="preserve"> if</w:t>
      </w:r>
      <w:r w:rsidR="0007403E">
        <w:t xml:space="preserve"> it is reasonable to conclude that</w:t>
      </w:r>
      <w:r w:rsidR="003B19EF">
        <w:t>, in relation to the scheme,</w:t>
      </w:r>
      <w:r w:rsidR="0007403E">
        <w:t xml:space="preserve"> </w:t>
      </w:r>
      <w:r w:rsidR="00161D10">
        <w:t>the increase in the</w:t>
      </w:r>
      <w:r w:rsidR="0007403E">
        <w:t xml:space="preserve"> foreign tax liability </w:t>
      </w:r>
      <w:r>
        <w:t xml:space="preserve">is </w:t>
      </w:r>
      <w:r w:rsidR="0007403E">
        <w:t>equal</w:t>
      </w:r>
      <w:r>
        <w:t xml:space="preserve"> to</w:t>
      </w:r>
      <w:r w:rsidR="0007403E">
        <w:t xml:space="preserve"> or exceeds 80</w:t>
      </w:r>
      <w:r>
        <w:t> per cent</w:t>
      </w:r>
      <w:r w:rsidR="0007403E">
        <w:t xml:space="preserve"> of the corresponding reduction in </w:t>
      </w:r>
      <w:r w:rsidR="00661371">
        <w:t xml:space="preserve">the </w:t>
      </w:r>
      <w:r w:rsidR="0007403E">
        <w:t>Australian tax liability.</w:t>
      </w:r>
      <w:r>
        <w:t xml:space="preserve"> </w:t>
      </w:r>
      <w:r w:rsidR="003B19EF">
        <w:rPr>
          <w:rStyle w:val="Referencingstyle"/>
        </w:rPr>
        <w:t>[</w:t>
      </w:r>
      <w:r w:rsidR="000B63B3">
        <w:rPr>
          <w:rStyle w:val="Referencingstyle"/>
        </w:rPr>
        <w:t>Schedule 1</w:t>
      </w:r>
      <w:r w:rsidR="0039018D">
        <w:rPr>
          <w:rStyle w:val="Referencingstyle"/>
        </w:rPr>
        <w:t xml:space="preserve">, </w:t>
      </w:r>
      <w:r w:rsidR="000B63B3">
        <w:rPr>
          <w:rStyle w:val="Referencingstyle"/>
        </w:rPr>
        <w:t>item 5</w:t>
      </w:r>
      <w:r w:rsidR="0039018D">
        <w:rPr>
          <w:rStyle w:val="Referencingstyle"/>
        </w:rPr>
        <w:t>, paragraph 177H(1)(e</w:t>
      </w:r>
      <w:r>
        <w:rPr>
          <w:rStyle w:val="Referencingstyle"/>
        </w:rPr>
        <w:t>) and s</w:t>
      </w:r>
      <w:r w:rsidR="003B19EF">
        <w:rPr>
          <w:rStyle w:val="Referencingstyle"/>
        </w:rPr>
        <w:t>ubs</w:t>
      </w:r>
      <w:r>
        <w:rPr>
          <w:rStyle w:val="Referencingstyle"/>
        </w:rPr>
        <w:t>ection 177</w:t>
      </w:r>
      <w:r w:rsidR="00A57C71">
        <w:rPr>
          <w:rStyle w:val="Referencingstyle"/>
        </w:rPr>
        <w:t>K</w:t>
      </w:r>
      <w:r w:rsidR="003B19EF">
        <w:rPr>
          <w:rStyle w:val="Referencingstyle"/>
        </w:rPr>
        <w:t>(1)</w:t>
      </w:r>
      <w:r>
        <w:rPr>
          <w:rStyle w:val="Referencingstyle"/>
        </w:rPr>
        <w:t xml:space="preserve"> of the ITAA 1936]</w:t>
      </w:r>
    </w:p>
    <w:p w14:paraId="1A92A90B" w14:textId="77777777" w:rsidR="00D46EDA" w:rsidRDefault="00D46EDA" w:rsidP="00D46EDA">
      <w:pPr>
        <w:pStyle w:val="base-text-paragraph"/>
      </w:pPr>
      <w:r>
        <w:t>The sufficient foreign tax test ensures that the DPT does not apply in circumstances where the foreign tax benefits that arise as a result of the scheme are relatively insignificant.</w:t>
      </w:r>
    </w:p>
    <w:p w14:paraId="3A21A34D" w14:textId="77777777" w:rsidR="000042F6" w:rsidRDefault="000042F6" w:rsidP="000042F6">
      <w:pPr>
        <w:pStyle w:val="base-text-paragraph"/>
      </w:pPr>
      <w:r>
        <w:t xml:space="preserve">For the sufficient foreign tax test to apply, the relevant taxpayer will need to provide information to the Commissioner relating to the amount of the increased foreign tax liability in relation to the scheme. That information will need to be sufficient to support a reasonable conclusion that a sufficient amount of foreign tax has been, will be, or may reasonably expected to be, paid in relation to a foreign tax period that corresponds to the relevant income year. </w:t>
      </w:r>
    </w:p>
    <w:p w14:paraId="09C43D07" w14:textId="221A4864" w:rsidR="000D0695" w:rsidRDefault="00F02485" w:rsidP="003B19EF">
      <w:pPr>
        <w:pStyle w:val="base-text-paragraph"/>
      </w:pPr>
      <w:r>
        <w:t xml:space="preserve">For these purposes, the </w:t>
      </w:r>
      <w:r w:rsidR="00E405C4">
        <w:t xml:space="preserve">increased </w:t>
      </w:r>
      <w:r w:rsidR="0007403E">
        <w:t xml:space="preserve">foreign tax liability is the </w:t>
      </w:r>
      <w:r>
        <w:t xml:space="preserve">total </w:t>
      </w:r>
      <w:r w:rsidR="0007403E">
        <w:t xml:space="preserve">amount </w:t>
      </w:r>
      <w:r>
        <w:t xml:space="preserve">of any increases in </w:t>
      </w:r>
      <w:r w:rsidR="0007403E">
        <w:t xml:space="preserve">foreign tax </w:t>
      </w:r>
      <w:r>
        <w:t xml:space="preserve">liability </w:t>
      </w:r>
      <w:r w:rsidR="00E405C4">
        <w:t xml:space="preserve">of certain foreign entities </w:t>
      </w:r>
      <w:r>
        <w:t>that</w:t>
      </w:r>
      <w:r w:rsidR="0007403E">
        <w:t xml:space="preserve"> result</w:t>
      </w:r>
      <w:r>
        <w:t>s</w:t>
      </w:r>
      <w:r w:rsidR="00E405C4">
        <w:t>,</w:t>
      </w:r>
      <w:r>
        <w:t xml:space="preserve"> will</w:t>
      </w:r>
      <w:r w:rsidR="0007403E">
        <w:t xml:space="preserve"> result</w:t>
      </w:r>
      <w:r>
        <w:t>, or may be reasonably expected to result, from</w:t>
      </w:r>
      <w:r w:rsidR="0007403E">
        <w:t xml:space="preserve"> the scheme</w:t>
      </w:r>
      <w:r>
        <w:t xml:space="preserve"> during a foreign tax period that corresponds to the relevant income year</w:t>
      </w:r>
      <w:r w:rsidR="00E405C4">
        <w:t xml:space="preserve">. </w:t>
      </w:r>
      <w:r w:rsidR="000D0695">
        <w:rPr>
          <w:rStyle w:val="Referencingstyle"/>
        </w:rPr>
        <w:t>[</w:t>
      </w:r>
      <w:r w:rsidR="000B63B3">
        <w:rPr>
          <w:rStyle w:val="Referencingstyle"/>
        </w:rPr>
        <w:t>Schedule 1</w:t>
      </w:r>
      <w:r w:rsidR="000D0695">
        <w:rPr>
          <w:rStyle w:val="Referencingstyle"/>
        </w:rPr>
        <w:t xml:space="preserve">, </w:t>
      </w:r>
      <w:r w:rsidR="000B63B3">
        <w:rPr>
          <w:rStyle w:val="Referencingstyle"/>
        </w:rPr>
        <w:t>item 5</w:t>
      </w:r>
      <w:r w:rsidR="000D0695">
        <w:rPr>
          <w:rStyle w:val="Referencingstyle"/>
        </w:rPr>
        <w:t>, subsection 177K(2) of the ITAA 1936]</w:t>
      </w:r>
    </w:p>
    <w:p w14:paraId="79468E2E" w14:textId="77777777" w:rsidR="00E7566F" w:rsidRDefault="00E7566F" w:rsidP="003B19EF">
      <w:pPr>
        <w:pStyle w:val="base-text-paragraph"/>
      </w:pPr>
      <w:r>
        <w:t>The amount of the increased foreign tax liability is worked out based on the amount of foreign taxes that are, or are equivalent to, income taxes actually paid in relation to the scheme. Therefore, to work out the amount of the increased foreign tax liability, it is necessary to consider any specific tax relief provided by a foreign country in relation to the scheme. Consequently, the amount of the increased foreign tax liability in relation to the scheme cannot be worked out simply by looking at the headline corporate tax rate in the foreign country in which tax is paid.</w:t>
      </w:r>
    </w:p>
    <w:p w14:paraId="05061ADD" w14:textId="4865D982" w:rsidR="00E405C4" w:rsidRDefault="000D0695" w:rsidP="003B19EF">
      <w:pPr>
        <w:pStyle w:val="base-text-paragraph"/>
      </w:pPr>
      <w:r>
        <w:t>The increased foreign tax liability of a foreign entity will be taken into account for these purposes</w:t>
      </w:r>
      <w:r w:rsidR="00E405C4">
        <w:t xml:space="preserve"> </w:t>
      </w:r>
      <w:r>
        <w:t>if:</w:t>
      </w:r>
    </w:p>
    <w:p w14:paraId="52CD8EE6" w14:textId="09DBE319" w:rsidR="00E405C4" w:rsidRDefault="000D0695" w:rsidP="00E405C4">
      <w:pPr>
        <w:pStyle w:val="dotpoint"/>
      </w:pPr>
      <w:r>
        <w:t>the</w:t>
      </w:r>
      <w:r w:rsidR="00E405C4">
        <w:t xml:space="preserve"> foreign entity </w:t>
      </w:r>
      <w:r>
        <w:t xml:space="preserve">is the person, or one of the persons, who </w:t>
      </w:r>
      <w:r w:rsidR="00E405C4">
        <w:t xml:space="preserve">entered into or carried out the scheme or any part of the scheme; </w:t>
      </w:r>
      <w:r>
        <w:t>or</w:t>
      </w:r>
    </w:p>
    <w:p w14:paraId="2133289E" w14:textId="09C4D246" w:rsidR="00E405C4" w:rsidRDefault="000D0695" w:rsidP="00E405C4">
      <w:pPr>
        <w:pStyle w:val="dotpoint"/>
      </w:pPr>
      <w:r>
        <w:t>the</w:t>
      </w:r>
      <w:r w:rsidR="00E405C4">
        <w:t xml:space="preserve"> foreign entity is otherwise connected to the scheme</w:t>
      </w:r>
      <w:r w:rsidR="00FA324F" w:rsidRPr="00FA324F">
        <w:t xml:space="preserve"> </w:t>
      </w:r>
      <w:r w:rsidR="00FA324F">
        <w:t>or any part of the scheme.</w:t>
      </w:r>
    </w:p>
    <w:p w14:paraId="5B326B6A" w14:textId="10A33E6D" w:rsidR="003B19EF" w:rsidRDefault="00F02485" w:rsidP="000D0695">
      <w:pPr>
        <w:pStyle w:val="base-text-paragraphnonumbers"/>
      </w:pPr>
      <w:r>
        <w:rPr>
          <w:rStyle w:val="Referencingstyle"/>
        </w:rPr>
        <w:t>[</w:t>
      </w:r>
      <w:r w:rsidR="000B63B3">
        <w:rPr>
          <w:rStyle w:val="Referencingstyle"/>
        </w:rPr>
        <w:t>Schedule 1</w:t>
      </w:r>
      <w:r>
        <w:rPr>
          <w:rStyle w:val="Referencingstyle"/>
        </w:rPr>
        <w:t xml:space="preserve">, </w:t>
      </w:r>
      <w:r w:rsidR="000B63B3">
        <w:rPr>
          <w:rStyle w:val="Referencingstyle"/>
        </w:rPr>
        <w:t>item 5</w:t>
      </w:r>
      <w:r>
        <w:rPr>
          <w:rStyle w:val="Referencingstyle"/>
        </w:rPr>
        <w:t>, subsection 177</w:t>
      </w:r>
      <w:r w:rsidR="00A57C71">
        <w:rPr>
          <w:rStyle w:val="Referencingstyle"/>
        </w:rPr>
        <w:t>K</w:t>
      </w:r>
      <w:r>
        <w:rPr>
          <w:rStyle w:val="Referencingstyle"/>
        </w:rPr>
        <w:t>(</w:t>
      </w:r>
      <w:r w:rsidR="000D0695">
        <w:rPr>
          <w:rStyle w:val="Referencingstyle"/>
        </w:rPr>
        <w:t>3)</w:t>
      </w:r>
      <w:r>
        <w:rPr>
          <w:rStyle w:val="Referencingstyle"/>
        </w:rPr>
        <w:t xml:space="preserve"> of the ITAA 1936]</w:t>
      </w:r>
    </w:p>
    <w:p w14:paraId="63651F8E" w14:textId="2BAE68AE" w:rsidR="00F02485" w:rsidRDefault="0007403E" w:rsidP="0007403E">
      <w:pPr>
        <w:pStyle w:val="base-text-paragraph"/>
      </w:pPr>
      <w:r>
        <w:t xml:space="preserve">The Australian tax liability </w:t>
      </w:r>
      <w:r w:rsidR="00F02485">
        <w:t>is:</w:t>
      </w:r>
    </w:p>
    <w:p w14:paraId="7E25410A" w14:textId="151EFC15" w:rsidR="008719A0" w:rsidRDefault="00F02485" w:rsidP="00F02485">
      <w:pPr>
        <w:pStyle w:val="dotpoint"/>
      </w:pPr>
      <w:r>
        <w:t>if</w:t>
      </w:r>
      <w:r w:rsidR="0007403E">
        <w:t xml:space="preserve"> the tax benefit </w:t>
      </w:r>
      <w:r>
        <w:t xml:space="preserve">relates to the amount of assessable income, the amount of an allowable deduction, the amount of a capital loss or </w:t>
      </w:r>
      <w:r w:rsidR="008719A0">
        <w:t>an</w:t>
      </w:r>
      <w:r>
        <w:t xml:space="preserve"> amount that is subject to withholding tax</w:t>
      </w:r>
      <w:r w:rsidR="008719A0">
        <w:t xml:space="preserve"> — the amount of the tax benefit</w:t>
      </w:r>
      <w:r w:rsidR="0007403E">
        <w:t xml:space="preserve"> multiplied by the standard Australian corporate tax rate</w:t>
      </w:r>
      <w:r w:rsidR="008719A0">
        <w:t>; or</w:t>
      </w:r>
    </w:p>
    <w:p w14:paraId="338BA539" w14:textId="3AF891EF" w:rsidR="0007403E" w:rsidRDefault="008719A0" w:rsidP="00F02485">
      <w:pPr>
        <w:pStyle w:val="dotpoint"/>
      </w:pPr>
      <w:r>
        <w:t>if the tax benefit relates to the amount of a foreign income tax offset or an exploration credit — the amount of the tax benefit</w:t>
      </w:r>
      <w:r w:rsidR="0007403E">
        <w:t>.</w:t>
      </w:r>
    </w:p>
    <w:p w14:paraId="5CCC0662" w14:textId="619EA866" w:rsidR="000D0695" w:rsidRDefault="000D0695" w:rsidP="000D0695">
      <w:pPr>
        <w:pStyle w:val="base-text-paragraphnonumbers"/>
      </w:pPr>
      <w:r>
        <w:rPr>
          <w:rStyle w:val="Referencingstyle"/>
        </w:rPr>
        <w:t>[</w:t>
      </w:r>
      <w:r w:rsidR="000B63B3">
        <w:rPr>
          <w:rStyle w:val="Referencingstyle"/>
        </w:rPr>
        <w:t>Schedule 1</w:t>
      </w:r>
      <w:r>
        <w:rPr>
          <w:rStyle w:val="Referencingstyle"/>
        </w:rPr>
        <w:t xml:space="preserve">, </w:t>
      </w:r>
      <w:r w:rsidR="000B63B3">
        <w:rPr>
          <w:rStyle w:val="Referencingstyle"/>
        </w:rPr>
        <w:t>item 5</w:t>
      </w:r>
      <w:r>
        <w:rPr>
          <w:rStyle w:val="Referencingstyle"/>
        </w:rPr>
        <w:t>, subsection 177K(4) of the ITAA 1936]</w:t>
      </w:r>
    </w:p>
    <w:p w14:paraId="533CA641" w14:textId="359AFA75" w:rsidR="00C44444" w:rsidRDefault="00C44444" w:rsidP="0007403E">
      <w:pPr>
        <w:pStyle w:val="base-text-paragraph"/>
      </w:pPr>
      <w:r>
        <w:t xml:space="preserve">In calculating the increase in the foreign tax liability and the corresponding reduction in the Australian tax liability, goods and services tax (and any foreign equivalents) is not included. </w:t>
      </w:r>
    </w:p>
    <w:p w14:paraId="6E3C1724" w14:textId="4C8E055A" w:rsidR="00AA0FAC" w:rsidRDefault="00AA0FAC" w:rsidP="00AA0FAC">
      <w:pPr>
        <w:pStyle w:val="ExampleHeading"/>
      </w:pPr>
    </w:p>
    <w:p w14:paraId="33D4EBA8" w14:textId="77777777" w:rsidR="00AA0FAC" w:rsidRPr="00AA0FAC" w:rsidRDefault="00AA0FAC" w:rsidP="00AA0FAC">
      <w:pPr>
        <w:pStyle w:val="exampletext"/>
      </w:pPr>
      <w:r w:rsidRPr="00AA0FAC">
        <w:t>Australia Co and Foreign Co are associates. The Commissioner has identified a scheme to divert profits from Australia that involves a payment of $100 million from Australia Co to Foreign Co.</w:t>
      </w:r>
    </w:p>
    <w:p w14:paraId="0A616101" w14:textId="01064C89" w:rsidR="00AA0FAC" w:rsidRPr="00AA0FAC" w:rsidRDefault="00AA0FAC" w:rsidP="00AA0FAC">
      <w:pPr>
        <w:pStyle w:val="exampletext"/>
      </w:pPr>
      <w:r w:rsidRPr="00AA0FAC">
        <w:t>The Commissioner has access to information that the corporate tax rate in the foreign jurisdiction is 17 per cent, enabling the Commissioner to estimate that the foreign tax liability i</w:t>
      </w:r>
      <w:r w:rsidR="003E2A53">
        <w:t>s approximately $17 million (17 </w:t>
      </w:r>
      <w:r w:rsidRPr="00AA0FAC">
        <w:t>per cent of the $100 million payment).</w:t>
      </w:r>
    </w:p>
    <w:p w14:paraId="54D31617" w14:textId="25AB2721" w:rsidR="00AA0FAC" w:rsidRPr="00AA0FAC" w:rsidRDefault="00AA0FAC" w:rsidP="00AA0FAC">
      <w:pPr>
        <w:pStyle w:val="exampletext"/>
      </w:pPr>
      <w:r w:rsidRPr="00AA0FAC">
        <w:t>On the basis of this available information, the Commissioner does not consider that it is reasonable to conclude that</w:t>
      </w:r>
      <w:r w:rsidR="003E2A53">
        <w:t>,</w:t>
      </w:r>
      <w:r w:rsidRPr="00AA0FAC">
        <w:t xml:space="preserve"> as a result of the scheme, the increase in the foreign tax liability of </w:t>
      </w:r>
      <w:r w:rsidR="003E2A53">
        <w:t>Foreign Co equals or exceeds 80 per </w:t>
      </w:r>
      <w:r w:rsidRPr="00AA0FAC">
        <w:t>cent of the corresponding reduction in the Australian tax liability. This is because $17 million is less than 80</w:t>
      </w:r>
      <w:r w:rsidR="003E2A53">
        <w:t> per cent of the $100 </w:t>
      </w:r>
      <w:r w:rsidRPr="00AA0FAC">
        <w:t>million payment multiplied by the Australian corporate tax rate</w:t>
      </w:r>
      <w:r w:rsidR="003E2A53">
        <w:t xml:space="preserve"> </w:t>
      </w:r>
      <w:r w:rsidR="00C65E08">
        <w:t>(that is, ($100 million x 80 per cent) x 30 per cent = $24 million</w:t>
      </w:r>
      <w:r w:rsidRPr="00AA0FAC">
        <w:t>).</w:t>
      </w:r>
    </w:p>
    <w:p w14:paraId="41034912" w14:textId="77777777" w:rsidR="00AA0FAC" w:rsidRPr="00AA0FAC" w:rsidRDefault="00AA0FAC" w:rsidP="00AA0FAC">
      <w:pPr>
        <w:pStyle w:val="exampletext"/>
      </w:pPr>
      <w:r w:rsidRPr="00AA0FAC">
        <w:t>Therefore, Australia Co, as the relevant taxpayer, does not pass the sufficient foreign tax test on the basis of the information currently available to the Commissioner.</w:t>
      </w:r>
    </w:p>
    <w:p w14:paraId="6217F7E5" w14:textId="4BDEA4EF" w:rsidR="00AA0FAC" w:rsidRDefault="00AA0FAC" w:rsidP="00AA0FAC">
      <w:pPr>
        <w:pStyle w:val="exampletext"/>
      </w:pPr>
      <w:r w:rsidRPr="00AA0FAC">
        <w:t>To meet the sufficient foreign tax test, Australia Co will need to provide further information to the Co</w:t>
      </w:r>
      <w:r w:rsidR="003E2A53">
        <w:t>mmissioner to show that Foreign </w:t>
      </w:r>
      <w:r w:rsidRPr="00AA0FAC">
        <w:t>Co has a higher foreign tax liability.</w:t>
      </w:r>
    </w:p>
    <w:p w14:paraId="1E632074" w14:textId="77777777" w:rsidR="00AA0FAC" w:rsidRDefault="00AA0FAC" w:rsidP="00AA0FAC">
      <w:pPr>
        <w:pStyle w:val="ExampleHeading"/>
      </w:pPr>
    </w:p>
    <w:p w14:paraId="3538B6B5" w14:textId="77777777" w:rsidR="00AA0FAC" w:rsidRPr="00AA0FAC" w:rsidRDefault="00AA0FAC" w:rsidP="00AA0FAC">
      <w:pPr>
        <w:pStyle w:val="exampletext"/>
      </w:pPr>
      <w:r w:rsidRPr="00AA0FAC">
        <w:t>Australia Co, Foreign Co A and Foreign Co B are associates.</w:t>
      </w:r>
    </w:p>
    <w:p w14:paraId="5BC607A2" w14:textId="77777777" w:rsidR="00AA0FAC" w:rsidRPr="00AA0FAC" w:rsidRDefault="00AA0FAC" w:rsidP="00AA0FAC">
      <w:pPr>
        <w:pStyle w:val="exampletext"/>
      </w:pPr>
      <w:r w:rsidRPr="00AA0FAC">
        <w:t>The Commissioner has identified a scheme to divert profits from Australia that involves back to back payments between the three entities.</w:t>
      </w:r>
    </w:p>
    <w:p w14:paraId="571FAF70" w14:textId="16A0A6B6" w:rsidR="00AA0FAC" w:rsidRPr="00AA0FAC" w:rsidRDefault="00AA0FAC" w:rsidP="00AA0FAC">
      <w:pPr>
        <w:pStyle w:val="exampletext"/>
      </w:pPr>
      <w:r w:rsidRPr="00AA0FAC">
        <w:t>The Commissioner already has access to information that the</w:t>
      </w:r>
      <w:r w:rsidR="003E2A53">
        <w:t xml:space="preserve"> corporate tax rates in Foreign Co </w:t>
      </w:r>
      <w:r w:rsidRPr="00AA0FAC">
        <w:t>A’s jurisdi</w:t>
      </w:r>
      <w:r w:rsidR="003E2A53">
        <w:t>ction is 30 </w:t>
      </w:r>
      <w:r w:rsidRPr="00AA0FAC">
        <w:t xml:space="preserve">per cent and </w:t>
      </w:r>
      <w:r w:rsidRPr="003E2A53">
        <w:t>Fo</w:t>
      </w:r>
      <w:r w:rsidR="003E2A53" w:rsidRPr="003E2A53">
        <w:t>reign</w:t>
      </w:r>
      <w:r w:rsidR="003E2A53">
        <w:t> </w:t>
      </w:r>
      <w:r w:rsidR="003E2A53" w:rsidRPr="003E2A53">
        <w:t>Co</w:t>
      </w:r>
      <w:r w:rsidR="003E2A53">
        <w:t> B’s jurisdiction is 17 </w:t>
      </w:r>
      <w:r w:rsidRPr="00AA0FAC">
        <w:t>per cent.</w:t>
      </w:r>
    </w:p>
    <w:p w14:paraId="534D0A17" w14:textId="77777777" w:rsidR="003E2A53" w:rsidRDefault="00AA0FAC" w:rsidP="00AA0FAC">
      <w:pPr>
        <w:pStyle w:val="exampletext"/>
      </w:pPr>
      <w:r w:rsidRPr="00AA0FAC">
        <w:t>As part of the scheme, the Commissioner</w:t>
      </w:r>
      <w:r w:rsidR="003E2A53">
        <w:t xml:space="preserve"> has access to information that:</w:t>
      </w:r>
    </w:p>
    <w:p w14:paraId="1BFB2540" w14:textId="77777777" w:rsidR="003E2A53" w:rsidRDefault="00AA0FAC" w:rsidP="003E2A53">
      <w:pPr>
        <w:pStyle w:val="exampledotpoint1"/>
      </w:pPr>
      <w:r w:rsidRPr="00AA0FAC">
        <w:t>a payment of $100 million was ma</w:t>
      </w:r>
      <w:r w:rsidR="003E2A53">
        <w:t>de from Australia Co to Foreign Co </w:t>
      </w:r>
      <w:r w:rsidRPr="00AA0FAC">
        <w:t>A</w:t>
      </w:r>
      <w:r w:rsidR="003E2A53">
        <w:t>; and</w:t>
      </w:r>
    </w:p>
    <w:p w14:paraId="426FD6F0" w14:textId="12F6F6ED" w:rsidR="003E2A53" w:rsidRDefault="00AA0FAC" w:rsidP="003E2A53">
      <w:pPr>
        <w:pStyle w:val="exampledotpoint1"/>
      </w:pPr>
      <w:r w:rsidRPr="00AA0FAC">
        <w:t xml:space="preserve">Foreign Co A made a related payment to Foreign Co B as part of the scheme. </w:t>
      </w:r>
    </w:p>
    <w:p w14:paraId="759A3081" w14:textId="57959339" w:rsidR="00AA0FAC" w:rsidRPr="00AA0FAC" w:rsidRDefault="00AA0FAC" w:rsidP="00AA0FAC">
      <w:pPr>
        <w:pStyle w:val="exampletext"/>
      </w:pPr>
      <w:r w:rsidRPr="00AA0FAC">
        <w:t>The Commissioner does not possess information regarding the exact amount of this further payment made in relation to the scheme, but based on the information available, considers that it may be significant enough to result in the foreign tax liability being reduced below the necessary threshold, particularly as it would lead to a smaller foreign tax liability in Foreign Co A’s jurisdiction.</w:t>
      </w:r>
    </w:p>
    <w:p w14:paraId="3743B661" w14:textId="77777777" w:rsidR="00AA0FAC" w:rsidRPr="00AA0FAC" w:rsidRDefault="00AA0FAC" w:rsidP="00AA0FAC">
      <w:pPr>
        <w:pStyle w:val="exampletext"/>
      </w:pPr>
      <w:r w:rsidRPr="00AA0FAC">
        <w:t>On the basis of this available information, the Commissioner does not consider that it is reasonable to conclude that as a result of the scheme, the total increase in the foreign tax liability of Foreign Co A and Foreign Co B equals or exceeds 80 per cent of the corresponding reduction in the Australian tax liability. Therefore, Australia Co, as the relevant taxpayer, does not pass the sufficient foreign tax test on the basis of the information currently available to the Commissioner.</w:t>
      </w:r>
    </w:p>
    <w:p w14:paraId="4E2DB296" w14:textId="3BB88845" w:rsidR="00AA0FAC" w:rsidRPr="00AA0FAC" w:rsidRDefault="00AA0FAC" w:rsidP="00AA0FAC">
      <w:pPr>
        <w:pStyle w:val="exampletext"/>
      </w:pPr>
      <w:r w:rsidRPr="00AA0FAC">
        <w:t>To meet the sufficient foreign tax test, Australia Co will need to provide further information to the Commissioner to show that in total, Foreign Co A, Foreign Co B and/or other associated entities have a sufficient foreign tax liability as a result of the scheme.</w:t>
      </w:r>
    </w:p>
    <w:p w14:paraId="16A9D0B4" w14:textId="41C18E12" w:rsidR="00192422" w:rsidRDefault="004D4F70" w:rsidP="00A57C71">
      <w:pPr>
        <w:pStyle w:val="Heading4"/>
      </w:pPr>
      <w:r>
        <w:t>The s</w:t>
      </w:r>
      <w:r w:rsidR="00192422">
        <w:t>ufficient economic substance test</w:t>
      </w:r>
    </w:p>
    <w:p w14:paraId="5B80E9FD" w14:textId="1362DEBD" w:rsidR="00A57C71" w:rsidRDefault="00A57C71" w:rsidP="000D0695">
      <w:pPr>
        <w:pStyle w:val="base-text-paragraph"/>
      </w:pPr>
      <w:r>
        <w:t xml:space="preserve">Under the </w:t>
      </w:r>
      <w:r w:rsidR="004D4F70">
        <w:t>sufficient economic substance test</w:t>
      </w:r>
      <w:r>
        <w:t>, t</w:t>
      </w:r>
      <w:r w:rsidR="00192422">
        <w:t>he DPT will not appl</w:t>
      </w:r>
      <w:r w:rsidR="003E2A53">
        <w:t>y if</w:t>
      </w:r>
      <w:r w:rsidR="00192422">
        <w:t xml:space="preserve"> it is reasonable to conclude that the income </w:t>
      </w:r>
      <w:r w:rsidR="00FA324F">
        <w:t>derived, received or made</w:t>
      </w:r>
      <w:r w:rsidR="00192422">
        <w:t xml:space="preserve"> </w:t>
      </w:r>
      <w:r w:rsidR="00D3660F">
        <w:t>as a result of</w:t>
      </w:r>
      <w:r w:rsidR="00192422">
        <w:t xml:space="preserve"> the scheme </w:t>
      </w:r>
      <w:r w:rsidR="00FA324F">
        <w:t>by</w:t>
      </w:r>
      <w:r w:rsidR="00192422">
        <w:t xml:space="preserve"> each entity </w:t>
      </w:r>
      <w:r w:rsidR="00D3660F">
        <w:t>that entered into or carried out the scheme</w:t>
      </w:r>
      <w:r w:rsidR="00FA324F" w:rsidRPr="00FA324F">
        <w:t xml:space="preserve"> </w:t>
      </w:r>
      <w:r w:rsidR="00FA324F">
        <w:t>or any part of the scheme</w:t>
      </w:r>
      <w:r w:rsidR="00D3660F">
        <w:t xml:space="preserve">, or that is otherwise connected with </w:t>
      </w:r>
      <w:r w:rsidR="00192422">
        <w:t>the scheme</w:t>
      </w:r>
      <w:r w:rsidR="00FA324F" w:rsidRPr="00FA324F">
        <w:t xml:space="preserve"> </w:t>
      </w:r>
      <w:r w:rsidR="00FA324F">
        <w:t>or any part of the scheme</w:t>
      </w:r>
      <w:r w:rsidR="00D3660F">
        <w:t>,</w:t>
      </w:r>
      <w:r w:rsidR="00192422">
        <w:t xml:space="preserve"> </w:t>
      </w:r>
      <w:r>
        <w:t>reasonably</w:t>
      </w:r>
      <w:r w:rsidR="00192422">
        <w:t xml:space="preserve"> reflects</w:t>
      </w:r>
      <w:r w:rsidR="000D0695">
        <w:t xml:space="preserve"> the economic substance of the entity’s activities in connection with the scheme.</w:t>
      </w:r>
      <w:r w:rsidR="00FA324F">
        <w:t xml:space="preserve"> </w:t>
      </w:r>
      <w:r>
        <w:rPr>
          <w:rStyle w:val="Referencingstyle"/>
        </w:rPr>
        <w:t>[</w:t>
      </w:r>
      <w:r w:rsidR="000B63B3">
        <w:rPr>
          <w:rStyle w:val="Referencingstyle"/>
        </w:rPr>
        <w:t>Schedule 1</w:t>
      </w:r>
      <w:r w:rsidR="0039018D">
        <w:rPr>
          <w:rStyle w:val="Referencingstyle"/>
        </w:rPr>
        <w:t xml:space="preserve">, </w:t>
      </w:r>
      <w:r w:rsidR="000B63B3">
        <w:rPr>
          <w:rStyle w:val="Referencingstyle"/>
        </w:rPr>
        <w:t>item 5</w:t>
      </w:r>
      <w:r w:rsidR="0039018D">
        <w:rPr>
          <w:rStyle w:val="Referencingstyle"/>
        </w:rPr>
        <w:t>, paragraph 177H(1)(e</w:t>
      </w:r>
      <w:r>
        <w:rPr>
          <w:rStyle w:val="Referencingstyle"/>
        </w:rPr>
        <w:t>)</w:t>
      </w:r>
      <w:r w:rsidR="00D3660F">
        <w:rPr>
          <w:rStyle w:val="Referencingstyle"/>
        </w:rPr>
        <w:t>,</w:t>
      </w:r>
      <w:r w:rsidR="000D0695">
        <w:rPr>
          <w:rStyle w:val="Referencingstyle"/>
        </w:rPr>
        <w:t xml:space="preserve"> </w:t>
      </w:r>
      <w:r>
        <w:rPr>
          <w:rStyle w:val="Referencingstyle"/>
        </w:rPr>
        <w:t>section 177L</w:t>
      </w:r>
      <w:r w:rsidR="00D3660F">
        <w:rPr>
          <w:rStyle w:val="Referencingstyle"/>
        </w:rPr>
        <w:t xml:space="preserve"> </w:t>
      </w:r>
      <w:r>
        <w:rPr>
          <w:rStyle w:val="Referencingstyle"/>
        </w:rPr>
        <w:t>of the ITAA 1936]</w:t>
      </w:r>
    </w:p>
    <w:p w14:paraId="558BF6D2" w14:textId="71C745FD" w:rsidR="007C7A64" w:rsidRDefault="007C7A64" w:rsidP="007C7A64">
      <w:pPr>
        <w:pStyle w:val="base-text-paragraph"/>
      </w:pPr>
      <w:r>
        <w:t>T</w:t>
      </w:r>
      <w:r w:rsidRPr="007C7A64">
        <w:t>he sufficient economic substance test</w:t>
      </w:r>
      <w:r>
        <w:t xml:space="preserve"> will apply only if </w:t>
      </w:r>
      <w:r w:rsidRPr="007C7A64">
        <w:t>the taxpayer provide</w:t>
      </w:r>
      <w:r>
        <w:t>s</w:t>
      </w:r>
      <w:r w:rsidRPr="007C7A64">
        <w:t xml:space="preserve"> information to satisfy the Commissioner that the activities of the relevant entity have sufficient economic substance in relation to the income </w:t>
      </w:r>
      <w:r>
        <w:t xml:space="preserve">derived, received or made by the entity </w:t>
      </w:r>
      <w:r w:rsidRPr="007C7A64">
        <w:t>as a result of the scheme.</w:t>
      </w:r>
    </w:p>
    <w:p w14:paraId="260877B3" w14:textId="261C2A01" w:rsidR="005D64EF" w:rsidRDefault="00C63557" w:rsidP="00192422">
      <w:pPr>
        <w:pStyle w:val="base-text-paragraph"/>
      </w:pPr>
      <w:r>
        <w:t xml:space="preserve">The sufficient economic substance test </w:t>
      </w:r>
      <w:r w:rsidR="005D64EF">
        <w:t>ensure</w:t>
      </w:r>
      <w:r w:rsidR="0059066B">
        <w:t>s</w:t>
      </w:r>
      <w:r w:rsidR="005D64EF">
        <w:t xml:space="preserve"> that the DPT </w:t>
      </w:r>
      <w:r w:rsidR="0059066B">
        <w:t xml:space="preserve">does not apply to a relevant taxpayer if the income </w:t>
      </w:r>
      <w:r w:rsidR="00A02153">
        <w:t>derived, received or made by</w:t>
      </w:r>
      <w:r w:rsidR="0059066B">
        <w:t xml:space="preserve"> </w:t>
      </w:r>
      <w:r w:rsidR="00320D79">
        <w:t xml:space="preserve">each entity in the arrangement is broadly in line with </w:t>
      </w:r>
      <w:r w:rsidR="0059066B">
        <w:t xml:space="preserve">the economic activities undertaken </w:t>
      </w:r>
      <w:r w:rsidR="00715C27">
        <w:t xml:space="preserve">by </w:t>
      </w:r>
      <w:r w:rsidR="00320D79">
        <w:t>those entities</w:t>
      </w:r>
      <w:r w:rsidR="0059066B">
        <w:t xml:space="preserve">. Consequently, if a </w:t>
      </w:r>
      <w:r w:rsidR="005D64EF">
        <w:t>multinational entit</w:t>
      </w:r>
      <w:r w:rsidR="0059066B">
        <w:t>y</w:t>
      </w:r>
      <w:r w:rsidR="005D64EF">
        <w:t xml:space="preserve"> operating in Australia structure</w:t>
      </w:r>
      <w:r w:rsidR="008B435E">
        <w:t>s</w:t>
      </w:r>
      <w:r w:rsidR="005D64EF">
        <w:t xml:space="preserve"> </w:t>
      </w:r>
      <w:r w:rsidR="0059066B">
        <w:t xml:space="preserve">its </w:t>
      </w:r>
      <w:r w:rsidR="005D64EF">
        <w:t xml:space="preserve">affairs in a way that </w:t>
      </w:r>
      <w:r w:rsidR="00320D79">
        <w:t>reasonably</w:t>
      </w:r>
      <w:r w:rsidR="005D64EF">
        <w:t xml:space="preserve"> reflects their economic substance</w:t>
      </w:r>
      <w:r w:rsidR="0059066B">
        <w:t>, the sufficient economic substance test will operate so that the DPT will not apply</w:t>
      </w:r>
      <w:r w:rsidR="005D64EF">
        <w:t>.</w:t>
      </w:r>
    </w:p>
    <w:p w14:paraId="7FE7FAC4" w14:textId="77777777" w:rsidR="007C7A64" w:rsidRDefault="007C7A64" w:rsidP="007C7A64">
      <w:pPr>
        <w:pStyle w:val="base-text-paragraph"/>
      </w:pPr>
      <w:r w:rsidRPr="007C7A64">
        <w:t>In determining the economic substance of the entity’s activitie</w:t>
      </w:r>
      <w:r>
        <w:t xml:space="preserve">s in connection with the scheme, the focus is on the </w:t>
      </w:r>
      <w:r w:rsidRPr="007C7A64">
        <w:t xml:space="preserve">active </w:t>
      </w:r>
      <w:r>
        <w:t xml:space="preserve">activities (and not the passive activities) </w:t>
      </w:r>
      <w:r w:rsidRPr="007C7A64">
        <w:t>of the entity being tested</w:t>
      </w:r>
      <w:r>
        <w:t xml:space="preserve">. </w:t>
      </w:r>
    </w:p>
    <w:p w14:paraId="57DD70A5" w14:textId="3166142E" w:rsidR="00281C1F" w:rsidRDefault="00A620C3" w:rsidP="00A620C3">
      <w:pPr>
        <w:pStyle w:val="base-text-paragraph"/>
      </w:pPr>
      <w:r>
        <w:t xml:space="preserve">For the purpose of </w:t>
      </w:r>
      <w:r w:rsidR="00281C1F">
        <w:t>applying the sufficient economic substance test</w:t>
      </w:r>
      <w:r>
        <w:t>, consideration should be given to the guidance</w:t>
      </w:r>
      <w:r w:rsidR="007C7A64">
        <w:t xml:space="preserve"> </w:t>
      </w:r>
      <w:r>
        <w:t xml:space="preserve">in the </w:t>
      </w:r>
      <w:r w:rsidR="00281C1F">
        <w:t xml:space="preserve">OECD </w:t>
      </w:r>
      <w:r>
        <w:t xml:space="preserve">Transfer Pricing Guidelines </w:t>
      </w:r>
      <w:r w:rsidR="00281C1F">
        <w:t>for Multinational Enterprises and Tax Administrations as:</w:t>
      </w:r>
    </w:p>
    <w:p w14:paraId="28589DA1" w14:textId="149325DC" w:rsidR="00A620C3" w:rsidRDefault="00A620C3" w:rsidP="00281C1F">
      <w:pPr>
        <w:pStyle w:val="dotpoint"/>
      </w:pPr>
      <w:r>
        <w:t xml:space="preserve">approved by the Council of the </w:t>
      </w:r>
      <w:r w:rsidR="00281C1F">
        <w:t xml:space="preserve">OECD </w:t>
      </w:r>
      <w:r>
        <w:t>and last amended on 22 July 2010; and</w:t>
      </w:r>
    </w:p>
    <w:p w14:paraId="6C202935" w14:textId="42D17BE7" w:rsidR="00281C1F" w:rsidRDefault="00281C1F" w:rsidP="00281C1F">
      <w:pPr>
        <w:pStyle w:val="dotpoint"/>
      </w:pPr>
      <w:r>
        <w:t xml:space="preserve">revised by the report, </w:t>
      </w:r>
      <w:r w:rsidRPr="00281C1F">
        <w:rPr>
          <w:i/>
        </w:rPr>
        <w:t>Aligning Transfer Pricing Outcomes with Value Creation, Actions 8-10 – 2015 Final Reports</w:t>
      </w:r>
      <w:r>
        <w:t>, published by the OECD on 5 October 2015.</w:t>
      </w:r>
    </w:p>
    <w:p w14:paraId="3D55CFD7" w14:textId="6E2078EF" w:rsidR="00A620C3" w:rsidRDefault="008B435E" w:rsidP="00A620C3">
      <w:pPr>
        <w:pStyle w:val="base-text-paragraph"/>
      </w:pPr>
      <w:r>
        <w:t xml:space="preserve">In this regard, paragraph 1.36 of the report, </w:t>
      </w:r>
      <w:r w:rsidRPr="00281C1F">
        <w:rPr>
          <w:i/>
        </w:rPr>
        <w:t>Aligning Transfer Pricing Outcomes with Value Creation, Actions 8-10 – 2015 Final Reports</w:t>
      </w:r>
      <w:r>
        <w:t>, published by the OECD on 5 October 2015 states that:</w:t>
      </w:r>
    </w:p>
    <w:p w14:paraId="39543275" w14:textId="523452F3" w:rsidR="008B435E" w:rsidRDefault="008B435E" w:rsidP="008B435E">
      <w:pPr>
        <w:pStyle w:val="exampletext"/>
      </w:pPr>
      <w:r>
        <w:t>The economically relevant characteristics or comparability factors that need to be identified in commercial or financial relations between associated enterprises in order to accurately delineate the actual transaction can be broadly categorised as follows:</w:t>
      </w:r>
    </w:p>
    <w:p w14:paraId="27E68977" w14:textId="727F4195" w:rsidR="008B435E" w:rsidRDefault="008B435E" w:rsidP="008B435E">
      <w:pPr>
        <w:pStyle w:val="exampledotpoint1"/>
      </w:pPr>
      <w:r>
        <w:t>the contractual terms of the transaction</w:t>
      </w:r>
      <w:r w:rsidR="00E86A13">
        <w:t>.</w:t>
      </w:r>
    </w:p>
    <w:p w14:paraId="1250114B" w14:textId="6545FAAE" w:rsidR="008B435E" w:rsidRDefault="008B435E" w:rsidP="008B435E">
      <w:pPr>
        <w:pStyle w:val="exampledotpoint1"/>
      </w:pPr>
      <w:r>
        <w:t>the functions performed by each of the parties to the transaction, taking into account assets used and risks assumed, including how those functions relate to the wider generation of value by the [multinational enterprise] group to which the parties belong, the circumstances surrounding the transaction, and industry practices</w:t>
      </w:r>
      <w:r w:rsidR="00E86A13">
        <w:t>.</w:t>
      </w:r>
    </w:p>
    <w:p w14:paraId="283E0C9E" w14:textId="77777777" w:rsidR="008B435E" w:rsidRDefault="008B435E" w:rsidP="008B435E">
      <w:pPr>
        <w:pStyle w:val="exampledotpoint1"/>
      </w:pPr>
      <w:r>
        <w:t>the characteristics of property transferred or services provided</w:t>
      </w:r>
      <w:r w:rsidR="00E86A13">
        <w:t>.</w:t>
      </w:r>
    </w:p>
    <w:p w14:paraId="69F445CF" w14:textId="7E6FDCCB" w:rsidR="008B435E" w:rsidRDefault="008B435E" w:rsidP="008B435E">
      <w:pPr>
        <w:pStyle w:val="exampledotpoint1"/>
      </w:pPr>
      <w:r>
        <w:t>the economic circumstances of the parties and the markets in whic</w:t>
      </w:r>
      <w:r w:rsidR="00E86A13">
        <w:t>h the parties operate.</w:t>
      </w:r>
    </w:p>
    <w:p w14:paraId="1299488D" w14:textId="66780CFD" w:rsidR="008B435E" w:rsidRDefault="008B435E" w:rsidP="008B435E">
      <w:pPr>
        <w:pStyle w:val="exampledotpoint1"/>
      </w:pPr>
      <w:r>
        <w:t xml:space="preserve">the business strategies </w:t>
      </w:r>
      <w:r w:rsidR="002828FF">
        <w:t>pursued by the parties.</w:t>
      </w:r>
    </w:p>
    <w:p w14:paraId="3420ED6C" w14:textId="77777777" w:rsidR="007C7A64" w:rsidRDefault="002828FF" w:rsidP="002828FF">
      <w:pPr>
        <w:pStyle w:val="base-text-paragraph"/>
      </w:pPr>
      <w:r>
        <w:t xml:space="preserve">The report contains detailed explanations of each of these </w:t>
      </w:r>
      <w:r w:rsidRPr="002828FF">
        <w:t>economically relevant characteristics or comparability factors</w:t>
      </w:r>
      <w:r>
        <w:t xml:space="preserve">. </w:t>
      </w:r>
    </w:p>
    <w:p w14:paraId="382ED419" w14:textId="5899A012" w:rsidR="005D64EF" w:rsidRDefault="007C7A64" w:rsidP="007C7A64">
      <w:pPr>
        <w:pStyle w:val="base-text-paragraph"/>
      </w:pPr>
      <w:r>
        <w:t>However, the OECD Transfer Pricing Guidelines</w:t>
      </w:r>
      <w:r w:rsidRPr="007C7A64">
        <w:t xml:space="preserve"> </w:t>
      </w:r>
      <w:r>
        <w:t xml:space="preserve">should be taken into account </w:t>
      </w:r>
      <w:r w:rsidRPr="007C7A64">
        <w:t xml:space="preserve">only to the extent that the </w:t>
      </w:r>
      <w:r w:rsidR="004D3FB4">
        <w:t>Guidelines</w:t>
      </w:r>
      <w:r w:rsidR="004D3FB4" w:rsidRPr="007C7A64">
        <w:t xml:space="preserve"> </w:t>
      </w:r>
      <w:r w:rsidR="004D3FB4">
        <w:t>are</w:t>
      </w:r>
      <w:r w:rsidRPr="007C7A64">
        <w:t xml:space="preserve"> relevant in determining the economic substance of the entity’s activities in connection with the scheme</w:t>
      </w:r>
      <w:r w:rsidR="004D3FB4">
        <w:t>.</w:t>
      </w:r>
      <w:r w:rsidR="0039606A" w:rsidRPr="0039606A">
        <w:t xml:space="preserve"> </w:t>
      </w:r>
    </w:p>
    <w:p w14:paraId="15299DA5" w14:textId="07A0BC9F" w:rsidR="00F66A65" w:rsidRDefault="00F66A65" w:rsidP="00F66A65">
      <w:pPr>
        <w:pStyle w:val="ExampleHeading"/>
      </w:pPr>
    </w:p>
    <w:p w14:paraId="1D589F30" w14:textId="15ECE9F4" w:rsidR="00F66A65" w:rsidRPr="00F66A65" w:rsidRDefault="00F66A65" w:rsidP="00F66A65">
      <w:pPr>
        <w:pStyle w:val="exampletext"/>
      </w:pPr>
      <w:r w:rsidRPr="00F66A65">
        <w:t xml:space="preserve">The Ozcom group is a multinational electronic hardware group headquartered in Australia that develops, manufactures and markets specialist communications hardware. The Ozcom group has substantial operations in a number of markets globally and has a turnover exceeding </w:t>
      </w:r>
      <w:r>
        <w:t>$</w:t>
      </w:r>
      <w:r w:rsidR="00FB7357">
        <w:t>AU</w:t>
      </w:r>
      <w:r>
        <w:t xml:space="preserve">1 billion. </w:t>
      </w:r>
      <w:r w:rsidRPr="00F66A65">
        <w:t xml:space="preserve">Ozcom Australia is the parent company of the group. </w:t>
      </w:r>
    </w:p>
    <w:p w14:paraId="6BDFB014" w14:textId="6FF36A3F" w:rsidR="00F66A65" w:rsidRPr="00F66A65" w:rsidRDefault="00F66A65" w:rsidP="00F66A65">
      <w:pPr>
        <w:pStyle w:val="exampletext"/>
      </w:pPr>
      <w:r w:rsidRPr="00F66A65">
        <w:t>Ozcom Australia had previously adopted a model where on commercialisation of their products, manufacturing would be undertaken by a related party of the group (Manufacture C</w:t>
      </w:r>
      <w:r>
        <w:t xml:space="preserve">o) </w:t>
      </w:r>
      <w:r w:rsidR="00C0468A" w:rsidRPr="00F66A65">
        <w:t xml:space="preserve">based in Country A </w:t>
      </w:r>
      <w:r>
        <w:t>on a toll manufacture basis.</w:t>
      </w:r>
      <w:r w:rsidRPr="00F66A65">
        <w:t xml:space="preserve"> Manufacture Co was compensated </w:t>
      </w:r>
      <w:r>
        <w:t>on a cost plus basis.</w:t>
      </w:r>
      <w:r w:rsidRPr="00F66A65">
        <w:t xml:space="preserve"> Ozcom Australia would perform ongoing </w:t>
      </w:r>
      <w:r w:rsidR="00C0468A">
        <w:t>research and development</w:t>
      </w:r>
      <w:r w:rsidRPr="00F66A65">
        <w:t xml:space="preserve"> and other activities to maintain the value of the </w:t>
      </w:r>
      <w:r w:rsidR="00C0468A">
        <w:t>intellectual property</w:t>
      </w:r>
      <w:r w:rsidRPr="00F66A65">
        <w:t xml:space="preserve">, as well as marketing and distribution functions.  </w:t>
      </w:r>
    </w:p>
    <w:p w14:paraId="310C50F6" w14:textId="3970385E" w:rsidR="002629E0" w:rsidRDefault="00F66A65" w:rsidP="00F66A65">
      <w:pPr>
        <w:pStyle w:val="exampletext"/>
      </w:pPr>
      <w:r w:rsidRPr="00F66A65">
        <w:t>Ozcom Australia restr</w:t>
      </w:r>
      <w:r>
        <w:t xml:space="preserve">uctures its operational model. </w:t>
      </w:r>
      <w:r w:rsidRPr="00F66A65">
        <w:t>When a new Ozcom Australia product</w:t>
      </w:r>
      <w:r w:rsidR="00C0468A">
        <w:t xml:space="preserve"> (</w:t>
      </w:r>
      <w:r w:rsidRPr="00F66A65">
        <w:t>‘</w:t>
      </w:r>
      <w:r w:rsidRPr="007E072A">
        <w:t>Trumpet’</w:t>
      </w:r>
      <w:r w:rsidR="00C0468A">
        <w:t>)</w:t>
      </w:r>
      <w:r w:rsidRPr="00F66A65">
        <w:t xml:space="preserve"> reached commercialisation, </w:t>
      </w:r>
      <w:r>
        <w:t xml:space="preserve">a new scheme was put in place. </w:t>
      </w:r>
      <w:r w:rsidRPr="00F66A65">
        <w:t>A new wholly owned subsidiary of Ozcom Australia, Foreign IP Co,</w:t>
      </w:r>
      <w:r>
        <w:t xml:space="preserve"> was established in Country A. </w:t>
      </w:r>
      <w:r w:rsidRPr="00F66A65">
        <w:t>Foreign IP Co</w:t>
      </w:r>
      <w:r w:rsidR="002629E0">
        <w:t>:</w:t>
      </w:r>
    </w:p>
    <w:p w14:paraId="73C9A979" w14:textId="77777777" w:rsidR="002629E0" w:rsidRDefault="002629E0" w:rsidP="002629E0">
      <w:pPr>
        <w:pStyle w:val="exampledotpoint1"/>
      </w:pPr>
      <w:r w:rsidRPr="00F66A65">
        <w:t xml:space="preserve">purchases </w:t>
      </w:r>
      <w:r w:rsidR="00F66A65" w:rsidRPr="00F66A65">
        <w:t xml:space="preserve">the Trumpet </w:t>
      </w:r>
      <w:r>
        <w:t>intellectual property</w:t>
      </w:r>
      <w:r w:rsidRPr="00F66A65">
        <w:t xml:space="preserve"> </w:t>
      </w:r>
      <w:r w:rsidR="00F66A65" w:rsidRPr="00F66A65">
        <w:t>rights from Ozcom Australia</w:t>
      </w:r>
      <w:r>
        <w:t>;</w:t>
      </w:r>
    </w:p>
    <w:p w14:paraId="61CF04B4" w14:textId="77777777" w:rsidR="002629E0" w:rsidRDefault="00F66A65" w:rsidP="002629E0">
      <w:pPr>
        <w:pStyle w:val="exampledotpoint1"/>
      </w:pPr>
      <w:r w:rsidRPr="00F66A65">
        <w:t>subcontracts its manufacture on a toll basis to Manufacture Co</w:t>
      </w:r>
      <w:r w:rsidR="002629E0">
        <w:t>;</w:t>
      </w:r>
      <w:r w:rsidRPr="00F66A65">
        <w:t xml:space="preserve"> and </w:t>
      </w:r>
    </w:p>
    <w:p w14:paraId="3FD070ED" w14:textId="5DF45AB6" w:rsidR="002629E0" w:rsidRDefault="00F66A65" w:rsidP="002629E0">
      <w:pPr>
        <w:pStyle w:val="exampledotpoint1"/>
      </w:pPr>
      <w:r w:rsidRPr="00F66A65">
        <w:t xml:space="preserve">subcontracts the </w:t>
      </w:r>
      <w:r w:rsidR="007E072A">
        <w:t xml:space="preserve">intellectual property </w:t>
      </w:r>
      <w:r w:rsidRPr="00F66A65">
        <w:t>support, marketing and distribution of the Trump</w:t>
      </w:r>
      <w:r w:rsidR="002629E0">
        <w:t xml:space="preserve">et product to Ozcom Australia.  </w:t>
      </w:r>
    </w:p>
    <w:p w14:paraId="7F72DF94" w14:textId="17B9119A" w:rsidR="00F66A65" w:rsidRPr="00F66A65" w:rsidRDefault="00F66A65" w:rsidP="00F66A65">
      <w:pPr>
        <w:pStyle w:val="exampletext"/>
      </w:pPr>
      <w:r w:rsidRPr="00F66A65">
        <w:t>Both Manufacture Co and Ozcom Australia are comp</w:t>
      </w:r>
      <w:r w:rsidR="002629E0">
        <w:t>ensated on a cost plus basis.</w:t>
      </w:r>
    </w:p>
    <w:p w14:paraId="72195937" w14:textId="4CCE307C" w:rsidR="00F66A65" w:rsidRPr="00F66A65" w:rsidRDefault="00F66A65" w:rsidP="00F66A65">
      <w:pPr>
        <w:pStyle w:val="exampletext"/>
      </w:pPr>
      <w:r w:rsidRPr="00F66A65">
        <w:t xml:space="preserve">Following the restructure, sales of Trumpet </w:t>
      </w:r>
      <w:r w:rsidR="007E072A">
        <w:t>are $100 </w:t>
      </w:r>
      <w:r w:rsidRPr="00F66A65">
        <w:t>million annually. Manufacture Co receives $44 mil</w:t>
      </w:r>
      <w:r w:rsidR="007E072A">
        <w:t>lion ($40 million costs plus 10 per </w:t>
      </w:r>
      <w:r w:rsidRPr="00F66A65">
        <w:t>cent) in income for manufacturing on behalf of Foreign IP Co</w:t>
      </w:r>
      <w:r w:rsidR="007E072A">
        <w:t>.  Ozcom Australia receives $11 million annually ($10 </w:t>
      </w:r>
      <w:r w:rsidRPr="00F66A65">
        <w:t>million costs plus 10</w:t>
      </w:r>
      <w:r w:rsidR="007E072A">
        <w:t> </w:t>
      </w:r>
      <w:r w:rsidRPr="00F66A65">
        <w:t>per</w:t>
      </w:r>
      <w:r w:rsidR="007E072A">
        <w:t> </w:t>
      </w:r>
      <w:r w:rsidRPr="00F66A65">
        <w:t xml:space="preserve">cent) for ongoing </w:t>
      </w:r>
      <w:r w:rsidR="007E072A">
        <w:t xml:space="preserve">intellectual property </w:t>
      </w:r>
      <w:r w:rsidRPr="00F66A65">
        <w:t xml:space="preserve">support, in house marketing and distribution functions it performs.  </w:t>
      </w:r>
    </w:p>
    <w:p w14:paraId="518087CB" w14:textId="19CF978F" w:rsidR="00F66A65" w:rsidRPr="00F66A65" w:rsidRDefault="00F66A65" w:rsidP="00F66A65">
      <w:pPr>
        <w:pStyle w:val="exampletext"/>
      </w:pPr>
      <w:r w:rsidRPr="00F66A65">
        <w:t xml:space="preserve">Following the lodgement of Ozcom Australia’s income tax return, to establish the economic substance of the scheme, the </w:t>
      </w:r>
      <w:r w:rsidR="007E072A">
        <w:t>Commissioner</w:t>
      </w:r>
      <w:r w:rsidRPr="00F66A65">
        <w:t xml:space="preserve"> requests information to determine if each entity is receiving income in accordance with the:</w:t>
      </w:r>
    </w:p>
    <w:p w14:paraId="4AE6577A" w14:textId="55E8FFCC" w:rsidR="00F66A65" w:rsidRPr="00F66A65" w:rsidRDefault="00F66A65" w:rsidP="00C0468A">
      <w:pPr>
        <w:pStyle w:val="exampledotpoint1"/>
      </w:pPr>
      <w:r w:rsidRPr="00F66A65">
        <w:t>active functions being undertaken by each entity</w:t>
      </w:r>
      <w:r w:rsidR="0030628A">
        <w:t>;</w:t>
      </w:r>
      <w:r w:rsidRPr="00F66A65">
        <w:t xml:space="preserve"> </w:t>
      </w:r>
    </w:p>
    <w:p w14:paraId="01B6D045" w14:textId="49220B05" w:rsidR="00F66A65" w:rsidRPr="00F66A65" w:rsidRDefault="00F66A65" w:rsidP="00C0468A">
      <w:pPr>
        <w:pStyle w:val="exampledotpoint1"/>
      </w:pPr>
      <w:r w:rsidRPr="00F66A65">
        <w:t xml:space="preserve">assets being actively used in deriving the income from the scheme; and </w:t>
      </w:r>
    </w:p>
    <w:p w14:paraId="5D609E96" w14:textId="6BA2C0EF" w:rsidR="00F66A65" w:rsidRPr="00F66A65" w:rsidRDefault="00F66A65" w:rsidP="00C0468A">
      <w:pPr>
        <w:pStyle w:val="exampledotpoint1"/>
      </w:pPr>
      <w:r w:rsidRPr="00F66A65">
        <w:t xml:space="preserve">the active management by, and capacity for each entity to assume and absorb the commercial risks.  </w:t>
      </w:r>
    </w:p>
    <w:p w14:paraId="5EB0D12F" w14:textId="53E65754" w:rsidR="00F66A65" w:rsidRPr="00F66A65" w:rsidRDefault="00F66A65" w:rsidP="00F66A65">
      <w:pPr>
        <w:pStyle w:val="exampletext"/>
      </w:pPr>
      <w:r w:rsidRPr="00F66A65">
        <w:t>The functions, assets and risks of the scheme as a whole are</w:t>
      </w:r>
      <w:r w:rsidR="0013440E">
        <w:t xml:space="preserve"> as follows.</w:t>
      </w:r>
      <w:r w:rsidRPr="00F66A65">
        <w:t xml:space="preserve"> </w:t>
      </w:r>
    </w:p>
    <w:p w14:paraId="4055F01C" w14:textId="39A6292D" w:rsidR="00F66A65" w:rsidRPr="00F66A65" w:rsidRDefault="007E072A" w:rsidP="00C0468A">
      <w:pPr>
        <w:pStyle w:val="exampledotpoint1"/>
      </w:pPr>
      <w:r>
        <w:t>Functions —</w:t>
      </w:r>
      <w:r w:rsidR="00F66A65" w:rsidRPr="00F66A65">
        <w:t xml:space="preserve"> </w:t>
      </w:r>
      <w:r>
        <w:t xml:space="preserve">intellectual property </w:t>
      </w:r>
      <w:r w:rsidR="00F66A65" w:rsidRPr="00F66A65">
        <w:t>development and maintenance, market development and servicing, manufacturing and distribution.</w:t>
      </w:r>
    </w:p>
    <w:p w14:paraId="3BE93B90" w14:textId="3F7D8DBA" w:rsidR="00F66A65" w:rsidRPr="00F66A65" w:rsidRDefault="00F66A65" w:rsidP="00C0468A">
      <w:pPr>
        <w:pStyle w:val="exampledotpoint1"/>
      </w:pPr>
      <w:r w:rsidRPr="00F66A65">
        <w:t xml:space="preserve">Assets: </w:t>
      </w:r>
    </w:p>
    <w:p w14:paraId="7D9ED189" w14:textId="13D261D3" w:rsidR="00F66A65" w:rsidRPr="00F66A65" w:rsidRDefault="00F66A65" w:rsidP="00C0468A">
      <w:pPr>
        <w:pStyle w:val="exampledotpoint2"/>
      </w:pPr>
      <w:r w:rsidRPr="00F66A65">
        <w:t xml:space="preserve">Trumpet </w:t>
      </w:r>
      <w:r w:rsidR="006E2D31">
        <w:t>intellectual property</w:t>
      </w:r>
      <w:r w:rsidRPr="00F66A65">
        <w:t xml:space="preserve">, </w:t>
      </w:r>
      <w:r w:rsidR="006E2D31">
        <w:t xml:space="preserve">intellectual property </w:t>
      </w:r>
      <w:r w:rsidRPr="00F66A65">
        <w:t xml:space="preserve">associated with customer knowledge and Ozcom brand goodwill;  </w:t>
      </w:r>
    </w:p>
    <w:p w14:paraId="50D966E2" w14:textId="604B5DC9" w:rsidR="00F66A65" w:rsidRDefault="00F66A65" w:rsidP="00C0468A">
      <w:pPr>
        <w:pStyle w:val="exampledotpoint2"/>
      </w:pPr>
      <w:r w:rsidRPr="00F66A65">
        <w:t>manufacturing property plant and equipment; and</w:t>
      </w:r>
    </w:p>
    <w:p w14:paraId="1A878BF1" w14:textId="4659DAF6" w:rsidR="00C0468A" w:rsidRPr="00F66A65" w:rsidRDefault="00C0468A" w:rsidP="00C0468A">
      <w:pPr>
        <w:pStyle w:val="exampledotpoint2"/>
      </w:pPr>
      <w:r w:rsidRPr="00F66A65">
        <w:t>other business assets in relation to manufacturing, marketing and distribution</w:t>
      </w:r>
      <w:r>
        <w:t>.</w:t>
      </w:r>
    </w:p>
    <w:p w14:paraId="030155CF" w14:textId="17A467EF" w:rsidR="00F66A65" w:rsidRPr="00F66A65" w:rsidRDefault="00F66A65" w:rsidP="00C0468A">
      <w:pPr>
        <w:pStyle w:val="exampledotpoint1"/>
      </w:pPr>
      <w:r w:rsidRPr="00F66A65">
        <w:t>Risks</w:t>
      </w:r>
      <w:r w:rsidR="006E2D31">
        <w:t xml:space="preserve"> —</w:t>
      </w:r>
      <w:r w:rsidRPr="00F66A65">
        <w:t xml:space="preserve"> obsolesce of Trumpet </w:t>
      </w:r>
      <w:r w:rsidR="006E2D31">
        <w:t>intellectual property</w:t>
      </w:r>
      <w:r w:rsidRPr="00F66A65">
        <w:t xml:space="preserve">, loss of brand goodwill, commercial loss from the development, manufacture and sale of the Trumpet product. </w:t>
      </w:r>
    </w:p>
    <w:p w14:paraId="3E5B244A" w14:textId="76B291B8" w:rsidR="00F66A65" w:rsidRDefault="00F66A65" w:rsidP="00F66A65">
      <w:pPr>
        <w:pStyle w:val="exampletext"/>
      </w:pPr>
      <w:r w:rsidRPr="00F66A65">
        <w:t xml:space="preserve">Based on an analysis of the activities of each of the entities in connection with the scheme, the taxpayer fails to demonstrate sufficient economic substance. The </w:t>
      </w:r>
      <w:r w:rsidR="006E2D31">
        <w:t>Commissioner</w:t>
      </w:r>
      <w:r w:rsidRPr="00F66A65">
        <w:t xml:space="preserve"> considers the income attributed to Foreign IP Co does not reasonably reflect the active functions undertaken by Foreign IP Co, </w:t>
      </w:r>
      <w:r w:rsidR="00282084">
        <w:t xml:space="preserve">the </w:t>
      </w:r>
      <w:r w:rsidRPr="00F66A65">
        <w:t xml:space="preserve">assets (Trumpet </w:t>
      </w:r>
      <w:r w:rsidR="006E2D31">
        <w:t>intellectual property</w:t>
      </w:r>
      <w:r w:rsidRPr="00F66A65">
        <w:t xml:space="preserve">) or risks </w:t>
      </w:r>
      <w:r w:rsidR="00282084">
        <w:t xml:space="preserve">actively managed by </w:t>
      </w:r>
      <w:r w:rsidR="00282084" w:rsidRPr="00F66A65">
        <w:t>Foreign IP Co</w:t>
      </w:r>
      <w:r>
        <w:t xml:space="preserve">. </w:t>
      </w:r>
    </w:p>
    <w:p w14:paraId="4B333C65" w14:textId="498C07B8" w:rsidR="00F66A65" w:rsidRDefault="00F66A65" w:rsidP="00F66A65">
      <w:pPr>
        <w:pStyle w:val="exampletext"/>
      </w:pPr>
      <w:r w:rsidRPr="00F66A65">
        <w:t>On the basis of the available information, the Commissioner does not consider that it is reasonable to conclude that income attributed to Foreign IP Co reasonably reflects sufficient economic substance of the entity’s activities in connection with the scheme.</w:t>
      </w:r>
    </w:p>
    <w:p w14:paraId="342DC6B2" w14:textId="17114A67" w:rsidR="00C0468A" w:rsidRDefault="00C0468A" w:rsidP="00C0468A">
      <w:pPr>
        <w:pStyle w:val="ExampleHeading"/>
      </w:pPr>
    </w:p>
    <w:p w14:paraId="500B47BB" w14:textId="4C674797" w:rsidR="00C0468A" w:rsidRPr="00C0468A" w:rsidRDefault="006E2D31" w:rsidP="00C0468A">
      <w:pPr>
        <w:pStyle w:val="exampletext"/>
      </w:pPr>
      <w:r>
        <w:t>The facts are the same as in Example 1.</w:t>
      </w:r>
      <w:r w:rsidR="004F1697">
        <w:t>3</w:t>
      </w:r>
      <w:r>
        <w:t>, except for the following.</w:t>
      </w:r>
    </w:p>
    <w:p w14:paraId="5BCBAE71" w14:textId="0AEEDDB8" w:rsidR="00C0468A" w:rsidRPr="00C0468A" w:rsidRDefault="00C0468A" w:rsidP="00C0468A">
      <w:pPr>
        <w:pStyle w:val="exampledotpoint1"/>
      </w:pPr>
      <w:r w:rsidRPr="00C0468A">
        <w:t xml:space="preserve">Foreign IP Co acquires the Trumpet </w:t>
      </w:r>
      <w:r w:rsidR="006E2D31">
        <w:t xml:space="preserve">intellectual property </w:t>
      </w:r>
      <w:r w:rsidRPr="00C0468A">
        <w:t xml:space="preserve">but also takes on the marketing, distribution and </w:t>
      </w:r>
      <w:r w:rsidR="006E2D31">
        <w:t xml:space="preserve">intellectual property </w:t>
      </w:r>
      <w:r w:rsidRPr="00C0468A">
        <w:t xml:space="preserve">maintenance functions, transferring key personnel from Australia and developing local capacity. </w:t>
      </w:r>
    </w:p>
    <w:p w14:paraId="2FF01944" w14:textId="24B82FBB" w:rsidR="00C0468A" w:rsidRPr="00C0468A" w:rsidRDefault="00C0468A" w:rsidP="00C0468A">
      <w:pPr>
        <w:pStyle w:val="exampledotpoint1"/>
      </w:pPr>
      <w:r w:rsidRPr="00C0468A">
        <w:t>Although a wholly owned subsidi</w:t>
      </w:r>
      <w:r w:rsidR="006E2D31">
        <w:t>ary of Ozcom Australia, Foreign </w:t>
      </w:r>
      <w:r w:rsidRPr="00C0468A">
        <w:t>IP Co substantially funds the scheme through external borrowing for which Australia Co does not provide a guarantee.</w:t>
      </w:r>
    </w:p>
    <w:p w14:paraId="290614FB" w14:textId="52C98C62" w:rsidR="00C0468A" w:rsidRPr="00C0468A" w:rsidRDefault="00C0468A" w:rsidP="00C0468A">
      <w:pPr>
        <w:pStyle w:val="exampledotpoint1"/>
      </w:pPr>
      <w:r w:rsidRPr="00C0468A">
        <w:t xml:space="preserve">Despite repeated requests from the </w:t>
      </w:r>
      <w:r w:rsidR="006E2D31">
        <w:t>Commissioner, Ozcom </w:t>
      </w:r>
      <w:r w:rsidRPr="00C0468A">
        <w:t xml:space="preserve">Australia has not provided supporting information in relation to the relevant functions, assets and risks being undertaken by each entity in the scheme.  </w:t>
      </w:r>
    </w:p>
    <w:p w14:paraId="695F9B67" w14:textId="0F05F6A4" w:rsidR="00C0468A" w:rsidRPr="00C0468A" w:rsidRDefault="00C0468A" w:rsidP="00C0468A">
      <w:pPr>
        <w:pStyle w:val="exampletext"/>
      </w:pPr>
      <w:r w:rsidRPr="00C0468A">
        <w:t xml:space="preserve">Following the lodgement of </w:t>
      </w:r>
      <w:r w:rsidR="002629E0">
        <w:t xml:space="preserve">Ozcom </w:t>
      </w:r>
      <w:r w:rsidRPr="00C0468A">
        <w:t xml:space="preserve">Australia Co’s income tax return, to establish the economic substance of the scheme, the </w:t>
      </w:r>
      <w:r w:rsidR="00C16843">
        <w:t>Commissioner</w:t>
      </w:r>
      <w:r w:rsidR="00C16843" w:rsidRPr="00C0468A">
        <w:t xml:space="preserve"> </w:t>
      </w:r>
      <w:r w:rsidR="00C65E08">
        <w:t xml:space="preserve">attempts to </w:t>
      </w:r>
      <w:r w:rsidRPr="00C0468A">
        <w:t>assess each entity</w:t>
      </w:r>
      <w:r w:rsidR="00C65E08">
        <w:t>’s income re</w:t>
      </w:r>
      <w:r w:rsidRPr="00C0468A">
        <w:t>ceived in accordance with the relevant functions, assets and risks of that entity.</w:t>
      </w:r>
      <w:r w:rsidR="00282084">
        <w:t xml:space="preserve"> Despite several requests by the Commissioner, Ozcom Australia Co does not provide relevant information that would assist the Commissioner in this assessment.</w:t>
      </w:r>
    </w:p>
    <w:p w14:paraId="5FB89698" w14:textId="143A49EE" w:rsidR="002629E0" w:rsidRDefault="00C0468A" w:rsidP="00C0468A">
      <w:pPr>
        <w:pStyle w:val="exampletext"/>
      </w:pPr>
      <w:r w:rsidRPr="00C0468A">
        <w:t>In this case, Foreign IP Co</w:t>
      </w:r>
      <w:r w:rsidR="002629E0">
        <w:t>:</w:t>
      </w:r>
    </w:p>
    <w:p w14:paraId="01DA66B1" w14:textId="0B80941F" w:rsidR="002629E0" w:rsidRDefault="00A32209" w:rsidP="002629E0">
      <w:pPr>
        <w:pStyle w:val="exampledotpoint1"/>
      </w:pPr>
      <w:r w:rsidRPr="00C0468A">
        <w:t xml:space="preserve">has </w:t>
      </w:r>
      <w:r w:rsidR="00C0468A" w:rsidRPr="00C0468A">
        <w:t xml:space="preserve">paid for the </w:t>
      </w:r>
      <w:r w:rsidR="00C16843">
        <w:t xml:space="preserve">intellectual property </w:t>
      </w:r>
      <w:r w:rsidR="00C0468A" w:rsidRPr="00C0468A">
        <w:t>development</w:t>
      </w:r>
      <w:r w:rsidR="002629E0">
        <w:t>;</w:t>
      </w:r>
    </w:p>
    <w:p w14:paraId="6BAB4F8E" w14:textId="77777777" w:rsidR="002629E0" w:rsidRDefault="00C0468A" w:rsidP="002629E0">
      <w:pPr>
        <w:pStyle w:val="exampledotpoint1"/>
      </w:pPr>
      <w:r w:rsidRPr="00C0468A">
        <w:t xml:space="preserve">has taken on the marketing, distribution and </w:t>
      </w:r>
      <w:r w:rsidR="00C16843">
        <w:t xml:space="preserve">intellectual property </w:t>
      </w:r>
      <w:r w:rsidRPr="00C0468A">
        <w:t>maintenance functions</w:t>
      </w:r>
      <w:r w:rsidR="002629E0">
        <w:t>;</w:t>
      </w:r>
    </w:p>
    <w:p w14:paraId="5947E004" w14:textId="327A420E" w:rsidR="00A32209" w:rsidRDefault="00C0468A" w:rsidP="002629E0">
      <w:pPr>
        <w:pStyle w:val="exampledotpoint1"/>
      </w:pPr>
      <w:r w:rsidRPr="00C0468A">
        <w:t>owns the assets of the scheme</w:t>
      </w:r>
      <w:r w:rsidR="00A32209">
        <w:t>;</w:t>
      </w:r>
      <w:r w:rsidR="0030628A">
        <w:t xml:space="preserve"> and</w:t>
      </w:r>
    </w:p>
    <w:p w14:paraId="4629F59E" w14:textId="77777777" w:rsidR="00A32209" w:rsidRDefault="00A32209" w:rsidP="002629E0">
      <w:pPr>
        <w:pStyle w:val="exampledotpoint1"/>
      </w:pPr>
      <w:r>
        <w:t xml:space="preserve">together with </w:t>
      </w:r>
      <w:r w:rsidR="00C0468A" w:rsidRPr="00C0468A">
        <w:t>its debtors, is s</w:t>
      </w:r>
      <w:r w:rsidR="00C16843">
        <w:t xml:space="preserve">ubject to the commercial risk. </w:t>
      </w:r>
    </w:p>
    <w:p w14:paraId="13D99D6E" w14:textId="12C6CF11" w:rsidR="00C0468A" w:rsidRPr="00C0468A" w:rsidRDefault="00282084" w:rsidP="00A32209">
      <w:pPr>
        <w:pStyle w:val="exampletext"/>
      </w:pPr>
      <w:r>
        <w:t>If this information had been provided to the Commissioner, t</w:t>
      </w:r>
      <w:r w:rsidR="00C0468A" w:rsidRPr="00C0468A">
        <w:t xml:space="preserve">he </w:t>
      </w:r>
      <w:r w:rsidR="00C16843">
        <w:t>Commissioner</w:t>
      </w:r>
      <w:r w:rsidR="00C16843" w:rsidRPr="00C0468A">
        <w:t xml:space="preserve"> </w:t>
      </w:r>
      <w:r w:rsidR="00C0468A" w:rsidRPr="00C0468A">
        <w:t xml:space="preserve">could </w:t>
      </w:r>
      <w:r>
        <w:t xml:space="preserve">have </w:t>
      </w:r>
      <w:r w:rsidR="00C0468A" w:rsidRPr="00C0468A">
        <w:t>consider</w:t>
      </w:r>
      <w:r>
        <w:t>ed</w:t>
      </w:r>
      <w:r w:rsidR="00C0468A" w:rsidRPr="00C0468A">
        <w:t xml:space="preserve"> </w:t>
      </w:r>
      <w:r w:rsidR="000D10A5">
        <w:t xml:space="preserve">that </w:t>
      </w:r>
      <w:r w:rsidR="00C0468A" w:rsidRPr="00C0468A">
        <w:t xml:space="preserve">the </w:t>
      </w:r>
      <w:r w:rsidR="00A32209">
        <w:t>income attributed to Foreign IP </w:t>
      </w:r>
      <w:r w:rsidR="00C0468A" w:rsidRPr="00C0468A">
        <w:t>Co reasonably reflect</w:t>
      </w:r>
      <w:r>
        <w:t>s</w:t>
      </w:r>
      <w:r w:rsidR="00C0468A" w:rsidRPr="00C0468A">
        <w:t xml:space="preserve"> the active functions undertaken by its </w:t>
      </w:r>
      <w:r>
        <w:t>staff, and its assets and risks</w:t>
      </w:r>
      <w:r w:rsidR="00C0468A" w:rsidRPr="00C0468A">
        <w:t>.</w:t>
      </w:r>
    </w:p>
    <w:p w14:paraId="44875694" w14:textId="65C3C794" w:rsidR="00C0468A" w:rsidRPr="00C0468A" w:rsidRDefault="00C0468A" w:rsidP="00C0468A">
      <w:pPr>
        <w:pStyle w:val="exampletext"/>
      </w:pPr>
      <w:r w:rsidRPr="00C0468A">
        <w:t xml:space="preserve">However, as Ozcom Australia has not provided any supporting information to the </w:t>
      </w:r>
      <w:r w:rsidR="00C16843">
        <w:t>Commissioner</w:t>
      </w:r>
      <w:r w:rsidRPr="00C0468A">
        <w:t>, it fails to establis</w:t>
      </w:r>
      <w:r w:rsidR="00C16843">
        <w:t xml:space="preserve">h the substance of the scheme. </w:t>
      </w:r>
      <w:r w:rsidRPr="00C0468A">
        <w:t>Therefore, based on information available to the Commissioner at the time, the Commissioner does not consider that it is reasonable to conclude that the scheme has sufficient economic substance.</w:t>
      </w:r>
    </w:p>
    <w:p w14:paraId="0BE966A0" w14:textId="0653C794" w:rsidR="00E96045" w:rsidRPr="00E96045" w:rsidRDefault="00E86A13" w:rsidP="00450433">
      <w:pPr>
        <w:pStyle w:val="Heading3"/>
      </w:pPr>
      <w:r>
        <w:t>C</w:t>
      </w:r>
      <w:r w:rsidRPr="00E86A13">
        <w:t xml:space="preserve">onsequences that arise if the DPT applies </w:t>
      </w:r>
    </w:p>
    <w:p w14:paraId="79B85FA9" w14:textId="77777777" w:rsidR="00054B69" w:rsidRDefault="00E86A13" w:rsidP="00F97861">
      <w:pPr>
        <w:pStyle w:val="base-text-paragraph"/>
      </w:pPr>
      <w:r>
        <w:t>If the DPT applies to a taxpayer,</w:t>
      </w:r>
      <w:r w:rsidR="00054B69">
        <w:t xml:space="preserve"> the Commissioner may make a DPT assessment and issue it to the relevant taxpayer. The amount of diverted profit on which tax is imposed is:</w:t>
      </w:r>
    </w:p>
    <w:p w14:paraId="37B0737F" w14:textId="0360A301" w:rsidR="00054B69" w:rsidRDefault="00054B69" w:rsidP="00054B69">
      <w:pPr>
        <w:pStyle w:val="dotpoint"/>
      </w:pPr>
      <w:r>
        <w:t>if the tax benefit relates to the amount of assessable income, the amount of an allowable deduction, the amount of a capital loss or an amount that is subject to withholding tax — the amount of the tax benefit; or</w:t>
      </w:r>
    </w:p>
    <w:p w14:paraId="2A002ED5" w14:textId="053FE47A" w:rsidR="00054B69" w:rsidRDefault="00054B69" w:rsidP="00054B69">
      <w:pPr>
        <w:pStyle w:val="dotpoint"/>
      </w:pPr>
      <w:r>
        <w:t>if the tax benefit relates to the amount of a foreign income tax offset or an exploration credit — the amount of the tax benefit divided by the standard Australian corporate tax rate.</w:t>
      </w:r>
      <w:r w:rsidR="00E86A13">
        <w:t xml:space="preserve"> </w:t>
      </w:r>
    </w:p>
    <w:p w14:paraId="0963F68D" w14:textId="15A27DBC" w:rsidR="00054B69" w:rsidRDefault="00054B69" w:rsidP="00054B69">
      <w:pPr>
        <w:pStyle w:val="base-text-paragraphnonumbers"/>
      </w:pPr>
      <w:r>
        <w:rPr>
          <w:rStyle w:val="Referencingstyle"/>
        </w:rPr>
        <w:t>[</w:t>
      </w:r>
      <w:r w:rsidR="000B63B3">
        <w:rPr>
          <w:rStyle w:val="Referencingstyle"/>
        </w:rPr>
        <w:t>Schedule 1</w:t>
      </w:r>
      <w:r>
        <w:rPr>
          <w:rStyle w:val="Referencingstyle"/>
        </w:rPr>
        <w:t xml:space="preserve">, </w:t>
      </w:r>
      <w:r w:rsidR="000B63B3">
        <w:rPr>
          <w:rStyle w:val="Referencingstyle"/>
        </w:rPr>
        <w:t>item 5</w:t>
      </w:r>
      <w:r>
        <w:rPr>
          <w:rStyle w:val="Referencingstyle"/>
        </w:rPr>
        <w:t>, paragraph 177M(a) and section 177N of the ITAA 1936]</w:t>
      </w:r>
    </w:p>
    <w:p w14:paraId="5E288821" w14:textId="77777777" w:rsidR="00A80F22" w:rsidRDefault="00054B69" w:rsidP="00F97861">
      <w:pPr>
        <w:pStyle w:val="base-text-paragraph"/>
      </w:pPr>
      <w:r>
        <w:t xml:space="preserve">Tax is payable on the amount of diverted profit at a rate of 40 per cent. </w:t>
      </w:r>
      <w:r w:rsidR="00217477">
        <w:t xml:space="preserve">This penalty tax rate has been set to encourage taxpayers to pay the lower corporate tax rate through complying with Australia’s tax rules. </w:t>
      </w:r>
    </w:p>
    <w:p w14:paraId="4B5CD00F" w14:textId="77777777" w:rsidR="00FA324F" w:rsidRDefault="00FA324F" w:rsidP="00FA324F">
      <w:pPr>
        <w:pStyle w:val="base-text-paragraph"/>
      </w:pPr>
      <w:r>
        <w:t>The DPT will be imposed by, and the rate set at 40 per cent in, an Imposition Act.</w:t>
      </w:r>
    </w:p>
    <w:p w14:paraId="09DA505D" w14:textId="34937B5D" w:rsidR="00217477" w:rsidRDefault="00217477" w:rsidP="00F97861">
      <w:pPr>
        <w:pStyle w:val="base-text-paragraph"/>
      </w:pPr>
      <w:r>
        <w:t>The DPT due and payable will not be reduced by the amount of foreign tax paid on the diverted profits, consistent with the application of the existing transfer pricing rules.</w:t>
      </w:r>
      <w:r w:rsidR="00A80F22">
        <w:t xml:space="preserve"> </w:t>
      </w:r>
    </w:p>
    <w:p w14:paraId="25A94155" w14:textId="210E2F0D" w:rsidR="00217477" w:rsidRDefault="00217477" w:rsidP="00F97861">
      <w:pPr>
        <w:pStyle w:val="base-text-paragraph"/>
      </w:pPr>
      <w:r>
        <w:t>The DPT assessment will include an interest charge calculated by reference to the period from the date any amount would have been payable on the relevant income tax assessment to the issue of the DPT assessment</w:t>
      </w:r>
      <w:r w:rsidR="003C3B1E">
        <w:t>.</w:t>
      </w:r>
    </w:p>
    <w:p w14:paraId="504725ED" w14:textId="273B4046" w:rsidR="00054B69" w:rsidRDefault="004817CF" w:rsidP="00F97861">
      <w:pPr>
        <w:pStyle w:val="base-text-paragraph"/>
      </w:pPr>
      <w:r>
        <w:t xml:space="preserve">When Part IVA </w:t>
      </w:r>
      <w:r w:rsidR="0072743B">
        <w:t>of the ITAA </w:t>
      </w:r>
      <w:r w:rsidR="0072743B" w:rsidRPr="0072743B">
        <w:t xml:space="preserve">1936 </w:t>
      </w:r>
      <w:r>
        <w:t xml:space="preserve">applies to a scheme, the </w:t>
      </w:r>
      <w:r w:rsidR="00054B69">
        <w:t xml:space="preserve">Commissioner </w:t>
      </w:r>
      <w:r>
        <w:t xml:space="preserve">currently may </w:t>
      </w:r>
      <w:r w:rsidR="00054B69">
        <w:t>cancel the tax benefit (under section 177F) and make an amended income tax assessment</w:t>
      </w:r>
      <w:r>
        <w:t xml:space="preserve">. However, </w:t>
      </w:r>
      <w:r w:rsidR="00C70A15">
        <w:t xml:space="preserve">where the Commissioner is applying Part IVA merely because of section 177H, </w:t>
      </w:r>
      <w:r>
        <w:t xml:space="preserve">the Commissioner will be unable to </w:t>
      </w:r>
      <w:r w:rsidR="00F42423">
        <w:t xml:space="preserve">also </w:t>
      </w:r>
      <w:r>
        <w:t xml:space="preserve">apply section 177F to cancel a tax benefit in relation to a scheme. </w:t>
      </w:r>
      <w:r w:rsidR="00054B69">
        <w:rPr>
          <w:rStyle w:val="Referencingstyle"/>
        </w:rPr>
        <w:t>[</w:t>
      </w:r>
      <w:r w:rsidR="000B63B3">
        <w:rPr>
          <w:rStyle w:val="Referencingstyle"/>
        </w:rPr>
        <w:t>Schedule 1</w:t>
      </w:r>
      <w:r w:rsidR="00054B69">
        <w:rPr>
          <w:rStyle w:val="Referencingstyle"/>
        </w:rPr>
        <w:t xml:space="preserve">, </w:t>
      </w:r>
      <w:r w:rsidR="000B63B3">
        <w:rPr>
          <w:rStyle w:val="Referencingstyle"/>
        </w:rPr>
        <w:t>item 5</w:t>
      </w:r>
      <w:r w:rsidR="00054B69">
        <w:rPr>
          <w:rStyle w:val="Referencingstyle"/>
        </w:rPr>
        <w:t xml:space="preserve">, </w:t>
      </w:r>
      <w:r>
        <w:rPr>
          <w:rStyle w:val="Referencingstyle"/>
        </w:rPr>
        <w:t>paragraph</w:t>
      </w:r>
      <w:r w:rsidR="00054B69">
        <w:rPr>
          <w:rStyle w:val="Referencingstyle"/>
        </w:rPr>
        <w:t> 177M</w:t>
      </w:r>
      <w:r>
        <w:rPr>
          <w:rStyle w:val="Referencingstyle"/>
        </w:rPr>
        <w:t>(b)</w:t>
      </w:r>
      <w:r w:rsidR="00054B69">
        <w:rPr>
          <w:rStyle w:val="Referencingstyle"/>
        </w:rPr>
        <w:t xml:space="preserve"> of the ITAA 1936]</w:t>
      </w:r>
    </w:p>
    <w:p w14:paraId="0053C1AE" w14:textId="6BEA4EFC" w:rsidR="004B314E" w:rsidRDefault="004817CF" w:rsidP="004817CF">
      <w:pPr>
        <w:pStyle w:val="Heading3"/>
      </w:pPr>
      <w:r>
        <w:t>The DPT a</w:t>
      </w:r>
      <w:r w:rsidR="00903748">
        <w:t>ssessment</w:t>
      </w:r>
      <w:r>
        <w:t xml:space="preserve"> and r</w:t>
      </w:r>
      <w:r w:rsidR="00903748">
        <w:t>eview pro</w:t>
      </w:r>
      <w:r w:rsidR="004B314E">
        <w:t>cess</w:t>
      </w:r>
    </w:p>
    <w:p w14:paraId="766FA8C6" w14:textId="77777777" w:rsidR="00C52D2D" w:rsidRDefault="00C52D2D" w:rsidP="00C52D2D">
      <w:pPr>
        <w:pStyle w:val="base-text-paragraph"/>
      </w:pPr>
      <w:r>
        <w:t>The administrative provisions supporting the DPT are designed to ensure that large multinational groups operating in Australia comply with their Australian tax obligations, and to incentivise these groups to cooperate fully with the Commissioner.</w:t>
      </w:r>
    </w:p>
    <w:p w14:paraId="5AFC4E8C" w14:textId="72DD4965" w:rsidR="002E7BE9" w:rsidRDefault="002E7BE9" w:rsidP="00C52D2D">
      <w:pPr>
        <w:pStyle w:val="base-text-paragraph"/>
      </w:pPr>
      <w:r>
        <w:t>The following flow chart outlines, in general terms, DPT assessment and review process</w:t>
      </w:r>
      <w:r w:rsidR="00715C27">
        <w:t>es</w:t>
      </w:r>
      <w:r>
        <w:t>.</w:t>
      </w:r>
    </w:p>
    <w:p w14:paraId="16F5771F" w14:textId="27D17027" w:rsidR="004E00E0" w:rsidRDefault="00892D58" w:rsidP="0070524D">
      <w:pPr>
        <w:pStyle w:val="base-text-paragraphnonumbers"/>
        <w:ind w:left="0"/>
      </w:pPr>
      <w:r>
        <w:rPr>
          <w:noProof/>
        </w:rPr>
        <w:drawing>
          <wp:inline distT="0" distB="0" distL="0" distR="0" wp14:anchorId="28C8477C" wp14:editId="48CBA40D">
            <wp:extent cx="4895850" cy="55829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895850" cy="5582944"/>
                    </a:xfrm>
                    <a:prstGeom prst="rect">
                      <a:avLst/>
                    </a:prstGeom>
                  </pic:spPr>
                </pic:pic>
              </a:graphicData>
            </a:graphic>
          </wp:inline>
        </w:drawing>
      </w:r>
    </w:p>
    <w:p w14:paraId="2878276D" w14:textId="68B525D8" w:rsidR="00FF7728" w:rsidRDefault="004F4988" w:rsidP="00E60BE4">
      <w:pPr>
        <w:pStyle w:val="Heading4"/>
      </w:pPr>
      <w:r>
        <w:t>DPT assessments</w:t>
      </w:r>
    </w:p>
    <w:p w14:paraId="08A149E6" w14:textId="686F7EAA" w:rsidR="00411A03" w:rsidRPr="00E60BE4" w:rsidRDefault="00411A03" w:rsidP="00F0458F">
      <w:pPr>
        <w:pStyle w:val="base-text-paragraph"/>
        <w:rPr>
          <w:rStyle w:val="Referencingstyle"/>
          <w:b w:val="0"/>
          <w:i w:val="0"/>
          <w:sz w:val="22"/>
        </w:rPr>
      </w:pPr>
      <w:r>
        <w:t>The Commissioner</w:t>
      </w:r>
      <w:r w:rsidR="006270CC">
        <w:t xml:space="preserve"> may make a DPT assessment</w:t>
      </w:r>
      <w:r w:rsidR="005E363E">
        <w:t xml:space="preserve"> </w:t>
      </w:r>
      <w:r w:rsidR="0034263F">
        <w:t>at any time</w:t>
      </w:r>
      <w:r w:rsidR="004D0AD9">
        <w:t xml:space="preserve"> </w:t>
      </w:r>
      <w:r w:rsidR="006270CC">
        <w:t xml:space="preserve">within 7 years of </w:t>
      </w:r>
      <w:r w:rsidR="008D722A">
        <w:t xml:space="preserve">first </w:t>
      </w:r>
      <w:r w:rsidR="006270CC">
        <w:t xml:space="preserve">serving a notice of assessment </w:t>
      </w:r>
      <w:r w:rsidR="00F07375">
        <w:t>on</w:t>
      </w:r>
      <w:r w:rsidR="006270CC">
        <w:t xml:space="preserve"> the taxpayer</w:t>
      </w:r>
      <w:r w:rsidR="00B635C2">
        <w:t xml:space="preserve"> for </w:t>
      </w:r>
      <w:r w:rsidR="0034263F">
        <w:t xml:space="preserve">an </w:t>
      </w:r>
      <w:r w:rsidR="00B635C2">
        <w:t>income year</w:t>
      </w:r>
      <w:r w:rsidR="006270CC">
        <w:t>.</w:t>
      </w:r>
      <w:r w:rsidR="005275F4">
        <w:t xml:space="preserve"> </w:t>
      </w:r>
      <w:r w:rsidR="008D5F11">
        <w:rPr>
          <w:rStyle w:val="Referencingstyle"/>
        </w:rPr>
        <w:t>[</w:t>
      </w:r>
      <w:r w:rsidR="000B63B3">
        <w:rPr>
          <w:rStyle w:val="Referencingstyle"/>
        </w:rPr>
        <w:t>Schedule 1</w:t>
      </w:r>
      <w:r w:rsidR="008D5F11">
        <w:rPr>
          <w:rStyle w:val="Referencingstyle"/>
        </w:rPr>
        <w:t xml:space="preserve">, item </w:t>
      </w:r>
      <w:r w:rsidR="00291C08">
        <w:rPr>
          <w:rStyle w:val="Referencingstyle"/>
        </w:rPr>
        <w:t>9</w:t>
      </w:r>
      <w:r w:rsidR="008D5F11">
        <w:rPr>
          <w:rStyle w:val="Referencingstyle"/>
        </w:rPr>
        <w:t>, section 145-1</w:t>
      </w:r>
      <w:r w:rsidR="008D722A">
        <w:rPr>
          <w:rStyle w:val="Referencingstyle"/>
        </w:rPr>
        <w:t xml:space="preserve">0 </w:t>
      </w:r>
      <w:r w:rsidR="008D5F11">
        <w:rPr>
          <w:rStyle w:val="Referencingstyle"/>
        </w:rPr>
        <w:t>of Schedule 1 to the TAA 1953]</w:t>
      </w:r>
    </w:p>
    <w:p w14:paraId="01195956" w14:textId="62DACEE8" w:rsidR="004E00E0" w:rsidRDefault="004E00E0" w:rsidP="00F0458F">
      <w:pPr>
        <w:pStyle w:val="base-text-paragraph"/>
      </w:pPr>
      <w:r>
        <w:t>In practice, the Commissioner would make a DPT assessment only after a course of communications between the Commissioner and the relevant taxpayer during which no agreement has been reached about the correct amount of tax that should be paid. As part of this process, the Commissioner will advise the relevant taxpayer of the intention to make a DPT assessment before the assessment is actually made.</w:t>
      </w:r>
      <w:r w:rsidR="0010728D">
        <w:t xml:space="preserve"> Consistent with </w:t>
      </w:r>
      <w:r w:rsidR="00291C08">
        <w:t>the</w:t>
      </w:r>
      <w:r w:rsidR="0010728D">
        <w:t xml:space="preserve"> </w:t>
      </w:r>
      <w:r w:rsidR="00291C08">
        <w:t xml:space="preserve">administrative </w:t>
      </w:r>
      <w:r w:rsidR="0010728D">
        <w:t xml:space="preserve">approach </w:t>
      </w:r>
      <w:r w:rsidR="00291C08">
        <w:t>taken in</w:t>
      </w:r>
      <w:r w:rsidR="0010728D">
        <w:t xml:space="preserve"> anti-avoidance </w:t>
      </w:r>
      <w:r w:rsidR="00291C08">
        <w:t>rules</w:t>
      </w:r>
      <w:r w:rsidR="0010728D">
        <w:t xml:space="preserve">, the Commissioner </w:t>
      </w:r>
      <w:r w:rsidR="00EA2A4C">
        <w:t>will</w:t>
      </w:r>
      <w:r w:rsidR="00A32209">
        <w:t xml:space="preserve"> undertake an </w:t>
      </w:r>
      <w:r w:rsidR="00521704">
        <w:t>internal</w:t>
      </w:r>
      <w:r w:rsidR="0010728D">
        <w:t xml:space="preserve"> </w:t>
      </w:r>
      <w:r w:rsidR="00A32209">
        <w:t>review process</w:t>
      </w:r>
      <w:r w:rsidR="0010728D">
        <w:t xml:space="preserve"> before any decision is made to issue an assessment.</w:t>
      </w:r>
    </w:p>
    <w:p w14:paraId="3672BD65" w14:textId="7414FDF0" w:rsidR="007466AE" w:rsidRPr="00A80F22" w:rsidRDefault="007466AE" w:rsidP="00A80F22">
      <w:pPr>
        <w:pStyle w:val="base-text-paragraph"/>
        <w:rPr>
          <w:rStyle w:val="Referencingstyle"/>
          <w:b w:val="0"/>
          <w:i w:val="0"/>
          <w:sz w:val="22"/>
        </w:rPr>
      </w:pPr>
      <w:r>
        <w:t xml:space="preserve">The generic assessment rules in Division 155 of </w:t>
      </w:r>
      <w:r w:rsidR="00A80F22" w:rsidRPr="00A80F22">
        <w:t xml:space="preserve">Schedule 1 </w:t>
      </w:r>
      <w:r w:rsidR="00A80F22">
        <w:t xml:space="preserve">to </w:t>
      </w:r>
      <w:r>
        <w:t>the TAA 1953 will apply to a DPT liability amount.</w:t>
      </w:r>
      <w:r w:rsidRPr="00A80F22">
        <w:rPr>
          <w:rStyle w:val="Referencingstyle"/>
          <w:b w:val="0"/>
          <w:i w:val="0"/>
          <w:sz w:val="22"/>
        </w:rPr>
        <w:t xml:space="preserve"> However, modifications are made to these generic rules to reflect special features that apply to DPT </w:t>
      </w:r>
      <w:r>
        <w:t>liability amounts</w:t>
      </w:r>
      <w:r w:rsidRPr="00A80F22">
        <w:rPr>
          <w:rStyle w:val="Referencingstyle"/>
          <w:b w:val="0"/>
          <w:i w:val="0"/>
          <w:sz w:val="22"/>
        </w:rPr>
        <w:t xml:space="preserve">. </w:t>
      </w:r>
      <w:r>
        <w:rPr>
          <w:rStyle w:val="Referencingstyle"/>
        </w:rPr>
        <w:t>[</w:t>
      </w:r>
      <w:r w:rsidR="000B63B3">
        <w:rPr>
          <w:rStyle w:val="Referencingstyle"/>
        </w:rPr>
        <w:t>Schedule 1</w:t>
      </w:r>
      <w:r>
        <w:rPr>
          <w:rStyle w:val="Referencingstyle"/>
        </w:rPr>
        <w:t>, item</w:t>
      </w:r>
      <w:r w:rsidR="005D1E6C">
        <w:rPr>
          <w:rStyle w:val="Referencingstyle"/>
        </w:rPr>
        <w:t>s</w:t>
      </w:r>
      <w:r>
        <w:rPr>
          <w:rStyle w:val="Referencingstyle"/>
        </w:rPr>
        <w:t xml:space="preserve"> </w:t>
      </w:r>
      <w:r w:rsidR="00291C08">
        <w:rPr>
          <w:rStyle w:val="Referencingstyle"/>
        </w:rPr>
        <w:t>9</w:t>
      </w:r>
      <w:r w:rsidR="005D1E6C">
        <w:rPr>
          <w:rStyle w:val="Referencingstyle"/>
        </w:rPr>
        <w:t xml:space="preserve"> and </w:t>
      </w:r>
      <w:r w:rsidR="00291C08">
        <w:rPr>
          <w:rStyle w:val="Referencingstyle"/>
        </w:rPr>
        <w:t>10</w:t>
      </w:r>
      <w:r>
        <w:rPr>
          <w:rStyle w:val="Referencingstyle"/>
        </w:rPr>
        <w:t>, section</w:t>
      </w:r>
      <w:r w:rsidR="003E4505">
        <w:rPr>
          <w:rStyle w:val="Referencingstyle"/>
        </w:rPr>
        <w:t>s</w:t>
      </w:r>
      <w:r w:rsidR="00291C08">
        <w:rPr>
          <w:rStyle w:val="Referencingstyle"/>
        </w:rPr>
        <w:t> 145</w:t>
      </w:r>
      <w:r w:rsidR="00291C08">
        <w:rPr>
          <w:rStyle w:val="Referencingstyle"/>
        </w:rPr>
        <w:noBreakHyphen/>
        <w:t>5, 145</w:t>
      </w:r>
      <w:r w:rsidR="00291C08">
        <w:rPr>
          <w:rStyle w:val="Referencingstyle"/>
        </w:rPr>
        <w:noBreakHyphen/>
        <w:t>10, 145</w:t>
      </w:r>
      <w:r w:rsidR="00291C08">
        <w:rPr>
          <w:rStyle w:val="Referencingstyle"/>
        </w:rPr>
        <w:noBreakHyphen/>
      </w:r>
      <w:r w:rsidR="005D1E6C">
        <w:rPr>
          <w:rStyle w:val="Referencingstyle"/>
        </w:rPr>
        <w:t xml:space="preserve">15, </w:t>
      </w:r>
      <w:r w:rsidR="00291C08">
        <w:rPr>
          <w:rStyle w:val="Referencingstyle"/>
        </w:rPr>
        <w:t>145</w:t>
      </w:r>
      <w:r w:rsidR="00291C08">
        <w:rPr>
          <w:rStyle w:val="Referencingstyle"/>
        </w:rPr>
        <w:noBreakHyphen/>
      </w:r>
      <w:r>
        <w:rPr>
          <w:rStyle w:val="Referencingstyle"/>
        </w:rPr>
        <w:t xml:space="preserve">20 </w:t>
      </w:r>
      <w:r w:rsidR="005D1E6C">
        <w:rPr>
          <w:rStyle w:val="Referencingstyle"/>
        </w:rPr>
        <w:t>and 15</w:t>
      </w:r>
      <w:r w:rsidR="00291C08">
        <w:rPr>
          <w:rStyle w:val="Referencingstyle"/>
        </w:rPr>
        <w:t>5</w:t>
      </w:r>
      <w:r w:rsidR="00291C08">
        <w:rPr>
          <w:rStyle w:val="Referencingstyle"/>
        </w:rPr>
        <w:noBreakHyphen/>
      </w:r>
      <w:r w:rsidR="005D1E6C">
        <w:rPr>
          <w:rStyle w:val="Referencingstyle"/>
        </w:rPr>
        <w:t xml:space="preserve">5 </w:t>
      </w:r>
      <w:r>
        <w:rPr>
          <w:rStyle w:val="Referencingstyle"/>
        </w:rPr>
        <w:t xml:space="preserve">of </w:t>
      </w:r>
      <w:r w:rsidR="00A80F22">
        <w:rPr>
          <w:rStyle w:val="Referencingstyle"/>
        </w:rPr>
        <w:t xml:space="preserve">Schedule 1 to </w:t>
      </w:r>
      <w:r>
        <w:rPr>
          <w:rStyle w:val="Referencingstyle"/>
        </w:rPr>
        <w:t>the TAA 1953]</w:t>
      </w:r>
    </w:p>
    <w:p w14:paraId="30ED740C" w14:textId="5136ED3C" w:rsidR="001C4777" w:rsidRPr="00E60BE4" w:rsidRDefault="001C4777" w:rsidP="000C0638">
      <w:pPr>
        <w:pStyle w:val="base-text-paragraph"/>
        <w:rPr>
          <w:rStyle w:val="Referencingstyle"/>
          <w:b w:val="0"/>
          <w:i w:val="0"/>
          <w:sz w:val="22"/>
        </w:rPr>
      </w:pPr>
      <w:r>
        <w:t xml:space="preserve">A </w:t>
      </w:r>
      <w:r w:rsidRPr="007466AE">
        <w:rPr>
          <w:b/>
          <w:i/>
        </w:rPr>
        <w:t>DPT liability amount</w:t>
      </w:r>
      <w:r>
        <w:t xml:space="preserve"> is </w:t>
      </w:r>
      <w:r w:rsidR="007466AE">
        <w:t>the amount of tax payable by the relevant taxpayer as a result of a DPT assessment</w:t>
      </w:r>
      <w:r>
        <w:t xml:space="preserve">. </w:t>
      </w:r>
      <w:r>
        <w:rPr>
          <w:rStyle w:val="Referencingstyle"/>
        </w:rPr>
        <w:t>[</w:t>
      </w:r>
      <w:r w:rsidR="000B63B3">
        <w:rPr>
          <w:rStyle w:val="Referencingstyle"/>
        </w:rPr>
        <w:t>Schedule 1</w:t>
      </w:r>
      <w:r w:rsidR="007466AE">
        <w:rPr>
          <w:rStyle w:val="Referencingstyle"/>
        </w:rPr>
        <w:t>, item</w:t>
      </w:r>
      <w:r w:rsidR="00215F76">
        <w:rPr>
          <w:rStyle w:val="Referencingstyle"/>
        </w:rPr>
        <w:t xml:space="preserve">s </w:t>
      </w:r>
      <w:r w:rsidR="00291C08">
        <w:rPr>
          <w:rStyle w:val="Referencingstyle"/>
        </w:rPr>
        <w:t>6</w:t>
      </w:r>
      <w:r w:rsidR="00215F76">
        <w:rPr>
          <w:rStyle w:val="Referencingstyle"/>
        </w:rPr>
        <w:t xml:space="preserve"> and</w:t>
      </w:r>
      <w:r w:rsidR="00291C08">
        <w:rPr>
          <w:rStyle w:val="Referencingstyle"/>
        </w:rPr>
        <w:t> 9</w:t>
      </w:r>
      <w:r w:rsidR="007466AE">
        <w:rPr>
          <w:rStyle w:val="Referencingstyle"/>
        </w:rPr>
        <w:t xml:space="preserve">, </w:t>
      </w:r>
      <w:r w:rsidR="00215F76">
        <w:rPr>
          <w:rStyle w:val="Referencingstyle"/>
        </w:rPr>
        <w:t>definition of ‘DPT liability amount’ in subsection 995</w:t>
      </w:r>
      <w:r w:rsidR="00215F76">
        <w:rPr>
          <w:rStyle w:val="Referencingstyle"/>
        </w:rPr>
        <w:noBreakHyphen/>
        <w:t>1(1) of the ITAA 1997</w:t>
      </w:r>
      <w:r w:rsidR="007466AE">
        <w:rPr>
          <w:rStyle w:val="Referencingstyle"/>
        </w:rPr>
        <w:t>, subsection 145-5(2)</w:t>
      </w:r>
      <w:r w:rsidR="00A80F22" w:rsidRPr="00A80F22">
        <w:rPr>
          <w:rStyle w:val="Referencingstyle"/>
        </w:rPr>
        <w:t xml:space="preserve"> </w:t>
      </w:r>
      <w:r w:rsidR="00A80F22">
        <w:rPr>
          <w:rStyle w:val="Referencingstyle"/>
        </w:rPr>
        <w:t>of Schedule 1 to the TAA 1953</w:t>
      </w:r>
      <w:r>
        <w:rPr>
          <w:rStyle w:val="Referencingstyle"/>
        </w:rPr>
        <w:t>]</w:t>
      </w:r>
      <w:r w:rsidR="000C0638">
        <w:rPr>
          <w:rStyle w:val="Referencingstyle"/>
        </w:rPr>
        <w:t xml:space="preserve"> </w:t>
      </w:r>
    </w:p>
    <w:p w14:paraId="53A6D74A" w14:textId="01541867" w:rsidR="002F3FE3" w:rsidRDefault="007466AE" w:rsidP="002F3FE3">
      <w:pPr>
        <w:pStyle w:val="base-text-paragraph"/>
      </w:pPr>
      <w:r>
        <w:t>If the Commissioner makes a DPT assessment, t</w:t>
      </w:r>
      <w:r w:rsidR="0000160A">
        <w:t xml:space="preserve">he Commissioner must give </w:t>
      </w:r>
      <w:r w:rsidR="00E97A0F">
        <w:t xml:space="preserve">the taxpayer </w:t>
      </w:r>
      <w:r w:rsidR="0000160A">
        <w:t xml:space="preserve">notice of </w:t>
      </w:r>
      <w:r>
        <w:t xml:space="preserve">the </w:t>
      </w:r>
      <w:r w:rsidR="0000160A">
        <w:t xml:space="preserve">assessment </w:t>
      </w:r>
      <w:r w:rsidR="00E97A0F">
        <w:t>as soon as practicable after the assessment is made</w:t>
      </w:r>
      <w:r w:rsidR="00A80F22">
        <w:t xml:space="preserve"> (</w:t>
      </w:r>
      <w:r w:rsidR="00291C08">
        <w:t>section 155</w:t>
      </w:r>
      <w:r w:rsidR="00291C08">
        <w:noBreakHyphen/>
        <w:t>10 of Schedule </w:t>
      </w:r>
      <w:r w:rsidR="00A80F22" w:rsidRPr="00A80F22">
        <w:t>1 to the TAA 1953</w:t>
      </w:r>
      <w:r w:rsidR="00A80F22">
        <w:t>).</w:t>
      </w:r>
      <w:r w:rsidR="002F3FE3" w:rsidRPr="002F3FE3">
        <w:t xml:space="preserve"> </w:t>
      </w:r>
    </w:p>
    <w:p w14:paraId="0BFB40DA" w14:textId="6279CB07" w:rsidR="002F3FE3" w:rsidRDefault="002F3FE3" w:rsidP="002F3FE3">
      <w:pPr>
        <w:pStyle w:val="base-text-paragraph"/>
      </w:pPr>
      <w:r>
        <w:t>The p</w:t>
      </w:r>
      <w:r w:rsidRPr="002130AB">
        <w:t xml:space="preserve">roduction of a notice of </w:t>
      </w:r>
      <w:r>
        <w:t xml:space="preserve">a DPT </w:t>
      </w:r>
      <w:r w:rsidRPr="002130AB">
        <w:t>assessment will be conclusive evidence that the assessment was properly made and, except in objection proceedings, that the amounts and particulars of the assessment are correct</w:t>
      </w:r>
      <w:r w:rsidR="00291C08">
        <w:t xml:space="preserve"> (s</w:t>
      </w:r>
      <w:r w:rsidR="00FB7357">
        <w:t>ubs</w:t>
      </w:r>
      <w:r w:rsidR="00291C08">
        <w:t>ection 350</w:t>
      </w:r>
      <w:r w:rsidR="00291C08">
        <w:noBreakHyphen/>
      </w:r>
      <w:r>
        <w:t xml:space="preserve">10(1) of Schedule 1 to the </w:t>
      </w:r>
      <w:r w:rsidR="00291C08">
        <w:t>TAA </w:t>
      </w:r>
      <w:r>
        <w:t>1953).</w:t>
      </w:r>
    </w:p>
    <w:p w14:paraId="22E1E758" w14:textId="06899953" w:rsidR="009F1234" w:rsidRDefault="009F1234" w:rsidP="00E60BE4">
      <w:pPr>
        <w:pStyle w:val="Heading4"/>
      </w:pPr>
      <w:r>
        <w:t>Payment of DPT liability amount</w:t>
      </w:r>
    </w:p>
    <w:p w14:paraId="45BC038E" w14:textId="4F151776" w:rsidR="004E00E0" w:rsidRDefault="004E00E0" w:rsidP="004E00E0">
      <w:pPr>
        <w:pStyle w:val="base-text-paragraph"/>
      </w:pPr>
      <w:r>
        <w:t>The relevant taxpayer must pay the amount set out in the DPT assessment no later than 21 days after the Commissioner gives the relevant taxpayer a notice of assessment.</w:t>
      </w:r>
    </w:p>
    <w:p w14:paraId="6ACD61EF" w14:textId="7042D4BA" w:rsidR="005D7985" w:rsidRDefault="005D7985" w:rsidP="00E60BE4">
      <w:pPr>
        <w:pStyle w:val="Heading4"/>
      </w:pPr>
      <w:r>
        <w:t>Period of review of DPT assessments</w:t>
      </w:r>
    </w:p>
    <w:p w14:paraId="0C513206" w14:textId="49C19186" w:rsidR="00A80F22" w:rsidRDefault="00A80F22" w:rsidP="005D7985">
      <w:pPr>
        <w:pStyle w:val="base-text-paragraph"/>
      </w:pPr>
      <w:r>
        <w:t>If</w:t>
      </w:r>
      <w:r w:rsidR="0028482B">
        <w:t xml:space="preserve"> the Commissioner give</w:t>
      </w:r>
      <w:r>
        <w:t>s</w:t>
      </w:r>
      <w:r w:rsidR="00754D02">
        <w:t xml:space="preserve"> an entity a </w:t>
      </w:r>
      <w:r w:rsidR="0028482B">
        <w:t>notice of a DPT assessment</w:t>
      </w:r>
      <w:r>
        <w:t xml:space="preserve"> for a DPT liability</w:t>
      </w:r>
      <w:r w:rsidR="00132454">
        <w:t xml:space="preserve"> </w:t>
      </w:r>
      <w:r w:rsidR="00215F76">
        <w:t>amount</w:t>
      </w:r>
      <w:r w:rsidR="0028482B">
        <w:t>, a</w:t>
      </w:r>
      <w:r w:rsidR="005D7985">
        <w:t xml:space="preserve"> </w:t>
      </w:r>
      <w:r>
        <w:t>period of review for the DPT assessment will apply. The period will generally:</w:t>
      </w:r>
    </w:p>
    <w:p w14:paraId="5EB63E5E" w14:textId="66888208" w:rsidR="00A80F22" w:rsidRDefault="00A80F22" w:rsidP="00A80F22">
      <w:pPr>
        <w:pStyle w:val="dotpoint"/>
      </w:pPr>
      <w:r>
        <w:t xml:space="preserve">start on the day on which the Commissioner gives the </w:t>
      </w:r>
      <w:r w:rsidR="00754D02">
        <w:t xml:space="preserve">entity </w:t>
      </w:r>
      <w:r>
        <w:t>a notice of a DPT assessment; and</w:t>
      </w:r>
    </w:p>
    <w:p w14:paraId="711FC477" w14:textId="0A06DF56" w:rsidR="00A80F22" w:rsidRDefault="00A80F22" w:rsidP="00A80F22">
      <w:pPr>
        <w:pStyle w:val="dotpoint"/>
      </w:pPr>
      <w:r>
        <w:t>end 12 months after that day.</w:t>
      </w:r>
    </w:p>
    <w:p w14:paraId="7E207275" w14:textId="7BD80386" w:rsidR="004A3B2E" w:rsidRDefault="004A3B2E" w:rsidP="00A80F22">
      <w:pPr>
        <w:pStyle w:val="base-text-paragraphnonumbers"/>
      </w:pPr>
      <w:r>
        <w:rPr>
          <w:rStyle w:val="Referencingstyle"/>
        </w:rPr>
        <w:t>[</w:t>
      </w:r>
      <w:r w:rsidR="000B63B3">
        <w:rPr>
          <w:rStyle w:val="Referencingstyle"/>
        </w:rPr>
        <w:t>Schedule 1</w:t>
      </w:r>
      <w:r w:rsidR="00291C08">
        <w:rPr>
          <w:rStyle w:val="Referencingstyle"/>
        </w:rPr>
        <w:t>, item 9</w:t>
      </w:r>
      <w:r w:rsidR="002B6852">
        <w:rPr>
          <w:rStyle w:val="Referencingstyle"/>
        </w:rPr>
        <w:t xml:space="preserve">, </w:t>
      </w:r>
      <w:r w:rsidR="008645CC">
        <w:rPr>
          <w:rStyle w:val="Referencingstyle"/>
        </w:rPr>
        <w:t>paragraph</w:t>
      </w:r>
      <w:r w:rsidR="002B6852">
        <w:rPr>
          <w:rStyle w:val="Referencingstyle"/>
        </w:rPr>
        <w:t xml:space="preserve"> 145-15(1)</w:t>
      </w:r>
      <w:r w:rsidR="008645CC">
        <w:rPr>
          <w:rStyle w:val="Referencingstyle"/>
        </w:rPr>
        <w:t>(a)</w:t>
      </w:r>
      <w:r w:rsidR="00A80F22" w:rsidRPr="00A80F22">
        <w:rPr>
          <w:rStyle w:val="Referencingstyle"/>
        </w:rPr>
        <w:t xml:space="preserve"> </w:t>
      </w:r>
      <w:r w:rsidR="00A80F22">
        <w:rPr>
          <w:rStyle w:val="Referencingstyle"/>
        </w:rPr>
        <w:t>of Schedule 1 to the TAA 1953</w:t>
      </w:r>
      <w:r>
        <w:rPr>
          <w:rStyle w:val="Referencingstyle"/>
        </w:rPr>
        <w:t>]</w:t>
      </w:r>
    </w:p>
    <w:p w14:paraId="0E39D7AD" w14:textId="4FAF4501" w:rsidR="000C08B1" w:rsidRDefault="005835B1" w:rsidP="005835B1">
      <w:pPr>
        <w:pStyle w:val="base-text-paragraph"/>
      </w:pPr>
      <w:r>
        <w:t xml:space="preserve">The period of review </w:t>
      </w:r>
      <w:r w:rsidR="00291C08">
        <w:t>gives</w:t>
      </w:r>
      <w:r w:rsidR="000C08B1">
        <w:t xml:space="preserve"> the taxpayer</w:t>
      </w:r>
      <w:r w:rsidR="00291C08">
        <w:t xml:space="preserve"> the</w:t>
      </w:r>
      <w:r w:rsidR="00291C08" w:rsidRPr="00291C08">
        <w:t xml:space="preserve"> </w:t>
      </w:r>
      <w:r w:rsidR="00291C08">
        <w:t>opportunity</w:t>
      </w:r>
      <w:r w:rsidR="000C08B1">
        <w:t xml:space="preserve"> to provide </w:t>
      </w:r>
      <w:r w:rsidR="00CD62D3">
        <w:t xml:space="preserve">additional </w:t>
      </w:r>
      <w:r w:rsidR="000C08B1">
        <w:t>documents and information to the Commissioner relating to the DPT assessment.</w:t>
      </w:r>
    </w:p>
    <w:p w14:paraId="3D9814C0" w14:textId="4F284E70" w:rsidR="005835B1" w:rsidRDefault="000C08B1" w:rsidP="005835B1">
      <w:pPr>
        <w:pStyle w:val="base-text-paragraph"/>
      </w:pPr>
      <w:r>
        <w:t xml:space="preserve">The period </w:t>
      </w:r>
      <w:r w:rsidR="00A32209">
        <w:t xml:space="preserve">of review </w:t>
      </w:r>
      <w:r w:rsidR="005835B1">
        <w:t>can be shortened if:</w:t>
      </w:r>
    </w:p>
    <w:p w14:paraId="7DBABE30" w14:textId="0BE61B41" w:rsidR="005835B1" w:rsidRDefault="005835B1" w:rsidP="005835B1">
      <w:pPr>
        <w:pStyle w:val="dotpoint"/>
      </w:pPr>
      <w:r>
        <w:t xml:space="preserve">the </w:t>
      </w:r>
      <w:r w:rsidR="00947590">
        <w:t>taxpayer</w:t>
      </w:r>
      <w:r>
        <w:t>, by written notice given to the Commissioner, specifies a shorter period; and</w:t>
      </w:r>
    </w:p>
    <w:p w14:paraId="3384067F" w14:textId="5CE6C7EC" w:rsidR="005835B1" w:rsidRDefault="005835B1" w:rsidP="005835B1">
      <w:pPr>
        <w:pStyle w:val="dotpoint"/>
      </w:pPr>
      <w:r>
        <w:t>the Federal Court of Australia has not made an order under subsection 145</w:t>
      </w:r>
      <w:r>
        <w:noBreakHyphen/>
        <w:t>15(3) in respect of the written notice.</w:t>
      </w:r>
    </w:p>
    <w:p w14:paraId="6AFA11EC" w14:textId="103EE711" w:rsidR="005835B1" w:rsidRDefault="005835B1" w:rsidP="005835B1">
      <w:pPr>
        <w:pStyle w:val="base-text-paragraphnonumbers"/>
      </w:pPr>
      <w:r>
        <w:rPr>
          <w:rStyle w:val="Referencingstyle"/>
        </w:rPr>
        <w:t>[</w:t>
      </w:r>
      <w:r w:rsidR="000B63B3">
        <w:rPr>
          <w:rStyle w:val="Referencingstyle"/>
        </w:rPr>
        <w:t>Schedule 1</w:t>
      </w:r>
      <w:r w:rsidR="00291C08">
        <w:rPr>
          <w:rStyle w:val="Referencingstyle"/>
        </w:rPr>
        <w:t>, item 9</w:t>
      </w:r>
      <w:r>
        <w:rPr>
          <w:rStyle w:val="Referencingstyle"/>
        </w:rPr>
        <w:t xml:space="preserve">, paragraph 145-15(1)(b) of Schedule 1 to the TAA 1953] </w:t>
      </w:r>
    </w:p>
    <w:p w14:paraId="7FD0ACC4" w14:textId="642A866F" w:rsidR="0064419B" w:rsidRDefault="005835B1" w:rsidP="005835B1">
      <w:pPr>
        <w:pStyle w:val="base-text-paragraph"/>
      </w:pPr>
      <w:r>
        <w:t>Th</w:t>
      </w:r>
      <w:r w:rsidR="00291C08">
        <w:t>erefore</w:t>
      </w:r>
      <w:r w:rsidR="00232C0D">
        <w:t xml:space="preserve">, </w:t>
      </w:r>
      <w:r w:rsidR="00291C08">
        <w:t>for example,</w:t>
      </w:r>
      <w:r w:rsidR="00232C0D">
        <w:t xml:space="preserve"> </w:t>
      </w:r>
      <w:r w:rsidR="00FB7357">
        <w:t xml:space="preserve">if </w:t>
      </w:r>
      <w:r w:rsidR="00232C0D">
        <w:t>the</w:t>
      </w:r>
      <w:r w:rsidR="000C08B1">
        <w:t xml:space="preserve"> taxpayer </w:t>
      </w:r>
      <w:r w:rsidR="00947590">
        <w:t>considers that it has provided the Commissioner with all relevant information and documents relating to the DPT assessment</w:t>
      </w:r>
      <w:r w:rsidR="0064419B">
        <w:t xml:space="preserve">, </w:t>
      </w:r>
      <w:r w:rsidR="00232C0D">
        <w:t>it can</w:t>
      </w:r>
      <w:r w:rsidR="0064419B">
        <w:t xml:space="preserve"> give a notice to shorten the period of review.</w:t>
      </w:r>
    </w:p>
    <w:p w14:paraId="18A731B1" w14:textId="1BDBFC43" w:rsidR="005835B1" w:rsidRDefault="0064419B" w:rsidP="005835B1">
      <w:pPr>
        <w:pStyle w:val="base-text-paragraph"/>
      </w:pPr>
      <w:r>
        <w:t>Th</w:t>
      </w:r>
      <w:r w:rsidR="005835B1">
        <w:t xml:space="preserve">e </w:t>
      </w:r>
      <w:r w:rsidR="00B41D98">
        <w:t xml:space="preserve">notice must be in writing and must specify a </w:t>
      </w:r>
      <w:r w:rsidR="005835B1">
        <w:t>shorter period</w:t>
      </w:r>
      <w:r w:rsidR="00B41D98">
        <w:t xml:space="preserve"> of review</w:t>
      </w:r>
      <w:r w:rsidR="005835B1">
        <w:t>:</w:t>
      </w:r>
    </w:p>
    <w:p w14:paraId="5F50FB9C" w14:textId="37EA95B8" w:rsidR="005835B1" w:rsidRDefault="005835B1" w:rsidP="005835B1">
      <w:pPr>
        <w:pStyle w:val="dotpoint"/>
      </w:pPr>
      <w:r>
        <w:t>start</w:t>
      </w:r>
      <w:r w:rsidR="00B41D98">
        <w:t>ing</w:t>
      </w:r>
      <w:r>
        <w:t xml:space="preserve"> on the day on which the Commissioner gives the </w:t>
      </w:r>
      <w:r w:rsidR="00754D02">
        <w:t xml:space="preserve">entity </w:t>
      </w:r>
      <w:r>
        <w:t>a notice of a DPT assessment; and</w:t>
      </w:r>
    </w:p>
    <w:p w14:paraId="40D17773" w14:textId="24B9803C" w:rsidR="005835B1" w:rsidRDefault="005835B1" w:rsidP="005835B1">
      <w:pPr>
        <w:pStyle w:val="dotpoint"/>
      </w:pPr>
      <w:r>
        <w:t>end</w:t>
      </w:r>
      <w:r w:rsidR="00291C08">
        <w:t>ing</w:t>
      </w:r>
      <w:r>
        <w:t xml:space="preserve"> on a day that is </w:t>
      </w:r>
      <w:r w:rsidR="00B41D98">
        <w:t>at least 30 days</w:t>
      </w:r>
      <w:r>
        <w:t xml:space="preserve"> after the day on which the </w:t>
      </w:r>
      <w:r w:rsidR="00754D02">
        <w:t xml:space="preserve">entity </w:t>
      </w:r>
      <w:r>
        <w:t>gives the written notice to the Commissioner.</w:t>
      </w:r>
    </w:p>
    <w:p w14:paraId="3EE04035" w14:textId="4504E66B" w:rsidR="005835B1" w:rsidRPr="005835B1" w:rsidRDefault="005835B1" w:rsidP="005835B1">
      <w:pPr>
        <w:pStyle w:val="base-text-paragraphnonumbers"/>
        <w:rPr>
          <w:rStyle w:val="Referencingstyle"/>
        </w:rPr>
      </w:pPr>
      <w:r w:rsidRPr="005835B1">
        <w:rPr>
          <w:rStyle w:val="Referencingstyle"/>
        </w:rPr>
        <w:t>[</w:t>
      </w:r>
      <w:r w:rsidR="000B63B3">
        <w:rPr>
          <w:rStyle w:val="Referencingstyle"/>
        </w:rPr>
        <w:t>Schedule 1</w:t>
      </w:r>
      <w:r w:rsidR="00291C08">
        <w:rPr>
          <w:rStyle w:val="Referencingstyle"/>
        </w:rPr>
        <w:t>, item 9</w:t>
      </w:r>
      <w:r w:rsidRPr="005835B1">
        <w:rPr>
          <w:rStyle w:val="Referencingstyle"/>
        </w:rPr>
        <w:t xml:space="preserve">, </w:t>
      </w:r>
      <w:r>
        <w:rPr>
          <w:rStyle w:val="Referencingstyle"/>
        </w:rPr>
        <w:t>subsection</w:t>
      </w:r>
      <w:r w:rsidRPr="005835B1">
        <w:rPr>
          <w:rStyle w:val="Referencingstyle"/>
        </w:rPr>
        <w:t xml:space="preserve"> 145-15(</w:t>
      </w:r>
      <w:r>
        <w:rPr>
          <w:rStyle w:val="Referencingstyle"/>
        </w:rPr>
        <w:t>2</w:t>
      </w:r>
      <w:r w:rsidRPr="005835B1">
        <w:rPr>
          <w:rStyle w:val="Referencingstyle"/>
        </w:rPr>
        <w:t>) of Schedule 1 to the TAA 1953]</w:t>
      </w:r>
    </w:p>
    <w:p w14:paraId="26CD004D" w14:textId="4200EC3B" w:rsidR="0064419B" w:rsidRDefault="0064419B" w:rsidP="0064419B">
      <w:pPr>
        <w:pStyle w:val="base-text-paragraph"/>
      </w:pPr>
      <w:r>
        <w:t>Unless the Commissioner applies to the Federal Court under subsection 145-1</w:t>
      </w:r>
      <w:r w:rsidR="00C6744E">
        <w:t>5(3), the period will end on the date specified in the notice.</w:t>
      </w:r>
    </w:p>
    <w:p w14:paraId="3255EAEB" w14:textId="759005D1" w:rsidR="0064419B" w:rsidRDefault="00C6744E" w:rsidP="005835B1">
      <w:pPr>
        <w:pStyle w:val="base-text-paragraph"/>
      </w:pPr>
      <w:r>
        <w:t xml:space="preserve">If the Commissioner </w:t>
      </w:r>
      <w:r w:rsidR="008B7F1C">
        <w:t xml:space="preserve">is of the view that further time is required to obtain </w:t>
      </w:r>
      <w:r w:rsidR="00F81660">
        <w:t xml:space="preserve">information and documents, </w:t>
      </w:r>
      <w:r w:rsidR="008B7F1C">
        <w:t xml:space="preserve">and/or </w:t>
      </w:r>
      <w:r w:rsidR="001B31C0">
        <w:t xml:space="preserve">review </w:t>
      </w:r>
      <w:r w:rsidR="008B7F1C">
        <w:t xml:space="preserve">the </w:t>
      </w:r>
      <w:r w:rsidR="001B31C0">
        <w:t xml:space="preserve">DPT assessment, </w:t>
      </w:r>
      <w:r w:rsidR="00A32209">
        <w:t>t</w:t>
      </w:r>
      <w:r w:rsidR="00E45A95">
        <w:t xml:space="preserve">he </w:t>
      </w:r>
      <w:r w:rsidR="00A32209">
        <w:t xml:space="preserve">Commissioner </w:t>
      </w:r>
      <w:r w:rsidR="001B31C0">
        <w:t>may apply to the Federal Court for an order in respect of the notice. The Federal Court has a wide power to make orders in respect of the notice, including for example an order that the period of review</w:t>
      </w:r>
      <w:r w:rsidR="00715C27">
        <w:t xml:space="preserve"> does</w:t>
      </w:r>
      <w:r w:rsidR="001B31C0">
        <w:t xml:space="preserve"> not end on the date specified in the notice.</w:t>
      </w:r>
    </w:p>
    <w:p w14:paraId="57A07053" w14:textId="3F7A678C" w:rsidR="005835B1" w:rsidRDefault="005835B1" w:rsidP="005835B1">
      <w:pPr>
        <w:pStyle w:val="base-text-paragraph"/>
      </w:pPr>
      <w:r>
        <w:t>The Federal Court may make an order under subsection 145</w:t>
      </w:r>
      <w:r>
        <w:noBreakHyphen/>
        <w:t>15(3) in respect of the written notice if:</w:t>
      </w:r>
    </w:p>
    <w:p w14:paraId="55E33848" w14:textId="2ABDEA87" w:rsidR="005835B1" w:rsidRDefault="005835B1" w:rsidP="005835B1">
      <w:pPr>
        <w:pStyle w:val="dotpoint"/>
      </w:pPr>
      <w:r>
        <w:t xml:space="preserve">the Commissioner has started </w:t>
      </w:r>
      <w:r w:rsidR="00754D02">
        <w:t>to examine the entity’s affair’s in relation to the DPT assessment;</w:t>
      </w:r>
    </w:p>
    <w:p w14:paraId="654F3555" w14:textId="22A55610" w:rsidR="00754D02" w:rsidRDefault="00754D02" w:rsidP="005835B1">
      <w:pPr>
        <w:pStyle w:val="dotpoint"/>
      </w:pPr>
      <w:r>
        <w:t>the Commissioner has not completed the examination within the shorter period specified in the notice;</w:t>
      </w:r>
    </w:p>
    <w:p w14:paraId="62E5BD8B" w14:textId="447BCE63" w:rsidR="00754D02" w:rsidRDefault="00754D02" w:rsidP="005835B1">
      <w:pPr>
        <w:pStyle w:val="dotpoint"/>
      </w:pPr>
      <w:r>
        <w:t>the Commissioner, within 30 days after the day on which the entity gives the notice to the Commissioner, applies to the Court for the order; and</w:t>
      </w:r>
    </w:p>
    <w:p w14:paraId="3F01D602" w14:textId="7A9199FB" w:rsidR="00754D02" w:rsidRDefault="00754D02" w:rsidP="005835B1">
      <w:pPr>
        <w:pStyle w:val="dotpoint"/>
      </w:pPr>
      <w:r>
        <w:t>the Court is satisfied that it was not reasonably practicable, or it was inappropriate, for the Commissioner to complete the examination within the shorter period specified in the notice, because of:</w:t>
      </w:r>
    </w:p>
    <w:p w14:paraId="605D68FD" w14:textId="62CA9DD9" w:rsidR="00754D02" w:rsidRDefault="00754D02" w:rsidP="00754D02">
      <w:pPr>
        <w:pStyle w:val="dotpoint"/>
        <w:numPr>
          <w:ilvl w:val="1"/>
          <w:numId w:val="2"/>
        </w:numPr>
      </w:pPr>
      <w:r>
        <w:t>any action taken by the entity; or</w:t>
      </w:r>
    </w:p>
    <w:p w14:paraId="3ECD3DDA" w14:textId="1C18EBC2" w:rsidR="00754D02" w:rsidRDefault="00754D02" w:rsidP="00754D02">
      <w:pPr>
        <w:pStyle w:val="dotpoint"/>
        <w:numPr>
          <w:ilvl w:val="1"/>
          <w:numId w:val="2"/>
        </w:numPr>
      </w:pPr>
      <w:r>
        <w:t>any failure by the entity to take action that it would have been reasonable for the entity to take.</w:t>
      </w:r>
    </w:p>
    <w:p w14:paraId="03192063" w14:textId="1FF17AA2" w:rsidR="00754D02" w:rsidRDefault="00754D02" w:rsidP="00754D02">
      <w:pPr>
        <w:pStyle w:val="base-text-paragraphnonumbers"/>
      </w:pPr>
      <w:r w:rsidRPr="005835B1">
        <w:rPr>
          <w:rStyle w:val="Referencingstyle"/>
        </w:rPr>
        <w:t>[</w:t>
      </w:r>
      <w:r w:rsidR="000B63B3">
        <w:rPr>
          <w:rStyle w:val="Referencingstyle"/>
        </w:rPr>
        <w:t>Schedule 1</w:t>
      </w:r>
      <w:r w:rsidR="00E45A95">
        <w:rPr>
          <w:rStyle w:val="Referencingstyle"/>
        </w:rPr>
        <w:t>, item 9</w:t>
      </w:r>
      <w:r w:rsidRPr="005835B1">
        <w:rPr>
          <w:rStyle w:val="Referencingstyle"/>
        </w:rPr>
        <w:t xml:space="preserve">, </w:t>
      </w:r>
      <w:r>
        <w:rPr>
          <w:rStyle w:val="Referencingstyle"/>
        </w:rPr>
        <w:t>subsection</w:t>
      </w:r>
      <w:r w:rsidRPr="005835B1">
        <w:rPr>
          <w:rStyle w:val="Referencingstyle"/>
        </w:rPr>
        <w:t xml:space="preserve"> 145-15(</w:t>
      </w:r>
      <w:r>
        <w:rPr>
          <w:rStyle w:val="Referencingstyle"/>
        </w:rPr>
        <w:t>3</w:t>
      </w:r>
      <w:r w:rsidRPr="005835B1">
        <w:rPr>
          <w:rStyle w:val="Referencingstyle"/>
        </w:rPr>
        <w:t>) of Schedule 1 to the TAA 1953]</w:t>
      </w:r>
    </w:p>
    <w:p w14:paraId="25731467" w14:textId="5B1005DE" w:rsidR="00754D02" w:rsidRDefault="00754D02" w:rsidP="005835B1">
      <w:pPr>
        <w:pStyle w:val="base-text-paragraph"/>
      </w:pPr>
      <w:r>
        <w:t>Th</w:t>
      </w:r>
      <w:r w:rsidR="00AB2BC5">
        <w:t xml:space="preserve">is ensures that the period of review cannot be terminated  prematurely </w:t>
      </w:r>
      <w:r w:rsidR="00F73897">
        <w:t xml:space="preserve">by the taxpayer </w:t>
      </w:r>
      <w:r>
        <w:t>if, for example:</w:t>
      </w:r>
    </w:p>
    <w:p w14:paraId="2F5676DD" w14:textId="62AD53AA" w:rsidR="00234F33" w:rsidRDefault="00234F33" w:rsidP="00754D02">
      <w:pPr>
        <w:pStyle w:val="dotpoint"/>
      </w:pPr>
      <w:r>
        <w:t xml:space="preserve">the </w:t>
      </w:r>
      <w:r w:rsidR="00F73897">
        <w:t>taxpayer</w:t>
      </w:r>
      <w:r>
        <w:t xml:space="preserve"> provides</w:t>
      </w:r>
      <w:r w:rsidRPr="006F5F97">
        <w:t xml:space="preserve"> information </w:t>
      </w:r>
      <w:r>
        <w:t xml:space="preserve">to the Commissioner at the same time as, or shortly before, it gives a notice to the Commissioner, and the </w:t>
      </w:r>
      <w:r w:rsidRPr="006F5F97">
        <w:t xml:space="preserve">Commissioner </w:t>
      </w:r>
      <w:r>
        <w:t>needs additional time to properly examine</w:t>
      </w:r>
      <w:r w:rsidRPr="006F5F97">
        <w:t xml:space="preserve"> material</w:t>
      </w:r>
      <w:r>
        <w:t>; or</w:t>
      </w:r>
    </w:p>
    <w:p w14:paraId="54403614" w14:textId="4A32211B" w:rsidR="00754D02" w:rsidRDefault="00234F33" w:rsidP="00754D02">
      <w:pPr>
        <w:pStyle w:val="dotpoint"/>
      </w:pPr>
      <w:r>
        <w:t>the Commissioner makes a reasonable request for the entity to provide additional information in relation to the DPT assessment before the notice is given to the Commissioner, and the entity has not complied with that request.</w:t>
      </w:r>
      <w:r w:rsidR="00754D02">
        <w:t xml:space="preserve"> </w:t>
      </w:r>
    </w:p>
    <w:p w14:paraId="542868B4" w14:textId="77777777" w:rsidR="008645CC" w:rsidRDefault="008645CC" w:rsidP="008645CC">
      <w:pPr>
        <w:pStyle w:val="base-text-paragraph"/>
      </w:pPr>
      <w:r>
        <w:t>The period of review can be extended if:</w:t>
      </w:r>
    </w:p>
    <w:p w14:paraId="69BD8FDF" w14:textId="231CE776" w:rsidR="008645CC" w:rsidRDefault="008645CC" w:rsidP="008645CC">
      <w:pPr>
        <w:pStyle w:val="dotpoint"/>
      </w:pPr>
      <w:r>
        <w:t xml:space="preserve">the </w:t>
      </w:r>
      <w:r w:rsidR="00754D02">
        <w:t xml:space="preserve">entity </w:t>
      </w:r>
      <w:r>
        <w:t>or the Commissioner appl</w:t>
      </w:r>
      <w:r w:rsidR="00F81660">
        <w:t>ies</w:t>
      </w:r>
      <w:r>
        <w:t xml:space="preserve"> to the Federal Court to extend the period of review, and the Federal Court consents to the extension (subsection 155</w:t>
      </w:r>
      <w:r>
        <w:noBreakHyphen/>
        <w:t>35(3)</w:t>
      </w:r>
      <w:r w:rsidR="0013440E">
        <w:t xml:space="preserve"> of Schedule </w:t>
      </w:r>
      <w:r w:rsidRPr="00A80F22">
        <w:t>1 to the TAA 1953</w:t>
      </w:r>
      <w:r>
        <w:t>); or</w:t>
      </w:r>
    </w:p>
    <w:p w14:paraId="6571B4CC" w14:textId="1281D895" w:rsidR="008645CC" w:rsidRDefault="008645CC" w:rsidP="008645CC">
      <w:pPr>
        <w:pStyle w:val="dotpoint"/>
      </w:pPr>
      <w:r>
        <w:t xml:space="preserve">the </w:t>
      </w:r>
      <w:r w:rsidR="00754D02">
        <w:t xml:space="preserve">entity </w:t>
      </w:r>
      <w:r>
        <w:t>consents to a request by the Commissioner for an extension of the period of review (subsection 155</w:t>
      </w:r>
      <w:r>
        <w:noBreakHyphen/>
        <w:t>35(4)</w:t>
      </w:r>
      <w:r w:rsidRPr="00A80F22">
        <w:t xml:space="preserve"> of Schedule 1 to the TAA 1953</w:t>
      </w:r>
      <w:r>
        <w:t xml:space="preserve">). </w:t>
      </w:r>
    </w:p>
    <w:p w14:paraId="3AA4006E" w14:textId="45578CB2" w:rsidR="008645CC" w:rsidRDefault="008645CC" w:rsidP="008645CC">
      <w:pPr>
        <w:pStyle w:val="base-text-paragraphnonumbers"/>
      </w:pPr>
      <w:r>
        <w:rPr>
          <w:rStyle w:val="Referencingstyle"/>
        </w:rPr>
        <w:t>[</w:t>
      </w:r>
      <w:r w:rsidR="000B63B3">
        <w:rPr>
          <w:rStyle w:val="Referencingstyle"/>
        </w:rPr>
        <w:t>Schedule 1</w:t>
      </w:r>
      <w:r w:rsidR="00E45A95">
        <w:rPr>
          <w:rStyle w:val="Referencingstyle"/>
        </w:rPr>
        <w:t>, item 9</w:t>
      </w:r>
      <w:r>
        <w:rPr>
          <w:rStyle w:val="Referencingstyle"/>
        </w:rPr>
        <w:t>, paragraph 145-15(1)(</w:t>
      </w:r>
      <w:r w:rsidR="00234F33">
        <w:rPr>
          <w:rStyle w:val="Referencingstyle"/>
        </w:rPr>
        <w:t>c</w:t>
      </w:r>
      <w:r>
        <w:rPr>
          <w:rStyle w:val="Referencingstyle"/>
        </w:rPr>
        <w:t>)</w:t>
      </w:r>
      <w:r w:rsidRPr="008645CC">
        <w:rPr>
          <w:rStyle w:val="Referencingstyle"/>
        </w:rPr>
        <w:t xml:space="preserve"> </w:t>
      </w:r>
      <w:r>
        <w:rPr>
          <w:rStyle w:val="Referencingstyle"/>
        </w:rPr>
        <w:t>of Schedule 1 to the TAA 1953]</w:t>
      </w:r>
    </w:p>
    <w:p w14:paraId="63BBD1A8" w14:textId="1192093F" w:rsidR="007D6DF4" w:rsidRPr="006F5F97" w:rsidRDefault="00CD62D3" w:rsidP="007D6DF4">
      <w:pPr>
        <w:pStyle w:val="base-text-paragraph"/>
      </w:pPr>
      <w:r>
        <w:t>Situations in which t</w:t>
      </w:r>
      <w:r w:rsidR="007D6DF4">
        <w:t xml:space="preserve">he period of review may be extended </w:t>
      </w:r>
      <w:r>
        <w:t>include</w:t>
      </w:r>
      <w:r w:rsidR="007D6DF4">
        <w:t xml:space="preserve">, for example, </w:t>
      </w:r>
      <w:r>
        <w:t>where</w:t>
      </w:r>
      <w:r w:rsidR="007D6DF4">
        <w:t xml:space="preserve"> the </w:t>
      </w:r>
      <w:r w:rsidR="00754D02">
        <w:t xml:space="preserve">entity </w:t>
      </w:r>
      <w:r w:rsidR="007D6DF4">
        <w:t>provides</w:t>
      </w:r>
      <w:r w:rsidR="007D6DF4" w:rsidRPr="006F5F97">
        <w:t xml:space="preserve"> information </w:t>
      </w:r>
      <w:r w:rsidR="007D6DF4">
        <w:t xml:space="preserve">to the Commissioner </w:t>
      </w:r>
      <w:r w:rsidR="00754D02">
        <w:t>close to the end of the 12 </w:t>
      </w:r>
      <w:r w:rsidR="007D6DF4" w:rsidRPr="006F5F97">
        <w:t xml:space="preserve">month period, and the Commissioner </w:t>
      </w:r>
      <w:r w:rsidR="007D6DF4">
        <w:t>needs additional time to properly examine</w:t>
      </w:r>
      <w:r w:rsidR="007D6DF4" w:rsidRPr="006F5F97">
        <w:t xml:space="preserve"> material. </w:t>
      </w:r>
    </w:p>
    <w:p w14:paraId="57261A08" w14:textId="606FF487" w:rsidR="008645CC" w:rsidRDefault="008645CC" w:rsidP="008645CC">
      <w:pPr>
        <w:pStyle w:val="base-text-paragraph"/>
      </w:pPr>
      <w:r>
        <w:t xml:space="preserve">An order by the Federal Court to extend the period of review, or an extension by consent of the </w:t>
      </w:r>
      <w:r w:rsidR="00754D02">
        <w:t>entity</w:t>
      </w:r>
      <w:r>
        <w:t>, can only be made once.</w:t>
      </w:r>
      <w:r w:rsidRPr="008645CC">
        <w:rPr>
          <w:rStyle w:val="Referencingstyle"/>
        </w:rPr>
        <w:t xml:space="preserve"> </w:t>
      </w:r>
      <w:r>
        <w:rPr>
          <w:rStyle w:val="Referencingstyle"/>
        </w:rPr>
        <w:t>[</w:t>
      </w:r>
      <w:r w:rsidR="000B63B3">
        <w:rPr>
          <w:rStyle w:val="Referencingstyle"/>
        </w:rPr>
        <w:t>Schedule 1</w:t>
      </w:r>
      <w:r>
        <w:rPr>
          <w:rStyle w:val="Referencingstyle"/>
        </w:rPr>
        <w:t xml:space="preserve">, item </w:t>
      </w:r>
      <w:r w:rsidR="00E45A95">
        <w:rPr>
          <w:rStyle w:val="Referencingstyle"/>
        </w:rPr>
        <w:t>9</w:t>
      </w:r>
      <w:r>
        <w:rPr>
          <w:rStyle w:val="Referencingstyle"/>
        </w:rPr>
        <w:t>, subsection 145-15(</w:t>
      </w:r>
      <w:r w:rsidR="00234F33">
        <w:rPr>
          <w:rStyle w:val="Referencingstyle"/>
        </w:rPr>
        <w:t>4</w:t>
      </w:r>
      <w:r>
        <w:rPr>
          <w:rStyle w:val="Referencingstyle"/>
        </w:rPr>
        <w:t>)</w:t>
      </w:r>
      <w:r w:rsidRPr="008645CC">
        <w:rPr>
          <w:rStyle w:val="Referencingstyle"/>
        </w:rPr>
        <w:t xml:space="preserve"> </w:t>
      </w:r>
      <w:r>
        <w:rPr>
          <w:rStyle w:val="Referencingstyle"/>
        </w:rPr>
        <w:t>of Schedule 1 to the TAA 1953]</w:t>
      </w:r>
    </w:p>
    <w:p w14:paraId="77DDF1CD" w14:textId="3C293B5A" w:rsidR="006156A4" w:rsidRDefault="006156A4" w:rsidP="005D7985">
      <w:pPr>
        <w:pStyle w:val="base-text-paragraph"/>
      </w:pPr>
      <w:r>
        <w:t>Generally</w:t>
      </w:r>
      <w:r w:rsidR="00132454">
        <w:t>, for the types of entities within scope of the DPT,</w:t>
      </w:r>
      <w:r>
        <w:t xml:space="preserve"> there is a four year period to review assessments. The</w:t>
      </w:r>
      <w:r w:rsidR="005D7985">
        <w:t xml:space="preserve"> shortened period </w:t>
      </w:r>
      <w:r>
        <w:t xml:space="preserve">of review for DPT assessments reflects the requirement for the </w:t>
      </w:r>
      <w:r w:rsidR="00754D02">
        <w:t xml:space="preserve">entity </w:t>
      </w:r>
      <w:r w:rsidR="003B77EC">
        <w:t xml:space="preserve">to pay the DPT liability </w:t>
      </w:r>
      <w:r w:rsidR="00215F76">
        <w:t>amount</w:t>
      </w:r>
      <w:r w:rsidR="003B77EC">
        <w:t xml:space="preserve"> upfront</w:t>
      </w:r>
      <w:r>
        <w:t>.</w:t>
      </w:r>
    </w:p>
    <w:p w14:paraId="19C52AB1" w14:textId="74C7CF34" w:rsidR="007D6DF4" w:rsidRDefault="007D6DF4" w:rsidP="007D6DF4">
      <w:pPr>
        <w:pStyle w:val="base-text-paragraph"/>
      </w:pPr>
      <w:r>
        <w:t xml:space="preserve">During the period of review, the </w:t>
      </w:r>
      <w:r w:rsidR="00754D02">
        <w:t xml:space="preserve">entity </w:t>
      </w:r>
      <w:r>
        <w:t xml:space="preserve">will have the opportunity to provide the Commissioner with additional information relating to the DPT assessment. </w:t>
      </w:r>
    </w:p>
    <w:p w14:paraId="1C9B1332" w14:textId="383F0E19" w:rsidR="007D6DF4" w:rsidRDefault="007D6DF4" w:rsidP="007D6DF4">
      <w:pPr>
        <w:pStyle w:val="base-text-paragraph"/>
      </w:pPr>
      <w:r>
        <w:t xml:space="preserve">If, as a result of receiving additional information from the </w:t>
      </w:r>
      <w:r w:rsidR="00754D02">
        <w:t>entity</w:t>
      </w:r>
      <w:r>
        <w:t>, the Commissioner is satisfied that the DPT assessment is excessive, the Commissioner can make an amended DPT assessment to reduce the amount of the DPT liability. If the DPT liability is reduced, interest will be payable on the amount refunded.</w:t>
      </w:r>
    </w:p>
    <w:p w14:paraId="379C7620" w14:textId="4433CB0F" w:rsidR="000039CF" w:rsidRDefault="000039CF" w:rsidP="007D6DF4">
      <w:pPr>
        <w:pStyle w:val="base-text-paragraph"/>
      </w:pPr>
      <w:r>
        <w:t xml:space="preserve">In reviewing a DPT assessment, the Commissioner may agree to an outcome with the </w:t>
      </w:r>
      <w:r w:rsidR="00754D02">
        <w:t xml:space="preserve">entity </w:t>
      </w:r>
      <w:r>
        <w:t>that involves both:</w:t>
      </w:r>
    </w:p>
    <w:p w14:paraId="70C79B9F" w14:textId="77777777" w:rsidR="000039CF" w:rsidRDefault="000039CF" w:rsidP="000039CF">
      <w:pPr>
        <w:pStyle w:val="dotpoint"/>
      </w:pPr>
      <w:r>
        <w:t xml:space="preserve">an amendment to reduce a DPT assessment; and </w:t>
      </w:r>
    </w:p>
    <w:p w14:paraId="22DE27C5" w14:textId="696E3743" w:rsidR="000039CF" w:rsidRDefault="000039CF" w:rsidP="000039CF">
      <w:pPr>
        <w:pStyle w:val="dotpoint"/>
      </w:pPr>
      <w:r>
        <w:t>an amendment to increase an income tax assessment.</w:t>
      </w:r>
    </w:p>
    <w:p w14:paraId="444AEEC4" w14:textId="3D17AF7D" w:rsidR="000039CF" w:rsidRDefault="000039CF" w:rsidP="007D6DF4">
      <w:pPr>
        <w:pStyle w:val="base-text-paragraph"/>
      </w:pPr>
      <w:r>
        <w:t>The period for amending an income tax assessment will be extended to facilitate this outcome</w:t>
      </w:r>
      <w:r w:rsidR="00E45A95">
        <w:t xml:space="preserve"> outside the normal four year amendment period</w:t>
      </w:r>
      <w:r>
        <w:t xml:space="preserve">. However, in these circumstances, if the </w:t>
      </w:r>
      <w:r w:rsidR="00754D02">
        <w:t xml:space="preserve">entity </w:t>
      </w:r>
      <w:r>
        <w:t xml:space="preserve">subsequently objects to the amended income tax assessment, the DPT assessment can be restored. </w:t>
      </w:r>
    </w:p>
    <w:p w14:paraId="1CB5D506" w14:textId="1D26F737" w:rsidR="000039CF" w:rsidRDefault="000039CF" w:rsidP="007D6DF4">
      <w:pPr>
        <w:pStyle w:val="base-text-paragraph"/>
      </w:pPr>
      <w:r>
        <w:t xml:space="preserve">As a result of reviewing the additional information provided by the </w:t>
      </w:r>
      <w:r w:rsidR="00754D02">
        <w:t>entity</w:t>
      </w:r>
      <w:r>
        <w:t>, the Commissioner may conclude that the DPT liability should be increased. In this event, the Commissioner can issue an amended DPT assessment to increase the DPT liability. If the DPT liability is increased, interest will be payable on the amount of the increase. However, an amended DPT assessment to increase a DPT liability must be issued no later than 30 days prior to the end of the review period.</w:t>
      </w:r>
    </w:p>
    <w:p w14:paraId="0BEDF0AC" w14:textId="47C85B84" w:rsidR="006156A4" w:rsidRDefault="006156A4" w:rsidP="006156A4">
      <w:pPr>
        <w:pStyle w:val="Heading4"/>
      </w:pPr>
      <w:r>
        <w:t>R</w:t>
      </w:r>
      <w:r w:rsidR="00215F76">
        <w:t xml:space="preserve">eview of </w:t>
      </w:r>
      <w:r>
        <w:t>DPT assessment</w:t>
      </w:r>
      <w:r w:rsidR="00215F76">
        <w:t>s</w:t>
      </w:r>
    </w:p>
    <w:p w14:paraId="17357459" w14:textId="5F9F19B1" w:rsidR="002F3FE3" w:rsidRDefault="001E3224" w:rsidP="00040DFC">
      <w:pPr>
        <w:pStyle w:val="base-text-paragraph"/>
      </w:pPr>
      <w:r>
        <w:t xml:space="preserve">The </w:t>
      </w:r>
      <w:r w:rsidR="002F3FE3">
        <w:t xml:space="preserve">rights of taxpayers to </w:t>
      </w:r>
      <w:r w:rsidR="00C11F93">
        <w:t>make a taxation objection against</w:t>
      </w:r>
      <w:r w:rsidR="002F3FE3">
        <w:t xml:space="preserve"> a taxation decision (including an assessment) are set out in </w:t>
      </w:r>
      <w:r>
        <w:t>Part IVC of the TAA 1953</w:t>
      </w:r>
      <w:r w:rsidR="002F3FE3">
        <w:t xml:space="preserve">. </w:t>
      </w:r>
      <w:r w:rsidR="00C11F93">
        <w:t>However, t</w:t>
      </w:r>
      <w:r w:rsidR="002F3FE3">
        <w:t xml:space="preserve">he relevant taxpayer is prevented from </w:t>
      </w:r>
      <w:r w:rsidR="00C11F93">
        <w:t xml:space="preserve">making a taxation objection </w:t>
      </w:r>
      <w:r w:rsidR="002F3FE3">
        <w:t>against a</w:t>
      </w:r>
      <w:r w:rsidR="00C11F93">
        <w:t xml:space="preserve">n </w:t>
      </w:r>
      <w:r w:rsidR="002F3FE3">
        <w:t xml:space="preserve">assessment </w:t>
      </w:r>
      <w:r w:rsidR="00C11F93">
        <w:t xml:space="preserve">of a DPT liability </w:t>
      </w:r>
      <w:r w:rsidR="00215F76">
        <w:t xml:space="preserve">amount </w:t>
      </w:r>
      <w:r w:rsidR="00C11F93">
        <w:t xml:space="preserve">in the manner set out in Part IVC </w:t>
      </w:r>
      <w:r w:rsidR="002F3FE3">
        <w:t xml:space="preserve">during the period of review. </w:t>
      </w:r>
      <w:r w:rsidR="00C11F93">
        <w:rPr>
          <w:rStyle w:val="Referencingstyle"/>
        </w:rPr>
        <w:t>[</w:t>
      </w:r>
      <w:r w:rsidR="000B63B3">
        <w:rPr>
          <w:rStyle w:val="Referencingstyle"/>
        </w:rPr>
        <w:t>Schedule 1</w:t>
      </w:r>
      <w:r w:rsidR="00FC5474">
        <w:rPr>
          <w:rStyle w:val="Referencingstyle"/>
        </w:rPr>
        <w:t>, item 9</w:t>
      </w:r>
      <w:r w:rsidR="00C11F93">
        <w:rPr>
          <w:rStyle w:val="Referencingstyle"/>
        </w:rPr>
        <w:t>, section </w:t>
      </w:r>
      <w:r w:rsidR="002F3FE3">
        <w:rPr>
          <w:rStyle w:val="Referencingstyle"/>
        </w:rPr>
        <w:t>145-20</w:t>
      </w:r>
      <w:r w:rsidR="0030628A" w:rsidRPr="0030628A">
        <w:rPr>
          <w:rStyle w:val="Referencingstyle"/>
        </w:rPr>
        <w:t xml:space="preserve"> </w:t>
      </w:r>
      <w:r w:rsidR="0030628A">
        <w:rPr>
          <w:rStyle w:val="Referencingstyle"/>
        </w:rPr>
        <w:t>of Schedule 1 to the TAA 1953</w:t>
      </w:r>
      <w:r w:rsidR="002F3FE3">
        <w:rPr>
          <w:rStyle w:val="Referencingstyle"/>
        </w:rPr>
        <w:t>]</w:t>
      </w:r>
    </w:p>
    <w:p w14:paraId="7DAD2EAC" w14:textId="3BC2A112" w:rsidR="00C11F93" w:rsidRDefault="00C11F93" w:rsidP="00040DFC">
      <w:pPr>
        <w:pStyle w:val="base-text-paragraph"/>
      </w:pPr>
      <w:r>
        <w:t xml:space="preserve">This ensures that </w:t>
      </w:r>
      <w:r w:rsidR="00FB3405">
        <w:t>the</w:t>
      </w:r>
      <w:r>
        <w:t xml:space="preserve"> Commissioner is given adequate time to consider information that the relevant taxpayer gives to the Commissioner in the period of review.</w:t>
      </w:r>
    </w:p>
    <w:p w14:paraId="422F0706" w14:textId="72460312" w:rsidR="00C11F93" w:rsidRDefault="003E4505" w:rsidP="00C11F93">
      <w:pPr>
        <w:pStyle w:val="base-text-paragraph"/>
      </w:pPr>
      <w:r>
        <w:t>T</w:t>
      </w:r>
      <w:r w:rsidR="00C11F93">
        <w:t xml:space="preserve">he relevant taxpayer will be able to make a taxation objection against an assessment of a DPT liability </w:t>
      </w:r>
      <w:r w:rsidR="00C1545D">
        <w:t xml:space="preserve">amount </w:t>
      </w:r>
      <w:r w:rsidR="00C11F93">
        <w:t xml:space="preserve">in the manner set out in Part IVC within 30 days of the end of the period of review. </w:t>
      </w:r>
      <w:r w:rsidR="00C11F93">
        <w:rPr>
          <w:rStyle w:val="Referencingstyle"/>
        </w:rPr>
        <w:t>[</w:t>
      </w:r>
      <w:r w:rsidR="000B63B3">
        <w:rPr>
          <w:rStyle w:val="Referencingstyle"/>
        </w:rPr>
        <w:t>Schedule 1</w:t>
      </w:r>
      <w:r w:rsidR="00C11F93">
        <w:rPr>
          <w:rStyle w:val="Referencingstyle"/>
        </w:rPr>
        <w:t>, item</w:t>
      </w:r>
      <w:r w:rsidR="00FC5474">
        <w:rPr>
          <w:rStyle w:val="Referencingstyle"/>
        </w:rPr>
        <w:t> 9</w:t>
      </w:r>
      <w:r w:rsidR="00C11F93">
        <w:rPr>
          <w:rStyle w:val="Referencingstyle"/>
        </w:rPr>
        <w:t>, paragraph 145-20(</w:t>
      </w:r>
      <w:r w:rsidR="00215F76">
        <w:rPr>
          <w:rStyle w:val="Referencingstyle"/>
        </w:rPr>
        <w:t>4</w:t>
      </w:r>
      <w:r w:rsidR="00C11F93">
        <w:rPr>
          <w:rStyle w:val="Referencingstyle"/>
        </w:rPr>
        <w:t>)(c) of Schedule 1 to the TAA 1953]</w:t>
      </w:r>
    </w:p>
    <w:p w14:paraId="01205DB0" w14:textId="77777777" w:rsidR="00CB54AF" w:rsidRDefault="00C11F93" w:rsidP="00C11F93">
      <w:pPr>
        <w:pStyle w:val="base-text-paragraph"/>
        <w:rPr>
          <w:rStyle w:val="Referencingstyle"/>
          <w:b w:val="0"/>
          <w:i w:val="0"/>
          <w:sz w:val="22"/>
        </w:rPr>
      </w:pPr>
      <w:r>
        <w:t xml:space="preserve">The operation of Part IVC in relation to DPT assessments is modified to </w:t>
      </w:r>
      <w:r w:rsidRPr="002F3FE3">
        <w:rPr>
          <w:rStyle w:val="Referencingstyle"/>
          <w:b w:val="0"/>
          <w:i w:val="0"/>
          <w:sz w:val="22"/>
        </w:rPr>
        <w:t xml:space="preserve">reflect special features that apply to DPT </w:t>
      </w:r>
      <w:r>
        <w:rPr>
          <w:rStyle w:val="Referencingstyle"/>
          <w:b w:val="0"/>
          <w:i w:val="0"/>
          <w:sz w:val="22"/>
        </w:rPr>
        <w:t>assessments</w:t>
      </w:r>
      <w:r w:rsidRPr="002F3FE3">
        <w:rPr>
          <w:rStyle w:val="Referencingstyle"/>
          <w:b w:val="0"/>
          <w:i w:val="0"/>
          <w:sz w:val="22"/>
        </w:rPr>
        <w:t xml:space="preserve">. </w:t>
      </w:r>
      <w:r w:rsidR="00CB54AF">
        <w:rPr>
          <w:rStyle w:val="Referencingstyle"/>
          <w:b w:val="0"/>
          <w:i w:val="0"/>
          <w:sz w:val="22"/>
        </w:rPr>
        <w:t>The key modifications are that:</w:t>
      </w:r>
    </w:p>
    <w:p w14:paraId="6F3B3FCA" w14:textId="7804C849" w:rsidR="00CB54AF" w:rsidRDefault="00CB54AF" w:rsidP="00CB54AF">
      <w:pPr>
        <w:pStyle w:val="dotpoint"/>
      </w:pPr>
      <w:r>
        <w:t>the taxation objection must be made within 30 days of the end of the period of review; and</w:t>
      </w:r>
    </w:p>
    <w:p w14:paraId="2B531C4E" w14:textId="5A8015C7" w:rsidR="00CB54AF" w:rsidRDefault="00CB54AF" w:rsidP="00CB54AF">
      <w:pPr>
        <w:pStyle w:val="dotpoint"/>
        <w:rPr>
          <w:rStyle w:val="Referencingstyle"/>
          <w:b w:val="0"/>
          <w:i w:val="0"/>
          <w:sz w:val="22"/>
        </w:rPr>
      </w:pPr>
      <w:r>
        <w:t>the taxation objection must be an appeal to the Federal Court</w:t>
      </w:r>
      <w:r w:rsidR="00FB7357">
        <w:t xml:space="preserve"> (and not to the Administrative Appeals Tribunal)</w:t>
      </w:r>
      <w:r>
        <w:t>.</w:t>
      </w:r>
    </w:p>
    <w:p w14:paraId="1BBCD7C9" w14:textId="1FD826E5" w:rsidR="00C11F93" w:rsidRPr="002F3FE3" w:rsidRDefault="00C11F93" w:rsidP="00CB54AF">
      <w:pPr>
        <w:pStyle w:val="base-text-paragraphnonumbers"/>
        <w:rPr>
          <w:rStyle w:val="Referencingstyle"/>
          <w:b w:val="0"/>
          <w:i w:val="0"/>
          <w:sz w:val="22"/>
        </w:rPr>
      </w:pPr>
      <w:r>
        <w:rPr>
          <w:rStyle w:val="Referencingstyle"/>
        </w:rPr>
        <w:t>[</w:t>
      </w:r>
      <w:r w:rsidR="000B63B3">
        <w:rPr>
          <w:rStyle w:val="Referencingstyle"/>
        </w:rPr>
        <w:t>Schedule 1</w:t>
      </w:r>
      <w:r>
        <w:rPr>
          <w:rStyle w:val="Referencingstyle"/>
        </w:rPr>
        <w:t xml:space="preserve">, item </w:t>
      </w:r>
      <w:r w:rsidR="00FC5474">
        <w:rPr>
          <w:rStyle w:val="Referencingstyle"/>
        </w:rPr>
        <w:t>9</w:t>
      </w:r>
      <w:r>
        <w:rPr>
          <w:rStyle w:val="Referencingstyle"/>
        </w:rPr>
        <w:t>, section 145-20 of Schedule 1 to the TAA 1953]</w:t>
      </w:r>
    </w:p>
    <w:p w14:paraId="77505B2D" w14:textId="6870AF6F" w:rsidR="00CB54AF" w:rsidRDefault="003E6713" w:rsidP="00F0458F">
      <w:pPr>
        <w:pStyle w:val="base-text-paragraph"/>
      </w:pPr>
      <w:r>
        <w:t xml:space="preserve">In </w:t>
      </w:r>
      <w:r w:rsidR="00CB54AF">
        <w:t xml:space="preserve">addition, if </w:t>
      </w:r>
      <w:r>
        <w:t xml:space="preserve">an appeal </w:t>
      </w:r>
      <w:r w:rsidR="00CB54AF">
        <w:t xml:space="preserve">is made </w:t>
      </w:r>
      <w:r>
        <w:t xml:space="preserve">to the Federal Court against a DPT assessment, </w:t>
      </w:r>
      <w:r w:rsidR="00CB54AF">
        <w:t xml:space="preserve">restricted DPT evidence is not admissible in evidence in the proceedings. </w:t>
      </w:r>
      <w:r w:rsidR="00CB54AF">
        <w:rPr>
          <w:rStyle w:val="Referencingstyle"/>
        </w:rPr>
        <w:t>[</w:t>
      </w:r>
      <w:r w:rsidR="000B63B3">
        <w:rPr>
          <w:rStyle w:val="Referencingstyle"/>
        </w:rPr>
        <w:t>Schedule 1</w:t>
      </w:r>
      <w:r w:rsidR="00CB54AF">
        <w:rPr>
          <w:rStyle w:val="Referencingstyle"/>
        </w:rPr>
        <w:t xml:space="preserve">, item </w:t>
      </w:r>
      <w:r w:rsidR="00FC5474">
        <w:rPr>
          <w:rStyle w:val="Referencingstyle"/>
        </w:rPr>
        <w:t>9</w:t>
      </w:r>
      <w:r w:rsidR="00CB54AF">
        <w:rPr>
          <w:rStyle w:val="Referencingstyle"/>
        </w:rPr>
        <w:t>, section 145-25</w:t>
      </w:r>
      <w:r w:rsidR="00FF3501" w:rsidRPr="00FF3501">
        <w:rPr>
          <w:rStyle w:val="Referencingstyle"/>
        </w:rPr>
        <w:t xml:space="preserve"> </w:t>
      </w:r>
      <w:r w:rsidR="00FF3501">
        <w:rPr>
          <w:rStyle w:val="Referencingstyle"/>
        </w:rPr>
        <w:t>of Schedule 1 to the TAA 1953</w:t>
      </w:r>
      <w:r w:rsidR="00CB54AF">
        <w:rPr>
          <w:rStyle w:val="Referencingstyle"/>
        </w:rPr>
        <w:t>]</w:t>
      </w:r>
    </w:p>
    <w:p w14:paraId="4A7EA912" w14:textId="23503796" w:rsidR="00CB54AF" w:rsidRDefault="00CB54AF" w:rsidP="00F0458F">
      <w:pPr>
        <w:pStyle w:val="base-text-paragraph"/>
      </w:pPr>
      <w:r w:rsidRPr="00F667EC">
        <w:t>Restricted DPT evidence is</w:t>
      </w:r>
      <w:r>
        <w:t xml:space="preserve"> </w:t>
      </w:r>
      <w:r w:rsidR="00F667EC">
        <w:t xml:space="preserve">any </w:t>
      </w:r>
      <w:r w:rsidR="003E6713">
        <w:t xml:space="preserve">information or documents </w:t>
      </w:r>
      <w:r>
        <w:t>that</w:t>
      </w:r>
      <w:r w:rsidR="00F667EC">
        <w:t xml:space="preserve"> the relevant taxpayer does not provide to the Commissioner during the period of review</w:t>
      </w:r>
      <w:r w:rsidR="003820E8">
        <w:t>, or that the Commissioner did not already have prior to the period of review</w:t>
      </w:r>
      <w:r w:rsidR="00F667EC">
        <w:t xml:space="preserve">. That is, </w:t>
      </w:r>
      <w:r w:rsidR="00F667EC" w:rsidRPr="00F667EC">
        <w:rPr>
          <w:b/>
          <w:i/>
        </w:rPr>
        <w:t>restricted DPT evidence</w:t>
      </w:r>
      <w:r w:rsidR="00F667EC" w:rsidRPr="00F667EC">
        <w:t xml:space="preserve"> is</w:t>
      </w:r>
      <w:r w:rsidR="00F667EC">
        <w:t xml:space="preserve"> information or documents that</w:t>
      </w:r>
      <w:r>
        <w:t>:</w:t>
      </w:r>
    </w:p>
    <w:p w14:paraId="0E478CCE" w14:textId="05D1192D" w:rsidR="00F667EC" w:rsidRDefault="00CB54AF" w:rsidP="00CB54AF">
      <w:pPr>
        <w:pStyle w:val="dotpoint"/>
      </w:pPr>
      <w:r>
        <w:t>the relevant taxpayer</w:t>
      </w:r>
      <w:r w:rsidR="008D722A">
        <w:t>, or an associate (within the meaning in section 318 of the ITAA 19</w:t>
      </w:r>
      <w:r w:rsidR="0072743B">
        <w:t>36</w:t>
      </w:r>
      <w:r w:rsidR="008D722A">
        <w:t>) of the relevant taxpayer,</w:t>
      </w:r>
      <w:r>
        <w:t xml:space="preserve"> had in its custody or under its control </w:t>
      </w:r>
      <w:r w:rsidR="00F667EC">
        <w:t>at a time before, during or after the period of review;</w:t>
      </w:r>
      <w:r w:rsidR="003E4505">
        <w:t xml:space="preserve"> and</w:t>
      </w:r>
    </w:p>
    <w:p w14:paraId="5450F877" w14:textId="608EA845" w:rsidR="00CB54AF" w:rsidRDefault="00F667EC" w:rsidP="00CB54AF">
      <w:pPr>
        <w:pStyle w:val="dotpoint"/>
      </w:pPr>
      <w:r>
        <w:t>the Commissioner did not have in his or her custody or control during the period of review</w:t>
      </w:r>
      <w:r w:rsidR="003E6713">
        <w:t>.</w:t>
      </w:r>
      <w:r w:rsidR="00D77511">
        <w:t xml:space="preserve"> </w:t>
      </w:r>
    </w:p>
    <w:p w14:paraId="6524CD07" w14:textId="30926EB3" w:rsidR="00215F76" w:rsidRDefault="00215F76" w:rsidP="00215F76">
      <w:pPr>
        <w:pStyle w:val="base-text-paragraphnonumbers"/>
      </w:pPr>
      <w:r>
        <w:rPr>
          <w:rStyle w:val="Referencingstyle"/>
        </w:rPr>
        <w:t>[</w:t>
      </w:r>
      <w:r w:rsidR="000B63B3">
        <w:rPr>
          <w:rStyle w:val="Referencingstyle"/>
        </w:rPr>
        <w:t>Schedule 1</w:t>
      </w:r>
      <w:r>
        <w:rPr>
          <w:rStyle w:val="Referencingstyle"/>
        </w:rPr>
        <w:t xml:space="preserve">, items </w:t>
      </w:r>
      <w:r w:rsidR="00FC5474">
        <w:rPr>
          <w:rStyle w:val="Referencingstyle"/>
        </w:rPr>
        <w:t>7</w:t>
      </w:r>
      <w:r>
        <w:rPr>
          <w:rStyle w:val="Referencingstyle"/>
        </w:rPr>
        <w:t xml:space="preserve"> and </w:t>
      </w:r>
      <w:r w:rsidR="00FC5474">
        <w:rPr>
          <w:rStyle w:val="Referencingstyle"/>
        </w:rPr>
        <w:t>9</w:t>
      </w:r>
      <w:r>
        <w:rPr>
          <w:rStyle w:val="Referencingstyle"/>
        </w:rPr>
        <w:t>, definition of ‘restricted DPT evidence’ in subsection 995</w:t>
      </w:r>
      <w:r>
        <w:rPr>
          <w:rStyle w:val="Referencingstyle"/>
        </w:rPr>
        <w:noBreakHyphen/>
        <w:t>1(1) of the ITAA 1997, subsection 145-25(2) of Schedule 1 to the TAA 1953]</w:t>
      </w:r>
      <w:r>
        <w:t xml:space="preserve"> </w:t>
      </w:r>
    </w:p>
    <w:p w14:paraId="30C61339" w14:textId="42D79D89" w:rsidR="003E6713" w:rsidRPr="004F068E" w:rsidRDefault="003933EA" w:rsidP="00F667EC">
      <w:pPr>
        <w:pStyle w:val="base-text-paragraph"/>
        <w:rPr>
          <w:rStyle w:val="Referencingstyle"/>
          <w:b w:val="0"/>
          <w:i w:val="0"/>
          <w:sz w:val="22"/>
        </w:rPr>
      </w:pPr>
      <w:r>
        <w:t xml:space="preserve">The effect of this </w:t>
      </w:r>
      <w:r w:rsidR="003E4505">
        <w:t xml:space="preserve">evidentiary </w:t>
      </w:r>
      <w:r w:rsidR="005F667D">
        <w:t xml:space="preserve">restriction </w:t>
      </w:r>
      <w:r>
        <w:t xml:space="preserve">is that any information or documents that the taxpayer does not provide to the Commissioner during the period of review </w:t>
      </w:r>
      <w:r w:rsidR="00DA5F4F">
        <w:t xml:space="preserve">for a DPT assessment </w:t>
      </w:r>
      <w:r w:rsidR="00C966C7">
        <w:t xml:space="preserve">will </w:t>
      </w:r>
      <w:r w:rsidR="009422D3">
        <w:t xml:space="preserve">generally </w:t>
      </w:r>
      <w:r w:rsidR="00DA5F4F">
        <w:t xml:space="preserve">not </w:t>
      </w:r>
      <w:r w:rsidR="003E4505">
        <w:t xml:space="preserve">be </w:t>
      </w:r>
      <w:r w:rsidR="00C966C7">
        <w:t xml:space="preserve">admissible </w:t>
      </w:r>
      <w:r w:rsidR="00DA5F4F">
        <w:t>on behalf of the taxpayer in an appeal against the DPT assessment.</w:t>
      </w:r>
      <w:r w:rsidR="003E4505">
        <w:t xml:space="preserve"> </w:t>
      </w:r>
      <w:r w:rsidR="003E6713">
        <w:rPr>
          <w:rStyle w:val="Referencingstyle"/>
        </w:rPr>
        <w:t>[</w:t>
      </w:r>
      <w:r w:rsidR="000B63B3">
        <w:rPr>
          <w:rStyle w:val="Referencingstyle"/>
        </w:rPr>
        <w:t>Schedule 1</w:t>
      </w:r>
      <w:r w:rsidR="003E6713">
        <w:rPr>
          <w:rStyle w:val="Referencingstyle"/>
        </w:rPr>
        <w:t xml:space="preserve">, item </w:t>
      </w:r>
      <w:r w:rsidR="00FC5474">
        <w:rPr>
          <w:rStyle w:val="Referencingstyle"/>
        </w:rPr>
        <w:t>9</w:t>
      </w:r>
      <w:r w:rsidR="003E6713">
        <w:rPr>
          <w:rStyle w:val="Referencingstyle"/>
        </w:rPr>
        <w:t>, section 145-25</w:t>
      </w:r>
      <w:r w:rsidR="00FF3501" w:rsidRPr="00FF3501">
        <w:rPr>
          <w:rStyle w:val="Referencingstyle"/>
        </w:rPr>
        <w:t xml:space="preserve"> </w:t>
      </w:r>
      <w:r w:rsidR="00FF3501">
        <w:rPr>
          <w:rStyle w:val="Referencingstyle"/>
        </w:rPr>
        <w:t>of Schedule 1 to the TAA 1953</w:t>
      </w:r>
      <w:r w:rsidR="003E6713">
        <w:rPr>
          <w:rStyle w:val="Referencingstyle"/>
        </w:rPr>
        <w:t>]</w:t>
      </w:r>
    </w:p>
    <w:p w14:paraId="7F6B14A0" w14:textId="4FECB25D" w:rsidR="004F068E" w:rsidRDefault="004F068E" w:rsidP="004F068E">
      <w:pPr>
        <w:pStyle w:val="base-text-paragraph"/>
      </w:pPr>
      <w:r>
        <w:t xml:space="preserve">This evidentiary restriction </w:t>
      </w:r>
      <w:r w:rsidR="00FC5474">
        <w:t>will</w:t>
      </w:r>
      <w:r>
        <w:t xml:space="preserve"> encourage a taxpayer that has been issued a DPT assessment to provide the Commissioner with complete and accurate documents and information, and to make genuine attempts to provide and obtain relevant information, during the period of review.</w:t>
      </w:r>
    </w:p>
    <w:p w14:paraId="38CA1DB5" w14:textId="3F9AE8E5" w:rsidR="00F667EC" w:rsidRDefault="00F667EC" w:rsidP="00F0458F">
      <w:pPr>
        <w:pStyle w:val="base-text-paragraph"/>
      </w:pPr>
      <w:r>
        <w:t>However, r</w:t>
      </w:r>
      <w:r w:rsidR="00277B12">
        <w:t xml:space="preserve">estricted DPT </w:t>
      </w:r>
      <w:r w:rsidR="00D77511">
        <w:t>evidence is admissible if</w:t>
      </w:r>
      <w:r>
        <w:t>:</w:t>
      </w:r>
    </w:p>
    <w:p w14:paraId="248AD4BB" w14:textId="37C43275" w:rsidR="00F667EC" w:rsidRDefault="00D77511" w:rsidP="00F667EC">
      <w:pPr>
        <w:pStyle w:val="dotpoint"/>
      </w:pPr>
      <w:r>
        <w:t xml:space="preserve">the Commissioner consents </w:t>
      </w:r>
      <w:r w:rsidR="00F667EC">
        <w:t xml:space="preserve">to its admission </w:t>
      </w:r>
      <w:r w:rsidR="00B8550B">
        <w:t>— the consent must be in writing, and the Commissioner must give a copy of the consent to the relevant taxpayer as soon as practicable after the decision to give consent is made</w:t>
      </w:r>
      <w:r w:rsidR="00F667EC">
        <w:t>; or</w:t>
      </w:r>
    </w:p>
    <w:p w14:paraId="3E411548" w14:textId="47DE9352" w:rsidR="00F667EC" w:rsidRDefault="00D77511" w:rsidP="00F667EC">
      <w:pPr>
        <w:pStyle w:val="dotpoint"/>
      </w:pPr>
      <w:r>
        <w:t xml:space="preserve">with leave of the court if the court considers that its admission is in the interests of justice. </w:t>
      </w:r>
    </w:p>
    <w:p w14:paraId="40C67BA5" w14:textId="34FE84EA" w:rsidR="00F667EC" w:rsidRDefault="00F667EC" w:rsidP="00F667EC">
      <w:pPr>
        <w:pStyle w:val="base-text-paragraphnonumbers"/>
      </w:pPr>
      <w:r>
        <w:rPr>
          <w:rStyle w:val="Referencingstyle"/>
        </w:rPr>
        <w:t>[</w:t>
      </w:r>
      <w:r w:rsidR="000B63B3">
        <w:rPr>
          <w:rStyle w:val="Referencingstyle"/>
        </w:rPr>
        <w:t>Schedule 1</w:t>
      </w:r>
      <w:r>
        <w:rPr>
          <w:rStyle w:val="Referencingstyle"/>
        </w:rPr>
        <w:t xml:space="preserve">, item </w:t>
      </w:r>
      <w:r w:rsidR="00FC5474">
        <w:rPr>
          <w:rStyle w:val="Referencingstyle"/>
        </w:rPr>
        <w:t>9</w:t>
      </w:r>
      <w:r>
        <w:rPr>
          <w:rStyle w:val="Referencingstyle"/>
        </w:rPr>
        <w:t>, subsections 145-25(3)</w:t>
      </w:r>
      <w:r w:rsidR="00B8550B">
        <w:rPr>
          <w:rStyle w:val="Referencingstyle"/>
        </w:rPr>
        <w:t>, (7)</w:t>
      </w:r>
      <w:r>
        <w:rPr>
          <w:rStyle w:val="Referencingstyle"/>
        </w:rPr>
        <w:t xml:space="preserve"> and (</w:t>
      </w:r>
      <w:r w:rsidR="00B8550B">
        <w:rPr>
          <w:rStyle w:val="Referencingstyle"/>
        </w:rPr>
        <w:t>8</w:t>
      </w:r>
      <w:r>
        <w:rPr>
          <w:rStyle w:val="Referencingstyle"/>
        </w:rPr>
        <w:t>)</w:t>
      </w:r>
      <w:r w:rsidR="00FF3501" w:rsidRPr="00FF3501">
        <w:rPr>
          <w:rStyle w:val="Referencingstyle"/>
        </w:rPr>
        <w:t xml:space="preserve"> </w:t>
      </w:r>
      <w:r w:rsidR="00FF3501">
        <w:rPr>
          <w:rStyle w:val="Referencingstyle"/>
        </w:rPr>
        <w:t>of Schedule 1 to the TAA 1953</w:t>
      </w:r>
      <w:r>
        <w:rPr>
          <w:rStyle w:val="Referencingstyle"/>
        </w:rPr>
        <w:t>]</w:t>
      </w:r>
    </w:p>
    <w:p w14:paraId="5D72AFE7" w14:textId="49D7FE35" w:rsidR="001E3224" w:rsidRDefault="00D77511" w:rsidP="00F0458F">
      <w:pPr>
        <w:pStyle w:val="base-text-paragraph"/>
      </w:pPr>
      <w:r>
        <w:t xml:space="preserve">In making a decision whether to consent to </w:t>
      </w:r>
      <w:r w:rsidR="001E3224">
        <w:t xml:space="preserve">the admission of </w:t>
      </w:r>
      <w:r w:rsidR="00F667EC">
        <w:t xml:space="preserve">restricted DPT </w:t>
      </w:r>
      <w:r w:rsidR="001E3224">
        <w:t>evidence, the Commissioner or a court must have regard to whether:</w:t>
      </w:r>
    </w:p>
    <w:p w14:paraId="3275131C" w14:textId="6838E2B4" w:rsidR="001E3224" w:rsidRDefault="001E3224" w:rsidP="00E60BE4">
      <w:pPr>
        <w:pStyle w:val="dotpoint"/>
      </w:pPr>
      <w:r>
        <w:t>because of the absence of the restricted DPT evidence, the remaining information or documents that are relevant to the proceedings are, or are likely to be, misleading; and</w:t>
      </w:r>
    </w:p>
    <w:p w14:paraId="346C0801" w14:textId="7E9AF008" w:rsidR="001E3224" w:rsidRDefault="001E3224" w:rsidP="00E60BE4">
      <w:pPr>
        <w:pStyle w:val="dotpoint"/>
      </w:pPr>
      <w:r>
        <w:t xml:space="preserve">whether it was reasonable for the </w:t>
      </w:r>
      <w:r w:rsidR="008D722A">
        <w:t xml:space="preserve">relevant </w:t>
      </w:r>
      <w:r>
        <w:t>taxpayer</w:t>
      </w:r>
      <w:r w:rsidR="008D722A">
        <w:t>,</w:t>
      </w:r>
      <w:r w:rsidR="008D722A" w:rsidRPr="008D722A">
        <w:t xml:space="preserve"> </w:t>
      </w:r>
      <w:r w:rsidR="008D722A">
        <w:t>or an associate (within the meaning in section 318 of the ITAA 19</w:t>
      </w:r>
      <w:r w:rsidR="0072743B">
        <w:t>36</w:t>
      </w:r>
      <w:r w:rsidR="008D722A">
        <w:t>) of the relevant taxpayer,</w:t>
      </w:r>
      <w:r>
        <w:t xml:space="preserve"> to have given the Commissioner the restricted DPT evidence within the period of review.</w:t>
      </w:r>
      <w:r w:rsidR="006F5F97">
        <w:t xml:space="preserve"> </w:t>
      </w:r>
    </w:p>
    <w:p w14:paraId="5AFA039C" w14:textId="233DE49E" w:rsidR="002C3839" w:rsidRDefault="001E3224" w:rsidP="00F667EC">
      <w:pPr>
        <w:pStyle w:val="base-text-paragraphnonumbers"/>
        <w:rPr>
          <w:rStyle w:val="Referencingstyle"/>
        </w:rPr>
      </w:pPr>
      <w:r>
        <w:rPr>
          <w:rStyle w:val="Referencingstyle"/>
        </w:rPr>
        <w:t>[</w:t>
      </w:r>
      <w:r w:rsidR="000B63B3">
        <w:rPr>
          <w:rStyle w:val="Referencingstyle"/>
        </w:rPr>
        <w:t>Schedule 1</w:t>
      </w:r>
      <w:r>
        <w:rPr>
          <w:rStyle w:val="Referencingstyle"/>
        </w:rPr>
        <w:t>, item 4, subsecti</w:t>
      </w:r>
      <w:r w:rsidR="00CC73F1">
        <w:rPr>
          <w:rStyle w:val="Referencingstyle"/>
        </w:rPr>
        <w:t>o</w:t>
      </w:r>
      <w:r>
        <w:rPr>
          <w:rStyle w:val="Referencingstyle"/>
        </w:rPr>
        <w:t>n 145-25(5)</w:t>
      </w:r>
      <w:r w:rsidR="00FF3501" w:rsidRPr="00FF3501">
        <w:rPr>
          <w:rStyle w:val="Referencingstyle"/>
        </w:rPr>
        <w:t xml:space="preserve"> </w:t>
      </w:r>
      <w:r w:rsidR="00FF3501">
        <w:rPr>
          <w:rStyle w:val="Referencingstyle"/>
        </w:rPr>
        <w:t>of Schedule 1 to the TAA 1953</w:t>
      </w:r>
      <w:r>
        <w:rPr>
          <w:rStyle w:val="Referencingstyle"/>
        </w:rPr>
        <w:t>]</w:t>
      </w:r>
    </w:p>
    <w:p w14:paraId="7E4005C6" w14:textId="16FF6F4A" w:rsidR="00F667EC" w:rsidRDefault="00B8550B" w:rsidP="00F667EC">
      <w:pPr>
        <w:pStyle w:val="base-text-paragraph"/>
      </w:pPr>
      <w:r>
        <w:t xml:space="preserve">The Commissioner must give consent to the admission of restricted DPT evidence if failure to do so would have the effect, for the purposes of the Constitution, of making any tax or penalty incontestable. </w:t>
      </w:r>
      <w:r>
        <w:rPr>
          <w:rStyle w:val="Referencingstyle"/>
        </w:rPr>
        <w:t>[</w:t>
      </w:r>
      <w:r w:rsidR="000B63B3">
        <w:rPr>
          <w:rStyle w:val="Referencingstyle"/>
        </w:rPr>
        <w:t>Schedule 1</w:t>
      </w:r>
      <w:r>
        <w:rPr>
          <w:rStyle w:val="Referencingstyle"/>
        </w:rPr>
        <w:t xml:space="preserve">, item </w:t>
      </w:r>
      <w:r w:rsidR="00FC5474">
        <w:rPr>
          <w:rStyle w:val="Referencingstyle"/>
        </w:rPr>
        <w:t>9</w:t>
      </w:r>
      <w:r>
        <w:rPr>
          <w:rStyle w:val="Referencingstyle"/>
        </w:rPr>
        <w:t>, subsection 145-25(6)</w:t>
      </w:r>
      <w:r w:rsidR="00FF3501" w:rsidRPr="00FF3501">
        <w:rPr>
          <w:rStyle w:val="Referencingstyle"/>
        </w:rPr>
        <w:t xml:space="preserve"> </w:t>
      </w:r>
      <w:r w:rsidR="00FF3501">
        <w:rPr>
          <w:rStyle w:val="Referencingstyle"/>
        </w:rPr>
        <w:t>of Schedule 1 to the TAA 1953</w:t>
      </w:r>
      <w:r>
        <w:rPr>
          <w:rStyle w:val="Referencingstyle"/>
        </w:rPr>
        <w:t>]</w:t>
      </w:r>
    </w:p>
    <w:p w14:paraId="1EF2FE2A" w14:textId="77777777" w:rsidR="000B2AC9" w:rsidRDefault="000B2AC9" w:rsidP="00A92BD4">
      <w:pPr>
        <w:pStyle w:val="Heading2"/>
      </w:pPr>
      <w:r>
        <w:t>Consequential amendments</w:t>
      </w:r>
    </w:p>
    <w:p w14:paraId="586796C6" w14:textId="04FA0434" w:rsidR="008D722A" w:rsidRDefault="008D722A" w:rsidP="00A92BD4">
      <w:pPr>
        <w:pStyle w:val="base-text-paragraph"/>
      </w:pPr>
      <w:r>
        <w:t>Consequential amendments:</w:t>
      </w:r>
    </w:p>
    <w:p w14:paraId="3A69B964" w14:textId="6ACC339A" w:rsidR="008D722A" w:rsidRDefault="008D722A" w:rsidP="008D722A">
      <w:pPr>
        <w:pStyle w:val="dotpoint"/>
      </w:pPr>
      <w:r>
        <w:t>modify the definition of</w:t>
      </w:r>
      <w:r w:rsidRPr="003E4505">
        <w:rPr>
          <w:i/>
        </w:rPr>
        <w:t xml:space="preserve"> assessmen</w:t>
      </w:r>
      <w:r w:rsidRPr="001F5A9C">
        <w:rPr>
          <w:i/>
        </w:rPr>
        <w:t>t</w:t>
      </w:r>
      <w:r>
        <w:t xml:space="preserve"> in subsection 6(1) of the ITAA 1936 to specify that an assessment includes a DPT assessment;</w:t>
      </w:r>
    </w:p>
    <w:p w14:paraId="703BE2C1" w14:textId="77777777" w:rsidR="00C1545D" w:rsidRDefault="008D722A" w:rsidP="008D722A">
      <w:pPr>
        <w:pStyle w:val="dotpoint"/>
      </w:pPr>
      <w:r>
        <w:t xml:space="preserve">modify various provisions in Part IVA of the ITAA 1936 to make appropriate references to the DPT provisions; </w:t>
      </w:r>
    </w:p>
    <w:p w14:paraId="1A37D3FC" w14:textId="7ABDB071" w:rsidR="008D722A" w:rsidRDefault="00C1545D" w:rsidP="008D722A">
      <w:pPr>
        <w:pStyle w:val="dotpoint"/>
      </w:pPr>
      <w:r>
        <w:t xml:space="preserve">insert a note in the definition of </w:t>
      </w:r>
      <w:r w:rsidRPr="00C1545D">
        <w:rPr>
          <w:i/>
        </w:rPr>
        <w:t>period of review</w:t>
      </w:r>
      <w:r>
        <w:t xml:space="preserve"> in subsection 995</w:t>
      </w:r>
      <w:r>
        <w:noBreakHyphen/>
        <w:t xml:space="preserve">1(1) to refer to the modified period of review for DPT assessments; </w:t>
      </w:r>
      <w:r w:rsidR="00FF3501">
        <w:t>and</w:t>
      </w:r>
    </w:p>
    <w:p w14:paraId="433536C9" w14:textId="08A129AC" w:rsidR="008D722A" w:rsidRDefault="008C32EC" w:rsidP="008D722A">
      <w:pPr>
        <w:pStyle w:val="dotpoint"/>
      </w:pPr>
      <w:r>
        <w:t>clari</w:t>
      </w:r>
      <w:r w:rsidR="00FF3501">
        <w:t xml:space="preserve">fy that decisions made by the Commissioner relating to, broadly, the assessment of DPT are not subject to review under the </w:t>
      </w:r>
      <w:r w:rsidR="00FF3501" w:rsidRPr="00FF3501">
        <w:rPr>
          <w:i/>
        </w:rPr>
        <w:t>Administrative Deci</w:t>
      </w:r>
      <w:r w:rsidRPr="00FF3501">
        <w:rPr>
          <w:i/>
        </w:rPr>
        <w:t>s</w:t>
      </w:r>
      <w:r w:rsidR="00FF3501" w:rsidRPr="00FF3501">
        <w:rPr>
          <w:i/>
        </w:rPr>
        <w:t>io</w:t>
      </w:r>
      <w:r w:rsidRPr="00FF3501">
        <w:rPr>
          <w:i/>
        </w:rPr>
        <w:t xml:space="preserve">ns </w:t>
      </w:r>
      <w:r w:rsidR="00FF3501" w:rsidRPr="00FF3501">
        <w:rPr>
          <w:i/>
        </w:rPr>
        <w:t>(Judicial Review) Act</w:t>
      </w:r>
      <w:r w:rsidR="00FF3501">
        <w:rPr>
          <w:i/>
        </w:rPr>
        <w:t> </w:t>
      </w:r>
      <w:r w:rsidR="00FF3501" w:rsidRPr="00FF3501">
        <w:rPr>
          <w:i/>
        </w:rPr>
        <w:t>1977</w:t>
      </w:r>
      <w:r w:rsidR="00FF3501">
        <w:t xml:space="preserve"> (consistent with decisions relating to the assessment of income tax).</w:t>
      </w:r>
    </w:p>
    <w:p w14:paraId="51F3D94F" w14:textId="6BBC27AD" w:rsidR="00FF3501" w:rsidRDefault="00FF3501" w:rsidP="00FF3501">
      <w:pPr>
        <w:pStyle w:val="base-text-paragraphnonumbers"/>
      </w:pPr>
      <w:r>
        <w:rPr>
          <w:rStyle w:val="Referencingstyle"/>
        </w:rPr>
        <w:t>[</w:t>
      </w:r>
      <w:r w:rsidR="000B63B3">
        <w:rPr>
          <w:rStyle w:val="Referencingstyle"/>
        </w:rPr>
        <w:t>Schedule 1</w:t>
      </w:r>
      <w:r>
        <w:rPr>
          <w:rStyle w:val="Referencingstyle"/>
        </w:rPr>
        <w:t>, items 1</w:t>
      </w:r>
      <w:r w:rsidR="00FC5474">
        <w:rPr>
          <w:rStyle w:val="Referencingstyle"/>
        </w:rPr>
        <w:t xml:space="preserve"> to 4 and 8</w:t>
      </w:r>
      <w:r>
        <w:rPr>
          <w:rStyle w:val="Referencingstyle"/>
        </w:rPr>
        <w:t xml:space="preserve">, paragraph (e) of Schedule 1 to the </w:t>
      </w:r>
      <w:r w:rsidRPr="00FF3501">
        <w:rPr>
          <w:rStyle w:val="Referencingstyle"/>
        </w:rPr>
        <w:t>Administrative Decisions (Judicial Review) Act 1977</w:t>
      </w:r>
      <w:r w:rsidR="005D1E6C">
        <w:rPr>
          <w:rStyle w:val="Referencingstyle"/>
        </w:rPr>
        <w:t>, subsections 6(1) and 177CB(5) of the ITAA 1936</w:t>
      </w:r>
      <w:r w:rsidR="00C1545D">
        <w:rPr>
          <w:rStyle w:val="Referencingstyle"/>
        </w:rPr>
        <w:t>, definition of ‘period of review’ in subsection 995</w:t>
      </w:r>
      <w:r w:rsidR="00C1545D">
        <w:rPr>
          <w:rStyle w:val="Referencingstyle"/>
        </w:rPr>
        <w:noBreakHyphen/>
        <w:t>1(1) of the ITAA 1997</w:t>
      </w:r>
      <w:r>
        <w:rPr>
          <w:rStyle w:val="Referencingstyle"/>
        </w:rPr>
        <w:t>]</w:t>
      </w:r>
    </w:p>
    <w:p w14:paraId="6B0D4E52" w14:textId="56598BF0" w:rsidR="000B2AC9" w:rsidRDefault="007E006F" w:rsidP="00A92BD4">
      <w:pPr>
        <w:pStyle w:val="base-text-paragraph"/>
      </w:pPr>
      <w:r>
        <w:t>A range of consequential amendments are not included in the Exposure Draft Bill. These include amendments to:</w:t>
      </w:r>
    </w:p>
    <w:p w14:paraId="0FCA9A87" w14:textId="77777777" w:rsidR="007E006F" w:rsidRDefault="007E006F" w:rsidP="007E006F">
      <w:pPr>
        <w:pStyle w:val="dotpoint"/>
      </w:pPr>
      <w:r>
        <w:t>ensure that the DPT due and payable is not reduced by the amount of foreign tax paid on the diverted profits;</w:t>
      </w:r>
    </w:p>
    <w:p w14:paraId="3E8DABA0" w14:textId="4F60EF30" w:rsidR="007E006F" w:rsidRDefault="007E006F" w:rsidP="007E006F">
      <w:pPr>
        <w:pStyle w:val="dotpoint"/>
      </w:pPr>
      <w:r>
        <w:t xml:space="preserve">impose the DPT, and set the </w:t>
      </w:r>
      <w:r w:rsidR="004638E8">
        <w:t xml:space="preserve">penalty </w:t>
      </w:r>
      <w:r>
        <w:t>rate of the DPT at 40 per cent;</w:t>
      </w:r>
    </w:p>
    <w:p w14:paraId="4C832946" w14:textId="49037B20" w:rsidR="004638E8" w:rsidRDefault="004638E8" w:rsidP="004638E8">
      <w:pPr>
        <w:pStyle w:val="dotpoint"/>
      </w:pPr>
      <w:r>
        <w:t>specify that the penalties that generally apply to schemes to which Part IVA of the ITAA </w:t>
      </w:r>
      <w:r w:rsidRPr="0072743B">
        <w:t xml:space="preserve">1936 </w:t>
      </w:r>
      <w:r>
        <w:t>applies do not apply to a DPT assessment (given the penalty tax rate applies);</w:t>
      </w:r>
    </w:p>
    <w:p w14:paraId="2F1B98D2" w14:textId="77777777" w:rsidR="007E006F" w:rsidRDefault="007E006F" w:rsidP="007E006F">
      <w:pPr>
        <w:pStyle w:val="dotpoint"/>
      </w:pPr>
      <w:r>
        <w:t>specify that a DPT assessment will include an interest charge calculated by reference to the period from the date any amount would have been payable on the relevant income tax assessment to the issue of the DPT assessment;</w:t>
      </w:r>
    </w:p>
    <w:p w14:paraId="5D1C58E5" w14:textId="77777777" w:rsidR="003E4505" w:rsidRDefault="003E4505" w:rsidP="007E006F">
      <w:pPr>
        <w:pStyle w:val="dotpoint"/>
      </w:pPr>
      <w:r>
        <w:t>modify the table of tax-related liabilities in section 250</w:t>
      </w:r>
      <w:r>
        <w:noBreakHyphen/>
        <w:t>10 of Schedule 1 to the TAA 1953 to include a liability to DPT;</w:t>
      </w:r>
    </w:p>
    <w:p w14:paraId="0E681A68" w14:textId="77777777" w:rsidR="00A86DFE" w:rsidRDefault="00A86DFE" w:rsidP="007E006F">
      <w:pPr>
        <w:pStyle w:val="dotpoint"/>
      </w:pPr>
      <w:r>
        <w:t>specify that the relevant taxpayer must pay the amount set out in the DPT assessment no later than 21 days after the Commissioner gives the relevant taxpayer a notice of assessment;</w:t>
      </w:r>
    </w:p>
    <w:p w14:paraId="3D969EF7" w14:textId="77777777" w:rsidR="00A86DFE" w:rsidRDefault="00A86DFE" w:rsidP="007E006F">
      <w:pPr>
        <w:pStyle w:val="dotpoint"/>
      </w:pPr>
      <w:r>
        <w:t>extend the period for amending an income tax assessment to give effect to a corresponding amendment to a DPT assessment reducing a DPT liability;</w:t>
      </w:r>
    </w:p>
    <w:p w14:paraId="4E9C044A" w14:textId="0A148338" w:rsidR="00A86DFE" w:rsidRDefault="00A86DFE" w:rsidP="007E006F">
      <w:pPr>
        <w:pStyle w:val="dotpoint"/>
      </w:pPr>
      <w:r>
        <w:t>specify that an</w:t>
      </w:r>
      <w:r w:rsidR="004266FD">
        <w:t>y</w:t>
      </w:r>
      <w:r>
        <w:t xml:space="preserve"> amended DPT assessment to increase a DPT liability must be issued no later than 30 days prior to the end of the period</w:t>
      </w:r>
      <w:r w:rsidR="003E4505">
        <w:t xml:space="preserve"> of review</w:t>
      </w:r>
      <w:r>
        <w:t xml:space="preserve">; </w:t>
      </w:r>
      <w:r w:rsidR="005D1E6C">
        <w:t>and</w:t>
      </w:r>
    </w:p>
    <w:p w14:paraId="6141DE74" w14:textId="3EF34D77" w:rsidR="00A86DFE" w:rsidRDefault="00A86DFE" w:rsidP="007E006F">
      <w:pPr>
        <w:pStyle w:val="dotpoint"/>
      </w:pPr>
      <w:r>
        <w:t>specify that the payment of a DPT liability will result in a franking credit arising in the relevant taxpayer’s franking account, but at the company tax rate (rather than the 40 per cent rate).</w:t>
      </w:r>
    </w:p>
    <w:p w14:paraId="7882A169" w14:textId="77777777" w:rsidR="000B2AC9" w:rsidRDefault="000B2AC9" w:rsidP="00A92BD4">
      <w:pPr>
        <w:pStyle w:val="Heading2"/>
      </w:pPr>
      <w:r>
        <w:t>Application and transitional provisions</w:t>
      </w:r>
    </w:p>
    <w:p w14:paraId="4677427D" w14:textId="006ADD43" w:rsidR="000B2AC9" w:rsidRDefault="00A86DFE" w:rsidP="00A92BD4">
      <w:pPr>
        <w:pStyle w:val="base-text-paragraph"/>
      </w:pPr>
      <w:r>
        <w:t>The DPT will apply in respect to income years commencing on or after 1 J</w:t>
      </w:r>
      <w:r w:rsidR="00DA6F2F">
        <w:t>uly </w:t>
      </w:r>
      <w:r>
        <w:t>2017 in connection with a scheme, whether or not the scheme was entered into, or was commenced to be carried out, before that day</w:t>
      </w:r>
      <w:r w:rsidR="00DA6F2F">
        <w:t xml:space="preserve">. </w:t>
      </w:r>
      <w:r w:rsidR="00C70A15" w:rsidRPr="00C70A15">
        <w:rPr>
          <w:rStyle w:val="Referencingstyle"/>
        </w:rPr>
        <w:t>[</w:t>
      </w:r>
      <w:r w:rsidR="000B63B3">
        <w:rPr>
          <w:rStyle w:val="Referencingstyle"/>
        </w:rPr>
        <w:t>Schedule 1</w:t>
      </w:r>
      <w:r w:rsidR="00C70A15" w:rsidRPr="00C70A15">
        <w:rPr>
          <w:rStyle w:val="Referencingstyle"/>
        </w:rPr>
        <w:t xml:space="preserve">, subitem </w:t>
      </w:r>
      <w:r w:rsidR="00FC5474">
        <w:rPr>
          <w:rStyle w:val="Referencingstyle"/>
        </w:rPr>
        <w:t>11</w:t>
      </w:r>
      <w:r w:rsidR="00C70A15" w:rsidRPr="00C70A15">
        <w:rPr>
          <w:rStyle w:val="Referencingstyle"/>
        </w:rPr>
        <w:t>(1)]</w:t>
      </w:r>
    </w:p>
    <w:p w14:paraId="4D3BAC63" w14:textId="15FB48AC" w:rsidR="00DA6F2F" w:rsidRDefault="00DA6F2F" w:rsidP="00A92BD4">
      <w:pPr>
        <w:pStyle w:val="base-text-paragraph"/>
      </w:pPr>
      <w:r>
        <w:t>However, the amendments do not apply in relation to tax benefits that a taxpayer derives</w:t>
      </w:r>
      <w:r w:rsidR="004D3FB4">
        <w:t>, makes or receives</w:t>
      </w:r>
      <w:r>
        <w:t xml:space="preserve"> before 1 July 2017.</w:t>
      </w:r>
      <w:r w:rsidR="00C70A15">
        <w:t xml:space="preserve"> </w:t>
      </w:r>
      <w:r w:rsidR="00C70A15" w:rsidRPr="00C70A15">
        <w:rPr>
          <w:rStyle w:val="Referencingstyle"/>
        </w:rPr>
        <w:t>[</w:t>
      </w:r>
      <w:r w:rsidR="000B63B3">
        <w:rPr>
          <w:rStyle w:val="Referencingstyle"/>
        </w:rPr>
        <w:t>Schedule 1</w:t>
      </w:r>
      <w:r w:rsidR="00C70A15" w:rsidRPr="00C70A15">
        <w:rPr>
          <w:rStyle w:val="Referencingstyle"/>
        </w:rPr>
        <w:t xml:space="preserve">, subitem </w:t>
      </w:r>
      <w:r w:rsidR="00FC5474">
        <w:rPr>
          <w:rStyle w:val="Referencingstyle"/>
        </w:rPr>
        <w:t>11</w:t>
      </w:r>
      <w:r w:rsidR="00C70A15" w:rsidRPr="00C70A15">
        <w:rPr>
          <w:rStyle w:val="Referencingstyle"/>
        </w:rPr>
        <w:t>(</w:t>
      </w:r>
      <w:r w:rsidR="00C70A15">
        <w:rPr>
          <w:rStyle w:val="Referencingstyle"/>
        </w:rPr>
        <w:t>2</w:t>
      </w:r>
      <w:r w:rsidR="00C70A15" w:rsidRPr="00C70A15">
        <w:rPr>
          <w:rStyle w:val="Referencingstyle"/>
        </w:rPr>
        <w:t>)]</w:t>
      </w:r>
    </w:p>
    <w:p w14:paraId="16B58948" w14:textId="77777777" w:rsidR="00DA6F2F" w:rsidRPr="008F726E" w:rsidRDefault="00DA6F2F" w:rsidP="00DA6F2F">
      <w:pPr>
        <w:pStyle w:val="base-text-paragraphnonumbers"/>
      </w:pPr>
    </w:p>
    <w:p w14:paraId="5A87F75F" w14:textId="43AF58C4" w:rsidR="00517689" w:rsidRPr="00981524" w:rsidRDefault="000B2AC9" w:rsidP="00981524">
      <w:pPr>
        <w:pStyle w:val="Hiddentext"/>
      </w:pPr>
      <w:r>
        <w:t>Do not remove section break.</w:t>
      </w:r>
    </w:p>
    <w:sectPr w:rsidR="00517689" w:rsidRPr="00981524" w:rsidSect="00821379">
      <w:headerReference w:type="even" r:id="rId24"/>
      <w:headerReference w:type="default" r:id="rId25"/>
      <w:footerReference w:type="even" r:id="rId26"/>
      <w:footerReference w:type="default" r:id="rId27"/>
      <w:footerReference w:type="first" r:id="rId28"/>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62451" w14:textId="77777777" w:rsidR="00A32209" w:rsidRDefault="00A32209">
      <w:r>
        <w:separator/>
      </w:r>
    </w:p>
  </w:endnote>
  <w:endnote w:type="continuationSeparator" w:id="0">
    <w:p w14:paraId="6DDE6C87" w14:textId="77777777" w:rsidR="00A32209" w:rsidRDefault="00A32209">
      <w:r>
        <w:continuationSeparator/>
      </w:r>
    </w:p>
  </w:endnote>
  <w:endnote w:type="continuationNotice" w:id="1">
    <w:p w14:paraId="70219676" w14:textId="77777777" w:rsidR="00A32209" w:rsidRDefault="00A3220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C097C" w14:textId="77777777" w:rsidR="00A32209" w:rsidRDefault="00A32209" w:rsidP="00A92BD4">
    <w:pPr>
      <w:pStyle w:val="leftfooter"/>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87064" w14:textId="77777777" w:rsidR="00A32209" w:rsidRDefault="00A32209" w:rsidP="00A92BD4">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0F252" w14:textId="77777777" w:rsidR="00A32209" w:rsidRDefault="00A32209" w:rsidP="00A92BD4">
    <w:pPr>
      <w:pStyle w:val="leftfooter"/>
    </w:pP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1EA62" w14:textId="77777777" w:rsidR="00A32209" w:rsidRDefault="00A32209" w:rsidP="00A92BD4">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128F7" w14:textId="77777777" w:rsidR="00A32209" w:rsidRDefault="00A32209" w:rsidP="00A92BD4">
    <w:pPr>
      <w:pStyle w:val="rightfooter"/>
    </w:pPr>
    <w:r>
      <w:fldChar w:fldCharType="begin"/>
    </w:r>
    <w:r>
      <w:instrText xml:space="preserve"> PAGE  \* Arabic  \* MERGEFORMAT </w:instrText>
    </w:r>
    <w:r>
      <w:fldChar w:fldCharType="separate"/>
    </w:r>
    <w:r w:rsidR="00152B55">
      <w:rPr>
        <w:noProof/>
      </w:rPr>
      <w:t>1</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6C4ED" w14:textId="77777777" w:rsidR="00A32209" w:rsidRDefault="00A32209" w:rsidP="005A76CC">
    <w:pPr>
      <w:pStyle w:val="leftfooter"/>
    </w:pPr>
    <w:r>
      <w:fldChar w:fldCharType="begin"/>
    </w:r>
    <w:r>
      <w:instrText xml:space="preserve"> PAGE   \* MERGEFORMAT </w:instrText>
    </w:r>
    <w:r>
      <w:fldChar w:fldCharType="separate"/>
    </w:r>
    <w:r w:rsidR="00152B55">
      <w:rPr>
        <w:noProof/>
      </w:rPr>
      <w:t>32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2A9B5" w14:textId="77777777" w:rsidR="00A32209" w:rsidRDefault="00A32209" w:rsidP="005A76CC">
    <w:pPr>
      <w:pStyle w:val="rightfooter"/>
    </w:pPr>
    <w:r>
      <w:fldChar w:fldCharType="begin"/>
    </w:r>
    <w:r>
      <w:instrText xml:space="preserve"> PAGE   \* MERGEFORMAT </w:instrText>
    </w:r>
    <w:r>
      <w:fldChar w:fldCharType="separate"/>
    </w:r>
    <w:r w:rsidR="00152B55">
      <w:rPr>
        <w:noProof/>
      </w:rPr>
      <w:t>31</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A0858" w14:textId="77777777" w:rsidR="00A32209" w:rsidRDefault="00A32209" w:rsidP="005A76CC">
    <w:pPr>
      <w:pStyle w:val="rightfooter"/>
    </w:pPr>
    <w:r>
      <w:fldChar w:fldCharType="begin"/>
    </w:r>
    <w:r>
      <w:instrText xml:space="preserve"> PAGE  \* Arabic  \* MERGEFORMAT </w:instrText>
    </w:r>
    <w:r>
      <w:fldChar w:fldCharType="separate"/>
    </w:r>
    <w:r w:rsidR="00152B55">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FAB83" w14:textId="77777777" w:rsidR="00A32209" w:rsidRDefault="00A32209">
      <w:r>
        <w:separator/>
      </w:r>
    </w:p>
  </w:footnote>
  <w:footnote w:type="continuationSeparator" w:id="0">
    <w:p w14:paraId="79C83B61" w14:textId="77777777" w:rsidR="00A32209" w:rsidRDefault="00A32209">
      <w:r>
        <w:continuationSeparator/>
      </w:r>
    </w:p>
  </w:footnote>
  <w:footnote w:type="continuationNotice" w:id="1">
    <w:p w14:paraId="0278EA5F" w14:textId="77777777" w:rsidR="00A32209" w:rsidRDefault="00A32209">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8BCB7" w14:textId="77777777" w:rsidR="00A32209" w:rsidRDefault="00A32209" w:rsidP="00A92BD4">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58E20" w14:textId="77777777" w:rsidR="00A32209" w:rsidRDefault="00A32209" w:rsidP="00A92BD4">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5B36C" w14:textId="77777777" w:rsidR="00A32209" w:rsidRDefault="00A32209" w:rsidP="00A92BD4">
    <w:pPr>
      <w:pStyle w:val="leftheader"/>
    </w:pPr>
    <w:r>
      <w:fldChar w:fldCharType="begin"/>
    </w:r>
    <w:r>
      <w:instrText xml:space="preserve"> macrobutton nomacro [Click here and insert the name of the Bill] </w:instrTex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C4F02" w14:textId="77777777" w:rsidR="00A32209" w:rsidRDefault="00A32209" w:rsidP="00A92BD4">
    <w:pPr>
      <w:pStyle w:val="rightheader"/>
    </w:pPr>
    <w:r>
      <w:fldChar w:fldCharType="begin"/>
    </w:r>
    <w:r>
      <w:instrText xml:space="preserve"> macrobutton nomacro [Click here and enter the name of the Chapter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1D740" w14:textId="2F9FD14C" w:rsidR="00A32209" w:rsidRDefault="00A32209" w:rsidP="005A76CC">
    <w:pPr>
      <w:pStyle w:val="leftheader"/>
    </w:pPr>
    <w:r>
      <w:t>Treasury Laws Amendment (Combating Multinational Tax Avoidance) Bill 2017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B84AF" w14:textId="6958701E" w:rsidR="00A32209" w:rsidRDefault="00A32209" w:rsidP="005A76CC">
    <w:pPr>
      <w:pStyle w:val="rightheader"/>
    </w:pPr>
    <w:r>
      <w:t>Diverted profits tax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E60A48"/>
    <w:multiLevelType w:val="multilevel"/>
    <w:tmpl w:val="74A098B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B019E2"/>
    <w:multiLevelType w:val="multilevel"/>
    <w:tmpl w:val="A316FE50"/>
    <w:numStyleLink w:val="ChapterList"/>
  </w:abstractNum>
  <w:abstractNum w:abstractNumId="13">
    <w:nsid w:val="0F5B5BBF"/>
    <w:multiLevelType w:val="multilevel"/>
    <w:tmpl w:val="A316FE50"/>
    <w:numStyleLink w:val="ChapterList"/>
  </w:abstractNum>
  <w:abstractNum w:abstractNumId="14">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1BEB4EC5"/>
    <w:multiLevelType w:val="multilevel"/>
    <w:tmpl w:val="6D98FC9A"/>
    <w:numStyleLink w:val="TableDotPointList"/>
  </w:abstractNum>
  <w:abstractNum w:abstractNumId="17">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nsid w:val="38D87F7F"/>
    <w:multiLevelType w:val="multilevel"/>
    <w:tmpl w:val="8772B562"/>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2">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3">
    <w:nsid w:val="43FB3E18"/>
    <w:multiLevelType w:val="multilevel"/>
    <w:tmpl w:val="A316FE50"/>
    <w:numStyleLink w:val="ChapterList"/>
  </w:abstractNum>
  <w:abstractNum w:abstractNumId="24">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4281CEB"/>
    <w:multiLevelType w:val="multilevel"/>
    <w:tmpl w:val="A316FE50"/>
    <w:numStyleLink w:val="ChapterList"/>
  </w:abstractNum>
  <w:abstractNum w:abstractNumId="27">
    <w:nsid w:val="65DF6494"/>
    <w:multiLevelType w:val="multilevel"/>
    <w:tmpl w:val="A316FE50"/>
    <w:numStyleLink w:val="ChapterList"/>
  </w:abstractNum>
  <w:abstractNum w:abstractNumId="28">
    <w:nsid w:val="6D302C09"/>
    <w:multiLevelType w:val="multilevel"/>
    <w:tmpl w:val="A316FE50"/>
    <w:numStyleLink w:val="ChapterList"/>
  </w:abstractNum>
  <w:abstractNum w:abstractNumId="29">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7CAC208D"/>
    <w:multiLevelType w:val="multilevel"/>
    <w:tmpl w:val="A316FE50"/>
    <w:numStyleLink w:val="ChapterList"/>
  </w:abstractNum>
  <w:num w:numId="1">
    <w:abstractNumId w:val="22"/>
  </w:num>
  <w:num w:numId="2">
    <w:abstractNumId w:val="21"/>
  </w:num>
  <w:num w:numId="3">
    <w:abstractNumId w:val="17"/>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29"/>
  </w:num>
  <w:num w:numId="17">
    <w:abstractNumId w:val="30"/>
  </w:num>
  <w:num w:numId="18">
    <w:abstractNumId w:val="10"/>
  </w:num>
  <w:num w:numId="19">
    <w:abstractNumId w:val="20"/>
  </w:num>
  <w:num w:numId="20">
    <w:abstractNumId w:val="24"/>
  </w:num>
  <w:num w:numId="21">
    <w:abstractNumId w:val="25"/>
  </w:num>
  <w:num w:numId="22">
    <w:abstractNumId w:val="14"/>
  </w:num>
  <w:num w:numId="23">
    <w:abstractNumId w:val="16"/>
  </w:num>
  <w:num w:numId="24">
    <w:abstractNumId w:val="28"/>
  </w:num>
  <w:num w:numId="25">
    <w:abstractNumId w:val="31"/>
  </w:num>
  <w:num w:numId="26">
    <w:abstractNumId w:val="26"/>
  </w:num>
  <w:num w:numId="27">
    <w:abstractNumId w:val="12"/>
  </w:num>
  <w:num w:numId="28">
    <w:abstractNumId w:val="23"/>
  </w:num>
  <w:num w:numId="29">
    <w:abstractNumId w:val="13"/>
  </w:num>
  <w:num w:numId="30">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7"/>
  </w:num>
  <w:num w:numId="32">
    <w:abstractNumId w:val="27"/>
    <w:lvlOverride w:ilvl="0">
      <w:startOverride w:val="1"/>
      <w:lvl w:ilvl="0">
        <w:start w:val="1"/>
        <w:numFmt w:val="decimal"/>
        <w:pStyle w:val="ChapterHeading"/>
        <w:lvlText w:val=""/>
        <w:lvlJc w:val="left"/>
      </w:lvl>
    </w:lvlOverride>
    <w:lvlOverride w:ilvl="1">
      <w:startOverride w:val="1"/>
      <w:lvl w:ilvl="1">
        <w:start w:val="1"/>
        <w:numFmt w:val="decimal"/>
        <w:pStyle w:val="base-text-paragraph"/>
        <w:lvlText w:val=""/>
        <w:lvlJc w:val="left"/>
      </w:lvl>
    </w:lvlOverride>
    <w:lvlOverride w:ilvl="2">
      <w:startOverride w:val="1"/>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pStyle w:val="TableHeadingoutsidetable"/>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21"/>
  </w:num>
  <w:num w:numId="34">
    <w:abstractNumId w:val="21"/>
  </w:num>
  <w:num w:numId="35">
    <w:abstractNumId w:val="27"/>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6">
    <w:abstractNumId w:val="19"/>
  </w:num>
  <w:num w:numId="37">
    <w:abstractNumId w:val="27"/>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8">
    <w:abstractNumId w:val="21"/>
  </w:num>
  <w:num w:numId="39">
    <w:abstractNumId w:val="27"/>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0">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3">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noPunctuationKerning/>
  <w:characterSpacingControl w:val="doNotCompress"/>
  <w:hdrShapeDefaults>
    <o:shapedefaults v:ext="edit" spidmax="92161"/>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AC9"/>
    <w:rsid w:val="0000160A"/>
    <w:rsid w:val="00002473"/>
    <w:rsid w:val="000039CF"/>
    <w:rsid w:val="000042F6"/>
    <w:rsid w:val="00005CFC"/>
    <w:rsid w:val="00005E84"/>
    <w:rsid w:val="0000678D"/>
    <w:rsid w:val="0000691C"/>
    <w:rsid w:val="00006D9B"/>
    <w:rsid w:val="000109CF"/>
    <w:rsid w:val="00010A35"/>
    <w:rsid w:val="000111BA"/>
    <w:rsid w:val="00012F66"/>
    <w:rsid w:val="0002132F"/>
    <w:rsid w:val="00024CA5"/>
    <w:rsid w:val="000262B2"/>
    <w:rsid w:val="00026F06"/>
    <w:rsid w:val="00027BA1"/>
    <w:rsid w:val="00027EC1"/>
    <w:rsid w:val="000327A2"/>
    <w:rsid w:val="0003305A"/>
    <w:rsid w:val="00034BE8"/>
    <w:rsid w:val="00034C3B"/>
    <w:rsid w:val="00035012"/>
    <w:rsid w:val="00040DFC"/>
    <w:rsid w:val="00043348"/>
    <w:rsid w:val="00044354"/>
    <w:rsid w:val="00044CD3"/>
    <w:rsid w:val="000461CA"/>
    <w:rsid w:val="00046DA9"/>
    <w:rsid w:val="00050170"/>
    <w:rsid w:val="00054B69"/>
    <w:rsid w:val="0005600E"/>
    <w:rsid w:val="00060758"/>
    <w:rsid w:val="00067E1D"/>
    <w:rsid w:val="00070488"/>
    <w:rsid w:val="000705A5"/>
    <w:rsid w:val="00071AA1"/>
    <w:rsid w:val="00072016"/>
    <w:rsid w:val="000725C0"/>
    <w:rsid w:val="0007403E"/>
    <w:rsid w:val="00074AD4"/>
    <w:rsid w:val="00075250"/>
    <w:rsid w:val="0007622F"/>
    <w:rsid w:val="00076543"/>
    <w:rsid w:val="00076E86"/>
    <w:rsid w:val="000821C0"/>
    <w:rsid w:val="000835C7"/>
    <w:rsid w:val="0008479A"/>
    <w:rsid w:val="00085C5D"/>
    <w:rsid w:val="0009055D"/>
    <w:rsid w:val="00092382"/>
    <w:rsid w:val="000960B7"/>
    <w:rsid w:val="000A0AFD"/>
    <w:rsid w:val="000A2094"/>
    <w:rsid w:val="000A2638"/>
    <w:rsid w:val="000A2E1D"/>
    <w:rsid w:val="000A341E"/>
    <w:rsid w:val="000A3CAC"/>
    <w:rsid w:val="000A5082"/>
    <w:rsid w:val="000A5B26"/>
    <w:rsid w:val="000A627E"/>
    <w:rsid w:val="000A6DBE"/>
    <w:rsid w:val="000A7715"/>
    <w:rsid w:val="000B2AC9"/>
    <w:rsid w:val="000B3D92"/>
    <w:rsid w:val="000B63B3"/>
    <w:rsid w:val="000B739E"/>
    <w:rsid w:val="000B7FBA"/>
    <w:rsid w:val="000C0638"/>
    <w:rsid w:val="000C06D9"/>
    <w:rsid w:val="000C08B1"/>
    <w:rsid w:val="000C090D"/>
    <w:rsid w:val="000C19CF"/>
    <w:rsid w:val="000C4C76"/>
    <w:rsid w:val="000C558B"/>
    <w:rsid w:val="000D0695"/>
    <w:rsid w:val="000D084B"/>
    <w:rsid w:val="000D10A5"/>
    <w:rsid w:val="000D1D6A"/>
    <w:rsid w:val="000D1DA4"/>
    <w:rsid w:val="000D26C8"/>
    <w:rsid w:val="000D54A6"/>
    <w:rsid w:val="000E089D"/>
    <w:rsid w:val="000E4370"/>
    <w:rsid w:val="000E5B9A"/>
    <w:rsid w:val="000E62EE"/>
    <w:rsid w:val="000F262C"/>
    <w:rsid w:val="000F4A4A"/>
    <w:rsid w:val="000F6AE6"/>
    <w:rsid w:val="000F7407"/>
    <w:rsid w:val="001001CB"/>
    <w:rsid w:val="0010728D"/>
    <w:rsid w:val="001072B7"/>
    <w:rsid w:val="00111090"/>
    <w:rsid w:val="001114E6"/>
    <w:rsid w:val="00113E19"/>
    <w:rsid w:val="0011674D"/>
    <w:rsid w:val="00120F65"/>
    <w:rsid w:val="0012100A"/>
    <w:rsid w:val="00121EB0"/>
    <w:rsid w:val="00123D96"/>
    <w:rsid w:val="0012405D"/>
    <w:rsid w:val="00124E15"/>
    <w:rsid w:val="00126BF3"/>
    <w:rsid w:val="00127A40"/>
    <w:rsid w:val="00131814"/>
    <w:rsid w:val="00131E0C"/>
    <w:rsid w:val="00132454"/>
    <w:rsid w:val="00133679"/>
    <w:rsid w:val="0013440E"/>
    <w:rsid w:val="00136389"/>
    <w:rsid w:val="00136FC6"/>
    <w:rsid w:val="00140E97"/>
    <w:rsid w:val="0014197C"/>
    <w:rsid w:val="0014454B"/>
    <w:rsid w:val="00147843"/>
    <w:rsid w:val="00152B55"/>
    <w:rsid w:val="00153CC2"/>
    <w:rsid w:val="0015604C"/>
    <w:rsid w:val="001606FD"/>
    <w:rsid w:val="00161D10"/>
    <w:rsid w:val="001655F8"/>
    <w:rsid w:val="00171B8C"/>
    <w:rsid w:val="00172553"/>
    <w:rsid w:val="001730AE"/>
    <w:rsid w:val="001740E9"/>
    <w:rsid w:val="001743FC"/>
    <w:rsid w:val="00174A29"/>
    <w:rsid w:val="001757E2"/>
    <w:rsid w:val="001760B7"/>
    <w:rsid w:val="00176A41"/>
    <w:rsid w:val="00177B00"/>
    <w:rsid w:val="00192422"/>
    <w:rsid w:val="001959BB"/>
    <w:rsid w:val="001A204D"/>
    <w:rsid w:val="001A4629"/>
    <w:rsid w:val="001A4647"/>
    <w:rsid w:val="001A4D53"/>
    <w:rsid w:val="001A6C09"/>
    <w:rsid w:val="001A7A18"/>
    <w:rsid w:val="001B2865"/>
    <w:rsid w:val="001B31C0"/>
    <w:rsid w:val="001C24CA"/>
    <w:rsid w:val="001C3655"/>
    <w:rsid w:val="001C4777"/>
    <w:rsid w:val="001D00C0"/>
    <w:rsid w:val="001D1525"/>
    <w:rsid w:val="001D24DE"/>
    <w:rsid w:val="001D31FC"/>
    <w:rsid w:val="001D3AA3"/>
    <w:rsid w:val="001D5436"/>
    <w:rsid w:val="001D66EB"/>
    <w:rsid w:val="001D6842"/>
    <w:rsid w:val="001E3224"/>
    <w:rsid w:val="001E6545"/>
    <w:rsid w:val="001F1DDE"/>
    <w:rsid w:val="001F3D19"/>
    <w:rsid w:val="001F550F"/>
    <w:rsid w:val="001F5A9C"/>
    <w:rsid w:val="00200C32"/>
    <w:rsid w:val="00200E96"/>
    <w:rsid w:val="00201B36"/>
    <w:rsid w:val="002022D5"/>
    <w:rsid w:val="002073E6"/>
    <w:rsid w:val="002075AA"/>
    <w:rsid w:val="002130AB"/>
    <w:rsid w:val="00215B0A"/>
    <w:rsid w:val="00215F76"/>
    <w:rsid w:val="00217477"/>
    <w:rsid w:val="002208B7"/>
    <w:rsid w:val="00220AD3"/>
    <w:rsid w:val="00220D6C"/>
    <w:rsid w:val="002215FD"/>
    <w:rsid w:val="00222D57"/>
    <w:rsid w:val="002244F5"/>
    <w:rsid w:val="002257DD"/>
    <w:rsid w:val="00226677"/>
    <w:rsid w:val="00230AE3"/>
    <w:rsid w:val="00231CBA"/>
    <w:rsid w:val="00232ADE"/>
    <w:rsid w:val="00232C0D"/>
    <w:rsid w:val="0023486F"/>
    <w:rsid w:val="00234F33"/>
    <w:rsid w:val="00235812"/>
    <w:rsid w:val="00236A1C"/>
    <w:rsid w:val="0024197E"/>
    <w:rsid w:val="00241CE9"/>
    <w:rsid w:val="00243169"/>
    <w:rsid w:val="00250154"/>
    <w:rsid w:val="0025375E"/>
    <w:rsid w:val="00253E01"/>
    <w:rsid w:val="0025591C"/>
    <w:rsid w:val="00256E20"/>
    <w:rsid w:val="002576C7"/>
    <w:rsid w:val="00257FC0"/>
    <w:rsid w:val="00262565"/>
    <w:rsid w:val="002627F3"/>
    <w:rsid w:val="002629E0"/>
    <w:rsid w:val="00263AD1"/>
    <w:rsid w:val="00266048"/>
    <w:rsid w:val="00267069"/>
    <w:rsid w:val="00267901"/>
    <w:rsid w:val="00271FD7"/>
    <w:rsid w:val="00272FD3"/>
    <w:rsid w:val="002748EB"/>
    <w:rsid w:val="00277B12"/>
    <w:rsid w:val="00281985"/>
    <w:rsid w:val="00281C1F"/>
    <w:rsid w:val="00282084"/>
    <w:rsid w:val="002828FF"/>
    <w:rsid w:val="00282DE7"/>
    <w:rsid w:val="0028482B"/>
    <w:rsid w:val="002857E2"/>
    <w:rsid w:val="00290624"/>
    <w:rsid w:val="00291C08"/>
    <w:rsid w:val="00291CEF"/>
    <w:rsid w:val="002976FE"/>
    <w:rsid w:val="002A4F1C"/>
    <w:rsid w:val="002A64A2"/>
    <w:rsid w:val="002A6BE4"/>
    <w:rsid w:val="002B2772"/>
    <w:rsid w:val="002B2BD1"/>
    <w:rsid w:val="002B335D"/>
    <w:rsid w:val="002B3971"/>
    <w:rsid w:val="002B58F1"/>
    <w:rsid w:val="002B6852"/>
    <w:rsid w:val="002C0576"/>
    <w:rsid w:val="002C3839"/>
    <w:rsid w:val="002C43E8"/>
    <w:rsid w:val="002D2436"/>
    <w:rsid w:val="002D2882"/>
    <w:rsid w:val="002D6555"/>
    <w:rsid w:val="002E10A1"/>
    <w:rsid w:val="002E1E89"/>
    <w:rsid w:val="002E3A4D"/>
    <w:rsid w:val="002E5FD3"/>
    <w:rsid w:val="002E6ACF"/>
    <w:rsid w:val="002E7BE9"/>
    <w:rsid w:val="002F2244"/>
    <w:rsid w:val="002F3991"/>
    <w:rsid w:val="002F3CEB"/>
    <w:rsid w:val="002F3FE3"/>
    <w:rsid w:val="002F443E"/>
    <w:rsid w:val="002F4F7D"/>
    <w:rsid w:val="002F54B5"/>
    <w:rsid w:val="002F5D5E"/>
    <w:rsid w:val="002F75B0"/>
    <w:rsid w:val="003016CD"/>
    <w:rsid w:val="0030256C"/>
    <w:rsid w:val="0030628A"/>
    <w:rsid w:val="00311DA9"/>
    <w:rsid w:val="00314AA9"/>
    <w:rsid w:val="00320374"/>
    <w:rsid w:val="00320D79"/>
    <w:rsid w:val="00324080"/>
    <w:rsid w:val="0032449E"/>
    <w:rsid w:val="0032457D"/>
    <w:rsid w:val="00325470"/>
    <w:rsid w:val="00325BF0"/>
    <w:rsid w:val="0032673A"/>
    <w:rsid w:val="0033118D"/>
    <w:rsid w:val="00331E65"/>
    <w:rsid w:val="0033628A"/>
    <w:rsid w:val="0034263F"/>
    <w:rsid w:val="00345CCB"/>
    <w:rsid w:val="00346BEB"/>
    <w:rsid w:val="003501C2"/>
    <w:rsid w:val="003505E3"/>
    <w:rsid w:val="00351845"/>
    <w:rsid w:val="003548D3"/>
    <w:rsid w:val="00365BE7"/>
    <w:rsid w:val="0036787F"/>
    <w:rsid w:val="00370AE1"/>
    <w:rsid w:val="00370CF4"/>
    <w:rsid w:val="003719A4"/>
    <w:rsid w:val="00372AF4"/>
    <w:rsid w:val="00374D8D"/>
    <w:rsid w:val="0037633E"/>
    <w:rsid w:val="00376FAF"/>
    <w:rsid w:val="00377100"/>
    <w:rsid w:val="00377240"/>
    <w:rsid w:val="00377CD4"/>
    <w:rsid w:val="003820E8"/>
    <w:rsid w:val="00386A6F"/>
    <w:rsid w:val="00387BAB"/>
    <w:rsid w:val="0039018D"/>
    <w:rsid w:val="00390E94"/>
    <w:rsid w:val="003933EA"/>
    <w:rsid w:val="0039400F"/>
    <w:rsid w:val="0039606A"/>
    <w:rsid w:val="003A09A7"/>
    <w:rsid w:val="003A311E"/>
    <w:rsid w:val="003A33FD"/>
    <w:rsid w:val="003A5A84"/>
    <w:rsid w:val="003A5D7E"/>
    <w:rsid w:val="003B19EF"/>
    <w:rsid w:val="003B2C77"/>
    <w:rsid w:val="003B2CDE"/>
    <w:rsid w:val="003B550D"/>
    <w:rsid w:val="003B6C0D"/>
    <w:rsid w:val="003B77EC"/>
    <w:rsid w:val="003C1301"/>
    <w:rsid w:val="003C1B3D"/>
    <w:rsid w:val="003C3B1E"/>
    <w:rsid w:val="003C5BA3"/>
    <w:rsid w:val="003C7D5E"/>
    <w:rsid w:val="003D5042"/>
    <w:rsid w:val="003D6537"/>
    <w:rsid w:val="003D6FD9"/>
    <w:rsid w:val="003D734D"/>
    <w:rsid w:val="003D7F02"/>
    <w:rsid w:val="003E0794"/>
    <w:rsid w:val="003E2A53"/>
    <w:rsid w:val="003E3174"/>
    <w:rsid w:val="003E4505"/>
    <w:rsid w:val="003E575E"/>
    <w:rsid w:val="003E5D52"/>
    <w:rsid w:val="003E5EE9"/>
    <w:rsid w:val="003E6713"/>
    <w:rsid w:val="003E68F7"/>
    <w:rsid w:val="003E712C"/>
    <w:rsid w:val="003E7143"/>
    <w:rsid w:val="003E7687"/>
    <w:rsid w:val="003F096C"/>
    <w:rsid w:val="003F43FA"/>
    <w:rsid w:val="003F4BD0"/>
    <w:rsid w:val="003F55C4"/>
    <w:rsid w:val="003F67E5"/>
    <w:rsid w:val="00400885"/>
    <w:rsid w:val="00411A03"/>
    <w:rsid w:val="00411C02"/>
    <w:rsid w:val="00412FD3"/>
    <w:rsid w:val="004144EA"/>
    <w:rsid w:val="004159F5"/>
    <w:rsid w:val="004212E1"/>
    <w:rsid w:val="00421397"/>
    <w:rsid w:val="004245ED"/>
    <w:rsid w:val="004266FD"/>
    <w:rsid w:val="00427CA1"/>
    <w:rsid w:val="0043366C"/>
    <w:rsid w:val="00433B1D"/>
    <w:rsid w:val="00433FD9"/>
    <w:rsid w:val="00434BB6"/>
    <w:rsid w:val="00435E5D"/>
    <w:rsid w:val="00436054"/>
    <w:rsid w:val="00441D38"/>
    <w:rsid w:val="00442FB9"/>
    <w:rsid w:val="0044391B"/>
    <w:rsid w:val="00447F62"/>
    <w:rsid w:val="00450433"/>
    <w:rsid w:val="00450635"/>
    <w:rsid w:val="00451BB3"/>
    <w:rsid w:val="00452D8B"/>
    <w:rsid w:val="00453DAD"/>
    <w:rsid w:val="004561B5"/>
    <w:rsid w:val="00457BC3"/>
    <w:rsid w:val="00460019"/>
    <w:rsid w:val="004633B3"/>
    <w:rsid w:val="004638E8"/>
    <w:rsid w:val="00465A34"/>
    <w:rsid w:val="00467583"/>
    <w:rsid w:val="00470181"/>
    <w:rsid w:val="004710EB"/>
    <w:rsid w:val="00471F1E"/>
    <w:rsid w:val="00472FF5"/>
    <w:rsid w:val="00474918"/>
    <w:rsid w:val="00475D9F"/>
    <w:rsid w:val="004773AD"/>
    <w:rsid w:val="00480C91"/>
    <w:rsid w:val="004817CF"/>
    <w:rsid w:val="00483276"/>
    <w:rsid w:val="004836D2"/>
    <w:rsid w:val="00483A94"/>
    <w:rsid w:val="00484ACE"/>
    <w:rsid w:val="004873AC"/>
    <w:rsid w:val="004910BF"/>
    <w:rsid w:val="00491609"/>
    <w:rsid w:val="00494132"/>
    <w:rsid w:val="00495E56"/>
    <w:rsid w:val="004960AF"/>
    <w:rsid w:val="004A3B2E"/>
    <w:rsid w:val="004A431F"/>
    <w:rsid w:val="004B0608"/>
    <w:rsid w:val="004B314E"/>
    <w:rsid w:val="004B31EF"/>
    <w:rsid w:val="004B755A"/>
    <w:rsid w:val="004C1468"/>
    <w:rsid w:val="004D04BD"/>
    <w:rsid w:val="004D0AD9"/>
    <w:rsid w:val="004D3FB4"/>
    <w:rsid w:val="004D4D2D"/>
    <w:rsid w:val="004D4F70"/>
    <w:rsid w:val="004D6B85"/>
    <w:rsid w:val="004E00E0"/>
    <w:rsid w:val="004E0F9E"/>
    <w:rsid w:val="004E152F"/>
    <w:rsid w:val="004E161F"/>
    <w:rsid w:val="004E1672"/>
    <w:rsid w:val="004E3102"/>
    <w:rsid w:val="004E3332"/>
    <w:rsid w:val="004E6082"/>
    <w:rsid w:val="004F068E"/>
    <w:rsid w:val="004F0AF0"/>
    <w:rsid w:val="004F1697"/>
    <w:rsid w:val="004F22B3"/>
    <w:rsid w:val="004F2552"/>
    <w:rsid w:val="004F4756"/>
    <w:rsid w:val="004F4988"/>
    <w:rsid w:val="004F4CD5"/>
    <w:rsid w:val="004F7947"/>
    <w:rsid w:val="00502551"/>
    <w:rsid w:val="00504D4A"/>
    <w:rsid w:val="005052B0"/>
    <w:rsid w:val="0050570F"/>
    <w:rsid w:val="0050652E"/>
    <w:rsid w:val="005065E4"/>
    <w:rsid w:val="0051065A"/>
    <w:rsid w:val="00511343"/>
    <w:rsid w:val="00515E69"/>
    <w:rsid w:val="0051726D"/>
    <w:rsid w:val="00517689"/>
    <w:rsid w:val="005177DF"/>
    <w:rsid w:val="00517B68"/>
    <w:rsid w:val="00521704"/>
    <w:rsid w:val="00523617"/>
    <w:rsid w:val="00525309"/>
    <w:rsid w:val="005255EA"/>
    <w:rsid w:val="005275F4"/>
    <w:rsid w:val="005408E6"/>
    <w:rsid w:val="0054284D"/>
    <w:rsid w:val="00543C5C"/>
    <w:rsid w:val="00544EDA"/>
    <w:rsid w:val="00546842"/>
    <w:rsid w:val="00555C65"/>
    <w:rsid w:val="00555D38"/>
    <w:rsid w:val="00560C14"/>
    <w:rsid w:val="005707D4"/>
    <w:rsid w:val="0057110A"/>
    <w:rsid w:val="005737FE"/>
    <w:rsid w:val="00573E54"/>
    <w:rsid w:val="005805A1"/>
    <w:rsid w:val="00580C19"/>
    <w:rsid w:val="00583250"/>
    <w:rsid w:val="005835B1"/>
    <w:rsid w:val="00585AB9"/>
    <w:rsid w:val="00585AFF"/>
    <w:rsid w:val="0059066B"/>
    <w:rsid w:val="00590A01"/>
    <w:rsid w:val="00590C60"/>
    <w:rsid w:val="0059389E"/>
    <w:rsid w:val="005A0EAB"/>
    <w:rsid w:val="005A32A3"/>
    <w:rsid w:val="005A5348"/>
    <w:rsid w:val="005A5BB3"/>
    <w:rsid w:val="005A76CC"/>
    <w:rsid w:val="005B22C7"/>
    <w:rsid w:val="005B2FB0"/>
    <w:rsid w:val="005B444E"/>
    <w:rsid w:val="005B546F"/>
    <w:rsid w:val="005B767C"/>
    <w:rsid w:val="005C0475"/>
    <w:rsid w:val="005C07F7"/>
    <w:rsid w:val="005C2B1A"/>
    <w:rsid w:val="005C6FB4"/>
    <w:rsid w:val="005D0F90"/>
    <w:rsid w:val="005D1E6C"/>
    <w:rsid w:val="005D33F4"/>
    <w:rsid w:val="005D64EF"/>
    <w:rsid w:val="005D7985"/>
    <w:rsid w:val="005E2313"/>
    <w:rsid w:val="005E363E"/>
    <w:rsid w:val="005E3F21"/>
    <w:rsid w:val="005E741D"/>
    <w:rsid w:val="005E77E1"/>
    <w:rsid w:val="005F22F4"/>
    <w:rsid w:val="005F2308"/>
    <w:rsid w:val="005F3253"/>
    <w:rsid w:val="005F3EE3"/>
    <w:rsid w:val="005F5BCD"/>
    <w:rsid w:val="005F667D"/>
    <w:rsid w:val="005F74CA"/>
    <w:rsid w:val="0060211C"/>
    <w:rsid w:val="006071CA"/>
    <w:rsid w:val="006071E9"/>
    <w:rsid w:val="00610949"/>
    <w:rsid w:val="006112C8"/>
    <w:rsid w:val="006156A4"/>
    <w:rsid w:val="00616214"/>
    <w:rsid w:val="0062048B"/>
    <w:rsid w:val="00620B83"/>
    <w:rsid w:val="006216E5"/>
    <w:rsid w:val="00621826"/>
    <w:rsid w:val="00621923"/>
    <w:rsid w:val="006230CC"/>
    <w:rsid w:val="00624BDA"/>
    <w:rsid w:val="006270CC"/>
    <w:rsid w:val="00633B8A"/>
    <w:rsid w:val="006341F0"/>
    <w:rsid w:val="006373DA"/>
    <w:rsid w:val="006412C3"/>
    <w:rsid w:val="0064419B"/>
    <w:rsid w:val="00647BAF"/>
    <w:rsid w:val="00650FC9"/>
    <w:rsid w:val="00651DA8"/>
    <w:rsid w:val="0065267F"/>
    <w:rsid w:val="00652DF2"/>
    <w:rsid w:val="00653DA2"/>
    <w:rsid w:val="00654EEF"/>
    <w:rsid w:val="006579D1"/>
    <w:rsid w:val="00661371"/>
    <w:rsid w:val="00664CAF"/>
    <w:rsid w:val="006655F9"/>
    <w:rsid w:val="00666F0C"/>
    <w:rsid w:val="006712FD"/>
    <w:rsid w:val="00671D72"/>
    <w:rsid w:val="006727B3"/>
    <w:rsid w:val="006752E1"/>
    <w:rsid w:val="00675ED1"/>
    <w:rsid w:val="00676AC8"/>
    <w:rsid w:val="006807AB"/>
    <w:rsid w:val="00681523"/>
    <w:rsid w:val="006857AE"/>
    <w:rsid w:val="00685E2C"/>
    <w:rsid w:val="006916A8"/>
    <w:rsid w:val="00696A5C"/>
    <w:rsid w:val="006A0A5B"/>
    <w:rsid w:val="006A244A"/>
    <w:rsid w:val="006A4718"/>
    <w:rsid w:val="006A65B2"/>
    <w:rsid w:val="006A6D6D"/>
    <w:rsid w:val="006B1C79"/>
    <w:rsid w:val="006B51A4"/>
    <w:rsid w:val="006B7442"/>
    <w:rsid w:val="006C2EE4"/>
    <w:rsid w:val="006C3CEB"/>
    <w:rsid w:val="006D4184"/>
    <w:rsid w:val="006D4CA4"/>
    <w:rsid w:val="006D5ADB"/>
    <w:rsid w:val="006D737B"/>
    <w:rsid w:val="006D7484"/>
    <w:rsid w:val="006E01A2"/>
    <w:rsid w:val="006E08FB"/>
    <w:rsid w:val="006E2D31"/>
    <w:rsid w:val="006E3525"/>
    <w:rsid w:val="006E60FD"/>
    <w:rsid w:val="006F08C4"/>
    <w:rsid w:val="006F0B37"/>
    <w:rsid w:val="006F33B5"/>
    <w:rsid w:val="006F5BB2"/>
    <w:rsid w:val="006F5F97"/>
    <w:rsid w:val="006F7AFB"/>
    <w:rsid w:val="007001D0"/>
    <w:rsid w:val="0070194A"/>
    <w:rsid w:val="00703C25"/>
    <w:rsid w:val="00703E6C"/>
    <w:rsid w:val="0070524D"/>
    <w:rsid w:val="00706649"/>
    <w:rsid w:val="00707D39"/>
    <w:rsid w:val="00710171"/>
    <w:rsid w:val="007155B4"/>
    <w:rsid w:val="00715C27"/>
    <w:rsid w:val="00716CB1"/>
    <w:rsid w:val="00716FD5"/>
    <w:rsid w:val="00716FF5"/>
    <w:rsid w:val="0072119E"/>
    <w:rsid w:val="00725B4F"/>
    <w:rsid w:val="00725FF5"/>
    <w:rsid w:val="0072743B"/>
    <w:rsid w:val="00727EB2"/>
    <w:rsid w:val="007312B1"/>
    <w:rsid w:val="0073239E"/>
    <w:rsid w:val="007329C5"/>
    <w:rsid w:val="0073561C"/>
    <w:rsid w:val="00735CC7"/>
    <w:rsid w:val="0073615E"/>
    <w:rsid w:val="00736240"/>
    <w:rsid w:val="00736CA8"/>
    <w:rsid w:val="007377E3"/>
    <w:rsid w:val="00741B9A"/>
    <w:rsid w:val="007439D0"/>
    <w:rsid w:val="007454F8"/>
    <w:rsid w:val="007466AE"/>
    <w:rsid w:val="007509CD"/>
    <w:rsid w:val="00752426"/>
    <w:rsid w:val="00752AB7"/>
    <w:rsid w:val="00753239"/>
    <w:rsid w:val="00754D02"/>
    <w:rsid w:val="00755984"/>
    <w:rsid w:val="00762AAE"/>
    <w:rsid w:val="00762D28"/>
    <w:rsid w:val="007652BC"/>
    <w:rsid w:val="00766B32"/>
    <w:rsid w:val="00772EF0"/>
    <w:rsid w:val="00773535"/>
    <w:rsid w:val="00774214"/>
    <w:rsid w:val="00774C41"/>
    <w:rsid w:val="00782DF9"/>
    <w:rsid w:val="00783960"/>
    <w:rsid w:val="00783B1D"/>
    <w:rsid w:val="00786817"/>
    <w:rsid w:val="007871CD"/>
    <w:rsid w:val="00790795"/>
    <w:rsid w:val="00792ECD"/>
    <w:rsid w:val="00793F75"/>
    <w:rsid w:val="00795868"/>
    <w:rsid w:val="007962B8"/>
    <w:rsid w:val="007966EF"/>
    <w:rsid w:val="007A1BCB"/>
    <w:rsid w:val="007A4A98"/>
    <w:rsid w:val="007A4C99"/>
    <w:rsid w:val="007B188B"/>
    <w:rsid w:val="007B23EE"/>
    <w:rsid w:val="007B5DAC"/>
    <w:rsid w:val="007B6097"/>
    <w:rsid w:val="007C7A64"/>
    <w:rsid w:val="007D1821"/>
    <w:rsid w:val="007D2112"/>
    <w:rsid w:val="007D3423"/>
    <w:rsid w:val="007D3E40"/>
    <w:rsid w:val="007D3FC8"/>
    <w:rsid w:val="007D6DF4"/>
    <w:rsid w:val="007E006F"/>
    <w:rsid w:val="007E072A"/>
    <w:rsid w:val="007E25E0"/>
    <w:rsid w:val="007E3C31"/>
    <w:rsid w:val="007E6B1D"/>
    <w:rsid w:val="007E7C98"/>
    <w:rsid w:val="007F10AD"/>
    <w:rsid w:val="007F415B"/>
    <w:rsid w:val="007F53DA"/>
    <w:rsid w:val="007F5B1F"/>
    <w:rsid w:val="007F69C8"/>
    <w:rsid w:val="007F751B"/>
    <w:rsid w:val="00800D42"/>
    <w:rsid w:val="00802529"/>
    <w:rsid w:val="00802D5D"/>
    <w:rsid w:val="00810D35"/>
    <w:rsid w:val="00812686"/>
    <w:rsid w:val="00812DA3"/>
    <w:rsid w:val="00813210"/>
    <w:rsid w:val="008147F1"/>
    <w:rsid w:val="0081480D"/>
    <w:rsid w:val="008154D6"/>
    <w:rsid w:val="00816F92"/>
    <w:rsid w:val="008212B5"/>
    <w:rsid w:val="00821379"/>
    <w:rsid w:val="00823C4F"/>
    <w:rsid w:val="0082457A"/>
    <w:rsid w:val="00824DB0"/>
    <w:rsid w:val="00826C29"/>
    <w:rsid w:val="00827930"/>
    <w:rsid w:val="00830A28"/>
    <w:rsid w:val="00830F9B"/>
    <w:rsid w:val="008310AD"/>
    <w:rsid w:val="00832743"/>
    <w:rsid w:val="00835001"/>
    <w:rsid w:val="0083612F"/>
    <w:rsid w:val="00842483"/>
    <w:rsid w:val="00844687"/>
    <w:rsid w:val="00844CB0"/>
    <w:rsid w:val="00855D57"/>
    <w:rsid w:val="00862926"/>
    <w:rsid w:val="00862F87"/>
    <w:rsid w:val="008645CC"/>
    <w:rsid w:val="00867326"/>
    <w:rsid w:val="00867F0F"/>
    <w:rsid w:val="008719A0"/>
    <w:rsid w:val="008752F1"/>
    <w:rsid w:val="0087571B"/>
    <w:rsid w:val="00881FC8"/>
    <w:rsid w:val="00882011"/>
    <w:rsid w:val="00884C38"/>
    <w:rsid w:val="00885BE8"/>
    <w:rsid w:val="00890245"/>
    <w:rsid w:val="0089075A"/>
    <w:rsid w:val="008923A4"/>
    <w:rsid w:val="00892D58"/>
    <w:rsid w:val="0089423D"/>
    <w:rsid w:val="008962D1"/>
    <w:rsid w:val="008A20D0"/>
    <w:rsid w:val="008A501E"/>
    <w:rsid w:val="008B0747"/>
    <w:rsid w:val="008B095D"/>
    <w:rsid w:val="008B204F"/>
    <w:rsid w:val="008B253B"/>
    <w:rsid w:val="008B31CE"/>
    <w:rsid w:val="008B435E"/>
    <w:rsid w:val="008B56B5"/>
    <w:rsid w:val="008B7F1C"/>
    <w:rsid w:val="008C1163"/>
    <w:rsid w:val="008C32EC"/>
    <w:rsid w:val="008C359D"/>
    <w:rsid w:val="008C51F4"/>
    <w:rsid w:val="008C64CC"/>
    <w:rsid w:val="008C68A9"/>
    <w:rsid w:val="008D0AE4"/>
    <w:rsid w:val="008D2EDA"/>
    <w:rsid w:val="008D3958"/>
    <w:rsid w:val="008D4C40"/>
    <w:rsid w:val="008D5146"/>
    <w:rsid w:val="008D5F11"/>
    <w:rsid w:val="008D722A"/>
    <w:rsid w:val="008D75E9"/>
    <w:rsid w:val="008D78B5"/>
    <w:rsid w:val="008E033B"/>
    <w:rsid w:val="008E3526"/>
    <w:rsid w:val="008E716D"/>
    <w:rsid w:val="008F1A67"/>
    <w:rsid w:val="008F3B90"/>
    <w:rsid w:val="008F5F86"/>
    <w:rsid w:val="008F726E"/>
    <w:rsid w:val="00900444"/>
    <w:rsid w:val="00901ED2"/>
    <w:rsid w:val="009020D9"/>
    <w:rsid w:val="009024B7"/>
    <w:rsid w:val="00903748"/>
    <w:rsid w:val="0090660E"/>
    <w:rsid w:val="00906B1B"/>
    <w:rsid w:val="009125BB"/>
    <w:rsid w:val="009147BA"/>
    <w:rsid w:val="00915FA5"/>
    <w:rsid w:val="00917DED"/>
    <w:rsid w:val="00922787"/>
    <w:rsid w:val="00926E36"/>
    <w:rsid w:val="00927A66"/>
    <w:rsid w:val="00935C6B"/>
    <w:rsid w:val="00937B71"/>
    <w:rsid w:val="00940109"/>
    <w:rsid w:val="00940BFD"/>
    <w:rsid w:val="009422D3"/>
    <w:rsid w:val="00943A71"/>
    <w:rsid w:val="00947590"/>
    <w:rsid w:val="009479F4"/>
    <w:rsid w:val="00947AE0"/>
    <w:rsid w:val="00951C20"/>
    <w:rsid w:val="009527B9"/>
    <w:rsid w:val="0095290C"/>
    <w:rsid w:val="009530DE"/>
    <w:rsid w:val="00953F17"/>
    <w:rsid w:val="00954A40"/>
    <w:rsid w:val="00956C10"/>
    <w:rsid w:val="00960560"/>
    <w:rsid w:val="009615B2"/>
    <w:rsid w:val="0096411E"/>
    <w:rsid w:val="009646A3"/>
    <w:rsid w:val="00964F4C"/>
    <w:rsid w:val="009656FB"/>
    <w:rsid w:val="00973550"/>
    <w:rsid w:val="009759C8"/>
    <w:rsid w:val="00981524"/>
    <w:rsid w:val="00982EF2"/>
    <w:rsid w:val="009843BF"/>
    <w:rsid w:val="00984C85"/>
    <w:rsid w:val="00990E3F"/>
    <w:rsid w:val="009931F2"/>
    <w:rsid w:val="009973BE"/>
    <w:rsid w:val="009977B4"/>
    <w:rsid w:val="00997812"/>
    <w:rsid w:val="009A1F61"/>
    <w:rsid w:val="009A2B11"/>
    <w:rsid w:val="009A336F"/>
    <w:rsid w:val="009A3682"/>
    <w:rsid w:val="009A420D"/>
    <w:rsid w:val="009A4908"/>
    <w:rsid w:val="009A4E85"/>
    <w:rsid w:val="009A5EF3"/>
    <w:rsid w:val="009A7741"/>
    <w:rsid w:val="009B0330"/>
    <w:rsid w:val="009B0AB7"/>
    <w:rsid w:val="009B2AD6"/>
    <w:rsid w:val="009B3657"/>
    <w:rsid w:val="009B6722"/>
    <w:rsid w:val="009B742C"/>
    <w:rsid w:val="009C07A1"/>
    <w:rsid w:val="009C0D64"/>
    <w:rsid w:val="009C380E"/>
    <w:rsid w:val="009C5ADB"/>
    <w:rsid w:val="009C7412"/>
    <w:rsid w:val="009D1D00"/>
    <w:rsid w:val="009D6F14"/>
    <w:rsid w:val="009D70AC"/>
    <w:rsid w:val="009D754E"/>
    <w:rsid w:val="009E1110"/>
    <w:rsid w:val="009E2DA5"/>
    <w:rsid w:val="009E5ACA"/>
    <w:rsid w:val="009E6C76"/>
    <w:rsid w:val="009F1234"/>
    <w:rsid w:val="009F53D2"/>
    <w:rsid w:val="00A01492"/>
    <w:rsid w:val="00A02153"/>
    <w:rsid w:val="00A037BC"/>
    <w:rsid w:val="00A03E30"/>
    <w:rsid w:val="00A04A9F"/>
    <w:rsid w:val="00A05C87"/>
    <w:rsid w:val="00A05EF2"/>
    <w:rsid w:val="00A07DDF"/>
    <w:rsid w:val="00A10936"/>
    <w:rsid w:val="00A1128B"/>
    <w:rsid w:val="00A11A85"/>
    <w:rsid w:val="00A21C9C"/>
    <w:rsid w:val="00A22C72"/>
    <w:rsid w:val="00A23595"/>
    <w:rsid w:val="00A27035"/>
    <w:rsid w:val="00A27B13"/>
    <w:rsid w:val="00A27B94"/>
    <w:rsid w:val="00A30CF5"/>
    <w:rsid w:val="00A30FC9"/>
    <w:rsid w:val="00A32143"/>
    <w:rsid w:val="00A32209"/>
    <w:rsid w:val="00A325AE"/>
    <w:rsid w:val="00A332EA"/>
    <w:rsid w:val="00A347A6"/>
    <w:rsid w:val="00A37F77"/>
    <w:rsid w:val="00A42DC6"/>
    <w:rsid w:val="00A44E9C"/>
    <w:rsid w:val="00A47EC3"/>
    <w:rsid w:val="00A50168"/>
    <w:rsid w:val="00A50515"/>
    <w:rsid w:val="00A50520"/>
    <w:rsid w:val="00A516CB"/>
    <w:rsid w:val="00A53EB2"/>
    <w:rsid w:val="00A54CD3"/>
    <w:rsid w:val="00A575AE"/>
    <w:rsid w:val="00A57C71"/>
    <w:rsid w:val="00A60B61"/>
    <w:rsid w:val="00A61078"/>
    <w:rsid w:val="00A620C3"/>
    <w:rsid w:val="00A65D09"/>
    <w:rsid w:val="00A722B0"/>
    <w:rsid w:val="00A80AAF"/>
    <w:rsid w:val="00A80F22"/>
    <w:rsid w:val="00A81ADF"/>
    <w:rsid w:val="00A834B8"/>
    <w:rsid w:val="00A86DFE"/>
    <w:rsid w:val="00A86F1A"/>
    <w:rsid w:val="00A87FE5"/>
    <w:rsid w:val="00A9125A"/>
    <w:rsid w:val="00A9159F"/>
    <w:rsid w:val="00A9275F"/>
    <w:rsid w:val="00A92BD4"/>
    <w:rsid w:val="00A93921"/>
    <w:rsid w:val="00A96322"/>
    <w:rsid w:val="00A9762A"/>
    <w:rsid w:val="00AA0FAC"/>
    <w:rsid w:val="00AA20C9"/>
    <w:rsid w:val="00AA2141"/>
    <w:rsid w:val="00AA50D8"/>
    <w:rsid w:val="00AA5524"/>
    <w:rsid w:val="00AB274A"/>
    <w:rsid w:val="00AB2BC5"/>
    <w:rsid w:val="00AB56F7"/>
    <w:rsid w:val="00AB6408"/>
    <w:rsid w:val="00AC0347"/>
    <w:rsid w:val="00AC1A65"/>
    <w:rsid w:val="00AC6C2B"/>
    <w:rsid w:val="00AD1AAD"/>
    <w:rsid w:val="00AD28D0"/>
    <w:rsid w:val="00AD4ABE"/>
    <w:rsid w:val="00AD5868"/>
    <w:rsid w:val="00AD687A"/>
    <w:rsid w:val="00AD6DC4"/>
    <w:rsid w:val="00AD6E17"/>
    <w:rsid w:val="00AE12D2"/>
    <w:rsid w:val="00AE23F9"/>
    <w:rsid w:val="00AE7AE4"/>
    <w:rsid w:val="00AF0A9F"/>
    <w:rsid w:val="00AF0EB2"/>
    <w:rsid w:val="00AF18CD"/>
    <w:rsid w:val="00AF3340"/>
    <w:rsid w:val="00AF41A9"/>
    <w:rsid w:val="00AF469D"/>
    <w:rsid w:val="00AF668C"/>
    <w:rsid w:val="00AF6C3D"/>
    <w:rsid w:val="00B00C37"/>
    <w:rsid w:val="00B022D6"/>
    <w:rsid w:val="00B05E63"/>
    <w:rsid w:val="00B06B59"/>
    <w:rsid w:val="00B07898"/>
    <w:rsid w:val="00B14713"/>
    <w:rsid w:val="00B14C2A"/>
    <w:rsid w:val="00B17845"/>
    <w:rsid w:val="00B17A9F"/>
    <w:rsid w:val="00B206C1"/>
    <w:rsid w:val="00B31641"/>
    <w:rsid w:val="00B321BE"/>
    <w:rsid w:val="00B32B6F"/>
    <w:rsid w:val="00B3403E"/>
    <w:rsid w:val="00B344F9"/>
    <w:rsid w:val="00B35692"/>
    <w:rsid w:val="00B41D98"/>
    <w:rsid w:val="00B44095"/>
    <w:rsid w:val="00B45B46"/>
    <w:rsid w:val="00B52B0C"/>
    <w:rsid w:val="00B52DC7"/>
    <w:rsid w:val="00B54C51"/>
    <w:rsid w:val="00B62148"/>
    <w:rsid w:val="00B6273D"/>
    <w:rsid w:val="00B635C2"/>
    <w:rsid w:val="00B64794"/>
    <w:rsid w:val="00B654ED"/>
    <w:rsid w:val="00B67600"/>
    <w:rsid w:val="00B67C94"/>
    <w:rsid w:val="00B725B1"/>
    <w:rsid w:val="00B730CB"/>
    <w:rsid w:val="00B7388C"/>
    <w:rsid w:val="00B73DC7"/>
    <w:rsid w:val="00B73E03"/>
    <w:rsid w:val="00B73EFF"/>
    <w:rsid w:val="00B7408F"/>
    <w:rsid w:val="00B7567B"/>
    <w:rsid w:val="00B75DB6"/>
    <w:rsid w:val="00B7625A"/>
    <w:rsid w:val="00B8550B"/>
    <w:rsid w:val="00B93631"/>
    <w:rsid w:val="00B94871"/>
    <w:rsid w:val="00B94E2A"/>
    <w:rsid w:val="00B94FB4"/>
    <w:rsid w:val="00B95E9D"/>
    <w:rsid w:val="00B97FCB"/>
    <w:rsid w:val="00BA17E5"/>
    <w:rsid w:val="00BA20F8"/>
    <w:rsid w:val="00BA2235"/>
    <w:rsid w:val="00BA2903"/>
    <w:rsid w:val="00BA4DAB"/>
    <w:rsid w:val="00BA6DF1"/>
    <w:rsid w:val="00BA705F"/>
    <w:rsid w:val="00BA728F"/>
    <w:rsid w:val="00BA7358"/>
    <w:rsid w:val="00BB560F"/>
    <w:rsid w:val="00BB5CCC"/>
    <w:rsid w:val="00BB6CE2"/>
    <w:rsid w:val="00BC33C9"/>
    <w:rsid w:val="00BC3DB1"/>
    <w:rsid w:val="00BC512D"/>
    <w:rsid w:val="00BC6338"/>
    <w:rsid w:val="00BD11A8"/>
    <w:rsid w:val="00BD1699"/>
    <w:rsid w:val="00BD22AD"/>
    <w:rsid w:val="00BD4513"/>
    <w:rsid w:val="00BD5441"/>
    <w:rsid w:val="00BD72BC"/>
    <w:rsid w:val="00BE1BF9"/>
    <w:rsid w:val="00BE29FB"/>
    <w:rsid w:val="00BE681A"/>
    <w:rsid w:val="00BF1C59"/>
    <w:rsid w:val="00BF2921"/>
    <w:rsid w:val="00BF50E9"/>
    <w:rsid w:val="00BF5F3E"/>
    <w:rsid w:val="00BF7EF1"/>
    <w:rsid w:val="00C03AF3"/>
    <w:rsid w:val="00C041CA"/>
    <w:rsid w:val="00C0468A"/>
    <w:rsid w:val="00C05595"/>
    <w:rsid w:val="00C0668B"/>
    <w:rsid w:val="00C11F93"/>
    <w:rsid w:val="00C1545D"/>
    <w:rsid w:val="00C159EB"/>
    <w:rsid w:val="00C164E5"/>
    <w:rsid w:val="00C16843"/>
    <w:rsid w:val="00C1738A"/>
    <w:rsid w:val="00C26CB0"/>
    <w:rsid w:val="00C27414"/>
    <w:rsid w:val="00C3108B"/>
    <w:rsid w:val="00C32240"/>
    <w:rsid w:val="00C322C8"/>
    <w:rsid w:val="00C33DFA"/>
    <w:rsid w:val="00C35102"/>
    <w:rsid w:val="00C35A51"/>
    <w:rsid w:val="00C44444"/>
    <w:rsid w:val="00C44D85"/>
    <w:rsid w:val="00C468CD"/>
    <w:rsid w:val="00C472C6"/>
    <w:rsid w:val="00C52D2D"/>
    <w:rsid w:val="00C55D39"/>
    <w:rsid w:val="00C57B69"/>
    <w:rsid w:val="00C601B5"/>
    <w:rsid w:val="00C619E2"/>
    <w:rsid w:val="00C61ABC"/>
    <w:rsid w:val="00C63557"/>
    <w:rsid w:val="00C643DF"/>
    <w:rsid w:val="00C65E08"/>
    <w:rsid w:val="00C66C5F"/>
    <w:rsid w:val="00C6744E"/>
    <w:rsid w:val="00C70044"/>
    <w:rsid w:val="00C70A15"/>
    <w:rsid w:val="00C72EA1"/>
    <w:rsid w:val="00C72EF7"/>
    <w:rsid w:val="00C744BC"/>
    <w:rsid w:val="00C757B0"/>
    <w:rsid w:val="00C76D05"/>
    <w:rsid w:val="00C81A0B"/>
    <w:rsid w:val="00C8648B"/>
    <w:rsid w:val="00C91610"/>
    <w:rsid w:val="00C92564"/>
    <w:rsid w:val="00C93476"/>
    <w:rsid w:val="00C947E7"/>
    <w:rsid w:val="00C966C7"/>
    <w:rsid w:val="00C978EF"/>
    <w:rsid w:val="00CA470D"/>
    <w:rsid w:val="00CA52FE"/>
    <w:rsid w:val="00CA5F63"/>
    <w:rsid w:val="00CA7CDA"/>
    <w:rsid w:val="00CB007F"/>
    <w:rsid w:val="00CB16DC"/>
    <w:rsid w:val="00CB3CB2"/>
    <w:rsid w:val="00CB4087"/>
    <w:rsid w:val="00CB54AF"/>
    <w:rsid w:val="00CB6473"/>
    <w:rsid w:val="00CC09C5"/>
    <w:rsid w:val="00CC0E74"/>
    <w:rsid w:val="00CC1319"/>
    <w:rsid w:val="00CC279D"/>
    <w:rsid w:val="00CC5A10"/>
    <w:rsid w:val="00CC657D"/>
    <w:rsid w:val="00CC7016"/>
    <w:rsid w:val="00CC73F1"/>
    <w:rsid w:val="00CC7F38"/>
    <w:rsid w:val="00CD1FA8"/>
    <w:rsid w:val="00CD62D3"/>
    <w:rsid w:val="00CE1B74"/>
    <w:rsid w:val="00CE1CB4"/>
    <w:rsid w:val="00CE23DA"/>
    <w:rsid w:val="00CE4136"/>
    <w:rsid w:val="00CE41E6"/>
    <w:rsid w:val="00CE4530"/>
    <w:rsid w:val="00CE5590"/>
    <w:rsid w:val="00CF3021"/>
    <w:rsid w:val="00CF360B"/>
    <w:rsid w:val="00CF3913"/>
    <w:rsid w:val="00CF5226"/>
    <w:rsid w:val="00CF5EE9"/>
    <w:rsid w:val="00CF670E"/>
    <w:rsid w:val="00CF78B1"/>
    <w:rsid w:val="00D01826"/>
    <w:rsid w:val="00D01E95"/>
    <w:rsid w:val="00D03F4D"/>
    <w:rsid w:val="00D06350"/>
    <w:rsid w:val="00D07ABD"/>
    <w:rsid w:val="00D11D73"/>
    <w:rsid w:val="00D12010"/>
    <w:rsid w:val="00D15430"/>
    <w:rsid w:val="00D20598"/>
    <w:rsid w:val="00D22699"/>
    <w:rsid w:val="00D22E5C"/>
    <w:rsid w:val="00D23CC5"/>
    <w:rsid w:val="00D32835"/>
    <w:rsid w:val="00D363E1"/>
    <w:rsid w:val="00D3660F"/>
    <w:rsid w:val="00D372B4"/>
    <w:rsid w:val="00D37B67"/>
    <w:rsid w:val="00D4029F"/>
    <w:rsid w:val="00D4067B"/>
    <w:rsid w:val="00D448C7"/>
    <w:rsid w:val="00D45BE3"/>
    <w:rsid w:val="00D46EDA"/>
    <w:rsid w:val="00D501E1"/>
    <w:rsid w:val="00D5099C"/>
    <w:rsid w:val="00D522E9"/>
    <w:rsid w:val="00D54F28"/>
    <w:rsid w:val="00D562EC"/>
    <w:rsid w:val="00D602C4"/>
    <w:rsid w:val="00D642AA"/>
    <w:rsid w:val="00D6678D"/>
    <w:rsid w:val="00D66F0C"/>
    <w:rsid w:val="00D67ADC"/>
    <w:rsid w:val="00D7072F"/>
    <w:rsid w:val="00D7186C"/>
    <w:rsid w:val="00D71FD4"/>
    <w:rsid w:val="00D75FB3"/>
    <w:rsid w:val="00D77511"/>
    <w:rsid w:val="00D84F6D"/>
    <w:rsid w:val="00D852C4"/>
    <w:rsid w:val="00D85B38"/>
    <w:rsid w:val="00D85BEA"/>
    <w:rsid w:val="00D90D9C"/>
    <w:rsid w:val="00D93657"/>
    <w:rsid w:val="00D96329"/>
    <w:rsid w:val="00D963F2"/>
    <w:rsid w:val="00DA5517"/>
    <w:rsid w:val="00DA5E00"/>
    <w:rsid w:val="00DA5F4F"/>
    <w:rsid w:val="00DA5FDD"/>
    <w:rsid w:val="00DA6291"/>
    <w:rsid w:val="00DA6D58"/>
    <w:rsid w:val="00DA6F2F"/>
    <w:rsid w:val="00DA72C6"/>
    <w:rsid w:val="00DB1D7E"/>
    <w:rsid w:val="00DB1F26"/>
    <w:rsid w:val="00DB2C15"/>
    <w:rsid w:val="00DB36FF"/>
    <w:rsid w:val="00DB4106"/>
    <w:rsid w:val="00DB7FED"/>
    <w:rsid w:val="00DC4B76"/>
    <w:rsid w:val="00DC51D0"/>
    <w:rsid w:val="00DD2EC4"/>
    <w:rsid w:val="00DD30DF"/>
    <w:rsid w:val="00DD52E9"/>
    <w:rsid w:val="00DD5F03"/>
    <w:rsid w:val="00DD6306"/>
    <w:rsid w:val="00DE06A4"/>
    <w:rsid w:val="00DE2E40"/>
    <w:rsid w:val="00DE543C"/>
    <w:rsid w:val="00DF00FC"/>
    <w:rsid w:val="00DF3046"/>
    <w:rsid w:val="00E00956"/>
    <w:rsid w:val="00E01065"/>
    <w:rsid w:val="00E01A29"/>
    <w:rsid w:val="00E0217E"/>
    <w:rsid w:val="00E02351"/>
    <w:rsid w:val="00E03A46"/>
    <w:rsid w:val="00E04676"/>
    <w:rsid w:val="00E05BD6"/>
    <w:rsid w:val="00E069AF"/>
    <w:rsid w:val="00E110EE"/>
    <w:rsid w:val="00E12C93"/>
    <w:rsid w:val="00E16378"/>
    <w:rsid w:val="00E167E4"/>
    <w:rsid w:val="00E2061C"/>
    <w:rsid w:val="00E214B3"/>
    <w:rsid w:val="00E22EDB"/>
    <w:rsid w:val="00E236A4"/>
    <w:rsid w:val="00E31A0F"/>
    <w:rsid w:val="00E31B34"/>
    <w:rsid w:val="00E33716"/>
    <w:rsid w:val="00E350DA"/>
    <w:rsid w:val="00E405C4"/>
    <w:rsid w:val="00E419E9"/>
    <w:rsid w:val="00E45A95"/>
    <w:rsid w:val="00E47DF5"/>
    <w:rsid w:val="00E509B6"/>
    <w:rsid w:val="00E533C2"/>
    <w:rsid w:val="00E54185"/>
    <w:rsid w:val="00E56B40"/>
    <w:rsid w:val="00E60BE4"/>
    <w:rsid w:val="00E6225E"/>
    <w:rsid w:val="00E62E8C"/>
    <w:rsid w:val="00E640B6"/>
    <w:rsid w:val="00E656C7"/>
    <w:rsid w:val="00E67586"/>
    <w:rsid w:val="00E7365D"/>
    <w:rsid w:val="00E74BDE"/>
    <w:rsid w:val="00E7566F"/>
    <w:rsid w:val="00E7583F"/>
    <w:rsid w:val="00E80C57"/>
    <w:rsid w:val="00E825A6"/>
    <w:rsid w:val="00E85785"/>
    <w:rsid w:val="00E86A13"/>
    <w:rsid w:val="00E87729"/>
    <w:rsid w:val="00E909D4"/>
    <w:rsid w:val="00E91A7C"/>
    <w:rsid w:val="00E91BB7"/>
    <w:rsid w:val="00E96045"/>
    <w:rsid w:val="00E97A0F"/>
    <w:rsid w:val="00EA1F7E"/>
    <w:rsid w:val="00EA2A4C"/>
    <w:rsid w:val="00EA2D06"/>
    <w:rsid w:val="00EA3B5F"/>
    <w:rsid w:val="00EB4BFE"/>
    <w:rsid w:val="00EC21D0"/>
    <w:rsid w:val="00EC3DCF"/>
    <w:rsid w:val="00EC511A"/>
    <w:rsid w:val="00ED2DCD"/>
    <w:rsid w:val="00ED50A3"/>
    <w:rsid w:val="00EE0991"/>
    <w:rsid w:val="00EE3DF2"/>
    <w:rsid w:val="00EE7884"/>
    <w:rsid w:val="00EE7BF2"/>
    <w:rsid w:val="00EF3978"/>
    <w:rsid w:val="00EF3ED8"/>
    <w:rsid w:val="00EF521D"/>
    <w:rsid w:val="00EF6626"/>
    <w:rsid w:val="00EF6EA0"/>
    <w:rsid w:val="00EF789C"/>
    <w:rsid w:val="00EF7BE0"/>
    <w:rsid w:val="00F0001D"/>
    <w:rsid w:val="00F01B85"/>
    <w:rsid w:val="00F020BC"/>
    <w:rsid w:val="00F02485"/>
    <w:rsid w:val="00F0458F"/>
    <w:rsid w:val="00F053A1"/>
    <w:rsid w:val="00F05754"/>
    <w:rsid w:val="00F07375"/>
    <w:rsid w:val="00F13D6C"/>
    <w:rsid w:val="00F14312"/>
    <w:rsid w:val="00F15936"/>
    <w:rsid w:val="00F159E3"/>
    <w:rsid w:val="00F15C60"/>
    <w:rsid w:val="00F1601D"/>
    <w:rsid w:val="00F17D4F"/>
    <w:rsid w:val="00F26167"/>
    <w:rsid w:val="00F27EE6"/>
    <w:rsid w:val="00F34EF2"/>
    <w:rsid w:val="00F35A8E"/>
    <w:rsid w:val="00F40376"/>
    <w:rsid w:val="00F42423"/>
    <w:rsid w:val="00F451E9"/>
    <w:rsid w:val="00F51A71"/>
    <w:rsid w:val="00F54AA6"/>
    <w:rsid w:val="00F5731D"/>
    <w:rsid w:val="00F605D2"/>
    <w:rsid w:val="00F647AF"/>
    <w:rsid w:val="00F667EC"/>
    <w:rsid w:val="00F66A65"/>
    <w:rsid w:val="00F670D8"/>
    <w:rsid w:val="00F71139"/>
    <w:rsid w:val="00F73897"/>
    <w:rsid w:val="00F743F8"/>
    <w:rsid w:val="00F751C6"/>
    <w:rsid w:val="00F81660"/>
    <w:rsid w:val="00F820F2"/>
    <w:rsid w:val="00F830EF"/>
    <w:rsid w:val="00F853D1"/>
    <w:rsid w:val="00F85CE5"/>
    <w:rsid w:val="00F86732"/>
    <w:rsid w:val="00F87253"/>
    <w:rsid w:val="00F87F97"/>
    <w:rsid w:val="00F918CE"/>
    <w:rsid w:val="00F91A4A"/>
    <w:rsid w:val="00F91FB9"/>
    <w:rsid w:val="00F92FE2"/>
    <w:rsid w:val="00F93257"/>
    <w:rsid w:val="00F93D5F"/>
    <w:rsid w:val="00F95B90"/>
    <w:rsid w:val="00F96C92"/>
    <w:rsid w:val="00F97861"/>
    <w:rsid w:val="00FA129E"/>
    <w:rsid w:val="00FA324F"/>
    <w:rsid w:val="00FA3792"/>
    <w:rsid w:val="00FA69F3"/>
    <w:rsid w:val="00FA6DF8"/>
    <w:rsid w:val="00FA7CB3"/>
    <w:rsid w:val="00FB150E"/>
    <w:rsid w:val="00FB3405"/>
    <w:rsid w:val="00FB53AE"/>
    <w:rsid w:val="00FB7357"/>
    <w:rsid w:val="00FC1516"/>
    <w:rsid w:val="00FC4366"/>
    <w:rsid w:val="00FC4757"/>
    <w:rsid w:val="00FC5474"/>
    <w:rsid w:val="00FC5E2B"/>
    <w:rsid w:val="00FC604E"/>
    <w:rsid w:val="00FC6AF0"/>
    <w:rsid w:val="00FC780D"/>
    <w:rsid w:val="00FC78B1"/>
    <w:rsid w:val="00FD13A5"/>
    <w:rsid w:val="00FD408D"/>
    <w:rsid w:val="00FD4B5C"/>
    <w:rsid w:val="00FD6075"/>
    <w:rsid w:val="00FE0EA4"/>
    <w:rsid w:val="00FE2ED4"/>
    <w:rsid w:val="00FE3735"/>
    <w:rsid w:val="00FE3FB5"/>
    <w:rsid w:val="00FE4340"/>
    <w:rsid w:val="00FE63B2"/>
    <w:rsid w:val="00FF03D9"/>
    <w:rsid w:val="00FF0747"/>
    <w:rsid w:val="00FF2C54"/>
    <w:rsid w:val="00FF34F8"/>
    <w:rsid w:val="00FF3501"/>
    <w:rsid w:val="00FF3852"/>
    <w:rsid w:val="00FF4E8B"/>
    <w:rsid w:val="00FF77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251E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tabs>
        <w:tab w:val="clear" w:pos="1985"/>
        <w:tab w:val="num" w:pos="2128"/>
      </w:tabs>
      <w:ind w:left="1277"/>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uiPriority w:val="99"/>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uiPriority w:val="99"/>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styleId="BalloonText">
    <w:name w:val="Balloon Text"/>
    <w:basedOn w:val="Normal"/>
    <w:link w:val="BalloonTextChar"/>
    <w:rsid w:val="002208B7"/>
    <w:pPr>
      <w:spacing w:before="0" w:after="0"/>
    </w:pPr>
    <w:rPr>
      <w:rFonts w:ascii="Tahoma" w:hAnsi="Tahoma" w:cs="Tahoma"/>
      <w:sz w:val="16"/>
      <w:szCs w:val="16"/>
    </w:rPr>
  </w:style>
  <w:style w:type="character" w:customStyle="1" w:styleId="BalloonTextChar">
    <w:name w:val="Balloon Text Char"/>
    <w:basedOn w:val="DefaultParagraphFont"/>
    <w:link w:val="BalloonText"/>
    <w:rsid w:val="002208B7"/>
    <w:rPr>
      <w:rFonts w:ascii="Tahoma" w:hAnsi="Tahoma" w:cs="Tahoma"/>
      <w:sz w:val="16"/>
      <w:szCs w:val="16"/>
    </w:rPr>
  </w:style>
  <w:style w:type="character" w:styleId="CommentReference">
    <w:name w:val="annotation reference"/>
    <w:basedOn w:val="DefaultParagraphFont"/>
    <w:rsid w:val="00EF3ED8"/>
    <w:rPr>
      <w:sz w:val="16"/>
      <w:szCs w:val="16"/>
    </w:rPr>
  </w:style>
  <w:style w:type="paragraph" w:styleId="CommentText">
    <w:name w:val="annotation text"/>
    <w:basedOn w:val="Normal"/>
    <w:link w:val="CommentTextChar"/>
    <w:rsid w:val="00EF3ED8"/>
    <w:rPr>
      <w:sz w:val="20"/>
    </w:rPr>
  </w:style>
  <w:style w:type="character" w:customStyle="1" w:styleId="CommentTextChar">
    <w:name w:val="Comment Text Char"/>
    <w:basedOn w:val="DefaultParagraphFont"/>
    <w:link w:val="CommentText"/>
    <w:rsid w:val="00EF3ED8"/>
  </w:style>
  <w:style w:type="paragraph" w:styleId="CommentSubject">
    <w:name w:val="annotation subject"/>
    <w:basedOn w:val="CommentText"/>
    <w:next w:val="CommentText"/>
    <w:link w:val="CommentSubjectChar"/>
    <w:rsid w:val="00EF3ED8"/>
    <w:rPr>
      <w:b/>
      <w:bCs/>
    </w:rPr>
  </w:style>
  <w:style w:type="character" w:customStyle="1" w:styleId="CommentSubjectChar">
    <w:name w:val="Comment Subject Char"/>
    <w:basedOn w:val="CommentTextChar"/>
    <w:link w:val="CommentSubject"/>
    <w:rsid w:val="00EF3ED8"/>
    <w:rPr>
      <w:b/>
      <w:bCs/>
    </w:rPr>
  </w:style>
  <w:style w:type="paragraph" w:styleId="Revision">
    <w:name w:val="Revision"/>
    <w:hidden/>
    <w:uiPriority w:val="99"/>
    <w:semiHidden/>
    <w:rsid w:val="00EF3ED8"/>
    <w:rPr>
      <w:sz w:val="22"/>
    </w:rPr>
  </w:style>
  <w:style w:type="paragraph" w:customStyle="1" w:styleId="OutlineNumbered1">
    <w:name w:val="Outline Numbered 1"/>
    <w:basedOn w:val="Normal"/>
    <w:link w:val="OutlineNumbered1Char"/>
    <w:rsid w:val="00517689"/>
    <w:pPr>
      <w:numPr>
        <w:numId w:val="36"/>
      </w:numPr>
    </w:pPr>
  </w:style>
  <w:style w:type="character" w:customStyle="1" w:styleId="OutlineNumbered1Char">
    <w:name w:val="Outline Numbered 1 Char"/>
    <w:basedOn w:val="DefaultParagraphFont"/>
    <w:link w:val="OutlineNumbered1"/>
    <w:rsid w:val="00517689"/>
    <w:rPr>
      <w:sz w:val="22"/>
    </w:rPr>
  </w:style>
  <w:style w:type="paragraph" w:customStyle="1" w:styleId="OutlineNumbered2">
    <w:name w:val="Outline Numbered 2"/>
    <w:basedOn w:val="Normal"/>
    <w:link w:val="OutlineNumbered2Char"/>
    <w:rsid w:val="00517689"/>
    <w:pPr>
      <w:numPr>
        <w:ilvl w:val="1"/>
        <w:numId w:val="36"/>
      </w:numPr>
    </w:pPr>
  </w:style>
  <w:style w:type="character" w:customStyle="1" w:styleId="OutlineNumbered2Char">
    <w:name w:val="Outline Numbered 2 Char"/>
    <w:basedOn w:val="DefaultParagraphFont"/>
    <w:link w:val="OutlineNumbered2"/>
    <w:rsid w:val="00517689"/>
    <w:rPr>
      <w:sz w:val="22"/>
    </w:rPr>
  </w:style>
  <w:style w:type="paragraph" w:customStyle="1" w:styleId="OutlineNumbered3">
    <w:name w:val="Outline Numbered 3"/>
    <w:basedOn w:val="Normal"/>
    <w:link w:val="OutlineNumbered3Char"/>
    <w:rsid w:val="00517689"/>
    <w:pPr>
      <w:numPr>
        <w:ilvl w:val="2"/>
        <w:numId w:val="36"/>
      </w:numPr>
    </w:pPr>
  </w:style>
  <w:style w:type="character" w:customStyle="1" w:styleId="OutlineNumbered3Char">
    <w:name w:val="Outline Numbered 3 Char"/>
    <w:basedOn w:val="DefaultParagraphFont"/>
    <w:link w:val="OutlineNumbered3"/>
    <w:rsid w:val="00517689"/>
    <w:rPr>
      <w:sz w:val="22"/>
    </w:rPr>
  </w:style>
  <w:style w:type="character" w:customStyle="1" w:styleId="BulletChar">
    <w:name w:val="Bullet Char"/>
    <w:basedOn w:val="DefaultParagraphFont"/>
    <w:link w:val="Bullet"/>
    <w:locked/>
    <w:rsid w:val="00EA3B5F"/>
    <w:rPr>
      <w:sz w:val="24"/>
    </w:rPr>
  </w:style>
  <w:style w:type="paragraph" w:customStyle="1" w:styleId="Bullet">
    <w:name w:val="Bullet"/>
    <w:basedOn w:val="Normal"/>
    <w:link w:val="BulletChar"/>
    <w:rsid w:val="00EA3B5F"/>
    <w:pPr>
      <w:numPr>
        <w:numId w:val="41"/>
      </w:numPr>
      <w:spacing w:before="0" w:after="0"/>
    </w:pPr>
    <w:rPr>
      <w:sz w:val="24"/>
    </w:rPr>
  </w:style>
  <w:style w:type="paragraph" w:customStyle="1" w:styleId="Dash">
    <w:name w:val="Dash"/>
    <w:basedOn w:val="Normal"/>
    <w:rsid w:val="00EA3B5F"/>
    <w:pPr>
      <w:numPr>
        <w:ilvl w:val="1"/>
        <w:numId w:val="41"/>
      </w:numPr>
      <w:spacing w:before="0" w:after="0"/>
    </w:pPr>
    <w:rPr>
      <w:sz w:val="24"/>
      <w:lang w:eastAsia="en-US"/>
    </w:rPr>
  </w:style>
  <w:style w:type="paragraph" w:customStyle="1" w:styleId="DoubleDot">
    <w:name w:val="Double Dot"/>
    <w:basedOn w:val="Normal"/>
    <w:rsid w:val="00EA3B5F"/>
    <w:pPr>
      <w:numPr>
        <w:ilvl w:val="2"/>
        <w:numId w:val="41"/>
      </w:numPr>
      <w:spacing w:before="0" w:after="0"/>
    </w:pPr>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tabs>
        <w:tab w:val="clear" w:pos="1985"/>
        <w:tab w:val="num" w:pos="2128"/>
      </w:tabs>
      <w:ind w:left="1277"/>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uiPriority w:val="99"/>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uiPriority w:val="99"/>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styleId="BalloonText">
    <w:name w:val="Balloon Text"/>
    <w:basedOn w:val="Normal"/>
    <w:link w:val="BalloonTextChar"/>
    <w:rsid w:val="002208B7"/>
    <w:pPr>
      <w:spacing w:before="0" w:after="0"/>
    </w:pPr>
    <w:rPr>
      <w:rFonts w:ascii="Tahoma" w:hAnsi="Tahoma" w:cs="Tahoma"/>
      <w:sz w:val="16"/>
      <w:szCs w:val="16"/>
    </w:rPr>
  </w:style>
  <w:style w:type="character" w:customStyle="1" w:styleId="BalloonTextChar">
    <w:name w:val="Balloon Text Char"/>
    <w:basedOn w:val="DefaultParagraphFont"/>
    <w:link w:val="BalloonText"/>
    <w:rsid w:val="002208B7"/>
    <w:rPr>
      <w:rFonts w:ascii="Tahoma" w:hAnsi="Tahoma" w:cs="Tahoma"/>
      <w:sz w:val="16"/>
      <w:szCs w:val="16"/>
    </w:rPr>
  </w:style>
  <w:style w:type="character" w:styleId="CommentReference">
    <w:name w:val="annotation reference"/>
    <w:basedOn w:val="DefaultParagraphFont"/>
    <w:rsid w:val="00EF3ED8"/>
    <w:rPr>
      <w:sz w:val="16"/>
      <w:szCs w:val="16"/>
    </w:rPr>
  </w:style>
  <w:style w:type="paragraph" w:styleId="CommentText">
    <w:name w:val="annotation text"/>
    <w:basedOn w:val="Normal"/>
    <w:link w:val="CommentTextChar"/>
    <w:rsid w:val="00EF3ED8"/>
    <w:rPr>
      <w:sz w:val="20"/>
    </w:rPr>
  </w:style>
  <w:style w:type="character" w:customStyle="1" w:styleId="CommentTextChar">
    <w:name w:val="Comment Text Char"/>
    <w:basedOn w:val="DefaultParagraphFont"/>
    <w:link w:val="CommentText"/>
    <w:rsid w:val="00EF3ED8"/>
  </w:style>
  <w:style w:type="paragraph" w:styleId="CommentSubject">
    <w:name w:val="annotation subject"/>
    <w:basedOn w:val="CommentText"/>
    <w:next w:val="CommentText"/>
    <w:link w:val="CommentSubjectChar"/>
    <w:rsid w:val="00EF3ED8"/>
    <w:rPr>
      <w:b/>
      <w:bCs/>
    </w:rPr>
  </w:style>
  <w:style w:type="character" w:customStyle="1" w:styleId="CommentSubjectChar">
    <w:name w:val="Comment Subject Char"/>
    <w:basedOn w:val="CommentTextChar"/>
    <w:link w:val="CommentSubject"/>
    <w:rsid w:val="00EF3ED8"/>
    <w:rPr>
      <w:b/>
      <w:bCs/>
    </w:rPr>
  </w:style>
  <w:style w:type="paragraph" w:styleId="Revision">
    <w:name w:val="Revision"/>
    <w:hidden/>
    <w:uiPriority w:val="99"/>
    <w:semiHidden/>
    <w:rsid w:val="00EF3ED8"/>
    <w:rPr>
      <w:sz w:val="22"/>
    </w:rPr>
  </w:style>
  <w:style w:type="paragraph" w:customStyle="1" w:styleId="OutlineNumbered1">
    <w:name w:val="Outline Numbered 1"/>
    <w:basedOn w:val="Normal"/>
    <w:link w:val="OutlineNumbered1Char"/>
    <w:rsid w:val="00517689"/>
    <w:pPr>
      <w:numPr>
        <w:numId w:val="36"/>
      </w:numPr>
    </w:pPr>
  </w:style>
  <w:style w:type="character" w:customStyle="1" w:styleId="OutlineNumbered1Char">
    <w:name w:val="Outline Numbered 1 Char"/>
    <w:basedOn w:val="DefaultParagraphFont"/>
    <w:link w:val="OutlineNumbered1"/>
    <w:rsid w:val="00517689"/>
    <w:rPr>
      <w:sz w:val="22"/>
    </w:rPr>
  </w:style>
  <w:style w:type="paragraph" w:customStyle="1" w:styleId="OutlineNumbered2">
    <w:name w:val="Outline Numbered 2"/>
    <w:basedOn w:val="Normal"/>
    <w:link w:val="OutlineNumbered2Char"/>
    <w:rsid w:val="00517689"/>
    <w:pPr>
      <w:numPr>
        <w:ilvl w:val="1"/>
        <w:numId w:val="36"/>
      </w:numPr>
    </w:pPr>
  </w:style>
  <w:style w:type="character" w:customStyle="1" w:styleId="OutlineNumbered2Char">
    <w:name w:val="Outline Numbered 2 Char"/>
    <w:basedOn w:val="DefaultParagraphFont"/>
    <w:link w:val="OutlineNumbered2"/>
    <w:rsid w:val="00517689"/>
    <w:rPr>
      <w:sz w:val="22"/>
    </w:rPr>
  </w:style>
  <w:style w:type="paragraph" w:customStyle="1" w:styleId="OutlineNumbered3">
    <w:name w:val="Outline Numbered 3"/>
    <w:basedOn w:val="Normal"/>
    <w:link w:val="OutlineNumbered3Char"/>
    <w:rsid w:val="00517689"/>
    <w:pPr>
      <w:numPr>
        <w:ilvl w:val="2"/>
        <w:numId w:val="36"/>
      </w:numPr>
    </w:pPr>
  </w:style>
  <w:style w:type="character" w:customStyle="1" w:styleId="OutlineNumbered3Char">
    <w:name w:val="Outline Numbered 3 Char"/>
    <w:basedOn w:val="DefaultParagraphFont"/>
    <w:link w:val="OutlineNumbered3"/>
    <w:rsid w:val="00517689"/>
    <w:rPr>
      <w:sz w:val="22"/>
    </w:rPr>
  </w:style>
  <w:style w:type="character" w:customStyle="1" w:styleId="BulletChar">
    <w:name w:val="Bullet Char"/>
    <w:basedOn w:val="DefaultParagraphFont"/>
    <w:link w:val="Bullet"/>
    <w:locked/>
    <w:rsid w:val="00EA3B5F"/>
    <w:rPr>
      <w:sz w:val="24"/>
    </w:rPr>
  </w:style>
  <w:style w:type="paragraph" w:customStyle="1" w:styleId="Bullet">
    <w:name w:val="Bullet"/>
    <w:basedOn w:val="Normal"/>
    <w:link w:val="BulletChar"/>
    <w:rsid w:val="00EA3B5F"/>
    <w:pPr>
      <w:numPr>
        <w:numId w:val="41"/>
      </w:numPr>
      <w:spacing w:before="0" w:after="0"/>
    </w:pPr>
    <w:rPr>
      <w:sz w:val="24"/>
    </w:rPr>
  </w:style>
  <w:style w:type="paragraph" w:customStyle="1" w:styleId="Dash">
    <w:name w:val="Dash"/>
    <w:basedOn w:val="Normal"/>
    <w:rsid w:val="00EA3B5F"/>
    <w:pPr>
      <w:numPr>
        <w:ilvl w:val="1"/>
        <w:numId w:val="41"/>
      </w:numPr>
      <w:spacing w:before="0" w:after="0"/>
    </w:pPr>
    <w:rPr>
      <w:sz w:val="24"/>
      <w:lang w:eastAsia="en-US"/>
    </w:rPr>
  </w:style>
  <w:style w:type="paragraph" w:customStyle="1" w:styleId="DoubleDot">
    <w:name w:val="Double Dot"/>
    <w:basedOn w:val="Normal"/>
    <w:rsid w:val="00EA3B5F"/>
    <w:pPr>
      <w:numPr>
        <w:ilvl w:val="2"/>
        <w:numId w:val="41"/>
      </w:numPr>
      <w:spacing w:before="0" w:after="0"/>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629695">
      <w:bodyDiv w:val="1"/>
      <w:marLeft w:val="0"/>
      <w:marRight w:val="0"/>
      <w:marTop w:val="0"/>
      <w:marBottom w:val="0"/>
      <w:divBdr>
        <w:top w:val="none" w:sz="0" w:space="0" w:color="auto"/>
        <w:left w:val="none" w:sz="0" w:space="0" w:color="auto"/>
        <w:bottom w:val="none" w:sz="0" w:space="0" w:color="auto"/>
        <w:right w:val="none" w:sz="0" w:space="0" w:color="auto"/>
      </w:divBdr>
    </w:div>
    <w:div w:id="167137042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1.png"/><Relationship Id="rId28" Type="http://schemas.openxmlformats.org/officeDocument/2006/relationships/footer" Target="footer8.xml"/><Relationship Id="rId10" Type="http://schemas.openxmlformats.org/officeDocument/2006/relationships/settings" Target="settings.xml"/><Relationship Id="rId19"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75</Value>
    </TaxCatchAll>
    <_dlc_DocId xmlns="eb47d8b7-fefc-4923-b53c-9685ba6b7210">2016CSSG-1223-2331</_dlc_DocId>
    <_dlc_DocIdUrl xmlns="eb47d8b7-fefc-4923-b53c-9685ba6b7210">
      <Url>http://tweb/sites/cssg/ped/pu/pt/_layouts/15/DocIdRedir.aspx?ID=2016CSSG-1223-2331</Url>
      <Description>2016CSSG-1223-2331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9fc3aacc-0177-4e1f-98da-4601e5ed4a1a">
      <p:Name>Auditing</p:Name>
      <p:Description>Audits user actions on documents and list items to the Audit Log.</p:Description>
      <p:CustomData>
        <Audit>
          <Update/>
          <CheckInOut/>
          <MoveCopy/>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BFCCE9A6AE7E2C4D8556A56EF67FEA5D" ma:contentTypeVersion="23" ma:contentTypeDescription="" ma:contentTypeScope="" ma:versionID="b0a2de537b3dbe9ea5fe84278f4e82c0">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c575848c8c27eb9a2886b094c90bf53a"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3D39A-1ED8-4EC6-A397-03AC8504D85E}">
  <ds:schemaRefs>
    <ds:schemaRef ds:uri="http://schemas.microsoft.com/sharepoint/events"/>
  </ds:schemaRefs>
</ds:datastoreItem>
</file>

<file path=customXml/itemProps2.xml><?xml version="1.0" encoding="utf-8"?>
<ds:datastoreItem xmlns:ds="http://schemas.openxmlformats.org/officeDocument/2006/customXml" ds:itemID="{97BA4103-9E56-475A-A041-38ADA7D7EE58}">
  <ds:schemaRefs>
    <ds:schemaRef ds:uri="http://schemas.microsoft.com/sharepoint/v4"/>
    <ds:schemaRef ds:uri="http://schemas.microsoft.com/office/2006/documentManagement/types"/>
    <ds:schemaRef ds:uri="http://purl.org/dc/terms/"/>
    <ds:schemaRef ds:uri="http://schemas.microsoft.com/office/2006/metadata/properties"/>
    <ds:schemaRef ds:uri="http://schemas.microsoft.com/sharepoint/v3"/>
    <ds:schemaRef ds:uri="http://purl.org/dc/elements/1.1/"/>
    <ds:schemaRef ds:uri="http://schemas.microsoft.com/office/infopath/2007/PartnerControls"/>
    <ds:schemaRef ds:uri="eb47d8b7-fefc-4923-b53c-9685ba6b7210"/>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C902271-150A-4530-B030-CAF81A3136E7}">
  <ds:schemaRefs>
    <ds:schemaRef ds:uri="http://schemas.microsoft.com/sharepoint/v3/contenttype/forms"/>
  </ds:schemaRefs>
</ds:datastoreItem>
</file>

<file path=customXml/itemProps4.xml><?xml version="1.0" encoding="utf-8"?>
<ds:datastoreItem xmlns:ds="http://schemas.openxmlformats.org/officeDocument/2006/customXml" ds:itemID="{338692AD-7608-4B27-9749-2369AF67D487}">
  <ds:schemaRefs>
    <ds:schemaRef ds:uri="office.server.policy"/>
  </ds:schemaRefs>
</ds:datastoreItem>
</file>

<file path=customXml/itemProps5.xml><?xml version="1.0" encoding="utf-8"?>
<ds:datastoreItem xmlns:ds="http://schemas.openxmlformats.org/officeDocument/2006/customXml" ds:itemID="{3673FE7F-3EDF-494B-ABF9-BDCFBA5C0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375223B-13CB-43DC-89D2-AAB38E0A3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Pri-EM.dotm</Template>
  <TotalTime>13</TotalTime>
  <Pages>34</Pages>
  <Words>9052</Words>
  <Characters>45159</Characters>
  <Application>Microsoft Office Word</Application>
  <DocSecurity>0</DocSecurity>
  <Lines>1050</Lines>
  <Paragraphs>401</Paragraphs>
  <ScaleCrop>false</ScaleCrop>
  <HeadingPairs>
    <vt:vector size="2" baseType="variant">
      <vt:variant>
        <vt:lpstr>Title</vt:lpstr>
      </vt:variant>
      <vt:variant>
        <vt:i4>1</vt:i4>
      </vt:variant>
    </vt:vector>
  </HeadingPairs>
  <TitlesOfParts>
    <vt:vector size="1" baseType="lpstr">
      <vt:lpstr>Exposure Draft - Tax Laws Amendment (Combating Multinational Tax Avoidance) Bill 2016: Diverted Profits Tax</vt:lpstr>
    </vt:vector>
  </TitlesOfParts>
  <Company>The Treasury</Company>
  <LinksUpToDate>false</LinksUpToDate>
  <CharactersWithSpaces>53810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Tax Laws Amendment (Combating Multinational Tax Avoidance) Bill 2016: Diverted Profits Tax</dc:title>
  <dc:creator>Treasury</dc:creator>
  <cp:lastModifiedBy>Hill, Christine</cp:lastModifiedBy>
  <cp:revision>6</cp:revision>
  <cp:lastPrinted>2016-11-28T02:17:00Z</cp:lastPrinted>
  <dcterms:created xsi:type="dcterms:W3CDTF">2016-11-29T23:17:00Z</dcterms:created>
  <dcterms:modified xsi:type="dcterms:W3CDTF">2016-12-01T00:15:00Z</dcterms:modified>
</cp:coreProperties>
</file>