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D4E22"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52BB1B9C" w14:textId="77777777" w:rsidR="00410974" w:rsidRDefault="00410974" w:rsidP="00410974"/>
    <w:p w14:paraId="6F1EFE6B" w14:textId="77777777" w:rsidR="00410974" w:rsidRPr="00175099" w:rsidRDefault="00175099" w:rsidP="00410974">
      <w:r w:rsidRPr="00175099">
        <w:t>5</w:t>
      </w:r>
      <w:r w:rsidRPr="00175099">
        <w:rPr>
          <w:vertAlign w:val="superscript"/>
        </w:rPr>
        <w:t>th</w:t>
      </w:r>
      <w:r w:rsidRPr="00175099">
        <w:t xml:space="preserve"> October, 2016</w:t>
      </w:r>
    </w:p>
    <w:p w14:paraId="13134B68" w14:textId="77777777" w:rsidR="00175099" w:rsidRDefault="0051067E">
      <w:pPr>
        <w:rPr>
          <w:color w:val="FF0000"/>
        </w:rPr>
      </w:pPr>
      <w:r>
        <w:rPr>
          <w:color w:val="FF0000"/>
        </w:rPr>
        <w:t xml:space="preserve">Small </w:t>
      </w:r>
      <w:proofErr w:type="gramStart"/>
      <w:r>
        <w:rPr>
          <w:color w:val="FF0000"/>
        </w:rPr>
        <w:t>And</w:t>
      </w:r>
      <w:proofErr w:type="gramEnd"/>
      <w:r>
        <w:rPr>
          <w:color w:val="FF0000"/>
        </w:rPr>
        <w:t xml:space="preserve"> Emerging Wine Producers of Australia</w:t>
      </w:r>
    </w:p>
    <w:p w14:paraId="664083E9" w14:textId="77777777" w:rsidR="0051067E" w:rsidRPr="00410974" w:rsidRDefault="0051067E">
      <w:pPr>
        <w:rPr>
          <w:color w:val="FF0000"/>
        </w:rPr>
      </w:pPr>
    </w:p>
    <w:p w14:paraId="54116526" w14:textId="77777777" w:rsidR="00282870" w:rsidRDefault="0051067E">
      <w:r>
        <w:t xml:space="preserve">We are a group of 80 small wine </w:t>
      </w:r>
      <w:r w:rsidR="00282870">
        <w:t>producer</w:t>
      </w:r>
      <w:r>
        <w:t>s</w:t>
      </w:r>
      <w:r w:rsidR="00282870">
        <w:t xml:space="preserve"> concerned with the future of our industry, </w:t>
      </w:r>
      <w:r>
        <w:t xml:space="preserve">who </w:t>
      </w:r>
      <w:r w:rsidR="00282870">
        <w:t>feel it important to participate in the consultation process regarding proposed changes to the Wine Equalisation Tax rebate, and in particular the definitions of ‘eligible producer’ under the act.</w:t>
      </w:r>
      <w:r w:rsidR="00F05243">
        <w:t xml:space="preserve"> </w:t>
      </w:r>
      <w:r>
        <w:t xml:space="preserve">Our group </w:t>
      </w:r>
      <w:r w:rsidR="00F05243">
        <w:t>response to the Government’s discussion questions are as follows:</w:t>
      </w:r>
    </w:p>
    <w:p w14:paraId="3A624509"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66FF4920"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6AA54F2D"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62DB6988"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166C6DBC"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58BA8B47"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077E15A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0B11B955"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41FFA98D"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08185E7E"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29EDBA34"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200D19BC"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31A107A8" w14:textId="77777777" w:rsidR="00410974" w:rsidRDefault="00410974" w:rsidP="00410974">
      <w:pPr>
        <w:autoSpaceDE w:val="0"/>
        <w:autoSpaceDN w:val="0"/>
        <w:adjustRightInd w:val="0"/>
        <w:spacing w:after="200" w:line="240" w:lineRule="auto"/>
        <w:rPr>
          <w:rFonts w:ascii="Calibri" w:hAnsi="Calibri" w:cs="Calibri"/>
          <w:color w:val="000000"/>
        </w:rPr>
      </w:pPr>
    </w:p>
    <w:p w14:paraId="09AF8104"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w:t>
      </w:r>
      <w:r w:rsidR="0051067E">
        <w:rPr>
          <w:rFonts w:ascii="Calibri" w:hAnsi="Calibri" w:cs="Calibri"/>
          <w:color w:val="000000"/>
        </w:rPr>
        <w:t xml:space="preserve"> 3 are important issues, for </w:t>
      </w:r>
      <w:r>
        <w:rPr>
          <w:rFonts w:ascii="Calibri" w:hAnsi="Calibri" w:cs="Calibri"/>
          <w:color w:val="000000"/>
        </w:rPr>
        <w:t>business</w:t>
      </w:r>
      <w:r w:rsidR="0051067E">
        <w:rPr>
          <w:rFonts w:ascii="Calibri" w:hAnsi="Calibri" w:cs="Calibri"/>
          <w:color w:val="000000"/>
        </w:rPr>
        <w:t>es</w:t>
      </w:r>
      <w:r>
        <w:rPr>
          <w:rFonts w:ascii="Calibri" w:hAnsi="Calibri" w:cs="Calibri"/>
          <w:color w:val="000000"/>
        </w:rPr>
        <w:t xml:space="preserve"> and livelihood</w:t>
      </w:r>
      <w:r w:rsidR="0051067E">
        <w:rPr>
          <w:rFonts w:ascii="Calibri" w:hAnsi="Calibri" w:cs="Calibri"/>
          <w:color w:val="000000"/>
        </w:rPr>
        <w:t>s</w:t>
      </w:r>
      <w:r>
        <w:rPr>
          <w:rFonts w:ascii="Calibri" w:hAnsi="Calibri" w:cs="Calibri"/>
          <w:color w:val="000000"/>
        </w:rPr>
        <w:t xml:space="preserve"> questio</w:t>
      </w:r>
      <w:r w:rsidR="0051067E">
        <w:rPr>
          <w:rFonts w:ascii="Calibri" w:hAnsi="Calibri" w:cs="Calibri"/>
          <w:color w:val="000000"/>
        </w:rPr>
        <w:t>n 2 in particular is critical. We</w:t>
      </w:r>
      <w:r>
        <w:rPr>
          <w:rFonts w:ascii="Calibri" w:hAnsi="Calibri" w:cs="Calibri"/>
          <w:color w:val="000000"/>
        </w:rPr>
        <w:t xml:space="preserve"> offer the following supporting information:</w:t>
      </w:r>
    </w:p>
    <w:p w14:paraId="2CF526C9" w14:textId="77777777" w:rsidR="009F49D1" w:rsidRPr="00EA3FCD" w:rsidRDefault="00282870" w:rsidP="009F49D1">
      <w:pPr>
        <w:autoSpaceDE w:val="0"/>
        <w:autoSpaceDN w:val="0"/>
        <w:adjustRightInd w:val="0"/>
        <w:spacing w:after="0" w:line="240" w:lineRule="auto"/>
        <w:rPr>
          <w:rFonts w:cstheme="minorHAnsi"/>
        </w:rPr>
      </w:pPr>
      <w:r w:rsidRPr="00EA3FCD">
        <w:rPr>
          <w:rFonts w:cstheme="minorHAnsi"/>
        </w:rPr>
        <w:t xml:space="preserve">As the government’s discussion paper has noted, there are many successful </w:t>
      </w:r>
      <w:r w:rsidR="009F49D1" w:rsidRPr="00EA3FCD">
        <w:rPr>
          <w:rFonts w:cstheme="minorHAnsi"/>
        </w:rPr>
        <w:t xml:space="preserve">non-traditional </w:t>
      </w:r>
      <w:r w:rsidRPr="00EA3FCD">
        <w:rPr>
          <w:rFonts w:cstheme="minorHAnsi"/>
        </w:rPr>
        <w:t xml:space="preserve">business models operating in the </w:t>
      </w:r>
      <w:r w:rsidR="009F49D1" w:rsidRPr="00EA3FCD">
        <w:rPr>
          <w:rFonts w:cstheme="minorHAnsi"/>
        </w:rPr>
        <w:t>Australian wine Industry today. The government’s discussion paper goes some way to acknowledging this, but under any of these proposed alternative definitions m</w:t>
      </w:r>
      <w:r w:rsidR="0051067E">
        <w:rPr>
          <w:rFonts w:cstheme="minorHAnsi"/>
        </w:rPr>
        <w:t>any of our businesses</w:t>
      </w:r>
      <w:r w:rsidR="009F49D1" w:rsidRPr="00EA3FCD">
        <w:rPr>
          <w:rFonts w:cstheme="minorHAnsi"/>
        </w:rPr>
        <w:t xml:space="preserve"> would still be ineligible. </w:t>
      </w:r>
    </w:p>
    <w:p w14:paraId="53DDA690" w14:textId="77777777" w:rsidR="009F49D1" w:rsidRPr="00EA3FCD" w:rsidRDefault="009F49D1" w:rsidP="009F49D1">
      <w:pPr>
        <w:autoSpaceDE w:val="0"/>
        <w:autoSpaceDN w:val="0"/>
        <w:adjustRightInd w:val="0"/>
        <w:spacing w:after="0" w:line="240" w:lineRule="auto"/>
        <w:rPr>
          <w:rFonts w:cstheme="minorHAnsi"/>
        </w:rPr>
      </w:pPr>
    </w:p>
    <w:p w14:paraId="794BCF54" w14:textId="77777777" w:rsidR="00E84C9B" w:rsidRDefault="00742733" w:rsidP="009F49D1">
      <w:pPr>
        <w:autoSpaceDE w:val="0"/>
        <w:autoSpaceDN w:val="0"/>
        <w:adjustRightInd w:val="0"/>
        <w:spacing w:after="0" w:line="240" w:lineRule="auto"/>
      </w:pPr>
      <w:r>
        <w:lastRenderedPageBreak/>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6C5DD4BB" w14:textId="77777777" w:rsidR="00E84C9B" w:rsidRDefault="00E84C9B" w:rsidP="009F49D1">
      <w:pPr>
        <w:autoSpaceDE w:val="0"/>
        <w:autoSpaceDN w:val="0"/>
        <w:adjustRightInd w:val="0"/>
        <w:spacing w:after="0" w:line="240" w:lineRule="auto"/>
      </w:pPr>
    </w:p>
    <w:p w14:paraId="66B6F681" w14:textId="77777777" w:rsidR="00E84C9B" w:rsidRDefault="00E84C9B" w:rsidP="009F49D1">
      <w:pPr>
        <w:autoSpaceDE w:val="0"/>
        <w:autoSpaceDN w:val="0"/>
        <w:adjustRightInd w:val="0"/>
        <w:spacing w:after="0" w:line="240" w:lineRule="auto"/>
      </w:pPr>
    </w:p>
    <w:p w14:paraId="141B9459"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w:t>
      </w:r>
      <w:r w:rsidR="0051067E">
        <w:t>Regional, state and national industry bodies</w:t>
      </w:r>
      <w:r w:rsidR="005C02A7">
        <w:t xml:space="preserve"> are </w:t>
      </w:r>
      <w:r>
        <w:t>all supportive of these measures.</w:t>
      </w:r>
    </w:p>
    <w:p w14:paraId="0116D9E0" w14:textId="77777777" w:rsidR="00742733" w:rsidRDefault="00742733" w:rsidP="009F49D1">
      <w:pPr>
        <w:autoSpaceDE w:val="0"/>
        <w:autoSpaceDN w:val="0"/>
        <w:adjustRightInd w:val="0"/>
        <w:spacing w:after="0" w:line="240" w:lineRule="auto"/>
      </w:pPr>
    </w:p>
    <w:p w14:paraId="64B11B0C" w14:textId="77777777" w:rsidR="00295DE1" w:rsidRPr="00295DE1" w:rsidRDefault="0051067E" w:rsidP="00295DE1">
      <w:pPr>
        <w:pStyle w:val="Default"/>
        <w:rPr>
          <w:rFonts w:ascii="Calibri" w:hAnsi="Calibri"/>
          <w:sz w:val="22"/>
        </w:rPr>
      </w:pPr>
      <w:r>
        <w:rPr>
          <w:rFonts w:ascii="Calibri" w:hAnsi="Calibri"/>
          <w:sz w:val="22"/>
        </w:rPr>
        <w:t>We</w:t>
      </w:r>
      <w:r w:rsidR="00742733" w:rsidRPr="00295DE1">
        <w:rPr>
          <w:rFonts w:ascii="Calibri" w:hAnsi="Calibri"/>
          <w:sz w:val="22"/>
        </w:rPr>
        <w:t xml:space="preserve"> do not</w:t>
      </w:r>
      <w:r w:rsidR="00F05243">
        <w:rPr>
          <w:rFonts w:ascii="Calibri" w:hAnsi="Calibri"/>
          <w:sz w:val="22"/>
        </w:rPr>
        <w:t>, however,</w:t>
      </w:r>
      <w:r w:rsidR="00742733" w:rsidRPr="00295DE1">
        <w:rPr>
          <w:rFonts w:ascii="Calibri" w:hAnsi="Calibri"/>
          <w:sz w:val="22"/>
        </w:rPr>
        <w:t xml:space="preserve"> support </w:t>
      </w:r>
      <w:r w:rsidR="00295DE1" w:rsidRPr="00295DE1">
        <w:rPr>
          <w:rFonts w:ascii="Calibri" w:hAnsi="Calibri"/>
          <w:sz w:val="22"/>
        </w:rPr>
        <w:t>the recommendation</w:t>
      </w:r>
      <w:r w:rsidR="00742733"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79678FCC" w14:textId="77777777" w:rsidR="00295DE1" w:rsidRDefault="00295DE1" w:rsidP="00295DE1">
      <w:pPr>
        <w:pStyle w:val="Default"/>
        <w:rPr>
          <w:rFonts w:ascii="Calibri" w:hAnsi="Calibri"/>
          <w:sz w:val="22"/>
          <w:szCs w:val="22"/>
        </w:rPr>
      </w:pPr>
    </w:p>
    <w:p w14:paraId="150474C1"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66FFDC50" w14:textId="77777777" w:rsidR="00742733" w:rsidRDefault="00742733" w:rsidP="009F49D1">
      <w:pPr>
        <w:autoSpaceDE w:val="0"/>
        <w:autoSpaceDN w:val="0"/>
        <w:adjustRightInd w:val="0"/>
        <w:spacing w:after="0" w:line="240" w:lineRule="auto"/>
      </w:pPr>
    </w:p>
    <w:p w14:paraId="00B3DEDB" w14:textId="77777777" w:rsidR="00F77436" w:rsidRDefault="00F77436" w:rsidP="009F49D1">
      <w:pPr>
        <w:autoSpaceDE w:val="0"/>
        <w:autoSpaceDN w:val="0"/>
        <w:adjustRightInd w:val="0"/>
        <w:spacing w:after="0" w:line="240" w:lineRule="auto"/>
      </w:pPr>
    </w:p>
    <w:p w14:paraId="0F79195B"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33CE6877" w14:textId="77777777" w:rsidR="00742733" w:rsidRDefault="00742733" w:rsidP="004E2D08">
      <w:pPr>
        <w:autoSpaceDE w:val="0"/>
        <w:autoSpaceDN w:val="0"/>
        <w:adjustRightInd w:val="0"/>
        <w:spacing w:after="0" w:line="240" w:lineRule="auto"/>
        <w:rPr>
          <w:rFonts w:ascii="Calibri" w:hAnsi="Calibri" w:cs="Calibri"/>
          <w:color w:val="000000"/>
        </w:rPr>
      </w:pPr>
    </w:p>
    <w:p w14:paraId="108A6940"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28F46713" w14:textId="77777777" w:rsidR="00742733" w:rsidRDefault="00742733" w:rsidP="004E2D08">
      <w:pPr>
        <w:autoSpaceDE w:val="0"/>
        <w:autoSpaceDN w:val="0"/>
        <w:adjustRightInd w:val="0"/>
        <w:spacing w:after="0" w:line="240" w:lineRule="auto"/>
        <w:rPr>
          <w:rFonts w:ascii="Calibri" w:hAnsi="Calibri" w:cs="Calibri"/>
          <w:color w:val="000000"/>
        </w:rPr>
      </w:pPr>
    </w:p>
    <w:p w14:paraId="4323032E"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313DD18B" w14:textId="77777777" w:rsidR="00742733" w:rsidRDefault="00742733" w:rsidP="004E2D08">
      <w:pPr>
        <w:autoSpaceDE w:val="0"/>
        <w:autoSpaceDN w:val="0"/>
        <w:adjustRightInd w:val="0"/>
        <w:spacing w:after="0" w:line="240" w:lineRule="auto"/>
        <w:rPr>
          <w:rFonts w:ascii="Calibri" w:hAnsi="Calibri" w:cs="Calibri"/>
          <w:color w:val="000000"/>
        </w:rPr>
      </w:pPr>
    </w:p>
    <w:p w14:paraId="2B9C8ADA" w14:textId="77777777" w:rsidR="004E2D08" w:rsidRDefault="004E2D08" w:rsidP="004E2D08">
      <w:pPr>
        <w:autoSpaceDE w:val="0"/>
        <w:autoSpaceDN w:val="0"/>
        <w:adjustRightInd w:val="0"/>
        <w:spacing w:after="0" w:line="240" w:lineRule="auto"/>
        <w:rPr>
          <w:rFonts w:ascii="Calibri" w:hAnsi="Calibri" w:cs="Calibri"/>
          <w:color w:val="000000"/>
        </w:rPr>
      </w:pPr>
    </w:p>
    <w:p w14:paraId="2F87A05E" w14:textId="77777777" w:rsidR="004E2D08" w:rsidRDefault="0051067E"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w:t>
      </w:r>
      <w:r w:rsidR="004E2D08">
        <w:rPr>
          <w:rFonts w:ascii="Calibri" w:hAnsi="Calibri" w:cs="Calibri"/>
          <w:color w:val="000000"/>
        </w:rPr>
        <w:t>long-term, committed wine producer</w:t>
      </w:r>
      <w:r>
        <w:rPr>
          <w:rFonts w:ascii="Calibri" w:hAnsi="Calibri" w:cs="Calibri"/>
          <w:color w:val="000000"/>
        </w:rPr>
        <w:t xml:space="preserve">s, we </w:t>
      </w:r>
      <w:r w:rsidR="004E2D08">
        <w:rPr>
          <w:rFonts w:ascii="Calibri" w:hAnsi="Calibri" w:cs="Calibri"/>
          <w:color w:val="000000"/>
        </w:rPr>
        <w:t xml:space="preserve">implore you to remove the ‘lease or own a winery’ provisions and any associated physical asset-based criteria for eligibility for the WET rebate. </w:t>
      </w:r>
      <w:r w:rsidR="00E84C9B">
        <w:rPr>
          <w:rFonts w:ascii="Calibri" w:hAnsi="Calibri" w:cs="Calibri"/>
          <w:color w:val="000000"/>
        </w:rPr>
        <w:t>Such</w:t>
      </w:r>
      <w:r w:rsidR="004E2D08">
        <w:rPr>
          <w:rFonts w:ascii="Calibri" w:hAnsi="Calibri" w:cs="Calibri"/>
          <w:color w:val="000000"/>
        </w:rPr>
        <w:t xml:space="preserve"> changes will likely cause sign</w:t>
      </w:r>
      <w:r>
        <w:rPr>
          <w:rFonts w:ascii="Calibri" w:hAnsi="Calibri" w:cs="Calibri"/>
          <w:color w:val="000000"/>
        </w:rPr>
        <w:t xml:space="preserve">ificant collateral damage to our </w:t>
      </w:r>
      <w:r w:rsidR="004E2D08">
        <w:rPr>
          <w:rFonts w:ascii="Calibri" w:hAnsi="Calibri" w:cs="Calibri"/>
          <w:color w:val="000000"/>
        </w:rPr>
        <w:t>business</w:t>
      </w:r>
      <w:r>
        <w:rPr>
          <w:rFonts w:ascii="Calibri" w:hAnsi="Calibri" w:cs="Calibri"/>
          <w:color w:val="000000"/>
        </w:rPr>
        <w:t>es</w:t>
      </w:r>
      <w:r w:rsidR="004E2D08">
        <w:rPr>
          <w:rFonts w:ascii="Calibri" w:hAnsi="Calibri" w:cs="Calibri"/>
          <w:color w:val="000000"/>
        </w:rPr>
        <w:t xml:space="preserve"> and to the future of our industry.</w:t>
      </w:r>
    </w:p>
    <w:p w14:paraId="01200175" w14:textId="77777777" w:rsidR="00742733" w:rsidRDefault="00742733" w:rsidP="004E2D08">
      <w:pPr>
        <w:autoSpaceDE w:val="0"/>
        <w:autoSpaceDN w:val="0"/>
        <w:adjustRightInd w:val="0"/>
        <w:spacing w:after="0" w:line="240" w:lineRule="auto"/>
        <w:rPr>
          <w:rFonts w:ascii="Calibri" w:hAnsi="Calibri" w:cs="Calibri"/>
          <w:color w:val="000000"/>
        </w:rPr>
      </w:pPr>
    </w:p>
    <w:p w14:paraId="43E487AC" w14:textId="77777777" w:rsidR="00742733" w:rsidRDefault="00742733" w:rsidP="004E2D08">
      <w:pPr>
        <w:autoSpaceDE w:val="0"/>
        <w:autoSpaceDN w:val="0"/>
        <w:adjustRightInd w:val="0"/>
        <w:spacing w:after="0" w:line="240" w:lineRule="auto"/>
        <w:rPr>
          <w:rFonts w:ascii="Calibri" w:hAnsi="Calibri" w:cs="Calibri"/>
          <w:color w:val="000000"/>
        </w:rPr>
      </w:pPr>
    </w:p>
    <w:p w14:paraId="3135A4BB"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71FD77AB" w14:textId="77777777" w:rsidR="00742733" w:rsidRDefault="00742733" w:rsidP="004E2D08">
      <w:pPr>
        <w:autoSpaceDE w:val="0"/>
        <w:autoSpaceDN w:val="0"/>
        <w:adjustRightInd w:val="0"/>
        <w:spacing w:after="0" w:line="240" w:lineRule="auto"/>
        <w:rPr>
          <w:rFonts w:ascii="Calibri" w:hAnsi="Calibri" w:cs="Calibri"/>
          <w:color w:val="000000"/>
        </w:rPr>
      </w:pPr>
    </w:p>
    <w:p w14:paraId="23E4BDE1" w14:textId="77777777" w:rsidR="00E81CF0" w:rsidRDefault="00E81CF0" w:rsidP="004E2D08">
      <w:pPr>
        <w:autoSpaceDE w:val="0"/>
        <w:autoSpaceDN w:val="0"/>
        <w:adjustRightInd w:val="0"/>
        <w:spacing w:after="0" w:line="240" w:lineRule="auto"/>
        <w:rPr>
          <w:rFonts w:ascii="Calibri" w:hAnsi="Calibri" w:cs="Calibri"/>
        </w:rPr>
      </w:pPr>
    </w:p>
    <w:p w14:paraId="195523A7" w14:textId="77777777" w:rsidR="00410974" w:rsidRDefault="0051067E" w:rsidP="00410974">
      <w:pPr>
        <w:autoSpaceDE w:val="0"/>
        <w:autoSpaceDN w:val="0"/>
        <w:adjustRightInd w:val="0"/>
        <w:spacing w:after="0" w:line="240" w:lineRule="auto"/>
        <w:rPr>
          <w:rFonts w:ascii="Calibri" w:hAnsi="Calibri" w:cs="Calibri"/>
        </w:rPr>
      </w:pPr>
      <w:r>
        <w:rPr>
          <w:rFonts w:ascii="Calibri" w:hAnsi="Calibri" w:cs="Calibri"/>
        </w:rPr>
        <w:t xml:space="preserve">Small and </w:t>
      </w:r>
      <w:proofErr w:type="gramStart"/>
      <w:r>
        <w:rPr>
          <w:rFonts w:ascii="Calibri" w:hAnsi="Calibri" w:cs="Calibri"/>
        </w:rPr>
        <w:t>Emerging</w:t>
      </w:r>
      <w:proofErr w:type="gramEnd"/>
      <w:r>
        <w:rPr>
          <w:rFonts w:ascii="Calibri" w:hAnsi="Calibri" w:cs="Calibri"/>
        </w:rPr>
        <w:t xml:space="preserve"> wine Producers of Australia</w:t>
      </w:r>
    </w:p>
    <w:p w14:paraId="72457902" w14:textId="77777777" w:rsidR="00366FD7" w:rsidRPr="00E81CF0" w:rsidRDefault="00366FD7" w:rsidP="00410974">
      <w:pPr>
        <w:autoSpaceDE w:val="0"/>
        <w:autoSpaceDN w:val="0"/>
        <w:adjustRightInd w:val="0"/>
        <w:spacing w:after="0" w:line="240" w:lineRule="auto"/>
        <w:rPr>
          <w:rFonts w:ascii="Calibri" w:hAnsi="Calibri" w:cs="Calibri"/>
        </w:rPr>
      </w:pPr>
      <w:r>
        <w:rPr>
          <w:rFonts w:ascii="Calibri" w:hAnsi="Calibri" w:cs="Calibri"/>
        </w:rPr>
        <w:t xml:space="preserve">Contact: Rory Lane </w:t>
      </w:r>
      <w:hyperlink r:id="rId14" w:history="1">
        <w:r w:rsidRPr="00B300AD">
          <w:rPr>
            <w:rStyle w:val="Hyperlink"/>
            <w:rFonts w:ascii="Calibri" w:hAnsi="Calibri" w:cs="Calibri"/>
          </w:rPr>
          <w:t>rory@thestory.com.au</w:t>
        </w:r>
      </w:hyperlink>
      <w:r>
        <w:rPr>
          <w:rFonts w:ascii="Calibri" w:hAnsi="Calibri" w:cs="Calibri"/>
        </w:rPr>
        <w:t xml:space="preserve"> , Damian North </w:t>
      </w:r>
      <w:hyperlink r:id="rId15" w:history="1">
        <w:r w:rsidRPr="00B300AD">
          <w:rPr>
            <w:rStyle w:val="Hyperlink"/>
            <w:rFonts w:ascii="Calibri" w:hAnsi="Calibri" w:cs="Calibri"/>
          </w:rPr>
          <w:t>damian@journeywines.com.au</w:t>
        </w:r>
      </w:hyperlink>
      <w:r>
        <w:rPr>
          <w:rFonts w:ascii="Calibri" w:hAnsi="Calibri" w:cs="Calibri"/>
        </w:rPr>
        <w:t xml:space="preserve"> , Dave Mackintosh </w:t>
      </w:r>
      <w:hyperlink r:id="rId16" w:history="1">
        <w:r w:rsidRPr="00B300AD">
          <w:rPr>
            <w:rStyle w:val="Hyperlink"/>
            <w:rFonts w:ascii="Calibri" w:hAnsi="Calibri" w:cs="Calibri"/>
          </w:rPr>
          <w:t>dave@arfion.com.au</w:t>
        </w:r>
      </w:hyperlink>
      <w:r>
        <w:rPr>
          <w:rFonts w:ascii="Calibri" w:hAnsi="Calibri" w:cs="Calibri"/>
        </w:rPr>
        <w:t xml:space="preserve"> , Sam Connew </w:t>
      </w:r>
      <w:hyperlink r:id="rId17" w:history="1">
        <w:r w:rsidRPr="00B300AD">
          <w:rPr>
            <w:rStyle w:val="Hyperlink"/>
            <w:rFonts w:ascii="Calibri" w:hAnsi="Calibri" w:cs="Calibri"/>
          </w:rPr>
          <w:t>samantha@stargazerwine.com.au</w:t>
        </w:r>
      </w:hyperlink>
      <w:r>
        <w:rPr>
          <w:rFonts w:ascii="Calibri" w:hAnsi="Calibri" w:cs="Calibri"/>
        </w:rPr>
        <w:t xml:space="preserve"> </w:t>
      </w:r>
    </w:p>
    <w:p w14:paraId="6E403C88" w14:textId="77777777" w:rsidR="00E81CF0" w:rsidRDefault="00E81CF0" w:rsidP="00410974">
      <w:pPr>
        <w:autoSpaceDE w:val="0"/>
        <w:autoSpaceDN w:val="0"/>
        <w:adjustRightInd w:val="0"/>
        <w:spacing w:after="0" w:line="240" w:lineRule="auto"/>
        <w:rPr>
          <w:rFonts w:ascii="Calibri" w:hAnsi="Calibri" w:cs="Calibri"/>
          <w:color w:val="FF0000"/>
        </w:rPr>
      </w:pPr>
    </w:p>
    <w:p w14:paraId="315F2285" w14:textId="77777777" w:rsidR="00E81CF0" w:rsidRDefault="00E81CF0" w:rsidP="00410974">
      <w:pPr>
        <w:autoSpaceDE w:val="0"/>
        <w:autoSpaceDN w:val="0"/>
        <w:adjustRightInd w:val="0"/>
        <w:spacing w:after="0" w:line="240" w:lineRule="auto"/>
        <w:rPr>
          <w:rFonts w:ascii="Calibri" w:hAnsi="Calibri" w:cs="Calibri"/>
          <w:color w:val="FF0000"/>
        </w:rPr>
      </w:pPr>
    </w:p>
    <w:p w14:paraId="29BC1E90" w14:textId="77777777" w:rsidR="00E81CF0" w:rsidRDefault="00E81CF0" w:rsidP="00410974">
      <w:pPr>
        <w:autoSpaceDE w:val="0"/>
        <w:autoSpaceDN w:val="0"/>
        <w:adjustRightInd w:val="0"/>
        <w:spacing w:after="0" w:line="240" w:lineRule="auto"/>
        <w:rPr>
          <w:rFonts w:ascii="Calibri" w:hAnsi="Calibri" w:cs="Calibri"/>
          <w:color w:val="FF0000"/>
        </w:rPr>
      </w:pPr>
    </w:p>
    <w:p w14:paraId="30ED3069" w14:textId="77777777" w:rsidR="00E81CF0" w:rsidRDefault="00E81CF0" w:rsidP="00410974">
      <w:pPr>
        <w:autoSpaceDE w:val="0"/>
        <w:autoSpaceDN w:val="0"/>
        <w:adjustRightInd w:val="0"/>
        <w:spacing w:after="0" w:line="240" w:lineRule="auto"/>
        <w:rPr>
          <w:rFonts w:ascii="Calibri" w:hAnsi="Calibri" w:cs="Calibri"/>
          <w:color w:val="FF0000"/>
        </w:rPr>
      </w:pPr>
    </w:p>
    <w:p w14:paraId="16670B88" w14:textId="77777777" w:rsidR="00E81CF0" w:rsidRPr="00410974" w:rsidRDefault="00E81CF0" w:rsidP="00410974">
      <w:pPr>
        <w:autoSpaceDE w:val="0"/>
        <w:autoSpaceDN w:val="0"/>
        <w:adjustRightInd w:val="0"/>
        <w:spacing w:after="0" w:line="240" w:lineRule="auto"/>
        <w:rPr>
          <w:rFonts w:ascii="Calibri" w:hAnsi="Calibri" w:cs="Calibri"/>
          <w:color w:val="FF0000"/>
        </w:rPr>
      </w:pPr>
    </w:p>
    <w:p w14:paraId="0A321CA7" w14:textId="77777777" w:rsidR="004E2D08" w:rsidRDefault="004E2D08" w:rsidP="004E2D08">
      <w:pPr>
        <w:autoSpaceDE w:val="0"/>
        <w:autoSpaceDN w:val="0"/>
        <w:adjustRightInd w:val="0"/>
        <w:spacing w:after="0" w:line="240" w:lineRule="auto"/>
        <w:rPr>
          <w:rFonts w:ascii="Calibri" w:hAnsi="Calibri" w:cs="Calibri"/>
          <w:color w:val="000000"/>
        </w:rPr>
      </w:pPr>
    </w:p>
    <w:p w14:paraId="3F81E7A5"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75A06886" w14:textId="77777777" w:rsidR="00F77436" w:rsidRPr="004E2D08" w:rsidRDefault="00F77436" w:rsidP="009F49D1">
      <w:pPr>
        <w:autoSpaceDE w:val="0"/>
        <w:autoSpaceDN w:val="0"/>
        <w:adjustRightInd w:val="0"/>
        <w:spacing w:after="0" w:line="240" w:lineRule="auto"/>
      </w:pPr>
    </w:p>
    <w:p w14:paraId="25D6D6BD"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7D347" w14:textId="77777777" w:rsidR="008930CC" w:rsidRDefault="008930CC" w:rsidP="004E2D08">
      <w:pPr>
        <w:spacing w:after="0" w:line="240" w:lineRule="auto"/>
      </w:pPr>
      <w:r>
        <w:separator/>
      </w:r>
    </w:p>
  </w:endnote>
  <w:endnote w:type="continuationSeparator" w:id="0">
    <w:p w14:paraId="55C96667" w14:textId="77777777" w:rsidR="008930CC" w:rsidRDefault="008930CC" w:rsidP="004E2D08">
      <w:pPr>
        <w:spacing w:after="0" w:line="240" w:lineRule="auto"/>
      </w:pPr>
      <w:r>
        <w:continuationSeparator/>
      </w:r>
    </w:p>
  </w:endnote>
  <w:endnote w:id="1">
    <w:p w14:paraId="1F07B382"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057E3302"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8E674" w14:textId="77777777" w:rsidR="008930CC" w:rsidRDefault="008930CC" w:rsidP="004E2D08">
      <w:pPr>
        <w:spacing w:after="0" w:line="240" w:lineRule="auto"/>
      </w:pPr>
      <w:r>
        <w:separator/>
      </w:r>
    </w:p>
  </w:footnote>
  <w:footnote w:type="continuationSeparator" w:id="0">
    <w:p w14:paraId="760AD546" w14:textId="77777777" w:rsidR="008930CC" w:rsidRDefault="008930CC"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175099"/>
    <w:rsid w:val="00282870"/>
    <w:rsid w:val="00295DE1"/>
    <w:rsid w:val="002C585E"/>
    <w:rsid w:val="00366FD7"/>
    <w:rsid w:val="00410974"/>
    <w:rsid w:val="004E2D08"/>
    <w:rsid w:val="0051067E"/>
    <w:rsid w:val="00565A9B"/>
    <w:rsid w:val="005C02A7"/>
    <w:rsid w:val="006B1003"/>
    <w:rsid w:val="00742733"/>
    <w:rsid w:val="00871EC0"/>
    <w:rsid w:val="008930CC"/>
    <w:rsid w:val="008D68C6"/>
    <w:rsid w:val="00990507"/>
    <w:rsid w:val="009F49D1"/>
    <w:rsid w:val="00A13B86"/>
    <w:rsid w:val="00A66F42"/>
    <w:rsid w:val="00AA6CFB"/>
    <w:rsid w:val="00E45AD8"/>
    <w:rsid w:val="00E50E5A"/>
    <w:rsid w:val="00E81CF0"/>
    <w:rsid w:val="00E84C9B"/>
    <w:rsid w:val="00EA3FCD"/>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customStyle="1" w:styleId="ymprivateaccess">
    <w:name w:val="ym_private_access"/>
    <w:basedOn w:val="DefaultParagraphFont"/>
    <w:rsid w:val="00175099"/>
  </w:style>
  <w:style w:type="character" w:styleId="Hyperlink">
    <w:name w:val="Hyperlink"/>
    <w:basedOn w:val="DefaultParagraphFont"/>
    <w:uiPriority w:val="99"/>
    <w:unhideWhenUsed/>
    <w:rsid w:val="00366F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customStyle="1" w:styleId="ymprivateaccess">
    <w:name w:val="ym_private_access"/>
    <w:basedOn w:val="DefaultParagraphFont"/>
    <w:rsid w:val="00175099"/>
  </w:style>
  <w:style w:type="character" w:styleId="Hyperlink">
    <w:name w:val="Hyperlink"/>
    <w:basedOn w:val="DefaultParagraphFont"/>
    <w:uiPriority w:val="99"/>
    <w:unhideWhenUsed/>
    <w:rsid w:val="00366F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amantha@stargazerwine.com.au" TargetMode="External"/><Relationship Id="rId2" Type="http://schemas.openxmlformats.org/officeDocument/2006/relationships/customXml" Target="../customXml/item2.xml"/><Relationship Id="rId16" Type="http://schemas.openxmlformats.org/officeDocument/2006/relationships/hyperlink" Target="mailto:dave@arfion.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mian@journeywines.com.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rory@thestor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2016RG-284-200</_dlc_DocId>
    <_dlc_DocIdUrl xmlns="9f7bc583-7cbe-45b9-a2bd-8bbb6543b37e">
      <Url>http://tweb/sites/rg/iitd/alcoh/_layouts/15/DocIdRedir.aspx?ID=2016RG-284-200</Url>
      <Description>2016RG-284-200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5845-3B87-4F00-B894-B35F0EEB3136}"/>
</file>

<file path=customXml/itemProps2.xml><?xml version="1.0" encoding="utf-8"?>
<ds:datastoreItem xmlns:ds="http://schemas.openxmlformats.org/officeDocument/2006/customXml" ds:itemID="{7B67FF88-446E-442A-8AB3-60DB55F0CDF2}"/>
</file>

<file path=customXml/itemProps3.xml><?xml version="1.0" encoding="utf-8"?>
<ds:datastoreItem xmlns:ds="http://schemas.openxmlformats.org/officeDocument/2006/customXml" ds:itemID="{8615595B-4423-4613-9101-993B89187895}"/>
</file>

<file path=customXml/itemProps4.xml><?xml version="1.0" encoding="utf-8"?>
<ds:datastoreItem xmlns:ds="http://schemas.openxmlformats.org/officeDocument/2006/customXml" ds:itemID="{D79F35DE-6373-430F-8FE8-D76D8345B3A3}"/>
</file>

<file path=customXml/itemProps5.xml><?xml version="1.0" encoding="utf-8"?>
<ds:datastoreItem xmlns:ds="http://schemas.openxmlformats.org/officeDocument/2006/customXml" ds:itemID="{C1CFEA1D-CAAA-4533-8A48-D6E8A97F0808}"/>
</file>

<file path=customXml/itemProps6.xml><?xml version="1.0" encoding="utf-8"?>
<ds:datastoreItem xmlns:ds="http://schemas.openxmlformats.org/officeDocument/2006/customXml" ds:itemID="{85120678-A7C1-423B-A7BE-01567E0AF4B7}"/>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2016-10-10T04:31:00Z</dcterms:created>
  <dcterms:modified xsi:type="dcterms:W3CDTF">2016-10-10T04:31:00Z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481e7e7b-7059-40ae-90d9-ddce200a472b</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{481e7e7b-7059-40ae-90d9-ddce200a472b}</vt:lpwstr>
  </property>
  <property fmtid="{D5CDD505-2E9C-101B-9397-08002B2CF9AE}" pid="9" name="RecordPoint_ActiveItemWebId">
    <vt:lpwstr>{321685ce-0414-4cb5-ba5e-9e54c6ae1071}</vt:lpwstr>
  </property>
  <property fmtid="{D5CDD505-2E9C-101B-9397-08002B2CF9AE}" pid="10" name="RecordPoint_RecordNumberSubmitted">
    <vt:lpwstr>R0001120926</vt:lpwstr>
  </property>
  <property fmtid="{D5CDD505-2E9C-101B-9397-08002B2CF9AE}" pid="11" name="RecordPoint_SubmissionCompleted">
    <vt:lpwstr>2016-10-10T15:37:14.1965733+11:00</vt:lpwstr>
  </property>
</Properties>
</file>