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73C70" w14:textId="77777777" w:rsidR="00E37B9D" w:rsidRDefault="00282870" w:rsidP="00410974">
      <w:pPr>
        <w:pStyle w:val="Heading1"/>
      </w:pPr>
      <w:r>
        <w:t>Submission to the Australian Federal Government consultative process on reform to the WET rebate eligibility criteria.</w:t>
      </w:r>
    </w:p>
    <w:p w14:paraId="66567199" w14:textId="77777777" w:rsidR="00410974" w:rsidRDefault="00410974" w:rsidP="00410974"/>
    <w:p w14:paraId="1D50DD6A" w14:textId="77777777" w:rsidR="00FE138D" w:rsidRPr="00FE138D" w:rsidRDefault="00FE138D" w:rsidP="00410974">
      <w:pPr>
        <w:rPr>
          <w:color w:val="000000" w:themeColor="text1"/>
        </w:rPr>
      </w:pPr>
      <w:r w:rsidRPr="00FE138D">
        <w:rPr>
          <w:color w:val="000000" w:themeColor="text1"/>
        </w:rPr>
        <w:t>October 5, 2016.</w:t>
      </w:r>
    </w:p>
    <w:p w14:paraId="424AF563" w14:textId="77777777" w:rsidR="00410974" w:rsidRPr="00FE138D" w:rsidRDefault="00FE138D">
      <w:pPr>
        <w:rPr>
          <w:color w:val="000000" w:themeColor="text1"/>
        </w:rPr>
      </w:pPr>
      <w:r w:rsidRPr="00FE138D">
        <w:rPr>
          <w:color w:val="000000" w:themeColor="text1"/>
        </w:rPr>
        <w:t>Alexander Byrne - Byrne Wines, Liquid Rock n Roll, and Noisy Ritual</w:t>
      </w:r>
    </w:p>
    <w:p w14:paraId="50B4B48D" w14:textId="77777777" w:rsidR="00282870" w:rsidRPr="00410974" w:rsidRDefault="00282870">
      <w:pPr>
        <w:rPr>
          <w:color w:val="FF0000"/>
        </w:rPr>
      </w:pPr>
    </w:p>
    <w:p w14:paraId="3F7F5A0B" w14:textId="77777777" w:rsidR="00282870" w:rsidRDefault="00282870">
      <w:r>
        <w:t>As a wine producer concern</w:t>
      </w:r>
      <w:bookmarkStart w:id="0" w:name="_GoBack"/>
      <w:bookmarkEnd w:id="0"/>
      <w:r>
        <w:t>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13AE2327"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1A8749C4"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53259954"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6477FD09"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6A333415"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49620676"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509EA7DF"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719AE908"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proofErr w:type="spellStart"/>
      <w:r w:rsidR="00565A9B">
        <w:rPr>
          <w:rFonts w:ascii="Calibri" w:hAnsi="Calibri" w:cs="Calibri"/>
          <w:color w:val="000000"/>
        </w:rPr>
        <w:t>explaination</w:t>
      </w:r>
      <w:proofErr w:type="spellEnd"/>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5EEABBA2"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6E2D2D0F"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56269847"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21ACB123"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79146148" w14:textId="77777777" w:rsidR="00410974" w:rsidRDefault="00410974" w:rsidP="00410974">
      <w:pPr>
        <w:autoSpaceDE w:val="0"/>
        <w:autoSpaceDN w:val="0"/>
        <w:adjustRightInd w:val="0"/>
        <w:spacing w:after="200" w:line="240" w:lineRule="auto"/>
        <w:rPr>
          <w:rFonts w:ascii="Calibri" w:hAnsi="Calibri" w:cs="Calibri"/>
          <w:color w:val="000000"/>
        </w:rPr>
      </w:pPr>
    </w:p>
    <w:p w14:paraId="1DE4F1A2"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73168BAC"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74AD2213" w14:textId="77777777" w:rsidR="00742733" w:rsidRPr="00904734" w:rsidRDefault="00742733" w:rsidP="00904734">
      <w:pPr>
        <w:autoSpaceDE w:val="0"/>
        <w:autoSpaceDN w:val="0"/>
        <w:adjustRightInd w:val="0"/>
        <w:spacing w:after="0" w:line="240" w:lineRule="auto"/>
        <w:rPr>
          <w:color w:val="FF0000"/>
        </w:rPr>
      </w:pPr>
    </w:p>
    <w:p w14:paraId="310132F5" w14:textId="77777777" w:rsidR="009F49D1" w:rsidRDefault="00FE138D" w:rsidP="009F49D1">
      <w:pPr>
        <w:autoSpaceDE w:val="0"/>
        <w:autoSpaceDN w:val="0"/>
        <w:adjustRightInd w:val="0"/>
        <w:spacing w:after="0" w:line="240" w:lineRule="auto"/>
      </w:pPr>
      <w:r>
        <w:lastRenderedPageBreak/>
        <w:t xml:space="preserve">I have been making wine under the Byrne label since 2009, under the Liquid Rock n Roll label since 2013 and with Noisy Ritual since 2014.  I worked my first vintage in the Yarra Valley at Dominique </w:t>
      </w:r>
      <w:proofErr w:type="spellStart"/>
      <w:r>
        <w:t>Portet</w:t>
      </w:r>
      <w:proofErr w:type="spellEnd"/>
      <w:r>
        <w:t xml:space="preserve"> winery in 2002, this inspired me to return to university to study Wine Science in 2004.  I completed my Bachelor of Applied Science (Wine Science) in 2007, while completing a vintage in Margaret River in 2005 and in the Yarra Valley and the Rhone Valley (France) in 2007.  In 2008 I gained work experience for another vintage in Burgundy (France) before return to work full time as an assistant winemaker at Lethbridge Wines in Victoria in 2009.  With the support of my employers I began making my own wine in their facility as soon as I was settled back in Australia.  I worked full time for them but made my own wine in my spare time using their space an equipment.  The volume of wine I make has grown each year since then as the time, money and demand have increased.  I now rely on my own wine as a primary income.  I have a permanent contract for an entire 5 acre vineyard near Ballarat which I have had since 2010, I also have an ongoing contract for the majority of fruit from another vineyard near Ballarat which I have had since 2012.  I work closely with the growers, who both live at the vineyards but do not have their own wineries</w:t>
      </w:r>
      <w:r w:rsidR="009548FA">
        <w:t>, to maintain the vineyards and their income from them.  I also buy fruit on contract from several other larger vineyards around Victoria where I have varying degrees of involvement.  In total this year I processed about 35 tonnes of fruit for my businesses.  My business also contributes to the winery where I lease space to produce my wine, the packaging, storage and transport companies who I work with, as well as many other small businesses who collaborate to supply our boutique products to the customers.</w:t>
      </w:r>
    </w:p>
    <w:p w14:paraId="160CA4D1" w14:textId="77777777" w:rsidR="009548FA" w:rsidRDefault="009548FA" w:rsidP="009F49D1">
      <w:pPr>
        <w:autoSpaceDE w:val="0"/>
        <w:autoSpaceDN w:val="0"/>
        <w:adjustRightInd w:val="0"/>
        <w:spacing w:after="0" w:line="240" w:lineRule="auto"/>
      </w:pPr>
      <w:r>
        <w:t>The loss of the WET rebate would cripple our businesses.  We would be uncompetitive if we had to increase our prices to compensate for the loss, and we would be unprofitable without the rebate.</w:t>
      </w:r>
    </w:p>
    <w:p w14:paraId="7E1BA829" w14:textId="77777777" w:rsidR="009548FA" w:rsidRDefault="009548FA" w:rsidP="009F49D1">
      <w:pPr>
        <w:autoSpaceDE w:val="0"/>
        <w:autoSpaceDN w:val="0"/>
        <w:adjustRightInd w:val="0"/>
        <w:spacing w:after="0" w:line="240" w:lineRule="auto"/>
      </w:pPr>
      <w:r>
        <w:t>Small winemakers like myself do not make a lot of money.  We work hard and our industry is based largely on good relationships between growers, producers, and consumers (and many other people in-between).  Our segment of the industry is innovative, environmentally sustainable and responsible, and creative.  We support many other small businesses and communities.  The proposed changes would have a huge negative impact on the Australian wine industry and many other areas of the broader community who we serve.</w:t>
      </w:r>
    </w:p>
    <w:p w14:paraId="060F1C9E" w14:textId="77777777" w:rsidR="00FE138D" w:rsidRDefault="00FE138D" w:rsidP="009F49D1">
      <w:pPr>
        <w:autoSpaceDE w:val="0"/>
        <w:autoSpaceDN w:val="0"/>
        <w:adjustRightInd w:val="0"/>
        <w:spacing w:after="0" w:line="240" w:lineRule="auto"/>
      </w:pPr>
    </w:p>
    <w:p w14:paraId="0CC98649"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2A314A6E" w14:textId="77777777" w:rsidR="00E84C9B" w:rsidRDefault="00E84C9B" w:rsidP="009F49D1">
      <w:pPr>
        <w:autoSpaceDE w:val="0"/>
        <w:autoSpaceDN w:val="0"/>
        <w:adjustRightInd w:val="0"/>
        <w:spacing w:after="0" w:line="240" w:lineRule="auto"/>
      </w:pPr>
    </w:p>
    <w:p w14:paraId="4001225F" w14:textId="77777777" w:rsidR="00E84C9B" w:rsidRDefault="00E84C9B" w:rsidP="009F49D1">
      <w:pPr>
        <w:autoSpaceDE w:val="0"/>
        <w:autoSpaceDN w:val="0"/>
        <w:adjustRightInd w:val="0"/>
        <w:spacing w:after="0" w:line="240" w:lineRule="auto"/>
      </w:pPr>
    </w:p>
    <w:p w14:paraId="06906A23"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6D446919" w14:textId="77777777" w:rsidR="00742733" w:rsidRDefault="00742733" w:rsidP="009F49D1">
      <w:pPr>
        <w:autoSpaceDE w:val="0"/>
        <w:autoSpaceDN w:val="0"/>
        <w:adjustRightInd w:val="0"/>
        <w:spacing w:after="0" w:line="240" w:lineRule="auto"/>
      </w:pPr>
    </w:p>
    <w:p w14:paraId="7480E09C"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0F35BCAE" w14:textId="77777777" w:rsidR="00295DE1" w:rsidRDefault="00295DE1" w:rsidP="00295DE1">
      <w:pPr>
        <w:pStyle w:val="Default"/>
        <w:rPr>
          <w:rFonts w:ascii="Calibri" w:hAnsi="Calibri"/>
          <w:sz w:val="22"/>
          <w:szCs w:val="22"/>
        </w:rPr>
      </w:pPr>
    </w:p>
    <w:p w14:paraId="1B942A5E"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1E2A12BF" w14:textId="77777777" w:rsidR="00742733" w:rsidRDefault="00742733" w:rsidP="009F49D1">
      <w:pPr>
        <w:autoSpaceDE w:val="0"/>
        <w:autoSpaceDN w:val="0"/>
        <w:adjustRightInd w:val="0"/>
        <w:spacing w:after="0" w:line="240" w:lineRule="auto"/>
      </w:pPr>
    </w:p>
    <w:p w14:paraId="4F1DDE83" w14:textId="77777777" w:rsidR="00F77436" w:rsidRDefault="00F77436" w:rsidP="009F49D1">
      <w:pPr>
        <w:autoSpaceDE w:val="0"/>
        <w:autoSpaceDN w:val="0"/>
        <w:adjustRightInd w:val="0"/>
        <w:spacing w:after="0" w:line="240" w:lineRule="auto"/>
      </w:pPr>
    </w:p>
    <w:p w14:paraId="47EE191D"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144638FE" w14:textId="77777777" w:rsidR="00742733" w:rsidRDefault="00742733" w:rsidP="004E2D08">
      <w:pPr>
        <w:autoSpaceDE w:val="0"/>
        <w:autoSpaceDN w:val="0"/>
        <w:adjustRightInd w:val="0"/>
        <w:spacing w:after="0" w:line="240" w:lineRule="auto"/>
        <w:rPr>
          <w:rFonts w:ascii="Calibri" w:hAnsi="Calibri" w:cs="Calibri"/>
          <w:color w:val="000000"/>
        </w:rPr>
      </w:pPr>
    </w:p>
    <w:p w14:paraId="65051860"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lastRenderedPageBreak/>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0F850C3F" w14:textId="77777777" w:rsidR="00742733" w:rsidRDefault="00742733" w:rsidP="004E2D08">
      <w:pPr>
        <w:autoSpaceDE w:val="0"/>
        <w:autoSpaceDN w:val="0"/>
        <w:adjustRightInd w:val="0"/>
        <w:spacing w:after="0" w:line="240" w:lineRule="auto"/>
        <w:rPr>
          <w:rFonts w:ascii="Calibri" w:hAnsi="Calibri" w:cs="Calibri"/>
          <w:color w:val="000000"/>
        </w:rPr>
      </w:pPr>
    </w:p>
    <w:p w14:paraId="7E33798A"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17CAAD3A" w14:textId="77777777" w:rsidR="00742733" w:rsidRDefault="00742733" w:rsidP="004E2D08">
      <w:pPr>
        <w:autoSpaceDE w:val="0"/>
        <w:autoSpaceDN w:val="0"/>
        <w:adjustRightInd w:val="0"/>
        <w:spacing w:after="0" w:line="240" w:lineRule="auto"/>
        <w:rPr>
          <w:rFonts w:ascii="Calibri" w:hAnsi="Calibri" w:cs="Calibri"/>
          <w:color w:val="000000"/>
        </w:rPr>
      </w:pPr>
    </w:p>
    <w:p w14:paraId="55645AEB" w14:textId="77777777" w:rsidR="004E2D08" w:rsidRDefault="004E2D08" w:rsidP="004E2D08">
      <w:pPr>
        <w:autoSpaceDE w:val="0"/>
        <w:autoSpaceDN w:val="0"/>
        <w:adjustRightInd w:val="0"/>
        <w:spacing w:after="0" w:line="240" w:lineRule="auto"/>
        <w:rPr>
          <w:rFonts w:ascii="Calibri" w:hAnsi="Calibri" w:cs="Calibri"/>
          <w:color w:val="000000"/>
        </w:rPr>
      </w:pPr>
    </w:p>
    <w:p w14:paraId="0600C2D7"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663F60EF" w14:textId="77777777" w:rsidR="00742733" w:rsidRDefault="00742733" w:rsidP="004E2D08">
      <w:pPr>
        <w:autoSpaceDE w:val="0"/>
        <w:autoSpaceDN w:val="0"/>
        <w:adjustRightInd w:val="0"/>
        <w:spacing w:after="0" w:line="240" w:lineRule="auto"/>
        <w:rPr>
          <w:rFonts w:ascii="Calibri" w:hAnsi="Calibri" w:cs="Calibri"/>
          <w:color w:val="000000"/>
        </w:rPr>
      </w:pPr>
    </w:p>
    <w:p w14:paraId="28769ED2" w14:textId="77777777" w:rsidR="00742733" w:rsidRDefault="00742733" w:rsidP="004E2D08">
      <w:pPr>
        <w:autoSpaceDE w:val="0"/>
        <w:autoSpaceDN w:val="0"/>
        <w:adjustRightInd w:val="0"/>
        <w:spacing w:after="0" w:line="240" w:lineRule="auto"/>
        <w:rPr>
          <w:rFonts w:ascii="Calibri" w:hAnsi="Calibri" w:cs="Calibri"/>
          <w:color w:val="000000"/>
        </w:rPr>
      </w:pPr>
    </w:p>
    <w:p w14:paraId="69B7AAA4"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461A32F0" w14:textId="77777777" w:rsidR="00742733" w:rsidRDefault="00742733" w:rsidP="004E2D08">
      <w:pPr>
        <w:autoSpaceDE w:val="0"/>
        <w:autoSpaceDN w:val="0"/>
        <w:adjustRightInd w:val="0"/>
        <w:spacing w:after="0" w:line="240" w:lineRule="auto"/>
        <w:rPr>
          <w:rFonts w:ascii="Calibri" w:hAnsi="Calibri" w:cs="Calibri"/>
          <w:color w:val="000000"/>
        </w:rPr>
      </w:pPr>
    </w:p>
    <w:p w14:paraId="3CEEB692" w14:textId="77777777" w:rsidR="000C13EA" w:rsidRPr="000C13EA" w:rsidRDefault="001B7F09" w:rsidP="004E2D08">
      <w:pPr>
        <w:autoSpaceDE w:val="0"/>
        <w:autoSpaceDN w:val="0"/>
        <w:adjustRightInd w:val="0"/>
        <w:spacing w:after="0" w:line="240" w:lineRule="auto"/>
        <w:rPr>
          <w:rFonts w:ascii="Calibri" w:hAnsi="Calibri" w:cs="Calibri"/>
          <w:color w:val="000000" w:themeColor="text1"/>
        </w:rPr>
      </w:pPr>
      <w:r w:rsidRPr="000C13EA">
        <w:rPr>
          <w:rFonts w:ascii="Calibri" w:hAnsi="Calibri" w:cs="Calibri"/>
          <w:color w:val="000000" w:themeColor="text1"/>
        </w:rPr>
        <w:t>Alexander Byrne</w:t>
      </w:r>
    </w:p>
    <w:p w14:paraId="7AE59069" w14:textId="77777777" w:rsidR="000C13EA" w:rsidRPr="000C13EA" w:rsidRDefault="000C13EA" w:rsidP="004E2D08">
      <w:pPr>
        <w:autoSpaceDE w:val="0"/>
        <w:autoSpaceDN w:val="0"/>
        <w:adjustRightInd w:val="0"/>
        <w:spacing w:after="0" w:line="240" w:lineRule="auto"/>
        <w:rPr>
          <w:rFonts w:ascii="Calibri" w:hAnsi="Calibri" w:cs="Calibri"/>
          <w:color w:val="000000" w:themeColor="text1"/>
        </w:rPr>
      </w:pPr>
      <w:r w:rsidRPr="000C13EA">
        <w:rPr>
          <w:rFonts w:ascii="Calibri" w:hAnsi="Calibri" w:cs="Calibri"/>
          <w:color w:val="000000" w:themeColor="text1"/>
        </w:rPr>
        <w:t>Owner/Winemaker</w:t>
      </w:r>
    </w:p>
    <w:p w14:paraId="1ED5E88D" w14:textId="77777777" w:rsidR="000C13EA" w:rsidRPr="000C13EA" w:rsidRDefault="000C13EA" w:rsidP="004E2D08">
      <w:pPr>
        <w:autoSpaceDE w:val="0"/>
        <w:autoSpaceDN w:val="0"/>
        <w:adjustRightInd w:val="0"/>
        <w:spacing w:after="0" w:line="240" w:lineRule="auto"/>
        <w:rPr>
          <w:rFonts w:ascii="Calibri" w:hAnsi="Calibri" w:cs="Calibri"/>
          <w:color w:val="000000" w:themeColor="text1"/>
        </w:rPr>
      </w:pPr>
      <w:r w:rsidRPr="000C13EA">
        <w:rPr>
          <w:rFonts w:ascii="Calibri" w:hAnsi="Calibri" w:cs="Calibri"/>
          <w:color w:val="000000" w:themeColor="text1"/>
        </w:rPr>
        <w:t>Byrne Wines, Liquid Rock n Roll, Noisy Ritual</w:t>
      </w:r>
    </w:p>
    <w:p w14:paraId="38CE120D" w14:textId="77777777" w:rsidR="000C13EA" w:rsidRPr="000C13EA" w:rsidRDefault="000C13EA" w:rsidP="004E2D08">
      <w:pPr>
        <w:autoSpaceDE w:val="0"/>
        <w:autoSpaceDN w:val="0"/>
        <w:adjustRightInd w:val="0"/>
        <w:spacing w:after="0" w:line="240" w:lineRule="auto"/>
        <w:rPr>
          <w:rFonts w:ascii="Calibri" w:hAnsi="Calibri" w:cs="Calibri"/>
          <w:color w:val="000000" w:themeColor="text1"/>
        </w:rPr>
      </w:pPr>
      <w:r w:rsidRPr="000C13EA">
        <w:rPr>
          <w:rFonts w:ascii="Calibri" w:hAnsi="Calibri" w:cs="Calibri"/>
          <w:color w:val="000000" w:themeColor="text1"/>
        </w:rPr>
        <w:t>140 Stewart St</w:t>
      </w:r>
    </w:p>
    <w:p w14:paraId="4A2BE327" w14:textId="77777777" w:rsidR="000C13EA" w:rsidRPr="000C13EA" w:rsidRDefault="000C13EA" w:rsidP="004E2D08">
      <w:pPr>
        <w:autoSpaceDE w:val="0"/>
        <w:autoSpaceDN w:val="0"/>
        <w:adjustRightInd w:val="0"/>
        <w:spacing w:after="0" w:line="240" w:lineRule="auto"/>
        <w:rPr>
          <w:rFonts w:ascii="Calibri" w:hAnsi="Calibri" w:cs="Calibri"/>
          <w:color w:val="000000" w:themeColor="text1"/>
        </w:rPr>
      </w:pPr>
      <w:r w:rsidRPr="000C13EA">
        <w:rPr>
          <w:rFonts w:ascii="Calibri" w:hAnsi="Calibri" w:cs="Calibri"/>
          <w:color w:val="000000" w:themeColor="text1"/>
        </w:rPr>
        <w:t>Brunswick East</w:t>
      </w:r>
    </w:p>
    <w:p w14:paraId="369AEB8C" w14:textId="77777777" w:rsidR="000C13EA" w:rsidRPr="000C13EA" w:rsidRDefault="000C13EA" w:rsidP="004E2D08">
      <w:pPr>
        <w:autoSpaceDE w:val="0"/>
        <w:autoSpaceDN w:val="0"/>
        <w:adjustRightInd w:val="0"/>
        <w:spacing w:after="0" w:line="240" w:lineRule="auto"/>
        <w:rPr>
          <w:rFonts w:ascii="Calibri" w:hAnsi="Calibri" w:cs="Calibri"/>
          <w:color w:val="000000" w:themeColor="text1"/>
        </w:rPr>
      </w:pPr>
      <w:r w:rsidRPr="000C13EA">
        <w:rPr>
          <w:rFonts w:ascii="Calibri" w:hAnsi="Calibri" w:cs="Calibri"/>
          <w:color w:val="000000" w:themeColor="text1"/>
        </w:rPr>
        <w:t>VIC  3057</w:t>
      </w:r>
    </w:p>
    <w:p w14:paraId="0D66E696" w14:textId="77777777" w:rsidR="00410974" w:rsidRDefault="00410974" w:rsidP="00410974">
      <w:pPr>
        <w:autoSpaceDE w:val="0"/>
        <w:autoSpaceDN w:val="0"/>
        <w:adjustRightInd w:val="0"/>
        <w:spacing w:after="0" w:line="240" w:lineRule="auto"/>
        <w:rPr>
          <w:rFonts w:ascii="Calibri" w:hAnsi="Calibri" w:cs="Calibri"/>
          <w:color w:val="FF0000"/>
        </w:rPr>
      </w:pPr>
    </w:p>
    <w:p w14:paraId="3FA8D12C" w14:textId="77777777" w:rsidR="00410974" w:rsidRPr="00410974" w:rsidRDefault="00410974" w:rsidP="00410974">
      <w:pPr>
        <w:autoSpaceDE w:val="0"/>
        <w:autoSpaceDN w:val="0"/>
        <w:adjustRightInd w:val="0"/>
        <w:spacing w:after="0" w:line="240" w:lineRule="auto"/>
        <w:rPr>
          <w:rFonts w:ascii="Calibri" w:hAnsi="Calibri" w:cs="Calibri"/>
          <w:color w:val="FF0000"/>
        </w:rPr>
      </w:pPr>
    </w:p>
    <w:p w14:paraId="4A6D662B" w14:textId="77777777" w:rsidR="004E2D08" w:rsidRDefault="004E2D08" w:rsidP="004E2D08">
      <w:pPr>
        <w:autoSpaceDE w:val="0"/>
        <w:autoSpaceDN w:val="0"/>
        <w:adjustRightInd w:val="0"/>
        <w:spacing w:after="0" w:line="240" w:lineRule="auto"/>
        <w:rPr>
          <w:rFonts w:ascii="Calibri" w:hAnsi="Calibri" w:cs="Calibri"/>
          <w:color w:val="000000"/>
        </w:rPr>
      </w:pPr>
    </w:p>
    <w:p w14:paraId="61F549A6"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1A1750D4" w14:textId="77777777" w:rsidR="00F77436" w:rsidRPr="004E2D08" w:rsidRDefault="00F77436" w:rsidP="009F49D1">
      <w:pPr>
        <w:autoSpaceDE w:val="0"/>
        <w:autoSpaceDN w:val="0"/>
        <w:adjustRightInd w:val="0"/>
        <w:spacing w:after="0" w:line="240" w:lineRule="auto"/>
      </w:pPr>
    </w:p>
    <w:p w14:paraId="0B84A199"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CA6EF" w14:textId="77777777" w:rsidR="00F92AAA" w:rsidRDefault="00F92AAA" w:rsidP="004E2D08">
      <w:pPr>
        <w:spacing w:after="0" w:line="240" w:lineRule="auto"/>
      </w:pPr>
      <w:r>
        <w:separator/>
      </w:r>
    </w:p>
  </w:endnote>
  <w:endnote w:type="continuationSeparator" w:id="0">
    <w:p w14:paraId="220A0C3E" w14:textId="77777777" w:rsidR="00F92AAA" w:rsidRDefault="00F92AAA" w:rsidP="004E2D08">
      <w:pPr>
        <w:spacing w:after="0" w:line="240" w:lineRule="auto"/>
      </w:pPr>
      <w:r>
        <w:continuationSeparator/>
      </w:r>
    </w:p>
  </w:endnote>
  <w:endnote w:id="1">
    <w:p w14:paraId="12D9E338"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4BEE8920"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E7B9B" w14:textId="77777777" w:rsidR="00F92AAA" w:rsidRDefault="00F92AAA" w:rsidP="004E2D08">
      <w:pPr>
        <w:spacing w:after="0" w:line="240" w:lineRule="auto"/>
      </w:pPr>
      <w:r>
        <w:separator/>
      </w:r>
    </w:p>
  </w:footnote>
  <w:footnote w:type="continuationSeparator" w:id="0">
    <w:p w14:paraId="4C36B0A6" w14:textId="77777777" w:rsidR="00F92AAA" w:rsidRDefault="00F92AAA"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0C13EA"/>
    <w:rsid w:val="001B7F09"/>
    <w:rsid w:val="00282870"/>
    <w:rsid w:val="00295DE1"/>
    <w:rsid w:val="002C585E"/>
    <w:rsid w:val="00410974"/>
    <w:rsid w:val="004E2D08"/>
    <w:rsid w:val="00565A9B"/>
    <w:rsid w:val="005C02A7"/>
    <w:rsid w:val="006B1003"/>
    <w:rsid w:val="00742733"/>
    <w:rsid w:val="008D68C6"/>
    <w:rsid w:val="00904734"/>
    <w:rsid w:val="009548FA"/>
    <w:rsid w:val="00990507"/>
    <w:rsid w:val="009F49D1"/>
    <w:rsid w:val="00A01F72"/>
    <w:rsid w:val="00A13B86"/>
    <w:rsid w:val="00AA6CFB"/>
    <w:rsid w:val="00E45AD8"/>
    <w:rsid w:val="00E50E5A"/>
    <w:rsid w:val="00E84C9B"/>
    <w:rsid w:val="00F05243"/>
    <w:rsid w:val="00F77436"/>
    <w:rsid w:val="00F92AAA"/>
    <w:rsid w:val="00FE1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2016RG-284-143</_dlc_DocId>
    <_dlc_DocIdUrl xmlns="9f7bc583-7cbe-45b9-a2bd-8bbb6543b37e">
      <Url>http://tweb/sites/rg/iitd/alcoh/_layouts/15/DocIdRedir.aspx?ID=2016RG-284-143</Url>
      <Description>2016RG-284-143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BAEC8-535A-41AB-8731-6E2F5082B6E2}"/>
</file>

<file path=customXml/itemProps2.xml><?xml version="1.0" encoding="utf-8"?>
<ds:datastoreItem xmlns:ds="http://schemas.openxmlformats.org/officeDocument/2006/customXml" ds:itemID="{A95F6531-20EC-4589-8BB3-8355AA486368}"/>
</file>

<file path=customXml/itemProps3.xml><?xml version="1.0" encoding="utf-8"?>
<ds:datastoreItem xmlns:ds="http://schemas.openxmlformats.org/officeDocument/2006/customXml" ds:itemID="{64D6E373-B976-4880-A828-FF9737DB4080}"/>
</file>

<file path=customXml/itemProps4.xml><?xml version="1.0" encoding="utf-8"?>
<ds:datastoreItem xmlns:ds="http://schemas.openxmlformats.org/officeDocument/2006/customXml" ds:itemID="{54F55668-52B3-4EC8-A99F-A21C20931F22}"/>
</file>

<file path=customXml/itemProps5.xml><?xml version="1.0" encoding="utf-8"?>
<ds:datastoreItem xmlns:ds="http://schemas.openxmlformats.org/officeDocument/2006/customXml" ds:itemID="{E1348E1A-8E6E-403B-BFE7-B508425C3BC1}"/>
</file>

<file path=customXml/itemProps6.xml><?xml version="1.0" encoding="utf-8"?>
<ds:datastoreItem xmlns:ds="http://schemas.openxmlformats.org/officeDocument/2006/customXml" ds:itemID="{C1E8FB83-1481-43B5-BBD7-82DD21C4E137}"/>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6826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2016-10-10T00:37:00Z</dcterms:created>
  <dcterms:modified xsi:type="dcterms:W3CDTF">2016-10-10T00:37:00Z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221cd202-53df-4c5e-97f8-553d58a8e6d3</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{221cd202-53df-4c5e-97f8-553d58a8e6d3}</vt:lpwstr>
  </property>
  <property fmtid="{D5CDD505-2E9C-101B-9397-08002B2CF9AE}" pid="9" name="RecordPoint_ActiveItemWebId">
    <vt:lpwstr>{321685ce-0414-4cb5-ba5e-9e54c6ae1071}</vt:lpwstr>
  </property>
  <property fmtid="{D5CDD505-2E9C-101B-9397-08002B2CF9AE}" pid="10" name="RecordPoint_RecordNumberSubmitted">
    <vt:lpwstr>R0001119991</vt:lpwstr>
  </property>
  <property fmtid="{D5CDD505-2E9C-101B-9397-08002B2CF9AE}" pid="11" name="RecordPoint_SubmissionCompleted">
    <vt:lpwstr>2016-10-10T11:49:11.4517448+11:00</vt:lpwstr>
  </property>
</Properties>
</file>