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069F9" w14:textId="77777777" w:rsidR="00CF2056" w:rsidRDefault="00CF2056" w:rsidP="00ED5EFD">
      <w:pPr>
        <w:jc w:val="center"/>
      </w:pPr>
      <w:bookmarkStart w:id="0" w:name="_GoBack"/>
      <w:bookmarkEnd w:id="0"/>
    </w:p>
    <w:p w14:paraId="25AE47CE" w14:textId="77777777" w:rsidR="00CF2056" w:rsidRDefault="00CF2056" w:rsidP="00ED5EFD">
      <w:pPr>
        <w:jc w:val="center"/>
      </w:pPr>
    </w:p>
    <w:p w14:paraId="2A057537" w14:textId="77777777" w:rsidR="00CF2056" w:rsidRDefault="00CF2056" w:rsidP="00ED5EFD">
      <w:pPr>
        <w:jc w:val="center"/>
      </w:pPr>
    </w:p>
    <w:p w14:paraId="2E6E8E7B" w14:textId="77777777" w:rsidR="00CF2056" w:rsidRDefault="00CF2056" w:rsidP="00ED5EFD">
      <w:pPr>
        <w:jc w:val="center"/>
      </w:pPr>
    </w:p>
    <w:p w14:paraId="625CD3CE" w14:textId="77777777" w:rsidR="00CF2056" w:rsidRDefault="00CF2056" w:rsidP="00ED5EFD">
      <w:pPr>
        <w:jc w:val="center"/>
      </w:pPr>
    </w:p>
    <w:p w14:paraId="1E367ED9" w14:textId="77777777" w:rsidR="00CF2056" w:rsidRDefault="00CF2056" w:rsidP="00ED5EFD">
      <w:pPr>
        <w:jc w:val="center"/>
      </w:pPr>
    </w:p>
    <w:p w14:paraId="2BAD0BB9" w14:textId="77777777" w:rsidR="00CF2056" w:rsidRDefault="00CF2056" w:rsidP="00ED5EFD">
      <w:pPr>
        <w:jc w:val="center"/>
      </w:pPr>
    </w:p>
    <w:p w14:paraId="51ECB619" w14:textId="77777777" w:rsidR="00955AF6" w:rsidRDefault="00955AF6" w:rsidP="00ED5EFD">
      <w:pPr>
        <w:jc w:val="center"/>
      </w:pPr>
    </w:p>
    <w:p w14:paraId="0112CCA8" w14:textId="77777777" w:rsidR="00955AF6" w:rsidRDefault="00955AF6" w:rsidP="00ED5EFD">
      <w:pPr>
        <w:jc w:val="center"/>
      </w:pPr>
    </w:p>
    <w:p w14:paraId="6F5F53B9" w14:textId="666DAA53" w:rsidR="00CF2056" w:rsidRDefault="00ED5EFD" w:rsidP="00955AF6">
      <w:pPr>
        <w:pStyle w:val="ReferenceLine"/>
      </w:pPr>
      <w:r w:rsidRPr="00ED5EFD">
        <w:rPr>
          <w:noProof/>
          <w:szCs w:val="24"/>
          <w:lang w:val="en-AU" w:eastAsia="en-AU"/>
        </w:rPr>
        <w:drawing>
          <wp:anchor distT="0" distB="0" distL="114300" distR="114300" simplePos="0" relativeHeight="251659264" behindDoc="0" locked="0" layoutInCell="1" allowOverlap="1" wp14:anchorId="371BDA31" wp14:editId="428E588D">
            <wp:simplePos x="0" y="0"/>
            <wp:positionH relativeFrom="margin">
              <wp:align>center</wp:align>
            </wp:positionH>
            <wp:positionV relativeFrom="margin">
              <wp:align>top</wp:align>
            </wp:positionV>
            <wp:extent cx="2742565" cy="1778000"/>
            <wp:effectExtent l="0" t="0" r="0" b="0"/>
            <wp:wrapSquare wrapText="bothSides"/>
            <wp:docPr id="2" name="Picture 0" descr="fg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glogo (2).jpg"/>
                    <pic:cNvPicPr/>
                  </pic:nvPicPr>
                  <pic:blipFill>
                    <a:blip r:embed="rId13" cstate="print"/>
                    <a:stretch>
                      <a:fillRect/>
                    </a:stretch>
                  </pic:blipFill>
                  <pic:spPr>
                    <a:xfrm>
                      <a:off x="0" y="0"/>
                      <a:ext cx="2747462" cy="1781175"/>
                    </a:xfrm>
                    <a:prstGeom prst="rect">
                      <a:avLst/>
                    </a:prstGeom>
                    <a:ln>
                      <a:noFill/>
                    </a:ln>
                    <a:effectLst>
                      <a:softEdge rad="112500"/>
                    </a:effectLst>
                  </pic:spPr>
                </pic:pic>
              </a:graphicData>
            </a:graphic>
            <wp14:sizeRelH relativeFrom="margin">
              <wp14:pctWidth>0</wp14:pctWidth>
            </wp14:sizeRelH>
          </wp:anchor>
        </w:drawing>
      </w:r>
      <w:r w:rsidR="00CF2056">
        <w:t>Re:</w:t>
      </w:r>
      <w:r w:rsidR="00CF2056">
        <w:tab/>
      </w:r>
      <w:r w:rsidR="00CF2056" w:rsidRPr="00CF2056">
        <w:t xml:space="preserve"> Wine Equalisation Tax Rebate – Implementation Paper September 2016</w:t>
      </w:r>
    </w:p>
    <w:p w14:paraId="182C1117" w14:textId="77777777" w:rsidR="00CF2056" w:rsidRDefault="00CF2056" w:rsidP="00CF2056">
      <w:pPr>
        <w:rPr>
          <w:rFonts w:asciiTheme="majorHAnsi" w:hAnsiTheme="majorHAnsi" w:cs="Geneva CY"/>
          <w:sz w:val="20"/>
          <w:szCs w:val="20"/>
          <w:u w:val="single"/>
        </w:rPr>
      </w:pPr>
    </w:p>
    <w:p w14:paraId="006A5C78" w14:textId="77777777" w:rsidR="00955AF6" w:rsidRDefault="00955AF6" w:rsidP="00CF2056">
      <w:pPr>
        <w:rPr>
          <w:rFonts w:asciiTheme="majorHAnsi" w:hAnsiTheme="majorHAnsi" w:cs="Geneva CY"/>
          <w:sz w:val="20"/>
          <w:szCs w:val="20"/>
          <w:u w:val="single"/>
        </w:rPr>
      </w:pPr>
    </w:p>
    <w:p w14:paraId="6D985826" w14:textId="4793EDC5" w:rsidR="00CF2056" w:rsidRDefault="00CF2056" w:rsidP="00955AF6">
      <w:pPr>
        <w:pStyle w:val="BodyText"/>
      </w:pPr>
      <w:r>
        <w:t xml:space="preserve">It was my </w:t>
      </w:r>
      <w:proofErr w:type="spellStart"/>
      <w:r>
        <w:t>honour</w:t>
      </w:r>
      <w:proofErr w:type="spellEnd"/>
      <w:r>
        <w:t xml:space="preserve"> and privile</w:t>
      </w:r>
      <w:r w:rsidRPr="00CF2056">
        <w:t>ge to be a member of</w:t>
      </w:r>
      <w:r>
        <w:t xml:space="preserve"> The WET Rebate Consultative Group convened in </w:t>
      </w:r>
      <w:proofErr w:type="gramStart"/>
      <w:r>
        <w:t>Canberra  by</w:t>
      </w:r>
      <w:proofErr w:type="gramEnd"/>
      <w:r>
        <w:t xml:space="preserve"> the then Assistant Treasurer The Hon. Josh </w:t>
      </w:r>
      <w:proofErr w:type="spellStart"/>
      <w:r>
        <w:t>Frydenberg</w:t>
      </w:r>
      <w:proofErr w:type="spellEnd"/>
      <w:r>
        <w:t xml:space="preserve"> in September 2015. The group was – I thought – representative, intelligent and highly motivated to achieve a proper and fair result for the Wine Industry. At the same time there was a clear understanding of Government’s need to maximize revenue from the </w:t>
      </w:r>
      <w:proofErr w:type="gramStart"/>
      <w:r>
        <w:t>sector .</w:t>
      </w:r>
      <w:proofErr w:type="gramEnd"/>
    </w:p>
    <w:p w14:paraId="11157184" w14:textId="5582ED87" w:rsidR="00CF2056" w:rsidRDefault="00CF2056" w:rsidP="00955AF6">
      <w:pPr>
        <w:pStyle w:val="BodyText"/>
      </w:pPr>
      <w:r>
        <w:t xml:space="preserve">This group </w:t>
      </w:r>
      <w:proofErr w:type="gramStart"/>
      <w:r>
        <w:t>subsequently ,</w:t>
      </w:r>
      <w:proofErr w:type="gramEnd"/>
      <w:r>
        <w:t xml:space="preserve"> after a number of meetings, made recommendations to Treasury to address the problems in The WET Rebate. It appears that these recommendations were ignored without further consultation with the Group.</w:t>
      </w:r>
    </w:p>
    <w:p w14:paraId="5FF5030D" w14:textId="7E9F8C64" w:rsidR="00CF2056" w:rsidRDefault="00CF2056" w:rsidP="00955AF6">
      <w:pPr>
        <w:pStyle w:val="BodyText"/>
      </w:pPr>
      <w:r>
        <w:t>To this day there has been no explanation.</w:t>
      </w:r>
    </w:p>
    <w:p w14:paraId="1ADF2BC9" w14:textId="67475F03" w:rsidR="00CF2056" w:rsidRDefault="00CF2056" w:rsidP="00955AF6">
      <w:pPr>
        <w:pStyle w:val="BodyText"/>
      </w:pPr>
      <w:r>
        <w:t>The implementation paper issued by the Government in September mentions the recommendations but gives them no credence. Instead it relies upon unsubstantiated claims that a Rebate Cap reduction will result in less motivation for undeserved claims.</w:t>
      </w:r>
      <w:r w:rsidR="00D023A6">
        <w:t xml:space="preserve"> There is no evidence to support this view.</w:t>
      </w:r>
    </w:p>
    <w:p w14:paraId="2D6CDF97" w14:textId="12130810" w:rsidR="009230C4" w:rsidRDefault="00D023A6" w:rsidP="00955AF6">
      <w:pPr>
        <w:pStyle w:val="BodyText"/>
      </w:pPr>
      <w:r>
        <w:t xml:space="preserve">There </w:t>
      </w:r>
      <w:proofErr w:type="gramStart"/>
      <w:r>
        <w:t>is ,</w:t>
      </w:r>
      <w:proofErr w:type="gramEnd"/>
      <w:r>
        <w:t xml:space="preserve"> however, plenty of evidence to support the view that the cap reduction will be devastating for the local economy of regions like The Margaret River Wine Region. Hundreds of job losses will </w:t>
      </w:r>
      <w:proofErr w:type="gramStart"/>
      <w:r>
        <w:t>result .</w:t>
      </w:r>
      <w:proofErr w:type="gramEnd"/>
      <w:r>
        <w:t xml:space="preserve"> This </w:t>
      </w:r>
      <w:r w:rsidR="00955AF6">
        <w:t>negative e</w:t>
      </w:r>
      <w:r>
        <w:t>ffect will be felt through the entire community – including the tourism industry.</w:t>
      </w:r>
    </w:p>
    <w:p w14:paraId="7F2913B8" w14:textId="0FC349A3" w:rsidR="00955AF6" w:rsidRDefault="00955AF6" w:rsidP="00955AF6">
      <w:pPr>
        <w:pStyle w:val="BodyText"/>
      </w:pPr>
      <w:r>
        <w:t>If the Government is truly committed to “putting the wine industry in a stronger long-term position” then the following should be implemented.</w:t>
      </w:r>
    </w:p>
    <w:p w14:paraId="257347CA" w14:textId="77777777" w:rsidR="009230C4" w:rsidRDefault="009230C4" w:rsidP="00CF2056">
      <w:pPr>
        <w:rPr>
          <w:rFonts w:asciiTheme="majorHAnsi" w:hAnsiTheme="majorHAnsi" w:cs="Geneva CY"/>
          <w:sz w:val="20"/>
          <w:szCs w:val="20"/>
        </w:rPr>
      </w:pPr>
    </w:p>
    <w:p w14:paraId="6C5CBD1E" w14:textId="77777777" w:rsidR="004C4503" w:rsidRDefault="004C4503" w:rsidP="00CF2056">
      <w:pPr>
        <w:rPr>
          <w:rFonts w:asciiTheme="majorHAnsi" w:hAnsiTheme="majorHAnsi" w:cs="Geneva CY"/>
          <w:sz w:val="20"/>
          <w:szCs w:val="20"/>
        </w:rPr>
      </w:pPr>
    </w:p>
    <w:p w14:paraId="3CD0082F" w14:textId="77777777" w:rsidR="004C4503" w:rsidRDefault="004C4503" w:rsidP="00CF2056">
      <w:pPr>
        <w:rPr>
          <w:rFonts w:asciiTheme="majorHAnsi" w:hAnsiTheme="majorHAnsi" w:cs="Geneva CY"/>
          <w:sz w:val="20"/>
          <w:szCs w:val="20"/>
        </w:rPr>
      </w:pPr>
    </w:p>
    <w:p w14:paraId="13D6B64A" w14:textId="77777777" w:rsidR="004C4503" w:rsidRDefault="004C4503" w:rsidP="00CF2056">
      <w:pPr>
        <w:rPr>
          <w:rFonts w:asciiTheme="majorHAnsi" w:hAnsiTheme="majorHAnsi" w:cs="Geneva CY"/>
          <w:sz w:val="20"/>
          <w:szCs w:val="20"/>
        </w:rPr>
      </w:pPr>
    </w:p>
    <w:p w14:paraId="2F1BE5BD" w14:textId="77777777" w:rsidR="004C4503" w:rsidRDefault="004C4503" w:rsidP="00CF2056">
      <w:pPr>
        <w:rPr>
          <w:rFonts w:asciiTheme="majorHAnsi" w:hAnsiTheme="majorHAnsi" w:cs="Geneva CY"/>
          <w:sz w:val="20"/>
          <w:szCs w:val="20"/>
        </w:rPr>
      </w:pPr>
    </w:p>
    <w:p w14:paraId="0B6A147B" w14:textId="77777777" w:rsidR="00955AF6" w:rsidRDefault="00955AF6" w:rsidP="00CF2056">
      <w:pPr>
        <w:rPr>
          <w:rFonts w:asciiTheme="majorHAnsi" w:hAnsiTheme="majorHAnsi" w:cs="Geneva CY"/>
          <w:sz w:val="20"/>
          <w:szCs w:val="20"/>
        </w:rPr>
      </w:pPr>
    </w:p>
    <w:p w14:paraId="05ED3442" w14:textId="580253FC" w:rsidR="00955AF6" w:rsidRPr="004C4503" w:rsidRDefault="00955AF6" w:rsidP="004C4503">
      <w:pPr>
        <w:pStyle w:val="ListParagraph"/>
        <w:numPr>
          <w:ilvl w:val="0"/>
          <w:numId w:val="2"/>
        </w:numPr>
        <w:rPr>
          <w:rFonts w:asciiTheme="majorHAnsi" w:hAnsiTheme="majorHAnsi" w:cs="Geneva CY"/>
          <w:sz w:val="20"/>
          <w:szCs w:val="20"/>
        </w:rPr>
      </w:pPr>
      <w:proofErr w:type="gramStart"/>
      <w:r w:rsidRPr="00955AF6">
        <w:rPr>
          <w:rFonts w:asciiTheme="majorHAnsi" w:hAnsiTheme="majorHAnsi" w:cs="Geneva CY"/>
          <w:sz w:val="20"/>
          <w:szCs w:val="20"/>
        </w:rPr>
        <w:t>Eligibil</w:t>
      </w:r>
      <w:r w:rsidR="004C4503">
        <w:rPr>
          <w:rFonts w:asciiTheme="majorHAnsi" w:hAnsiTheme="majorHAnsi" w:cs="Geneva CY"/>
          <w:sz w:val="20"/>
          <w:szCs w:val="20"/>
        </w:rPr>
        <w:t>i</w:t>
      </w:r>
      <w:r w:rsidRPr="004C4503">
        <w:rPr>
          <w:rFonts w:asciiTheme="majorHAnsi" w:hAnsiTheme="majorHAnsi" w:cs="Geneva CY"/>
          <w:sz w:val="20"/>
          <w:szCs w:val="20"/>
        </w:rPr>
        <w:t>ty  rules</w:t>
      </w:r>
      <w:proofErr w:type="gramEnd"/>
      <w:r w:rsidRPr="004C4503">
        <w:rPr>
          <w:rFonts w:asciiTheme="majorHAnsi" w:hAnsiTheme="majorHAnsi" w:cs="Geneva CY"/>
          <w:sz w:val="20"/>
          <w:szCs w:val="20"/>
        </w:rPr>
        <w:t xml:space="preserve"> should be tightened, in a way easily enforceable by the ATO, so that the rebate may only be claimed by those producers for whom it was originally intended.</w:t>
      </w:r>
    </w:p>
    <w:p w14:paraId="7FA05E97" w14:textId="05E14BE9" w:rsidR="00955AF6" w:rsidRDefault="00955AF6" w:rsidP="00955AF6">
      <w:pPr>
        <w:pStyle w:val="ListParagraph"/>
        <w:numPr>
          <w:ilvl w:val="0"/>
          <w:numId w:val="2"/>
        </w:numPr>
        <w:rPr>
          <w:rFonts w:asciiTheme="majorHAnsi" w:hAnsiTheme="majorHAnsi" w:cs="Geneva CY"/>
          <w:sz w:val="20"/>
          <w:szCs w:val="20"/>
        </w:rPr>
      </w:pPr>
      <w:r>
        <w:rPr>
          <w:rFonts w:asciiTheme="majorHAnsi" w:hAnsiTheme="majorHAnsi" w:cs="Geneva CY"/>
          <w:sz w:val="20"/>
          <w:szCs w:val="20"/>
        </w:rPr>
        <w:t xml:space="preserve"> These rules should be introduced on July </w:t>
      </w:r>
      <w:proofErr w:type="gramStart"/>
      <w:r>
        <w:rPr>
          <w:rFonts w:asciiTheme="majorHAnsi" w:hAnsiTheme="majorHAnsi" w:cs="Geneva CY"/>
          <w:sz w:val="20"/>
          <w:szCs w:val="20"/>
        </w:rPr>
        <w:t>1 ,</w:t>
      </w:r>
      <w:proofErr w:type="gramEnd"/>
      <w:r>
        <w:rPr>
          <w:rFonts w:asciiTheme="majorHAnsi" w:hAnsiTheme="majorHAnsi" w:cs="Geneva CY"/>
          <w:sz w:val="20"/>
          <w:szCs w:val="20"/>
        </w:rPr>
        <w:t xml:space="preserve"> 2017.</w:t>
      </w:r>
    </w:p>
    <w:p w14:paraId="5817032A" w14:textId="74BB786E" w:rsidR="00955AF6" w:rsidRDefault="00955AF6" w:rsidP="00955AF6">
      <w:pPr>
        <w:pStyle w:val="ListParagraph"/>
        <w:numPr>
          <w:ilvl w:val="0"/>
          <w:numId w:val="2"/>
        </w:numPr>
        <w:rPr>
          <w:rFonts w:asciiTheme="majorHAnsi" w:hAnsiTheme="majorHAnsi" w:cs="Geneva CY"/>
          <w:sz w:val="20"/>
          <w:szCs w:val="20"/>
        </w:rPr>
      </w:pPr>
      <w:r>
        <w:rPr>
          <w:rFonts w:asciiTheme="majorHAnsi" w:hAnsiTheme="majorHAnsi" w:cs="Geneva CY"/>
          <w:sz w:val="20"/>
          <w:szCs w:val="20"/>
        </w:rPr>
        <w:t>The WET Rebate cap should be left unchanged at $500,000.</w:t>
      </w:r>
    </w:p>
    <w:p w14:paraId="2F29E178" w14:textId="421C93E5" w:rsidR="00955AF6" w:rsidRDefault="00955AF6" w:rsidP="00955AF6">
      <w:pPr>
        <w:pStyle w:val="ListParagraph"/>
        <w:numPr>
          <w:ilvl w:val="0"/>
          <w:numId w:val="2"/>
        </w:numPr>
        <w:rPr>
          <w:rFonts w:asciiTheme="majorHAnsi" w:hAnsiTheme="majorHAnsi" w:cs="Geneva CY"/>
          <w:sz w:val="20"/>
          <w:szCs w:val="20"/>
        </w:rPr>
      </w:pPr>
      <w:r>
        <w:rPr>
          <w:rFonts w:asciiTheme="majorHAnsi" w:hAnsiTheme="majorHAnsi" w:cs="Geneva CY"/>
          <w:sz w:val="20"/>
          <w:szCs w:val="20"/>
        </w:rPr>
        <w:t xml:space="preserve">The cap should be reviewed on July 1, 2019 to give time for the revenue increase </w:t>
      </w:r>
      <w:r w:rsidR="004C4503">
        <w:rPr>
          <w:rFonts w:asciiTheme="majorHAnsi" w:hAnsiTheme="majorHAnsi" w:cs="Geneva CY"/>
          <w:sz w:val="20"/>
          <w:szCs w:val="20"/>
        </w:rPr>
        <w:t>achieved by tighter eligibility</w:t>
      </w:r>
      <w:r w:rsidR="0048024D">
        <w:rPr>
          <w:rFonts w:asciiTheme="majorHAnsi" w:hAnsiTheme="majorHAnsi" w:cs="Geneva CY"/>
          <w:sz w:val="20"/>
          <w:szCs w:val="20"/>
        </w:rPr>
        <w:t xml:space="preserve"> to be measured</w:t>
      </w:r>
      <w:r w:rsidR="004C4503">
        <w:rPr>
          <w:rFonts w:asciiTheme="majorHAnsi" w:hAnsiTheme="majorHAnsi" w:cs="Geneva CY"/>
          <w:sz w:val="20"/>
          <w:szCs w:val="20"/>
        </w:rPr>
        <w:t>.</w:t>
      </w:r>
      <w:r>
        <w:rPr>
          <w:rFonts w:asciiTheme="majorHAnsi" w:hAnsiTheme="majorHAnsi" w:cs="Geneva CY"/>
          <w:sz w:val="20"/>
          <w:szCs w:val="20"/>
        </w:rPr>
        <w:t xml:space="preserve"> </w:t>
      </w:r>
    </w:p>
    <w:p w14:paraId="582A501A" w14:textId="5E22F201" w:rsidR="004C4503" w:rsidRPr="00955AF6" w:rsidRDefault="004C4503" w:rsidP="00955AF6">
      <w:pPr>
        <w:pStyle w:val="ListParagraph"/>
        <w:numPr>
          <w:ilvl w:val="0"/>
          <w:numId w:val="2"/>
        </w:numPr>
        <w:rPr>
          <w:rFonts w:asciiTheme="majorHAnsi" w:hAnsiTheme="majorHAnsi" w:cs="Geneva CY"/>
          <w:sz w:val="20"/>
          <w:szCs w:val="20"/>
        </w:rPr>
      </w:pPr>
      <w:r>
        <w:rPr>
          <w:rFonts w:asciiTheme="majorHAnsi" w:hAnsiTheme="majorHAnsi" w:cs="Geneva CY"/>
          <w:sz w:val="20"/>
          <w:szCs w:val="20"/>
        </w:rPr>
        <w:t>The $50 million to AGWA should be scrapped and the funds redirected to Export Development Grants. This to be dependent upon achieving revenue targets by July 1, 2019.</w:t>
      </w:r>
    </w:p>
    <w:p w14:paraId="4659BD21" w14:textId="77777777" w:rsidR="00955AF6" w:rsidRDefault="00955AF6" w:rsidP="00CF2056">
      <w:pPr>
        <w:rPr>
          <w:rFonts w:asciiTheme="majorHAnsi" w:hAnsiTheme="majorHAnsi" w:cs="Geneva CY"/>
          <w:sz w:val="20"/>
          <w:szCs w:val="20"/>
        </w:rPr>
      </w:pPr>
    </w:p>
    <w:p w14:paraId="5D629387" w14:textId="77777777" w:rsidR="0048024D" w:rsidRDefault="0048024D" w:rsidP="00CF2056">
      <w:pPr>
        <w:rPr>
          <w:rFonts w:asciiTheme="majorHAnsi" w:hAnsiTheme="majorHAnsi" w:cs="Geneva CY"/>
          <w:sz w:val="20"/>
          <w:szCs w:val="20"/>
        </w:rPr>
      </w:pPr>
    </w:p>
    <w:p w14:paraId="29C28BFE" w14:textId="77777777" w:rsidR="0048024D" w:rsidRDefault="0048024D" w:rsidP="00CF2056">
      <w:pPr>
        <w:rPr>
          <w:rFonts w:asciiTheme="majorHAnsi" w:hAnsiTheme="majorHAnsi" w:cs="Geneva CY"/>
          <w:sz w:val="20"/>
          <w:szCs w:val="20"/>
        </w:rPr>
      </w:pPr>
    </w:p>
    <w:p w14:paraId="278162F8" w14:textId="77777777" w:rsidR="0048024D" w:rsidRDefault="0048024D" w:rsidP="00CF2056">
      <w:pPr>
        <w:rPr>
          <w:rFonts w:asciiTheme="majorHAnsi" w:hAnsiTheme="majorHAnsi" w:cs="Geneva CY"/>
          <w:sz w:val="20"/>
          <w:szCs w:val="20"/>
        </w:rPr>
      </w:pPr>
    </w:p>
    <w:p w14:paraId="29BE99D0" w14:textId="2648408B" w:rsidR="0048024D" w:rsidRDefault="0048024D" w:rsidP="00CF2056">
      <w:pPr>
        <w:rPr>
          <w:rFonts w:asciiTheme="majorHAnsi" w:hAnsiTheme="majorHAnsi" w:cs="Geneva CY"/>
          <w:sz w:val="20"/>
          <w:szCs w:val="20"/>
        </w:rPr>
      </w:pPr>
      <w:r>
        <w:rPr>
          <w:rFonts w:asciiTheme="majorHAnsi" w:hAnsiTheme="majorHAnsi" w:cs="Geneva CY"/>
          <w:sz w:val="20"/>
          <w:szCs w:val="20"/>
        </w:rPr>
        <w:t>Sincerely,</w:t>
      </w:r>
    </w:p>
    <w:p w14:paraId="17502287" w14:textId="0885BBBE" w:rsidR="0048024D" w:rsidRDefault="0048024D" w:rsidP="00CF2056">
      <w:pPr>
        <w:rPr>
          <w:rFonts w:asciiTheme="majorHAnsi" w:hAnsiTheme="majorHAnsi" w:cs="Geneva CY"/>
          <w:sz w:val="20"/>
          <w:szCs w:val="20"/>
        </w:rPr>
      </w:pPr>
      <w:r>
        <w:rPr>
          <w:rFonts w:asciiTheme="majorHAnsi" w:hAnsiTheme="majorHAnsi" w:cs="Geneva CY"/>
          <w:noProof/>
          <w:sz w:val="20"/>
          <w:szCs w:val="20"/>
          <w:lang w:val="en-AU" w:eastAsia="en-AU"/>
        </w:rPr>
        <w:drawing>
          <wp:inline distT="0" distB="0" distL="0" distR="0" wp14:anchorId="721AADC6" wp14:editId="5373475E">
            <wp:extent cx="1427432" cy="921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7612" cy="921528"/>
                    </a:xfrm>
                    <a:prstGeom prst="rect">
                      <a:avLst/>
                    </a:prstGeom>
                    <a:noFill/>
                    <a:ln>
                      <a:noFill/>
                    </a:ln>
                  </pic:spPr>
                </pic:pic>
              </a:graphicData>
            </a:graphic>
          </wp:inline>
        </w:drawing>
      </w:r>
    </w:p>
    <w:p w14:paraId="78494F69" w14:textId="3771BC64" w:rsidR="0048024D" w:rsidRDefault="0048024D" w:rsidP="00CF2056">
      <w:pPr>
        <w:rPr>
          <w:rFonts w:asciiTheme="majorHAnsi" w:hAnsiTheme="majorHAnsi" w:cs="Geneva CY"/>
          <w:sz w:val="20"/>
          <w:szCs w:val="20"/>
        </w:rPr>
      </w:pPr>
      <w:r>
        <w:rPr>
          <w:rFonts w:asciiTheme="majorHAnsi" w:hAnsiTheme="majorHAnsi" w:cs="Geneva CY"/>
          <w:sz w:val="20"/>
          <w:szCs w:val="20"/>
        </w:rPr>
        <w:t>Nigel Gallop</w:t>
      </w:r>
    </w:p>
    <w:p w14:paraId="2F785C17" w14:textId="21552099" w:rsidR="0048024D" w:rsidRDefault="0048024D" w:rsidP="00CF2056">
      <w:pPr>
        <w:rPr>
          <w:rFonts w:asciiTheme="majorHAnsi" w:hAnsiTheme="majorHAnsi" w:cs="Geneva CY"/>
          <w:sz w:val="20"/>
          <w:szCs w:val="20"/>
        </w:rPr>
      </w:pPr>
      <w:r>
        <w:rPr>
          <w:rFonts w:asciiTheme="majorHAnsi" w:hAnsiTheme="majorHAnsi" w:cs="Geneva CY"/>
          <w:sz w:val="20"/>
          <w:szCs w:val="20"/>
        </w:rPr>
        <w:t>Proprietor</w:t>
      </w:r>
    </w:p>
    <w:p w14:paraId="0D800C4B" w14:textId="3551CD75" w:rsidR="0048024D" w:rsidRDefault="00F5228C" w:rsidP="00CF2056">
      <w:pPr>
        <w:rPr>
          <w:rFonts w:asciiTheme="majorHAnsi" w:hAnsiTheme="majorHAnsi" w:cs="Geneva CY"/>
          <w:sz w:val="20"/>
          <w:szCs w:val="20"/>
        </w:rPr>
      </w:pPr>
      <w:hyperlink r:id="rId15" w:history="1">
        <w:r w:rsidR="0048024D" w:rsidRPr="00613C25">
          <w:rPr>
            <w:rStyle w:val="Hyperlink"/>
            <w:rFonts w:asciiTheme="majorHAnsi" w:hAnsiTheme="majorHAnsi" w:cs="Geneva CY"/>
            <w:sz w:val="20"/>
            <w:szCs w:val="20"/>
          </w:rPr>
          <w:t>nigel@fgewines.com.au</w:t>
        </w:r>
      </w:hyperlink>
      <w:r w:rsidR="0048024D">
        <w:rPr>
          <w:rFonts w:asciiTheme="majorHAnsi" w:hAnsiTheme="majorHAnsi" w:cs="Geneva CY"/>
          <w:sz w:val="20"/>
          <w:szCs w:val="20"/>
        </w:rPr>
        <w:tab/>
        <w:t>0407 088 438</w:t>
      </w:r>
    </w:p>
    <w:p w14:paraId="160B6BF2" w14:textId="096D0D47" w:rsidR="00955AF6" w:rsidRPr="00955AF6" w:rsidRDefault="00955AF6" w:rsidP="00955AF6">
      <w:pPr>
        <w:rPr>
          <w:rFonts w:asciiTheme="majorHAnsi" w:hAnsiTheme="majorHAnsi" w:cs="Geneva CY"/>
          <w:sz w:val="20"/>
          <w:szCs w:val="20"/>
        </w:rPr>
      </w:pPr>
      <w:r>
        <w:rPr>
          <w:rFonts w:asciiTheme="majorHAnsi" w:hAnsiTheme="majorHAnsi" w:cs="Geneva CY"/>
          <w:sz w:val="20"/>
          <w:szCs w:val="20"/>
        </w:rPr>
        <w:t xml:space="preserve"> </w:t>
      </w:r>
    </w:p>
    <w:sectPr w:rsidR="00955AF6" w:rsidRPr="00955AF6" w:rsidSect="00CF2056">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40CB0" w14:textId="77777777" w:rsidR="004C4503" w:rsidRDefault="004C4503">
      <w:pPr>
        <w:spacing w:after="0" w:line="240" w:lineRule="auto"/>
      </w:pPr>
      <w:r>
        <w:separator/>
      </w:r>
    </w:p>
  </w:endnote>
  <w:endnote w:type="continuationSeparator" w:id="0">
    <w:p w14:paraId="2FBEF9AD" w14:textId="77777777" w:rsidR="004C4503" w:rsidRDefault="004C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eneva CY">
    <w:charset w:val="59"/>
    <w:family w:val="auto"/>
    <w:pitch w:val="variable"/>
    <w:sig w:usb0="00000203" w:usb1="00000000" w:usb2="00000000" w:usb3="00000000" w:csb0="000001C6"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6BAC" w14:textId="77777777" w:rsidR="004C4503" w:rsidRDefault="004C4503" w:rsidP="00ED5EFD">
    <w:pPr>
      <w:jc w:val="center"/>
      <w:rPr>
        <w:rFonts w:ascii="Cambria" w:hAnsi="Cambria" w:cs="Arial"/>
        <w:sz w:val="16"/>
        <w:szCs w:val="16"/>
      </w:rPr>
    </w:pPr>
    <w:r w:rsidRPr="00395B29">
      <w:rPr>
        <w:rFonts w:ascii="Cambria" w:hAnsi="Cambria" w:cs="Arial"/>
        <w:sz w:val="16"/>
        <w:szCs w:val="16"/>
      </w:rPr>
      <w:t>547 Metricup Road, Wilyabrup, Western Australia 6280. T +618 9755 7553 F +618 9755 7443</w:t>
    </w:r>
  </w:p>
  <w:p w14:paraId="5FF19C78" w14:textId="77777777" w:rsidR="004C4503" w:rsidRPr="00395B29" w:rsidRDefault="004C4503" w:rsidP="00ED5EFD">
    <w:pPr>
      <w:jc w:val="center"/>
      <w:rPr>
        <w:rFonts w:ascii="Cambria" w:hAnsi="Cambria" w:cs="Arial"/>
        <w:sz w:val="16"/>
        <w:szCs w:val="16"/>
      </w:rPr>
    </w:pPr>
    <w:r w:rsidRPr="00ED5EFD">
      <w:rPr>
        <w:rFonts w:ascii="Cambria" w:hAnsi="Cambria" w:cs="Arial"/>
        <w:sz w:val="16"/>
        <w:szCs w:val="16"/>
      </w:rPr>
      <w:t>www.frasergallopestate.com.au</w:t>
    </w:r>
    <w:r>
      <w:rPr>
        <w:rFonts w:ascii="Cambria" w:hAnsi="Cambria" w:cs="Arial"/>
        <w:sz w:val="16"/>
        <w:szCs w:val="16"/>
      </w:rPr>
      <w:t xml:space="preserve"> -</w:t>
    </w:r>
    <w:r w:rsidRPr="00395B29">
      <w:rPr>
        <w:rFonts w:ascii="Cambria" w:hAnsi="Cambria" w:cs="Arial"/>
        <w:sz w:val="16"/>
        <w:szCs w:val="16"/>
      </w:rPr>
      <w:t xml:space="preserve"> </w:t>
    </w:r>
    <w:hyperlink r:id="rId1" w:history="1">
      <w:r w:rsidRPr="00395B29">
        <w:rPr>
          <w:rStyle w:val="Hyperlink"/>
          <w:rFonts w:ascii="Cambria" w:hAnsi="Cambria" w:cs="Arial"/>
          <w:sz w:val="16"/>
          <w:szCs w:val="16"/>
        </w:rPr>
        <w:t>info@fgewines.com.au</w:t>
      </w:r>
    </w:hyperlink>
  </w:p>
  <w:p w14:paraId="530C9284" w14:textId="77777777" w:rsidR="004C4503" w:rsidRPr="00ED5EFD" w:rsidRDefault="004C4503" w:rsidP="00ED5EFD">
    <w:pPr>
      <w:jc w:val="center"/>
      <w:rPr>
        <w:rFonts w:ascii="Cambria" w:hAnsi="Cambria" w:cs="Arial"/>
        <w:sz w:val="16"/>
        <w:szCs w:val="16"/>
      </w:rPr>
    </w:pPr>
    <w:r>
      <w:rPr>
        <w:rFonts w:ascii="Cambria" w:hAnsi="Cambria" w:cs="Arial"/>
        <w:sz w:val="16"/>
        <w:szCs w:val="16"/>
      </w:rPr>
      <w:t>ABN 49</w:t>
    </w:r>
    <w:r w:rsidRPr="00395B29">
      <w:rPr>
        <w:rFonts w:ascii="Cambria" w:hAnsi="Cambria" w:cs="Arial"/>
        <w:sz w:val="16"/>
        <w:szCs w:val="16"/>
      </w:rPr>
      <w:t xml:space="preserve"> 074 285 528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EF63" w14:textId="77777777" w:rsidR="004C4503" w:rsidRDefault="004C4503">
      <w:pPr>
        <w:spacing w:after="0" w:line="240" w:lineRule="auto"/>
      </w:pPr>
      <w:r>
        <w:separator/>
      </w:r>
    </w:p>
  </w:footnote>
  <w:footnote w:type="continuationSeparator" w:id="0">
    <w:p w14:paraId="48DAEFCB" w14:textId="77777777" w:rsidR="004C4503" w:rsidRDefault="004C4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41B"/>
    <w:multiLevelType w:val="hybridMultilevel"/>
    <w:tmpl w:val="4562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D137A"/>
    <w:multiLevelType w:val="hybridMultilevel"/>
    <w:tmpl w:val="C278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FD"/>
    <w:rsid w:val="0048024D"/>
    <w:rsid w:val="004C4503"/>
    <w:rsid w:val="008E0CE9"/>
    <w:rsid w:val="009230C4"/>
    <w:rsid w:val="00955AF6"/>
    <w:rsid w:val="00A2413E"/>
    <w:rsid w:val="00A63CF2"/>
    <w:rsid w:val="00CF2056"/>
    <w:rsid w:val="00D023A6"/>
    <w:rsid w:val="00ED5EFD"/>
    <w:rsid w:val="00F5228C"/>
    <w:rsid w:val="00FA4E6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D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yperlink" w:uiPriority="99"/>
  </w:latentStyles>
  <w:style w:type="paragraph" w:default="1" w:styleId="Normal">
    <w:name w:val="Normal"/>
    <w:qFormat/>
    <w:rsid w:val="00ED5E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EFD"/>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ED5EFD"/>
  </w:style>
  <w:style w:type="paragraph" w:styleId="Footer">
    <w:name w:val="footer"/>
    <w:basedOn w:val="Normal"/>
    <w:link w:val="FooterChar"/>
    <w:uiPriority w:val="99"/>
    <w:semiHidden/>
    <w:unhideWhenUsed/>
    <w:rsid w:val="00ED5EFD"/>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semiHidden/>
    <w:rsid w:val="00ED5EFD"/>
  </w:style>
  <w:style w:type="character" w:styleId="Hyperlink">
    <w:name w:val="Hyperlink"/>
    <w:basedOn w:val="DefaultParagraphFont"/>
    <w:uiPriority w:val="99"/>
    <w:unhideWhenUsed/>
    <w:rsid w:val="00ED5EFD"/>
    <w:rPr>
      <w:color w:val="0000FF" w:themeColor="hyperlink"/>
      <w:u w:val="single"/>
    </w:rPr>
  </w:style>
  <w:style w:type="paragraph" w:styleId="BodyText">
    <w:name w:val="Body Text"/>
    <w:basedOn w:val="Normal"/>
    <w:link w:val="BodyTextChar"/>
    <w:rsid w:val="00955AF6"/>
    <w:pPr>
      <w:spacing w:after="120"/>
    </w:pPr>
  </w:style>
  <w:style w:type="character" w:customStyle="1" w:styleId="BodyTextChar">
    <w:name w:val="Body Text Char"/>
    <w:basedOn w:val="DefaultParagraphFont"/>
    <w:link w:val="BodyText"/>
    <w:rsid w:val="00955AF6"/>
    <w:rPr>
      <w:sz w:val="22"/>
      <w:szCs w:val="22"/>
    </w:rPr>
  </w:style>
  <w:style w:type="paragraph" w:customStyle="1" w:styleId="ReferenceLine">
    <w:name w:val="Reference Line"/>
    <w:basedOn w:val="BodyText"/>
    <w:rsid w:val="00955AF6"/>
  </w:style>
  <w:style w:type="paragraph" w:styleId="ListParagraph">
    <w:name w:val="List Paragraph"/>
    <w:basedOn w:val="Normal"/>
    <w:rsid w:val="00955AF6"/>
    <w:pPr>
      <w:ind w:left="720"/>
      <w:contextualSpacing/>
    </w:pPr>
  </w:style>
  <w:style w:type="paragraph" w:styleId="BalloonText">
    <w:name w:val="Balloon Text"/>
    <w:basedOn w:val="Normal"/>
    <w:link w:val="BalloonTextChar"/>
    <w:rsid w:val="004802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48024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yperlink" w:uiPriority="99"/>
  </w:latentStyles>
  <w:style w:type="paragraph" w:default="1" w:styleId="Normal">
    <w:name w:val="Normal"/>
    <w:qFormat/>
    <w:rsid w:val="00ED5E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EFD"/>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ED5EFD"/>
  </w:style>
  <w:style w:type="paragraph" w:styleId="Footer">
    <w:name w:val="footer"/>
    <w:basedOn w:val="Normal"/>
    <w:link w:val="FooterChar"/>
    <w:uiPriority w:val="99"/>
    <w:semiHidden/>
    <w:unhideWhenUsed/>
    <w:rsid w:val="00ED5EFD"/>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semiHidden/>
    <w:rsid w:val="00ED5EFD"/>
  </w:style>
  <w:style w:type="character" w:styleId="Hyperlink">
    <w:name w:val="Hyperlink"/>
    <w:basedOn w:val="DefaultParagraphFont"/>
    <w:uiPriority w:val="99"/>
    <w:unhideWhenUsed/>
    <w:rsid w:val="00ED5EFD"/>
    <w:rPr>
      <w:color w:val="0000FF" w:themeColor="hyperlink"/>
      <w:u w:val="single"/>
    </w:rPr>
  </w:style>
  <w:style w:type="paragraph" w:styleId="BodyText">
    <w:name w:val="Body Text"/>
    <w:basedOn w:val="Normal"/>
    <w:link w:val="BodyTextChar"/>
    <w:rsid w:val="00955AF6"/>
    <w:pPr>
      <w:spacing w:after="120"/>
    </w:pPr>
  </w:style>
  <w:style w:type="character" w:customStyle="1" w:styleId="BodyTextChar">
    <w:name w:val="Body Text Char"/>
    <w:basedOn w:val="DefaultParagraphFont"/>
    <w:link w:val="BodyText"/>
    <w:rsid w:val="00955AF6"/>
    <w:rPr>
      <w:sz w:val="22"/>
      <w:szCs w:val="22"/>
    </w:rPr>
  </w:style>
  <w:style w:type="paragraph" w:customStyle="1" w:styleId="ReferenceLine">
    <w:name w:val="Reference Line"/>
    <w:basedOn w:val="BodyText"/>
    <w:rsid w:val="00955AF6"/>
  </w:style>
  <w:style w:type="paragraph" w:styleId="ListParagraph">
    <w:name w:val="List Paragraph"/>
    <w:basedOn w:val="Normal"/>
    <w:rsid w:val="00955AF6"/>
    <w:pPr>
      <w:ind w:left="720"/>
      <w:contextualSpacing/>
    </w:pPr>
  </w:style>
  <w:style w:type="paragraph" w:styleId="BalloonText">
    <w:name w:val="Balloon Text"/>
    <w:basedOn w:val="Normal"/>
    <w:link w:val="BalloonTextChar"/>
    <w:rsid w:val="004802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4802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igel@fgewines.com.a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fgewin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2016RG-284-183</_dlc_DocId>
    <_dlc_DocIdUrl xmlns="9f7bc583-7cbe-45b9-a2bd-8bbb6543b37e">
      <Url>http://tweb/sites/rg/iitd/alcoh/_layouts/15/DocIdRedir.aspx?ID=2016RG-284-183</Url>
      <Description>2016RG-284-183</Description>
    </_dlc_DocIdUrl>
  </documentManagement>
</p:properties>
</file>

<file path=customXml/itemProps1.xml><?xml version="1.0" encoding="utf-8"?>
<ds:datastoreItem xmlns:ds="http://schemas.openxmlformats.org/officeDocument/2006/customXml" ds:itemID="{62141D57-67F2-4731-983A-5E77DA9036CB}"/>
</file>

<file path=customXml/itemProps2.xml><?xml version="1.0" encoding="utf-8"?>
<ds:datastoreItem xmlns:ds="http://schemas.openxmlformats.org/officeDocument/2006/customXml" ds:itemID="{EEFB6E39-FD42-41B0-A990-CE428CAAF997}"/>
</file>

<file path=customXml/itemProps3.xml><?xml version="1.0" encoding="utf-8"?>
<ds:datastoreItem xmlns:ds="http://schemas.openxmlformats.org/officeDocument/2006/customXml" ds:itemID="{697A47C3-B732-4959-9557-BB103FE39F6B}"/>
</file>

<file path=customXml/itemProps4.xml><?xml version="1.0" encoding="utf-8"?>
<ds:datastoreItem xmlns:ds="http://schemas.openxmlformats.org/officeDocument/2006/customXml" ds:itemID="{51A3AE02-9EC3-43BF-9221-8005CF6F1184}"/>
</file>

<file path=customXml/itemProps5.xml><?xml version="1.0" encoding="utf-8"?>
<ds:datastoreItem xmlns:ds="http://schemas.openxmlformats.org/officeDocument/2006/customXml" ds:itemID="{9C413A77-62D2-404C-9C4B-E54C97BC9065}"/>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Fraser Gallop Estate</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Gallop</dc:creator>
  <cp:lastModifiedBy>O'Rourke, L-J</cp:lastModifiedBy>
  <cp:revision>2</cp:revision>
  <dcterms:created xsi:type="dcterms:W3CDTF">2016-10-10T04:03:00Z</dcterms:created>
  <dcterms:modified xsi:type="dcterms:W3CDTF">2016-10-10T04:03:00Z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cac92cc2-28de-4ed2-877d-d6b512b2ee15</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{cac92cc2-28de-4ed2-877d-d6b512b2ee15}</vt:lpwstr>
  </property>
  <property fmtid="{D5CDD505-2E9C-101B-9397-08002B2CF9AE}" pid="9" name="RecordPoint_ActiveItemWebId">
    <vt:lpwstr>{321685ce-0414-4cb5-ba5e-9e54c6ae1071}</vt:lpwstr>
  </property>
  <property fmtid="{D5CDD505-2E9C-101B-9397-08002B2CF9AE}" pid="10" name="RecordPoint_RecordNumberSubmitted">
    <vt:lpwstr>R0001120794</vt:lpwstr>
  </property>
  <property fmtid="{D5CDD505-2E9C-101B-9397-08002B2CF9AE}" pid="11" name="RecordPoint_SubmissionCompleted">
    <vt:lpwstr>2016-10-10T15:12:58.4888366+11:00</vt:lpwstr>
  </property>
</Properties>
</file>