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9C3C9" w14:textId="77777777" w:rsidR="00B9430C" w:rsidRDefault="00B9430C" w:rsidP="00B676BE">
      <w:pPr>
        <w:pStyle w:val="Baseparagraphcentred"/>
      </w:pPr>
      <w:bookmarkStart w:id="0" w:name="_GoBack"/>
      <w:bookmarkEnd w:id="0"/>
      <w:r>
        <w:t>2013-2014-2015</w:t>
      </w:r>
    </w:p>
    <w:p w14:paraId="6768CA63" w14:textId="77777777" w:rsidR="00B9430C" w:rsidRDefault="00B9430C" w:rsidP="00B676BE">
      <w:pPr>
        <w:pStyle w:val="Baseparagraphcentred"/>
      </w:pPr>
    </w:p>
    <w:p w14:paraId="3A292609" w14:textId="77777777" w:rsidR="00B9430C" w:rsidRDefault="00B9430C" w:rsidP="00B676BE">
      <w:pPr>
        <w:pStyle w:val="Baseparagraphcentred"/>
      </w:pPr>
      <w:r>
        <w:t>THE PARLIAMENT OF THE COMMONWEALTH OF AUSTRALIA</w:t>
      </w:r>
    </w:p>
    <w:p w14:paraId="57A4FA97" w14:textId="77777777" w:rsidR="00B9430C" w:rsidRDefault="00B9430C" w:rsidP="00B676BE">
      <w:pPr>
        <w:pStyle w:val="Baseparagraphcentred"/>
      </w:pPr>
    </w:p>
    <w:p w14:paraId="6F2E4C18" w14:textId="77777777" w:rsidR="00B9430C" w:rsidRDefault="00B9430C" w:rsidP="00B676BE">
      <w:pPr>
        <w:pStyle w:val="Baseparagraphcentred"/>
      </w:pPr>
    </w:p>
    <w:p w14:paraId="5E2A1B5E" w14:textId="77777777" w:rsidR="00B9430C" w:rsidRDefault="00B9430C" w:rsidP="00B676BE">
      <w:pPr>
        <w:pStyle w:val="Baseparagraphcentred"/>
      </w:pPr>
    </w:p>
    <w:p w14:paraId="1068DF82" w14:textId="77777777" w:rsidR="00B9430C" w:rsidRDefault="00B9430C" w:rsidP="00B676BE">
      <w:pPr>
        <w:pStyle w:val="Baseparagraphcentred"/>
      </w:pPr>
      <w:r>
        <w:t>HOUSE OF REPRESENTATIVES</w:t>
      </w:r>
    </w:p>
    <w:p w14:paraId="22534975" w14:textId="77777777" w:rsidR="00B9430C" w:rsidRDefault="00B9430C" w:rsidP="00B676BE">
      <w:pPr>
        <w:pStyle w:val="Baseparagraphcentred"/>
      </w:pPr>
    </w:p>
    <w:p w14:paraId="7035CF10" w14:textId="77777777" w:rsidR="00B9430C" w:rsidRDefault="00B9430C" w:rsidP="00B676BE">
      <w:pPr>
        <w:pStyle w:val="Baseparagraphcentred"/>
      </w:pPr>
    </w:p>
    <w:p w14:paraId="5B55968A" w14:textId="77777777" w:rsidR="00B9430C" w:rsidRDefault="00B9430C" w:rsidP="00B676BE">
      <w:pPr>
        <w:pStyle w:val="Baseparagraphcentred"/>
      </w:pPr>
    </w:p>
    <w:p w14:paraId="7D7D2464" w14:textId="77777777" w:rsidR="00B9430C" w:rsidRDefault="00B9430C" w:rsidP="00B676BE">
      <w:pPr>
        <w:pStyle w:val="BillName"/>
      </w:pPr>
      <w:r>
        <w:t>Corporations Amendment (Crowd-Sourced funding) bill 2015</w:t>
      </w:r>
    </w:p>
    <w:p w14:paraId="44E9FE9F" w14:textId="77777777" w:rsidR="00B9430C" w:rsidRDefault="00B9430C" w:rsidP="00B676BE">
      <w:pPr>
        <w:pStyle w:val="Baseparagraphcentred"/>
      </w:pPr>
    </w:p>
    <w:p w14:paraId="5FDA01FC" w14:textId="77777777" w:rsidR="00B9430C" w:rsidRDefault="00B9430C" w:rsidP="00B676BE">
      <w:pPr>
        <w:pStyle w:val="Baseparagraphcentred"/>
      </w:pPr>
    </w:p>
    <w:p w14:paraId="498B13C9" w14:textId="77777777" w:rsidR="00B9430C" w:rsidRDefault="00B9430C" w:rsidP="00B676BE">
      <w:pPr>
        <w:pStyle w:val="Baseparagraphcentred"/>
      </w:pPr>
    </w:p>
    <w:p w14:paraId="7782EDCB" w14:textId="77777777" w:rsidR="00B9430C" w:rsidRDefault="00B9430C" w:rsidP="00B676BE">
      <w:pPr>
        <w:pStyle w:val="Baseparagraphcentred"/>
      </w:pPr>
    </w:p>
    <w:p w14:paraId="74E97489" w14:textId="77777777" w:rsidR="00B9430C" w:rsidRDefault="00B9430C" w:rsidP="00B676BE">
      <w:pPr>
        <w:pStyle w:val="Baseparagraphcentred"/>
      </w:pPr>
      <w:r>
        <w:t>EXPLANATORY MEMORANDUM</w:t>
      </w:r>
    </w:p>
    <w:p w14:paraId="3B28AC46" w14:textId="77777777" w:rsidR="00B9430C" w:rsidRDefault="00B9430C" w:rsidP="00B676BE">
      <w:pPr>
        <w:pStyle w:val="Baseparagraphcentred"/>
      </w:pPr>
    </w:p>
    <w:p w14:paraId="2265C0B0" w14:textId="77777777" w:rsidR="00B9430C" w:rsidRDefault="00B9430C" w:rsidP="00B676BE">
      <w:pPr>
        <w:pStyle w:val="Baseparagraphcentred"/>
      </w:pPr>
    </w:p>
    <w:p w14:paraId="349DEFD0" w14:textId="77777777" w:rsidR="00B9430C" w:rsidRDefault="00B9430C" w:rsidP="00B676BE">
      <w:pPr>
        <w:pStyle w:val="Baseparagraphcentred"/>
      </w:pPr>
    </w:p>
    <w:p w14:paraId="2A05CA2B" w14:textId="77777777" w:rsidR="00B9430C" w:rsidRDefault="00B9430C" w:rsidP="00B676BE">
      <w:pPr>
        <w:pStyle w:val="Baseparagraphcentred"/>
      </w:pPr>
    </w:p>
    <w:p w14:paraId="3B2991AA" w14:textId="55662A62" w:rsidR="00B9430C" w:rsidRDefault="00B9430C" w:rsidP="00B676BE">
      <w:pPr>
        <w:pStyle w:val="Baseparagraphcentred"/>
      </w:pPr>
      <w:r>
        <w:t>(Circulated by the authority of the</w:t>
      </w:r>
      <w:r>
        <w:br/>
      </w:r>
      <w:r w:rsidR="00D9376A" w:rsidRPr="00D9376A">
        <w:t xml:space="preserve">Minister for Small Business and Assistant </w:t>
      </w:r>
      <w:r w:rsidRPr="00D9376A">
        <w:t xml:space="preserve">Treasurer, the Hon </w:t>
      </w:r>
      <w:r w:rsidR="00D9376A" w:rsidRPr="00D9376A">
        <w:t xml:space="preserve">Kelly </w:t>
      </w:r>
      <w:proofErr w:type="spellStart"/>
      <w:r w:rsidR="00D9376A" w:rsidRPr="00D9376A">
        <w:t>O’Dwyer</w:t>
      </w:r>
      <w:proofErr w:type="spellEnd"/>
      <w:r w:rsidRPr="00D9376A">
        <w:t xml:space="preserve"> MP)</w:t>
      </w:r>
    </w:p>
    <w:p w14:paraId="44C5E985" w14:textId="77777777" w:rsidR="00B9430C" w:rsidRDefault="00B9430C" w:rsidP="00B676BE"/>
    <w:p w14:paraId="779C6715" w14:textId="77777777" w:rsidR="00B9430C" w:rsidRDefault="00B9430C" w:rsidP="00B676BE">
      <w:pPr>
        <w:sectPr w:rsidR="00B9430C" w:rsidSect="00B676BE">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2466" w:right="2098" w:bottom="2466" w:left="2098" w:header="1559" w:footer="1899" w:gutter="0"/>
          <w:cols w:space="708"/>
          <w:titlePg/>
          <w:docGrid w:linePitch="360"/>
        </w:sectPr>
      </w:pPr>
    </w:p>
    <w:p w14:paraId="462B93AE" w14:textId="77777777" w:rsidR="00B9430C" w:rsidRPr="003E0794" w:rsidRDefault="00B9430C" w:rsidP="00B676BE">
      <w:pPr>
        <w:pStyle w:val="TOCHeading"/>
      </w:pPr>
      <w:r w:rsidRPr="003E0794">
        <w:lastRenderedPageBreak/>
        <w:t>Table of contents</w:t>
      </w:r>
    </w:p>
    <w:p w14:paraId="7757A6FC" w14:textId="77777777" w:rsidR="007060B3" w:rsidRDefault="00B9430C">
      <w:pPr>
        <w:pStyle w:val="TOC2"/>
        <w:rPr>
          <w:rFonts w:asciiTheme="minorHAnsi" w:eastAsiaTheme="minorEastAsia" w:hAnsiTheme="minorHAnsi" w:cstheme="minorBidi"/>
          <w:sz w:val="22"/>
          <w:szCs w:val="22"/>
        </w:rPr>
      </w:pPr>
      <w:r>
        <w:rPr>
          <w:noProof w:val="0"/>
        </w:rPr>
        <w:fldChar w:fldCharType="begin"/>
      </w:r>
      <w:r>
        <w:instrText xml:space="preserve"> TOC \t "Chapter Heading,1,Chapter heading subdocument,2" </w:instrText>
      </w:r>
      <w:r>
        <w:rPr>
          <w:noProof w:val="0"/>
        </w:rPr>
        <w:fldChar w:fldCharType="separate"/>
      </w:r>
      <w:r w:rsidR="007060B3">
        <w:t>Glossary</w:t>
      </w:r>
      <w:r w:rsidR="007060B3">
        <w:tab/>
      </w:r>
      <w:r w:rsidR="007060B3">
        <w:fldChar w:fldCharType="begin"/>
      </w:r>
      <w:r w:rsidR="007060B3">
        <w:instrText xml:space="preserve"> PAGEREF _Toc436037548 \h </w:instrText>
      </w:r>
      <w:r w:rsidR="007060B3">
        <w:fldChar w:fldCharType="separate"/>
      </w:r>
      <w:r w:rsidR="009520C4">
        <w:t>1</w:t>
      </w:r>
      <w:r w:rsidR="007060B3">
        <w:fldChar w:fldCharType="end"/>
      </w:r>
    </w:p>
    <w:p w14:paraId="78AE1B30" w14:textId="77777777" w:rsidR="007060B3" w:rsidRDefault="007060B3">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_Toc436037549 \h </w:instrText>
      </w:r>
      <w:r>
        <w:fldChar w:fldCharType="separate"/>
      </w:r>
      <w:r w:rsidR="009520C4">
        <w:t>3</w:t>
      </w:r>
      <w:r>
        <w:fldChar w:fldCharType="end"/>
      </w:r>
    </w:p>
    <w:p w14:paraId="4A55F434" w14:textId="77777777" w:rsidR="007060B3" w:rsidRDefault="007060B3">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Background</w:t>
      </w:r>
      <w:r>
        <w:rPr>
          <w:noProof/>
        </w:rPr>
        <w:tab/>
      </w:r>
      <w:r>
        <w:rPr>
          <w:noProof/>
        </w:rPr>
        <w:fldChar w:fldCharType="begin"/>
      </w:r>
      <w:r>
        <w:rPr>
          <w:noProof/>
        </w:rPr>
        <w:instrText xml:space="preserve"> PAGEREF _Toc436037550 \h </w:instrText>
      </w:r>
      <w:r>
        <w:rPr>
          <w:noProof/>
        </w:rPr>
      </w:r>
      <w:r>
        <w:rPr>
          <w:noProof/>
        </w:rPr>
        <w:fldChar w:fldCharType="separate"/>
      </w:r>
      <w:r w:rsidR="009520C4">
        <w:rPr>
          <w:noProof/>
        </w:rPr>
        <w:t>7</w:t>
      </w:r>
      <w:r>
        <w:rPr>
          <w:noProof/>
        </w:rPr>
        <w:fldChar w:fldCharType="end"/>
      </w:r>
    </w:p>
    <w:p w14:paraId="5E863ACB" w14:textId="77777777" w:rsidR="007060B3" w:rsidRDefault="007060B3">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Eligibility requirements</w:t>
      </w:r>
      <w:r>
        <w:rPr>
          <w:noProof/>
        </w:rPr>
        <w:tab/>
      </w:r>
      <w:r>
        <w:rPr>
          <w:noProof/>
        </w:rPr>
        <w:fldChar w:fldCharType="begin"/>
      </w:r>
      <w:r>
        <w:rPr>
          <w:noProof/>
        </w:rPr>
        <w:instrText xml:space="preserve"> PAGEREF _Toc436037551 \h </w:instrText>
      </w:r>
      <w:r>
        <w:rPr>
          <w:noProof/>
        </w:rPr>
      </w:r>
      <w:r>
        <w:rPr>
          <w:noProof/>
        </w:rPr>
        <w:fldChar w:fldCharType="separate"/>
      </w:r>
      <w:r w:rsidR="009520C4">
        <w:rPr>
          <w:noProof/>
        </w:rPr>
        <w:t>11</w:t>
      </w:r>
      <w:r>
        <w:rPr>
          <w:noProof/>
        </w:rPr>
        <w:fldChar w:fldCharType="end"/>
      </w:r>
    </w:p>
    <w:p w14:paraId="5E8A57A9" w14:textId="77777777" w:rsidR="007060B3" w:rsidRDefault="007060B3">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The role and obligations of a CSF intermediary</w:t>
      </w:r>
      <w:r>
        <w:rPr>
          <w:noProof/>
        </w:rPr>
        <w:tab/>
      </w:r>
      <w:r>
        <w:rPr>
          <w:noProof/>
        </w:rPr>
        <w:fldChar w:fldCharType="begin"/>
      </w:r>
      <w:r>
        <w:rPr>
          <w:noProof/>
        </w:rPr>
        <w:instrText xml:space="preserve"> PAGEREF _Toc436037552 \h </w:instrText>
      </w:r>
      <w:r>
        <w:rPr>
          <w:noProof/>
        </w:rPr>
      </w:r>
      <w:r>
        <w:rPr>
          <w:noProof/>
        </w:rPr>
        <w:fldChar w:fldCharType="separate"/>
      </w:r>
      <w:r w:rsidR="009520C4">
        <w:rPr>
          <w:noProof/>
        </w:rPr>
        <w:t>23</w:t>
      </w:r>
      <w:r>
        <w:rPr>
          <w:noProof/>
        </w:rPr>
        <w:fldChar w:fldCharType="end"/>
      </w:r>
    </w:p>
    <w:p w14:paraId="7C51C708" w14:textId="77777777" w:rsidR="007060B3" w:rsidRDefault="007060B3">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Process for making a CSF offer</w:t>
      </w:r>
      <w:r>
        <w:rPr>
          <w:noProof/>
        </w:rPr>
        <w:tab/>
      </w:r>
      <w:r>
        <w:rPr>
          <w:noProof/>
        </w:rPr>
        <w:fldChar w:fldCharType="begin"/>
      </w:r>
      <w:r>
        <w:rPr>
          <w:noProof/>
        </w:rPr>
        <w:instrText xml:space="preserve"> PAGEREF _Toc436037553 \h </w:instrText>
      </w:r>
      <w:r>
        <w:rPr>
          <w:noProof/>
        </w:rPr>
      </w:r>
      <w:r>
        <w:rPr>
          <w:noProof/>
        </w:rPr>
        <w:fldChar w:fldCharType="separate"/>
      </w:r>
      <w:r w:rsidR="009520C4">
        <w:rPr>
          <w:noProof/>
        </w:rPr>
        <w:t>43</w:t>
      </w:r>
      <w:r>
        <w:rPr>
          <w:noProof/>
        </w:rPr>
        <w:fldChar w:fldCharType="end"/>
      </w:r>
    </w:p>
    <w:p w14:paraId="684D7989" w14:textId="77777777" w:rsidR="007060B3" w:rsidRDefault="007060B3">
      <w:pPr>
        <w:pStyle w:val="TOC1"/>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Defective CSF offer documents</w:t>
      </w:r>
      <w:r>
        <w:rPr>
          <w:noProof/>
        </w:rPr>
        <w:tab/>
      </w:r>
      <w:r>
        <w:rPr>
          <w:noProof/>
        </w:rPr>
        <w:fldChar w:fldCharType="begin"/>
      </w:r>
      <w:r>
        <w:rPr>
          <w:noProof/>
        </w:rPr>
        <w:instrText xml:space="preserve"> PAGEREF _Toc436037554 \h </w:instrText>
      </w:r>
      <w:r>
        <w:rPr>
          <w:noProof/>
        </w:rPr>
      </w:r>
      <w:r>
        <w:rPr>
          <w:noProof/>
        </w:rPr>
        <w:fldChar w:fldCharType="separate"/>
      </w:r>
      <w:r w:rsidR="009520C4">
        <w:rPr>
          <w:noProof/>
        </w:rPr>
        <w:t>55</w:t>
      </w:r>
      <w:r>
        <w:rPr>
          <w:noProof/>
        </w:rPr>
        <w:fldChar w:fldCharType="end"/>
      </w:r>
    </w:p>
    <w:p w14:paraId="7F3C71BB" w14:textId="77777777" w:rsidR="007060B3" w:rsidRDefault="007060B3">
      <w:pPr>
        <w:pStyle w:val="TOC1"/>
        <w:rPr>
          <w:rFonts w:asciiTheme="minorHAnsi" w:eastAsiaTheme="minorEastAsia" w:hAnsiTheme="minorHAnsi" w:cstheme="minorBidi"/>
          <w:noProof/>
          <w:sz w:val="22"/>
          <w:szCs w:val="22"/>
        </w:rPr>
      </w:pPr>
      <w:r>
        <w:rPr>
          <w:noProof/>
        </w:rPr>
        <w:t>Chapter 6</w:t>
      </w:r>
      <w:r>
        <w:rPr>
          <w:rFonts w:asciiTheme="minorHAnsi" w:eastAsiaTheme="minorEastAsia" w:hAnsiTheme="minorHAnsi" w:cstheme="minorBidi"/>
          <w:noProof/>
          <w:sz w:val="22"/>
          <w:szCs w:val="22"/>
        </w:rPr>
        <w:tab/>
      </w:r>
      <w:r>
        <w:rPr>
          <w:noProof/>
        </w:rPr>
        <w:t>Investor Protections</w:t>
      </w:r>
      <w:r>
        <w:rPr>
          <w:noProof/>
        </w:rPr>
        <w:tab/>
      </w:r>
      <w:r>
        <w:rPr>
          <w:noProof/>
        </w:rPr>
        <w:fldChar w:fldCharType="begin"/>
      </w:r>
      <w:r>
        <w:rPr>
          <w:noProof/>
        </w:rPr>
        <w:instrText xml:space="preserve"> PAGEREF _Toc436037555 \h </w:instrText>
      </w:r>
      <w:r>
        <w:rPr>
          <w:noProof/>
        </w:rPr>
      </w:r>
      <w:r>
        <w:rPr>
          <w:noProof/>
        </w:rPr>
        <w:fldChar w:fldCharType="separate"/>
      </w:r>
      <w:r w:rsidR="009520C4">
        <w:rPr>
          <w:noProof/>
        </w:rPr>
        <w:t>69</w:t>
      </w:r>
      <w:r>
        <w:rPr>
          <w:noProof/>
        </w:rPr>
        <w:fldChar w:fldCharType="end"/>
      </w:r>
    </w:p>
    <w:p w14:paraId="4CE40187" w14:textId="77777777" w:rsidR="007060B3" w:rsidRDefault="007060B3">
      <w:pPr>
        <w:pStyle w:val="TOC1"/>
        <w:rPr>
          <w:rFonts w:asciiTheme="minorHAnsi" w:eastAsiaTheme="minorEastAsia" w:hAnsiTheme="minorHAnsi" w:cstheme="minorBidi"/>
          <w:noProof/>
          <w:sz w:val="22"/>
          <w:szCs w:val="22"/>
        </w:rPr>
      </w:pPr>
      <w:r>
        <w:rPr>
          <w:noProof/>
        </w:rPr>
        <w:t>Chapter 7</w:t>
      </w:r>
      <w:r>
        <w:rPr>
          <w:rFonts w:asciiTheme="minorHAnsi" w:eastAsiaTheme="minorEastAsia" w:hAnsiTheme="minorHAnsi" w:cstheme="minorBidi"/>
          <w:noProof/>
          <w:sz w:val="22"/>
          <w:szCs w:val="22"/>
        </w:rPr>
        <w:tab/>
      </w:r>
      <w:r>
        <w:rPr>
          <w:noProof/>
        </w:rPr>
        <w:t>Corporate Governance Concessions</w:t>
      </w:r>
      <w:r>
        <w:rPr>
          <w:noProof/>
        </w:rPr>
        <w:tab/>
      </w:r>
      <w:r>
        <w:rPr>
          <w:noProof/>
        </w:rPr>
        <w:fldChar w:fldCharType="begin"/>
      </w:r>
      <w:r>
        <w:rPr>
          <w:noProof/>
        </w:rPr>
        <w:instrText xml:space="preserve"> PAGEREF _Toc436037556 \h </w:instrText>
      </w:r>
      <w:r>
        <w:rPr>
          <w:noProof/>
        </w:rPr>
      </w:r>
      <w:r>
        <w:rPr>
          <w:noProof/>
        </w:rPr>
        <w:fldChar w:fldCharType="separate"/>
      </w:r>
      <w:r w:rsidR="009520C4">
        <w:rPr>
          <w:noProof/>
        </w:rPr>
        <w:t>83</w:t>
      </w:r>
      <w:r>
        <w:rPr>
          <w:noProof/>
        </w:rPr>
        <w:fldChar w:fldCharType="end"/>
      </w:r>
    </w:p>
    <w:p w14:paraId="621B75C7" w14:textId="77777777" w:rsidR="007060B3" w:rsidRDefault="007060B3">
      <w:pPr>
        <w:pStyle w:val="TOC1"/>
        <w:rPr>
          <w:rFonts w:asciiTheme="minorHAnsi" w:eastAsiaTheme="minorEastAsia" w:hAnsiTheme="minorHAnsi" w:cstheme="minorBidi"/>
          <w:noProof/>
          <w:sz w:val="22"/>
          <w:szCs w:val="22"/>
        </w:rPr>
      </w:pPr>
      <w:r>
        <w:rPr>
          <w:noProof/>
        </w:rPr>
        <w:t>Chapter 8</w:t>
      </w:r>
      <w:r>
        <w:rPr>
          <w:rFonts w:asciiTheme="minorHAnsi" w:eastAsiaTheme="minorEastAsia" w:hAnsiTheme="minorHAnsi" w:cstheme="minorBidi"/>
          <w:noProof/>
          <w:sz w:val="22"/>
          <w:szCs w:val="22"/>
        </w:rPr>
        <w:tab/>
      </w:r>
      <w:r>
        <w:rPr>
          <w:noProof/>
        </w:rPr>
        <w:t>Exemptions from regulatory requirements relating to Australian Market Licences and Clearing and Settlement Facility Licences</w:t>
      </w:r>
      <w:r>
        <w:rPr>
          <w:noProof/>
        </w:rPr>
        <w:tab/>
      </w:r>
      <w:r>
        <w:rPr>
          <w:noProof/>
        </w:rPr>
        <w:fldChar w:fldCharType="begin"/>
      </w:r>
      <w:r>
        <w:rPr>
          <w:noProof/>
        </w:rPr>
        <w:instrText xml:space="preserve"> PAGEREF _Toc436037557 \h </w:instrText>
      </w:r>
      <w:r>
        <w:rPr>
          <w:noProof/>
        </w:rPr>
      </w:r>
      <w:r>
        <w:rPr>
          <w:noProof/>
        </w:rPr>
        <w:fldChar w:fldCharType="separate"/>
      </w:r>
      <w:r w:rsidR="009520C4">
        <w:rPr>
          <w:noProof/>
        </w:rPr>
        <w:t>89</w:t>
      </w:r>
      <w:r>
        <w:rPr>
          <w:noProof/>
        </w:rPr>
        <w:fldChar w:fldCharType="end"/>
      </w:r>
    </w:p>
    <w:p w14:paraId="5282360C" w14:textId="77777777" w:rsidR="007060B3" w:rsidRDefault="007060B3">
      <w:pPr>
        <w:pStyle w:val="TOC1"/>
        <w:rPr>
          <w:rFonts w:asciiTheme="minorHAnsi" w:eastAsiaTheme="minorEastAsia" w:hAnsiTheme="minorHAnsi" w:cstheme="minorBidi"/>
          <w:noProof/>
          <w:sz w:val="22"/>
          <w:szCs w:val="22"/>
        </w:rPr>
      </w:pPr>
      <w:r>
        <w:rPr>
          <w:noProof/>
        </w:rPr>
        <w:t>Chapter 9</w:t>
      </w:r>
      <w:r>
        <w:rPr>
          <w:rFonts w:asciiTheme="minorHAnsi" w:eastAsiaTheme="minorEastAsia" w:hAnsiTheme="minorHAnsi" w:cstheme="minorBidi"/>
          <w:noProof/>
          <w:sz w:val="22"/>
          <w:szCs w:val="22"/>
        </w:rPr>
        <w:tab/>
      </w:r>
      <w:r>
        <w:rPr>
          <w:noProof/>
        </w:rPr>
        <w:t>Regulation impact statement</w:t>
      </w:r>
      <w:r>
        <w:rPr>
          <w:noProof/>
        </w:rPr>
        <w:tab/>
      </w:r>
      <w:r>
        <w:rPr>
          <w:noProof/>
        </w:rPr>
        <w:fldChar w:fldCharType="begin"/>
      </w:r>
      <w:r>
        <w:rPr>
          <w:noProof/>
        </w:rPr>
        <w:instrText xml:space="preserve"> PAGEREF _Toc436037558 \h </w:instrText>
      </w:r>
      <w:r>
        <w:rPr>
          <w:noProof/>
        </w:rPr>
      </w:r>
      <w:r>
        <w:rPr>
          <w:noProof/>
        </w:rPr>
        <w:fldChar w:fldCharType="separate"/>
      </w:r>
      <w:r w:rsidR="009520C4">
        <w:rPr>
          <w:noProof/>
        </w:rPr>
        <w:t>97</w:t>
      </w:r>
      <w:r>
        <w:rPr>
          <w:noProof/>
        </w:rPr>
        <w:fldChar w:fldCharType="end"/>
      </w:r>
    </w:p>
    <w:p w14:paraId="686053A2" w14:textId="77777777" w:rsidR="007060B3" w:rsidRDefault="007060B3">
      <w:pPr>
        <w:pStyle w:val="TOC1"/>
        <w:rPr>
          <w:rFonts w:asciiTheme="minorHAnsi" w:eastAsiaTheme="minorEastAsia" w:hAnsiTheme="minorHAnsi" w:cstheme="minorBidi"/>
          <w:noProof/>
          <w:sz w:val="22"/>
          <w:szCs w:val="22"/>
        </w:rPr>
      </w:pPr>
      <w:r>
        <w:rPr>
          <w:noProof/>
        </w:rPr>
        <w:t>Chapter 10</w:t>
      </w:r>
      <w:r>
        <w:rPr>
          <w:rFonts w:asciiTheme="minorHAnsi" w:eastAsiaTheme="minorEastAsia" w:hAnsiTheme="minorHAnsi" w:cstheme="minorBidi"/>
          <w:noProof/>
          <w:sz w:val="22"/>
          <w:szCs w:val="22"/>
        </w:rPr>
        <w:tab/>
      </w:r>
      <w:r>
        <w:rPr>
          <w:noProof/>
        </w:rPr>
        <w:t>Statement of Compatibility with Human Rights</w:t>
      </w:r>
      <w:r>
        <w:rPr>
          <w:noProof/>
        </w:rPr>
        <w:tab/>
      </w:r>
      <w:r>
        <w:rPr>
          <w:noProof/>
        </w:rPr>
        <w:fldChar w:fldCharType="begin"/>
      </w:r>
      <w:r>
        <w:rPr>
          <w:noProof/>
        </w:rPr>
        <w:instrText xml:space="preserve"> PAGEREF _Toc436037559 \h </w:instrText>
      </w:r>
      <w:r>
        <w:rPr>
          <w:noProof/>
        </w:rPr>
      </w:r>
      <w:r>
        <w:rPr>
          <w:noProof/>
        </w:rPr>
        <w:fldChar w:fldCharType="separate"/>
      </w:r>
      <w:r w:rsidR="009520C4">
        <w:rPr>
          <w:noProof/>
        </w:rPr>
        <w:t>101</w:t>
      </w:r>
      <w:r>
        <w:rPr>
          <w:noProof/>
        </w:rPr>
        <w:fldChar w:fldCharType="end"/>
      </w:r>
    </w:p>
    <w:p w14:paraId="52754F8F" w14:textId="77777777" w:rsidR="007060B3" w:rsidRDefault="007060B3">
      <w:pPr>
        <w:pStyle w:val="TOC2"/>
        <w:rPr>
          <w:rFonts w:asciiTheme="minorHAnsi" w:eastAsiaTheme="minorEastAsia" w:hAnsiTheme="minorHAnsi" w:cstheme="minorBidi"/>
          <w:sz w:val="22"/>
          <w:szCs w:val="22"/>
        </w:rPr>
      </w:pPr>
      <w:r>
        <w:t>Index</w:t>
      </w:r>
      <w:r>
        <w:tab/>
      </w:r>
      <w:r>
        <w:fldChar w:fldCharType="begin"/>
      </w:r>
      <w:r>
        <w:instrText xml:space="preserve"> PAGEREF _Toc436037560 \h </w:instrText>
      </w:r>
      <w:r>
        <w:fldChar w:fldCharType="separate"/>
      </w:r>
      <w:r w:rsidR="009520C4">
        <w:t>103</w:t>
      </w:r>
      <w:r>
        <w:fldChar w:fldCharType="end"/>
      </w:r>
    </w:p>
    <w:p w14:paraId="1E833042" w14:textId="77777777" w:rsidR="00B9430C" w:rsidRDefault="00B9430C" w:rsidP="00B676BE">
      <w:pPr>
        <w:pStyle w:val="base-text-paragraphnonumbers"/>
      </w:pPr>
      <w:r>
        <w:rPr>
          <w:b/>
          <w:bCs/>
          <w:noProof/>
          <w:lang w:val="en-US"/>
        </w:rPr>
        <w:fldChar w:fldCharType="end"/>
      </w:r>
    </w:p>
    <w:p w14:paraId="29DF188A" w14:textId="77777777" w:rsidR="00B9430C" w:rsidRDefault="00B9430C" w:rsidP="00B676BE">
      <w:pPr>
        <w:pStyle w:val="Hiddentext"/>
      </w:pPr>
      <w:r>
        <w:t>Do not remove section break.</w:t>
      </w:r>
    </w:p>
    <w:p w14:paraId="6EBD2153" w14:textId="77777777" w:rsidR="00B9430C" w:rsidRDefault="00B9430C" w:rsidP="00B676BE">
      <w:pPr>
        <w:pStyle w:val="base-text-paragraphnonumbers"/>
        <w:sectPr w:rsidR="00B9430C" w:rsidSect="00B676BE">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2466" w:right="2098" w:bottom="2466" w:left="2098" w:header="1559" w:footer="1899" w:gutter="0"/>
          <w:cols w:space="708"/>
          <w:titlePg/>
          <w:docGrid w:linePitch="360"/>
        </w:sectPr>
      </w:pPr>
    </w:p>
    <w:p w14:paraId="68B45A05" w14:textId="77777777" w:rsidR="00B9430C" w:rsidRPr="00A03E30" w:rsidRDefault="00B9430C" w:rsidP="00B676BE"/>
    <w:p w14:paraId="69EE6F2B" w14:textId="77777777" w:rsidR="00B9430C" w:rsidRPr="00D67ADC" w:rsidRDefault="00B9430C" w:rsidP="00B676BE">
      <w:pPr>
        <w:pStyle w:val="Chapterheadingsubdocument"/>
      </w:pPr>
      <w:bookmarkStart w:id="1" w:name="_Toc435701578"/>
      <w:bookmarkStart w:id="2" w:name="_Toc436037548"/>
      <w:r w:rsidRPr="00D67ADC">
        <w:t>Glossary</w:t>
      </w:r>
      <w:bookmarkEnd w:id="1"/>
      <w:bookmarkEnd w:id="2"/>
    </w:p>
    <w:p w14:paraId="7B2BC066" w14:textId="77777777" w:rsidR="00B9430C" w:rsidRPr="00F63766" w:rsidRDefault="00B9430C" w:rsidP="00B676BE">
      <w:pPr>
        <w:pStyle w:val="BTPwithextraspacing"/>
      </w:pPr>
      <w:r>
        <w:t xml:space="preserve">The following abbreviations and acronyms are used throughout this </w:t>
      </w:r>
      <w:r w:rsidRPr="00F63766">
        <w:t>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9430C" w:rsidRPr="00F63766" w14:paraId="4B224FA1" w14:textId="77777777" w:rsidTr="00B676BE">
        <w:tc>
          <w:tcPr>
            <w:tcW w:w="2721" w:type="dxa"/>
          </w:tcPr>
          <w:p w14:paraId="58810BF4" w14:textId="77777777" w:rsidR="00B9430C" w:rsidRPr="00F63766" w:rsidRDefault="00B9430C" w:rsidP="00B676BE">
            <w:pPr>
              <w:pStyle w:val="tableheaderwithintable"/>
            </w:pPr>
            <w:r w:rsidRPr="00F63766">
              <w:t>Abbreviation</w:t>
            </w:r>
          </w:p>
        </w:tc>
        <w:tc>
          <w:tcPr>
            <w:tcW w:w="3885" w:type="dxa"/>
          </w:tcPr>
          <w:p w14:paraId="69B47611" w14:textId="77777777" w:rsidR="00B9430C" w:rsidRPr="00F63766" w:rsidRDefault="00B9430C" w:rsidP="00B676BE">
            <w:pPr>
              <w:pStyle w:val="tableheaderwithintable"/>
            </w:pPr>
            <w:r w:rsidRPr="00F63766">
              <w:t>Definition</w:t>
            </w:r>
          </w:p>
        </w:tc>
      </w:tr>
      <w:tr w:rsidR="00B9430C" w:rsidRPr="00F63766" w14:paraId="65134493" w14:textId="77777777" w:rsidTr="00B676BE">
        <w:tc>
          <w:tcPr>
            <w:tcW w:w="2721" w:type="dxa"/>
          </w:tcPr>
          <w:p w14:paraId="268DD829" w14:textId="77777777" w:rsidR="00B9430C" w:rsidRPr="00F63766" w:rsidRDefault="00083039" w:rsidP="00B676BE">
            <w:pPr>
              <w:pStyle w:val="Glossarytabletext"/>
              <w:rPr>
                <w:lang w:val="en-US" w:eastAsia="en-US"/>
              </w:rPr>
            </w:pPr>
            <w:r w:rsidRPr="00F63766">
              <w:rPr>
                <w:lang w:val="en-US" w:eastAsia="en-US"/>
              </w:rPr>
              <w:t>The Act</w:t>
            </w:r>
          </w:p>
        </w:tc>
        <w:tc>
          <w:tcPr>
            <w:tcW w:w="3885" w:type="dxa"/>
          </w:tcPr>
          <w:p w14:paraId="2AAA5F35" w14:textId="77777777" w:rsidR="00B9430C" w:rsidRPr="00F63766" w:rsidRDefault="00083039" w:rsidP="00B676BE">
            <w:pPr>
              <w:pStyle w:val="Glossarytabletext"/>
              <w:rPr>
                <w:i/>
                <w:lang w:val="en-US" w:eastAsia="en-US"/>
              </w:rPr>
            </w:pPr>
            <w:r w:rsidRPr="00F63766">
              <w:rPr>
                <w:i/>
                <w:lang w:val="en-US" w:eastAsia="en-US"/>
              </w:rPr>
              <w:t>Corporations Act 2001</w:t>
            </w:r>
          </w:p>
        </w:tc>
      </w:tr>
      <w:tr w:rsidR="00B9430C" w:rsidRPr="00F63766" w14:paraId="3F7CB851" w14:textId="77777777" w:rsidTr="00B676BE">
        <w:tc>
          <w:tcPr>
            <w:tcW w:w="2721" w:type="dxa"/>
          </w:tcPr>
          <w:p w14:paraId="2F3AB0D1" w14:textId="77777777" w:rsidR="00B9430C" w:rsidRPr="00F63766" w:rsidRDefault="00717289" w:rsidP="00B676BE">
            <w:pPr>
              <w:pStyle w:val="Glossarytabletext"/>
              <w:rPr>
                <w:lang w:val="en-US" w:eastAsia="en-US"/>
              </w:rPr>
            </w:pPr>
            <w:r w:rsidRPr="00F63766">
              <w:rPr>
                <w:lang w:val="en-US" w:eastAsia="en-US"/>
              </w:rPr>
              <w:t>AML</w:t>
            </w:r>
          </w:p>
        </w:tc>
        <w:tc>
          <w:tcPr>
            <w:tcW w:w="3885" w:type="dxa"/>
          </w:tcPr>
          <w:p w14:paraId="799E0D9A" w14:textId="686F15AB" w:rsidR="00B9430C" w:rsidRPr="00F63766" w:rsidRDefault="00717289" w:rsidP="00567B43">
            <w:pPr>
              <w:pStyle w:val="Glossarytabletext"/>
              <w:rPr>
                <w:lang w:val="en-US" w:eastAsia="en-US"/>
              </w:rPr>
            </w:pPr>
            <w:r w:rsidRPr="00F63766">
              <w:rPr>
                <w:lang w:val="en-US" w:eastAsia="en-US"/>
              </w:rPr>
              <w:t xml:space="preserve">Australian Market </w:t>
            </w:r>
            <w:proofErr w:type="spellStart"/>
            <w:r w:rsidRPr="00F63766">
              <w:rPr>
                <w:lang w:val="en-US" w:eastAsia="en-US"/>
              </w:rPr>
              <w:t>Licen</w:t>
            </w:r>
            <w:r w:rsidR="00567B43">
              <w:rPr>
                <w:lang w:val="en-US" w:eastAsia="en-US"/>
              </w:rPr>
              <w:t>c</w:t>
            </w:r>
            <w:r w:rsidRPr="00F63766">
              <w:rPr>
                <w:lang w:val="en-US" w:eastAsia="en-US"/>
              </w:rPr>
              <w:t>e</w:t>
            </w:r>
            <w:proofErr w:type="spellEnd"/>
            <w:r w:rsidRPr="00F63766">
              <w:rPr>
                <w:lang w:val="en-US" w:eastAsia="en-US"/>
              </w:rPr>
              <w:t xml:space="preserve"> </w:t>
            </w:r>
          </w:p>
        </w:tc>
      </w:tr>
      <w:tr w:rsidR="00B9430C" w:rsidRPr="00F63766" w14:paraId="4B9C3EDD" w14:textId="77777777" w:rsidTr="00B676BE">
        <w:tc>
          <w:tcPr>
            <w:tcW w:w="2721" w:type="dxa"/>
          </w:tcPr>
          <w:p w14:paraId="2EB7E081" w14:textId="1B00F27E" w:rsidR="00B9430C" w:rsidRPr="00F63766" w:rsidRDefault="00BE0A00" w:rsidP="00B676BE">
            <w:pPr>
              <w:pStyle w:val="Glossarytabletext"/>
              <w:rPr>
                <w:lang w:val="en-US" w:eastAsia="en-US"/>
              </w:rPr>
            </w:pPr>
            <w:r w:rsidRPr="00F63766">
              <w:rPr>
                <w:lang w:val="en-US" w:eastAsia="en-US"/>
              </w:rPr>
              <w:t>ASIC</w:t>
            </w:r>
          </w:p>
        </w:tc>
        <w:tc>
          <w:tcPr>
            <w:tcW w:w="3885" w:type="dxa"/>
          </w:tcPr>
          <w:p w14:paraId="5F2C8FF9" w14:textId="089F2E85" w:rsidR="00B9430C" w:rsidRPr="00F63766" w:rsidRDefault="005E31F1" w:rsidP="00B676BE">
            <w:pPr>
              <w:pStyle w:val="Glossarytabletext"/>
              <w:rPr>
                <w:lang w:val="en-US" w:eastAsia="en-US"/>
              </w:rPr>
            </w:pPr>
            <w:r w:rsidRPr="00F63766">
              <w:rPr>
                <w:lang w:val="en-US" w:eastAsia="en-US"/>
              </w:rPr>
              <w:t>Australian Securities and Investments Commission</w:t>
            </w:r>
          </w:p>
        </w:tc>
      </w:tr>
      <w:tr w:rsidR="00B9430C" w:rsidRPr="00F63766" w14:paraId="424D88ED" w14:textId="77777777" w:rsidTr="00B676BE">
        <w:tc>
          <w:tcPr>
            <w:tcW w:w="2721" w:type="dxa"/>
          </w:tcPr>
          <w:p w14:paraId="44248458" w14:textId="6069D514" w:rsidR="00B9430C" w:rsidRPr="00F63766" w:rsidRDefault="0060155A" w:rsidP="00B676BE">
            <w:pPr>
              <w:pStyle w:val="Glossarytabletext"/>
              <w:rPr>
                <w:lang w:val="en-US" w:eastAsia="en-US"/>
              </w:rPr>
            </w:pPr>
            <w:r w:rsidRPr="00F63766">
              <w:rPr>
                <w:lang w:val="en-US" w:eastAsia="en-US"/>
              </w:rPr>
              <w:t>AFSL</w:t>
            </w:r>
          </w:p>
        </w:tc>
        <w:tc>
          <w:tcPr>
            <w:tcW w:w="3885" w:type="dxa"/>
          </w:tcPr>
          <w:p w14:paraId="47F5F890" w14:textId="547E934D" w:rsidR="00B9430C" w:rsidRPr="00F63766" w:rsidRDefault="005E31F1" w:rsidP="00B676BE">
            <w:pPr>
              <w:pStyle w:val="Glossarytabletext"/>
              <w:rPr>
                <w:lang w:val="en-US" w:eastAsia="en-US"/>
              </w:rPr>
            </w:pPr>
            <w:r w:rsidRPr="00F63766">
              <w:rPr>
                <w:lang w:val="en-US" w:eastAsia="en-US"/>
              </w:rPr>
              <w:t>Australian Financial Service</w:t>
            </w:r>
            <w:r w:rsidR="00025686">
              <w:rPr>
                <w:lang w:val="en-US" w:eastAsia="en-US"/>
              </w:rPr>
              <w:t>s</w:t>
            </w:r>
            <w:r w:rsidRPr="00F63766">
              <w:rPr>
                <w:lang w:val="en-US" w:eastAsia="en-US"/>
              </w:rPr>
              <w:t xml:space="preserve"> </w:t>
            </w:r>
            <w:proofErr w:type="spellStart"/>
            <w:r w:rsidRPr="00F63766">
              <w:rPr>
                <w:lang w:val="en-US" w:eastAsia="en-US"/>
              </w:rPr>
              <w:t>Licence</w:t>
            </w:r>
            <w:proofErr w:type="spellEnd"/>
          </w:p>
        </w:tc>
      </w:tr>
      <w:tr w:rsidR="0004000A" w:rsidRPr="00F63766" w14:paraId="18B73F32" w14:textId="77777777" w:rsidTr="00994C72">
        <w:tc>
          <w:tcPr>
            <w:tcW w:w="2721" w:type="dxa"/>
            <w:tcBorders>
              <w:top w:val="single" w:sz="4" w:space="0" w:color="auto"/>
              <w:left w:val="single" w:sz="4" w:space="0" w:color="auto"/>
              <w:bottom w:val="single" w:sz="4" w:space="0" w:color="auto"/>
              <w:right w:val="single" w:sz="4" w:space="0" w:color="auto"/>
            </w:tcBorders>
          </w:tcPr>
          <w:p w14:paraId="7CA64427" w14:textId="5E69A39F" w:rsidR="0004000A" w:rsidRDefault="0004000A">
            <w:pPr>
              <w:pStyle w:val="Glossarytabletext"/>
              <w:rPr>
                <w:lang w:val="en-US" w:eastAsia="en-US"/>
              </w:rPr>
            </w:pPr>
            <w:r>
              <w:rPr>
                <w:lang w:val="en-US" w:eastAsia="en-US"/>
              </w:rPr>
              <w:t>Bill</w:t>
            </w:r>
          </w:p>
        </w:tc>
        <w:tc>
          <w:tcPr>
            <w:tcW w:w="3885" w:type="dxa"/>
            <w:tcBorders>
              <w:top w:val="single" w:sz="4" w:space="0" w:color="auto"/>
              <w:left w:val="single" w:sz="4" w:space="0" w:color="auto"/>
              <w:bottom w:val="single" w:sz="4" w:space="0" w:color="auto"/>
              <w:right w:val="single" w:sz="4" w:space="0" w:color="auto"/>
            </w:tcBorders>
          </w:tcPr>
          <w:p w14:paraId="119192BE" w14:textId="07E66CAB" w:rsidR="0004000A" w:rsidRPr="00F63766" w:rsidRDefault="0004000A">
            <w:pPr>
              <w:pStyle w:val="Glossarytabletext"/>
              <w:rPr>
                <w:lang w:val="en-US" w:eastAsia="en-US"/>
              </w:rPr>
            </w:pPr>
            <w:r w:rsidRPr="00F63766">
              <w:t>Corporations Amendment (Crowd-sourced Funding) Bill 2015</w:t>
            </w:r>
          </w:p>
        </w:tc>
      </w:tr>
      <w:tr w:rsidR="00364569" w:rsidRPr="00F63766" w14:paraId="34B28C2A" w14:textId="77777777" w:rsidTr="00994C72">
        <w:tc>
          <w:tcPr>
            <w:tcW w:w="2721" w:type="dxa"/>
            <w:tcBorders>
              <w:top w:val="single" w:sz="4" w:space="0" w:color="auto"/>
              <w:left w:val="single" w:sz="4" w:space="0" w:color="auto"/>
              <w:bottom w:val="single" w:sz="4" w:space="0" w:color="auto"/>
              <w:right w:val="single" w:sz="4" w:space="0" w:color="auto"/>
            </w:tcBorders>
          </w:tcPr>
          <w:p w14:paraId="42579CA5" w14:textId="12833B52" w:rsidR="00364569" w:rsidRPr="00F63766" w:rsidRDefault="00364569">
            <w:pPr>
              <w:pStyle w:val="Glossarytabletext"/>
              <w:rPr>
                <w:lang w:val="en-US" w:eastAsia="en-US"/>
              </w:rPr>
            </w:pPr>
            <w:r>
              <w:rPr>
                <w:lang w:val="en-US" w:eastAsia="en-US"/>
              </w:rPr>
              <w:t>CAMAC</w:t>
            </w:r>
          </w:p>
        </w:tc>
        <w:tc>
          <w:tcPr>
            <w:tcW w:w="3885" w:type="dxa"/>
            <w:tcBorders>
              <w:top w:val="single" w:sz="4" w:space="0" w:color="auto"/>
              <w:left w:val="single" w:sz="4" w:space="0" w:color="auto"/>
              <w:bottom w:val="single" w:sz="4" w:space="0" w:color="auto"/>
              <w:right w:val="single" w:sz="4" w:space="0" w:color="auto"/>
            </w:tcBorders>
          </w:tcPr>
          <w:p w14:paraId="36214075" w14:textId="46334C28" w:rsidR="00364569" w:rsidRPr="00F63766" w:rsidRDefault="00364569">
            <w:pPr>
              <w:pStyle w:val="Glossarytabletext"/>
              <w:rPr>
                <w:lang w:val="en-US" w:eastAsia="en-US"/>
              </w:rPr>
            </w:pPr>
            <w:r w:rsidRPr="00F63766">
              <w:t>Corporations and Markets Advisory Committee</w:t>
            </w:r>
          </w:p>
        </w:tc>
      </w:tr>
      <w:tr w:rsidR="0004000A" w:rsidRPr="00F63766" w14:paraId="6C988407" w14:textId="77777777" w:rsidTr="00994C72">
        <w:tc>
          <w:tcPr>
            <w:tcW w:w="2721" w:type="dxa"/>
            <w:tcBorders>
              <w:top w:val="single" w:sz="4" w:space="0" w:color="auto"/>
              <w:left w:val="single" w:sz="4" w:space="0" w:color="auto"/>
              <w:bottom w:val="single" w:sz="4" w:space="0" w:color="auto"/>
              <w:right w:val="single" w:sz="4" w:space="0" w:color="auto"/>
            </w:tcBorders>
          </w:tcPr>
          <w:p w14:paraId="5B165133" w14:textId="7343C1DE" w:rsidR="0004000A" w:rsidRPr="00F63766" w:rsidRDefault="0004000A">
            <w:pPr>
              <w:pStyle w:val="Glossarytabletext"/>
              <w:rPr>
                <w:lang w:val="en-US" w:eastAsia="en-US"/>
              </w:rPr>
            </w:pPr>
            <w:r w:rsidRPr="00F63766">
              <w:rPr>
                <w:lang w:val="en-US" w:eastAsia="en-US"/>
              </w:rPr>
              <w:t>CSF</w:t>
            </w:r>
          </w:p>
        </w:tc>
        <w:tc>
          <w:tcPr>
            <w:tcW w:w="3885" w:type="dxa"/>
            <w:tcBorders>
              <w:top w:val="single" w:sz="4" w:space="0" w:color="auto"/>
              <w:left w:val="single" w:sz="4" w:space="0" w:color="auto"/>
              <w:bottom w:val="single" w:sz="4" w:space="0" w:color="auto"/>
              <w:right w:val="single" w:sz="4" w:space="0" w:color="auto"/>
            </w:tcBorders>
          </w:tcPr>
          <w:p w14:paraId="0235FF87" w14:textId="06C34F5F" w:rsidR="0004000A" w:rsidRPr="00F63766" w:rsidRDefault="0004000A" w:rsidP="00C70AE8">
            <w:pPr>
              <w:pStyle w:val="Glossarytabletext"/>
              <w:rPr>
                <w:lang w:val="en-US" w:eastAsia="en-US"/>
              </w:rPr>
            </w:pPr>
            <w:r w:rsidRPr="00F63766">
              <w:rPr>
                <w:lang w:val="en-US" w:eastAsia="en-US"/>
              </w:rPr>
              <w:t>Crowd</w:t>
            </w:r>
            <w:r w:rsidRPr="00F63766">
              <w:rPr>
                <w:lang w:val="en-US" w:eastAsia="en-US"/>
              </w:rPr>
              <w:noBreakHyphen/>
              <w:t>sourced funding</w:t>
            </w:r>
          </w:p>
        </w:tc>
      </w:tr>
      <w:tr w:rsidR="0004000A" w:rsidRPr="00F63766" w14:paraId="4D88D567" w14:textId="77777777" w:rsidTr="00994C72">
        <w:tc>
          <w:tcPr>
            <w:tcW w:w="2721" w:type="dxa"/>
            <w:tcBorders>
              <w:top w:val="single" w:sz="4" w:space="0" w:color="auto"/>
              <w:left w:val="single" w:sz="4" w:space="0" w:color="auto"/>
              <w:bottom w:val="single" w:sz="4" w:space="0" w:color="auto"/>
              <w:right w:val="single" w:sz="4" w:space="0" w:color="auto"/>
            </w:tcBorders>
          </w:tcPr>
          <w:p w14:paraId="5964F799" w14:textId="601415AE" w:rsidR="0004000A" w:rsidRPr="00F63766" w:rsidRDefault="0004000A">
            <w:pPr>
              <w:pStyle w:val="Glossarytabletext"/>
              <w:rPr>
                <w:lang w:val="en-US" w:eastAsia="en-US"/>
              </w:rPr>
            </w:pPr>
            <w:r>
              <w:rPr>
                <w:lang w:val="en-US" w:eastAsia="en-US"/>
              </w:rPr>
              <w:t>IICA</w:t>
            </w:r>
          </w:p>
        </w:tc>
        <w:tc>
          <w:tcPr>
            <w:tcW w:w="3885" w:type="dxa"/>
            <w:tcBorders>
              <w:top w:val="single" w:sz="4" w:space="0" w:color="auto"/>
              <w:left w:val="single" w:sz="4" w:space="0" w:color="auto"/>
              <w:bottom w:val="single" w:sz="4" w:space="0" w:color="auto"/>
              <w:right w:val="single" w:sz="4" w:space="0" w:color="auto"/>
            </w:tcBorders>
          </w:tcPr>
          <w:p w14:paraId="117B9827" w14:textId="61539F53" w:rsidR="0004000A" w:rsidRPr="00F63766" w:rsidRDefault="0004000A">
            <w:pPr>
              <w:pStyle w:val="Glossarytabletext"/>
              <w:rPr>
                <w:lang w:val="en-US" w:eastAsia="en-US"/>
              </w:rPr>
            </w:pPr>
            <w:r w:rsidRPr="00F63766">
              <w:t>Industry Innovation and Competitiveness Agenda</w:t>
            </w:r>
          </w:p>
        </w:tc>
      </w:tr>
      <w:tr w:rsidR="00994C72" w:rsidRPr="00F63766" w14:paraId="25D4AB51" w14:textId="77777777" w:rsidTr="00994C72">
        <w:tc>
          <w:tcPr>
            <w:tcW w:w="2721" w:type="dxa"/>
            <w:tcBorders>
              <w:top w:val="single" w:sz="4" w:space="0" w:color="auto"/>
              <w:left w:val="single" w:sz="4" w:space="0" w:color="auto"/>
              <w:bottom w:val="single" w:sz="4" w:space="0" w:color="auto"/>
              <w:right w:val="single" w:sz="4" w:space="0" w:color="auto"/>
            </w:tcBorders>
          </w:tcPr>
          <w:p w14:paraId="04FC3840" w14:textId="77777777" w:rsidR="00994C72" w:rsidRPr="00F63766" w:rsidRDefault="00994C72">
            <w:pPr>
              <w:pStyle w:val="Glossarytabletext"/>
              <w:rPr>
                <w:lang w:val="en-US" w:eastAsia="en-US"/>
              </w:rPr>
            </w:pPr>
            <w:r w:rsidRPr="00F63766">
              <w:rPr>
                <w:lang w:val="en-US" w:eastAsia="en-US"/>
              </w:rPr>
              <w:t>ICCPR</w:t>
            </w:r>
          </w:p>
        </w:tc>
        <w:tc>
          <w:tcPr>
            <w:tcW w:w="3885" w:type="dxa"/>
            <w:tcBorders>
              <w:top w:val="single" w:sz="4" w:space="0" w:color="auto"/>
              <w:left w:val="single" w:sz="4" w:space="0" w:color="auto"/>
              <w:bottom w:val="single" w:sz="4" w:space="0" w:color="auto"/>
              <w:right w:val="single" w:sz="4" w:space="0" w:color="auto"/>
            </w:tcBorders>
          </w:tcPr>
          <w:p w14:paraId="5B069024" w14:textId="77777777" w:rsidR="00994C72" w:rsidRPr="00F63766" w:rsidRDefault="00994C72">
            <w:pPr>
              <w:pStyle w:val="Glossarytabletext"/>
              <w:rPr>
                <w:lang w:val="en-US" w:eastAsia="en-US"/>
              </w:rPr>
            </w:pPr>
            <w:r w:rsidRPr="00F63766">
              <w:rPr>
                <w:lang w:val="en-US" w:eastAsia="en-US"/>
              </w:rPr>
              <w:t>International Covenant on Civil and Political Rights</w:t>
            </w:r>
          </w:p>
        </w:tc>
      </w:tr>
    </w:tbl>
    <w:p w14:paraId="44F14B56" w14:textId="77777777" w:rsidR="00B9430C" w:rsidRPr="00F63766" w:rsidRDefault="00B9430C" w:rsidP="00B676BE">
      <w:pPr>
        <w:sectPr w:rsidR="00B9430C" w:rsidRPr="00F63766" w:rsidSect="00B676BE">
          <w:headerReference w:type="even" r:id="rId21"/>
          <w:headerReference w:type="default" r:id="rId22"/>
          <w:footerReference w:type="even" r:id="rId23"/>
          <w:footerReference w:type="default" r:id="rId24"/>
          <w:footerReference w:type="first" r:id="rId25"/>
          <w:type w:val="oddPage"/>
          <w:pgSz w:w="11906" w:h="16838" w:code="9"/>
          <w:pgMar w:top="2466" w:right="2098" w:bottom="2466" w:left="2098" w:header="1559" w:footer="1899" w:gutter="0"/>
          <w:pgNumType w:start="1"/>
          <w:cols w:space="708"/>
          <w:titlePg/>
          <w:docGrid w:linePitch="360"/>
        </w:sectPr>
      </w:pPr>
    </w:p>
    <w:p w14:paraId="01222512" w14:textId="77777777" w:rsidR="00B9430C" w:rsidRPr="00F63766" w:rsidRDefault="00B9430C" w:rsidP="00B676BE">
      <w:pPr>
        <w:pStyle w:val="Chapterheadingsubdocument"/>
      </w:pPr>
      <w:bookmarkStart w:id="3" w:name="_Toc435701579"/>
      <w:bookmarkStart w:id="4" w:name="_Toc436037549"/>
      <w:r w:rsidRPr="00F63766">
        <w:t>General outline and financial impact</w:t>
      </w:r>
      <w:bookmarkEnd w:id="3"/>
      <w:bookmarkEnd w:id="4"/>
    </w:p>
    <w:p w14:paraId="15F4CC61" w14:textId="77777777" w:rsidR="00B9430C" w:rsidRPr="00F63766" w:rsidRDefault="00B9430C" w:rsidP="00B676BE">
      <w:pPr>
        <w:pStyle w:val="Heading2"/>
      </w:pPr>
      <w:r w:rsidRPr="00F63766">
        <w:t>Overview</w:t>
      </w:r>
    </w:p>
    <w:p w14:paraId="6B51587D" w14:textId="7A8C1C82" w:rsidR="00B9430C" w:rsidRPr="00F63766" w:rsidRDefault="00B9430C" w:rsidP="00B676BE">
      <w:pPr>
        <w:pStyle w:val="base-text-paragraphnonumbers"/>
      </w:pPr>
      <w:r w:rsidRPr="00F63766">
        <w:t>Crowd</w:t>
      </w:r>
      <w:r w:rsidR="005E31F1" w:rsidRPr="00F63766">
        <w:noBreakHyphen/>
      </w:r>
      <w:r w:rsidRPr="00F63766">
        <w:t xml:space="preserve">sourced </w:t>
      </w:r>
      <w:r w:rsidR="00EE0F71" w:rsidRPr="00F63766">
        <w:t>funding (CSF) is</w:t>
      </w:r>
      <w:r w:rsidRPr="00F63766">
        <w:t xml:space="preserve"> an emerging form of funding that allows entrepreneurs to raise funds from a large number of investors. It has the potential to provide finance for innovative business ideas and additional investment opportunities for retail investors, while ensuring investors continue to have sufficient information to make informed investment decisions</w:t>
      </w:r>
      <w:r w:rsidR="00365F4F">
        <w:t xml:space="preserve"> (Chapter 1)</w:t>
      </w:r>
      <w:r w:rsidR="00F23F3E">
        <w:t xml:space="preserve">. </w:t>
      </w:r>
    </w:p>
    <w:p w14:paraId="2ABCA20B" w14:textId="7F74049B" w:rsidR="00EE0F71" w:rsidRPr="00F63766" w:rsidRDefault="00BE0A00" w:rsidP="00B676BE">
      <w:pPr>
        <w:pStyle w:val="base-text-paragraphnonumbers"/>
      </w:pPr>
      <w:r w:rsidRPr="00F63766">
        <w:t>Schedule 1</w:t>
      </w:r>
      <w:r w:rsidR="00F31466">
        <w:t xml:space="preserve"> </w:t>
      </w:r>
      <w:r w:rsidR="005940CB">
        <w:t>to</w:t>
      </w:r>
      <w:r w:rsidR="00B9430C" w:rsidRPr="00F63766">
        <w:t xml:space="preserve"> the </w:t>
      </w:r>
      <w:r w:rsidR="004807F8" w:rsidRPr="00F63766">
        <w:t>Corporations Amendment (Crowd-sourced Funding) Bill 2015</w:t>
      </w:r>
      <w:r w:rsidR="004807F8">
        <w:t xml:space="preserve"> (the </w:t>
      </w:r>
      <w:r w:rsidR="00B9430C" w:rsidRPr="00F63766">
        <w:t>Bill</w:t>
      </w:r>
      <w:r w:rsidR="004807F8">
        <w:t>)</w:t>
      </w:r>
      <w:r w:rsidR="00B9430C" w:rsidRPr="00F63766">
        <w:t xml:space="preserve"> amends the </w:t>
      </w:r>
      <w:r w:rsidR="00B9430C" w:rsidRPr="00F63766">
        <w:rPr>
          <w:i/>
        </w:rPr>
        <w:t>Corporations Act 2001</w:t>
      </w:r>
      <w:r w:rsidR="00B9430C" w:rsidRPr="00F63766">
        <w:t xml:space="preserve"> </w:t>
      </w:r>
      <w:r w:rsidR="00083039" w:rsidRPr="00F63766">
        <w:t>(</w:t>
      </w:r>
      <w:r w:rsidR="005E31F1" w:rsidRPr="00F63766">
        <w:t>t</w:t>
      </w:r>
      <w:r w:rsidR="00083039" w:rsidRPr="00F63766">
        <w:t>he Act) t</w:t>
      </w:r>
      <w:r w:rsidR="00B9430C" w:rsidRPr="00F63766">
        <w:t xml:space="preserve">o establish a regulatory framework to facilitate </w:t>
      </w:r>
      <w:r w:rsidR="004F531D">
        <w:t>CSF</w:t>
      </w:r>
      <w:r w:rsidR="00B9430C" w:rsidRPr="00F63766">
        <w:t xml:space="preserve"> by small, unlisted public companies.</w:t>
      </w:r>
      <w:r w:rsidR="00EE0F71" w:rsidRPr="00F63766">
        <w:t xml:space="preserve"> The CSF regime includes: </w:t>
      </w:r>
    </w:p>
    <w:p w14:paraId="21A14E00" w14:textId="2C434ABD" w:rsidR="005441B8" w:rsidRPr="00F63766" w:rsidRDefault="005441B8" w:rsidP="00AB375E">
      <w:pPr>
        <w:pStyle w:val="dotpoint"/>
      </w:pPr>
      <w:r w:rsidRPr="00F63766">
        <w:t>el</w:t>
      </w:r>
      <w:r w:rsidR="00216849" w:rsidRPr="00F63766">
        <w:t>i</w:t>
      </w:r>
      <w:r w:rsidRPr="00F63766">
        <w:t xml:space="preserve">gibility requirements for a company to fundraise via CSF, including disclosure requirements for CSF offers (Chapter </w:t>
      </w:r>
      <w:r w:rsidR="00576808" w:rsidRPr="00F63766">
        <w:t>2</w:t>
      </w:r>
      <w:r w:rsidRPr="00F63766">
        <w:t>);</w:t>
      </w:r>
    </w:p>
    <w:p w14:paraId="443A0CD9" w14:textId="2C9705F5" w:rsidR="00083039" w:rsidRPr="00F63766" w:rsidRDefault="005441B8" w:rsidP="00AB375E">
      <w:pPr>
        <w:pStyle w:val="dotpoint"/>
      </w:pPr>
      <w:r w:rsidRPr="00F63766">
        <w:t xml:space="preserve">obligations of a CSF intermediary in facilitating CSF offers (Chapter </w:t>
      </w:r>
      <w:r w:rsidR="00576808" w:rsidRPr="00F63766">
        <w:t>3</w:t>
      </w:r>
      <w:r w:rsidRPr="00F63766">
        <w:t>);</w:t>
      </w:r>
      <w:r w:rsidR="00EE0F71" w:rsidRPr="00F63766">
        <w:t xml:space="preserve">  </w:t>
      </w:r>
    </w:p>
    <w:p w14:paraId="020BB92D" w14:textId="38CC64EA" w:rsidR="005441B8" w:rsidRPr="00F63766" w:rsidRDefault="005441B8" w:rsidP="00AB375E">
      <w:pPr>
        <w:pStyle w:val="dotpoint"/>
      </w:pPr>
      <w:r w:rsidRPr="00F63766">
        <w:t xml:space="preserve">the process for making CSF offers (Chapter </w:t>
      </w:r>
      <w:r w:rsidR="00576808" w:rsidRPr="00F63766">
        <w:t>4</w:t>
      </w:r>
      <w:r w:rsidRPr="00F63766">
        <w:t>);</w:t>
      </w:r>
    </w:p>
    <w:p w14:paraId="16CBACBF" w14:textId="144847D7" w:rsidR="005441B8" w:rsidRPr="00F63766" w:rsidRDefault="005441B8" w:rsidP="00AB375E">
      <w:pPr>
        <w:pStyle w:val="dotpoint"/>
      </w:pPr>
      <w:r w:rsidRPr="00F63766">
        <w:t xml:space="preserve">rules relating to defective disclosure as part of a CSF offer (Chapter </w:t>
      </w:r>
      <w:r w:rsidR="00576808" w:rsidRPr="00F63766">
        <w:t>5</w:t>
      </w:r>
      <w:r w:rsidRPr="00F63766">
        <w:t>); and</w:t>
      </w:r>
    </w:p>
    <w:p w14:paraId="1EAED41D" w14:textId="33F8CCFC" w:rsidR="005441B8" w:rsidRPr="00F63766" w:rsidRDefault="005441B8" w:rsidP="00AB375E">
      <w:pPr>
        <w:pStyle w:val="dotpoint"/>
      </w:pPr>
      <w:proofErr w:type="gramStart"/>
      <w:r w:rsidRPr="00F63766">
        <w:t>investor</w:t>
      </w:r>
      <w:proofErr w:type="gramEnd"/>
      <w:r w:rsidRPr="00F63766">
        <w:t xml:space="preserve"> protection provisions (Chapter </w:t>
      </w:r>
      <w:r w:rsidR="00576808" w:rsidRPr="00F63766">
        <w:t>6</w:t>
      </w:r>
      <w:r w:rsidRPr="00F63766">
        <w:t xml:space="preserve">). </w:t>
      </w:r>
    </w:p>
    <w:p w14:paraId="7D3BF201" w14:textId="604A88DF" w:rsidR="00B832F7" w:rsidRDefault="00B832F7" w:rsidP="00B676BE">
      <w:pPr>
        <w:pStyle w:val="base-text-paragraphnonumbers"/>
      </w:pPr>
      <w:r>
        <w:t xml:space="preserve">Schedule 1 to the Bill also makes consequential amendments to the </w:t>
      </w:r>
      <w:r>
        <w:rPr>
          <w:i/>
        </w:rPr>
        <w:t>Australian Securities and Investments Commission Act 2001</w:t>
      </w:r>
      <w:r>
        <w:t xml:space="preserve"> </w:t>
      </w:r>
      <w:r w:rsidR="00905874">
        <w:t xml:space="preserve">(ASIC Act) </w:t>
      </w:r>
      <w:r>
        <w:t xml:space="preserve">to </w:t>
      </w:r>
      <w:r w:rsidR="00905874">
        <w:t xml:space="preserve">include a crowd-funding service, as defined in the Corporations Act, in the range of financial services covered by the ASIC </w:t>
      </w:r>
      <w:r w:rsidR="00905874" w:rsidRPr="00684854">
        <w:t>Act</w:t>
      </w:r>
    </w:p>
    <w:p w14:paraId="340C13E9" w14:textId="5AB8A6ED" w:rsidR="00B9430C" w:rsidRPr="00F63766" w:rsidRDefault="00B9430C" w:rsidP="00B676BE">
      <w:pPr>
        <w:pStyle w:val="base-text-paragraphnonumbers"/>
      </w:pPr>
      <w:r w:rsidRPr="00F63766">
        <w:t xml:space="preserve">Schedule </w:t>
      </w:r>
      <w:r w:rsidR="00BE0A00" w:rsidRPr="00F63766">
        <w:t>2</w:t>
      </w:r>
      <w:r w:rsidR="005940CB">
        <w:t xml:space="preserve"> to</w:t>
      </w:r>
      <w:r w:rsidRPr="00F63766">
        <w:t xml:space="preserve"> th</w:t>
      </w:r>
      <w:r w:rsidR="0033263A">
        <w:t>is</w:t>
      </w:r>
      <w:r w:rsidRPr="00F63766">
        <w:t xml:space="preserve"> Bill provides</w:t>
      </w:r>
      <w:r w:rsidR="00502D2A" w:rsidRPr="00F63766">
        <w:t xml:space="preserve"> new </w:t>
      </w:r>
      <w:r w:rsidR="0059428A" w:rsidRPr="00F63766">
        <w:t>public companies</w:t>
      </w:r>
      <w:r w:rsidRPr="00F63766">
        <w:t xml:space="preserve"> </w:t>
      </w:r>
      <w:r w:rsidR="00502D2A" w:rsidRPr="00F63766">
        <w:t xml:space="preserve">that are eligible to crowd fund </w:t>
      </w:r>
      <w:r w:rsidRPr="00F63766">
        <w:t xml:space="preserve">with temporary relief from the reporting and corporate governance requirements that would usually </w:t>
      </w:r>
      <w:r w:rsidR="00502D2A" w:rsidRPr="00F63766">
        <w:t xml:space="preserve">apply </w:t>
      </w:r>
      <w:r w:rsidR="005441B8" w:rsidRPr="00F63766">
        <w:t xml:space="preserve">(Chapter </w:t>
      </w:r>
      <w:r w:rsidR="00576808" w:rsidRPr="00F63766">
        <w:t>7</w:t>
      </w:r>
      <w:r w:rsidR="005441B8" w:rsidRPr="00F63766">
        <w:t>)</w:t>
      </w:r>
      <w:r w:rsidRPr="00F63766">
        <w:t>.</w:t>
      </w:r>
      <w:r w:rsidR="00502D2A" w:rsidRPr="00F63766">
        <w:t xml:space="preserve"> These concessions provide temporary relief to these companies to support the CSF regime by reducing the potential barriers to adopting the required public company structure.   </w:t>
      </w:r>
    </w:p>
    <w:p w14:paraId="7C2DAEFD" w14:textId="77777777" w:rsidR="002215D8" w:rsidRDefault="002215D8">
      <w:pPr>
        <w:spacing w:before="0" w:after="0"/>
      </w:pPr>
      <w:r>
        <w:br w:type="page"/>
      </w:r>
    </w:p>
    <w:p w14:paraId="4E648E09" w14:textId="28706DB6" w:rsidR="00083039" w:rsidRPr="00F63766" w:rsidRDefault="00083039" w:rsidP="00083039">
      <w:pPr>
        <w:pStyle w:val="base-text-paragraphnonumbers"/>
      </w:pPr>
      <w:r w:rsidRPr="00F63766">
        <w:t xml:space="preserve">Schedule </w:t>
      </w:r>
      <w:r w:rsidR="00BE0A00" w:rsidRPr="00F63766">
        <w:t>3</w:t>
      </w:r>
      <w:r w:rsidR="005940CB">
        <w:t xml:space="preserve"> to</w:t>
      </w:r>
      <w:r w:rsidR="0033263A">
        <w:t xml:space="preserve"> this</w:t>
      </w:r>
      <w:r w:rsidR="0059428A" w:rsidRPr="00F63766">
        <w:t xml:space="preserve"> Bill amends the Act to provide greater flexibility in </w:t>
      </w:r>
      <w:r w:rsidR="00717289" w:rsidRPr="00F63766">
        <w:t xml:space="preserve">the </w:t>
      </w:r>
      <w:r w:rsidR="0059428A" w:rsidRPr="00F63766">
        <w:t xml:space="preserve">Australian Market Licence (AML) </w:t>
      </w:r>
      <w:r w:rsidR="00BE0A00" w:rsidRPr="00F63766">
        <w:t xml:space="preserve">and clearing and settlement </w:t>
      </w:r>
      <w:r w:rsidR="004807F8">
        <w:t xml:space="preserve">facility </w:t>
      </w:r>
      <w:r w:rsidR="00BE0A00" w:rsidRPr="00F63766">
        <w:t xml:space="preserve">licencing </w:t>
      </w:r>
      <w:r w:rsidR="0059428A" w:rsidRPr="00F63766">
        <w:t>regime</w:t>
      </w:r>
      <w:r w:rsidR="00BE0A00" w:rsidRPr="00F63766">
        <w:t>s</w:t>
      </w:r>
      <w:r w:rsidR="0059428A" w:rsidRPr="00F63766">
        <w:t xml:space="preserve">. Under the changes, the Minister would be able </w:t>
      </w:r>
      <w:r w:rsidR="004807F8">
        <w:t xml:space="preserve">to </w:t>
      </w:r>
      <w:r w:rsidR="0059428A" w:rsidRPr="00F63766">
        <w:t xml:space="preserve">provide that certain </w:t>
      </w:r>
      <w:r w:rsidR="004A4B7C">
        <w:t>financial</w:t>
      </w:r>
      <w:r w:rsidR="008803AD" w:rsidRPr="00F63766">
        <w:t xml:space="preserve"> </w:t>
      </w:r>
      <w:r w:rsidR="0059428A" w:rsidRPr="00F63766">
        <w:t>market</w:t>
      </w:r>
      <w:r w:rsidR="004A4B7C">
        <w:t xml:space="preserve"> and clearing and settlement facility</w:t>
      </w:r>
      <w:r w:rsidR="0059428A" w:rsidRPr="00F63766">
        <w:t xml:space="preserve"> operators are exempt from some of the requirements in Chapter 7 of the Act.</w:t>
      </w:r>
      <w:r w:rsidR="000F51B3" w:rsidRPr="00F63766">
        <w:t xml:space="preserve"> Providing for this flexibility is necessary to enable secondary trading markets</w:t>
      </w:r>
      <w:r w:rsidR="00717289" w:rsidRPr="00F63766">
        <w:t xml:space="preserve"> for CSF securities</w:t>
      </w:r>
      <w:r w:rsidR="000F51B3" w:rsidRPr="00F63766">
        <w:t xml:space="preserve"> to be licensed once the CSF regime is established. The flexibility would also facilitate the development of other </w:t>
      </w:r>
      <w:r w:rsidR="00C1665E" w:rsidRPr="00F63766">
        <w:t>emerging</w:t>
      </w:r>
      <w:r w:rsidR="004A4B7C">
        <w:t xml:space="preserve"> or specialised</w:t>
      </w:r>
      <w:r w:rsidR="00C1665E" w:rsidRPr="00F63766">
        <w:t xml:space="preserve"> markets as they would be subjected to a regulatory regime tailored to best </w:t>
      </w:r>
      <w:r w:rsidR="00717289" w:rsidRPr="00F63766">
        <w:t>address</w:t>
      </w:r>
      <w:r w:rsidR="00C1665E" w:rsidRPr="00F63766">
        <w:t xml:space="preserve"> their activities.  </w:t>
      </w:r>
    </w:p>
    <w:p w14:paraId="02A9D88C" w14:textId="5C527523" w:rsidR="00B9430C" w:rsidRPr="00F63766" w:rsidRDefault="00B9430C" w:rsidP="009962A4">
      <w:pPr>
        <w:pStyle w:val="base-text-paragraphnonumbers"/>
      </w:pPr>
      <w:r w:rsidRPr="00F63766">
        <w:rPr>
          <w:rStyle w:val="BoldItalic"/>
        </w:rPr>
        <w:t>Date of effect</w:t>
      </w:r>
      <w:r w:rsidRPr="00F63766">
        <w:rPr>
          <w:rStyle w:val="base-text-paragraphChar"/>
        </w:rPr>
        <w:t xml:space="preserve">:  </w:t>
      </w:r>
      <w:r w:rsidRPr="00F63766">
        <w:t xml:space="preserve">The amendments </w:t>
      </w:r>
      <w:r w:rsidR="00AC3D95">
        <w:t>in Schedules 1 and 2 to</w:t>
      </w:r>
      <w:r w:rsidR="0033263A">
        <w:t xml:space="preserve"> this</w:t>
      </w:r>
      <w:r w:rsidR="00D3202F">
        <w:t xml:space="preserve"> Bill </w:t>
      </w:r>
      <w:r w:rsidR="00D3202F" w:rsidRPr="00F63766">
        <w:t>will commence</w:t>
      </w:r>
      <w:r w:rsidR="00D3202F">
        <w:t xml:space="preserve"> on a day to be fixed by Proclamation. If the </w:t>
      </w:r>
      <w:r w:rsidR="00546815">
        <w:t>amendments</w:t>
      </w:r>
      <w:r w:rsidR="00D3202F">
        <w:t xml:space="preserve"> do not commence within</w:t>
      </w:r>
      <w:r w:rsidR="00D3202F" w:rsidRPr="00F63766">
        <w:t xml:space="preserve"> six months from the date of Royal Assent</w:t>
      </w:r>
      <w:r w:rsidR="00D3202F">
        <w:t xml:space="preserve">, they will commence on the day after </w:t>
      </w:r>
      <w:r w:rsidR="00546815">
        <w:t xml:space="preserve">the end of the period of six months after </w:t>
      </w:r>
      <w:r w:rsidR="00D3202F">
        <w:t>Royal Assent</w:t>
      </w:r>
      <w:r w:rsidR="00D3202F" w:rsidRPr="00F63766">
        <w:t>.</w:t>
      </w:r>
      <w:r w:rsidR="00D3202F">
        <w:t xml:space="preserve"> The amendments in Schedule 3 will commence on the day after Royal Assent.</w:t>
      </w:r>
    </w:p>
    <w:p w14:paraId="48E52E34" w14:textId="6063A1BB" w:rsidR="00B9430C" w:rsidRPr="00F63766" w:rsidRDefault="00B9430C" w:rsidP="00B676BE">
      <w:pPr>
        <w:pStyle w:val="base-text-paragraphnonumbers"/>
      </w:pPr>
      <w:r w:rsidRPr="00F63766">
        <w:rPr>
          <w:rStyle w:val="BoldItalic"/>
        </w:rPr>
        <w:t>Proposal announced</w:t>
      </w:r>
      <w:r w:rsidRPr="00F63766">
        <w:rPr>
          <w:rStyle w:val="base-text-paragraphChar"/>
        </w:rPr>
        <w:t>:  The measures we</w:t>
      </w:r>
      <w:r w:rsidR="0033263A">
        <w:rPr>
          <w:rStyle w:val="base-text-paragraphChar"/>
        </w:rPr>
        <w:t>re included as part of the 2015</w:t>
      </w:r>
      <w:r w:rsidR="0033263A">
        <w:rPr>
          <w:rStyle w:val="base-text-paragraphChar"/>
        </w:rPr>
        <w:noBreakHyphen/>
      </w:r>
      <w:r w:rsidRPr="00F63766">
        <w:rPr>
          <w:rStyle w:val="base-text-paragraphChar"/>
        </w:rPr>
        <w:t>16</w:t>
      </w:r>
      <w:r w:rsidR="0033263A">
        <w:rPr>
          <w:rStyle w:val="base-text-paragraphChar"/>
        </w:rPr>
        <w:t> </w:t>
      </w:r>
      <w:r w:rsidRPr="00F63766">
        <w:rPr>
          <w:rStyle w:val="base-text-paragraphChar"/>
        </w:rPr>
        <w:t>Budget.</w:t>
      </w:r>
    </w:p>
    <w:p w14:paraId="1B2A5557" w14:textId="77777777" w:rsidR="00502D2A" w:rsidRPr="00F63766" w:rsidRDefault="00B9430C" w:rsidP="00B676BE">
      <w:pPr>
        <w:pStyle w:val="base-text-paragraphnonumbers"/>
      </w:pPr>
      <w:r w:rsidRPr="00F63766">
        <w:rPr>
          <w:rStyle w:val="BoldItalic"/>
        </w:rPr>
        <w:t>Financial impact</w:t>
      </w:r>
      <w:r w:rsidRPr="00F63766">
        <w:rPr>
          <w:rStyle w:val="base-text-paragraphChar"/>
        </w:rPr>
        <w:t xml:space="preserve">:  </w:t>
      </w:r>
      <w:r w:rsidR="00502D2A" w:rsidRPr="00F63766">
        <w:t>The measure has the following financial impact:</w:t>
      </w:r>
    </w:p>
    <w:tbl>
      <w:tblPr>
        <w:tblStyle w:val="TableGrid"/>
        <w:tblW w:w="0" w:type="auto"/>
        <w:tblInd w:w="1134" w:type="dxa"/>
        <w:tblLook w:val="04A0" w:firstRow="1" w:lastRow="0" w:firstColumn="1" w:lastColumn="0" w:noHBand="0" w:noVBand="1"/>
      </w:tblPr>
      <w:tblGrid>
        <w:gridCol w:w="1698"/>
        <w:gridCol w:w="1698"/>
        <w:gridCol w:w="1698"/>
        <w:gridCol w:w="1698"/>
      </w:tblGrid>
      <w:tr w:rsidR="00502D2A" w:rsidRPr="00F63766" w14:paraId="5A6CBD24" w14:textId="77777777" w:rsidTr="00B676BE">
        <w:tc>
          <w:tcPr>
            <w:tcW w:w="1981" w:type="dxa"/>
          </w:tcPr>
          <w:p w14:paraId="4218A9EC" w14:textId="77777777" w:rsidR="00502D2A" w:rsidRPr="00F63766" w:rsidRDefault="00502D2A" w:rsidP="00B676BE">
            <w:pPr>
              <w:pStyle w:val="base-text-paragraphnonumbers"/>
              <w:ind w:left="0"/>
              <w:rPr>
                <w:b/>
                <w:i/>
              </w:rPr>
            </w:pPr>
            <w:r w:rsidRPr="00F63766">
              <w:rPr>
                <w:b/>
                <w:i/>
              </w:rPr>
              <w:t>2015-16</w:t>
            </w:r>
          </w:p>
        </w:tc>
        <w:tc>
          <w:tcPr>
            <w:tcW w:w="1981" w:type="dxa"/>
          </w:tcPr>
          <w:p w14:paraId="473B88DE" w14:textId="77777777" w:rsidR="00502D2A" w:rsidRPr="00F63766" w:rsidRDefault="00502D2A" w:rsidP="00B676BE">
            <w:pPr>
              <w:pStyle w:val="base-text-paragraphnonumbers"/>
              <w:ind w:left="0"/>
              <w:rPr>
                <w:b/>
                <w:i/>
              </w:rPr>
            </w:pPr>
            <w:r w:rsidRPr="00F63766">
              <w:rPr>
                <w:b/>
                <w:i/>
              </w:rPr>
              <w:t>2016-17</w:t>
            </w:r>
          </w:p>
        </w:tc>
        <w:tc>
          <w:tcPr>
            <w:tcW w:w="1982" w:type="dxa"/>
          </w:tcPr>
          <w:p w14:paraId="51FE8716" w14:textId="77777777" w:rsidR="00502D2A" w:rsidRPr="00F63766" w:rsidRDefault="00502D2A" w:rsidP="00B676BE">
            <w:pPr>
              <w:pStyle w:val="base-text-paragraphnonumbers"/>
              <w:ind w:left="0"/>
              <w:rPr>
                <w:b/>
                <w:i/>
              </w:rPr>
            </w:pPr>
            <w:r w:rsidRPr="00F63766">
              <w:rPr>
                <w:b/>
                <w:i/>
              </w:rPr>
              <w:t>2017-18</w:t>
            </w:r>
          </w:p>
        </w:tc>
        <w:tc>
          <w:tcPr>
            <w:tcW w:w="1982" w:type="dxa"/>
          </w:tcPr>
          <w:p w14:paraId="2C913A0D" w14:textId="77777777" w:rsidR="00502D2A" w:rsidRPr="00F63766" w:rsidRDefault="00502D2A" w:rsidP="00B676BE">
            <w:pPr>
              <w:pStyle w:val="base-text-paragraphnonumbers"/>
              <w:ind w:left="0"/>
              <w:rPr>
                <w:b/>
                <w:i/>
              </w:rPr>
            </w:pPr>
            <w:r w:rsidRPr="00F63766">
              <w:rPr>
                <w:b/>
                <w:i/>
              </w:rPr>
              <w:t>2018-19</w:t>
            </w:r>
          </w:p>
        </w:tc>
      </w:tr>
      <w:tr w:rsidR="00502D2A" w:rsidRPr="00F63766" w14:paraId="3B4F300C" w14:textId="77777777" w:rsidTr="00B676BE">
        <w:tc>
          <w:tcPr>
            <w:tcW w:w="1981" w:type="dxa"/>
          </w:tcPr>
          <w:p w14:paraId="18A105AB" w14:textId="3FF5442B" w:rsidR="00502D2A" w:rsidRPr="00F63766" w:rsidRDefault="005E31F1" w:rsidP="00B676BE">
            <w:pPr>
              <w:pStyle w:val="base-text-paragraphnonumbers"/>
              <w:ind w:left="0"/>
            </w:pPr>
            <w:r w:rsidRPr="00F63766">
              <w:t>-</w:t>
            </w:r>
            <w:r w:rsidR="00502D2A" w:rsidRPr="00F63766">
              <w:t>2.6</w:t>
            </w:r>
          </w:p>
        </w:tc>
        <w:tc>
          <w:tcPr>
            <w:tcW w:w="1981" w:type="dxa"/>
          </w:tcPr>
          <w:p w14:paraId="746320B3" w14:textId="25D5D384" w:rsidR="00502D2A" w:rsidRPr="00F63766" w:rsidRDefault="005E31F1" w:rsidP="00B676BE">
            <w:pPr>
              <w:pStyle w:val="base-text-paragraphnonumbers"/>
              <w:ind w:left="0"/>
            </w:pPr>
            <w:r w:rsidRPr="00F63766">
              <w:t>-</w:t>
            </w:r>
            <w:r w:rsidR="00502D2A" w:rsidRPr="00F63766">
              <w:t>1.8</w:t>
            </w:r>
          </w:p>
        </w:tc>
        <w:tc>
          <w:tcPr>
            <w:tcW w:w="1982" w:type="dxa"/>
          </w:tcPr>
          <w:p w14:paraId="19EA59FB" w14:textId="6758EF35" w:rsidR="00502D2A" w:rsidRPr="00F63766" w:rsidRDefault="005E31F1" w:rsidP="00B676BE">
            <w:pPr>
              <w:pStyle w:val="base-text-paragraphnonumbers"/>
              <w:ind w:left="0"/>
            </w:pPr>
            <w:r w:rsidRPr="00F63766">
              <w:t>-</w:t>
            </w:r>
            <w:r w:rsidR="00502D2A" w:rsidRPr="00F63766">
              <w:t>1.7</w:t>
            </w:r>
          </w:p>
        </w:tc>
        <w:tc>
          <w:tcPr>
            <w:tcW w:w="1982" w:type="dxa"/>
          </w:tcPr>
          <w:p w14:paraId="4E8ABBB0" w14:textId="4454A474" w:rsidR="00502D2A" w:rsidRPr="00F63766" w:rsidRDefault="005E31F1" w:rsidP="00B676BE">
            <w:pPr>
              <w:pStyle w:val="base-text-paragraphnonumbers"/>
              <w:ind w:left="0"/>
            </w:pPr>
            <w:r w:rsidRPr="00F63766">
              <w:t>-</w:t>
            </w:r>
            <w:r w:rsidR="00502D2A" w:rsidRPr="00F63766">
              <w:t>1.6</w:t>
            </w:r>
          </w:p>
        </w:tc>
      </w:tr>
    </w:tbl>
    <w:p w14:paraId="67F2FF6B" w14:textId="694FFA44" w:rsidR="00B9430C" w:rsidRPr="00F63766" w:rsidRDefault="00B9430C" w:rsidP="00B676BE">
      <w:pPr>
        <w:pStyle w:val="base-text-paragraphnonumbers"/>
      </w:pPr>
      <w:r w:rsidRPr="00F63766">
        <w:rPr>
          <w:rStyle w:val="BoldItalic"/>
        </w:rPr>
        <w:t>Human rights implications</w:t>
      </w:r>
      <w:r w:rsidRPr="00F63766">
        <w:t xml:space="preserve">:  This </w:t>
      </w:r>
      <w:r w:rsidR="00AF32D0" w:rsidRPr="00F63766">
        <w:t xml:space="preserve">Bill </w:t>
      </w:r>
      <w:r w:rsidR="00182AA0" w:rsidRPr="00F63766">
        <w:t>r</w:t>
      </w:r>
      <w:r w:rsidR="00AF32D0" w:rsidRPr="00F63766">
        <w:t xml:space="preserve">aises </w:t>
      </w:r>
      <w:r w:rsidR="004807F8">
        <w:t xml:space="preserve">a </w:t>
      </w:r>
      <w:r w:rsidRPr="00F63766">
        <w:t xml:space="preserve">human rights issue. See </w:t>
      </w:r>
      <w:r w:rsidRPr="00F63766">
        <w:rPr>
          <w:i/>
        </w:rPr>
        <w:t>Statement of Compatibility with Human Rights</w:t>
      </w:r>
      <w:r w:rsidRPr="00F63766">
        <w:t xml:space="preserve"> — Chapter </w:t>
      </w:r>
      <w:r w:rsidR="00AF32D0" w:rsidRPr="00F63766">
        <w:t xml:space="preserve">10, </w:t>
      </w:r>
      <w:r w:rsidRPr="00B145FD">
        <w:t>paragraphs</w:t>
      </w:r>
      <w:r w:rsidR="00A87495" w:rsidRPr="00B145FD">
        <w:t> </w:t>
      </w:r>
      <w:r w:rsidR="00AF32D0" w:rsidRPr="00B145FD">
        <w:t>10.</w:t>
      </w:r>
      <w:r w:rsidR="0033263A">
        <w:t>1</w:t>
      </w:r>
      <w:r w:rsidR="00AF32D0" w:rsidRPr="00B145FD">
        <w:t>-10.12.</w:t>
      </w:r>
    </w:p>
    <w:p w14:paraId="703D9B83" w14:textId="20E1B3FC" w:rsidR="00B9430C" w:rsidRPr="00F63766" w:rsidRDefault="00B9430C" w:rsidP="00B676BE">
      <w:pPr>
        <w:pStyle w:val="base-text-paragraphnonumbers"/>
      </w:pPr>
      <w:r w:rsidRPr="00F63766">
        <w:rPr>
          <w:rStyle w:val="BoldItalic"/>
        </w:rPr>
        <w:t>Compliance cost impact</w:t>
      </w:r>
      <w:r w:rsidRPr="00F63766">
        <w:rPr>
          <w:rStyle w:val="base-text-paragraphChar"/>
        </w:rPr>
        <w:t xml:space="preserve">:  </w:t>
      </w:r>
      <w:r w:rsidR="00745E41" w:rsidRPr="00F63766">
        <w:t>Th</w:t>
      </w:r>
      <w:r w:rsidR="004807F8">
        <w:t>e</w:t>
      </w:r>
      <w:r w:rsidR="00745E41" w:rsidRPr="00F63766">
        <w:t xml:space="preserve"> compliance costs associated with this Bill are $54.0 million for the </w:t>
      </w:r>
      <w:r w:rsidR="00F9072C">
        <w:t>CSF</w:t>
      </w:r>
      <w:r w:rsidR="00745E41" w:rsidRPr="00F63766">
        <w:t xml:space="preserve"> model, and a further $0.6</w:t>
      </w:r>
      <w:r w:rsidR="00B659B3">
        <w:t> </w:t>
      </w:r>
      <w:r w:rsidR="00745E41" w:rsidRPr="00F63766">
        <w:t>million for changes to the AML regime. This has been fully offset from within the Treasury portfolio.</w:t>
      </w:r>
    </w:p>
    <w:p w14:paraId="69464A37" w14:textId="77777777" w:rsidR="00982F42" w:rsidRDefault="00982F42">
      <w:pPr>
        <w:spacing w:before="0" w:after="0"/>
        <w:rPr>
          <w:rFonts w:ascii="Helvetica" w:hAnsi="Helvetica"/>
          <w:b/>
          <w:sz w:val="26"/>
        </w:rPr>
      </w:pPr>
      <w:r>
        <w:br w:type="page"/>
      </w:r>
    </w:p>
    <w:p w14:paraId="0683E329" w14:textId="77777777" w:rsidR="00B9430C" w:rsidRPr="00F63766" w:rsidRDefault="00B9430C" w:rsidP="00B676BE">
      <w:pPr>
        <w:pStyle w:val="Heading2"/>
      </w:pPr>
      <w:r w:rsidRPr="00F63766">
        <w:t>Summary of regulation impact statement</w:t>
      </w:r>
    </w:p>
    <w:p w14:paraId="0CAE4509" w14:textId="77777777" w:rsidR="00B9430C" w:rsidRPr="00F63766" w:rsidRDefault="00B9430C" w:rsidP="00B676BE">
      <w:pPr>
        <w:pStyle w:val="Heading3"/>
      </w:pPr>
      <w:r w:rsidRPr="00F63766">
        <w:t>Regulation impact on business</w:t>
      </w:r>
    </w:p>
    <w:p w14:paraId="149B1309" w14:textId="0DC27FD3" w:rsidR="00B9430C" w:rsidRPr="00F63766" w:rsidRDefault="00B9430C" w:rsidP="00B676BE">
      <w:pPr>
        <w:pStyle w:val="base-text-paragraphnonumbers"/>
      </w:pPr>
      <w:r w:rsidRPr="00F63766">
        <w:rPr>
          <w:rStyle w:val="BoldItalic"/>
        </w:rPr>
        <w:t>Impact</w:t>
      </w:r>
      <w:r w:rsidRPr="00F63766">
        <w:rPr>
          <w:rStyle w:val="base-text-paragraphChar"/>
        </w:rPr>
        <w:t xml:space="preserve">:  </w:t>
      </w:r>
      <w:r w:rsidR="001B39C3" w:rsidRPr="00F63766">
        <w:t xml:space="preserve">This Bill will remove regulatory barriers to </w:t>
      </w:r>
      <w:r w:rsidR="00F9072C">
        <w:t>CSF</w:t>
      </w:r>
      <w:r w:rsidR="00256C59" w:rsidRPr="00F63766">
        <w:t>, and will make available a new funding source for business</w:t>
      </w:r>
      <w:r w:rsidR="005E31F1" w:rsidRPr="00F63766">
        <w:t>es</w:t>
      </w:r>
      <w:r w:rsidR="00256C59" w:rsidRPr="00F63766">
        <w:t>. It is expected that the overall ‘per business’ compliance costs for issuers that participate in crowd-source</w:t>
      </w:r>
      <w:r w:rsidR="00E95D45">
        <w:t xml:space="preserve">d </w:t>
      </w:r>
      <w:r w:rsidR="00256C59" w:rsidRPr="00F63766">
        <w:t xml:space="preserve">funding will decline. However, given the likely growth in the number of businesses raising funds through these arrangements, the aggregate compliance burden over the economy is expected to increase.  </w:t>
      </w:r>
      <w:r w:rsidR="001B39C3" w:rsidRPr="00F63766">
        <w:t xml:space="preserve"> </w:t>
      </w:r>
    </w:p>
    <w:p w14:paraId="1C35EC8E" w14:textId="3DA4DF6E" w:rsidR="00B9430C" w:rsidRPr="00F63766" w:rsidRDefault="00B9430C" w:rsidP="00B676BE">
      <w:pPr>
        <w:pStyle w:val="base-text-paragraphnonumbers"/>
        <w:rPr>
          <w:rStyle w:val="BoldItalic"/>
        </w:rPr>
      </w:pPr>
      <w:r w:rsidRPr="00F63766">
        <w:rPr>
          <w:rStyle w:val="BoldItalic"/>
        </w:rPr>
        <w:t>Main points</w:t>
      </w:r>
      <w:r w:rsidRPr="00F63766">
        <w:rPr>
          <w:rStyle w:val="base-text-paragraphChar"/>
        </w:rPr>
        <w:t>:</w:t>
      </w:r>
    </w:p>
    <w:p w14:paraId="5BC0C479" w14:textId="35A7DAF6" w:rsidR="00B9430C" w:rsidRPr="00F63766" w:rsidRDefault="00E82462" w:rsidP="00B676BE">
      <w:pPr>
        <w:pStyle w:val="dotpoint"/>
      </w:pPr>
      <w:r w:rsidRPr="00F63766">
        <w:t xml:space="preserve">This measure recognises that regulatory impediments are the primary barrier to </w:t>
      </w:r>
      <w:r w:rsidR="00F9072C">
        <w:t>CSF</w:t>
      </w:r>
      <w:r w:rsidRPr="00F63766">
        <w:t xml:space="preserve"> in Australia. This Bill provides a model to reduce these regulatory barriers.</w:t>
      </w:r>
    </w:p>
    <w:p w14:paraId="0D3E3B57" w14:textId="4639AC47" w:rsidR="00B9430C" w:rsidRPr="00F63766" w:rsidRDefault="00E82462" w:rsidP="00B676BE">
      <w:pPr>
        <w:pStyle w:val="dotpoint"/>
      </w:pPr>
      <w:r w:rsidRPr="00F63766">
        <w:t>Three models are discussed in the regulation impact statement – the model proposed by the Corporations and Markets Advisory Committee</w:t>
      </w:r>
      <w:r w:rsidR="0059064F" w:rsidRPr="00F63766">
        <w:t xml:space="preserve"> (CAMAC)</w:t>
      </w:r>
      <w:r w:rsidRPr="00F63766">
        <w:t xml:space="preserve"> </w:t>
      </w:r>
      <w:r w:rsidR="0059064F" w:rsidRPr="00F63766">
        <w:t xml:space="preserve">2013 review of </w:t>
      </w:r>
      <w:r w:rsidR="002940B6">
        <w:t>crowd-funding</w:t>
      </w:r>
      <w:r w:rsidR="0059064F" w:rsidRPr="00F63766">
        <w:t xml:space="preserve"> in Australia, the model adopted in New Zealand, and a </w:t>
      </w:r>
      <w:r w:rsidR="005E31F1" w:rsidRPr="00F63766">
        <w:t xml:space="preserve">post-consultation </w:t>
      </w:r>
      <w:r w:rsidR="0059064F" w:rsidRPr="00F63766">
        <w:t>model. These are considered against the status quo.</w:t>
      </w:r>
    </w:p>
    <w:p w14:paraId="277722DE" w14:textId="1AFC1BEB" w:rsidR="00B9430C" w:rsidRPr="00F63766" w:rsidRDefault="0059064F" w:rsidP="00B676BE">
      <w:pPr>
        <w:pStyle w:val="dotpoint"/>
      </w:pPr>
      <w:r w:rsidRPr="00F63766">
        <w:t xml:space="preserve">The model in the Bill is the </w:t>
      </w:r>
      <w:r w:rsidR="005E31F1" w:rsidRPr="00F63766">
        <w:t xml:space="preserve">post-consultation </w:t>
      </w:r>
      <w:r w:rsidRPr="00F63766">
        <w:t>model, which has the greatest net benefit.</w:t>
      </w:r>
    </w:p>
    <w:p w14:paraId="20816336" w14:textId="2294172A" w:rsidR="00B9430C" w:rsidRPr="00F63766" w:rsidRDefault="0059064F" w:rsidP="00B676BE">
      <w:pPr>
        <w:pStyle w:val="dotpoint"/>
      </w:pPr>
      <w:r w:rsidRPr="00F63766">
        <w:t xml:space="preserve">The regulation impact statement details the three stages of consultation undertaken over 2014 and 2015 in considering and refining this model.  This included an options paper released in December </w:t>
      </w:r>
      <w:proofErr w:type="gramStart"/>
      <w:r w:rsidRPr="00F63766">
        <w:t>2014,</w:t>
      </w:r>
      <w:proofErr w:type="gramEnd"/>
      <w:r w:rsidRPr="00F63766">
        <w:t xml:space="preserve"> a detailed consultation</w:t>
      </w:r>
      <w:r w:rsidR="005370E1">
        <w:t xml:space="preserve"> paper</w:t>
      </w:r>
      <w:r w:rsidRPr="00F63766">
        <w:t xml:space="preserve"> with a proposed model released in August 2015, and targeted consultation on the draft legislation in November 2015.</w:t>
      </w:r>
    </w:p>
    <w:p w14:paraId="1EC7C9D0" w14:textId="5C350BA6" w:rsidR="00B9430C" w:rsidRPr="00F63766" w:rsidRDefault="0059064F" w:rsidP="00B676BE">
      <w:pPr>
        <w:pStyle w:val="dotpoint"/>
      </w:pPr>
      <w:r w:rsidRPr="00F63766">
        <w:t xml:space="preserve">The framework will be implemented through this Bill and associated regulations. The Government and </w:t>
      </w:r>
      <w:r w:rsidR="005E31F1" w:rsidRPr="00F63766">
        <w:t xml:space="preserve">the </w:t>
      </w:r>
      <w:r w:rsidRPr="00F63766">
        <w:t>Australian Securities and Investments Commission (ASIC) will continue to monitor the regime to ensure the changes to the law are operating as intended.</w:t>
      </w:r>
    </w:p>
    <w:p w14:paraId="1BDB8DDD" w14:textId="77777777" w:rsidR="0033263A" w:rsidRDefault="0033263A" w:rsidP="00B676BE">
      <w:pPr>
        <w:pStyle w:val="Header"/>
        <w:spacing w:before="0" w:after="0"/>
        <w:rPr>
          <w:color w:val="FF0000"/>
        </w:rPr>
        <w:sectPr w:rsidR="0033263A" w:rsidSect="00B676BE">
          <w:headerReference w:type="even" r:id="rId26"/>
          <w:headerReference w:type="default" r:id="rId27"/>
          <w:footerReference w:type="even" r:id="rId28"/>
          <w:footerReference w:type="default" r:id="rId29"/>
          <w:footerReference w:type="first" r:id="rId30"/>
          <w:type w:val="oddPage"/>
          <w:pgSz w:w="11906" w:h="16838" w:code="9"/>
          <w:pgMar w:top="2466" w:right="2098" w:bottom="2466" w:left="2098" w:header="1559" w:footer="1899" w:gutter="0"/>
          <w:cols w:space="708"/>
          <w:titlePg/>
          <w:docGrid w:linePitch="360"/>
        </w:sectPr>
      </w:pPr>
    </w:p>
    <w:p w14:paraId="21344475" w14:textId="10134808" w:rsidR="00717289" w:rsidRPr="00F63766" w:rsidRDefault="00717289" w:rsidP="00B676BE">
      <w:pPr>
        <w:pStyle w:val="ChapterHeading"/>
        <w:tabs>
          <w:tab w:val="clear" w:pos="1134"/>
          <w:tab w:val="num" w:pos="360"/>
        </w:tabs>
      </w:pPr>
      <w:bookmarkStart w:id="5" w:name="_Toc435701580"/>
      <w:bookmarkStart w:id="6" w:name="_Toc436037550"/>
      <w:r w:rsidRPr="00F63766">
        <w:t>Background</w:t>
      </w:r>
      <w:bookmarkEnd w:id="5"/>
      <w:bookmarkEnd w:id="6"/>
    </w:p>
    <w:p w14:paraId="6D330AF4" w14:textId="77777777" w:rsidR="00717289" w:rsidRPr="00F63766" w:rsidRDefault="00717289" w:rsidP="00B676BE">
      <w:pPr>
        <w:pStyle w:val="Heading2"/>
      </w:pPr>
      <w:r w:rsidRPr="00F63766">
        <w:t>Outline of chapter</w:t>
      </w:r>
    </w:p>
    <w:p w14:paraId="5A38134C" w14:textId="77777777" w:rsidR="00717289" w:rsidRPr="00F63766" w:rsidRDefault="00717289" w:rsidP="00717289">
      <w:pPr>
        <w:pStyle w:val="base-text-paragraph"/>
      </w:pPr>
      <w:r w:rsidRPr="00F63766">
        <w:t xml:space="preserve">This Chapter provides an overview of the Corporations Amendment (Crowd-sourced Funding) Bill 2015. </w:t>
      </w:r>
    </w:p>
    <w:p w14:paraId="5AA7AB2F" w14:textId="68378A59" w:rsidR="00D3202F" w:rsidRPr="00F63766" w:rsidRDefault="00D3202F" w:rsidP="00717289">
      <w:pPr>
        <w:pStyle w:val="base-text-paragraph"/>
      </w:pPr>
      <w:r w:rsidRPr="00F63766">
        <w:t xml:space="preserve">Unless otherwise stated, all references in this Chapter relate to the </w:t>
      </w:r>
      <w:r w:rsidRPr="00F63766">
        <w:rPr>
          <w:i/>
        </w:rPr>
        <w:t>Corporations Act 2001</w:t>
      </w:r>
      <w:r>
        <w:t>.</w:t>
      </w:r>
    </w:p>
    <w:p w14:paraId="34493096" w14:textId="77777777" w:rsidR="00717289" w:rsidRPr="00F63766" w:rsidRDefault="00717289" w:rsidP="00B676BE">
      <w:pPr>
        <w:pStyle w:val="Heading2"/>
      </w:pPr>
      <w:r w:rsidRPr="00F63766">
        <w:t>Context of amendments</w:t>
      </w:r>
    </w:p>
    <w:p w14:paraId="76D9CC7F" w14:textId="77777777" w:rsidR="00717289" w:rsidRPr="00F63766" w:rsidRDefault="00717289" w:rsidP="00717289">
      <w:pPr>
        <w:pStyle w:val="Heading3"/>
      </w:pPr>
      <w:r w:rsidRPr="00F63766">
        <w:t>Policy background</w:t>
      </w:r>
    </w:p>
    <w:p w14:paraId="1C871475" w14:textId="32E27270" w:rsidR="00717289" w:rsidRPr="00F63766" w:rsidRDefault="00717289" w:rsidP="00717289">
      <w:pPr>
        <w:pStyle w:val="base-text-paragraph"/>
        <w:numPr>
          <w:ilvl w:val="1"/>
          <w:numId w:val="33"/>
        </w:numPr>
      </w:pPr>
      <w:r w:rsidRPr="00F63766">
        <w:t xml:space="preserve">Productivity growth </w:t>
      </w:r>
      <w:r w:rsidR="002C781A">
        <w:t>is</w:t>
      </w:r>
      <w:r w:rsidRPr="00F63766">
        <w:t xml:space="preserve"> a c</w:t>
      </w:r>
      <w:r w:rsidR="00386820">
        <w:t xml:space="preserve">ore driver of economic growth. </w:t>
      </w:r>
      <w:r w:rsidR="002C781A">
        <w:t>Fostering innovation is an important way of unlocking productivity, both through innovative products and ways of doing things, and through generating knowledge spill</w:t>
      </w:r>
      <w:r w:rsidR="00047DE8">
        <w:t>-</w:t>
      </w:r>
      <w:r w:rsidR="002C781A">
        <w:t>overs from research and development that add to the general level of knowledge in the economy.</w:t>
      </w:r>
    </w:p>
    <w:p w14:paraId="05288AC6" w14:textId="36C8517D" w:rsidR="00717289" w:rsidRDefault="00717289" w:rsidP="00717289">
      <w:pPr>
        <w:pStyle w:val="base-text-paragraph"/>
        <w:numPr>
          <w:ilvl w:val="1"/>
          <w:numId w:val="33"/>
        </w:numPr>
      </w:pPr>
      <w:r w:rsidRPr="00F63766">
        <w:t xml:space="preserve">New funding models that flexibly support emerging firms have the potential to facilitate innovation and contribute to productivity growth.  </w:t>
      </w:r>
      <w:r w:rsidR="002C781A">
        <w:t>A number of recent reviews have identified the potential of CSF to provide new and innovative businesses with access to the finance they need to develop their product or service and grow.</w:t>
      </w:r>
      <w:r w:rsidRPr="00F63766">
        <w:t xml:space="preserve"> </w:t>
      </w:r>
    </w:p>
    <w:p w14:paraId="7A693270" w14:textId="62E6773F" w:rsidR="002C781A" w:rsidRDefault="002C781A" w:rsidP="002C781A">
      <w:pPr>
        <w:pStyle w:val="dotpoint"/>
      </w:pPr>
      <w:r>
        <w:t>The Government’s Industry Innovation and Competitiveness Agenda, released in October 2014, called for consultation on a regulatory framework for CSEF.</w:t>
      </w:r>
    </w:p>
    <w:p w14:paraId="50C7447B" w14:textId="77777777" w:rsidR="002C781A" w:rsidRPr="002C781A" w:rsidRDefault="002C781A" w:rsidP="002C781A">
      <w:pPr>
        <w:pStyle w:val="dotpoint"/>
      </w:pPr>
      <w:r w:rsidRPr="002C781A">
        <w:t>The Murray Inquiry into Australia’s financial system, released by the Government in December 2014, specifically recommended reducing regulatory impediments to crowdfunding by introducing graduated fundraising regulation. In its response to the Inquiry, released in October 2015, the Government accepted this recommendation.</w:t>
      </w:r>
    </w:p>
    <w:p w14:paraId="3E79A20D" w14:textId="179D053D" w:rsidR="002C781A" w:rsidRPr="00F63766" w:rsidRDefault="002C781A" w:rsidP="002C781A">
      <w:pPr>
        <w:pStyle w:val="dotpoint"/>
      </w:pPr>
      <w:r w:rsidRPr="002C781A">
        <w:t>The Productivity Commission’s Business Set-up, Transfer and Closure draft report, released in May 2015, also supported the introduction of a CSEF framework.</w:t>
      </w:r>
    </w:p>
    <w:p w14:paraId="7F607F3B" w14:textId="3DEAF942" w:rsidR="00717289" w:rsidRPr="00F63766" w:rsidRDefault="00717289" w:rsidP="00717289">
      <w:pPr>
        <w:pStyle w:val="base-text-paragraph"/>
        <w:numPr>
          <w:ilvl w:val="1"/>
          <w:numId w:val="33"/>
        </w:numPr>
      </w:pPr>
      <w:r w:rsidRPr="00F63766">
        <w:t xml:space="preserve">CSF is an innovative type of fundraising, typically online, that allows a large number of individual investors to make a small financial contribution towards a company. </w:t>
      </w:r>
    </w:p>
    <w:p w14:paraId="5DFF7B46" w14:textId="49B4610D" w:rsidR="002215D8" w:rsidRDefault="00717289" w:rsidP="002C781A">
      <w:pPr>
        <w:pStyle w:val="base-text-paragraph"/>
        <w:numPr>
          <w:ilvl w:val="1"/>
          <w:numId w:val="33"/>
        </w:numPr>
      </w:pPr>
      <w:r w:rsidRPr="00F63766">
        <w:t xml:space="preserve">CSF will provide an additional funding option for small businesses and start-ups in particular, that may otherwise struggle to obtain affordable finance. </w:t>
      </w:r>
    </w:p>
    <w:p w14:paraId="2EC1F0C7" w14:textId="5BD9ACD2" w:rsidR="00717289" w:rsidRPr="00F63766" w:rsidRDefault="002106EB" w:rsidP="00717289">
      <w:pPr>
        <w:pStyle w:val="base-text-paragraph"/>
        <w:numPr>
          <w:ilvl w:val="1"/>
          <w:numId w:val="33"/>
        </w:numPr>
      </w:pPr>
      <w:r>
        <w:t>E</w:t>
      </w:r>
      <w:r w:rsidR="00717289" w:rsidRPr="00F63766">
        <w:t xml:space="preserve">xisting legislative arrangements can be a barrier to small businesses and start-ups making </w:t>
      </w:r>
      <w:r w:rsidR="00EF2C39">
        <w:t>securities</w:t>
      </w:r>
      <w:r w:rsidR="00717289" w:rsidRPr="00F63766">
        <w:t xml:space="preserve"> offers:</w:t>
      </w:r>
    </w:p>
    <w:p w14:paraId="613ECC9F" w14:textId="10EE6954" w:rsidR="00717289" w:rsidRPr="00F63766" w:rsidRDefault="00717289" w:rsidP="00717289">
      <w:pPr>
        <w:pStyle w:val="dotpoint"/>
      </w:pPr>
      <w:r w:rsidRPr="00F63766">
        <w:t>For proprietary companies, a limit of 50 non-employee shareholders and prohibitions o</w:t>
      </w:r>
      <w:r w:rsidR="00EF2C39">
        <w:t>n making public offers of securities</w:t>
      </w:r>
      <w:r w:rsidRPr="00F63766">
        <w:t xml:space="preserve"> mean such companies are not able to access the large number of small-scale investors that would typically be targeted under a</w:t>
      </w:r>
      <w:r w:rsidR="00A41C42" w:rsidRPr="00F63766">
        <w:t>n</w:t>
      </w:r>
      <w:r w:rsidRPr="00F63766">
        <w:t xml:space="preserve"> </w:t>
      </w:r>
      <w:r w:rsidR="00A41C42" w:rsidRPr="00F63766">
        <w:t>equity</w:t>
      </w:r>
      <w:r w:rsidRPr="00F63766">
        <w:t xml:space="preserve"> CSF campaign.</w:t>
      </w:r>
    </w:p>
    <w:p w14:paraId="413CD0CB" w14:textId="7B38B075" w:rsidR="00717289" w:rsidRPr="00F63766" w:rsidRDefault="00717289" w:rsidP="00717289">
      <w:pPr>
        <w:pStyle w:val="dotpoint"/>
      </w:pPr>
      <w:r w:rsidRPr="00F63766">
        <w:t>Public companies are not subject to these restrictions, but must comply with substantially higher corporate governance and reporting obligations that may be too expensive to be an option for small business. Public companies making equity</w:t>
      </w:r>
      <w:r w:rsidR="00EF2C39">
        <w:t xml:space="preserve"> or debt</w:t>
      </w:r>
      <w:r w:rsidRPr="00F63766">
        <w:t xml:space="preserve"> offers must generally also use a disclosure document, which can be costly and time consuming to prepare.</w:t>
      </w:r>
    </w:p>
    <w:p w14:paraId="5522DE33" w14:textId="77777777" w:rsidR="00717289" w:rsidRPr="00F63766" w:rsidRDefault="00717289" w:rsidP="00717289">
      <w:pPr>
        <w:pStyle w:val="base-text-paragraph"/>
        <w:numPr>
          <w:ilvl w:val="1"/>
          <w:numId w:val="33"/>
        </w:numPr>
      </w:pPr>
      <w:r w:rsidRPr="00F63766">
        <w:t>While there are currently a small number of operators of online platforms offering investment in Australian start-ups and small businesses, the current legislative arrangements outlined above significantly limit the type of service they can offer, and do not fulfil the 'crowd' element of CSF.</w:t>
      </w:r>
    </w:p>
    <w:p w14:paraId="35B33E4B" w14:textId="1BD3A7DF" w:rsidR="00717289" w:rsidRPr="00F63766" w:rsidRDefault="00717289" w:rsidP="00717289">
      <w:pPr>
        <w:pStyle w:val="base-text-paragraph"/>
        <w:numPr>
          <w:ilvl w:val="1"/>
          <w:numId w:val="33"/>
        </w:numPr>
      </w:pPr>
      <w:r w:rsidRPr="00F63766">
        <w:t>Facilitating CSF would also provide additional investment opportunities to retail investors, who are generally unable to gain direct access to early-stage financing activities. However, small businesses and start-ups generally present higher risks for investors compared to larger, more established companies</w:t>
      </w:r>
      <w:r w:rsidR="00C906A9" w:rsidRPr="00F63766">
        <w:t>.</w:t>
      </w:r>
      <w:r w:rsidR="00B676BE" w:rsidRPr="00F63766">
        <w:t xml:space="preserve"> </w:t>
      </w:r>
      <w:r w:rsidRPr="00F63766">
        <w:t>CSF investments may be largely illiquid, reducing the ability of investors to exit their investment.</w:t>
      </w:r>
    </w:p>
    <w:p w14:paraId="38698F13" w14:textId="296F9313" w:rsidR="00717289" w:rsidRPr="00F63766" w:rsidRDefault="00717289" w:rsidP="00717289">
      <w:pPr>
        <w:pStyle w:val="base-text-paragraph"/>
        <w:numPr>
          <w:ilvl w:val="1"/>
          <w:numId w:val="33"/>
        </w:numPr>
      </w:pPr>
      <w:r w:rsidRPr="00F63766">
        <w:t xml:space="preserve">In order for CSF to be sustainable, any regulatory framework needs to balance reducing the current barriers to CSF with ensuring that investors continue to have an adequate level of protection from financial and other risks, including fraud, and sufficient information to allow </w:t>
      </w:r>
      <w:r w:rsidR="004807F8">
        <w:t>them</w:t>
      </w:r>
      <w:r w:rsidRPr="00F63766">
        <w:t xml:space="preserve"> to make informed decisions.</w:t>
      </w:r>
    </w:p>
    <w:p w14:paraId="44A29ED9" w14:textId="77777777" w:rsidR="00717289" w:rsidRPr="00F63766" w:rsidRDefault="00717289" w:rsidP="00B676BE">
      <w:pPr>
        <w:pStyle w:val="Heading2"/>
      </w:pPr>
      <w:r w:rsidRPr="00F63766">
        <w:t>Summary of new law</w:t>
      </w:r>
    </w:p>
    <w:p w14:paraId="2DB4C798" w14:textId="7E75B0FA" w:rsidR="007614E0" w:rsidRPr="00F63766" w:rsidRDefault="007614E0" w:rsidP="007614E0">
      <w:pPr>
        <w:pStyle w:val="base-text-paragraph"/>
      </w:pPr>
      <w:r w:rsidRPr="00F63766">
        <w:t>The amendments establish a new CSF regime by:</w:t>
      </w:r>
    </w:p>
    <w:p w14:paraId="0B59E71E" w14:textId="4F0FE2F1" w:rsidR="007614E0" w:rsidRPr="00F63766" w:rsidRDefault="007614E0" w:rsidP="007614E0">
      <w:pPr>
        <w:pStyle w:val="dotpoint"/>
      </w:pPr>
      <w:r w:rsidRPr="00F63766">
        <w:t>inserting a new Part into Chapter 6D, which deals with:</w:t>
      </w:r>
    </w:p>
    <w:p w14:paraId="130415A9" w14:textId="77777777" w:rsidR="007614E0" w:rsidRPr="00F63766" w:rsidRDefault="007614E0" w:rsidP="007614E0">
      <w:pPr>
        <w:pStyle w:val="dotpoint2"/>
      </w:pPr>
      <w:r w:rsidRPr="00F63766">
        <w:t xml:space="preserve">eligibility requirements for a company that wants to make an offer under the CSF regime; </w:t>
      </w:r>
    </w:p>
    <w:p w14:paraId="1EBFAADF" w14:textId="77777777" w:rsidR="007614E0" w:rsidRPr="00F63766" w:rsidRDefault="007614E0" w:rsidP="007614E0">
      <w:pPr>
        <w:pStyle w:val="dotpoint2"/>
      </w:pPr>
      <w:r w:rsidRPr="00F63766">
        <w:t xml:space="preserve">the process to make a CSF offer, including the role and obligations of the CSF intermediary; and </w:t>
      </w:r>
    </w:p>
    <w:p w14:paraId="3A0AE283" w14:textId="386A0CDB" w:rsidR="007614E0" w:rsidRPr="00F63766" w:rsidRDefault="007614E0" w:rsidP="007614E0">
      <w:pPr>
        <w:pStyle w:val="dotpoint2"/>
      </w:pPr>
      <w:proofErr w:type="gramStart"/>
      <w:r w:rsidRPr="00F63766">
        <w:t>the</w:t>
      </w:r>
      <w:proofErr w:type="gramEnd"/>
      <w:r w:rsidRPr="00F63766">
        <w:t xml:space="preserve"> prohibitions, liabilities and investor protections applying to CSF offers, including rules relating to defective disclosure documents and advertising </w:t>
      </w:r>
      <w:r w:rsidR="00D3202F">
        <w:t>restrictions</w:t>
      </w:r>
      <w:r w:rsidRPr="00F63766">
        <w:t xml:space="preserve">. </w:t>
      </w:r>
    </w:p>
    <w:p w14:paraId="4EA08997" w14:textId="248BA0E3" w:rsidR="007614E0" w:rsidRPr="00F63766" w:rsidRDefault="007614E0" w:rsidP="007614E0">
      <w:pPr>
        <w:pStyle w:val="base-text-paragraph"/>
        <w:numPr>
          <w:ilvl w:val="1"/>
          <w:numId w:val="33"/>
        </w:numPr>
      </w:pPr>
      <w:r w:rsidRPr="00F63766">
        <w:t xml:space="preserve">The amendments </w:t>
      </w:r>
      <w:r w:rsidR="00182AA0" w:rsidRPr="00F63766">
        <w:t xml:space="preserve">generally </w:t>
      </w:r>
      <w:proofErr w:type="spellStart"/>
      <w:r w:rsidRPr="00F63766">
        <w:t>disapply</w:t>
      </w:r>
      <w:proofErr w:type="spellEnd"/>
      <w:r w:rsidRPr="00F63766">
        <w:t xml:space="preserve"> Part 6D.2</w:t>
      </w:r>
      <w:r w:rsidR="00F9072C">
        <w:t>,</w:t>
      </w:r>
      <w:r w:rsidRPr="00F63766">
        <w:t xml:space="preserve"> which contains provisions relating to prospectuses and other existing disclosure documents</w:t>
      </w:r>
      <w:r w:rsidR="00F9072C">
        <w:t>,</w:t>
      </w:r>
      <w:r w:rsidR="00704DD9" w:rsidRPr="00F63766">
        <w:t xml:space="preserve"> </w:t>
      </w:r>
      <w:r w:rsidRPr="00F63766">
        <w:t>and Part 6D.3</w:t>
      </w:r>
      <w:r w:rsidR="00F9072C">
        <w:t>,</w:t>
      </w:r>
      <w:r w:rsidR="00704DD9" w:rsidRPr="00F63766">
        <w:t xml:space="preserve"> </w:t>
      </w:r>
      <w:r w:rsidRPr="00F63766">
        <w:t>which deals with prohibitions, liabilities and remedies relating to offers of securities</w:t>
      </w:r>
      <w:r w:rsidR="00F9072C">
        <w:t>,</w:t>
      </w:r>
      <w:r w:rsidR="00975140" w:rsidRPr="00F63766">
        <w:t xml:space="preserve"> </w:t>
      </w:r>
      <w:r w:rsidRPr="00F63766">
        <w:t>by stating they do not apply to CSF offers</w:t>
      </w:r>
      <w:r w:rsidR="00182AA0" w:rsidRPr="00F63766">
        <w:t>, unless expressly provided for</w:t>
      </w:r>
      <w:r w:rsidR="00044159" w:rsidRPr="00F63766">
        <w:t xml:space="preserve">. </w:t>
      </w:r>
    </w:p>
    <w:p w14:paraId="7FCB4310" w14:textId="15FC31B6" w:rsidR="007614E0" w:rsidRPr="00F63766" w:rsidRDefault="007614E0" w:rsidP="007614E0">
      <w:pPr>
        <w:pStyle w:val="base-text-paragraph"/>
        <w:numPr>
          <w:ilvl w:val="1"/>
          <w:numId w:val="33"/>
        </w:numPr>
      </w:pPr>
      <w:r w:rsidRPr="00F63766">
        <w:t>Part 6D.4</w:t>
      </w:r>
      <w:r w:rsidR="00F9072C">
        <w:t>,</w:t>
      </w:r>
      <w:r w:rsidRPr="00F63766">
        <w:t xml:space="preserve"> which sets out ASIC’s powers in relation to offers of securities</w:t>
      </w:r>
      <w:r w:rsidR="00F9072C">
        <w:t>,</w:t>
      </w:r>
      <w:r w:rsidRPr="00F63766">
        <w:t xml:space="preserve"> has been amended so that it applies as required to CSF offers. </w:t>
      </w:r>
    </w:p>
    <w:p w14:paraId="354474B3" w14:textId="537DDBC5" w:rsidR="00717289" w:rsidRPr="00F63766" w:rsidRDefault="00717289" w:rsidP="00B676BE">
      <w:pPr>
        <w:pStyle w:val="Hiddentext"/>
      </w:pPr>
    </w:p>
    <w:p w14:paraId="1E3DD148" w14:textId="77777777" w:rsidR="00717289" w:rsidRPr="00F63766" w:rsidRDefault="00717289" w:rsidP="00B676BE">
      <w:pPr>
        <w:sectPr w:rsidR="00717289" w:rsidRPr="00F63766" w:rsidSect="00B676BE">
          <w:headerReference w:type="default" r:id="rId31"/>
          <w:type w:val="oddPage"/>
          <w:pgSz w:w="11906" w:h="16838" w:code="9"/>
          <w:pgMar w:top="2466" w:right="2098" w:bottom="2466" w:left="2098" w:header="1559" w:footer="1899" w:gutter="0"/>
          <w:cols w:space="708"/>
          <w:titlePg/>
          <w:docGrid w:linePitch="360"/>
        </w:sectPr>
      </w:pPr>
    </w:p>
    <w:p w14:paraId="4492759C" w14:textId="7B9DE122" w:rsidR="00E27590" w:rsidRPr="00F63766" w:rsidRDefault="00E27590" w:rsidP="00B676BE">
      <w:pPr>
        <w:pStyle w:val="ChapterHeading"/>
        <w:tabs>
          <w:tab w:val="clear" w:pos="1134"/>
          <w:tab w:val="num" w:pos="360"/>
        </w:tabs>
      </w:pPr>
      <w:r w:rsidRPr="00F63766">
        <w:br/>
      </w:r>
      <w:bookmarkStart w:id="7" w:name="_Toc435701581"/>
      <w:bookmarkStart w:id="8" w:name="_Toc436037551"/>
      <w:r w:rsidRPr="00F63766">
        <w:t>Eligibility requirements</w:t>
      </w:r>
      <w:bookmarkEnd w:id="7"/>
      <w:bookmarkEnd w:id="8"/>
    </w:p>
    <w:p w14:paraId="41B6B794" w14:textId="77777777" w:rsidR="00E27590" w:rsidRPr="00F63766" w:rsidRDefault="00E27590" w:rsidP="00B676BE">
      <w:pPr>
        <w:pStyle w:val="Heading2"/>
      </w:pPr>
      <w:r w:rsidRPr="00F63766">
        <w:t>Outline of chapter</w:t>
      </w:r>
    </w:p>
    <w:p w14:paraId="19AD7917" w14:textId="3080FA82" w:rsidR="00E27590" w:rsidRPr="00F63766" w:rsidRDefault="00E27590" w:rsidP="00E27590">
      <w:pPr>
        <w:pStyle w:val="base-text-paragraph"/>
      </w:pPr>
      <w:r w:rsidRPr="00F63766">
        <w:t xml:space="preserve">This Chapter sets out the eligibility requirements for </w:t>
      </w:r>
      <w:r w:rsidR="00F2461D" w:rsidRPr="00F63766">
        <w:t xml:space="preserve">making a </w:t>
      </w:r>
      <w:r w:rsidRPr="00F63766">
        <w:t xml:space="preserve">CSF offer. </w:t>
      </w:r>
    </w:p>
    <w:p w14:paraId="2F0B3668" w14:textId="7E571E6D" w:rsidR="00E27590" w:rsidRPr="00F63766" w:rsidRDefault="00E27590" w:rsidP="00E27590">
      <w:pPr>
        <w:pStyle w:val="base-text-paragraph"/>
      </w:pPr>
      <w:r w:rsidRPr="00F63766">
        <w:t xml:space="preserve">Unless otherwise stated, all references in this Chapter </w:t>
      </w:r>
      <w:r w:rsidR="00327A78" w:rsidRPr="00F63766">
        <w:t xml:space="preserve">are to </w:t>
      </w:r>
      <w:r w:rsidRPr="00F63766">
        <w:t xml:space="preserve">the </w:t>
      </w:r>
      <w:r w:rsidRPr="00F63766">
        <w:rPr>
          <w:i/>
        </w:rPr>
        <w:t>Corporations Act 2001</w:t>
      </w:r>
      <w:r w:rsidR="00F9072C">
        <w:t xml:space="preserve"> and the </w:t>
      </w:r>
      <w:r w:rsidR="00F9072C">
        <w:rPr>
          <w:i/>
        </w:rPr>
        <w:t>Corporations Regulations 2001</w:t>
      </w:r>
      <w:r w:rsidRPr="00F63766">
        <w:t>.</w:t>
      </w:r>
    </w:p>
    <w:p w14:paraId="459D7461" w14:textId="77777777" w:rsidR="00E27590" w:rsidRPr="00F63766" w:rsidRDefault="00E27590" w:rsidP="00B676BE">
      <w:pPr>
        <w:pStyle w:val="Heading2"/>
      </w:pPr>
      <w:r w:rsidRPr="00F63766">
        <w:t>Summary of new law</w:t>
      </w:r>
    </w:p>
    <w:p w14:paraId="44868162" w14:textId="577BF5F0" w:rsidR="00E27590" w:rsidRPr="00F63766" w:rsidRDefault="00A225C4" w:rsidP="00B676BE">
      <w:pPr>
        <w:pStyle w:val="base-text-paragraph"/>
      </w:pPr>
      <w:r w:rsidRPr="00F63766">
        <w:t>The amendments establish that a CSF offer is an offer that is expressly stated to be made under the CSF regime and that is eligible to be made under the regime by meeting all of the relevant requirements.</w:t>
      </w:r>
    </w:p>
    <w:p w14:paraId="6E98A1D7" w14:textId="1ECF0410" w:rsidR="00A225C4" w:rsidRPr="00F63766" w:rsidRDefault="00A225C4" w:rsidP="00A225C4">
      <w:pPr>
        <w:pStyle w:val="base-text-paragraph"/>
      </w:pPr>
      <w:r w:rsidRPr="00F63766">
        <w:t xml:space="preserve">The amendments provide that the relevant requirements for </w:t>
      </w:r>
      <w:r w:rsidR="00F2461D" w:rsidRPr="00F63766">
        <w:t xml:space="preserve">making </w:t>
      </w:r>
      <w:r w:rsidRPr="00F63766">
        <w:t>a CSF offer are:</w:t>
      </w:r>
    </w:p>
    <w:p w14:paraId="023DCC7C" w14:textId="3EE636F3" w:rsidR="00722C1B" w:rsidRPr="00F63766" w:rsidRDefault="00722C1B" w:rsidP="00722C1B">
      <w:pPr>
        <w:pStyle w:val="dotpoint"/>
      </w:pPr>
      <w:r w:rsidRPr="00F63766">
        <w:t xml:space="preserve">the offer must be for the issue of securities </w:t>
      </w:r>
      <w:r w:rsidR="00A41C42" w:rsidRPr="00F63766">
        <w:t xml:space="preserve">of </w:t>
      </w:r>
      <w:r w:rsidRPr="00F63766">
        <w:t xml:space="preserve">the company making the offer; </w:t>
      </w:r>
    </w:p>
    <w:p w14:paraId="17DA626D" w14:textId="77777777" w:rsidR="00722C1B" w:rsidRPr="00F63766" w:rsidRDefault="00722C1B" w:rsidP="00722C1B">
      <w:pPr>
        <w:pStyle w:val="dotpoint"/>
      </w:pPr>
      <w:r w:rsidRPr="00F63766">
        <w:t xml:space="preserve">the company making the offer must be an ‘eligible CSF company’ at the time of the offer; </w:t>
      </w:r>
    </w:p>
    <w:p w14:paraId="2FFEBDFA" w14:textId="77777777" w:rsidR="00722C1B" w:rsidRPr="00F63766" w:rsidRDefault="00722C1B" w:rsidP="00722C1B">
      <w:pPr>
        <w:pStyle w:val="dotpoint"/>
      </w:pPr>
      <w:r w:rsidRPr="00F63766">
        <w:t xml:space="preserve">the securities must satisfy the eligibility conditions specified in the regulations; </w:t>
      </w:r>
    </w:p>
    <w:p w14:paraId="5ACAEA26" w14:textId="3906D334" w:rsidR="00722C1B" w:rsidRPr="00F63766" w:rsidRDefault="00722C1B" w:rsidP="00722C1B">
      <w:pPr>
        <w:pStyle w:val="dotpoint"/>
      </w:pPr>
      <w:r w:rsidRPr="00F63766">
        <w:t xml:space="preserve">the offer must comply with the </w:t>
      </w:r>
      <w:r w:rsidR="00F9072C">
        <w:t>‘</w:t>
      </w:r>
      <w:r w:rsidRPr="00F63766">
        <w:t>issuer cap</w:t>
      </w:r>
      <w:r w:rsidR="00F9072C">
        <w:t>’</w:t>
      </w:r>
      <w:r w:rsidRPr="00F63766">
        <w:t>; and</w:t>
      </w:r>
    </w:p>
    <w:p w14:paraId="1D669D94" w14:textId="461D3709" w:rsidR="00A225C4" w:rsidRPr="00F63766" w:rsidRDefault="00722C1B" w:rsidP="005E71BA">
      <w:pPr>
        <w:pStyle w:val="dotpoint"/>
      </w:pPr>
      <w:proofErr w:type="gramStart"/>
      <w:r w:rsidRPr="00F63766">
        <w:t>the</w:t>
      </w:r>
      <w:proofErr w:type="gramEnd"/>
      <w:r w:rsidRPr="00F63766">
        <w:t xml:space="preserve"> company must not intend the funds sought under the offer to be used by the company or a related party</w:t>
      </w:r>
      <w:r w:rsidR="002A46FB">
        <w:t xml:space="preserve"> of the </w:t>
      </w:r>
      <w:r w:rsidR="00E64AAD">
        <w:t>company</w:t>
      </w:r>
      <w:r w:rsidRPr="00F63766">
        <w:t xml:space="preserve"> to any extent to invest in securities or interests in other entities or </w:t>
      </w:r>
      <w:r w:rsidR="003C6D23">
        <w:t xml:space="preserve">managed investment </w:t>
      </w:r>
      <w:r w:rsidRPr="00F63766">
        <w:t>schemes</w:t>
      </w:r>
      <w:r w:rsidR="00A41C42" w:rsidRPr="00F63766">
        <w:t>.</w:t>
      </w:r>
    </w:p>
    <w:p w14:paraId="16E1DDF8" w14:textId="20D6E664" w:rsidR="00A225C4" w:rsidRPr="00F63766" w:rsidRDefault="00722C1B">
      <w:pPr>
        <w:pStyle w:val="base-text-paragraph"/>
      </w:pPr>
      <w:r w:rsidRPr="00F63766">
        <w:t>The amendments also provide a regulation</w:t>
      </w:r>
      <w:r w:rsidRPr="00F63766">
        <w:noBreakHyphen/>
        <w:t>making power to permit other eligibility requirements for a CSF offer to be prescribed.</w:t>
      </w:r>
    </w:p>
    <w:p w14:paraId="70FF48E6" w14:textId="091A007C" w:rsidR="00387856" w:rsidRDefault="00387856" w:rsidP="00B96F32">
      <w:pPr>
        <w:pStyle w:val="Heading2"/>
      </w:pPr>
      <w:r w:rsidRPr="00387856">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387856" w:rsidRPr="004666B8" w14:paraId="1FCB7E55" w14:textId="77777777" w:rsidTr="00387856">
        <w:tc>
          <w:tcPr>
            <w:tcW w:w="3275" w:type="dxa"/>
          </w:tcPr>
          <w:p w14:paraId="015D3B3E" w14:textId="77777777" w:rsidR="00387856" w:rsidRPr="004666B8" w:rsidRDefault="00387856" w:rsidP="00387856">
            <w:pPr>
              <w:pStyle w:val="tableheaderwithintable"/>
              <w:rPr>
                <w:lang w:val="en-US" w:eastAsia="en-US"/>
              </w:rPr>
            </w:pPr>
            <w:r w:rsidRPr="004666B8">
              <w:rPr>
                <w:lang w:val="en-US" w:eastAsia="en-US"/>
              </w:rPr>
              <w:t>New law</w:t>
            </w:r>
          </w:p>
        </w:tc>
        <w:tc>
          <w:tcPr>
            <w:tcW w:w="3276" w:type="dxa"/>
          </w:tcPr>
          <w:p w14:paraId="70B6619C" w14:textId="77777777" w:rsidR="00387856" w:rsidRPr="004666B8" w:rsidRDefault="00387856" w:rsidP="00387856">
            <w:pPr>
              <w:pStyle w:val="tableheaderwithintable"/>
              <w:rPr>
                <w:lang w:val="en-US" w:eastAsia="en-US"/>
              </w:rPr>
            </w:pPr>
            <w:r w:rsidRPr="004666B8">
              <w:rPr>
                <w:lang w:val="en-US" w:eastAsia="en-US"/>
              </w:rPr>
              <w:t>Current law</w:t>
            </w:r>
          </w:p>
        </w:tc>
      </w:tr>
      <w:tr w:rsidR="00387856" w:rsidRPr="004666B8" w14:paraId="11FA1EC7" w14:textId="77777777" w:rsidTr="00387856">
        <w:tc>
          <w:tcPr>
            <w:tcW w:w="3275" w:type="dxa"/>
          </w:tcPr>
          <w:p w14:paraId="5CBA4E08" w14:textId="6DF021B2" w:rsidR="00387856" w:rsidRPr="004666B8" w:rsidRDefault="00F9072C" w:rsidP="00387856">
            <w:pPr>
              <w:pStyle w:val="tabletext"/>
              <w:rPr>
                <w:lang w:val="en-US" w:eastAsia="en-US"/>
              </w:rPr>
            </w:pPr>
            <w:r>
              <w:t xml:space="preserve">A </w:t>
            </w:r>
            <w:r w:rsidR="00387856" w:rsidRPr="00F63766">
              <w:t>CSF offer is an offer that is expressly stated to be made under the CSF regime and that is eligible to be made under the regime</w:t>
            </w:r>
            <w:r w:rsidR="00387856">
              <w:t>.</w:t>
            </w:r>
          </w:p>
        </w:tc>
        <w:tc>
          <w:tcPr>
            <w:tcW w:w="3276" w:type="dxa"/>
          </w:tcPr>
          <w:p w14:paraId="725069DC" w14:textId="1A5F0583" w:rsidR="00387856" w:rsidRPr="004666B8" w:rsidRDefault="008512C3" w:rsidP="00310F05">
            <w:pPr>
              <w:pStyle w:val="tabletext"/>
              <w:rPr>
                <w:lang w:val="en-US" w:eastAsia="en-US"/>
              </w:rPr>
            </w:pPr>
            <w:r>
              <w:rPr>
                <w:lang w:val="en-US" w:eastAsia="en-US"/>
              </w:rPr>
              <w:t>An offer requiring disclosure i</w:t>
            </w:r>
            <w:r w:rsidR="00310F05">
              <w:rPr>
                <w:lang w:val="en-US" w:eastAsia="en-US"/>
              </w:rPr>
              <w:t>s an offer made under Part 6D.2 that must comply with the requirements in Parts 6D.2 and 6D.3.</w:t>
            </w:r>
          </w:p>
        </w:tc>
      </w:tr>
      <w:tr w:rsidR="00387856" w:rsidRPr="004666B8" w14:paraId="7D4915BA" w14:textId="77777777" w:rsidTr="00387856">
        <w:tc>
          <w:tcPr>
            <w:tcW w:w="3275" w:type="dxa"/>
          </w:tcPr>
          <w:p w14:paraId="4303DBEF" w14:textId="08BD709A" w:rsidR="00387856" w:rsidRPr="00F63766" w:rsidRDefault="00387856" w:rsidP="00B96F32">
            <w:pPr>
              <w:pStyle w:val="tabletext"/>
            </w:pPr>
            <w:r>
              <w:t>An offer will be eligible to be made under the CSF regime where:</w:t>
            </w:r>
          </w:p>
          <w:p w14:paraId="3FFD9DD4" w14:textId="77777777" w:rsidR="00387856" w:rsidRDefault="00387856" w:rsidP="00B96F32">
            <w:pPr>
              <w:pStyle w:val="tabledotpoint"/>
            </w:pPr>
            <w:r w:rsidRPr="00F63766">
              <w:t xml:space="preserve">the offer </w:t>
            </w:r>
            <w:r>
              <w:t>is</w:t>
            </w:r>
            <w:r w:rsidRPr="00F63766">
              <w:t xml:space="preserve"> for the issue of securities of the company making the offer; </w:t>
            </w:r>
          </w:p>
          <w:p w14:paraId="5809A1AB" w14:textId="77777777" w:rsidR="00387856" w:rsidRDefault="00387856" w:rsidP="00B96F32">
            <w:pPr>
              <w:pStyle w:val="tabledotpoint"/>
            </w:pPr>
            <w:r w:rsidRPr="00F63766">
              <w:t xml:space="preserve">the company making the offer </w:t>
            </w:r>
            <w:r>
              <w:t>is</w:t>
            </w:r>
            <w:r w:rsidRPr="00F63766">
              <w:t xml:space="preserve"> an ‘eligible CSF company’ at the time of the offer; </w:t>
            </w:r>
          </w:p>
          <w:p w14:paraId="34091BE2" w14:textId="77777777" w:rsidR="00387856" w:rsidRDefault="00387856" w:rsidP="00B96F32">
            <w:pPr>
              <w:pStyle w:val="tabledotpoint"/>
            </w:pPr>
            <w:r w:rsidRPr="00F63766">
              <w:t xml:space="preserve">the securities satisfy the eligibility conditions specified in the regulations; </w:t>
            </w:r>
          </w:p>
          <w:p w14:paraId="5F06C6B1" w14:textId="61AA9CC5" w:rsidR="00387856" w:rsidRDefault="00387856" w:rsidP="00B96F32">
            <w:pPr>
              <w:pStyle w:val="tabledotpoint"/>
            </w:pPr>
            <w:r w:rsidRPr="00F63766">
              <w:t>the offer</w:t>
            </w:r>
            <w:r>
              <w:t xml:space="preserve"> complies</w:t>
            </w:r>
            <w:r w:rsidRPr="00F63766">
              <w:t xml:space="preserve"> with the </w:t>
            </w:r>
            <w:r w:rsidR="00F9072C">
              <w:t>‘</w:t>
            </w:r>
            <w:r w:rsidRPr="00F63766">
              <w:t>issuer cap</w:t>
            </w:r>
            <w:r w:rsidR="00F9072C">
              <w:t>’</w:t>
            </w:r>
            <w:r w:rsidRPr="00F63766">
              <w:t>; and</w:t>
            </w:r>
          </w:p>
          <w:p w14:paraId="1DEECB28" w14:textId="1F2728E8" w:rsidR="00387856" w:rsidRPr="00F63766" w:rsidRDefault="00387856" w:rsidP="00B96F32">
            <w:pPr>
              <w:pStyle w:val="tabledotpoint"/>
            </w:pPr>
            <w:proofErr w:type="gramStart"/>
            <w:r w:rsidRPr="00F63766">
              <w:t>the</w:t>
            </w:r>
            <w:proofErr w:type="gramEnd"/>
            <w:r w:rsidRPr="00F63766">
              <w:t xml:space="preserve"> company </w:t>
            </w:r>
            <w:r>
              <w:t>does</w:t>
            </w:r>
            <w:r w:rsidRPr="00F63766">
              <w:t xml:space="preserve"> not intend the funds sought under the offer to be used by the company or a related party</w:t>
            </w:r>
            <w:r>
              <w:t xml:space="preserve"> of the company</w:t>
            </w:r>
            <w:r w:rsidRPr="00F63766">
              <w:t xml:space="preserve"> to any extent to invest in securities or interests in other entities or </w:t>
            </w:r>
            <w:r>
              <w:t xml:space="preserve">managed investment </w:t>
            </w:r>
            <w:r w:rsidRPr="00F63766">
              <w:t>schemes.</w:t>
            </w:r>
          </w:p>
        </w:tc>
        <w:tc>
          <w:tcPr>
            <w:tcW w:w="3276" w:type="dxa"/>
          </w:tcPr>
          <w:p w14:paraId="6CF4901A" w14:textId="28499A61" w:rsidR="00387856" w:rsidRDefault="00CB0CD3" w:rsidP="00387856">
            <w:pPr>
              <w:pStyle w:val="tabletext"/>
              <w:rPr>
                <w:lang w:val="en-US" w:eastAsia="en-US"/>
              </w:rPr>
            </w:pPr>
            <w:r>
              <w:rPr>
                <w:lang w:val="en-US" w:eastAsia="en-US"/>
              </w:rPr>
              <w:t>An offer requiring disclosure is an offer made under Part 6D.2 that must comply with the requirements in Parts 6D.2 and 6D.3.</w:t>
            </w:r>
          </w:p>
        </w:tc>
      </w:tr>
    </w:tbl>
    <w:p w14:paraId="7764A245" w14:textId="77777777" w:rsidR="00E27590" w:rsidRPr="00F63766" w:rsidRDefault="00E27590" w:rsidP="00B676BE">
      <w:pPr>
        <w:pStyle w:val="Heading2"/>
      </w:pPr>
      <w:r w:rsidRPr="00F63766">
        <w:t>Detailed explanation of new law</w:t>
      </w:r>
    </w:p>
    <w:p w14:paraId="7E6E2D1C" w14:textId="7A46760A" w:rsidR="00C05766" w:rsidRDefault="00C05766" w:rsidP="00E27590">
      <w:pPr>
        <w:pStyle w:val="Heading3"/>
      </w:pPr>
      <w:r>
        <w:t>Establishment of a CSF regime</w:t>
      </w:r>
    </w:p>
    <w:p w14:paraId="66105775" w14:textId="77777777" w:rsidR="00C05766" w:rsidRPr="00447D3B" w:rsidRDefault="00C05766" w:rsidP="00372C60">
      <w:pPr>
        <w:pStyle w:val="base-text-paragraph"/>
        <w:numPr>
          <w:ilvl w:val="1"/>
          <w:numId w:val="48"/>
        </w:numPr>
      </w:pPr>
      <w:r>
        <w:t xml:space="preserve">The amendments establish the CSF regime: a new disclosure regime that can be used by eligible CSF companies to make certain offers of securities for issue. </w:t>
      </w:r>
      <w:r w:rsidRPr="00A2629B">
        <w:rPr>
          <w:rStyle w:val="Referencingstyle"/>
        </w:rPr>
        <w:t>[Schedule 1, Part 1, item 1</w:t>
      </w:r>
      <w:r>
        <w:rPr>
          <w:rStyle w:val="Referencingstyle"/>
        </w:rPr>
        <w:t>4</w:t>
      </w:r>
      <w:r w:rsidRPr="00A2629B">
        <w:rPr>
          <w:rStyle w:val="Referencingstyle"/>
        </w:rPr>
        <w:t>, section 7</w:t>
      </w:r>
      <w:r>
        <w:rPr>
          <w:rStyle w:val="Referencingstyle"/>
        </w:rPr>
        <w:t>38</w:t>
      </w:r>
      <w:r w:rsidRPr="00A2629B">
        <w:rPr>
          <w:rStyle w:val="Referencingstyle"/>
        </w:rPr>
        <w:t>A</w:t>
      </w:r>
      <w:r w:rsidRPr="00372C60">
        <w:rPr>
          <w:b/>
          <w:i/>
          <w:sz w:val="18"/>
        </w:rPr>
        <w:t>]</w:t>
      </w:r>
    </w:p>
    <w:p w14:paraId="6776B815" w14:textId="070BC852" w:rsidR="00447D3B" w:rsidRPr="00BE0B45" w:rsidRDefault="00447D3B" w:rsidP="00C05766">
      <w:pPr>
        <w:pStyle w:val="base-text-paragraph"/>
        <w:numPr>
          <w:ilvl w:val="1"/>
          <w:numId w:val="48"/>
        </w:numPr>
      </w:pPr>
      <w:r>
        <w:t>The amendments provide that a company making a CSF offer is also able to offer securities of the same class pursuant to an offer that is exempt from</w:t>
      </w:r>
      <w:r w:rsidR="000063E5">
        <w:t xml:space="preserve"> disclosure under section 708. </w:t>
      </w:r>
      <w:r>
        <w:t xml:space="preserve">This allows a company to, for example, make a CSF offer of shares via an intermediary to crowd investors but also make an offer of shares to investors for whom disclosure is not required (such as </w:t>
      </w:r>
      <w:r w:rsidR="00076B4C">
        <w:t>venture c</w:t>
      </w:r>
      <w:r>
        <w:t xml:space="preserve">apital funds and angel investors). </w:t>
      </w:r>
      <w:r w:rsidR="001A3CE9" w:rsidRPr="00A2629B">
        <w:rPr>
          <w:rStyle w:val="Referencingstyle"/>
        </w:rPr>
        <w:t>[Schedule 1, Part 1, item 1</w:t>
      </w:r>
      <w:r w:rsidR="001A3CE9">
        <w:rPr>
          <w:rStyle w:val="Referencingstyle"/>
        </w:rPr>
        <w:t>4</w:t>
      </w:r>
      <w:r w:rsidR="001A3CE9" w:rsidRPr="00A2629B">
        <w:rPr>
          <w:rStyle w:val="Referencingstyle"/>
        </w:rPr>
        <w:t>, section 7</w:t>
      </w:r>
      <w:r w:rsidR="001A3CE9">
        <w:rPr>
          <w:rStyle w:val="Referencingstyle"/>
        </w:rPr>
        <w:t>38</w:t>
      </w:r>
      <w:r w:rsidR="00F86702">
        <w:rPr>
          <w:rStyle w:val="Referencingstyle"/>
        </w:rPr>
        <w:t>E</w:t>
      </w:r>
      <w:r w:rsidR="001A3CE9" w:rsidRPr="00163BEB">
        <w:rPr>
          <w:b/>
          <w:i/>
          <w:sz w:val="18"/>
        </w:rPr>
        <w:t>]</w:t>
      </w:r>
    </w:p>
    <w:p w14:paraId="02091C51" w14:textId="64D3F5BB" w:rsidR="00C05766" w:rsidRPr="00F63766" w:rsidRDefault="00C05766" w:rsidP="00C05766">
      <w:pPr>
        <w:pStyle w:val="Heading3"/>
      </w:pPr>
      <w:r w:rsidRPr="00F63766">
        <w:t xml:space="preserve">Offers eligible to be made </w:t>
      </w:r>
      <w:r w:rsidR="000D6C5F">
        <w:t xml:space="preserve">under </w:t>
      </w:r>
      <w:r w:rsidRPr="00F63766">
        <w:t>the CSF regime</w:t>
      </w:r>
    </w:p>
    <w:p w14:paraId="51B9EE92" w14:textId="34401BF3" w:rsidR="00E27590" w:rsidRPr="00EA4228" w:rsidRDefault="00E27590" w:rsidP="00E27590">
      <w:pPr>
        <w:numPr>
          <w:ilvl w:val="1"/>
          <w:numId w:val="42"/>
        </w:numPr>
      </w:pPr>
      <w:r w:rsidRPr="00F63766">
        <w:t xml:space="preserve">A CSF offer is an offer that is expressly stated to be made under the CSF regime and that is eligible to be made under the regime </w:t>
      </w:r>
      <w:r w:rsidR="00B676BE" w:rsidRPr="00F63766">
        <w:t xml:space="preserve">by meeting </w:t>
      </w:r>
      <w:r w:rsidRPr="00F63766">
        <w:t>all of the</w:t>
      </w:r>
      <w:r w:rsidR="00B676BE" w:rsidRPr="00F63766">
        <w:t xml:space="preserve"> relevant</w:t>
      </w:r>
      <w:r w:rsidRPr="00F63766">
        <w:t xml:space="preserve"> requirements</w:t>
      </w:r>
      <w:r w:rsidR="008C62E8">
        <w:t xml:space="preserve">. </w:t>
      </w:r>
      <w:r w:rsidRPr="00F63766">
        <w:rPr>
          <w:b/>
          <w:i/>
          <w:sz w:val="18"/>
        </w:rPr>
        <w:t>[Schedule</w:t>
      </w:r>
      <w:r w:rsidR="00DC1C70" w:rsidRPr="00F63766">
        <w:rPr>
          <w:b/>
          <w:i/>
          <w:sz w:val="18"/>
        </w:rPr>
        <w:t> </w:t>
      </w:r>
      <w:r w:rsidRPr="00F63766">
        <w:rPr>
          <w:b/>
          <w:i/>
          <w:sz w:val="18"/>
        </w:rPr>
        <w:t>1,</w:t>
      </w:r>
      <w:r w:rsidR="00DC1C70" w:rsidRPr="00F63766">
        <w:rPr>
          <w:b/>
          <w:i/>
          <w:sz w:val="18"/>
        </w:rPr>
        <w:t> </w:t>
      </w:r>
      <w:r w:rsidRPr="00F63766">
        <w:rPr>
          <w:b/>
          <w:i/>
          <w:sz w:val="18"/>
        </w:rPr>
        <w:t>Part</w:t>
      </w:r>
      <w:r w:rsidR="00044159" w:rsidRPr="00F63766">
        <w:rPr>
          <w:b/>
          <w:i/>
          <w:sz w:val="18"/>
        </w:rPr>
        <w:t> </w:t>
      </w:r>
      <w:r w:rsidRPr="00F63766">
        <w:rPr>
          <w:b/>
          <w:i/>
          <w:sz w:val="18"/>
        </w:rPr>
        <w:t xml:space="preserve">1, </w:t>
      </w:r>
      <w:r w:rsidR="004C3043">
        <w:rPr>
          <w:b/>
          <w:i/>
          <w:sz w:val="18"/>
        </w:rPr>
        <w:t>item 14</w:t>
      </w:r>
      <w:r w:rsidR="00887FB3">
        <w:rPr>
          <w:b/>
          <w:i/>
          <w:sz w:val="18"/>
        </w:rPr>
        <w:t>, section 738B</w:t>
      </w:r>
      <w:r w:rsidR="005940CB">
        <w:rPr>
          <w:b/>
          <w:i/>
          <w:sz w:val="18"/>
        </w:rPr>
        <w:t>]</w:t>
      </w:r>
    </w:p>
    <w:p w14:paraId="493DA839" w14:textId="2A34321F" w:rsidR="00EA4228" w:rsidRPr="00BE0B45" w:rsidRDefault="00EA4228" w:rsidP="00EA4228">
      <w:pPr>
        <w:pStyle w:val="base-text-paragraph"/>
        <w:numPr>
          <w:ilvl w:val="1"/>
          <w:numId w:val="42"/>
        </w:numPr>
      </w:pPr>
      <w:r>
        <w:t xml:space="preserve">Part 6D.2, which contains the general rules regarding when disclosure is required for offers of securities, </w:t>
      </w:r>
      <w:r w:rsidR="000C1C45">
        <w:t xml:space="preserve">does not apply to CSF offers </w:t>
      </w:r>
      <w:r>
        <w:t>except as expressly provided for.</w:t>
      </w:r>
      <w:r w:rsidRPr="00A2629B">
        <w:rPr>
          <w:rStyle w:val="Referencingstyle"/>
        </w:rPr>
        <w:t xml:space="preserve"> [Schedule 1, Part 1, items 7, 8, 9 and 10, heading to Part 6D.2, section 703B, section 704, </w:t>
      </w:r>
      <w:r w:rsidR="00F9072C">
        <w:rPr>
          <w:rStyle w:val="Referencingstyle"/>
        </w:rPr>
        <w:t xml:space="preserve">and </w:t>
      </w:r>
      <w:r w:rsidRPr="00A2629B">
        <w:rPr>
          <w:rStyle w:val="Referencingstyle"/>
        </w:rPr>
        <w:t>section 706</w:t>
      </w:r>
      <w:r w:rsidRPr="00EA4228">
        <w:rPr>
          <w:b/>
          <w:i/>
          <w:sz w:val="18"/>
        </w:rPr>
        <w:t>]</w:t>
      </w:r>
    </w:p>
    <w:p w14:paraId="5D6B6A86" w14:textId="6A10A3EA" w:rsidR="00EA4228" w:rsidRPr="00180C80" w:rsidRDefault="00EA4228" w:rsidP="00EA4228">
      <w:pPr>
        <w:pStyle w:val="base-text-paragraph"/>
        <w:numPr>
          <w:ilvl w:val="1"/>
          <w:numId w:val="42"/>
        </w:numPr>
      </w:pPr>
      <w:r>
        <w:t xml:space="preserve">Part 6D.3, which contains the prohibitions, liabilities and remedies that usually apply to offers of securities requiring disclosure, </w:t>
      </w:r>
      <w:r w:rsidR="00490841">
        <w:t xml:space="preserve">does not apply to CSF offers </w:t>
      </w:r>
      <w:r>
        <w:t xml:space="preserve">except as expressly provided for </w:t>
      </w:r>
      <w:r w:rsidRPr="00A2629B">
        <w:rPr>
          <w:rStyle w:val="Referencingstyle"/>
        </w:rPr>
        <w:t>[Schedule 1, Part 1, items 11 and 12, heading to Part 6D.3 and section 725A</w:t>
      </w:r>
      <w:r w:rsidRPr="00EA4228">
        <w:rPr>
          <w:b/>
          <w:i/>
          <w:sz w:val="18"/>
        </w:rPr>
        <w:t>]</w:t>
      </w:r>
      <w:r w:rsidR="00995AEF">
        <w:rPr>
          <w:b/>
          <w:i/>
          <w:sz w:val="18"/>
        </w:rPr>
        <w:t>.</w:t>
      </w:r>
      <w:r w:rsidR="00995AEF">
        <w:rPr>
          <w:b/>
          <w:sz w:val="18"/>
        </w:rPr>
        <w:t xml:space="preserve"> </w:t>
      </w:r>
      <w:r w:rsidR="00995AEF" w:rsidRPr="00995AEF">
        <w:t>This is appropriate as the CSF regime establishes the prohibitions, liabilities and remedies relating to CSF offers.  There is, however, an express provision that the CSF regime does not otherwise affect any liability that a person has under any other law</w:t>
      </w:r>
      <w:r w:rsidR="00995AEF">
        <w:t xml:space="preserve"> </w:t>
      </w:r>
      <w:r w:rsidR="00995AEF" w:rsidRPr="00A2629B">
        <w:rPr>
          <w:rStyle w:val="Referencingstyle"/>
        </w:rPr>
        <w:t xml:space="preserve">[Schedule 1, Part 1, item </w:t>
      </w:r>
      <w:r w:rsidR="00995AEF">
        <w:rPr>
          <w:rStyle w:val="Referencingstyle"/>
        </w:rPr>
        <w:t>14</w:t>
      </w:r>
      <w:r w:rsidR="00995AEF" w:rsidRPr="00A2629B">
        <w:rPr>
          <w:rStyle w:val="Referencingstyle"/>
        </w:rPr>
        <w:t xml:space="preserve">, </w:t>
      </w:r>
      <w:r w:rsidR="00995AEF" w:rsidRPr="00D55251">
        <w:rPr>
          <w:rStyle w:val="Referencingstyle"/>
        </w:rPr>
        <w:t>section 738</w:t>
      </w:r>
      <w:r w:rsidR="00076B4C" w:rsidRPr="00D55251">
        <w:rPr>
          <w:rStyle w:val="Referencingstyle"/>
        </w:rPr>
        <w:t>ZH</w:t>
      </w:r>
      <w:r w:rsidR="00995AEF" w:rsidRPr="00D55251">
        <w:rPr>
          <w:b/>
          <w:i/>
          <w:sz w:val="18"/>
        </w:rPr>
        <w:t>]</w:t>
      </w:r>
      <w:r w:rsidR="00995AEF" w:rsidRPr="00D55251">
        <w:t>.</w:t>
      </w:r>
      <w:r w:rsidR="00995AEF" w:rsidRPr="00995AEF">
        <w:t xml:space="preserve"> </w:t>
      </w:r>
    </w:p>
    <w:p w14:paraId="3FFC749A" w14:textId="20540A7C" w:rsidR="00180C80" w:rsidRPr="0029395D" w:rsidRDefault="00180C80" w:rsidP="00180C80">
      <w:pPr>
        <w:pStyle w:val="Heading3"/>
      </w:pPr>
      <w:r>
        <w:t>Eligibility requirements for a CSF offer</w:t>
      </w:r>
    </w:p>
    <w:p w14:paraId="1C88E889" w14:textId="7C285700" w:rsidR="006F41D4" w:rsidRPr="00F63766" w:rsidRDefault="00722C1B" w:rsidP="00F242EA">
      <w:pPr>
        <w:pStyle w:val="base-text-paragraph"/>
      </w:pPr>
      <w:r w:rsidRPr="00F63766">
        <w:t xml:space="preserve">The relevant </w:t>
      </w:r>
      <w:r w:rsidR="007C1E8F">
        <w:t xml:space="preserve">eligibility </w:t>
      </w:r>
      <w:r w:rsidRPr="00F63766">
        <w:t xml:space="preserve">requirements </w:t>
      </w:r>
      <w:r w:rsidR="007C1E8F">
        <w:t xml:space="preserve">for a CSF offer </w:t>
      </w:r>
      <w:r w:rsidRPr="00F63766">
        <w:t>are set out in detail below</w:t>
      </w:r>
      <w:r w:rsidR="00D44C66" w:rsidRPr="00F63766">
        <w:t xml:space="preserve">. </w:t>
      </w:r>
    </w:p>
    <w:p w14:paraId="6B8D72EE" w14:textId="3EC772AF" w:rsidR="003415A9" w:rsidRPr="00F63766" w:rsidRDefault="003415A9" w:rsidP="00F242EA">
      <w:pPr>
        <w:pStyle w:val="Heading4"/>
      </w:pPr>
      <w:r w:rsidRPr="00F63766">
        <w:t>Offer of securities</w:t>
      </w:r>
      <w:r w:rsidR="007D7218">
        <w:t xml:space="preserve"> for issue</w:t>
      </w:r>
    </w:p>
    <w:p w14:paraId="082D0CE9" w14:textId="04B58E2C" w:rsidR="003415A9" w:rsidRPr="00F63766" w:rsidRDefault="003415A9" w:rsidP="00F242EA">
      <w:pPr>
        <w:pStyle w:val="base-text-paragraph"/>
      </w:pPr>
      <w:r w:rsidRPr="00F63766">
        <w:t>The first criteri</w:t>
      </w:r>
      <w:r w:rsidR="006D0277" w:rsidRPr="00F63766">
        <w:t>on</w:t>
      </w:r>
      <w:r w:rsidRPr="00F63766">
        <w:t xml:space="preserve"> is that the offer must be for the issue, not the sale, of securities</w:t>
      </w:r>
      <w:r w:rsidRPr="005D19F2">
        <w:t>; that is, a CSF offer can only cover primary issuances.</w:t>
      </w:r>
      <w:r w:rsidR="00B96F32" w:rsidRPr="005D19F2">
        <w:t xml:space="preserve"> </w:t>
      </w:r>
      <w:r w:rsidR="00B96F32" w:rsidRPr="005D19F2">
        <w:rPr>
          <w:rStyle w:val="Referencingstyle"/>
        </w:rPr>
        <w:t xml:space="preserve">[Schedule 1, Part 1, item 14, </w:t>
      </w:r>
      <w:r w:rsidR="005D19F2">
        <w:rPr>
          <w:rStyle w:val="Referencingstyle"/>
        </w:rPr>
        <w:t>paragraph</w:t>
      </w:r>
      <w:r w:rsidR="00B96F32" w:rsidRPr="005D19F2">
        <w:rPr>
          <w:rStyle w:val="Referencingstyle"/>
        </w:rPr>
        <w:t> </w:t>
      </w:r>
      <w:r w:rsidR="00076B4C" w:rsidRPr="005D19F2">
        <w:rPr>
          <w:rStyle w:val="Referencingstyle"/>
        </w:rPr>
        <w:t>738G(1)(a)</w:t>
      </w:r>
      <w:r w:rsidR="00B96F32" w:rsidRPr="005D19F2">
        <w:rPr>
          <w:b/>
          <w:i/>
          <w:sz w:val="18"/>
        </w:rPr>
        <w:t>]</w:t>
      </w:r>
      <w:r w:rsidR="00B96F32" w:rsidRPr="00995AEF">
        <w:t xml:space="preserve"> </w:t>
      </w:r>
      <w:r w:rsidRPr="00F63766">
        <w:t xml:space="preserve"> </w:t>
      </w:r>
    </w:p>
    <w:p w14:paraId="20FD0F32" w14:textId="77777777" w:rsidR="00E27590" w:rsidRPr="00F63766" w:rsidRDefault="00E27590" w:rsidP="00E27590">
      <w:pPr>
        <w:pStyle w:val="Heading4"/>
      </w:pPr>
      <w:r w:rsidRPr="00F63766">
        <w:t xml:space="preserve">Eligible CSF </w:t>
      </w:r>
      <w:proofErr w:type="gramStart"/>
      <w:r w:rsidRPr="00F63766">
        <w:t>company</w:t>
      </w:r>
      <w:proofErr w:type="gramEnd"/>
    </w:p>
    <w:p w14:paraId="33B02D74" w14:textId="1B6D35B5" w:rsidR="0093313E" w:rsidRPr="00F63766" w:rsidRDefault="006D0277" w:rsidP="00E27590">
      <w:pPr>
        <w:pStyle w:val="base-text-paragraph"/>
        <w:numPr>
          <w:ilvl w:val="1"/>
          <w:numId w:val="33"/>
        </w:numPr>
      </w:pPr>
      <w:r w:rsidRPr="00F63766">
        <w:t xml:space="preserve">The second criterion is that the company making the offer must satisfy the definition of </w:t>
      </w:r>
      <w:r w:rsidR="000B7BBA">
        <w:t xml:space="preserve">an </w:t>
      </w:r>
      <w:r w:rsidRPr="00F63766">
        <w:t xml:space="preserve">‘eligible CSF company’. </w:t>
      </w:r>
      <w:r w:rsidR="008640BD" w:rsidRPr="00F63766">
        <w:rPr>
          <w:b/>
          <w:i/>
          <w:sz w:val="18"/>
        </w:rPr>
        <w:t xml:space="preserve">[Schedule 1, Part 1, </w:t>
      </w:r>
      <w:r w:rsidR="008640BD">
        <w:rPr>
          <w:b/>
          <w:i/>
          <w:sz w:val="18"/>
        </w:rPr>
        <w:t>item 14</w:t>
      </w:r>
      <w:r w:rsidR="008640BD" w:rsidRPr="00F63766">
        <w:rPr>
          <w:b/>
          <w:i/>
          <w:sz w:val="18"/>
        </w:rPr>
        <w:t xml:space="preserve">, </w:t>
      </w:r>
      <w:r w:rsidR="009B0099">
        <w:rPr>
          <w:b/>
          <w:i/>
          <w:sz w:val="18"/>
        </w:rPr>
        <w:t>paragraph</w:t>
      </w:r>
      <w:r w:rsidR="008640BD" w:rsidRPr="00F63766">
        <w:rPr>
          <w:b/>
          <w:i/>
          <w:sz w:val="18"/>
        </w:rPr>
        <w:t> </w:t>
      </w:r>
      <w:proofErr w:type="gramStart"/>
      <w:r w:rsidR="008640BD" w:rsidRPr="00F63766">
        <w:rPr>
          <w:b/>
          <w:i/>
          <w:sz w:val="18"/>
        </w:rPr>
        <w:t>738</w:t>
      </w:r>
      <w:r w:rsidR="008640BD">
        <w:rPr>
          <w:b/>
          <w:i/>
          <w:sz w:val="18"/>
        </w:rPr>
        <w:t>G</w:t>
      </w:r>
      <w:r w:rsidR="008640BD" w:rsidRPr="00F63766">
        <w:rPr>
          <w:b/>
          <w:i/>
          <w:sz w:val="18"/>
        </w:rPr>
        <w:t>(</w:t>
      </w:r>
      <w:proofErr w:type="gramEnd"/>
      <w:r w:rsidR="009B0099">
        <w:rPr>
          <w:b/>
          <w:i/>
          <w:sz w:val="18"/>
        </w:rPr>
        <w:t>1</w:t>
      </w:r>
      <w:r w:rsidR="008640BD" w:rsidRPr="00F63766">
        <w:rPr>
          <w:b/>
          <w:i/>
          <w:sz w:val="18"/>
        </w:rPr>
        <w:t>)</w:t>
      </w:r>
      <w:r w:rsidR="009B0099">
        <w:rPr>
          <w:b/>
          <w:i/>
          <w:sz w:val="18"/>
        </w:rPr>
        <w:t>(b)</w:t>
      </w:r>
      <w:r w:rsidR="008640BD" w:rsidRPr="00F63766">
        <w:rPr>
          <w:b/>
          <w:i/>
          <w:sz w:val="18"/>
        </w:rPr>
        <w:t>]</w:t>
      </w:r>
      <w:r w:rsidR="00F9072C">
        <w:t>.</w:t>
      </w:r>
      <w:r w:rsidRPr="00F63766">
        <w:t xml:space="preserve"> </w:t>
      </w:r>
    </w:p>
    <w:p w14:paraId="273CB7E6" w14:textId="235DC995" w:rsidR="00E27590" w:rsidRPr="00F63766" w:rsidRDefault="00E27590" w:rsidP="00E27590">
      <w:pPr>
        <w:pStyle w:val="base-text-paragraph"/>
        <w:numPr>
          <w:ilvl w:val="1"/>
          <w:numId w:val="33"/>
        </w:numPr>
      </w:pPr>
      <w:r w:rsidRPr="00F63766">
        <w:t>A company will be</w:t>
      </w:r>
      <w:r w:rsidR="00216849" w:rsidRPr="00F63766">
        <w:t xml:space="preserve"> an</w:t>
      </w:r>
      <w:r w:rsidRPr="00F63766">
        <w:t xml:space="preserve"> eligible CSF company where it satisfies the following</w:t>
      </w:r>
      <w:r w:rsidR="00D23294" w:rsidRPr="00F63766">
        <w:t xml:space="preserve"> conditions</w:t>
      </w:r>
      <w:r w:rsidR="001A43A3" w:rsidRPr="00F63766">
        <w:t>:</w:t>
      </w:r>
    </w:p>
    <w:p w14:paraId="5F67B803" w14:textId="1549C102" w:rsidR="00E27590" w:rsidRPr="00F63766" w:rsidRDefault="00E27590" w:rsidP="00E27590">
      <w:pPr>
        <w:pStyle w:val="dotpoint"/>
      </w:pPr>
      <w:r w:rsidRPr="00F63766">
        <w:t>the company is a public company limited by shares, with its principal place of business and majority of directors in Australia</w:t>
      </w:r>
      <w:r w:rsidR="00BE5D6F" w:rsidRPr="00F63766">
        <w:t xml:space="preserve"> </w:t>
      </w:r>
      <w:r w:rsidR="00BE5D6F" w:rsidRPr="00F63766">
        <w:rPr>
          <w:b/>
          <w:i/>
          <w:sz w:val="18"/>
        </w:rPr>
        <w:t xml:space="preserve">[Schedule 1, Part 1, </w:t>
      </w:r>
      <w:r w:rsidR="004C3043">
        <w:rPr>
          <w:b/>
          <w:i/>
          <w:sz w:val="18"/>
        </w:rPr>
        <w:t>item 14</w:t>
      </w:r>
      <w:r w:rsidR="00BE5D6F" w:rsidRPr="00F63766">
        <w:rPr>
          <w:b/>
          <w:i/>
          <w:sz w:val="18"/>
        </w:rPr>
        <w:t>, paragraphs 738H(1</w:t>
      </w:r>
      <w:r w:rsidR="00C714FE" w:rsidRPr="00F63766">
        <w:rPr>
          <w:b/>
          <w:i/>
          <w:sz w:val="18"/>
        </w:rPr>
        <w:t>)</w:t>
      </w:r>
      <w:r w:rsidR="00BE5D6F" w:rsidRPr="00F63766">
        <w:rPr>
          <w:b/>
          <w:i/>
          <w:sz w:val="18"/>
        </w:rPr>
        <w:t>(a), (b) and (c)]</w:t>
      </w:r>
      <w:r w:rsidRPr="00F63766">
        <w:t xml:space="preserve">; </w:t>
      </w:r>
    </w:p>
    <w:p w14:paraId="290B338B" w14:textId="05706A00" w:rsidR="00E27590" w:rsidRPr="00F63766" w:rsidRDefault="00E27590" w:rsidP="00E27590">
      <w:pPr>
        <w:pStyle w:val="dotpoint"/>
      </w:pPr>
      <w:r w:rsidRPr="00F63766">
        <w:t>the company satisfies the gross assets and turnover caps</w:t>
      </w:r>
      <w:r w:rsidR="008C2508" w:rsidRPr="00F63766">
        <w:t xml:space="preserve">  </w:t>
      </w:r>
      <w:r w:rsidR="008C2508" w:rsidRPr="00F63766">
        <w:rPr>
          <w:b/>
          <w:i/>
          <w:sz w:val="18"/>
        </w:rPr>
        <w:t xml:space="preserve">[Schedule 1, Part 1, </w:t>
      </w:r>
      <w:r w:rsidR="004C3043">
        <w:rPr>
          <w:b/>
          <w:i/>
          <w:sz w:val="18"/>
        </w:rPr>
        <w:t>item 14</w:t>
      </w:r>
      <w:r w:rsidR="008C2508" w:rsidRPr="00F63766">
        <w:rPr>
          <w:b/>
          <w:i/>
          <w:sz w:val="18"/>
        </w:rPr>
        <w:t>, paragraph 738H(1</w:t>
      </w:r>
      <w:r w:rsidR="00C714FE" w:rsidRPr="00F63766">
        <w:rPr>
          <w:b/>
          <w:i/>
          <w:sz w:val="18"/>
        </w:rPr>
        <w:t>)</w:t>
      </w:r>
      <w:r w:rsidR="008C2508" w:rsidRPr="00F63766">
        <w:rPr>
          <w:b/>
          <w:i/>
          <w:sz w:val="18"/>
        </w:rPr>
        <w:t>(</w:t>
      </w:r>
      <w:r w:rsidR="00C714FE" w:rsidRPr="00F63766">
        <w:rPr>
          <w:b/>
          <w:i/>
          <w:sz w:val="18"/>
        </w:rPr>
        <w:t>d</w:t>
      </w:r>
      <w:r w:rsidR="008C2508" w:rsidRPr="00F63766">
        <w:rPr>
          <w:b/>
          <w:i/>
          <w:sz w:val="18"/>
        </w:rPr>
        <w:t>)]</w:t>
      </w:r>
      <w:r w:rsidRPr="00F63766">
        <w:t xml:space="preserve">; </w:t>
      </w:r>
    </w:p>
    <w:p w14:paraId="2DC516EA" w14:textId="290A4F8F" w:rsidR="00E27590" w:rsidRPr="00F63766" w:rsidRDefault="00E27590" w:rsidP="00E27590">
      <w:pPr>
        <w:pStyle w:val="dotpoint"/>
      </w:pPr>
      <w:r w:rsidRPr="00F63766">
        <w:t>neither the company, nor any related party, is a listed corporation</w:t>
      </w:r>
      <w:r w:rsidR="000B2F8D" w:rsidRPr="00F63766">
        <w:t xml:space="preserve"> </w:t>
      </w:r>
      <w:r w:rsidR="000B2F8D" w:rsidRPr="00F63766">
        <w:rPr>
          <w:b/>
          <w:i/>
          <w:sz w:val="18"/>
        </w:rPr>
        <w:t xml:space="preserve">[Schedule 1, Part 1, </w:t>
      </w:r>
      <w:r w:rsidR="004C3043">
        <w:rPr>
          <w:b/>
          <w:i/>
          <w:sz w:val="18"/>
        </w:rPr>
        <w:t>item 14</w:t>
      </w:r>
      <w:r w:rsidR="000B2F8D" w:rsidRPr="00F63766">
        <w:rPr>
          <w:b/>
          <w:i/>
          <w:sz w:val="18"/>
        </w:rPr>
        <w:t>, paragraph 738H(1)(e)]</w:t>
      </w:r>
      <w:r w:rsidRPr="00F63766">
        <w:t>; and</w:t>
      </w:r>
    </w:p>
    <w:p w14:paraId="7D0CEA6B" w14:textId="37B927ED" w:rsidR="00E27590" w:rsidRPr="00F63766" w:rsidRDefault="00E27590" w:rsidP="00E27590">
      <w:pPr>
        <w:pStyle w:val="dotpoint"/>
      </w:pPr>
      <w:r w:rsidRPr="00F63766">
        <w:t>neither the company, nor any related party, has a</w:t>
      </w:r>
      <w:r w:rsidR="00987256" w:rsidRPr="00F63766">
        <w:t xml:space="preserve"> substantial</w:t>
      </w:r>
      <w:r w:rsidRPr="00F63766">
        <w:t xml:space="preserve"> purpose of investing in securities or interests in other entities or </w:t>
      </w:r>
      <w:r w:rsidR="0035059D">
        <w:t xml:space="preserve">managed investment </w:t>
      </w:r>
      <w:r w:rsidRPr="00F63766">
        <w:t xml:space="preserve">schemes </w:t>
      </w:r>
      <w:r w:rsidRPr="00F63766">
        <w:rPr>
          <w:b/>
          <w:i/>
          <w:sz w:val="18"/>
        </w:rPr>
        <w:t xml:space="preserve">[Schedule 1, Part 1, </w:t>
      </w:r>
      <w:r w:rsidR="004C3043">
        <w:rPr>
          <w:b/>
          <w:i/>
          <w:sz w:val="18"/>
        </w:rPr>
        <w:t>item 14</w:t>
      </w:r>
      <w:r w:rsidRPr="00F63766">
        <w:rPr>
          <w:b/>
          <w:i/>
          <w:sz w:val="18"/>
        </w:rPr>
        <w:t xml:space="preserve">, </w:t>
      </w:r>
      <w:r w:rsidR="009D540F" w:rsidRPr="00F63766">
        <w:rPr>
          <w:b/>
          <w:i/>
          <w:sz w:val="18"/>
        </w:rPr>
        <w:t>paragraph</w:t>
      </w:r>
      <w:r w:rsidRPr="00F63766">
        <w:rPr>
          <w:b/>
          <w:i/>
          <w:sz w:val="18"/>
        </w:rPr>
        <w:t> 738H(1</w:t>
      </w:r>
      <w:r w:rsidR="00236F02" w:rsidRPr="00F63766">
        <w:rPr>
          <w:b/>
          <w:i/>
          <w:sz w:val="18"/>
        </w:rPr>
        <w:t>)</w:t>
      </w:r>
      <w:r w:rsidR="009D540F" w:rsidRPr="00F63766">
        <w:rPr>
          <w:b/>
          <w:i/>
          <w:sz w:val="18"/>
        </w:rPr>
        <w:t>(f</w:t>
      </w:r>
      <w:r w:rsidRPr="00F63766">
        <w:rPr>
          <w:b/>
          <w:i/>
          <w:sz w:val="18"/>
        </w:rPr>
        <w:t>)]</w:t>
      </w:r>
      <w:r w:rsidRPr="00F63766">
        <w:t xml:space="preserve">.   </w:t>
      </w:r>
    </w:p>
    <w:p w14:paraId="7389FBC9" w14:textId="77777777" w:rsidR="00E27590" w:rsidRPr="00F63766" w:rsidRDefault="00E27590" w:rsidP="00E27590">
      <w:pPr>
        <w:pStyle w:val="Heading5"/>
      </w:pPr>
      <w:r w:rsidRPr="00F63766">
        <w:t>Public company limited by shares</w:t>
      </w:r>
    </w:p>
    <w:p w14:paraId="0F8D4409" w14:textId="594EC885" w:rsidR="00E27590" w:rsidRPr="00643C76" w:rsidRDefault="006848D9" w:rsidP="00E27590">
      <w:pPr>
        <w:pStyle w:val="base-text-paragraph"/>
        <w:numPr>
          <w:ilvl w:val="1"/>
          <w:numId w:val="33"/>
        </w:numPr>
      </w:pPr>
      <w:r w:rsidRPr="00643C76">
        <w:t>A</w:t>
      </w:r>
      <w:r w:rsidR="00E27590" w:rsidRPr="00643C76">
        <w:t xml:space="preserve"> public company limited by shares</w:t>
      </w:r>
      <w:r w:rsidRPr="00643C76">
        <w:t xml:space="preserve"> </w:t>
      </w:r>
      <w:r w:rsidR="00643C76">
        <w:t>includes</w:t>
      </w:r>
      <w:r w:rsidR="00E27590" w:rsidRPr="00643C76">
        <w:t>:</w:t>
      </w:r>
    </w:p>
    <w:p w14:paraId="3977C40B" w14:textId="6CA8BC02" w:rsidR="00E27590" w:rsidRPr="00643C76" w:rsidRDefault="00E27590" w:rsidP="00E27590">
      <w:pPr>
        <w:pStyle w:val="dotpoint"/>
      </w:pPr>
      <w:r w:rsidRPr="00643C76">
        <w:t xml:space="preserve">a public company with share capital registered under Chapter 2A; and </w:t>
      </w:r>
    </w:p>
    <w:p w14:paraId="41E972C7" w14:textId="7D1105FA" w:rsidR="00044159" w:rsidRPr="00F63766" w:rsidRDefault="00E27590" w:rsidP="00E27590">
      <w:pPr>
        <w:pStyle w:val="dotpoint"/>
      </w:pPr>
      <w:proofErr w:type="gramStart"/>
      <w:r w:rsidRPr="00F63766">
        <w:t>a</w:t>
      </w:r>
      <w:proofErr w:type="gramEnd"/>
      <w:r w:rsidRPr="00F63766">
        <w:t xml:space="preserve"> body corporate that is registered as a public company under Part 5B.1 of the Act</w:t>
      </w:r>
      <w:r w:rsidR="00044159" w:rsidRPr="00F63766">
        <w:t xml:space="preserve">. </w:t>
      </w:r>
    </w:p>
    <w:p w14:paraId="5BD078E7" w14:textId="77A42231" w:rsidR="004A310E" w:rsidRPr="00F63766" w:rsidRDefault="00044159" w:rsidP="00E27590">
      <w:pPr>
        <w:pStyle w:val="base-text-paragraph"/>
        <w:numPr>
          <w:ilvl w:val="1"/>
          <w:numId w:val="33"/>
        </w:numPr>
      </w:pPr>
      <w:r w:rsidRPr="00F63766">
        <w:t>A body corporate that is registered as a public company under Part 5B.1 can include an</w:t>
      </w:r>
      <w:r w:rsidR="000063E5">
        <w:t xml:space="preserve"> incorporated foreign company. </w:t>
      </w:r>
      <w:r w:rsidRPr="00F63766">
        <w:t xml:space="preserve">Such a company has, </w:t>
      </w:r>
      <w:r w:rsidR="004A310E" w:rsidRPr="00F63766">
        <w:t>in effect,</w:t>
      </w:r>
      <w:r w:rsidRPr="00F63766">
        <w:t xml:space="preserve"> transferred its incorporation </w:t>
      </w:r>
      <w:r w:rsidR="007F2B2C" w:rsidRPr="00F63766">
        <w:t>so</w:t>
      </w:r>
      <w:r w:rsidRPr="00F63766">
        <w:t xml:space="preserve"> that it </w:t>
      </w:r>
      <w:r w:rsidR="007F2B2C" w:rsidRPr="00F63766">
        <w:t xml:space="preserve">can </w:t>
      </w:r>
      <w:r w:rsidRPr="00F63766">
        <w:t xml:space="preserve">now effectively </w:t>
      </w:r>
      <w:r w:rsidR="007F2B2C" w:rsidRPr="00F63766">
        <w:t xml:space="preserve">be </w:t>
      </w:r>
      <w:r w:rsidRPr="00F63766">
        <w:t xml:space="preserve">regarded as a public company registered under the Act.  </w:t>
      </w:r>
    </w:p>
    <w:p w14:paraId="6D0C4E0F" w14:textId="2B54D29D" w:rsidR="007F2B2C" w:rsidRPr="00F63766" w:rsidRDefault="007F2B2C" w:rsidP="00E27590">
      <w:pPr>
        <w:pStyle w:val="base-text-paragraph"/>
        <w:numPr>
          <w:ilvl w:val="1"/>
          <w:numId w:val="33"/>
        </w:numPr>
      </w:pPr>
      <w:r w:rsidRPr="00F63766">
        <w:t xml:space="preserve">The following entities </w:t>
      </w:r>
      <w:r w:rsidR="004A310E" w:rsidRPr="00F63766">
        <w:t>are</w:t>
      </w:r>
      <w:r w:rsidRPr="00F63766">
        <w:t xml:space="preserve"> ineligible to access the CSF regime</w:t>
      </w:r>
      <w:r w:rsidR="00B94B51" w:rsidRPr="00F63766">
        <w:t xml:space="preserve"> </w:t>
      </w:r>
      <w:r w:rsidR="004A310E" w:rsidRPr="00F63766">
        <w:t>as they will not satisfy the definition of public company limited by shares</w:t>
      </w:r>
      <w:r w:rsidRPr="00F63766">
        <w:t>:</w:t>
      </w:r>
    </w:p>
    <w:p w14:paraId="1A38388B" w14:textId="10BA99FC" w:rsidR="007F2B2C" w:rsidRPr="00F63766" w:rsidRDefault="007F2B2C" w:rsidP="00F242EA">
      <w:pPr>
        <w:pStyle w:val="dotpoint"/>
      </w:pPr>
      <w:r w:rsidRPr="00F63766">
        <w:t xml:space="preserve">proprietary companies, as they are explicitly excluded from the definition of </w:t>
      </w:r>
      <w:r w:rsidR="00B94B51" w:rsidRPr="00F63766">
        <w:t xml:space="preserve">‘public company’ </w:t>
      </w:r>
      <w:r w:rsidRPr="00F63766">
        <w:t>in section 9;</w:t>
      </w:r>
    </w:p>
    <w:p w14:paraId="5BC31907" w14:textId="15AE823C" w:rsidR="00E27590" w:rsidRPr="00F63766" w:rsidRDefault="007F2B2C" w:rsidP="00F242EA">
      <w:pPr>
        <w:pStyle w:val="dotpoint"/>
      </w:pPr>
      <w:r w:rsidRPr="00F63766">
        <w:t>f</w:t>
      </w:r>
      <w:r w:rsidR="00E27590" w:rsidRPr="00F63766">
        <w:t>oreign companies and registrable Australian bodies that are registered under Part 5B.2</w:t>
      </w:r>
      <w:r w:rsidRPr="00F63766">
        <w:t xml:space="preserve">, as </w:t>
      </w:r>
      <w:r w:rsidR="00C72CAD">
        <w:t>they will not</w:t>
      </w:r>
      <w:r w:rsidR="00044159" w:rsidRPr="00F63766">
        <w:t xml:space="preserve"> meet the definition of a ‘company’ under section 9</w:t>
      </w:r>
      <w:r w:rsidRPr="00F63766">
        <w:t>; and</w:t>
      </w:r>
    </w:p>
    <w:p w14:paraId="1BD70238" w14:textId="5D01370E" w:rsidR="007F2B2C" w:rsidRPr="00F63766" w:rsidRDefault="007F2B2C" w:rsidP="00F242EA">
      <w:pPr>
        <w:pStyle w:val="dotpoint"/>
      </w:pPr>
      <w:proofErr w:type="gramStart"/>
      <w:r w:rsidRPr="00F63766">
        <w:t>public</w:t>
      </w:r>
      <w:proofErr w:type="gramEnd"/>
      <w:r w:rsidRPr="00F63766">
        <w:t xml:space="preserve"> companies that do not have share capital (for example, public companies limited by guarantee)</w:t>
      </w:r>
      <w:r w:rsidR="00141CA1" w:rsidRPr="00F63766">
        <w:t>.</w:t>
      </w:r>
    </w:p>
    <w:p w14:paraId="66A40040" w14:textId="77777777" w:rsidR="00E27590" w:rsidRPr="00F63766" w:rsidRDefault="00E27590" w:rsidP="00E27590">
      <w:pPr>
        <w:pStyle w:val="Heading5"/>
      </w:pPr>
      <w:r w:rsidRPr="00F63766">
        <w:t>Principal place of business and majority of directors located in Australia</w:t>
      </w:r>
    </w:p>
    <w:p w14:paraId="6D357529" w14:textId="7E4F36EA" w:rsidR="003D654C" w:rsidRPr="00F63766" w:rsidRDefault="00236F02" w:rsidP="003400C0">
      <w:pPr>
        <w:pStyle w:val="base-text-paragraph"/>
      </w:pPr>
      <w:r w:rsidRPr="00F63766">
        <w:t xml:space="preserve">Given one </w:t>
      </w:r>
      <w:r w:rsidR="00A41C42" w:rsidRPr="00F63766">
        <w:t>of</w:t>
      </w:r>
      <w:r w:rsidRPr="00F63766">
        <w:t xml:space="preserve"> the policy </w:t>
      </w:r>
      <w:r w:rsidR="00B94B51" w:rsidRPr="00F63766">
        <w:t xml:space="preserve">objectives </w:t>
      </w:r>
      <w:r w:rsidR="00205A11">
        <w:t>underpinning</w:t>
      </w:r>
      <w:r w:rsidR="00B94B51" w:rsidRPr="00F63766">
        <w:t xml:space="preserve"> the CSF regime is to support </w:t>
      </w:r>
      <w:r w:rsidRPr="00F63766">
        <w:t xml:space="preserve">Australian businesses’ access to capital, </w:t>
      </w:r>
      <w:r w:rsidR="00B94B51" w:rsidRPr="00F63766">
        <w:t>one of the eligibility requirements is that a company seeking to access the CSF regime</w:t>
      </w:r>
      <w:r w:rsidR="00E27590" w:rsidRPr="00F63766">
        <w:t xml:space="preserve"> </w:t>
      </w:r>
      <w:r w:rsidRPr="00F63766">
        <w:t>must</w:t>
      </w:r>
      <w:r w:rsidR="00E27590" w:rsidRPr="00F63766">
        <w:t xml:space="preserve"> </w:t>
      </w:r>
      <w:r w:rsidRPr="00F63766">
        <w:t xml:space="preserve">have a </w:t>
      </w:r>
      <w:r w:rsidR="00E27590" w:rsidRPr="00F63766">
        <w:t xml:space="preserve">principal place of business in </w:t>
      </w:r>
      <w:r w:rsidRPr="00F63766">
        <w:t>Australia at the time it is determining its eligibility to crowd fund.</w:t>
      </w:r>
      <w:r w:rsidRPr="003400C0">
        <w:rPr>
          <w:b/>
          <w:i/>
          <w:sz w:val="18"/>
        </w:rPr>
        <w:t xml:space="preserve"> </w:t>
      </w:r>
      <w:r w:rsidR="0048363B" w:rsidRPr="00F63766">
        <w:t xml:space="preserve"> </w:t>
      </w:r>
    </w:p>
    <w:p w14:paraId="752B29B6" w14:textId="6ED58805" w:rsidR="00E27590" w:rsidRPr="00F63766" w:rsidRDefault="00D54386" w:rsidP="00236F02">
      <w:pPr>
        <w:pStyle w:val="base-text-paragraph"/>
        <w:numPr>
          <w:ilvl w:val="1"/>
          <w:numId w:val="33"/>
        </w:numPr>
      </w:pPr>
      <w:r w:rsidRPr="00F63766">
        <w:t>For similar reasons, another eligibility requirement is that t</w:t>
      </w:r>
      <w:r w:rsidR="00E27590" w:rsidRPr="00F63766">
        <w:t>he company must have a majority of directors (not counting alternative directors) that ordinarily reside in Australia</w:t>
      </w:r>
      <w:r w:rsidR="00236F02" w:rsidRPr="00F63766">
        <w:t>.</w:t>
      </w:r>
      <w:r w:rsidR="00E27590" w:rsidRPr="00F63766">
        <w:t xml:space="preserve">   </w:t>
      </w:r>
    </w:p>
    <w:p w14:paraId="13EC11B2" w14:textId="48EE90CE" w:rsidR="00E27590" w:rsidRPr="00F63766" w:rsidRDefault="00E144A0" w:rsidP="00E27590">
      <w:pPr>
        <w:pStyle w:val="Heading5"/>
      </w:pPr>
      <w:r w:rsidRPr="00F63766">
        <w:t xml:space="preserve">Complies with </w:t>
      </w:r>
      <w:r w:rsidR="008B380D" w:rsidRPr="00F63766">
        <w:t xml:space="preserve">consolidated </w:t>
      </w:r>
      <w:r w:rsidR="00E27590" w:rsidRPr="00F63766">
        <w:t>gross assets and turnover caps</w:t>
      </w:r>
    </w:p>
    <w:p w14:paraId="626FA6C3" w14:textId="47B2113B" w:rsidR="00E27590" w:rsidRPr="00F63766" w:rsidRDefault="00E27590" w:rsidP="00E27590">
      <w:pPr>
        <w:pStyle w:val="base-text-paragraph"/>
        <w:numPr>
          <w:ilvl w:val="1"/>
          <w:numId w:val="33"/>
        </w:numPr>
      </w:pPr>
      <w:r w:rsidRPr="00F63766">
        <w:t>As the CSF regime is intended to assist small</w:t>
      </w:r>
      <w:r w:rsidR="00F9072C">
        <w:noBreakHyphen/>
      </w:r>
      <w:r w:rsidRPr="00F63766">
        <w:t xml:space="preserve">scale businesses, there are restrictions on the size of companies that can access the regime.  </w:t>
      </w:r>
    </w:p>
    <w:p w14:paraId="705D8385" w14:textId="4503E580" w:rsidR="00E27590" w:rsidRPr="00F63766" w:rsidRDefault="00E27590" w:rsidP="00E27590">
      <w:pPr>
        <w:pStyle w:val="base-text-paragraph"/>
        <w:numPr>
          <w:ilvl w:val="1"/>
          <w:numId w:val="33"/>
        </w:numPr>
      </w:pPr>
      <w:r w:rsidRPr="00F63766">
        <w:t>Firstly, the value of the consolidated gross assets of the issuer and any related parties must be less than $5 million</w:t>
      </w:r>
      <w:r w:rsidR="00236F02" w:rsidRPr="00F63766">
        <w:t xml:space="preserve"> at the time the company is determining its eligibility to crowd fund</w:t>
      </w:r>
      <w:r w:rsidR="004F5FF2">
        <w:t xml:space="preserve"> (‘gross assets test’)</w:t>
      </w:r>
      <w:r w:rsidR="00AD79EC">
        <w:t>.</w:t>
      </w:r>
      <w:r w:rsidRPr="00F63766">
        <w:t xml:space="preserve"> </w:t>
      </w:r>
      <w:r w:rsidRPr="00F63766">
        <w:rPr>
          <w:b/>
          <w:i/>
          <w:sz w:val="18"/>
        </w:rPr>
        <w:t xml:space="preserve">[Schedule 1, Part 1, </w:t>
      </w:r>
      <w:r w:rsidR="004C3043">
        <w:rPr>
          <w:b/>
          <w:i/>
          <w:sz w:val="18"/>
        </w:rPr>
        <w:t>item</w:t>
      </w:r>
      <w:r w:rsidR="005F514A">
        <w:rPr>
          <w:b/>
          <w:i/>
          <w:sz w:val="18"/>
        </w:rPr>
        <w:t> </w:t>
      </w:r>
      <w:r w:rsidR="004C3043">
        <w:rPr>
          <w:b/>
          <w:i/>
          <w:sz w:val="18"/>
        </w:rPr>
        <w:t>14</w:t>
      </w:r>
      <w:r w:rsidR="00AD79EC">
        <w:rPr>
          <w:b/>
          <w:i/>
          <w:sz w:val="18"/>
        </w:rPr>
        <w:t>, paragraph 738H(2)(a)]</w:t>
      </w:r>
    </w:p>
    <w:p w14:paraId="24EF5303" w14:textId="7AFD7AE5" w:rsidR="00A23482" w:rsidRPr="00F63766" w:rsidRDefault="00236F02" w:rsidP="00E27590">
      <w:pPr>
        <w:pStyle w:val="base-text-paragraph"/>
        <w:numPr>
          <w:ilvl w:val="1"/>
          <w:numId w:val="33"/>
        </w:numPr>
      </w:pPr>
      <w:r w:rsidRPr="00F63766">
        <w:t>T</w:t>
      </w:r>
      <w:r w:rsidR="00E27590" w:rsidRPr="00F63766">
        <w:t xml:space="preserve">he </w:t>
      </w:r>
      <w:r w:rsidR="00020022">
        <w:t xml:space="preserve">gross </w:t>
      </w:r>
      <w:r w:rsidR="00E27590" w:rsidRPr="00F63766">
        <w:t xml:space="preserve">assets cap is based on the </w:t>
      </w:r>
      <w:r w:rsidRPr="00F63766">
        <w:t xml:space="preserve">value of consolidated gross </w:t>
      </w:r>
      <w:r w:rsidR="00E27590" w:rsidRPr="00F63766">
        <w:t>assets of an issuer and any related parties</w:t>
      </w:r>
      <w:r w:rsidR="00C92216">
        <w:t xml:space="preserve"> for integrity reasons</w:t>
      </w:r>
      <w:r w:rsidRPr="00F63766">
        <w:t xml:space="preserve"> </w:t>
      </w:r>
      <w:r w:rsidR="00C23FB0">
        <w:t xml:space="preserve">to ensure that </w:t>
      </w:r>
      <w:r w:rsidR="00EB0B10">
        <w:t xml:space="preserve">the cap applies appropriately to </w:t>
      </w:r>
      <w:r w:rsidR="00C23FB0">
        <w:t xml:space="preserve">related parties </w:t>
      </w:r>
      <w:r w:rsidR="00EB0B10">
        <w:t xml:space="preserve">of the same group. </w:t>
      </w:r>
    </w:p>
    <w:p w14:paraId="50929D28" w14:textId="1D9A7293" w:rsidR="00E27590" w:rsidRPr="00785AA6" w:rsidRDefault="00A23482" w:rsidP="00F242EA">
      <w:pPr>
        <w:pStyle w:val="base-text-paragraph"/>
      </w:pPr>
      <w:r w:rsidRPr="00785AA6">
        <w:t xml:space="preserve">The meaning of </w:t>
      </w:r>
      <w:r w:rsidR="00292B77" w:rsidRPr="00785AA6">
        <w:t>‘</w:t>
      </w:r>
      <w:r w:rsidRPr="00785AA6">
        <w:t>related party</w:t>
      </w:r>
      <w:r w:rsidR="00292B77" w:rsidRPr="00785AA6">
        <w:t>’</w:t>
      </w:r>
      <w:r w:rsidRPr="00785AA6">
        <w:t xml:space="preserve"> </w:t>
      </w:r>
      <w:r w:rsidR="00292B77" w:rsidRPr="00785AA6">
        <w:t xml:space="preserve">for the CSF rules </w:t>
      </w:r>
      <w:r w:rsidRPr="00785AA6">
        <w:t xml:space="preserve">is set out </w:t>
      </w:r>
      <w:r w:rsidR="00987256" w:rsidRPr="00785AA6">
        <w:t xml:space="preserve">in </w:t>
      </w:r>
      <w:r w:rsidR="0068206A" w:rsidRPr="00D51761">
        <w:t>paragraphs </w:t>
      </w:r>
      <w:r w:rsidR="00785AA6" w:rsidRPr="00D51761">
        <w:t>2</w:t>
      </w:r>
      <w:r w:rsidR="0068206A" w:rsidRPr="00D51761">
        <w:t>.</w:t>
      </w:r>
      <w:r w:rsidR="00D51761" w:rsidRPr="00D51761">
        <w:t>44</w:t>
      </w:r>
      <w:r w:rsidR="0068206A" w:rsidRPr="00D51761">
        <w:t xml:space="preserve"> to </w:t>
      </w:r>
      <w:r w:rsidR="00785AA6" w:rsidRPr="00D51761">
        <w:t>2</w:t>
      </w:r>
      <w:r w:rsidR="0068206A" w:rsidRPr="00D51761">
        <w:t>.</w:t>
      </w:r>
      <w:r w:rsidR="00785AA6" w:rsidRPr="00351190">
        <w:t>4</w:t>
      </w:r>
      <w:r w:rsidR="00D51761" w:rsidRPr="00D51761">
        <w:t>7</w:t>
      </w:r>
      <w:r w:rsidR="002D5ECF" w:rsidRPr="00785AA6">
        <w:t>.</w:t>
      </w:r>
    </w:p>
    <w:p w14:paraId="23A3DB3A" w14:textId="1BBB8AC7" w:rsidR="00E27590" w:rsidRPr="00F63766" w:rsidRDefault="00E27590" w:rsidP="00E27590">
      <w:pPr>
        <w:pStyle w:val="base-text-paragraph"/>
        <w:numPr>
          <w:ilvl w:val="1"/>
          <w:numId w:val="33"/>
        </w:numPr>
      </w:pPr>
      <w:r w:rsidRPr="00F63766">
        <w:t>As well as satisfying the assets test, the company and any related parties must also have consolidated annual revenue of less than $5 million (‘turnover test’)</w:t>
      </w:r>
      <w:r w:rsidR="00B444E4">
        <w:t>.</w:t>
      </w:r>
      <w:r w:rsidRPr="00F63766">
        <w:t xml:space="preserve"> </w:t>
      </w:r>
      <w:r w:rsidRPr="00F63766">
        <w:rPr>
          <w:b/>
          <w:i/>
          <w:sz w:val="18"/>
        </w:rPr>
        <w:t xml:space="preserve">[Schedule 1, Part 1, </w:t>
      </w:r>
      <w:r w:rsidR="004C3043">
        <w:rPr>
          <w:b/>
          <w:i/>
          <w:sz w:val="18"/>
        </w:rPr>
        <w:t>item 14</w:t>
      </w:r>
      <w:r w:rsidRPr="00F63766">
        <w:rPr>
          <w:b/>
          <w:i/>
          <w:sz w:val="18"/>
        </w:rPr>
        <w:t>, paragraph 738H(2)(b)]</w:t>
      </w:r>
    </w:p>
    <w:p w14:paraId="2002C3F6" w14:textId="280FEBD5" w:rsidR="00236F02" w:rsidRPr="00F63766" w:rsidRDefault="00236F02" w:rsidP="00E27590">
      <w:pPr>
        <w:pStyle w:val="base-text-paragraph"/>
        <w:numPr>
          <w:ilvl w:val="1"/>
          <w:numId w:val="33"/>
        </w:numPr>
      </w:pPr>
      <w:r w:rsidRPr="00F63766">
        <w:t xml:space="preserve">The amendments are not prescriptive as to what </w:t>
      </w:r>
      <w:r w:rsidR="00504A4F" w:rsidRPr="00F63766">
        <w:t>12</w:t>
      </w:r>
      <w:r w:rsidR="00F9072C">
        <w:noBreakHyphen/>
      </w:r>
      <w:r w:rsidR="00504A4F" w:rsidRPr="00F63766">
        <w:t>month period</w:t>
      </w:r>
      <w:r w:rsidRPr="00F63766">
        <w:t xml:space="preserve"> must be taken into account for the purposes of determining </w:t>
      </w:r>
      <w:r w:rsidR="000063E5">
        <w:t xml:space="preserve">‘consolidated annual revenue’. </w:t>
      </w:r>
      <w:r w:rsidRPr="00F63766">
        <w:t xml:space="preserve">This </w:t>
      </w:r>
      <w:r w:rsidR="00605C78" w:rsidRPr="00F63766">
        <w:t xml:space="preserve">provides flexibility for an </w:t>
      </w:r>
      <w:r w:rsidRPr="00F63766">
        <w:t>issuer</w:t>
      </w:r>
      <w:r w:rsidR="002D5ECF">
        <w:t xml:space="preserve"> as they can take into account the </w:t>
      </w:r>
      <w:r w:rsidRPr="00F63766">
        <w:t>annual revenue for the 12</w:t>
      </w:r>
      <w:r w:rsidR="00F9072C">
        <w:noBreakHyphen/>
      </w:r>
      <w:r w:rsidRPr="00F63766">
        <w:t>month period immediately prior to the time when determining eligibility to crowd fund</w:t>
      </w:r>
      <w:r w:rsidR="00605C78" w:rsidRPr="00F63766">
        <w:t xml:space="preserve"> </w:t>
      </w:r>
      <w:r w:rsidR="0047066D">
        <w:t>or</w:t>
      </w:r>
      <w:r w:rsidR="00605C78" w:rsidRPr="00F63766">
        <w:t xml:space="preserve"> </w:t>
      </w:r>
      <w:r w:rsidRPr="00F63766">
        <w:t>the 12</w:t>
      </w:r>
      <w:r w:rsidR="00F9072C">
        <w:noBreakHyphen/>
      </w:r>
      <w:r w:rsidRPr="00F63766">
        <w:t xml:space="preserve">month period covered </w:t>
      </w:r>
      <w:r w:rsidR="00FF20E6">
        <w:t>in the</w:t>
      </w:r>
      <w:r w:rsidRPr="00F63766">
        <w:t xml:space="preserve"> last financial statements</w:t>
      </w:r>
      <w:r w:rsidR="00DD777C">
        <w:t xml:space="preserve"> (which may be particularly beneficial where the company</w:t>
      </w:r>
      <w:r w:rsidR="00A50371">
        <w:t>’s statements are</w:t>
      </w:r>
      <w:r w:rsidR="00DD777C">
        <w:t xml:space="preserve"> audited)</w:t>
      </w:r>
      <w:r w:rsidR="00C42F49" w:rsidRPr="00F63766">
        <w:t xml:space="preserve">. </w:t>
      </w:r>
    </w:p>
    <w:p w14:paraId="49B1C265" w14:textId="77777777" w:rsidR="00326B8B" w:rsidRPr="00F63766" w:rsidRDefault="00326B8B" w:rsidP="00326B8B">
      <w:pPr>
        <w:pStyle w:val="Heading5"/>
      </w:pPr>
      <w:r w:rsidRPr="00F63766">
        <w:t>Not a listed corporation</w:t>
      </w:r>
    </w:p>
    <w:p w14:paraId="70D5A437" w14:textId="072231DD" w:rsidR="00326B8B" w:rsidRPr="00F63766" w:rsidRDefault="00326B8B">
      <w:pPr>
        <w:pStyle w:val="base-text-paragraph"/>
        <w:numPr>
          <w:ilvl w:val="1"/>
          <w:numId w:val="33"/>
        </w:numPr>
      </w:pPr>
      <w:r w:rsidRPr="00F63766">
        <w:t xml:space="preserve">In order to be eligible for the CSF regime, neither the company, nor any related parties, can be </w:t>
      </w:r>
      <w:r w:rsidR="00F443CA" w:rsidRPr="00F63766">
        <w:t xml:space="preserve">a </w:t>
      </w:r>
      <w:r w:rsidRPr="00F63766">
        <w:t xml:space="preserve">listed corporation </w:t>
      </w:r>
      <w:r w:rsidRPr="00F63766">
        <w:rPr>
          <w:rStyle w:val="Referencingstyle"/>
        </w:rPr>
        <w:t xml:space="preserve">[Schedule 1, Part 1, </w:t>
      </w:r>
      <w:r w:rsidR="004C3043">
        <w:rPr>
          <w:rStyle w:val="Referencingstyle"/>
        </w:rPr>
        <w:t>item 14</w:t>
      </w:r>
      <w:r w:rsidRPr="00F63766">
        <w:rPr>
          <w:rStyle w:val="Referencingstyle"/>
        </w:rPr>
        <w:t>, paragraph </w:t>
      </w:r>
      <w:proofErr w:type="gramStart"/>
      <w:r w:rsidRPr="00F63766">
        <w:rPr>
          <w:rStyle w:val="Referencingstyle"/>
        </w:rPr>
        <w:t>738H(</w:t>
      </w:r>
      <w:proofErr w:type="gramEnd"/>
      <w:r w:rsidRPr="00F63766">
        <w:rPr>
          <w:rStyle w:val="Referencingstyle"/>
        </w:rPr>
        <w:t>1)(e)]</w:t>
      </w:r>
      <w:r w:rsidRPr="00F63766">
        <w:t xml:space="preserve">.  A listed corporation is ‘a body corporate that is included in an official list of a prescribed financial market’ (section 9).  Regulation 1.0.02A lists the following as prescribed financial markets: the Asia Pacific Exchange Limited; ASX Limited; Chi-X Australia Pty Ltd; National Stock Exchange of Australia Limited; and SIM Venture Securities Exchange Limited. </w:t>
      </w:r>
    </w:p>
    <w:p w14:paraId="1AF8BB3E" w14:textId="378F93B8" w:rsidR="000B6393" w:rsidRPr="00F63766" w:rsidRDefault="000B6393" w:rsidP="000063E5">
      <w:pPr>
        <w:pStyle w:val="base-text-paragraph"/>
        <w:keepNext/>
        <w:keepLines/>
      </w:pPr>
      <w:r w:rsidRPr="00F63766">
        <w:t xml:space="preserve">The rationale for excluding listed corporations is that a company that is listed has demonstrated an ability to bear the costs and compliance requirements associated with listing on a public market.  </w:t>
      </w:r>
      <w:r w:rsidR="001F1D36" w:rsidRPr="00F63766">
        <w:t>T</w:t>
      </w:r>
      <w:r w:rsidRPr="00F63766">
        <w:t xml:space="preserve">hese companies generally have access to other forms of equity raisings because of their listed and continuously disclosing status, such as rights issues and share purchase plans.   </w:t>
      </w:r>
    </w:p>
    <w:p w14:paraId="748FE967" w14:textId="3919A2A6" w:rsidR="00326B8B" w:rsidRPr="00F63766" w:rsidRDefault="00326B8B" w:rsidP="00F242EA">
      <w:pPr>
        <w:pStyle w:val="base-text-paragraph"/>
      </w:pPr>
      <w:r w:rsidRPr="00F63766">
        <w:t>An unlisted company that previously made a</w:t>
      </w:r>
      <w:r w:rsidR="00BB484D" w:rsidRPr="00F63766">
        <w:t>n</w:t>
      </w:r>
      <w:r w:rsidRPr="00F63766">
        <w:t xml:space="preserve"> offer </w:t>
      </w:r>
      <w:r w:rsidR="00A772BC">
        <w:t>requiring</w:t>
      </w:r>
      <w:r w:rsidRPr="00F63766">
        <w:t xml:space="preserve"> disclosure under Chapter 6D.2 is </w:t>
      </w:r>
      <w:r w:rsidR="00DB59E9">
        <w:t>not excluded from making</w:t>
      </w:r>
      <w:r w:rsidRPr="00F63766">
        <w:t xml:space="preserve"> a CSF offer.  Allowing such companies to access the CSF regime will</w:t>
      </w:r>
      <w:r w:rsidR="00FC0302">
        <w:t xml:space="preserve"> potentially</w:t>
      </w:r>
      <w:r w:rsidRPr="00F63766">
        <w:t xml:space="preserve"> reduce the fundraising costs of these businesses and provide an alternative to </w:t>
      </w:r>
      <w:r w:rsidR="0023694B">
        <w:t>making a traditional offer requiring disclosure</w:t>
      </w:r>
      <w:r w:rsidRPr="00F63766">
        <w:t>.</w:t>
      </w:r>
    </w:p>
    <w:p w14:paraId="601E15C9" w14:textId="77777777" w:rsidR="00E27590" w:rsidRPr="00F63766" w:rsidRDefault="00E27590" w:rsidP="00E27590">
      <w:pPr>
        <w:pStyle w:val="Heading5"/>
      </w:pPr>
      <w:r w:rsidRPr="00F63766">
        <w:t xml:space="preserve">Not an investment company </w:t>
      </w:r>
    </w:p>
    <w:p w14:paraId="3870172E" w14:textId="33979E2D" w:rsidR="00A50317" w:rsidRPr="00F63766" w:rsidRDefault="00A50317" w:rsidP="00E27590">
      <w:pPr>
        <w:pStyle w:val="base-text-paragraph"/>
        <w:numPr>
          <w:ilvl w:val="1"/>
          <w:numId w:val="33"/>
        </w:numPr>
      </w:pPr>
      <w:r w:rsidRPr="00F63766">
        <w:t>Neither the company, nor its related parties, can have a substantial purpose of investing in securities or interests in other entities or managed investment schemes</w:t>
      </w:r>
      <w:r w:rsidR="00D96DCF">
        <w:t>.</w:t>
      </w:r>
      <w:r w:rsidR="00F93382" w:rsidRPr="00F63766">
        <w:t xml:space="preserve"> </w:t>
      </w:r>
      <w:r w:rsidR="00F93382" w:rsidRPr="00F63766">
        <w:rPr>
          <w:b/>
          <w:i/>
          <w:sz w:val="18"/>
        </w:rPr>
        <w:t xml:space="preserve">[Schedule 1, Part 1, </w:t>
      </w:r>
      <w:r w:rsidR="004C3043">
        <w:rPr>
          <w:b/>
          <w:i/>
          <w:sz w:val="18"/>
        </w:rPr>
        <w:t>item 14</w:t>
      </w:r>
      <w:r w:rsidR="00F93382" w:rsidRPr="00F63766">
        <w:rPr>
          <w:b/>
          <w:i/>
          <w:sz w:val="18"/>
        </w:rPr>
        <w:t>, paragraph 738H(1)(f)]</w:t>
      </w:r>
      <w:r w:rsidR="00F93382" w:rsidRPr="00F63766">
        <w:t xml:space="preserve">  </w:t>
      </w:r>
      <w:r w:rsidRPr="00F63766">
        <w:t xml:space="preserve">  </w:t>
      </w:r>
    </w:p>
    <w:p w14:paraId="7D36B86D" w14:textId="136DAEAF" w:rsidR="00E27590" w:rsidRPr="00F63766" w:rsidRDefault="001F1D36" w:rsidP="00F93382">
      <w:pPr>
        <w:pStyle w:val="base-text-paragraph"/>
        <w:numPr>
          <w:ilvl w:val="1"/>
          <w:numId w:val="33"/>
        </w:numPr>
      </w:pPr>
      <w:r w:rsidRPr="00F63766">
        <w:t>I</w:t>
      </w:r>
      <w:r w:rsidR="00F93382" w:rsidRPr="00F63766">
        <w:t xml:space="preserve">t </w:t>
      </w:r>
      <w:r w:rsidRPr="00F63766">
        <w:t xml:space="preserve">would be </w:t>
      </w:r>
      <w:r w:rsidR="00F93382" w:rsidRPr="00F63766">
        <w:t xml:space="preserve">inappropriate </w:t>
      </w:r>
      <w:r w:rsidRPr="00F63766">
        <w:t>for</w:t>
      </w:r>
      <w:r w:rsidR="00F93382" w:rsidRPr="00F63766">
        <w:t xml:space="preserve"> an investment company, which will itself be investing in other unspecified entities</w:t>
      </w:r>
      <w:r w:rsidRPr="00F63766">
        <w:t xml:space="preserve">, to undertake such activities in the lower disclosure environment provided by the </w:t>
      </w:r>
      <w:r w:rsidR="00321E97">
        <w:t>CSF</w:t>
      </w:r>
      <w:r w:rsidR="001A7F87">
        <w:t> </w:t>
      </w:r>
      <w:r w:rsidR="00321E97">
        <w:t>regime.</w:t>
      </w:r>
      <w:r w:rsidR="00FF17B5" w:rsidRPr="00F63766">
        <w:t xml:space="preserve">  </w:t>
      </w:r>
    </w:p>
    <w:p w14:paraId="43E14914" w14:textId="0BDE9E01" w:rsidR="00E27590" w:rsidRPr="00F63766" w:rsidRDefault="00BA3C06" w:rsidP="00E27590">
      <w:pPr>
        <w:pStyle w:val="Heading4"/>
      </w:pPr>
      <w:r w:rsidRPr="00F63766">
        <w:t>Securities prescribed in the regulations</w:t>
      </w:r>
    </w:p>
    <w:p w14:paraId="7B5CC3AE" w14:textId="1FFFFB03" w:rsidR="00A83B26" w:rsidRPr="00F63766" w:rsidRDefault="00A83B26" w:rsidP="00E27590">
      <w:pPr>
        <w:pStyle w:val="base-text-paragraph"/>
        <w:numPr>
          <w:ilvl w:val="1"/>
          <w:numId w:val="33"/>
        </w:numPr>
      </w:pPr>
      <w:r w:rsidRPr="00F63766">
        <w:t>The</w:t>
      </w:r>
      <w:r w:rsidR="007405B5">
        <w:t xml:space="preserve"> securities that are the subject of the </w:t>
      </w:r>
      <w:r w:rsidRPr="00F63766">
        <w:t xml:space="preserve">CSF offer must be </w:t>
      </w:r>
      <w:r w:rsidR="001141D8">
        <w:t xml:space="preserve">securities of a class </w:t>
      </w:r>
      <w:r w:rsidRPr="00F63766">
        <w:t xml:space="preserve">prescribed in the regulations. </w:t>
      </w:r>
      <w:r w:rsidR="00E27590" w:rsidRPr="00F63766">
        <w:rPr>
          <w:rStyle w:val="Referencingstyle"/>
        </w:rPr>
        <w:t xml:space="preserve">[Schedule 1, Part 1, </w:t>
      </w:r>
      <w:r w:rsidR="004C3043">
        <w:rPr>
          <w:rStyle w:val="Referencingstyle"/>
        </w:rPr>
        <w:t>item 14</w:t>
      </w:r>
      <w:r w:rsidR="00E27590" w:rsidRPr="00F63766">
        <w:rPr>
          <w:rStyle w:val="Referencingstyle"/>
        </w:rPr>
        <w:t>, paragraph 738G(1)(c)]</w:t>
      </w:r>
      <w:r w:rsidR="00E27590" w:rsidRPr="00F63766">
        <w:t xml:space="preserve">  </w:t>
      </w:r>
    </w:p>
    <w:p w14:paraId="34BD654C" w14:textId="1A18C535" w:rsidR="00E27590" w:rsidRPr="00F63766" w:rsidRDefault="00BF6C1F" w:rsidP="00E27590">
      <w:pPr>
        <w:pStyle w:val="base-text-paragraph"/>
        <w:numPr>
          <w:ilvl w:val="1"/>
          <w:numId w:val="33"/>
        </w:numPr>
      </w:pPr>
      <w:r>
        <w:t xml:space="preserve">Allowing </w:t>
      </w:r>
      <w:r w:rsidR="00A15CA8">
        <w:t xml:space="preserve">CSF </w:t>
      </w:r>
      <w:r>
        <w:t xml:space="preserve">eligible securities to be specified in the regulations </w:t>
      </w:r>
      <w:r w:rsidR="000857F5">
        <w:t xml:space="preserve">will enable the CSF regime to be restricted to a limited range of securities, </w:t>
      </w:r>
      <w:r w:rsidR="00AB3755">
        <w:t xml:space="preserve">which is appropriate given </w:t>
      </w:r>
      <w:r w:rsidR="002940B6">
        <w:t>crowd-funding</w:t>
      </w:r>
      <w:r w:rsidR="000857F5">
        <w:t xml:space="preserve"> is a relatively new development in Australia</w:t>
      </w:r>
      <w:r w:rsidR="00AB3755">
        <w:t>,</w:t>
      </w:r>
      <w:r w:rsidR="000857F5">
        <w:t xml:space="preserve"> but </w:t>
      </w:r>
      <w:r w:rsidR="00AB3755">
        <w:t xml:space="preserve">will </w:t>
      </w:r>
      <w:r w:rsidR="000857F5">
        <w:t xml:space="preserve">provide </w:t>
      </w:r>
      <w:r>
        <w:t xml:space="preserve">flexibility </w:t>
      </w:r>
      <w:r w:rsidR="000857F5">
        <w:t>to</w:t>
      </w:r>
      <w:r>
        <w:t xml:space="preserve"> permit the expansion of </w:t>
      </w:r>
      <w:r w:rsidR="002940B6">
        <w:t>crowd-funding</w:t>
      </w:r>
      <w:r>
        <w:t xml:space="preserve"> to a </w:t>
      </w:r>
      <w:r w:rsidR="000857F5">
        <w:t xml:space="preserve">broader </w:t>
      </w:r>
      <w:r>
        <w:t>range of securities</w:t>
      </w:r>
      <w:r w:rsidR="00AB3755">
        <w:t xml:space="preserve"> in the future</w:t>
      </w:r>
      <w:r w:rsidR="000857F5">
        <w:t>.</w:t>
      </w:r>
      <w:r w:rsidR="00F92380" w:rsidRPr="00F63766">
        <w:t xml:space="preserve">  </w:t>
      </w:r>
    </w:p>
    <w:p w14:paraId="60443D97" w14:textId="07B6FF14" w:rsidR="00E27590" w:rsidRPr="00F63766" w:rsidRDefault="00E27590" w:rsidP="00E27590">
      <w:pPr>
        <w:pStyle w:val="Heading4"/>
      </w:pPr>
      <w:r w:rsidRPr="00F63766">
        <w:t>Offer complies with issuer cap</w:t>
      </w:r>
    </w:p>
    <w:p w14:paraId="34FBC32A" w14:textId="396CA94E" w:rsidR="00E27590" w:rsidRPr="00F63766" w:rsidRDefault="00E27590" w:rsidP="00E27590">
      <w:pPr>
        <w:pStyle w:val="base-text-paragraph"/>
        <w:numPr>
          <w:ilvl w:val="1"/>
          <w:numId w:val="33"/>
        </w:numPr>
      </w:pPr>
      <w:r w:rsidRPr="00F63766">
        <w:t xml:space="preserve">Consistent with the policy intent that the CSF regime be used to assist start-ups and </w:t>
      </w:r>
      <w:r w:rsidR="00266891">
        <w:t>innovative small businesses</w:t>
      </w:r>
      <w:r w:rsidRPr="00F63766">
        <w:t xml:space="preserve"> to access capital, and recognising that a CSF offer does not require the same level of disclosure as existing Chapter 6D disclosure documents, there is a cap on the maximum amount of funds that an issuer</w:t>
      </w:r>
      <w:r w:rsidR="007F38D1">
        <w:t xml:space="preserve"> company</w:t>
      </w:r>
      <w:r w:rsidRPr="00F63766">
        <w:t xml:space="preserve"> (and any related parties) can raise under the CSF regime.</w:t>
      </w:r>
      <w:r w:rsidR="005D7B04">
        <w:t xml:space="preserve"> </w:t>
      </w:r>
      <w:r w:rsidR="005D7B04" w:rsidRPr="00F63766">
        <w:rPr>
          <w:b/>
          <w:i/>
          <w:sz w:val="18"/>
        </w:rPr>
        <w:t xml:space="preserve">[Schedule 1, Part 1, </w:t>
      </w:r>
      <w:r w:rsidR="005D7B04">
        <w:rPr>
          <w:b/>
          <w:i/>
          <w:sz w:val="18"/>
        </w:rPr>
        <w:t>item 14</w:t>
      </w:r>
      <w:r w:rsidR="005D7B04" w:rsidRPr="00F63766">
        <w:rPr>
          <w:b/>
          <w:i/>
          <w:sz w:val="18"/>
        </w:rPr>
        <w:t xml:space="preserve">, </w:t>
      </w:r>
      <w:r w:rsidR="005D7B04">
        <w:rPr>
          <w:b/>
          <w:i/>
          <w:sz w:val="18"/>
        </w:rPr>
        <w:t>paragraph</w:t>
      </w:r>
      <w:r w:rsidR="005D7B04" w:rsidRPr="00F63766">
        <w:rPr>
          <w:b/>
          <w:i/>
          <w:sz w:val="18"/>
        </w:rPr>
        <w:t> 738G(</w:t>
      </w:r>
      <w:r w:rsidR="005D7B04">
        <w:rPr>
          <w:b/>
          <w:i/>
          <w:sz w:val="18"/>
        </w:rPr>
        <w:t>1</w:t>
      </w:r>
      <w:r w:rsidR="005D7B04" w:rsidRPr="00F63766">
        <w:rPr>
          <w:b/>
          <w:i/>
          <w:sz w:val="18"/>
        </w:rPr>
        <w:t>)</w:t>
      </w:r>
      <w:r w:rsidR="005D7B04">
        <w:rPr>
          <w:b/>
          <w:i/>
          <w:sz w:val="18"/>
        </w:rPr>
        <w:t>(d)</w:t>
      </w:r>
      <w:r w:rsidR="005D7B04" w:rsidRPr="00F63766">
        <w:rPr>
          <w:b/>
          <w:i/>
          <w:sz w:val="18"/>
        </w:rPr>
        <w:t>]</w:t>
      </w:r>
      <w:r w:rsidRPr="00F63766">
        <w:t xml:space="preserve">  </w:t>
      </w:r>
    </w:p>
    <w:p w14:paraId="397AFF05" w14:textId="05D70666" w:rsidR="00E27590" w:rsidRPr="00F63766" w:rsidRDefault="00E27590" w:rsidP="00E27590">
      <w:pPr>
        <w:pStyle w:val="base-text-paragraph"/>
        <w:numPr>
          <w:ilvl w:val="1"/>
          <w:numId w:val="33"/>
        </w:numPr>
      </w:pPr>
      <w:r w:rsidRPr="00F63766">
        <w:t xml:space="preserve">The amendments set the </w:t>
      </w:r>
      <w:r w:rsidR="00A72D6C">
        <w:t>‘</w:t>
      </w:r>
      <w:r w:rsidRPr="00F63766">
        <w:t>issuer cap</w:t>
      </w:r>
      <w:r w:rsidR="00A72D6C">
        <w:t>’</w:t>
      </w:r>
      <w:r w:rsidRPr="00F63766">
        <w:t xml:space="preserve"> at $5 million in any 12</w:t>
      </w:r>
      <w:r w:rsidR="00F9072C">
        <w:noBreakHyphen/>
      </w:r>
      <w:r w:rsidRPr="00F63766">
        <w:t xml:space="preserve">month period with a regulation-making power to adjust the cap in the future in light of the experience with CSF. </w:t>
      </w:r>
      <w:r w:rsidRPr="00F63766">
        <w:rPr>
          <w:b/>
          <w:i/>
          <w:sz w:val="18"/>
        </w:rPr>
        <w:t xml:space="preserve">[Schedule 1, Part 1, </w:t>
      </w:r>
      <w:r w:rsidR="004C3043">
        <w:rPr>
          <w:b/>
          <w:i/>
          <w:sz w:val="18"/>
        </w:rPr>
        <w:t>item 14</w:t>
      </w:r>
      <w:r w:rsidRPr="00F63766">
        <w:rPr>
          <w:b/>
          <w:i/>
          <w:sz w:val="18"/>
        </w:rPr>
        <w:t>, subsection 738G(2)]</w:t>
      </w:r>
    </w:p>
    <w:p w14:paraId="3E9637B6" w14:textId="4C804FD1" w:rsidR="00E27590" w:rsidRPr="00F63766" w:rsidRDefault="00E27590" w:rsidP="00E27590">
      <w:pPr>
        <w:pStyle w:val="base-text-paragraph"/>
        <w:numPr>
          <w:ilvl w:val="1"/>
          <w:numId w:val="33"/>
        </w:numPr>
      </w:pPr>
      <w:r w:rsidRPr="00F63766">
        <w:t xml:space="preserve">A company seeking to make a CSF offer must satisfy the issuer cap, which is calculated by taking into account: </w:t>
      </w:r>
    </w:p>
    <w:p w14:paraId="23E4133E" w14:textId="69C4CA12" w:rsidR="00BF427C" w:rsidRPr="00F63766" w:rsidRDefault="00E27590" w:rsidP="00BF427C">
      <w:pPr>
        <w:pStyle w:val="dotpoint"/>
      </w:pPr>
      <w:r w:rsidRPr="00F63766">
        <w:t xml:space="preserve">the maximum subscription amount sought </w:t>
      </w:r>
      <w:r w:rsidR="003A7E5A" w:rsidRPr="00F63766">
        <w:t xml:space="preserve">by the company </w:t>
      </w:r>
      <w:r w:rsidRPr="00F63766">
        <w:t>under the current CSF offer</w:t>
      </w:r>
      <w:r w:rsidR="00BF427C">
        <w:t xml:space="preserve">; </w:t>
      </w:r>
    </w:p>
    <w:p w14:paraId="7FC2E7FE" w14:textId="68A5F272" w:rsidR="00E27590" w:rsidRPr="00F63766" w:rsidRDefault="00E27590" w:rsidP="00E27590">
      <w:pPr>
        <w:pStyle w:val="dotpoint"/>
      </w:pPr>
      <w:r w:rsidRPr="00F63766">
        <w:t>all amounts raised from any other CSF offers made within the past 12 months</w:t>
      </w:r>
      <w:r w:rsidR="0071646B" w:rsidRPr="00F63766">
        <w:t xml:space="preserve"> by the company or its related parties</w:t>
      </w:r>
      <w:r w:rsidRPr="00F63766">
        <w:t>; and</w:t>
      </w:r>
    </w:p>
    <w:p w14:paraId="734AFD7F" w14:textId="3DB7EFFD" w:rsidR="00E27590" w:rsidRPr="00F63766" w:rsidRDefault="00E27590" w:rsidP="00E27590">
      <w:pPr>
        <w:pStyle w:val="dotpoint"/>
      </w:pPr>
      <w:r w:rsidRPr="00F63766">
        <w:t xml:space="preserve">all amounts raised within the past 12 months from small scale personal offers (subsection 708(1)) and certain offers made via an </w:t>
      </w:r>
      <w:r w:rsidR="00025686">
        <w:t>Australian Financial Services Licence (</w:t>
      </w:r>
      <w:r w:rsidRPr="00F63766">
        <w:t>AFSL</w:t>
      </w:r>
      <w:r w:rsidR="00025686">
        <w:t>)</w:t>
      </w:r>
      <w:r w:rsidRPr="00F63766">
        <w:t xml:space="preserve"> holder (subsection 708(10))</w:t>
      </w:r>
      <w:r w:rsidR="00915CA2" w:rsidRPr="00F63766">
        <w:t xml:space="preserve"> by the company or its related parties</w:t>
      </w:r>
      <w:r w:rsidRPr="00F63766">
        <w:t xml:space="preserve">. </w:t>
      </w:r>
    </w:p>
    <w:p w14:paraId="4546A18B" w14:textId="45508F84" w:rsidR="00ED3EA1" w:rsidRPr="00F63766" w:rsidRDefault="00ED3EA1" w:rsidP="00F242EA">
      <w:pPr>
        <w:pStyle w:val="base-text-paragraph"/>
      </w:pPr>
      <w:r w:rsidRPr="00F63766">
        <w:t xml:space="preserve">The table below summarises </w:t>
      </w:r>
      <w:r w:rsidR="00AF1DCF">
        <w:t>which</w:t>
      </w:r>
      <w:r w:rsidRPr="00F63766">
        <w:t xml:space="preserve"> </w:t>
      </w:r>
      <w:r w:rsidR="00204AD4">
        <w:t>offers</w:t>
      </w:r>
      <w:r w:rsidRPr="00F63766">
        <w:t xml:space="preserve"> count towards the issuer cap. </w:t>
      </w:r>
    </w:p>
    <w:p w14:paraId="552BE8FE" w14:textId="1E76B65B" w:rsidR="004579F5" w:rsidRPr="00F63766" w:rsidRDefault="004579F5" w:rsidP="00F242EA">
      <w:pPr>
        <w:pStyle w:val="TableHeadingoutsidetable"/>
      </w:pPr>
      <w:r w:rsidRPr="00F63766">
        <w:t>: W</w:t>
      </w:r>
      <w:r w:rsidR="00A33BF7">
        <w:t>hich</w:t>
      </w:r>
      <w:r w:rsidRPr="00F63766">
        <w:t xml:space="preserve"> </w:t>
      </w:r>
      <w:r w:rsidR="006D16BB" w:rsidRPr="00F63766">
        <w:t>offers</w:t>
      </w:r>
      <w:r w:rsidRPr="00F63766">
        <w:t xml:space="preserve"> count towards issuer cap</w:t>
      </w:r>
    </w:p>
    <w:tbl>
      <w:tblPr>
        <w:tblStyle w:val="TableGrid"/>
        <w:tblW w:w="6945" w:type="dxa"/>
        <w:tblInd w:w="1101" w:type="dxa"/>
        <w:tblLayout w:type="fixed"/>
        <w:tblLook w:val="04A0" w:firstRow="1" w:lastRow="0" w:firstColumn="1" w:lastColumn="0" w:noHBand="0" w:noVBand="1"/>
      </w:tblPr>
      <w:tblGrid>
        <w:gridCol w:w="1701"/>
        <w:gridCol w:w="2693"/>
        <w:gridCol w:w="992"/>
        <w:gridCol w:w="1559"/>
      </w:tblGrid>
      <w:tr w:rsidR="0050320B" w:rsidRPr="00F63766" w14:paraId="136F3BFB" w14:textId="77777777" w:rsidTr="003D2434">
        <w:tc>
          <w:tcPr>
            <w:tcW w:w="1701" w:type="dxa"/>
          </w:tcPr>
          <w:p w14:paraId="47E1CADD" w14:textId="5F4F8B29" w:rsidR="0050320B" w:rsidRPr="008E65C4" w:rsidRDefault="00E97EDA" w:rsidP="00372C60">
            <w:pPr>
              <w:pStyle w:val="tableheaderwithintable"/>
            </w:pPr>
            <w:r w:rsidRPr="008E65C4">
              <w:t>Timing</w:t>
            </w:r>
            <w:r w:rsidR="008E65C4">
              <w:t xml:space="preserve"> condition</w:t>
            </w:r>
          </w:p>
        </w:tc>
        <w:tc>
          <w:tcPr>
            <w:tcW w:w="2693" w:type="dxa"/>
          </w:tcPr>
          <w:p w14:paraId="3C304BBD" w14:textId="31C06BCA" w:rsidR="0050320B" w:rsidRPr="00F63766" w:rsidRDefault="0050320B" w:rsidP="00372C60">
            <w:pPr>
              <w:pStyle w:val="tableheaderwithintable"/>
            </w:pPr>
            <w:r w:rsidRPr="00F63766">
              <w:t>How raised</w:t>
            </w:r>
          </w:p>
        </w:tc>
        <w:tc>
          <w:tcPr>
            <w:tcW w:w="992" w:type="dxa"/>
          </w:tcPr>
          <w:p w14:paraId="23D66821" w14:textId="0BBE3DF9" w:rsidR="0050320B" w:rsidRPr="00F63766" w:rsidRDefault="0050320B" w:rsidP="00372C60">
            <w:pPr>
              <w:pStyle w:val="tableheaderwithintable"/>
            </w:pPr>
            <w:r w:rsidRPr="00F63766">
              <w:t>By issuer</w:t>
            </w:r>
          </w:p>
        </w:tc>
        <w:tc>
          <w:tcPr>
            <w:tcW w:w="1559" w:type="dxa"/>
          </w:tcPr>
          <w:p w14:paraId="18ABD74C" w14:textId="772986CB" w:rsidR="0050320B" w:rsidRPr="00F63766" w:rsidRDefault="0050320B" w:rsidP="00372C60">
            <w:pPr>
              <w:pStyle w:val="tableheaderwithintable"/>
            </w:pPr>
            <w:r w:rsidRPr="00F63766">
              <w:t>By related party</w:t>
            </w:r>
          </w:p>
        </w:tc>
      </w:tr>
      <w:tr w:rsidR="0050320B" w:rsidRPr="00F63766" w14:paraId="6E81E0C8" w14:textId="77777777" w:rsidTr="003D2434">
        <w:tc>
          <w:tcPr>
            <w:tcW w:w="1701" w:type="dxa"/>
          </w:tcPr>
          <w:p w14:paraId="2D5CB698" w14:textId="77777777" w:rsidR="0050320B" w:rsidRPr="00F63766" w:rsidRDefault="0050320B" w:rsidP="005F75AD">
            <w:pPr>
              <w:ind w:left="0"/>
              <w:jc w:val="both"/>
            </w:pPr>
          </w:p>
        </w:tc>
        <w:tc>
          <w:tcPr>
            <w:tcW w:w="2693" w:type="dxa"/>
          </w:tcPr>
          <w:p w14:paraId="58D5B7B7" w14:textId="51FE1159" w:rsidR="0050320B" w:rsidRPr="00372C60" w:rsidRDefault="00E2683D" w:rsidP="005F75AD">
            <w:pPr>
              <w:ind w:left="0"/>
              <w:rPr>
                <w:sz w:val="20"/>
              </w:rPr>
            </w:pPr>
            <w:r w:rsidRPr="00372C60">
              <w:rPr>
                <w:sz w:val="20"/>
              </w:rPr>
              <w:t>Funds sought under current CSF offer</w:t>
            </w:r>
          </w:p>
        </w:tc>
        <w:tc>
          <w:tcPr>
            <w:tcW w:w="992" w:type="dxa"/>
          </w:tcPr>
          <w:p w14:paraId="19F5C0CC" w14:textId="45DFC6BE" w:rsidR="0050320B" w:rsidRPr="00372C60" w:rsidRDefault="00E2683D" w:rsidP="005F75AD">
            <w:pPr>
              <w:ind w:left="0"/>
              <w:rPr>
                <w:sz w:val="20"/>
              </w:rPr>
            </w:pPr>
            <w:r w:rsidRPr="00372C60">
              <w:rPr>
                <w:sz w:val="20"/>
              </w:rPr>
              <w:t>Yes</w:t>
            </w:r>
          </w:p>
        </w:tc>
        <w:tc>
          <w:tcPr>
            <w:tcW w:w="1559" w:type="dxa"/>
          </w:tcPr>
          <w:p w14:paraId="79C3FB05" w14:textId="026953B2" w:rsidR="0050320B" w:rsidRPr="00372C60" w:rsidRDefault="00E2683D" w:rsidP="005F75AD">
            <w:pPr>
              <w:ind w:left="0"/>
              <w:rPr>
                <w:sz w:val="20"/>
              </w:rPr>
            </w:pPr>
            <w:r w:rsidRPr="00372C60">
              <w:rPr>
                <w:sz w:val="20"/>
              </w:rPr>
              <w:t>N/A</w:t>
            </w:r>
            <w:r w:rsidR="00F3799C" w:rsidRPr="00372C60">
              <w:rPr>
                <w:sz w:val="20"/>
              </w:rPr>
              <w:t>, as a company and its related parties cannot have more than one</w:t>
            </w:r>
            <w:r w:rsidR="00F9072C">
              <w:rPr>
                <w:sz w:val="20"/>
              </w:rPr>
              <w:t xml:space="preserve"> CSF</w:t>
            </w:r>
            <w:r w:rsidR="00F3799C" w:rsidRPr="00372C60">
              <w:rPr>
                <w:sz w:val="20"/>
              </w:rPr>
              <w:t xml:space="preserve"> offer open at a time</w:t>
            </w:r>
          </w:p>
        </w:tc>
      </w:tr>
      <w:tr w:rsidR="00E2683D" w:rsidRPr="00F63766" w14:paraId="5A7F7341" w14:textId="77777777" w:rsidTr="003D2434">
        <w:tc>
          <w:tcPr>
            <w:tcW w:w="1701" w:type="dxa"/>
          </w:tcPr>
          <w:p w14:paraId="7F7BC82B" w14:textId="18448775" w:rsidR="00E2683D" w:rsidRPr="00372C60" w:rsidRDefault="00E2683D" w:rsidP="005F75AD">
            <w:pPr>
              <w:ind w:left="0"/>
              <w:rPr>
                <w:sz w:val="20"/>
              </w:rPr>
            </w:pPr>
            <w:r w:rsidRPr="00372C60">
              <w:rPr>
                <w:sz w:val="20"/>
              </w:rPr>
              <w:t xml:space="preserve">Only if </w:t>
            </w:r>
            <w:r w:rsidR="000C06FC" w:rsidRPr="00372C60">
              <w:rPr>
                <w:sz w:val="20"/>
              </w:rPr>
              <w:t xml:space="preserve">CSF offer </w:t>
            </w:r>
            <w:r w:rsidR="000C06FC" w:rsidRPr="00372C60">
              <w:rPr>
                <w:i/>
                <w:sz w:val="20"/>
              </w:rPr>
              <w:t>made</w:t>
            </w:r>
            <w:r w:rsidRPr="00372C60">
              <w:rPr>
                <w:i/>
                <w:sz w:val="20"/>
              </w:rPr>
              <w:t xml:space="preserve"> </w:t>
            </w:r>
            <w:r w:rsidRPr="00372C60">
              <w:rPr>
                <w:sz w:val="20"/>
              </w:rPr>
              <w:t>within 12 months of current offer</w:t>
            </w:r>
          </w:p>
        </w:tc>
        <w:tc>
          <w:tcPr>
            <w:tcW w:w="2693" w:type="dxa"/>
          </w:tcPr>
          <w:p w14:paraId="4ABB15A1" w14:textId="34A30C53" w:rsidR="00E2683D" w:rsidRPr="00372C60" w:rsidRDefault="00E2683D" w:rsidP="005F75AD">
            <w:pPr>
              <w:ind w:left="0"/>
              <w:rPr>
                <w:sz w:val="20"/>
              </w:rPr>
            </w:pPr>
            <w:r w:rsidRPr="00372C60">
              <w:rPr>
                <w:sz w:val="20"/>
              </w:rPr>
              <w:t>Funds raised from other CSF offers</w:t>
            </w:r>
          </w:p>
        </w:tc>
        <w:tc>
          <w:tcPr>
            <w:tcW w:w="992" w:type="dxa"/>
          </w:tcPr>
          <w:p w14:paraId="06398CA5" w14:textId="34A1B330" w:rsidR="00E2683D" w:rsidRPr="00372C60" w:rsidRDefault="00E2683D" w:rsidP="005F75AD">
            <w:pPr>
              <w:ind w:left="0"/>
              <w:rPr>
                <w:sz w:val="20"/>
              </w:rPr>
            </w:pPr>
            <w:r w:rsidRPr="00372C60">
              <w:rPr>
                <w:sz w:val="20"/>
              </w:rPr>
              <w:t>Yes</w:t>
            </w:r>
          </w:p>
        </w:tc>
        <w:tc>
          <w:tcPr>
            <w:tcW w:w="1559" w:type="dxa"/>
          </w:tcPr>
          <w:p w14:paraId="68D55088" w14:textId="10885723" w:rsidR="00E2683D" w:rsidRPr="00372C60" w:rsidRDefault="00E2683D" w:rsidP="005F75AD">
            <w:pPr>
              <w:ind w:left="0"/>
              <w:rPr>
                <w:sz w:val="20"/>
              </w:rPr>
            </w:pPr>
            <w:r w:rsidRPr="00372C60">
              <w:rPr>
                <w:sz w:val="20"/>
              </w:rPr>
              <w:t>Yes</w:t>
            </w:r>
          </w:p>
        </w:tc>
      </w:tr>
      <w:tr w:rsidR="00E2683D" w:rsidRPr="00F63766" w14:paraId="2B21C1B2" w14:textId="77777777" w:rsidTr="003D2434">
        <w:tc>
          <w:tcPr>
            <w:tcW w:w="1701" w:type="dxa"/>
          </w:tcPr>
          <w:p w14:paraId="6A7F2C40" w14:textId="4DD87519" w:rsidR="00E2683D" w:rsidRPr="00372C60" w:rsidRDefault="0036381D" w:rsidP="005F75AD">
            <w:pPr>
              <w:ind w:left="0"/>
              <w:rPr>
                <w:sz w:val="20"/>
              </w:rPr>
            </w:pPr>
            <w:r w:rsidRPr="00372C60">
              <w:rPr>
                <w:sz w:val="20"/>
              </w:rPr>
              <w:t xml:space="preserve">Only if funds </w:t>
            </w:r>
            <w:r w:rsidRPr="00372C60">
              <w:rPr>
                <w:i/>
                <w:sz w:val="20"/>
              </w:rPr>
              <w:t xml:space="preserve">raised </w:t>
            </w:r>
            <w:r w:rsidRPr="00372C60">
              <w:rPr>
                <w:sz w:val="20"/>
              </w:rPr>
              <w:t>within 12 months of current offer</w:t>
            </w:r>
          </w:p>
        </w:tc>
        <w:tc>
          <w:tcPr>
            <w:tcW w:w="2693" w:type="dxa"/>
          </w:tcPr>
          <w:p w14:paraId="2BD1896A" w14:textId="48771C76" w:rsidR="00E2683D" w:rsidRPr="00372C60" w:rsidRDefault="00E2683D" w:rsidP="00D62B60">
            <w:pPr>
              <w:ind w:left="0"/>
              <w:rPr>
                <w:sz w:val="20"/>
              </w:rPr>
            </w:pPr>
            <w:r w:rsidRPr="00372C60">
              <w:rPr>
                <w:sz w:val="20"/>
              </w:rPr>
              <w:t>Funds raised from s</w:t>
            </w:r>
            <w:r w:rsidR="00E23870" w:rsidRPr="00372C60">
              <w:rPr>
                <w:sz w:val="20"/>
              </w:rPr>
              <w:t xml:space="preserve">ubsection </w:t>
            </w:r>
            <w:r w:rsidRPr="00372C60">
              <w:rPr>
                <w:sz w:val="20"/>
              </w:rPr>
              <w:t>708(1) and s</w:t>
            </w:r>
            <w:r w:rsidR="00E23870" w:rsidRPr="00372C60">
              <w:rPr>
                <w:sz w:val="20"/>
              </w:rPr>
              <w:t>ubsection </w:t>
            </w:r>
            <w:r w:rsidRPr="00372C60">
              <w:rPr>
                <w:sz w:val="20"/>
              </w:rPr>
              <w:t>708(10) offers.</w:t>
            </w:r>
          </w:p>
        </w:tc>
        <w:tc>
          <w:tcPr>
            <w:tcW w:w="992" w:type="dxa"/>
          </w:tcPr>
          <w:p w14:paraId="20916C25" w14:textId="10D384A9" w:rsidR="00E2683D" w:rsidRPr="00372C60" w:rsidRDefault="00E2683D" w:rsidP="005F75AD">
            <w:pPr>
              <w:ind w:left="0"/>
              <w:rPr>
                <w:sz w:val="20"/>
              </w:rPr>
            </w:pPr>
            <w:r w:rsidRPr="00372C60">
              <w:rPr>
                <w:sz w:val="20"/>
              </w:rPr>
              <w:t>Yes</w:t>
            </w:r>
          </w:p>
        </w:tc>
        <w:tc>
          <w:tcPr>
            <w:tcW w:w="1559" w:type="dxa"/>
          </w:tcPr>
          <w:p w14:paraId="05EE899B" w14:textId="219B93B5" w:rsidR="00E2683D" w:rsidRPr="00372C60" w:rsidRDefault="00E2683D" w:rsidP="005F75AD">
            <w:pPr>
              <w:ind w:left="0"/>
              <w:rPr>
                <w:sz w:val="20"/>
              </w:rPr>
            </w:pPr>
            <w:r w:rsidRPr="00372C60">
              <w:rPr>
                <w:sz w:val="20"/>
              </w:rPr>
              <w:t>Yes</w:t>
            </w:r>
          </w:p>
        </w:tc>
      </w:tr>
      <w:tr w:rsidR="00FC161E" w:rsidRPr="00F63766" w14:paraId="22650FD4" w14:textId="77777777" w:rsidTr="003D2434">
        <w:tc>
          <w:tcPr>
            <w:tcW w:w="1701" w:type="dxa"/>
          </w:tcPr>
          <w:p w14:paraId="70C63B57" w14:textId="5BE3B727" w:rsidR="00FC161E" w:rsidRPr="00F63766" w:rsidRDefault="00FC161E" w:rsidP="00BA5268"/>
        </w:tc>
        <w:tc>
          <w:tcPr>
            <w:tcW w:w="2693" w:type="dxa"/>
          </w:tcPr>
          <w:p w14:paraId="7FDF5B5B" w14:textId="0BB94B16" w:rsidR="00FC161E" w:rsidRPr="00372C60" w:rsidRDefault="00FC161E" w:rsidP="00372C60">
            <w:pPr>
              <w:keepNext/>
              <w:keepLines/>
              <w:ind w:left="0"/>
              <w:rPr>
                <w:sz w:val="20"/>
              </w:rPr>
            </w:pPr>
            <w:r w:rsidRPr="00372C60">
              <w:rPr>
                <w:sz w:val="20"/>
              </w:rPr>
              <w:t>Funds raised from other offers that do not require disclosure</w:t>
            </w:r>
            <w:r>
              <w:rPr>
                <w:sz w:val="20"/>
              </w:rPr>
              <w:t>,</w:t>
            </w:r>
            <w:r w:rsidRPr="00372C60">
              <w:rPr>
                <w:sz w:val="20"/>
              </w:rPr>
              <w:t xml:space="preserve"> other than subsection 708(1) and subsection 708(10) offers</w:t>
            </w:r>
            <w:r>
              <w:rPr>
                <w:sz w:val="20"/>
              </w:rPr>
              <w:t>.</w:t>
            </w:r>
          </w:p>
        </w:tc>
        <w:tc>
          <w:tcPr>
            <w:tcW w:w="992" w:type="dxa"/>
          </w:tcPr>
          <w:p w14:paraId="36C0C1B2" w14:textId="77B08394" w:rsidR="00FC161E" w:rsidRPr="00372C60" w:rsidRDefault="00FC161E" w:rsidP="00372C60">
            <w:pPr>
              <w:keepNext/>
              <w:keepLines/>
              <w:ind w:left="0"/>
              <w:rPr>
                <w:sz w:val="20"/>
              </w:rPr>
            </w:pPr>
            <w:r w:rsidRPr="00372C60">
              <w:rPr>
                <w:sz w:val="20"/>
              </w:rPr>
              <w:t>No</w:t>
            </w:r>
          </w:p>
        </w:tc>
        <w:tc>
          <w:tcPr>
            <w:tcW w:w="1559" w:type="dxa"/>
          </w:tcPr>
          <w:p w14:paraId="1BD3AB73" w14:textId="016B8B76" w:rsidR="00FC161E" w:rsidRPr="00372C60" w:rsidRDefault="00FC161E" w:rsidP="00372C60">
            <w:pPr>
              <w:keepNext/>
              <w:keepLines/>
              <w:ind w:left="0"/>
              <w:rPr>
                <w:sz w:val="20"/>
              </w:rPr>
            </w:pPr>
            <w:r w:rsidRPr="00372C60">
              <w:rPr>
                <w:sz w:val="20"/>
              </w:rPr>
              <w:t>No</w:t>
            </w:r>
          </w:p>
        </w:tc>
      </w:tr>
    </w:tbl>
    <w:p w14:paraId="1187F95C" w14:textId="4A4BCEC4" w:rsidR="00BF427C" w:rsidRPr="00F63766" w:rsidRDefault="00E27590" w:rsidP="003F6274">
      <w:pPr>
        <w:pStyle w:val="base-text-paragraph"/>
        <w:numPr>
          <w:ilvl w:val="1"/>
          <w:numId w:val="53"/>
        </w:numPr>
      </w:pPr>
      <w:r w:rsidRPr="00F63766">
        <w:t xml:space="preserve">The issuer cap takes into account the maximum funds </w:t>
      </w:r>
      <w:r w:rsidRPr="003F6274">
        <w:rPr>
          <w:i/>
        </w:rPr>
        <w:t xml:space="preserve">sought to be raised </w:t>
      </w:r>
      <w:r w:rsidRPr="00F63766">
        <w:t xml:space="preserve">under the current CSF offer as this is potentially the amount that </w:t>
      </w:r>
      <w:r w:rsidR="005F75AD">
        <w:t xml:space="preserve">could </w:t>
      </w:r>
      <w:r w:rsidRPr="00F63766">
        <w:t>be raised by the issuer under the CSF offer</w:t>
      </w:r>
      <w:r w:rsidR="004A4B55">
        <w:t>.</w:t>
      </w:r>
      <w:r w:rsidR="004A4B55" w:rsidRPr="003F6274">
        <w:rPr>
          <w:b/>
          <w:i/>
          <w:sz w:val="18"/>
        </w:rPr>
        <w:t xml:space="preserve"> </w:t>
      </w:r>
    </w:p>
    <w:p w14:paraId="1B2C8EC6" w14:textId="53941B9E" w:rsidR="008A2177" w:rsidRPr="00F63766" w:rsidRDefault="0066409C" w:rsidP="008A2177">
      <w:pPr>
        <w:pStyle w:val="Heading6"/>
      </w:pPr>
      <w:r w:rsidRPr="00F63766">
        <w:t>Which offers within the past 12 months</w:t>
      </w:r>
      <w:r w:rsidR="008A2177" w:rsidRPr="00F63766">
        <w:t xml:space="preserve"> count towards the issuer cap</w:t>
      </w:r>
    </w:p>
    <w:p w14:paraId="5AD03CC9" w14:textId="6DCCB45B" w:rsidR="00E27590" w:rsidRPr="00F63766" w:rsidRDefault="00E27590" w:rsidP="00E27590">
      <w:pPr>
        <w:pStyle w:val="base-text-paragraph"/>
        <w:numPr>
          <w:ilvl w:val="1"/>
          <w:numId w:val="33"/>
        </w:numPr>
      </w:pPr>
      <w:r w:rsidRPr="00F63766">
        <w:t>With regard to previous offers</w:t>
      </w:r>
      <w:r w:rsidR="00235A66" w:rsidRPr="00F63766">
        <w:t xml:space="preserve">, </w:t>
      </w:r>
      <w:r w:rsidRPr="00F63766">
        <w:t xml:space="preserve">the issuer </w:t>
      </w:r>
      <w:r w:rsidR="00D62B60">
        <w:t>cap</w:t>
      </w:r>
      <w:r w:rsidRPr="00F63766">
        <w:t xml:space="preserve"> disregards amounts raised from offers that are exempt from disclosure, such </w:t>
      </w:r>
      <w:r w:rsidR="000A64B5" w:rsidRPr="00F63766">
        <w:t xml:space="preserve">as </w:t>
      </w:r>
      <w:r w:rsidRPr="00F63766">
        <w:t>offers to sophisticated investors (subsection 708(8)</w:t>
      </w:r>
      <w:r w:rsidR="00F9072C">
        <w:t>)</w:t>
      </w:r>
      <w:r w:rsidRPr="00F63766">
        <w:t xml:space="preserve"> or professional investors (subsection 708(11)).  Th</w:t>
      </w:r>
      <w:r w:rsidR="00044F71">
        <w:t>is</w:t>
      </w:r>
      <w:r w:rsidRPr="00F63766">
        <w:t xml:space="preserve"> </w:t>
      </w:r>
      <w:r w:rsidR="00044F71">
        <w:t xml:space="preserve">reflects the </w:t>
      </w:r>
      <w:r w:rsidRPr="00F63766">
        <w:t xml:space="preserve">policy intent that </w:t>
      </w:r>
      <w:r w:rsidR="007D453A">
        <w:t>the issuer company</w:t>
      </w:r>
      <w:r w:rsidRPr="00F63766">
        <w:t xml:space="preserve"> should continue to have access to funding from wholesale investors (such as angel investors and </w:t>
      </w:r>
      <w:r w:rsidR="00F9072C">
        <w:t>v</w:t>
      </w:r>
      <w:r w:rsidRPr="00F63766">
        <w:t xml:space="preserve">enture </w:t>
      </w:r>
      <w:r w:rsidR="00F9072C">
        <w:t>c</w:t>
      </w:r>
      <w:r w:rsidRPr="00F63766">
        <w:t>apital funds).</w:t>
      </w:r>
    </w:p>
    <w:p w14:paraId="01B8CA55" w14:textId="23CFD3A4" w:rsidR="00E27590" w:rsidRPr="00F63766" w:rsidRDefault="00E27590" w:rsidP="00E27590">
      <w:pPr>
        <w:pStyle w:val="base-text-paragraph"/>
        <w:numPr>
          <w:ilvl w:val="1"/>
          <w:numId w:val="33"/>
        </w:numPr>
      </w:pPr>
      <w:r w:rsidRPr="00F63766">
        <w:t xml:space="preserve">There are two </w:t>
      </w:r>
      <w:r w:rsidR="00A25B0C" w:rsidRPr="00F63766">
        <w:t xml:space="preserve">types of </w:t>
      </w:r>
      <w:r w:rsidRPr="00F63766">
        <w:t>offers</w:t>
      </w:r>
      <w:r w:rsidR="00F63092" w:rsidRPr="00F63766">
        <w:t xml:space="preserve"> that are</w:t>
      </w:r>
      <w:r w:rsidRPr="00F63766">
        <w:t xml:space="preserve"> exempt from disclosure which </w:t>
      </w:r>
      <w:r w:rsidR="00F63092" w:rsidRPr="00B00911">
        <w:rPr>
          <w:i/>
        </w:rPr>
        <w:t>do</w:t>
      </w:r>
      <w:r w:rsidR="00F63092" w:rsidRPr="00F63766">
        <w:t xml:space="preserve"> </w:t>
      </w:r>
      <w:r w:rsidRPr="00F63766">
        <w:t>count towards the issuer cap.  These are 708(1)</w:t>
      </w:r>
      <w:r w:rsidR="00657B23" w:rsidRPr="00F63766">
        <w:t> </w:t>
      </w:r>
      <w:r w:rsidR="001A2176" w:rsidRPr="00F63766">
        <w:t xml:space="preserve">offers </w:t>
      </w:r>
      <w:r w:rsidRPr="00F63766">
        <w:t>(small</w:t>
      </w:r>
      <w:r w:rsidR="001E147E">
        <w:t> </w:t>
      </w:r>
      <w:r w:rsidRPr="00F63766">
        <w:t>scale personal</w:t>
      </w:r>
      <w:r w:rsidR="001A2176" w:rsidRPr="00F63766">
        <w:t xml:space="preserve"> </w:t>
      </w:r>
      <w:r w:rsidRPr="00F63766">
        <w:t>offers</w:t>
      </w:r>
      <w:r w:rsidR="001A2176" w:rsidRPr="00F63766">
        <w:t>)</w:t>
      </w:r>
      <w:r w:rsidRPr="00F63766">
        <w:t xml:space="preserve"> and </w:t>
      </w:r>
      <w:r w:rsidR="00056C1F">
        <w:t>sub</w:t>
      </w:r>
      <w:r w:rsidRPr="00F63766">
        <w:t xml:space="preserve">section 708(10) offers (offers made via an </w:t>
      </w:r>
      <w:r w:rsidR="00DE3B69" w:rsidRPr="00F63766">
        <w:t>Australian financial services licensee where the licensee is satisfied o</w:t>
      </w:r>
      <w:r w:rsidR="00165FE5" w:rsidRPr="00F63766">
        <w:t>n</w:t>
      </w:r>
      <w:r w:rsidR="00DE3B69" w:rsidRPr="00F63766">
        <w:t xml:space="preserve"> reasonable grounds that the person to whom the offer is made has previous experience in investing that allows them to assess the merits and risks of the current offer). </w:t>
      </w:r>
    </w:p>
    <w:p w14:paraId="2936D428" w14:textId="722F835F" w:rsidR="00E27590" w:rsidRPr="00F63766" w:rsidRDefault="00E27590" w:rsidP="00E27590">
      <w:pPr>
        <w:pStyle w:val="base-text-paragraph"/>
        <w:numPr>
          <w:ilvl w:val="1"/>
          <w:numId w:val="33"/>
        </w:numPr>
      </w:pPr>
      <w:r w:rsidRPr="00F63766">
        <w:t xml:space="preserve">The </w:t>
      </w:r>
      <w:proofErr w:type="gramStart"/>
      <w:r w:rsidRPr="00F63766">
        <w:t xml:space="preserve">rationale for including the amounts raised under small scale personal offers </w:t>
      </w:r>
      <w:r w:rsidR="003E396A" w:rsidRPr="00F63766">
        <w:t xml:space="preserve">and </w:t>
      </w:r>
      <w:r w:rsidR="00056C1F">
        <w:t>sub</w:t>
      </w:r>
      <w:r w:rsidR="003E396A" w:rsidRPr="00F63766">
        <w:t>section</w:t>
      </w:r>
      <w:proofErr w:type="gramEnd"/>
      <w:r w:rsidR="003E396A" w:rsidRPr="00F63766">
        <w:t xml:space="preserve"> 708(10) offers </w:t>
      </w:r>
      <w:r w:rsidRPr="00F63766">
        <w:t>in the issuer cap is that the funds raised under such offers may involve retail investors</w:t>
      </w:r>
      <w:r w:rsidR="001E147E">
        <w:t xml:space="preserve"> who are very</w:t>
      </w:r>
      <w:r w:rsidR="00056C1F">
        <w:t xml:space="preserve"> similar to crowd investors. </w:t>
      </w:r>
      <w:r w:rsidRPr="00F63766">
        <w:t>Not including amounts raised under</w:t>
      </w:r>
      <w:r w:rsidR="003E396A" w:rsidRPr="00F63766">
        <w:t xml:space="preserve"> these offers</w:t>
      </w:r>
      <w:r w:rsidRPr="00F63766">
        <w:t xml:space="preserve"> could mean an issuer </w:t>
      </w:r>
      <w:r w:rsidR="001E147E">
        <w:t xml:space="preserve">company </w:t>
      </w:r>
      <w:r w:rsidRPr="00F63766">
        <w:t>could, in effect, raise funds in excess of the issuer cap, with a lower level of disclosure from crowd investors and other retail investors</w:t>
      </w:r>
      <w:r w:rsidR="001E147E">
        <w:t>, who are not sophisticated investors and would otherwise require a disclosure document under Part 6D.2</w:t>
      </w:r>
      <w:r w:rsidRPr="00F63766">
        <w:t xml:space="preserve">. </w:t>
      </w:r>
    </w:p>
    <w:p w14:paraId="40B1A11A" w14:textId="4B78D0B3" w:rsidR="0002365B" w:rsidRPr="00F63766" w:rsidRDefault="0002365B" w:rsidP="00F242EA">
      <w:pPr>
        <w:pStyle w:val="Heading6"/>
      </w:pPr>
      <w:r w:rsidRPr="00F63766">
        <w:t>Distinction between offers made and funds raised</w:t>
      </w:r>
    </w:p>
    <w:p w14:paraId="3AABE9B4" w14:textId="771F9B9F" w:rsidR="00E27590" w:rsidRPr="00F63766" w:rsidRDefault="00E27590" w:rsidP="00E27590">
      <w:pPr>
        <w:pStyle w:val="base-text-paragraph"/>
        <w:numPr>
          <w:ilvl w:val="1"/>
          <w:numId w:val="33"/>
        </w:numPr>
      </w:pPr>
      <w:r w:rsidRPr="00F63766">
        <w:t>In the case of previous offers, there is a difference between how amounts raised under a previous CSF offer and amounts raised under a previous s</w:t>
      </w:r>
      <w:r w:rsidR="00056C1F">
        <w:t xml:space="preserve">ubsection </w:t>
      </w:r>
      <w:r w:rsidRPr="00F63766">
        <w:t>708(1) or s</w:t>
      </w:r>
      <w:r w:rsidR="00056C1F">
        <w:t xml:space="preserve">ubsection </w:t>
      </w:r>
      <w:r w:rsidRPr="00F63766">
        <w:t xml:space="preserve">708(10) offer count towards the issuer cap.  In the case of a previous CSF offer, it is necessary to look at when the offer was </w:t>
      </w:r>
      <w:r w:rsidRPr="00F63766">
        <w:rPr>
          <w:i/>
        </w:rPr>
        <w:t xml:space="preserve">made, </w:t>
      </w:r>
      <w:r w:rsidRPr="00F63766">
        <w:t xml:space="preserve">not when the amount raised under the offer was </w:t>
      </w:r>
      <w:r w:rsidRPr="00F63766">
        <w:rPr>
          <w:i/>
        </w:rPr>
        <w:t>received</w:t>
      </w:r>
      <w:r w:rsidR="00A0261A">
        <w:rPr>
          <w:i/>
        </w:rPr>
        <w:t xml:space="preserve">.  </w:t>
      </w:r>
      <w:r w:rsidRPr="00F63766">
        <w:t xml:space="preserve">A CSF offer is made when the CSF offer document relating to the offer is first published on the </w:t>
      </w:r>
      <w:r w:rsidR="000101A1">
        <w:t xml:space="preserve">offer </w:t>
      </w:r>
      <w:r w:rsidRPr="00F63766">
        <w:t xml:space="preserve">platform of an intermediary </w:t>
      </w:r>
      <w:r w:rsidRPr="00F63766">
        <w:rPr>
          <w:b/>
          <w:i/>
          <w:sz w:val="18"/>
        </w:rPr>
        <w:t xml:space="preserve">[Schedule 1, Part 1, </w:t>
      </w:r>
      <w:r w:rsidR="004C3043">
        <w:rPr>
          <w:b/>
          <w:i/>
          <w:sz w:val="18"/>
        </w:rPr>
        <w:t>item</w:t>
      </w:r>
      <w:r w:rsidR="009C2B69">
        <w:rPr>
          <w:b/>
          <w:i/>
          <w:sz w:val="18"/>
        </w:rPr>
        <w:t> </w:t>
      </w:r>
      <w:r w:rsidR="004C3043">
        <w:rPr>
          <w:b/>
          <w:i/>
          <w:sz w:val="18"/>
        </w:rPr>
        <w:t>14</w:t>
      </w:r>
      <w:r w:rsidRPr="00F63766">
        <w:rPr>
          <w:b/>
          <w:i/>
          <w:sz w:val="18"/>
        </w:rPr>
        <w:t>, subsection</w:t>
      </w:r>
      <w:r w:rsidR="009C2B69">
        <w:rPr>
          <w:b/>
          <w:i/>
          <w:sz w:val="18"/>
        </w:rPr>
        <w:t>s</w:t>
      </w:r>
      <w:r w:rsidRPr="00F63766">
        <w:rPr>
          <w:b/>
          <w:i/>
          <w:sz w:val="18"/>
        </w:rPr>
        <w:t> </w:t>
      </w:r>
      <w:r w:rsidR="009C2B69">
        <w:rPr>
          <w:b/>
          <w:i/>
          <w:sz w:val="18"/>
        </w:rPr>
        <w:t xml:space="preserve">738L(6) and </w:t>
      </w:r>
      <w:r w:rsidRPr="00F63766">
        <w:rPr>
          <w:b/>
          <w:i/>
          <w:sz w:val="18"/>
        </w:rPr>
        <w:t xml:space="preserve">738N(1)]. </w:t>
      </w:r>
    </w:p>
    <w:p w14:paraId="70316C8A" w14:textId="772C05F8" w:rsidR="00E27590" w:rsidRPr="00F63766" w:rsidRDefault="00E27590" w:rsidP="00056C1F">
      <w:pPr>
        <w:pStyle w:val="base-text-paragraph"/>
        <w:keepNext/>
        <w:keepLines/>
        <w:numPr>
          <w:ilvl w:val="1"/>
          <w:numId w:val="33"/>
        </w:numPr>
      </w:pPr>
      <w:r w:rsidRPr="00F63766">
        <w:t xml:space="preserve">In the case of </w:t>
      </w:r>
      <w:r w:rsidR="000A64B5" w:rsidRPr="00F63766">
        <w:t xml:space="preserve">a </w:t>
      </w:r>
      <w:r w:rsidRPr="00F63766">
        <w:t>s</w:t>
      </w:r>
      <w:r w:rsidR="00056C1F">
        <w:t xml:space="preserve">ubsection </w:t>
      </w:r>
      <w:r w:rsidRPr="00F63766">
        <w:t>708(1) or s</w:t>
      </w:r>
      <w:r w:rsidR="00056C1F">
        <w:t xml:space="preserve">ubsection </w:t>
      </w:r>
      <w:r w:rsidRPr="00F63766">
        <w:t xml:space="preserve">708(10) offer, funds </w:t>
      </w:r>
      <w:r w:rsidRPr="00F63766">
        <w:rPr>
          <w:i/>
        </w:rPr>
        <w:t>raised</w:t>
      </w:r>
      <w:r w:rsidRPr="00F63766">
        <w:t xml:space="preserve"> </w:t>
      </w:r>
      <w:r w:rsidR="00B81D4C">
        <w:t xml:space="preserve">within 12 months of the current CSF offer </w:t>
      </w:r>
      <w:r w:rsidRPr="00F63766">
        <w:t xml:space="preserve">contribute towards the issuer cap </w:t>
      </w:r>
      <w:r w:rsidRPr="00F63766">
        <w:rPr>
          <w:b/>
          <w:i/>
          <w:sz w:val="18"/>
        </w:rPr>
        <w:t xml:space="preserve">[Schedule 1, Part 1, </w:t>
      </w:r>
      <w:r w:rsidR="004C3043">
        <w:rPr>
          <w:b/>
          <w:i/>
          <w:sz w:val="18"/>
        </w:rPr>
        <w:t>item 14</w:t>
      </w:r>
      <w:r w:rsidRPr="00F63766">
        <w:rPr>
          <w:b/>
          <w:i/>
          <w:sz w:val="18"/>
        </w:rPr>
        <w:t>, paragraph 738G(2)(c)]</w:t>
      </w:r>
      <w:r w:rsidRPr="00F63766">
        <w:t xml:space="preserve">. </w:t>
      </w:r>
      <w:r w:rsidR="00B81D4C">
        <w:t>Funds from non</w:t>
      </w:r>
      <w:r w:rsidR="00B81D4C">
        <w:noBreakHyphen/>
        <w:t xml:space="preserve">CSF offers are included based on when the funds were raised, not when the offer was made, in recognition of the fact there </w:t>
      </w:r>
      <w:r w:rsidR="00006AB9" w:rsidRPr="00F63766">
        <w:t xml:space="preserve">may be </w:t>
      </w:r>
      <w:r w:rsidR="00B81D4C">
        <w:t xml:space="preserve">some </w:t>
      </w:r>
      <w:r w:rsidR="00006AB9" w:rsidRPr="00F63766">
        <w:t xml:space="preserve">difficulties, in practice, with identifying when </w:t>
      </w:r>
      <w:r w:rsidR="00B81D4C">
        <w:t>the</w:t>
      </w:r>
      <w:r w:rsidR="00006AB9" w:rsidRPr="00F63766">
        <w:t xml:space="preserve"> offer was made but there would be </w:t>
      </w:r>
      <w:r w:rsidR="00A47151">
        <w:t xml:space="preserve">less </w:t>
      </w:r>
      <w:r w:rsidR="00006AB9" w:rsidRPr="00F63766">
        <w:t xml:space="preserve">difficulty </w:t>
      </w:r>
      <w:r w:rsidR="00EA2EF8">
        <w:t xml:space="preserve">in </w:t>
      </w:r>
      <w:r w:rsidR="00006AB9" w:rsidRPr="00F63766">
        <w:t xml:space="preserve">identifying when funds relating to </w:t>
      </w:r>
      <w:r w:rsidR="00A47151">
        <w:t>the</w:t>
      </w:r>
      <w:r w:rsidR="00006AB9" w:rsidRPr="00F63766">
        <w:t xml:space="preserve"> previous offer were received by the company. </w:t>
      </w:r>
    </w:p>
    <w:p w14:paraId="5677B7A3" w14:textId="24D31766" w:rsidR="0009315C" w:rsidRPr="00F63766" w:rsidRDefault="00CC5242" w:rsidP="0009315C">
      <w:pPr>
        <w:pStyle w:val="ExampleHeading"/>
        <w:numPr>
          <w:ilvl w:val="3"/>
          <w:numId w:val="33"/>
        </w:numPr>
        <w:tabs>
          <w:tab w:val="num" w:pos="360"/>
        </w:tabs>
        <w:ind w:left="0"/>
      </w:pPr>
      <w:r w:rsidRPr="00F63766">
        <w:t xml:space="preserve"> </w:t>
      </w:r>
      <w:r w:rsidR="0009315C" w:rsidRPr="00F63766">
        <w:t>Calculation of issuer cap — previous offers</w:t>
      </w:r>
    </w:p>
    <w:p w14:paraId="49CCCEB7" w14:textId="51754311" w:rsidR="0009315C" w:rsidRPr="00F63766" w:rsidRDefault="0009315C" w:rsidP="0009315C">
      <w:pPr>
        <w:pStyle w:val="exampletext"/>
      </w:pPr>
      <w:proofErr w:type="spellStart"/>
      <w:r w:rsidRPr="00F63766">
        <w:t>NewTech</w:t>
      </w:r>
      <w:proofErr w:type="spellEnd"/>
      <w:r w:rsidRPr="00F63766">
        <w:t xml:space="preserve"> Limited is intending to</w:t>
      </w:r>
      <w:r w:rsidR="00A96593">
        <w:t xml:space="preserve"> make a CSF offer on 14 October </w:t>
      </w:r>
      <w:r w:rsidRPr="00F63766">
        <w:t xml:space="preserve">2019.  The minimum and maximum amounts for that offer are $1 million and $2.3 million respectively.  </w:t>
      </w:r>
    </w:p>
    <w:p w14:paraId="51232EE7" w14:textId="77777777" w:rsidR="0009315C" w:rsidRPr="00F63766" w:rsidRDefault="0009315C" w:rsidP="0009315C">
      <w:pPr>
        <w:pStyle w:val="exampletext"/>
      </w:pPr>
      <w:proofErr w:type="spellStart"/>
      <w:r w:rsidRPr="00F63766">
        <w:t>NewTech</w:t>
      </w:r>
      <w:proofErr w:type="spellEnd"/>
      <w:r w:rsidRPr="00F63766">
        <w:t xml:space="preserve"> previously made a CSF offer on 10 August 2018, which was completed on 15 November 2018.  A total of $2 million was raised under that offer.  </w:t>
      </w:r>
    </w:p>
    <w:p w14:paraId="4DCB2763" w14:textId="77777777" w:rsidR="0009315C" w:rsidRPr="00F63766" w:rsidRDefault="0009315C" w:rsidP="0009315C">
      <w:pPr>
        <w:pStyle w:val="exampletext"/>
      </w:pPr>
      <w:r w:rsidRPr="00F63766">
        <w:t xml:space="preserve">In the period 14 October 2018 to 6 January 2019, </w:t>
      </w:r>
      <w:proofErr w:type="spellStart"/>
      <w:r w:rsidRPr="00F63766">
        <w:t>NewTech</w:t>
      </w:r>
      <w:proofErr w:type="spellEnd"/>
      <w:r w:rsidRPr="00F63766">
        <w:t xml:space="preserve"> received amounts of $1.7 million from small scale personal offers made on 23 August 2018.  </w:t>
      </w:r>
    </w:p>
    <w:p w14:paraId="05B2E825" w14:textId="77777777" w:rsidR="0009315C" w:rsidRPr="00F63766" w:rsidRDefault="0009315C" w:rsidP="0009315C">
      <w:pPr>
        <w:pStyle w:val="exampletext"/>
      </w:pPr>
      <w:r w:rsidRPr="00F63766">
        <w:t xml:space="preserve">In calculating the amounts that contribute towards the issuer cap, </w:t>
      </w:r>
      <w:proofErr w:type="spellStart"/>
      <w:r w:rsidRPr="00F63766">
        <w:t>NewTech</w:t>
      </w:r>
      <w:proofErr w:type="spellEnd"/>
      <w:r w:rsidRPr="00F63766">
        <w:t xml:space="preserve"> will count the maximum amount sought to be raised under the current offer, which is $2.3 million. </w:t>
      </w:r>
    </w:p>
    <w:p w14:paraId="3B808B7D" w14:textId="77777777" w:rsidR="0009315C" w:rsidRPr="00F63766" w:rsidRDefault="0009315C" w:rsidP="0009315C">
      <w:pPr>
        <w:pStyle w:val="exampletext"/>
      </w:pPr>
      <w:r w:rsidRPr="00F63766">
        <w:t xml:space="preserve">In relation to the previous offers, </w:t>
      </w:r>
      <w:proofErr w:type="spellStart"/>
      <w:r w:rsidRPr="00F63766">
        <w:t>NewTech</w:t>
      </w:r>
      <w:proofErr w:type="spellEnd"/>
      <w:r w:rsidRPr="00F63766">
        <w:t xml:space="preserve"> will disregard the amounts raised under the CSF offer of 10 August 2018 as that offer was made more than 12 months prior to the current CSF offer.  In relation to the previous small scale offer, </w:t>
      </w:r>
      <w:proofErr w:type="spellStart"/>
      <w:r w:rsidRPr="00F63766">
        <w:t>NewTech</w:t>
      </w:r>
      <w:proofErr w:type="spellEnd"/>
      <w:r w:rsidRPr="00F63766">
        <w:t xml:space="preserve"> will include the amount of $1.7 million as this was the amount received from small scale offers in the 12 month period prior to the current CSF offer.  </w:t>
      </w:r>
    </w:p>
    <w:p w14:paraId="4D740F27" w14:textId="3BC2861A" w:rsidR="0009315C" w:rsidRPr="00F63766" w:rsidRDefault="0009315C" w:rsidP="0009315C">
      <w:pPr>
        <w:pStyle w:val="exampletext"/>
      </w:pPr>
      <w:r w:rsidRPr="00F63766">
        <w:t>The total amount counting towards the issuer cap is $2.3 millio</w:t>
      </w:r>
      <w:r w:rsidR="00A96593">
        <w:t xml:space="preserve">n + $1.7 million = $4 million. </w:t>
      </w:r>
      <w:r w:rsidRPr="00F63766">
        <w:t>As the total does not breach the issuer cap, the current CSF offer will be an eligible CSF offer (subject to</w:t>
      </w:r>
      <w:r w:rsidR="0029352B">
        <w:t xml:space="preserve"> the</w:t>
      </w:r>
      <w:r w:rsidRPr="00F63766">
        <w:t xml:space="preserve"> other eligibility requirements being satisfied). </w:t>
      </w:r>
    </w:p>
    <w:p w14:paraId="38B42318" w14:textId="53220ADF" w:rsidR="006C0C99" w:rsidRPr="00F63766" w:rsidRDefault="0009315C" w:rsidP="00F242EA">
      <w:pPr>
        <w:pStyle w:val="Heading6"/>
      </w:pPr>
      <w:r w:rsidRPr="00F63766">
        <w:t>Certain offers of related parties are included in the issuer cap</w:t>
      </w:r>
    </w:p>
    <w:p w14:paraId="687373EB" w14:textId="74667D9B" w:rsidR="0009315C" w:rsidRPr="00F63766" w:rsidRDefault="0044711A" w:rsidP="0009315C">
      <w:pPr>
        <w:pStyle w:val="base-text-paragraph"/>
        <w:numPr>
          <w:ilvl w:val="1"/>
          <w:numId w:val="33"/>
        </w:numPr>
      </w:pPr>
      <w:r w:rsidRPr="00F63766">
        <w:t>The issuer cap takes into account amounts raised under certain previous offers of the company</w:t>
      </w:r>
      <w:r w:rsidR="00EA3EDE" w:rsidRPr="00F63766">
        <w:t xml:space="preserve">’s </w:t>
      </w:r>
      <w:r w:rsidRPr="00F63766">
        <w:t>related parties</w:t>
      </w:r>
      <w:r w:rsidR="00143891">
        <w:t xml:space="preserve">. </w:t>
      </w:r>
    </w:p>
    <w:p w14:paraId="32CCE299" w14:textId="77777777" w:rsidR="002215D8" w:rsidRDefault="002215D8">
      <w:pPr>
        <w:spacing w:before="0" w:after="0"/>
      </w:pPr>
      <w:r>
        <w:br w:type="page"/>
      </w:r>
    </w:p>
    <w:p w14:paraId="7A2F52C8" w14:textId="55C99E5B" w:rsidR="003A7E5A" w:rsidRPr="00F63766" w:rsidRDefault="003A7E5A" w:rsidP="003A7E5A">
      <w:pPr>
        <w:pStyle w:val="base-text-paragraph"/>
        <w:numPr>
          <w:ilvl w:val="1"/>
          <w:numId w:val="33"/>
        </w:numPr>
      </w:pPr>
      <w:r w:rsidRPr="00F63766">
        <w:t>A related party</w:t>
      </w:r>
      <w:r w:rsidR="007177F7" w:rsidRPr="00F63766">
        <w:t xml:space="preserve"> of a company seeking to make a CSF offer is</w:t>
      </w:r>
      <w:r w:rsidRPr="00F63766">
        <w:t>:</w:t>
      </w:r>
    </w:p>
    <w:p w14:paraId="0487CB8E" w14:textId="77777777" w:rsidR="003A7E5A" w:rsidRPr="00F63766" w:rsidRDefault="003A7E5A" w:rsidP="003A7E5A">
      <w:pPr>
        <w:pStyle w:val="dotpoint"/>
      </w:pPr>
      <w:r w:rsidRPr="00F63766">
        <w:t xml:space="preserve">a ‘related body corporate’ of the company; or </w:t>
      </w:r>
    </w:p>
    <w:p w14:paraId="6898B4AA" w14:textId="6EBA807E" w:rsidR="003A7E5A" w:rsidRPr="00F63766" w:rsidRDefault="003A7E5A" w:rsidP="003A7E5A">
      <w:pPr>
        <w:pStyle w:val="dotpoint"/>
      </w:pPr>
      <w:proofErr w:type="gramStart"/>
      <w:r w:rsidRPr="00F63766">
        <w:t>an</w:t>
      </w:r>
      <w:proofErr w:type="gramEnd"/>
      <w:r w:rsidRPr="00F63766">
        <w:t xml:space="preserve"> entity controlled by a person who controls the company o</w:t>
      </w:r>
      <w:r w:rsidR="00A96593">
        <w:t xml:space="preserve">r an associate of that person. </w:t>
      </w:r>
      <w:r w:rsidRPr="00F63766">
        <w:rPr>
          <w:b/>
          <w:i/>
          <w:sz w:val="18"/>
        </w:rPr>
        <w:t xml:space="preserve">[Schedule 1, Part 1, </w:t>
      </w:r>
      <w:r w:rsidR="004C3043">
        <w:rPr>
          <w:b/>
          <w:i/>
          <w:sz w:val="18"/>
        </w:rPr>
        <w:t>item 14</w:t>
      </w:r>
      <w:r w:rsidRPr="00F63766">
        <w:rPr>
          <w:b/>
          <w:i/>
          <w:sz w:val="18"/>
        </w:rPr>
        <w:t>, subsection</w:t>
      </w:r>
      <w:r w:rsidR="006121B1">
        <w:rPr>
          <w:b/>
          <w:i/>
          <w:sz w:val="18"/>
        </w:rPr>
        <w:t> </w:t>
      </w:r>
      <w:r w:rsidRPr="00F63766">
        <w:rPr>
          <w:b/>
          <w:i/>
          <w:sz w:val="18"/>
        </w:rPr>
        <w:t>738G(3)]</w:t>
      </w:r>
    </w:p>
    <w:p w14:paraId="4557D2CC" w14:textId="78DED13B" w:rsidR="003A7E5A" w:rsidRPr="00F63766" w:rsidRDefault="002A2F01" w:rsidP="003A7E5A">
      <w:pPr>
        <w:pStyle w:val="base-text-paragraph"/>
        <w:numPr>
          <w:ilvl w:val="1"/>
          <w:numId w:val="33"/>
        </w:numPr>
      </w:pPr>
      <w:r>
        <w:t>A</w:t>
      </w:r>
      <w:r w:rsidR="006A3AF2">
        <w:t xml:space="preserve"> related body corporate (defined in section 50) of an issuer company would be: </w:t>
      </w:r>
    </w:p>
    <w:p w14:paraId="553EAB4F" w14:textId="77777777" w:rsidR="003A7E5A" w:rsidRPr="00F63766" w:rsidRDefault="003A7E5A" w:rsidP="003A7E5A">
      <w:pPr>
        <w:pStyle w:val="dotpoint"/>
      </w:pPr>
      <w:r w:rsidRPr="00F63766">
        <w:t xml:space="preserve">its holding company; </w:t>
      </w:r>
    </w:p>
    <w:p w14:paraId="603ECF50" w14:textId="77777777" w:rsidR="003A7E5A" w:rsidRPr="00F63766" w:rsidRDefault="003A7E5A" w:rsidP="003A7E5A">
      <w:pPr>
        <w:pStyle w:val="dotpoint"/>
      </w:pPr>
      <w:r w:rsidRPr="00F63766">
        <w:t>its subsidiary; or</w:t>
      </w:r>
    </w:p>
    <w:p w14:paraId="64A41331" w14:textId="170DBD39" w:rsidR="003A7E5A" w:rsidRPr="00F63766" w:rsidRDefault="002A2F01" w:rsidP="003A7E5A">
      <w:pPr>
        <w:pStyle w:val="dotpoint"/>
      </w:pPr>
      <w:proofErr w:type="gramStart"/>
      <w:r>
        <w:t>a</w:t>
      </w:r>
      <w:proofErr w:type="gramEnd"/>
      <w:r w:rsidR="003A7E5A" w:rsidRPr="00F63766">
        <w:t xml:space="preserve"> subsidiary of the holding company of the body corporate</w:t>
      </w:r>
      <w:r w:rsidR="006121B1">
        <w:t xml:space="preserve"> (a ‘sister’ company)</w:t>
      </w:r>
      <w:r w:rsidR="003A7E5A" w:rsidRPr="00F63766">
        <w:t xml:space="preserve">.  </w:t>
      </w:r>
    </w:p>
    <w:p w14:paraId="0581248F" w14:textId="3E74900F" w:rsidR="003A7E5A" w:rsidRPr="00F63766" w:rsidRDefault="003A7E5A" w:rsidP="003A7E5A">
      <w:pPr>
        <w:pStyle w:val="base-text-paragraph"/>
      </w:pPr>
      <w:r w:rsidRPr="00F63766">
        <w:t xml:space="preserve">An entity controlled by a person who controls the </w:t>
      </w:r>
      <w:r w:rsidR="00B21AB7">
        <w:t xml:space="preserve">issuer </w:t>
      </w:r>
      <w:r w:rsidRPr="00F63766">
        <w:t>company or an associate of that person</w:t>
      </w:r>
      <w:r w:rsidR="00B21AB7">
        <w:t xml:space="preserve"> will pick up</w:t>
      </w:r>
      <w:r w:rsidRPr="00F63766">
        <w:t xml:space="preserve"> ‘sister’ entities of the company </w:t>
      </w:r>
      <w:r w:rsidR="00B21AB7">
        <w:t>that are not body corporates.</w:t>
      </w:r>
    </w:p>
    <w:p w14:paraId="02CB5F15" w14:textId="7816266B" w:rsidR="00E27590" w:rsidRDefault="003A7E5A" w:rsidP="00E5785C">
      <w:pPr>
        <w:pStyle w:val="base-text-paragraph"/>
      </w:pPr>
      <w:r w:rsidRPr="00F63766">
        <w:t xml:space="preserve">The definition of ‘related party’ in the CSF regime is based on the approach in subsection 709(4) which applies for </w:t>
      </w:r>
      <w:r w:rsidR="00215BAB">
        <w:t xml:space="preserve">companies seeking to raise funds using an </w:t>
      </w:r>
      <w:r w:rsidRPr="00F63766">
        <w:t>offer information statement</w:t>
      </w:r>
      <w:r w:rsidR="00215BAB">
        <w:t xml:space="preserve"> (which has a cap on total funds raised of $10 million which applies to the company, its related body corporates and entities controlled by a person who controls the company or associates of such a person)</w:t>
      </w:r>
      <w:r w:rsidRPr="00F63766">
        <w:t xml:space="preserve">.  </w:t>
      </w:r>
    </w:p>
    <w:p w14:paraId="3B978E4F" w14:textId="20D80071" w:rsidR="00D0120A" w:rsidRDefault="00D0120A" w:rsidP="00D0120A">
      <w:pPr>
        <w:pStyle w:val="Heading5"/>
      </w:pPr>
      <w:r>
        <w:t>Anti-avoidance determinations</w:t>
      </w:r>
    </w:p>
    <w:p w14:paraId="09A1D794" w14:textId="2218543E" w:rsidR="00D0120A" w:rsidRDefault="00D0120A" w:rsidP="00D0120A">
      <w:pPr>
        <w:pStyle w:val="base-text-paragraph"/>
      </w:pPr>
      <w:r>
        <w:t xml:space="preserve">The amendments </w:t>
      </w:r>
      <w:r w:rsidR="00020022">
        <w:t>provide</w:t>
      </w:r>
      <w:r>
        <w:t xml:space="preserve"> ASIC</w:t>
      </w:r>
      <w:r w:rsidR="00020022">
        <w:t xml:space="preserve"> with a</w:t>
      </w:r>
      <w:r>
        <w:t xml:space="preserve"> power to make a determination that transactions, assets, or revenue of closely related bodies should be aggregated</w:t>
      </w:r>
      <w:r w:rsidR="003475D3">
        <w:t xml:space="preserve"> </w:t>
      </w:r>
      <w:r w:rsidR="003475D3" w:rsidRPr="00AA4312">
        <w:rPr>
          <w:b/>
          <w:i/>
          <w:sz w:val="18"/>
        </w:rPr>
        <w:t>[Schedule 1, Part 1, item</w:t>
      </w:r>
      <w:r w:rsidR="003475D3">
        <w:rPr>
          <w:b/>
          <w:i/>
          <w:sz w:val="18"/>
        </w:rPr>
        <w:t>s</w:t>
      </w:r>
      <w:r w:rsidR="003475D3" w:rsidRPr="00AA4312">
        <w:rPr>
          <w:b/>
          <w:i/>
          <w:sz w:val="18"/>
        </w:rPr>
        <w:t xml:space="preserve"> </w:t>
      </w:r>
      <w:r w:rsidR="003475D3">
        <w:rPr>
          <w:b/>
          <w:i/>
          <w:sz w:val="18"/>
        </w:rPr>
        <w:t>20 and 21</w:t>
      </w:r>
      <w:r w:rsidR="003475D3" w:rsidRPr="00AA4312">
        <w:rPr>
          <w:b/>
          <w:i/>
          <w:sz w:val="18"/>
        </w:rPr>
        <w:t>, paragraph</w:t>
      </w:r>
      <w:r w:rsidR="003475D3">
        <w:rPr>
          <w:b/>
          <w:i/>
          <w:sz w:val="18"/>
        </w:rPr>
        <w:t>s</w:t>
      </w:r>
      <w:r w:rsidR="003475D3" w:rsidRPr="00AA4312">
        <w:rPr>
          <w:b/>
          <w:i/>
          <w:sz w:val="18"/>
        </w:rPr>
        <w:t> </w:t>
      </w:r>
      <w:r w:rsidR="003475D3">
        <w:rPr>
          <w:b/>
          <w:i/>
          <w:sz w:val="18"/>
        </w:rPr>
        <w:t>740</w:t>
      </w:r>
      <w:r w:rsidR="003475D3" w:rsidRPr="00AA4312">
        <w:rPr>
          <w:b/>
          <w:i/>
          <w:sz w:val="18"/>
        </w:rPr>
        <w:t>(1</w:t>
      </w:r>
      <w:proofErr w:type="gramStart"/>
      <w:r w:rsidR="003475D3" w:rsidRPr="00AA4312">
        <w:rPr>
          <w:b/>
          <w:i/>
          <w:sz w:val="18"/>
        </w:rPr>
        <w:t>)(</w:t>
      </w:r>
      <w:proofErr w:type="gramEnd"/>
      <w:r w:rsidR="003475D3">
        <w:rPr>
          <w:b/>
          <w:i/>
          <w:sz w:val="18"/>
        </w:rPr>
        <w:t>b</w:t>
      </w:r>
      <w:r w:rsidR="003475D3" w:rsidRPr="00AA4312">
        <w:rPr>
          <w:b/>
          <w:i/>
          <w:sz w:val="18"/>
        </w:rPr>
        <w:t>)</w:t>
      </w:r>
      <w:r w:rsidR="003475D3">
        <w:rPr>
          <w:b/>
          <w:i/>
          <w:sz w:val="18"/>
        </w:rPr>
        <w:t xml:space="preserve"> and</w:t>
      </w:r>
      <w:r w:rsidR="00ED2A47">
        <w:rPr>
          <w:b/>
          <w:i/>
          <w:sz w:val="18"/>
        </w:rPr>
        <w:t xml:space="preserve"> </w:t>
      </w:r>
      <w:r w:rsidR="003475D3">
        <w:rPr>
          <w:b/>
          <w:i/>
          <w:sz w:val="18"/>
        </w:rPr>
        <w:t>740(2)(d)</w:t>
      </w:r>
      <w:r w:rsidR="003475D3" w:rsidRPr="00AA4312">
        <w:rPr>
          <w:b/>
          <w:i/>
          <w:sz w:val="18"/>
        </w:rPr>
        <w:t>].</w:t>
      </w:r>
      <w:r w:rsidR="00A96593">
        <w:t xml:space="preserve"> </w:t>
      </w:r>
      <w:r>
        <w:t xml:space="preserve">A consequence of the determination is that a company may no longer be eligible to make a CSF offer as it will exceed the issuer cap, gross assets or turnover </w:t>
      </w:r>
      <w:r w:rsidR="00E92A3F">
        <w:t>tests</w:t>
      </w:r>
      <w:r>
        <w:t xml:space="preserve">. </w:t>
      </w:r>
    </w:p>
    <w:p w14:paraId="4F0B5775" w14:textId="77777777" w:rsidR="00E27590" w:rsidRPr="00F63766" w:rsidRDefault="00E27590" w:rsidP="00E27590">
      <w:pPr>
        <w:pStyle w:val="Heading4"/>
      </w:pPr>
      <w:r w:rsidRPr="00F63766">
        <w:t>Funds not to be used for investing in another entity or scheme</w:t>
      </w:r>
    </w:p>
    <w:p w14:paraId="65A46E58" w14:textId="775D20C6" w:rsidR="00BF570C" w:rsidRPr="00F63766" w:rsidRDefault="00F25E0B" w:rsidP="00E27590">
      <w:pPr>
        <w:pStyle w:val="base-text-paragraph"/>
        <w:numPr>
          <w:ilvl w:val="1"/>
          <w:numId w:val="33"/>
        </w:numPr>
      </w:pPr>
      <w:r w:rsidRPr="00F63766">
        <w:t>The</w:t>
      </w:r>
      <w:r w:rsidR="00E27590" w:rsidRPr="00F63766">
        <w:t xml:space="preserve"> policy intent is that the CSF regime</w:t>
      </w:r>
      <w:r w:rsidR="00BF570C" w:rsidRPr="00F63766">
        <w:t>, given it involves a lower level of disclosure to investors than other types of public offers,</w:t>
      </w:r>
      <w:r w:rsidR="00E27590" w:rsidRPr="00F63766">
        <w:t xml:space="preserve"> </w:t>
      </w:r>
      <w:r w:rsidR="00DD0AB0" w:rsidRPr="00F63766">
        <w:t xml:space="preserve">cannot be used to raise </w:t>
      </w:r>
      <w:r w:rsidR="00E27590" w:rsidRPr="00F63766">
        <w:t xml:space="preserve">money for ‘blind pools’.  </w:t>
      </w:r>
    </w:p>
    <w:p w14:paraId="4E2398DE" w14:textId="77777777" w:rsidR="002215D8" w:rsidRDefault="002215D8">
      <w:pPr>
        <w:spacing w:before="0" w:after="0"/>
      </w:pPr>
      <w:r>
        <w:br w:type="page"/>
      </w:r>
    </w:p>
    <w:p w14:paraId="52D73EDB" w14:textId="23D2195C" w:rsidR="00E27590" w:rsidRPr="00F63766" w:rsidRDefault="00BF570C" w:rsidP="00E27590">
      <w:pPr>
        <w:pStyle w:val="base-text-paragraph"/>
        <w:numPr>
          <w:ilvl w:val="1"/>
          <w:numId w:val="33"/>
        </w:numPr>
      </w:pPr>
      <w:r w:rsidRPr="00F63766">
        <w:t>This policy intent is achieved by</w:t>
      </w:r>
      <w:r w:rsidR="00437514" w:rsidRPr="00F63766">
        <w:t xml:space="preserve"> excluding</w:t>
      </w:r>
      <w:r w:rsidR="00EE6284" w:rsidRPr="00F63766">
        <w:t xml:space="preserve"> an offer </w:t>
      </w:r>
      <w:r w:rsidR="00437514" w:rsidRPr="00F63766">
        <w:t xml:space="preserve">from being a CSF offer </w:t>
      </w:r>
      <w:r w:rsidR="00EE6284" w:rsidRPr="00F63766">
        <w:t>where the funds raised are intended to be used to any extent for investing in securities or interests in other entities or schemes</w:t>
      </w:r>
      <w:r w:rsidR="00AA4312">
        <w:t xml:space="preserve"> </w:t>
      </w:r>
      <w:r w:rsidR="00E83C71" w:rsidRPr="00AA4312">
        <w:rPr>
          <w:b/>
          <w:i/>
          <w:sz w:val="18"/>
        </w:rPr>
        <w:t xml:space="preserve">[Schedule 1, Part 1, </w:t>
      </w:r>
      <w:r w:rsidR="004C3043" w:rsidRPr="00AA4312">
        <w:rPr>
          <w:b/>
          <w:i/>
          <w:sz w:val="18"/>
        </w:rPr>
        <w:t>item 14</w:t>
      </w:r>
      <w:r w:rsidR="00E83C71" w:rsidRPr="00AA4312">
        <w:rPr>
          <w:b/>
          <w:i/>
          <w:sz w:val="18"/>
        </w:rPr>
        <w:t xml:space="preserve">, paragraph 738G(1)(e)]. </w:t>
      </w:r>
      <w:r w:rsidR="00E27590" w:rsidRPr="00F63766">
        <w:t>The</w:t>
      </w:r>
      <w:r w:rsidR="00E83C71" w:rsidRPr="00F63766">
        <w:t xml:space="preserve"> content requirements of the CSF offer document, which will be specified in the regulations, </w:t>
      </w:r>
      <w:r w:rsidR="00D56D86">
        <w:t>could</w:t>
      </w:r>
      <w:r w:rsidR="00D56D86" w:rsidRPr="00F63766">
        <w:t xml:space="preserve"> </w:t>
      </w:r>
      <w:r w:rsidR="00E83C71" w:rsidRPr="00F63766">
        <w:t xml:space="preserve">require the company to </w:t>
      </w:r>
      <w:r w:rsidR="00E27590" w:rsidRPr="00F63766">
        <w:t>include</w:t>
      </w:r>
      <w:r w:rsidR="00BB46D1" w:rsidRPr="00F63766">
        <w:t xml:space="preserve"> in the CSF offer document</w:t>
      </w:r>
      <w:r w:rsidR="00E27590" w:rsidRPr="00F63766">
        <w:t xml:space="preserve"> a description of how </w:t>
      </w:r>
      <w:r w:rsidR="00E83C71" w:rsidRPr="00F63766">
        <w:t>it</w:t>
      </w:r>
      <w:r w:rsidR="00E27590" w:rsidRPr="00F63766">
        <w:t xml:space="preserve"> intends to use the proceeds from the offer</w:t>
      </w:r>
      <w:r w:rsidR="00BB46D1" w:rsidRPr="00F63766">
        <w:t xml:space="preserve">. </w:t>
      </w:r>
    </w:p>
    <w:p w14:paraId="7E557279" w14:textId="7E1E647A" w:rsidR="003B0647" w:rsidRPr="00F63766" w:rsidRDefault="00A16CCA" w:rsidP="00F242EA">
      <w:pPr>
        <w:pStyle w:val="Heading3"/>
      </w:pPr>
      <w:r w:rsidRPr="00F63766">
        <w:t>Consequences where the offer is not eligible to be a CSF offer</w:t>
      </w:r>
    </w:p>
    <w:p w14:paraId="5978B43A" w14:textId="14F14D85" w:rsidR="005A75B1" w:rsidRPr="00F63766" w:rsidRDefault="005A75B1" w:rsidP="003B0647">
      <w:pPr>
        <w:pStyle w:val="base-text-paragraph"/>
        <w:numPr>
          <w:ilvl w:val="1"/>
          <w:numId w:val="33"/>
        </w:numPr>
      </w:pPr>
      <w:r w:rsidRPr="00F63766">
        <w:t xml:space="preserve">Where an offer does not satisfy the eligibility criteria to be a CSF offer, it will </w:t>
      </w:r>
      <w:r w:rsidR="00B05D3D">
        <w:t>default to</w:t>
      </w:r>
      <w:r w:rsidR="0002372F" w:rsidRPr="00F63766">
        <w:t xml:space="preserve"> b</w:t>
      </w:r>
      <w:r w:rsidR="00447338">
        <w:t>eing</w:t>
      </w:r>
      <w:r w:rsidR="0002372F" w:rsidRPr="00F63766">
        <w:t xml:space="preserve"> </w:t>
      </w:r>
      <w:r w:rsidRPr="00F63766">
        <w:t>an offer of securities requiring disclosure under Part 6D.2, unless one of the exemptions from disclosure</w:t>
      </w:r>
      <w:r w:rsidR="002B5358">
        <w:t xml:space="preserve"> in section 708</w:t>
      </w:r>
      <w:r w:rsidRPr="00F63766">
        <w:t xml:space="preserve"> appl</w:t>
      </w:r>
      <w:r w:rsidR="00720F6E">
        <w:t>ies</w:t>
      </w:r>
      <w:r w:rsidR="002B5358">
        <w:t xml:space="preserve">. </w:t>
      </w:r>
    </w:p>
    <w:p w14:paraId="2DCCF8D1" w14:textId="12180006" w:rsidR="00E27590" w:rsidRDefault="005A75B1" w:rsidP="002D5F39">
      <w:pPr>
        <w:pStyle w:val="base-text-paragraph"/>
      </w:pPr>
      <w:r w:rsidRPr="00F63766">
        <w:t>Where a person makes an offer of securities requiring disclosure under Part 6D.2 but does not lodge the required disclosure document with ASIC, the person will commit an offence under subsection 727(1)</w:t>
      </w:r>
      <w:r w:rsidR="00FE141C">
        <w:t xml:space="preserve">, which carries a maximum penalty of 200 penalty units, </w:t>
      </w:r>
      <w:r w:rsidR="006B413C">
        <w:t>five</w:t>
      </w:r>
      <w:r w:rsidR="00FE141C">
        <w:t xml:space="preserve"> years imprisonment or both</w:t>
      </w:r>
      <w:r w:rsidR="006B413C">
        <w:t>.</w:t>
      </w:r>
      <w:r w:rsidR="003F4649" w:rsidRPr="00F63766">
        <w:t xml:space="preserve">  </w:t>
      </w:r>
    </w:p>
    <w:p w14:paraId="7AC28D58" w14:textId="77777777" w:rsidR="00377062" w:rsidRDefault="00377062" w:rsidP="00377062">
      <w:pPr>
        <w:pStyle w:val="Heading2"/>
      </w:pPr>
      <w:r>
        <w:t>Consequential amendments</w:t>
      </w:r>
    </w:p>
    <w:p w14:paraId="29C0BA06" w14:textId="2AE7B61A" w:rsidR="00377062" w:rsidRDefault="007C3E38">
      <w:pPr>
        <w:pStyle w:val="base-text-paragraph"/>
        <w:numPr>
          <w:ilvl w:val="1"/>
          <w:numId w:val="46"/>
        </w:numPr>
      </w:pPr>
      <w:r>
        <w:t>C</w:t>
      </w:r>
      <w:r w:rsidR="00377062">
        <w:t>onsequential amendments</w:t>
      </w:r>
      <w:r>
        <w:t xml:space="preserve"> have been made</w:t>
      </w:r>
      <w:r w:rsidR="00377062">
        <w:t xml:space="preserve"> to section 9 to insert </w:t>
      </w:r>
      <w:r w:rsidR="001E5D27">
        <w:t>a number of</w:t>
      </w:r>
      <w:r w:rsidR="00377062">
        <w:t xml:space="preserve"> new </w:t>
      </w:r>
      <w:r w:rsidR="00ED37A5">
        <w:t>definitions</w:t>
      </w:r>
      <w:r w:rsidR="001E5D27">
        <w:t xml:space="preserve"> </w:t>
      </w:r>
      <w:r w:rsidR="00E817E1">
        <w:t xml:space="preserve">for concepts </w:t>
      </w:r>
      <w:r w:rsidR="00377062">
        <w:t>relevant to the CSF regime.</w:t>
      </w:r>
      <w:r w:rsidR="008D328E">
        <w:t xml:space="preserve"> </w:t>
      </w:r>
      <w:r w:rsidR="008D328E" w:rsidRPr="00DB4263">
        <w:rPr>
          <w:rStyle w:val="Referencingstyle"/>
        </w:rPr>
        <w:t>[Schedule 1, Part 1, items 1, 2, 3, 4, 5 ,6, section 9]</w:t>
      </w:r>
      <w:r w:rsidR="00377062">
        <w:t xml:space="preserve">  </w:t>
      </w:r>
    </w:p>
    <w:p w14:paraId="737925C3" w14:textId="30CA3E0B" w:rsidR="007C3E38" w:rsidRDefault="007C3E38">
      <w:pPr>
        <w:pStyle w:val="base-text-paragraph"/>
        <w:numPr>
          <w:ilvl w:val="1"/>
          <w:numId w:val="46"/>
        </w:numPr>
      </w:pPr>
      <w:r>
        <w:t>A consequential amendment has been made to subsection 1311(1A) to add the new Part 6D.3A (containing the provisions r</w:t>
      </w:r>
      <w:r w:rsidR="00A96593">
        <w:t xml:space="preserve">elating to the CSF regime). </w:t>
      </w:r>
      <w:r>
        <w:t>The effect is that a person will only commit an offence under the CSF regime where a specific penalty has been set out in Schedule 3 to the Act.</w:t>
      </w:r>
      <w:r w:rsidR="00206FCE">
        <w:t xml:space="preserve"> </w:t>
      </w:r>
      <w:r w:rsidR="00206FCE">
        <w:rPr>
          <w:rStyle w:val="Referencingstyle"/>
        </w:rPr>
        <w:t>[Schedule 1, Part 1, item 33</w:t>
      </w:r>
      <w:r w:rsidR="00206FCE" w:rsidRPr="00DB4263">
        <w:rPr>
          <w:rStyle w:val="Referencingstyle"/>
        </w:rPr>
        <w:t>,</w:t>
      </w:r>
      <w:r w:rsidR="00206FCE">
        <w:rPr>
          <w:rStyle w:val="Referencingstyle"/>
        </w:rPr>
        <w:t xml:space="preserve"> paragraph 1311(1A)(dba)</w:t>
      </w:r>
      <w:r w:rsidR="00206FCE" w:rsidRPr="00DB4263">
        <w:rPr>
          <w:rStyle w:val="Referencingstyle"/>
        </w:rPr>
        <w:t>]</w:t>
      </w:r>
      <w:r w:rsidR="00206FCE">
        <w:t xml:space="preserve">  </w:t>
      </w:r>
      <w:r>
        <w:t xml:space="preserve"> </w:t>
      </w:r>
    </w:p>
    <w:p w14:paraId="170B86AB" w14:textId="77777777" w:rsidR="00377062" w:rsidRPr="00F63766" w:rsidRDefault="00377062" w:rsidP="00B96F32">
      <w:pPr>
        <w:pStyle w:val="base-text-paragraph"/>
        <w:numPr>
          <w:ilvl w:val="0"/>
          <w:numId w:val="0"/>
        </w:numPr>
        <w:ind w:left="1134"/>
      </w:pPr>
    </w:p>
    <w:p w14:paraId="2B722C77" w14:textId="77777777" w:rsidR="00E27590" w:rsidRPr="00F63766" w:rsidRDefault="00E27590" w:rsidP="00B676BE">
      <w:pPr>
        <w:sectPr w:rsidR="00E27590" w:rsidRPr="00F63766" w:rsidSect="00B676BE">
          <w:headerReference w:type="even" r:id="rId32"/>
          <w:headerReference w:type="default" r:id="rId33"/>
          <w:footerReference w:type="even" r:id="rId34"/>
          <w:footerReference w:type="default" r:id="rId35"/>
          <w:footerReference w:type="first" r:id="rId36"/>
          <w:type w:val="oddPage"/>
          <w:pgSz w:w="11906" w:h="16838" w:code="9"/>
          <w:pgMar w:top="2466" w:right="2098" w:bottom="2466" w:left="2098" w:header="1559" w:footer="1899" w:gutter="0"/>
          <w:cols w:space="708"/>
          <w:titlePg/>
          <w:docGrid w:linePitch="360"/>
        </w:sectPr>
      </w:pPr>
    </w:p>
    <w:p w14:paraId="56209018" w14:textId="1320C0CC" w:rsidR="00E27590" w:rsidRPr="00F63766" w:rsidRDefault="00E27590" w:rsidP="00B676BE">
      <w:pPr>
        <w:pStyle w:val="ChapterHeading"/>
        <w:tabs>
          <w:tab w:val="clear" w:pos="1134"/>
          <w:tab w:val="num" w:pos="360"/>
        </w:tabs>
      </w:pPr>
      <w:r w:rsidRPr="00F63766">
        <w:br/>
      </w:r>
      <w:bookmarkStart w:id="9" w:name="_Toc435701582"/>
      <w:bookmarkStart w:id="10" w:name="_Toc436037552"/>
      <w:r w:rsidRPr="00F63766">
        <w:t xml:space="preserve">The </w:t>
      </w:r>
      <w:r w:rsidR="00793E2D" w:rsidRPr="00F63766">
        <w:t xml:space="preserve">role and </w:t>
      </w:r>
      <w:r w:rsidRPr="00F63766">
        <w:t xml:space="preserve">obligations </w:t>
      </w:r>
      <w:r w:rsidR="00793E2D" w:rsidRPr="00F63766">
        <w:t>of a CSF</w:t>
      </w:r>
      <w:r w:rsidRPr="00F63766">
        <w:t xml:space="preserve"> </w:t>
      </w:r>
      <w:r w:rsidR="00793E2D" w:rsidRPr="00F63766">
        <w:t>intermediary</w:t>
      </w:r>
      <w:bookmarkEnd w:id="9"/>
      <w:bookmarkEnd w:id="10"/>
      <w:r w:rsidR="00793E2D" w:rsidRPr="00F63766">
        <w:t xml:space="preserve"> </w:t>
      </w:r>
    </w:p>
    <w:p w14:paraId="3A44D1C5" w14:textId="77777777" w:rsidR="00E27590" w:rsidRPr="00F63766" w:rsidRDefault="00E27590" w:rsidP="00B676BE">
      <w:pPr>
        <w:pStyle w:val="Heading2"/>
      </w:pPr>
      <w:r w:rsidRPr="00F63766">
        <w:t>Outline of chapter</w:t>
      </w:r>
    </w:p>
    <w:p w14:paraId="7D303F5D" w14:textId="77777777" w:rsidR="00E27590" w:rsidRPr="00F63766" w:rsidRDefault="00E27590" w:rsidP="00E27590">
      <w:pPr>
        <w:pStyle w:val="base-text-paragraph"/>
      </w:pPr>
      <w:r w:rsidRPr="00F63766">
        <w:t xml:space="preserve">This Chapter sets out the role and obligations of a CSF intermediary in facilitating a CSF offer. </w:t>
      </w:r>
    </w:p>
    <w:p w14:paraId="3EFBD9F5" w14:textId="157BD436" w:rsidR="00E27590" w:rsidRPr="00F63766" w:rsidRDefault="00E27590" w:rsidP="00E27590">
      <w:pPr>
        <w:pStyle w:val="base-text-paragraph"/>
      </w:pPr>
      <w:r w:rsidRPr="00F63766">
        <w:t xml:space="preserve">Unless otherwise stated, all references in this Chapter relate to the </w:t>
      </w:r>
      <w:r w:rsidRPr="00F63766">
        <w:rPr>
          <w:i/>
        </w:rPr>
        <w:t>Corporations Act 2001</w:t>
      </w:r>
      <w:r w:rsidR="00EE5B81">
        <w:t xml:space="preserve"> and the </w:t>
      </w:r>
      <w:r w:rsidR="00EE5B81" w:rsidRPr="00E5785C">
        <w:rPr>
          <w:i/>
        </w:rPr>
        <w:t>Corporations Regulations 2001</w:t>
      </w:r>
      <w:r w:rsidRPr="00F63766">
        <w:t>.</w:t>
      </w:r>
    </w:p>
    <w:p w14:paraId="5EE5598E" w14:textId="77777777" w:rsidR="00E27590" w:rsidRPr="00F63766" w:rsidRDefault="00E27590" w:rsidP="00B676BE">
      <w:pPr>
        <w:pStyle w:val="Heading2"/>
      </w:pPr>
      <w:r w:rsidRPr="00F63766">
        <w:t>Context of amendments</w:t>
      </w:r>
    </w:p>
    <w:p w14:paraId="5CE602A8" w14:textId="77777777" w:rsidR="006A4AC3" w:rsidRPr="00F63766" w:rsidRDefault="006A4AC3" w:rsidP="006A4AC3">
      <w:pPr>
        <w:pStyle w:val="base-text-paragraph"/>
      </w:pPr>
      <w:r w:rsidRPr="00F63766">
        <w:t xml:space="preserve">The CSF intermediary occupies a central role in the CSF regime.  Under the regime, all CSF offers must be made via the ‘platform’ of a CSF intermediary. </w:t>
      </w:r>
    </w:p>
    <w:p w14:paraId="432E2566" w14:textId="77777777" w:rsidR="00E27590" w:rsidRPr="00F63766" w:rsidRDefault="00E27590" w:rsidP="00B676BE">
      <w:pPr>
        <w:pStyle w:val="Heading2"/>
      </w:pPr>
      <w:r w:rsidRPr="00F63766">
        <w:t>Summary of new law</w:t>
      </w:r>
    </w:p>
    <w:p w14:paraId="60BA6383" w14:textId="1A64969B" w:rsidR="000D321B" w:rsidRDefault="000D321B" w:rsidP="005F5526">
      <w:pPr>
        <w:pStyle w:val="base-text-paragraph"/>
      </w:pPr>
      <w:r>
        <w:t xml:space="preserve">A person that intends to operate a </w:t>
      </w:r>
      <w:r w:rsidR="002940B6">
        <w:t>crowd-funding</w:t>
      </w:r>
      <w:r>
        <w:t xml:space="preserve"> platform (the intermediary) will be required to hold either </w:t>
      </w:r>
      <w:r w:rsidR="00B65F7C" w:rsidRPr="00F63766">
        <w:t>an Australian Financial Services Licence (AFSL)</w:t>
      </w:r>
      <w:r w:rsidR="002D6048">
        <w:t xml:space="preserve"> </w:t>
      </w:r>
      <w:r w:rsidR="00FF5B20" w:rsidRPr="00FF5B20">
        <w:t>and may also be required to obtain</w:t>
      </w:r>
      <w:r w:rsidR="002D6048" w:rsidRPr="00FF5B20">
        <w:t xml:space="preserve"> </w:t>
      </w:r>
      <w:r w:rsidR="00B65F7C" w:rsidRPr="00FF5B20">
        <w:t>an Australian Market Licence (AML)</w:t>
      </w:r>
      <w:r w:rsidR="00B65F7C" w:rsidRPr="00F63766">
        <w:t xml:space="preserve">. </w:t>
      </w:r>
    </w:p>
    <w:p w14:paraId="10904F09" w14:textId="365C5ECF" w:rsidR="00B65F7C" w:rsidRPr="00F63766" w:rsidRDefault="000D321B" w:rsidP="005F5526">
      <w:pPr>
        <w:pStyle w:val="base-text-paragraph"/>
      </w:pPr>
      <w:r>
        <w:t xml:space="preserve">For intermediaries required to obtain an AFSL, the Bill </w:t>
      </w:r>
      <w:r w:rsidR="00B55CF1">
        <w:t>creates a</w:t>
      </w:r>
      <w:r w:rsidR="007B0FDF">
        <w:t xml:space="preserve"> new type of financial service, </w:t>
      </w:r>
      <w:r w:rsidR="00B65F7C" w:rsidRPr="00F63766">
        <w:t xml:space="preserve">being </w:t>
      </w:r>
      <w:r w:rsidR="007B0FDF">
        <w:t>the</w:t>
      </w:r>
      <w:r w:rsidR="00B65F7C" w:rsidRPr="00F63766">
        <w:t xml:space="preserve"> </w:t>
      </w:r>
      <w:r w:rsidR="002940B6">
        <w:t>crowd-funding</w:t>
      </w:r>
      <w:r w:rsidR="00B65F7C" w:rsidRPr="00F63766">
        <w:t xml:space="preserve"> service.</w:t>
      </w:r>
    </w:p>
    <w:p w14:paraId="2936BA45" w14:textId="3495692D" w:rsidR="00B65F7C" w:rsidRPr="00F63766" w:rsidRDefault="00B65F7C" w:rsidP="005F5526">
      <w:pPr>
        <w:pStyle w:val="base-text-paragraph"/>
      </w:pPr>
      <w:r w:rsidRPr="00F63766">
        <w:t>The intermediary has a number of obligations</w:t>
      </w:r>
      <w:r w:rsidR="00003E74">
        <w:t xml:space="preserve"> under the CSF</w:t>
      </w:r>
      <w:r w:rsidR="00C932A5">
        <w:t> </w:t>
      </w:r>
      <w:r w:rsidR="00F61CAC">
        <w:t>regime</w:t>
      </w:r>
      <w:r w:rsidRPr="00F63766">
        <w:t>, including:</w:t>
      </w:r>
    </w:p>
    <w:p w14:paraId="3394B4D2" w14:textId="71EAE5B4" w:rsidR="00B65F7C" w:rsidRPr="00F63766" w:rsidRDefault="00B65F7C" w:rsidP="00B65F7C">
      <w:pPr>
        <w:pStyle w:val="dotpoint"/>
      </w:pPr>
      <w:r w:rsidRPr="00F63766">
        <w:t xml:space="preserve">‘gatekeeper’ obligations (which set out when </w:t>
      </w:r>
      <w:r w:rsidR="000D5101">
        <w:t>the</w:t>
      </w:r>
      <w:r w:rsidRPr="00F63766">
        <w:t xml:space="preserve"> intermediary must</w:t>
      </w:r>
      <w:r w:rsidR="005D6EA3">
        <w:t xml:space="preserve"> not</w:t>
      </w:r>
      <w:r w:rsidRPr="00F63766">
        <w:t xml:space="preserve"> </w:t>
      </w:r>
      <w:r w:rsidR="000D5101">
        <w:t>publish or continue to publish an issuer’s offer document)</w:t>
      </w:r>
      <w:r w:rsidRPr="00F63766">
        <w:t xml:space="preserve">; </w:t>
      </w:r>
    </w:p>
    <w:p w14:paraId="6AE9A844" w14:textId="77777777" w:rsidR="00B65F7C" w:rsidRPr="00F63766" w:rsidRDefault="00B65F7C" w:rsidP="00B65F7C">
      <w:pPr>
        <w:pStyle w:val="dotpoint"/>
      </w:pPr>
      <w:r w:rsidRPr="00F63766">
        <w:t xml:space="preserve">the obligation to provide a communication facility; </w:t>
      </w:r>
    </w:p>
    <w:p w14:paraId="20E91996" w14:textId="3C9E0649" w:rsidR="00B65F7C" w:rsidRPr="00F63766" w:rsidRDefault="00B65F7C" w:rsidP="00B65F7C">
      <w:pPr>
        <w:pStyle w:val="dotpoint"/>
      </w:pPr>
      <w:r w:rsidRPr="00F63766">
        <w:t xml:space="preserve">the obligation to </w:t>
      </w:r>
      <w:r w:rsidR="000165EC">
        <w:t xml:space="preserve">prominently </w:t>
      </w:r>
      <w:r w:rsidRPr="00F63766">
        <w:t xml:space="preserve">display </w:t>
      </w:r>
      <w:r w:rsidR="00920858" w:rsidRPr="00F63766">
        <w:t xml:space="preserve">on the platform </w:t>
      </w:r>
      <w:r w:rsidRPr="00F63766">
        <w:t xml:space="preserve">the CSF risk warning, </w:t>
      </w:r>
      <w:r w:rsidR="000165EC">
        <w:t xml:space="preserve">information on </w:t>
      </w:r>
      <w:r w:rsidRPr="00F63766">
        <w:t>cooling-off rights</w:t>
      </w:r>
      <w:r w:rsidR="000165EC">
        <w:t>,</w:t>
      </w:r>
      <w:r w:rsidRPr="00F63766">
        <w:t xml:space="preserve"> and fees</w:t>
      </w:r>
      <w:r w:rsidR="00920858">
        <w:t xml:space="preserve"> charged to </w:t>
      </w:r>
      <w:r w:rsidRPr="00F63766">
        <w:t xml:space="preserve">and interests in an issuer company; </w:t>
      </w:r>
    </w:p>
    <w:p w14:paraId="29876417" w14:textId="58BDFB58" w:rsidR="00B65F7C" w:rsidRPr="00F63766" w:rsidRDefault="00B65F7C" w:rsidP="00B65F7C">
      <w:pPr>
        <w:pStyle w:val="dotpoint"/>
      </w:pPr>
      <w:r w:rsidRPr="00F63766">
        <w:t xml:space="preserve">the obligation to ensure retail clients receive the </w:t>
      </w:r>
      <w:r w:rsidR="00252C14">
        <w:t xml:space="preserve">benefit of the </w:t>
      </w:r>
      <w:r w:rsidRPr="00F63766">
        <w:t xml:space="preserve">relevant investor protections (cooling-off rights, </w:t>
      </w:r>
      <w:r w:rsidR="008143F1">
        <w:t xml:space="preserve">the </w:t>
      </w:r>
      <w:r w:rsidRPr="00F63766">
        <w:t xml:space="preserve">investor cap, </w:t>
      </w:r>
      <w:r w:rsidR="008143F1">
        <w:t xml:space="preserve">the </w:t>
      </w:r>
      <w:r w:rsidR="00192FC2">
        <w:t>risk acknowledgement</w:t>
      </w:r>
      <w:r w:rsidR="009023F6">
        <w:t>)</w:t>
      </w:r>
      <w:r w:rsidR="00192FC2">
        <w:t xml:space="preserve"> and</w:t>
      </w:r>
      <w:r w:rsidR="00343D06">
        <w:t xml:space="preserve"> that</w:t>
      </w:r>
      <w:r w:rsidR="00192FC2">
        <w:t xml:space="preserve"> </w:t>
      </w:r>
      <w:r w:rsidR="009023F6">
        <w:t xml:space="preserve">the obligation to comply with </w:t>
      </w:r>
      <w:r w:rsidR="004D254F">
        <w:t xml:space="preserve">the </w:t>
      </w:r>
      <w:r w:rsidRPr="00F63766">
        <w:t>prohibition on providing financial assistance</w:t>
      </w:r>
      <w:r w:rsidR="00343D06">
        <w:t xml:space="preserve"> is adhered to</w:t>
      </w:r>
      <w:r w:rsidRPr="00F63766">
        <w:t>; and</w:t>
      </w:r>
    </w:p>
    <w:p w14:paraId="4A177C9A" w14:textId="2154B76C" w:rsidR="00E27590" w:rsidRDefault="00B65F7C" w:rsidP="002D5F39">
      <w:pPr>
        <w:pStyle w:val="dotpoint"/>
      </w:pPr>
      <w:proofErr w:type="gramStart"/>
      <w:r w:rsidRPr="00F63766">
        <w:t>the</w:t>
      </w:r>
      <w:proofErr w:type="gramEnd"/>
      <w:r w:rsidRPr="00F63766">
        <w:t xml:space="preserve"> obligations to close or suspend the offer as required, and handle application monies appropriately.  </w:t>
      </w:r>
    </w:p>
    <w:p w14:paraId="0B679A01" w14:textId="6200C1CE" w:rsidR="00FB70B6" w:rsidRPr="00F63766" w:rsidRDefault="00FB70B6" w:rsidP="00B96F32">
      <w:pPr>
        <w:pStyle w:val="Heading2"/>
      </w:pPr>
      <w:r w:rsidRPr="00387856">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B70B6" w:rsidRPr="004666B8" w14:paraId="3A84FF21" w14:textId="77777777" w:rsidTr="009E620A">
        <w:tc>
          <w:tcPr>
            <w:tcW w:w="3275" w:type="dxa"/>
          </w:tcPr>
          <w:p w14:paraId="6B624A50" w14:textId="77777777" w:rsidR="00FB70B6" w:rsidRPr="004666B8" w:rsidRDefault="00FB70B6" w:rsidP="009E620A">
            <w:pPr>
              <w:pStyle w:val="tableheaderwithintable"/>
              <w:rPr>
                <w:lang w:val="en-US" w:eastAsia="en-US"/>
              </w:rPr>
            </w:pPr>
            <w:r w:rsidRPr="004666B8">
              <w:rPr>
                <w:lang w:val="en-US" w:eastAsia="en-US"/>
              </w:rPr>
              <w:t>New law</w:t>
            </w:r>
          </w:p>
        </w:tc>
        <w:tc>
          <w:tcPr>
            <w:tcW w:w="3276" w:type="dxa"/>
          </w:tcPr>
          <w:p w14:paraId="34C9BDD9" w14:textId="77777777" w:rsidR="00FB70B6" w:rsidRPr="004666B8" w:rsidRDefault="00FB70B6" w:rsidP="009E620A">
            <w:pPr>
              <w:pStyle w:val="tableheaderwithintable"/>
              <w:rPr>
                <w:lang w:val="en-US" w:eastAsia="en-US"/>
              </w:rPr>
            </w:pPr>
            <w:r w:rsidRPr="004666B8">
              <w:rPr>
                <w:lang w:val="en-US" w:eastAsia="en-US"/>
              </w:rPr>
              <w:t>Current law</w:t>
            </w:r>
          </w:p>
        </w:tc>
      </w:tr>
      <w:tr w:rsidR="00FB70B6" w:rsidRPr="004666B8" w14:paraId="538D0AD8" w14:textId="77777777" w:rsidTr="009E620A">
        <w:tc>
          <w:tcPr>
            <w:tcW w:w="3275" w:type="dxa"/>
          </w:tcPr>
          <w:p w14:paraId="1B3C71E7" w14:textId="3DBA2E47" w:rsidR="00FB70B6" w:rsidRPr="004666B8" w:rsidRDefault="00077984" w:rsidP="000444D1">
            <w:pPr>
              <w:pStyle w:val="tabletext"/>
              <w:rPr>
                <w:lang w:val="en-US" w:eastAsia="en-US"/>
              </w:rPr>
            </w:pPr>
            <w:r>
              <w:t xml:space="preserve">A person that intends to operate a </w:t>
            </w:r>
            <w:r w:rsidR="002940B6">
              <w:t>crowd-funding</w:t>
            </w:r>
            <w:r>
              <w:t xml:space="preserve"> platform (the intermediary) will be required to hold </w:t>
            </w:r>
            <w:r w:rsidRPr="00F63766">
              <w:t>an Australian Financial Services Licence (AFSL)</w:t>
            </w:r>
            <w:r w:rsidR="003B5F8D">
              <w:t xml:space="preserve"> and may also be required to hold an</w:t>
            </w:r>
            <w:r w:rsidRPr="003B5F8D">
              <w:t xml:space="preserve"> Australian Market Licence (AML)</w:t>
            </w:r>
            <w:r w:rsidR="005D6EA3">
              <w:t>.</w:t>
            </w:r>
          </w:p>
        </w:tc>
        <w:tc>
          <w:tcPr>
            <w:tcW w:w="3276" w:type="dxa"/>
          </w:tcPr>
          <w:p w14:paraId="78EA6762" w14:textId="77777777" w:rsidR="00FB70B6" w:rsidRPr="004666B8" w:rsidRDefault="00FB70B6" w:rsidP="009E620A">
            <w:pPr>
              <w:pStyle w:val="tabletext"/>
              <w:rPr>
                <w:lang w:val="en-US" w:eastAsia="en-US"/>
              </w:rPr>
            </w:pPr>
            <w:r>
              <w:rPr>
                <w:lang w:val="en-US" w:eastAsia="en-US"/>
              </w:rPr>
              <w:t>No equivalent.</w:t>
            </w:r>
          </w:p>
        </w:tc>
      </w:tr>
      <w:tr w:rsidR="00FB70B6" w:rsidRPr="004666B8" w14:paraId="06B93D0C" w14:textId="77777777" w:rsidTr="009E620A">
        <w:tc>
          <w:tcPr>
            <w:tcW w:w="3275" w:type="dxa"/>
          </w:tcPr>
          <w:p w14:paraId="27242577" w14:textId="56882282" w:rsidR="00FB70B6" w:rsidRPr="00F63766" w:rsidRDefault="00E77D63" w:rsidP="00E77D63">
            <w:pPr>
              <w:pStyle w:val="tabledotpoint"/>
              <w:numPr>
                <w:ilvl w:val="0"/>
                <w:numId w:val="0"/>
              </w:numPr>
            </w:pPr>
            <w:r>
              <w:t>A new financial service has been created: a</w:t>
            </w:r>
            <w:r w:rsidR="00077984" w:rsidRPr="0004659E">
              <w:t xml:space="preserve"> </w:t>
            </w:r>
            <w:r w:rsidR="002940B6">
              <w:t>crowd-funding</w:t>
            </w:r>
            <w:r w:rsidR="00077984" w:rsidRPr="0004659E">
              <w:t xml:space="preserve"> service.</w:t>
            </w:r>
            <w:r w:rsidR="00077984">
              <w:t xml:space="preserve"> </w:t>
            </w:r>
          </w:p>
        </w:tc>
        <w:tc>
          <w:tcPr>
            <w:tcW w:w="3276" w:type="dxa"/>
          </w:tcPr>
          <w:p w14:paraId="30BE11AF" w14:textId="77777777" w:rsidR="00FB70B6" w:rsidRDefault="00FB70B6" w:rsidP="009E620A">
            <w:pPr>
              <w:pStyle w:val="tabletext"/>
              <w:rPr>
                <w:lang w:val="en-US" w:eastAsia="en-US"/>
              </w:rPr>
            </w:pPr>
            <w:r>
              <w:rPr>
                <w:lang w:val="en-US" w:eastAsia="en-US"/>
              </w:rPr>
              <w:t>No equivalent.</w:t>
            </w:r>
          </w:p>
        </w:tc>
      </w:tr>
      <w:tr w:rsidR="00077984" w:rsidRPr="004666B8" w14:paraId="682261E2" w14:textId="77777777" w:rsidTr="009E620A">
        <w:tc>
          <w:tcPr>
            <w:tcW w:w="3275" w:type="dxa"/>
          </w:tcPr>
          <w:p w14:paraId="20CA6452" w14:textId="66A8C3AC" w:rsidR="00077984" w:rsidRDefault="00077984" w:rsidP="00B96F32">
            <w:pPr>
              <w:pStyle w:val="tabledotpoint"/>
              <w:numPr>
                <w:ilvl w:val="0"/>
                <w:numId w:val="0"/>
              </w:numPr>
            </w:pPr>
            <w:r>
              <w:t>A CSF intermediary has a number of obligations under the CSF regime, including:</w:t>
            </w:r>
          </w:p>
          <w:p w14:paraId="0F776C78" w14:textId="4BF404A7" w:rsidR="00077984" w:rsidRDefault="00077984">
            <w:pPr>
              <w:pStyle w:val="tabledotpoint"/>
            </w:pPr>
            <w:r>
              <w:t xml:space="preserve">‘gatekeeper’ obligations; </w:t>
            </w:r>
          </w:p>
          <w:p w14:paraId="7388E06D" w14:textId="10F83811" w:rsidR="00077984" w:rsidRDefault="00077984">
            <w:pPr>
              <w:pStyle w:val="tabledotpoint"/>
            </w:pPr>
            <w:r>
              <w:t xml:space="preserve">the obligation to provide a communication facility; </w:t>
            </w:r>
          </w:p>
          <w:p w14:paraId="6516B593" w14:textId="16B6A5DD" w:rsidR="00077984" w:rsidRDefault="00077984">
            <w:pPr>
              <w:pStyle w:val="tabledotpoint"/>
            </w:pPr>
            <w:r>
              <w:t xml:space="preserve">the obligation to prominently display on the platform the CSF risk warning, information on cooling-off rights, and fees charged to and interests in an issuer company; </w:t>
            </w:r>
          </w:p>
          <w:p w14:paraId="3340AB89" w14:textId="22BDD09E" w:rsidR="00077984" w:rsidRDefault="00077984">
            <w:pPr>
              <w:pStyle w:val="tabledotpoint"/>
            </w:pPr>
            <w:r>
              <w:t xml:space="preserve">the obligation to </w:t>
            </w:r>
            <w:r w:rsidR="003F0330">
              <w:t>implement</w:t>
            </w:r>
            <w:r w:rsidR="008B05E9">
              <w:t xml:space="preserve"> systems to ensure</w:t>
            </w:r>
            <w:r>
              <w:t xml:space="preserve"> </w:t>
            </w:r>
            <w:r w:rsidR="008B05E9">
              <w:t xml:space="preserve">retail </w:t>
            </w:r>
            <w:r>
              <w:t xml:space="preserve">clients receive </w:t>
            </w:r>
            <w:r w:rsidR="00E82F8A">
              <w:t xml:space="preserve">certain </w:t>
            </w:r>
            <w:r>
              <w:t>additional investor protections; and</w:t>
            </w:r>
          </w:p>
          <w:p w14:paraId="3E0567E0" w14:textId="1FD51170" w:rsidR="00077984" w:rsidRDefault="00077984" w:rsidP="00B96F32">
            <w:pPr>
              <w:pStyle w:val="tabledotpoint"/>
            </w:pPr>
            <w:proofErr w:type="gramStart"/>
            <w:r>
              <w:t>the</w:t>
            </w:r>
            <w:proofErr w:type="gramEnd"/>
            <w:r>
              <w:t xml:space="preserve"> obligations to close or suspend the offer as required, and handle application monies appropriately</w:t>
            </w:r>
            <w:r w:rsidR="0004659E">
              <w:t>.</w:t>
            </w:r>
          </w:p>
        </w:tc>
        <w:tc>
          <w:tcPr>
            <w:tcW w:w="3276" w:type="dxa"/>
          </w:tcPr>
          <w:p w14:paraId="706EDD08" w14:textId="6DB843EE" w:rsidR="00077984" w:rsidRDefault="005643A2" w:rsidP="009E620A">
            <w:pPr>
              <w:pStyle w:val="tabletext"/>
              <w:rPr>
                <w:lang w:val="en-US" w:eastAsia="en-US"/>
              </w:rPr>
            </w:pPr>
            <w:r>
              <w:rPr>
                <w:lang w:val="en-US" w:eastAsia="en-US"/>
              </w:rPr>
              <w:t>No equivalent.</w:t>
            </w:r>
          </w:p>
        </w:tc>
      </w:tr>
    </w:tbl>
    <w:p w14:paraId="0783F7FA" w14:textId="77777777" w:rsidR="00E27590" w:rsidRPr="00F63766" w:rsidRDefault="00E27590" w:rsidP="00B676BE">
      <w:pPr>
        <w:pStyle w:val="Heading2"/>
      </w:pPr>
      <w:r w:rsidRPr="00F63766">
        <w:t>Detailed explanation of new law</w:t>
      </w:r>
    </w:p>
    <w:p w14:paraId="6CCCD509" w14:textId="3FFAA64B" w:rsidR="00E27590" w:rsidRPr="00F63766" w:rsidRDefault="00E27590" w:rsidP="00030F1B">
      <w:pPr>
        <w:pStyle w:val="Heading3"/>
      </w:pPr>
      <w:r w:rsidRPr="00F63766">
        <w:t xml:space="preserve">Overview </w:t>
      </w:r>
      <w:r w:rsidR="00E278A1">
        <w:t xml:space="preserve">— </w:t>
      </w:r>
      <w:r w:rsidRPr="00F63766">
        <w:t xml:space="preserve">the role </w:t>
      </w:r>
      <w:r w:rsidR="00890FCC" w:rsidRPr="00F63766">
        <w:t xml:space="preserve">and obligations </w:t>
      </w:r>
      <w:r w:rsidRPr="00F63766">
        <w:t>of an intermediary</w:t>
      </w:r>
    </w:p>
    <w:p w14:paraId="1146EF2F" w14:textId="7AE766B5" w:rsidR="002E65FA" w:rsidRPr="00F63766" w:rsidRDefault="00E27590" w:rsidP="005F5526">
      <w:pPr>
        <w:pStyle w:val="base-text-paragraph"/>
      </w:pPr>
      <w:r w:rsidRPr="00F63766">
        <w:t xml:space="preserve">The </w:t>
      </w:r>
      <w:r w:rsidR="00B65F7C" w:rsidRPr="00F63766">
        <w:t xml:space="preserve">amendments define the role of the </w:t>
      </w:r>
      <w:r w:rsidR="00AC1752" w:rsidRPr="00F63766">
        <w:t xml:space="preserve">CSF </w:t>
      </w:r>
      <w:r w:rsidRPr="00F63766">
        <w:t>intermediary</w:t>
      </w:r>
      <w:r w:rsidR="00C53D79">
        <w:t>,</w:t>
      </w:r>
      <w:r w:rsidR="00B65F7C" w:rsidRPr="00F63766">
        <w:t xml:space="preserve"> </w:t>
      </w:r>
      <w:r w:rsidR="00890FCC" w:rsidRPr="00F63766">
        <w:t xml:space="preserve">the </w:t>
      </w:r>
      <w:r w:rsidR="00B65F7C" w:rsidRPr="00F63766">
        <w:t xml:space="preserve">licensing requirements </w:t>
      </w:r>
      <w:r w:rsidR="00C53D79">
        <w:t xml:space="preserve">for </w:t>
      </w:r>
      <w:r w:rsidR="008058BE">
        <w:t>an</w:t>
      </w:r>
      <w:r w:rsidR="00C53D79">
        <w:t xml:space="preserve"> intermediary and the various </w:t>
      </w:r>
      <w:r w:rsidR="00B65F7C" w:rsidRPr="00F63766">
        <w:t>obligations</w:t>
      </w:r>
      <w:r w:rsidR="00890FCC" w:rsidRPr="00F63766">
        <w:t xml:space="preserve"> </w:t>
      </w:r>
      <w:r w:rsidR="00D3202F">
        <w:t xml:space="preserve">with which </w:t>
      </w:r>
      <w:r w:rsidR="00C53D79">
        <w:t>the intermediary must comply</w:t>
      </w:r>
      <w:r w:rsidR="002E65FA" w:rsidRPr="00F63766">
        <w:t xml:space="preserve">. </w:t>
      </w:r>
      <w:r w:rsidR="00890FCC" w:rsidRPr="00F63766">
        <w:t>The amendments are explained in detail below.</w:t>
      </w:r>
      <w:r w:rsidR="002E65FA" w:rsidRPr="00F63766">
        <w:t xml:space="preserve"> </w:t>
      </w:r>
    </w:p>
    <w:p w14:paraId="35C93D21" w14:textId="40CB648D" w:rsidR="00030F1B" w:rsidRPr="00F63766" w:rsidRDefault="00030F1B" w:rsidP="00030F1B">
      <w:pPr>
        <w:pStyle w:val="Heading3"/>
      </w:pPr>
      <w:r w:rsidRPr="00F63766">
        <w:t xml:space="preserve">The CSF intermediary </w:t>
      </w:r>
      <w:r w:rsidR="00890FCC" w:rsidRPr="00F63766">
        <w:t xml:space="preserve">must </w:t>
      </w:r>
      <w:r w:rsidR="00433D9A" w:rsidRPr="00F63766">
        <w:t>be licensed</w:t>
      </w:r>
    </w:p>
    <w:p w14:paraId="380330A5" w14:textId="65F16D51" w:rsidR="0017562D" w:rsidRDefault="00CB5108" w:rsidP="005F5526">
      <w:pPr>
        <w:pStyle w:val="base-text-paragraph"/>
      </w:pPr>
      <w:r>
        <w:t>The Bill creates a new type of financial service: a cr</w:t>
      </w:r>
      <w:r w:rsidR="00A96593">
        <w:t>owd</w:t>
      </w:r>
      <w:r w:rsidR="00A96593">
        <w:noBreakHyphen/>
        <w:t xml:space="preserve">funding service. </w:t>
      </w:r>
      <w:r w:rsidR="00FF5B20">
        <w:t xml:space="preserve">A person that intends to provide a crowd-funding service must hold an AFSL that expressly authorises the provision of a crowd-funding service </w:t>
      </w:r>
      <w:r w:rsidR="00FF5B20">
        <w:rPr>
          <w:b/>
          <w:bCs/>
          <w:i/>
          <w:iCs/>
          <w:sz w:val="18"/>
          <w:szCs w:val="18"/>
        </w:rPr>
        <w:t>[Schedule 1, Part 1, items 14 and 25, section 738C and paragraph </w:t>
      </w:r>
      <w:proofErr w:type="gramStart"/>
      <w:r w:rsidR="00FF5B20">
        <w:rPr>
          <w:b/>
          <w:bCs/>
          <w:i/>
          <w:iCs/>
          <w:sz w:val="18"/>
          <w:szCs w:val="18"/>
        </w:rPr>
        <w:t>766A(</w:t>
      </w:r>
      <w:proofErr w:type="gramEnd"/>
      <w:r w:rsidR="00FF5B20">
        <w:rPr>
          <w:b/>
          <w:bCs/>
          <w:i/>
          <w:iCs/>
          <w:sz w:val="18"/>
          <w:szCs w:val="18"/>
        </w:rPr>
        <w:t>1)(</w:t>
      </w:r>
      <w:proofErr w:type="spellStart"/>
      <w:r w:rsidR="00FF5B20">
        <w:rPr>
          <w:b/>
          <w:bCs/>
          <w:i/>
          <w:iCs/>
          <w:sz w:val="18"/>
          <w:szCs w:val="18"/>
        </w:rPr>
        <w:t>ea</w:t>
      </w:r>
      <w:proofErr w:type="spellEnd"/>
      <w:r w:rsidR="00FF5B20">
        <w:rPr>
          <w:b/>
          <w:bCs/>
          <w:i/>
          <w:iCs/>
          <w:sz w:val="18"/>
          <w:szCs w:val="18"/>
        </w:rPr>
        <w:t>)]</w:t>
      </w:r>
      <w:r w:rsidR="00CD2DE8">
        <w:rPr>
          <w:b/>
          <w:bCs/>
          <w:i/>
          <w:iCs/>
          <w:sz w:val="18"/>
          <w:szCs w:val="18"/>
        </w:rPr>
        <w:t>.</w:t>
      </w:r>
      <w:r w:rsidR="00FF5B20">
        <w:t xml:space="preserve"> Depending on the nature of the activities carried out by the person, they could also be considered to be operating a financial market and therefore be required to hold an Australian Market Licence (AML).</w:t>
      </w:r>
    </w:p>
    <w:p w14:paraId="70B2AD65" w14:textId="3A394FDA" w:rsidR="00F762FB" w:rsidRDefault="00FF5B20" w:rsidP="00B96F32">
      <w:pPr>
        <w:pStyle w:val="base-text-paragraph"/>
      </w:pPr>
      <w:r w:rsidRPr="002215D8">
        <w:t>The policy intent is that the provision of the crowd funding service should be subject to the obligations and protections, particularly as they apply to retail clients</w:t>
      </w:r>
      <w:r w:rsidR="00D51761">
        <w:t>,</w:t>
      </w:r>
      <w:r w:rsidRPr="002215D8">
        <w:t xml:space="preserve"> of the AFSL regime (refer to paragraphs</w:t>
      </w:r>
      <w:r w:rsidR="00CD2DE8" w:rsidRPr="002215D8">
        <w:t> 3</w:t>
      </w:r>
      <w:r w:rsidRPr="002215D8">
        <w:t>.</w:t>
      </w:r>
      <w:r w:rsidR="00CD2DE8" w:rsidRPr="002215D8">
        <w:t>17</w:t>
      </w:r>
      <w:r w:rsidRPr="002215D8">
        <w:t xml:space="preserve"> to </w:t>
      </w:r>
      <w:r w:rsidR="00CD2DE8" w:rsidRPr="002215D8">
        <w:t>3</w:t>
      </w:r>
      <w:r w:rsidRPr="002215D8">
        <w:t>.</w:t>
      </w:r>
      <w:r w:rsidR="00CD2DE8" w:rsidRPr="00F31466">
        <w:t>18</w:t>
      </w:r>
      <w:r w:rsidRPr="002215D8">
        <w:t>).  Therefore, a person that holds an AML would not satisfy the definition of CSF intermediary unless they also h</w:t>
      </w:r>
      <w:r w:rsidR="00CD2EC6" w:rsidRPr="00F31466">
        <w:t>e</w:t>
      </w:r>
      <w:r w:rsidRPr="002215D8">
        <w:t>ld an AFSL that expressly authorise</w:t>
      </w:r>
      <w:r w:rsidR="00CD2EC6" w:rsidRPr="00F31466">
        <w:t>d</w:t>
      </w:r>
      <w:r w:rsidRPr="002215D8">
        <w:t xml:space="preserve"> the provision of the crowd-funding service.  This means that a person that holds an AML cannot rely on the exemption in </w:t>
      </w:r>
      <w:r w:rsidR="00E15047">
        <w:t xml:space="preserve">paragraph </w:t>
      </w:r>
      <w:proofErr w:type="gramStart"/>
      <w:r w:rsidRPr="002215D8">
        <w:t>911A(</w:t>
      </w:r>
      <w:proofErr w:type="gramEnd"/>
      <w:r w:rsidRPr="002215D8">
        <w:t>2)(d) for incidental financial services to provide a crowd</w:t>
      </w:r>
      <w:r w:rsidR="00A05A3B">
        <w:noBreakHyphen/>
      </w:r>
      <w:r w:rsidRPr="002215D8">
        <w:t>funding service (as they would not satisfy the definition of CSF intermediary).</w:t>
      </w:r>
      <w:r>
        <w:t xml:space="preserve"> </w:t>
      </w:r>
      <w:r w:rsidR="00A05A3B">
        <w:t>Under the CSF regime, a</w:t>
      </w:r>
      <w:r w:rsidRPr="002215D8">
        <w:t xml:space="preserve"> CSF offer can only be made by publishing a CSF offer document on a platform of a CSF intermediary</w:t>
      </w:r>
      <w:r>
        <w:rPr>
          <w:sz w:val="20"/>
        </w:rPr>
        <w:t xml:space="preserve"> </w:t>
      </w:r>
      <w:r w:rsidRPr="002215D8">
        <w:rPr>
          <w:b/>
          <w:bCs/>
          <w:i/>
          <w:iCs/>
          <w:sz w:val="18"/>
          <w:szCs w:val="18"/>
        </w:rPr>
        <w:t>[Schedule 1, Part 1, item 14, section 738L]</w:t>
      </w:r>
      <w:r w:rsidR="00A05A3B">
        <w:rPr>
          <w:b/>
          <w:bCs/>
          <w:i/>
          <w:iCs/>
          <w:sz w:val="18"/>
          <w:szCs w:val="18"/>
        </w:rPr>
        <w:t>.</w:t>
      </w:r>
      <w:r w:rsidR="00EE03FE" w:rsidRPr="002215D8">
        <w:rPr>
          <w:b/>
          <w:bCs/>
          <w:i/>
          <w:iCs/>
          <w:sz w:val="18"/>
          <w:szCs w:val="18"/>
        </w:rPr>
        <w:t xml:space="preserve">  </w:t>
      </w:r>
    </w:p>
    <w:p w14:paraId="581005E2" w14:textId="54A3C64C" w:rsidR="0034767F" w:rsidRPr="00F63766" w:rsidRDefault="00EE03FE" w:rsidP="005F5526">
      <w:pPr>
        <w:pStyle w:val="base-text-paragraph"/>
      </w:pPr>
      <w:r>
        <w:t>T</w:t>
      </w:r>
      <w:r w:rsidR="00960EB6" w:rsidRPr="00F63766">
        <w:t xml:space="preserve">he Minister </w:t>
      </w:r>
      <w:r w:rsidR="00A2727D" w:rsidRPr="00F63766">
        <w:t xml:space="preserve">has </w:t>
      </w:r>
      <w:r>
        <w:t>a power under</w:t>
      </w:r>
      <w:r w:rsidR="00E47E72" w:rsidRPr="00F63766">
        <w:t xml:space="preserve"> section 791C</w:t>
      </w:r>
      <w:r w:rsidR="00421F1D">
        <w:t xml:space="preserve"> </w:t>
      </w:r>
      <w:r w:rsidR="00F762FB">
        <w:t>th</w:t>
      </w:r>
      <w:r w:rsidR="00FF5B20">
        <w:t>at</w:t>
      </w:r>
      <w:r w:rsidR="00F762FB">
        <w:t xml:space="preserve"> can be used to</w:t>
      </w:r>
      <w:r>
        <w:t xml:space="preserve"> exempt </w:t>
      </w:r>
      <w:r w:rsidR="00484D0D">
        <w:t xml:space="preserve">operators from the obligation to hold </w:t>
      </w:r>
      <w:r w:rsidR="00A96593">
        <w:t xml:space="preserve">an AML. </w:t>
      </w:r>
      <w:r>
        <w:t xml:space="preserve">Schedule 3 to the Bill </w:t>
      </w:r>
      <w:r w:rsidR="003D21AD" w:rsidRPr="00F63766">
        <w:t>provide</w:t>
      </w:r>
      <w:r w:rsidR="00E86A44">
        <w:t>s</w:t>
      </w:r>
      <w:r w:rsidR="003D21AD" w:rsidRPr="00F63766">
        <w:t xml:space="preserve"> the Minister with additional exemption powers </w:t>
      </w:r>
      <w:r>
        <w:t xml:space="preserve">that can be used to </w:t>
      </w:r>
      <w:r w:rsidR="003D21AD">
        <w:t xml:space="preserve">exempt </w:t>
      </w:r>
      <w:r w:rsidR="00484D0D">
        <w:t>certain</w:t>
      </w:r>
      <w:r w:rsidR="00484D0D" w:rsidRPr="00F63766">
        <w:t xml:space="preserve"> </w:t>
      </w:r>
      <w:r w:rsidR="00515AFE">
        <w:t>financial</w:t>
      </w:r>
      <w:r w:rsidR="00484D0D" w:rsidRPr="00F63766">
        <w:t xml:space="preserve"> market operators from specified</w:t>
      </w:r>
      <w:r w:rsidR="00B757BC">
        <w:t xml:space="preserve"> AML</w:t>
      </w:r>
      <w:r w:rsidR="00484D0D" w:rsidRPr="00F63766">
        <w:t xml:space="preserve"> obligations</w:t>
      </w:r>
      <w:r w:rsidR="002714B0">
        <w:t xml:space="preserve">, allowing the </w:t>
      </w:r>
      <w:r w:rsidR="00484D0D" w:rsidRPr="00F63766">
        <w:t xml:space="preserve">AML regime </w:t>
      </w:r>
      <w:r w:rsidR="00484D0D">
        <w:t xml:space="preserve">to be </w:t>
      </w:r>
      <w:r w:rsidR="00484D0D" w:rsidRPr="00F63766">
        <w:t>tailored to</w:t>
      </w:r>
      <w:r w:rsidR="00484D0D">
        <w:t xml:space="preserve"> particular markets</w:t>
      </w:r>
      <w:r w:rsidR="00515AFE">
        <w:t xml:space="preserve">, which could include intermediaries operating </w:t>
      </w:r>
      <w:r w:rsidR="002940B6">
        <w:t>crowd-funding</w:t>
      </w:r>
      <w:r w:rsidR="00515AFE">
        <w:t xml:space="preserve"> services</w:t>
      </w:r>
      <w:r w:rsidR="00484D0D">
        <w:t xml:space="preserve">. </w:t>
      </w:r>
    </w:p>
    <w:p w14:paraId="634032C9" w14:textId="77777777" w:rsidR="002215D8" w:rsidRDefault="002215D8">
      <w:pPr>
        <w:spacing w:before="0" w:after="0"/>
        <w:rPr>
          <w:rFonts w:ascii="Helvetica" w:hAnsi="Helvetica"/>
          <w:b/>
        </w:rPr>
      </w:pPr>
      <w:r>
        <w:br w:type="page"/>
      </w:r>
    </w:p>
    <w:p w14:paraId="6B49FD64" w14:textId="6225E7F3" w:rsidR="00853383" w:rsidRPr="00F63766" w:rsidRDefault="0017562D" w:rsidP="00853383">
      <w:pPr>
        <w:pStyle w:val="Heading3"/>
      </w:pPr>
      <w:r>
        <w:t xml:space="preserve">Meaning of </w:t>
      </w:r>
      <w:r w:rsidR="002940B6">
        <w:t>crowd-funding</w:t>
      </w:r>
      <w:r>
        <w:t xml:space="preserve"> service</w:t>
      </w:r>
    </w:p>
    <w:p w14:paraId="234CF091" w14:textId="07DADAF7" w:rsidR="00E27590" w:rsidRPr="00F63766" w:rsidRDefault="00E9355A" w:rsidP="00E27590">
      <w:pPr>
        <w:pStyle w:val="base-text-paragraph"/>
        <w:numPr>
          <w:ilvl w:val="1"/>
          <w:numId w:val="33"/>
        </w:numPr>
      </w:pPr>
      <w:r w:rsidRPr="00F63766">
        <w:t>A</w:t>
      </w:r>
      <w:r w:rsidR="00E27590" w:rsidRPr="00F63766">
        <w:t xml:space="preserve"> person</w:t>
      </w:r>
      <w:r w:rsidR="006C527F" w:rsidRPr="00F63766">
        <w:t xml:space="preserve"> will </w:t>
      </w:r>
      <w:r w:rsidR="00E27590" w:rsidRPr="00F63766">
        <w:t xml:space="preserve">provide a </w:t>
      </w:r>
      <w:r w:rsidR="002940B6">
        <w:t>crowd-funding</w:t>
      </w:r>
      <w:r w:rsidR="00E27590" w:rsidRPr="00F63766">
        <w:t xml:space="preserve"> service if:</w:t>
      </w:r>
    </w:p>
    <w:p w14:paraId="59B5A5DE" w14:textId="53595CC3" w:rsidR="00E27590" w:rsidRPr="00F63766" w:rsidRDefault="00A1465F" w:rsidP="00E27590">
      <w:pPr>
        <w:pStyle w:val="dotpoint"/>
      </w:pPr>
      <w:r w:rsidRPr="00F63766">
        <w:t>a CSF offer document for a CSF offer of securities of a company is published on a platform operated by the person</w:t>
      </w:r>
      <w:r w:rsidR="00E27590" w:rsidRPr="00F63766">
        <w:t>; and</w:t>
      </w:r>
    </w:p>
    <w:p w14:paraId="28A92285" w14:textId="60DA372E" w:rsidR="00E27590" w:rsidRPr="00F63766" w:rsidRDefault="00A1465F" w:rsidP="00E27590">
      <w:pPr>
        <w:pStyle w:val="dotpoint"/>
      </w:pPr>
      <w:proofErr w:type="gramStart"/>
      <w:r w:rsidRPr="00F63766">
        <w:t>applications</w:t>
      </w:r>
      <w:proofErr w:type="gramEnd"/>
      <w:r w:rsidRPr="00F63766">
        <w:t xml:space="preserve"> may be made to the person for the issue</w:t>
      </w:r>
      <w:r w:rsidR="003B5F8D">
        <w:t>, by the company,</w:t>
      </w:r>
      <w:r w:rsidRPr="00F63766">
        <w:t xml:space="preserve"> of securities pursuant to the offer</w:t>
      </w:r>
      <w:r w:rsidR="00046A1B" w:rsidRPr="00F63766">
        <w:t>.</w:t>
      </w:r>
      <w:r w:rsidRPr="00F63766">
        <w:t xml:space="preserve"> </w:t>
      </w:r>
      <w:r w:rsidR="00E27590" w:rsidRPr="00F63766">
        <w:rPr>
          <w:b/>
          <w:i/>
          <w:sz w:val="18"/>
        </w:rPr>
        <w:t>[Schedule 1, Part 1, item</w:t>
      </w:r>
      <w:r w:rsidR="00A9673A">
        <w:rPr>
          <w:b/>
          <w:i/>
          <w:sz w:val="18"/>
        </w:rPr>
        <w:t>s 22 and</w:t>
      </w:r>
      <w:r w:rsidR="00E27590" w:rsidRPr="00F63766">
        <w:rPr>
          <w:b/>
          <w:i/>
          <w:sz w:val="18"/>
        </w:rPr>
        <w:t xml:space="preserve"> 27, </w:t>
      </w:r>
      <w:r w:rsidR="00A9673A">
        <w:rPr>
          <w:b/>
          <w:i/>
          <w:sz w:val="18"/>
        </w:rPr>
        <w:t xml:space="preserve">section 761A and </w:t>
      </w:r>
      <w:r w:rsidR="00E27590" w:rsidRPr="00F63766">
        <w:rPr>
          <w:b/>
          <w:i/>
          <w:sz w:val="18"/>
        </w:rPr>
        <w:t>subsection 766F(1)]</w:t>
      </w:r>
      <w:r w:rsidR="00E27590" w:rsidRPr="00F63766">
        <w:t xml:space="preserve"> </w:t>
      </w:r>
    </w:p>
    <w:p w14:paraId="38465FD0" w14:textId="71E16D5C" w:rsidR="00920CDE" w:rsidRPr="00F63766" w:rsidRDefault="00E27B8E" w:rsidP="005F5526">
      <w:pPr>
        <w:pStyle w:val="base-text-paragraph"/>
      </w:pPr>
      <w:r w:rsidRPr="00F63766">
        <w:t>A</w:t>
      </w:r>
      <w:r w:rsidR="00CE2FC9" w:rsidRPr="00F63766">
        <w:t xml:space="preserve"> </w:t>
      </w:r>
      <w:r w:rsidR="002940B6">
        <w:t>crowd-funding</w:t>
      </w:r>
      <w:r w:rsidR="00CE2FC9" w:rsidRPr="00F63766">
        <w:t xml:space="preserve"> service</w:t>
      </w:r>
      <w:r w:rsidR="00783CCF">
        <w:t xml:space="preserve"> is also taken to include</w:t>
      </w:r>
      <w:r w:rsidR="00650E8F">
        <w:t xml:space="preserve"> performing</w:t>
      </w:r>
      <w:r w:rsidR="0093212F" w:rsidRPr="00F63766">
        <w:t xml:space="preserve"> all aspects of the role of </w:t>
      </w:r>
      <w:r w:rsidR="00E36FC1" w:rsidRPr="00F63766">
        <w:t xml:space="preserve">CSF intermediary </w:t>
      </w:r>
      <w:r w:rsidR="0093212F" w:rsidRPr="00F63766">
        <w:t>as</w:t>
      </w:r>
      <w:r w:rsidR="00E36FC1" w:rsidRPr="00F63766">
        <w:t xml:space="preserve"> required under </w:t>
      </w:r>
      <w:r w:rsidR="000805AA">
        <w:t>the CSF regime</w:t>
      </w:r>
      <w:r w:rsidR="0093212F" w:rsidRPr="00F63766">
        <w:t xml:space="preserve"> </w:t>
      </w:r>
      <w:r w:rsidR="0093212F" w:rsidRPr="00F63766">
        <w:rPr>
          <w:b/>
          <w:i/>
          <w:sz w:val="18"/>
        </w:rPr>
        <w:t>[Schedule 1, Part 1, item</w:t>
      </w:r>
      <w:proofErr w:type="gramStart"/>
      <w:r w:rsidR="0093212F" w:rsidRPr="00F63766">
        <w:rPr>
          <w:b/>
          <w:i/>
          <w:sz w:val="18"/>
        </w:rPr>
        <w:t>  27</w:t>
      </w:r>
      <w:proofErr w:type="gramEnd"/>
      <w:r w:rsidR="0093212F" w:rsidRPr="00F63766">
        <w:rPr>
          <w:b/>
          <w:i/>
          <w:sz w:val="18"/>
        </w:rPr>
        <w:t>, subsection 766F(2)]</w:t>
      </w:r>
      <w:r w:rsidR="00A96593">
        <w:t xml:space="preserve">. </w:t>
      </w:r>
      <w:r w:rsidR="00E8615D" w:rsidRPr="00F63766">
        <w:t>This means</w:t>
      </w:r>
      <w:r w:rsidR="004C742F" w:rsidRPr="00F63766">
        <w:t>, for example, that</w:t>
      </w:r>
      <w:r w:rsidR="00E8615D" w:rsidRPr="00F63766">
        <w:t xml:space="preserve"> a CSF intermediary will be taken to provide a </w:t>
      </w:r>
      <w:r w:rsidR="002940B6">
        <w:t>crowd-funding</w:t>
      </w:r>
      <w:r w:rsidR="00E8615D" w:rsidRPr="00F63766">
        <w:t xml:space="preserve"> </w:t>
      </w:r>
      <w:r w:rsidR="00C4364F" w:rsidRPr="00F63766">
        <w:t>service</w:t>
      </w:r>
      <w:r w:rsidR="00E8615D" w:rsidRPr="00F63766">
        <w:t xml:space="preserve"> where it </w:t>
      </w:r>
      <w:r w:rsidR="003660AD" w:rsidRPr="00F63766">
        <w:t xml:space="preserve">performs </w:t>
      </w:r>
      <w:r w:rsidR="008108B2" w:rsidRPr="00F63766">
        <w:t xml:space="preserve">its </w:t>
      </w:r>
      <w:r w:rsidR="000D5101">
        <w:t>gatekeeper</w:t>
      </w:r>
      <w:r w:rsidR="00E8615D" w:rsidRPr="00F63766">
        <w:t xml:space="preserve"> </w:t>
      </w:r>
      <w:proofErr w:type="gramStart"/>
      <w:r w:rsidR="008108B2" w:rsidRPr="00F63766">
        <w:t>obligations</w:t>
      </w:r>
      <w:r w:rsidR="00E8615D" w:rsidRPr="00F63766">
        <w:t>,</w:t>
      </w:r>
      <w:proofErr w:type="gramEnd"/>
      <w:r w:rsidR="00E8615D" w:rsidRPr="00F63766">
        <w:t xml:space="preserve"> hold</w:t>
      </w:r>
      <w:r w:rsidR="00BE0378" w:rsidRPr="00F63766">
        <w:t>s</w:t>
      </w:r>
      <w:r w:rsidR="00E8615D" w:rsidRPr="00F63766">
        <w:t xml:space="preserve"> application money on trust and operat</w:t>
      </w:r>
      <w:r w:rsidR="00BE0378" w:rsidRPr="00F63766">
        <w:t xml:space="preserve">es </w:t>
      </w:r>
      <w:r w:rsidR="00E8615D" w:rsidRPr="00F63766">
        <w:t xml:space="preserve">the communication facility.  </w:t>
      </w:r>
    </w:p>
    <w:p w14:paraId="52DF4A6F" w14:textId="75C88C27" w:rsidR="00CE2FC9" w:rsidRPr="00F63766" w:rsidRDefault="00E8615D" w:rsidP="005F5526">
      <w:pPr>
        <w:pStyle w:val="base-text-paragraph"/>
      </w:pPr>
      <w:r w:rsidRPr="00F63766">
        <w:t xml:space="preserve">Deeming such activities to be </w:t>
      </w:r>
      <w:r w:rsidR="00920CDE" w:rsidRPr="00F63766">
        <w:t xml:space="preserve">part of the </w:t>
      </w:r>
      <w:r w:rsidR="002940B6">
        <w:t>crowd-funding</w:t>
      </w:r>
      <w:r w:rsidRPr="00F63766">
        <w:t xml:space="preserve"> </w:t>
      </w:r>
      <w:r w:rsidR="001D3973">
        <w:t xml:space="preserve">service </w:t>
      </w:r>
      <w:r w:rsidRPr="00F63766">
        <w:t>means that the general obligations in section 912A (</w:t>
      </w:r>
      <w:r w:rsidR="00F242EA" w:rsidRPr="00F63766">
        <w:t>such as that</w:t>
      </w:r>
      <w:r w:rsidRPr="00F63766">
        <w:t xml:space="preserve"> </w:t>
      </w:r>
      <w:r w:rsidR="00AE7E2A" w:rsidRPr="00F63766">
        <w:t xml:space="preserve">the </w:t>
      </w:r>
      <w:r w:rsidRPr="00F63766">
        <w:t xml:space="preserve">financial service must be provided fairly, efficiently and honestly) will apply to </w:t>
      </w:r>
      <w:r w:rsidR="00AE7E2A" w:rsidRPr="00F63766">
        <w:t xml:space="preserve">the CSF intermediary in respect of all activities it performs as part of its role of CSF intermediary. </w:t>
      </w:r>
    </w:p>
    <w:p w14:paraId="7B9E1F3B" w14:textId="34A7576F" w:rsidR="00E27590" w:rsidRPr="00F63766" w:rsidRDefault="008D2294" w:rsidP="005F5526">
      <w:pPr>
        <w:pStyle w:val="base-text-paragraph"/>
      </w:pPr>
      <w:r w:rsidRPr="00F63766">
        <w:t>While there is no explicit carve</w:t>
      </w:r>
      <w:r w:rsidR="00FE2CFE" w:rsidRPr="00F63766">
        <w:t> </w:t>
      </w:r>
      <w:r w:rsidRPr="00F63766">
        <w:t xml:space="preserve">out from the definition of </w:t>
      </w:r>
      <w:r w:rsidR="002940B6">
        <w:t>crowd</w:t>
      </w:r>
      <w:r w:rsidR="005D6EA3">
        <w:noBreakHyphen/>
      </w:r>
      <w:r w:rsidR="002940B6">
        <w:t>funding</w:t>
      </w:r>
      <w:r w:rsidRPr="00F63766">
        <w:t xml:space="preserve"> service applying to a</w:t>
      </w:r>
      <w:r w:rsidR="00875138" w:rsidRPr="00F63766">
        <w:t xml:space="preserve">gents or employees of a </w:t>
      </w:r>
      <w:r w:rsidRPr="00F63766">
        <w:t>CSF</w:t>
      </w:r>
      <w:r w:rsidR="001352CE" w:rsidRPr="00F63766">
        <w:t> </w:t>
      </w:r>
      <w:r w:rsidRPr="00F63766">
        <w:t xml:space="preserve">intermediary, agents and employees will not be required </w:t>
      </w:r>
      <w:r w:rsidR="00875138" w:rsidRPr="00F63766">
        <w:t xml:space="preserve">to </w:t>
      </w:r>
      <w:r w:rsidR="005812BF" w:rsidRPr="00F63766">
        <w:t>obtain</w:t>
      </w:r>
      <w:r w:rsidR="00875138" w:rsidRPr="00F63766">
        <w:t xml:space="preserve"> a separate AFSL </w:t>
      </w:r>
      <w:r w:rsidR="00C646C5" w:rsidRPr="00F63766">
        <w:t xml:space="preserve">as they will come within the scope of </w:t>
      </w:r>
      <w:r w:rsidR="00777E8F" w:rsidRPr="00F63766">
        <w:t>the exemption in paragraph</w:t>
      </w:r>
      <w:r w:rsidR="00875138" w:rsidRPr="00F63766">
        <w:t> 911A(2)</w:t>
      </w:r>
      <w:r w:rsidR="00DD29BF" w:rsidRPr="00F63766">
        <w:t>(a)</w:t>
      </w:r>
      <w:r w:rsidR="00046A1B" w:rsidRPr="00F63766">
        <w:t>.  This paragraph</w:t>
      </w:r>
      <w:r w:rsidR="00DD29BF" w:rsidRPr="00F63766">
        <w:t xml:space="preserve"> provides that a person who provides a financial service as a representative of an AFSL holder whose licence covers the financial service is exempt from the requirement to hold an AFSL in relation to the financial service.  A representative includes</w:t>
      </w:r>
      <w:r w:rsidR="00FA535F" w:rsidRPr="00F63766">
        <w:t>:</w:t>
      </w:r>
      <w:r w:rsidR="00DD29BF" w:rsidRPr="00F63766">
        <w:t xml:space="preserve"> an authorised representative; an employee or director of the licensee; or any other person acting on behalf of the licensee</w:t>
      </w:r>
      <w:r w:rsidR="00121E0A" w:rsidRPr="00F63766">
        <w:t xml:space="preserve"> (paragraph </w:t>
      </w:r>
      <w:proofErr w:type="gramStart"/>
      <w:r w:rsidR="00121E0A" w:rsidRPr="00F63766">
        <w:t>910A(</w:t>
      </w:r>
      <w:proofErr w:type="gramEnd"/>
      <w:r w:rsidR="00121E0A" w:rsidRPr="00F63766">
        <w:t>a))</w:t>
      </w:r>
      <w:r w:rsidR="00DD29BF" w:rsidRPr="00F63766">
        <w:t xml:space="preserve">. </w:t>
      </w:r>
    </w:p>
    <w:p w14:paraId="618D8CFE" w14:textId="5516C9DF" w:rsidR="00C267FD" w:rsidRPr="00F63766" w:rsidRDefault="00C267FD" w:rsidP="00C267FD">
      <w:pPr>
        <w:pStyle w:val="Heading4"/>
      </w:pPr>
      <w:r w:rsidRPr="00F63766">
        <w:t xml:space="preserve">When and to whom is a </w:t>
      </w:r>
      <w:r w:rsidR="002940B6">
        <w:t>crowd-funding</w:t>
      </w:r>
      <w:r w:rsidRPr="00F63766">
        <w:t xml:space="preserve"> service provided</w:t>
      </w:r>
    </w:p>
    <w:p w14:paraId="08210855" w14:textId="7484BD86" w:rsidR="00C267FD" w:rsidRPr="00F63766" w:rsidRDefault="00020B5B" w:rsidP="00C267FD">
      <w:pPr>
        <w:pStyle w:val="base-text-paragraph"/>
      </w:pPr>
      <w:r w:rsidRPr="00F63766">
        <w:t>The</w:t>
      </w:r>
      <w:r w:rsidR="00A417EC" w:rsidRPr="00F63766">
        <w:t xml:space="preserve"> Bill makes it clear that the</w:t>
      </w:r>
      <w:r w:rsidRPr="00F63766">
        <w:t xml:space="preserve"> </w:t>
      </w:r>
      <w:r w:rsidR="002940B6">
        <w:t>crowd-funding</w:t>
      </w:r>
      <w:r w:rsidRPr="00F63766">
        <w:t xml:space="preserve"> service is provided to both </w:t>
      </w:r>
      <w:r w:rsidR="00030A30">
        <w:t>the</w:t>
      </w:r>
      <w:r w:rsidR="00554D17" w:rsidRPr="00F63766">
        <w:t xml:space="preserve"> person</w:t>
      </w:r>
      <w:r w:rsidRPr="00F63766">
        <w:t xml:space="preserve"> seeking to apply for </w:t>
      </w:r>
      <w:r w:rsidR="00FB7F7E">
        <w:t>the</w:t>
      </w:r>
      <w:r w:rsidRPr="00F63766">
        <w:t xml:space="preserve"> CSF </w:t>
      </w:r>
      <w:r w:rsidR="00FB7F7E">
        <w:t xml:space="preserve">securities </w:t>
      </w:r>
      <w:r w:rsidRPr="00F63766">
        <w:t>and the company making the CSF offer.</w:t>
      </w:r>
      <w:r w:rsidR="00A64430" w:rsidRPr="00F63766">
        <w:t xml:space="preserve"> </w:t>
      </w:r>
      <w:r w:rsidR="00A64430" w:rsidRPr="00F63766">
        <w:rPr>
          <w:b/>
          <w:i/>
          <w:sz w:val="18"/>
        </w:rPr>
        <w:t>[Schedule 1, Part 1, item  27, subsection</w:t>
      </w:r>
      <w:r w:rsidR="00415490" w:rsidRPr="00F63766">
        <w:rPr>
          <w:b/>
          <w:i/>
          <w:sz w:val="18"/>
        </w:rPr>
        <w:t>s</w:t>
      </w:r>
      <w:r w:rsidR="00A64430" w:rsidRPr="00F63766">
        <w:rPr>
          <w:b/>
          <w:i/>
          <w:sz w:val="18"/>
        </w:rPr>
        <w:t> 766F(</w:t>
      </w:r>
      <w:r w:rsidR="00415490" w:rsidRPr="00F63766">
        <w:rPr>
          <w:b/>
          <w:i/>
          <w:sz w:val="18"/>
        </w:rPr>
        <w:t>3</w:t>
      </w:r>
      <w:r w:rsidR="00A64430" w:rsidRPr="00F63766">
        <w:rPr>
          <w:b/>
          <w:i/>
          <w:sz w:val="18"/>
        </w:rPr>
        <w:t>)</w:t>
      </w:r>
      <w:r w:rsidR="00415490" w:rsidRPr="00F63766">
        <w:rPr>
          <w:b/>
          <w:i/>
          <w:sz w:val="18"/>
        </w:rPr>
        <w:t xml:space="preserve"> and (4)</w:t>
      </w:r>
      <w:r w:rsidR="00A64430" w:rsidRPr="00F63766">
        <w:rPr>
          <w:b/>
          <w:i/>
          <w:sz w:val="18"/>
        </w:rPr>
        <w:t>]</w:t>
      </w:r>
      <w:r w:rsidRPr="00F63766">
        <w:t xml:space="preserve"> </w:t>
      </w:r>
    </w:p>
    <w:p w14:paraId="0239115A" w14:textId="77777777" w:rsidR="002215D8" w:rsidRDefault="002215D8" w:rsidP="002215D8">
      <w:pPr>
        <w:pStyle w:val="base-text-paragraph"/>
        <w:numPr>
          <w:ilvl w:val="0"/>
          <w:numId w:val="0"/>
        </w:numPr>
        <w:ind w:left="1134"/>
      </w:pPr>
    </w:p>
    <w:p w14:paraId="633533A3" w14:textId="77777777" w:rsidR="002215D8" w:rsidRDefault="002215D8">
      <w:pPr>
        <w:spacing w:before="0" w:after="0"/>
      </w:pPr>
      <w:r>
        <w:br w:type="page"/>
      </w:r>
    </w:p>
    <w:p w14:paraId="1307FA6B" w14:textId="625B4A10" w:rsidR="00935B8A" w:rsidRPr="00935B8A" w:rsidRDefault="00595428" w:rsidP="00C267FD">
      <w:pPr>
        <w:pStyle w:val="base-text-paragraph"/>
      </w:pPr>
      <w:r w:rsidRPr="00F63766">
        <w:t xml:space="preserve">In the case of a person seeking to apply for CSF </w:t>
      </w:r>
      <w:r w:rsidR="009720FE">
        <w:t>securities</w:t>
      </w:r>
      <w:r w:rsidRPr="00F63766">
        <w:t>, t</w:t>
      </w:r>
      <w:r w:rsidR="00F549EB" w:rsidRPr="00F63766">
        <w:t xml:space="preserve">he </w:t>
      </w:r>
      <w:r w:rsidR="002940B6">
        <w:t>crowd-funding</w:t>
      </w:r>
      <w:r w:rsidR="00F549EB" w:rsidRPr="00F63766">
        <w:t xml:space="preserve"> service is provided at the time when the person first uses the application facility to apply for an offer </w:t>
      </w:r>
      <w:r w:rsidR="00F549EB" w:rsidRPr="00F63766">
        <w:rPr>
          <w:b/>
          <w:i/>
          <w:sz w:val="18"/>
        </w:rPr>
        <w:t>[Schedule 1, Part 1, item</w:t>
      </w:r>
      <w:proofErr w:type="gramStart"/>
      <w:r w:rsidR="00F549EB" w:rsidRPr="00F63766">
        <w:rPr>
          <w:b/>
          <w:i/>
          <w:sz w:val="18"/>
        </w:rPr>
        <w:t>  27</w:t>
      </w:r>
      <w:proofErr w:type="gramEnd"/>
      <w:r w:rsidR="00F549EB" w:rsidRPr="00F63766">
        <w:rPr>
          <w:b/>
          <w:i/>
          <w:sz w:val="18"/>
        </w:rPr>
        <w:t>, subsection 766F(3)]</w:t>
      </w:r>
      <w:r w:rsidR="00A96593">
        <w:t xml:space="preserve">. </w:t>
      </w:r>
      <w:r w:rsidR="0050588C">
        <w:t xml:space="preserve">In the case of an issuer company, the </w:t>
      </w:r>
      <w:r w:rsidR="002940B6">
        <w:t>crowd-funding</w:t>
      </w:r>
      <w:r w:rsidR="0050588C">
        <w:t xml:space="preserve"> service will be provided at the time the company enters into the hosting </w:t>
      </w:r>
      <w:r w:rsidR="00CE1218">
        <w:t xml:space="preserve">arrangement </w:t>
      </w:r>
      <w:r w:rsidR="0050588C">
        <w:t xml:space="preserve">for the offer </w:t>
      </w:r>
      <w:r w:rsidR="0050588C" w:rsidRPr="00F63766">
        <w:rPr>
          <w:b/>
          <w:i/>
          <w:sz w:val="18"/>
        </w:rPr>
        <w:t>[Schedule 1, Part 1, item</w:t>
      </w:r>
      <w:proofErr w:type="gramStart"/>
      <w:r w:rsidR="0050588C" w:rsidRPr="00F63766">
        <w:rPr>
          <w:b/>
          <w:i/>
          <w:sz w:val="18"/>
        </w:rPr>
        <w:t>  27</w:t>
      </w:r>
      <w:proofErr w:type="gramEnd"/>
      <w:r w:rsidR="0050588C" w:rsidRPr="00F63766">
        <w:rPr>
          <w:b/>
          <w:i/>
          <w:sz w:val="18"/>
        </w:rPr>
        <w:t>, subsection 766F(</w:t>
      </w:r>
      <w:r w:rsidR="0050588C">
        <w:rPr>
          <w:b/>
          <w:i/>
          <w:sz w:val="18"/>
        </w:rPr>
        <w:t>4</w:t>
      </w:r>
      <w:r w:rsidR="0050588C" w:rsidRPr="00F63766">
        <w:rPr>
          <w:b/>
          <w:i/>
          <w:sz w:val="18"/>
        </w:rPr>
        <w:t>)]</w:t>
      </w:r>
      <w:r w:rsidR="0050588C">
        <w:rPr>
          <w:b/>
          <w:i/>
          <w:sz w:val="18"/>
        </w:rPr>
        <w:t xml:space="preserve">. </w:t>
      </w:r>
    </w:p>
    <w:p w14:paraId="1840DB27" w14:textId="351C51AF" w:rsidR="00D80D80" w:rsidRDefault="00935B8A" w:rsidP="00C267FD">
      <w:pPr>
        <w:pStyle w:val="base-text-paragraph"/>
      </w:pPr>
      <w:r>
        <w:t>T</w:t>
      </w:r>
      <w:r w:rsidR="00624F07">
        <w:t>he</w:t>
      </w:r>
      <w:r w:rsidR="007D6F90" w:rsidRPr="00F63766">
        <w:t xml:space="preserve"> in</w:t>
      </w:r>
      <w:r>
        <w:t xml:space="preserve">termediary must determine, at the relevant time the </w:t>
      </w:r>
      <w:r w:rsidR="002940B6">
        <w:t>crowd-funding</w:t>
      </w:r>
      <w:r>
        <w:t xml:space="preserve"> service is provided,</w:t>
      </w:r>
      <w:r w:rsidR="007D6F90" w:rsidRPr="00F63766">
        <w:t xml:space="preserve"> whether the person</w:t>
      </w:r>
      <w:r>
        <w:t xml:space="preserve"> to whom the service is provided</w:t>
      </w:r>
      <w:r w:rsidR="007D6F90" w:rsidRPr="00F63766">
        <w:t xml:space="preserve"> is a ‘retail client’</w:t>
      </w:r>
      <w:r w:rsidR="00834D60">
        <w:t xml:space="preserve">.  This is important as certain </w:t>
      </w:r>
      <w:r w:rsidR="00624F07">
        <w:t xml:space="preserve">additional protections and obligations </w:t>
      </w:r>
      <w:r w:rsidR="00834D60">
        <w:t>under Chapter 7 are applicable to retail clients</w:t>
      </w:r>
      <w:r w:rsidR="00337D7D">
        <w:t>.</w:t>
      </w:r>
      <w:r w:rsidR="00834D60">
        <w:t xml:space="preserve"> </w:t>
      </w:r>
    </w:p>
    <w:p w14:paraId="13023B83" w14:textId="1BA18CE3" w:rsidR="005D0F19" w:rsidRDefault="005D0F19" w:rsidP="00C267FD">
      <w:pPr>
        <w:pStyle w:val="base-text-paragraph"/>
      </w:pPr>
      <w:r>
        <w:t xml:space="preserve">A person that is provided a </w:t>
      </w:r>
      <w:r w:rsidR="002940B6">
        <w:t>crowd-funding</w:t>
      </w:r>
      <w:r>
        <w:t xml:space="preserve"> service as a retail client will be entitled to certain additional protections under Chapter 7</w:t>
      </w:r>
      <w:r w:rsidR="006058AB">
        <w:t>.  The intermediary must ensure that they</w:t>
      </w:r>
      <w:r>
        <w:t>:</w:t>
      </w:r>
    </w:p>
    <w:p w14:paraId="2A332CDC" w14:textId="3E41A458" w:rsidR="005D0F19" w:rsidRDefault="006058AB" w:rsidP="005D0F19">
      <w:pPr>
        <w:pStyle w:val="dotpoint"/>
      </w:pPr>
      <w:r>
        <w:t>provide a</w:t>
      </w:r>
      <w:r w:rsidR="005D0F19">
        <w:t xml:space="preserve"> Financial Services Guide</w:t>
      </w:r>
      <w:r>
        <w:t xml:space="preserve"> to an applicant or issuer that is a retail client</w:t>
      </w:r>
      <w:r w:rsidR="005D0F19">
        <w:t xml:space="preserve">, generally as soon as practicable after it becomes apparent to the intermediary that the financial service </w:t>
      </w:r>
      <w:r w:rsidR="00EF09C3">
        <w:t>is</w:t>
      </w:r>
      <w:r w:rsidR="005D0F19">
        <w:t xml:space="preserve"> likely to be provided (subsections 941A(1) and 914D(1)); </w:t>
      </w:r>
    </w:p>
    <w:p w14:paraId="29DEBB37" w14:textId="2D1A88DD" w:rsidR="005D0F19" w:rsidRDefault="00814456" w:rsidP="005D0F19">
      <w:pPr>
        <w:pStyle w:val="dotpoint"/>
      </w:pPr>
      <w:r>
        <w:t>have</w:t>
      </w:r>
      <w:r w:rsidR="006058AB">
        <w:t xml:space="preserve"> a compliant internal </w:t>
      </w:r>
      <w:r>
        <w:t xml:space="preserve">dispute resolution scheme and are a member of an </w:t>
      </w:r>
      <w:r w:rsidR="006058AB">
        <w:t>external di</w:t>
      </w:r>
      <w:r>
        <w:t xml:space="preserve">spute resolution scheme (paragraph 912A(1)(g) and subsection 912A(2)); and </w:t>
      </w:r>
    </w:p>
    <w:p w14:paraId="5AC0AF86" w14:textId="01CC2DD2" w:rsidR="00814456" w:rsidRDefault="00814456" w:rsidP="005D0F19">
      <w:pPr>
        <w:pStyle w:val="dotpoint"/>
      </w:pPr>
      <w:proofErr w:type="gramStart"/>
      <w:r>
        <w:t>have</w:t>
      </w:r>
      <w:proofErr w:type="gramEnd"/>
      <w:r>
        <w:t xml:space="preserve"> arrangements for compensating retail clients for loss or damage suffered because the licensee breached its licensing obligation</w:t>
      </w:r>
      <w:r w:rsidR="00EC425D">
        <w:t>s</w:t>
      </w:r>
      <w:r>
        <w:t xml:space="preserve"> (section 912B).</w:t>
      </w:r>
    </w:p>
    <w:p w14:paraId="31A086ED" w14:textId="1F10816F" w:rsidR="00F83DCC" w:rsidRDefault="008B42FB" w:rsidP="00C267FD">
      <w:pPr>
        <w:pStyle w:val="base-text-paragraph"/>
      </w:pPr>
      <w:r>
        <w:t>An investor</w:t>
      </w:r>
      <w:r w:rsidR="00624F07">
        <w:t xml:space="preserve"> considered to be a retail </w:t>
      </w:r>
      <w:r>
        <w:t>client</w:t>
      </w:r>
      <w:r w:rsidR="00624F07">
        <w:t xml:space="preserve"> under </w:t>
      </w:r>
      <w:r w:rsidR="00D804D8">
        <w:t>Chapter</w:t>
      </w:r>
      <w:r w:rsidR="00624F07">
        <w:t xml:space="preserve"> 7 in relation to the </w:t>
      </w:r>
      <w:r w:rsidR="002940B6">
        <w:t>crowd-funding</w:t>
      </w:r>
      <w:r w:rsidR="00624F07">
        <w:t xml:space="preserve"> servi</w:t>
      </w:r>
      <w:r w:rsidR="00D804D8">
        <w:t>c</w:t>
      </w:r>
      <w:r w:rsidR="00624F07">
        <w:t xml:space="preserve">e will also be a retail </w:t>
      </w:r>
      <w:r w:rsidR="00D644A4">
        <w:t>client</w:t>
      </w:r>
      <w:r w:rsidR="00624F07">
        <w:t xml:space="preserve"> for the purpose of the CSF </w:t>
      </w:r>
      <w:r w:rsidR="00D644A4">
        <w:t xml:space="preserve">offer, which will entitle them to certain additional investor protections such as </w:t>
      </w:r>
      <w:r w:rsidR="00624F07">
        <w:t>cooling-off rights, risk acknowledgment</w:t>
      </w:r>
      <w:r w:rsidR="00AF675F">
        <w:t>s</w:t>
      </w:r>
      <w:r w:rsidR="00624F07">
        <w:t xml:space="preserve"> and</w:t>
      </w:r>
      <w:r w:rsidR="00AF675F">
        <w:t xml:space="preserve"> the</w:t>
      </w:r>
      <w:r w:rsidR="00624F07">
        <w:t xml:space="preserve"> investor </w:t>
      </w:r>
      <w:r w:rsidR="00624F07" w:rsidRPr="00273CBF">
        <w:t>caps</w:t>
      </w:r>
      <w:r w:rsidR="00EA7159" w:rsidRPr="00273CBF">
        <w:t xml:space="preserve"> </w:t>
      </w:r>
      <w:r w:rsidR="00EA7159" w:rsidRPr="00273CBF">
        <w:rPr>
          <w:b/>
          <w:i/>
          <w:sz w:val="18"/>
        </w:rPr>
        <w:t>[Schedule 1, Part 1, item  23, subsection 761G(8)]</w:t>
      </w:r>
      <w:r w:rsidR="00624F07" w:rsidRPr="00273CBF">
        <w:t xml:space="preserve">. </w:t>
      </w:r>
      <w:r w:rsidR="00D644A4" w:rsidRPr="00273CBF">
        <w:t>These protections are discussed</w:t>
      </w:r>
      <w:r w:rsidR="00AC1090" w:rsidRPr="00273CBF">
        <w:t xml:space="preserve"> in further detail in Chapter </w:t>
      </w:r>
      <w:r w:rsidR="000B02D2" w:rsidRPr="00273CBF">
        <w:t>6</w:t>
      </w:r>
      <w:r w:rsidR="005B745C">
        <w:t xml:space="preserve"> of the Explanatory Memorandum</w:t>
      </w:r>
      <w:r w:rsidR="000B02D2" w:rsidRPr="00273CBF">
        <w:t>.</w:t>
      </w:r>
      <w:r w:rsidR="000B02D2">
        <w:t xml:space="preserve"> </w:t>
      </w:r>
    </w:p>
    <w:p w14:paraId="6E7E955A" w14:textId="02CFFC44" w:rsidR="008206EA" w:rsidRPr="00F63766" w:rsidRDefault="008206EA" w:rsidP="00C267FD">
      <w:pPr>
        <w:pStyle w:val="base-text-paragraph"/>
      </w:pPr>
      <w:r>
        <w:t>A person that is not considered to be a retail client will be a wholesale client</w:t>
      </w:r>
      <w:r w:rsidR="00893742">
        <w:t xml:space="preserve"> (and would not, for example, be subject to the investor cap)</w:t>
      </w:r>
      <w:r>
        <w:t>.</w:t>
      </w:r>
    </w:p>
    <w:p w14:paraId="5AED0FD8" w14:textId="77777777" w:rsidR="002215D8" w:rsidRDefault="002215D8">
      <w:pPr>
        <w:spacing w:before="0" w:after="0"/>
        <w:rPr>
          <w:bCs/>
          <w:i/>
          <w:iCs/>
          <w:szCs w:val="26"/>
        </w:rPr>
      </w:pPr>
      <w:r>
        <w:br w:type="page"/>
      </w:r>
    </w:p>
    <w:p w14:paraId="76C898E9" w14:textId="2F2288F6" w:rsidR="008E060F" w:rsidRPr="00F63766" w:rsidRDefault="008E060F" w:rsidP="002D5F39">
      <w:pPr>
        <w:pStyle w:val="Heading5"/>
      </w:pPr>
      <w:r w:rsidRPr="00F63766">
        <w:t xml:space="preserve">When </w:t>
      </w:r>
      <w:r w:rsidR="00E41641">
        <w:t>a</w:t>
      </w:r>
      <w:r w:rsidRPr="00F63766">
        <w:t xml:space="preserve"> </w:t>
      </w:r>
      <w:r w:rsidR="002940B6">
        <w:t>crowd-funding</w:t>
      </w:r>
      <w:r w:rsidRPr="00F63766">
        <w:t xml:space="preserve"> service is provided to a</w:t>
      </w:r>
      <w:r w:rsidR="00E41641">
        <w:t xml:space="preserve"> person as a</w:t>
      </w:r>
      <w:r w:rsidRPr="00F63766">
        <w:t xml:space="preserve"> retail client</w:t>
      </w:r>
    </w:p>
    <w:p w14:paraId="1DB42FF5" w14:textId="06D76844" w:rsidR="004931A1" w:rsidRPr="00F63766" w:rsidRDefault="00414C81" w:rsidP="00C267FD">
      <w:pPr>
        <w:pStyle w:val="base-text-paragraph"/>
      </w:pPr>
      <w:r>
        <w:t>S</w:t>
      </w:r>
      <w:r w:rsidR="00BB75CF" w:rsidRPr="00F63766">
        <w:t>ubsection </w:t>
      </w:r>
      <w:proofErr w:type="gramStart"/>
      <w:r w:rsidR="00BB75CF" w:rsidRPr="00F63766">
        <w:t>761G(</w:t>
      </w:r>
      <w:proofErr w:type="gramEnd"/>
      <w:r w:rsidR="00BB75CF" w:rsidRPr="00F63766">
        <w:t>7)</w:t>
      </w:r>
      <w:r>
        <w:t xml:space="preserve"> contains </w:t>
      </w:r>
      <w:r w:rsidR="005B52A5">
        <w:t>the tests</w:t>
      </w:r>
      <w:r>
        <w:t xml:space="preserve"> for determining when a person will be a retail client </w:t>
      </w:r>
      <w:r w:rsidR="00613C85">
        <w:t>in relation to</w:t>
      </w:r>
      <w:r>
        <w:t xml:space="preserve"> </w:t>
      </w:r>
      <w:r w:rsidR="00361382">
        <w:t xml:space="preserve">the </w:t>
      </w:r>
      <w:r w:rsidR="002940B6">
        <w:t>crowd-funding</w:t>
      </w:r>
      <w:r>
        <w:t xml:space="preserve"> service</w:t>
      </w:r>
      <w:r w:rsidR="00BB75CF" w:rsidRPr="00F63766">
        <w:t xml:space="preserve">.  </w:t>
      </w:r>
      <w:r w:rsidR="000C17CD" w:rsidRPr="00F63766">
        <w:t xml:space="preserve">The </w:t>
      </w:r>
      <w:r w:rsidR="004931A1" w:rsidRPr="00F63766">
        <w:t xml:space="preserve">person </w:t>
      </w:r>
      <w:r w:rsidR="00BE14CC" w:rsidRPr="00F63766">
        <w:t xml:space="preserve">to whom the </w:t>
      </w:r>
      <w:r w:rsidR="002940B6">
        <w:t>crowd-funding</w:t>
      </w:r>
      <w:r w:rsidR="00BE14CC" w:rsidRPr="00F63766">
        <w:t xml:space="preserve"> service is provided </w:t>
      </w:r>
      <w:r w:rsidR="004931A1" w:rsidRPr="00F63766">
        <w:t>will be a retail client</w:t>
      </w:r>
      <w:r w:rsidR="00472EBA" w:rsidRPr="00F63766">
        <w:t xml:space="preserve"> unless one or more of the following </w:t>
      </w:r>
      <w:r w:rsidR="00800E2E" w:rsidRPr="00F63766">
        <w:t>tests</w:t>
      </w:r>
      <w:r w:rsidR="00C66DB9" w:rsidRPr="00F63766">
        <w:t xml:space="preserve"> </w:t>
      </w:r>
      <w:r w:rsidR="00472EBA" w:rsidRPr="00F63766">
        <w:t>are satisfied:</w:t>
      </w:r>
    </w:p>
    <w:p w14:paraId="08F0EA8A" w14:textId="419C3D49" w:rsidR="003505DF" w:rsidRPr="00F63766" w:rsidRDefault="00C958D1" w:rsidP="003505DF">
      <w:pPr>
        <w:pStyle w:val="dotpoint"/>
      </w:pPr>
      <w:r w:rsidRPr="00F63766">
        <w:t xml:space="preserve">the </w:t>
      </w:r>
      <w:r w:rsidR="007E17DC" w:rsidRPr="00F63766">
        <w:t xml:space="preserve">product-value test: the </w:t>
      </w:r>
      <w:r w:rsidRPr="00F63766">
        <w:t>price of the financial product</w:t>
      </w:r>
      <w:r w:rsidR="00CB598D" w:rsidRPr="00F63766">
        <w:t xml:space="preserve"> (the securities on offer)</w:t>
      </w:r>
      <w:r w:rsidR="009A345D" w:rsidRPr="00F63766">
        <w:t xml:space="preserve"> or the value of the financial product to which the financial service relates</w:t>
      </w:r>
      <w:r w:rsidR="00561B30">
        <w:t>,</w:t>
      </w:r>
      <w:r w:rsidR="009A345D" w:rsidRPr="00F63766">
        <w:t xml:space="preserve"> equals or</w:t>
      </w:r>
      <w:r w:rsidRPr="00F63766">
        <w:t xml:space="preserve"> exceeds $500,000</w:t>
      </w:r>
      <w:r w:rsidR="0029106C" w:rsidRPr="00F63766">
        <w:t xml:space="preserve"> (paragraph 761G(7)(a) and Regulations 7.1.18 and 7.1.19)</w:t>
      </w:r>
      <w:r w:rsidR="003505DF" w:rsidRPr="00F63766">
        <w:t xml:space="preserve">; </w:t>
      </w:r>
      <w:r w:rsidR="00185289" w:rsidRPr="00F63766">
        <w:t>or</w:t>
      </w:r>
    </w:p>
    <w:p w14:paraId="320CBB1C" w14:textId="4A87651F" w:rsidR="003505DF" w:rsidRPr="00F63766" w:rsidRDefault="003505DF" w:rsidP="003505DF">
      <w:pPr>
        <w:pStyle w:val="dotpoint"/>
      </w:pPr>
      <w:proofErr w:type="gramStart"/>
      <w:r w:rsidRPr="00F63766">
        <w:t>the</w:t>
      </w:r>
      <w:proofErr w:type="gramEnd"/>
      <w:r w:rsidRPr="00F63766">
        <w:t xml:space="preserve"> </w:t>
      </w:r>
      <w:r w:rsidR="00CB598D" w:rsidRPr="00F63766">
        <w:t>securities</w:t>
      </w:r>
      <w:r w:rsidR="00A47C2D" w:rsidRPr="00F63766">
        <w:t xml:space="preserve"> or </w:t>
      </w:r>
      <w:r w:rsidR="002940B6">
        <w:t>crowd-funding</w:t>
      </w:r>
      <w:r w:rsidR="00157186" w:rsidRPr="00F63766">
        <w:t xml:space="preserve"> </w:t>
      </w:r>
      <w:r w:rsidR="00A47C2D" w:rsidRPr="00F63766">
        <w:t xml:space="preserve">service </w:t>
      </w:r>
      <w:r w:rsidR="00A3633A">
        <w:t>is provided</w:t>
      </w:r>
      <w:r w:rsidRPr="00F63766">
        <w:t xml:space="preserve"> for use in a business other than a small business</w:t>
      </w:r>
      <w:r w:rsidR="00561E16">
        <w:t xml:space="preserve"> </w:t>
      </w:r>
      <w:r w:rsidR="00561E16" w:rsidRPr="00F63766">
        <w:t>(paragraph 761G(7)(b)</w:t>
      </w:r>
      <w:r w:rsidR="00561E16">
        <w:t>)</w:t>
      </w:r>
      <w:r w:rsidR="00A96593">
        <w:t xml:space="preserve">. </w:t>
      </w:r>
      <w:r w:rsidR="007A1589" w:rsidRPr="00F63766">
        <w:t>A</w:t>
      </w:r>
      <w:r w:rsidR="00DE6C81" w:rsidRPr="00F63766">
        <w:t xml:space="preserve"> small business is defined as a business employing less than 20</w:t>
      </w:r>
      <w:r w:rsidR="004D1409" w:rsidRPr="00F63766">
        <w:t> </w:t>
      </w:r>
      <w:r w:rsidR="00DE6C81" w:rsidRPr="00F63766">
        <w:t>people, unless the business includes the manufacture of goods, where the business must employ less than 100</w:t>
      </w:r>
      <w:r w:rsidR="00A3440C" w:rsidRPr="00F63766">
        <w:t> </w:t>
      </w:r>
      <w:r w:rsidR="00DE6C81" w:rsidRPr="00F63766">
        <w:t>people</w:t>
      </w:r>
      <w:r w:rsidR="007E0162">
        <w:t xml:space="preserve"> </w:t>
      </w:r>
      <w:r w:rsidR="007E0162" w:rsidRPr="00F63766">
        <w:t>(</w:t>
      </w:r>
      <w:r w:rsidR="007E0162">
        <w:t>subsection</w:t>
      </w:r>
      <w:r w:rsidR="007E0162" w:rsidRPr="00F63766">
        <w:t> 761G(</w:t>
      </w:r>
      <w:r w:rsidR="007E0162">
        <w:t>12))</w:t>
      </w:r>
      <w:r w:rsidRPr="00F63766">
        <w:t xml:space="preserve">; </w:t>
      </w:r>
      <w:r w:rsidR="00185289" w:rsidRPr="00F63766">
        <w:t>or</w:t>
      </w:r>
    </w:p>
    <w:p w14:paraId="498B23AD" w14:textId="272F8F8A" w:rsidR="00DE6C81" w:rsidRPr="00F63766" w:rsidRDefault="00A71FD2" w:rsidP="003505DF">
      <w:pPr>
        <w:pStyle w:val="dotpoint"/>
      </w:pPr>
      <w:r w:rsidRPr="00F63766">
        <w:t xml:space="preserve">where </w:t>
      </w:r>
      <w:r w:rsidR="00A47C2D" w:rsidRPr="00F63766">
        <w:t xml:space="preserve">the </w:t>
      </w:r>
      <w:r w:rsidR="005F7DD9" w:rsidRPr="00F63766">
        <w:t>securities</w:t>
      </w:r>
      <w:r w:rsidR="00A47C2D" w:rsidRPr="00F63766">
        <w:t xml:space="preserve"> or </w:t>
      </w:r>
      <w:r w:rsidR="009E5881" w:rsidRPr="00F63766">
        <w:t xml:space="preserve">the </w:t>
      </w:r>
      <w:r w:rsidR="002940B6">
        <w:t>crowd-funding</w:t>
      </w:r>
      <w:r w:rsidR="009E5881" w:rsidRPr="00F63766">
        <w:t xml:space="preserve"> </w:t>
      </w:r>
      <w:r w:rsidR="00A47C2D" w:rsidRPr="00F63766">
        <w:t>service is not provided for use in connection with a business</w:t>
      </w:r>
      <w:r w:rsidR="002F0ECC" w:rsidRPr="00F63766">
        <w:t>,</w:t>
      </w:r>
      <w:r w:rsidR="00A47C2D" w:rsidRPr="00F63766">
        <w:t xml:space="preserve"> the person </w:t>
      </w:r>
      <w:r w:rsidR="00DE6C81" w:rsidRPr="00F63766">
        <w:t>acquir</w:t>
      </w:r>
      <w:r w:rsidR="00524766" w:rsidRPr="00F63766">
        <w:t>ing</w:t>
      </w:r>
      <w:r w:rsidR="00DE6C81" w:rsidRPr="00F63766">
        <w:t xml:space="preserve"> the </w:t>
      </w:r>
      <w:r w:rsidR="00524766" w:rsidRPr="00F63766">
        <w:t xml:space="preserve">securities </w:t>
      </w:r>
      <w:r w:rsidR="00CB598D" w:rsidRPr="00F63766">
        <w:t xml:space="preserve">or </w:t>
      </w:r>
      <w:r w:rsidR="002940B6">
        <w:t>crowd-funding</w:t>
      </w:r>
      <w:r w:rsidR="00AA5A43" w:rsidRPr="00F63766">
        <w:t xml:space="preserve"> </w:t>
      </w:r>
      <w:r w:rsidR="00CB598D" w:rsidRPr="00F63766">
        <w:t xml:space="preserve">service </w:t>
      </w:r>
      <w:r w:rsidR="00DE6C81" w:rsidRPr="00F63766">
        <w:t xml:space="preserve">gives the intermediary a certificate prepared by a qualified accountant (defined in section 9) within the preceding </w:t>
      </w:r>
      <w:r w:rsidR="00A3440C" w:rsidRPr="00F63766">
        <w:t>two </w:t>
      </w:r>
      <w:r w:rsidR="00DE6C81" w:rsidRPr="00F63766">
        <w:t>years that states that the person has net assets of $2.5 million, or gross income in the last 2 financial years of at least $250,000 (paragraph 761G(7)(c)</w:t>
      </w:r>
      <w:r w:rsidR="00185289" w:rsidRPr="00F63766">
        <w:t xml:space="preserve"> and Regulation 7.1.28); or</w:t>
      </w:r>
    </w:p>
    <w:p w14:paraId="71F2B77B" w14:textId="7F49772C" w:rsidR="00DE6C81" w:rsidRPr="00F63766" w:rsidRDefault="00DE6C81" w:rsidP="003505DF">
      <w:pPr>
        <w:pStyle w:val="dotpoint"/>
      </w:pPr>
      <w:proofErr w:type="gramStart"/>
      <w:r w:rsidRPr="00F63766">
        <w:t>the</w:t>
      </w:r>
      <w:proofErr w:type="gramEnd"/>
      <w:r w:rsidRPr="00F63766">
        <w:t xml:space="preserve"> person </w:t>
      </w:r>
      <w:r w:rsidR="000D10AC">
        <w:t xml:space="preserve">to whom the </w:t>
      </w:r>
      <w:r w:rsidR="002940B6">
        <w:t>crowd-funding</w:t>
      </w:r>
      <w:r w:rsidR="000D10AC">
        <w:t xml:space="preserve"> service is provided</w:t>
      </w:r>
      <w:r w:rsidRPr="00F63766">
        <w:t xml:space="preserve"> is a professional investor as defined in section 9 (paragraph 761G(7)(d)). </w:t>
      </w:r>
      <w:r w:rsidR="002F0ECC" w:rsidRPr="00F63766">
        <w:t xml:space="preserve"> </w:t>
      </w:r>
      <w:r w:rsidR="003F7BFC">
        <w:t>A p</w:t>
      </w:r>
      <w:r w:rsidR="002F0ECC" w:rsidRPr="00F63766">
        <w:t>rofessional investor</w:t>
      </w:r>
      <w:r w:rsidR="00A3440C" w:rsidRPr="00F63766">
        <w:t xml:space="preserve"> include</w:t>
      </w:r>
      <w:r w:rsidR="003F7BFC">
        <w:t>s an</w:t>
      </w:r>
      <w:r w:rsidR="00A3440C" w:rsidRPr="00F63766">
        <w:t xml:space="preserve"> Australian financial services licensee, </w:t>
      </w:r>
      <w:r w:rsidR="003F7BFC">
        <w:t xml:space="preserve">a </w:t>
      </w:r>
      <w:r w:rsidR="00A3440C" w:rsidRPr="00F63766">
        <w:t>listed entit</w:t>
      </w:r>
      <w:r w:rsidR="003F7BFC">
        <w:t>y</w:t>
      </w:r>
      <w:r w:rsidR="00A3440C" w:rsidRPr="00F63766">
        <w:t xml:space="preserve">, </w:t>
      </w:r>
      <w:r w:rsidR="003F7BFC">
        <w:t xml:space="preserve">a </w:t>
      </w:r>
      <w:r w:rsidR="00A3440C" w:rsidRPr="00F63766">
        <w:t>bank</w:t>
      </w:r>
      <w:r w:rsidR="003F7BFC">
        <w:t>, or</w:t>
      </w:r>
      <w:r w:rsidR="0073369C" w:rsidRPr="00F63766">
        <w:t xml:space="preserve"> </w:t>
      </w:r>
      <w:r w:rsidR="000061F4">
        <w:t xml:space="preserve">a </w:t>
      </w:r>
      <w:r w:rsidR="0073369C" w:rsidRPr="00F63766">
        <w:t xml:space="preserve">person that </w:t>
      </w:r>
      <w:r w:rsidR="00065D93" w:rsidRPr="00F63766">
        <w:t xml:space="preserve">has or </w:t>
      </w:r>
      <w:r w:rsidR="0073369C" w:rsidRPr="00F63766">
        <w:t>control</w:t>
      </w:r>
      <w:r w:rsidR="00065D93" w:rsidRPr="00F63766">
        <w:t>s gross</w:t>
      </w:r>
      <w:r w:rsidR="0073369C" w:rsidRPr="00F63766">
        <w:t xml:space="preserve"> assets of at least </w:t>
      </w:r>
      <w:r w:rsidR="00307908" w:rsidRPr="00F63766">
        <w:t>$10 million</w:t>
      </w:r>
      <w:r w:rsidR="00A3440C" w:rsidRPr="00F63766">
        <w:t xml:space="preserve">. </w:t>
      </w:r>
      <w:r w:rsidR="002F0ECC" w:rsidRPr="00F63766">
        <w:t xml:space="preserve"> </w:t>
      </w:r>
    </w:p>
    <w:p w14:paraId="6BBB66C9" w14:textId="50DE4383" w:rsidR="0041390C" w:rsidRPr="00F63766" w:rsidRDefault="0041390C" w:rsidP="00093D60">
      <w:pPr>
        <w:pStyle w:val="base-text-paragraph"/>
      </w:pPr>
      <w:r w:rsidRPr="00F63766">
        <w:t>Sub</w:t>
      </w:r>
      <w:r w:rsidR="000918F7" w:rsidRPr="00F63766">
        <w:t>section </w:t>
      </w:r>
      <w:proofErr w:type="gramStart"/>
      <w:r w:rsidR="000918F7" w:rsidRPr="00F63766">
        <w:t>761G(</w:t>
      </w:r>
      <w:proofErr w:type="gramEnd"/>
      <w:r w:rsidR="000918F7" w:rsidRPr="00F63766">
        <w:t>8) provides that</w:t>
      </w:r>
      <w:r w:rsidR="00837CE6" w:rsidRPr="00F63766">
        <w:t xml:space="preserve">, in the case of </w:t>
      </w:r>
      <w:r w:rsidR="00805341" w:rsidRPr="00F63766">
        <w:t xml:space="preserve">a prosecution for any offence based on a provision in Chapter 7, if the defendant (in this case the intermediary) alleges that the financial service was provided to the person as a wholesale client, the defendant </w:t>
      </w:r>
      <w:r w:rsidR="002B2D2B" w:rsidRPr="00F63766">
        <w:t xml:space="preserve">will be required to raise evidence that </w:t>
      </w:r>
      <w:r w:rsidR="00837CE6" w:rsidRPr="00F63766">
        <w:t xml:space="preserve">the </w:t>
      </w:r>
      <w:r w:rsidR="006F0546">
        <w:t xml:space="preserve">person to whom the </w:t>
      </w:r>
      <w:r w:rsidR="002940B6">
        <w:t>crowd-funding</w:t>
      </w:r>
      <w:r w:rsidR="00837CE6" w:rsidRPr="00F63766">
        <w:t xml:space="preserve"> service was provided </w:t>
      </w:r>
      <w:r w:rsidR="006F0546">
        <w:t>was not a</w:t>
      </w:r>
      <w:r w:rsidR="00837CE6" w:rsidRPr="00F63766">
        <w:t xml:space="preserve"> retail client. </w:t>
      </w:r>
      <w:r w:rsidRPr="00F63766">
        <w:t xml:space="preserve"> </w:t>
      </w:r>
      <w:r w:rsidR="004145A0" w:rsidRPr="00F63766">
        <w:t>Imposing the evidential burden on the defendant</w:t>
      </w:r>
      <w:r w:rsidRPr="00F63766">
        <w:t xml:space="preserve"> is appropriate given the</w:t>
      </w:r>
      <w:r w:rsidR="0012504A" w:rsidRPr="00F63766">
        <w:t xml:space="preserve"> policy intent is to ensure that persons that acquire financial products and financial services as retail clients have the benefit of the </w:t>
      </w:r>
      <w:r w:rsidRPr="00F63766">
        <w:t xml:space="preserve">additional protections </w:t>
      </w:r>
      <w:r w:rsidR="00516C07">
        <w:t>in the CSF regime</w:t>
      </w:r>
      <w:r w:rsidR="0059023B">
        <w:t xml:space="preserve"> and Chapter 7 more generally</w:t>
      </w:r>
      <w:r w:rsidRPr="00F63766">
        <w:t xml:space="preserve">. </w:t>
      </w:r>
    </w:p>
    <w:p w14:paraId="7D906A5F" w14:textId="1FA6B403" w:rsidR="003505DF" w:rsidRPr="00F63766" w:rsidRDefault="000918F7" w:rsidP="00093D60">
      <w:pPr>
        <w:pStyle w:val="base-text-paragraph"/>
      </w:pPr>
      <w:r w:rsidRPr="00F63766">
        <w:t>I</w:t>
      </w:r>
      <w:r w:rsidR="00FC4D36" w:rsidRPr="00F63766">
        <w:t>n the case of non</w:t>
      </w:r>
      <w:r w:rsidR="00FC4D36" w:rsidRPr="00F63766">
        <w:noBreakHyphen/>
        <w:t xml:space="preserve">criminal proceedings, </w:t>
      </w:r>
      <w:r w:rsidRPr="00F63766">
        <w:t>subsection </w:t>
      </w:r>
      <w:proofErr w:type="gramStart"/>
      <w:r w:rsidRPr="00F63766">
        <w:t>761G(</w:t>
      </w:r>
      <w:proofErr w:type="gramEnd"/>
      <w:r w:rsidRPr="00F63766">
        <w:t xml:space="preserve">9) provides that </w:t>
      </w:r>
      <w:r w:rsidR="00FC4D36" w:rsidRPr="00F63766">
        <w:t xml:space="preserve">the presumption is that the </w:t>
      </w:r>
      <w:r w:rsidR="00BE4732" w:rsidRPr="00F63766">
        <w:t xml:space="preserve">financial product or </w:t>
      </w:r>
      <w:r w:rsidR="002940B6">
        <w:t>crowd</w:t>
      </w:r>
      <w:r w:rsidR="00AF675F">
        <w:noBreakHyphen/>
      </w:r>
      <w:r w:rsidR="002940B6">
        <w:t>funding</w:t>
      </w:r>
      <w:r w:rsidR="004F67C4" w:rsidRPr="00F63766">
        <w:t xml:space="preserve"> </w:t>
      </w:r>
      <w:r w:rsidR="00FC4D36" w:rsidRPr="00F63766">
        <w:t xml:space="preserve">service </w:t>
      </w:r>
      <w:r w:rsidR="001E0FB1">
        <w:t>is</w:t>
      </w:r>
      <w:r w:rsidR="00FC4D36" w:rsidRPr="00F63766">
        <w:t xml:space="preserve"> provided to </w:t>
      </w:r>
      <w:r w:rsidR="001E0FB1">
        <w:t>a</w:t>
      </w:r>
      <w:r w:rsidR="00FC4D36" w:rsidRPr="00F63766">
        <w:t xml:space="preserve"> person as a retail client</w:t>
      </w:r>
      <w:r w:rsidR="000E5893" w:rsidRPr="00F63766">
        <w:t xml:space="preserve"> unless the contrary is established</w:t>
      </w:r>
      <w:r w:rsidR="00FC4D36" w:rsidRPr="00F63766">
        <w:t xml:space="preserve">. </w:t>
      </w:r>
    </w:p>
    <w:p w14:paraId="74EBB6E3" w14:textId="5121EC8A" w:rsidR="00F158CB" w:rsidRPr="00F63766" w:rsidRDefault="000177F6" w:rsidP="00093D60">
      <w:pPr>
        <w:pStyle w:val="base-text-paragraph"/>
      </w:pPr>
      <w:r w:rsidRPr="00F63766">
        <w:t>The Bill</w:t>
      </w:r>
      <w:r w:rsidR="006F707A" w:rsidRPr="00F63766">
        <w:t xml:space="preserve"> provides that </w:t>
      </w:r>
      <w:r w:rsidR="004C3760" w:rsidRPr="00F63766">
        <w:t>section</w:t>
      </w:r>
      <w:r w:rsidR="006F707A" w:rsidRPr="00F63766">
        <w:t> 761GA</w:t>
      </w:r>
      <w:r w:rsidR="00563D17" w:rsidRPr="00F63766">
        <w:t xml:space="preserve">, </w:t>
      </w:r>
      <w:r w:rsidR="004C3760" w:rsidRPr="00F63766">
        <w:t>which would</w:t>
      </w:r>
      <w:r w:rsidR="00257D6C" w:rsidRPr="00F63766">
        <w:t xml:space="preserve"> otherwise</w:t>
      </w:r>
      <w:r w:rsidR="004C3760" w:rsidRPr="00F63766">
        <w:t xml:space="preserve"> provide a mechanism whereby a financial services licensee could certify that a client has sufficient expertise to be treated as wholesale, </w:t>
      </w:r>
      <w:r w:rsidR="00085291" w:rsidRPr="00F63766">
        <w:t>does not</w:t>
      </w:r>
      <w:r w:rsidR="004C3760" w:rsidRPr="00F63766">
        <w:t xml:space="preserve"> apply to </w:t>
      </w:r>
      <w:r w:rsidR="00DB625C">
        <w:t xml:space="preserve">the </w:t>
      </w:r>
      <w:r w:rsidR="00085291" w:rsidRPr="00F63766">
        <w:t xml:space="preserve">provision of a </w:t>
      </w:r>
      <w:r w:rsidR="002940B6">
        <w:t>crowd-funding</w:t>
      </w:r>
      <w:r w:rsidR="004C3760" w:rsidRPr="00F63766">
        <w:t xml:space="preserve"> service </w:t>
      </w:r>
      <w:r w:rsidR="00563D17" w:rsidRPr="00F63766">
        <w:rPr>
          <w:b/>
          <w:i/>
          <w:sz w:val="18"/>
        </w:rPr>
        <w:t>[Schedule 1, Part 1, item </w:t>
      </w:r>
      <w:r w:rsidR="004D6C71">
        <w:rPr>
          <w:b/>
          <w:i/>
          <w:sz w:val="18"/>
        </w:rPr>
        <w:t>24</w:t>
      </w:r>
      <w:r w:rsidR="00563D17" w:rsidRPr="00F63766">
        <w:rPr>
          <w:b/>
          <w:i/>
          <w:sz w:val="18"/>
        </w:rPr>
        <w:t>, section 761GA]</w:t>
      </w:r>
      <w:r w:rsidR="00805341" w:rsidRPr="00F63766">
        <w:rPr>
          <w:b/>
          <w:i/>
          <w:sz w:val="18"/>
        </w:rPr>
        <w:t xml:space="preserve">.  </w:t>
      </w:r>
    </w:p>
    <w:p w14:paraId="4CCCFA6A" w14:textId="468A13A0" w:rsidR="009537E3" w:rsidRPr="00F63766" w:rsidRDefault="009537E3" w:rsidP="009537E3">
      <w:pPr>
        <w:pStyle w:val="Heading4"/>
      </w:pPr>
      <w:r w:rsidRPr="00F63766">
        <w:t xml:space="preserve">‘Dealing’ does not include providing a </w:t>
      </w:r>
      <w:r w:rsidR="002940B6">
        <w:t>crowd-funding</w:t>
      </w:r>
      <w:r w:rsidRPr="00F63766">
        <w:t xml:space="preserve"> service</w:t>
      </w:r>
    </w:p>
    <w:p w14:paraId="71A0F103" w14:textId="5F10DC83" w:rsidR="00CC34AC" w:rsidRDefault="00880E59" w:rsidP="008C3EA7">
      <w:pPr>
        <w:numPr>
          <w:ilvl w:val="1"/>
          <w:numId w:val="42"/>
        </w:numPr>
      </w:pPr>
      <w:r w:rsidRPr="00F63766">
        <w:t>C</w:t>
      </w:r>
      <w:r w:rsidR="002C1EF7" w:rsidRPr="00F63766">
        <w:t>ertain activities</w:t>
      </w:r>
      <w:r w:rsidR="00EF7FF6" w:rsidRPr="00F63766">
        <w:t xml:space="preserve"> </w:t>
      </w:r>
      <w:r w:rsidR="00E27590" w:rsidRPr="00F63766">
        <w:t>of a CSF intermediary</w:t>
      </w:r>
      <w:r w:rsidR="002C1EF7" w:rsidRPr="00F63766">
        <w:t>, which relate to arranging for the issue of securities,</w:t>
      </w:r>
      <w:r w:rsidR="00E27590" w:rsidRPr="00F63766">
        <w:t xml:space="preserve"> </w:t>
      </w:r>
      <w:r w:rsidR="00B42FAA" w:rsidRPr="00F63766">
        <w:t xml:space="preserve">would also </w:t>
      </w:r>
      <w:r w:rsidR="00E27590" w:rsidRPr="00F63766">
        <w:t xml:space="preserve">fall within the definition of </w:t>
      </w:r>
      <w:r w:rsidR="002352E8">
        <w:t xml:space="preserve">the </w:t>
      </w:r>
      <w:r w:rsidR="00E27590" w:rsidRPr="00F63766">
        <w:t>‘dealing</w:t>
      </w:r>
      <w:r w:rsidR="000340CF" w:rsidRPr="00F63766">
        <w:t xml:space="preserve">’ </w:t>
      </w:r>
      <w:r w:rsidR="002352E8">
        <w:t xml:space="preserve">financial service </w:t>
      </w:r>
      <w:r w:rsidR="000340CF" w:rsidRPr="00F63766">
        <w:t>in section 766C</w:t>
      </w:r>
      <w:r w:rsidR="00B42FAA" w:rsidRPr="00F63766">
        <w:t xml:space="preserve">.  </w:t>
      </w:r>
      <w:r w:rsidR="008D418A">
        <w:t>To address the overlap, t</w:t>
      </w:r>
      <w:r w:rsidR="000340CF" w:rsidRPr="00F63766">
        <w:t>he</w:t>
      </w:r>
      <w:r w:rsidR="002C1EF7" w:rsidRPr="00F63766">
        <w:t xml:space="preserve"> Bill carves out </w:t>
      </w:r>
      <w:r w:rsidR="00BD2FD0" w:rsidRPr="00F63766">
        <w:t xml:space="preserve">a </w:t>
      </w:r>
      <w:r w:rsidR="002940B6">
        <w:t>crowd-funding</w:t>
      </w:r>
      <w:r w:rsidR="000340CF" w:rsidRPr="00F63766">
        <w:t xml:space="preserve"> service from the dealing</w:t>
      </w:r>
      <w:r w:rsidR="002C1EF7" w:rsidRPr="00F63766">
        <w:t xml:space="preserve"> financial service</w:t>
      </w:r>
      <w:r w:rsidR="001F39BD" w:rsidRPr="00F63766">
        <w:t xml:space="preserve"> </w:t>
      </w:r>
      <w:r w:rsidR="001F39BD" w:rsidRPr="00F63766">
        <w:rPr>
          <w:b/>
          <w:i/>
          <w:sz w:val="18"/>
        </w:rPr>
        <w:t>[Schedule 1, Part 1, item 2</w:t>
      </w:r>
      <w:r w:rsidR="008D418A">
        <w:rPr>
          <w:b/>
          <w:i/>
          <w:sz w:val="18"/>
        </w:rPr>
        <w:t>6</w:t>
      </w:r>
      <w:r w:rsidR="001F39BD" w:rsidRPr="00F63766">
        <w:rPr>
          <w:b/>
          <w:i/>
          <w:sz w:val="18"/>
        </w:rPr>
        <w:t xml:space="preserve">, </w:t>
      </w:r>
      <w:r w:rsidR="001F39BD" w:rsidRPr="00C90747">
        <w:rPr>
          <w:b/>
          <w:i/>
          <w:sz w:val="18"/>
        </w:rPr>
        <w:t>subsection </w:t>
      </w:r>
      <w:proofErr w:type="gramStart"/>
      <w:r w:rsidR="001F39BD" w:rsidRPr="00C90747">
        <w:rPr>
          <w:b/>
          <w:i/>
          <w:sz w:val="18"/>
        </w:rPr>
        <w:t>766</w:t>
      </w:r>
      <w:r w:rsidR="0046003B" w:rsidRPr="00C90747">
        <w:rPr>
          <w:b/>
          <w:i/>
          <w:sz w:val="18"/>
        </w:rPr>
        <w:t>C</w:t>
      </w:r>
      <w:r w:rsidR="001F39BD" w:rsidRPr="00C90747">
        <w:rPr>
          <w:b/>
          <w:i/>
          <w:sz w:val="18"/>
        </w:rPr>
        <w:t>(</w:t>
      </w:r>
      <w:proofErr w:type="gramEnd"/>
      <w:r w:rsidR="001F39BD" w:rsidRPr="00C90747">
        <w:rPr>
          <w:b/>
          <w:i/>
          <w:sz w:val="18"/>
        </w:rPr>
        <w:t>2</w:t>
      </w:r>
      <w:r w:rsidR="0046003B" w:rsidRPr="00C90747">
        <w:rPr>
          <w:b/>
          <w:i/>
          <w:sz w:val="18"/>
        </w:rPr>
        <w:t>A</w:t>
      </w:r>
      <w:r w:rsidR="001F39BD" w:rsidRPr="00C90747">
        <w:rPr>
          <w:b/>
          <w:i/>
          <w:sz w:val="18"/>
        </w:rPr>
        <w:t>)]</w:t>
      </w:r>
      <w:r w:rsidR="00A96593">
        <w:t xml:space="preserve">. </w:t>
      </w:r>
      <w:r w:rsidR="000340CF" w:rsidRPr="00C90747">
        <w:t>The</w:t>
      </w:r>
      <w:r w:rsidR="000340CF" w:rsidRPr="00F63766">
        <w:t xml:space="preserve"> result is that a</w:t>
      </w:r>
      <w:r w:rsidR="0017238C" w:rsidRPr="00F63766">
        <w:t xml:space="preserve"> CSF</w:t>
      </w:r>
      <w:r w:rsidR="000340CF" w:rsidRPr="00F63766">
        <w:t xml:space="preserve"> intermediary will need only one </w:t>
      </w:r>
      <w:r w:rsidR="00814456">
        <w:t xml:space="preserve">AFSL </w:t>
      </w:r>
      <w:r w:rsidR="000340CF" w:rsidRPr="00F63766">
        <w:t xml:space="preserve">authorisation to operate a </w:t>
      </w:r>
      <w:r w:rsidR="002940B6">
        <w:t>crowd-funding</w:t>
      </w:r>
      <w:r w:rsidR="000340CF" w:rsidRPr="00F63766">
        <w:t xml:space="preserve"> platform and will only need to consider when </w:t>
      </w:r>
      <w:r w:rsidR="0053351F" w:rsidRPr="00F63766">
        <w:t xml:space="preserve">and to whom </w:t>
      </w:r>
      <w:r w:rsidR="000340CF" w:rsidRPr="00F63766">
        <w:t xml:space="preserve">the one </w:t>
      </w:r>
      <w:r w:rsidR="002940B6">
        <w:t>crowd-funding</w:t>
      </w:r>
      <w:r w:rsidR="00E42A2B" w:rsidRPr="00F63766">
        <w:t xml:space="preserve"> </w:t>
      </w:r>
      <w:r w:rsidR="000340CF" w:rsidRPr="00F63766">
        <w:t>service is provided</w:t>
      </w:r>
      <w:r w:rsidR="00C16F07" w:rsidRPr="00F63766">
        <w:t xml:space="preserve"> for the purposes of their </w:t>
      </w:r>
      <w:r w:rsidR="000340CF" w:rsidRPr="00F63766">
        <w:t xml:space="preserve">obligations under </w:t>
      </w:r>
      <w:r w:rsidR="008D418A">
        <w:t>the CSF regime</w:t>
      </w:r>
      <w:r w:rsidR="000D31E7">
        <w:t xml:space="preserve"> and Chapter 7 more g</w:t>
      </w:r>
      <w:r w:rsidR="000B5301">
        <w:t>e</w:t>
      </w:r>
      <w:r w:rsidR="000D31E7">
        <w:t>nerally</w:t>
      </w:r>
      <w:r w:rsidR="00D03BDF" w:rsidRPr="00F63766">
        <w:t xml:space="preserve">. </w:t>
      </w:r>
    </w:p>
    <w:p w14:paraId="145F1FAF" w14:textId="6A088897" w:rsidR="00DB4263" w:rsidRDefault="00DB4263" w:rsidP="00C25CA1">
      <w:pPr>
        <w:pStyle w:val="Heading4"/>
      </w:pPr>
      <w:r>
        <w:t>Carve out from the definition of managed investment scheme</w:t>
      </w:r>
    </w:p>
    <w:p w14:paraId="4C6C1904" w14:textId="327FB7C4" w:rsidR="00DB4263" w:rsidRDefault="00DB4263" w:rsidP="008C3EA7">
      <w:pPr>
        <w:numPr>
          <w:ilvl w:val="1"/>
          <w:numId w:val="42"/>
        </w:numPr>
      </w:pPr>
      <w:r>
        <w:t xml:space="preserve">The amendments exclude the provision of a </w:t>
      </w:r>
      <w:r w:rsidR="002940B6">
        <w:t>crowd-funding</w:t>
      </w:r>
      <w:r>
        <w:t xml:space="preserve"> service from the definition of a managed investment scheme (MIS).  Th</w:t>
      </w:r>
      <w:r w:rsidR="005A146A">
        <w:t>is is to ensure the CSF intermediary is not subject to obligations under</w:t>
      </w:r>
      <w:r w:rsidR="00521C69">
        <w:t xml:space="preserve"> both</w:t>
      </w:r>
      <w:r w:rsidR="005A146A">
        <w:t xml:space="preserve"> the CSF regime and the MIS rules.</w:t>
      </w:r>
      <w:r w:rsidR="00D13B00">
        <w:t xml:space="preserve"> </w:t>
      </w:r>
      <w:r w:rsidR="00D13B00" w:rsidRPr="00F63766">
        <w:rPr>
          <w:b/>
          <w:i/>
          <w:sz w:val="18"/>
        </w:rPr>
        <w:t>[Schedule 1, Part 1, item 2,</w:t>
      </w:r>
      <w:r w:rsidR="00D13B00">
        <w:rPr>
          <w:b/>
          <w:i/>
          <w:sz w:val="18"/>
        </w:rPr>
        <w:t xml:space="preserve"> section 9]</w:t>
      </w:r>
    </w:p>
    <w:p w14:paraId="514DCE6B" w14:textId="58DCE11F" w:rsidR="00E27590" w:rsidRPr="00F63766" w:rsidRDefault="008C3EA7" w:rsidP="00E27590">
      <w:pPr>
        <w:pStyle w:val="Heading3"/>
      </w:pPr>
      <w:r w:rsidRPr="00F63766">
        <w:t>O</w:t>
      </w:r>
      <w:r w:rsidR="00E27590" w:rsidRPr="00F63766">
        <w:t>bligations of a CSF intermediary</w:t>
      </w:r>
    </w:p>
    <w:p w14:paraId="30F4C3BA" w14:textId="00E43AA1" w:rsidR="00E27590" w:rsidRPr="00F63766" w:rsidRDefault="00E27590" w:rsidP="005F5526">
      <w:pPr>
        <w:pStyle w:val="base-text-paragraph"/>
      </w:pPr>
      <w:r w:rsidRPr="00F63766">
        <w:t xml:space="preserve">The legislation imposes a number of obligations on the CSF intermediary, referred to as a ‘responsible intermediary’ in relation to a particular CSF offer </w:t>
      </w:r>
      <w:r w:rsidRPr="00F63766">
        <w:rPr>
          <w:b/>
          <w:i/>
          <w:sz w:val="18"/>
        </w:rPr>
        <w:t xml:space="preserve">[Schedule 1, Part 1, </w:t>
      </w:r>
      <w:r w:rsidR="004C3043">
        <w:rPr>
          <w:b/>
          <w:i/>
          <w:sz w:val="18"/>
        </w:rPr>
        <w:t>item 14</w:t>
      </w:r>
      <w:r w:rsidRPr="00F63766">
        <w:rPr>
          <w:b/>
          <w:i/>
          <w:sz w:val="18"/>
        </w:rPr>
        <w:t xml:space="preserve">, subsection </w:t>
      </w:r>
      <w:proofErr w:type="gramStart"/>
      <w:r w:rsidRPr="00F63766">
        <w:rPr>
          <w:b/>
          <w:i/>
          <w:sz w:val="18"/>
        </w:rPr>
        <w:t>738L(</w:t>
      </w:r>
      <w:proofErr w:type="gramEnd"/>
      <w:r w:rsidRPr="00F63766">
        <w:rPr>
          <w:b/>
          <w:i/>
          <w:sz w:val="18"/>
        </w:rPr>
        <w:t>5)]</w:t>
      </w:r>
      <w:r w:rsidRPr="00F63766">
        <w:t xml:space="preserve">.  </w:t>
      </w:r>
      <w:r w:rsidR="00DD2679">
        <w:t xml:space="preserve">The </w:t>
      </w:r>
      <w:r w:rsidRPr="00F63766">
        <w:t>intermediary must comply with:</w:t>
      </w:r>
    </w:p>
    <w:p w14:paraId="196445D4" w14:textId="10BF6B1A" w:rsidR="0096239B" w:rsidRPr="00F63766" w:rsidRDefault="00DD2679" w:rsidP="005E71BA">
      <w:pPr>
        <w:pStyle w:val="dotpoint"/>
      </w:pPr>
      <w:r>
        <w:t xml:space="preserve">the </w:t>
      </w:r>
      <w:r w:rsidR="0096239B" w:rsidRPr="00F63766">
        <w:t>‘</w:t>
      </w:r>
      <w:r w:rsidR="000D5101">
        <w:t>gatekeeper</w:t>
      </w:r>
      <w:r w:rsidR="0096239B" w:rsidRPr="00F63766">
        <w:t xml:space="preserve">’ obligations (which set out when an intermediary must not </w:t>
      </w:r>
      <w:r w:rsidR="00410916">
        <w:t>publish, or continue to publish, the offer document of an issuer company on its platform</w:t>
      </w:r>
      <w:r w:rsidR="0096239B" w:rsidRPr="00F63766">
        <w:t xml:space="preserve">); </w:t>
      </w:r>
    </w:p>
    <w:p w14:paraId="36D788F8" w14:textId="77777777" w:rsidR="0096239B" w:rsidRPr="00F63766" w:rsidRDefault="0096239B" w:rsidP="005E71BA">
      <w:pPr>
        <w:pStyle w:val="dotpoint"/>
      </w:pPr>
      <w:r w:rsidRPr="00F63766">
        <w:t xml:space="preserve">the obligation to provide a communication facility; </w:t>
      </w:r>
    </w:p>
    <w:p w14:paraId="05AE64DB" w14:textId="29DDC5B0" w:rsidR="0096239B" w:rsidRPr="00F63766" w:rsidRDefault="0096239B" w:rsidP="005E71BA">
      <w:pPr>
        <w:pStyle w:val="dotpoint"/>
      </w:pPr>
      <w:r w:rsidRPr="00F63766">
        <w:t xml:space="preserve">the obligation to display the CSF risk warning, display cooling-off rights and appropriately disclose fees and interests in an issuer company on the platform; </w:t>
      </w:r>
    </w:p>
    <w:p w14:paraId="0E5FDDC2" w14:textId="704964D7" w:rsidR="0096239B" w:rsidRPr="00F63766" w:rsidRDefault="0096239B" w:rsidP="005E71BA">
      <w:pPr>
        <w:pStyle w:val="dotpoint"/>
      </w:pPr>
      <w:r w:rsidRPr="00F63766">
        <w:t xml:space="preserve">the obligation to </w:t>
      </w:r>
      <w:r w:rsidR="007B3BCC">
        <w:t>implement systems and procedures so that retail clients receive</w:t>
      </w:r>
      <w:r w:rsidR="00C44EF6">
        <w:t xml:space="preserve"> the </w:t>
      </w:r>
      <w:r w:rsidR="007B3BCC">
        <w:t xml:space="preserve">additional </w:t>
      </w:r>
      <w:r w:rsidRPr="00F63766">
        <w:t>investor protections</w:t>
      </w:r>
      <w:r w:rsidR="00C44EF6">
        <w:t xml:space="preserve"> in the CSF regime</w:t>
      </w:r>
      <w:r w:rsidRPr="00F63766">
        <w:t xml:space="preserve"> (cooling-off rights, investor cap, </w:t>
      </w:r>
      <w:r w:rsidR="00820284">
        <w:t xml:space="preserve">the </w:t>
      </w:r>
      <w:r w:rsidRPr="00F63766">
        <w:t>risk acknowledgement</w:t>
      </w:r>
      <w:r w:rsidR="00820284">
        <w:t xml:space="preserve"> and the</w:t>
      </w:r>
      <w:r w:rsidRPr="00F63766">
        <w:t xml:space="preserve"> prohibition on providing financial assistance); and</w:t>
      </w:r>
    </w:p>
    <w:p w14:paraId="7CEB7C1C" w14:textId="7C8E7462" w:rsidR="006A1CF4" w:rsidRPr="00F63766" w:rsidRDefault="0096239B" w:rsidP="005E71BA">
      <w:pPr>
        <w:pStyle w:val="dotpoint"/>
      </w:pPr>
      <w:proofErr w:type="gramStart"/>
      <w:r w:rsidRPr="00F63766">
        <w:t>the</w:t>
      </w:r>
      <w:proofErr w:type="gramEnd"/>
      <w:r w:rsidRPr="00F63766">
        <w:t xml:space="preserve"> obligations to close or suspend the offer as required, and handle application </w:t>
      </w:r>
      <w:r w:rsidR="00100D64">
        <w:t>money appropriately</w:t>
      </w:r>
      <w:r w:rsidRPr="00F63766">
        <w:t xml:space="preserve">.  </w:t>
      </w:r>
    </w:p>
    <w:p w14:paraId="5E8C0086" w14:textId="73884927" w:rsidR="00E27590" w:rsidRPr="00F63766" w:rsidRDefault="000D5101" w:rsidP="00E27590">
      <w:pPr>
        <w:pStyle w:val="Heading3"/>
      </w:pPr>
      <w:r>
        <w:t>Gatekeeper</w:t>
      </w:r>
      <w:r w:rsidR="00E27590" w:rsidRPr="00F63766">
        <w:t xml:space="preserve"> obligations</w:t>
      </w:r>
    </w:p>
    <w:p w14:paraId="3BFD08BF" w14:textId="06DBA36B" w:rsidR="00E27590" w:rsidRPr="00F63766" w:rsidRDefault="00E27590" w:rsidP="005F5526">
      <w:pPr>
        <w:pStyle w:val="base-text-paragraph"/>
      </w:pPr>
      <w:r w:rsidRPr="00F63766">
        <w:t>An intermediary must comply with certain ‘</w:t>
      </w:r>
      <w:r w:rsidR="000D5101">
        <w:t>gatekeeper</w:t>
      </w:r>
      <w:r w:rsidRPr="00F63766">
        <w:t>’ obligations</w:t>
      </w:r>
      <w:r w:rsidR="006A1CF4" w:rsidRPr="00F63766">
        <w:t xml:space="preserve"> </w:t>
      </w:r>
      <w:r w:rsidRPr="00F63766">
        <w:rPr>
          <w:b/>
          <w:i/>
          <w:sz w:val="18"/>
        </w:rPr>
        <w:t xml:space="preserve">[Schedule 1, Part 1, </w:t>
      </w:r>
      <w:r w:rsidR="004C3043">
        <w:rPr>
          <w:b/>
          <w:i/>
          <w:sz w:val="18"/>
        </w:rPr>
        <w:t>item 14</w:t>
      </w:r>
      <w:r w:rsidRPr="00F63766">
        <w:rPr>
          <w:b/>
          <w:i/>
          <w:sz w:val="18"/>
        </w:rPr>
        <w:t>, section 738Q]</w:t>
      </w:r>
      <w:r w:rsidRPr="00F63766">
        <w:t>.</w:t>
      </w:r>
    </w:p>
    <w:p w14:paraId="35802B7D" w14:textId="7C34ECCD" w:rsidR="00012575" w:rsidRPr="00F63766" w:rsidRDefault="00012575" w:rsidP="00227DA1">
      <w:pPr>
        <w:pStyle w:val="Heading4"/>
      </w:pPr>
      <w:r w:rsidRPr="00F63766">
        <w:t>Intermediary must conduct prescribed checks</w:t>
      </w:r>
    </w:p>
    <w:p w14:paraId="754548B9" w14:textId="73FC893B" w:rsidR="00E27590" w:rsidRPr="00F63766" w:rsidRDefault="00E27590" w:rsidP="005F5526">
      <w:pPr>
        <w:pStyle w:val="base-text-paragraph"/>
      </w:pPr>
      <w:r w:rsidRPr="00F63766">
        <w:t xml:space="preserve">Prior to publishing an offer document on its platform, an intermediary must conduct </w:t>
      </w:r>
      <w:r w:rsidR="002F47D1" w:rsidRPr="00F63766">
        <w:t xml:space="preserve">certain </w:t>
      </w:r>
      <w:r w:rsidRPr="00F63766">
        <w:t>checks</w:t>
      </w:r>
      <w:r w:rsidR="00C95AAD">
        <w:t xml:space="preserve">, which will be </w:t>
      </w:r>
      <w:r w:rsidRPr="00F63766">
        <w:t>specified in the regulations (‘prescribed checks’)</w:t>
      </w:r>
      <w:r w:rsidR="00A96593">
        <w:t>.</w:t>
      </w:r>
      <w:r w:rsidRPr="00F63766">
        <w:t xml:space="preserve"> </w:t>
      </w:r>
      <w:r w:rsidRPr="00F63766">
        <w:rPr>
          <w:b/>
          <w:i/>
          <w:sz w:val="18"/>
        </w:rPr>
        <w:t>[Schedule 1, Part 1, item 1</w:t>
      </w:r>
      <w:r w:rsidR="00F7150F" w:rsidRPr="00F63766">
        <w:rPr>
          <w:b/>
          <w:i/>
          <w:sz w:val="18"/>
        </w:rPr>
        <w:t>4</w:t>
      </w:r>
      <w:r w:rsidRPr="00F63766">
        <w:rPr>
          <w:b/>
          <w:i/>
          <w:sz w:val="18"/>
        </w:rPr>
        <w:t>, subsection 738Q(1)]</w:t>
      </w:r>
    </w:p>
    <w:p w14:paraId="7E03CA07" w14:textId="74A8E9B4" w:rsidR="00E27590" w:rsidRPr="00F63766" w:rsidRDefault="00E27590" w:rsidP="005F5526">
      <w:pPr>
        <w:pStyle w:val="base-text-paragraph"/>
      </w:pPr>
      <w:r w:rsidRPr="00F63766">
        <w:t xml:space="preserve">The intermediary must conduct the checks to a ‘reasonable standard’ </w:t>
      </w:r>
      <w:r w:rsidRPr="00F63766">
        <w:rPr>
          <w:b/>
          <w:i/>
          <w:sz w:val="18"/>
        </w:rPr>
        <w:t>[Schedule 1, Part 1, item 1</w:t>
      </w:r>
      <w:r w:rsidR="00F7150F" w:rsidRPr="00F63766">
        <w:rPr>
          <w:b/>
          <w:i/>
          <w:sz w:val="18"/>
        </w:rPr>
        <w:t>4</w:t>
      </w:r>
      <w:r w:rsidRPr="00F63766">
        <w:rPr>
          <w:b/>
          <w:i/>
          <w:sz w:val="18"/>
        </w:rPr>
        <w:t>, subsection </w:t>
      </w:r>
      <w:proofErr w:type="gramStart"/>
      <w:r w:rsidRPr="00F63766">
        <w:rPr>
          <w:b/>
          <w:i/>
          <w:sz w:val="18"/>
        </w:rPr>
        <w:t>738Q(</w:t>
      </w:r>
      <w:proofErr w:type="gramEnd"/>
      <w:r w:rsidRPr="00F63766">
        <w:rPr>
          <w:b/>
          <w:i/>
          <w:sz w:val="18"/>
        </w:rPr>
        <w:t>1)]</w:t>
      </w:r>
      <w:r w:rsidRPr="00F63766">
        <w:t xml:space="preserve">.  </w:t>
      </w:r>
      <w:r w:rsidR="00B6560C">
        <w:t>T</w:t>
      </w:r>
      <w:r w:rsidR="00756C5E" w:rsidRPr="00F63766">
        <w:t>he</w:t>
      </w:r>
      <w:r w:rsidR="00F7150F" w:rsidRPr="00F63766">
        <w:t xml:space="preserve"> amendments include a regulation-making power that </w:t>
      </w:r>
      <w:r w:rsidR="00852D1E" w:rsidRPr="00F63766">
        <w:t>could</w:t>
      </w:r>
      <w:r w:rsidR="00F7150F" w:rsidRPr="00F63766">
        <w:t xml:space="preserve"> be used to </w:t>
      </w:r>
      <w:r w:rsidR="00442985" w:rsidRPr="00F63766">
        <w:t xml:space="preserve">prescribe what </w:t>
      </w:r>
      <w:r w:rsidR="000F1054" w:rsidRPr="00F63766">
        <w:t>would be considered</w:t>
      </w:r>
      <w:r w:rsidR="00442985" w:rsidRPr="00F63766">
        <w:t xml:space="preserve"> a reasonable standard for some or all of the checks</w:t>
      </w:r>
      <w:r w:rsidR="00DD6EA0" w:rsidRPr="00F63766">
        <w:t xml:space="preserve">, thereby providing </w:t>
      </w:r>
      <w:r w:rsidR="000F1054" w:rsidRPr="00F63766">
        <w:t>certainty to intermediaries</w:t>
      </w:r>
      <w:r w:rsidR="00C506F6">
        <w:t xml:space="preserve"> </w:t>
      </w:r>
      <w:r w:rsidR="00DD6EA0" w:rsidRPr="00F63766">
        <w:t xml:space="preserve">conducting the checks </w:t>
      </w:r>
      <w:r w:rsidR="00145C52" w:rsidRPr="00F63766">
        <w:rPr>
          <w:b/>
          <w:i/>
          <w:sz w:val="18"/>
        </w:rPr>
        <w:t>[Schedule 1, Part 1, item </w:t>
      </w:r>
      <w:r w:rsidR="007235A2" w:rsidRPr="00F63766">
        <w:rPr>
          <w:b/>
          <w:i/>
          <w:sz w:val="18"/>
        </w:rPr>
        <w:t>14</w:t>
      </w:r>
      <w:r w:rsidR="00145C52" w:rsidRPr="00F63766">
        <w:rPr>
          <w:b/>
          <w:i/>
          <w:sz w:val="18"/>
        </w:rPr>
        <w:t>, subsection 738Q(2)]</w:t>
      </w:r>
      <w:r w:rsidR="000F1054" w:rsidRPr="00F63766">
        <w:t>.</w:t>
      </w:r>
    </w:p>
    <w:p w14:paraId="7A2CB79D" w14:textId="20611F62" w:rsidR="00D0745A" w:rsidRDefault="00E27590" w:rsidP="005F5526">
      <w:pPr>
        <w:pStyle w:val="base-text-paragraph"/>
      </w:pPr>
      <w:r w:rsidRPr="00F63766">
        <w:t xml:space="preserve">An intermediary that fails to conduct </w:t>
      </w:r>
      <w:r w:rsidR="0021640B" w:rsidRPr="00F63766">
        <w:t xml:space="preserve">the </w:t>
      </w:r>
      <w:r w:rsidRPr="00F63766">
        <w:t>check</w:t>
      </w:r>
      <w:r w:rsidR="0021640B" w:rsidRPr="00F63766">
        <w:t>s, or fails to conduct the checks</w:t>
      </w:r>
      <w:r w:rsidRPr="00F63766">
        <w:t xml:space="preserve"> to a reasonable standard</w:t>
      </w:r>
      <w:r w:rsidR="0021640B" w:rsidRPr="00F63766">
        <w:t>,</w:t>
      </w:r>
      <w:r w:rsidRPr="00F63766">
        <w:t xml:space="preserve"> will commit a strict liability offence, punishable by a maximum penalty of 50 penalty units </w:t>
      </w:r>
      <w:r w:rsidRPr="00D0745A">
        <w:rPr>
          <w:rStyle w:val="Referencingstyle"/>
        </w:rPr>
        <w:t>[Schedule 1, Part 1, item </w:t>
      </w:r>
      <w:r w:rsidR="007235A2" w:rsidRPr="00D0745A">
        <w:rPr>
          <w:rStyle w:val="Referencingstyle"/>
        </w:rPr>
        <w:t>14</w:t>
      </w:r>
      <w:r w:rsidR="00AF675F">
        <w:rPr>
          <w:rStyle w:val="Referencingstyle"/>
        </w:rPr>
        <w:t xml:space="preserve"> and 34</w:t>
      </w:r>
      <w:r w:rsidRPr="00D0745A">
        <w:rPr>
          <w:rStyle w:val="Referencingstyle"/>
        </w:rPr>
        <w:t>, subsection 738Q(</w:t>
      </w:r>
      <w:r w:rsidR="007235A2" w:rsidRPr="00D0745A">
        <w:rPr>
          <w:rStyle w:val="Referencingstyle"/>
        </w:rPr>
        <w:t>3</w:t>
      </w:r>
      <w:r w:rsidRPr="00D0745A">
        <w:rPr>
          <w:rStyle w:val="Referencingstyle"/>
        </w:rPr>
        <w:t>)</w:t>
      </w:r>
      <w:r w:rsidR="00BC2272" w:rsidRPr="00D0745A">
        <w:rPr>
          <w:rStyle w:val="Referencingstyle"/>
        </w:rPr>
        <w:t xml:space="preserve"> and item 245E </w:t>
      </w:r>
      <w:r w:rsidR="00C13BCD">
        <w:rPr>
          <w:rStyle w:val="Referencingstyle"/>
        </w:rPr>
        <w:t>in</w:t>
      </w:r>
      <w:r w:rsidR="00BC2272" w:rsidRPr="00D0745A">
        <w:rPr>
          <w:rStyle w:val="Referencingstyle"/>
        </w:rPr>
        <w:t xml:space="preserve"> the table to Schedule 3]</w:t>
      </w:r>
      <w:r w:rsidRPr="00F63766">
        <w:t xml:space="preserve">.  </w:t>
      </w:r>
    </w:p>
    <w:p w14:paraId="726A733D" w14:textId="208CFE7E" w:rsidR="00E27590" w:rsidRPr="00F63766" w:rsidRDefault="00E27590" w:rsidP="005F5526">
      <w:pPr>
        <w:pStyle w:val="base-text-paragraph"/>
      </w:pPr>
      <w:r w:rsidRPr="00F63766">
        <w:t>Strict liability, and the level of penalty, is appropriate, because:</w:t>
      </w:r>
    </w:p>
    <w:p w14:paraId="732D3539" w14:textId="13BC6FE6" w:rsidR="00E27590" w:rsidRPr="00F63766" w:rsidRDefault="00E27590" w:rsidP="00E27590">
      <w:pPr>
        <w:pStyle w:val="dotpoint"/>
      </w:pPr>
      <w:r w:rsidRPr="00F63766">
        <w:t xml:space="preserve">the </w:t>
      </w:r>
      <w:r w:rsidR="0021640B" w:rsidRPr="00F63766">
        <w:t xml:space="preserve">intermediary </w:t>
      </w:r>
      <w:r w:rsidR="00172D41" w:rsidRPr="00F63766">
        <w:t xml:space="preserve">has </w:t>
      </w:r>
      <w:r w:rsidR="0021640B" w:rsidRPr="00F63766">
        <w:t xml:space="preserve">a central role in the CSF </w:t>
      </w:r>
      <w:r w:rsidR="002E0B05" w:rsidRPr="00F63766">
        <w:t>regime</w:t>
      </w:r>
      <w:r w:rsidR="0021640B" w:rsidRPr="00F63766">
        <w:t xml:space="preserve"> and the </w:t>
      </w:r>
      <w:r w:rsidR="000D7173" w:rsidRPr="00F63766">
        <w:t xml:space="preserve">obligation to conduct the </w:t>
      </w:r>
      <w:r w:rsidRPr="00F63766">
        <w:t xml:space="preserve">prescribed checks </w:t>
      </w:r>
      <w:r w:rsidR="0021640B" w:rsidRPr="00F63766">
        <w:t xml:space="preserve">to a reasonable standard </w:t>
      </w:r>
      <w:r w:rsidR="00D0745A">
        <w:t>is necessary to maintain</w:t>
      </w:r>
      <w:r w:rsidRPr="00F63766">
        <w:t xml:space="preserve"> the integrity of the CSF regime;</w:t>
      </w:r>
    </w:p>
    <w:p w14:paraId="285FB356" w14:textId="35F8192A" w:rsidR="00E27590" w:rsidRPr="00F63766" w:rsidRDefault="002E0B05" w:rsidP="00E27590">
      <w:pPr>
        <w:pStyle w:val="dotpoint"/>
      </w:pPr>
      <w:r w:rsidRPr="00F63766">
        <w:t xml:space="preserve">conducting the checks and </w:t>
      </w:r>
      <w:r w:rsidR="00E27590" w:rsidRPr="00F63766">
        <w:t xml:space="preserve">the standard to which the checks are conducted </w:t>
      </w:r>
      <w:r w:rsidRPr="00F63766">
        <w:t>is</w:t>
      </w:r>
      <w:r w:rsidR="000D7173" w:rsidRPr="00F63766">
        <w:t xml:space="preserve"> </w:t>
      </w:r>
      <w:r w:rsidR="00E27590" w:rsidRPr="00F63766">
        <w:t xml:space="preserve">entirely dependent on the </w:t>
      </w:r>
      <w:r w:rsidR="004130B4">
        <w:t>conduct</w:t>
      </w:r>
      <w:r w:rsidR="00E27590" w:rsidRPr="00F63766">
        <w:t xml:space="preserve"> of the intermediary</w:t>
      </w:r>
      <w:r w:rsidR="00D81AB4" w:rsidRPr="00F63766">
        <w:t xml:space="preserve"> who is liable for the offence</w:t>
      </w:r>
      <w:r w:rsidR="00E27590" w:rsidRPr="00F63766">
        <w:t>;</w:t>
      </w:r>
    </w:p>
    <w:p w14:paraId="6DCCA552" w14:textId="77777777" w:rsidR="002215D8" w:rsidRDefault="002215D8" w:rsidP="002215D8">
      <w:pPr>
        <w:pStyle w:val="dotpoint"/>
        <w:numPr>
          <w:ilvl w:val="0"/>
          <w:numId w:val="0"/>
        </w:numPr>
        <w:ind w:left="2268"/>
      </w:pPr>
    </w:p>
    <w:p w14:paraId="194144D6" w14:textId="5D706C31" w:rsidR="002215D8" w:rsidRDefault="002215D8">
      <w:pPr>
        <w:spacing w:before="0" w:after="0"/>
      </w:pPr>
    </w:p>
    <w:p w14:paraId="7A6FA5CF" w14:textId="5EEF3140" w:rsidR="00E27590" w:rsidRPr="00F63766" w:rsidRDefault="000D7173" w:rsidP="00E27590">
      <w:pPr>
        <w:pStyle w:val="dotpoint"/>
      </w:pPr>
      <w:proofErr w:type="gramStart"/>
      <w:r w:rsidRPr="00F63766">
        <w:t>the</w:t>
      </w:r>
      <w:proofErr w:type="gramEnd"/>
      <w:r w:rsidR="003418D5" w:rsidRPr="00F63766">
        <w:t xml:space="preserve"> proposed</w:t>
      </w:r>
      <w:r w:rsidRPr="00F63766">
        <w:t xml:space="preserve"> </w:t>
      </w:r>
      <w:r w:rsidR="0021640B" w:rsidRPr="00F63766">
        <w:t xml:space="preserve">penalty for the offence is consistent with the </w:t>
      </w:r>
      <w:r w:rsidR="001061D0">
        <w:t>Governmen</w:t>
      </w:r>
      <w:r w:rsidR="00414397">
        <w:t>t</w:t>
      </w:r>
      <w:r w:rsidR="001061D0">
        <w:t>’s</w:t>
      </w:r>
      <w:r w:rsidR="0021640B" w:rsidRPr="00F63766">
        <w:t xml:space="preserve"> </w:t>
      </w:r>
      <w:r w:rsidR="0021640B" w:rsidRPr="00B96F32">
        <w:rPr>
          <w:i/>
        </w:rPr>
        <w:t>Guide to Framing Commonwealth Offences, Infringement Notices and Enforcement Powers</w:t>
      </w:r>
      <w:r w:rsidR="0021640B" w:rsidRPr="00F63766">
        <w:t xml:space="preserve"> </w:t>
      </w:r>
      <w:r w:rsidR="003418D5" w:rsidRPr="00F63766">
        <w:t>which specifies</w:t>
      </w:r>
      <w:r w:rsidR="00811287">
        <w:t xml:space="preserve"> that a strict liability offence should be punishable by a </w:t>
      </w:r>
      <w:r w:rsidR="003418D5" w:rsidRPr="00F63766">
        <w:t xml:space="preserve">maximum penalty of </w:t>
      </w:r>
      <w:r w:rsidR="009246D4">
        <w:t>6</w:t>
      </w:r>
      <w:r w:rsidR="003418D5" w:rsidRPr="00F63766">
        <w:t xml:space="preserve">0 penalty units </w:t>
      </w:r>
      <w:r w:rsidR="00811287">
        <w:t xml:space="preserve">with no term of imprisonment. </w:t>
      </w:r>
    </w:p>
    <w:p w14:paraId="2838DF8D" w14:textId="4659EFD2" w:rsidR="00E27590" w:rsidRDefault="00F76FFB" w:rsidP="005F5526">
      <w:pPr>
        <w:pStyle w:val="base-text-paragraph"/>
      </w:pPr>
      <w:r>
        <w:t xml:space="preserve">Where an intermediary fails to </w:t>
      </w:r>
      <w:r w:rsidR="00D6065D" w:rsidRPr="00F63766">
        <w:t>conduct a check, or fail</w:t>
      </w:r>
      <w:r>
        <w:t>s</w:t>
      </w:r>
      <w:r w:rsidR="00D6065D" w:rsidRPr="00F63766">
        <w:t xml:space="preserve"> to conduct </w:t>
      </w:r>
      <w:r w:rsidR="00F86DB4">
        <w:t xml:space="preserve">a </w:t>
      </w:r>
      <w:r w:rsidR="00D6065D" w:rsidRPr="00F63766">
        <w:t xml:space="preserve">check to a reasonable standard, </w:t>
      </w:r>
      <w:r w:rsidR="002F0430">
        <w:t>t</w:t>
      </w:r>
      <w:r w:rsidR="00D6065D" w:rsidRPr="00F63766">
        <w:t>he</w:t>
      </w:r>
      <w:r w:rsidR="000D7173" w:rsidRPr="00F63766">
        <w:t xml:space="preserve"> intermediary </w:t>
      </w:r>
      <w:r w:rsidR="00A01BED" w:rsidRPr="00F63766">
        <w:t xml:space="preserve">is </w:t>
      </w:r>
      <w:r w:rsidR="00E27590" w:rsidRPr="00F63766">
        <w:t xml:space="preserve">taken to have knowledge of any matter that they would have had knowledge of had they </w:t>
      </w:r>
      <w:r w:rsidR="000D7173" w:rsidRPr="00F63766">
        <w:t xml:space="preserve">conducted </w:t>
      </w:r>
      <w:r w:rsidR="00E27590" w:rsidRPr="00F63766">
        <w:t xml:space="preserve">the check to </w:t>
      </w:r>
      <w:r w:rsidR="00A05DDB">
        <w:t>a</w:t>
      </w:r>
      <w:r w:rsidR="00E27590" w:rsidRPr="00F63766">
        <w:t xml:space="preserve"> reasonable standard </w:t>
      </w:r>
      <w:r w:rsidR="00E27590" w:rsidRPr="00F63766">
        <w:rPr>
          <w:b/>
          <w:i/>
          <w:sz w:val="18"/>
        </w:rPr>
        <w:t>[Schedule 1, Part 1, item 1</w:t>
      </w:r>
      <w:r w:rsidR="00D2220A" w:rsidRPr="00F63766">
        <w:rPr>
          <w:b/>
          <w:i/>
          <w:sz w:val="18"/>
        </w:rPr>
        <w:t>4</w:t>
      </w:r>
      <w:r w:rsidR="00E27590" w:rsidRPr="00F63766">
        <w:rPr>
          <w:b/>
          <w:i/>
          <w:sz w:val="18"/>
        </w:rPr>
        <w:t>, subsection 738Q(</w:t>
      </w:r>
      <w:r w:rsidR="00D2220A" w:rsidRPr="00F63766">
        <w:rPr>
          <w:b/>
          <w:i/>
          <w:sz w:val="18"/>
        </w:rPr>
        <w:t>4</w:t>
      </w:r>
      <w:r w:rsidR="00E27590" w:rsidRPr="00F63766">
        <w:rPr>
          <w:b/>
          <w:i/>
          <w:sz w:val="18"/>
        </w:rPr>
        <w:t>)]</w:t>
      </w:r>
      <w:r w:rsidR="00E27590" w:rsidRPr="00F63766">
        <w:t xml:space="preserve">.  This deemed knowledge </w:t>
      </w:r>
      <w:r w:rsidR="00BF55FD" w:rsidRPr="00F63766">
        <w:t xml:space="preserve">is </w:t>
      </w:r>
      <w:r w:rsidR="00E27590" w:rsidRPr="00F63766">
        <w:t xml:space="preserve">relevant </w:t>
      </w:r>
      <w:r w:rsidR="00224456" w:rsidRPr="00F63766">
        <w:t xml:space="preserve">in </w:t>
      </w:r>
      <w:r w:rsidR="00E27590" w:rsidRPr="00F63766">
        <w:t xml:space="preserve">determining whether the intermediary has complied with </w:t>
      </w:r>
      <w:r w:rsidR="00D959AA" w:rsidRPr="00F63766">
        <w:t xml:space="preserve">its obligations </w:t>
      </w:r>
      <w:r w:rsidR="00D2220A" w:rsidRPr="00F63766">
        <w:t>to not publish</w:t>
      </w:r>
      <w:r w:rsidR="00646426">
        <w:t>, or not continue to publish,</w:t>
      </w:r>
      <w:r w:rsidR="00E27590" w:rsidRPr="00F63766">
        <w:t xml:space="preserve"> </w:t>
      </w:r>
      <w:r w:rsidR="00D2220A" w:rsidRPr="00F63766">
        <w:t>the</w:t>
      </w:r>
      <w:r w:rsidR="00E27590" w:rsidRPr="00F63766">
        <w:t xml:space="preserve"> CSF offer document</w:t>
      </w:r>
      <w:r w:rsidR="00646426">
        <w:t xml:space="preserve"> (discussed below). </w:t>
      </w:r>
    </w:p>
    <w:p w14:paraId="007A2C8C" w14:textId="77777777" w:rsidR="00AC5F65" w:rsidRDefault="005B4F12" w:rsidP="005F5526">
      <w:pPr>
        <w:pStyle w:val="base-text-paragraph"/>
      </w:pPr>
      <w:r>
        <w:t xml:space="preserve">While the regulations will prescribe the checks that must be conducted by an intermediary prior to publishing a CSF offer document, they are not intended to limit the checks or information that may be sought by an intermediary from the issuer company or its officers.  </w:t>
      </w:r>
    </w:p>
    <w:p w14:paraId="36281BF6" w14:textId="1F24A54C" w:rsidR="005B4F12" w:rsidRPr="00F63766" w:rsidRDefault="0040394F" w:rsidP="005F5526">
      <w:pPr>
        <w:pStyle w:val="base-text-paragraph"/>
      </w:pPr>
      <w:r>
        <w:t xml:space="preserve">The amendments make it an offence for an officer or employee of a company to provide information that they know to be false or misleading in a material </w:t>
      </w:r>
      <w:r w:rsidR="001931C3">
        <w:t>particular</w:t>
      </w:r>
      <w:r>
        <w:t xml:space="preserve">, or that omits a matter </w:t>
      </w:r>
      <w:proofErr w:type="spellStart"/>
      <w:r>
        <w:t>or</w:t>
      </w:r>
      <w:proofErr w:type="spellEnd"/>
      <w:r>
        <w:t xml:space="preserve"> thing which renders the information misleading in a material particular</w:t>
      </w:r>
      <w:r w:rsidR="009D3A8A">
        <w:t>.</w:t>
      </w:r>
      <w:r w:rsidR="00DE5657">
        <w:t xml:space="preserve"> </w:t>
      </w:r>
      <w:r w:rsidR="00DE5657" w:rsidRPr="00823BA9">
        <w:rPr>
          <w:rStyle w:val="Referencingstyle"/>
        </w:rPr>
        <w:t>[Schedule</w:t>
      </w:r>
      <w:r w:rsidR="00FF5B20">
        <w:rPr>
          <w:rStyle w:val="Referencingstyle"/>
        </w:rPr>
        <w:t> </w:t>
      </w:r>
      <w:r w:rsidR="00DE5657" w:rsidRPr="00823BA9">
        <w:rPr>
          <w:rStyle w:val="Referencingstyle"/>
        </w:rPr>
        <w:t>1,</w:t>
      </w:r>
      <w:r w:rsidR="00585184" w:rsidRPr="00823BA9">
        <w:rPr>
          <w:rStyle w:val="Referencingstyle"/>
        </w:rPr>
        <w:t> </w:t>
      </w:r>
      <w:r w:rsidR="00DE5657" w:rsidRPr="00823BA9">
        <w:rPr>
          <w:rStyle w:val="Referencingstyle"/>
        </w:rPr>
        <w:t>Part</w:t>
      </w:r>
      <w:r w:rsidR="00585184" w:rsidRPr="00823BA9">
        <w:rPr>
          <w:rStyle w:val="Referencingstyle"/>
        </w:rPr>
        <w:t> </w:t>
      </w:r>
      <w:r w:rsidR="00DE5657" w:rsidRPr="00823BA9">
        <w:rPr>
          <w:rStyle w:val="Referencingstyle"/>
        </w:rPr>
        <w:t>1, item 32, paragraph </w:t>
      </w:r>
      <w:r w:rsidR="007953C8">
        <w:rPr>
          <w:rStyle w:val="Referencingstyle"/>
        </w:rPr>
        <w:t>2</w:t>
      </w:r>
      <w:r w:rsidR="00DE5657" w:rsidRPr="00823BA9">
        <w:rPr>
          <w:rStyle w:val="Referencingstyle"/>
        </w:rPr>
        <w:t>(1)(c)]</w:t>
      </w:r>
      <w:r>
        <w:t xml:space="preserve">  </w:t>
      </w:r>
    </w:p>
    <w:p w14:paraId="6CE8BF4E" w14:textId="26350E5A" w:rsidR="006B596D" w:rsidRPr="00F63766" w:rsidRDefault="006B596D" w:rsidP="00227DA1">
      <w:pPr>
        <w:pStyle w:val="Heading4"/>
      </w:pPr>
      <w:r w:rsidRPr="00F63766">
        <w:t>Intermediary must not publish or continue to publish offer document if not satisfied as to certain matters</w:t>
      </w:r>
    </w:p>
    <w:p w14:paraId="28E4E689" w14:textId="053D7A9D" w:rsidR="00E27590" w:rsidRPr="00F63766" w:rsidRDefault="0048763C" w:rsidP="005F5526">
      <w:pPr>
        <w:pStyle w:val="base-text-paragraph"/>
      </w:pPr>
      <w:r>
        <w:t>A</w:t>
      </w:r>
      <w:r w:rsidR="00E27590" w:rsidRPr="00F63766">
        <w:t xml:space="preserve"> CSF intermediary must not publish, or continue to publish, an offer document if it:</w:t>
      </w:r>
    </w:p>
    <w:p w14:paraId="706CE617" w14:textId="17684AB1" w:rsidR="00E27590" w:rsidRPr="00F63766" w:rsidRDefault="00E27590" w:rsidP="00A96593">
      <w:pPr>
        <w:pStyle w:val="dotpoint"/>
        <w:keepNext/>
        <w:keepLines/>
      </w:pPr>
      <w:r w:rsidRPr="00F63766">
        <w:t xml:space="preserve">is not satisfied as to the identity of the company making the offer or </w:t>
      </w:r>
      <w:r w:rsidR="00D31C0A" w:rsidRPr="00F63766">
        <w:t xml:space="preserve">of </w:t>
      </w:r>
      <w:r w:rsidRPr="00F63766">
        <w:t>its directors</w:t>
      </w:r>
      <w:r w:rsidR="00D31C0A" w:rsidRPr="00F63766">
        <w:t xml:space="preserve"> or other officers</w:t>
      </w:r>
      <w:r w:rsidRPr="00F63766">
        <w:t xml:space="preserve">; </w:t>
      </w:r>
    </w:p>
    <w:p w14:paraId="1CC3F5C5" w14:textId="77777777" w:rsidR="00E27590" w:rsidRPr="00F63766" w:rsidRDefault="00E27590" w:rsidP="00E27590">
      <w:pPr>
        <w:pStyle w:val="dotpoint"/>
      </w:pPr>
      <w:r w:rsidRPr="00F63766">
        <w:t xml:space="preserve">has reason to believe that any of the directors or other officers of the company are not of good fame or character; </w:t>
      </w:r>
    </w:p>
    <w:p w14:paraId="24B85252" w14:textId="7910B9B9" w:rsidR="00E27590" w:rsidRPr="00F63766" w:rsidRDefault="00E27590" w:rsidP="00E27590">
      <w:pPr>
        <w:pStyle w:val="dotpoint"/>
      </w:pPr>
      <w:r w:rsidRPr="00F63766">
        <w:t xml:space="preserve">has reason to believe that the </w:t>
      </w:r>
      <w:r w:rsidR="008C237F" w:rsidRPr="00F63766">
        <w:t>company or director</w:t>
      </w:r>
      <w:r w:rsidR="00A33CEE">
        <w:t>s</w:t>
      </w:r>
      <w:r w:rsidR="008C237F" w:rsidRPr="00F63766">
        <w:t xml:space="preserve"> or other officer</w:t>
      </w:r>
      <w:r w:rsidR="00A33CEE">
        <w:t>s</w:t>
      </w:r>
      <w:r w:rsidR="008C237F" w:rsidRPr="00F63766">
        <w:t xml:space="preserve"> of the company ha</w:t>
      </w:r>
      <w:r w:rsidR="00A33CEE">
        <w:t>ve</w:t>
      </w:r>
      <w:r w:rsidR="008C237F" w:rsidRPr="00F63766">
        <w:t>, in relation to the offer, knowingly engaged in conduct that is misleading or deceptive or likely to mislead or deceive</w:t>
      </w:r>
      <w:r w:rsidRPr="00F63766">
        <w:t>;</w:t>
      </w:r>
    </w:p>
    <w:p w14:paraId="4E3ADFC4" w14:textId="0CB7EFF6" w:rsidR="00E27590" w:rsidRPr="00F63766" w:rsidRDefault="00E27590" w:rsidP="00E27590">
      <w:pPr>
        <w:pStyle w:val="dotpoint"/>
      </w:pPr>
      <w:proofErr w:type="gramStart"/>
      <w:r w:rsidRPr="00F63766">
        <w:t>has</w:t>
      </w:r>
      <w:proofErr w:type="gramEnd"/>
      <w:r w:rsidRPr="00F63766">
        <w:t xml:space="preserve"> reason to believe that the particular offer is not eligible to be made as a CSF offer </w:t>
      </w:r>
      <w:r w:rsidRPr="00F63766">
        <w:rPr>
          <w:b/>
          <w:i/>
          <w:sz w:val="18"/>
        </w:rPr>
        <w:t>[Schedule 1, Part 1, item 1</w:t>
      </w:r>
      <w:r w:rsidR="00CC6A7A" w:rsidRPr="00F63766">
        <w:rPr>
          <w:b/>
          <w:i/>
          <w:sz w:val="18"/>
        </w:rPr>
        <w:t>4</w:t>
      </w:r>
      <w:r w:rsidRPr="00F63766">
        <w:rPr>
          <w:b/>
          <w:i/>
          <w:sz w:val="18"/>
        </w:rPr>
        <w:t>, subsection 738Q(</w:t>
      </w:r>
      <w:r w:rsidR="00CC6A7A" w:rsidRPr="00F63766">
        <w:rPr>
          <w:b/>
          <w:i/>
          <w:sz w:val="18"/>
        </w:rPr>
        <w:t>5</w:t>
      </w:r>
      <w:r w:rsidRPr="00F63766">
        <w:rPr>
          <w:b/>
          <w:i/>
          <w:sz w:val="18"/>
        </w:rPr>
        <w:t>)]</w:t>
      </w:r>
      <w:r w:rsidRPr="00F63766">
        <w:t xml:space="preserve">. </w:t>
      </w:r>
    </w:p>
    <w:p w14:paraId="4EBA15DC" w14:textId="56F181DD" w:rsidR="00B7259A" w:rsidRPr="00F63766" w:rsidRDefault="00865CC1" w:rsidP="005F5526">
      <w:pPr>
        <w:pStyle w:val="base-text-paragraph"/>
      </w:pPr>
      <w:r w:rsidRPr="00F63766">
        <w:t>The purpose of</w:t>
      </w:r>
      <w:r w:rsidR="00CC6A7A" w:rsidRPr="00F63766">
        <w:t xml:space="preserve"> </w:t>
      </w:r>
      <w:r w:rsidR="006177D7" w:rsidRPr="00F63766">
        <w:t xml:space="preserve">the </w:t>
      </w:r>
      <w:r w:rsidR="000D5101">
        <w:t>gatekeeper</w:t>
      </w:r>
      <w:r w:rsidR="006177D7" w:rsidRPr="00F63766">
        <w:t xml:space="preserve"> obligations </w:t>
      </w:r>
      <w:r w:rsidR="00E27590" w:rsidRPr="00F63766">
        <w:t xml:space="preserve">is not to require the intermediary to </w:t>
      </w:r>
      <w:r w:rsidR="007C080C" w:rsidRPr="00F63766">
        <w:t xml:space="preserve">conduct </w:t>
      </w:r>
      <w:r w:rsidR="00835C0C" w:rsidRPr="00F63766">
        <w:t xml:space="preserve">exhaustive </w:t>
      </w:r>
      <w:r w:rsidR="007C080C" w:rsidRPr="00F63766">
        <w:t xml:space="preserve">due diligence on the </w:t>
      </w:r>
      <w:r w:rsidR="00E27590" w:rsidRPr="00F63766">
        <w:t xml:space="preserve">company, its directors </w:t>
      </w:r>
      <w:r w:rsidR="007C080C" w:rsidRPr="00F63766">
        <w:t xml:space="preserve">or other officers, </w:t>
      </w:r>
      <w:r w:rsidR="00B7259A" w:rsidRPr="00F63766">
        <w:t xml:space="preserve">or the company’s </w:t>
      </w:r>
      <w:r w:rsidR="007C080C" w:rsidRPr="00F63766">
        <w:t>business</w:t>
      </w:r>
      <w:r w:rsidR="00214F46">
        <w:t>. S</w:t>
      </w:r>
      <w:r w:rsidR="00E27590" w:rsidRPr="00F63766">
        <w:t xml:space="preserve">uch an obligation would impose a </w:t>
      </w:r>
      <w:r w:rsidR="00895537">
        <w:t>relatively high</w:t>
      </w:r>
      <w:r w:rsidR="00E27590" w:rsidRPr="00F63766">
        <w:t xml:space="preserve"> burden on </w:t>
      </w:r>
      <w:r w:rsidR="00AF6767">
        <w:t>an</w:t>
      </w:r>
      <w:r w:rsidR="003A4C87">
        <w:t xml:space="preserve"> </w:t>
      </w:r>
      <w:r w:rsidR="00E27590" w:rsidRPr="00F63766">
        <w:t xml:space="preserve">intermediary, with </w:t>
      </w:r>
      <w:r w:rsidR="00CD2A82" w:rsidRPr="00F63766">
        <w:t xml:space="preserve">potential </w:t>
      </w:r>
      <w:r w:rsidR="00E27590" w:rsidRPr="00F63766">
        <w:t xml:space="preserve">flow-on </w:t>
      </w:r>
      <w:r w:rsidR="00485FA4" w:rsidRPr="00F63766">
        <w:t xml:space="preserve">costs </w:t>
      </w:r>
      <w:r w:rsidR="00E27590" w:rsidRPr="00F63766">
        <w:t xml:space="preserve">for issuers seeking </w:t>
      </w:r>
      <w:r w:rsidR="008F4911" w:rsidRPr="00F63766">
        <w:t>to access the</w:t>
      </w:r>
      <w:r w:rsidR="00E27590" w:rsidRPr="00F63766">
        <w:t xml:space="preserve"> intermediary</w:t>
      </w:r>
      <w:r w:rsidR="008F4911" w:rsidRPr="00F63766">
        <w:t>’s</w:t>
      </w:r>
      <w:r w:rsidR="00E27590" w:rsidRPr="00F63766">
        <w:t xml:space="preserve"> platform</w:t>
      </w:r>
      <w:r w:rsidR="007C080C" w:rsidRPr="00F63766">
        <w:t xml:space="preserve">.  </w:t>
      </w:r>
    </w:p>
    <w:p w14:paraId="1CF10C09" w14:textId="0A0FE696" w:rsidR="00246179" w:rsidRPr="00F63766" w:rsidRDefault="0070517F" w:rsidP="005F5526">
      <w:pPr>
        <w:pStyle w:val="base-text-paragraph"/>
      </w:pPr>
      <w:r w:rsidRPr="00F63766">
        <w:t xml:space="preserve">Rather, the </w:t>
      </w:r>
      <w:r w:rsidR="000D5101">
        <w:t>gatekeeper</w:t>
      </w:r>
      <w:r w:rsidRPr="00F63766">
        <w:t xml:space="preserve"> obligations are </w:t>
      </w:r>
      <w:r w:rsidR="004E5BD2">
        <w:t>intended to ensure that an</w:t>
      </w:r>
      <w:r w:rsidRPr="00F63766">
        <w:t xml:space="preserve"> intermediary </w:t>
      </w:r>
      <w:r w:rsidR="004E5BD2">
        <w:t xml:space="preserve">does not publish, or continue to publish, the offer document in four specific circumstances.  </w:t>
      </w:r>
      <w:r w:rsidR="001E071B" w:rsidRPr="00F63766">
        <w:t xml:space="preserve">The </w:t>
      </w:r>
      <w:r w:rsidR="00106DB6" w:rsidRPr="00F63766">
        <w:t xml:space="preserve">basis for not publishing or continuing to publish the offer document is dependent on the actual knowledge of the intermediary (that is, whether they were satisfied as to </w:t>
      </w:r>
      <w:r w:rsidR="004E5BD2">
        <w:t xml:space="preserve">certain matters </w:t>
      </w:r>
      <w:r w:rsidR="00106DB6" w:rsidRPr="00F63766">
        <w:t>or had reason to believe certain things)</w:t>
      </w:r>
      <w:r w:rsidR="004E5BD2">
        <w:t xml:space="preserve"> and what the intermediary should have become aware of from conducting the </w:t>
      </w:r>
      <w:r w:rsidR="00106DB6" w:rsidRPr="00F63766">
        <w:t xml:space="preserve">prescribed checks to a reasonable standard. </w:t>
      </w:r>
      <w:r w:rsidR="0098606B">
        <w:t>Aspects of e</w:t>
      </w:r>
      <w:r w:rsidR="003F4CC0">
        <w:t xml:space="preserve">ach </w:t>
      </w:r>
      <w:r w:rsidR="009E476A">
        <w:t xml:space="preserve">situation where an intermediary must not publish or continue to publish an offer document </w:t>
      </w:r>
      <w:r w:rsidR="000C3305">
        <w:t>are</w:t>
      </w:r>
      <w:r w:rsidR="00246179" w:rsidRPr="00F63766">
        <w:t xml:space="preserve"> discussed </w:t>
      </w:r>
      <w:r w:rsidR="00E0517B" w:rsidRPr="00F63766">
        <w:t>below.</w:t>
      </w:r>
    </w:p>
    <w:p w14:paraId="5ECDE573" w14:textId="102AB09E" w:rsidR="00246179" w:rsidRPr="00F63766" w:rsidRDefault="00E0517B" w:rsidP="005E71BA">
      <w:pPr>
        <w:pStyle w:val="Heading4"/>
      </w:pPr>
      <w:r w:rsidRPr="00F63766">
        <w:t>Not satisfied as</w:t>
      </w:r>
      <w:r w:rsidR="00CF1831" w:rsidRPr="00F63766">
        <w:t xml:space="preserve"> to the identity of the company or its</w:t>
      </w:r>
      <w:r w:rsidR="002D5B38" w:rsidRPr="00F63766">
        <w:t xml:space="preserve"> directors or other</w:t>
      </w:r>
      <w:r w:rsidR="00CF1831" w:rsidRPr="00F63766">
        <w:t xml:space="preserve"> </w:t>
      </w:r>
      <w:r w:rsidRPr="00F63766">
        <w:t>officers</w:t>
      </w:r>
    </w:p>
    <w:p w14:paraId="5EBFDA63" w14:textId="1CB6AC03" w:rsidR="00863B46" w:rsidRPr="00863B46" w:rsidRDefault="00790DB1" w:rsidP="00863B46">
      <w:pPr>
        <w:pStyle w:val="base-text-paragraph"/>
      </w:pPr>
      <w:r w:rsidRPr="00F63766">
        <w:t xml:space="preserve">The first </w:t>
      </w:r>
      <w:r w:rsidR="00286816">
        <w:t xml:space="preserve">situation where an intermediary must not publish or continue to publish the offer document is </w:t>
      </w:r>
      <w:r w:rsidR="00910EE7" w:rsidRPr="00F63766">
        <w:t xml:space="preserve">where </w:t>
      </w:r>
      <w:r w:rsidR="00286816">
        <w:t>the</w:t>
      </w:r>
      <w:r w:rsidR="00910EE7" w:rsidRPr="00F63766">
        <w:t xml:space="preserve"> intermediary is not satisfied as to </w:t>
      </w:r>
      <w:r w:rsidRPr="00F63766">
        <w:t>the identity of the company</w:t>
      </w:r>
      <w:r w:rsidR="00C331BD" w:rsidRPr="00F63766">
        <w:t>, its directors</w:t>
      </w:r>
      <w:r w:rsidRPr="00F63766">
        <w:t xml:space="preserve"> or </w:t>
      </w:r>
      <w:r w:rsidR="00C331BD" w:rsidRPr="00F63766">
        <w:t>other</w:t>
      </w:r>
      <w:r w:rsidRPr="00F63766">
        <w:t xml:space="preserve"> officers.</w:t>
      </w:r>
      <w:r w:rsidR="00863B46" w:rsidRPr="00863B46">
        <w:t xml:space="preserve"> </w:t>
      </w:r>
      <w:r w:rsidR="00863B46" w:rsidRPr="00863B46">
        <w:rPr>
          <w:rStyle w:val="Referencingstyle"/>
        </w:rPr>
        <w:t xml:space="preserve">[Schedule 1, Part 1, item 14, </w:t>
      </w:r>
      <w:r w:rsidR="00863B46">
        <w:rPr>
          <w:rStyle w:val="Referencingstyle"/>
        </w:rPr>
        <w:t>paragraph </w:t>
      </w:r>
      <w:r w:rsidR="00863B46" w:rsidRPr="00863B46">
        <w:rPr>
          <w:rStyle w:val="Referencingstyle"/>
        </w:rPr>
        <w:t>738Q(5)</w:t>
      </w:r>
      <w:r w:rsidR="00863B46">
        <w:rPr>
          <w:rStyle w:val="Referencingstyle"/>
        </w:rPr>
        <w:t>(a)</w:t>
      </w:r>
      <w:r w:rsidR="00863B46" w:rsidRPr="00863B46">
        <w:rPr>
          <w:rStyle w:val="Referencingstyle"/>
        </w:rPr>
        <w:t>]</w:t>
      </w:r>
      <w:r w:rsidR="00863B46" w:rsidRPr="00863B46">
        <w:t xml:space="preserve"> </w:t>
      </w:r>
    </w:p>
    <w:p w14:paraId="42B416E3" w14:textId="7D75D812" w:rsidR="00C61140" w:rsidRPr="00F63766" w:rsidRDefault="00EB094E" w:rsidP="001C502F">
      <w:pPr>
        <w:pStyle w:val="base-text-paragraph"/>
        <w:keepNext/>
        <w:keepLines/>
      </w:pPr>
      <w:r>
        <w:t xml:space="preserve">For the purpose of this requirement, the relevant definition of ‘officer’ is the definition ‘officer of a corporation’ (section 9) which is </w:t>
      </w:r>
      <w:r w:rsidR="00C62EE9" w:rsidRPr="00F63766">
        <w:t xml:space="preserve">broad enough to also include </w:t>
      </w:r>
      <w:r w:rsidR="00C61140" w:rsidRPr="00F63766">
        <w:t>a person who is not a director of the company but who exert</w:t>
      </w:r>
      <w:r w:rsidR="00320ABE">
        <w:t>s</w:t>
      </w:r>
      <w:r w:rsidR="00C61140" w:rsidRPr="00F63766">
        <w:t xml:space="preserve"> significant influence over the company or its directors. </w:t>
      </w:r>
    </w:p>
    <w:p w14:paraId="1E0E022D" w14:textId="5173117A" w:rsidR="002A260E" w:rsidRPr="00F63766" w:rsidRDefault="00C61140" w:rsidP="005E71BA">
      <w:pPr>
        <w:pStyle w:val="Heading4"/>
      </w:pPr>
      <w:r w:rsidRPr="00F63766">
        <w:t>Has reason to believe that any of the officers are not of good fame or character</w:t>
      </w:r>
    </w:p>
    <w:p w14:paraId="399F7449" w14:textId="17D8CAE9" w:rsidR="00A87CBB" w:rsidRPr="00863B46" w:rsidRDefault="0098606B" w:rsidP="00A87CBB">
      <w:pPr>
        <w:pStyle w:val="base-text-paragraph"/>
      </w:pPr>
      <w:r>
        <w:t>The second</w:t>
      </w:r>
      <w:r w:rsidR="00E629E6">
        <w:t xml:space="preserve"> situation where an intermediary must not publish or continue to publish the offer document is where the intermediary has reason to believe that any of the officers of the issuer company are not of g</w:t>
      </w:r>
      <w:r w:rsidR="002A260E" w:rsidRPr="00F63766">
        <w:t>ood fame or character</w:t>
      </w:r>
      <w:r w:rsidR="00A87CBB">
        <w:t>.</w:t>
      </w:r>
      <w:r w:rsidR="00E629E6">
        <w:t xml:space="preserve"> </w:t>
      </w:r>
      <w:r w:rsidR="00A87CBB" w:rsidRPr="00863B46">
        <w:rPr>
          <w:rStyle w:val="Referencingstyle"/>
        </w:rPr>
        <w:t xml:space="preserve">[Schedule 1, Part 1, item 14, </w:t>
      </w:r>
      <w:r w:rsidR="00A87CBB">
        <w:rPr>
          <w:rStyle w:val="Referencingstyle"/>
        </w:rPr>
        <w:t>paragraph </w:t>
      </w:r>
      <w:proofErr w:type="gramStart"/>
      <w:r w:rsidR="00A87CBB" w:rsidRPr="00863B46">
        <w:rPr>
          <w:rStyle w:val="Referencingstyle"/>
        </w:rPr>
        <w:t>738Q(</w:t>
      </w:r>
      <w:proofErr w:type="gramEnd"/>
      <w:r w:rsidR="00A87CBB" w:rsidRPr="00863B46">
        <w:rPr>
          <w:rStyle w:val="Referencingstyle"/>
        </w:rPr>
        <w:t>5)</w:t>
      </w:r>
      <w:r w:rsidR="00A87CBB">
        <w:rPr>
          <w:rStyle w:val="Referencingstyle"/>
        </w:rPr>
        <w:t>(</w:t>
      </w:r>
      <w:r w:rsidR="00D84BDB">
        <w:rPr>
          <w:rStyle w:val="Referencingstyle"/>
        </w:rPr>
        <w:t>b</w:t>
      </w:r>
      <w:r w:rsidR="00A87CBB">
        <w:rPr>
          <w:rStyle w:val="Referencingstyle"/>
        </w:rPr>
        <w:t>)</w:t>
      </w:r>
      <w:r w:rsidR="00A87CBB" w:rsidRPr="00863B46">
        <w:rPr>
          <w:rStyle w:val="Referencingstyle"/>
        </w:rPr>
        <w:t>].</w:t>
      </w:r>
      <w:r w:rsidR="00A87CBB" w:rsidRPr="00863B46">
        <w:t xml:space="preserve"> </w:t>
      </w:r>
    </w:p>
    <w:p w14:paraId="3696A297" w14:textId="3BBA5876" w:rsidR="00BA0698" w:rsidRDefault="00E629E6" w:rsidP="005E71BA">
      <w:pPr>
        <w:pStyle w:val="base-text-paragraph"/>
      </w:pPr>
      <w:r>
        <w:t xml:space="preserve">The amendments do not define good fame or character.  </w:t>
      </w:r>
      <w:r w:rsidR="00B42CAC">
        <w:t xml:space="preserve">However, the term is used in the licensing process as one of the preconditions prior to ASIC granting an AFSL.  Specifically, </w:t>
      </w:r>
      <w:r w:rsidR="00E15047">
        <w:t>subsection </w:t>
      </w:r>
      <w:proofErr w:type="gramStart"/>
      <w:r w:rsidR="00B42CAC">
        <w:t>913B</w:t>
      </w:r>
      <w:r w:rsidR="00E15047">
        <w:t>(</w:t>
      </w:r>
      <w:proofErr w:type="gramEnd"/>
      <w:r w:rsidR="00E15047">
        <w:t>4)</w:t>
      </w:r>
      <w:r w:rsidR="00B42CAC">
        <w:t xml:space="preserve"> </w:t>
      </w:r>
      <w:r w:rsidR="00407B11">
        <w:t>states that</w:t>
      </w:r>
      <w:r w:rsidR="00B42CAC">
        <w:t xml:space="preserve"> </w:t>
      </w:r>
      <w:r w:rsidR="00B42CAC" w:rsidRPr="00F63766">
        <w:t xml:space="preserve">ASIC </w:t>
      </w:r>
      <w:r w:rsidR="00407B11">
        <w:t>must</w:t>
      </w:r>
      <w:r w:rsidR="00B42CAC" w:rsidRPr="00F63766">
        <w:t xml:space="preserve"> be satisfied that there is no reason to believe</w:t>
      </w:r>
      <w:r w:rsidR="00682420">
        <w:t>:</w:t>
      </w:r>
      <w:r w:rsidR="00B42CAC" w:rsidRPr="00F63766">
        <w:t xml:space="preserve"> the person applying for the AFSL (where a natural person)</w:t>
      </w:r>
      <w:r w:rsidR="00682420">
        <w:t>;</w:t>
      </w:r>
      <w:r w:rsidR="00B42CAC" w:rsidRPr="00F63766">
        <w:t xml:space="preserve"> or </w:t>
      </w:r>
      <w:r w:rsidR="00682420">
        <w:t>the</w:t>
      </w:r>
      <w:r w:rsidR="00B42CAC" w:rsidRPr="00F63766">
        <w:t xml:space="preserve"> responsible officers (where the applicant is a body corporate)</w:t>
      </w:r>
      <w:r w:rsidR="00682420">
        <w:t>;</w:t>
      </w:r>
      <w:r w:rsidR="00B42CAC" w:rsidRPr="00F63766">
        <w:t xml:space="preserve"> or any of the partners or trustees (where the applicant is a partnership or trust) are not of good fame or character.  </w:t>
      </w:r>
    </w:p>
    <w:p w14:paraId="4C3F5054" w14:textId="155888D4" w:rsidR="009B4D5A" w:rsidRDefault="00B42CAC" w:rsidP="005E71BA">
      <w:pPr>
        <w:pStyle w:val="base-text-paragraph"/>
      </w:pPr>
      <w:r w:rsidRPr="00F63766">
        <w:t>Subsection </w:t>
      </w:r>
      <w:proofErr w:type="gramStart"/>
      <w:r w:rsidRPr="00F63766">
        <w:t>913B(</w:t>
      </w:r>
      <w:proofErr w:type="gramEnd"/>
      <w:r w:rsidRPr="00F63766">
        <w:t xml:space="preserve">4) provides that ASIC must, in </w:t>
      </w:r>
      <w:r w:rsidR="00BA0698">
        <w:t xml:space="preserve">assessing </w:t>
      </w:r>
      <w:r w:rsidRPr="00F63766">
        <w:t>whether there is reason to believe a person is not of good fame or character</w:t>
      </w:r>
      <w:r w:rsidR="001545F9">
        <w:t>,</w:t>
      </w:r>
      <w:r w:rsidRPr="00F63766">
        <w:t xml:space="preserve"> have regard to certain matters including certain criminal convictions a person may have had, whether the person held an AFSL that was cancelled or suspended, whether a banning or disqualification order under Division 8 was previously made, or any other matter ASIC considers to be relevant.  </w:t>
      </w:r>
    </w:p>
    <w:p w14:paraId="38719EA4" w14:textId="532E78C4" w:rsidR="00471FA2" w:rsidRPr="00F63766" w:rsidRDefault="00EF336B" w:rsidP="005E71BA">
      <w:pPr>
        <w:pStyle w:val="Heading4"/>
      </w:pPr>
      <w:r w:rsidRPr="00F63766">
        <w:t>Has reason to believe that the company or its officers have</w:t>
      </w:r>
      <w:r w:rsidR="00427E1A" w:rsidRPr="00F63766">
        <w:t>, in relation to the CSF offer,</w:t>
      </w:r>
      <w:r w:rsidR="000D1D0E" w:rsidRPr="00F63766">
        <w:t xml:space="preserve"> knowingly</w:t>
      </w:r>
      <w:r w:rsidRPr="00F63766">
        <w:t xml:space="preserve"> engaged in conduct that is misleading or deceptive or likely to mislead or deceive</w:t>
      </w:r>
    </w:p>
    <w:p w14:paraId="67FA1DB5" w14:textId="0A37C2FB" w:rsidR="00BD5F0E" w:rsidRPr="00F63766" w:rsidRDefault="00427E1A" w:rsidP="00E27590">
      <w:pPr>
        <w:pStyle w:val="base-text-paragraph"/>
        <w:numPr>
          <w:ilvl w:val="1"/>
          <w:numId w:val="42"/>
        </w:numPr>
      </w:pPr>
      <w:r w:rsidRPr="00F63766">
        <w:t xml:space="preserve">Where an intermediary has reason to believe that an issuer has knowingly engaged in </w:t>
      </w:r>
      <w:r w:rsidR="00BD5F0E" w:rsidRPr="00F63766">
        <w:t xml:space="preserve">conduct that is </w:t>
      </w:r>
      <w:r w:rsidRPr="00F63766">
        <w:t>misleading or deceptive</w:t>
      </w:r>
      <w:r w:rsidR="00BD5F0E" w:rsidRPr="00F63766">
        <w:t>, or conduct that is likely to mislead or deceive, the intermediary must not publish or continue to publish the offer document</w:t>
      </w:r>
      <w:r w:rsidR="00D84BDB">
        <w:t xml:space="preserve"> </w:t>
      </w:r>
      <w:r w:rsidR="00D84BDB" w:rsidRPr="00863B46">
        <w:rPr>
          <w:rStyle w:val="Referencingstyle"/>
        </w:rPr>
        <w:t xml:space="preserve">[Schedule 1, Part 1, item 14, </w:t>
      </w:r>
      <w:r w:rsidR="00D84BDB">
        <w:rPr>
          <w:rStyle w:val="Referencingstyle"/>
        </w:rPr>
        <w:t>paragraph </w:t>
      </w:r>
      <w:r w:rsidR="00D84BDB" w:rsidRPr="00863B46">
        <w:rPr>
          <w:rStyle w:val="Referencingstyle"/>
        </w:rPr>
        <w:t>738Q(5)</w:t>
      </w:r>
      <w:r w:rsidR="00D84BDB">
        <w:rPr>
          <w:rStyle w:val="Referencingstyle"/>
        </w:rPr>
        <w:t>(c)</w:t>
      </w:r>
      <w:r w:rsidR="00D84BDB" w:rsidRPr="00863B46">
        <w:rPr>
          <w:rStyle w:val="Referencingstyle"/>
        </w:rPr>
        <w:t>].</w:t>
      </w:r>
      <w:r w:rsidR="00D84BDB" w:rsidRPr="00863B46">
        <w:t xml:space="preserve"> </w:t>
      </w:r>
      <w:r w:rsidR="00BD5F0E" w:rsidRPr="00F63766">
        <w:t>For example, if an intermediary in considering whether to host an offer of a company</w:t>
      </w:r>
      <w:r w:rsidR="00B3746F" w:rsidRPr="00F63766">
        <w:t xml:space="preserve"> has</w:t>
      </w:r>
      <w:r w:rsidR="00BD5F0E" w:rsidRPr="00F63766">
        <w:t>, in its dealings with the directors</w:t>
      </w:r>
      <w:r w:rsidR="00B3746F" w:rsidRPr="00F63766">
        <w:t>,</w:t>
      </w:r>
      <w:r w:rsidR="00BD5F0E" w:rsidRPr="00F63766">
        <w:t xml:space="preserve"> reason to believe that the directors</w:t>
      </w:r>
      <w:r w:rsidR="00B3746F" w:rsidRPr="00F63766">
        <w:t xml:space="preserve">’ representations in relation to the CSF offer are dishonest, </w:t>
      </w:r>
      <w:r w:rsidR="00BD5F0E" w:rsidRPr="00F63766">
        <w:t xml:space="preserve">the intermediary must not publish the offer document.  </w:t>
      </w:r>
    </w:p>
    <w:p w14:paraId="6BF07050" w14:textId="63902D1C" w:rsidR="000D1D0E" w:rsidRPr="00F63766" w:rsidRDefault="000C50D2" w:rsidP="005F5526">
      <w:pPr>
        <w:pStyle w:val="base-text-paragraph"/>
      </w:pPr>
      <w:r w:rsidRPr="00F63766">
        <w:t xml:space="preserve">In the case of an offer that is already open, if </w:t>
      </w:r>
      <w:r w:rsidR="00BD5F0E" w:rsidRPr="00F63766">
        <w:t xml:space="preserve">the intermediary has reason to believe that the </w:t>
      </w:r>
      <w:r w:rsidR="00427E1A" w:rsidRPr="00F63766">
        <w:t>directors have</w:t>
      </w:r>
      <w:r w:rsidR="00BD5F0E" w:rsidRPr="00F63766">
        <w:t>, for example,</w:t>
      </w:r>
      <w:r w:rsidR="00427E1A" w:rsidRPr="00F63766">
        <w:t xml:space="preserve"> knowingly provided misleading information </w:t>
      </w:r>
      <w:r w:rsidR="00E15B8B">
        <w:t>in response to a post on the</w:t>
      </w:r>
      <w:r w:rsidR="00427E1A" w:rsidRPr="00F63766">
        <w:t xml:space="preserve"> communications facility, the intermediary must </w:t>
      </w:r>
      <w:r w:rsidR="00BD5F0E" w:rsidRPr="00F63766">
        <w:t xml:space="preserve">not continue to publish the offer document and must close the offer. </w:t>
      </w:r>
    </w:p>
    <w:p w14:paraId="35051CEB" w14:textId="035B5E29" w:rsidR="00BD5F0E" w:rsidRDefault="00EE5D83" w:rsidP="005F5526">
      <w:pPr>
        <w:pStyle w:val="base-text-paragraph"/>
      </w:pPr>
      <w:r w:rsidRPr="00F63766">
        <w:t xml:space="preserve">The obligation to close the offer will only arise where the intermediary has reason to believe the issuer </w:t>
      </w:r>
      <w:r w:rsidRPr="00F63766">
        <w:rPr>
          <w:i/>
        </w:rPr>
        <w:t xml:space="preserve">knowingly </w:t>
      </w:r>
      <w:r w:rsidRPr="00F63766">
        <w:t>engaged in misleading or deceptive conduct</w:t>
      </w:r>
      <w:r w:rsidR="00EE09A4" w:rsidRPr="00F63766">
        <w:t xml:space="preserve">.  The inclusion of </w:t>
      </w:r>
      <w:r w:rsidRPr="00F63766">
        <w:t xml:space="preserve">‘knowingly’ </w:t>
      </w:r>
      <w:r w:rsidR="00035CB7" w:rsidRPr="00F63766">
        <w:t xml:space="preserve">recognises that there may be cases where </w:t>
      </w:r>
      <w:r w:rsidR="00EE09A4" w:rsidRPr="00F63766">
        <w:t>an</w:t>
      </w:r>
      <w:r w:rsidRPr="00F63766">
        <w:t xml:space="preserve"> issuer may have</w:t>
      </w:r>
      <w:r w:rsidR="00035CB7" w:rsidRPr="00F63766">
        <w:t>, for example,</w:t>
      </w:r>
      <w:r w:rsidRPr="00F63766">
        <w:t xml:space="preserve"> </w:t>
      </w:r>
      <w:r w:rsidR="008155B5">
        <w:t>unintentionally</w:t>
      </w:r>
      <w:r w:rsidR="00EE09A4" w:rsidRPr="00F63766">
        <w:t xml:space="preserve"> </w:t>
      </w:r>
      <w:r w:rsidRPr="00F63766">
        <w:t>provided information</w:t>
      </w:r>
      <w:r w:rsidR="00EE09A4" w:rsidRPr="00F63766">
        <w:t xml:space="preserve"> </w:t>
      </w:r>
      <w:r w:rsidR="00035CB7" w:rsidRPr="00F63766">
        <w:t>that is misleading</w:t>
      </w:r>
      <w:r w:rsidR="00D51FA4">
        <w:t>.  In such circumstances, it would be inappropriate if the intermediary</w:t>
      </w:r>
      <w:r w:rsidR="0094316C">
        <w:t>’s only course of action w</w:t>
      </w:r>
      <w:r w:rsidR="00341E24">
        <w:t>as</w:t>
      </w:r>
      <w:r w:rsidR="0094316C">
        <w:t xml:space="preserve"> to</w:t>
      </w:r>
      <w:r w:rsidR="007D5F7B">
        <w:t xml:space="preserve"> remove the offer document from the platform and</w:t>
      </w:r>
      <w:r w:rsidR="0094316C">
        <w:t xml:space="preserve"> </w:t>
      </w:r>
      <w:r w:rsidR="00D51FA4">
        <w:t xml:space="preserve">close the CSF offer. </w:t>
      </w:r>
    </w:p>
    <w:p w14:paraId="2E6BF6F5" w14:textId="227C5EE2" w:rsidR="007D5F7B" w:rsidRPr="00F63766" w:rsidRDefault="007D5F7B" w:rsidP="005F5526">
      <w:pPr>
        <w:pStyle w:val="base-text-paragraph"/>
      </w:pPr>
      <w:r>
        <w:t xml:space="preserve">If the intermediary has reason to believe that the issuer company knowingly engaged in conduct that was misleading or deceptive, or that was likely to mislead or deceive, the intermediary must </w:t>
      </w:r>
      <w:r w:rsidR="00C559A5">
        <w:t>remove the offer document from the platform and close the offer.</w:t>
      </w:r>
    </w:p>
    <w:p w14:paraId="4981D78E" w14:textId="77777777" w:rsidR="002215D8" w:rsidRDefault="002215D8">
      <w:pPr>
        <w:spacing w:before="0" w:after="0"/>
        <w:rPr>
          <w:bCs/>
          <w:i/>
          <w:iCs/>
          <w:szCs w:val="26"/>
        </w:rPr>
      </w:pPr>
      <w:r>
        <w:br w:type="page"/>
      </w:r>
    </w:p>
    <w:p w14:paraId="7BAA626D" w14:textId="36BE9C60" w:rsidR="000F5978" w:rsidRPr="00F63766" w:rsidRDefault="000F5978" w:rsidP="005E71BA">
      <w:pPr>
        <w:pStyle w:val="Heading5"/>
      </w:pPr>
      <w:r w:rsidRPr="00F63766">
        <w:t>Interaction with provisions relating to defective offer documents</w:t>
      </w:r>
    </w:p>
    <w:p w14:paraId="18028E50" w14:textId="654DD865" w:rsidR="00FB0670" w:rsidRDefault="00FB0670" w:rsidP="005F5526">
      <w:pPr>
        <w:pStyle w:val="base-text-paragraph"/>
      </w:pPr>
      <w:r>
        <w:t>Where the conduct that is misleading or deceptive, or that is likely to mislead or deceive</w:t>
      </w:r>
      <w:r w:rsidR="001545F9">
        <w:t>,</w:t>
      </w:r>
      <w:r>
        <w:t xml:space="preserve"> is in relation to a defective offer document that contains a </w:t>
      </w:r>
      <w:r w:rsidR="00D73CB1" w:rsidRPr="00F63766">
        <w:t xml:space="preserve">misleading or deceptive statement, an omission, or </w:t>
      </w:r>
      <w:r>
        <w:t xml:space="preserve">where </w:t>
      </w:r>
      <w:r w:rsidR="00D73CB1" w:rsidRPr="00F63766">
        <w:t>there has been a new circumstance that has arisen since the document was published that would have been required to have been included in the document had it arisen before publication</w:t>
      </w:r>
      <w:r>
        <w:t xml:space="preserve">, </w:t>
      </w:r>
      <w:r w:rsidR="00EF07F3">
        <w:t>the specific rules covering defective offer documents will take priority over the gatekeeper obligations.</w:t>
      </w:r>
      <w:r w:rsidR="00865A5B">
        <w:t xml:space="preserve"> </w:t>
      </w:r>
      <w:r w:rsidR="00865A5B" w:rsidRPr="00863B46">
        <w:rPr>
          <w:rStyle w:val="Referencingstyle"/>
        </w:rPr>
        <w:t xml:space="preserve">[Schedule 1, Part 1, item 14, </w:t>
      </w:r>
      <w:r w:rsidR="00865A5B">
        <w:rPr>
          <w:rStyle w:val="Referencingstyle"/>
        </w:rPr>
        <w:t>subsection </w:t>
      </w:r>
      <w:r w:rsidR="00865A5B" w:rsidRPr="00863B46">
        <w:rPr>
          <w:rStyle w:val="Referencingstyle"/>
        </w:rPr>
        <w:t>738Q(</w:t>
      </w:r>
      <w:r w:rsidR="00865A5B">
        <w:rPr>
          <w:rStyle w:val="Referencingstyle"/>
        </w:rPr>
        <w:t>6</w:t>
      </w:r>
      <w:r w:rsidR="005F5526">
        <w:rPr>
          <w:rStyle w:val="Referencingstyle"/>
        </w:rPr>
        <w:t>)]</w:t>
      </w:r>
    </w:p>
    <w:p w14:paraId="63852C1A" w14:textId="76E084D3" w:rsidR="00D73CB1" w:rsidRPr="00F63766" w:rsidRDefault="00FB0670" w:rsidP="005F5526">
      <w:pPr>
        <w:pStyle w:val="base-text-paragraph"/>
      </w:pPr>
      <w:r>
        <w:t>The provisions relating to defective offer documents are discussed in Chapter 4 and require an intermediary to either close or suspend an offer</w:t>
      </w:r>
      <w:r w:rsidR="00A34212">
        <w:t xml:space="preserve"> when it is aware that the offer document is defective.  </w:t>
      </w:r>
      <w:r w:rsidR="005E392F" w:rsidRPr="00F63766">
        <w:t>W</w:t>
      </w:r>
      <w:r w:rsidR="00D73CB1" w:rsidRPr="00F63766">
        <w:t xml:space="preserve">here it suspends the offer, the company </w:t>
      </w:r>
      <w:r w:rsidR="005324EC" w:rsidRPr="00F63766">
        <w:t>will have</w:t>
      </w:r>
      <w:r w:rsidR="00D73CB1" w:rsidRPr="00F63766">
        <w:t xml:space="preserve"> the opportunity to prepare a supplementary or replacement offer document</w:t>
      </w:r>
      <w:r w:rsidR="005324EC" w:rsidRPr="00F63766">
        <w:t xml:space="preserve"> to correct the defect</w:t>
      </w:r>
      <w:r w:rsidR="00D73CB1" w:rsidRPr="00F63766">
        <w:t>.</w:t>
      </w:r>
      <w:r w:rsidR="00E70E78">
        <w:t xml:space="preserve">  In effect, the rules regarding defective disclosure documents will take priority over the gatekeeper obligations</w:t>
      </w:r>
      <w:r w:rsidR="004B49F1">
        <w:t>.</w:t>
      </w:r>
    </w:p>
    <w:p w14:paraId="1AEB1C0D" w14:textId="68BA4E3F" w:rsidR="000F5978" w:rsidRPr="00F63766" w:rsidRDefault="00E217E1" w:rsidP="005F5526">
      <w:pPr>
        <w:pStyle w:val="base-text-paragraph"/>
      </w:pPr>
      <w:r>
        <w:t>However, w</w:t>
      </w:r>
      <w:r w:rsidR="005324EC" w:rsidRPr="00F63766">
        <w:t xml:space="preserve">here an offer document is defective, for example, because it contains a misleading statement, but the company also knowingly </w:t>
      </w:r>
      <w:r>
        <w:t>makes another</w:t>
      </w:r>
      <w:r w:rsidR="005324EC" w:rsidRPr="00F63766">
        <w:t xml:space="preserve"> misleading statement on the communication facility, the intermediary will be required to close the offer as the </w:t>
      </w:r>
      <w:r w:rsidR="000D5101">
        <w:t>gatekeeper</w:t>
      </w:r>
      <w:r w:rsidR="005324EC" w:rsidRPr="00F63766">
        <w:t xml:space="preserve"> obligations </w:t>
      </w:r>
      <w:r w:rsidR="00D04A69">
        <w:t xml:space="preserve">will apply in relation to the company’s conduct relating to the communication facility, even </w:t>
      </w:r>
      <w:r w:rsidR="00992973">
        <w:t>if they do</w:t>
      </w:r>
      <w:r w:rsidR="00D04A69">
        <w:t xml:space="preserve"> not</w:t>
      </w:r>
      <w:r w:rsidR="00992973">
        <w:t xml:space="preserve"> apply</w:t>
      </w:r>
      <w:r w:rsidR="00D04A69">
        <w:t xml:space="preserve"> in relation to the offer document. </w:t>
      </w:r>
    </w:p>
    <w:p w14:paraId="01DC8E6F" w14:textId="5B543210" w:rsidR="00401E0D" w:rsidRPr="00F63766" w:rsidRDefault="00401E0D" w:rsidP="00227DA1">
      <w:pPr>
        <w:pStyle w:val="Heading4"/>
      </w:pPr>
      <w:r w:rsidRPr="00F63766">
        <w:t>Has reason to believe that the offer is not eligible to be made as a CSF offer</w:t>
      </w:r>
    </w:p>
    <w:p w14:paraId="2693D776" w14:textId="52511BC7" w:rsidR="0089216E" w:rsidRPr="00863B46" w:rsidRDefault="00CC30B1" w:rsidP="0089216E">
      <w:pPr>
        <w:pStyle w:val="base-text-paragraph"/>
      </w:pPr>
      <w:r w:rsidRPr="00F63766">
        <w:t>An intermediary must not publish or continue to publish an offer document where it has reason to believe that the offer is not eligible to be made as a CSF offer</w:t>
      </w:r>
      <w:r w:rsidR="001C502F">
        <w:t>.</w:t>
      </w:r>
      <w:r w:rsidR="0089216E">
        <w:t xml:space="preserve"> </w:t>
      </w:r>
      <w:r w:rsidR="0089216E" w:rsidRPr="00863B46">
        <w:rPr>
          <w:rStyle w:val="Referencingstyle"/>
        </w:rPr>
        <w:t xml:space="preserve">[Schedule 1, Part 1, item 14, </w:t>
      </w:r>
      <w:r w:rsidR="0089216E">
        <w:rPr>
          <w:rStyle w:val="Referencingstyle"/>
        </w:rPr>
        <w:t>paragraph </w:t>
      </w:r>
      <w:r w:rsidR="0089216E" w:rsidRPr="00863B46">
        <w:rPr>
          <w:rStyle w:val="Referencingstyle"/>
        </w:rPr>
        <w:t>738Q(5)</w:t>
      </w:r>
      <w:r w:rsidR="0089216E">
        <w:rPr>
          <w:rStyle w:val="Referencingstyle"/>
        </w:rPr>
        <w:t>(</w:t>
      </w:r>
      <w:r w:rsidR="000B3B4C">
        <w:rPr>
          <w:rStyle w:val="Referencingstyle"/>
        </w:rPr>
        <w:t>d</w:t>
      </w:r>
      <w:r w:rsidR="0089216E">
        <w:rPr>
          <w:rStyle w:val="Referencingstyle"/>
        </w:rPr>
        <w:t>)</w:t>
      </w:r>
      <w:r w:rsidR="001C502F">
        <w:rPr>
          <w:rStyle w:val="Referencingstyle"/>
        </w:rPr>
        <w:t>]</w:t>
      </w:r>
    </w:p>
    <w:p w14:paraId="3EFAE628" w14:textId="4FC2534C" w:rsidR="00CC30B1" w:rsidRPr="00F63766" w:rsidRDefault="00CC30B1">
      <w:pPr>
        <w:pStyle w:val="base-text-paragraph"/>
      </w:pPr>
      <w:r w:rsidRPr="00F63766">
        <w:t>This obligation is intended to ensure that issuers that purport to be eligible for the CSF regime, but are not in fact eligible, are excluded</w:t>
      </w:r>
      <w:r w:rsidR="00456449">
        <w:t xml:space="preserve"> from making a CSF offer</w:t>
      </w:r>
      <w:r w:rsidRPr="00F63766">
        <w:t xml:space="preserve">.  For example, if the intermediary has reason to believe that the proposed offer does not comply with the issuer </w:t>
      </w:r>
      <w:proofErr w:type="gramStart"/>
      <w:r w:rsidRPr="00F63766">
        <w:t>cap,</w:t>
      </w:r>
      <w:proofErr w:type="gramEnd"/>
      <w:r w:rsidRPr="00F63766">
        <w:t xml:space="preserve"> the</w:t>
      </w:r>
      <w:r w:rsidR="009547DD">
        <w:t xml:space="preserve"> intermediary must not </w:t>
      </w:r>
      <w:r w:rsidRPr="00F63766">
        <w:t xml:space="preserve">publish the </w:t>
      </w:r>
      <w:r w:rsidR="009547DD">
        <w:t xml:space="preserve">issuer’s </w:t>
      </w:r>
      <w:r w:rsidRPr="00F63766">
        <w:t xml:space="preserve">offer document.  </w:t>
      </w:r>
    </w:p>
    <w:p w14:paraId="22145604" w14:textId="62E61783" w:rsidR="00B071AC" w:rsidRPr="00F63766" w:rsidRDefault="0089216E" w:rsidP="00B071AC">
      <w:pPr>
        <w:pStyle w:val="Heading4"/>
      </w:pPr>
      <w:r>
        <w:t>Offences</w:t>
      </w:r>
    </w:p>
    <w:p w14:paraId="21CAEBED" w14:textId="1E548A51" w:rsidR="00DA1C8C" w:rsidRPr="00B071AC" w:rsidRDefault="00DA1C8C" w:rsidP="005F5526">
      <w:pPr>
        <w:pStyle w:val="base-text-paragraph"/>
      </w:pPr>
      <w:r w:rsidRPr="00F63766">
        <w:t xml:space="preserve">An intermediary that fails to comply with its </w:t>
      </w:r>
      <w:r>
        <w:t>gatekeeper</w:t>
      </w:r>
      <w:r w:rsidRPr="00F63766">
        <w:t xml:space="preserve"> obligations will commit an offence, punishable by a maximum penalty of 60 penalty units, or imprisonment for one year, or both </w:t>
      </w:r>
      <w:r w:rsidRPr="00F63766">
        <w:rPr>
          <w:b/>
          <w:i/>
          <w:sz w:val="18"/>
        </w:rPr>
        <w:t xml:space="preserve">[Schedule 1, Part 1, item 34, item 245F in the table </w:t>
      </w:r>
      <w:r w:rsidR="009246D4">
        <w:rPr>
          <w:b/>
          <w:i/>
          <w:sz w:val="18"/>
        </w:rPr>
        <w:t>to</w:t>
      </w:r>
      <w:r w:rsidRPr="00F63766">
        <w:rPr>
          <w:b/>
          <w:i/>
          <w:sz w:val="18"/>
        </w:rPr>
        <w:t xml:space="preserve"> Schedule 3]. </w:t>
      </w:r>
    </w:p>
    <w:p w14:paraId="22F3EC4B" w14:textId="2DA4482D" w:rsidR="00512301" w:rsidRPr="00F63766" w:rsidRDefault="00E27590" w:rsidP="005F5526">
      <w:pPr>
        <w:pStyle w:val="base-text-paragraph"/>
      </w:pPr>
      <w:r w:rsidRPr="00F63766">
        <w:t xml:space="preserve">A related obligation is that an intermediary must have in place ‘adequate arrangements’ to ensure that it complies with its </w:t>
      </w:r>
      <w:r w:rsidR="000D5101">
        <w:t>gatekeeper</w:t>
      </w:r>
      <w:r w:rsidRPr="00F63766">
        <w:t xml:space="preserve"> obligations </w:t>
      </w:r>
      <w:r w:rsidRPr="00F63766">
        <w:rPr>
          <w:b/>
          <w:i/>
          <w:sz w:val="18"/>
        </w:rPr>
        <w:t xml:space="preserve">[Schedule 1, Part 1, </w:t>
      </w:r>
      <w:r w:rsidR="004C3043">
        <w:rPr>
          <w:b/>
          <w:i/>
          <w:sz w:val="18"/>
        </w:rPr>
        <w:t>item 14</w:t>
      </w:r>
      <w:r w:rsidRPr="00F63766">
        <w:rPr>
          <w:b/>
          <w:i/>
          <w:sz w:val="18"/>
        </w:rPr>
        <w:t>, subsection </w:t>
      </w:r>
      <w:proofErr w:type="gramStart"/>
      <w:r w:rsidRPr="00F63766">
        <w:rPr>
          <w:b/>
          <w:i/>
          <w:sz w:val="18"/>
        </w:rPr>
        <w:t>738Q(</w:t>
      </w:r>
      <w:proofErr w:type="gramEnd"/>
      <w:r w:rsidR="00C16DA8">
        <w:rPr>
          <w:b/>
          <w:i/>
          <w:sz w:val="18"/>
        </w:rPr>
        <w:t>7</w:t>
      </w:r>
      <w:r w:rsidRPr="00F63766">
        <w:rPr>
          <w:b/>
          <w:i/>
          <w:sz w:val="18"/>
        </w:rPr>
        <w:t>)]</w:t>
      </w:r>
      <w:r w:rsidRPr="00F63766">
        <w:t xml:space="preserve">.  This means that an intermediary must have in place </w:t>
      </w:r>
      <w:r w:rsidR="00197AA4" w:rsidRPr="00F63766">
        <w:t xml:space="preserve">policies, </w:t>
      </w:r>
      <w:r w:rsidRPr="00F63766">
        <w:t xml:space="preserve">systems and procedures to ensure that it complies with its gatekeeper obligations, and must ensure that those </w:t>
      </w:r>
      <w:r w:rsidR="00197AA4" w:rsidRPr="00F63766">
        <w:t xml:space="preserve">policies, </w:t>
      </w:r>
      <w:r w:rsidRPr="00F63766">
        <w:t>systems and procedures are adhered to.  Th</w:t>
      </w:r>
      <w:r w:rsidR="00197AA4" w:rsidRPr="00F63766">
        <w:t xml:space="preserve">is must be </w:t>
      </w:r>
      <w:r w:rsidRPr="00F63766">
        <w:t xml:space="preserve">documented in writing.  Failure to do so is an offence, punishable by a maximum penalty of 30 penalty units or imprisonment for 6 months or both </w:t>
      </w:r>
      <w:r w:rsidRPr="00F63766">
        <w:rPr>
          <w:b/>
          <w:i/>
          <w:sz w:val="18"/>
        </w:rPr>
        <w:t>[Schedule 1, Part 1, item </w:t>
      </w:r>
      <w:r w:rsidR="00C7123E" w:rsidRPr="00F63766">
        <w:rPr>
          <w:b/>
          <w:i/>
          <w:sz w:val="18"/>
        </w:rPr>
        <w:t>34</w:t>
      </w:r>
      <w:r w:rsidRPr="00F63766">
        <w:rPr>
          <w:b/>
          <w:i/>
          <w:sz w:val="18"/>
        </w:rPr>
        <w:t>, item 245</w:t>
      </w:r>
      <w:r w:rsidR="00197AA4" w:rsidRPr="00F63766">
        <w:rPr>
          <w:b/>
          <w:i/>
          <w:sz w:val="18"/>
        </w:rPr>
        <w:t>G</w:t>
      </w:r>
      <w:r w:rsidRPr="00F63766">
        <w:rPr>
          <w:b/>
          <w:i/>
          <w:sz w:val="18"/>
        </w:rPr>
        <w:t xml:space="preserve"> in the table </w:t>
      </w:r>
      <w:r w:rsidR="00A92443">
        <w:rPr>
          <w:b/>
          <w:i/>
          <w:sz w:val="18"/>
        </w:rPr>
        <w:t xml:space="preserve">to </w:t>
      </w:r>
      <w:r w:rsidRPr="00F63766">
        <w:rPr>
          <w:b/>
          <w:i/>
          <w:sz w:val="18"/>
        </w:rPr>
        <w:t>Schedule 3)]</w:t>
      </w:r>
      <w:r w:rsidRPr="00F63766">
        <w:t xml:space="preserve">. </w:t>
      </w:r>
    </w:p>
    <w:p w14:paraId="02BCC8D3" w14:textId="77777777" w:rsidR="00E27590" w:rsidRPr="00F63766" w:rsidRDefault="00E27590" w:rsidP="00E27590">
      <w:pPr>
        <w:pStyle w:val="Heading3"/>
      </w:pPr>
      <w:r w:rsidRPr="00F63766">
        <w:t>Other obligations of CSF intermediaries relating to their platform</w:t>
      </w:r>
    </w:p>
    <w:p w14:paraId="1F70F662" w14:textId="7A4FDB20" w:rsidR="00E27590" w:rsidRPr="00F63766" w:rsidRDefault="00E27590" w:rsidP="005F5526">
      <w:pPr>
        <w:pStyle w:val="base-text-paragraph"/>
      </w:pPr>
      <w:r w:rsidRPr="00F63766">
        <w:t>The CSF regime sets out a number of other obligations that a CSF intermediary must comply with.  These are that the intermediary:</w:t>
      </w:r>
    </w:p>
    <w:p w14:paraId="4BA8DC21" w14:textId="34B99223" w:rsidR="00E27590" w:rsidRPr="00F63766" w:rsidRDefault="00E27590" w:rsidP="00E27590">
      <w:pPr>
        <w:pStyle w:val="dotpoint"/>
      </w:pPr>
      <w:r w:rsidRPr="00F63766">
        <w:t xml:space="preserve">must ensure the CSF risk warning appears prominently on the platform at all times while the offer is open or suspended </w:t>
      </w:r>
      <w:r w:rsidRPr="00F63766">
        <w:rPr>
          <w:b/>
          <w:i/>
          <w:sz w:val="18"/>
        </w:rPr>
        <w:t>[Schedule 1, Part 1, item 1</w:t>
      </w:r>
      <w:r w:rsidR="00FF7DAE" w:rsidRPr="00F63766">
        <w:rPr>
          <w:b/>
          <w:i/>
          <w:sz w:val="18"/>
        </w:rPr>
        <w:t>4</w:t>
      </w:r>
      <w:r w:rsidRPr="00F63766">
        <w:rPr>
          <w:b/>
          <w:i/>
          <w:sz w:val="18"/>
        </w:rPr>
        <w:t>, subsection 738ZA(1)]</w:t>
      </w:r>
      <w:r w:rsidRPr="00F63766">
        <w:t xml:space="preserve">; </w:t>
      </w:r>
    </w:p>
    <w:p w14:paraId="2811B641" w14:textId="5A985B2E" w:rsidR="00E27590" w:rsidRPr="00F63766" w:rsidRDefault="00E27590" w:rsidP="00E27590">
      <w:pPr>
        <w:pStyle w:val="dotpoint"/>
      </w:pPr>
      <w:r w:rsidRPr="00F63766">
        <w:t xml:space="preserve">must provide an application facility, reject any applications made other than via the application facility and not allow an application to be made while an offer is suspended or closed </w:t>
      </w:r>
      <w:r w:rsidRPr="00F63766">
        <w:rPr>
          <w:b/>
          <w:i/>
          <w:sz w:val="18"/>
        </w:rPr>
        <w:t>[Schedule 1, Part 1, item 1</w:t>
      </w:r>
      <w:r w:rsidR="00FF7DAE" w:rsidRPr="00F63766">
        <w:rPr>
          <w:b/>
          <w:i/>
          <w:sz w:val="18"/>
        </w:rPr>
        <w:t>4</w:t>
      </w:r>
      <w:r w:rsidRPr="00F63766">
        <w:rPr>
          <w:b/>
          <w:i/>
          <w:sz w:val="18"/>
        </w:rPr>
        <w:t>, subsection</w:t>
      </w:r>
      <w:r w:rsidR="009339B1">
        <w:rPr>
          <w:b/>
          <w:i/>
          <w:sz w:val="18"/>
        </w:rPr>
        <w:t>s</w:t>
      </w:r>
      <w:r w:rsidRPr="00F63766">
        <w:rPr>
          <w:b/>
          <w:i/>
          <w:sz w:val="18"/>
        </w:rPr>
        <w:t> 738ZA(3)</w:t>
      </w:r>
      <w:r w:rsidR="009339B1">
        <w:rPr>
          <w:b/>
          <w:i/>
          <w:sz w:val="18"/>
        </w:rPr>
        <w:t xml:space="preserve"> and (4)</w:t>
      </w:r>
      <w:r w:rsidRPr="00F63766">
        <w:rPr>
          <w:b/>
          <w:i/>
          <w:sz w:val="18"/>
        </w:rPr>
        <w:t>]</w:t>
      </w:r>
      <w:r w:rsidRPr="00F63766">
        <w:t xml:space="preserve">; </w:t>
      </w:r>
    </w:p>
    <w:p w14:paraId="4A89B467" w14:textId="6F080F24" w:rsidR="00E27590" w:rsidRPr="00F63766" w:rsidRDefault="00E27590" w:rsidP="00E27590">
      <w:pPr>
        <w:pStyle w:val="dotpoint"/>
      </w:pPr>
      <w:r w:rsidRPr="00F63766">
        <w:t xml:space="preserve">must provide a communication facility for each CSF offer </w:t>
      </w:r>
      <w:r w:rsidRPr="00F63766">
        <w:rPr>
          <w:b/>
          <w:i/>
          <w:sz w:val="18"/>
        </w:rPr>
        <w:t>[Schedule 1, Part 1, item 1</w:t>
      </w:r>
      <w:r w:rsidR="00FF7DAE" w:rsidRPr="00F63766">
        <w:rPr>
          <w:b/>
          <w:i/>
          <w:sz w:val="18"/>
        </w:rPr>
        <w:t>4</w:t>
      </w:r>
      <w:r w:rsidRPr="00F63766">
        <w:rPr>
          <w:b/>
          <w:i/>
          <w:sz w:val="18"/>
        </w:rPr>
        <w:t>, subsection 738ZA(5)]</w:t>
      </w:r>
      <w:r w:rsidRPr="00F63766">
        <w:t xml:space="preserve">; </w:t>
      </w:r>
    </w:p>
    <w:p w14:paraId="1FDAB6A0" w14:textId="45917D7C" w:rsidR="00E27590" w:rsidRPr="00F63766" w:rsidRDefault="00E27590" w:rsidP="00E27590">
      <w:pPr>
        <w:pStyle w:val="dotpoint"/>
      </w:pPr>
      <w:r w:rsidRPr="00F63766">
        <w:t>must ensure</w:t>
      </w:r>
      <w:r w:rsidR="006264C7">
        <w:t xml:space="preserve"> that information </w:t>
      </w:r>
      <w:r w:rsidR="008268A3">
        <w:t>relating to a retail</w:t>
      </w:r>
      <w:r w:rsidR="006264C7">
        <w:t xml:space="preserve"> investor’s</w:t>
      </w:r>
      <w:r w:rsidRPr="00F63766">
        <w:t xml:space="preserve"> cooling-off rights appear</w:t>
      </w:r>
      <w:r w:rsidR="008268A3">
        <w:t xml:space="preserve">s prominently </w:t>
      </w:r>
      <w:r w:rsidRPr="00F63766">
        <w:t xml:space="preserve">on the offer platform while </w:t>
      </w:r>
      <w:r w:rsidR="00215C78">
        <w:t>an</w:t>
      </w:r>
      <w:r w:rsidRPr="00F63766">
        <w:t xml:space="preserve"> offer is open or suspended </w:t>
      </w:r>
      <w:r w:rsidRPr="00F63766">
        <w:rPr>
          <w:b/>
          <w:i/>
          <w:sz w:val="18"/>
        </w:rPr>
        <w:t>[Schedule 1, Part 1, item 1</w:t>
      </w:r>
      <w:r w:rsidR="00FF7DAE" w:rsidRPr="00F63766">
        <w:rPr>
          <w:b/>
          <w:i/>
          <w:sz w:val="18"/>
        </w:rPr>
        <w:t>4</w:t>
      </w:r>
      <w:r w:rsidRPr="00F63766">
        <w:rPr>
          <w:b/>
          <w:i/>
          <w:sz w:val="18"/>
        </w:rPr>
        <w:t>, subsection 738ZA(8)]</w:t>
      </w:r>
      <w:r w:rsidRPr="00F63766">
        <w:t>; and</w:t>
      </w:r>
    </w:p>
    <w:p w14:paraId="249CDE7C" w14:textId="2EFB4FFB" w:rsidR="00E27590" w:rsidRDefault="00E27590" w:rsidP="00E27590">
      <w:pPr>
        <w:pStyle w:val="dotpoint"/>
      </w:pPr>
      <w:proofErr w:type="gramStart"/>
      <w:r w:rsidRPr="00F63766">
        <w:t>must</w:t>
      </w:r>
      <w:proofErr w:type="gramEnd"/>
      <w:r w:rsidRPr="00F63766">
        <w:t xml:space="preserve"> disclose fees paid to it by the issuer and any interest that </w:t>
      </w:r>
      <w:r w:rsidR="003031B9">
        <w:t xml:space="preserve">the intermediary </w:t>
      </w:r>
      <w:r w:rsidRPr="00F63766">
        <w:t xml:space="preserve">has or intends to </w:t>
      </w:r>
      <w:r w:rsidR="003031B9">
        <w:t>take</w:t>
      </w:r>
      <w:r w:rsidRPr="00F63766">
        <w:t xml:space="preserve"> in the issuer company prominently on the platform </w:t>
      </w:r>
      <w:r w:rsidRPr="00F63766">
        <w:rPr>
          <w:b/>
          <w:i/>
          <w:sz w:val="18"/>
        </w:rPr>
        <w:t>[Schedule 1, Part 1, item 1</w:t>
      </w:r>
      <w:r w:rsidR="00FF7DAE" w:rsidRPr="00F63766">
        <w:rPr>
          <w:b/>
          <w:i/>
          <w:sz w:val="18"/>
        </w:rPr>
        <w:t>4</w:t>
      </w:r>
      <w:r w:rsidRPr="00F63766">
        <w:rPr>
          <w:b/>
          <w:i/>
          <w:sz w:val="18"/>
        </w:rPr>
        <w:t>, subsection 738ZA(9)]</w:t>
      </w:r>
      <w:r w:rsidRPr="00F63766">
        <w:t xml:space="preserve">. </w:t>
      </w:r>
    </w:p>
    <w:p w14:paraId="0C8FC052" w14:textId="2C4AFC0D" w:rsidR="00A86446" w:rsidRPr="00F63766" w:rsidRDefault="00A86446" w:rsidP="00A86446">
      <w:pPr>
        <w:pStyle w:val="base-text-paragraph"/>
      </w:pPr>
      <w:r>
        <w:t>Failure to comply with</w:t>
      </w:r>
      <w:r w:rsidR="00622B47">
        <w:t xml:space="preserve"> any of</w:t>
      </w:r>
      <w:r>
        <w:t xml:space="preserve"> the obligations set out above </w:t>
      </w:r>
      <w:r w:rsidR="00622B47">
        <w:t>will mean the intermediary</w:t>
      </w:r>
      <w:r>
        <w:t xml:space="preserve"> </w:t>
      </w:r>
      <w:r w:rsidR="00622B47">
        <w:t xml:space="preserve">will commit </w:t>
      </w:r>
      <w:r w:rsidR="00047DD7">
        <w:t xml:space="preserve">an </w:t>
      </w:r>
      <w:r>
        <w:t xml:space="preserve">offence, </w:t>
      </w:r>
      <w:r w:rsidRPr="00F63766">
        <w:t xml:space="preserve">punishable by a maximum penalty of 60 penalty units, one year’s imprisonment, or both </w:t>
      </w:r>
      <w:r w:rsidRPr="00F63766">
        <w:rPr>
          <w:b/>
          <w:i/>
          <w:sz w:val="18"/>
        </w:rPr>
        <w:t xml:space="preserve">[Schedule 1, Part 1, item 34, item 245N in the table </w:t>
      </w:r>
      <w:r w:rsidR="00D05CB2">
        <w:rPr>
          <w:b/>
          <w:i/>
          <w:sz w:val="18"/>
        </w:rPr>
        <w:t>to</w:t>
      </w:r>
      <w:r w:rsidRPr="00F63766">
        <w:rPr>
          <w:b/>
          <w:i/>
          <w:sz w:val="18"/>
        </w:rPr>
        <w:t xml:space="preserve"> Schedule 3]</w:t>
      </w:r>
      <w:r w:rsidR="001C502F">
        <w:t xml:space="preserve">. </w:t>
      </w:r>
      <w:r w:rsidR="00DC79FC" w:rsidRPr="00F63766">
        <w:t xml:space="preserve">The penalty of 60 penalty units and one year’s imprisonment is in accordance with the fine/imprisonment ratio of 5:1 specified in the Government’s </w:t>
      </w:r>
      <w:r w:rsidR="00DC79FC" w:rsidRPr="00F63766">
        <w:rPr>
          <w:i/>
        </w:rPr>
        <w:t>Guide to Framing Commonwealth Offences, Infringement Notices and Enforcement Powers</w:t>
      </w:r>
      <w:r w:rsidR="00DC79FC" w:rsidRPr="00F63766">
        <w:t xml:space="preserve"> (section 3.1.3 </w:t>
      </w:r>
      <w:r w:rsidR="00390FAB">
        <w:t xml:space="preserve">of the Guide </w:t>
      </w:r>
      <w:r w:rsidR="00DC79FC" w:rsidRPr="00F63766">
        <w:t>refers).</w:t>
      </w:r>
    </w:p>
    <w:p w14:paraId="31100407" w14:textId="77777777" w:rsidR="00E27590" w:rsidRPr="00F63766" w:rsidRDefault="00E27590" w:rsidP="00E27590">
      <w:pPr>
        <w:pStyle w:val="Heading4"/>
      </w:pPr>
      <w:r w:rsidRPr="00F63766">
        <w:t>Risk warning</w:t>
      </w:r>
    </w:p>
    <w:p w14:paraId="4F043F21" w14:textId="5ABE231E" w:rsidR="00F8036B" w:rsidRPr="00F63766" w:rsidRDefault="00743659" w:rsidP="005F5526">
      <w:pPr>
        <w:pStyle w:val="base-text-paragraph"/>
      </w:pPr>
      <w:r>
        <w:t>The intermediary must</w:t>
      </w:r>
      <w:r w:rsidR="00FF2647">
        <w:t xml:space="preserve"> ensure that the CSF risk warning is displayed prom</w:t>
      </w:r>
      <w:r w:rsidR="001C502F">
        <w:t xml:space="preserve">inently on the offer platform. </w:t>
      </w:r>
      <w:r w:rsidR="00FF2647">
        <w:t xml:space="preserve">The </w:t>
      </w:r>
      <w:r w:rsidR="00F8036B" w:rsidRPr="00F63766">
        <w:t xml:space="preserve">purpose of the risk warning is to alert potential investors, particularly </w:t>
      </w:r>
      <w:r w:rsidR="00891337">
        <w:t>retail investors</w:t>
      </w:r>
      <w:r w:rsidR="00F8036B" w:rsidRPr="00F63766">
        <w:t xml:space="preserve"> of the potential risks</w:t>
      </w:r>
      <w:r w:rsidR="00C45C61" w:rsidRPr="00F63766">
        <w:t xml:space="preserve"> associated with, and high failure rates</w:t>
      </w:r>
      <w:r w:rsidR="00F8036B" w:rsidRPr="00F63766">
        <w:t xml:space="preserve"> of</w:t>
      </w:r>
      <w:r w:rsidR="001315AC">
        <w:t>,</w:t>
      </w:r>
      <w:r w:rsidR="00F8036B" w:rsidRPr="00F63766">
        <w:t xml:space="preserve"> start</w:t>
      </w:r>
      <w:r w:rsidR="000332F7" w:rsidRPr="00F63766">
        <w:noBreakHyphen/>
      </w:r>
      <w:r w:rsidR="00F8036B" w:rsidRPr="00F63766">
        <w:t>ups</w:t>
      </w:r>
      <w:r w:rsidR="00EF626E" w:rsidRPr="00F63766">
        <w:t xml:space="preserve"> and emerging companies, which are most likely to be making CSF offers. </w:t>
      </w:r>
    </w:p>
    <w:p w14:paraId="0A20D98C" w14:textId="21B8FCCA" w:rsidR="002314D2" w:rsidRPr="00F63766" w:rsidRDefault="00E27590" w:rsidP="005F5526">
      <w:pPr>
        <w:pStyle w:val="base-text-paragraph"/>
      </w:pPr>
      <w:r w:rsidRPr="00F63766">
        <w:t xml:space="preserve">The required wording of the general CSF risk warning will be </w:t>
      </w:r>
      <w:r w:rsidR="008F0703">
        <w:t>specified</w:t>
      </w:r>
      <w:r w:rsidRPr="00F63766">
        <w:t xml:space="preserve"> in the regulations </w:t>
      </w:r>
      <w:r w:rsidRPr="00F63766">
        <w:rPr>
          <w:b/>
          <w:i/>
          <w:sz w:val="18"/>
        </w:rPr>
        <w:t>[Schedule 1, Part 1, item </w:t>
      </w:r>
      <w:r w:rsidR="002314D2" w:rsidRPr="00F63766">
        <w:rPr>
          <w:b/>
          <w:i/>
          <w:sz w:val="18"/>
        </w:rPr>
        <w:t>14</w:t>
      </w:r>
      <w:r w:rsidRPr="00F63766">
        <w:rPr>
          <w:b/>
          <w:i/>
          <w:sz w:val="18"/>
        </w:rPr>
        <w:t>, subsection </w:t>
      </w:r>
      <w:proofErr w:type="gramStart"/>
      <w:r w:rsidRPr="00F63766">
        <w:rPr>
          <w:b/>
          <w:i/>
          <w:sz w:val="18"/>
        </w:rPr>
        <w:t>738ZA(</w:t>
      </w:r>
      <w:proofErr w:type="gramEnd"/>
      <w:r w:rsidRPr="00F63766">
        <w:rPr>
          <w:b/>
          <w:i/>
          <w:sz w:val="18"/>
        </w:rPr>
        <w:t>2)]</w:t>
      </w:r>
      <w:r w:rsidRPr="00F63766">
        <w:t xml:space="preserve">.  The intermediary must ensure that the risk warning appears prominently on its platform at all times, including </w:t>
      </w:r>
      <w:r w:rsidR="008E75C5">
        <w:t>while an</w:t>
      </w:r>
      <w:r w:rsidRPr="00F63766">
        <w:t xml:space="preserve"> offer is suspended </w:t>
      </w:r>
      <w:r w:rsidRPr="00F63766">
        <w:rPr>
          <w:b/>
          <w:i/>
          <w:sz w:val="18"/>
        </w:rPr>
        <w:t>[Schedule</w:t>
      </w:r>
      <w:r w:rsidR="00B20BE3">
        <w:rPr>
          <w:b/>
          <w:i/>
          <w:sz w:val="18"/>
        </w:rPr>
        <w:t> </w:t>
      </w:r>
      <w:r w:rsidRPr="00F63766">
        <w:rPr>
          <w:b/>
          <w:i/>
          <w:sz w:val="18"/>
        </w:rPr>
        <w:t>1, Part 1, item 1</w:t>
      </w:r>
      <w:r w:rsidR="002314D2" w:rsidRPr="00F63766">
        <w:rPr>
          <w:b/>
          <w:i/>
          <w:sz w:val="18"/>
        </w:rPr>
        <w:t>4</w:t>
      </w:r>
      <w:r w:rsidRPr="00F63766">
        <w:rPr>
          <w:b/>
          <w:i/>
          <w:sz w:val="18"/>
        </w:rPr>
        <w:t>, subsection </w:t>
      </w:r>
      <w:proofErr w:type="gramStart"/>
      <w:r w:rsidRPr="00F63766">
        <w:rPr>
          <w:b/>
          <w:i/>
          <w:sz w:val="18"/>
        </w:rPr>
        <w:t>738ZA(</w:t>
      </w:r>
      <w:proofErr w:type="gramEnd"/>
      <w:r w:rsidRPr="00F63766">
        <w:rPr>
          <w:b/>
          <w:i/>
          <w:sz w:val="18"/>
        </w:rPr>
        <w:t>1)]</w:t>
      </w:r>
      <w:r w:rsidRPr="00F63766">
        <w:t xml:space="preserve">.  </w:t>
      </w:r>
    </w:p>
    <w:p w14:paraId="7CC74335" w14:textId="4A4FFE42" w:rsidR="006B1669" w:rsidRPr="00F63766" w:rsidRDefault="002314D2" w:rsidP="005F5526">
      <w:pPr>
        <w:pStyle w:val="base-text-paragraph"/>
      </w:pPr>
      <w:r w:rsidRPr="00F63766">
        <w:t xml:space="preserve">The word ‘prominently’ is not defined and </w:t>
      </w:r>
      <w:r w:rsidR="00B20BE3">
        <w:t xml:space="preserve">whether the risk warning is prominently displayed </w:t>
      </w:r>
      <w:r w:rsidRPr="00F63766">
        <w:t xml:space="preserve">will depend on the </w:t>
      </w:r>
      <w:r w:rsidR="00B20BE3">
        <w:t xml:space="preserve">particular facts and circumstances, including the </w:t>
      </w:r>
      <w:r w:rsidRPr="00F63766">
        <w:t xml:space="preserve">design of </w:t>
      </w:r>
      <w:r w:rsidR="00B20BE3">
        <w:t xml:space="preserve">the offer platform. </w:t>
      </w:r>
    </w:p>
    <w:p w14:paraId="535A78B4" w14:textId="1B143F00" w:rsidR="00E27590" w:rsidRPr="00F63766" w:rsidRDefault="00E27590" w:rsidP="00E27590">
      <w:pPr>
        <w:pStyle w:val="Heading4"/>
      </w:pPr>
      <w:r w:rsidRPr="00F63766">
        <w:t xml:space="preserve">Applications </w:t>
      </w:r>
      <w:r w:rsidR="002C1562" w:rsidRPr="00F63766">
        <w:t xml:space="preserve">to </w:t>
      </w:r>
      <w:r w:rsidRPr="00F63766">
        <w:t>only be made via an application facility</w:t>
      </w:r>
    </w:p>
    <w:p w14:paraId="474FE036" w14:textId="408F6CDB" w:rsidR="007A254F" w:rsidRPr="00F63766" w:rsidRDefault="00562386" w:rsidP="005F5526">
      <w:pPr>
        <w:pStyle w:val="base-text-paragraph"/>
      </w:pPr>
      <w:r>
        <w:t>The i</w:t>
      </w:r>
      <w:r w:rsidR="00E27590" w:rsidRPr="00F63766">
        <w:t xml:space="preserve">ntermediary must provide a </w:t>
      </w:r>
      <w:r w:rsidR="005C5C37" w:rsidRPr="00F63766">
        <w:t xml:space="preserve">facility — </w:t>
      </w:r>
      <w:r w:rsidR="00C6230B" w:rsidRPr="00F63766">
        <w:t>the</w:t>
      </w:r>
      <w:r w:rsidR="005C5C37" w:rsidRPr="00F63766">
        <w:t xml:space="preserve"> application </w:t>
      </w:r>
      <w:proofErr w:type="gramStart"/>
      <w:r w:rsidR="005C5C37" w:rsidRPr="00F63766">
        <w:t>facility</w:t>
      </w:r>
      <w:proofErr w:type="gramEnd"/>
      <w:r w:rsidR="005C5C37" w:rsidRPr="00F63766">
        <w:t xml:space="preserve"> — </w:t>
      </w:r>
      <w:r w:rsidR="00E27590" w:rsidRPr="00F63766">
        <w:t xml:space="preserve">on its platform </w:t>
      </w:r>
      <w:r w:rsidR="00243CA5" w:rsidRPr="00F63766">
        <w:t xml:space="preserve">to enable </w:t>
      </w:r>
      <w:r w:rsidR="00E27590" w:rsidRPr="00F63766">
        <w:t xml:space="preserve">a person </w:t>
      </w:r>
      <w:r w:rsidR="00890C93" w:rsidRPr="00F63766">
        <w:t xml:space="preserve">to </w:t>
      </w:r>
      <w:r w:rsidR="00E27590" w:rsidRPr="00F63766">
        <w:t>apply for</w:t>
      </w:r>
      <w:r w:rsidR="00890C93" w:rsidRPr="00F63766">
        <w:t xml:space="preserve"> securities that are the subject of a </w:t>
      </w:r>
      <w:r w:rsidR="00E27590" w:rsidRPr="00F63766">
        <w:t xml:space="preserve">CSF </w:t>
      </w:r>
      <w:r w:rsidR="00890C93" w:rsidRPr="00F63766">
        <w:t>offer</w:t>
      </w:r>
      <w:r w:rsidR="001C502F">
        <w:t>.</w:t>
      </w:r>
      <w:r w:rsidR="00515085" w:rsidRPr="00F63766">
        <w:t xml:space="preserve"> </w:t>
      </w:r>
      <w:r w:rsidR="00725FB5" w:rsidRPr="00F63766">
        <w:t xml:space="preserve">All applications in response to a CSF offer must be made via the intermediary’s application facility. </w:t>
      </w:r>
      <w:r w:rsidR="007A254F" w:rsidRPr="00F63766">
        <w:t xml:space="preserve"> </w:t>
      </w:r>
    </w:p>
    <w:p w14:paraId="7E50592A" w14:textId="0AF999BB" w:rsidR="007A254F" w:rsidRPr="00F63766" w:rsidRDefault="007A254F" w:rsidP="005F5526">
      <w:pPr>
        <w:pStyle w:val="base-text-paragraph"/>
      </w:pPr>
      <w:r w:rsidRPr="00F63766">
        <w:t xml:space="preserve">Where a person tries to apply for CSF securities other than via the application facility, the intermediary must reject the application and refund any money paid as soon as practicable </w:t>
      </w:r>
      <w:r w:rsidRPr="00F63766">
        <w:rPr>
          <w:b/>
          <w:i/>
          <w:sz w:val="18"/>
        </w:rPr>
        <w:t>[Schedule 1, Part 1, item 14, subsection 738ZA(4)</w:t>
      </w:r>
      <w:r w:rsidR="00EA1B91">
        <w:rPr>
          <w:b/>
          <w:i/>
          <w:sz w:val="18"/>
        </w:rPr>
        <w:t xml:space="preserve"> </w:t>
      </w:r>
      <w:r w:rsidRPr="00F63766">
        <w:rPr>
          <w:b/>
          <w:i/>
          <w:sz w:val="18"/>
        </w:rPr>
        <w:t>and paragraph 738ZB(4)(b)]</w:t>
      </w:r>
      <w:r w:rsidRPr="00F63766">
        <w:t xml:space="preserve">.  Requiring all applications in response to the CSF offer to be made via the intermediary is a means of ensuring that applicants </w:t>
      </w:r>
      <w:r w:rsidR="0030446C">
        <w:t xml:space="preserve">is aware of and </w:t>
      </w:r>
      <w:r w:rsidRPr="00F63766">
        <w:t>receive</w:t>
      </w:r>
      <w:r w:rsidR="0030446C">
        <w:t>s</w:t>
      </w:r>
      <w:r w:rsidRPr="00F63766">
        <w:t xml:space="preserve"> </w:t>
      </w:r>
      <w:r w:rsidR="00F248B3" w:rsidRPr="00F63766">
        <w:t xml:space="preserve">the </w:t>
      </w:r>
      <w:r w:rsidRPr="00F63766">
        <w:t xml:space="preserve">various investor </w:t>
      </w:r>
      <w:r w:rsidR="005E6885" w:rsidRPr="00F63766">
        <w:t xml:space="preserve">protections. </w:t>
      </w:r>
    </w:p>
    <w:p w14:paraId="37712061" w14:textId="78E6EE77" w:rsidR="004067CC" w:rsidRPr="00F63766" w:rsidRDefault="00E27590" w:rsidP="005F5526">
      <w:pPr>
        <w:pStyle w:val="base-text-paragraph"/>
      </w:pPr>
      <w:r w:rsidRPr="00F63766">
        <w:t>The</w:t>
      </w:r>
      <w:r w:rsidR="00F248B3" w:rsidRPr="00F63766">
        <w:t xml:space="preserve"> application</w:t>
      </w:r>
      <w:r w:rsidRPr="00F63766">
        <w:t xml:space="preserve"> facility must only be available while the offer is open —</w:t>
      </w:r>
      <w:r w:rsidR="00EA1B91">
        <w:t xml:space="preserve"> </w:t>
      </w:r>
      <w:r w:rsidRPr="00F63766">
        <w:t xml:space="preserve">applications </w:t>
      </w:r>
      <w:r w:rsidR="00515085" w:rsidRPr="00F63766">
        <w:t xml:space="preserve">must not be able </w:t>
      </w:r>
      <w:r w:rsidRPr="00F63766">
        <w:t>to be made while an offer is closed or suspended</w:t>
      </w:r>
      <w:r w:rsidR="001C502F">
        <w:t>.</w:t>
      </w:r>
      <w:r w:rsidRPr="00F63766">
        <w:t xml:space="preserve"> </w:t>
      </w:r>
      <w:r w:rsidRPr="00F63766">
        <w:rPr>
          <w:b/>
          <w:i/>
          <w:sz w:val="18"/>
        </w:rPr>
        <w:t>[Schedule 1, Part 1, item 1</w:t>
      </w:r>
      <w:r w:rsidR="00F248B3" w:rsidRPr="00F63766">
        <w:rPr>
          <w:b/>
          <w:i/>
          <w:sz w:val="18"/>
        </w:rPr>
        <w:t>4</w:t>
      </w:r>
      <w:r w:rsidRPr="00F63766">
        <w:rPr>
          <w:b/>
          <w:i/>
          <w:sz w:val="18"/>
        </w:rPr>
        <w:t>, paragraph</w:t>
      </w:r>
      <w:r w:rsidR="00515085" w:rsidRPr="00F63766">
        <w:rPr>
          <w:b/>
          <w:i/>
          <w:sz w:val="18"/>
        </w:rPr>
        <w:t>s</w:t>
      </w:r>
      <w:r w:rsidRPr="00F63766">
        <w:rPr>
          <w:b/>
          <w:i/>
          <w:sz w:val="18"/>
        </w:rPr>
        <w:t> 738ZA(3</w:t>
      </w:r>
      <w:r w:rsidR="00DB342D" w:rsidRPr="00F63766">
        <w:rPr>
          <w:b/>
          <w:i/>
          <w:sz w:val="18"/>
        </w:rPr>
        <w:t>)</w:t>
      </w:r>
      <w:r w:rsidR="00515085" w:rsidRPr="00F63766">
        <w:rPr>
          <w:b/>
          <w:i/>
          <w:sz w:val="18"/>
        </w:rPr>
        <w:t>(a) and</w:t>
      </w:r>
      <w:r w:rsidR="00C6230B" w:rsidRPr="00F63766">
        <w:rPr>
          <w:b/>
          <w:i/>
          <w:sz w:val="18"/>
        </w:rPr>
        <w:t xml:space="preserve"> </w:t>
      </w:r>
      <w:r w:rsidRPr="00F63766">
        <w:rPr>
          <w:b/>
          <w:i/>
          <w:sz w:val="18"/>
        </w:rPr>
        <w:t>(c)]</w:t>
      </w:r>
      <w:r w:rsidR="002C0D56" w:rsidRPr="00F63766">
        <w:t xml:space="preserve"> </w:t>
      </w:r>
    </w:p>
    <w:p w14:paraId="1651CD34" w14:textId="3B52033E" w:rsidR="0081598E" w:rsidRPr="00F63766" w:rsidRDefault="0081598E" w:rsidP="005F5526">
      <w:pPr>
        <w:pStyle w:val="base-text-paragraph"/>
      </w:pPr>
      <w:r w:rsidRPr="00F63766">
        <w:t>Where</w:t>
      </w:r>
      <w:r w:rsidR="002C0D56" w:rsidRPr="00F63766">
        <w:t xml:space="preserve"> a retail </w:t>
      </w:r>
      <w:r w:rsidR="00604CE9">
        <w:t>client</w:t>
      </w:r>
      <w:r w:rsidR="002C0D56" w:rsidRPr="00F63766">
        <w:t xml:space="preserve"> </w:t>
      </w:r>
      <w:r w:rsidR="00645BFC" w:rsidRPr="00F63766">
        <w:t xml:space="preserve">is </w:t>
      </w:r>
      <w:r w:rsidR="00490163">
        <w:t>trying</w:t>
      </w:r>
      <w:r w:rsidR="00645BFC" w:rsidRPr="00F63766">
        <w:t xml:space="preserve"> to apply for </w:t>
      </w:r>
      <w:r w:rsidR="002C0D56" w:rsidRPr="00F63766">
        <w:t xml:space="preserve">securities </w:t>
      </w:r>
      <w:r w:rsidR="00645BFC" w:rsidRPr="00F63766">
        <w:t xml:space="preserve">that are the subject of a </w:t>
      </w:r>
      <w:r w:rsidR="002C0D56" w:rsidRPr="00F63766">
        <w:t>CSF offer, the intermediary must ensure that the investor completes a risk acknowledgment</w:t>
      </w:r>
      <w:r w:rsidRPr="00F63766">
        <w:t xml:space="preserve"> </w:t>
      </w:r>
      <w:r w:rsidR="002C0D56" w:rsidRPr="00F63766">
        <w:rPr>
          <w:b/>
          <w:i/>
          <w:sz w:val="18"/>
        </w:rPr>
        <w:t>[Schedule 1, Part 1, item 1</w:t>
      </w:r>
      <w:r w:rsidR="00880F7F" w:rsidRPr="00F63766">
        <w:rPr>
          <w:b/>
          <w:i/>
          <w:sz w:val="18"/>
        </w:rPr>
        <w:t>4</w:t>
      </w:r>
      <w:r w:rsidR="002C0D56" w:rsidRPr="00F63766">
        <w:rPr>
          <w:b/>
          <w:i/>
          <w:sz w:val="18"/>
        </w:rPr>
        <w:t>, paragraph </w:t>
      </w:r>
      <w:proofErr w:type="gramStart"/>
      <w:r w:rsidR="002C0D56" w:rsidRPr="00F63766">
        <w:rPr>
          <w:b/>
          <w:i/>
          <w:sz w:val="18"/>
        </w:rPr>
        <w:t>738ZA(</w:t>
      </w:r>
      <w:proofErr w:type="gramEnd"/>
      <w:r w:rsidR="002C0D56" w:rsidRPr="00F63766">
        <w:rPr>
          <w:b/>
          <w:i/>
          <w:sz w:val="18"/>
        </w:rPr>
        <w:t>3)(b)]</w:t>
      </w:r>
      <w:r w:rsidR="002C0D56" w:rsidRPr="00F63766">
        <w:t xml:space="preserve">. </w:t>
      </w:r>
      <w:r w:rsidR="004067CC" w:rsidRPr="00F63766">
        <w:t xml:space="preserve"> </w:t>
      </w:r>
      <w:r w:rsidRPr="00F63766">
        <w:t xml:space="preserve">The requirement that a person ‘complete’ rather than ‘sign’ the risk acknowledgment means it will not be mandatory for an intermediary to require an applicant to digitally sign the risk acknowledgment (although it </w:t>
      </w:r>
      <w:r w:rsidR="00953891">
        <w:t>c</w:t>
      </w:r>
      <w:r w:rsidRPr="00F63766">
        <w:t xml:space="preserve">ould </w:t>
      </w:r>
      <w:r w:rsidR="00953891">
        <w:t>choose to require this)</w:t>
      </w:r>
      <w:r w:rsidRPr="00F63766">
        <w:t>.  The</w:t>
      </w:r>
      <w:r w:rsidR="00AE1CCD" w:rsidRPr="00F63766">
        <w:t xml:space="preserve"> risk acknowledgment must comply with the requirements set out in the </w:t>
      </w:r>
      <w:r w:rsidRPr="00F63766">
        <w:t>regulations</w:t>
      </w:r>
      <w:r w:rsidR="004067CC" w:rsidRPr="00F63766">
        <w:t xml:space="preserve"> </w:t>
      </w:r>
      <w:r w:rsidR="004067CC" w:rsidRPr="00F63766">
        <w:rPr>
          <w:b/>
          <w:i/>
          <w:sz w:val="18"/>
        </w:rPr>
        <w:t>[Schedule 1, Part 1, item 1</w:t>
      </w:r>
      <w:r w:rsidR="00880F7F" w:rsidRPr="00F63766">
        <w:rPr>
          <w:b/>
          <w:i/>
          <w:sz w:val="18"/>
        </w:rPr>
        <w:t>4</w:t>
      </w:r>
      <w:r w:rsidR="004067CC" w:rsidRPr="00F63766">
        <w:rPr>
          <w:b/>
          <w:i/>
          <w:sz w:val="18"/>
        </w:rPr>
        <w:t>, paragraph </w:t>
      </w:r>
      <w:proofErr w:type="gramStart"/>
      <w:r w:rsidR="004067CC" w:rsidRPr="00F63766">
        <w:rPr>
          <w:b/>
          <w:i/>
          <w:sz w:val="18"/>
        </w:rPr>
        <w:t>738ZA(</w:t>
      </w:r>
      <w:proofErr w:type="gramEnd"/>
      <w:r w:rsidR="004067CC" w:rsidRPr="00F63766">
        <w:rPr>
          <w:b/>
          <w:i/>
          <w:sz w:val="18"/>
        </w:rPr>
        <w:t>3</w:t>
      </w:r>
      <w:r w:rsidR="00D05CB2">
        <w:rPr>
          <w:b/>
          <w:i/>
          <w:sz w:val="18"/>
        </w:rPr>
        <w:t>)(</w:t>
      </w:r>
      <w:r w:rsidR="004067CC" w:rsidRPr="00F63766">
        <w:rPr>
          <w:b/>
          <w:i/>
          <w:sz w:val="18"/>
        </w:rPr>
        <w:t>b)]</w:t>
      </w:r>
      <w:r w:rsidR="004067CC" w:rsidRPr="00F63766">
        <w:t xml:space="preserve">.  </w:t>
      </w:r>
    </w:p>
    <w:p w14:paraId="64943243" w14:textId="77777777" w:rsidR="00E27590" w:rsidRPr="00F63766" w:rsidRDefault="00E27590" w:rsidP="00E27590">
      <w:pPr>
        <w:pStyle w:val="Heading4"/>
      </w:pPr>
      <w:r w:rsidRPr="00F63766">
        <w:t>Communication facility for each CSF offer</w:t>
      </w:r>
    </w:p>
    <w:p w14:paraId="2459287B" w14:textId="13FBF44C" w:rsidR="00E27590" w:rsidRPr="00F63766" w:rsidRDefault="00744A27" w:rsidP="005F5526">
      <w:pPr>
        <w:pStyle w:val="base-text-paragraph"/>
      </w:pPr>
      <w:r>
        <w:t>The</w:t>
      </w:r>
      <w:r w:rsidR="00E27590" w:rsidRPr="00F63766">
        <w:t xml:space="preserve"> intermediary </w:t>
      </w:r>
      <w:r w:rsidR="0093291A">
        <w:t>must</w:t>
      </w:r>
      <w:r w:rsidR="00E27590" w:rsidRPr="00F63766">
        <w:t xml:space="preserve"> provide a communication facility in relation to each CSF offer</w:t>
      </w:r>
      <w:r w:rsidR="00FA2DDF" w:rsidRPr="00F63766">
        <w:t xml:space="preserve"> while the offer is open or suspended</w:t>
      </w:r>
      <w:r w:rsidR="00F72247" w:rsidRPr="00F63766">
        <w:t xml:space="preserve"> </w:t>
      </w:r>
      <w:r w:rsidR="00F72247" w:rsidRPr="00F63766">
        <w:rPr>
          <w:b/>
          <w:i/>
          <w:sz w:val="18"/>
        </w:rPr>
        <w:t>[Schedule 1, Part 1, item 14, subsection </w:t>
      </w:r>
      <w:proofErr w:type="gramStart"/>
      <w:r w:rsidR="00F72247" w:rsidRPr="00F63766">
        <w:rPr>
          <w:b/>
          <w:i/>
          <w:sz w:val="18"/>
        </w:rPr>
        <w:t>738ZA(</w:t>
      </w:r>
      <w:proofErr w:type="gramEnd"/>
      <w:r w:rsidR="00F72247" w:rsidRPr="00F63766">
        <w:rPr>
          <w:b/>
          <w:i/>
          <w:sz w:val="18"/>
        </w:rPr>
        <w:t>5)]</w:t>
      </w:r>
      <w:r w:rsidR="00FA2DDF" w:rsidRPr="00F63766">
        <w:t>.</w:t>
      </w:r>
      <w:r w:rsidR="00E27590" w:rsidRPr="00F63766">
        <w:t xml:space="preserve"> </w:t>
      </w:r>
      <w:r w:rsidR="007E1820" w:rsidRPr="00F63766">
        <w:t xml:space="preserve"> Requiring a</w:t>
      </w:r>
      <w:r w:rsidR="00E27590" w:rsidRPr="00F63766">
        <w:t xml:space="preserve"> communication facility </w:t>
      </w:r>
      <w:r w:rsidR="007E1820" w:rsidRPr="00F63766">
        <w:t xml:space="preserve">to be provided </w:t>
      </w:r>
      <w:r w:rsidR="00E27590" w:rsidRPr="00F63766">
        <w:t xml:space="preserve">in relation to each CSF offer is consistent with </w:t>
      </w:r>
      <w:r w:rsidR="00672E76" w:rsidRPr="00F63766">
        <w:t xml:space="preserve">one of the premises underlying </w:t>
      </w:r>
      <w:r w:rsidR="002940B6">
        <w:t>crowd-funding</w:t>
      </w:r>
      <w:r w:rsidR="00C57597">
        <w:t>,</w:t>
      </w:r>
      <w:r w:rsidR="004873B5" w:rsidRPr="00F63766">
        <w:t xml:space="preserve"> which is</w:t>
      </w:r>
      <w:r w:rsidR="00E27590" w:rsidRPr="00F63766">
        <w:t xml:space="preserve"> that investors can, in part, rely on the collective wisdom of the ‘crowd’ in making </w:t>
      </w:r>
      <w:r w:rsidR="00727823" w:rsidRPr="00F63766">
        <w:t xml:space="preserve">their </w:t>
      </w:r>
      <w:r w:rsidR="00E27590" w:rsidRPr="00F63766">
        <w:t xml:space="preserve">investment decision.  </w:t>
      </w:r>
    </w:p>
    <w:p w14:paraId="0B72BEFE" w14:textId="4E574FEE" w:rsidR="00E27590" w:rsidRPr="00F63766" w:rsidRDefault="00E27590" w:rsidP="005F5526">
      <w:pPr>
        <w:pStyle w:val="base-text-paragraph"/>
      </w:pPr>
      <w:r w:rsidRPr="00F63766">
        <w:t xml:space="preserve">The purpose of the communication facility is to allow potential investors, the issuer and intermediary to communicate with each other about a particular CSF offer.  Specifically, the communication facility should enable a person </w:t>
      </w:r>
      <w:r w:rsidR="00456F76">
        <w:t>who</w:t>
      </w:r>
      <w:r w:rsidRPr="00F63766">
        <w:t xml:space="preserve"> accesses the offer document to make posts relating to the offer, see posts relating to the offer and ask the company making the offer, or the intermediary, questions relating to the offer.  It should also enable the company or intermediary to respond to questions and posts.  </w:t>
      </w:r>
      <w:r w:rsidRPr="00F63766">
        <w:rPr>
          <w:b/>
          <w:i/>
          <w:sz w:val="18"/>
        </w:rPr>
        <w:t xml:space="preserve">[Schedule 1, Part 1, </w:t>
      </w:r>
      <w:r w:rsidR="004C3043">
        <w:rPr>
          <w:b/>
          <w:i/>
          <w:sz w:val="18"/>
        </w:rPr>
        <w:t>item 14</w:t>
      </w:r>
      <w:r w:rsidRPr="00F63766">
        <w:rPr>
          <w:b/>
          <w:i/>
          <w:sz w:val="18"/>
        </w:rPr>
        <w:t xml:space="preserve">, </w:t>
      </w:r>
      <w:r w:rsidR="00F3218C" w:rsidRPr="00F63766">
        <w:rPr>
          <w:b/>
          <w:i/>
          <w:sz w:val="18"/>
        </w:rPr>
        <w:t>paragraphs</w:t>
      </w:r>
      <w:r w:rsidR="00091FB6" w:rsidRPr="00F63766">
        <w:rPr>
          <w:b/>
          <w:i/>
          <w:sz w:val="18"/>
        </w:rPr>
        <w:t> </w:t>
      </w:r>
      <w:r w:rsidRPr="00F63766">
        <w:rPr>
          <w:b/>
          <w:i/>
          <w:sz w:val="18"/>
        </w:rPr>
        <w:t>738ZA(5)</w:t>
      </w:r>
      <w:r w:rsidR="00F3218C" w:rsidRPr="00F63766">
        <w:rPr>
          <w:b/>
          <w:i/>
          <w:sz w:val="18"/>
        </w:rPr>
        <w:t>(a) and (b)</w:t>
      </w:r>
      <w:r w:rsidRPr="00F63766">
        <w:rPr>
          <w:b/>
          <w:i/>
          <w:sz w:val="18"/>
        </w:rPr>
        <w:t>]</w:t>
      </w:r>
      <w:r w:rsidRPr="00F63766">
        <w:t xml:space="preserve">  </w:t>
      </w:r>
    </w:p>
    <w:p w14:paraId="1859090F" w14:textId="53B44228" w:rsidR="00C34EC1" w:rsidRPr="00F63766" w:rsidRDefault="00391A2D" w:rsidP="005F5526">
      <w:pPr>
        <w:pStyle w:val="base-text-paragraph"/>
      </w:pPr>
      <w:r w:rsidRPr="00F63766">
        <w:t xml:space="preserve">The communication facility does not need to be open to the general public, but must be made accessible to persons that are able to access the CSF offer document.  Where a person is unable to access a CSF offer document until they have registered on an intermediary’s platform, the person must be able to make and see posts on the communication facility for the offer on registration.  </w:t>
      </w:r>
    </w:p>
    <w:p w14:paraId="4C15D49D" w14:textId="455AE4A7" w:rsidR="00E27590" w:rsidRPr="00F63766" w:rsidRDefault="001C0D60" w:rsidP="005F5526">
      <w:pPr>
        <w:pStyle w:val="base-text-paragraph"/>
      </w:pPr>
      <w:r w:rsidRPr="00F63766">
        <w:t>While the communication facility will provide an important mechanism for investors to communicate with each other and with the issuer</w:t>
      </w:r>
      <w:r w:rsidR="009D6EFB">
        <w:t xml:space="preserve"> company</w:t>
      </w:r>
      <w:r w:rsidRPr="00F63766">
        <w:t xml:space="preserve">, </w:t>
      </w:r>
      <w:r w:rsidR="00E27590" w:rsidRPr="00F63766">
        <w:t>persons who are officers, employees or agents of the issuer company</w:t>
      </w:r>
      <w:r w:rsidR="00410124">
        <w:t>,</w:t>
      </w:r>
      <w:r w:rsidR="00E27590" w:rsidRPr="00F63766">
        <w:t xml:space="preserve"> </w:t>
      </w:r>
      <w:r w:rsidR="00442066" w:rsidRPr="00F63766">
        <w:t xml:space="preserve">a </w:t>
      </w:r>
      <w:r w:rsidR="00E27590" w:rsidRPr="00F63766">
        <w:t>related party</w:t>
      </w:r>
      <w:r w:rsidR="00442066" w:rsidRPr="00F63766">
        <w:t xml:space="preserve"> </w:t>
      </w:r>
      <w:r w:rsidR="00410124">
        <w:t xml:space="preserve">or an associate </w:t>
      </w:r>
      <w:r w:rsidR="00442066" w:rsidRPr="00F63766">
        <w:t>of the issuer</w:t>
      </w:r>
      <w:r w:rsidR="00E27590" w:rsidRPr="00F63766">
        <w:t xml:space="preserve">, or </w:t>
      </w:r>
      <w:r w:rsidR="00410124">
        <w:t>of</w:t>
      </w:r>
      <w:r w:rsidR="00E27590" w:rsidRPr="00F63766">
        <w:t xml:space="preserve"> the intermediary,</w:t>
      </w:r>
      <w:r w:rsidRPr="00F63766">
        <w:t xml:space="preserve"> </w:t>
      </w:r>
      <w:r w:rsidR="000D629E" w:rsidRPr="00F63766">
        <w:t xml:space="preserve">must </w:t>
      </w:r>
      <w:r w:rsidR="00E27590" w:rsidRPr="00F63766">
        <w:t xml:space="preserve">clearly disclose that fact when making posts on the facility </w:t>
      </w:r>
      <w:r w:rsidR="00E27590" w:rsidRPr="00F63766">
        <w:rPr>
          <w:b/>
          <w:i/>
          <w:sz w:val="18"/>
        </w:rPr>
        <w:t xml:space="preserve">[Schedule 1, Part 1, </w:t>
      </w:r>
      <w:r w:rsidR="004C3043">
        <w:rPr>
          <w:b/>
          <w:i/>
          <w:sz w:val="18"/>
        </w:rPr>
        <w:t>item 14</w:t>
      </w:r>
      <w:r w:rsidR="00E27590" w:rsidRPr="00F63766">
        <w:rPr>
          <w:b/>
          <w:i/>
          <w:sz w:val="18"/>
        </w:rPr>
        <w:t xml:space="preserve">, </w:t>
      </w:r>
      <w:r w:rsidR="00AF3F81" w:rsidRPr="00F63766">
        <w:rPr>
          <w:b/>
          <w:i/>
          <w:sz w:val="18"/>
        </w:rPr>
        <w:t>su</w:t>
      </w:r>
      <w:r w:rsidR="00767EF9" w:rsidRPr="00F63766">
        <w:rPr>
          <w:b/>
          <w:i/>
          <w:sz w:val="18"/>
        </w:rPr>
        <w:t>b</w:t>
      </w:r>
      <w:r w:rsidR="00AF3F81" w:rsidRPr="00F63766">
        <w:rPr>
          <w:b/>
          <w:i/>
          <w:sz w:val="18"/>
        </w:rPr>
        <w:t>section </w:t>
      </w:r>
      <w:proofErr w:type="gramStart"/>
      <w:r w:rsidR="00E27590" w:rsidRPr="00F63766">
        <w:rPr>
          <w:b/>
          <w:i/>
          <w:sz w:val="18"/>
        </w:rPr>
        <w:t>738ZA(</w:t>
      </w:r>
      <w:proofErr w:type="gramEnd"/>
      <w:r w:rsidR="00E27590" w:rsidRPr="00F63766">
        <w:rPr>
          <w:b/>
          <w:i/>
          <w:sz w:val="18"/>
        </w:rPr>
        <w:t>6)]</w:t>
      </w:r>
      <w:r w:rsidR="00E27590" w:rsidRPr="00F63766">
        <w:t xml:space="preserve">.  </w:t>
      </w:r>
      <w:r w:rsidR="0013081E" w:rsidRPr="00F63766">
        <w:t>Failure to comply with this rule means the person making the post will commit an offence, punishable by a maximum penalty of 60 penalty units, or one year’s imprisonment, or both</w:t>
      </w:r>
      <w:r w:rsidR="00E32F66" w:rsidRPr="00F63766">
        <w:t xml:space="preserve"> </w:t>
      </w:r>
      <w:r w:rsidR="00E32F66" w:rsidRPr="00F63766">
        <w:rPr>
          <w:b/>
          <w:i/>
          <w:sz w:val="18"/>
        </w:rPr>
        <w:t xml:space="preserve">[Schedule 1, Part 1, item 34, item 245N in the table </w:t>
      </w:r>
      <w:r w:rsidR="00D05CB2">
        <w:rPr>
          <w:b/>
          <w:i/>
          <w:sz w:val="18"/>
        </w:rPr>
        <w:t>to</w:t>
      </w:r>
      <w:r w:rsidR="00E32F66" w:rsidRPr="00F63766">
        <w:rPr>
          <w:b/>
          <w:i/>
          <w:sz w:val="18"/>
        </w:rPr>
        <w:t xml:space="preserve"> Schedule 3]</w:t>
      </w:r>
      <w:r w:rsidR="00E32F66" w:rsidRPr="00F63766">
        <w:t>.</w:t>
      </w:r>
    </w:p>
    <w:p w14:paraId="7C8A69AB" w14:textId="296E6E2D" w:rsidR="00E27590" w:rsidRPr="00F63766" w:rsidRDefault="00E32F66" w:rsidP="005F5526">
      <w:pPr>
        <w:pStyle w:val="base-text-paragraph"/>
      </w:pPr>
      <w:r w:rsidRPr="00F63766">
        <w:t xml:space="preserve">The amendments </w:t>
      </w:r>
      <w:r w:rsidR="00E27590" w:rsidRPr="00F63766">
        <w:t xml:space="preserve">include a power </w:t>
      </w:r>
      <w:r w:rsidRPr="00F63766">
        <w:t>to make</w:t>
      </w:r>
      <w:r w:rsidR="00E27590" w:rsidRPr="00F63766">
        <w:t xml:space="preserve"> regulations </w:t>
      </w:r>
      <w:r w:rsidRPr="00F63766">
        <w:t>c</w:t>
      </w:r>
      <w:r w:rsidR="00E27590" w:rsidRPr="00F63766">
        <w:t>overing the operation, management or use of the communication facility</w:t>
      </w:r>
      <w:r w:rsidR="00EA4329" w:rsidRPr="00F63766">
        <w:t xml:space="preserve">.  </w:t>
      </w:r>
      <w:r w:rsidR="00C028AC" w:rsidRPr="00F63766">
        <w:t>For example, r</w:t>
      </w:r>
      <w:r w:rsidR="00EA4329" w:rsidRPr="00F63766">
        <w:t xml:space="preserve">egulations could be made </w:t>
      </w:r>
      <w:r w:rsidR="00916DB0" w:rsidRPr="00F63766">
        <w:t>covering</w:t>
      </w:r>
      <w:r w:rsidR="00EA4329" w:rsidRPr="00F63766">
        <w:t xml:space="preserve"> the removal of material from the communication facility</w:t>
      </w:r>
      <w:r w:rsidR="00C028AC" w:rsidRPr="00F63766">
        <w:t xml:space="preserve">. </w:t>
      </w:r>
      <w:r w:rsidR="00E27590" w:rsidRPr="00F63766">
        <w:rPr>
          <w:b/>
          <w:i/>
          <w:sz w:val="18"/>
        </w:rPr>
        <w:t xml:space="preserve">[Schedule 1, Part 1, </w:t>
      </w:r>
      <w:r w:rsidR="004C3043">
        <w:rPr>
          <w:b/>
          <w:i/>
          <w:sz w:val="18"/>
        </w:rPr>
        <w:t>item 14</w:t>
      </w:r>
      <w:r w:rsidR="00E27590" w:rsidRPr="00F63766">
        <w:rPr>
          <w:b/>
          <w:i/>
          <w:sz w:val="18"/>
        </w:rPr>
        <w:t xml:space="preserve">, </w:t>
      </w:r>
      <w:r w:rsidR="000D629E" w:rsidRPr="00F63766">
        <w:rPr>
          <w:b/>
          <w:i/>
          <w:sz w:val="18"/>
        </w:rPr>
        <w:t>subsection </w:t>
      </w:r>
      <w:proofErr w:type="gramStart"/>
      <w:r w:rsidR="00E27590" w:rsidRPr="00F63766">
        <w:rPr>
          <w:b/>
          <w:i/>
          <w:sz w:val="18"/>
        </w:rPr>
        <w:t>738ZA(</w:t>
      </w:r>
      <w:proofErr w:type="gramEnd"/>
      <w:r w:rsidR="00E27590" w:rsidRPr="00F63766">
        <w:rPr>
          <w:b/>
          <w:i/>
          <w:sz w:val="18"/>
        </w:rPr>
        <w:t>7)]</w:t>
      </w:r>
      <w:r w:rsidR="00E27590" w:rsidRPr="00F63766">
        <w:t xml:space="preserve">.  </w:t>
      </w:r>
    </w:p>
    <w:p w14:paraId="1484459A" w14:textId="77777777" w:rsidR="002215D8" w:rsidRDefault="002215D8">
      <w:pPr>
        <w:spacing w:before="0" w:after="0"/>
      </w:pPr>
      <w:r>
        <w:br w:type="page"/>
      </w:r>
    </w:p>
    <w:p w14:paraId="4905E02B" w14:textId="331700BE" w:rsidR="00EA1472" w:rsidRDefault="002A36A2" w:rsidP="005F5526">
      <w:pPr>
        <w:pStyle w:val="base-text-paragraph"/>
      </w:pPr>
      <w:r w:rsidRPr="00F63766">
        <w:t xml:space="preserve">Statements </w:t>
      </w:r>
      <w:r w:rsidR="00967121" w:rsidRPr="00F63766">
        <w:t xml:space="preserve">made on the communications facility </w:t>
      </w:r>
      <w:r w:rsidR="00BA5C89" w:rsidRPr="00F63766">
        <w:t xml:space="preserve">that refer to the CSF offer or would reasonably be likely to induce a person to apply for the CSF offer </w:t>
      </w:r>
      <w:r w:rsidRPr="00F63766">
        <w:t>would ordinarily</w:t>
      </w:r>
      <w:r w:rsidR="004F22D4" w:rsidRPr="00F63766">
        <w:t xml:space="preserve"> be subject to the advertising </w:t>
      </w:r>
      <w:r w:rsidR="00FC2119" w:rsidRPr="00F63766">
        <w:t>restrict</w:t>
      </w:r>
      <w:r w:rsidR="00AB633C" w:rsidRPr="00F63766">
        <w:t>i</w:t>
      </w:r>
      <w:r w:rsidR="00FC2119" w:rsidRPr="00F63766">
        <w:t>on</w:t>
      </w:r>
      <w:r w:rsidR="001C3D45" w:rsidRPr="00F63766">
        <w:t>s</w:t>
      </w:r>
      <w:r w:rsidR="0027080D">
        <w:t xml:space="preserve"> contained in the </w:t>
      </w:r>
      <w:r w:rsidR="00BA5C89" w:rsidRPr="00F63766">
        <w:t>Bill.</w:t>
      </w:r>
      <w:r w:rsidRPr="00F63766">
        <w:t xml:space="preserve">  </w:t>
      </w:r>
      <w:r w:rsidR="0027080D">
        <w:t xml:space="preserve">The Bill includes </w:t>
      </w:r>
      <w:proofErr w:type="gramStart"/>
      <w:r w:rsidR="0027080D">
        <w:t>a carve</w:t>
      </w:r>
      <w:proofErr w:type="gramEnd"/>
      <w:r w:rsidR="00B27945">
        <w:t> </w:t>
      </w:r>
      <w:r w:rsidR="0027080D">
        <w:t xml:space="preserve">out for statements made in </w:t>
      </w:r>
      <w:r w:rsidR="0027080D" w:rsidRPr="00700052">
        <w:t>good faith on the communication facility.  This carve</w:t>
      </w:r>
      <w:r w:rsidR="00B27945" w:rsidRPr="00700052">
        <w:t> </w:t>
      </w:r>
      <w:r w:rsidR="0027080D" w:rsidRPr="00700052">
        <w:t xml:space="preserve">out is discussed in more detail in </w:t>
      </w:r>
      <w:r w:rsidR="0027080D" w:rsidRPr="00D51761">
        <w:t xml:space="preserve">paragraphs </w:t>
      </w:r>
      <w:r w:rsidR="00364475" w:rsidRPr="00D51761">
        <w:t>6</w:t>
      </w:r>
      <w:r w:rsidR="0027080D" w:rsidRPr="00D51761">
        <w:t>.</w:t>
      </w:r>
      <w:r w:rsidR="00364475" w:rsidRPr="00D51761">
        <w:t>48</w:t>
      </w:r>
      <w:r w:rsidR="0027080D" w:rsidRPr="00D51761">
        <w:t xml:space="preserve"> to </w:t>
      </w:r>
      <w:r w:rsidR="00364475" w:rsidRPr="00D51761">
        <w:t>6</w:t>
      </w:r>
      <w:r w:rsidR="0027080D" w:rsidRPr="00D51761">
        <w:t>.</w:t>
      </w:r>
      <w:r w:rsidR="00364475" w:rsidRPr="00D51761">
        <w:t>52</w:t>
      </w:r>
      <w:r w:rsidR="00EA1472" w:rsidRPr="00700052">
        <w:t>.</w:t>
      </w:r>
    </w:p>
    <w:p w14:paraId="5B6440F3" w14:textId="3210AFF6" w:rsidR="00E27590" w:rsidRPr="00F63766" w:rsidRDefault="00E27590" w:rsidP="00E27590">
      <w:pPr>
        <w:pStyle w:val="Heading4"/>
      </w:pPr>
      <w:r w:rsidRPr="00F63766">
        <w:t>Cooling</w:t>
      </w:r>
      <w:r w:rsidR="00456F76">
        <w:noBreakHyphen/>
      </w:r>
      <w:r w:rsidRPr="00F63766">
        <w:t xml:space="preserve">off rights </w:t>
      </w:r>
      <w:r w:rsidR="00577914" w:rsidRPr="00F63766">
        <w:t xml:space="preserve">must be </w:t>
      </w:r>
      <w:r w:rsidRPr="00F63766">
        <w:t>displayed on the platform</w:t>
      </w:r>
    </w:p>
    <w:p w14:paraId="301CA131" w14:textId="0BC0E937" w:rsidR="00E27590" w:rsidRPr="00F63766" w:rsidRDefault="00E27590" w:rsidP="005F5526">
      <w:pPr>
        <w:pStyle w:val="base-text-paragraph"/>
      </w:pPr>
      <w:r w:rsidRPr="00F63766">
        <w:t xml:space="preserve">The intermediary must ensure that </w:t>
      </w:r>
      <w:r w:rsidR="003B6CCC" w:rsidRPr="00F63766">
        <w:t xml:space="preserve">the offer platform </w:t>
      </w:r>
      <w:r w:rsidR="003B6CCC" w:rsidRPr="00CA231E">
        <w:t xml:space="preserve">prominently displays </w:t>
      </w:r>
      <w:r w:rsidR="00590A4D" w:rsidRPr="00CA231E">
        <w:t xml:space="preserve">information regarding </w:t>
      </w:r>
      <w:r w:rsidRPr="00CA231E">
        <w:t>the cooling</w:t>
      </w:r>
      <w:r w:rsidR="00456F76" w:rsidRPr="00CA231E">
        <w:noBreakHyphen/>
      </w:r>
      <w:r w:rsidRPr="00CA231E">
        <w:t>off rights</w:t>
      </w:r>
      <w:r w:rsidR="003B6CCC" w:rsidRPr="00CA231E">
        <w:t xml:space="preserve"> </w:t>
      </w:r>
      <w:r w:rsidR="00290977" w:rsidRPr="00CA231E">
        <w:t>for</w:t>
      </w:r>
      <w:r w:rsidR="00A96753" w:rsidRPr="00CA231E">
        <w:t xml:space="preserve"> retail investors</w:t>
      </w:r>
      <w:r w:rsidRPr="00CA231E">
        <w:t xml:space="preserve"> (</w:t>
      </w:r>
      <w:r w:rsidR="000E4847">
        <w:t xml:space="preserve">refer to </w:t>
      </w:r>
      <w:r w:rsidR="000E4847" w:rsidRPr="00D51761">
        <w:t>paragraphs</w:t>
      </w:r>
      <w:r w:rsidR="00A01952" w:rsidRPr="00D51761">
        <w:t> </w:t>
      </w:r>
      <w:r w:rsidR="00D51761" w:rsidRPr="00D51761">
        <w:t>6.18</w:t>
      </w:r>
      <w:r w:rsidR="00A01952" w:rsidRPr="00D51761">
        <w:t xml:space="preserve"> to </w:t>
      </w:r>
      <w:r w:rsidR="00D51761" w:rsidRPr="00D51761">
        <w:t>6.22</w:t>
      </w:r>
      <w:r w:rsidRPr="00CA231E">
        <w:t>)</w:t>
      </w:r>
      <w:r w:rsidR="00290977" w:rsidRPr="00CA231E">
        <w:t>, including</w:t>
      </w:r>
      <w:r w:rsidR="00290977">
        <w:t xml:space="preserve"> </w:t>
      </w:r>
      <w:r w:rsidR="00A96753" w:rsidRPr="00F63766">
        <w:t>the means by which the investor can exercise these rights</w:t>
      </w:r>
      <w:r w:rsidR="003B6CCC" w:rsidRPr="00F63766">
        <w:t xml:space="preserve">. This information must be </w:t>
      </w:r>
      <w:r w:rsidRPr="00F63766">
        <w:t>displayed on the platform</w:t>
      </w:r>
      <w:r w:rsidR="00A96753" w:rsidRPr="00F63766">
        <w:t xml:space="preserve"> at all times, including where </w:t>
      </w:r>
      <w:r w:rsidR="00F27C00">
        <w:t xml:space="preserve">an </w:t>
      </w:r>
      <w:r w:rsidR="00A96753" w:rsidRPr="00F63766">
        <w:t xml:space="preserve">offer is open or suspended.  </w:t>
      </w:r>
      <w:r w:rsidRPr="00F63766">
        <w:rPr>
          <w:b/>
          <w:i/>
          <w:sz w:val="18"/>
        </w:rPr>
        <w:t>[Schedule 1, Part 1, item 1</w:t>
      </w:r>
      <w:r w:rsidR="00A96753" w:rsidRPr="00F63766">
        <w:rPr>
          <w:b/>
          <w:i/>
          <w:sz w:val="18"/>
        </w:rPr>
        <w:t>4</w:t>
      </w:r>
      <w:r w:rsidRPr="00F63766">
        <w:rPr>
          <w:b/>
          <w:i/>
          <w:sz w:val="18"/>
        </w:rPr>
        <w:t>, subsection 738ZA(8)]</w:t>
      </w:r>
      <w:r w:rsidR="00F113BD" w:rsidRPr="00F63766">
        <w:rPr>
          <w:b/>
          <w:i/>
          <w:sz w:val="18"/>
        </w:rPr>
        <w:t xml:space="preserve"> </w:t>
      </w:r>
    </w:p>
    <w:p w14:paraId="4A0C2108" w14:textId="35F69607" w:rsidR="001B7CAA" w:rsidRPr="00F63766" w:rsidRDefault="001B7CAA" w:rsidP="005F5526">
      <w:pPr>
        <w:pStyle w:val="base-text-paragraph"/>
      </w:pPr>
      <w:r w:rsidRPr="00F63766">
        <w:t xml:space="preserve">Whether the information is prominently displayed is a question of fact and degree and will vary depending on how the intermediary’s platform is designed. </w:t>
      </w:r>
    </w:p>
    <w:p w14:paraId="55609264" w14:textId="0113ADCB" w:rsidR="00E27590" w:rsidRPr="00F63766" w:rsidRDefault="00E27590" w:rsidP="00E27590">
      <w:pPr>
        <w:pStyle w:val="Heading4"/>
      </w:pPr>
      <w:r w:rsidRPr="00F63766">
        <w:t xml:space="preserve">Fees and interests </w:t>
      </w:r>
      <w:r w:rsidR="00577914" w:rsidRPr="00F63766">
        <w:t xml:space="preserve">must be </w:t>
      </w:r>
      <w:r w:rsidR="00C73EC4" w:rsidRPr="00F63766">
        <w:t xml:space="preserve">prominently </w:t>
      </w:r>
      <w:r w:rsidRPr="00F63766">
        <w:t>displayed on the platform</w:t>
      </w:r>
    </w:p>
    <w:p w14:paraId="74DCEC01" w14:textId="2576A2D4" w:rsidR="00E27590" w:rsidRPr="00F63766" w:rsidRDefault="00E27590" w:rsidP="005F5526">
      <w:pPr>
        <w:pStyle w:val="base-text-paragraph"/>
      </w:pPr>
      <w:r w:rsidRPr="00F63766">
        <w:t>The</w:t>
      </w:r>
      <w:r w:rsidR="00C73EC4" w:rsidRPr="00F63766">
        <w:t xml:space="preserve">re are no restrictions, in the CSF regime, on </w:t>
      </w:r>
      <w:r w:rsidRPr="00F63766">
        <w:t>the fee arrangements that may be agreed bet</w:t>
      </w:r>
      <w:r w:rsidR="00BE5B18">
        <w:t>ween an issuer and intermediary. F</w:t>
      </w:r>
      <w:r w:rsidRPr="00F63766">
        <w:t xml:space="preserve">or example, </w:t>
      </w:r>
      <w:r w:rsidR="00C73EC4" w:rsidRPr="00F63766">
        <w:t xml:space="preserve">there are no prohibitions </w:t>
      </w:r>
      <w:r w:rsidR="00B61378" w:rsidRPr="00F63766">
        <w:t>on</w:t>
      </w:r>
      <w:r w:rsidRPr="00F63766">
        <w:t xml:space="preserve"> an intermediary’s fees being calculated based on funds raised </w:t>
      </w:r>
      <w:r w:rsidR="00B61378" w:rsidRPr="00F63766">
        <w:t xml:space="preserve">under the offer </w:t>
      </w:r>
      <w:r w:rsidRPr="00F63766">
        <w:t xml:space="preserve">or an intermediary being </w:t>
      </w:r>
      <w:r w:rsidR="00783696">
        <w:t>remunerated</w:t>
      </w:r>
      <w:r w:rsidRPr="00F63766">
        <w:t xml:space="preserve"> in </w:t>
      </w:r>
      <w:r w:rsidR="00964DF5" w:rsidRPr="00F63766">
        <w:t xml:space="preserve">the form of </w:t>
      </w:r>
      <w:r w:rsidRPr="00F63766">
        <w:t xml:space="preserve">securities </w:t>
      </w:r>
      <w:r w:rsidR="00964DF5" w:rsidRPr="00F63766">
        <w:t xml:space="preserve">in </w:t>
      </w:r>
      <w:r w:rsidRPr="00F63766">
        <w:t>an issuer</w:t>
      </w:r>
      <w:r w:rsidR="00964DF5" w:rsidRPr="00F63766">
        <w:t xml:space="preserve"> </w:t>
      </w:r>
      <w:r w:rsidR="00783696">
        <w:t>company in lieu of cash.</w:t>
      </w:r>
      <w:r w:rsidRPr="00F63766">
        <w:t xml:space="preserve"> However, </w:t>
      </w:r>
      <w:r w:rsidR="00E74E78" w:rsidRPr="00F63766">
        <w:t>it is appropriate that the fee arrangements between the issuer and intermediary</w:t>
      </w:r>
      <w:r w:rsidR="0089108E">
        <w:t xml:space="preserve"> be disclosed to investors and, therefore, there is a requirement that this information be</w:t>
      </w:r>
      <w:r w:rsidR="00E74E78" w:rsidRPr="00F63766">
        <w:t xml:space="preserve"> </w:t>
      </w:r>
      <w:r w:rsidRPr="00F63766">
        <w:t>prominently displayed on the platform while the offer is open or suspended</w:t>
      </w:r>
      <w:r w:rsidR="00E74E78" w:rsidRPr="00F63766">
        <w:t xml:space="preserve">. </w:t>
      </w:r>
      <w:r w:rsidR="00E52EFB" w:rsidRPr="00F63766">
        <w:t xml:space="preserve"> </w:t>
      </w:r>
      <w:r w:rsidR="00E52EFB" w:rsidRPr="00F63766">
        <w:rPr>
          <w:b/>
          <w:i/>
          <w:sz w:val="18"/>
        </w:rPr>
        <w:t>[Schedule 1, Part 1, item 14, paragraph </w:t>
      </w:r>
      <w:proofErr w:type="gramStart"/>
      <w:r w:rsidR="00E52EFB" w:rsidRPr="00F63766">
        <w:rPr>
          <w:b/>
          <w:i/>
          <w:sz w:val="18"/>
        </w:rPr>
        <w:t>738ZA(</w:t>
      </w:r>
      <w:proofErr w:type="gramEnd"/>
      <w:r w:rsidR="00E52EFB" w:rsidRPr="00F63766">
        <w:rPr>
          <w:b/>
          <w:i/>
          <w:sz w:val="18"/>
        </w:rPr>
        <w:t>9)(a)]</w:t>
      </w:r>
      <w:r w:rsidRPr="00F63766">
        <w:t xml:space="preserve">. </w:t>
      </w:r>
    </w:p>
    <w:p w14:paraId="5A56CEDC" w14:textId="0A3B40D8" w:rsidR="00E27590" w:rsidRPr="00F63766" w:rsidRDefault="00695BAE" w:rsidP="005F5526">
      <w:pPr>
        <w:pStyle w:val="base-text-paragraph"/>
      </w:pPr>
      <w:r w:rsidRPr="00F63766">
        <w:t xml:space="preserve">Similarly, </w:t>
      </w:r>
      <w:r w:rsidR="001403A8">
        <w:t xml:space="preserve">while </w:t>
      </w:r>
      <w:r w:rsidRPr="00F63766">
        <w:t xml:space="preserve">there are no restrictions on an </w:t>
      </w:r>
      <w:r w:rsidR="00E27590" w:rsidRPr="00F63766">
        <w:t xml:space="preserve">intermediary </w:t>
      </w:r>
      <w:r w:rsidR="00EE4764" w:rsidRPr="00F63766">
        <w:t>having</w:t>
      </w:r>
      <w:r w:rsidR="00653D00" w:rsidRPr="00F63766">
        <w:t xml:space="preserve"> or </w:t>
      </w:r>
      <w:r w:rsidR="001403A8">
        <w:t>tak</w:t>
      </w:r>
      <w:r w:rsidR="00D05CB2">
        <w:t>ing</w:t>
      </w:r>
      <w:r w:rsidR="001403A8">
        <w:t xml:space="preserve"> a direct or indirect pecuniary</w:t>
      </w:r>
      <w:r w:rsidR="00E27590" w:rsidRPr="00F63766">
        <w:t xml:space="preserve"> interest in </w:t>
      </w:r>
      <w:r w:rsidR="00311856" w:rsidRPr="00F63766">
        <w:t>the company whose securities it is offering on its platform</w:t>
      </w:r>
      <w:r w:rsidR="00DF6FFA">
        <w:t xml:space="preserve">, </w:t>
      </w:r>
      <w:r w:rsidR="00311856" w:rsidRPr="00F63766">
        <w:t>it is appropriate that this information is disclosed to investors</w:t>
      </w:r>
      <w:r w:rsidR="00987DFE">
        <w:t xml:space="preserve">.  Therefore, there is likewise a requirement that this information be prominently displayed </w:t>
      </w:r>
      <w:r w:rsidR="00311856" w:rsidRPr="00F63766">
        <w:t xml:space="preserve">on the offer platform </w:t>
      </w:r>
      <w:r w:rsidR="00987DFE">
        <w:t xml:space="preserve">at all times while the offer is open or suspended </w:t>
      </w:r>
      <w:r w:rsidR="00653D00" w:rsidRPr="00F63766">
        <w:rPr>
          <w:b/>
          <w:i/>
          <w:sz w:val="18"/>
        </w:rPr>
        <w:t>[Schedule 1, Part 1, item 14, paragraph </w:t>
      </w:r>
      <w:proofErr w:type="gramStart"/>
      <w:r w:rsidR="00653D00" w:rsidRPr="00F63766">
        <w:rPr>
          <w:b/>
          <w:i/>
          <w:sz w:val="18"/>
        </w:rPr>
        <w:t>738ZA(</w:t>
      </w:r>
      <w:proofErr w:type="gramEnd"/>
      <w:r w:rsidR="00653D00" w:rsidRPr="00F63766">
        <w:rPr>
          <w:b/>
          <w:i/>
          <w:sz w:val="18"/>
        </w:rPr>
        <w:t>9)(b)]</w:t>
      </w:r>
      <w:r w:rsidR="00653D00" w:rsidRPr="00F63766">
        <w:t>.</w:t>
      </w:r>
      <w:r w:rsidR="00E27590" w:rsidRPr="00F63766">
        <w:t xml:space="preserve"> </w:t>
      </w:r>
    </w:p>
    <w:p w14:paraId="0A9DF7D1" w14:textId="77777777" w:rsidR="002215D8" w:rsidRDefault="002215D8">
      <w:pPr>
        <w:spacing w:before="0" w:after="0"/>
        <w:rPr>
          <w:b/>
          <w:i/>
        </w:rPr>
      </w:pPr>
      <w:r>
        <w:br w:type="page"/>
      </w:r>
    </w:p>
    <w:p w14:paraId="4F4AA85C" w14:textId="7DE30E06" w:rsidR="00E27590" w:rsidRPr="00F63766" w:rsidRDefault="001E565D" w:rsidP="00514526">
      <w:pPr>
        <w:pStyle w:val="Heading4"/>
      </w:pPr>
      <w:r w:rsidRPr="00F63766">
        <w:t>Intermediary must deal with application mon</w:t>
      </w:r>
      <w:r w:rsidR="00901018" w:rsidRPr="00F63766">
        <w:t>ey</w:t>
      </w:r>
      <w:r w:rsidRPr="00F63766">
        <w:t xml:space="preserve"> appropriately</w:t>
      </w:r>
    </w:p>
    <w:p w14:paraId="56CB6317" w14:textId="2ECEAC29" w:rsidR="004B2D58" w:rsidRPr="00F63766" w:rsidRDefault="009767FC" w:rsidP="005F5526">
      <w:pPr>
        <w:pStyle w:val="base-text-paragraph"/>
      </w:pPr>
      <w:r w:rsidRPr="00F63766">
        <w:t xml:space="preserve">The </w:t>
      </w:r>
      <w:r w:rsidR="00A114A0" w:rsidRPr="00F63766">
        <w:t xml:space="preserve">client </w:t>
      </w:r>
      <w:r w:rsidR="00E320EC">
        <w:t>money provisions</w:t>
      </w:r>
      <w:r w:rsidR="00A114A0" w:rsidRPr="00F63766">
        <w:t xml:space="preserve"> contained in Division 2 of Part 7.8 will apply to the intermediary as they are an AFSL holder.  </w:t>
      </w:r>
      <w:r w:rsidR="004B2D58" w:rsidRPr="00F63766">
        <w:t xml:space="preserve">Broadly, these </w:t>
      </w:r>
      <w:r w:rsidR="008C5135">
        <w:t>provisions</w:t>
      </w:r>
      <w:r w:rsidR="004B2D58" w:rsidRPr="00F63766">
        <w:t xml:space="preserve"> require an intermediary to hold application money in a </w:t>
      </w:r>
      <w:r w:rsidR="00721AA3" w:rsidRPr="00F63766">
        <w:t>qualifying</w:t>
      </w:r>
      <w:r w:rsidR="004B2D58" w:rsidRPr="00F63766">
        <w:t xml:space="preserve"> account </w:t>
      </w:r>
      <w:r w:rsidR="000E5D12" w:rsidRPr="00F63766">
        <w:t>(</w:t>
      </w:r>
      <w:r w:rsidR="00626367">
        <w:t>the requirements for the account are set out in section 981B</w:t>
      </w:r>
      <w:r w:rsidR="006D3AF6" w:rsidRPr="00F63766">
        <w:t>).  Regulations made under the Division</w:t>
      </w:r>
      <w:r w:rsidR="000E5D12" w:rsidRPr="00F63766">
        <w:t xml:space="preserve"> specify</w:t>
      </w:r>
      <w:r w:rsidR="006D3AF6" w:rsidRPr="00F63766">
        <w:t xml:space="preserve"> matters such as when </w:t>
      </w:r>
      <w:r w:rsidR="00734FC3">
        <w:t>money</w:t>
      </w:r>
      <w:r w:rsidR="000E5D12" w:rsidRPr="00F63766">
        <w:t xml:space="preserve"> </w:t>
      </w:r>
      <w:r w:rsidR="000E5D12" w:rsidRPr="00407650">
        <w:t>may</w:t>
      </w:r>
      <w:r w:rsidR="000E5D12" w:rsidRPr="00F63766">
        <w:rPr>
          <w:i/>
        </w:rPr>
        <w:t xml:space="preserve"> </w:t>
      </w:r>
      <w:r w:rsidR="000E5D12" w:rsidRPr="00F63766">
        <w:t xml:space="preserve">be withdrawn from </w:t>
      </w:r>
      <w:r w:rsidR="004B2025">
        <w:t xml:space="preserve">the </w:t>
      </w:r>
      <w:r w:rsidR="000E5D12" w:rsidRPr="00F63766">
        <w:t xml:space="preserve">account, and how interest earned on </w:t>
      </w:r>
      <w:r w:rsidR="008C1996">
        <w:t xml:space="preserve">the account is </w:t>
      </w:r>
      <w:r w:rsidR="000E5D12" w:rsidRPr="00F63766">
        <w:t xml:space="preserve">dealt with. </w:t>
      </w:r>
    </w:p>
    <w:p w14:paraId="3DDE7256" w14:textId="0615504F" w:rsidR="009767FC" w:rsidRPr="00F63766" w:rsidRDefault="00A114A0" w:rsidP="005F5526">
      <w:pPr>
        <w:pStyle w:val="base-text-paragraph"/>
      </w:pPr>
      <w:r w:rsidRPr="00F63766">
        <w:t xml:space="preserve">The </w:t>
      </w:r>
      <w:r w:rsidR="00FA1CAD" w:rsidRPr="00F63766">
        <w:t xml:space="preserve">Bill </w:t>
      </w:r>
      <w:r w:rsidR="007D0C77" w:rsidRPr="00F63766">
        <w:t xml:space="preserve">confirms that the intermediary must deal with application money in accordance with the </w:t>
      </w:r>
      <w:r w:rsidR="0003419B">
        <w:t>client money provisions</w:t>
      </w:r>
      <w:r w:rsidR="007D0C77" w:rsidRPr="00F63766">
        <w:t xml:space="preserve"> but also </w:t>
      </w:r>
      <w:r w:rsidR="00474E5F" w:rsidRPr="00F63766">
        <w:t>contain</w:t>
      </w:r>
      <w:r w:rsidR="007415ED" w:rsidRPr="00F63766">
        <w:t>s</w:t>
      </w:r>
      <w:r w:rsidR="009767FC" w:rsidRPr="00F63766">
        <w:t xml:space="preserve"> specific </w:t>
      </w:r>
      <w:r w:rsidRPr="00F63766">
        <w:t xml:space="preserve">provisions (discussed below) </w:t>
      </w:r>
      <w:r w:rsidR="007415ED" w:rsidRPr="00F63766">
        <w:t>regarding</w:t>
      </w:r>
      <w:r w:rsidRPr="00F63766">
        <w:t xml:space="preserve"> </w:t>
      </w:r>
      <w:r w:rsidR="007415ED" w:rsidRPr="00F63766">
        <w:t xml:space="preserve">when an </w:t>
      </w:r>
      <w:r w:rsidR="009767FC" w:rsidRPr="00F63766">
        <w:t xml:space="preserve">intermediary </w:t>
      </w:r>
      <w:r w:rsidRPr="00F63766">
        <w:t xml:space="preserve">must </w:t>
      </w:r>
      <w:r w:rsidR="009767FC" w:rsidRPr="00F63766">
        <w:t xml:space="preserve">either </w:t>
      </w:r>
      <w:r w:rsidR="00077384" w:rsidRPr="00F63766">
        <w:t xml:space="preserve">pay money to </w:t>
      </w:r>
      <w:r w:rsidR="009767FC" w:rsidRPr="00F63766">
        <w:t>the issuer or refund</w:t>
      </w:r>
      <w:r w:rsidR="00077384" w:rsidRPr="00F63766">
        <w:t xml:space="preserve"> money</w:t>
      </w:r>
      <w:r w:rsidR="009767FC" w:rsidRPr="00F63766">
        <w:t xml:space="preserve"> to applicant</w:t>
      </w:r>
      <w:r w:rsidR="001C468F" w:rsidRPr="00F63766">
        <w:t>s</w:t>
      </w:r>
      <w:r w:rsidR="00CE2C59" w:rsidRPr="00F63766">
        <w:t>.</w:t>
      </w:r>
      <w:r w:rsidR="00E517C4" w:rsidRPr="00F63766">
        <w:t xml:space="preserve"> </w:t>
      </w:r>
      <w:r w:rsidR="00E517C4" w:rsidRPr="00F63766">
        <w:rPr>
          <w:b/>
          <w:i/>
          <w:sz w:val="18"/>
        </w:rPr>
        <w:t>[Schedule 1, Part 1, item 14, subsection 738ZB(1)]</w:t>
      </w:r>
      <w:r w:rsidR="009767FC" w:rsidRPr="00F63766">
        <w:t xml:space="preserve">  </w:t>
      </w:r>
    </w:p>
    <w:p w14:paraId="4E2D57DA" w14:textId="64131C24" w:rsidR="00163FD0" w:rsidRPr="00F63766" w:rsidRDefault="00163FD0" w:rsidP="002D5F39">
      <w:pPr>
        <w:pStyle w:val="Heading5"/>
      </w:pPr>
      <w:r w:rsidRPr="00F63766">
        <w:t>When money must be paid to the issuer</w:t>
      </w:r>
      <w:r w:rsidR="005969BA" w:rsidRPr="00F63766">
        <w:t xml:space="preserve"> or refunded to the applicants</w:t>
      </w:r>
    </w:p>
    <w:p w14:paraId="39CE5C1B" w14:textId="59BAB73F" w:rsidR="00E27590" w:rsidRPr="00F63766" w:rsidRDefault="00E27590" w:rsidP="00724B06">
      <w:pPr>
        <w:pStyle w:val="base-text-paragraph"/>
      </w:pPr>
      <w:r w:rsidRPr="00F63766">
        <w:t xml:space="preserve">The intermediary must pay application money to an issuer, net of any fees due to the intermediary, as soon as practicable </w:t>
      </w:r>
      <w:r w:rsidR="00723D87">
        <w:t>after an</w:t>
      </w:r>
      <w:r w:rsidRPr="00F63766">
        <w:t xml:space="preserve"> offer is ‘complete’ (</w:t>
      </w:r>
      <w:r w:rsidR="00FC17C8">
        <w:t xml:space="preserve">that is, </w:t>
      </w:r>
      <w:r w:rsidR="0022516D" w:rsidRPr="00113024">
        <w:t xml:space="preserve">the minimum subscription condition has been met and all withdrawal rights have expired, </w:t>
      </w:r>
      <w:r w:rsidR="000E4847">
        <w:t xml:space="preserve">refer to </w:t>
      </w:r>
      <w:r w:rsidR="000E4847" w:rsidRPr="00D51761">
        <w:t>paragraphs</w:t>
      </w:r>
      <w:r w:rsidRPr="00D51761">
        <w:t xml:space="preserve"> </w:t>
      </w:r>
      <w:r w:rsidR="005001FF" w:rsidRPr="00D51761">
        <w:t>4</w:t>
      </w:r>
      <w:r w:rsidRPr="00D51761">
        <w:t>.</w:t>
      </w:r>
      <w:r w:rsidR="005001FF" w:rsidRPr="00D51761">
        <w:t>50 to 4.53</w:t>
      </w:r>
      <w:r w:rsidRPr="00F63766">
        <w:t>)</w:t>
      </w:r>
      <w:r w:rsidR="00850113" w:rsidRPr="00F63766">
        <w:t xml:space="preserve"> and the company has issued the shares to the applicants</w:t>
      </w:r>
      <w:r w:rsidRPr="00F63766">
        <w:t xml:space="preserve"> </w:t>
      </w:r>
      <w:r w:rsidRPr="00F63766">
        <w:rPr>
          <w:b/>
          <w:i/>
          <w:sz w:val="18"/>
        </w:rPr>
        <w:t>[Schedule 1, Part 1, item</w:t>
      </w:r>
      <w:r w:rsidR="002F5355">
        <w:rPr>
          <w:b/>
          <w:i/>
          <w:sz w:val="18"/>
        </w:rPr>
        <w:t> </w:t>
      </w:r>
      <w:r w:rsidRPr="00F63766">
        <w:rPr>
          <w:b/>
          <w:i/>
          <w:sz w:val="18"/>
        </w:rPr>
        <w:t>1</w:t>
      </w:r>
      <w:r w:rsidR="005969BA" w:rsidRPr="00F63766">
        <w:rPr>
          <w:b/>
          <w:i/>
          <w:sz w:val="18"/>
        </w:rPr>
        <w:t>4</w:t>
      </w:r>
      <w:r w:rsidRPr="00F63766">
        <w:rPr>
          <w:b/>
          <w:i/>
          <w:sz w:val="18"/>
        </w:rPr>
        <w:t>, subsection</w:t>
      </w:r>
      <w:r w:rsidR="002F5355">
        <w:rPr>
          <w:b/>
          <w:i/>
          <w:sz w:val="18"/>
        </w:rPr>
        <w:t>s</w:t>
      </w:r>
      <w:r w:rsidRPr="00F63766">
        <w:rPr>
          <w:b/>
          <w:i/>
          <w:sz w:val="18"/>
        </w:rPr>
        <w:t> </w:t>
      </w:r>
      <w:proofErr w:type="gramStart"/>
      <w:r w:rsidR="002F5355">
        <w:rPr>
          <w:b/>
          <w:i/>
          <w:sz w:val="18"/>
        </w:rPr>
        <w:t>738L(</w:t>
      </w:r>
      <w:proofErr w:type="gramEnd"/>
      <w:r w:rsidR="002F5355">
        <w:rPr>
          <w:b/>
          <w:i/>
          <w:sz w:val="18"/>
        </w:rPr>
        <w:t xml:space="preserve">8) and </w:t>
      </w:r>
      <w:r w:rsidRPr="00F63766">
        <w:rPr>
          <w:b/>
          <w:i/>
          <w:sz w:val="18"/>
        </w:rPr>
        <w:t xml:space="preserve">738ZB(2)]. </w:t>
      </w:r>
    </w:p>
    <w:p w14:paraId="3CB054B8" w14:textId="7D02ED6B" w:rsidR="00E27590" w:rsidRPr="00F63766" w:rsidRDefault="00E27590" w:rsidP="00724B06">
      <w:pPr>
        <w:pStyle w:val="base-text-paragraph"/>
      </w:pPr>
      <w:r w:rsidRPr="00F63766">
        <w:t xml:space="preserve">The intermediary must refund money to applicants as soon as practicable in the following </w:t>
      </w:r>
      <w:r w:rsidR="00AE035B" w:rsidRPr="00F63766">
        <w:t>situations</w:t>
      </w:r>
      <w:r w:rsidR="006B1A8D">
        <w:t xml:space="preserve">: </w:t>
      </w:r>
    </w:p>
    <w:p w14:paraId="53AEF9AC" w14:textId="4AF78CF3" w:rsidR="00E27590" w:rsidRPr="0015090B" w:rsidRDefault="00300EA3" w:rsidP="00E27590">
      <w:pPr>
        <w:pStyle w:val="dotpoint"/>
      </w:pPr>
      <w:r w:rsidRPr="0015090B">
        <w:t>the</w:t>
      </w:r>
      <w:r w:rsidR="00E27590" w:rsidRPr="0015090B">
        <w:t xml:space="preserve"> offer </w:t>
      </w:r>
      <w:r w:rsidRPr="0015090B">
        <w:t xml:space="preserve">was </w:t>
      </w:r>
      <w:r w:rsidR="00E27590" w:rsidRPr="0015090B">
        <w:t xml:space="preserve">closed because </w:t>
      </w:r>
      <w:r w:rsidRPr="0015090B">
        <w:t>it was</w:t>
      </w:r>
      <w:r w:rsidR="00E27590" w:rsidRPr="0015090B">
        <w:t xml:space="preserve"> withdrawn by </w:t>
      </w:r>
      <w:r w:rsidRPr="0015090B">
        <w:t xml:space="preserve">the company </w:t>
      </w:r>
      <w:r w:rsidR="00E27590" w:rsidRPr="0015090B">
        <w:t>(</w:t>
      </w:r>
      <w:r w:rsidR="00E27590" w:rsidRPr="008D4C64">
        <w:t>paragraph</w:t>
      </w:r>
      <w:r w:rsidR="00DD6A4C" w:rsidRPr="008D4C64">
        <w:t>s</w:t>
      </w:r>
      <w:r w:rsidR="00E27590" w:rsidRPr="008D4C64">
        <w:t> </w:t>
      </w:r>
      <w:r w:rsidR="004A6C88" w:rsidRPr="008D4C64">
        <w:t>4</w:t>
      </w:r>
      <w:r w:rsidR="00E27590" w:rsidRPr="008D4C64">
        <w:t>.</w:t>
      </w:r>
      <w:r w:rsidR="004A6C88" w:rsidRPr="008D4C64">
        <w:t>47</w:t>
      </w:r>
      <w:r w:rsidR="006C086D" w:rsidRPr="0015090B">
        <w:t>)</w:t>
      </w:r>
      <w:r w:rsidR="00E27590" w:rsidRPr="0015090B">
        <w:t xml:space="preserve"> or because</w:t>
      </w:r>
      <w:r w:rsidR="00F9033E" w:rsidRPr="0015090B">
        <w:t xml:space="preserve"> the</w:t>
      </w:r>
      <w:r w:rsidR="00E27590" w:rsidRPr="0015090B">
        <w:t xml:space="preserve"> intermediary </w:t>
      </w:r>
      <w:r w:rsidRPr="0015090B">
        <w:t xml:space="preserve">was </w:t>
      </w:r>
      <w:r w:rsidR="00E27590" w:rsidRPr="0015090B">
        <w:t>required to close the offer pursuant to its ‘gate keeper obligations’ (</w:t>
      </w:r>
      <w:r w:rsidR="00E27590" w:rsidRPr="008D4C64">
        <w:t xml:space="preserve">paragraph </w:t>
      </w:r>
      <w:r w:rsidR="006C086D" w:rsidRPr="008D4C64">
        <w:t>4</w:t>
      </w:r>
      <w:r w:rsidR="00E27590" w:rsidRPr="008D4C64">
        <w:t>.</w:t>
      </w:r>
      <w:r w:rsidR="006C086D" w:rsidRPr="008D4C64">
        <w:t>48</w:t>
      </w:r>
      <w:r w:rsidR="00E27590" w:rsidRPr="0015090B">
        <w:t xml:space="preserve">); </w:t>
      </w:r>
    </w:p>
    <w:p w14:paraId="7AAD2BB9" w14:textId="254DB8B3" w:rsidR="00E27590" w:rsidRPr="00F63766" w:rsidRDefault="00300EA3" w:rsidP="00386820">
      <w:pPr>
        <w:pStyle w:val="dotpoint"/>
        <w:keepNext/>
        <w:keepLines/>
        <w:ind w:left="2269"/>
      </w:pPr>
      <w:r w:rsidRPr="00F63766">
        <w:t>the</w:t>
      </w:r>
      <w:r w:rsidR="00E27590" w:rsidRPr="00F63766">
        <w:t xml:space="preserve"> offer </w:t>
      </w:r>
      <w:r w:rsidRPr="00F63766">
        <w:t xml:space="preserve">was </w:t>
      </w:r>
      <w:r w:rsidR="00E27590" w:rsidRPr="00F63766">
        <w:t xml:space="preserve">closed for another reason (because the </w:t>
      </w:r>
      <w:r w:rsidR="0047752F">
        <w:t xml:space="preserve">maximum offer </w:t>
      </w:r>
      <w:r w:rsidR="0047752F" w:rsidRPr="00B308D0">
        <w:t>period was reached</w:t>
      </w:r>
      <w:r w:rsidR="00E27590" w:rsidRPr="00B308D0">
        <w:t xml:space="preserve"> (</w:t>
      </w:r>
      <w:r w:rsidR="00E27590" w:rsidRPr="008D4C64">
        <w:t xml:space="preserve">paragraphs </w:t>
      </w:r>
      <w:r w:rsidR="0015090B" w:rsidRPr="008D4C64">
        <w:t>4</w:t>
      </w:r>
      <w:r w:rsidR="00E27590" w:rsidRPr="008D4C64">
        <w:t>.</w:t>
      </w:r>
      <w:r w:rsidR="00B308D0" w:rsidRPr="008D4C64">
        <w:t>37</w:t>
      </w:r>
      <w:r w:rsidR="00E27590" w:rsidRPr="008D4C64">
        <w:t xml:space="preserve"> </w:t>
      </w:r>
      <w:r w:rsidR="0015090B" w:rsidRPr="008D4C64">
        <w:t>to</w:t>
      </w:r>
      <w:r w:rsidR="00E27590" w:rsidRPr="008D4C64">
        <w:t xml:space="preserve"> </w:t>
      </w:r>
      <w:r w:rsidR="0015090B" w:rsidRPr="008D4C64">
        <w:t>4</w:t>
      </w:r>
      <w:r w:rsidR="00E27590" w:rsidRPr="008D4C64">
        <w:t>.</w:t>
      </w:r>
      <w:r w:rsidR="00B308D0" w:rsidRPr="008D4C64">
        <w:t>4</w:t>
      </w:r>
      <w:r w:rsidR="00FD33A0" w:rsidRPr="008D4C64">
        <w:t>3</w:t>
      </w:r>
      <w:r w:rsidR="00E27590" w:rsidRPr="00B308D0">
        <w:t>)</w:t>
      </w:r>
      <w:r w:rsidR="00E27590" w:rsidRPr="00F63766">
        <w:t xml:space="preserve"> or the intermediary consider</w:t>
      </w:r>
      <w:r w:rsidRPr="00F63766">
        <w:t>ed</w:t>
      </w:r>
      <w:r w:rsidR="00E27590" w:rsidRPr="00F63766">
        <w:t xml:space="preserve"> the offer to be fully subscribed (</w:t>
      </w:r>
      <w:r w:rsidR="00E27590" w:rsidRPr="008D4C64">
        <w:t>paragraph</w:t>
      </w:r>
      <w:r w:rsidR="00F81359" w:rsidRPr="008D4C64">
        <w:t>s</w:t>
      </w:r>
      <w:r w:rsidR="00E27590" w:rsidRPr="008D4C64">
        <w:t xml:space="preserve"> </w:t>
      </w:r>
      <w:r w:rsidR="00F81359" w:rsidRPr="008D4C64">
        <w:t>4</w:t>
      </w:r>
      <w:r w:rsidR="00E27590" w:rsidRPr="008D4C64">
        <w:t>.</w:t>
      </w:r>
      <w:r w:rsidR="00F81359" w:rsidRPr="008D4C64">
        <w:t>44 to 4.46</w:t>
      </w:r>
      <w:r w:rsidR="00E27590" w:rsidRPr="00F63766">
        <w:t>) but not</w:t>
      </w:r>
      <w:r w:rsidR="00183708">
        <w:t xml:space="preserve"> </w:t>
      </w:r>
      <w:r w:rsidR="00E27590" w:rsidRPr="00F63766">
        <w:t>complete</w:t>
      </w:r>
      <w:r w:rsidR="00183708">
        <w:t>; or</w:t>
      </w:r>
      <w:r w:rsidR="00E27590" w:rsidRPr="00F63766">
        <w:t xml:space="preserve"> </w:t>
      </w:r>
    </w:p>
    <w:p w14:paraId="60735C27" w14:textId="651185A5" w:rsidR="00E27590" w:rsidRPr="00F63766" w:rsidRDefault="00E27590" w:rsidP="00E27590">
      <w:pPr>
        <w:pStyle w:val="dotpoint"/>
      </w:pPr>
      <w:r w:rsidRPr="00F63766">
        <w:t xml:space="preserve">an applicant exercised their </w:t>
      </w:r>
      <w:r w:rsidR="00244E93" w:rsidRPr="00F63766">
        <w:t xml:space="preserve">withdrawal rights — </w:t>
      </w:r>
      <w:r w:rsidR="004715F2">
        <w:t xml:space="preserve">these could be </w:t>
      </w:r>
      <w:r w:rsidR="0063244A">
        <w:t xml:space="preserve">statutory or non-statutory </w:t>
      </w:r>
      <w:r w:rsidRPr="00F63766">
        <w:t>cooling-off right</w:t>
      </w:r>
      <w:r w:rsidR="00300EA3" w:rsidRPr="00F63766">
        <w:t>s</w:t>
      </w:r>
      <w:r w:rsidR="00A3079B">
        <w:t xml:space="preserve">, </w:t>
      </w:r>
      <w:r w:rsidRPr="00F63766">
        <w:t xml:space="preserve">or </w:t>
      </w:r>
      <w:r w:rsidR="00211967">
        <w:t xml:space="preserve">the </w:t>
      </w:r>
      <w:r w:rsidRPr="00F63766">
        <w:t xml:space="preserve">right to withdraw an offer </w:t>
      </w:r>
      <w:r w:rsidR="000C3199" w:rsidRPr="00F63766">
        <w:t xml:space="preserve">within one month of receiving </w:t>
      </w:r>
      <w:r w:rsidR="00211967">
        <w:t xml:space="preserve">a </w:t>
      </w:r>
      <w:r w:rsidRPr="00F63766">
        <w:t>supplementary or replacement offer document</w:t>
      </w:r>
      <w:r w:rsidR="00300EA3" w:rsidRPr="00F63766">
        <w:t xml:space="preserve"> </w:t>
      </w:r>
      <w:r w:rsidR="002409B6">
        <w:t xml:space="preserve">relating to a defective </w:t>
      </w:r>
      <w:r w:rsidR="002409B6" w:rsidRPr="00485636">
        <w:t xml:space="preserve">offer document </w:t>
      </w:r>
      <w:r w:rsidRPr="00485636">
        <w:t>(</w:t>
      </w:r>
      <w:r w:rsidRPr="008D4C64">
        <w:t>paragraph</w:t>
      </w:r>
      <w:r w:rsidR="00342C9C" w:rsidRPr="008D4C64">
        <w:t> </w:t>
      </w:r>
      <w:r w:rsidR="009A02BA" w:rsidRPr="008D4C64">
        <w:t>5</w:t>
      </w:r>
      <w:r w:rsidRPr="008D4C64">
        <w:t>.</w:t>
      </w:r>
      <w:r w:rsidR="00982523" w:rsidRPr="008D4C64">
        <w:t>31</w:t>
      </w:r>
      <w:r w:rsidRPr="00485636">
        <w:t xml:space="preserve">) </w:t>
      </w:r>
      <w:r w:rsidRPr="00485636">
        <w:rPr>
          <w:b/>
          <w:i/>
          <w:sz w:val="18"/>
        </w:rPr>
        <w:t>[Schedule</w:t>
      </w:r>
      <w:r w:rsidR="00485636">
        <w:rPr>
          <w:b/>
          <w:i/>
          <w:sz w:val="18"/>
        </w:rPr>
        <w:t> </w:t>
      </w:r>
      <w:r w:rsidRPr="00F63766">
        <w:rPr>
          <w:b/>
          <w:i/>
          <w:sz w:val="18"/>
        </w:rPr>
        <w:t>1, Part</w:t>
      </w:r>
      <w:r w:rsidR="00887AF4" w:rsidRPr="00F63766">
        <w:rPr>
          <w:b/>
          <w:i/>
          <w:sz w:val="18"/>
        </w:rPr>
        <w:t> </w:t>
      </w:r>
      <w:r w:rsidRPr="00F63766">
        <w:rPr>
          <w:b/>
          <w:i/>
          <w:sz w:val="18"/>
        </w:rPr>
        <w:t>1, item 1</w:t>
      </w:r>
      <w:r w:rsidR="00E517C4" w:rsidRPr="00F63766">
        <w:rPr>
          <w:b/>
          <w:i/>
          <w:sz w:val="18"/>
        </w:rPr>
        <w:t>4</w:t>
      </w:r>
      <w:r w:rsidRPr="00F63766">
        <w:rPr>
          <w:b/>
          <w:i/>
          <w:sz w:val="18"/>
        </w:rPr>
        <w:t>, subsections 738ZB(3) and (4)].</w:t>
      </w:r>
    </w:p>
    <w:p w14:paraId="34C77733" w14:textId="77777777" w:rsidR="002215D8" w:rsidRDefault="002215D8">
      <w:pPr>
        <w:spacing w:before="0" w:after="0"/>
      </w:pPr>
      <w:r>
        <w:br w:type="page"/>
      </w:r>
    </w:p>
    <w:p w14:paraId="17C35CC0" w14:textId="4C069D25" w:rsidR="009D38A4" w:rsidRPr="00F63766" w:rsidRDefault="00887AF4" w:rsidP="00724B06">
      <w:pPr>
        <w:pStyle w:val="base-text-paragraph"/>
      </w:pPr>
      <w:r w:rsidRPr="00F63766">
        <w:t xml:space="preserve">An intermediary that does not comply with the above rules will commit a </w:t>
      </w:r>
      <w:r w:rsidR="00E27590" w:rsidRPr="00F63766">
        <w:t>strict liability offence, punishable by a maximum of 50 penalty units</w:t>
      </w:r>
      <w:r w:rsidR="009D38A4" w:rsidRPr="00F63766">
        <w:t xml:space="preserve"> </w:t>
      </w:r>
      <w:r w:rsidR="009D38A4" w:rsidRPr="00F63766">
        <w:rPr>
          <w:rStyle w:val="Referencingstyle"/>
        </w:rPr>
        <w:t>[Schedule 1, Part 1, item 14, subsection </w:t>
      </w:r>
      <w:proofErr w:type="gramStart"/>
      <w:r w:rsidR="009D38A4" w:rsidRPr="00F63766">
        <w:rPr>
          <w:rStyle w:val="Referencingstyle"/>
        </w:rPr>
        <w:t>738ZB(</w:t>
      </w:r>
      <w:proofErr w:type="gramEnd"/>
      <w:r w:rsidR="009D38A4" w:rsidRPr="00F63766">
        <w:rPr>
          <w:rStyle w:val="Referencingstyle"/>
        </w:rPr>
        <w:t>5)</w:t>
      </w:r>
      <w:r w:rsidR="00D670DC" w:rsidRPr="00F63766">
        <w:rPr>
          <w:rStyle w:val="Referencingstyle"/>
        </w:rPr>
        <w:t xml:space="preserve"> and </w:t>
      </w:r>
      <w:r w:rsidR="00D670DC" w:rsidRPr="00F63766">
        <w:rPr>
          <w:b/>
          <w:i/>
          <w:sz w:val="18"/>
        </w:rPr>
        <w:t xml:space="preserve">item 34, item 245P in the table </w:t>
      </w:r>
      <w:r w:rsidR="00856735">
        <w:rPr>
          <w:b/>
          <w:i/>
          <w:sz w:val="18"/>
        </w:rPr>
        <w:t>to</w:t>
      </w:r>
      <w:r w:rsidR="00D670DC" w:rsidRPr="00F63766">
        <w:rPr>
          <w:b/>
          <w:i/>
          <w:sz w:val="18"/>
        </w:rPr>
        <w:t xml:space="preserve"> Schedule 3</w:t>
      </w:r>
      <w:r w:rsidR="009D38A4" w:rsidRPr="00F63766">
        <w:rPr>
          <w:rStyle w:val="Referencingstyle"/>
        </w:rPr>
        <w:t>]</w:t>
      </w:r>
      <w:r w:rsidR="00E27590" w:rsidRPr="00F63766">
        <w:t xml:space="preserve">.  </w:t>
      </w:r>
    </w:p>
    <w:p w14:paraId="44A33F6D" w14:textId="379139DA" w:rsidR="00E27590" w:rsidRPr="00F63766" w:rsidRDefault="00E27590" w:rsidP="00724B06">
      <w:pPr>
        <w:pStyle w:val="base-text-paragraph"/>
      </w:pPr>
      <w:r w:rsidRPr="00F63766">
        <w:t>Strict liability, and the level of penalty, is considered appropriate because:</w:t>
      </w:r>
    </w:p>
    <w:p w14:paraId="45C50AB8" w14:textId="77777777" w:rsidR="00E27590" w:rsidRPr="00F63766" w:rsidRDefault="00E27590" w:rsidP="00E27590">
      <w:pPr>
        <w:pStyle w:val="dotpoint"/>
      </w:pPr>
      <w:r w:rsidRPr="00F63766">
        <w:t xml:space="preserve">the requirement to deal appropriately with application money is a key element of the CSF regime; </w:t>
      </w:r>
    </w:p>
    <w:p w14:paraId="333911AE" w14:textId="1E335911" w:rsidR="00E27590" w:rsidRPr="00F63766" w:rsidRDefault="00E27590" w:rsidP="00BB1B39">
      <w:pPr>
        <w:pStyle w:val="dotpoint"/>
      </w:pPr>
      <w:r w:rsidRPr="00F63766">
        <w:t>an intermediary that fails to comply with the rules (for example, by not refunding money when cooling</w:t>
      </w:r>
      <w:r w:rsidR="00744953">
        <w:noBreakHyphen/>
      </w:r>
      <w:r w:rsidRPr="00F63766">
        <w:t xml:space="preserve">off rights are exercised, or by paying money to an issuer </w:t>
      </w:r>
      <w:r w:rsidR="00BB1B39" w:rsidRPr="00F63766">
        <w:t>before the s</w:t>
      </w:r>
      <w:r w:rsidR="00D05CB2">
        <w:t>ecurities</w:t>
      </w:r>
      <w:r w:rsidR="00BB1B39" w:rsidRPr="00F63766">
        <w:t xml:space="preserve"> are issued</w:t>
      </w:r>
      <w:r w:rsidRPr="00F63766">
        <w:t xml:space="preserve">), compromises </w:t>
      </w:r>
      <w:r w:rsidR="00BB1B39" w:rsidRPr="00F63766">
        <w:t xml:space="preserve">the </w:t>
      </w:r>
      <w:r w:rsidRPr="00F63766">
        <w:t>investor protection and other elements that are central to the CSF regime</w:t>
      </w:r>
      <w:r w:rsidR="00BB1B39" w:rsidRPr="00F63766">
        <w:t xml:space="preserve">; </w:t>
      </w:r>
    </w:p>
    <w:p w14:paraId="2F681C13" w14:textId="088EC2FA" w:rsidR="00E27590" w:rsidRPr="00F63766" w:rsidRDefault="00E27590" w:rsidP="00E27590">
      <w:pPr>
        <w:pStyle w:val="dotpoint"/>
      </w:pPr>
      <w:r w:rsidRPr="00F63766">
        <w:t>exposure to the penalty is entirely dependent on the conduct of the intermediary</w:t>
      </w:r>
      <w:r w:rsidR="00846F84">
        <w:t xml:space="preserve"> who is liable for the offence</w:t>
      </w:r>
      <w:r w:rsidRPr="00F63766">
        <w:t>; and</w:t>
      </w:r>
    </w:p>
    <w:p w14:paraId="4809D2E7" w14:textId="32ECAD4B" w:rsidR="00E27590" w:rsidRDefault="00E27590" w:rsidP="00E27590">
      <w:pPr>
        <w:pStyle w:val="dotpoint"/>
      </w:pPr>
      <w:r w:rsidRPr="00F63766">
        <w:t>the penalty</w:t>
      </w:r>
      <w:r w:rsidR="00BB1B39" w:rsidRPr="00F63766">
        <w:t xml:space="preserve"> for the offence</w:t>
      </w:r>
      <w:r w:rsidRPr="00F63766">
        <w:t xml:space="preserve"> complies with the </w:t>
      </w:r>
      <w:r w:rsidR="00BB1B39" w:rsidRPr="00F63766">
        <w:t xml:space="preserve">requirements of the Government’s </w:t>
      </w:r>
      <w:r w:rsidRPr="00F63766">
        <w:rPr>
          <w:i/>
        </w:rPr>
        <w:t>Guide to Framing Commonwealth Offences</w:t>
      </w:r>
      <w:r w:rsidR="00744953" w:rsidRPr="00F63766">
        <w:rPr>
          <w:i/>
        </w:rPr>
        <w:t>, Infringement Notices and Enforcement Powers</w:t>
      </w:r>
      <w:r w:rsidRPr="00F63766">
        <w:t xml:space="preserve"> (that is, </w:t>
      </w:r>
      <w:r w:rsidR="00BB1B39" w:rsidRPr="00F63766">
        <w:t>the</w:t>
      </w:r>
      <w:r w:rsidRPr="00F63766">
        <w:t xml:space="preserve"> maximum penalty </w:t>
      </w:r>
      <w:r w:rsidR="00BB1B39" w:rsidRPr="00F63766">
        <w:t xml:space="preserve">is no more than </w:t>
      </w:r>
      <w:r w:rsidR="00D05CB2">
        <w:t>6</w:t>
      </w:r>
      <w:r w:rsidRPr="00F63766">
        <w:t>0</w:t>
      </w:r>
      <w:r w:rsidR="00BB1B39" w:rsidRPr="00F63766">
        <w:t> </w:t>
      </w:r>
      <w:r w:rsidRPr="00F63766">
        <w:t>penalty units and does not include</w:t>
      </w:r>
      <w:r w:rsidR="00900A49" w:rsidRPr="00F63766">
        <w:t xml:space="preserve"> a term of</w:t>
      </w:r>
      <w:r w:rsidRPr="00F63766">
        <w:t xml:space="preserve"> imprisonment).  </w:t>
      </w:r>
    </w:p>
    <w:p w14:paraId="09DA9EA3" w14:textId="17FB25F9" w:rsidR="00563461" w:rsidRDefault="00563461" w:rsidP="00563461">
      <w:pPr>
        <w:pStyle w:val="Heading4"/>
      </w:pPr>
      <w:r>
        <w:t>Regulations may be made regarding how intermediaries are to deal with applications</w:t>
      </w:r>
    </w:p>
    <w:p w14:paraId="408AB0AD" w14:textId="77777777" w:rsidR="00563461" w:rsidRDefault="00563461" w:rsidP="00563461">
      <w:pPr>
        <w:pStyle w:val="base-text-paragraph"/>
      </w:pPr>
      <w:r>
        <w:t>The amendments provide for a regulation making power that can permit regulations to be made regarding how CSF intermediaries are to deal with applications pursuant to CSF offers, including in relation to:</w:t>
      </w:r>
    </w:p>
    <w:p w14:paraId="2567BE45" w14:textId="115F95AF" w:rsidR="00563461" w:rsidRDefault="00563461" w:rsidP="00563461">
      <w:pPr>
        <w:pStyle w:val="dotpoint"/>
      </w:pPr>
      <w:r>
        <w:t xml:space="preserve">the order in which applications are to be dealt with; </w:t>
      </w:r>
    </w:p>
    <w:p w14:paraId="0F9CE73C" w14:textId="539E27EA" w:rsidR="00563461" w:rsidRDefault="00563461" w:rsidP="00563461">
      <w:pPr>
        <w:pStyle w:val="dotpoint"/>
      </w:pPr>
      <w:r>
        <w:t>the circumstances in which applications must or may be rejected; and</w:t>
      </w:r>
    </w:p>
    <w:p w14:paraId="19831FD0" w14:textId="3CC0F5D1" w:rsidR="001343D8" w:rsidRPr="00F63766" w:rsidRDefault="00563461" w:rsidP="001343D8">
      <w:pPr>
        <w:pStyle w:val="dotpoint"/>
      </w:pPr>
      <w:proofErr w:type="gramStart"/>
      <w:r>
        <w:t>when</w:t>
      </w:r>
      <w:proofErr w:type="gramEnd"/>
      <w:r>
        <w:t xml:space="preserve"> applications are to be counted towards the maximum or minimum subscription amounts. </w:t>
      </w:r>
      <w:r w:rsidR="001343D8" w:rsidRPr="00F63766">
        <w:rPr>
          <w:b/>
          <w:i/>
          <w:sz w:val="18"/>
        </w:rPr>
        <w:t>[Schedule 1, Part 1, item 14, section 738Z</w:t>
      </w:r>
      <w:r w:rsidR="002A554D">
        <w:rPr>
          <w:b/>
          <w:i/>
          <w:sz w:val="18"/>
        </w:rPr>
        <w:t>J</w:t>
      </w:r>
      <w:r w:rsidR="001343D8" w:rsidRPr="00F63766">
        <w:rPr>
          <w:b/>
          <w:i/>
          <w:sz w:val="18"/>
        </w:rPr>
        <w:t>].</w:t>
      </w:r>
    </w:p>
    <w:p w14:paraId="36486C77" w14:textId="77777777" w:rsidR="002215D8" w:rsidRDefault="002215D8">
      <w:pPr>
        <w:spacing w:before="0" w:after="0"/>
        <w:rPr>
          <w:rFonts w:ascii="Helvetica" w:hAnsi="Helvetica"/>
          <w:b/>
          <w:sz w:val="26"/>
        </w:rPr>
      </w:pPr>
      <w:r>
        <w:br w:type="page"/>
      </w:r>
    </w:p>
    <w:p w14:paraId="3A12F540" w14:textId="7A0BEB22" w:rsidR="00DE19A2" w:rsidRDefault="00DE19A2" w:rsidP="00386820">
      <w:pPr>
        <w:pStyle w:val="Heading2"/>
      </w:pPr>
      <w:r>
        <w:t>Consequential amendments</w:t>
      </w:r>
    </w:p>
    <w:p w14:paraId="6A3F02B2" w14:textId="256B8A0C" w:rsidR="003E473F" w:rsidRPr="00F63766" w:rsidRDefault="00AC5F65" w:rsidP="00251184">
      <w:pPr>
        <w:pStyle w:val="base-text-paragraph"/>
        <w:numPr>
          <w:ilvl w:val="1"/>
          <w:numId w:val="51"/>
        </w:numPr>
      </w:pPr>
      <w:r>
        <w:t xml:space="preserve">Consequential changes have been made to the ASIC Act to include a </w:t>
      </w:r>
      <w:r w:rsidR="002940B6">
        <w:t>crowd-funding</w:t>
      </w:r>
      <w:r>
        <w:t xml:space="preserve"> service, as defined in the Corporations Act, in the range of financial services covered by the ASIC </w:t>
      </w:r>
      <w:r w:rsidRPr="00684854">
        <w:t>Act</w:t>
      </w:r>
      <w:r w:rsidR="003E473F" w:rsidRPr="00684854">
        <w:t xml:space="preserve"> </w:t>
      </w:r>
      <w:r w:rsidR="003E473F" w:rsidRPr="00684854">
        <w:rPr>
          <w:b/>
          <w:i/>
          <w:sz w:val="18"/>
        </w:rPr>
        <w:t>[Schedule</w:t>
      </w:r>
      <w:r w:rsidR="003E473F" w:rsidRPr="00251184">
        <w:rPr>
          <w:b/>
          <w:i/>
          <w:sz w:val="18"/>
        </w:rPr>
        <w:t xml:space="preserve"> 1, Part </w:t>
      </w:r>
      <w:r w:rsidR="00E04831">
        <w:rPr>
          <w:b/>
          <w:i/>
          <w:sz w:val="18"/>
        </w:rPr>
        <w:t>2</w:t>
      </w:r>
      <w:r w:rsidR="003E473F" w:rsidRPr="00251184">
        <w:rPr>
          <w:b/>
          <w:i/>
          <w:sz w:val="18"/>
        </w:rPr>
        <w:t>, item</w:t>
      </w:r>
      <w:r w:rsidR="00251184">
        <w:rPr>
          <w:b/>
          <w:i/>
          <w:sz w:val="18"/>
        </w:rPr>
        <w:t>s</w:t>
      </w:r>
      <w:r w:rsidR="003E473F" w:rsidRPr="00251184">
        <w:rPr>
          <w:b/>
          <w:i/>
          <w:sz w:val="18"/>
        </w:rPr>
        <w:t xml:space="preserve"> </w:t>
      </w:r>
      <w:r w:rsidR="00251184">
        <w:rPr>
          <w:b/>
          <w:i/>
          <w:sz w:val="18"/>
        </w:rPr>
        <w:t>35 and 36</w:t>
      </w:r>
      <w:r w:rsidR="003E473F" w:rsidRPr="00251184">
        <w:rPr>
          <w:b/>
          <w:i/>
          <w:sz w:val="18"/>
        </w:rPr>
        <w:t>,</w:t>
      </w:r>
      <w:r w:rsidR="00251184">
        <w:rPr>
          <w:b/>
          <w:i/>
          <w:sz w:val="18"/>
        </w:rPr>
        <w:t xml:space="preserve"> </w:t>
      </w:r>
      <w:r w:rsidR="00495D37">
        <w:rPr>
          <w:b/>
          <w:i/>
          <w:sz w:val="18"/>
        </w:rPr>
        <w:t>sub</w:t>
      </w:r>
      <w:r w:rsidR="00251184">
        <w:rPr>
          <w:b/>
          <w:i/>
          <w:sz w:val="18"/>
        </w:rPr>
        <w:t xml:space="preserve">section 5(1) and </w:t>
      </w:r>
      <w:r w:rsidR="004016E6" w:rsidRPr="00D105F1">
        <w:rPr>
          <w:b/>
          <w:i/>
          <w:sz w:val="18"/>
        </w:rPr>
        <w:t>subsections</w:t>
      </w:r>
      <w:r w:rsidR="00251184" w:rsidRPr="00D105F1">
        <w:rPr>
          <w:b/>
          <w:i/>
          <w:sz w:val="18"/>
        </w:rPr>
        <w:t> 12BAB(</w:t>
      </w:r>
      <w:r w:rsidR="004016E6" w:rsidRPr="00D105F1">
        <w:rPr>
          <w:b/>
          <w:i/>
          <w:sz w:val="18"/>
        </w:rPr>
        <w:t>1C</w:t>
      </w:r>
      <w:r w:rsidR="00251184" w:rsidRPr="00D105F1">
        <w:rPr>
          <w:b/>
          <w:i/>
          <w:sz w:val="18"/>
        </w:rPr>
        <w:t xml:space="preserve">) </w:t>
      </w:r>
      <w:r w:rsidR="004016E6" w:rsidRPr="00D105F1">
        <w:rPr>
          <w:b/>
          <w:i/>
          <w:sz w:val="18"/>
        </w:rPr>
        <w:t>and 12</w:t>
      </w:r>
      <w:r w:rsidR="00B91C34" w:rsidRPr="00D105F1">
        <w:rPr>
          <w:b/>
          <w:i/>
          <w:sz w:val="18"/>
        </w:rPr>
        <w:t>B</w:t>
      </w:r>
      <w:r w:rsidR="004016E6" w:rsidRPr="00D105F1">
        <w:rPr>
          <w:b/>
          <w:i/>
          <w:sz w:val="18"/>
        </w:rPr>
        <w:t>AB(1D</w:t>
      </w:r>
      <w:r w:rsidR="00251184" w:rsidRPr="00D105F1">
        <w:rPr>
          <w:b/>
          <w:i/>
          <w:sz w:val="18"/>
        </w:rPr>
        <w:t>)</w:t>
      </w:r>
      <w:r w:rsidR="00251184">
        <w:rPr>
          <w:b/>
          <w:i/>
          <w:sz w:val="18"/>
        </w:rPr>
        <w:t xml:space="preserve"> of the ASIC Act</w:t>
      </w:r>
      <w:r w:rsidR="003E473F" w:rsidRPr="00251184">
        <w:rPr>
          <w:b/>
          <w:i/>
          <w:sz w:val="18"/>
        </w:rPr>
        <w:t>].</w:t>
      </w:r>
    </w:p>
    <w:p w14:paraId="6AEAEBA5" w14:textId="77777777" w:rsidR="00DE19A2" w:rsidRPr="00AA5794" w:rsidRDefault="00DE19A2" w:rsidP="00DE19A2">
      <w:pPr>
        <w:pStyle w:val="base-text-paragraph"/>
      </w:pPr>
      <w:r>
        <w:t xml:space="preserve">Consequential amendments have been made to extend two </w:t>
      </w:r>
      <w:r w:rsidRPr="00AA5794">
        <w:t xml:space="preserve">current exceptions to the takeover laws.  </w:t>
      </w:r>
    </w:p>
    <w:p w14:paraId="4F1CB759" w14:textId="5299ABFB" w:rsidR="00FE4332" w:rsidRPr="00AA5794" w:rsidRDefault="00DE19A2" w:rsidP="00FE4332">
      <w:pPr>
        <w:pStyle w:val="base-text-paragraph"/>
      </w:pPr>
      <w:r w:rsidRPr="00AA5794">
        <w:t xml:space="preserve">The first exception to the takeover laws </w:t>
      </w:r>
      <w:r w:rsidR="00D105F1">
        <w:t xml:space="preserve">is </w:t>
      </w:r>
      <w:r w:rsidR="000D6C7D">
        <w:t>relates to an acquisition that results from</w:t>
      </w:r>
      <w:r w:rsidRPr="00AA5794">
        <w:t xml:space="preserve"> an issue of securities in a company to a promoter under a Chapter 6D disclosure document</w:t>
      </w:r>
      <w:r w:rsidR="00D105F1">
        <w:t xml:space="preserve"> and</w:t>
      </w:r>
      <w:r w:rsidRPr="00AA5794">
        <w:t xml:space="preserve"> where certain required disclosures </w:t>
      </w:r>
      <w:r w:rsidR="00D05CB2">
        <w:t>have been</w:t>
      </w:r>
      <w:r w:rsidRPr="00AA5794">
        <w:t xml:space="preserve"> made.  Th</w:t>
      </w:r>
      <w:r w:rsidR="00E76E06" w:rsidRPr="00AA5794">
        <w:t xml:space="preserve">e amendments extend the </w:t>
      </w:r>
      <w:r w:rsidR="00663C8C">
        <w:t xml:space="preserve">existing </w:t>
      </w:r>
      <w:r w:rsidRPr="00AA5794">
        <w:t xml:space="preserve">exception to cover acquisitions that arise pursuant to a CSF offer document where the required disclosures have been made. </w:t>
      </w:r>
      <w:r w:rsidR="00FE4332" w:rsidRPr="00AA5794">
        <w:rPr>
          <w:b/>
          <w:i/>
          <w:sz w:val="18"/>
        </w:rPr>
        <w:t xml:space="preserve">[Schedule 1, Part 1, item 6, </w:t>
      </w:r>
      <w:r w:rsidR="00835C4D" w:rsidRPr="00AA5794">
        <w:rPr>
          <w:b/>
          <w:i/>
          <w:sz w:val="18"/>
        </w:rPr>
        <w:t>item 12 in the table in section 611</w:t>
      </w:r>
      <w:r w:rsidR="00FE4332" w:rsidRPr="00AA5794">
        <w:rPr>
          <w:b/>
          <w:i/>
          <w:sz w:val="18"/>
        </w:rPr>
        <w:t>].</w:t>
      </w:r>
    </w:p>
    <w:p w14:paraId="75D0B05B" w14:textId="6C67ACA6" w:rsidR="000E1BFC" w:rsidRPr="00557286" w:rsidRDefault="009D172E" w:rsidP="000E1BFC">
      <w:pPr>
        <w:pStyle w:val="base-text-paragraph"/>
      </w:pPr>
      <w:r>
        <w:t xml:space="preserve">The second exception to the takeover laws </w:t>
      </w:r>
      <w:r w:rsidR="00E76E06">
        <w:t>relates to an</w:t>
      </w:r>
      <w:r w:rsidR="000D6C7D">
        <w:t xml:space="preserve"> acquisition that results from an</w:t>
      </w:r>
      <w:r w:rsidR="00E76E06">
        <w:t xml:space="preserve"> issue of securities in a company to an underwriter or sub-underwriter under a Chapter 6D disclosure document so long as the disclosure document disclosed the effect the issue would have on the underwriter’s or sub</w:t>
      </w:r>
      <w:r w:rsidR="00E76E06">
        <w:noBreakHyphen/>
        <w:t xml:space="preserve">underwriter’s voting power in the company.  The </w:t>
      </w:r>
      <w:r w:rsidR="000D6C7D">
        <w:t xml:space="preserve">amendments </w:t>
      </w:r>
      <w:r w:rsidR="00255634">
        <w:t xml:space="preserve">will extend the exception to cover issues of securities pursuant to a CSF offer in a company to an underwriter or sub-underwriter as long as the relevant disclosures have been made in the CSF offer document. </w:t>
      </w:r>
      <w:r w:rsidR="000E1BFC" w:rsidRPr="00F63766">
        <w:rPr>
          <w:b/>
          <w:i/>
          <w:sz w:val="18"/>
        </w:rPr>
        <w:t xml:space="preserve">[Schedule 1, Part 1, item </w:t>
      </w:r>
      <w:r w:rsidR="000E1BFC">
        <w:rPr>
          <w:b/>
          <w:i/>
          <w:sz w:val="18"/>
        </w:rPr>
        <w:t>6</w:t>
      </w:r>
      <w:r w:rsidR="000E1BFC" w:rsidRPr="00F63766">
        <w:rPr>
          <w:b/>
          <w:i/>
          <w:sz w:val="18"/>
        </w:rPr>
        <w:t xml:space="preserve">, </w:t>
      </w:r>
      <w:r w:rsidR="000E1BFC">
        <w:rPr>
          <w:b/>
          <w:i/>
          <w:sz w:val="18"/>
        </w:rPr>
        <w:t>item 1</w:t>
      </w:r>
      <w:r w:rsidR="00FC793E">
        <w:rPr>
          <w:b/>
          <w:i/>
          <w:sz w:val="18"/>
        </w:rPr>
        <w:t>3</w:t>
      </w:r>
      <w:r w:rsidR="000E1BFC">
        <w:rPr>
          <w:b/>
          <w:i/>
          <w:sz w:val="18"/>
        </w:rPr>
        <w:t xml:space="preserve"> in the table in section 611</w:t>
      </w:r>
      <w:r w:rsidR="000E1BFC" w:rsidRPr="00F63766">
        <w:rPr>
          <w:b/>
          <w:i/>
          <w:sz w:val="18"/>
        </w:rPr>
        <w:t>].</w:t>
      </w:r>
    </w:p>
    <w:p w14:paraId="6C4CDB6D" w14:textId="4B6DE432" w:rsidR="00AA5F94" w:rsidRPr="00AA5F94" w:rsidRDefault="009C09EF" w:rsidP="00D00256">
      <w:pPr>
        <w:pStyle w:val="base-text-paragraph"/>
      </w:pPr>
      <w:r>
        <w:t xml:space="preserve">As a CSF intermediary </w:t>
      </w:r>
      <w:r w:rsidR="00E57C35">
        <w:t>can</w:t>
      </w:r>
      <w:r w:rsidR="00EC25E2">
        <w:t xml:space="preserve"> be established as</w:t>
      </w:r>
      <w:r w:rsidR="00EC78FD">
        <w:t xml:space="preserve"> a </w:t>
      </w:r>
      <w:r>
        <w:t xml:space="preserve">partnership or a trust, consequential amendments have been made to ensure the rules in Chapter 7 that treat partnerships and trusts as legal persons </w:t>
      </w:r>
      <w:r w:rsidR="00EF749E">
        <w:t xml:space="preserve">generally </w:t>
      </w:r>
      <w:r>
        <w:t>apply to CSF intermediaries</w:t>
      </w:r>
      <w:r w:rsidR="00764399">
        <w:t xml:space="preserve"> except where the rule is expressed to relate only to specific parts of Chapter 7</w:t>
      </w:r>
      <w:r w:rsidR="001C502F">
        <w:t>.</w:t>
      </w:r>
      <w:r>
        <w:t xml:space="preserve"> </w:t>
      </w:r>
      <w:r w:rsidR="00500BE3" w:rsidRPr="00F63766">
        <w:rPr>
          <w:b/>
          <w:i/>
          <w:sz w:val="18"/>
        </w:rPr>
        <w:t xml:space="preserve">[Schedule 1, Part 1, item </w:t>
      </w:r>
      <w:r w:rsidR="00500BE3">
        <w:rPr>
          <w:b/>
          <w:i/>
          <w:sz w:val="18"/>
        </w:rPr>
        <w:t>14</w:t>
      </w:r>
      <w:r w:rsidR="00500BE3" w:rsidRPr="00F63766">
        <w:rPr>
          <w:b/>
          <w:i/>
          <w:sz w:val="18"/>
        </w:rPr>
        <w:t>,</w:t>
      </w:r>
      <w:r w:rsidR="00500BE3">
        <w:rPr>
          <w:b/>
          <w:i/>
          <w:sz w:val="18"/>
        </w:rPr>
        <w:t xml:space="preserve"> paragraphs 738F(1)(a) and (b)</w:t>
      </w:r>
      <w:r w:rsidR="00B52A05">
        <w:rPr>
          <w:b/>
          <w:i/>
          <w:sz w:val="18"/>
        </w:rPr>
        <w:t>, subsection 738F(2)</w:t>
      </w:r>
      <w:r w:rsidR="001C502F">
        <w:rPr>
          <w:b/>
          <w:i/>
          <w:sz w:val="18"/>
        </w:rPr>
        <w:t>]</w:t>
      </w:r>
    </w:p>
    <w:p w14:paraId="25BA731B" w14:textId="57F2B804" w:rsidR="00DC434F" w:rsidRPr="00557286" w:rsidRDefault="00004ADC" w:rsidP="00DC434F">
      <w:pPr>
        <w:pStyle w:val="base-text-paragraph"/>
      </w:pPr>
      <w:r w:rsidRPr="00DC434F">
        <w:t>Consequential amendments have been made to extend the application of</w:t>
      </w:r>
      <w:r w:rsidR="00AA5F94" w:rsidRPr="00DC434F">
        <w:t xml:space="preserve"> the rules in Chapter 7 that </w:t>
      </w:r>
      <w:r w:rsidRPr="00DC434F">
        <w:t xml:space="preserve">provide that a person is generally responsible for the conduct of their directors, employees, agents to the CSF regime. </w:t>
      </w:r>
      <w:r w:rsidR="00DC434F" w:rsidRPr="00F63766">
        <w:rPr>
          <w:b/>
          <w:i/>
          <w:sz w:val="18"/>
        </w:rPr>
        <w:t xml:space="preserve">[Schedule 1, Part 1, item </w:t>
      </w:r>
      <w:r w:rsidR="00DC434F">
        <w:rPr>
          <w:b/>
          <w:i/>
          <w:sz w:val="18"/>
        </w:rPr>
        <w:t>14</w:t>
      </w:r>
      <w:r w:rsidR="00DC434F" w:rsidRPr="00F63766">
        <w:rPr>
          <w:b/>
          <w:i/>
          <w:sz w:val="18"/>
        </w:rPr>
        <w:t>,</w:t>
      </w:r>
      <w:r w:rsidR="00DC434F">
        <w:rPr>
          <w:b/>
          <w:i/>
          <w:sz w:val="18"/>
        </w:rPr>
        <w:t xml:space="preserve"> paragraph 738F(1)(c)</w:t>
      </w:r>
      <w:r w:rsidR="00DC434F" w:rsidRPr="00F63766">
        <w:rPr>
          <w:b/>
          <w:i/>
          <w:sz w:val="18"/>
        </w:rPr>
        <w:t>]</w:t>
      </w:r>
    </w:p>
    <w:p w14:paraId="0C0EB533" w14:textId="60574ECB" w:rsidR="00D00256" w:rsidRPr="00557286" w:rsidRDefault="00D00256" w:rsidP="00D00256">
      <w:pPr>
        <w:pStyle w:val="base-text-paragraph"/>
      </w:pPr>
      <w:r w:rsidRPr="00D00256">
        <w:t xml:space="preserve">A regulation making power has been included to permit regulations to be made to modify how the </w:t>
      </w:r>
      <w:r w:rsidR="00D05CB2">
        <w:t>above</w:t>
      </w:r>
      <w:r>
        <w:t xml:space="preserve"> rules apply</w:t>
      </w:r>
      <w:r w:rsidR="00386820">
        <w:t>.</w:t>
      </w:r>
      <w:r>
        <w:t xml:space="preserve"> </w:t>
      </w:r>
      <w:r w:rsidR="001C502F">
        <w:rPr>
          <w:b/>
          <w:i/>
          <w:sz w:val="18"/>
        </w:rPr>
        <w:t>[Schedule </w:t>
      </w:r>
      <w:r w:rsidRPr="00F63766">
        <w:rPr>
          <w:b/>
          <w:i/>
          <w:sz w:val="18"/>
        </w:rPr>
        <w:t xml:space="preserve">1, Part 1, item </w:t>
      </w:r>
      <w:r>
        <w:rPr>
          <w:b/>
          <w:i/>
          <w:sz w:val="18"/>
        </w:rPr>
        <w:t>14</w:t>
      </w:r>
      <w:r w:rsidRPr="00F63766">
        <w:rPr>
          <w:b/>
          <w:i/>
          <w:sz w:val="18"/>
        </w:rPr>
        <w:t>,</w:t>
      </w:r>
      <w:r>
        <w:rPr>
          <w:b/>
          <w:i/>
          <w:sz w:val="18"/>
        </w:rPr>
        <w:t xml:space="preserve"> subsection 738F(3)</w:t>
      </w:r>
      <w:r w:rsidR="00386820">
        <w:rPr>
          <w:b/>
          <w:i/>
          <w:sz w:val="18"/>
        </w:rPr>
        <w:t>]</w:t>
      </w:r>
    </w:p>
    <w:p w14:paraId="47CF5B24" w14:textId="77777777" w:rsidR="00E27590" w:rsidRPr="00F63766" w:rsidRDefault="00E27590" w:rsidP="00B676BE">
      <w:pPr>
        <w:sectPr w:rsidR="00E27590" w:rsidRPr="00F63766" w:rsidSect="00B676BE">
          <w:headerReference w:type="even" r:id="rId37"/>
          <w:headerReference w:type="default" r:id="rId38"/>
          <w:footerReference w:type="even" r:id="rId39"/>
          <w:footerReference w:type="default" r:id="rId40"/>
          <w:footerReference w:type="first" r:id="rId41"/>
          <w:type w:val="oddPage"/>
          <w:pgSz w:w="11906" w:h="16838" w:code="9"/>
          <w:pgMar w:top="2466" w:right="2098" w:bottom="2466" w:left="2098" w:header="1559" w:footer="1899" w:gutter="0"/>
          <w:cols w:space="708"/>
          <w:titlePg/>
          <w:docGrid w:linePitch="360"/>
        </w:sectPr>
      </w:pPr>
    </w:p>
    <w:p w14:paraId="78E855DB" w14:textId="15801BCC" w:rsidR="00E27590" w:rsidRPr="00F63766" w:rsidRDefault="00E27590" w:rsidP="00B676BE">
      <w:pPr>
        <w:pStyle w:val="ChapterHeading"/>
        <w:tabs>
          <w:tab w:val="clear" w:pos="1134"/>
          <w:tab w:val="num" w:pos="360"/>
        </w:tabs>
      </w:pPr>
      <w:r w:rsidRPr="00F63766">
        <w:br/>
      </w:r>
      <w:bookmarkStart w:id="11" w:name="_Toc435701583"/>
      <w:bookmarkStart w:id="12" w:name="_Toc436037553"/>
      <w:r w:rsidRPr="00F63766">
        <w:t xml:space="preserve">Process for making a </w:t>
      </w:r>
      <w:r w:rsidR="00DB0EB7">
        <w:t>CSF</w:t>
      </w:r>
      <w:r w:rsidRPr="00F63766">
        <w:t xml:space="preserve"> offer</w:t>
      </w:r>
      <w:bookmarkEnd w:id="11"/>
      <w:bookmarkEnd w:id="12"/>
    </w:p>
    <w:p w14:paraId="0432B457" w14:textId="4B28822E" w:rsidR="00E27590" w:rsidRPr="00F63766" w:rsidRDefault="00E27590" w:rsidP="00B676BE">
      <w:pPr>
        <w:pStyle w:val="Heading2"/>
      </w:pPr>
      <w:r w:rsidRPr="00F63766">
        <w:t xml:space="preserve">Outline of </w:t>
      </w:r>
      <w:r w:rsidR="00C87D50">
        <w:t>c</w:t>
      </w:r>
      <w:r w:rsidRPr="00F63766">
        <w:t>hapter</w:t>
      </w:r>
    </w:p>
    <w:p w14:paraId="283D11CC" w14:textId="77777777" w:rsidR="00E27590" w:rsidRPr="00F63766" w:rsidRDefault="00E27590" w:rsidP="00E27590">
      <w:pPr>
        <w:pStyle w:val="base-text-paragraph"/>
      </w:pPr>
      <w:r w:rsidRPr="00F63766">
        <w:t xml:space="preserve">This Chapter sets out the process of making CSF offers.  </w:t>
      </w:r>
    </w:p>
    <w:p w14:paraId="49E08EAF" w14:textId="77777777" w:rsidR="00E27590" w:rsidRPr="00F63766" w:rsidRDefault="00E27590" w:rsidP="00E27590">
      <w:pPr>
        <w:pStyle w:val="base-text-paragraph"/>
      </w:pPr>
      <w:r w:rsidRPr="00F63766">
        <w:t xml:space="preserve">Unless otherwise stated, all references in this Chapter relate to the </w:t>
      </w:r>
      <w:r w:rsidRPr="00F63766">
        <w:rPr>
          <w:i/>
        </w:rPr>
        <w:t>Corporations Act 2001</w:t>
      </w:r>
      <w:r w:rsidRPr="00F63766">
        <w:t>.</w:t>
      </w:r>
    </w:p>
    <w:p w14:paraId="6F802491" w14:textId="77777777" w:rsidR="00E27590" w:rsidRPr="00F63766" w:rsidRDefault="00E27590" w:rsidP="00B676BE">
      <w:pPr>
        <w:pStyle w:val="Heading2"/>
      </w:pPr>
      <w:r w:rsidRPr="00F63766">
        <w:t>Summary of new law</w:t>
      </w:r>
    </w:p>
    <w:p w14:paraId="6DC90770" w14:textId="77777777" w:rsidR="00B14355" w:rsidRPr="00F63766" w:rsidRDefault="00B14355" w:rsidP="008B2B29">
      <w:pPr>
        <w:pStyle w:val="base-text-paragraph"/>
      </w:pPr>
      <w:r w:rsidRPr="00F63766">
        <w:t>The amendments establish:</w:t>
      </w:r>
    </w:p>
    <w:p w14:paraId="2C022F2B" w14:textId="5037FE87" w:rsidR="00B14355" w:rsidRPr="00F63766" w:rsidRDefault="009C6B3C" w:rsidP="005E71BA">
      <w:pPr>
        <w:pStyle w:val="dotpoint"/>
      </w:pPr>
      <w:r w:rsidRPr="00F63766">
        <w:t>t</w:t>
      </w:r>
      <w:r w:rsidR="00B14355" w:rsidRPr="00F63766">
        <w:t>hat the process for making a CSF offer involves a CSF</w:t>
      </w:r>
      <w:r w:rsidR="00124991" w:rsidRPr="00F63766">
        <w:t> </w:t>
      </w:r>
      <w:r w:rsidR="00B14355" w:rsidRPr="00F63766">
        <w:t>eligible company publish</w:t>
      </w:r>
      <w:r w:rsidR="000701F6" w:rsidRPr="00F63766">
        <w:t>ing</w:t>
      </w:r>
      <w:r w:rsidR="00B14355" w:rsidRPr="00F63766">
        <w:t xml:space="preserve"> a CSF offer document on a single CSF intermediary’s platform</w:t>
      </w:r>
      <w:r w:rsidRPr="00F63766">
        <w:t>;</w:t>
      </w:r>
      <w:r w:rsidR="00B14355" w:rsidRPr="00F63766">
        <w:t xml:space="preserve">  </w:t>
      </w:r>
    </w:p>
    <w:p w14:paraId="149656A0" w14:textId="41C53FAD" w:rsidR="00B14355" w:rsidRPr="00F63766" w:rsidRDefault="00AD5EDA" w:rsidP="005E71BA">
      <w:pPr>
        <w:pStyle w:val="dotpoint"/>
      </w:pPr>
      <w:r>
        <w:t>that</w:t>
      </w:r>
      <w:r w:rsidR="00B14355" w:rsidRPr="00F63766">
        <w:t xml:space="preserve"> a new document — a ‘CSF offer document’ </w:t>
      </w:r>
      <w:r w:rsidR="00F05E74">
        <w:t xml:space="preserve">— </w:t>
      </w:r>
      <w:r w:rsidR="00B14355" w:rsidRPr="00F63766">
        <w:t>must be prepared for CSF offers</w:t>
      </w:r>
      <w:r w:rsidR="009C6B3C" w:rsidRPr="00F63766">
        <w:t>;</w:t>
      </w:r>
    </w:p>
    <w:p w14:paraId="4E38A4ED" w14:textId="098696A3" w:rsidR="009C6B3C" w:rsidRPr="00F63766" w:rsidRDefault="003702F2" w:rsidP="005E71BA">
      <w:pPr>
        <w:pStyle w:val="dotpoint"/>
      </w:pPr>
      <w:r>
        <w:t xml:space="preserve">that </w:t>
      </w:r>
      <w:r w:rsidR="009C6B3C" w:rsidRPr="00F63766">
        <w:t xml:space="preserve">the </w:t>
      </w:r>
      <w:r w:rsidR="007D1207">
        <w:t xml:space="preserve">company must obtain certain </w:t>
      </w:r>
      <w:r w:rsidR="009C6B3C" w:rsidRPr="00F63766">
        <w:t>consents</w:t>
      </w:r>
      <w:r w:rsidR="007D1207">
        <w:t xml:space="preserve"> of persons associated with the offer document prior to its </w:t>
      </w:r>
      <w:r w:rsidR="009C6B3C" w:rsidRPr="00F63766">
        <w:t>publication</w:t>
      </w:r>
      <w:r w:rsidR="007D1207">
        <w:t xml:space="preserve">; </w:t>
      </w:r>
    </w:p>
    <w:p w14:paraId="5C798C45" w14:textId="3F14480E" w:rsidR="009C6B3C" w:rsidRPr="00F63766" w:rsidRDefault="009C6B3C" w:rsidP="005E71BA">
      <w:pPr>
        <w:pStyle w:val="dotpoint"/>
      </w:pPr>
      <w:r w:rsidRPr="00F63766">
        <w:t xml:space="preserve">that </w:t>
      </w:r>
      <w:r w:rsidR="00B76EBD">
        <w:t>a company making a CSF offer and its related parties</w:t>
      </w:r>
      <w:r w:rsidRPr="00F63766">
        <w:t xml:space="preserve"> cannot have more than one CSF offer open at a time when another CSF offer previously made by the company is open or suspended;</w:t>
      </w:r>
      <w:r w:rsidR="00C4665A">
        <w:t xml:space="preserve"> and </w:t>
      </w:r>
    </w:p>
    <w:p w14:paraId="08D601C2" w14:textId="69602B40" w:rsidR="009C6B3C" w:rsidRDefault="00C4665A" w:rsidP="009C6B3C">
      <w:pPr>
        <w:pStyle w:val="dotpoint"/>
      </w:pPr>
      <w:proofErr w:type="gramStart"/>
      <w:r>
        <w:t>rules</w:t>
      </w:r>
      <w:proofErr w:type="gramEnd"/>
      <w:r>
        <w:t xml:space="preserve"> for determining when a </w:t>
      </w:r>
      <w:r w:rsidR="009C6B3C" w:rsidRPr="00F63766">
        <w:t xml:space="preserve">CSF offer is </w:t>
      </w:r>
      <w:r w:rsidR="00C747B0">
        <w:t>‘</w:t>
      </w:r>
      <w:r w:rsidR="009C6B3C" w:rsidRPr="00F63766">
        <w:t>open</w:t>
      </w:r>
      <w:r w:rsidR="00C747B0">
        <w:t>’</w:t>
      </w:r>
      <w:r w:rsidR="009C6B3C" w:rsidRPr="00F63766">
        <w:t xml:space="preserve">, </w:t>
      </w:r>
      <w:r>
        <w:t xml:space="preserve">when it may and when it must be </w:t>
      </w:r>
      <w:r w:rsidR="00C747B0">
        <w:t>‘</w:t>
      </w:r>
      <w:r w:rsidR="009C6B3C" w:rsidRPr="00F63766">
        <w:t>closed</w:t>
      </w:r>
      <w:r w:rsidR="00C747B0">
        <w:t>’</w:t>
      </w:r>
      <w:r>
        <w:t xml:space="preserve">, and </w:t>
      </w:r>
      <w:r w:rsidR="009C6B3C" w:rsidRPr="00F63766">
        <w:t xml:space="preserve">the conditions that must be satisfied before an offer can be </w:t>
      </w:r>
      <w:r w:rsidR="00C747B0">
        <w:t>‘</w:t>
      </w:r>
      <w:r w:rsidR="009C6B3C" w:rsidRPr="00F63766">
        <w:t>complete</w:t>
      </w:r>
      <w:r w:rsidR="00C747B0">
        <w:t>’</w:t>
      </w:r>
      <w:r w:rsidR="009C6B3C" w:rsidRPr="00F63766">
        <w:t>.</w:t>
      </w:r>
    </w:p>
    <w:p w14:paraId="624866D4" w14:textId="0432D61F" w:rsidR="009C6B3C" w:rsidRDefault="00E26C23" w:rsidP="00632B57">
      <w:pPr>
        <w:pStyle w:val="Heading2"/>
        <w:keepLines/>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E26C23" w:rsidRPr="004666B8" w14:paraId="1DAECD42" w14:textId="77777777" w:rsidTr="009E620A">
        <w:tc>
          <w:tcPr>
            <w:tcW w:w="3275" w:type="dxa"/>
          </w:tcPr>
          <w:p w14:paraId="0B5A9F10" w14:textId="77777777" w:rsidR="00E26C23" w:rsidRPr="004666B8" w:rsidRDefault="00E26C23" w:rsidP="00632B57">
            <w:pPr>
              <w:pStyle w:val="tableheaderwithintable"/>
              <w:keepLines/>
              <w:rPr>
                <w:lang w:val="en-US" w:eastAsia="en-US"/>
              </w:rPr>
            </w:pPr>
            <w:r w:rsidRPr="004666B8">
              <w:rPr>
                <w:lang w:val="en-US" w:eastAsia="en-US"/>
              </w:rPr>
              <w:t>New law</w:t>
            </w:r>
          </w:p>
        </w:tc>
        <w:tc>
          <w:tcPr>
            <w:tcW w:w="3276" w:type="dxa"/>
          </w:tcPr>
          <w:p w14:paraId="2E94CDFA" w14:textId="77777777" w:rsidR="00E26C23" w:rsidRPr="004666B8" w:rsidRDefault="00E26C23" w:rsidP="00632B57">
            <w:pPr>
              <w:pStyle w:val="tableheaderwithintable"/>
              <w:keepLines/>
              <w:rPr>
                <w:lang w:val="en-US" w:eastAsia="en-US"/>
              </w:rPr>
            </w:pPr>
            <w:r w:rsidRPr="004666B8">
              <w:rPr>
                <w:lang w:val="en-US" w:eastAsia="en-US"/>
              </w:rPr>
              <w:t>Current law</w:t>
            </w:r>
          </w:p>
        </w:tc>
      </w:tr>
      <w:tr w:rsidR="006521B6" w:rsidRPr="004666B8" w14:paraId="38FAB8F4" w14:textId="77777777" w:rsidTr="009E620A">
        <w:tc>
          <w:tcPr>
            <w:tcW w:w="3275" w:type="dxa"/>
          </w:tcPr>
          <w:p w14:paraId="08189C2C" w14:textId="19E30A2C" w:rsidR="006521B6" w:rsidRDefault="006521B6" w:rsidP="00632B57">
            <w:pPr>
              <w:pStyle w:val="tabletext"/>
              <w:keepNext/>
              <w:keepLines/>
            </w:pPr>
            <w:r>
              <w:t xml:space="preserve">CSF offer must be made in accordance with the CSF regime. </w:t>
            </w:r>
          </w:p>
        </w:tc>
        <w:tc>
          <w:tcPr>
            <w:tcW w:w="3276" w:type="dxa"/>
          </w:tcPr>
          <w:p w14:paraId="332BF8F6" w14:textId="572063B8" w:rsidR="006521B6" w:rsidRDefault="000055ED" w:rsidP="00632B57">
            <w:pPr>
              <w:pStyle w:val="tabletext"/>
              <w:keepNext/>
              <w:keepLines/>
              <w:rPr>
                <w:lang w:val="en-US" w:eastAsia="en-US"/>
              </w:rPr>
            </w:pPr>
            <w:r>
              <w:rPr>
                <w:lang w:val="en-US" w:eastAsia="en-US"/>
              </w:rPr>
              <w:t>An offer requiring disclosure must be made in accordance with Part 6D.2.</w:t>
            </w:r>
          </w:p>
        </w:tc>
      </w:tr>
      <w:tr w:rsidR="00FD69A7" w:rsidRPr="004666B8" w14:paraId="569CB5B7" w14:textId="77777777" w:rsidTr="009E620A">
        <w:tc>
          <w:tcPr>
            <w:tcW w:w="3275" w:type="dxa"/>
          </w:tcPr>
          <w:p w14:paraId="40411847" w14:textId="6B3A3F3E" w:rsidR="00FD69A7" w:rsidRDefault="00FD69A7" w:rsidP="00632B57">
            <w:pPr>
              <w:pStyle w:val="tabletext"/>
              <w:keepNext/>
              <w:keepLines/>
            </w:pPr>
            <w:r>
              <w:t>A CSF offer document must be prepared for a CSF offer</w:t>
            </w:r>
          </w:p>
        </w:tc>
        <w:tc>
          <w:tcPr>
            <w:tcW w:w="3276" w:type="dxa"/>
          </w:tcPr>
          <w:p w14:paraId="1C4D254D" w14:textId="3001C597" w:rsidR="00FD69A7" w:rsidRDefault="00FE5B21" w:rsidP="00632B57">
            <w:pPr>
              <w:pStyle w:val="tabletext"/>
              <w:keepNext/>
              <w:keepLines/>
              <w:rPr>
                <w:lang w:val="en-US" w:eastAsia="en-US"/>
              </w:rPr>
            </w:pPr>
            <w:r>
              <w:rPr>
                <w:lang w:val="en-US" w:eastAsia="en-US"/>
              </w:rPr>
              <w:t>A disclosure document must be prepared for an offer requiring disclosure.</w:t>
            </w:r>
          </w:p>
        </w:tc>
      </w:tr>
      <w:tr w:rsidR="00E26C23" w:rsidRPr="004666B8" w14:paraId="38BD3DA2" w14:textId="77777777" w:rsidTr="009E620A">
        <w:tc>
          <w:tcPr>
            <w:tcW w:w="3275" w:type="dxa"/>
          </w:tcPr>
          <w:p w14:paraId="560523DC" w14:textId="1622AACF" w:rsidR="00E26C23" w:rsidRPr="004666B8" w:rsidRDefault="00FD69A7" w:rsidP="00632B57">
            <w:pPr>
              <w:pStyle w:val="tabletext"/>
              <w:keepNext/>
              <w:keepLines/>
              <w:rPr>
                <w:lang w:val="en-US" w:eastAsia="en-US"/>
              </w:rPr>
            </w:pPr>
            <w:r>
              <w:t xml:space="preserve">A CSF offer is made by publishing the CSF offer document on the platform of a single CSF intermediary. </w:t>
            </w:r>
          </w:p>
        </w:tc>
        <w:tc>
          <w:tcPr>
            <w:tcW w:w="3276" w:type="dxa"/>
          </w:tcPr>
          <w:p w14:paraId="1E3D8252" w14:textId="210D3A1A" w:rsidR="00E26C23" w:rsidRPr="004666B8" w:rsidRDefault="00AB2254" w:rsidP="00632B57">
            <w:pPr>
              <w:pStyle w:val="tabletext"/>
              <w:keepNext/>
              <w:keepLines/>
              <w:rPr>
                <w:lang w:val="en-US" w:eastAsia="en-US"/>
              </w:rPr>
            </w:pPr>
            <w:r>
              <w:rPr>
                <w:lang w:val="en-US" w:eastAsia="en-US"/>
              </w:rPr>
              <w:t>No equivalent</w:t>
            </w:r>
          </w:p>
        </w:tc>
      </w:tr>
      <w:tr w:rsidR="00E40004" w:rsidRPr="004666B8" w14:paraId="2272A80B" w14:textId="77777777" w:rsidTr="009E620A">
        <w:tc>
          <w:tcPr>
            <w:tcW w:w="3275" w:type="dxa"/>
          </w:tcPr>
          <w:p w14:paraId="42C1FF98" w14:textId="5D243502" w:rsidR="00E40004" w:rsidRDefault="00E40004" w:rsidP="00632B57">
            <w:pPr>
              <w:pStyle w:val="tabledotpoint"/>
              <w:keepNext/>
              <w:keepLines/>
              <w:numPr>
                <w:ilvl w:val="0"/>
                <w:numId w:val="0"/>
              </w:numPr>
            </w:pPr>
            <w:r>
              <w:t>A CSF offer is made when the offer document is published on the platform of a CSF intermediary.</w:t>
            </w:r>
          </w:p>
        </w:tc>
        <w:tc>
          <w:tcPr>
            <w:tcW w:w="3276" w:type="dxa"/>
          </w:tcPr>
          <w:p w14:paraId="27772FD4" w14:textId="40CAF942" w:rsidR="00E40004" w:rsidRDefault="00815D65" w:rsidP="00632B57">
            <w:pPr>
              <w:pStyle w:val="tabletext"/>
              <w:keepNext/>
              <w:keepLines/>
              <w:rPr>
                <w:lang w:val="en-US" w:eastAsia="en-US"/>
              </w:rPr>
            </w:pPr>
            <w:r>
              <w:rPr>
                <w:lang w:val="en-US" w:eastAsia="en-US"/>
              </w:rPr>
              <w:t>No equivalent.</w:t>
            </w:r>
          </w:p>
        </w:tc>
      </w:tr>
      <w:tr w:rsidR="00E40004" w:rsidRPr="004666B8" w14:paraId="2CABFEBA" w14:textId="77777777" w:rsidTr="009E620A">
        <w:tc>
          <w:tcPr>
            <w:tcW w:w="3275" w:type="dxa"/>
          </w:tcPr>
          <w:p w14:paraId="4D34F77E" w14:textId="5B030582" w:rsidR="00E40004" w:rsidRDefault="00962DEC" w:rsidP="00632B57">
            <w:pPr>
              <w:pStyle w:val="tabledotpoint"/>
              <w:keepNext/>
              <w:keepLines/>
              <w:numPr>
                <w:ilvl w:val="0"/>
                <w:numId w:val="0"/>
              </w:numPr>
            </w:pPr>
            <w:r>
              <w:t>A CSF offer is open from the time when the offer is made until the offer is suspended or closed</w:t>
            </w:r>
            <w:r w:rsidR="00372D90">
              <w:t xml:space="preserve"> by the intermediary</w:t>
            </w:r>
            <w:r>
              <w:t xml:space="preserve">. </w:t>
            </w:r>
          </w:p>
        </w:tc>
        <w:tc>
          <w:tcPr>
            <w:tcW w:w="3276" w:type="dxa"/>
          </w:tcPr>
          <w:p w14:paraId="040771F9" w14:textId="797D574D" w:rsidR="00E40004" w:rsidRDefault="00815D65" w:rsidP="00632B57">
            <w:pPr>
              <w:pStyle w:val="tabletext"/>
              <w:keepNext/>
              <w:keepLines/>
              <w:rPr>
                <w:lang w:val="en-US" w:eastAsia="en-US"/>
              </w:rPr>
            </w:pPr>
            <w:r>
              <w:rPr>
                <w:lang w:val="en-US" w:eastAsia="en-US"/>
              </w:rPr>
              <w:t>No equivalent.</w:t>
            </w:r>
          </w:p>
        </w:tc>
      </w:tr>
      <w:tr w:rsidR="00E40004" w:rsidRPr="004666B8" w14:paraId="399D91B0" w14:textId="77777777" w:rsidTr="009E620A">
        <w:tc>
          <w:tcPr>
            <w:tcW w:w="3275" w:type="dxa"/>
          </w:tcPr>
          <w:p w14:paraId="2668CB6C" w14:textId="2BAC6664" w:rsidR="00E40004" w:rsidRDefault="00962DEC" w:rsidP="00632B57">
            <w:pPr>
              <w:pStyle w:val="tabledotpoint"/>
              <w:keepNext/>
              <w:keepLines/>
              <w:numPr>
                <w:ilvl w:val="0"/>
                <w:numId w:val="0"/>
              </w:numPr>
            </w:pPr>
            <w:r>
              <w:t xml:space="preserve">A CSF offer is closed </w:t>
            </w:r>
            <w:r w:rsidR="001F1077">
              <w:t xml:space="preserve">from </w:t>
            </w:r>
            <w:r w:rsidR="000A2ED4">
              <w:t xml:space="preserve">the time </w:t>
            </w:r>
            <w:r>
              <w:t xml:space="preserve">when </w:t>
            </w:r>
            <w:r w:rsidR="00822BD7">
              <w:t>a</w:t>
            </w:r>
            <w:r>
              <w:t xml:space="preserve"> CSF intermediary </w:t>
            </w:r>
            <w:r w:rsidR="000A2ED4">
              <w:t xml:space="preserve">gives written </w:t>
            </w:r>
            <w:r>
              <w:t xml:space="preserve">notice on the offer platform that the offer is closed. </w:t>
            </w:r>
          </w:p>
        </w:tc>
        <w:tc>
          <w:tcPr>
            <w:tcW w:w="3276" w:type="dxa"/>
          </w:tcPr>
          <w:p w14:paraId="1D50A383" w14:textId="4364A869" w:rsidR="00E40004" w:rsidRDefault="00815D65" w:rsidP="00632B57">
            <w:pPr>
              <w:pStyle w:val="tabletext"/>
              <w:keepNext/>
              <w:keepLines/>
              <w:rPr>
                <w:lang w:val="en-US" w:eastAsia="en-US"/>
              </w:rPr>
            </w:pPr>
            <w:r>
              <w:rPr>
                <w:lang w:val="en-US" w:eastAsia="en-US"/>
              </w:rPr>
              <w:t>No equivalent.</w:t>
            </w:r>
          </w:p>
        </w:tc>
      </w:tr>
      <w:tr w:rsidR="00E26C23" w:rsidRPr="004666B8" w14:paraId="1A6F112B" w14:textId="77777777" w:rsidTr="009E620A">
        <w:tc>
          <w:tcPr>
            <w:tcW w:w="3275" w:type="dxa"/>
          </w:tcPr>
          <w:p w14:paraId="4EF25262" w14:textId="6C06B6AF" w:rsidR="00E26C23" w:rsidRPr="00F63766" w:rsidRDefault="00B76EBD" w:rsidP="00632B57">
            <w:pPr>
              <w:pStyle w:val="tabledotpoint"/>
              <w:keepNext/>
              <w:keepLines/>
              <w:numPr>
                <w:ilvl w:val="0"/>
                <w:numId w:val="0"/>
              </w:numPr>
            </w:pPr>
            <w:r>
              <w:t xml:space="preserve">A company making a CSF offer and its related parties cannot have more than one </w:t>
            </w:r>
            <w:r w:rsidR="00A94728">
              <w:t xml:space="preserve">CSF </w:t>
            </w:r>
            <w:r>
              <w:t xml:space="preserve">offer open at a time.  </w:t>
            </w:r>
          </w:p>
        </w:tc>
        <w:tc>
          <w:tcPr>
            <w:tcW w:w="3276" w:type="dxa"/>
          </w:tcPr>
          <w:p w14:paraId="414F4DF9" w14:textId="77777777" w:rsidR="00E26C23" w:rsidRDefault="00E26C23" w:rsidP="00632B57">
            <w:pPr>
              <w:pStyle w:val="tabletext"/>
              <w:keepNext/>
              <w:keepLines/>
              <w:rPr>
                <w:lang w:val="en-US" w:eastAsia="en-US"/>
              </w:rPr>
            </w:pPr>
            <w:r>
              <w:rPr>
                <w:lang w:val="en-US" w:eastAsia="en-US"/>
              </w:rPr>
              <w:t>No equivalent.</w:t>
            </w:r>
          </w:p>
        </w:tc>
      </w:tr>
    </w:tbl>
    <w:p w14:paraId="21779BDC" w14:textId="77777777" w:rsidR="00E27590" w:rsidRPr="00F63766" w:rsidRDefault="00E27590" w:rsidP="00B676BE">
      <w:pPr>
        <w:pStyle w:val="Heading2"/>
      </w:pPr>
      <w:r w:rsidRPr="00F63766">
        <w:t>Detailed explanation of new law</w:t>
      </w:r>
    </w:p>
    <w:p w14:paraId="28F5C2CF" w14:textId="61555A4E" w:rsidR="00B01D3F" w:rsidRDefault="00B01D3F" w:rsidP="00E27590">
      <w:pPr>
        <w:pStyle w:val="Heading3"/>
      </w:pPr>
      <w:r>
        <w:t>A CSF offer must be made in accordance with the CSF regime</w:t>
      </w:r>
    </w:p>
    <w:p w14:paraId="759A0A1F" w14:textId="1B811D63" w:rsidR="00163BEB" w:rsidRPr="00BE0B45" w:rsidRDefault="00BE0B45" w:rsidP="00163BEB">
      <w:pPr>
        <w:pStyle w:val="base-text-paragraph"/>
        <w:numPr>
          <w:ilvl w:val="1"/>
          <w:numId w:val="48"/>
        </w:numPr>
      </w:pPr>
      <w:r>
        <w:t xml:space="preserve">The amendments establish the CSF regime: a new disclosure regime that can be used </w:t>
      </w:r>
      <w:r w:rsidR="00F708D0">
        <w:t xml:space="preserve">by eligible CSF companies </w:t>
      </w:r>
      <w:r>
        <w:t xml:space="preserve">to make certain offers of securities for issue. </w:t>
      </w:r>
      <w:r w:rsidR="00163BEB" w:rsidRPr="00A2629B">
        <w:rPr>
          <w:rStyle w:val="Referencingstyle"/>
        </w:rPr>
        <w:t>[Schedule 1, Part 1, item 1</w:t>
      </w:r>
      <w:r w:rsidR="00163BEB">
        <w:rPr>
          <w:rStyle w:val="Referencingstyle"/>
        </w:rPr>
        <w:t>4</w:t>
      </w:r>
      <w:r w:rsidR="00163BEB" w:rsidRPr="00A2629B">
        <w:rPr>
          <w:rStyle w:val="Referencingstyle"/>
        </w:rPr>
        <w:t>, section 7</w:t>
      </w:r>
      <w:r w:rsidR="00163BEB">
        <w:rPr>
          <w:rStyle w:val="Referencingstyle"/>
        </w:rPr>
        <w:t>38</w:t>
      </w:r>
      <w:r w:rsidR="00163BEB" w:rsidRPr="00A2629B">
        <w:rPr>
          <w:rStyle w:val="Referencingstyle"/>
        </w:rPr>
        <w:t>A</w:t>
      </w:r>
      <w:r w:rsidR="00163BEB" w:rsidRPr="00163BEB">
        <w:rPr>
          <w:b/>
          <w:i/>
          <w:sz w:val="18"/>
        </w:rPr>
        <w:t>]</w:t>
      </w:r>
    </w:p>
    <w:p w14:paraId="271E85A2" w14:textId="193CEB2F" w:rsidR="00BE0B45" w:rsidRPr="00BE0B45" w:rsidRDefault="00BE0B45" w:rsidP="00BE0B45">
      <w:pPr>
        <w:pStyle w:val="base-text-paragraph"/>
      </w:pPr>
      <w:r>
        <w:t>An offer that is subject to the CSF regime is not subject to Part 6D.2, which contains the general rules regarding when disclosure is required for offers of securities, except as expressly provided for.</w:t>
      </w:r>
      <w:r w:rsidRPr="00A2629B">
        <w:rPr>
          <w:rStyle w:val="Referencingstyle"/>
        </w:rPr>
        <w:t xml:space="preserve"> [Schedule</w:t>
      </w:r>
      <w:r w:rsidR="00D44CB5">
        <w:rPr>
          <w:rStyle w:val="Referencingstyle"/>
        </w:rPr>
        <w:t> </w:t>
      </w:r>
      <w:r w:rsidRPr="00A2629B">
        <w:rPr>
          <w:rStyle w:val="Referencingstyle"/>
        </w:rPr>
        <w:t>1, Part 1, items 7, 8, 9 and 10, heading to Part 6D.2, section 703B, section 704, section 706</w:t>
      </w:r>
      <w:r w:rsidRPr="00BE0B45">
        <w:rPr>
          <w:b/>
          <w:i/>
          <w:sz w:val="18"/>
        </w:rPr>
        <w:t>]</w:t>
      </w:r>
    </w:p>
    <w:p w14:paraId="2A13A31E" w14:textId="77777777" w:rsidR="0090208F" w:rsidRDefault="0090208F">
      <w:pPr>
        <w:spacing w:before="0" w:after="0"/>
      </w:pPr>
      <w:r>
        <w:br w:type="page"/>
      </w:r>
    </w:p>
    <w:p w14:paraId="44EC4784" w14:textId="4F87DC1A" w:rsidR="00BE0B45" w:rsidRPr="0029395D" w:rsidRDefault="00BE0B45" w:rsidP="00BE0B45">
      <w:pPr>
        <w:pStyle w:val="base-text-paragraph"/>
      </w:pPr>
      <w:r>
        <w:t>An offer that is subject to the CSF regime is also not subject to Part 6D.3, which contains the prohibitions, liabilities and remedies that apply to offers of securities requiring disclosure</w:t>
      </w:r>
      <w:r w:rsidR="0030704A">
        <w:t xml:space="preserve">, </w:t>
      </w:r>
      <w:r>
        <w:t xml:space="preserve">except as expressly provided for. </w:t>
      </w:r>
      <w:r w:rsidRPr="00A2629B">
        <w:rPr>
          <w:rStyle w:val="Referencingstyle"/>
        </w:rPr>
        <w:t>[Schedule 1, Part 1, items 11 and 12, heading to Part 6D.3 and section 725A</w:t>
      </w:r>
      <w:r w:rsidRPr="00BE0B45">
        <w:rPr>
          <w:b/>
          <w:i/>
          <w:sz w:val="18"/>
        </w:rPr>
        <w:t>]</w:t>
      </w:r>
    </w:p>
    <w:p w14:paraId="29682765" w14:textId="46FBAB61" w:rsidR="00C747B0" w:rsidRDefault="00C747B0" w:rsidP="00E27590">
      <w:pPr>
        <w:pStyle w:val="Heading3"/>
      </w:pPr>
      <w:r>
        <w:t>A CSF offer document must be prepared for each CSF offer</w:t>
      </w:r>
    </w:p>
    <w:p w14:paraId="322BA981" w14:textId="55006563" w:rsidR="00232705" w:rsidRDefault="00EC78D6" w:rsidP="00232705">
      <w:pPr>
        <w:pStyle w:val="base-text-paragraph"/>
      </w:pPr>
      <w:r>
        <w:t xml:space="preserve">Under the CSF regime, </w:t>
      </w:r>
      <w:r w:rsidR="00EB4A58">
        <w:t>a CSF offer document must be prepared in relation to each CSF offer</w:t>
      </w:r>
      <w:r w:rsidR="005940CB">
        <w:t>.</w:t>
      </w:r>
      <w:r w:rsidR="00DF3974">
        <w:t xml:space="preserve"> </w:t>
      </w:r>
      <w:r w:rsidR="00DF3974" w:rsidRPr="00F63766">
        <w:rPr>
          <w:rStyle w:val="Referencingstyle"/>
        </w:rPr>
        <w:t>[Schedule 1, Part 1, item 14, subsection 738</w:t>
      </w:r>
      <w:r w:rsidR="00DF3974">
        <w:rPr>
          <w:rStyle w:val="Referencingstyle"/>
        </w:rPr>
        <w:t>J</w:t>
      </w:r>
      <w:r w:rsidR="00DF3974" w:rsidRPr="00F63766">
        <w:rPr>
          <w:rStyle w:val="Referencingstyle"/>
        </w:rPr>
        <w:t>(</w:t>
      </w:r>
      <w:r w:rsidR="00DF3974">
        <w:rPr>
          <w:rStyle w:val="Referencingstyle"/>
        </w:rPr>
        <w:t>1</w:t>
      </w:r>
      <w:r w:rsidR="00DF3974" w:rsidRPr="00F63766">
        <w:rPr>
          <w:rStyle w:val="Referencingstyle"/>
        </w:rPr>
        <w:t>)</w:t>
      </w:r>
      <w:r w:rsidR="005940CB">
        <w:rPr>
          <w:rStyle w:val="Referencingstyle"/>
        </w:rPr>
        <w:t>]</w:t>
      </w:r>
      <w:r w:rsidR="00EB4A58">
        <w:t xml:space="preserve">  </w:t>
      </w:r>
    </w:p>
    <w:p w14:paraId="29707FA2" w14:textId="15A47D81" w:rsidR="002B52BA" w:rsidRDefault="001F1ABC" w:rsidP="00232705">
      <w:pPr>
        <w:pStyle w:val="base-text-paragraph"/>
      </w:pPr>
      <w:r>
        <w:t>The CSF offer document must contain all the information specified in the</w:t>
      </w:r>
      <w:r w:rsidR="0006668B">
        <w:t xml:space="preserve"> regulations</w:t>
      </w:r>
      <w:r w:rsidR="00DF3974">
        <w:t xml:space="preserve"> </w:t>
      </w:r>
      <w:r w:rsidR="00DF3974" w:rsidRPr="00F63766">
        <w:rPr>
          <w:rStyle w:val="Referencingstyle"/>
        </w:rPr>
        <w:t>[Schedule 1, Part 1, item 14, subsection </w:t>
      </w:r>
      <w:proofErr w:type="gramStart"/>
      <w:r w:rsidR="00DF3974" w:rsidRPr="00F63766">
        <w:rPr>
          <w:rStyle w:val="Referencingstyle"/>
        </w:rPr>
        <w:t>738</w:t>
      </w:r>
      <w:r w:rsidR="00DF3974">
        <w:rPr>
          <w:rStyle w:val="Referencingstyle"/>
        </w:rPr>
        <w:t>J</w:t>
      </w:r>
      <w:r w:rsidR="00DF3974" w:rsidRPr="00F63766">
        <w:rPr>
          <w:rStyle w:val="Referencingstyle"/>
        </w:rPr>
        <w:t>(</w:t>
      </w:r>
      <w:proofErr w:type="gramEnd"/>
      <w:r w:rsidR="00DF3974">
        <w:rPr>
          <w:rStyle w:val="Referencingstyle"/>
        </w:rPr>
        <w:t>2</w:t>
      </w:r>
      <w:r w:rsidR="00DF3974" w:rsidRPr="00F63766">
        <w:rPr>
          <w:rStyle w:val="Referencingstyle"/>
        </w:rPr>
        <w:t>)</w:t>
      </w:r>
      <w:r w:rsidR="00AC3D95">
        <w:rPr>
          <w:rStyle w:val="Referencingstyle"/>
        </w:rPr>
        <w:t>]</w:t>
      </w:r>
      <w:r w:rsidR="0006668B">
        <w:t xml:space="preserve">. </w:t>
      </w:r>
      <w:r w:rsidR="0025425E">
        <w:t xml:space="preserve"> The CSF offer document </w:t>
      </w:r>
      <w:r w:rsidR="002B52BA">
        <w:t xml:space="preserve">can also contain the CSF offer </w:t>
      </w:r>
      <w:r w:rsidR="002B52BA" w:rsidRPr="002B52BA">
        <w:rPr>
          <w:rStyle w:val="Referencingstyle"/>
        </w:rPr>
        <w:t>[Schedule 1, Part 1, item 14, subsection </w:t>
      </w:r>
      <w:proofErr w:type="gramStart"/>
      <w:r w:rsidR="002B52BA" w:rsidRPr="002B52BA">
        <w:rPr>
          <w:rStyle w:val="Referencingstyle"/>
        </w:rPr>
        <w:t>738J(</w:t>
      </w:r>
      <w:proofErr w:type="gramEnd"/>
      <w:r w:rsidR="002B52BA" w:rsidRPr="002B52BA">
        <w:rPr>
          <w:rStyle w:val="Referencingstyle"/>
        </w:rPr>
        <w:t>1)]</w:t>
      </w:r>
      <w:r w:rsidR="002B52BA" w:rsidRPr="007043CE">
        <w:t>.</w:t>
      </w:r>
      <w:r w:rsidR="002B52BA">
        <w:t xml:space="preserve"> </w:t>
      </w:r>
    </w:p>
    <w:p w14:paraId="780D2EAA" w14:textId="504CC2E4" w:rsidR="0006668B" w:rsidRDefault="002B52BA" w:rsidP="00232705">
      <w:pPr>
        <w:pStyle w:val="base-text-paragraph"/>
      </w:pPr>
      <w:r>
        <w:t xml:space="preserve">The above </w:t>
      </w:r>
      <w:r w:rsidR="00C4763E">
        <w:t xml:space="preserve">approach </w:t>
      </w:r>
      <w:r w:rsidR="00115D9F">
        <w:t>has been drafted in recognition of the fact</w:t>
      </w:r>
      <w:r w:rsidR="00F84D77">
        <w:t xml:space="preserve"> that</w:t>
      </w:r>
      <w:r w:rsidR="00115D9F">
        <w:t xml:space="preserve"> </w:t>
      </w:r>
      <w:r>
        <w:t>it is possible for a CSF offer document to satisfy the content requirements specified in the regulations (</w:t>
      </w:r>
      <w:r w:rsidR="00B531A2">
        <w:t xml:space="preserve">for example, </w:t>
      </w:r>
      <w:r>
        <w:t xml:space="preserve">by including information about the company and its business, the securities on offer, how the proceeds from the CSF offer will be used) but </w:t>
      </w:r>
      <w:r w:rsidR="009639D1">
        <w:t>not</w:t>
      </w:r>
      <w:r w:rsidR="00C05514">
        <w:t xml:space="preserve"> contain</w:t>
      </w:r>
      <w:r w:rsidR="00617E31">
        <w:t xml:space="preserve"> the </w:t>
      </w:r>
      <w:r w:rsidR="009639D1">
        <w:t xml:space="preserve">actual </w:t>
      </w:r>
      <w:r>
        <w:t>CSF offer</w:t>
      </w:r>
      <w:r w:rsidR="009639D1">
        <w:t xml:space="preserve"> (the offer</w:t>
      </w:r>
      <w:r w:rsidR="00F84D77">
        <w:t xml:space="preserve"> by the company</w:t>
      </w:r>
      <w:r w:rsidR="009639D1">
        <w:t xml:space="preserve"> of </w:t>
      </w:r>
      <w:r w:rsidR="004F26E7">
        <w:t xml:space="preserve">securities </w:t>
      </w:r>
      <w:r w:rsidR="00C9307A">
        <w:t xml:space="preserve">for </w:t>
      </w:r>
      <w:r w:rsidR="003D1357">
        <w:t>consideration</w:t>
      </w:r>
      <w:r w:rsidR="009639D1">
        <w:t xml:space="preserve">).  </w:t>
      </w:r>
      <w:r w:rsidR="0025425E" w:rsidRPr="007043CE">
        <w:t>In</w:t>
      </w:r>
      <w:r w:rsidR="0025425E">
        <w:t xml:space="preserve"> practice, </w:t>
      </w:r>
      <w:r w:rsidR="00135F88">
        <w:t xml:space="preserve">however, </w:t>
      </w:r>
      <w:r w:rsidR="0025425E">
        <w:t xml:space="preserve">it is expected that </w:t>
      </w:r>
      <w:r w:rsidR="001948D0">
        <w:t>a</w:t>
      </w:r>
      <w:r w:rsidR="0025425E">
        <w:t xml:space="preserve"> CSF offer document would contain the CSF offer as well as the information </w:t>
      </w:r>
      <w:r w:rsidR="001948D0">
        <w:t xml:space="preserve">required to be included </w:t>
      </w:r>
      <w:r w:rsidR="00D64A63">
        <w:t>by</w:t>
      </w:r>
      <w:r w:rsidR="001948D0">
        <w:t xml:space="preserve"> </w:t>
      </w:r>
      <w:r w:rsidR="0025425E">
        <w:t>the regulations.</w:t>
      </w:r>
      <w:r>
        <w:t xml:space="preserve"> </w:t>
      </w:r>
    </w:p>
    <w:p w14:paraId="5D25FA2E" w14:textId="012FF477" w:rsidR="00B8157D" w:rsidRDefault="0006668B" w:rsidP="0006668B">
      <w:pPr>
        <w:pStyle w:val="base-text-paragraph"/>
      </w:pPr>
      <w:r>
        <w:t>The information contained in the offer document must be worded and presented in a clear, concise and effective manner</w:t>
      </w:r>
      <w:r w:rsidR="00B8157D">
        <w:t xml:space="preserve"> and comply with any other requirements specified in the regulations.</w:t>
      </w:r>
      <w:r w:rsidR="00DF3974">
        <w:t xml:space="preserve"> </w:t>
      </w:r>
      <w:r w:rsidR="00C74D7A">
        <w:rPr>
          <w:rStyle w:val="Referencingstyle"/>
        </w:rPr>
        <w:t xml:space="preserve">[Schedule 1, Part 1, item 14, </w:t>
      </w:r>
      <w:r w:rsidR="00DF3974" w:rsidRPr="00F63766">
        <w:rPr>
          <w:rStyle w:val="Referencingstyle"/>
        </w:rPr>
        <w:t>section 738</w:t>
      </w:r>
      <w:r w:rsidR="009D134A">
        <w:rPr>
          <w:rStyle w:val="Referencingstyle"/>
        </w:rPr>
        <w:t>K</w:t>
      </w:r>
      <w:r w:rsidR="00496AD1">
        <w:rPr>
          <w:rStyle w:val="Referencingstyle"/>
        </w:rPr>
        <w:t>]</w:t>
      </w:r>
      <w:r>
        <w:t xml:space="preserve">  </w:t>
      </w:r>
    </w:p>
    <w:p w14:paraId="6A44F0FB" w14:textId="7A2E9FC7" w:rsidR="00C02022" w:rsidRDefault="0006668B" w:rsidP="0006668B">
      <w:pPr>
        <w:pStyle w:val="base-text-paragraph"/>
      </w:pPr>
      <w:r>
        <w:t xml:space="preserve">Where the information in a CSF offer document </w:t>
      </w:r>
      <w:r w:rsidR="00B8157D">
        <w:t>does not comply with the above requirements</w:t>
      </w:r>
      <w:r>
        <w:t>, ASIC has stop order powers</w:t>
      </w:r>
      <w:r w:rsidR="00B8157D">
        <w:t xml:space="preserve"> </w:t>
      </w:r>
      <w:r w:rsidR="00C5293C">
        <w:rPr>
          <w:rStyle w:val="Referencingstyle"/>
        </w:rPr>
        <w:t>[Schedule 1, Part 1, item 15</w:t>
      </w:r>
      <w:r w:rsidR="00B8157D" w:rsidRPr="00F63766">
        <w:rPr>
          <w:rStyle w:val="Referencingstyle"/>
        </w:rPr>
        <w:t>,</w:t>
      </w:r>
      <w:r w:rsidR="00C5293C">
        <w:rPr>
          <w:rStyle w:val="Referencingstyle"/>
        </w:rPr>
        <w:t xml:space="preserve"> paragraph</w:t>
      </w:r>
      <w:r w:rsidR="00B8157D" w:rsidRPr="00F63766">
        <w:rPr>
          <w:rStyle w:val="Referencingstyle"/>
        </w:rPr>
        <w:t> 73</w:t>
      </w:r>
      <w:r w:rsidR="00C5293C">
        <w:rPr>
          <w:rStyle w:val="Referencingstyle"/>
        </w:rPr>
        <w:t>9(1)(e)]</w:t>
      </w:r>
      <w:r>
        <w:t xml:space="preserve"> which </w:t>
      </w:r>
      <w:r w:rsidR="00F11056">
        <w:t xml:space="preserve">will </w:t>
      </w:r>
      <w:r>
        <w:t>enable it to order that no issues of the securities be made while the order is in force</w:t>
      </w:r>
      <w:r w:rsidR="00F11056">
        <w:t xml:space="preserve"> </w:t>
      </w:r>
      <w:r w:rsidR="00F11056">
        <w:rPr>
          <w:rStyle w:val="Referencingstyle"/>
        </w:rPr>
        <w:t>[Schedule</w:t>
      </w:r>
      <w:r w:rsidR="0092606E">
        <w:rPr>
          <w:rStyle w:val="Referencingstyle"/>
        </w:rPr>
        <w:t> </w:t>
      </w:r>
      <w:r w:rsidR="00F11056">
        <w:rPr>
          <w:rStyle w:val="Referencingstyle"/>
        </w:rPr>
        <w:t>1, Part 1, item 1</w:t>
      </w:r>
      <w:r w:rsidR="0092606E">
        <w:rPr>
          <w:rStyle w:val="Referencingstyle"/>
        </w:rPr>
        <w:t>6</w:t>
      </w:r>
      <w:r w:rsidR="00F11056" w:rsidRPr="00F63766">
        <w:rPr>
          <w:rStyle w:val="Referencingstyle"/>
        </w:rPr>
        <w:t>,</w:t>
      </w:r>
      <w:r w:rsidR="00F11056">
        <w:rPr>
          <w:rStyle w:val="Referencingstyle"/>
        </w:rPr>
        <w:t xml:space="preserve"> paragraph</w:t>
      </w:r>
      <w:r w:rsidR="00F11056" w:rsidRPr="00F63766">
        <w:rPr>
          <w:rStyle w:val="Referencingstyle"/>
        </w:rPr>
        <w:t> 73</w:t>
      </w:r>
      <w:r w:rsidR="00F11056">
        <w:rPr>
          <w:rStyle w:val="Referencingstyle"/>
        </w:rPr>
        <w:t>9(1</w:t>
      </w:r>
      <w:r w:rsidR="0092606E">
        <w:rPr>
          <w:rStyle w:val="Referencingstyle"/>
        </w:rPr>
        <w:t>A</w:t>
      </w:r>
      <w:r w:rsidR="00F11056">
        <w:rPr>
          <w:rStyle w:val="Referencingstyle"/>
        </w:rPr>
        <w:t>)(</w:t>
      </w:r>
      <w:r w:rsidR="0092606E">
        <w:rPr>
          <w:rStyle w:val="Referencingstyle"/>
        </w:rPr>
        <w:t>a</w:t>
      </w:r>
      <w:r w:rsidR="00F11056">
        <w:rPr>
          <w:rStyle w:val="Referencingstyle"/>
        </w:rPr>
        <w:t>)]</w:t>
      </w:r>
      <w:r>
        <w:t xml:space="preserve">.  </w:t>
      </w:r>
      <w:r w:rsidR="00022587">
        <w:t xml:space="preserve">This is similar to the position </w:t>
      </w:r>
      <w:r w:rsidR="00C02022">
        <w:t>in relation to existing Chapter 6D disclosure documents where ASIC has stop order powers where the</w:t>
      </w:r>
      <w:r w:rsidR="00022587">
        <w:t xml:space="preserve"> disclosure</w:t>
      </w:r>
      <w:r w:rsidR="00C02022">
        <w:t xml:space="preserve"> document is not worded in a clear, concise and effective manner. </w:t>
      </w:r>
      <w:r w:rsidR="00E23E7B">
        <w:t xml:space="preserve"> Unlike other disclosure documents, however, the CSF offer document will </w:t>
      </w:r>
      <w:r w:rsidR="00FB0A10">
        <w:t>not need to be lodged with ASIC.</w:t>
      </w:r>
    </w:p>
    <w:p w14:paraId="04A30112" w14:textId="4F49790C" w:rsidR="00E27590" w:rsidRPr="00F63766" w:rsidRDefault="004B701D" w:rsidP="00E27590">
      <w:pPr>
        <w:pStyle w:val="Heading3"/>
      </w:pPr>
      <w:r w:rsidRPr="00F63766">
        <w:t>How to make a CSF offer</w:t>
      </w:r>
      <w:r w:rsidR="00E27590" w:rsidRPr="00F63766">
        <w:t xml:space="preserve"> </w:t>
      </w:r>
    </w:p>
    <w:p w14:paraId="2FC5E32F" w14:textId="5697F01C" w:rsidR="00CF4E96" w:rsidRPr="00F63766" w:rsidRDefault="00595BE0" w:rsidP="00724B06">
      <w:pPr>
        <w:pStyle w:val="base-text-paragraph"/>
      </w:pPr>
      <w:r w:rsidRPr="00F63766">
        <w:t xml:space="preserve">The amendments provide that </w:t>
      </w:r>
      <w:r w:rsidR="00C74D7A">
        <w:t>the</w:t>
      </w:r>
      <w:r w:rsidR="00E27590" w:rsidRPr="00F63766">
        <w:t xml:space="preserve"> CSF offer </w:t>
      </w:r>
      <w:r w:rsidR="00C74D7A">
        <w:t>must be</w:t>
      </w:r>
      <w:r w:rsidR="00E27590" w:rsidRPr="00F63766">
        <w:t xml:space="preserve"> made by a CSF eligible company publishing a CSF offer document on the platform of a single CSF intermediary</w:t>
      </w:r>
      <w:r w:rsidR="007C2539" w:rsidRPr="00F63766">
        <w:t>.</w:t>
      </w:r>
      <w:r w:rsidR="00E23AA4" w:rsidRPr="00F63766">
        <w:t xml:space="preserve"> </w:t>
      </w:r>
      <w:r w:rsidR="00CF4E96" w:rsidRPr="00F63766">
        <w:rPr>
          <w:b/>
          <w:i/>
          <w:sz w:val="18"/>
        </w:rPr>
        <w:t>[Schedule 1, Part 1, item 1</w:t>
      </w:r>
      <w:r w:rsidR="00775578" w:rsidRPr="00F63766">
        <w:rPr>
          <w:b/>
          <w:i/>
          <w:sz w:val="18"/>
        </w:rPr>
        <w:t>4</w:t>
      </w:r>
      <w:r w:rsidR="00CF4E96" w:rsidRPr="00F63766">
        <w:rPr>
          <w:b/>
          <w:i/>
          <w:sz w:val="18"/>
        </w:rPr>
        <w:t>, subsection 738L(1)]</w:t>
      </w:r>
      <w:r w:rsidR="00E27590" w:rsidRPr="00F63766">
        <w:t xml:space="preserve">  </w:t>
      </w:r>
    </w:p>
    <w:p w14:paraId="21A126F2" w14:textId="380D75ED" w:rsidR="004D6822" w:rsidRPr="00F63766" w:rsidRDefault="00C844C8" w:rsidP="00085AD0">
      <w:pPr>
        <w:pStyle w:val="base-text-paragraph"/>
      </w:pPr>
      <w:r w:rsidRPr="00F63766">
        <w:t>Th</w:t>
      </w:r>
      <w:r w:rsidR="00D0552F">
        <w:t>e</w:t>
      </w:r>
      <w:r w:rsidRPr="00F63766">
        <w:t xml:space="preserve"> requirement </w:t>
      </w:r>
      <w:r w:rsidR="00D0552F">
        <w:t xml:space="preserve">that the CSF offer be made via the platform of an intermediary is a key element of the </w:t>
      </w:r>
      <w:r w:rsidR="0044367B" w:rsidRPr="00F63766">
        <w:t>CSF regime</w:t>
      </w:r>
      <w:r w:rsidR="00D0552F">
        <w:t xml:space="preserve">.  </w:t>
      </w:r>
      <w:r w:rsidR="008B6F4C" w:rsidRPr="00F63766">
        <w:t>A</w:t>
      </w:r>
      <w:r w:rsidR="004D6822" w:rsidRPr="00F63766">
        <w:t>n offer of eligible securities by a CSF eligible company</w:t>
      </w:r>
      <w:r w:rsidR="008B6F4C" w:rsidRPr="00F63766">
        <w:t>, where expressed to be made under the CSF regime, w</w:t>
      </w:r>
      <w:r w:rsidR="004D6822" w:rsidRPr="00F63766">
        <w:t xml:space="preserve">ould </w:t>
      </w:r>
      <w:r w:rsidR="008B6F4C" w:rsidRPr="00F63766">
        <w:t>qualify as</w:t>
      </w:r>
      <w:r w:rsidR="004D6822" w:rsidRPr="00F63766">
        <w:t xml:space="preserve"> a CSF</w:t>
      </w:r>
      <w:r w:rsidR="006F21EF" w:rsidRPr="00F63766">
        <w:t> </w:t>
      </w:r>
      <w:r w:rsidR="004D6822" w:rsidRPr="00F63766">
        <w:t>offer</w:t>
      </w:r>
      <w:r w:rsidR="00D0552F">
        <w:t xml:space="preserve"> (</w:t>
      </w:r>
      <w:r w:rsidR="006F21EF" w:rsidRPr="00F63766">
        <w:t>as the requirements in Division 2 of Part 1 to the Bill would be satisfied</w:t>
      </w:r>
      <w:r w:rsidR="00D0552F">
        <w:t>)</w:t>
      </w:r>
      <w:r w:rsidR="006F21EF" w:rsidRPr="00F63766">
        <w:t xml:space="preserve">.  </w:t>
      </w:r>
      <w:r w:rsidR="00D0552F">
        <w:t xml:space="preserve">However, it is not appropriate that companies be permitted to make CSF offers otherwise than through the platform of a licenced CSF intermediary, given the intermediary’s central role in administering a number of aspects of the regime (refer Chapter </w:t>
      </w:r>
      <w:r w:rsidR="00744953">
        <w:t>3</w:t>
      </w:r>
      <w:r w:rsidR="006E10DD">
        <w:t xml:space="preserve">).  </w:t>
      </w:r>
    </w:p>
    <w:p w14:paraId="23A41743" w14:textId="346076F4" w:rsidR="00423613" w:rsidRPr="00F63766" w:rsidRDefault="00F809BE" w:rsidP="00632B57">
      <w:pPr>
        <w:pStyle w:val="base-text-paragraph"/>
        <w:keepNext/>
        <w:keepLines/>
      </w:pPr>
      <w:r>
        <w:t xml:space="preserve">The amendments require the offer document to be published on the </w:t>
      </w:r>
      <w:r w:rsidR="00423613" w:rsidRPr="00F63766">
        <w:t xml:space="preserve">platform of a </w:t>
      </w:r>
      <w:r w:rsidR="00423613" w:rsidRPr="00F809BE">
        <w:rPr>
          <w:i/>
        </w:rPr>
        <w:t>single intermediary</w:t>
      </w:r>
      <w:r>
        <w:t xml:space="preserve">.  </w:t>
      </w:r>
      <w:r w:rsidR="005C7B11" w:rsidRPr="00F63766">
        <w:t>Limiting the issuer to using one offer platform for each CSF offer is appropriate as it supports compliance with other rules in the CSF regime (for example, the issuer cap</w:t>
      </w:r>
      <w:r w:rsidR="000669C8">
        <w:t xml:space="preserve"> and investor cap</w:t>
      </w:r>
      <w:r w:rsidR="005C7B11" w:rsidRPr="00F63766">
        <w:t xml:space="preserve">). </w:t>
      </w:r>
    </w:p>
    <w:p w14:paraId="6DF67192" w14:textId="3C657BBE" w:rsidR="00413E56" w:rsidRDefault="00413E56" w:rsidP="00085AD0">
      <w:pPr>
        <w:pStyle w:val="Heading4"/>
      </w:pPr>
      <w:r w:rsidRPr="00F63766">
        <w:t>Offer must be contained in, or be published together</w:t>
      </w:r>
      <w:r w:rsidR="006201A2" w:rsidRPr="00F63766">
        <w:t xml:space="preserve"> with, </w:t>
      </w:r>
      <w:r w:rsidRPr="00F63766">
        <w:t>the offer docu</w:t>
      </w:r>
      <w:r w:rsidR="0036732F" w:rsidRPr="00F63766">
        <w:t>ment</w:t>
      </w:r>
    </w:p>
    <w:p w14:paraId="2B038A2F" w14:textId="2A77BCA4" w:rsidR="00C74D7A" w:rsidRPr="00F63766" w:rsidRDefault="003046C8" w:rsidP="00C74D7A">
      <w:pPr>
        <w:pStyle w:val="base-text-paragraph"/>
      </w:pPr>
      <w:r>
        <w:t xml:space="preserve">As noted </w:t>
      </w:r>
      <w:r w:rsidRPr="00AA5794">
        <w:t>above (</w:t>
      </w:r>
      <w:r w:rsidRPr="008D4C64">
        <w:t>paragraph</w:t>
      </w:r>
      <w:r w:rsidR="00CD0229">
        <w:t>s 4.8 and</w:t>
      </w:r>
      <w:r w:rsidRPr="008D4C64">
        <w:t xml:space="preserve"> </w:t>
      </w:r>
      <w:r w:rsidR="00AA5794" w:rsidRPr="008D4C64">
        <w:t>4</w:t>
      </w:r>
      <w:r w:rsidRPr="008D4C64">
        <w:t>.</w:t>
      </w:r>
      <w:r w:rsidR="00AA5794" w:rsidRPr="008D4C64">
        <w:t>9</w:t>
      </w:r>
      <w:r w:rsidRPr="00AA5794">
        <w:t xml:space="preserve">) </w:t>
      </w:r>
      <w:r w:rsidR="00257A8E">
        <w:t xml:space="preserve">it is possible for the </w:t>
      </w:r>
      <w:r>
        <w:t xml:space="preserve">CSF offer </w:t>
      </w:r>
      <w:r w:rsidR="00257A8E">
        <w:t xml:space="preserve">not to be </w:t>
      </w:r>
      <w:r>
        <w:t xml:space="preserve">contained in </w:t>
      </w:r>
      <w:r w:rsidR="001A6DFC">
        <w:t xml:space="preserve">the </w:t>
      </w:r>
      <w:r>
        <w:t xml:space="preserve">offer document.  </w:t>
      </w:r>
      <w:r w:rsidR="00C74D7A">
        <w:t xml:space="preserve">However, </w:t>
      </w:r>
      <w:r>
        <w:t>if</w:t>
      </w:r>
      <w:r w:rsidR="00C74D7A">
        <w:t xml:space="preserve"> the CSF offer </w:t>
      </w:r>
      <w:r>
        <w:t>is not</w:t>
      </w:r>
      <w:r w:rsidR="00C74D7A">
        <w:t xml:space="preserve"> contain</w:t>
      </w:r>
      <w:r>
        <w:t>ed in</w:t>
      </w:r>
      <w:r w:rsidR="00C74D7A">
        <w:t xml:space="preserve"> the CSF offer</w:t>
      </w:r>
      <w:r>
        <w:t xml:space="preserve"> document</w:t>
      </w:r>
      <w:r w:rsidR="00C74D7A">
        <w:t>, the CSF offer must be published on the intermediary’s platform.</w:t>
      </w:r>
      <w:r>
        <w:t xml:space="preserve"> </w:t>
      </w:r>
      <w:r w:rsidR="00C74D7A" w:rsidRPr="003046C8">
        <w:rPr>
          <w:b/>
          <w:i/>
          <w:sz w:val="18"/>
        </w:rPr>
        <w:t>[Schedule 1, Part 1, item 14, subsection 738L(1)]</w:t>
      </w:r>
      <w:r w:rsidR="00C74D7A" w:rsidRPr="00F63766">
        <w:t xml:space="preserve"> </w:t>
      </w:r>
    </w:p>
    <w:p w14:paraId="261CD6CB" w14:textId="0690CFC8" w:rsidR="006201A2" w:rsidRPr="00F63766" w:rsidRDefault="00420678" w:rsidP="002D5F39">
      <w:pPr>
        <w:pStyle w:val="Heading4"/>
      </w:pPr>
      <w:r w:rsidRPr="00F63766">
        <w:t xml:space="preserve">Applications and application money must be </w:t>
      </w:r>
      <w:r w:rsidR="00D1065B" w:rsidRPr="00F63766">
        <w:t xml:space="preserve">handled </w:t>
      </w:r>
      <w:r w:rsidR="00ED47A7" w:rsidRPr="00F63766">
        <w:t>via</w:t>
      </w:r>
      <w:r w:rsidR="00D1065B" w:rsidRPr="00F63766">
        <w:t xml:space="preserve"> </w:t>
      </w:r>
      <w:r w:rsidRPr="00F63766">
        <w:t>intermediary</w:t>
      </w:r>
    </w:p>
    <w:p w14:paraId="518379C1" w14:textId="65D1BD6F" w:rsidR="00ED47A7" w:rsidRPr="00F63766" w:rsidRDefault="00BF00D0" w:rsidP="00420678">
      <w:pPr>
        <w:pStyle w:val="base-text-paragraph"/>
      </w:pPr>
      <w:r w:rsidRPr="00F63766">
        <w:t>A</w:t>
      </w:r>
      <w:r w:rsidR="00ED47A7" w:rsidRPr="00F63766">
        <w:t xml:space="preserve">ll applications in response to the CSF offer </w:t>
      </w:r>
      <w:r w:rsidR="00B0743D" w:rsidRPr="00F63766">
        <w:t xml:space="preserve">must </w:t>
      </w:r>
      <w:r w:rsidR="00ED47A7" w:rsidRPr="00F63766">
        <w:t>be made via the intermediary’s offer platform</w:t>
      </w:r>
      <w:r w:rsidRPr="00F63766">
        <w:t xml:space="preserve">.  This ensures that investors, particularly retail clients, </w:t>
      </w:r>
      <w:r w:rsidR="0009570E">
        <w:t>are provided with</w:t>
      </w:r>
      <w:r w:rsidRPr="00F63766">
        <w:t xml:space="preserve"> the various </w:t>
      </w:r>
      <w:r w:rsidR="00015B30">
        <w:t>protections</w:t>
      </w:r>
      <w:r w:rsidRPr="00F63766">
        <w:t xml:space="preserve"> </w:t>
      </w:r>
      <w:r w:rsidR="006B2BC1">
        <w:t>in</w:t>
      </w:r>
      <w:r w:rsidRPr="00F63766">
        <w:t xml:space="preserve"> the CSF</w:t>
      </w:r>
      <w:r w:rsidR="000C1B76">
        <w:t> </w:t>
      </w:r>
      <w:r w:rsidRPr="00F63766">
        <w:t>regime (such as the communication facility, risk warning and cooling-off rights).  It is also intended that all application money in respect of application</w:t>
      </w:r>
      <w:r w:rsidR="007E668D">
        <w:t>s</w:t>
      </w:r>
      <w:r w:rsidRPr="00F63766">
        <w:t xml:space="preserve"> to the CSF offer be handled by the intermediary.  </w:t>
      </w:r>
      <w:r w:rsidR="000E665A">
        <w:t>This</w:t>
      </w:r>
      <w:r w:rsidRPr="00F63766">
        <w:t xml:space="preserve"> ensures that </w:t>
      </w:r>
      <w:r w:rsidR="00B434ED">
        <w:t xml:space="preserve">application money is handled appropriately, </w:t>
      </w:r>
      <w:r w:rsidR="00F52889">
        <w:t>as the intermediary, being an AFSL holder, will be subject to</w:t>
      </w:r>
      <w:r w:rsidR="00B434ED">
        <w:t xml:space="preserve"> the client money provisions</w:t>
      </w:r>
      <w:r w:rsidR="00895BB1">
        <w:t xml:space="preserve"> (as well as obligations in the </w:t>
      </w:r>
      <w:r w:rsidR="00B434ED">
        <w:t>CSF rules for when money must be paid to the issuer company and refunded to the applicants</w:t>
      </w:r>
      <w:r w:rsidR="00D44CB5">
        <w:t>)</w:t>
      </w:r>
      <w:r w:rsidR="00843CA7">
        <w:t xml:space="preserve"> </w:t>
      </w:r>
      <w:r w:rsidR="00843CA7" w:rsidRPr="003F67D3">
        <w:t>(</w:t>
      </w:r>
      <w:r w:rsidR="000E4847">
        <w:t xml:space="preserve">refer to </w:t>
      </w:r>
      <w:r w:rsidR="000E4847" w:rsidRPr="008D4C64">
        <w:t>paragraphs</w:t>
      </w:r>
      <w:r w:rsidR="00843CA7" w:rsidRPr="008D4C64">
        <w:t> </w:t>
      </w:r>
      <w:r w:rsidR="00DF41B1" w:rsidRPr="008D4C64">
        <w:t>3</w:t>
      </w:r>
      <w:r w:rsidR="00843CA7" w:rsidRPr="008D4C64">
        <w:t>.</w:t>
      </w:r>
      <w:r w:rsidR="00DF41B1" w:rsidRPr="008D4C64">
        <w:t>74</w:t>
      </w:r>
      <w:r w:rsidR="00843CA7" w:rsidRPr="008D4C64">
        <w:t xml:space="preserve"> to </w:t>
      </w:r>
      <w:r w:rsidR="00DF41B1" w:rsidRPr="008D4C64">
        <w:t>3</w:t>
      </w:r>
      <w:r w:rsidR="00843CA7" w:rsidRPr="008D4C64">
        <w:t>.</w:t>
      </w:r>
      <w:r w:rsidR="00DF41B1" w:rsidRPr="008D4C64">
        <w:t>79</w:t>
      </w:r>
      <w:r w:rsidR="00895BB1" w:rsidRPr="003F67D3">
        <w:t>)</w:t>
      </w:r>
      <w:r w:rsidR="00B434ED" w:rsidRPr="003F67D3">
        <w:t>.</w:t>
      </w:r>
      <w:r w:rsidR="00B434ED">
        <w:t xml:space="preserve"> </w:t>
      </w:r>
    </w:p>
    <w:p w14:paraId="54BF3C2B" w14:textId="77777777" w:rsidR="00982F42" w:rsidRDefault="00982F42">
      <w:pPr>
        <w:spacing w:before="0" w:after="0"/>
      </w:pPr>
      <w:r>
        <w:br w:type="page"/>
      </w:r>
    </w:p>
    <w:p w14:paraId="4FFE7A84" w14:textId="73C04508" w:rsidR="00420678" w:rsidRPr="003702F0" w:rsidRDefault="00F62593" w:rsidP="00420678">
      <w:pPr>
        <w:pStyle w:val="base-text-paragraph"/>
      </w:pPr>
      <w:r>
        <w:t xml:space="preserve">The obligation to ensure that applications and application money are handled via the intermediary is given effect by the provision requiring the </w:t>
      </w:r>
      <w:r w:rsidR="00420678" w:rsidRPr="00F63766">
        <w:t xml:space="preserve">agreement between the issuer and intermediary for the publication of the offer document (referred to in the Bill as the ‘hosting </w:t>
      </w:r>
      <w:r w:rsidR="00CE1218">
        <w:t>arrangement</w:t>
      </w:r>
      <w:r w:rsidR="00CE1218" w:rsidRPr="00F63766">
        <w:t>’</w:t>
      </w:r>
      <w:r w:rsidR="00420678" w:rsidRPr="00F63766">
        <w:t xml:space="preserve">) </w:t>
      </w:r>
      <w:r>
        <w:t>to</w:t>
      </w:r>
      <w:r w:rsidR="00420678" w:rsidRPr="00F63766">
        <w:t xml:space="preserve"> require all applications relating to the CSF offer to be made via the intermediary’s platform and all application monies </w:t>
      </w:r>
      <w:r w:rsidR="00D1065B" w:rsidRPr="00F63766">
        <w:t>to</w:t>
      </w:r>
      <w:r w:rsidR="00420678" w:rsidRPr="00F63766">
        <w:t xml:space="preserve"> </w:t>
      </w:r>
      <w:r w:rsidR="00D1065B" w:rsidRPr="00F63766">
        <w:t xml:space="preserve">be </w:t>
      </w:r>
      <w:r w:rsidR="00420678" w:rsidRPr="00F63766">
        <w:t xml:space="preserve">paid to or </w:t>
      </w:r>
      <w:r w:rsidR="00632B57">
        <w:t>dealt with by the intermediary.</w:t>
      </w:r>
      <w:r w:rsidR="00420678" w:rsidRPr="00F63766">
        <w:t xml:space="preserve"> </w:t>
      </w:r>
      <w:r w:rsidR="00420678" w:rsidRPr="00F63766">
        <w:rPr>
          <w:b/>
          <w:i/>
          <w:sz w:val="18"/>
        </w:rPr>
        <w:t>[Schedule 1, Part 1, item 14, subsection 738L(2)]</w:t>
      </w:r>
    </w:p>
    <w:p w14:paraId="51E54989" w14:textId="4B4539C9" w:rsidR="003702F0" w:rsidRDefault="003702F0" w:rsidP="003702F0">
      <w:pPr>
        <w:pStyle w:val="Heading4"/>
      </w:pPr>
      <w:r>
        <w:t>Failure to comply will be an offence</w:t>
      </w:r>
    </w:p>
    <w:p w14:paraId="64575D0E" w14:textId="576E3D7A" w:rsidR="00E832C7" w:rsidRDefault="003702F0" w:rsidP="00724B06">
      <w:pPr>
        <w:pStyle w:val="base-text-paragraph"/>
      </w:pPr>
      <w:r>
        <w:t xml:space="preserve">If the company does not make the CSF offer as required (by publication of the CSF offer and a complying CSF offer document on the platform of a single intermediary) or the hosting </w:t>
      </w:r>
      <w:r w:rsidR="008A1E2E">
        <w:t>agreement</w:t>
      </w:r>
      <w:r>
        <w:t xml:space="preserve"> does not require all applications and application money to be handled via the intermediary, the company will commit an offence.</w:t>
      </w:r>
      <w:r w:rsidR="00572E05">
        <w:t xml:space="preserve"> </w:t>
      </w:r>
      <w:r w:rsidR="00572E05" w:rsidRPr="00F63766">
        <w:rPr>
          <w:b/>
          <w:i/>
          <w:sz w:val="18"/>
        </w:rPr>
        <w:t>[Schedule 1, Part 1, item 14, subsection </w:t>
      </w:r>
      <w:proofErr w:type="gramStart"/>
      <w:r w:rsidR="00572E05" w:rsidRPr="00F63766">
        <w:rPr>
          <w:b/>
          <w:i/>
          <w:sz w:val="18"/>
        </w:rPr>
        <w:t>738L(</w:t>
      </w:r>
      <w:proofErr w:type="gramEnd"/>
      <w:r w:rsidR="00572E05" w:rsidRPr="00F63766">
        <w:rPr>
          <w:b/>
          <w:i/>
          <w:sz w:val="18"/>
        </w:rPr>
        <w:t>3)</w:t>
      </w:r>
      <w:r w:rsidR="00572E05">
        <w:rPr>
          <w:b/>
          <w:i/>
          <w:sz w:val="18"/>
        </w:rPr>
        <w:t xml:space="preserve"> and item 34, item 245A </w:t>
      </w:r>
      <w:r w:rsidR="00C13BCD">
        <w:rPr>
          <w:b/>
          <w:i/>
          <w:sz w:val="18"/>
        </w:rPr>
        <w:t>in</w:t>
      </w:r>
      <w:r w:rsidR="00572E05">
        <w:rPr>
          <w:b/>
          <w:i/>
          <w:sz w:val="18"/>
        </w:rPr>
        <w:t xml:space="preserve"> the table to Schedule 3</w:t>
      </w:r>
      <w:r w:rsidR="00572E05" w:rsidRPr="00F63766">
        <w:rPr>
          <w:b/>
          <w:i/>
          <w:sz w:val="18"/>
        </w:rPr>
        <w:t>]</w:t>
      </w:r>
      <w:r w:rsidR="00572E05" w:rsidRPr="00F63766">
        <w:t xml:space="preserve">.  </w:t>
      </w:r>
    </w:p>
    <w:p w14:paraId="4916FC9B" w14:textId="4E2B977C" w:rsidR="0004659E" w:rsidRDefault="0004659E" w:rsidP="00724B06">
      <w:pPr>
        <w:pStyle w:val="base-text-paragraph"/>
      </w:pPr>
      <w:r>
        <w:t xml:space="preserve">The offence carries a </w:t>
      </w:r>
      <w:r w:rsidR="00916064">
        <w:t xml:space="preserve">maximum </w:t>
      </w:r>
      <w:r>
        <w:t xml:space="preserve">penalty of 300 penalty units, five years imprisonment or both. </w:t>
      </w:r>
    </w:p>
    <w:p w14:paraId="3CC6D820" w14:textId="60CCA554" w:rsidR="00E832C7" w:rsidRDefault="00E832C7" w:rsidP="00724B06">
      <w:pPr>
        <w:pStyle w:val="base-text-paragraph"/>
      </w:pPr>
      <w:r w:rsidRPr="00F63766">
        <w:t xml:space="preserve">The five year term of imprisonment is consistent with the penalty that currently applies to a person offering securities where the offer requires </w:t>
      </w:r>
      <w:r w:rsidR="00632B57">
        <w:t xml:space="preserve">disclosure under Chapter 6D.2. </w:t>
      </w:r>
      <w:r w:rsidRPr="00F63766">
        <w:t xml:space="preserve">The penalty units </w:t>
      </w:r>
      <w:r>
        <w:t xml:space="preserve">for the offence </w:t>
      </w:r>
      <w:r w:rsidRPr="00F63766">
        <w:t xml:space="preserve">have been calculated in accordance with the fine/imprisonment ratio of 5:1 specified in the Government’s </w:t>
      </w:r>
      <w:r w:rsidRPr="003A1417">
        <w:rPr>
          <w:i/>
        </w:rPr>
        <w:t>Guide to Framing Commonwealth Offences</w:t>
      </w:r>
      <w:r w:rsidR="00F6482B" w:rsidRPr="003A1417">
        <w:rPr>
          <w:i/>
        </w:rPr>
        <w:t>, Infringement Notices and Enforcement Powers</w:t>
      </w:r>
      <w:r w:rsidRPr="00F63766">
        <w:t xml:space="preserve"> (section 3.1.3</w:t>
      </w:r>
      <w:r w:rsidR="0097182A">
        <w:t xml:space="preserve"> of the Guide</w:t>
      </w:r>
      <w:r w:rsidRPr="00F63766">
        <w:t xml:space="preserve"> refers)</w:t>
      </w:r>
      <w:r w:rsidR="006C03F1">
        <w:t>.</w:t>
      </w:r>
    </w:p>
    <w:p w14:paraId="35CE1EB3" w14:textId="77777777" w:rsidR="00A7725E" w:rsidRPr="00F63766" w:rsidRDefault="00A7725E" w:rsidP="00A7725E">
      <w:pPr>
        <w:pStyle w:val="Heading4"/>
      </w:pPr>
      <w:r w:rsidRPr="00F63766">
        <w:t>Only one offer may be published at a time</w:t>
      </w:r>
    </w:p>
    <w:p w14:paraId="5479BE96" w14:textId="75F01454" w:rsidR="00A134A9" w:rsidRPr="00F63766" w:rsidRDefault="00A7725E" w:rsidP="00724B06">
      <w:pPr>
        <w:pStyle w:val="base-text-paragraph"/>
      </w:pPr>
      <w:r w:rsidRPr="00F63766">
        <w:t>An issuer company cannot have more than one CSF offer open at a time when another CSF offer previously made by the company is open or suspended.</w:t>
      </w:r>
      <w:r w:rsidR="00A134A9">
        <w:t xml:space="preserve"> </w:t>
      </w:r>
      <w:r w:rsidR="00A134A9" w:rsidRPr="00F63766">
        <w:rPr>
          <w:b/>
          <w:i/>
          <w:sz w:val="18"/>
        </w:rPr>
        <w:t>[Schedule 1, Part 1, item </w:t>
      </w:r>
      <w:r w:rsidR="00A134A9">
        <w:rPr>
          <w:b/>
          <w:i/>
          <w:sz w:val="18"/>
        </w:rPr>
        <w:t>1</w:t>
      </w:r>
      <w:r w:rsidR="00A134A9" w:rsidRPr="00F63766">
        <w:rPr>
          <w:b/>
          <w:i/>
          <w:sz w:val="18"/>
        </w:rPr>
        <w:t>4,</w:t>
      </w:r>
      <w:r w:rsidR="00A134A9">
        <w:rPr>
          <w:b/>
          <w:i/>
          <w:sz w:val="18"/>
        </w:rPr>
        <w:t xml:space="preserve"> subsection 738R(1)</w:t>
      </w:r>
      <w:r w:rsidR="003B6719">
        <w:rPr>
          <w:b/>
          <w:i/>
          <w:sz w:val="18"/>
        </w:rPr>
        <w:t>]</w:t>
      </w:r>
      <w:r w:rsidR="00A134A9" w:rsidRPr="00F63766">
        <w:rPr>
          <w:b/>
          <w:i/>
          <w:sz w:val="18"/>
        </w:rPr>
        <w:t xml:space="preserve"> </w:t>
      </w:r>
    </w:p>
    <w:p w14:paraId="2549CC4B" w14:textId="5ADC5184" w:rsidR="00A7725E" w:rsidRPr="00F63766" w:rsidRDefault="00A7725E" w:rsidP="00724B06">
      <w:pPr>
        <w:pStyle w:val="base-text-paragraph"/>
      </w:pPr>
      <w:r w:rsidRPr="00F63766">
        <w:t xml:space="preserve">In addition, a company cannot make a CSF offer at the same time as a related party of the company makes a CSF offer. The purpose of this prohibition is predominantly to support the enforceability of the issuer cap, which applies to funds raised by the issuer and its related parties.  Allowing the issuer and its related parties to make simultaneous CSF offers would make it difficult to enforce the issuer cap. </w:t>
      </w:r>
      <w:r w:rsidR="002D565B" w:rsidRPr="002D565B">
        <w:rPr>
          <w:b/>
          <w:i/>
          <w:sz w:val="18"/>
        </w:rPr>
        <w:t>[Schedule 1, Part 1, item 14, subsection 738R(</w:t>
      </w:r>
      <w:r w:rsidR="001B04BD">
        <w:rPr>
          <w:b/>
          <w:i/>
          <w:sz w:val="18"/>
        </w:rPr>
        <w:t>2</w:t>
      </w:r>
      <w:r w:rsidR="00632B57">
        <w:rPr>
          <w:b/>
          <w:i/>
          <w:sz w:val="18"/>
        </w:rPr>
        <w:t>)]</w:t>
      </w:r>
    </w:p>
    <w:p w14:paraId="1B2F205B" w14:textId="2DED2790" w:rsidR="00A7725E" w:rsidRPr="00F63766" w:rsidRDefault="00A7725E" w:rsidP="00724B06">
      <w:pPr>
        <w:pStyle w:val="base-text-paragraph"/>
      </w:pPr>
      <w:r w:rsidRPr="00F63766">
        <w:t>Failure to comply with the prohibitions against making more than one offer at a time is an offence</w:t>
      </w:r>
      <w:r>
        <w:t xml:space="preserve"> carrying a maximum penalty of 3</w:t>
      </w:r>
      <w:r w:rsidRPr="00F63766">
        <w:t>00 penalty units</w:t>
      </w:r>
      <w:r w:rsidR="00F8337D">
        <w:t>,</w:t>
      </w:r>
      <w:r w:rsidRPr="00F63766">
        <w:t xml:space="preserve"> </w:t>
      </w:r>
      <w:r w:rsidR="007F6110">
        <w:t>five</w:t>
      </w:r>
      <w:r w:rsidRPr="00F63766">
        <w:t xml:space="preserve"> years imprisonment, or both </w:t>
      </w:r>
      <w:r w:rsidRPr="00F63766">
        <w:rPr>
          <w:b/>
          <w:i/>
          <w:sz w:val="18"/>
        </w:rPr>
        <w:t>[Schedule 1, Part 1, item 34, item </w:t>
      </w:r>
      <w:r w:rsidR="00A75330">
        <w:rPr>
          <w:b/>
          <w:i/>
          <w:sz w:val="18"/>
        </w:rPr>
        <w:t>245</w:t>
      </w:r>
      <w:r w:rsidRPr="00F63766">
        <w:rPr>
          <w:b/>
          <w:i/>
          <w:sz w:val="18"/>
        </w:rPr>
        <w:t xml:space="preserve">H in the table to Schedule 3]. </w:t>
      </w:r>
    </w:p>
    <w:p w14:paraId="370763E7" w14:textId="77777777" w:rsidR="00E61D99" w:rsidRPr="00F63766" w:rsidRDefault="00E61D99" w:rsidP="00E61D99">
      <w:pPr>
        <w:pStyle w:val="Heading4"/>
      </w:pPr>
      <w:r w:rsidRPr="00F63766">
        <w:t>Consents required prior to publication</w:t>
      </w:r>
    </w:p>
    <w:p w14:paraId="319056C8" w14:textId="77777777" w:rsidR="00E61D99" w:rsidRPr="00F63766" w:rsidRDefault="00E61D99" w:rsidP="00724B06">
      <w:pPr>
        <w:pStyle w:val="base-text-paragraph"/>
      </w:pPr>
      <w:r w:rsidRPr="00F63766">
        <w:t xml:space="preserve">Consistent with the arrangements applying under Chapter 6D.2 to other disclosure documents, a company must not arrange for publication of the CSF offer document until they obtain the necessary consents. </w:t>
      </w:r>
    </w:p>
    <w:p w14:paraId="095E0389" w14:textId="77777777" w:rsidR="00E61D99" w:rsidRPr="00F63766" w:rsidRDefault="00E61D99" w:rsidP="00724B06">
      <w:pPr>
        <w:pStyle w:val="base-text-paragraph"/>
      </w:pPr>
      <w:r w:rsidRPr="00F63766">
        <w:t xml:space="preserve">Firstly, the company must obtain the consent in writing of each person named in the offer document as a director or proposed director prior to publication. </w:t>
      </w:r>
      <w:r w:rsidRPr="00F63766">
        <w:rPr>
          <w:b/>
          <w:i/>
          <w:sz w:val="18"/>
        </w:rPr>
        <w:t xml:space="preserve">[Schedule 1, Part 1, </w:t>
      </w:r>
      <w:r>
        <w:rPr>
          <w:b/>
          <w:i/>
          <w:sz w:val="18"/>
        </w:rPr>
        <w:t>item 14</w:t>
      </w:r>
      <w:r w:rsidRPr="00F63766">
        <w:rPr>
          <w:b/>
          <w:i/>
          <w:sz w:val="18"/>
        </w:rPr>
        <w:t>, subsection 738M(1)]</w:t>
      </w:r>
      <w:r w:rsidRPr="00F63766">
        <w:t xml:space="preserve">  </w:t>
      </w:r>
    </w:p>
    <w:p w14:paraId="76BA602E" w14:textId="524514AE" w:rsidR="00E61D99" w:rsidRPr="00F63766" w:rsidRDefault="00E61D99" w:rsidP="00724B06">
      <w:pPr>
        <w:pStyle w:val="base-text-paragraph"/>
      </w:pPr>
      <w:r w:rsidRPr="00F63766">
        <w:t xml:space="preserve">Where the CSF offer document includes a statement by a person, or includes a statement that is </w:t>
      </w:r>
      <w:r w:rsidR="00D77B3A">
        <w:t>indicated</w:t>
      </w:r>
      <w:r w:rsidR="00D77B3A" w:rsidRPr="00F63766">
        <w:t xml:space="preserve"> </w:t>
      </w:r>
      <w:r w:rsidRPr="00F63766">
        <w:t>in the offer document to be based on a statement by a person, the company must not arrange for publication of the offer document unless:</w:t>
      </w:r>
    </w:p>
    <w:p w14:paraId="6708B480" w14:textId="77777777" w:rsidR="00E61D99" w:rsidRPr="00F63766" w:rsidRDefault="00E61D99" w:rsidP="00E61D99">
      <w:pPr>
        <w:pStyle w:val="dotpoint"/>
      </w:pPr>
      <w:r w:rsidRPr="00F63766">
        <w:t xml:space="preserve">that person has consented in writing to the statement being included in the offer document in the form and context in which it is included; </w:t>
      </w:r>
    </w:p>
    <w:p w14:paraId="54019300" w14:textId="77777777" w:rsidR="00E61D99" w:rsidRPr="00F63766" w:rsidRDefault="00E61D99" w:rsidP="00E61D99">
      <w:pPr>
        <w:pStyle w:val="dotpoint"/>
      </w:pPr>
      <w:r w:rsidRPr="00F63766">
        <w:t>the offer document states the person has given their consent; and</w:t>
      </w:r>
    </w:p>
    <w:p w14:paraId="5B71548B" w14:textId="77777777" w:rsidR="00E61D99" w:rsidRPr="00F63766" w:rsidRDefault="00E61D99" w:rsidP="00E61D99">
      <w:pPr>
        <w:pStyle w:val="dotpoint"/>
      </w:pPr>
      <w:proofErr w:type="gramStart"/>
      <w:r w:rsidRPr="00F63766">
        <w:t>the</w:t>
      </w:r>
      <w:proofErr w:type="gramEnd"/>
      <w:r w:rsidRPr="00F63766">
        <w:t xml:space="preserve"> person has not withdrawn their consent prior to publication. </w:t>
      </w:r>
      <w:r w:rsidRPr="00F63766">
        <w:rPr>
          <w:b/>
          <w:i/>
          <w:sz w:val="18"/>
        </w:rPr>
        <w:t xml:space="preserve">[Schedule 1, Part 1, </w:t>
      </w:r>
      <w:r>
        <w:rPr>
          <w:b/>
          <w:i/>
          <w:sz w:val="18"/>
        </w:rPr>
        <w:t>item 14</w:t>
      </w:r>
      <w:r w:rsidRPr="00F63766">
        <w:rPr>
          <w:b/>
          <w:i/>
          <w:sz w:val="18"/>
        </w:rPr>
        <w:t>, subsection 738M(2)]</w:t>
      </w:r>
    </w:p>
    <w:p w14:paraId="25C547C4" w14:textId="3DE1FA54" w:rsidR="00E61D99" w:rsidRPr="00F63766" w:rsidRDefault="00E61D99" w:rsidP="00724B06">
      <w:pPr>
        <w:pStyle w:val="base-text-paragraph"/>
      </w:pPr>
      <w:r w:rsidRPr="00F63766">
        <w:t>The consents must be retained by the compa</w:t>
      </w:r>
      <w:r w:rsidR="00632B57">
        <w:t>ny for a period of seven years.</w:t>
      </w:r>
      <w:r w:rsidRPr="00F63766">
        <w:t xml:space="preserve"> </w:t>
      </w:r>
      <w:r w:rsidRPr="00F63766">
        <w:rPr>
          <w:b/>
          <w:i/>
          <w:sz w:val="18"/>
        </w:rPr>
        <w:t xml:space="preserve">[Schedule 1, Part 1, </w:t>
      </w:r>
      <w:r>
        <w:rPr>
          <w:b/>
          <w:i/>
          <w:sz w:val="18"/>
        </w:rPr>
        <w:t>item 14</w:t>
      </w:r>
      <w:r w:rsidRPr="00F63766">
        <w:rPr>
          <w:b/>
          <w:i/>
          <w:sz w:val="18"/>
        </w:rPr>
        <w:t>, subsection 738M(3)]</w:t>
      </w:r>
    </w:p>
    <w:p w14:paraId="1C5EF9EE" w14:textId="57ED7FAB" w:rsidR="00E61D99" w:rsidRPr="00F63766" w:rsidRDefault="00E61D99" w:rsidP="00724B06">
      <w:pPr>
        <w:pStyle w:val="base-text-paragraph"/>
      </w:pPr>
      <w:r w:rsidRPr="00F63766">
        <w:t>The requirement to obtain and retain written consents is important as the consents may be relevant to any</w:t>
      </w:r>
      <w:r w:rsidR="00AC49CA">
        <w:t xml:space="preserve"> criminal proceedings or</w:t>
      </w:r>
      <w:r w:rsidRPr="00F63766">
        <w:t xml:space="preserve"> cause of action that an investor may wish to commence in the event that the CSF offer document is defective (</w:t>
      </w:r>
      <w:r w:rsidR="00B25976">
        <w:t>Chapter 5</w:t>
      </w:r>
      <w:r w:rsidRPr="00F63766">
        <w:t>).</w:t>
      </w:r>
    </w:p>
    <w:p w14:paraId="02A6DD22" w14:textId="37D35D2E" w:rsidR="00E61D99" w:rsidRPr="00F63766" w:rsidRDefault="00E61D99" w:rsidP="00724B06">
      <w:pPr>
        <w:pStyle w:val="base-text-paragraph"/>
      </w:pPr>
      <w:r w:rsidRPr="00F63766">
        <w:t xml:space="preserve">Failure to obtain or retain written consents is a strict liability offence, carrying a maximum penalty of </w:t>
      </w:r>
      <w:r w:rsidR="00F1712E">
        <w:t>five</w:t>
      </w:r>
      <w:r w:rsidRPr="00F63766">
        <w:t xml:space="preserve"> penalty units.  The penalty is consistent with the existing penalty applying to the comparable offence in Chapter 6D.  </w:t>
      </w:r>
      <w:r w:rsidRPr="00F63766">
        <w:rPr>
          <w:b/>
          <w:i/>
          <w:sz w:val="18"/>
        </w:rPr>
        <w:t xml:space="preserve">[Schedule 1, Part 1, </w:t>
      </w:r>
      <w:r>
        <w:rPr>
          <w:b/>
          <w:i/>
          <w:sz w:val="18"/>
        </w:rPr>
        <w:t>item</w:t>
      </w:r>
      <w:r w:rsidR="005F2537">
        <w:rPr>
          <w:b/>
          <w:i/>
          <w:sz w:val="18"/>
        </w:rPr>
        <w:t>s</w:t>
      </w:r>
      <w:r>
        <w:rPr>
          <w:b/>
          <w:i/>
          <w:sz w:val="18"/>
        </w:rPr>
        <w:t xml:space="preserve"> 14</w:t>
      </w:r>
      <w:r w:rsidR="005F2537">
        <w:rPr>
          <w:b/>
          <w:i/>
          <w:sz w:val="18"/>
        </w:rPr>
        <w:t xml:space="preserve"> and 34</w:t>
      </w:r>
      <w:r w:rsidRPr="00F63766">
        <w:rPr>
          <w:b/>
          <w:i/>
          <w:sz w:val="18"/>
        </w:rPr>
        <w:t>, subsection 738M(4)</w:t>
      </w:r>
      <w:r w:rsidR="005F2537">
        <w:rPr>
          <w:b/>
          <w:i/>
          <w:sz w:val="18"/>
        </w:rPr>
        <w:t xml:space="preserve"> and item 245B </w:t>
      </w:r>
      <w:r w:rsidR="00C13BCD">
        <w:rPr>
          <w:b/>
          <w:i/>
          <w:sz w:val="18"/>
        </w:rPr>
        <w:t>in</w:t>
      </w:r>
      <w:r w:rsidR="005F2537">
        <w:rPr>
          <w:b/>
          <w:i/>
          <w:sz w:val="18"/>
        </w:rPr>
        <w:t xml:space="preserve"> the table to Schedule 3</w:t>
      </w:r>
      <w:r w:rsidRPr="00F63766">
        <w:rPr>
          <w:b/>
          <w:i/>
          <w:sz w:val="18"/>
        </w:rPr>
        <w:t>]</w:t>
      </w:r>
    </w:p>
    <w:p w14:paraId="23D3E691" w14:textId="77777777" w:rsidR="00982F42" w:rsidRDefault="00982F42">
      <w:pPr>
        <w:spacing w:before="0" w:after="0"/>
      </w:pPr>
      <w:r>
        <w:br w:type="page"/>
      </w:r>
    </w:p>
    <w:p w14:paraId="567E0145" w14:textId="61C8E3F0" w:rsidR="00E61D99" w:rsidRPr="00F63766" w:rsidRDefault="00E61D99" w:rsidP="00724B06">
      <w:pPr>
        <w:pStyle w:val="base-text-paragraph"/>
      </w:pPr>
      <w:r w:rsidRPr="00F63766">
        <w:t>Strict liability, and the level of penalty for the new offence, is appropriate, for a number of reasons</w:t>
      </w:r>
      <w:r>
        <w:t>:</w:t>
      </w:r>
      <w:r w:rsidRPr="00F63766">
        <w:t xml:space="preserve"> </w:t>
      </w:r>
    </w:p>
    <w:p w14:paraId="3B039C72" w14:textId="79734F80" w:rsidR="00E61D99" w:rsidRPr="00F63766" w:rsidRDefault="00E61D99" w:rsidP="00E61D99">
      <w:pPr>
        <w:pStyle w:val="dotpoint"/>
      </w:pPr>
      <w:r w:rsidRPr="00F63766">
        <w:t>a person named in the offer document as a director or proposed director, or a person said to have made a statement included in the offer document are potentially criminally liable or are exposed to an action for recovery of loss or damage by investors in the event the offer document is defective.  Requiring the company to obtain written consent of these persons prior to publication is therefore a crucial step as it provides an opportunity for the person to try to amend the contents of the offer document, or not provide consent, to minimise their potential li</w:t>
      </w:r>
      <w:r w:rsidR="006E2DED">
        <w:t xml:space="preserve">ability; </w:t>
      </w:r>
    </w:p>
    <w:p w14:paraId="14958CDF" w14:textId="57BDEBA1" w:rsidR="00E61D99" w:rsidRPr="00F63766" w:rsidRDefault="00E61D99" w:rsidP="00E61D99">
      <w:pPr>
        <w:pStyle w:val="dotpoint"/>
      </w:pPr>
      <w:proofErr w:type="gramStart"/>
      <w:r w:rsidRPr="00F63766">
        <w:t>the</w:t>
      </w:r>
      <w:proofErr w:type="gramEnd"/>
      <w:r w:rsidRPr="00F63766">
        <w:t xml:space="preserve"> requirement to obtain written consent and retain the consent for seven years is clear and easy to understand, and the offence depends entirely on the action or non-action of the company which is liable for the offence. </w:t>
      </w:r>
    </w:p>
    <w:p w14:paraId="0E5144ED" w14:textId="22C30209" w:rsidR="00E61D99" w:rsidRDefault="00E61D99" w:rsidP="00724B06">
      <w:pPr>
        <w:pStyle w:val="base-text-paragraph"/>
      </w:pPr>
      <w:r w:rsidRPr="00F63766">
        <w:t xml:space="preserve">Consistent with the </w:t>
      </w:r>
      <w:r w:rsidR="006E2DED">
        <w:t>Government’s</w:t>
      </w:r>
      <w:r w:rsidRPr="00F63766">
        <w:t xml:space="preserve"> </w:t>
      </w:r>
      <w:r w:rsidRPr="003A1417">
        <w:rPr>
          <w:i/>
        </w:rPr>
        <w:t xml:space="preserve">Guide to Framing </w:t>
      </w:r>
      <w:r w:rsidR="006A5E1F" w:rsidRPr="00724B06">
        <w:t>Commonwealth Offences, Infringement Notices and Enforcement Powers</w:t>
      </w:r>
      <w:r w:rsidRPr="00724B06">
        <w:t>, the maximum penalty for the offence is below the maximum penalty amount in the Guide</w:t>
      </w:r>
      <w:r w:rsidR="00A40B54">
        <w:t xml:space="preserve"> of </w:t>
      </w:r>
      <w:r w:rsidR="00D77B3A">
        <w:t>6</w:t>
      </w:r>
      <w:r w:rsidR="00A40B54">
        <w:t xml:space="preserve">0 penalty units </w:t>
      </w:r>
      <w:r w:rsidRPr="00F63766">
        <w:t xml:space="preserve">and the penalty does not include </w:t>
      </w:r>
      <w:r w:rsidR="00C365F9">
        <w:t xml:space="preserve">a term of </w:t>
      </w:r>
      <w:r w:rsidRPr="00F63766">
        <w:t>imprisonment.</w:t>
      </w:r>
    </w:p>
    <w:p w14:paraId="62C35CF6" w14:textId="77777777" w:rsidR="00E27590" w:rsidRPr="00F63766" w:rsidRDefault="00E27590" w:rsidP="00E27590">
      <w:pPr>
        <w:pStyle w:val="Heading3"/>
      </w:pPr>
      <w:r w:rsidRPr="00F63766">
        <w:t>Timing rules related to a CSF offer</w:t>
      </w:r>
    </w:p>
    <w:p w14:paraId="7BD22454" w14:textId="77777777" w:rsidR="00E27590" w:rsidRPr="00F63766" w:rsidRDefault="00E27590" w:rsidP="00E27590">
      <w:pPr>
        <w:pStyle w:val="Heading4"/>
      </w:pPr>
      <w:r w:rsidRPr="00F63766">
        <w:t>When a CSF offer is open, closed and complete</w:t>
      </w:r>
    </w:p>
    <w:p w14:paraId="47C897FC" w14:textId="0B5B0579" w:rsidR="00E27590" w:rsidRPr="00F63766" w:rsidRDefault="00E27590" w:rsidP="00724B06">
      <w:pPr>
        <w:pStyle w:val="base-text-paragraph"/>
      </w:pPr>
      <w:r w:rsidRPr="00F63766">
        <w:t xml:space="preserve">A CSF offer is open from the time when it is first published on the platform of the responsible intermediary </w:t>
      </w:r>
      <w:r w:rsidRPr="00F63766">
        <w:rPr>
          <w:b/>
          <w:i/>
          <w:sz w:val="18"/>
        </w:rPr>
        <w:t>[Schedule 1, Part 1, item 1</w:t>
      </w:r>
      <w:r w:rsidR="000B2077" w:rsidRPr="00F63766">
        <w:rPr>
          <w:b/>
          <w:i/>
          <w:sz w:val="18"/>
        </w:rPr>
        <w:t>4</w:t>
      </w:r>
      <w:r w:rsidRPr="00F63766">
        <w:rPr>
          <w:b/>
          <w:i/>
          <w:sz w:val="18"/>
        </w:rPr>
        <w:t>, subsection </w:t>
      </w:r>
      <w:proofErr w:type="gramStart"/>
      <w:r w:rsidRPr="00F63766">
        <w:rPr>
          <w:b/>
          <w:i/>
          <w:sz w:val="18"/>
        </w:rPr>
        <w:t>738N(</w:t>
      </w:r>
      <w:proofErr w:type="gramEnd"/>
      <w:r w:rsidRPr="00F63766">
        <w:rPr>
          <w:b/>
          <w:i/>
          <w:sz w:val="18"/>
        </w:rPr>
        <w:t xml:space="preserve">2)]. </w:t>
      </w:r>
    </w:p>
    <w:p w14:paraId="757B86EB" w14:textId="77777777" w:rsidR="00E27590" w:rsidRPr="00F63766" w:rsidRDefault="00E27590" w:rsidP="00724B06">
      <w:pPr>
        <w:pStyle w:val="base-text-paragraph"/>
      </w:pPr>
      <w:r w:rsidRPr="00F63766">
        <w:t xml:space="preserve">A CSF offer can only be closed by an intermediary giving written notice on the offer platform that the offer is closed.  </w:t>
      </w:r>
    </w:p>
    <w:p w14:paraId="1EF3E68D" w14:textId="491502DE" w:rsidR="00E27590" w:rsidRPr="00F63766" w:rsidRDefault="00E27590" w:rsidP="00724B06">
      <w:pPr>
        <w:pStyle w:val="base-text-paragraph"/>
      </w:pPr>
      <w:r w:rsidRPr="00F63766">
        <w:t xml:space="preserve">An intermediary has the power to close a CSF offer at any time, </w:t>
      </w:r>
      <w:r w:rsidR="00F47A75">
        <w:t>although</w:t>
      </w:r>
      <w:r w:rsidRPr="00F63766">
        <w:t xml:space="preserve"> the hosting </w:t>
      </w:r>
      <w:r w:rsidR="00CE1218">
        <w:t>arrangement</w:t>
      </w:r>
      <w:r w:rsidR="00CE1218" w:rsidRPr="00F63766">
        <w:t xml:space="preserve"> </w:t>
      </w:r>
      <w:r w:rsidRPr="00F63766">
        <w:t xml:space="preserve">between the intermediary and the issuer </w:t>
      </w:r>
      <w:r w:rsidR="00F47A75">
        <w:t xml:space="preserve">can place limits on when the intermediary can close the offer except where the intermediary is required, under these amendments, to close an offer.  </w:t>
      </w:r>
      <w:r w:rsidRPr="00F63766">
        <w:rPr>
          <w:b/>
          <w:i/>
          <w:sz w:val="18"/>
        </w:rPr>
        <w:t>[Schedule 1, Part 1, item 1</w:t>
      </w:r>
      <w:r w:rsidR="000B2077" w:rsidRPr="00F63766">
        <w:rPr>
          <w:b/>
          <w:i/>
          <w:sz w:val="18"/>
        </w:rPr>
        <w:t>4</w:t>
      </w:r>
      <w:r w:rsidRPr="00F63766">
        <w:rPr>
          <w:b/>
          <w:i/>
          <w:sz w:val="18"/>
        </w:rPr>
        <w:t>, subsection</w:t>
      </w:r>
      <w:r w:rsidR="00F47A75">
        <w:rPr>
          <w:b/>
          <w:i/>
          <w:sz w:val="18"/>
        </w:rPr>
        <w:t>s</w:t>
      </w:r>
      <w:r w:rsidRPr="00F63766">
        <w:rPr>
          <w:b/>
          <w:i/>
          <w:sz w:val="18"/>
        </w:rPr>
        <w:t> </w:t>
      </w:r>
      <w:proofErr w:type="gramStart"/>
      <w:r w:rsidRPr="00F63766">
        <w:rPr>
          <w:b/>
          <w:i/>
          <w:sz w:val="18"/>
        </w:rPr>
        <w:t>738N(</w:t>
      </w:r>
      <w:proofErr w:type="gramEnd"/>
      <w:r w:rsidRPr="00F63766">
        <w:rPr>
          <w:b/>
          <w:i/>
          <w:sz w:val="18"/>
        </w:rPr>
        <w:t>3</w:t>
      </w:r>
      <w:r w:rsidR="00593847">
        <w:rPr>
          <w:b/>
          <w:i/>
          <w:sz w:val="18"/>
        </w:rPr>
        <w:t>)</w:t>
      </w:r>
      <w:r w:rsidR="00F47A75">
        <w:rPr>
          <w:b/>
          <w:i/>
          <w:sz w:val="18"/>
        </w:rPr>
        <w:t xml:space="preserve"> and (5</w:t>
      </w:r>
      <w:r w:rsidRPr="00F63766">
        <w:rPr>
          <w:b/>
          <w:i/>
          <w:sz w:val="18"/>
        </w:rPr>
        <w:t>)]</w:t>
      </w:r>
      <w:r w:rsidRPr="00F63766">
        <w:t xml:space="preserve">.  </w:t>
      </w:r>
    </w:p>
    <w:p w14:paraId="0DE06865" w14:textId="52DE1015" w:rsidR="00E27590" w:rsidRPr="00F63766" w:rsidRDefault="00E27590" w:rsidP="00724B06">
      <w:pPr>
        <w:pStyle w:val="base-text-paragraph"/>
      </w:pPr>
      <w:r w:rsidRPr="00F63766">
        <w:t xml:space="preserve">When an intermediary gives notice on the platform that an offer is closed, the offer will be closed from the time when notice is first given </w:t>
      </w:r>
      <w:r w:rsidRPr="00F63766">
        <w:rPr>
          <w:b/>
          <w:i/>
          <w:sz w:val="18"/>
        </w:rPr>
        <w:t>[Schedule 1, Part 1, item 1</w:t>
      </w:r>
      <w:r w:rsidR="000B2077" w:rsidRPr="00F63766">
        <w:rPr>
          <w:b/>
          <w:i/>
          <w:sz w:val="18"/>
        </w:rPr>
        <w:t>4</w:t>
      </w:r>
      <w:r w:rsidRPr="00F63766">
        <w:rPr>
          <w:b/>
          <w:i/>
          <w:sz w:val="18"/>
        </w:rPr>
        <w:t>, subsection </w:t>
      </w:r>
      <w:proofErr w:type="gramStart"/>
      <w:r w:rsidRPr="00F63766">
        <w:rPr>
          <w:b/>
          <w:i/>
          <w:sz w:val="18"/>
        </w:rPr>
        <w:t>738</w:t>
      </w:r>
      <w:r w:rsidR="000B2077" w:rsidRPr="00F63766">
        <w:rPr>
          <w:b/>
          <w:i/>
          <w:sz w:val="18"/>
        </w:rPr>
        <w:t>N</w:t>
      </w:r>
      <w:r w:rsidRPr="00F63766">
        <w:rPr>
          <w:b/>
          <w:i/>
          <w:sz w:val="18"/>
        </w:rPr>
        <w:t>(</w:t>
      </w:r>
      <w:proofErr w:type="gramEnd"/>
      <w:r w:rsidRPr="00F63766">
        <w:rPr>
          <w:b/>
          <w:i/>
          <w:sz w:val="18"/>
        </w:rPr>
        <w:t>3)]</w:t>
      </w:r>
      <w:r w:rsidRPr="00F63766">
        <w:t xml:space="preserve">.  It is not necessary for the notice to continue to appear on the platform for the offer to be closed.  </w:t>
      </w:r>
    </w:p>
    <w:p w14:paraId="4354A21B" w14:textId="77777777" w:rsidR="00E27590" w:rsidRPr="00F63766" w:rsidRDefault="00E27590" w:rsidP="00E27590">
      <w:pPr>
        <w:pStyle w:val="Heading4"/>
      </w:pPr>
      <w:r w:rsidRPr="00F63766">
        <w:t>When an intermediary must close an offer</w:t>
      </w:r>
    </w:p>
    <w:p w14:paraId="20DBD095" w14:textId="461BC801" w:rsidR="00E27590" w:rsidRPr="00F63766" w:rsidRDefault="0065503F" w:rsidP="00724B06">
      <w:pPr>
        <w:pStyle w:val="base-text-paragraph"/>
      </w:pPr>
      <w:r>
        <w:t xml:space="preserve">The Bill sets out </w:t>
      </w:r>
      <w:r w:rsidR="00CA11BD">
        <w:t>five</w:t>
      </w:r>
      <w:r>
        <w:t xml:space="preserve"> circumstances, discussed in detail below</w:t>
      </w:r>
      <w:r w:rsidR="009C7937">
        <w:t>,</w:t>
      </w:r>
      <w:r>
        <w:t xml:space="preserve"> where an intermediary must close a CSF offer</w:t>
      </w:r>
      <w:r w:rsidR="009C7937">
        <w:t xml:space="preserve"> (</w:t>
      </w:r>
      <w:r w:rsidR="009C7937" w:rsidRPr="008D4C64">
        <w:t>paragraphs 4.37 to 4.48</w:t>
      </w:r>
      <w:r w:rsidR="009C7937">
        <w:t>)</w:t>
      </w:r>
      <w:r>
        <w:t xml:space="preserve">.  </w:t>
      </w:r>
      <w:r w:rsidR="009C7937">
        <w:t xml:space="preserve">Where an intermediary fails to close the offer as required, the intermediary will commit </w:t>
      </w:r>
      <w:r>
        <w:t>an offence, punishable by</w:t>
      </w:r>
      <w:r w:rsidR="00916064">
        <w:t xml:space="preserve"> a maximum penalty of</w:t>
      </w:r>
      <w:r>
        <w:t xml:space="preserve"> 30 penalty units, </w:t>
      </w:r>
      <w:r w:rsidR="009F55CD">
        <w:t>six</w:t>
      </w:r>
      <w:r>
        <w:t xml:space="preserve"> months imprisonment, or both</w:t>
      </w:r>
      <w:r w:rsidR="009F55CD">
        <w:t xml:space="preserve"> </w:t>
      </w:r>
      <w:r w:rsidR="009F55CD" w:rsidRPr="00F63766">
        <w:rPr>
          <w:b/>
          <w:i/>
          <w:sz w:val="18"/>
        </w:rPr>
        <w:t xml:space="preserve">[Schedule 1, Part 1, item </w:t>
      </w:r>
      <w:r w:rsidR="009F55CD">
        <w:rPr>
          <w:b/>
          <w:i/>
          <w:sz w:val="18"/>
        </w:rPr>
        <w:t>34</w:t>
      </w:r>
      <w:r w:rsidR="009F55CD" w:rsidRPr="00F63766">
        <w:rPr>
          <w:b/>
          <w:i/>
          <w:sz w:val="18"/>
        </w:rPr>
        <w:t xml:space="preserve">, </w:t>
      </w:r>
      <w:r w:rsidR="009F55CD">
        <w:rPr>
          <w:b/>
          <w:i/>
          <w:sz w:val="18"/>
        </w:rPr>
        <w:t>item 245C in the table to Schedule 3</w:t>
      </w:r>
      <w:r w:rsidR="009F55CD" w:rsidRPr="00F63766">
        <w:rPr>
          <w:b/>
          <w:i/>
          <w:sz w:val="18"/>
        </w:rPr>
        <w:t>]</w:t>
      </w:r>
      <w:r w:rsidR="009F55CD" w:rsidRPr="00F63766">
        <w:t xml:space="preserve">. </w:t>
      </w:r>
      <w:r w:rsidR="005C46A7">
        <w:t xml:space="preserve">The offer must be closed at the </w:t>
      </w:r>
      <w:r w:rsidR="00E27590" w:rsidRPr="00F63766">
        <w:t>earliest of the following times:</w:t>
      </w:r>
    </w:p>
    <w:p w14:paraId="2BDDB7C0" w14:textId="77777777" w:rsidR="00E27590" w:rsidRPr="00F63766" w:rsidRDefault="00E27590" w:rsidP="00E27590">
      <w:pPr>
        <w:pStyle w:val="dotpoint"/>
      </w:pPr>
      <w:r w:rsidRPr="00F63766">
        <w:t xml:space="preserve">three months after the CSF offer is made; </w:t>
      </w:r>
    </w:p>
    <w:p w14:paraId="73DF0F7F" w14:textId="77777777" w:rsidR="00E27590" w:rsidRPr="00F63766" w:rsidRDefault="00E27590" w:rsidP="00E27590">
      <w:pPr>
        <w:pStyle w:val="dotpoint"/>
      </w:pPr>
      <w:r w:rsidRPr="00F63766">
        <w:t xml:space="preserve">if the offer document states a date by which the offer will close, that date; </w:t>
      </w:r>
    </w:p>
    <w:p w14:paraId="4F6277AB" w14:textId="03B76266" w:rsidR="00E27590" w:rsidRPr="00F63766" w:rsidRDefault="00E27590" w:rsidP="00E27590">
      <w:pPr>
        <w:pStyle w:val="dotpoint"/>
      </w:pPr>
      <w:r w:rsidRPr="00F63766">
        <w:t xml:space="preserve">when the intermediary considers the offer to be fully subscribed; </w:t>
      </w:r>
    </w:p>
    <w:p w14:paraId="0F95B09E" w14:textId="453DF13E" w:rsidR="00E27590" w:rsidRPr="00F63766" w:rsidRDefault="00E27590" w:rsidP="00E27590">
      <w:pPr>
        <w:pStyle w:val="dotpoint"/>
      </w:pPr>
      <w:r w:rsidRPr="00F63766">
        <w:t>when the company withdraws the offer; or</w:t>
      </w:r>
    </w:p>
    <w:p w14:paraId="7CA55A89" w14:textId="05708897" w:rsidR="00E27590" w:rsidRPr="00F63766" w:rsidRDefault="00E27590" w:rsidP="00E27590">
      <w:pPr>
        <w:pStyle w:val="dotpoint"/>
      </w:pPr>
      <w:proofErr w:type="gramStart"/>
      <w:r w:rsidRPr="00F63766">
        <w:t>when</w:t>
      </w:r>
      <w:proofErr w:type="gramEnd"/>
      <w:r w:rsidRPr="00F63766">
        <w:t xml:space="preserve"> the company’s ‘gatekeeper’ obligations </w:t>
      </w:r>
      <w:r w:rsidR="005F6575">
        <w:t xml:space="preserve">require the </w:t>
      </w:r>
      <w:r w:rsidRPr="00F63766">
        <w:t>intermediary</w:t>
      </w:r>
      <w:r w:rsidR="00CB1FC4">
        <w:t xml:space="preserve"> to</w:t>
      </w:r>
      <w:r w:rsidRPr="00F63766">
        <w:t xml:space="preserve"> remove the offer document from </w:t>
      </w:r>
      <w:r w:rsidR="00AC52B2">
        <w:t>its</w:t>
      </w:r>
      <w:r w:rsidR="00400391">
        <w:t xml:space="preserve"> </w:t>
      </w:r>
      <w:r w:rsidRPr="00F63766">
        <w:t xml:space="preserve">platform. </w:t>
      </w:r>
    </w:p>
    <w:p w14:paraId="6E8F425C" w14:textId="77777777" w:rsidR="00E27590" w:rsidRPr="00F63766" w:rsidRDefault="00E27590" w:rsidP="00E27590">
      <w:pPr>
        <w:pStyle w:val="Heading4"/>
      </w:pPr>
      <w:r w:rsidRPr="00F63766">
        <w:t>Offer must be closed after three months</w:t>
      </w:r>
    </w:p>
    <w:p w14:paraId="08F1C8B9" w14:textId="32D4A189" w:rsidR="00E27590" w:rsidRPr="00F63766" w:rsidRDefault="00E27590" w:rsidP="00724B06">
      <w:pPr>
        <w:pStyle w:val="base-text-paragraph"/>
      </w:pPr>
      <w:r w:rsidRPr="00F63766">
        <w:t>A CSF offer can be open for a maximum of three months</w:t>
      </w:r>
      <w:r w:rsidR="00146E25">
        <w:t xml:space="preserve"> </w:t>
      </w:r>
      <w:r w:rsidR="00146E25" w:rsidRPr="00F63766">
        <w:rPr>
          <w:b/>
          <w:i/>
          <w:sz w:val="18"/>
        </w:rPr>
        <w:t xml:space="preserve">[Schedule 1, Part 1, item 14, </w:t>
      </w:r>
      <w:r w:rsidR="00146E25">
        <w:rPr>
          <w:b/>
          <w:i/>
          <w:sz w:val="18"/>
        </w:rPr>
        <w:t>paragraph</w:t>
      </w:r>
      <w:r w:rsidR="00146E25" w:rsidRPr="00F63766">
        <w:rPr>
          <w:b/>
          <w:i/>
          <w:sz w:val="18"/>
        </w:rPr>
        <w:t> </w:t>
      </w:r>
      <w:proofErr w:type="gramStart"/>
      <w:r w:rsidR="00146E25" w:rsidRPr="00F63766">
        <w:rPr>
          <w:b/>
          <w:i/>
          <w:sz w:val="18"/>
        </w:rPr>
        <w:t>738N(</w:t>
      </w:r>
      <w:proofErr w:type="gramEnd"/>
      <w:r w:rsidR="00146E25">
        <w:rPr>
          <w:b/>
          <w:i/>
          <w:sz w:val="18"/>
        </w:rPr>
        <w:t>4</w:t>
      </w:r>
      <w:r w:rsidR="00146E25" w:rsidRPr="00F63766">
        <w:rPr>
          <w:b/>
          <w:i/>
          <w:sz w:val="18"/>
        </w:rPr>
        <w:t>)</w:t>
      </w:r>
      <w:r w:rsidR="00146E25">
        <w:rPr>
          <w:b/>
          <w:i/>
          <w:sz w:val="18"/>
        </w:rPr>
        <w:t>(a)</w:t>
      </w:r>
      <w:r w:rsidR="00146E25" w:rsidRPr="00F63766">
        <w:rPr>
          <w:b/>
          <w:i/>
          <w:sz w:val="18"/>
        </w:rPr>
        <w:t>]</w:t>
      </w:r>
      <w:r w:rsidRPr="00F63766">
        <w:t xml:space="preserve">.  </w:t>
      </w:r>
      <w:r w:rsidR="00CC5D81" w:rsidRPr="00F63766">
        <w:t xml:space="preserve">It is appropriate that there be a capped maximum offer period to ensure </w:t>
      </w:r>
      <w:r w:rsidRPr="00F63766">
        <w:t xml:space="preserve">information contained in the CSF offer document </w:t>
      </w:r>
      <w:r w:rsidR="001660D4" w:rsidRPr="00F63766">
        <w:t>(which is</w:t>
      </w:r>
      <w:r w:rsidR="005C37D5">
        <w:t xml:space="preserve"> a </w:t>
      </w:r>
      <w:r w:rsidR="001660D4" w:rsidRPr="00F63766">
        <w:t>limited</w:t>
      </w:r>
      <w:r w:rsidR="005C37D5">
        <w:t xml:space="preserve"> disclosure document</w:t>
      </w:r>
      <w:r w:rsidR="001660D4" w:rsidRPr="00F63766">
        <w:t xml:space="preserve">) </w:t>
      </w:r>
      <w:r w:rsidRPr="00F63766">
        <w:t xml:space="preserve">remains current. </w:t>
      </w:r>
      <w:r w:rsidR="004422C0">
        <w:t xml:space="preserve"> A three month time limit is also consistent with </w:t>
      </w:r>
      <w:r w:rsidR="008D5784">
        <w:t>the notion of CSF as a simpler, faster way of raising funds with streamlined disclosure</w:t>
      </w:r>
      <w:r w:rsidR="00056B05">
        <w:t xml:space="preserve">. </w:t>
      </w:r>
    </w:p>
    <w:p w14:paraId="3EAE1A14" w14:textId="6B4C316E" w:rsidR="00E27590" w:rsidRPr="00F63766" w:rsidRDefault="007A02BB" w:rsidP="00724B06">
      <w:pPr>
        <w:pStyle w:val="base-text-paragraph"/>
      </w:pPr>
      <w:r>
        <w:t>The t</w:t>
      </w:r>
      <w:r w:rsidR="00E27590" w:rsidRPr="00F63766">
        <w:t>hree month time limit cannot be extended for any reason</w:t>
      </w:r>
      <w:r w:rsidR="005009DF" w:rsidRPr="00F63766">
        <w:t>.</w:t>
      </w:r>
      <w:r w:rsidR="00E27590" w:rsidRPr="00F63766">
        <w:t xml:space="preserve">  This means, for example, if the company </w:t>
      </w:r>
      <w:r w:rsidR="00D77B3A">
        <w:t>became aware</w:t>
      </w:r>
      <w:r w:rsidR="00E27590" w:rsidRPr="00F63766">
        <w:t xml:space="preserve"> that the offer document was defective two months </w:t>
      </w:r>
      <w:r w:rsidR="00A03937">
        <w:t xml:space="preserve">into the offer period, </w:t>
      </w:r>
      <w:r w:rsidR="00E27590" w:rsidRPr="00F63766">
        <w:t>the intermediary would still be required to close the offer at</w:t>
      </w:r>
      <w:r w:rsidR="00083B84" w:rsidRPr="00F63766">
        <w:t xml:space="preserve"> the end of</w:t>
      </w:r>
      <w:r w:rsidR="00A03937">
        <w:t xml:space="preserve"> three months</w:t>
      </w:r>
      <w:r w:rsidR="009776F7">
        <w:t xml:space="preserve"> after the CSF offer was initially made</w:t>
      </w:r>
      <w:r w:rsidR="00A03937">
        <w:t xml:space="preserve">, even if the company prepared a supplementary or replacement offer document.  </w:t>
      </w:r>
      <w:r w:rsidR="00152A3B">
        <w:t xml:space="preserve">The company would not be precluded, however, from making a new CSF offer.  </w:t>
      </w:r>
    </w:p>
    <w:p w14:paraId="39E06136" w14:textId="77777777" w:rsidR="00982F42" w:rsidRDefault="00982F42">
      <w:pPr>
        <w:spacing w:before="0" w:after="0"/>
      </w:pPr>
      <w:r>
        <w:br w:type="page"/>
      </w:r>
    </w:p>
    <w:p w14:paraId="382B45EF" w14:textId="005F9C9F" w:rsidR="00E27590" w:rsidRPr="00F63766" w:rsidRDefault="005C5F75" w:rsidP="00724B06">
      <w:pPr>
        <w:pStyle w:val="base-text-paragraph"/>
      </w:pPr>
      <w:r>
        <w:t>Assuming the CSF offer is closed at three months, the intermediary must determine</w:t>
      </w:r>
      <w:r w:rsidR="000034D9">
        <w:t>, after the expiry of all withdrawal rights,</w:t>
      </w:r>
      <w:r>
        <w:t xml:space="preserve"> whether</w:t>
      </w:r>
      <w:r w:rsidR="00E27590" w:rsidRPr="00F63766">
        <w:t>:</w:t>
      </w:r>
    </w:p>
    <w:p w14:paraId="6F26C567" w14:textId="7E2337CA" w:rsidR="00E27590" w:rsidRPr="00F63766" w:rsidRDefault="00E27590" w:rsidP="00E27590">
      <w:pPr>
        <w:pStyle w:val="dotpoint"/>
      </w:pPr>
      <w:proofErr w:type="gramStart"/>
      <w:r w:rsidRPr="00F63766">
        <w:t>the</w:t>
      </w:r>
      <w:proofErr w:type="gramEnd"/>
      <w:r w:rsidRPr="00F63766">
        <w:t xml:space="preserve"> offer is ‘complete’: </w:t>
      </w:r>
      <w:r w:rsidR="00E513D0">
        <w:t xml:space="preserve">that is, </w:t>
      </w:r>
      <w:r w:rsidRPr="00F63766">
        <w:t xml:space="preserve">the minimum subscription condition is met </w:t>
      </w:r>
      <w:r w:rsidR="009D7D61">
        <w:t>disregarding withdrawn applications.</w:t>
      </w:r>
      <w:r w:rsidRPr="00F63766">
        <w:t xml:space="preserve"> </w:t>
      </w:r>
      <w:r w:rsidR="009D7D61">
        <w:t>T</w:t>
      </w:r>
      <w:r w:rsidRPr="00F63766">
        <w:t xml:space="preserve">he intermediary </w:t>
      </w:r>
      <w:r w:rsidR="009D7D61">
        <w:t>will be</w:t>
      </w:r>
      <w:r w:rsidRPr="00F63766">
        <w:t xml:space="preserve"> required to pay application mon</w:t>
      </w:r>
      <w:r w:rsidR="004E7855">
        <w:t>ey</w:t>
      </w:r>
      <w:r w:rsidRPr="00F63766">
        <w:t xml:space="preserve"> to the issuer </w:t>
      </w:r>
      <w:r w:rsidR="004E7855">
        <w:t>following the</w:t>
      </w:r>
      <w:r w:rsidRPr="00F63766">
        <w:t xml:space="preserve"> issu</w:t>
      </w:r>
      <w:r w:rsidR="004E7855">
        <w:t>e</w:t>
      </w:r>
      <w:r w:rsidRPr="00F63766">
        <w:t xml:space="preserve"> </w:t>
      </w:r>
      <w:r w:rsidR="007E668D">
        <w:t>of</w:t>
      </w:r>
      <w:r w:rsidRPr="00F63766">
        <w:t xml:space="preserve"> the </w:t>
      </w:r>
      <w:r w:rsidR="009D7D61">
        <w:t>securities</w:t>
      </w:r>
      <w:r w:rsidR="004E7855">
        <w:t xml:space="preserve"> </w:t>
      </w:r>
      <w:r w:rsidR="004E7855" w:rsidRPr="00F63766">
        <w:rPr>
          <w:b/>
          <w:i/>
          <w:sz w:val="18"/>
        </w:rPr>
        <w:t xml:space="preserve">[Schedule 1, Part 1, </w:t>
      </w:r>
      <w:r w:rsidR="00632B57">
        <w:rPr>
          <w:b/>
          <w:i/>
          <w:sz w:val="18"/>
        </w:rPr>
        <w:t>item </w:t>
      </w:r>
      <w:r w:rsidR="004E7855">
        <w:rPr>
          <w:b/>
          <w:i/>
          <w:sz w:val="18"/>
        </w:rPr>
        <w:t>14</w:t>
      </w:r>
      <w:r w:rsidR="004E7855" w:rsidRPr="00F63766">
        <w:rPr>
          <w:b/>
          <w:i/>
          <w:sz w:val="18"/>
        </w:rPr>
        <w:t>, subsection 738N (7) and subsection 738ZB(2)]</w:t>
      </w:r>
      <w:r w:rsidRPr="00F63766">
        <w:t xml:space="preserve">; or </w:t>
      </w:r>
    </w:p>
    <w:p w14:paraId="3D6FE99E" w14:textId="61D5804A" w:rsidR="00E27590" w:rsidRPr="00F63766" w:rsidRDefault="00E27590" w:rsidP="00E27590">
      <w:pPr>
        <w:pStyle w:val="dotpoint"/>
      </w:pPr>
      <w:proofErr w:type="gramStart"/>
      <w:r w:rsidRPr="00F63766">
        <w:t>the</w:t>
      </w:r>
      <w:proofErr w:type="gramEnd"/>
      <w:r w:rsidRPr="00F63766">
        <w:t xml:space="preserve"> offer is unsuccessful as the minimum subscription </w:t>
      </w:r>
      <w:r w:rsidR="00B82A27">
        <w:t xml:space="preserve">amount </w:t>
      </w:r>
      <w:r w:rsidRPr="00F63766">
        <w:t>was not raised</w:t>
      </w:r>
      <w:r w:rsidR="005D3766">
        <w:t xml:space="preserve">.  This means the </w:t>
      </w:r>
      <w:r w:rsidRPr="00F63766">
        <w:t xml:space="preserve">intermediary </w:t>
      </w:r>
      <w:r w:rsidR="005D3766">
        <w:t>must</w:t>
      </w:r>
      <w:r w:rsidRPr="00F63766">
        <w:t xml:space="preserve"> refund application mon</w:t>
      </w:r>
      <w:r w:rsidR="005D3766">
        <w:t>ey to applicants</w:t>
      </w:r>
      <w:r w:rsidRPr="00F63766">
        <w:t xml:space="preserve"> </w:t>
      </w:r>
      <w:r w:rsidRPr="00F63766">
        <w:rPr>
          <w:b/>
          <w:i/>
          <w:sz w:val="18"/>
        </w:rPr>
        <w:t xml:space="preserve">[Schedule 1, Part 1, </w:t>
      </w:r>
      <w:r w:rsidR="00632B57">
        <w:rPr>
          <w:b/>
          <w:i/>
          <w:sz w:val="18"/>
        </w:rPr>
        <w:t>item </w:t>
      </w:r>
      <w:r w:rsidR="004C3043">
        <w:rPr>
          <w:b/>
          <w:i/>
          <w:sz w:val="18"/>
        </w:rPr>
        <w:t>14</w:t>
      </w:r>
      <w:r w:rsidRPr="00F63766">
        <w:rPr>
          <w:b/>
          <w:i/>
          <w:sz w:val="18"/>
        </w:rPr>
        <w:t>, subsection 738ZB(3)]</w:t>
      </w:r>
    </w:p>
    <w:p w14:paraId="09622D24" w14:textId="106BD28F" w:rsidR="00E27590" w:rsidRPr="00F63766" w:rsidRDefault="00E27590" w:rsidP="00724B06">
      <w:pPr>
        <w:pStyle w:val="base-text-paragraph"/>
      </w:pPr>
      <w:r w:rsidRPr="00F63766">
        <w:t>An intermediary that closes the offer because the three month time limit is reached may, but is not required to, remove the offer document from its platform</w:t>
      </w:r>
      <w:r w:rsidR="00A26B34">
        <w:t xml:space="preserve"> </w:t>
      </w:r>
      <w:r w:rsidR="00A26B34" w:rsidRPr="00F63766">
        <w:rPr>
          <w:b/>
          <w:i/>
          <w:sz w:val="18"/>
        </w:rPr>
        <w:t xml:space="preserve">[Schedule 1, Part 1, </w:t>
      </w:r>
      <w:r w:rsidR="00A26B34">
        <w:rPr>
          <w:b/>
          <w:i/>
          <w:sz w:val="18"/>
        </w:rPr>
        <w:t>item 14</w:t>
      </w:r>
      <w:r w:rsidR="00A26B34" w:rsidRPr="00F63766">
        <w:rPr>
          <w:b/>
          <w:i/>
          <w:sz w:val="18"/>
        </w:rPr>
        <w:t>, subsection 738P(</w:t>
      </w:r>
      <w:r w:rsidR="008B7D21">
        <w:rPr>
          <w:b/>
          <w:i/>
          <w:sz w:val="18"/>
        </w:rPr>
        <w:t>2</w:t>
      </w:r>
      <w:r w:rsidR="00A26B34" w:rsidRPr="00F63766">
        <w:rPr>
          <w:b/>
          <w:i/>
          <w:sz w:val="18"/>
        </w:rPr>
        <w:t>)]</w:t>
      </w:r>
      <w:r w:rsidRPr="00F63766">
        <w:t>.</w:t>
      </w:r>
      <w:r w:rsidR="00083B84" w:rsidRPr="00F63766">
        <w:t xml:space="preserve"> The intermediary will</w:t>
      </w:r>
      <w:r w:rsidR="00A26B34">
        <w:t>,</w:t>
      </w:r>
      <w:r w:rsidR="00083B84" w:rsidRPr="00F63766">
        <w:t xml:space="preserve"> therefore</w:t>
      </w:r>
      <w:r w:rsidR="00A26B34">
        <w:t>,</w:t>
      </w:r>
      <w:r w:rsidR="00083B84" w:rsidRPr="00F63766">
        <w:t xml:space="preserve"> have the option of maintain</w:t>
      </w:r>
      <w:r w:rsidR="004D7195">
        <w:t>ing</w:t>
      </w:r>
      <w:r w:rsidR="00083B84" w:rsidRPr="00F63766">
        <w:t xml:space="preserve"> the offer document on the platform after the offer </w:t>
      </w:r>
      <w:r w:rsidR="009D7D61">
        <w:t xml:space="preserve">is </w:t>
      </w:r>
      <w:r w:rsidR="00083B84" w:rsidRPr="00F63766">
        <w:t>closed as an archive of the p</w:t>
      </w:r>
      <w:r w:rsidR="004D7195">
        <w:t>r</w:t>
      </w:r>
      <w:r w:rsidR="00083B84" w:rsidRPr="00F63766">
        <w:t>evious offers it has hosted.</w:t>
      </w:r>
      <w:r w:rsidRPr="00F63766">
        <w:t xml:space="preserve"> </w:t>
      </w:r>
    </w:p>
    <w:p w14:paraId="166A7048" w14:textId="7F61B472" w:rsidR="00E27590" w:rsidRPr="00F63766" w:rsidRDefault="00E27590" w:rsidP="00E27590">
      <w:pPr>
        <w:pStyle w:val="Heading4"/>
      </w:pPr>
      <w:r w:rsidRPr="00F63766">
        <w:t>Offer must be closed by the date specified in the offer document</w:t>
      </w:r>
    </w:p>
    <w:p w14:paraId="77C716B6" w14:textId="6BDE86E6" w:rsidR="00773B4C" w:rsidRDefault="00A26B34" w:rsidP="00724B06">
      <w:pPr>
        <w:pStyle w:val="base-text-paragraph"/>
      </w:pPr>
      <w:r>
        <w:t>The</w:t>
      </w:r>
      <w:r w:rsidR="00E27590" w:rsidRPr="00F63766">
        <w:t xml:space="preserve"> issuer</w:t>
      </w:r>
      <w:r w:rsidR="000B2170">
        <w:t xml:space="preserve"> company</w:t>
      </w:r>
      <w:r w:rsidR="00E27590" w:rsidRPr="00F63766">
        <w:t xml:space="preserve"> is not required to specify an offer close date in the offer document.  However, if </w:t>
      </w:r>
      <w:r w:rsidR="00773B4C">
        <w:t>the</w:t>
      </w:r>
      <w:r w:rsidR="00E27590" w:rsidRPr="00F63766">
        <w:t xml:space="preserve"> issuer does specify a date (or period) by which the offer will close, the intermediary must close the offer at that time (or upon expiry of that period) </w:t>
      </w:r>
      <w:r w:rsidR="00E27590" w:rsidRPr="00F63766">
        <w:rPr>
          <w:b/>
          <w:i/>
          <w:sz w:val="18"/>
        </w:rPr>
        <w:t xml:space="preserve">[Schedule 1, Part 1, </w:t>
      </w:r>
      <w:r w:rsidR="004C3043">
        <w:rPr>
          <w:b/>
          <w:i/>
          <w:sz w:val="18"/>
        </w:rPr>
        <w:t>item 14</w:t>
      </w:r>
      <w:r w:rsidR="00E27590" w:rsidRPr="00F63766">
        <w:rPr>
          <w:b/>
          <w:i/>
          <w:sz w:val="18"/>
        </w:rPr>
        <w:t>, paragraph </w:t>
      </w:r>
      <w:proofErr w:type="gramStart"/>
      <w:r w:rsidR="00E27590" w:rsidRPr="00F63766">
        <w:rPr>
          <w:b/>
          <w:i/>
          <w:sz w:val="18"/>
        </w:rPr>
        <w:t>738N(</w:t>
      </w:r>
      <w:proofErr w:type="gramEnd"/>
      <w:r w:rsidR="00E27590" w:rsidRPr="00F63766">
        <w:rPr>
          <w:b/>
          <w:i/>
          <w:sz w:val="18"/>
        </w:rPr>
        <w:t>4</w:t>
      </w:r>
      <w:r w:rsidR="008F3CD2">
        <w:rPr>
          <w:b/>
          <w:i/>
          <w:sz w:val="18"/>
        </w:rPr>
        <w:t>)(</w:t>
      </w:r>
      <w:r w:rsidR="00E27590" w:rsidRPr="00F63766">
        <w:rPr>
          <w:b/>
          <w:i/>
          <w:sz w:val="18"/>
        </w:rPr>
        <w:t>b)]</w:t>
      </w:r>
      <w:r w:rsidR="00E27590" w:rsidRPr="00F63766">
        <w:t xml:space="preserve">.  </w:t>
      </w:r>
    </w:p>
    <w:p w14:paraId="0C624876" w14:textId="7851EC8D" w:rsidR="00E27590" w:rsidRPr="00F63766" w:rsidRDefault="00E27590" w:rsidP="00724B06">
      <w:pPr>
        <w:pStyle w:val="base-text-paragraph"/>
      </w:pPr>
      <w:r w:rsidRPr="00F63766">
        <w:t xml:space="preserve">Neither the intermediary nor the issuer are able to extend the closing date beyond what was specified in the offer document, including if the offer document was found to be </w:t>
      </w:r>
      <w:r w:rsidR="009D7D61">
        <w:t>defective</w:t>
      </w:r>
      <w:r w:rsidRPr="00F63766">
        <w:t xml:space="preserve"> and the issuer prepare</w:t>
      </w:r>
      <w:r w:rsidR="009D7D61">
        <w:t>d</w:t>
      </w:r>
      <w:r w:rsidRPr="00F63766">
        <w:t xml:space="preserve"> a replacement or supplementary offer document. </w:t>
      </w:r>
    </w:p>
    <w:p w14:paraId="54140199" w14:textId="60CF8E3D" w:rsidR="00773B4C" w:rsidRDefault="00E27590" w:rsidP="00724B06">
      <w:pPr>
        <w:pStyle w:val="base-text-paragraph"/>
      </w:pPr>
      <w:r w:rsidRPr="00F63766">
        <w:t xml:space="preserve">An intermediary that closes the offer because the offer closure date specified in the offer document is reached </w:t>
      </w:r>
      <w:proofErr w:type="gramStart"/>
      <w:r w:rsidRPr="00F63766">
        <w:t>may</w:t>
      </w:r>
      <w:proofErr w:type="gramEnd"/>
      <w:r w:rsidRPr="00F63766">
        <w:t>, but is not required to, remove the offer document from its platform</w:t>
      </w:r>
      <w:r w:rsidR="00942564">
        <w:t>.</w:t>
      </w:r>
      <w:r w:rsidR="00F819F1">
        <w:t xml:space="preserve"> </w:t>
      </w:r>
      <w:r w:rsidR="00F819F1" w:rsidRPr="00F63766">
        <w:rPr>
          <w:b/>
          <w:i/>
          <w:sz w:val="18"/>
        </w:rPr>
        <w:t xml:space="preserve">[Schedule 1, Part 1, </w:t>
      </w:r>
      <w:r w:rsidR="00F819F1">
        <w:rPr>
          <w:b/>
          <w:i/>
          <w:sz w:val="18"/>
        </w:rPr>
        <w:t>item 14</w:t>
      </w:r>
      <w:r w:rsidR="00F819F1" w:rsidRPr="00F63766">
        <w:rPr>
          <w:b/>
          <w:i/>
          <w:sz w:val="18"/>
        </w:rPr>
        <w:t>, subsection 738P(</w:t>
      </w:r>
      <w:r w:rsidR="008B7D21">
        <w:rPr>
          <w:b/>
          <w:i/>
          <w:sz w:val="18"/>
        </w:rPr>
        <w:t>2</w:t>
      </w:r>
      <w:r w:rsidR="00F819F1" w:rsidRPr="00F63766">
        <w:rPr>
          <w:b/>
          <w:i/>
          <w:sz w:val="18"/>
        </w:rPr>
        <w:t>)]</w:t>
      </w:r>
    </w:p>
    <w:p w14:paraId="4E805326" w14:textId="77777777" w:rsidR="00982F42" w:rsidRDefault="00982F42">
      <w:pPr>
        <w:spacing w:before="0" w:after="0"/>
        <w:rPr>
          <w:b/>
          <w:i/>
        </w:rPr>
      </w:pPr>
      <w:r>
        <w:br w:type="page"/>
      </w:r>
    </w:p>
    <w:p w14:paraId="02A5ED0A" w14:textId="16BE4269" w:rsidR="00D27960" w:rsidRPr="00F63766" w:rsidRDefault="00D27960" w:rsidP="00D27960">
      <w:pPr>
        <w:pStyle w:val="Heading4"/>
      </w:pPr>
      <w:r w:rsidRPr="00F63766">
        <w:t xml:space="preserve">Offer must be closed </w:t>
      </w:r>
      <w:r>
        <w:t>when intermediary considers the offer fully subscribed</w:t>
      </w:r>
    </w:p>
    <w:p w14:paraId="18FCD85B" w14:textId="27FAF7F1" w:rsidR="00E27590" w:rsidRPr="00F63766" w:rsidRDefault="00E27590" w:rsidP="00724B06">
      <w:pPr>
        <w:pStyle w:val="base-text-paragraph"/>
      </w:pPr>
      <w:r w:rsidRPr="00F63766">
        <w:t xml:space="preserve">An intermediary has the power to close an offer when it considers the offer to be fully subscribed to the maximum subscription amount </w:t>
      </w:r>
      <w:r w:rsidRPr="00F63766">
        <w:rPr>
          <w:b/>
          <w:i/>
          <w:sz w:val="18"/>
        </w:rPr>
        <w:t xml:space="preserve">[Schedule 1, Part 1, </w:t>
      </w:r>
      <w:r w:rsidR="004C3043">
        <w:rPr>
          <w:b/>
          <w:i/>
          <w:sz w:val="18"/>
        </w:rPr>
        <w:t>item 14</w:t>
      </w:r>
      <w:r w:rsidRPr="00F63766">
        <w:rPr>
          <w:b/>
          <w:i/>
          <w:sz w:val="18"/>
        </w:rPr>
        <w:t>,</w:t>
      </w:r>
      <w:r w:rsidR="00B16216">
        <w:rPr>
          <w:b/>
          <w:i/>
          <w:sz w:val="18"/>
        </w:rPr>
        <w:t xml:space="preserve"> </w:t>
      </w:r>
      <w:r w:rsidR="00005978">
        <w:rPr>
          <w:b/>
          <w:i/>
          <w:sz w:val="18"/>
        </w:rPr>
        <w:t>subsection 738L(7) and</w:t>
      </w:r>
      <w:r w:rsidRPr="00F63766">
        <w:rPr>
          <w:b/>
          <w:i/>
          <w:sz w:val="18"/>
        </w:rPr>
        <w:t xml:space="preserve"> paragraph 738N(4</w:t>
      </w:r>
      <w:r w:rsidR="00D56D82">
        <w:rPr>
          <w:b/>
          <w:i/>
          <w:sz w:val="18"/>
        </w:rPr>
        <w:t>)(</w:t>
      </w:r>
      <w:r w:rsidRPr="00F63766">
        <w:rPr>
          <w:b/>
          <w:i/>
          <w:sz w:val="18"/>
        </w:rPr>
        <w:t xml:space="preserve">c)]. </w:t>
      </w:r>
      <w:r w:rsidRPr="00F63766">
        <w:t xml:space="preserve">This is consistent with the policy intent that an issuer not be able to </w:t>
      </w:r>
      <w:proofErr w:type="gramStart"/>
      <w:r w:rsidRPr="00F63766">
        <w:t>raise</w:t>
      </w:r>
      <w:proofErr w:type="gramEnd"/>
      <w:r w:rsidRPr="00F63766">
        <w:t xml:space="preserve"> more than the maximum subscription amount specified in the offer document as </w:t>
      </w:r>
      <w:r w:rsidR="0083291C">
        <w:t>disclosures r</w:t>
      </w:r>
      <w:r w:rsidRPr="00F63766">
        <w:t xml:space="preserve">egarding the purpose to which funds would be put would </w:t>
      </w:r>
      <w:r w:rsidR="009C02C8">
        <w:t>be</w:t>
      </w:r>
      <w:r w:rsidRPr="00F63766">
        <w:t xml:space="preserve"> </w:t>
      </w:r>
      <w:r w:rsidR="00E405A8">
        <w:t xml:space="preserve">premised on </w:t>
      </w:r>
      <w:r w:rsidR="0083291C">
        <w:t xml:space="preserve">the basis that </w:t>
      </w:r>
      <w:r w:rsidR="004D7195">
        <w:t xml:space="preserve">no </w:t>
      </w:r>
      <w:r w:rsidR="00E405A8">
        <w:t xml:space="preserve">more than the </w:t>
      </w:r>
      <w:r w:rsidRPr="00F63766">
        <w:t>maximum subscription amount</w:t>
      </w:r>
      <w:r w:rsidR="00E405A8">
        <w:t xml:space="preserve"> </w:t>
      </w:r>
      <w:r w:rsidR="002C334B">
        <w:t>would be raised.</w:t>
      </w:r>
    </w:p>
    <w:p w14:paraId="3704EC0F" w14:textId="0B00BDED" w:rsidR="00E27590" w:rsidRPr="00F63766" w:rsidRDefault="00E27590" w:rsidP="00724B06">
      <w:pPr>
        <w:pStyle w:val="base-text-paragraph"/>
      </w:pPr>
      <w:r w:rsidRPr="00F63766">
        <w:t xml:space="preserve">Allowing an intermediary to close an offer where they ‘consider’ the offer to be fully subscribed provides some flexibility.  For example, an intermediary may allow the application facility to receive applications </w:t>
      </w:r>
      <w:r w:rsidR="0060674F">
        <w:t>that exceed</w:t>
      </w:r>
      <w:r w:rsidRPr="00F63766">
        <w:t xml:space="preserve"> the maximum subscription amount if, from experience, it </w:t>
      </w:r>
      <w:r w:rsidR="008C50FE">
        <w:t xml:space="preserve">expects </w:t>
      </w:r>
      <w:r w:rsidRPr="00F63766">
        <w:t>a certain proportion of applica</w:t>
      </w:r>
      <w:r w:rsidR="009D7D61">
        <w:t>nts</w:t>
      </w:r>
      <w:r w:rsidRPr="00F63766">
        <w:t xml:space="preserve"> </w:t>
      </w:r>
      <w:r w:rsidR="0082454B">
        <w:t xml:space="preserve">will withdraw their acceptances (pursuant to </w:t>
      </w:r>
      <w:r w:rsidRPr="00F63766">
        <w:t>cooling-off rights</w:t>
      </w:r>
      <w:r w:rsidR="0082454B">
        <w:t xml:space="preserve">).  </w:t>
      </w:r>
      <w:r w:rsidR="00D20F8B">
        <w:t xml:space="preserve">If the offer does result in applications worth more than the maximum subscription amount being received, even </w:t>
      </w:r>
      <w:r w:rsidR="005B2488">
        <w:t xml:space="preserve">after taking into account withdrawals of acceptances, the intermediary </w:t>
      </w:r>
      <w:r w:rsidR="009D7D61">
        <w:t>should</w:t>
      </w:r>
      <w:r w:rsidR="003A7CF3">
        <w:t xml:space="preserve"> </w:t>
      </w:r>
      <w:r w:rsidR="005B2488">
        <w:t xml:space="preserve">reject applications to ensure that no more than the maximum amount is collected and transferred to the issuer. </w:t>
      </w:r>
      <w:r w:rsidR="00BB539C">
        <w:t xml:space="preserve"> Application money relating to rejected applications must be returned to the investor</w:t>
      </w:r>
      <w:r w:rsidR="00A0000B">
        <w:t xml:space="preserve"> </w:t>
      </w:r>
      <w:r w:rsidR="00A0000B" w:rsidRPr="00F63766">
        <w:rPr>
          <w:b/>
          <w:i/>
          <w:sz w:val="18"/>
        </w:rPr>
        <w:t xml:space="preserve">[Schedule 1, Part 1, </w:t>
      </w:r>
      <w:r w:rsidR="00A0000B">
        <w:rPr>
          <w:b/>
          <w:i/>
          <w:sz w:val="18"/>
        </w:rPr>
        <w:t>item 14</w:t>
      </w:r>
      <w:r w:rsidR="00A0000B" w:rsidRPr="00F63766">
        <w:rPr>
          <w:b/>
          <w:i/>
          <w:sz w:val="18"/>
        </w:rPr>
        <w:t>, paragraph </w:t>
      </w:r>
      <w:proofErr w:type="gramStart"/>
      <w:r w:rsidR="00A0000B" w:rsidRPr="00F63766">
        <w:rPr>
          <w:b/>
          <w:i/>
          <w:sz w:val="18"/>
        </w:rPr>
        <w:t>738</w:t>
      </w:r>
      <w:r w:rsidR="00A0000B">
        <w:rPr>
          <w:b/>
          <w:i/>
          <w:sz w:val="18"/>
        </w:rPr>
        <w:t>ZB</w:t>
      </w:r>
      <w:r w:rsidR="00A0000B" w:rsidRPr="00F63766">
        <w:rPr>
          <w:b/>
          <w:i/>
          <w:sz w:val="18"/>
        </w:rPr>
        <w:t>(</w:t>
      </w:r>
      <w:proofErr w:type="gramEnd"/>
      <w:r w:rsidR="00A0000B" w:rsidRPr="00F63766">
        <w:rPr>
          <w:b/>
          <w:i/>
          <w:sz w:val="18"/>
        </w:rPr>
        <w:t>4</w:t>
      </w:r>
      <w:r w:rsidR="00A0000B">
        <w:rPr>
          <w:b/>
          <w:i/>
          <w:sz w:val="18"/>
        </w:rPr>
        <w:t>)(b</w:t>
      </w:r>
      <w:r w:rsidR="00A0000B" w:rsidRPr="00F63766">
        <w:rPr>
          <w:b/>
          <w:i/>
          <w:sz w:val="18"/>
        </w:rPr>
        <w:t>)]</w:t>
      </w:r>
      <w:r w:rsidR="00BB539C">
        <w:t>.</w:t>
      </w:r>
    </w:p>
    <w:p w14:paraId="52E0BC7C" w14:textId="71A4811F" w:rsidR="00E27590" w:rsidRPr="00F63766" w:rsidRDefault="00E27590" w:rsidP="00724B06">
      <w:pPr>
        <w:pStyle w:val="base-text-paragraph"/>
      </w:pPr>
      <w:r w:rsidRPr="00F63766">
        <w:t xml:space="preserve">An intermediary that closes </w:t>
      </w:r>
      <w:r w:rsidR="00A84767">
        <w:t>a CSF</w:t>
      </w:r>
      <w:r w:rsidRPr="00F63766">
        <w:t xml:space="preserve"> offer because it considers the offer to be fully subscribed may, but is not required to, remove the offer document from its platform.</w:t>
      </w:r>
      <w:r w:rsidR="008B7D21">
        <w:t xml:space="preserve"> </w:t>
      </w:r>
      <w:r w:rsidR="008B7D21" w:rsidRPr="00F63766">
        <w:rPr>
          <w:b/>
          <w:i/>
          <w:sz w:val="18"/>
        </w:rPr>
        <w:t xml:space="preserve">[Schedule 1, Part 1, </w:t>
      </w:r>
      <w:r w:rsidR="008B7D21">
        <w:rPr>
          <w:b/>
          <w:i/>
          <w:sz w:val="18"/>
        </w:rPr>
        <w:t>item 14</w:t>
      </w:r>
      <w:r w:rsidR="008B7D21" w:rsidRPr="00F63766">
        <w:rPr>
          <w:b/>
          <w:i/>
          <w:sz w:val="18"/>
        </w:rPr>
        <w:t>, subsection 738P(</w:t>
      </w:r>
      <w:r w:rsidR="008B7D21">
        <w:rPr>
          <w:b/>
          <w:i/>
          <w:sz w:val="18"/>
        </w:rPr>
        <w:t>2</w:t>
      </w:r>
      <w:r w:rsidR="008B7D21" w:rsidRPr="00F63766">
        <w:rPr>
          <w:b/>
          <w:i/>
          <w:sz w:val="18"/>
        </w:rPr>
        <w:t>)]</w:t>
      </w:r>
      <w:r w:rsidRPr="00F63766">
        <w:t xml:space="preserve"> </w:t>
      </w:r>
    </w:p>
    <w:p w14:paraId="12ABD45D" w14:textId="6B025046" w:rsidR="00E27590" w:rsidRPr="00F63766" w:rsidRDefault="007430D0" w:rsidP="00E27590">
      <w:pPr>
        <w:pStyle w:val="Heading4"/>
      </w:pPr>
      <w:r w:rsidRPr="00F63766">
        <w:t xml:space="preserve">Offer must be closed if the company </w:t>
      </w:r>
      <w:r w:rsidR="00E27590" w:rsidRPr="00F63766">
        <w:t>withdraws the offer</w:t>
      </w:r>
      <w:r w:rsidR="0065503F">
        <w:t xml:space="preserve"> or gatekeeper obligations apply</w:t>
      </w:r>
    </w:p>
    <w:p w14:paraId="64FEBC2A" w14:textId="6741B78E" w:rsidR="00E27590" w:rsidRPr="00F63766" w:rsidRDefault="00E27590" w:rsidP="00724B06">
      <w:pPr>
        <w:pStyle w:val="base-text-paragraph"/>
      </w:pPr>
      <w:r w:rsidRPr="00F63766">
        <w:t xml:space="preserve">A company has the power to withdraw a CSF offer at any time before the offer is complete </w:t>
      </w:r>
      <w:r w:rsidRPr="00F63766">
        <w:rPr>
          <w:b/>
          <w:i/>
          <w:sz w:val="18"/>
        </w:rPr>
        <w:t xml:space="preserve">[Schedule 1, Part 1, </w:t>
      </w:r>
      <w:r w:rsidR="004C3043">
        <w:rPr>
          <w:b/>
          <w:i/>
          <w:sz w:val="18"/>
        </w:rPr>
        <w:t>item 14</w:t>
      </w:r>
      <w:r w:rsidRPr="00F63766">
        <w:rPr>
          <w:b/>
          <w:i/>
          <w:sz w:val="18"/>
        </w:rPr>
        <w:t>, section 738S)]</w:t>
      </w:r>
      <w:r w:rsidRPr="00F63766">
        <w:t xml:space="preserve">.  </w:t>
      </w:r>
      <w:r w:rsidR="001152CD">
        <w:t xml:space="preserve">To do so, the </w:t>
      </w:r>
      <w:r w:rsidRPr="00F63766">
        <w:t xml:space="preserve">company </w:t>
      </w:r>
      <w:r w:rsidR="001152CD">
        <w:t>must</w:t>
      </w:r>
      <w:r w:rsidRPr="00F63766">
        <w:t xml:space="preserve"> notify the intermediary that the offer is withdrawn.  Once an intermediary receives such a notification it must, as soon as practicable, close the offer and remove the offer document from its platform</w:t>
      </w:r>
      <w:r w:rsidR="00F33B8D" w:rsidRPr="00F63766">
        <w:t xml:space="preserve">. </w:t>
      </w:r>
      <w:r w:rsidR="00BC4EBE" w:rsidRPr="00F63766">
        <w:rPr>
          <w:b/>
          <w:i/>
          <w:sz w:val="18"/>
        </w:rPr>
        <w:t xml:space="preserve">[Schedule 1, Part 1, </w:t>
      </w:r>
      <w:r w:rsidR="00BC4EBE">
        <w:rPr>
          <w:b/>
          <w:i/>
          <w:sz w:val="18"/>
        </w:rPr>
        <w:t>item 14</w:t>
      </w:r>
      <w:r w:rsidR="00BC4EBE" w:rsidRPr="00F63766">
        <w:rPr>
          <w:b/>
          <w:i/>
          <w:sz w:val="18"/>
        </w:rPr>
        <w:t>,</w:t>
      </w:r>
      <w:r w:rsidR="00BC4EBE">
        <w:rPr>
          <w:b/>
          <w:i/>
          <w:sz w:val="18"/>
        </w:rPr>
        <w:t xml:space="preserve"> </w:t>
      </w:r>
      <w:r w:rsidR="00BC4EBE" w:rsidRPr="002D4E0D">
        <w:rPr>
          <w:rStyle w:val="Referencingstyle"/>
        </w:rPr>
        <w:t>paragraph 738N(4)(</w:t>
      </w:r>
      <w:r w:rsidR="00BC4EBE">
        <w:rPr>
          <w:rStyle w:val="Referencingstyle"/>
        </w:rPr>
        <w:t>d</w:t>
      </w:r>
      <w:r w:rsidR="00BC4EBE" w:rsidRPr="002D4E0D">
        <w:rPr>
          <w:rStyle w:val="Referencingstyle"/>
        </w:rPr>
        <w:t>)</w:t>
      </w:r>
      <w:r w:rsidR="00BC4EBE">
        <w:rPr>
          <w:rStyle w:val="Referencingstyle"/>
        </w:rPr>
        <w:t xml:space="preserve"> and </w:t>
      </w:r>
      <w:r w:rsidR="00BC4EBE" w:rsidRPr="00F63766">
        <w:rPr>
          <w:b/>
          <w:i/>
          <w:sz w:val="18"/>
        </w:rPr>
        <w:t>subsection 738P(1)]</w:t>
      </w:r>
    </w:p>
    <w:p w14:paraId="1B8582EF" w14:textId="2118AC7D" w:rsidR="00E27590" w:rsidRPr="00F63766" w:rsidRDefault="00E27590" w:rsidP="00724B06">
      <w:pPr>
        <w:pStyle w:val="base-text-paragraph"/>
        <w:rPr>
          <w:b/>
          <w:i/>
          <w:sz w:val="18"/>
        </w:rPr>
      </w:pPr>
      <w:r w:rsidRPr="00F63766">
        <w:t>The intermediary must close an offer if it is required to remove the offer document pursuant to its gatekeeper obligations (</w:t>
      </w:r>
      <w:r w:rsidR="005C4758">
        <w:t xml:space="preserve">discussed in </w:t>
      </w:r>
      <w:r w:rsidRPr="008D4C64">
        <w:t>paragraph</w:t>
      </w:r>
      <w:r w:rsidR="005C4758" w:rsidRPr="008D4C64">
        <w:t>s</w:t>
      </w:r>
      <w:r w:rsidRPr="008D4C64">
        <w:t> </w:t>
      </w:r>
      <w:r w:rsidR="00E52F88" w:rsidRPr="008D4C64">
        <w:t>3</w:t>
      </w:r>
      <w:r w:rsidRPr="008D4C64">
        <w:t>.</w:t>
      </w:r>
      <w:r w:rsidR="00E52F88" w:rsidRPr="008D4C64">
        <w:t>28</w:t>
      </w:r>
      <w:r w:rsidR="005C4758" w:rsidRPr="008D4C64">
        <w:t xml:space="preserve"> to </w:t>
      </w:r>
      <w:r w:rsidR="00E52F88" w:rsidRPr="008D4C64">
        <w:t>3</w:t>
      </w:r>
      <w:r w:rsidR="005C4758" w:rsidRPr="008D4C64">
        <w:t>.</w:t>
      </w:r>
      <w:r w:rsidR="00E52F88" w:rsidRPr="008D4C64">
        <w:t>54</w:t>
      </w:r>
      <w:r w:rsidRPr="00231260">
        <w:t>) and must remove the offer document from its platform</w:t>
      </w:r>
      <w:r w:rsidR="00DA6A83" w:rsidRPr="00231260">
        <w:t xml:space="preserve">. </w:t>
      </w:r>
      <w:r w:rsidR="009F65FF">
        <w:t xml:space="preserve"> Failure to comply is an offence, punishable by </w:t>
      </w:r>
      <w:r w:rsidR="00916064">
        <w:t xml:space="preserve">a maximum penalty of </w:t>
      </w:r>
      <w:r w:rsidR="009F65FF">
        <w:t>30 penalty units, six months imprisonment or both</w:t>
      </w:r>
      <w:r w:rsidR="008B7D21" w:rsidRPr="00231260">
        <w:t xml:space="preserve"> </w:t>
      </w:r>
      <w:r w:rsidR="008B7D21" w:rsidRPr="00231260">
        <w:rPr>
          <w:b/>
          <w:i/>
          <w:sz w:val="18"/>
        </w:rPr>
        <w:t>[Schedule 1, Part 1, item</w:t>
      </w:r>
      <w:r w:rsidR="00E21B67">
        <w:rPr>
          <w:b/>
          <w:i/>
          <w:sz w:val="18"/>
        </w:rPr>
        <w:t>s</w:t>
      </w:r>
      <w:r w:rsidR="008B7D21" w:rsidRPr="00231260">
        <w:rPr>
          <w:b/>
          <w:i/>
          <w:sz w:val="18"/>
        </w:rPr>
        <w:t xml:space="preserve"> 14</w:t>
      </w:r>
      <w:r w:rsidR="00E21B67">
        <w:rPr>
          <w:b/>
          <w:i/>
          <w:sz w:val="18"/>
        </w:rPr>
        <w:t xml:space="preserve"> and 34</w:t>
      </w:r>
      <w:r w:rsidR="008B7D21" w:rsidRPr="00231260">
        <w:rPr>
          <w:b/>
          <w:i/>
          <w:sz w:val="18"/>
        </w:rPr>
        <w:t xml:space="preserve">, </w:t>
      </w:r>
      <w:r w:rsidR="008B7D21" w:rsidRPr="00231260">
        <w:rPr>
          <w:rStyle w:val="Referencingstyle"/>
        </w:rPr>
        <w:t>paragraph 738N(4)(e)</w:t>
      </w:r>
      <w:r w:rsidR="00E21B67">
        <w:rPr>
          <w:rStyle w:val="Referencingstyle"/>
        </w:rPr>
        <w:t>,</w:t>
      </w:r>
      <w:r w:rsidR="008B7D21" w:rsidRPr="00231260">
        <w:rPr>
          <w:rStyle w:val="Referencingstyle"/>
        </w:rPr>
        <w:t xml:space="preserve"> </w:t>
      </w:r>
      <w:r w:rsidR="008B7D21" w:rsidRPr="00231260">
        <w:rPr>
          <w:b/>
          <w:i/>
          <w:sz w:val="18"/>
        </w:rPr>
        <w:t>subsection</w:t>
      </w:r>
      <w:r w:rsidR="008B7D21" w:rsidRPr="00F63766">
        <w:rPr>
          <w:b/>
          <w:i/>
          <w:sz w:val="18"/>
        </w:rPr>
        <w:t> 738P(1)</w:t>
      </w:r>
      <w:r w:rsidR="00E21B67">
        <w:rPr>
          <w:b/>
          <w:i/>
          <w:sz w:val="18"/>
        </w:rPr>
        <w:t>, item 245D in the table to Schedule 3</w:t>
      </w:r>
      <w:r w:rsidR="008B7D21" w:rsidRPr="00F63766">
        <w:rPr>
          <w:b/>
          <w:i/>
          <w:sz w:val="18"/>
        </w:rPr>
        <w:t>]</w:t>
      </w:r>
      <w:r w:rsidR="008B7D21">
        <w:rPr>
          <w:b/>
          <w:i/>
          <w:sz w:val="18"/>
        </w:rPr>
        <w:t xml:space="preserve"> </w:t>
      </w:r>
    </w:p>
    <w:p w14:paraId="6BFCBEF9" w14:textId="5CE05DB8" w:rsidR="00E27590" w:rsidRPr="00F63766" w:rsidRDefault="007A5955" w:rsidP="00724B06">
      <w:pPr>
        <w:pStyle w:val="Heading3"/>
      </w:pPr>
      <w:r>
        <w:t>Dealing with application money once an offer is closed</w:t>
      </w:r>
    </w:p>
    <w:p w14:paraId="5A37407B" w14:textId="3926B0FC" w:rsidR="00E27590" w:rsidRPr="00F63766" w:rsidRDefault="00E27590" w:rsidP="00724B06">
      <w:pPr>
        <w:pStyle w:val="base-text-paragraph"/>
      </w:pPr>
      <w:r w:rsidRPr="00F63766">
        <w:t xml:space="preserve">Once an offer is closed, the next step is for the intermediary to determine if the offer is ‘complete’ and, if so, handle application </w:t>
      </w:r>
      <w:r w:rsidR="006649FF">
        <w:t>money appropriately</w:t>
      </w:r>
      <w:r w:rsidR="00C56579">
        <w:t xml:space="preserve">. </w:t>
      </w:r>
    </w:p>
    <w:p w14:paraId="35BB0D25" w14:textId="0581FEE4" w:rsidR="004F49BA" w:rsidRDefault="00E27590" w:rsidP="00724B06">
      <w:pPr>
        <w:pStyle w:val="base-text-paragraph"/>
      </w:pPr>
      <w:r w:rsidRPr="00F63766">
        <w:t xml:space="preserve">There are three conditions that must be satisfied before an offer can </w:t>
      </w:r>
      <w:r w:rsidR="004F49BA">
        <w:t>be ‘complete’</w:t>
      </w:r>
      <w:r w:rsidR="00A71662">
        <w:t>.</w:t>
      </w:r>
    </w:p>
    <w:p w14:paraId="14B1896D" w14:textId="5A14870F" w:rsidR="00E27590" w:rsidRPr="00F63766" w:rsidRDefault="00E27590" w:rsidP="00724B06">
      <w:pPr>
        <w:pStyle w:val="base-text-paragraph"/>
      </w:pPr>
      <w:r w:rsidRPr="00F63766">
        <w:t xml:space="preserve">Firstly, the offer must have closed because: the three month maximum duration of a CSF offer expired; the offer close date specified in the offer document was reached; or the intermediary considered the offer to be fully subscribed </w:t>
      </w:r>
      <w:r w:rsidRPr="007B3663">
        <w:rPr>
          <w:b/>
          <w:i/>
          <w:sz w:val="18"/>
        </w:rPr>
        <w:t xml:space="preserve">[Schedule 1, Part 1, </w:t>
      </w:r>
      <w:r w:rsidR="004C3043" w:rsidRPr="007B3663">
        <w:rPr>
          <w:b/>
          <w:i/>
          <w:sz w:val="18"/>
        </w:rPr>
        <w:t>item 14</w:t>
      </w:r>
      <w:r w:rsidRPr="007B3663">
        <w:rPr>
          <w:b/>
          <w:i/>
          <w:sz w:val="18"/>
        </w:rPr>
        <w:t>, paragraph 738N(7)(a)]</w:t>
      </w:r>
      <w:r w:rsidRPr="00F63766">
        <w:t xml:space="preserve">.  If an offer </w:t>
      </w:r>
      <w:r w:rsidR="007B3663">
        <w:t>i</w:t>
      </w:r>
      <w:r w:rsidRPr="00F63766">
        <w:t xml:space="preserve">s closed for another reason (for example, because it was withdrawn by the issuer, or the intermediary had to close the offer pursuant to its ‘gatekeeper’ obligations), it can never be ‘complete’.  </w:t>
      </w:r>
    </w:p>
    <w:p w14:paraId="79F1CCCC" w14:textId="4B2720F2" w:rsidR="00E27590" w:rsidRPr="00F63766" w:rsidRDefault="00E27590" w:rsidP="00724B06">
      <w:pPr>
        <w:pStyle w:val="base-text-paragraph"/>
      </w:pPr>
      <w:r w:rsidRPr="00F63766">
        <w:t xml:space="preserve">The second condition </w:t>
      </w:r>
      <w:r w:rsidR="007B3663">
        <w:t xml:space="preserve">is that </w:t>
      </w:r>
      <w:r w:rsidRPr="00F63766">
        <w:t xml:space="preserve">all possible withdrawal rights — whether statutory or provided for by the intermediary — which permit an </w:t>
      </w:r>
      <w:r w:rsidR="00D21279" w:rsidRPr="00F63766">
        <w:t xml:space="preserve">applicant </w:t>
      </w:r>
      <w:r w:rsidRPr="00F63766">
        <w:t xml:space="preserve">to withdraw their application must have expired </w:t>
      </w:r>
      <w:r w:rsidRPr="00F63766">
        <w:rPr>
          <w:b/>
          <w:i/>
          <w:sz w:val="18"/>
        </w:rPr>
        <w:t xml:space="preserve">[Schedule 1, Part 1, </w:t>
      </w:r>
      <w:r w:rsidR="004C3043">
        <w:rPr>
          <w:b/>
          <w:i/>
          <w:sz w:val="18"/>
        </w:rPr>
        <w:t>item 14</w:t>
      </w:r>
      <w:r w:rsidRPr="00F63766">
        <w:rPr>
          <w:b/>
          <w:i/>
          <w:sz w:val="18"/>
        </w:rPr>
        <w:t>, paragraph 738N(7)(b)].</w:t>
      </w:r>
      <w:r w:rsidR="00BF0E39">
        <w:t xml:space="preserve"> </w:t>
      </w:r>
      <w:r w:rsidRPr="00F63766">
        <w:t>This means that an intermediary must wait for the expiry of the five </w:t>
      </w:r>
      <w:r w:rsidR="00C371E4">
        <w:t xml:space="preserve">business </w:t>
      </w:r>
      <w:r w:rsidRPr="00F63766">
        <w:t>day cooling</w:t>
      </w:r>
      <w:r w:rsidR="009776F7">
        <w:noBreakHyphen/>
      </w:r>
      <w:r w:rsidRPr="00F63766">
        <w:t>off right</w:t>
      </w:r>
      <w:r w:rsidR="00BF1078">
        <w:t>s</w:t>
      </w:r>
      <w:r w:rsidRPr="00F63766">
        <w:t xml:space="preserve"> for </w:t>
      </w:r>
      <w:r w:rsidR="00396B29">
        <w:t>retail client</w:t>
      </w:r>
      <w:r w:rsidRPr="00F63766">
        <w:t xml:space="preserve">s </w:t>
      </w:r>
      <w:r w:rsidRPr="0008407C">
        <w:t>(</w:t>
      </w:r>
      <w:r w:rsidR="00EC37FA">
        <w:t xml:space="preserve">refer to </w:t>
      </w:r>
      <w:r w:rsidRPr="008D4C64">
        <w:t>paragraph</w:t>
      </w:r>
      <w:r w:rsidR="0008407C" w:rsidRPr="008D4C64">
        <w:t>s</w:t>
      </w:r>
      <w:r w:rsidR="00BF1078" w:rsidRPr="008D4C64">
        <w:t> </w:t>
      </w:r>
      <w:r w:rsidR="0008407C" w:rsidRPr="008D4C64">
        <w:t>6</w:t>
      </w:r>
      <w:r w:rsidRPr="008D4C64">
        <w:t>.</w:t>
      </w:r>
      <w:r w:rsidR="0008407C" w:rsidRPr="008D4C64">
        <w:t>18 to 6.22</w:t>
      </w:r>
      <w:r w:rsidRPr="0008407C">
        <w:t>), the one month right to withdraw an application</w:t>
      </w:r>
      <w:r w:rsidRPr="00F63766">
        <w:t xml:space="preserve"> (which applies to all investor</w:t>
      </w:r>
      <w:r w:rsidR="00B425CE" w:rsidRPr="00F63766">
        <w:t>s</w:t>
      </w:r>
      <w:r w:rsidRPr="00F63766">
        <w:t xml:space="preserve"> where an issuer </w:t>
      </w:r>
      <w:r w:rsidR="00C34D7A">
        <w:t>publishes</w:t>
      </w:r>
      <w:r w:rsidR="00C34D7A" w:rsidRPr="00F63766">
        <w:t xml:space="preserve"> </w:t>
      </w:r>
      <w:r w:rsidRPr="00F63766">
        <w:t>a supplementary or replacement offer document</w:t>
      </w:r>
      <w:r w:rsidR="00346AC2">
        <w:t xml:space="preserve"> in relation to a defective offer document</w:t>
      </w:r>
      <w:r w:rsidRPr="00F63766">
        <w:t xml:space="preserve">, </w:t>
      </w:r>
      <w:r w:rsidR="000E4847">
        <w:t xml:space="preserve">refer to </w:t>
      </w:r>
      <w:r w:rsidR="000E4847" w:rsidRPr="008D4C64">
        <w:t>paragraph</w:t>
      </w:r>
      <w:r w:rsidRPr="008D4C64">
        <w:t xml:space="preserve"> </w:t>
      </w:r>
      <w:r w:rsidR="00793E68" w:rsidRPr="008D4C64">
        <w:t>5</w:t>
      </w:r>
      <w:r w:rsidRPr="008D4C64">
        <w:t>.</w:t>
      </w:r>
      <w:r w:rsidR="0041795C" w:rsidRPr="008D4C64">
        <w:t>31</w:t>
      </w:r>
      <w:r w:rsidR="0041795C">
        <w:t>)</w:t>
      </w:r>
      <w:r w:rsidRPr="0005661F">
        <w:t xml:space="preserve"> and any</w:t>
      </w:r>
      <w:r w:rsidRPr="00F63766">
        <w:t xml:space="preserve"> other </w:t>
      </w:r>
      <w:r w:rsidR="001E2441">
        <w:t>non-statutory withdrawal rights</w:t>
      </w:r>
      <w:r w:rsidRPr="00F63766">
        <w:t xml:space="preserve"> that the intermediary provides.  </w:t>
      </w:r>
    </w:p>
    <w:p w14:paraId="4C4AA2C6" w14:textId="785335C2" w:rsidR="00E27590" w:rsidRPr="00F63766" w:rsidRDefault="00E27590" w:rsidP="00724B06">
      <w:pPr>
        <w:pStyle w:val="base-text-paragraph"/>
      </w:pPr>
      <w:r w:rsidRPr="00F63766">
        <w:t xml:space="preserve">The final condition is that the value of the applications received, disregarding any applications that have been withdrawn or rejected by the intermediary, must exceed the minimum subscription amount set out in the offer document </w:t>
      </w:r>
      <w:r w:rsidRPr="00F63766">
        <w:rPr>
          <w:b/>
          <w:i/>
          <w:sz w:val="18"/>
        </w:rPr>
        <w:t xml:space="preserve">[Schedule 1, Part 1, </w:t>
      </w:r>
      <w:r w:rsidR="004C3043">
        <w:rPr>
          <w:b/>
          <w:i/>
          <w:sz w:val="18"/>
        </w:rPr>
        <w:t>item 14</w:t>
      </w:r>
      <w:r w:rsidRPr="00F63766">
        <w:rPr>
          <w:b/>
          <w:i/>
          <w:sz w:val="18"/>
        </w:rPr>
        <w:t>, paragraph 738N(7)(c))]</w:t>
      </w:r>
      <w:r w:rsidRPr="00F63766">
        <w:t xml:space="preserve">.  </w:t>
      </w:r>
    </w:p>
    <w:p w14:paraId="665358B9" w14:textId="40B7E7EC" w:rsidR="00E27590" w:rsidRDefault="00E27590" w:rsidP="00724B06">
      <w:pPr>
        <w:pStyle w:val="base-text-paragraph"/>
      </w:pPr>
      <w:r w:rsidRPr="00F63766">
        <w:t xml:space="preserve">An offer that </w:t>
      </w:r>
      <w:r w:rsidR="00F52EBF">
        <w:t>i</w:t>
      </w:r>
      <w:r w:rsidRPr="00F63766">
        <w:t>s closed</w:t>
      </w:r>
      <w:r w:rsidR="00F52EBF">
        <w:t xml:space="preserve"> but not complete,</w:t>
      </w:r>
      <w:r w:rsidRPr="00F63766">
        <w:t xml:space="preserve"> because it was withdrawn </w:t>
      </w:r>
      <w:r w:rsidR="00D21279" w:rsidRPr="00F63766">
        <w:t xml:space="preserve">by </w:t>
      </w:r>
      <w:r w:rsidRPr="00F63766">
        <w:t>the issuer or the intermediary was required to close the offer pursuant to its ‘gatekeeper’ obligations</w:t>
      </w:r>
      <w:r w:rsidR="00F52EBF">
        <w:t xml:space="preserve">, will result in the </w:t>
      </w:r>
      <w:r w:rsidRPr="00F63766">
        <w:t>intermediary refund</w:t>
      </w:r>
      <w:r w:rsidR="00F52EBF">
        <w:t>ing</w:t>
      </w:r>
      <w:r w:rsidRPr="00F63766">
        <w:t xml:space="preserve"> application money held to the </w:t>
      </w:r>
      <w:r w:rsidR="00D21279" w:rsidRPr="00F63766">
        <w:t>applicant</w:t>
      </w:r>
      <w:r w:rsidR="00302778">
        <w:t>s</w:t>
      </w:r>
      <w:r w:rsidR="00D21279" w:rsidRPr="00F63766">
        <w:t xml:space="preserve"> </w:t>
      </w:r>
      <w:r w:rsidRPr="00FC5ED3">
        <w:t>(</w:t>
      </w:r>
      <w:r w:rsidRPr="008D4C64">
        <w:t xml:space="preserve">paragraph </w:t>
      </w:r>
      <w:r w:rsidR="006B79B2" w:rsidRPr="008D4C64">
        <w:t>3</w:t>
      </w:r>
      <w:r w:rsidRPr="008D4C64">
        <w:t>.</w:t>
      </w:r>
      <w:r w:rsidR="006B79B2" w:rsidRPr="008D4C64">
        <w:t>77</w:t>
      </w:r>
      <w:r w:rsidRPr="00FC5ED3">
        <w:t>).</w:t>
      </w:r>
    </w:p>
    <w:p w14:paraId="7384C3D5" w14:textId="77777777" w:rsidR="00E27590" w:rsidRPr="00F63766" w:rsidRDefault="00E27590" w:rsidP="00B676BE">
      <w:pPr>
        <w:sectPr w:rsidR="00E27590" w:rsidRPr="00F63766" w:rsidSect="00B676BE">
          <w:headerReference w:type="even" r:id="rId42"/>
          <w:headerReference w:type="default" r:id="rId43"/>
          <w:footerReference w:type="even" r:id="rId44"/>
          <w:footerReference w:type="default" r:id="rId45"/>
          <w:footerReference w:type="first" r:id="rId46"/>
          <w:type w:val="oddPage"/>
          <w:pgSz w:w="11906" w:h="16838" w:code="9"/>
          <w:pgMar w:top="2466" w:right="2098" w:bottom="2466" w:left="2098" w:header="1559" w:footer="1899" w:gutter="0"/>
          <w:cols w:space="708"/>
          <w:titlePg/>
          <w:docGrid w:linePitch="360"/>
        </w:sectPr>
      </w:pPr>
    </w:p>
    <w:p w14:paraId="4759BEAF" w14:textId="6ED2BCE0" w:rsidR="00E27590" w:rsidRPr="00F63766" w:rsidRDefault="00E27590" w:rsidP="00B676BE">
      <w:pPr>
        <w:pStyle w:val="ChapterHeading"/>
        <w:tabs>
          <w:tab w:val="clear" w:pos="1134"/>
          <w:tab w:val="num" w:pos="360"/>
        </w:tabs>
      </w:pPr>
      <w:r w:rsidRPr="00F63766">
        <w:br/>
      </w:r>
      <w:bookmarkStart w:id="13" w:name="_Toc435701584"/>
      <w:bookmarkStart w:id="14" w:name="_Toc436037554"/>
      <w:r w:rsidRPr="00F63766">
        <w:t xml:space="preserve">Defective </w:t>
      </w:r>
      <w:r w:rsidR="00C7783A" w:rsidRPr="00F63766">
        <w:t>CSF</w:t>
      </w:r>
      <w:r w:rsidRPr="00F63766">
        <w:t xml:space="preserve"> offer documents</w:t>
      </w:r>
      <w:bookmarkEnd w:id="13"/>
      <w:bookmarkEnd w:id="14"/>
    </w:p>
    <w:p w14:paraId="58F52699" w14:textId="77777777" w:rsidR="00E27590" w:rsidRPr="00F63766" w:rsidRDefault="00E27590" w:rsidP="00B676BE">
      <w:pPr>
        <w:pStyle w:val="Heading2"/>
      </w:pPr>
      <w:r w:rsidRPr="00F63766">
        <w:t>Outline of chapter</w:t>
      </w:r>
    </w:p>
    <w:p w14:paraId="4FD6B26B" w14:textId="77777777" w:rsidR="00E27590" w:rsidRPr="00F63766" w:rsidRDefault="00E27590" w:rsidP="00E27590">
      <w:pPr>
        <w:pStyle w:val="base-text-paragraph"/>
      </w:pPr>
      <w:r w:rsidRPr="00F63766">
        <w:t>This Chapter sets out the rule</w:t>
      </w:r>
      <w:r w:rsidR="00D21279" w:rsidRPr="00F63766">
        <w:t>s</w:t>
      </w:r>
      <w:r w:rsidRPr="00F63766">
        <w:t xml:space="preserve"> concerning defective CSF offer documents.  </w:t>
      </w:r>
    </w:p>
    <w:p w14:paraId="7A878FDB" w14:textId="77777777" w:rsidR="00E27590" w:rsidRPr="00F63766" w:rsidRDefault="00E27590" w:rsidP="00E27590">
      <w:pPr>
        <w:pStyle w:val="base-text-paragraph"/>
      </w:pPr>
      <w:r w:rsidRPr="00F63766">
        <w:t xml:space="preserve">Unless otherwise stated, all references in this Chapter relate to the </w:t>
      </w:r>
      <w:r w:rsidRPr="00F63766">
        <w:rPr>
          <w:i/>
        </w:rPr>
        <w:t>Corporations Act 2001</w:t>
      </w:r>
      <w:r w:rsidRPr="00F63766">
        <w:t>.</w:t>
      </w:r>
    </w:p>
    <w:p w14:paraId="2D4853AC" w14:textId="77777777" w:rsidR="00E27590" w:rsidRPr="00F63766" w:rsidRDefault="00E27590" w:rsidP="00B676BE">
      <w:pPr>
        <w:pStyle w:val="Heading2"/>
      </w:pPr>
      <w:r w:rsidRPr="00F63766">
        <w:t>Summary of new law</w:t>
      </w:r>
    </w:p>
    <w:p w14:paraId="4ABEBEC8" w14:textId="16DE256A" w:rsidR="00E27590" w:rsidRPr="00F63766" w:rsidRDefault="0000643A" w:rsidP="00B676BE">
      <w:pPr>
        <w:pStyle w:val="base-text-paragraph"/>
      </w:pPr>
      <w:r w:rsidRPr="00F63766">
        <w:t xml:space="preserve">The amendments define when a CSF offer document is </w:t>
      </w:r>
      <w:r w:rsidR="00B6003B" w:rsidRPr="00F63766">
        <w:t>deemed to be</w:t>
      </w:r>
      <w:r w:rsidRPr="00F63766">
        <w:t xml:space="preserve"> ‘defective’. The definition is aligned with the existing provisions in Chapter 6D applying to prospectuses and other offer documents.</w:t>
      </w:r>
    </w:p>
    <w:p w14:paraId="6130F6FF" w14:textId="6D457B68" w:rsidR="000D6E40" w:rsidRPr="00F63766" w:rsidRDefault="000D6E40" w:rsidP="00B676BE">
      <w:pPr>
        <w:pStyle w:val="base-text-paragraph"/>
      </w:pPr>
      <w:r w:rsidRPr="00F63766">
        <w:t xml:space="preserve">The amendments set out notification obligations applying to certain classes of persons if they become aware that an offer document is defective. A number of </w:t>
      </w:r>
      <w:r w:rsidR="00E84CA4" w:rsidRPr="00F63766">
        <w:t>further</w:t>
      </w:r>
      <w:r w:rsidRPr="00F63766">
        <w:t xml:space="preserve"> obligations </w:t>
      </w:r>
      <w:r w:rsidR="00E84CA4" w:rsidRPr="00F63766">
        <w:t>and possible actions</w:t>
      </w:r>
      <w:r w:rsidRPr="00F63766">
        <w:t xml:space="preserve"> applying to the intermediary and company making the offer are defined in circumstances where an offer document is defective.</w:t>
      </w:r>
    </w:p>
    <w:p w14:paraId="49CE7364" w14:textId="1A5F5C9D" w:rsidR="000D6E40" w:rsidRDefault="00E84CA4" w:rsidP="00B676BE">
      <w:pPr>
        <w:pStyle w:val="base-text-paragraph"/>
      </w:pPr>
      <w:r w:rsidRPr="00F63766">
        <w:t xml:space="preserve">Liabilities arising from a defective disclosure document are </w:t>
      </w:r>
      <w:r w:rsidR="00B6003B" w:rsidRPr="00F63766">
        <w:t>set out</w:t>
      </w:r>
      <w:r w:rsidRPr="00F63766">
        <w:t xml:space="preserve"> in the amendments. These include </w:t>
      </w:r>
      <w:r w:rsidR="00B6003B" w:rsidRPr="00F63766">
        <w:t xml:space="preserve">criminal liability as well as </w:t>
      </w:r>
      <w:r w:rsidRPr="00F63766">
        <w:t xml:space="preserve">exposure to action for recovery of loss or damage where the statement, omission or new circumstance which led to the document being defective is </w:t>
      </w:r>
      <w:r w:rsidRPr="00F63766">
        <w:rPr>
          <w:i/>
        </w:rPr>
        <w:t>materially adverse</w:t>
      </w:r>
      <w:r w:rsidRPr="00F63766">
        <w:t xml:space="preserve"> from the point of view of an investor.</w:t>
      </w:r>
    </w:p>
    <w:p w14:paraId="10336E1C" w14:textId="27B8289C" w:rsidR="00F75892" w:rsidRDefault="00F75892" w:rsidP="00B96F32">
      <w:pPr>
        <w:pStyle w:val="Heading2"/>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75892" w:rsidRPr="004666B8" w14:paraId="7FCE120E" w14:textId="77777777" w:rsidTr="00AD20B8">
        <w:tc>
          <w:tcPr>
            <w:tcW w:w="3275" w:type="dxa"/>
          </w:tcPr>
          <w:p w14:paraId="0E18EC75" w14:textId="77777777" w:rsidR="00F75892" w:rsidRPr="004666B8" w:rsidRDefault="00F75892" w:rsidP="00AD20B8">
            <w:pPr>
              <w:pStyle w:val="tableheaderwithintable"/>
              <w:rPr>
                <w:lang w:val="en-US" w:eastAsia="en-US"/>
              </w:rPr>
            </w:pPr>
            <w:r w:rsidRPr="004666B8">
              <w:rPr>
                <w:lang w:val="en-US" w:eastAsia="en-US"/>
              </w:rPr>
              <w:t>New law</w:t>
            </w:r>
          </w:p>
        </w:tc>
        <w:tc>
          <w:tcPr>
            <w:tcW w:w="3276" w:type="dxa"/>
          </w:tcPr>
          <w:p w14:paraId="6D3405C4" w14:textId="77777777" w:rsidR="00F75892" w:rsidRPr="004666B8" w:rsidRDefault="00F75892" w:rsidP="00AD20B8">
            <w:pPr>
              <w:pStyle w:val="tableheaderwithintable"/>
              <w:rPr>
                <w:lang w:val="en-US" w:eastAsia="en-US"/>
              </w:rPr>
            </w:pPr>
            <w:r w:rsidRPr="004666B8">
              <w:rPr>
                <w:lang w:val="en-US" w:eastAsia="en-US"/>
              </w:rPr>
              <w:t>Current law</w:t>
            </w:r>
          </w:p>
        </w:tc>
      </w:tr>
      <w:tr w:rsidR="00F75892" w:rsidRPr="004666B8" w14:paraId="79056B61" w14:textId="77777777" w:rsidTr="00AD20B8">
        <w:tc>
          <w:tcPr>
            <w:tcW w:w="3275" w:type="dxa"/>
          </w:tcPr>
          <w:p w14:paraId="1F97ABD5" w14:textId="19EA6AB1" w:rsidR="00F75892" w:rsidRDefault="003424FE" w:rsidP="00AD20B8">
            <w:pPr>
              <w:pStyle w:val="tabletext"/>
            </w:pPr>
            <w:r>
              <w:t xml:space="preserve">A company must not make a CSF offer under a defective offer document. </w:t>
            </w:r>
          </w:p>
        </w:tc>
        <w:tc>
          <w:tcPr>
            <w:tcW w:w="3276" w:type="dxa"/>
          </w:tcPr>
          <w:p w14:paraId="18A7D0E4" w14:textId="3682DD21" w:rsidR="00F75892" w:rsidRDefault="002D4036" w:rsidP="00AD20B8">
            <w:pPr>
              <w:pStyle w:val="tabletext"/>
              <w:rPr>
                <w:lang w:val="en-US" w:eastAsia="en-US"/>
              </w:rPr>
            </w:pPr>
            <w:r>
              <w:rPr>
                <w:lang w:val="en-US" w:eastAsia="en-US"/>
              </w:rPr>
              <w:t>A company must not make an offer of securities requiring disclosure under a defective disclosure document.</w:t>
            </w:r>
          </w:p>
        </w:tc>
      </w:tr>
      <w:tr w:rsidR="00F75892" w:rsidRPr="004666B8" w14:paraId="0321FB17" w14:textId="77777777" w:rsidTr="00AD20B8">
        <w:tc>
          <w:tcPr>
            <w:tcW w:w="3275" w:type="dxa"/>
          </w:tcPr>
          <w:p w14:paraId="5FF55D0D" w14:textId="578FD993" w:rsidR="00F75892" w:rsidRPr="004666B8" w:rsidRDefault="003424FE" w:rsidP="00AD20B8">
            <w:pPr>
              <w:pStyle w:val="tabletext"/>
              <w:rPr>
                <w:lang w:val="en-US" w:eastAsia="en-US"/>
              </w:rPr>
            </w:pPr>
            <w:r>
              <w:t xml:space="preserve">A CSF intermediary must not publish or continue to publish a CSF offer document if the document is defective and the intermediary </w:t>
            </w:r>
            <w:r w:rsidRPr="00B96F32">
              <w:t xml:space="preserve">knows </w:t>
            </w:r>
            <w:r>
              <w:t>the offer document is defective.</w:t>
            </w:r>
          </w:p>
        </w:tc>
        <w:tc>
          <w:tcPr>
            <w:tcW w:w="3276" w:type="dxa"/>
          </w:tcPr>
          <w:p w14:paraId="62FF9C74" w14:textId="3918BA3D" w:rsidR="00F75892" w:rsidRPr="004666B8" w:rsidRDefault="00F75892" w:rsidP="00AD20B8">
            <w:pPr>
              <w:pStyle w:val="tabletext"/>
              <w:rPr>
                <w:lang w:val="en-US" w:eastAsia="en-US"/>
              </w:rPr>
            </w:pPr>
            <w:r>
              <w:rPr>
                <w:lang w:val="en-US" w:eastAsia="en-US"/>
              </w:rPr>
              <w:t>No equivalent</w:t>
            </w:r>
            <w:r w:rsidR="004457AC">
              <w:rPr>
                <w:lang w:val="en-US" w:eastAsia="en-US"/>
              </w:rPr>
              <w:t>.</w:t>
            </w:r>
          </w:p>
        </w:tc>
      </w:tr>
      <w:tr w:rsidR="00BF0E39" w:rsidRPr="004666B8" w14:paraId="35C0C1FC" w14:textId="77777777" w:rsidTr="00BF0E39">
        <w:tc>
          <w:tcPr>
            <w:tcW w:w="3275" w:type="dxa"/>
            <w:tcBorders>
              <w:top w:val="single" w:sz="4" w:space="0" w:color="auto"/>
              <w:left w:val="single" w:sz="4" w:space="0" w:color="auto"/>
              <w:bottom w:val="single" w:sz="4" w:space="0" w:color="auto"/>
              <w:right w:val="single" w:sz="4" w:space="0" w:color="auto"/>
            </w:tcBorders>
          </w:tcPr>
          <w:p w14:paraId="0E2C5F06" w14:textId="77777777" w:rsidR="00BF0E39" w:rsidRPr="00BF0E39" w:rsidRDefault="00BF0E39" w:rsidP="00BF0E39">
            <w:pPr>
              <w:pStyle w:val="tableheaderwithintable"/>
            </w:pPr>
            <w:r w:rsidRPr="00BF0E39">
              <w:t>New law</w:t>
            </w:r>
          </w:p>
        </w:tc>
        <w:tc>
          <w:tcPr>
            <w:tcW w:w="3276" w:type="dxa"/>
            <w:tcBorders>
              <w:top w:val="single" w:sz="4" w:space="0" w:color="auto"/>
              <w:left w:val="single" w:sz="4" w:space="0" w:color="auto"/>
              <w:bottom w:val="single" w:sz="4" w:space="0" w:color="auto"/>
              <w:right w:val="single" w:sz="4" w:space="0" w:color="auto"/>
            </w:tcBorders>
          </w:tcPr>
          <w:p w14:paraId="57460F2B" w14:textId="77777777" w:rsidR="00BF0E39" w:rsidRPr="004666B8" w:rsidRDefault="00BF0E39" w:rsidP="00BF0E39">
            <w:pPr>
              <w:pStyle w:val="tableheaderwithintable"/>
              <w:rPr>
                <w:lang w:val="en-US" w:eastAsia="en-US"/>
              </w:rPr>
            </w:pPr>
            <w:r w:rsidRPr="004666B8">
              <w:rPr>
                <w:lang w:val="en-US" w:eastAsia="en-US"/>
              </w:rPr>
              <w:t>Current law</w:t>
            </w:r>
          </w:p>
        </w:tc>
      </w:tr>
      <w:tr w:rsidR="00F75892" w:rsidRPr="004666B8" w14:paraId="23F7D637" w14:textId="77777777" w:rsidTr="00AD20B8">
        <w:tc>
          <w:tcPr>
            <w:tcW w:w="3275" w:type="dxa"/>
          </w:tcPr>
          <w:p w14:paraId="49AA58E1" w14:textId="44073728" w:rsidR="00F75892" w:rsidRDefault="006E1436" w:rsidP="00AD20B8">
            <w:pPr>
              <w:pStyle w:val="tabledotpoint"/>
              <w:numPr>
                <w:ilvl w:val="0"/>
                <w:numId w:val="0"/>
              </w:numPr>
            </w:pPr>
            <w:r>
              <w:t xml:space="preserve">Persons that are liable on the CSF offer document must notify the company and the CSF intermediary if they become aware that the offer document is defective. </w:t>
            </w:r>
          </w:p>
        </w:tc>
        <w:tc>
          <w:tcPr>
            <w:tcW w:w="3276" w:type="dxa"/>
          </w:tcPr>
          <w:p w14:paraId="27207A12" w14:textId="5569FF06" w:rsidR="00F75892" w:rsidRDefault="000D1C0E" w:rsidP="002215D8">
            <w:pPr>
              <w:pStyle w:val="tabletext"/>
              <w:rPr>
                <w:lang w:val="en-US" w:eastAsia="en-US"/>
              </w:rPr>
            </w:pPr>
            <w:r>
              <w:rPr>
                <w:lang w:val="en-US" w:eastAsia="en-US"/>
              </w:rPr>
              <w:t xml:space="preserve">Persons liable on the disclosure document must inform the person making the offer if they become aware of deficiencies in the </w:t>
            </w:r>
            <w:r w:rsidR="00C1278A">
              <w:rPr>
                <w:lang w:val="en-US" w:eastAsia="en-US"/>
              </w:rPr>
              <w:t>disclosure</w:t>
            </w:r>
            <w:r>
              <w:rPr>
                <w:lang w:val="en-US" w:eastAsia="en-US"/>
              </w:rPr>
              <w:t xml:space="preserve"> document.</w:t>
            </w:r>
          </w:p>
        </w:tc>
      </w:tr>
      <w:tr w:rsidR="00F75892" w:rsidRPr="004666B8" w14:paraId="1E353565" w14:textId="77777777" w:rsidTr="00AD20B8">
        <w:tc>
          <w:tcPr>
            <w:tcW w:w="3275" w:type="dxa"/>
          </w:tcPr>
          <w:p w14:paraId="75E1AF01" w14:textId="0D56B93F" w:rsidR="00F75892" w:rsidRDefault="00E000E8" w:rsidP="00AD20B8">
            <w:pPr>
              <w:pStyle w:val="tabledotpoint"/>
              <w:numPr>
                <w:ilvl w:val="0"/>
                <w:numId w:val="0"/>
              </w:numPr>
            </w:pPr>
            <w:r>
              <w:t xml:space="preserve">A CSF intermediary must suspend a CSF offer if it becomes aware that the CSF offer document is defective. </w:t>
            </w:r>
          </w:p>
        </w:tc>
        <w:tc>
          <w:tcPr>
            <w:tcW w:w="3276" w:type="dxa"/>
          </w:tcPr>
          <w:p w14:paraId="6E03ADF3" w14:textId="3652D0D1" w:rsidR="00F75892" w:rsidRDefault="00433C73" w:rsidP="00AD20B8">
            <w:pPr>
              <w:pStyle w:val="tabletext"/>
              <w:rPr>
                <w:lang w:val="en-US" w:eastAsia="en-US"/>
              </w:rPr>
            </w:pPr>
            <w:r>
              <w:rPr>
                <w:lang w:val="en-US" w:eastAsia="en-US"/>
              </w:rPr>
              <w:t>No equivalent.</w:t>
            </w:r>
          </w:p>
        </w:tc>
      </w:tr>
      <w:tr w:rsidR="00F75892" w:rsidRPr="004666B8" w14:paraId="6E8C28C5" w14:textId="77777777" w:rsidTr="00AD20B8">
        <w:tc>
          <w:tcPr>
            <w:tcW w:w="3275" w:type="dxa"/>
          </w:tcPr>
          <w:p w14:paraId="7A4E2FBE" w14:textId="5E696052" w:rsidR="00F75892" w:rsidRDefault="00B82B89" w:rsidP="002215D8">
            <w:pPr>
              <w:pStyle w:val="tabledotpoint"/>
              <w:numPr>
                <w:ilvl w:val="0"/>
                <w:numId w:val="0"/>
              </w:numPr>
            </w:pPr>
            <w:r>
              <w:t>A company can prepare a supplementary or replacement CSF</w:t>
            </w:r>
            <w:r w:rsidR="00A800B6">
              <w:t> </w:t>
            </w:r>
            <w:r>
              <w:t xml:space="preserve">offer document where the original </w:t>
            </w:r>
            <w:r w:rsidR="00AA2C94">
              <w:t>CSF </w:t>
            </w:r>
            <w:r>
              <w:t xml:space="preserve">offer document is defective or does not satisfy the requirements of a CSF offer document. </w:t>
            </w:r>
          </w:p>
        </w:tc>
        <w:tc>
          <w:tcPr>
            <w:tcW w:w="3276" w:type="dxa"/>
          </w:tcPr>
          <w:p w14:paraId="248A73E0" w14:textId="0BA10D26" w:rsidR="00F75892" w:rsidRDefault="00A1499A" w:rsidP="002215D8">
            <w:pPr>
              <w:pStyle w:val="tabletext"/>
              <w:rPr>
                <w:lang w:val="en-US" w:eastAsia="en-US"/>
              </w:rPr>
            </w:pPr>
            <w:r>
              <w:rPr>
                <w:lang w:val="en-US" w:eastAsia="en-US"/>
              </w:rPr>
              <w:t xml:space="preserve">A company can prepare a supplementary or replacement </w:t>
            </w:r>
            <w:r w:rsidR="00C1278A">
              <w:rPr>
                <w:lang w:val="en-US" w:eastAsia="en-US"/>
              </w:rPr>
              <w:t>disclosure</w:t>
            </w:r>
            <w:r>
              <w:rPr>
                <w:lang w:val="en-US" w:eastAsia="en-US"/>
              </w:rPr>
              <w:t xml:space="preserve"> document to correct a deficiency in the original </w:t>
            </w:r>
            <w:r w:rsidR="00C1278A">
              <w:rPr>
                <w:lang w:val="en-US" w:eastAsia="en-US"/>
              </w:rPr>
              <w:t xml:space="preserve">disclosure </w:t>
            </w:r>
            <w:r>
              <w:rPr>
                <w:lang w:val="en-US" w:eastAsia="en-US"/>
              </w:rPr>
              <w:t>document or to change the terms of the offer.</w:t>
            </w:r>
          </w:p>
        </w:tc>
      </w:tr>
      <w:tr w:rsidR="00F75892" w:rsidRPr="004666B8" w14:paraId="5DEAB520" w14:textId="77777777" w:rsidTr="00AD20B8">
        <w:tc>
          <w:tcPr>
            <w:tcW w:w="3275" w:type="dxa"/>
          </w:tcPr>
          <w:p w14:paraId="120509F3" w14:textId="3C8218BC" w:rsidR="00F75892" w:rsidRPr="00F63766" w:rsidRDefault="009B239C" w:rsidP="002215D8">
            <w:pPr>
              <w:pStyle w:val="tabledotpoint"/>
              <w:numPr>
                <w:ilvl w:val="0"/>
                <w:numId w:val="0"/>
              </w:numPr>
            </w:pPr>
            <w:r>
              <w:t>An intermediary that publishes a supplementary or replacement CSF</w:t>
            </w:r>
            <w:r w:rsidR="00CF7D06">
              <w:t> </w:t>
            </w:r>
            <w:r>
              <w:t>offer document must notify applicants that made applications pursuant to the original</w:t>
            </w:r>
            <w:r w:rsidR="00C34FB1">
              <w:t xml:space="preserve"> CSF</w:t>
            </w:r>
            <w:r>
              <w:t xml:space="preserve"> offer document that they have one month </w:t>
            </w:r>
            <w:r w:rsidR="00696F4A">
              <w:t xml:space="preserve">from the date of the notice </w:t>
            </w:r>
            <w:r>
              <w:t>in which to withdraw their application</w:t>
            </w:r>
            <w:r w:rsidR="00BB77B8">
              <w:t xml:space="preserve">. </w:t>
            </w:r>
          </w:p>
        </w:tc>
        <w:tc>
          <w:tcPr>
            <w:tcW w:w="3276" w:type="dxa"/>
          </w:tcPr>
          <w:p w14:paraId="665B76D5" w14:textId="72CEBF07" w:rsidR="00F75892" w:rsidRDefault="00C1278A" w:rsidP="004457AC">
            <w:pPr>
              <w:pStyle w:val="tabletext"/>
              <w:rPr>
                <w:lang w:val="en-US" w:eastAsia="en-US"/>
              </w:rPr>
            </w:pPr>
            <w:r>
              <w:rPr>
                <w:lang w:val="en-US" w:eastAsia="en-US"/>
              </w:rPr>
              <w:t xml:space="preserve">If the original </w:t>
            </w:r>
            <w:r w:rsidR="0007503A">
              <w:rPr>
                <w:lang w:val="en-US" w:eastAsia="en-US"/>
              </w:rPr>
              <w:t>disclosure</w:t>
            </w:r>
            <w:r>
              <w:rPr>
                <w:lang w:val="en-US" w:eastAsia="en-US"/>
              </w:rPr>
              <w:t xml:space="preserve"> document is defective, the company </w:t>
            </w:r>
            <w:r w:rsidR="004457AC">
              <w:rPr>
                <w:lang w:val="en-US" w:eastAsia="en-US"/>
              </w:rPr>
              <w:t>could</w:t>
            </w:r>
            <w:r>
              <w:rPr>
                <w:lang w:val="en-US" w:eastAsia="en-US"/>
              </w:rPr>
              <w:t xml:space="preserve"> either: repay application money to applicants; give applicants a supplementary or replacement disclosure document</w:t>
            </w:r>
            <w:r w:rsidR="0007503A">
              <w:rPr>
                <w:lang w:val="en-US" w:eastAsia="en-US"/>
              </w:rPr>
              <w:t xml:space="preserve"> and one month to withdraw their application; or issue the securities to the applicants and provide them with one month to return the </w:t>
            </w:r>
            <w:r w:rsidR="007847A6">
              <w:rPr>
                <w:lang w:val="en-US" w:eastAsia="en-US"/>
              </w:rPr>
              <w:t>securities</w:t>
            </w:r>
            <w:r w:rsidR="005F148F">
              <w:rPr>
                <w:lang w:val="en-US" w:eastAsia="en-US"/>
              </w:rPr>
              <w:t xml:space="preserve"> </w:t>
            </w:r>
            <w:r w:rsidR="0007503A">
              <w:rPr>
                <w:lang w:val="en-US" w:eastAsia="en-US"/>
              </w:rPr>
              <w:t>and be repaid.</w:t>
            </w:r>
          </w:p>
        </w:tc>
      </w:tr>
      <w:tr w:rsidR="004832BD" w:rsidRPr="004666B8" w14:paraId="5AF0BF95" w14:textId="77777777" w:rsidTr="00AD20B8">
        <w:tc>
          <w:tcPr>
            <w:tcW w:w="3275" w:type="dxa"/>
          </w:tcPr>
          <w:p w14:paraId="6A48F05F" w14:textId="4F608B4D" w:rsidR="004832BD" w:rsidRDefault="004832BD">
            <w:pPr>
              <w:pStyle w:val="tabledotpoint"/>
              <w:numPr>
                <w:ilvl w:val="0"/>
                <w:numId w:val="0"/>
              </w:numPr>
            </w:pPr>
            <w:r w:rsidRPr="00FF5264">
              <w:t xml:space="preserve">A company that offers securities under a CSF </w:t>
            </w:r>
            <w:r w:rsidRPr="00253AFF">
              <w:t>offer document that is defective commits an offence</w:t>
            </w:r>
            <w:r w:rsidR="001A729F">
              <w:t xml:space="preserve"> if the defect is </w:t>
            </w:r>
            <w:r w:rsidR="001A729F" w:rsidRPr="00B724E8">
              <w:t>materially adverse from the point of view of an investor</w:t>
            </w:r>
            <w:r w:rsidR="001A729F">
              <w:t>.</w:t>
            </w:r>
          </w:p>
        </w:tc>
        <w:tc>
          <w:tcPr>
            <w:tcW w:w="3276" w:type="dxa"/>
          </w:tcPr>
          <w:p w14:paraId="0B3A6992" w14:textId="07B6DF80" w:rsidR="004832BD" w:rsidRDefault="00DF01D4" w:rsidP="00AD20B8">
            <w:pPr>
              <w:pStyle w:val="tabletext"/>
              <w:rPr>
                <w:lang w:val="en-US" w:eastAsia="en-US"/>
              </w:rPr>
            </w:pPr>
            <w:r>
              <w:rPr>
                <w:lang w:val="en-US" w:eastAsia="en-US"/>
              </w:rPr>
              <w:t>A company that offers securities under a defective disclosure document commits an offence if the defect is materially adverse from the point of view of an investor.</w:t>
            </w:r>
          </w:p>
        </w:tc>
      </w:tr>
      <w:tr w:rsidR="004832BD" w:rsidRPr="004666B8" w14:paraId="3EF85E15" w14:textId="77777777" w:rsidTr="00AD20B8">
        <w:tc>
          <w:tcPr>
            <w:tcW w:w="3275" w:type="dxa"/>
          </w:tcPr>
          <w:p w14:paraId="2B569924" w14:textId="233FBE2D" w:rsidR="004832BD" w:rsidRPr="00FF5264" w:rsidRDefault="004832BD" w:rsidP="002215D8">
            <w:pPr>
              <w:pStyle w:val="tabledotpoint"/>
              <w:numPr>
                <w:ilvl w:val="0"/>
                <w:numId w:val="0"/>
              </w:numPr>
            </w:pPr>
            <w:r>
              <w:t>An intermediary that publishes</w:t>
            </w:r>
            <w:r w:rsidRPr="00F63766">
              <w:t xml:space="preserve"> a</w:t>
            </w:r>
            <w:r w:rsidR="00CF7D06">
              <w:t xml:space="preserve"> CSF </w:t>
            </w:r>
            <w:r w:rsidRPr="00F63766">
              <w:t xml:space="preserve">offer document that </w:t>
            </w:r>
            <w:r w:rsidRPr="004832BD">
              <w:t>it knows</w:t>
            </w:r>
            <w:r>
              <w:t xml:space="preserve"> to be</w:t>
            </w:r>
            <w:r w:rsidR="00DB7FC1">
              <w:t xml:space="preserve"> defective commits an offence if the</w:t>
            </w:r>
            <w:r>
              <w:t xml:space="preserve"> defect</w:t>
            </w:r>
            <w:r w:rsidRPr="00B724E8">
              <w:t xml:space="preserve"> is materially adverse from the point of view of an investor</w:t>
            </w:r>
            <w:r w:rsidR="001A729F">
              <w:t>.</w:t>
            </w:r>
          </w:p>
        </w:tc>
        <w:tc>
          <w:tcPr>
            <w:tcW w:w="3276" w:type="dxa"/>
          </w:tcPr>
          <w:p w14:paraId="343DB93E" w14:textId="2F76B539" w:rsidR="004832BD" w:rsidRDefault="000645E2" w:rsidP="00AD20B8">
            <w:pPr>
              <w:pStyle w:val="tabletext"/>
              <w:rPr>
                <w:lang w:val="en-US" w:eastAsia="en-US"/>
              </w:rPr>
            </w:pPr>
            <w:r>
              <w:rPr>
                <w:lang w:val="en-US" w:eastAsia="en-US"/>
              </w:rPr>
              <w:t>No equivalent.</w:t>
            </w:r>
          </w:p>
        </w:tc>
      </w:tr>
      <w:tr w:rsidR="00716D8E" w:rsidRPr="004666B8" w14:paraId="703369D3" w14:textId="77777777" w:rsidTr="00AD20B8">
        <w:tc>
          <w:tcPr>
            <w:tcW w:w="3275" w:type="dxa"/>
          </w:tcPr>
          <w:p w14:paraId="4AEB9B1E" w14:textId="5F6F8695" w:rsidR="00716D8E" w:rsidRDefault="00716D8E" w:rsidP="002215D8">
            <w:pPr>
              <w:pStyle w:val="tabledotpoint"/>
              <w:numPr>
                <w:ilvl w:val="0"/>
                <w:numId w:val="0"/>
              </w:numPr>
            </w:pPr>
            <w:r w:rsidRPr="00F63766">
              <w:t>An investor that suffers loss or damage because of a defective</w:t>
            </w:r>
            <w:r w:rsidR="009C45DB">
              <w:t xml:space="preserve"> CSF</w:t>
            </w:r>
            <w:r w:rsidR="002B7E09">
              <w:t xml:space="preserve"> offer </w:t>
            </w:r>
            <w:r w:rsidRPr="00F63766">
              <w:t xml:space="preserve">document is able to recover the amount of the loss or damage from </w:t>
            </w:r>
            <w:r w:rsidR="00AC25DB">
              <w:t>persons liable on the offer document</w:t>
            </w:r>
            <w:r>
              <w:t>.</w:t>
            </w:r>
          </w:p>
        </w:tc>
        <w:tc>
          <w:tcPr>
            <w:tcW w:w="3276" w:type="dxa"/>
          </w:tcPr>
          <w:p w14:paraId="4BAABD77" w14:textId="548AF1D9" w:rsidR="00716D8E" w:rsidRDefault="003B7A3D" w:rsidP="002215D8">
            <w:pPr>
              <w:pStyle w:val="tabletext"/>
              <w:rPr>
                <w:lang w:val="en-US" w:eastAsia="en-US"/>
              </w:rPr>
            </w:pPr>
            <w:r>
              <w:rPr>
                <w:lang w:val="en-US" w:eastAsia="en-US"/>
              </w:rPr>
              <w:t>An investor that suffers loss or damage because of a defective disclosure document is able to recover the</w:t>
            </w:r>
            <w:r w:rsidR="00374763">
              <w:rPr>
                <w:lang w:val="en-US" w:eastAsia="en-US"/>
              </w:rPr>
              <w:t xml:space="preserve"> amount of the</w:t>
            </w:r>
            <w:r>
              <w:rPr>
                <w:lang w:val="en-US" w:eastAsia="en-US"/>
              </w:rPr>
              <w:t xml:space="preserve"> loss or damage from persons </w:t>
            </w:r>
            <w:r w:rsidR="00AC25DB">
              <w:rPr>
                <w:lang w:val="en-US" w:eastAsia="en-US"/>
              </w:rPr>
              <w:t>liable on the disclosure document</w:t>
            </w:r>
            <w:r>
              <w:rPr>
                <w:lang w:val="en-US" w:eastAsia="en-US"/>
              </w:rPr>
              <w:t>.</w:t>
            </w:r>
          </w:p>
        </w:tc>
      </w:tr>
      <w:tr w:rsidR="002B7E09" w:rsidRPr="004666B8" w14:paraId="7B41B994" w14:textId="77777777" w:rsidTr="00AD20B8">
        <w:tc>
          <w:tcPr>
            <w:tcW w:w="3275" w:type="dxa"/>
          </w:tcPr>
          <w:p w14:paraId="06417EAD" w14:textId="716CE500" w:rsidR="002B7E09" w:rsidRPr="00F63766" w:rsidRDefault="002B7E09" w:rsidP="003667CC">
            <w:pPr>
              <w:pStyle w:val="tabledotpoint"/>
              <w:numPr>
                <w:ilvl w:val="0"/>
                <w:numId w:val="0"/>
              </w:numPr>
            </w:pPr>
            <w:r>
              <w:t>ASIC may make a stop order in relation to a defective</w:t>
            </w:r>
            <w:r w:rsidR="00F33B19">
              <w:t xml:space="preserve"> CSF </w:t>
            </w:r>
            <w:r>
              <w:t xml:space="preserve">offer document. </w:t>
            </w:r>
          </w:p>
        </w:tc>
        <w:tc>
          <w:tcPr>
            <w:tcW w:w="3276" w:type="dxa"/>
          </w:tcPr>
          <w:p w14:paraId="19A57337" w14:textId="18F1540B" w:rsidR="002B7E09" w:rsidRDefault="003667CC" w:rsidP="002215D8">
            <w:pPr>
              <w:pStyle w:val="tabletext"/>
              <w:rPr>
                <w:lang w:val="en-US" w:eastAsia="en-US"/>
              </w:rPr>
            </w:pPr>
            <w:r>
              <w:rPr>
                <w:lang w:val="en-US" w:eastAsia="en-US"/>
              </w:rPr>
              <w:t>ASIC may make stop orders in relation to defective disclosure documents</w:t>
            </w:r>
            <w:r w:rsidR="00F94B9F">
              <w:rPr>
                <w:lang w:val="en-US" w:eastAsia="en-US"/>
              </w:rPr>
              <w:t xml:space="preserve">. </w:t>
            </w:r>
          </w:p>
        </w:tc>
      </w:tr>
    </w:tbl>
    <w:p w14:paraId="64AF5314" w14:textId="77777777" w:rsidR="00F75892" w:rsidRPr="00F63766" w:rsidRDefault="00F75892" w:rsidP="002B7E09">
      <w:pPr>
        <w:pStyle w:val="base-text-paragraph"/>
        <w:numPr>
          <w:ilvl w:val="0"/>
          <w:numId w:val="0"/>
        </w:numPr>
        <w:ind w:left="1134"/>
      </w:pPr>
    </w:p>
    <w:p w14:paraId="67B3B28A" w14:textId="77777777" w:rsidR="00E27590" w:rsidRPr="00F63766" w:rsidRDefault="00E27590" w:rsidP="00B676BE">
      <w:pPr>
        <w:pStyle w:val="Heading2"/>
      </w:pPr>
      <w:r w:rsidRPr="00F63766">
        <w:t>Detailed explanation of new law</w:t>
      </w:r>
    </w:p>
    <w:p w14:paraId="73D54BE5" w14:textId="19BE8D1C" w:rsidR="00E27590" w:rsidRPr="00F63766" w:rsidRDefault="00B469D7" w:rsidP="00E27590">
      <w:pPr>
        <w:pStyle w:val="Heading3"/>
      </w:pPr>
      <w:r>
        <w:t>Prohibition on making offers under a defective CSF offer document</w:t>
      </w:r>
    </w:p>
    <w:p w14:paraId="13A4B8CB" w14:textId="6098D173" w:rsidR="00BD6AD9" w:rsidRDefault="00BD6AD9" w:rsidP="00752A91">
      <w:pPr>
        <w:pStyle w:val="base-text-paragraph"/>
      </w:pPr>
      <w:r>
        <w:t xml:space="preserve">The amendments provide that a company must not offer securities under a CSF offer </w:t>
      </w:r>
      <w:r w:rsidRPr="00055EF6">
        <w:t xml:space="preserve">document if the document is defective </w:t>
      </w:r>
      <w:r w:rsidRPr="00055EF6">
        <w:rPr>
          <w:b/>
          <w:i/>
          <w:sz w:val="18"/>
        </w:rPr>
        <w:t>[Schedule 1, Part 1, item 14, subsection </w:t>
      </w:r>
      <w:proofErr w:type="gramStart"/>
      <w:r w:rsidR="00116883" w:rsidRPr="00055EF6">
        <w:rPr>
          <w:b/>
          <w:i/>
          <w:sz w:val="18"/>
        </w:rPr>
        <w:t>738Y</w:t>
      </w:r>
      <w:r w:rsidRPr="00055EF6">
        <w:rPr>
          <w:b/>
          <w:i/>
          <w:sz w:val="18"/>
        </w:rPr>
        <w:t>(</w:t>
      </w:r>
      <w:proofErr w:type="gramEnd"/>
      <w:r w:rsidRPr="00055EF6">
        <w:rPr>
          <w:b/>
          <w:i/>
          <w:sz w:val="18"/>
        </w:rPr>
        <w:t>1)]</w:t>
      </w:r>
      <w:r w:rsidR="00BF0E39">
        <w:rPr>
          <w:b/>
          <w:i/>
          <w:sz w:val="18"/>
        </w:rPr>
        <w:t>.</w:t>
      </w:r>
      <w:r w:rsidR="001C4780" w:rsidRPr="00055EF6">
        <w:rPr>
          <w:b/>
          <w:i/>
          <w:sz w:val="18"/>
        </w:rPr>
        <w:t xml:space="preserve"> </w:t>
      </w:r>
      <w:r w:rsidR="001C4780" w:rsidRPr="00055EF6">
        <w:t xml:space="preserve">A company will be taken to offer securities under a CSF offer document, at all times, before the offer is closed, while the document is published on a platform of the intermediary </w:t>
      </w:r>
      <w:r w:rsidR="001C4780" w:rsidRPr="00055EF6">
        <w:rPr>
          <w:b/>
          <w:i/>
          <w:sz w:val="18"/>
        </w:rPr>
        <w:t>[Schedule 1, Part 1, item 14, subsection 738</w:t>
      </w:r>
      <w:r w:rsidR="00116883" w:rsidRPr="00055EF6">
        <w:rPr>
          <w:b/>
          <w:i/>
          <w:sz w:val="18"/>
        </w:rPr>
        <w:t>Y</w:t>
      </w:r>
      <w:r w:rsidR="001C4780" w:rsidRPr="00055EF6">
        <w:rPr>
          <w:b/>
          <w:i/>
          <w:sz w:val="18"/>
        </w:rPr>
        <w:t>(2)]</w:t>
      </w:r>
      <w:r w:rsidR="001C4780" w:rsidRPr="00055EF6">
        <w:t>.</w:t>
      </w:r>
    </w:p>
    <w:p w14:paraId="373C129B" w14:textId="7D31EAA8" w:rsidR="00BD6AD9" w:rsidRDefault="00BD6AD9" w:rsidP="00BD6AD9">
      <w:pPr>
        <w:pStyle w:val="base-text-paragraph"/>
      </w:pPr>
      <w:r>
        <w:t xml:space="preserve">The amendments provide that an intermediary must not publish or continue to publish a CSF offer document if the document is defective and the intermediary </w:t>
      </w:r>
      <w:r w:rsidRPr="00913B09">
        <w:rPr>
          <w:i/>
        </w:rPr>
        <w:t>knows</w:t>
      </w:r>
      <w:r>
        <w:t xml:space="preserve"> the document is defective </w:t>
      </w:r>
      <w:r w:rsidRPr="00BD6AD9">
        <w:rPr>
          <w:b/>
          <w:i/>
          <w:sz w:val="18"/>
        </w:rPr>
        <w:t>[Schedule 1, Part 1, item 14, subsection 738Y(</w:t>
      </w:r>
      <w:r>
        <w:rPr>
          <w:b/>
          <w:i/>
          <w:sz w:val="18"/>
        </w:rPr>
        <w:t>3</w:t>
      </w:r>
      <w:r w:rsidRPr="00BD6AD9">
        <w:rPr>
          <w:b/>
          <w:i/>
          <w:sz w:val="18"/>
        </w:rPr>
        <w:t>)]</w:t>
      </w:r>
      <w:r w:rsidR="00BF0E39">
        <w:t xml:space="preserve">. </w:t>
      </w:r>
      <w:r w:rsidR="002C2E74">
        <w:t xml:space="preserve">For the purposes of determining whether the intermediary knew the offer document was defective, the intermediary </w:t>
      </w:r>
      <w:r w:rsidR="00DB7FC1">
        <w:t>is</w:t>
      </w:r>
      <w:r w:rsidR="002C2E74">
        <w:t xml:space="preserve"> taken to have knowledge of any matter that they would have had knowledge of had they conducted the prescribed checks to a reasonable standard</w:t>
      </w:r>
      <w:r w:rsidR="00A37702">
        <w:t xml:space="preserve"> </w:t>
      </w:r>
      <w:r w:rsidR="00A37702" w:rsidRPr="00BD6AD9">
        <w:rPr>
          <w:b/>
          <w:i/>
          <w:sz w:val="18"/>
        </w:rPr>
        <w:t>[Schedule 1, Part 1, item 14, subsection 738</w:t>
      </w:r>
      <w:r w:rsidR="00A37702">
        <w:rPr>
          <w:b/>
          <w:i/>
          <w:sz w:val="18"/>
        </w:rPr>
        <w:t>Q</w:t>
      </w:r>
      <w:r w:rsidR="00A37702" w:rsidRPr="00BD6AD9">
        <w:rPr>
          <w:b/>
          <w:i/>
          <w:sz w:val="18"/>
        </w:rPr>
        <w:t>(</w:t>
      </w:r>
      <w:r w:rsidR="00A37702">
        <w:rPr>
          <w:b/>
          <w:i/>
          <w:sz w:val="18"/>
        </w:rPr>
        <w:t>4</w:t>
      </w:r>
      <w:r w:rsidR="00A37702" w:rsidRPr="00BD6AD9">
        <w:rPr>
          <w:b/>
          <w:i/>
          <w:sz w:val="18"/>
        </w:rPr>
        <w:t>)]</w:t>
      </w:r>
      <w:r w:rsidR="00A37702">
        <w:t xml:space="preserve">.  </w:t>
      </w:r>
    </w:p>
    <w:p w14:paraId="2DBEB216" w14:textId="04F5D647" w:rsidR="00177851" w:rsidRDefault="00177851" w:rsidP="00913B09">
      <w:pPr>
        <w:pStyle w:val="Heading3"/>
      </w:pPr>
      <w:r>
        <w:t>When an offer document will be ‘defective’</w:t>
      </w:r>
    </w:p>
    <w:p w14:paraId="5F0FBC8C" w14:textId="4B21DAB4" w:rsidR="00E27590" w:rsidRPr="00F63766" w:rsidRDefault="00E27590" w:rsidP="00724B06">
      <w:pPr>
        <w:pStyle w:val="base-text-paragraph"/>
      </w:pPr>
      <w:r w:rsidRPr="00F63766">
        <w:t xml:space="preserve">A CSF offer document </w:t>
      </w:r>
      <w:r w:rsidR="001C4780">
        <w:t>will be</w:t>
      </w:r>
      <w:r w:rsidR="001C4780" w:rsidRPr="00F63766">
        <w:t xml:space="preserve"> </w:t>
      </w:r>
      <w:r w:rsidRPr="00F63766">
        <w:t xml:space="preserve">defective where: </w:t>
      </w:r>
    </w:p>
    <w:p w14:paraId="79C1239E" w14:textId="77777777" w:rsidR="00E27590" w:rsidRPr="00F63766" w:rsidRDefault="00E27590" w:rsidP="00E27590">
      <w:pPr>
        <w:pStyle w:val="dotpoint"/>
      </w:pPr>
      <w:r w:rsidRPr="00F63766">
        <w:t>the document contains a misleading or deceptive statement; or</w:t>
      </w:r>
    </w:p>
    <w:p w14:paraId="01805FA9" w14:textId="77777777" w:rsidR="00E27590" w:rsidRPr="00F63766" w:rsidRDefault="00E27590" w:rsidP="00E27590">
      <w:pPr>
        <w:pStyle w:val="dotpoint"/>
      </w:pPr>
      <w:r w:rsidRPr="00F63766">
        <w:t xml:space="preserve">there is an omission from the document of information required to be included in the document; or </w:t>
      </w:r>
    </w:p>
    <w:p w14:paraId="34E2823B" w14:textId="10DC4D5B" w:rsidR="00E27590" w:rsidRPr="00F63766" w:rsidRDefault="00E27590" w:rsidP="00E27590">
      <w:pPr>
        <w:pStyle w:val="dotpoint"/>
      </w:pPr>
      <w:proofErr w:type="gramStart"/>
      <w:r w:rsidRPr="00F63766">
        <w:t>since</w:t>
      </w:r>
      <w:proofErr w:type="gramEnd"/>
      <w:r w:rsidRPr="00F63766">
        <w:t xml:space="preserve"> the document was published, a new circumstance has arisen that would have been required to have been included in the document had it arisen prior to the document being published. </w:t>
      </w:r>
      <w:r w:rsidRPr="00F63766">
        <w:rPr>
          <w:b/>
          <w:i/>
          <w:sz w:val="18"/>
        </w:rPr>
        <w:t xml:space="preserve">[Schedule 1, Part 1, </w:t>
      </w:r>
      <w:r w:rsidR="004C3043">
        <w:rPr>
          <w:b/>
          <w:i/>
          <w:sz w:val="18"/>
        </w:rPr>
        <w:t>item 14</w:t>
      </w:r>
      <w:r w:rsidRPr="00F63766">
        <w:rPr>
          <w:b/>
          <w:i/>
          <w:sz w:val="18"/>
        </w:rPr>
        <w:t>, subsection 738U(1)]</w:t>
      </w:r>
    </w:p>
    <w:p w14:paraId="70AACEE0" w14:textId="413D636F" w:rsidR="00E27590" w:rsidRPr="00F63766" w:rsidRDefault="003F3A0B" w:rsidP="00724B06">
      <w:pPr>
        <w:pStyle w:val="base-text-paragraph"/>
      </w:pPr>
      <w:r>
        <w:t>The amendments provide that a</w:t>
      </w:r>
      <w:r w:rsidR="00E27590" w:rsidRPr="00F63766">
        <w:t xml:space="preserve"> misleading statement includes a statement about a future matter where the person making the statement does not have reasonable grounds for making the statement </w:t>
      </w:r>
      <w:r w:rsidR="00E27590" w:rsidRPr="00F63766">
        <w:rPr>
          <w:b/>
          <w:i/>
          <w:sz w:val="18"/>
        </w:rPr>
        <w:t>[Schedule 1, Part</w:t>
      </w:r>
      <w:r w:rsidR="003F1D4F">
        <w:rPr>
          <w:b/>
          <w:i/>
          <w:sz w:val="18"/>
        </w:rPr>
        <w:t> </w:t>
      </w:r>
      <w:r w:rsidR="00E27590" w:rsidRPr="00F63766">
        <w:rPr>
          <w:b/>
          <w:i/>
          <w:sz w:val="18"/>
        </w:rPr>
        <w:t xml:space="preserve">1, </w:t>
      </w:r>
      <w:r w:rsidR="004C3043">
        <w:rPr>
          <w:b/>
          <w:i/>
          <w:sz w:val="18"/>
        </w:rPr>
        <w:t>item 14</w:t>
      </w:r>
      <w:r w:rsidR="00E27590" w:rsidRPr="00F63766">
        <w:rPr>
          <w:b/>
          <w:i/>
          <w:sz w:val="18"/>
        </w:rPr>
        <w:t>, subsection </w:t>
      </w:r>
      <w:proofErr w:type="gramStart"/>
      <w:r w:rsidR="00E27590" w:rsidRPr="00F63766">
        <w:rPr>
          <w:b/>
          <w:i/>
          <w:sz w:val="18"/>
        </w:rPr>
        <w:t>738U(</w:t>
      </w:r>
      <w:proofErr w:type="gramEnd"/>
      <w:r w:rsidR="00E27590" w:rsidRPr="00F63766">
        <w:rPr>
          <w:b/>
          <w:i/>
          <w:sz w:val="18"/>
        </w:rPr>
        <w:t>2)]</w:t>
      </w:r>
      <w:r w:rsidR="00E27590" w:rsidRPr="00F63766">
        <w:t xml:space="preserve">. </w:t>
      </w:r>
    </w:p>
    <w:p w14:paraId="6FBA2686" w14:textId="68C338EE" w:rsidR="00BD6AD9" w:rsidRPr="00F63766" w:rsidRDefault="00BD6AD9" w:rsidP="00BD6AD9">
      <w:pPr>
        <w:pStyle w:val="Heading3"/>
      </w:pPr>
      <w:r w:rsidRPr="00F63766">
        <w:t xml:space="preserve">Notification obligations where </w:t>
      </w:r>
      <w:r w:rsidR="008D6901">
        <w:t>the</w:t>
      </w:r>
      <w:r w:rsidRPr="00F63766">
        <w:t xml:space="preserve"> offer document is defective </w:t>
      </w:r>
    </w:p>
    <w:p w14:paraId="0140D568" w14:textId="2DA4DD52" w:rsidR="00E27590" w:rsidRPr="00F63766" w:rsidRDefault="000D30A5" w:rsidP="00724B06">
      <w:pPr>
        <w:pStyle w:val="base-text-paragraph"/>
      </w:pPr>
      <w:r>
        <w:t>The amendments place obligations on c</w:t>
      </w:r>
      <w:r w:rsidR="00E27590" w:rsidRPr="00F63766">
        <w:t>ertain persons associated with</w:t>
      </w:r>
      <w:r>
        <w:t xml:space="preserve"> </w:t>
      </w:r>
      <w:r w:rsidR="004D7195">
        <w:t>the</w:t>
      </w:r>
      <w:r w:rsidR="00E27590" w:rsidRPr="00F63766">
        <w:t xml:space="preserve"> </w:t>
      </w:r>
      <w:r>
        <w:t xml:space="preserve">offer document </w:t>
      </w:r>
      <w:r w:rsidR="00E27590" w:rsidRPr="00F63766">
        <w:t>to provide written notification to the company and intermediary if they become aware, while the CSF offer is open, that the offer document is defective</w:t>
      </w:r>
      <w:r w:rsidR="00857FB6">
        <w:t xml:space="preserve">: </w:t>
      </w:r>
      <w:r w:rsidR="00E27590" w:rsidRPr="00F63766">
        <w:t xml:space="preserve"> </w:t>
      </w:r>
    </w:p>
    <w:p w14:paraId="2F47962D" w14:textId="28CB60DE" w:rsidR="00E27590" w:rsidRPr="00F63766" w:rsidRDefault="00E27590" w:rsidP="00E27590">
      <w:pPr>
        <w:pStyle w:val="dotpoint"/>
      </w:pPr>
      <w:r w:rsidRPr="00F63766">
        <w:t xml:space="preserve">if the </w:t>
      </w:r>
      <w:r w:rsidR="00D55FD0">
        <w:t xml:space="preserve">issuer </w:t>
      </w:r>
      <w:r w:rsidRPr="00F63766">
        <w:t xml:space="preserve">company becomes aware that the document is defective, it must notify the responsible intermediary as soon as practicable </w:t>
      </w:r>
      <w:r w:rsidRPr="00F63766">
        <w:rPr>
          <w:b/>
          <w:i/>
          <w:sz w:val="18"/>
        </w:rPr>
        <w:t xml:space="preserve">[Schedule 1, Part 1, </w:t>
      </w:r>
      <w:r w:rsidR="004C3043">
        <w:rPr>
          <w:b/>
          <w:i/>
          <w:sz w:val="18"/>
        </w:rPr>
        <w:t>item 14</w:t>
      </w:r>
      <w:r w:rsidRPr="00F63766">
        <w:rPr>
          <w:b/>
          <w:i/>
          <w:sz w:val="18"/>
        </w:rPr>
        <w:t>, subsection 738V(1)]</w:t>
      </w:r>
      <w:r w:rsidRPr="00F63766">
        <w:t>;</w:t>
      </w:r>
    </w:p>
    <w:p w14:paraId="68591A4F" w14:textId="080A226D" w:rsidR="00E27590" w:rsidRPr="00F63766" w:rsidRDefault="00E27590" w:rsidP="00E27590">
      <w:pPr>
        <w:pStyle w:val="dotpoint"/>
      </w:pPr>
      <w:r w:rsidRPr="00F63766">
        <w:t xml:space="preserve">if the intermediary becomes aware that the offer document is defective, the intermediary must notify the company as soon as practicable </w:t>
      </w:r>
      <w:r w:rsidRPr="00F63766">
        <w:rPr>
          <w:b/>
          <w:i/>
          <w:sz w:val="18"/>
        </w:rPr>
        <w:t xml:space="preserve">[Schedule 1, Part 1, </w:t>
      </w:r>
      <w:r w:rsidR="004C3043">
        <w:rPr>
          <w:b/>
          <w:i/>
          <w:sz w:val="18"/>
        </w:rPr>
        <w:t>item 14</w:t>
      </w:r>
      <w:r w:rsidRPr="00F63766">
        <w:rPr>
          <w:b/>
          <w:i/>
          <w:sz w:val="18"/>
        </w:rPr>
        <w:t>, subsection 738V(2)]</w:t>
      </w:r>
      <w:r w:rsidRPr="00F63766">
        <w:t>; and</w:t>
      </w:r>
    </w:p>
    <w:p w14:paraId="3D532580" w14:textId="6220D06B" w:rsidR="00E27590" w:rsidRPr="00F63766" w:rsidRDefault="00E27590" w:rsidP="00E27590">
      <w:pPr>
        <w:pStyle w:val="dotpoint"/>
      </w:pPr>
      <w:proofErr w:type="gramStart"/>
      <w:r w:rsidRPr="00F63766">
        <w:t>if</w:t>
      </w:r>
      <w:proofErr w:type="gramEnd"/>
      <w:r w:rsidRPr="00F63766">
        <w:t xml:space="preserve"> </w:t>
      </w:r>
      <w:r w:rsidRPr="00D70D80">
        <w:t xml:space="preserve">another person </w:t>
      </w:r>
      <w:r w:rsidR="007E3A6C" w:rsidRPr="00D70D80">
        <w:t xml:space="preserve">who </w:t>
      </w:r>
      <w:r w:rsidRPr="00D70D80">
        <w:t xml:space="preserve">is liable on the offer document </w:t>
      </w:r>
      <w:r w:rsidR="000D30A5" w:rsidRPr="00D70D80">
        <w:t>(refer</w:t>
      </w:r>
      <w:r w:rsidR="00222F88" w:rsidRPr="00D70D80">
        <w:t> </w:t>
      </w:r>
      <w:r w:rsidR="000D30A5" w:rsidRPr="008D4C64">
        <w:t xml:space="preserve">paragraph </w:t>
      </w:r>
      <w:r w:rsidR="008500FF" w:rsidRPr="008D4C64">
        <w:t>5.</w:t>
      </w:r>
      <w:r w:rsidR="00440763" w:rsidRPr="008D4C64">
        <w:t>42</w:t>
      </w:r>
      <w:r w:rsidR="000D30A5" w:rsidRPr="00D70D80">
        <w:t xml:space="preserve">) </w:t>
      </w:r>
      <w:r w:rsidRPr="00D70D80">
        <w:t>becomes</w:t>
      </w:r>
      <w:r w:rsidRPr="00F63766">
        <w:t xml:space="preserve"> aware that the offer document is defective, </w:t>
      </w:r>
      <w:r w:rsidR="00DF193A" w:rsidRPr="00F63766">
        <w:t>th</w:t>
      </w:r>
      <w:r w:rsidR="00DF193A">
        <w:t>at person</w:t>
      </w:r>
      <w:r w:rsidR="00DF193A" w:rsidRPr="00F63766">
        <w:t xml:space="preserve"> </w:t>
      </w:r>
      <w:r w:rsidRPr="00F63766">
        <w:t xml:space="preserve">must notify the company and </w:t>
      </w:r>
      <w:r w:rsidR="0019322F">
        <w:t xml:space="preserve">the </w:t>
      </w:r>
      <w:r w:rsidRPr="00F63766">
        <w:t xml:space="preserve">intermediary as soon as practicable </w:t>
      </w:r>
      <w:r w:rsidRPr="00F63766">
        <w:rPr>
          <w:b/>
          <w:i/>
          <w:sz w:val="18"/>
        </w:rPr>
        <w:t xml:space="preserve">[Schedule 1, Part 1, </w:t>
      </w:r>
      <w:r w:rsidR="004C3043">
        <w:rPr>
          <w:b/>
          <w:i/>
          <w:sz w:val="18"/>
        </w:rPr>
        <w:t>item 14</w:t>
      </w:r>
      <w:r w:rsidRPr="00F63766">
        <w:rPr>
          <w:b/>
          <w:i/>
          <w:sz w:val="18"/>
        </w:rPr>
        <w:t xml:space="preserve">, subsection 738V(3)]. </w:t>
      </w:r>
    </w:p>
    <w:p w14:paraId="5D70D81A" w14:textId="1DE9F2EA" w:rsidR="00A62CD2" w:rsidRDefault="00E27590" w:rsidP="00724B06">
      <w:pPr>
        <w:pStyle w:val="base-text-paragraph"/>
      </w:pPr>
      <w:r w:rsidRPr="00F63766">
        <w:t>The notification obligation only arise</w:t>
      </w:r>
      <w:r w:rsidR="00A62CD2">
        <w:t>s</w:t>
      </w:r>
      <w:r w:rsidRPr="00F63766">
        <w:t xml:space="preserve"> where the person required to notify </w:t>
      </w:r>
      <w:r w:rsidRPr="00F63766">
        <w:rPr>
          <w:i/>
        </w:rPr>
        <w:t>becomes aware</w:t>
      </w:r>
      <w:r w:rsidRPr="00F63766">
        <w:t xml:space="preserve"> that the offer document is defective.  </w:t>
      </w:r>
      <w:r w:rsidR="00293A57">
        <w:t xml:space="preserve">If the person does not know that the document is defective, then no obligation to notify will arise.  </w:t>
      </w:r>
    </w:p>
    <w:p w14:paraId="39D264BC" w14:textId="552CB9BE" w:rsidR="00E27590" w:rsidRPr="00F63766" w:rsidRDefault="00293A57" w:rsidP="00724B06">
      <w:pPr>
        <w:pStyle w:val="base-text-paragraph"/>
      </w:pPr>
      <w:r>
        <w:t xml:space="preserve">In the case of an intermediary, it is relevant to note that an intermediary </w:t>
      </w:r>
      <w:r w:rsidR="00A62CD2">
        <w:t xml:space="preserve">is </w:t>
      </w:r>
      <w:r>
        <w:t xml:space="preserve">taken to </w:t>
      </w:r>
      <w:r w:rsidR="00E27590" w:rsidRPr="00F63766">
        <w:t xml:space="preserve">have knowledge of any matter that they would have known of had they conducted the prescribed checks to a reasonable standard </w:t>
      </w:r>
      <w:r w:rsidR="00E27590" w:rsidRPr="00F63766">
        <w:rPr>
          <w:b/>
          <w:i/>
          <w:sz w:val="18"/>
        </w:rPr>
        <w:t xml:space="preserve">[Schedule 1, Part 1, </w:t>
      </w:r>
      <w:r w:rsidR="004C3043">
        <w:rPr>
          <w:b/>
          <w:i/>
          <w:sz w:val="18"/>
        </w:rPr>
        <w:t>item 14</w:t>
      </w:r>
      <w:r w:rsidR="00E27590" w:rsidRPr="00F63766">
        <w:rPr>
          <w:b/>
          <w:i/>
          <w:sz w:val="18"/>
        </w:rPr>
        <w:t>, subsection 738Q(</w:t>
      </w:r>
      <w:r w:rsidR="00A62CD2">
        <w:rPr>
          <w:b/>
          <w:i/>
          <w:sz w:val="18"/>
        </w:rPr>
        <w:t>4</w:t>
      </w:r>
      <w:r w:rsidR="00E27590" w:rsidRPr="00F63766">
        <w:rPr>
          <w:b/>
          <w:i/>
          <w:sz w:val="18"/>
        </w:rPr>
        <w:t>)].</w:t>
      </w:r>
      <w:r w:rsidR="00E27590" w:rsidRPr="00F63766">
        <w:t xml:space="preserve">  </w:t>
      </w:r>
    </w:p>
    <w:p w14:paraId="2621D00D" w14:textId="2FDE9BB8" w:rsidR="00615D09" w:rsidRDefault="00E27590" w:rsidP="00724B06">
      <w:pPr>
        <w:pStyle w:val="base-text-paragraph"/>
      </w:pPr>
      <w:r w:rsidRPr="00F63766">
        <w:t xml:space="preserve">Notification that an offer document is defective is critical </w:t>
      </w:r>
      <w:r w:rsidR="00615D09">
        <w:t>because:</w:t>
      </w:r>
    </w:p>
    <w:p w14:paraId="6DDC385C" w14:textId="1ADE6BCC" w:rsidR="00615D09" w:rsidRDefault="00615D09" w:rsidP="00913B09">
      <w:pPr>
        <w:pStyle w:val="dotpoint"/>
      </w:pPr>
      <w:r>
        <w:t>it</w:t>
      </w:r>
      <w:r w:rsidR="00136D8E">
        <w:t xml:space="preserve"> will </w:t>
      </w:r>
      <w:r>
        <w:t>trigger</w:t>
      </w:r>
      <w:r w:rsidR="007E37B2">
        <w:t xml:space="preserve"> the</w:t>
      </w:r>
      <w:r>
        <w:t xml:space="preserve"> </w:t>
      </w:r>
      <w:r w:rsidR="00136D8E">
        <w:t xml:space="preserve">intermediary’s obligation to remove </w:t>
      </w:r>
      <w:r>
        <w:t xml:space="preserve">the offer document from the platform and </w:t>
      </w:r>
      <w:r w:rsidR="007E37B2">
        <w:t xml:space="preserve">will </w:t>
      </w:r>
      <w:r>
        <w:t xml:space="preserve">prevent further applications </w:t>
      </w:r>
      <w:r w:rsidR="00D7126C">
        <w:t xml:space="preserve">from </w:t>
      </w:r>
      <w:r>
        <w:t xml:space="preserve">being received under a defective offer document; </w:t>
      </w:r>
      <w:r w:rsidR="00E7526D">
        <w:t>and</w:t>
      </w:r>
    </w:p>
    <w:p w14:paraId="0C7132D2" w14:textId="19751AB8" w:rsidR="00615D09" w:rsidRDefault="00615D09" w:rsidP="00FF5264">
      <w:pPr>
        <w:pStyle w:val="dotpoint"/>
      </w:pPr>
      <w:r>
        <w:t xml:space="preserve">for applicants that have already applied for securities under </w:t>
      </w:r>
      <w:r w:rsidR="00E7526D">
        <w:t>the</w:t>
      </w:r>
      <w:r>
        <w:t xml:space="preserve"> defective offer document, they will either be provided with a supplementary or replacement offer document that corrects the defect and be given one month to withdraw their acceptance, or the offer will close but not complete, which will mean applicants will not be issued with securities and will be refunded any application money paid. </w:t>
      </w:r>
    </w:p>
    <w:p w14:paraId="576F53D7" w14:textId="7F0425DD" w:rsidR="00E27590" w:rsidRPr="00F63766" w:rsidRDefault="0005550F" w:rsidP="00AB3451">
      <w:pPr>
        <w:pStyle w:val="base-text-paragraph"/>
        <w:keepNext/>
        <w:keepLines/>
      </w:pPr>
      <w:r>
        <w:t xml:space="preserve">In light of the above and to </w:t>
      </w:r>
      <w:r w:rsidR="00380810">
        <w:t xml:space="preserve">ensure that investors are basing their investment decisions on a compliant offer document, </w:t>
      </w:r>
      <w:r>
        <w:t xml:space="preserve">it is necessary to ensure that persons who are aware that an offer document is defective provide the relevant written notifications.  This is achieved by providing that a person </w:t>
      </w:r>
      <w:r w:rsidR="000D077E">
        <w:t xml:space="preserve">that fails to comply with their notification obligations </w:t>
      </w:r>
      <w:r>
        <w:t>commits a strict liability offence, punishable by a maxi</w:t>
      </w:r>
      <w:r w:rsidR="000B786C">
        <w:t>mum penalty of 50 penalty units</w:t>
      </w:r>
      <w:r w:rsidR="00AB3451">
        <w:t>.</w:t>
      </w:r>
      <w:r>
        <w:t xml:space="preserve">  </w:t>
      </w:r>
      <w:r w:rsidR="00615D09" w:rsidRPr="00F63766">
        <w:rPr>
          <w:b/>
          <w:i/>
          <w:sz w:val="18"/>
        </w:rPr>
        <w:t>[Schedule</w:t>
      </w:r>
      <w:r w:rsidR="0092189D">
        <w:rPr>
          <w:b/>
          <w:i/>
          <w:sz w:val="18"/>
        </w:rPr>
        <w:t> </w:t>
      </w:r>
      <w:r w:rsidR="00615D09" w:rsidRPr="00F63766">
        <w:rPr>
          <w:b/>
          <w:i/>
          <w:sz w:val="18"/>
        </w:rPr>
        <w:t>1, Part 1, item</w:t>
      </w:r>
      <w:r w:rsidR="000D2CB1">
        <w:rPr>
          <w:b/>
          <w:i/>
          <w:sz w:val="18"/>
        </w:rPr>
        <w:t>s</w:t>
      </w:r>
      <w:r w:rsidR="00615D09" w:rsidRPr="00F63766">
        <w:rPr>
          <w:b/>
          <w:i/>
          <w:sz w:val="18"/>
        </w:rPr>
        <w:t> </w:t>
      </w:r>
      <w:r w:rsidR="000D2CB1">
        <w:rPr>
          <w:b/>
          <w:i/>
          <w:sz w:val="18"/>
        </w:rPr>
        <w:t xml:space="preserve">14 and </w:t>
      </w:r>
      <w:r w:rsidR="00615D09" w:rsidRPr="00F63766">
        <w:rPr>
          <w:b/>
          <w:i/>
          <w:sz w:val="18"/>
        </w:rPr>
        <w:t xml:space="preserve">34, </w:t>
      </w:r>
      <w:r w:rsidR="000D2CB1">
        <w:rPr>
          <w:b/>
          <w:i/>
          <w:sz w:val="18"/>
        </w:rPr>
        <w:t xml:space="preserve">subsection 738V(4) and </w:t>
      </w:r>
      <w:r w:rsidR="00615D09" w:rsidRPr="00F63766">
        <w:rPr>
          <w:b/>
          <w:i/>
          <w:sz w:val="18"/>
        </w:rPr>
        <w:t>item 245</w:t>
      </w:r>
      <w:r w:rsidR="0063565E">
        <w:rPr>
          <w:b/>
          <w:i/>
          <w:sz w:val="18"/>
        </w:rPr>
        <w:t>J</w:t>
      </w:r>
      <w:r w:rsidR="00615D09" w:rsidRPr="00F63766">
        <w:rPr>
          <w:b/>
          <w:i/>
          <w:sz w:val="18"/>
        </w:rPr>
        <w:t xml:space="preserve"> in the table </w:t>
      </w:r>
      <w:r w:rsidR="00615D09">
        <w:rPr>
          <w:b/>
          <w:i/>
          <w:sz w:val="18"/>
        </w:rPr>
        <w:t>to</w:t>
      </w:r>
      <w:r w:rsidR="004943FB">
        <w:rPr>
          <w:b/>
          <w:i/>
          <w:sz w:val="18"/>
        </w:rPr>
        <w:t xml:space="preserve"> Schedule 3]</w:t>
      </w:r>
    </w:p>
    <w:p w14:paraId="64F04D40" w14:textId="77777777" w:rsidR="00E27590" w:rsidRPr="00F63766" w:rsidRDefault="00E27590" w:rsidP="00E27590">
      <w:pPr>
        <w:pStyle w:val="Heading4"/>
      </w:pPr>
      <w:r w:rsidRPr="00F63766">
        <w:t xml:space="preserve">Intermediary’s obligation to suspend offer </w:t>
      </w:r>
    </w:p>
    <w:p w14:paraId="71D06A89" w14:textId="10A076A8" w:rsidR="00E27590" w:rsidRPr="00F63766" w:rsidRDefault="00E27590" w:rsidP="00724B06">
      <w:pPr>
        <w:pStyle w:val="base-text-paragraph"/>
      </w:pPr>
      <w:r w:rsidRPr="00F63766">
        <w:t>Once an intermediary becomes aware that the offer</w:t>
      </w:r>
      <w:r w:rsidR="007261A8">
        <w:t xml:space="preserve"> document </w:t>
      </w:r>
      <w:r w:rsidRPr="00F63766">
        <w:t xml:space="preserve">is defective, the intermediary must remove the offer document from its platform and either close the offer or suspend the offer, by giving notice on the offer platform that the offer is suspended </w:t>
      </w:r>
      <w:r w:rsidRPr="00F63766">
        <w:rPr>
          <w:b/>
          <w:i/>
          <w:sz w:val="18"/>
        </w:rPr>
        <w:t xml:space="preserve">[Schedule 1, Part 1, </w:t>
      </w:r>
      <w:r w:rsidR="004C3043">
        <w:rPr>
          <w:b/>
          <w:i/>
          <w:sz w:val="18"/>
        </w:rPr>
        <w:t>item 14</w:t>
      </w:r>
      <w:r w:rsidRPr="00F63766">
        <w:rPr>
          <w:b/>
          <w:i/>
          <w:sz w:val="18"/>
        </w:rPr>
        <w:t>, subsections</w:t>
      </w:r>
      <w:r w:rsidR="00B742C0">
        <w:rPr>
          <w:b/>
          <w:i/>
          <w:sz w:val="18"/>
        </w:rPr>
        <w:t> </w:t>
      </w:r>
      <w:r w:rsidR="009C4F53">
        <w:rPr>
          <w:b/>
          <w:i/>
          <w:sz w:val="18"/>
        </w:rPr>
        <w:t xml:space="preserve">738N(6), </w:t>
      </w:r>
      <w:r w:rsidRPr="00F63766">
        <w:rPr>
          <w:b/>
          <w:i/>
          <w:sz w:val="18"/>
        </w:rPr>
        <w:t> 738X(1) and (2)].</w:t>
      </w:r>
    </w:p>
    <w:p w14:paraId="63940540" w14:textId="1E3E382F" w:rsidR="00E27590" w:rsidRPr="00F63766" w:rsidRDefault="009343D5" w:rsidP="00724B06">
      <w:pPr>
        <w:pStyle w:val="base-text-paragraph"/>
      </w:pPr>
      <w:r>
        <w:t>The offer will</w:t>
      </w:r>
      <w:r w:rsidR="00E27590" w:rsidRPr="00F63766">
        <w:t xml:space="preserve"> continue to be suspended until: the company provides a replacement or supplementary offer document that the intermediary </w:t>
      </w:r>
      <w:r w:rsidR="00D34437">
        <w:t>publishes</w:t>
      </w:r>
      <w:r w:rsidR="00E27590" w:rsidRPr="00F63766">
        <w:t xml:space="preserve">, in which case the offer will be ‘open’; or the intermediary closes the offer (either </w:t>
      </w:r>
      <w:r w:rsidR="00DA2D4F">
        <w:t xml:space="preserve">pursuant to their general power to close an offer or because they are required to do so pursuant to their gatekeeper obligations). </w:t>
      </w:r>
    </w:p>
    <w:p w14:paraId="409A4F47" w14:textId="1103E875" w:rsidR="00E27590" w:rsidRDefault="00E27590" w:rsidP="00724B06">
      <w:pPr>
        <w:pStyle w:val="base-text-paragraph"/>
      </w:pPr>
      <w:r w:rsidRPr="00F63766">
        <w:t>The notice advising of the suspension must continue to appear on the offer platform for the entire time the offer is suspended</w:t>
      </w:r>
      <w:r w:rsidRPr="00F63766">
        <w:rPr>
          <w:b/>
          <w:i/>
          <w:sz w:val="18"/>
        </w:rPr>
        <w:t xml:space="preserve"> </w:t>
      </w:r>
      <w:r w:rsidRPr="00F63766">
        <w:t xml:space="preserve">and no applications </w:t>
      </w:r>
      <w:r w:rsidR="00C34D7A">
        <w:t>may</w:t>
      </w:r>
      <w:r w:rsidR="00C34D7A" w:rsidRPr="00F63766">
        <w:t xml:space="preserve"> </w:t>
      </w:r>
      <w:r w:rsidRPr="00F63766">
        <w:t>be received</w:t>
      </w:r>
      <w:r w:rsidR="006341D7">
        <w:t xml:space="preserve"> while the offer is suspended</w:t>
      </w:r>
      <w:r w:rsidR="006E4757">
        <w:t xml:space="preserve">. </w:t>
      </w:r>
      <w:r w:rsidR="00BF0E39">
        <w:rPr>
          <w:b/>
          <w:i/>
          <w:sz w:val="18"/>
        </w:rPr>
        <w:t>[Schedule 1, Part </w:t>
      </w:r>
      <w:r w:rsidR="00913787" w:rsidRPr="00F63766">
        <w:rPr>
          <w:b/>
          <w:i/>
          <w:sz w:val="18"/>
        </w:rPr>
        <w:t xml:space="preserve">1, </w:t>
      </w:r>
      <w:r w:rsidR="00913787">
        <w:rPr>
          <w:b/>
          <w:i/>
          <w:sz w:val="18"/>
        </w:rPr>
        <w:t>item 14</w:t>
      </w:r>
      <w:r w:rsidR="00913787" w:rsidRPr="00F63766">
        <w:rPr>
          <w:b/>
          <w:i/>
          <w:sz w:val="18"/>
        </w:rPr>
        <w:t>, subsection 738X(3)]</w:t>
      </w:r>
    </w:p>
    <w:p w14:paraId="106C0AB1" w14:textId="317DE9B3" w:rsidR="00A73053" w:rsidRDefault="00A73053" w:rsidP="00724B06">
      <w:pPr>
        <w:pStyle w:val="base-text-paragraph"/>
      </w:pPr>
      <w:r>
        <w:t xml:space="preserve">If the intermediary does not comply with their obligations to remove the offer document and either close or suspend the offer, or (where the offer is suspended) the notice that the offer is suspended does not appear on the offer platform at all times until the suspension ends, the intermediary will commit a strict liability offence, punishable by a maximum penalty of 50 penalty units. </w:t>
      </w:r>
      <w:r w:rsidR="00CB796F" w:rsidRPr="00BF0E39">
        <w:rPr>
          <w:b/>
          <w:i/>
          <w:sz w:val="18"/>
          <w:szCs w:val="18"/>
        </w:rPr>
        <w:t>[Schedu</w:t>
      </w:r>
      <w:r w:rsidR="00CB796F" w:rsidRPr="00F63766">
        <w:rPr>
          <w:b/>
          <w:i/>
          <w:sz w:val="18"/>
        </w:rPr>
        <w:t xml:space="preserve">le 1, Part 1, </w:t>
      </w:r>
      <w:r w:rsidR="00CB796F">
        <w:rPr>
          <w:b/>
          <w:i/>
          <w:sz w:val="18"/>
        </w:rPr>
        <w:t>items 14 and 34</w:t>
      </w:r>
      <w:r w:rsidR="00CB796F" w:rsidRPr="00F63766">
        <w:rPr>
          <w:b/>
          <w:i/>
          <w:sz w:val="18"/>
        </w:rPr>
        <w:t>, subsection 738X(</w:t>
      </w:r>
      <w:r w:rsidR="00CB796F">
        <w:rPr>
          <w:b/>
          <w:i/>
          <w:sz w:val="18"/>
        </w:rPr>
        <w:t>4</w:t>
      </w:r>
      <w:r w:rsidR="00CB796F" w:rsidRPr="00F63766">
        <w:rPr>
          <w:b/>
          <w:i/>
          <w:sz w:val="18"/>
        </w:rPr>
        <w:t>)</w:t>
      </w:r>
      <w:r w:rsidR="00CB796F">
        <w:rPr>
          <w:b/>
          <w:i/>
          <w:sz w:val="18"/>
        </w:rPr>
        <w:t xml:space="preserve"> and item 245K </w:t>
      </w:r>
      <w:r w:rsidR="002A7398">
        <w:rPr>
          <w:b/>
          <w:i/>
          <w:sz w:val="18"/>
        </w:rPr>
        <w:t>in</w:t>
      </w:r>
      <w:r w:rsidR="00CB796F">
        <w:rPr>
          <w:b/>
          <w:i/>
          <w:sz w:val="18"/>
        </w:rPr>
        <w:t xml:space="preserve"> the table to Schedule 3</w:t>
      </w:r>
      <w:r w:rsidR="00CB796F" w:rsidRPr="00F63766">
        <w:rPr>
          <w:b/>
          <w:i/>
          <w:sz w:val="18"/>
        </w:rPr>
        <w:t>]</w:t>
      </w:r>
    </w:p>
    <w:p w14:paraId="4E7D7DA0" w14:textId="404BEF7C" w:rsidR="00244427" w:rsidRDefault="00D56416" w:rsidP="00724B06">
      <w:pPr>
        <w:pStyle w:val="base-text-paragraph"/>
      </w:pPr>
      <w:r>
        <w:t xml:space="preserve">Imposing an </w:t>
      </w:r>
      <w:r w:rsidR="002A7398">
        <w:t xml:space="preserve">obligation on the intermediary to remove the defective offer document and either close or suspend the offer </w:t>
      </w:r>
      <w:r>
        <w:t>is necessary to</w:t>
      </w:r>
      <w:r w:rsidR="002A7398">
        <w:t xml:space="preserve"> ensure that no further applications can be received in respect of a defective offer document.  For</w:t>
      </w:r>
      <w:r>
        <w:t xml:space="preserve"> a</w:t>
      </w:r>
      <w:r w:rsidR="002A7398">
        <w:t xml:space="preserve"> person that </w:t>
      </w:r>
      <w:r>
        <w:t>has</w:t>
      </w:r>
      <w:r w:rsidR="002A7398">
        <w:t xml:space="preserve"> already applied for the offer, the intermediary</w:t>
      </w:r>
      <w:r w:rsidR="00DB7FC1">
        <w:t>,</w:t>
      </w:r>
      <w:r w:rsidR="002A7398">
        <w:t xml:space="preserve"> by closing or suspending the offer, ensures that the applicant </w:t>
      </w:r>
      <w:r>
        <w:t>will not</w:t>
      </w:r>
      <w:r w:rsidR="002A7398">
        <w:t xml:space="preserve"> be issued with securities under the CSF offer unless the </w:t>
      </w:r>
      <w:r>
        <w:t xml:space="preserve">person </w:t>
      </w:r>
      <w:r w:rsidR="002A7398">
        <w:t>receive</w:t>
      </w:r>
      <w:r>
        <w:t>s</w:t>
      </w:r>
      <w:r w:rsidR="002A7398">
        <w:t xml:space="preserve"> a replacement or supplementary offer document that corrects the defect and </w:t>
      </w:r>
      <w:r>
        <w:t xml:space="preserve">is given one month within which to withdraw their </w:t>
      </w:r>
      <w:r w:rsidR="000E14DD">
        <w:t>application.</w:t>
      </w:r>
      <w:r>
        <w:t xml:space="preserve">  </w:t>
      </w:r>
    </w:p>
    <w:p w14:paraId="2D47802A" w14:textId="69856E2C" w:rsidR="002A7398" w:rsidRPr="00F63766" w:rsidRDefault="00D56416" w:rsidP="00724B06">
      <w:pPr>
        <w:pStyle w:val="base-text-paragraph"/>
      </w:pPr>
      <w:r>
        <w:t xml:space="preserve">In light of </w:t>
      </w:r>
      <w:r w:rsidR="00244427">
        <w:t>the above</w:t>
      </w:r>
      <w:r>
        <w:t>, the fact that the penalt</w:t>
      </w:r>
      <w:r w:rsidR="00AC2AAA">
        <w:t>y</w:t>
      </w:r>
      <w:r>
        <w:t xml:space="preserve"> for the offence compl</w:t>
      </w:r>
      <w:r w:rsidR="00AC2AAA">
        <w:t>ies</w:t>
      </w:r>
      <w:r>
        <w:t xml:space="preserve"> with the Government’s</w:t>
      </w:r>
      <w:r w:rsidRPr="00F63766">
        <w:t xml:space="preserve"> </w:t>
      </w:r>
      <w:r w:rsidRPr="00D56416">
        <w:rPr>
          <w:i/>
        </w:rPr>
        <w:t>Guide to Framing Commonwealth Offences, Infringement Notices and Enforcement Powers</w:t>
      </w:r>
      <w:r w:rsidRPr="00F63766">
        <w:t xml:space="preserve"> </w:t>
      </w:r>
      <w:r>
        <w:t xml:space="preserve">and the fact that exposure to the offence is entirely dependent on the conduct of the intermediary, the strict liability offence is considered to be appropriate. </w:t>
      </w:r>
    </w:p>
    <w:p w14:paraId="7AE02743" w14:textId="4B39D87F" w:rsidR="00E27590" w:rsidRPr="00F63766" w:rsidRDefault="00EF153F" w:rsidP="00E27590">
      <w:pPr>
        <w:pStyle w:val="Heading4"/>
      </w:pPr>
      <w:r>
        <w:t>When a company may prepare a supplementary or replacement offer document</w:t>
      </w:r>
    </w:p>
    <w:p w14:paraId="1CA7DEB9" w14:textId="77777777" w:rsidR="00C346BA" w:rsidRDefault="004872D7" w:rsidP="00724B06">
      <w:pPr>
        <w:pStyle w:val="base-text-paragraph"/>
      </w:pPr>
      <w:r>
        <w:t>T</w:t>
      </w:r>
      <w:r w:rsidR="00E27590" w:rsidRPr="00F63766">
        <w:t xml:space="preserve">he company can </w:t>
      </w:r>
      <w:r w:rsidR="00C346BA">
        <w:t>prepare a supplementary or replacement offer document in relation to an original CSF offer document in the following circumstances:</w:t>
      </w:r>
    </w:p>
    <w:p w14:paraId="0C65F4A9" w14:textId="0876C499" w:rsidR="00C346BA" w:rsidRDefault="00C346BA" w:rsidP="00C346BA">
      <w:pPr>
        <w:pStyle w:val="dotpoint"/>
      </w:pPr>
      <w:r>
        <w:t xml:space="preserve">where the original offer document is defective, to correct a defect in the original offer document; </w:t>
      </w:r>
    </w:p>
    <w:p w14:paraId="0EB2AF2A" w14:textId="330C60A0" w:rsidR="00C346BA" w:rsidRDefault="00C346BA" w:rsidP="00C346BA">
      <w:pPr>
        <w:pStyle w:val="dotpoint"/>
      </w:pPr>
      <w:r>
        <w:t xml:space="preserve">where the original offer document does not comply with the requirement that information contained therein be clear, concise and effective, and comply with any regulations, to correct the non-compliance; and </w:t>
      </w:r>
    </w:p>
    <w:p w14:paraId="7CE3A640" w14:textId="7BF60467" w:rsidR="00C346BA" w:rsidRDefault="00C677B6" w:rsidP="00C346BA">
      <w:pPr>
        <w:pStyle w:val="dotpoint"/>
      </w:pPr>
      <w:proofErr w:type="gramStart"/>
      <w:r>
        <w:t>in</w:t>
      </w:r>
      <w:proofErr w:type="gramEnd"/>
      <w:r>
        <w:t xml:space="preserve"> any other circumstances permitted by the regulations.  </w:t>
      </w:r>
      <w:r w:rsidRPr="00F63766">
        <w:rPr>
          <w:b/>
          <w:i/>
          <w:sz w:val="18"/>
        </w:rPr>
        <w:t xml:space="preserve">[Schedule 1, Part 1, </w:t>
      </w:r>
      <w:r>
        <w:rPr>
          <w:b/>
          <w:i/>
          <w:sz w:val="18"/>
        </w:rPr>
        <w:t>item 14</w:t>
      </w:r>
      <w:r w:rsidRPr="00F63766">
        <w:rPr>
          <w:b/>
          <w:i/>
          <w:sz w:val="18"/>
        </w:rPr>
        <w:t>, subsection </w:t>
      </w:r>
      <w:proofErr w:type="gramStart"/>
      <w:r w:rsidRPr="00F63766">
        <w:rPr>
          <w:b/>
          <w:i/>
          <w:sz w:val="18"/>
        </w:rPr>
        <w:t>738W(</w:t>
      </w:r>
      <w:proofErr w:type="gramEnd"/>
      <w:r w:rsidRPr="00F63766">
        <w:rPr>
          <w:b/>
          <w:i/>
          <w:sz w:val="18"/>
        </w:rPr>
        <w:t>1)]</w:t>
      </w:r>
      <w:r w:rsidRPr="00F63766">
        <w:t xml:space="preserve">.  </w:t>
      </w:r>
    </w:p>
    <w:p w14:paraId="63407768" w14:textId="5D2D92A2" w:rsidR="00134BEC" w:rsidRDefault="00134BEC" w:rsidP="00724B06">
      <w:pPr>
        <w:pStyle w:val="base-text-paragraph"/>
      </w:pPr>
      <w:r>
        <w:t xml:space="preserve">A supplementary or replacement offer document cannot be provided in any other circumstance. </w:t>
      </w:r>
      <w:r w:rsidR="00407AE4">
        <w:t xml:space="preserve"> </w:t>
      </w:r>
    </w:p>
    <w:p w14:paraId="77F81CDB" w14:textId="541380CB" w:rsidR="00134BEC" w:rsidRDefault="00134BEC" w:rsidP="00724B06">
      <w:pPr>
        <w:pStyle w:val="base-text-paragraph"/>
      </w:pPr>
      <w:r>
        <w:t>If the supplementary or replacement offer document is provided to correct a defect</w:t>
      </w:r>
      <w:r w:rsidR="00CB42B0">
        <w:t>ive</w:t>
      </w:r>
      <w:r>
        <w:t xml:space="preserve"> or </w:t>
      </w:r>
      <w:r w:rsidR="00235C11">
        <w:t xml:space="preserve">otherwise </w:t>
      </w:r>
      <w:r>
        <w:t>non-</w:t>
      </w:r>
      <w:r w:rsidR="00235C11">
        <w:t>compliant offer document</w:t>
      </w:r>
      <w:r>
        <w:t>, it must not incorporate any changes other than to correct the defect or non</w:t>
      </w:r>
      <w:r w:rsidR="00C01872">
        <w:noBreakHyphen/>
      </w:r>
      <w:r>
        <w:t xml:space="preserve">compliance, unless </w:t>
      </w:r>
      <w:r w:rsidR="003C2504">
        <w:t xml:space="preserve">this is </w:t>
      </w:r>
      <w:r w:rsidR="00BF0E39">
        <w:t xml:space="preserve">permitted by the regulations. </w:t>
      </w:r>
      <w:r>
        <w:t xml:space="preserve">Where the regulations do permit other changes to be </w:t>
      </w:r>
      <w:r w:rsidR="00407AE4">
        <w:t>incorporated</w:t>
      </w:r>
      <w:r>
        <w:t>, the supplementary or replacement offer document must comply with any conditions imposed by the regulations.</w:t>
      </w:r>
      <w:r w:rsidR="00962DB6">
        <w:t xml:space="preserve"> </w:t>
      </w:r>
      <w:r w:rsidR="00962DB6" w:rsidRPr="00F63766">
        <w:rPr>
          <w:b/>
          <w:i/>
          <w:sz w:val="18"/>
        </w:rPr>
        <w:t xml:space="preserve">[Schedule 1, Part 1, </w:t>
      </w:r>
      <w:r w:rsidR="00962DB6">
        <w:rPr>
          <w:b/>
          <w:i/>
          <w:sz w:val="18"/>
        </w:rPr>
        <w:t>item 14</w:t>
      </w:r>
      <w:r w:rsidR="00962DB6" w:rsidRPr="00F63766">
        <w:rPr>
          <w:b/>
          <w:i/>
          <w:sz w:val="18"/>
        </w:rPr>
        <w:t>, subsection 738W(</w:t>
      </w:r>
      <w:r w:rsidR="00962DB6">
        <w:rPr>
          <w:b/>
          <w:i/>
          <w:sz w:val="18"/>
        </w:rPr>
        <w:t>2</w:t>
      </w:r>
      <w:r w:rsidR="00962DB6" w:rsidRPr="00F63766">
        <w:rPr>
          <w:b/>
          <w:i/>
          <w:sz w:val="18"/>
        </w:rPr>
        <w:t>)]</w:t>
      </w:r>
      <w:r w:rsidR="00962DB6" w:rsidRPr="00F63766">
        <w:t xml:space="preserve">  </w:t>
      </w:r>
    </w:p>
    <w:p w14:paraId="6E3EA1CF" w14:textId="4A8DF0EC" w:rsidR="00E27590" w:rsidRDefault="00E27590" w:rsidP="00724B06">
      <w:pPr>
        <w:pStyle w:val="base-text-paragraph"/>
      </w:pPr>
      <w:r w:rsidRPr="00F63766">
        <w:t>The amendments set out certain requirements that replacement or supplementary offer documents must adhere to:</w:t>
      </w:r>
    </w:p>
    <w:p w14:paraId="596146E9" w14:textId="5597EDB6" w:rsidR="00BD7304" w:rsidRDefault="00BD7304" w:rsidP="00BD7304">
      <w:pPr>
        <w:pStyle w:val="dotpoint"/>
      </w:pPr>
      <w:r>
        <w:t xml:space="preserve">at the beginning of the supplementary offer document there must be a statement that it is a supplementary offer document, an identification of the affected offer document it supplements and a statement that the supplementary and affected offer document are to </w:t>
      </w:r>
      <w:r w:rsidR="00CB42B0">
        <w:t>be</w:t>
      </w:r>
      <w:r>
        <w:t xml:space="preserve"> read together;  </w:t>
      </w:r>
    </w:p>
    <w:p w14:paraId="145AE652" w14:textId="495F2885" w:rsidR="00C346BA" w:rsidRPr="00C346BA" w:rsidRDefault="00BD7304" w:rsidP="00AB3451">
      <w:pPr>
        <w:pStyle w:val="dotpoint"/>
        <w:keepNext/>
        <w:keepLines/>
        <w:ind w:left="2269"/>
      </w:pPr>
      <w:proofErr w:type="gramStart"/>
      <w:r>
        <w:t>at</w:t>
      </w:r>
      <w:proofErr w:type="gramEnd"/>
      <w:r>
        <w:t xml:space="preserve"> the beginning of the replacement offer document there must be a statement </w:t>
      </w:r>
      <w:r w:rsidR="00CB42B0">
        <w:t>that</w:t>
      </w:r>
      <w:r>
        <w:t xml:space="preserve"> it is a replacement offer document and a statement identifying the document it replaces. </w:t>
      </w:r>
      <w:r w:rsidR="00BF0E39">
        <w:rPr>
          <w:b/>
          <w:i/>
          <w:sz w:val="18"/>
        </w:rPr>
        <w:t>[Schedule </w:t>
      </w:r>
      <w:r w:rsidRPr="00F63766">
        <w:rPr>
          <w:b/>
          <w:i/>
          <w:sz w:val="18"/>
        </w:rPr>
        <w:t xml:space="preserve">1, Part 1, </w:t>
      </w:r>
      <w:r>
        <w:rPr>
          <w:b/>
          <w:i/>
          <w:sz w:val="18"/>
        </w:rPr>
        <w:t>item 14</w:t>
      </w:r>
      <w:r w:rsidRPr="00F63766">
        <w:rPr>
          <w:b/>
          <w:i/>
          <w:sz w:val="18"/>
        </w:rPr>
        <w:t>, subsections 738W(3) and (4)]</w:t>
      </w:r>
    </w:p>
    <w:p w14:paraId="610E669E" w14:textId="252A76BE" w:rsidR="00C179E6" w:rsidRPr="00F96E8C" w:rsidRDefault="00E27590" w:rsidP="00724B06">
      <w:pPr>
        <w:pStyle w:val="base-text-paragraph"/>
        <w:rPr>
          <w:rStyle w:val="Referencingstyle"/>
        </w:rPr>
      </w:pPr>
      <w:r w:rsidRPr="00F63766">
        <w:t>The company will need to ensure that it obtains the</w:t>
      </w:r>
      <w:r w:rsidR="00A238D4">
        <w:t xml:space="preserve"> relevant </w:t>
      </w:r>
      <w:r w:rsidRPr="00F63766">
        <w:t>consents in relation to the replacement or supplementary offer document</w:t>
      </w:r>
      <w:r w:rsidR="00C52335">
        <w:t xml:space="preserve"> </w:t>
      </w:r>
      <w:r w:rsidR="00B021C4" w:rsidRPr="00B021C4">
        <w:rPr>
          <w:rStyle w:val="Referencingstyle"/>
        </w:rPr>
        <w:t>[</w:t>
      </w:r>
      <w:r w:rsidR="00C52335" w:rsidRPr="00B021C4">
        <w:rPr>
          <w:rStyle w:val="Referencingstyle"/>
        </w:rPr>
        <w:t>Schedule 1, Part 1, item 14, paragraph </w:t>
      </w:r>
      <w:proofErr w:type="gramStart"/>
      <w:r w:rsidR="00C52335" w:rsidRPr="00B021C4">
        <w:rPr>
          <w:rStyle w:val="Referencingstyle"/>
        </w:rPr>
        <w:t>738W(</w:t>
      </w:r>
      <w:proofErr w:type="gramEnd"/>
      <w:r w:rsidR="00C52335" w:rsidRPr="00B021C4">
        <w:rPr>
          <w:rStyle w:val="Referencingstyle"/>
        </w:rPr>
        <w:t>6)(a)]</w:t>
      </w:r>
      <w:r w:rsidR="00A238D4" w:rsidRPr="00B021C4">
        <w:rPr>
          <w:rStyle w:val="Referencingstyle"/>
        </w:rPr>
        <w:t>.</w:t>
      </w:r>
      <w:r w:rsidR="00BF0E39">
        <w:t xml:space="preserve"> </w:t>
      </w:r>
      <w:r w:rsidR="00A238D4">
        <w:t>‘Fresh’ consents will be required for persons that are liable on the CSF offer document as a whole (such as directors and persons named as proposed director</w:t>
      </w:r>
      <w:r w:rsidR="00DB7FC1">
        <w:t>s</w:t>
      </w:r>
      <w:r w:rsidR="00A238D4">
        <w:t>).  However, if a person had consented to a statement in the original offer document and the supplementary or replacement offer document does not make a material change to the form or context of that statement, the company will not need to obtain a ‘fresh’ consent from that person</w:t>
      </w:r>
      <w:r w:rsidR="00C179E6">
        <w:t xml:space="preserve"> </w:t>
      </w:r>
      <w:r w:rsidR="00F96E8C" w:rsidRPr="00F96E8C">
        <w:rPr>
          <w:rStyle w:val="Referencingstyle"/>
        </w:rPr>
        <w:t>[</w:t>
      </w:r>
      <w:r w:rsidR="00C179E6" w:rsidRPr="00F96E8C">
        <w:rPr>
          <w:rStyle w:val="Referencingstyle"/>
        </w:rPr>
        <w:t xml:space="preserve">Schedule 1, Part 1, item 14, subsection 738W(7)].  </w:t>
      </w:r>
    </w:p>
    <w:p w14:paraId="754D057E" w14:textId="0BA69848" w:rsidR="00DB297F" w:rsidRPr="00F96E8C" w:rsidRDefault="00E27590" w:rsidP="00724B06">
      <w:pPr>
        <w:pStyle w:val="base-text-paragraph"/>
        <w:rPr>
          <w:rStyle w:val="Referencingstyle"/>
        </w:rPr>
      </w:pPr>
      <w:r w:rsidRPr="00F63766">
        <w:t xml:space="preserve">Failure to </w:t>
      </w:r>
      <w:r w:rsidR="00C179E6">
        <w:t xml:space="preserve">obtain the relevant consents in relation to the supplementary or replacement offer document </w:t>
      </w:r>
      <w:r w:rsidRPr="00F63766">
        <w:t xml:space="preserve">will mean the company will have committed the offence of failing to obtain the required consents prior to publication, which carries a maximum penalty of </w:t>
      </w:r>
      <w:r w:rsidR="009A1AF3">
        <w:t>five</w:t>
      </w:r>
      <w:r w:rsidRPr="00F63766">
        <w:t xml:space="preserve"> penalty units.</w:t>
      </w:r>
      <w:r w:rsidR="00DB297F">
        <w:t xml:space="preserve"> </w:t>
      </w:r>
      <w:r w:rsidR="00DB297F" w:rsidRPr="00F96E8C">
        <w:rPr>
          <w:rStyle w:val="Referencingstyle"/>
        </w:rPr>
        <w:t xml:space="preserve">[Schedule 1, Part 1, item </w:t>
      </w:r>
      <w:r w:rsidR="00DB297F">
        <w:rPr>
          <w:rStyle w:val="Referencingstyle"/>
        </w:rPr>
        <w:t>34</w:t>
      </w:r>
      <w:r w:rsidR="00DB297F" w:rsidRPr="00F96E8C">
        <w:rPr>
          <w:rStyle w:val="Referencingstyle"/>
        </w:rPr>
        <w:t>,</w:t>
      </w:r>
      <w:r w:rsidR="00DB297F">
        <w:rPr>
          <w:rStyle w:val="Referencingstyle"/>
        </w:rPr>
        <w:t xml:space="preserve"> item 245B in the table to Schedule 3</w:t>
      </w:r>
      <w:r w:rsidR="00FD713F">
        <w:rPr>
          <w:rStyle w:val="Referencingstyle"/>
        </w:rPr>
        <w:t>]</w:t>
      </w:r>
      <w:r w:rsidR="00DB297F" w:rsidRPr="00F96E8C">
        <w:rPr>
          <w:rStyle w:val="Referencingstyle"/>
        </w:rPr>
        <w:t xml:space="preserve">  </w:t>
      </w:r>
    </w:p>
    <w:p w14:paraId="1C1997F5" w14:textId="6921E1C1" w:rsidR="00E27590" w:rsidRPr="00F63766" w:rsidRDefault="00E27590" w:rsidP="00724B06">
      <w:pPr>
        <w:pStyle w:val="base-text-paragraph"/>
      </w:pPr>
      <w:r w:rsidRPr="00F63766">
        <w:t>An intermediary that is provided with a supplementary or replacemen</w:t>
      </w:r>
      <w:r w:rsidR="00BD08ED">
        <w:t xml:space="preserve">t offer document by the company </w:t>
      </w:r>
      <w:r w:rsidR="00C42D8B" w:rsidRPr="00F63766">
        <w:t xml:space="preserve">is not obliged to publish </w:t>
      </w:r>
      <w:r w:rsidRPr="00F63766">
        <w:t xml:space="preserve">the offer document.  </w:t>
      </w:r>
      <w:r w:rsidR="00FD57C2" w:rsidRPr="00F63766">
        <w:t>Non-publication</w:t>
      </w:r>
      <w:r w:rsidRPr="00F63766">
        <w:t xml:space="preserve"> could be </w:t>
      </w:r>
      <w:r w:rsidR="00A61531" w:rsidRPr="00F63766">
        <w:t xml:space="preserve">due to the intermediary’s </w:t>
      </w:r>
      <w:r w:rsidRPr="00F63766">
        <w:t xml:space="preserve">‘gatekeeper’ obligations which </w:t>
      </w:r>
      <w:r w:rsidR="00A61531" w:rsidRPr="00F63766">
        <w:t xml:space="preserve">will </w:t>
      </w:r>
      <w:r w:rsidRPr="00F63766">
        <w:t>apply to a supplementary or replacement offer document in the same way as they applied to the original offer document</w:t>
      </w:r>
      <w:r w:rsidR="004E1951">
        <w:t>.</w:t>
      </w:r>
      <w:r w:rsidRPr="00F63766">
        <w:t xml:space="preserve"> </w:t>
      </w:r>
      <w:r w:rsidRPr="00F63766">
        <w:rPr>
          <w:b/>
          <w:i/>
          <w:sz w:val="18"/>
        </w:rPr>
        <w:t xml:space="preserve">[Schedule 1, Part 1, </w:t>
      </w:r>
      <w:r w:rsidR="004C3043">
        <w:rPr>
          <w:b/>
          <w:i/>
          <w:sz w:val="18"/>
        </w:rPr>
        <w:t>item 14</w:t>
      </w:r>
      <w:r w:rsidRPr="00F63766">
        <w:rPr>
          <w:b/>
          <w:i/>
          <w:sz w:val="18"/>
        </w:rPr>
        <w:t xml:space="preserve">, paragraph </w:t>
      </w:r>
      <w:proofErr w:type="gramStart"/>
      <w:r w:rsidRPr="00F63766">
        <w:rPr>
          <w:b/>
          <w:i/>
          <w:sz w:val="18"/>
        </w:rPr>
        <w:t>738W(</w:t>
      </w:r>
      <w:proofErr w:type="gramEnd"/>
      <w:r w:rsidRPr="00F63766">
        <w:rPr>
          <w:b/>
          <w:i/>
          <w:sz w:val="18"/>
        </w:rPr>
        <w:t>6)(b)]</w:t>
      </w:r>
      <w:r w:rsidRPr="00F63766">
        <w:t xml:space="preserve">.  </w:t>
      </w:r>
    </w:p>
    <w:p w14:paraId="1CE74C13" w14:textId="0C3A5A04" w:rsidR="00E27590" w:rsidRPr="00F63766" w:rsidRDefault="00E27590" w:rsidP="00724B06">
      <w:pPr>
        <w:pStyle w:val="base-text-paragraph"/>
      </w:pPr>
      <w:r w:rsidRPr="00F63766">
        <w:t xml:space="preserve">If the document provided is a supplementary offer document that the intermediary decides to publish, it must publish the supplementary offer alongside the original offer document </w:t>
      </w:r>
      <w:r w:rsidRPr="00F63766">
        <w:rPr>
          <w:b/>
          <w:i/>
          <w:sz w:val="18"/>
        </w:rPr>
        <w:t xml:space="preserve">[Schedule 1, Part 1, </w:t>
      </w:r>
      <w:r w:rsidR="004C3043">
        <w:rPr>
          <w:b/>
          <w:i/>
          <w:sz w:val="18"/>
        </w:rPr>
        <w:t>item 14</w:t>
      </w:r>
      <w:r w:rsidRPr="00F63766">
        <w:rPr>
          <w:b/>
          <w:i/>
          <w:sz w:val="18"/>
        </w:rPr>
        <w:t xml:space="preserve">, paragraph </w:t>
      </w:r>
      <w:proofErr w:type="gramStart"/>
      <w:r w:rsidRPr="00F63766">
        <w:rPr>
          <w:b/>
          <w:i/>
          <w:sz w:val="18"/>
        </w:rPr>
        <w:t>738W(</w:t>
      </w:r>
      <w:proofErr w:type="gramEnd"/>
      <w:r w:rsidRPr="00F63766">
        <w:rPr>
          <w:b/>
          <w:i/>
          <w:sz w:val="18"/>
        </w:rPr>
        <w:t>5)(a)]</w:t>
      </w:r>
      <w:r w:rsidRPr="00F63766">
        <w:t>.  Once the intermediary does so, the supplementary and original offer document</w:t>
      </w:r>
      <w:r w:rsidR="00FC48DF">
        <w:t>s</w:t>
      </w:r>
      <w:r w:rsidRPr="00F63766">
        <w:t xml:space="preserve"> are taken to be the CSF offer document for anything that happens after the publication </w:t>
      </w:r>
      <w:r w:rsidRPr="00F63766">
        <w:rPr>
          <w:b/>
          <w:i/>
          <w:sz w:val="18"/>
        </w:rPr>
        <w:t xml:space="preserve">[Schedule 1, Part 1, </w:t>
      </w:r>
      <w:r w:rsidR="004C3043">
        <w:rPr>
          <w:b/>
          <w:i/>
          <w:sz w:val="18"/>
        </w:rPr>
        <w:t>item 14</w:t>
      </w:r>
      <w:r w:rsidRPr="00F63766">
        <w:rPr>
          <w:b/>
          <w:i/>
          <w:sz w:val="18"/>
        </w:rPr>
        <w:t>, subsection 738W(</w:t>
      </w:r>
      <w:r w:rsidR="005729F5">
        <w:rPr>
          <w:b/>
          <w:i/>
          <w:sz w:val="18"/>
        </w:rPr>
        <w:t>8</w:t>
      </w:r>
      <w:r w:rsidRPr="00F63766">
        <w:rPr>
          <w:b/>
          <w:i/>
          <w:sz w:val="18"/>
        </w:rPr>
        <w:t>)]</w:t>
      </w:r>
      <w:r w:rsidRPr="00F63766">
        <w:t xml:space="preserve">.  </w:t>
      </w:r>
    </w:p>
    <w:p w14:paraId="705E45F9" w14:textId="00FCFEF1" w:rsidR="00E27590" w:rsidRPr="00F63766" w:rsidRDefault="00E27590" w:rsidP="00724B06">
      <w:pPr>
        <w:pStyle w:val="base-text-paragraph"/>
      </w:pPr>
      <w:r w:rsidRPr="00F63766">
        <w:t xml:space="preserve">If the document provided to the intermediary is a replacement offer document that it decides to publish, the intermediary must only publish the replacement offer document </w:t>
      </w:r>
      <w:r w:rsidRPr="00F63766">
        <w:rPr>
          <w:b/>
          <w:i/>
          <w:sz w:val="18"/>
        </w:rPr>
        <w:t xml:space="preserve">[Schedule 1, Part 1, </w:t>
      </w:r>
      <w:r w:rsidR="004C3043">
        <w:rPr>
          <w:b/>
          <w:i/>
          <w:sz w:val="18"/>
        </w:rPr>
        <w:t>item 14</w:t>
      </w:r>
      <w:r w:rsidRPr="00F63766">
        <w:rPr>
          <w:b/>
          <w:i/>
          <w:sz w:val="18"/>
        </w:rPr>
        <w:t>, paragraph 738W(5)(b)]</w:t>
      </w:r>
      <w:r w:rsidRPr="00F63766">
        <w:t xml:space="preserve">.  Once the intermediary does so, the replacement offer document (and not the original offer document) is taken to be the CSF offer document for anything that happens after its publication </w:t>
      </w:r>
      <w:r w:rsidRPr="00F63766">
        <w:rPr>
          <w:b/>
          <w:i/>
          <w:sz w:val="18"/>
        </w:rPr>
        <w:t xml:space="preserve">[Schedule 1, Part 1, </w:t>
      </w:r>
      <w:r w:rsidR="004C3043">
        <w:rPr>
          <w:b/>
          <w:i/>
          <w:sz w:val="18"/>
        </w:rPr>
        <w:t>item 14</w:t>
      </w:r>
      <w:r w:rsidRPr="00F63766">
        <w:rPr>
          <w:b/>
          <w:i/>
          <w:sz w:val="18"/>
        </w:rPr>
        <w:t>, subsection </w:t>
      </w:r>
      <w:proofErr w:type="gramStart"/>
      <w:r w:rsidRPr="00F63766">
        <w:rPr>
          <w:b/>
          <w:i/>
          <w:sz w:val="18"/>
        </w:rPr>
        <w:t>738W(</w:t>
      </w:r>
      <w:proofErr w:type="gramEnd"/>
      <w:r w:rsidR="005729F5">
        <w:rPr>
          <w:b/>
          <w:i/>
          <w:sz w:val="18"/>
        </w:rPr>
        <w:t>9</w:t>
      </w:r>
      <w:r w:rsidRPr="00F63766">
        <w:rPr>
          <w:b/>
          <w:i/>
          <w:sz w:val="18"/>
        </w:rPr>
        <w:t>)]</w:t>
      </w:r>
      <w:r w:rsidRPr="00F63766">
        <w:t xml:space="preserve">.  </w:t>
      </w:r>
    </w:p>
    <w:p w14:paraId="6AD08E57" w14:textId="77777777" w:rsidR="0046445F" w:rsidRDefault="0046445F">
      <w:pPr>
        <w:spacing w:before="0" w:after="0"/>
      </w:pPr>
      <w:r>
        <w:br w:type="page"/>
      </w:r>
    </w:p>
    <w:p w14:paraId="6BAF4FD3" w14:textId="26A6DF48" w:rsidR="00E27590" w:rsidRPr="00F63766" w:rsidRDefault="00E27590" w:rsidP="00724B06">
      <w:pPr>
        <w:pStyle w:val="base-text-paragraph"/>
      </w:pPr>
      <w:r w:rsidRPr="00F63766">
        <w:t xml:space="preserve">Once the intermediary publishes the supplementary or replacement offer document on its platform, the offer will be open again, which means that new applications can be received via the application facility. </w:t>
      </w:r>
    </w:p>
    <w:p w14:paraId="3F9640EC" w14:textId="2ABC2D81" w:rsidR="00E27590" w:rsidRPr="00F63766" w:rsidRDefault="00E27590" w:rsidP="00E27590">
      <w:pPr>
        <w:pStyle w:val="Heading4"/>
      </w:pPr>
      <w:r w:rsidRPr="00F63766">
        <w:t xml:space="preserve">Intermediary’s obligation to notify existing applicants of withdrawal rights when </w:t>
      </w:r>
      <w:r w:rsidR="002F194A">
        <w:t>the supplementary or replacement offer document is published</w:t>
      </w:r>
    </w:p>
    <w:p w14:paraId="49773E90" w14:textId="385F3ABA" w:rsidR="00EB6E47" w:rsidRPr="00EE2215" w:rsidRDefault="00E27590" w:rsidP="00724B06">
      <w:pPr>
        <w:pStyle w:val="base-text-paragraph"/>
      </w:pPr>
      <w:r w:rsidRPr="00F63766">
        <w:t xml:space="preserve">Once the </w:t>
      </w:r>
      <w:r w:rsidR="005729F5">
        <w:t>supplementary or replacement offer document is published</w:t>
      </w:r>
      <w:r w:rsidRPr="00F63766">
        <w:t xml:space="preserve">, </w:t>
      </w:r>
      <w:r w:rsidR="000619E2">
        <w:t xml:space="preserve">the period of suspension ends and </w:t>
      </w:r>
      <w:r w:rsidRPr="00F63766">
        <w:t xml:space="preserve">the intermediary must give written notice to all applicants </w:t>
      </w:r>
      <w:r w:rsidR="000619E2">
        <w:t>that</w:t>
      </w:r>
      <w:r w:rsidRPr="00F63766">
        <w:t xml:space="preserve"> accepted the offer prior to its suspension that they have one month (from the date of the notice) in which to withdraw their acceptance and obtain a refund of application money paid </w:t>
      </w:r>
      <w:r w:rsidRPr="00F63766">
        <w:rPr>
          <w:b/>
          <w:i/>
          <w:sz w:val="18"/>
        </w:rPr>
        <w:t xml:space="preserve">[Schedule 1, Part 1, </w:t>
      </w:r>
      <w:r w:rsidR="004C3043">
        <w:rPr>
          <w:b/>
          <w:i/>
          <w:sz w:val="18"/>
        </w:rPr>
        <w:t>item 14</w:t>
      </w:r>
      <w:r w:rsidRPr="00F63766">
        <w:rPr>
          <w:b/>
          <w:i/>
          <w:sz w:val="18"/>
        </w:rPr>
        <w:t>, subsection</w:t>
      </w:r>
      <w:r w:rsidR="000619E2">
        <w:rPr>
          <w:b/>
          <w:i/>
          <w:sz w:val="18"/>
        </w:rPr>
        <w:t>s</w:t>
      </w:r>
      <w:r w:rsidRPr="00F63766">
        <w:rPr>
          <w:b/>
          <w:i/>
          <w:sz w:val="18"/>
        </w:rPr>
        <w:t> </w:t>
      </w:r>
      <w:proofErr w:type="gramStart"/>
      <w:r w:rsidR="000619E2">
        <w:rPr>
          <w:b/>
          <w:i/>
          <w:sz w:val="18"/>
        </w:rPr>
        <w:t>738X(</w:t>
      </w:r>
      <w:proofErr w:type="gramEnd"/>
      <w:r w:rsidR="000619E2">
        <w:rPr>
          <w:b/>
          <w:i/>
          <w:sz w:val="18"/>
        </w:rPr>
        <w:t xml:space="preserve">5), 738X(6) and </w:t>
      </w:r>
      <w:r w:rsidRPr="00F63766">
        <w:rPr>
          <w:b/>
          <w:i/>
          <w:sz w:val="18"/>
        </w:rPr>
        <w:t>738X(</w:t>
      </w:r>
      <w:r w:rsidR="001B30CE">
        <w:rPr>
          <w:b/>
          <w:i/>
          <w:sz w:val="18"/>
        </w:rPr>
        <w:t>7</w:t>
      </w:r>
      <w:r w:rsidRPr="00F63766">
        <w:rPr>
          <w:b/>
          <w:i/>
          <w:sz w:val="18"/>
        </w:rPr>
        <w:t>)]</w:t>
      </w:r>
      <w:r w:rsidRPr="00F63766">
        <w:t xml:space="preserve">. </w:t>
      </w:r>
      <w:r w:rsidR="001B30CE">
        <w:t xml:space="preserve"> Failure to provide the required notice will mean the intermediary will commit a strict liability offence, punishable by a maximum penalty of 30</w:t>
      </w:r>
      <w:r w:rsidR="00DB7FC1">
        <w:t> </w:t>
      </w:r>
      <w:r w:rsidR="001B30CE">
        <w:t>penalty units</w:t>
      </w:r>
      <w:r w:rsidR="00EB6E47">
        <w:t xml:space="preserve"> </w:t>
      </w:r>
      <w:r w:rsidR="00EB6E47" w:rsidRPr="00F63766">
        <w:rPr>
          <w:b/>
          <w:i/>
          <w:sz w:val="18"/>
        </w:rPr>
        <w:t>[Schedule 1, Part 1, item 34, item 245</w:t>
      </w:r>
      <w:r w:rsidR="00EB6E47">
        <w:rPr>
          <w:b/>
          <w:i/>
          <w:sz w:val="18"/>
        </w:rPr>
        <w:t>L</w:t>
      </w:r>
      <w:r w:rsidR="00EB6E47" w:rsidRPr="00F63766">
        <w:rPr>
          <w:b/>
          <w:i/>
          <w:sz w:val="18"/>
        </w:rPr>
        <w:t xml:space="preserve"> in the table </w:t>
      </w:r>
      <w:r w:rsidR="00EB6E47">
        <w:rPr>
          <w:b/>
          <w:i/>
          <w:sz w:val="18"/>
        </w:rPr>
        <w:t>to</w:t>
      </w:r>
      <w:r w:rsidR="00EB6E47" w:rsidRPr="00F63766">
        <w:rPr>
          <w:b/>
          <w:i/>
          <w:sz w:val="18"/>
        </w:rPr>
        <w:t xml:space="preserve"> Schedule 3]. </w:t>
      </w:r>
    </w:p>
    <w:p w14:paraId="5DD97312" w14:textId="77777777" w:rsidR="00EE2215" w:rsidRPr="00F63766" w:rsidRDefault="00EE2215" w:rsidP="00724B06">
      <w:pPr>
        <w:pStyle w:val="base-text-paragraph"/>
      </w:pPr>
      <w:r w:rsidRPr="00F63766">
        <w:t>Strict liability, and the level of penalty, is appropriate, because:</w:t>
      </w:r>
    </w:p>
    <w:p w14:paraId="7A206056" w14:textId="4D2ED217" w:rsidR="00EE2215" w:rsidRPr="00F63766" w:rsidRDefault="00EE2215" w:rsidP="00EE2215">
      <w:pPr>
        <w:pStyle w:val="dotpoint"/>
      </w:pPr>
      <w:r>
        <w:t xml:space="preserve">persons that have applied for the offer have based their investment decision on a defective disclosure document and it is therefore important that they be notified of their right to withdraw from the offer; </w:t>
      </w:r>
    </w:p>
    <w:p w14:paraId="471CCB89" w14:textId="36EEECFD" w:rsidR="00EE2215" w:rsidRPr="00F63766" w:rsidRDefault="00EE2215" w:rsidP="00EE2215">
      <w:pPr>
        <w:pStyle w:val="dotpoint"/>
      </w:pPr>
      <w:r>
        <w:t xml:space="preserve">the notifications are </w:t>
      </w:r>
      <w:r w:rsidRPr="00F63766">
        <w:t xml:space="preserve">entirely dependent on the </w:t>
      </w:r>
      <w:r>
        <w:t>conduct</w:t>
      </w:r>
      <w:r w:rsidRPr="00F63766">
        <w:t xml:space="preserve"> of the intermediary who is liable for the offence;</w:t>
      </w:r>
    </w:p>
    <w:p w14:paraId="36B93032" w14:textId="385CBE4C" w:rsidR="00EE2215" w:rsidRPr="00F63766" w:rsidRDefault="00EE2215" w:rsidP="00EE2215">
      <w:pPr>
        <w:pStyle w:val="dotpoint"/>
      </w:pPr>
      <w:proofErr w:type="gramStart"/>
      <w:r w:rsidRPr="00F63766">
        <w:t>the</w:t>
      </w:r>
      <w:proofErr w:type="gramEnd"/>
      <w:r w:rsidRPr="00F63766">
        <w:t xml:space="preserve"> proposed penalty for the offence is consistent with the </w:t>
      </w:r>
      <w:r>
        <w:t>Government’s</w:t>
      </w:r>
      <w:r w:rsidRPr="00F63766">
        <w:t xml:space="preserve"> </w:t>
      </w:r>
      <w:r w:rsidRPr="00FF7485">
        <w:rPr>
          <w:i/>
        </w:rPr>
        <w:t>Guide to Framing Commonwealth Offences, Infringement Notices and Enforcement Powers</w:t>
      </w:r>
      <w:r w:rsidRPr="00F63766">
        <w:t xml:space="preserve"> which specifies</w:t>
      </w:r>
      <w:r>
        <w:t xml:space="preserve"> that a strict liability offence should be punishable by a </w:t>
      </w:r>
      <w:r w:rsidRPr="00F63766">
        <w:t xml:space="preserve">maximum penalty of </w:t>
      </w:r>
      <w:r w:rsidR="00DB7FC1">
        <w:t>6</w:t>
      </w:r>
      <w:r w:rsidRPr="00F63766">
        <w:t xml:space="preserve">0 penalty units </w:t>
      </w:r>
      <w:r>
        <w:t xml:space="preserve">with no term of imprisonment. </w:t>
      </w:r>
    </w:p>
    <w:p w14:paraId="3C87E568" w14:textId="39BF5977" w:rsidR="00E27590" w:rsidRPr="00F63766" w:rsidRDefault="008B3182" w:rsidP="00724B06">
      <w:pPr>
        <w:pStyle w:val="base-text-paragraph"/>
      </w:pPr>
      <w:r>
        <w:t>A</w:t>
      </w:r>
      <w:r w:rsidR="00E27590" w:rsidRPr="00F63766">
        <w:t xml:space="preserve">n applicant that wants to withdraw their acceptance must do so in writing within one month of receiving the notice from the intermediary </w:t>
      </w:r>
      <w:r w:rsidR="00E27590" w:rsidRPr="008B3182">
        <w:rPr>
          <w:b/>
          <w:i/>
          <w:sz w:val="18"/>
        </w:rPr>
        <w:t xml:space="preserve">[Schedule 1, Part 1, </w:t>
      </w:r>
      <w:r w:rsidR="004C3043" w:rsidRPr="008B3182">
        <w:rPr>
          <w:b/>
          <w:i/>
          <w:sz w:val="18"/>
        </w:rPr>
        <w:t>item 14</w:t>
      </w:r>
      <w:r w:rsidR="00E27590" w:rsidRPr="008B3182">
        <w:rPr>
          <w:b/>
          <w:i/>
          <w:sz w:val="18"/>
        </w:rPr>
        <w:t>, subsection 738X(</w:t>
      </w:r>
      <w:r w:rsidR="00485A78">
        <w:rPr>
          <w:b/>
          <w:i/>
          <w:sz w:val="18"/>
        </w:rPr>
        <w:t>9</w:t>
      </w:r>
      <w:r w:rsidR="00E27590" w:rsidRPr="008B3182">
        <w:rPr>
          <w:b/>
          <w:i/>
          <w:sz w:val="18"/>
        </w:rPr>
        <w:t>)]</w:t>
      </w:r>
      <w:r w:rsidR="004E1951">
        <w:t xml:space="preserve">. </w:t>
      </w:r>
      <w:r w:rsidR="00E27590" w:rsidRPr="00F63766">
        <w:t xml:space="preserve">The intermediary must refund the application money of anyone who exercises their withdrawal rights as soon as practicable </w:t>
      </w:r>
      <w:r w:rsidR="00E27590" w:rsidRPr="008B3182">
        <w:rPr>
          <w:b/>
          <w:i/>
          <w:sz w:val="18"/>
        </w:rPr>
        <w:t xml:space="preserve">[Schedule 1, Part 1, </w:t>
      </w:r>
      <w:r w:rsidR="004C3043" w:rsidRPr="008B3182">
        <w:rPr>
          <w:b/>
          <w:i/>
          <w:sz w:val="18"/>
        </w:rPr>
        <w:t>item 14</w:t>
      </w:r>
      <w:r w:rsidR="00E27590" w:rsidRPr="008B3182">
        <w:rPr>
          <w:b/>
          <w:i/>
          <w:sz w:val="18"/>
        </w:rPr>
        <w:t>, paragraph </w:t>
      </w:r>
      <w:proofErr w:type="gramStart"/>
      <w:r w:rsidR="00E27590" w:rsidRPr="008B3182">
        <w:rPr>
          <w:b/>
          <w:i/>
          <w:sz w:val="18"/>
        </w:rPr>
        <w:t>738T(</w:t>
      </w:r>
      <w:proofErr w:type="gramEnd"/>
      <w:r w:rsidR="00E27590" w:rsidRPr="008B3182">
        <w:rPr>
          <w:b/>
          <w:i/>
          <w:sz w:val="18"/>
        </w:rPr>
        <w:t>1)(a) and subsection 738ZB(4)]</w:t>
      </w:r>
      <w:r w:rsidR="00E27590" w:rsidRPr="00F63766">
        <w:t xml:space="preserve">. </w:t>
      </w:r>
    </w:p>
    <w:p w14:paraId="447888F2" w14:textId="7A9E548E" w:rsidR="00E27590" w:rsidRPr="00F63766" w:rsidRDefault="00E27590" w:rsidP="00724B06">
      <w:pPr>
        <w:pStyle w:val="base-text-paragraph"/>
      </w:pPr>
      <w:r w:rsidRPr="00F63766">
        <w:t>Once the</w:t>
      </w:r>
      <w:r w:rsidR="00485A78">
        <w:t xml:space="preserve"> suspension ends and the </w:t>
      </w:r>
      <w:r w:rsidRPr="00F63766">
        <w:t>CSF offer is open</w:t>
      </w:r>
      <w:r w:rsidR="00485A78">
        <w:t xml:space="preserve">, </w:t>
      </w:r>
      <w:r w:rsidRPr="00F63766">
        <w:t xml:space="preserve">the usual rules covering when an offer is ‘closed’ and when it is ‘complete’ apply (refer </w:t>
      </w:r>
      <w:r w:rsidR="00D70D80">
        <w:t xml:space="preserve">Chapter </w:t>
      </w:r>
      <w:r w:rsidR="009D35EA">
        <w:t>4</w:t>
      </w:r>
      <w:r w:rsidR="00FD3311">
        <w:t xml:space="preserve"> of the Explanatory Memorandum</w:t>
      </w:r>
      <w:r w:rsidR="004E1951">
        <w:t xml:space="preserve">). </w:t>
      </w:r>
      <w:r w:rsidR="00C52034">
        <w:t xml:space="preserve">If there is a further defect in the offer document, the offer may be suspended once more. </w:t>
      </w:r>
    </w:p>
    <w:p w14:paraId="7D48CF8F" w14:textId="77777777" w:rsidR="00E27590" w:rsidRPr="00F63766" w:rsidRDefault="00E27590" w:rsidP="00E27590">
      <w:pPr>
        <w:pStyle w:val="Heading4"/>
      </w:pPr>
      <w:r w:rsidRPr="00F63766">
        <w:t>Intermediary’s obligations if the company does nothing</w:t>
      </w:r>
    </w:p>
    <w:p w14:paraId="6D4F9310" w14:textId="6E88F2BE" w:rsidR="00E27590" w:rsidRPr="00F63766" w:rsidRDefault="00947F39" w:rsidP="00724B06">
      <w:pPr>
        <w:pStyle w:val="base-text-paragraph"/>
      </w:pPr>
      <w:r>
        <w:t xml:space="preserve">When the company becomes aware that the offer document is defective, there is no obligation on the company to do anything other than notify the intermediary that the offer document is defective.  </w:t>
      </w:r>
      <w:r w:rsidR="00E27590" w:rsidRPr="00F63766">
        <w:t xml:space="preserve">The amendments do not </w:t>
      </w:r>
      <w:r>
        <w:t>require the company to, for example, w</w:t>
      </w:r>
      <w:r w:rsidR="00E27590" w:rsidRPr="00F63766">
        <w:t>ithdraw the offer or prepare a replacement or supplementary offer document</w:t>
      </w:r>
      <w:r>
        <w:t>.  Therefore</w:t>
      </w:r>
      <w:r w:rsidR="00E27590" w:rsidRPr="00F63766">
        <w:t xml:space="preserve">, a company may do nothing once the offer is suspended. </w:t>
      </w:r>
    </w:p>
    <w:p w14:paraId="20C9BF3B" w14:textId="58FD4372" w:rsidR="00E27590" w:rsidRPr="00F63766" w:rsidRDefault="00E27590" w:rsidP="00724B06">
      <w:pPr>
        <w:pStyle w:val="base-text-paragraph"/>
      </w:pPr>
      <w:r w:rsidRPr="00F63766">
        <w:t xml:space="preserve">However, even if the company does nothing once the offer is suspended, an intermediary may </w:t>
      </w:r>
      <w:r w:rsidR="004207F8">
        <w:t xml:space="preserve">choose to </w:t>
      </w:r>
      <w:r w:rsidRPr="00F63766">
        <w:t xml:space="preserve">close the offer </w:t>
      </w:r>
      <w:r w:rsidR="004207F8">
        <w:t xml:space="preserve">(so long as this is in accordance with the </w:t>
      </w:r>
      <w:r w:rsidRPr="00F63766">
        <w:t xml:space="preserve">hosting </w:t>
      </w:r>
      <w:r w:rsidR="00CE1218">
        <w:t>arrangement</w:t>
      </w:r>
      <w:r w:rsidRPr="00F63766">
        <w:t>)</w:t>
      </w:r>
      <w:r w:rsidR="001132F9">
        <w:t xml:space="preserve"> </w:t>
      </w:r>
      <w:r w:rsidR="001132F9" w:rsidRPr="008B3182">
        <w:rPr>
          <w:b/>
          <w:i/>
          <w:sz w:val="18"/>
        </w:rPr>
        <w:t>[Schedule 1, Part 1, item 14, subsection 738</w:t>
      </w:r>
      <w:r w:rsidR="001132F9">
        <w:rPr>
          <w:b/>
          <w:i/>
          <w:sz w:val="18"/>
        </w:rPr>
        <w:t>N</w:t>
      </w:r>
      <w:r w:rsidR="001132F9" w:rsidRPr="008B3182">
        <w:rPr>
          <w:b/>
          <w:i/>
          <w:sz w:val="18"/>
        </w:rPr>
        <w:t>(</w:t>
      </w:r>
      <w:r w:rsidR="001132F9">
        <w:rPr>
          <w:b/>
          <w:i/>
          <w:sz w:val="18"/>
        </w:rPr>
        <w:t>3</w:t>
      </w:r>
      <w:r w:rsidR="001132F9" w:rsidRPr="008B3182">
        <w:rPr>
          <w:b/>
          <w:i/>
          <w:sz w:val="18"/>
        </w:rPr>
        <w:t>)]</w:t>
      </w:r>
      <w:r w:rsidR="001132F9">
        <w:t xml:space="preserve"> </w:t>
      </w:r>
      <w:r w:rsidR="004207F8">
        <w:t>.  Even if it does not choose to close the offer, there will come a point in time (</w:t>
      </w:r>
      <w:r w:rsidRPr="00F63766">
        <w:t>no later than three months after the offer wa</w:t>
      </w:r>
      <w:r w:rsidR="00D21279" w:rsidRPr="00F63766">
        <w:t>s</w:t>
      </w:r>
      <w:r w:rsidRPr="00F63766">
        <w:t xml:space="preserve"> first made) </w:t>
      </w:r>
      <w:r w:rsidR="004207F8">
        <w:t xml:space="preserve">where the intermediary will be </w:t>
      </w:r>
      <w:r w:rsidRPr="00F63766">
        <w:t>required to close the offer</w:t>
      </w:r>
      <w:r w:rsidR="00CB703C">
        <w:t xml:space="preserve"> </w:t>
      </w:r>
      <w:r w:rsidR="00CB703C" w:rsidRPr="008B3182">
        <w:rPr>
          <w:b/>
          <w:i/>
          <w:sz w:val="18"/>
        </w:rPr>
        <w:t>[Schedule</w:t>
      </w:r>
      <w:r w:rsidR="00CB703C">
        <w:rPr>
          <w:b/>
          <w:i/>
          <w:sz w:val="18"/>
        </w:rPr>
        <w:t> </w:t>
      </w:r>
      <w:r w:rsidR="00CB703C" w:rsidRPr="008B3182">
        <w:rPr>
          <w:b/>
          <w:i/>
          <w:sz w:val="18"/>
        </w:rPr>
        <w:t>1, Part 1, item 14,</w:t>
      </w:r>
      <w:r w:rsidR="00B820DA">
        <w:rPr>
          <w:b/>
          <w:i/>
          <w:sz w:val="18"/>
        </w:rPr>
        <w:t xml:space="preserve"> </w:t>
      </w:r>
      <w:r w:rsidR="00CB703C">
        <w:rPr>
          <w:b/>
          <w:i/>
          <w:sz w:val="18"/>
        </w:rPr>
        <w:t>paragraphs 738N(4)(a) and (b)</w:t>
      </w:r>
      <w:r w:rsidR="00CB703C" w:rsidRPr="008B3182">
        <w:rPr>
          <w:b/>
          <w:i/>
          <w:sz w:val="18"/>
        </w:rPr>
        <w:t>]</w:t>
      </w:r>
      <w:r w:rsidRPr="00F63766">
        <w:t xml:space="preserve">.  </w:t>
      </w:r>
      <w:r w:rsidR="004207F8">
        <w:t>A</w:t>
      </w:r>
      <w:r w:rsidRPr="00F63766">
        <w:t>s the offer will be closed but not ‘complete’, the intermediary will be required to refund application money to applicants as soon as practicable after the offer is closed</w:t>
      </w:r>
      <w:r w:rsidR="00B83CED">
        <w:t xml:space="preserve"> </w:t>
      </w:r>
      <w:r w:rsidR="00B83CED" w:rsidRPr="008B3182">
        <w:rPr>
          <w:b/>
          <w:i/>
          <w:sz w:val="18"/>
        </w:rPr>
        <w:t>[Schedule</w:t>
      </w:r>
      <w:r w:rsidR="00B83CED">
        <w:rPr>
          <w:b/>
          <w:i/>
          <w:sz w:val="18"/>
        </w:rPr>
        <w:t> </w:t>
      </w:r>
      <w:r w:rsidR="00B83CED" w:rsidRPr="008B3182">
        <w:rPr>
          <w:b/>
          <w:i/>
          <w:sz w:val="18"/>
        </w:rPr>
        <w:t>1, Part 1, item 14,</w:t>
      </w:r>
      <w:r w:rsidR="00B83CED">
        <w:rPr>
          <w:b/>
          <w:i/>
          <w:sz w:val="18"/>
        </w:rPr>
        <w:t xml:space="preserve"> </w:t>
      </w:r>
      <w:r w:rsidR="005E3F3F">
        <w:rPr>
          <w:b/>
          <w:i/>
          <w:sz w:val="18"/>
        </w:rPr>
        <w:t>paragraph</w:t>
      </w:r>
      <w:r w:rsidR="00B83CED">
        <w:rPr>
          <w:b/>
          <w:i/>
          <w:sz w:val="18"/>
        </w:rPr>
        <w:t> 738N(4)</w:t>
      </w:r>
      <w:r w:rsidR="005E3F3F">
        <w:rPr>
          <w:b/>
          <w:i/>
          <w:sz w:val="18"/>
        </w:rPr>
        <w:t>(b)</w:t>
      </w:r>
      <w:r w:rsidR="00B83CED" w:rsidRPr="008B3182">
        <w:rPr>
          <w:b/>
          <w:i/>
          <w:sz w:val="18"/>
        </w:rPr>
        <w:t>]</w:t>
      </w:r>
      <w:r w:rsidRPr="00F63766">
        <w:t xml:space="preserve">. </w:t>
      </w:r>
    </w:p>
    <w:p w14:paraId="76B9FBFE" w14:textId="16D55A89" w:rsidR="00E27590" w:rsidRPr="00F63766" w:rsidRDefault="00E27590" w:rsidP="00E27590">
      <w:pPr>
        <w:pStyle w:val="Heading3"/>
      </w:pPr>
      <w:r w:rsidRPr="00F63766">
        <w:t>Liabilities relating to defective documents</w:t>
      </w:r>
      <w:r w:rsidR="006201BB">
        <w:t xml:space="preserve"> that are materially adverse from the perspective of an investor</w:t>
      </w:r>
    </w:p>
    <w:p w14:paraId="58053D01" w14:textId="77777777" w:rsidR="00E27590" w:rsidRDefault="00E27590" w:rsidP="00724B06">
      <w:pPr>
        <w:pStyle w:val="base-text-paragraph"/>
      </w:pPr>
      <w:r w:rsidRPr="00F63766">
        <w:t xml:space="preserve">Consistent with the approach applying to prospectuses and other existing disclosure documents, persons associated with the offer may be criminally liable or be exposed to action for recovery of loss or damage where the offer document is defective and the statement, omission or new circumstance which led to the document being defective is </w:t>
      </w:r>
      <w:r w:rsidRPr="00F63766">
        <w:rPr>
          <w:i/>
        </w:rPr>
        <w:t>materially adverse</w:t>
      </w:r>
      <w:r w:rsidRPr="00F63766">
        <w:t xml:space="preserve"> from the point of view of an investor.  </w:t>
      </w:r>
    </w:p>
    <w:p w14:paraId="5C022142" w14:textId="77777777" w:rsidR="00E27590" w:rsidRPr="00913B09" w:rsidRDefault="00E27590" w:rsidP="00E27590">
      <w:pPr>
        <w:pStyle w:val="Heading4"/>
      </w:pPr>
      <w:r w:rsidRPr="00913B09">
        <w:t>Criminal liability</w:t>
      </w:r>
    </w:p>
    <w:p w14:paraId="45DBDA4B" w14:textId="05F472F5" w:rsidR="00E27590" w:rsidRPr="00253AFF" w:rsidRDefault="00E27590" w:rsidP="00724B06">
      <w:pPr>
        <w:pStyle w:val="base-text-paragraph"/>
      </w:pPr>
      <w:r w:rsidRPr="00FF5264">
        <w:t xml:space="preserve">A company that offers securities under </w:t>
      </w:r>
      <w:r w:rsidR="00D21279" w:rsidRPr="00FF5264">
        <w:t xml:space="preserve">a CSF </w:t>
      </w:r>
      <w:r w:rsidRPr="00253AFF">
        <w:t>offer document that is defective commits an offence</w:t>
      </w:r>
      <w:r w:rsidR="00DD2A16" w:rsidRPr="00253AFF">
        <w:t xml:space="preserve"> if the statement, omission or new circumstance that cause</w:t>
      </w:r>
      <w:r w:rsidR="00253AFF">
        <w:t>d</w:t>
      </w:r>
      <w:r w:rsidR="00DD2A16" w:rsidRPr="00913B09">
        <w:t xml:space="preserve"> the document to be defective is materially adverse </w:t>
      </w:r>
      <w:r w:rsidR="00DD2A16" w:rsidRPr="00FF5264">
        <w:t>from the point of view of an investor</w:t>
      </w:r>
      <w:r w:rsidRPr="00FF5264">
        <w:t xml:space="preserve">. </w:t>
      </w:r>
      <w:r w:rsidRPr="00253AFF">
        <w:rPr>
          <w:b/>
          <w:i/>
          <w:sz w:val="18"/>
        </w:rPr>
        <w:t xml:space="preserve">[Schedule 1, Part 1, </w:t>
      </w:r>
      <w:r w:rsidR="004C3043" w:rsidRPr="00253AFF">
        <w:rPr>
          <w:b/>
          <w:i/>
          <w:sz w:val="18"/>
        </w:rPr>
        <w:t>item 14</w:t>
      </w:r>
      <w:r w:rsidRPr="00253AFF">
        <w:rPr>
          <w:b/>
          <w:i/>
          <w:sz w:val="18"/>
        </w:rPr>
        <w:t>, subsection </w:t>
      </w:r>
      <w:proofErr w:type="gramStart"/>
      <w:r w:rsidRPr="00253AFF">
        <w:rPr>
          <w:b/>
          <w:i/>
          <w:sz w:val="18"/>
        </w:rPr>
        <w:t>738Y(</w:t>
      </w:r>
      <w:proofErr w:type="gramEnd"/>
      <w:r w:rsidR="00253AFF">
        <w:rPr>
          <w:b/>
          <w:i/>
          <w:sz w:val="18"/>
        </w:rPr>
        <w:t>4</w:t>
      </w:r>
      <w:r w:rsidRPr="00253AFF">
        <w:rPr>
          <w:b/>
          <w:i/>
          <w:sz w:val="18"/>
        </w:rPr>
        <w:t>)]</w:t>
      </w:r>
      <w:r w:rsidRPr="00253AFF">
        <w:t xml:space="preserve">.   </w:t>
      </w:r>
    </w:p>
    <w:p w14:paraId="78CEDF5F" w14:textId="77777777" w:rsidR="0046445F" w:rsidRDefault="0046445F">
      <w:pPr>
        <w:spacing w:before="0" w:after="0"/>
      </w:pPr>
      <w:r>
        <w:br w:type="page"/>
      </w:r>
    </w:p>
    <w:p w14:paraId="4496724B" w14:textId="49D483BE" w:rsidR="00E27590" w:rsidRPr="00F63766" w:rsidRDefault="00253AFF" w:rsidP="00724B06">
      <w:pPr>
        <w:pStyle w:val="base-text-paragraph"/>
      </w:pPr>
      <w:r>
        <w:t xml:space="preserve">Likewise, an </w:t>
      </w:r>
      <w:r w:rsidR="00E27590" w:rsidRPr="00F63766">
        <w:t xml:space="preserve">intermediary that publishes an offer document that </w:t>
      </w:r>
      <w:r>
        <w:t xml:space="preserve">it </w:t>
      </w:r>
      <w:r w:rsidRPr="00913B09">
        <w:rPr>
          <w:i/>
        </w:rPr>
        <w:t>knows</w:t>
      </w:r>
      <w:r>
        <w:t xml:space="preserve"> to be </w:t>
      </w:r>
      <w:r w:rsidR="00E27590" w:rsidRPr="00F63766">
        <w:t>defective</w:t>
      </w:r>
      <w:r>
        <w:t xml:space="preserve"> commits an offence</w:t>
      </w:r>
      <w:r w:rsidRPr="00253AFF">
        <w:t xml:space="preserve"> </w:t>
      </w:r>
      <w:r w:rsidR="0077605E">
        <w:t xml:space="preserve">if the statement, omission or new circumstance </w:t>
      </w:r>
      <w:r w:rsidRPr="00B724E8">
        <w:t>that cause</w:t>
      </w:r>
      <w:r>
        <w:t>d</w:t>
      </w:r>
      <w:r w:rsidRPr="00B724E8">
        <w:t xml:space="preserve"> the document to be defective is materially adverse from the point of view of an investor</w:t>
      </w:r>
      <w:r>
        <w:t xml:space="preserve"> </w:t>
      </w:r>
      <w:r w:rsidR="00E27590" w:rsidRPr="00F63766">
        <w:rPr>
          <w:b/>
          <w:i/>
          <w:sz w:val="18"/>
        </w:rPr>
        <w:t xml:space="preserve">[Schedule 1, Part 1, </w:t>
      </w:r>
      <w:r w:rsidR="004C3043">
        <w:rPr>
          <w:b/>
          <w:i/>
          <w:sz w:val="18"/>
        </w:rPr>
        <w:t>item 14</w:t>
      </w:r>
      <w:r w:rsidR="00E27590" w:rsidRPr="00F63766">
        <w:rPr>
          <w:b/>
          <w:i/>
          <w:sz w:val="18"/>
        </w:rPr>
        <w:t>, subsection 738Y(</w:t>
      </w:r>
      <w:r w:rsidR="0077605E" w:rsidRPr="0077605E">
        <w:rPr>
          <w:b/>
          <w:i/>
          <w:sz w:val="18"/>
        </w:rPr>
        <w:t>4</w:t>
      </w:r>
      <w:r w:rsidR="00E27590" w:rsidRPr="0077605E">
        <w:rPr>
          <w:b/>
          <w:i/>
          <w:sz w:val="18"/>
        </w:rPr>
        <w:t>)]</w:t>
      </w:r>
      <w:r w:rsidR="00E27590" w:rsidRPr="00F63766">
        <w:t xml:space="preserve">.  </w:t>
      </w:r>
      <w:r w:rsidR="0077605E">
        <w:t>This means a</w:t>
      </w:r>
      <w:r w:rsidR="0077605E" w:rsidRPr="00F63766">
        <w:t xml:space="preserve">n </w:t>
      </w:r>
      <w:r w:rsidR="00E27590" w:rsidRPr="00F63766">
        <w:t xml:space="preserve">intermediary will not commit an offence where the </w:t>
      </w:r>
      <w:r w:rsidR="0077605E">
        <w:t xml:space="preserve">defect in the offer document is materially defective if the intermediary did not know the offer document was </w:t>
      </w:r>
      <w:r w:rsidR="00E27590" w:rsidRPr="00F63766">
        <w:t xml:space="preserve">defective.  For the purpose of determining what an intermediary knows, an intermediary is </w:t>
      </w:r>
      <w:r w:rsidR="00E27590" w:rsidRPr="00C13A7A">
        <w:t xml:space="preserve">taken to know all matters that they would have known had they conducted the prescribed checks to a reasonable standard </w:t>
      </w:r>
      <w:r w:rsidR="00E27590" w:rsidRPr="00C13A7A">
        <w:rPr>
          <w:b/>
          <w:i/>
          <w:sz w:val="18"/>
        </w:rPr>
        <w:t xml:space="preserve">[Schedule 1, Part 1, </w:t>
      </w:r>
      <w:r w:rsidR="004C3043" w:rsidRPr="00C13A7A">
        <w:rPr>
          <w:b/>
          <w:i/>
          <w:sz w:val="18"/>
        </w:rPr>
        <w:t>item 14</w:t>
      </w:r>
      <w:r w:rsidR="00E27590" w:rsidRPr="00C13A7A">
        <w:rPr>
          <w:b/>
          <w:i/>
          <w:sz w:val="18"/>
        </w:rPr>
        <w:t>, subsections 738Q(</w:t>
      </w:r>
      <w:r w:rsidR="00D74DC8" w:rsidRPr="00C13A7A">
        <w:rPr>
          <w:b/>
          <w:i/>
          <w:sz w:val="18"/>
        </w:rPr>
        <w:t>4</w:t>
      </w:r>
      <w:r w:rsidR="00E27590" w:rsidRPr="00C13A7A">
        <w:rPr>
          <w:b/>
          <w:i/>
          <w:sz w:val="18"/>
        </w:rPr>
        <w:t>) and 738Y(3)]</w:t>
      </w:r>
      <w:r w:rsidR="00E27590" w:rsidRPr="00C13A7A">
        <w:t>.</w:t>
      </w:r>
      <w:r w:rsidR="00E27590" w:rsidRPr="00F63766">
        <w:t xml:space="preserve"> </w:t>
      </w:r>
    </w:p>
    <w:p w14:paraId="5AAB741F" w14:textId="6C701A82" w:rsidR="00E27590" w:rsidRPr="00F63766" w:rsidRDefault="00D818C2" w:rsidP="00724B06">
      <w:pPr>
        <w:pStyle w:val="base-text-paragraph"/>
      </w:pPr>
      <w:r>
        <w:t xml:space="preserve">The penalty for a person that commits the offence is </w:t>
      </w:r>
      <w:r w:rsidR="00AE4FC1">
        <w:t xml:space="preserve">a </w:t>
      </w:r>
      <w:r w:rsidR="00E27590" w:rsidRPr="00F63766">
        <w:t xml:space="preserve">maximum penalty </w:t>
      </w:r>
      <w:r w:rsidR="00AE4FC1">
        <w:t>of</w:t>
      </w:r>
      <w:r w:rsidR="00E27590" w:rsidRPr="00F63766">
        <w:t xml:space="preserve"> </w:t>
      </w:r>
      <w:r w:rsidR="00AE4FC1">
        <w:t>3</w:t>
      </w:r>
      <w:r w:rsidR="00C160FF">
        <w:t>00 penalty units, five</w:t>
      </w:r>
      <w:r w:rsidR="00E27590" w:rsidRPr="00F63766">
        <w:t> years imprisonment, or both</w:t>
      </w:r>
      <w:r>
        <w:t xml:space="preserve"> </w:t>
      </w:r>
      <w:r w:rsidRPr="00F63766">
        <w:rPr>
          <w:b/>
          <w:i/>
          <w:sz w:val="18"/>
        </w:rPr>
        <w:t>[Schedule 1, Part 1, item 34, item 245</w:t>
      </w:r>
      <w:r>
        <w:rPr>
          <w:b/>
          <w:i/>
          <w:sz w:val="18"/>
        </w:rPr>
        <w:t>M</w:t>
      </w:r>
      <w:r w:rsidRPr="00F63766">
        <w:rPr>
          <w:b/>
          <w:i/>
          <w:sz w:val="18"/>
        </w:rPr>
        <w:t xml:space="preserve"> in the table </w:t>
      </w:r>
      <w:r>
        <w:rPr>
          <w:b/>
          <w:i/>
          <w:sz w:val="18"/>
        </w:rPr>
        <w:t>to</w:t>
      </w:r>
      <w:r w:rsidRPr="00F63766">
        <w:rPr>
          <w:b/>
          <w:i/>
          <w:sz w:val="18"/>
        </w:rPr>
        <w:t xml:space="preserve"> Schedule 3]</w:t>
      </w:r>
      <w:r w:rsidR="00E27590" w:rsidRPr="00F63766">
        <w:t xml:space="preserve">. </w:t>
      </w:r>
    </w:p>
    <w:p w14:paraId="7E92B109" w14:textId="5B15ED3A" w:rsidR="00E27590" w:rsidRPr="00F63766" w:rsidRDefault="00E27590" w:rsidP="00724B06">
      <w:pPr>
        <w:pStyle w:val="base-text-paragraph"/>
      </w:pPr>
      <w:r w:rsidRPr="00F63766">
        <w:t>There are a number of defences that are available to a person who would o</w:t>
      </w:r>
      <w:r w:rsidR="004E1951">
        <w:t xml:space="preserve">therwise be criminally liable. </w:t>
      </w:r>
      <w:r w:rsidRPr="00F63766">
        <w:t xml:space="preserve">These are discussed at </w:t>
      </w:r>
      <w:r w:rsidRPr="008D4C64">
        <w:t xml:space="preserve">paragraphs </w:t>
      </w:r>
      <w:r w:rsidR="007547B8" w:rsidRPr="008D4C64">
        <w:t>5</w:t>
      </w:r>
      <w:r w:rsidRPr="008D4C64">
        <w:t>.</w:t>
      </w:r>
      <w:r w:rsidR="007547B8" w:rsidRPr="008D4C64">
        <w:t>4</w:t>
      </w:r>
      <w:r w:rsidR="00F20B46" w:rsidRPr="008D4C64">
        <w:t>5</w:t>
      </w:r>
      <w:r w:rsidRPr="008D4C64">
        <w:t xml:space="preserve"> to </w:t>
      </w:r>
      <w:r w:rsidR="007547B8" w:rsidRPr="008D4C64">
        <w:t>5</w:t>
      </w:r>
      <w:r w:rsidRPr="008D4C64">
        <w:t>.</w:t>
      </w:r>
      <w:r w:rsidR="00F20B46" w:rsidRPr="008D4C64">
        <w:t>53</w:t>
      </w:r>
      <w:r w:rsidRPr="005245C3">
        <w:t>.</w:t>
      </w:r>
    </w:p>
    <w:p w14:paraId="5C9E9610" w14:textId="77777777" w:rsidR="00E27590" w:rsidRPr="00F63766" w:rsidRDefault="00E27590" w:rsidP="00E27590">
      <w:pPr>
        <w:pStyle w:val="Heading4"/>
      </w:pPr>
      <w:r w:rsidRPr="00F63766">
        <w:t>Investor’s right to recover for loss or damage</w:t>
      </w:r>
    </w:p>
    <w:p w14:paraId="4AEFBDF3" w14:textId="485EA39F" w:rsidR="00E27590" w:rsidRPr="00F63766" w:rsidRDefault="00E27590" w:rsidP="00724B06">
      <w:pPr>
        <w:pStyle w:val="base-text-paragraph"/>
      </w:pPr>
      <w:r w:rsidRPr="00F63766">
        <w:t>An investor that suffers loss or damage because of a defective document is able to recover the amount of the loss or damage from certain persons associated with the offer</w:t>
      </w:r>
      <w:r w:rsidR="005B019B" w:rsidRPr="00F63766">
        <w:t>, including</w:t>
      </w:r>
      <w:r w:rsidRPr="00F63766">
        <w:t>:</w:t>
      </w:r>
    </w:p>
    <w:p w14:paraId="6A5700D2" w14:textId="77777777" w:rsidR="00E27590" w:rsidRPr="00F63766" w:rsidRDefault="00E27590" w:rsidP="00E27590">
      <w:pPr>
        <w:pStyle w:val="dotpoint"/>
      </w:pPr>
      <w:r w:rsidRPr="00F63766">
        <w:t xml:space="preserve">the issuer and its directors, to the extent the loss or damage was caused by any part of the offer document; </w:t>
      </w:r>
    </w:p>
    <w:p w14:paraId="26C7678F" w14:textId="77777777" w:rsidR="00E27590" w:rsidRPr="00F63766" w:rsidRDefault="00E27590" w:rsidP="00E27590">
      <w:pPr>
        <w:pStyle w:val="dotpoint"/>
      </w:pPr>
      <w:r w:rsidRPr="00F63766">
        <w:t xml:space="preserve">persons named, with their consent, in the offer document as proposed directors, to the extent of loss or damage caused by any part of the offer document; </w:t>
      </w:r>
    </w:p>
    <w:p w14:paraId="4ADCA8AC" w14:textId="77777777" w:rsidR="00E27590" w:rsidRPr="00F63766" w:rsidRDefault="00E27590" w:rsidP="00E27590">
      <w:pPr>
        <w:pStyle w:val="dotpoint"/>
      </w:pPr>
      <w:r w:rsidRPr="00F63766">
        <w:t xml:space="preserve">a person named in the offer document with their consent as having made a statement that is included in the CSF offer document or on which a statement made in the CSF offer document is based, to the extent of loss or damage caused by the inclusion of the statement in the CSF offer document; </w:t>
      </w:r>
    </w:p>
    <w:p w14:paraId="0E3FB284" w14:textId="71B7DE14" w:rsidR="00E27590" w:rsidRPr="00F63766" w:rsidRDefault="00E27590" w:rsidP="00E27590">
      <w:pPr>
        <w:pStyle w:val="dotpoint"/>
      </w:pPr>
      <w:r w:rsidRPr="00F63766">
        <w:t xml:space="preserve">a person whose conduct resulted in, or was involved in, the offer document being defective, to the extent of loss or damage caused by that conduct; </w:t>
      </w:r>
    </w:p>
    <w:p w14:paraId="43835F77" w14:textId="77777777" w:rsidR="0046445F" w:rsidRDefault="0046445F">
      <w:pPr>
        <w:spacing w:before="0" w:after="0"/>
      </w:pPr>
      <w:r>
        <w:br w:type="page"/>
      </w:r>
    </w:p>
    <w:p w14:paraId="3CB0383D" w14:textId="28579888" w:rsidR="00E27590" w:rsidRPr="00F63766" w:rsidRDefault="00E27590" w:rsidP="00E27590">
      <w:pPr>
        <w:pStyle w:val="dotpoint"/>
      </w:pPr>
      <w:proofErr w:type="gramStart"/>
      <w:r w:rsidRPr="00F63766">
        <w:t>the</w:t>
      </w:r>
      <w:proofErr w:type="gramEnd"/>
      <w:r w:rsidRPr="00F63766">
        <w:t xml:space="preserve"> intermediary that published the offer document to the extent the intermediary knew that the offer document was defective</w:t>
      </w:r>
      <w:r w:rsidR="009139D6">
        <w:t>, to the extent of the loss or damage cause</w:t>
      </w:r>
      <w:r w:rsidR="003C07CB">
        <w:t>d</w:t>
      </w:r>
      <w:r w:rsidR="009139D6">
        <w:t xml:space="preserve"> by any part of the offer document</w:t>
      </w:r>
      <w:r w:rsidRPr="00F63766">
        <w:t xml:space="preserve">. </w:t>
      </w:r>
      <w:r w:rsidRPr="00F63766">
        <w:rPr>
          <w:b/>
          <w:i/>
          <w:sz w:val="18"/>
        </w:rPr>
        <w:t xml:space="preserve">[Schedule 1, Part 1, </w:t>
      </w:r>
      <w:r w:rsidR="004C3043">
        <w:rPr>
          <w:b/>
          <w:i/>
          <w:sz w:val="18"/>
        </w:rPr>
        <w:t>item 14</w:t>
      </w:r>
      <w:r w:rsidRPr="00F63766">
        <w:rPr>
          <w:b/>
          <w:i/>
          <w:sz w:val="18"/>
        </w:rPr>
        <w:t>, subsection 738Y(5)]</w:t>
      </w:r>
      <w:r w:rsidRPr="00F63766">
        <w:t xml:space="preserve">  </w:t>
      </w:r>
    </w:p>
    <w:p w14:paraId="4F6A3E2C" w14:textId="00396DC0" w:rsidR="00E27590" w:rsidRPr="00F63766" w:rsidRDefault="00E27590" w:rsidP="009B64D4">
      <w:pPr>
        <w:pStyle w:val="base-text-paragraph"/>
      </w:pPr>
      <w:r w:rsidRPr="00F63766">
        <w:t>For the purpose of determining what an intermediary knew about the offer document, the intermediary is taken to have known of anything that they would have known had they conducted the prescribed checks to a reasonable standard</w:t>
      </w:r>
      <w:r w:rsidR="00A15E17">
        <w:t>.</w:t>
      </w:r>
      <w:r w:rsidRPr="00F63766">
        <w:t xml:space="preserve"> </w:t>
      </w:r>
      <w:r w:rsidRPr="00F63766">
        <w:rPr>
          <w:b/>
          <w:i/>
          <w:sz w:val="18"/>
        </w:rPr>
        <w:t xml:space="preserve">[Schedule 1, Part 1, </w:t>
      </w:r>
      <w:r w:rsidR="004C3043">
        <w:rPr>
          <w:b/>
          <w:i/>
          <w:sz w:val="18"/>
        </w:rPr>
        <w:t>item 14</w:t>
      </w:r>
      <w:r w:rsidRPr="00F63766">
        <w:rPr>
          <w:b/>
          <w:i/>
          <w:sz w:val="18"/>
        </w:rPr>
        <w:t>, subsection 738Q(</w:t>
      </w:r>
      <w:r w:rsidR="00A42385">
        <w:rPr>
          <w:b/>
          <w:i/>
          <w:sz w:val="18"/>
        </w:rPr>
        <w:t>4</w:t>
      </w:r>
      <w:r w:rsidRPr="00F63766">
        <w:rPr>
          <w:b/>
          <w:i/>
          <w:sz w:val="18"/>
        </w:rPr>
        <w:t>)]</w:t>
      </w:r>
    </w:p>
    <w:p w14:paraId="39DFF8CC" w14:textId="36A40F16" w:rsidR="00E27590" w:rsidRPr="00F63766" w:rsidRDefault="00E27590" w:rsidP="009B64D4">
      <w:pPr>
        <w:pStyle w:val="base-text-paragraph"/>
      </w:pPr>
      <w:r w:rsidRPr="00F63766">
        <w:t xml:space="preserve">An investor has six years from the </w:t>
      </w:r>
      <w:r w:rsidR="00B33B32">
        <w:t xml:space="preserve">day the cause of action </w:t>
      </w:r>
      <w:proofErr w:type="gramStart"/>
      <w:r w:rsidR="00B33B32">
        <w:t>arose</w:t>
      </w:r>
      <w:proofErr w:type="gramEnd"/>
      <w:r w:rsidR="00B33B32">
        <w:t xml:space="preserve"> in which to commence recovery proceedings</w:t>
      </w:r>
      <w:r w:rsidR="00001C67" w:rsidRPr="00F63766">
        <w:t xml:space="preserve">. </w:t>
      </w:r>
      <w:r w:rsidR="00001C67" w:rsidRPr="00F63766">
        <w:rPr>
          <w:b/>
          <w:i/>
          <w:sz w:val="18"/>
        </w:rPr>
        <w:t xml:space="preserve">[Schedule 1, Part 1, </w:t>
      </w:r>
      <w:r w:rsidR="00001C67">
        <w:rPr>
          <w:b/>
          <w:i/>
          <w:sz w:val="18"/>
        </w:rPr>
        <w:t>item 14</w:t>
      </w:r>
      <w:r w:rsidR="00001C67" w:rsidRPr="00F63766">
        <w:rPr>
          <w:b/>
          <w:i/>
          <w:sz w:val="18"/>
        </w:rPr>
        <w:t>, subsection 738Y(</w:t>
      </w:r>
      <w:r w:rsidR="00001C67">
        <w:rPr>
          <w:b/>
          <w:i/>
          <w:sz w:val="18"/>
        </w:rPr>
        <w:t>6</w:t>
      </w:r>
      <w:r w:rsidR="00001C67" w:rsidRPr="00F63766">
        <w:rPr>
          <w:b/>
          <w:i/>
          <w:sz w:val="18"/>
        </w:rPr>
        <w:t>)]</w:t>
      </w:r>
    </w:p>
    <w:p w14:paraId="605889A4" w14:textId="77777777" w:rsidR="00E27590" w:rsidRPr="00F63766" w:rsidRDefault="00E27590" w:rsidP="004E1951">
      <w:pPr>
        <w:pStyle w:val="Heading4"/>
        <w:keepLines/>
      </w:pPr>
      <w:r w:rsidRPr="00F63766">
        <w:t>Defences against criminal liability and action for recovery of loss</w:t>
      </w:r>
    </w:p>
    <w:p w14:paraId="3FA5491F" w14:textId="4147692B" w:rsidR="00E27590" w:rsidRPr="00F63766" w:rsidRDefault="00E27590" w:rsidP="009B64D4">
      <w:pPr>
        <w:pStyle w:val="base-text-paragraph"/>
      </w:pPr>
      <w:r w:rsidRPr="00F63766">
        <w:t xml:space="preserve">The amendments set out </w:t>
      </w:r>
      <w:r w:rsidR="00DB7FC1">
        <w:t>the</w:t>
      </w:r>
      <w:r w:rsidRPr="00F63766">
        <w:t xml:space="preserve"> defences available to a person who would otherwise commit an offence or be liable for loss or damage in relation to a </w:t>
      </w:r>
      <w:r w:rsidR="00DE7D24">
        <w:t xml:space="preserve">defective offer </w:t>
      </w:r>
      <w:r w:rsidRPr="00F63766">
        <w:t xml:space="preserve">document.  The defences are </w:t>
      </w:r>
      <w:r w:rsidR="00DB7FC1">
        <w:t>similar to</w:t>
      </w:r>
      <w:r w:rsidRPr="00F63766">
        <w:t xml:space="preserve"> those that are available in relation to certain existing disclosure documents. </w:t>
      </w:r>
    </w:p>
    <w:p w14:paraId="1DE3B310" w14:textId="77777777" w:rsidR="00DE7D24" w:rsidRDefault="00E27590" w:rsidP="009B64D4">
      <w:pPr>
        <w:pStyle w:val="base-text-paragraph"/>
      </w:pPr>
      <w:r w:rsidRPr="00F63766">
        <w:t xml:space="preserve">The first defence applies where a person </w:t>
      </w:r>
      <w:r w:rsidR="00F33B8D" w:rsidRPr="00F63766">
        <w:t>did not</w:t>
      </w:r>
      <w:r w:rsidRPr="00F63766">
        <w:t xml:space="preserve"> know the offer document was defective (‘lack of knowledge’ defence).  This defence is currently available in respect of offer information statements (but not in respect of prospectuses, which have a higher ‘due diligence’ threshold).  </w:t>
      </w:r>
    </w:p>
    <w:p w14:paraId="5DF5BAC4" w14:textId="6B9A64D8" w:rsidR="003F4645" w:rsidRDefault="00DB7FC1" w:rsidP="009B64D4">
      <w:pPr>
        <w:pStyle w:val="base-text-paragraph"/>
      </w:pPr>
      <w:r>
        <w:t>A</w:t>
      </w:r>
      <w:r w:rsidR="00DE7D24">
        <w:t xml:space="preserve"> company will not commit an offence where they did not know the offer document was defective </w:t>
      </w:r>
      <w:r w:rsidR="00E27590" w:rsidRPr="00F63766">
        <w:rPr>
          <w:b/>
          <w:i/>
          <w:sz w:val="18"/>
        </w:rPr>
        <w:t xml:space="preserve">[Schedule 1, Part 1, </w:t>
      </w:r>
      <w:r w:rsidR="004C3043">
        <w:rPr>
          <w:b/>
          <w:i/>
          <w:sz w:val="18"/>
        </w:rPr>
        <w:t>item 14</w:t>
      </w:r>
      <w:r w:rsidR="00E27590" w:rsidRPr="00F63766">
        <w:rPr>
          <w:b/>
          <w:i/>
          <w:sz w:val="18"/>
        </w:rPr>
        <w:t xml:space="preserve">, </w:t>
      </w:r>
      <w:r w:rsidR="00091514">
        <w:rPr>
          <w:b/>
          <w:i/>
          <w:sz w:val="18"/>
        </w:rPr>
        <w:t>paragraph</w:t>
      </w:r>
      <w:r w:rsidR="00091514" w:rsidRPr="00F63766">
        <w:rPr>
          <w:b/>
          <w:i/>
          <w:sz w:val="18"/>
        </w:rPr>
        <w:t> </w:t>
      </w:r>
      <w:proofErr w:type="gramStart"/>
      <w:r w:rsidR="00E27590" w:rsidRPr="00F63766">
        <w:rPr>
          <w:b/>
          <w:i/>
          <w:sz w:val="18"/>
        </w:rPr>
        <w:t>738Z(</w:t>
      </w:r>
      <w:proofErr w:type="gramEnd"/>
      <w:r w:rsidR="00E27590" w:rsidRPr="00F63766">
        <w:rPr>
          <w:b/>
          <w:i/>
          <w:sz w:val="18"/>
        </w:rPr>
        <w:t>1</w:t>
      </w:r>
      <w:r w:rsidR="00DC5E53">
        <w:rPr>
          <w:b/>
          <w:i/>
          <w:sz w:val="18"/>
        </w:rPr>
        <w:t>)</w:t>
      </w:r>
      <w:r w:rsidR="00091514">
        <w:rPr>
          <w:b/>
          <w:i/>
          <w:sz w:val="18"/>
        </w:rPr>
        <w:t>(a</w:t>
      </w:r>
      <w:r w:rsidR="00E27590" w:rsidRPr="00F63766">
        <w:rPr>
          <w:b/>
          <w:i/>
          <w:sz w:val="18"/>
        </w:rPr>
        <w:t>)]</w:t>
      </w:r>
      <w:r w:rsidR="00E27590" w:rsidRPr="00F63766">
        <w:t xml:space="preserve">.  </w:t>
      </w:r>
      <w:r w:rsidR="003F4645">
        <w:t>The company bears the evidential burden of establishing that it did not know that the offer document was defective.  This is appropriate as the company is best placed to raise evidence that they did not know the offer document was defective.</w:t>
      </w:r>
    </w:p>
    <w:p w14:paraId="42F2FD5B" w14:textId="67146A0F" w:rsidR="00E27590" w:rsidRPr="00F63766" w:rsidRDefault="00186060" w:rsidP="009B64D4">
      <w:pPr>
        <w:pStyle w:val="base-text-paragraph"/>
      </w:pPr>
      <w:r>
        <w:t>A p</w:t>
      </w:r>
      <w:r w:rsidR="00DE7D24">
        <w:t>erson</w:t>
      </w:r>
      <w:r>
        <w:t>, other than an intermediary, who would otherwise be</w:t>
      </w:r>
      <w:r w:rsidR="00DE7D24">
        <w:t xml:space="preserve"> liable </w:t>
      </w:r>
      <w:r w:rsidR="003F4645">
        <w:t>in respect of an action for recovery o</w:t>
      </w:r>
      <w:r w:rsidR="00DE7D24">
        <w:t xml:space="preserve">f loss or </w:t>
      </w:r>
      <w:r>
        <w:t xml:space="preserve">damage in relation to a defective offer </w:t>
      </w:r>
      <w:proofErr w:type="gramStart"/>
      <w:r>
        <w:t>document</w:t>
      </w:r>
      <w:proofErr w:type="gramEnd"/>
      <w:r>
        <w:t xml:space="preserve"> will not be liable</w:t>
      </w:r>
      <w:r w:rsidR="003A03BA">
        <w:t xml:space="preserve"> if they did not know that the offer document was defective. </w:t>
      </w:r>
      <w:r w:rsidR="00091514" w:rsidRPr="00F63766">
        <w:rPr>
          <w:b/>
          <w:i/>
          <w:sz w:val="18"/>
        </w:rPr>
        <w:t xml:space="preserve">[Schedule 1, Part 1, </w:t>
      </w:r>
      <w:r w:rsidR="00091514">
        <w:rPr>
          <w:b/>
          <w:i/>
          <w:sz w:val="18"/>
        </w:rPr>
        <w:t>item 14</w:t>
      </w:r>
      <w:r w:rsidR="00091514" w:rsidRPr="00F63766">
        <w:rPr>
          <w:b/>
          <w:i/>
          <w:sz w:val="18"/>
        </w:rPr>
        <w:t xml:space="preserve">, </w:t>
      </w:r>
      <w:r w:rsidR="00091514">
        <w:rPr>
          <w:b/>
          <w:i/>
          <w:sz w:val="18"/>
        </w:rPr>
        <w:t>paragraph</w:t>
      </w:r>
      <w:r w:rsidR="00091514" w:rsidRPr="00F63766">
        <w:rPr>
          <w:b/>
          <w:i/>
          <w:sz w:val="18"/>
        </w:rPr>
        <w:t> 738Z(1</w:t>
      </w:r>
      <w:r w:rsidR="00091514">
        <w:rPr>
          <w:b/>
          <w:i/>
          <w:sz w:val="18"/>
        </w:rPr>
        <w:t>)(b) and subsection 738Z(2)</w:t>
      </w:r>
      <w:r w:rsidR="00091514" w:rsidRPr="00F63766">
        <w:rPr>
          <w:b/>
          <w:i/>
          <w:sz w:val="18"/>
        </w:rPr>
        <w:t>]</w:t>
      </w:r>
      <w:r w:rsidR="00091514" w:rsidRPr="00F63766">
        <w:t xml:space="preserve">  </w:t>
      </w:r>
    </w:p>
    <w:p w14:paraId="7EEE76C1" w14:textId="66B3EE8F" w:rsidR="00E27590" w:rsidRPr="00F63766" w:rsidRDefault="00E27590" w:rsidP="009B64D4">
      <w:pPr>
        <w:pStyle w:val="base-text-paragraph"/>
      </w:pPr>
      <w:r w:rsidRPr="00F63766">
        <w:t>The</w:t>
      </w:r>
      <w:r w:rsidR="004B08E7">
        <w:t xml:space="preserve"> ‘lack of knowledge’ defence</w:t>
      </w:r>
      <w:r w:rsidRPr="00F63766">
        <w:t xml:space="preserve"> is not available to the intermediary as </w:t>
      </w:r>
      <w:r w:rsidR="00AA4572">
        <w:t xml:space="preserve">the intermediary would anyway </w:t>
      </w:r>
      <w:r w:rsidRPr="00F63766">
        <w:t xml:space="preserve">only be liable where it </w:t>
      </w:r>
      <w:r w:rsidR="00AA4572">
        <w:t>knew</w:t>
      </w:r>
      <w:r w:rsidRPr="00F63766">
        <w:t xml:space="preserve"> that the offer document was defective but continued to publish it </w:t>
      </w:r>
      <w:r w:rsidRPr="00F63766">
        <w:rPr>
          <w:b/>
          <w:i/>
          <w:sz w:val="18"/>
        </w:rPr>
        <w:t xml:space="preserve">[Schedule 1, Part 1, </w:t>
      </w:r>
      <w:r w:rsidR="004C3043">
        <w:rPr>
          <w:b/>
          <w:i/>
          <w:sz w:val="18"/>
        </w:rPr>
        <w:t>item 14</w:t>
      </w:r>
      <w:r w:rsidRPr="00F63766">
        <w:rPr>
          <w:b/>
          <w:i/>
          <w:sz w:val="18"/>
        </w:rPr>
        <w:t>,</w:t>
      </w:r>
      <w:r w:rsidR="00C13A7A">
        <w:rPr>
          <w:b/>
          <w:i/>
          <w:sz w:val="18"/>
        </w:rPr>
        <w:t xml:space="preserve"> subsection</w:t>
      </w:r>
      <w:r w:rsidR="00246360">
        <w:rPr>
          <w:b/>
          <w:i/>
          <w:sz w:val="18"/>
        </w:rPr>
        <w:t>s</w:t>
      </w:r>
      <w:r w:rsidR="00C13A7A">
        <w:rPr>
          <w:b/>
          <w:i/>
          <w:sz w:val="18"/>
        </w:rPr>
        <w:t> 738Y(3) and</w:t>
      </w:r>
      <w:r w:rsidRPr="00F63766">
        <w:rPr>
          <w:b/>
          <w:i/>
          <w:sz w:val="18"/>
        </w:rPr>
        <w:t> 738Z(2)]</w:t>
      </w:r>
      <w:r w:rsidRPr="00F63766">
        <w:t xml:space="preserve">. </w:t>
      </w:r>
    </w:p>
    <w:p w14:paraId="3B85A4B8" w14:textId="77777777" w:rsidR="0046445F" w:rsidRDefault="0046445F">
      <w:pPr>
        <w:spacing w:before="0" w:after="0"/>
      </w:pPr>
      <w:r>
        <w:br w:type="page"/>
      </w:r>
    </w:p>
    <w:p w14:paraId="1D4EBD21" w14:textId="6401FE4C" w:rsidR="00E27590" w:rsidRDefault="00E27590" w:rsidP="009B64D4">
      <w:pPr>
        <w:pStyle w:val="base-text-paragraph"/>
      </w:pPr>
      <w:r w:rsidRPr="00F63766">
        <w:t>A second defence is available where the person</w:t>
      </w:r>
      <w:r w:rsidR="008D2994">
        <w:t xml:space="preserve"> </w:t>
      </w:r>
      <w:r w:rsidRPr="00F63766">
        <w:t>placed ‘reasonable reliance</w:t>
      </w:r>
      <w:r w:rsidR="008D2994">
        <w:t>’</w:t>
      </w:r>
      <w:r w:rsidRPr="00F63766">
        <w:t xml:space="preserve"> on information given by another person, other than if that information was given by an employee, agent or (in the case of a company) a director </w:t>
      </w:r>
      <w:r w:rsidRPr="00F63766">
        <w:rPr>
          <w:b/>
          <w:i/>
          <w:sz w:val="18"/>
        </w:rPr>
        <w:t xml:space="preserve">[Schedule 1, Part 1, </w:t>
      </w:r>
      <w:r w:rsidR="004C3043">
        <w:rPr>
          <w:b/>
          <w:i/>
          <w:sz w:val="18"/>
        </w:rPr>
        <w:t>item 14</w:t>
      </w:r>
      <w:r w:rsidRPr="00F63766">
        <w:rPr>
          <w:b/>
          <w:i/>
          <w:sz w:val="18"/>
        </w:rPr>
        <w:t>, subsection 738Z(3)]</w:t>
      </w:r>
      <w:r w:rsidRPr="00F63766">
        <w:t xml:space="preserve">.  Consistent with the position in relation to existing disclosure documents, a person that performs a particular professional or advisory function will not be taken to be an agent of the body or individual </w:t>
      </w:r>
      <w:r w:rsidRPr="00F63766">
        <w:rPr>
          <w:b/>
          <w:i/>
          <w:sz w:val="18"/>
        </w:rPr>
        <w:t xml:space="preserve">[Schedule 1, Part 1, </w:t>
      </w:r>
      <w:r w:rsidR="004C3043">
        <w:rPr>
          <w:b/>
          <w:i/>
          <w:sz w:val="18"/>
        </w:rPr>
        <w:t>item 14</w:t>
      </w:r>
      <w:r w:rsidRPr="00F63766">
        <w:rPr>
          <w:b/>
          <w:i/>
          <w:sz w:val="18"/>
        </w:rPr>
        <w:t>, subsection</w:t>
      </w:r>
      <w:r w:rsidR="00246360">
        <w:rPr>
          <w:b/>
          <w:i/>
          <w:sz w:val="18"/>
        </w:rPr>
        <w:t>s</w:t>
      </w:r>
      <w:r w:rsidRPr="00F63766">
        <w:rPr>
          <w:b/>
          <w:i/>
          <w:sz w:val="18"/>
        </w:rPr>
        <w:t> </w:t>
      </w:r>
      <w:r w:rsidR="00246360">
        <w:rPr>
          <w:b/>
          <w:i/>
          <w:sz w:val="18"/>
        </w:rPr>
        <w:t xml:space="preserve">738Y(3) and </w:t>
      </w:r>
      <w:r w:rsidRPr="00F63766">
        <w:rPr>
          <w:b/>
          <w:i/>
          <w:sz w:val="18"/>
        </w:rPr>
        <w:t>738Z(5)]</w:t>
      </w:r>
      <w:r w:rsidRPr="00F63766">
        <w:t xml:space="preserve">. </w:t>
      </w:r>
    </w:p>
    <w:p w14:paraId="2C774DA4" w14:textId="744EDEA8" w:rsidR="008D2994" w:rsidRPr="00F63766" w:rsidRDefault="008D2994" w:rsidP="009B64D4">
      <w:pPr>
        <w:pStyle w:val="base-text-paragraph"/>
      </w:pPr>
      <w:r>
        <w:t>As is the case with the lack of knowledge defence, the ‘reasonable reliance’ defence is not available to the intermediary</w:t>
      </w:r>
      <w:r w:rsidR="009E1B01">
        <w:t xml:space="preserve"> given the</w:t>
      </w:r>
      <w:r>
        <w:t xml:space="preserve"> intermediary</w:t>
      </w:r>
      <w:r w:rsidR="009E1B01">
        <w:t xml:space="preserve"> would only be liable where they </w:t>
      </w:r>
      <w:r w:rsidRPr="00913B09">
        <w:rPr>
          <w:i/>
        </w:rPr>
        <w:t>kn</w:t>
      </w:r>
      <w:r w:rsidR="009E1B01">
        <w:rPr>
          <w:i/>
        </w:rPr>
        <w:t>ew</w:t>
      </w:r>
      <w:r>
        <w:t xml:space="preserve"> </w:t>
      </w:r>
      <w:r w:rsidR="009E1B01">
        <w:t xml:space="preserve">the </w:t>
      </w:r>
      <w:r>
        <w:t xml:space="preserve">offer document </w:t>
      </w:r>
      <w:r w:rsidR="009E1B01">
        <w:t>was</w:t>
      </w:r>
      <w:r>
        <w:t xml:space="preserve"> defective</w:t>
      </w:r>
      <w:r w:rsidR="009E1B01">
        <w:t xml:space="preserve">. </w:t>
      </w:r>
      <w:r w:rsidR="008403EA" w:rsidRPr="00F63766">
        <w:rPr>
          <w:b/>
          <w:i/>
          <w:sz w:val="18"/>
        </w:rPr>
        <w:t xml:space="preserve">[Schedule 1, Part 1, </w:t>
      </w:r>
      <w:r w:rsidR="008403EA">
        <w:rPr>
          <w:b/>
          <w:i/>
          <w:sz w:val="18"/>
        </w:rPr>
        <w:t>item 14</w:t>
      </w:r>
      <w:r w:rsidR="008403EA" w:rsidRPr="00F63766">
        <w:rPr>
          <w:b/>
          <w:i/>
          <w:sz w:val="18"/>
        </w:rPr>
        <w:t>, subsection </w:t>
      </w:r>
      <w:proofErr w:type="gramStart"/>
      <w:r w:rsidR="008403EA" w:rsidRPr="00F63766">
        <w:rPr>
          <w:b/>
          <w:i/>
          <w:sz w:val="18"/>
        </w:rPr>
        <w:t>738Z(</w:t>
      </w:r>
      <w:proofErr w:type="gramEnd"/>
      <w:r w:rsidR="008403EA">
        <w:rPr>
          <w:b/>
          <w:i/>
          <w:sz w:val="18"/>
        </w:rPr>
        <w:t>4</w:t>
      </w:r>
      <w:r w:rsidR="008403EA" w:rsidRPr="00F63766">
        <w:rPr>
          <w:b/>
          <w:i/>
          <w:sz w:val="18"/>
        </w:rPr>
        <w:t>)]</w:t>
      </w:r>
      <w:r w:rsidR="008403EA" w:rsidRPr="00F63766">
        <w:t>.</w:t>
      </w:r>
    </w:p>
    <w:p w14:paraId="70BA6DEE" w14:textId="77777777" w:rsidR="00E27590" w:rsidRPr="00F63766" w:rsidRDefault="00E27590" w:rsidP="00E27590">
      <w:pPr>
        <w:keepNext/>
        <w:ind w:left="1134"/>
        <w:outlineLvl w:val="3"/>
        <w:rPr>
          <w:b/>
          <w:i/>
        </w:rPr>
      </w:pPr>
      <w:r w:rsidRPr="00F63766">
        <w:rPr>
          <w:b/>
          <w:i/>
        </w:rPr>
        <w:t>Withdrawal of consent — statements and omissions</w:t>
      </w:r>
    </w:p>
    <w:p w14:paraId="4B5D8D62" w14:textId="5857C124" w:rsidR="008D440B" w:rsidRPr="00F63766" w:rsidRDefault="00E27590" w:rsidP="009B64D4">
      <w:pPr>
        <w:pStyle w:val="base-text-paragraph"/>
      </w:pPr>
      <w:r w:rsidRPr="00F63766">
        <w:t xml:space="preserve">A person who is named in a CSF offer document as being a proposed director or underwriter, or as making a statement included in the document, or making a statement on the basis of which a statement is included in the offer document, is not liable for loss or damage and does not commit an offence if they publicly withdrew their consent to being named in the document. </w:t>
      </w:r>
      <w:r w:rsidR="008D440B" w:rsidRPr="00F63766">
        <w:rPr>
          <w:b/>
          <w:i/>
          <w:sz w:val="18"/>
        </w:rPr>
        <w:t xml:space="preserve">[Schedule 1, Part 1, </w:t>
      </w:r>
      <w:r w:rsidR="008D440B">
        <w:rPr>
          <w:b/>
          <w:i/>
          <w:sz w:val="18"/>
        </w:rPr>
        <w:t>item 14</w:t>
      </w:r>
      <w:r w:rsidR="008D440B" w:rsidRPr="00F63766">
        <w:rPr>
          <w:b/>
          <w:i/>
          <w:sz w:val="18"/>
        </w:rPr>
        <w:t>, subsection 738Z(</w:t>
      </w:r>
      <w:r w:rsidR="006C6BCA">
        <w:rPr>
          <w:b/>
          <w:i/>
          <w:sz w:val="18"/>
        </w:rPr>
        <w:t>6</w:t>
      </w:r>
      <w:r w:rsidR="008D440B" w:rsidRPr="00F63766">
        <w:rPr>
          <w:b/>
          <w:i/>
          <w:sz w:val="18"/>
        </w:rPr>
        <w:t>)]</w:t>
      </w:r>
    </w:p>
    <w:p w14:paraId="5ED099D0" w14:textId="4C3CEB4B" w:rsidR="008969F1" w:rsidRPr="00F63766" w:rsidRDefault="008969F1" w:rsidP="009B64D4">
      <w:pPr>
        <w:pStyle w:val="base-text-paragraph"/>
      </w:pPr>
      <w:r>
        <w:t xml:space="preserve">This defence </w:t>
      </w:r>
      <w:r w:rsidR="008D440B">
        <w:t>is</w:t>
      </w:r>
      <w:r>
        <w:t xml:space="preserve"> available in relation to existing Chapter 6D disclosure documents</w:t>
      </w:r>
      <w:r w:rsidR="008D440B">
        <w:t>.</w:t>
      </w:r>
      <w:r>
        <w:t xml:space="preserve">  </w:t>
      </w:r>
    </w:p>
    <w:p w14:paraId="13A47EC2" w14:textId="403F3C93" w:rsidR="0099210C" w:rsidRPr="0099210C" w:rsidRDefault="0099210C" w:rsidP="0099210C">
      <w:pPr>
        <w:pStyle w:val="Heading3"/>
      </w:pPr>
      <w:r>
        <w:t>ASIC stop order powers</w:t>
      </w:r>
    </w:p>
    <w:p w14:paraId="2D58BD63" w14:textId="6A1D8ECE" w:rsidR="00E27590" w:rsidRDefault="0099210C" w:rsidP="0099210C">
      <w:pPr>
        <w:pStyle w:val="base-text-paragraph"/>
      </w:pPr>
      <w:r>
        <w:t>ASIC’s stop order powers have been extended so that they apply where a company offers securities under a defective CSF offer document</w:t>
      </w:r>
      <w:r w:rsidR="001B382E">
        <w:t xml:space="preserve"> </w:t>
      </w:r>
      <w:r w:rsidR="001B382E" w:rsidRPr="00F63766">
        <w:rPr>
          <w:b/>
          <w:i/>
          <w:sz w:val="18"/>
        </w:rPr>
        <w:t xml:space="preserve">[Schedule 1, Part 1, </w:t>
      </w:r>
      <w:r w:rsidR="001B382E">
        <w:rPr>
          <w:b/>
          <w:i/>
          <w:sz w:val="18"/>
        </w:rPr>
        <w:t>item 15</w:t>
      </w:r>
      <w:r w:rsidR="001B382E" w:rsidRPr="00F63766">
        <w:rPr>
          <w:b/>
          <w:i/>
          <w:sz w:val="18"/>
        </w:rPr>
        <w:t xml:space="preserve">, </w:t>
      </w:r>
      <w:r w:rsidR="001B382E">
        <w:rPr>
          <w:b/>
          <w:i/>
          <w:sz w:val="18"/>
        </w:rPr>
        <w:t>paragraph</w:t>
      </w:r>
      <w:r w:rsidR="001B382E" w:rsidRPr="00F63766">
        <w:rPr>
          <w:b/>
          <w:i/>
          <w:sz w:val="18"/>
        </w:rPr>
        <w:t> 73</w:t>
      </w:r>
      <w:r w:rsidR="001B382E">
        <w:rPr>
          <w:b/>
          <w:i/>
          <w:sz w:val="18"/>
        </w:rPr>
        <w:t>9(1</w:t>
      </w:r>
      <w:proofErr w:type="gramStart"/>
      <w:r w:rsidR="001B382E">
        <w:rPr>
          <w:b/>
          <w:i/>
          <w:sz w:val="18"/>
        </w:rPr>
        <w:t>)(</w:t>
      </w:r>
      <w:proofErr w:type="gramEnd"/>
      <w:r w:rsidR="001B382E">
        <w:rPr>
          <w:b/>
          <w:i/>
          <w:sz w:val="18"/>
        </w:rPr>
        <w:t>d)</w:t>
      </w:r>
      <w:r w:rsidR="001B382E" w:rsidRPr="00F63766">
        <w:rPr>
          <w:b/>
          <w:i/>
          <w:sz w:val="18"/>
        </w:rPr>
        <w:t>]</w:t>
      </w:r>
      <w:r w:rsidR="001B382E" w:rsidRPr="00F63766">
        <w:t>.</w:t>
      </w:r>
      <w:r w:rsidR="00861CC7">
        <w:t xml:space="preserve">  ASIC may order that no offers, issues, sales or transfers of the securities are to take place while the order is in force</w:t>
      </w:r>
      <w:r w:rsidR="0035312C">
        <w:t xml:space="preserve"> </w:t>
      </w:r>
      <w:r w:rsidR="0035312C" w:rsidRPr="00F63766">
        <w:rPr>
          <w:b/>
          <w:i/>
          <w:sz w:val="18"/>
        </w:rPr>
        <w:t xml:space="preserve">[Schedule 1, Part 1, </w:t>
      </w:r>
      <w:r w:rsidR="0035312C">
        <w:rPr>
          <w:b/>
          <w:i/>
          <w:sz w:val="18"/>
        </w:rPr>
        <w:t>item 16</w:t>
      </w:r>
      <w:r w:rsidR="0035312C" w:rsidRPr="00F63766">
        <w:rPr>
          <w:b/>
          <w:i/>
          <w:sz w:val="18"/>
        </w:rPr>
        <w:t xml:space="preserve">, </w:t>
      </w:r>
      <w:r w:rsidR="0035312C">
        <w:rPr>
          <w:b/>
          <w:i/>
          <w:sz w:val="18"/>
        </w:rPr>
        <w:t>paragraph</w:t>
      </w:r>
      <w:r w:rsidR="0035312C" w:rsidRPr="00F63766">
        <w:rPr>
          <w:b/>
          <w:i/>
          <w:sz w:val="18"/>
        </w:rPr>
        <w:t> 73</w:t>
      </w:r>
      <w:r w:rsidR="0035312C">
        <w:rPr>
          <w:b/>
          <w:i/>
          <w:sz w:val="18"/>
        </w:rPr>
        <w:t>9(1A</w:t>
      </w:r>
      <w:proofErr w:type="gramStart"/>
      <w:r w:rsidR="0035312C">
        <w:rPr>
          <w:b/>
          <w:i/>
          <w:sz w:val="18"/>
        </w:rPr>
        <w:t>)(</w:t>
      </w:r>
      <w:proofErr w:type="gramEnd"/>
      <w:r w:rsidR="0035312C">
        <w:rPr>
          <w:b/>
          <w:i/>
          <w:sz w:val="18"/>
        </w:rPr>
        <w:t>a)</w:t>
      </w:r>
      <w:r w:rsidR="0035312C" w:rsidRPr="00F63766">
        <w:rPr>
          <w:b/>
          <w:i/>
          <w:sz w:val="18"/>
        </w:rPr>
        <w:t>]</w:t>
      </w:r>
      <w:r w:rsidR="0035312C" w:rsidRPr="00F63766">
        <w:t>.</w:t>
      </w:r>
      <w:r w:rsidR="0035312C">
        <w:t xml:space="preserve">  </w:t>
      </w:r>
    </w:p>
    <w:p w14:paraId="1A5CA76D" w14:textId="77777777" w:rsidR="00AE3607" w:rsidRDefault="00AE3607" w:rsidP="004E1951">
      <w:pPr>
        <w:pStyle w:val="Heading2"/>
        <w:spacing w:before="240"/>
      </w:pPr>
      <w:r>
        <w:t>Consequential amendments</w:t>
      </w:r>
    </w:p>
    <w:p w14:paraId="0A790BED" w14:textId="054DB28F" w:rsidR="00AE3607" w:rsidRPr="00101AE1" w:rsidRDefault="00AE3607" w:rsidP="00394561">
      <w:pPr>
        <w:pStyle w:val="base-text-paragraph"/>
        <w:numPr>
          <w:ilvl w:val="1"/>
          <w:numId w:val="50"/>
        </w:numPr>
      </w:pPr>
      <w:r>
        <w:t xml:space="preserve">Consequential amendments have been made to provide that the general rules prohibiting misleading and deceptive conduct </w:t>
      </w:r>
      <w:r w:rsidR="00192E38">
        <w:t xml:space="preserve">in the Corporations Act </w:t>
      </w:r>
      <w:r>
        <w:t xml:space="preserve">do </w:t>
      </w:r>
      <w:r w:rsidRPr="00101AE1">
        <w:t xml:space="preserve">not apply </w:t>
      </w:r>
      <w:r w:rsidR="00BA7527" w:rsidRPr="00101AE1">
        <w:t>in relation to a CSF offer document</w:t>
      </w:r>
      <w:r w:rsidR="00394561" w:rsidRPr="00101AE1">
        <w:t xml:space="preserve"> </w:t>
      </w:r>
      <w:r w:rsidR="00394561" w:rsidRPr="00101AE1">
        <w:rPr>
          <w:b/>
          <w:i/>
          <w:sz w:val="18"/>
        </w:rPr>
        <w:t xml:space="preserve">[Schedule 1, Part 1, item </w:t>
      </w:r>
      <w:r w:rsidR="00B64367" w:rsidRPr="00101AE1">
        <w:rPr>
          <w:b/>
          <w:i/>
          <w:sz w:val="18"/>
        </w:rPr>
        <w:t>30</w:t>
      </w:r>
      <w:r w:rsidR="00394561" w:rsidRPr="00101AE1">
        <w:rPr>
          <w:b/>
          <w:i/>
          <w:sz w:val="18"/>
        </w:rPr>
        <w:t xml:space="preserve">, </w:t>
      </w:r>
      <w:r w:rsidR="00B64367" w:rsidRPr="00101AE1">
        <w:rPr>
          <w:b/>
          <w:i/>
          <w:sz w:val="18"/>
        </w:rPr>
        <w:t>sub</w:t>
      </w:r>
      <w:r w:rsidR="00394561" w:rsidRPr="00101AE1">
        <w:rPr>
          <w:b/>
          <w:i/>
          <w:sz w:val="18"/>
        </w:rPr>
        <w:t>paragraph </w:t>
      </w:r>
      <w:r w:rsidR="00B64367" w:rsidRPr="00101AE1">
        <w:rPr>
          <w:b/>
          <w:i/>
          <w:sz w:val="18"/>
        </w:rPr>
        <w:t>1041H</w:t>
      </w:r>
      <w:r w:rsidR="00394561" w:rsidRPr="00101AE1">
        <w:rPr>
          <w:b/>
          <w:i/>
          <w:sz w:val="18"/>
        </w:rPr>
        <w:t>(</w:t>
      </w:r>
      <w:r w:rsidR="00B64367" w:rsidRPr="00101AE1">
        <w:rPr>
          <w:b/>
          <w:i/>
          <w:sz w:val="18"/>
        </w:rPr>
        <w:t>3</w:t>
      </w:r>
      <w:r w:rsidR="00394561" w:rsidRPr="00101AE1">
        <w:rPr>
          <w:b/>
          <w:i/>
          <w:sz w:val="18"/>
        </w:rPr>
        <w:t>)(a</w:t>
      </w:r>
      <w:r w:rsidR="002821FD" w:rsidRPr="00101AE1">
        <w:rPr>
          <w:b/>
          <w:i/>
          <w:sz w:val="18"/>
        </w:rPr>
        <w:t>)</w:t>
      </w:r>
      <w:r w:rsidR="00B64367" w:rsidRPr="00101AE1">
        <w:rPr>
          <w:b/>
          <w:i/>
          <w:sz w:val="18"/>
        </w:rPr>
        <w:t>(</w:t>
      </w:r>
      <w:proofErr w:type="spellStart"/>
      <w:r w:rsidR="00B64367" w:rsidRPr="00101AE1">
        <w:rPr>
          <w:b/>
          <w:i/>
          <w:sz w:val="18"/>
        </w:rPr>
        <w:t>i</w:t>
      </w:r>
      <w:r w:rsidR="00C12C77" w:rsidRPr="00101AE1">
        <w:rPr>
          <w:b/>
          <w:i/>
          <w:sz w:val="18"/>
        </w:rPr>
        <w:t>i</w:t>
      </w:r>
      <w:r w:rsidR="00101AE1" w:rsidRPr="00101AE1">
        <w:rPr>
          <w:b/>
          <w:i/>
          <w:sz w:val="18"/>
        </w:rPr>
        <w:t>a</w:t>
      </w:r>
      <w:proofErr w:type="spellEnd"/>
      <w:r w:rsidR="00394561" w:rsidRPr="00101AE1">
        <w:rPr>
          <w:b/>
          <w:i/>
          <w:sz w:val="18"/>
        </w:rPr>
        <w:t>)]</w:t>
      </w:r>
      <w:r w:rsidR="00394561" w:rsidRPr="00101AE1">
        <w:t xml:space="preserve">.  </w:t>
      </w:r>
      <w:r w:rsidR="00BA7527" w:rsidRPr="00101AE1">
        <w:t xml:space="preserve">This </w:t>
      </w:r>
      <w:r w:rsidR="00496A76" w:rsidRPr="00101AE1">
        <w:t xml:space="preserve">amendment means that defective CSF offers </w:t>
      </w:r>
      <w:r w:rsidR="00FC10F9" w:rsidRPr="00101AE1">
        <w:t>will be</w:t>
      </w:r>
      <w:r w:rsidR="00496A76" w:rsidRPr="00101AE1">
        <w:t xml:space="preserve"> treated in the same way as existing </w:t>
      </w:r>
      <w:r w:rsidR="00BA7527" w:rsidRPr="00101AE1">
        <w:t xml:space="preserve">Chapter 6D disclosure documents. </w:t>
      </w:r>
    </w:p>
    <w:p w14:paraId="5F0D6C6B" w14:textId="77777777" w:rsidR="0046445F" w:rsidRDefault="0046445F">
      <w:pPr>
        <w:spacing w:before="0" w:after="0"/>
      </w:pPr>
      <w:r>
        <w:br w:type="page"/>
      </w:r>
    </w:p>
    <w:p w14:paraId="6A7D4FA7" w14:textId="2C27AF76" w:rsidR="00192E38" w:rsidRPr="00101AE1" w:rsidRDefault="00192E38" w:rsidP="00394561">
      <w:pPr>
        <w:pStyle w:val="base-text-paragraph"/>
        <w:numPr>
          <w:ilvl w:val="1"/>
          <w:numId w:val="50"/>
        </w:numPr>
      </w:pPr>
      <w:r w:rsidRPr="00101AE1">
        <w:t>Corresponding consequential amendments have been made to provisions in the ASIC Act: section 12DA (prohibition on misleading or deceptive conduct) and section 12DB (prohibition on making false or misleading representations) to exclude these provisions from applying to CSF offer documents</w:t>
      </w:r>
      <w:r w:rsidR="006A6085" w:rsidRPr="00101AE1">
        <w:t xml:space="preserve"> </w:t>
      </w:r>
      <w:r w:rsidR="006A6085" w:rsidRPr="00101AE1">
        <w:rPr>
          <w:b/>
          <w:i/>
          <w:sz w:val="18"/>
        </w:rPr>
        <w:t xml:space="preserve">[Schedule </w:t>
      </w:r>
      <w:r w:rsidR="00F2226A" w:rsidRPr="00101AE1">
        <w:rPr>
          <w:b/>
          <w:i/>
          <w:sz w:val="18"/>
        </w:rPr>
        <w:t>1</w:t>
      </w:r>
      <w:r w:rsidR="006A6085" w:rsidRPr="00101AE1">
        <w:rPr>
          <w:b/>
          <w:i/>
          <w:sz w:val="18"/>
        </w:rPr>
        <w:t xml:space="preserve">, </w:t>
      </w:r>
      <w:r w:rsidR="00F2226A" w:rsidRPr="00101AE1">
        <w:rPr>
          <w:b/>
          <w:i/>
          <w:sz w:val="18"/>
        </w:rPr>
        <w:t xml:space="preserve">Part 2, </w:t>
      </w:r>
      <w:r w:rsidR="006A6085" w:rsidRPr="00101AE1">
        <w:rPr>
          <w:b/>
          <w:i/>
          <w:sz w:val="18"/>
        </w:rPr>
        <w:t>item 37, subparagraph</w:t>
      </w:r>
      <w:r w:rsidR="00F2226A" w:rsidRPr="00101AE1">
        <w:rPr>
          <w:b/>
          <w:i/>
          <w:sz w:val="18"/>
        </w:rPr>
        <w:t>s</w:t>
      </w:r>
      <w:r w:rsidR="006A6085" w:rsidRPr="00101AE1">
        <w:rPr>
          <w:b/>
          <w:i/>
          <w:sz w:val="18"/>
        </w:rPr>
        <w:t> </w:t>
      </w:r>
      <w:proofErr w:type="gramStart"/>
      <w:r w:rsidR="006A6085" w:rsidRPr="00101AE1">
        <w:rPr>
          <w:b/>
          <w:i/>
          <w:sz w:val="18"/>
        </w:rPr>
        <w:t>12DA(</w:t>
      </w:r>
      <w:proofErr w:type="gramEnd"/>
      <w:r w:rsidR="006A6085" w:rsidRPr="00101AE1">
        <w:rPr>
          <w:b/>
          <w:i/>
          <w:sz w:val="18"/>
        </w:rPr>
        <w:t xml:space="preserve">1A)(a)(iii) and </w:t>
      </w:r>
      <w:r w:rsidR="003B10F3" w:rsidRPr="00101AE1">
        <w:rPr>
          <w:b/>
          <w:i/>
          <w:sz w:val="18"/>
        </w:rPr>
        <w:t>12D</w:t>
      </w:r>
      <w:r w:rsidR="006A6085" w:rsidRPr="00101AE1">
        <w:rPr>
          <w:b/>
          <w:i/>
          <w:sz w:val="18"/>
        </w:rPr>
        <w:t>B(2)(a</w:t>
      </w:r>
      <w:r w:rsidR="00F2226A" w:rsidRPr="00101AE1">
        <w:rPr>
          <w:b/>
          <w:i/>
          <w:sz w:val="18"/>
        </w:rPr>
        <w:t>)</w:t>
      </w:r>
      <w:r w:rsidR="006A6085" w:rsidRPr="00101AE1">
        <w:rPr>
          <w:b/>
          <w:i/>
          <w:sz w:val="18"/>
        </w:rPr>
        <w:t>(iii)</w:t>
      </w:r>
      <w:r w:rsidR="00F2226A" w:rsidRPr="00101AE1">
        <w:rPr>
          <w:b/>
          <w:i/>
          <w:sz w:val="18"/>
        </w:rPr>
        <w:t xml:space="preserve"> of the ASIC Act</w:t>
      </w:r>
      <w:r w:rsidR="006A6085" w:rsidRPr="00101AE1">
        <w:rPr>
          <w:b/>
          <w:i/>
          <w:sz w:val="18"/>
        </w:rPr>
        <w:t>]</w:t>
      </w:r>
      <w:r w:rsidR="006A6085" w:rsidRPr="00101AE1">
        <w:t xml:space="preserve">.  </w:t>
      </w:r>
      <w:r w:rsidR="00271056" w:rsidRPr="00101AE1">
        <w:t xml:space="preserve">The carve out from these </w:t>
      </w:r>
      <w:r w:rsidR="00884D07" w:rsidRPr="00101AE1">
        <w:t>provisions in</w:t>
      </w:r>
      <w:r w:rsidR="00271056" w:rsidRPr="00101AE1">
        <w:t xml:space="preserve"> the ASIC Act is limited to CSF offe</w:t>
      </w:r>
      <w:r w:rsidR="00822BD7">
        <w:t>r documents,</w:t>
      </w:r>
      <w:r w:rsidR="00271056" w:rsidRPr="00101AE1">
        <w:t xml:space="preserve"> the provisions will continue to apply to other misleading or deceptive conduct or false representations made by the issuer company or the intermediary</w:t>
      </w:r>
      <w:r w:rsidR="006837E6" w:rsidRPr="00101AE1">
        <w:t>.</w:t>
      </w:r>
      <w:r w:rsidR="006A6085" w:rsidRPr="00101AE1">
        <w:t xml:space="preserve"> </w:t>
      </w:r>
      <w:r w:rsidR="006837E6" w:rsidRPr="00101AE1">
        <w:t xml:space="preserve"> </w:t>
      </w:r>
      <w:r w:rsidR="00271056" w:rsidRPr="00101AE1">
        <w:t xml:space="preserve"> </w:t>
      </w:r>
    </w:p>
    <w:p w14:paraId="07A709E0" w14:textId="1E18F5E9" w:rsidR="00E27590" w:rsidRPr="00F63766" w:rsidRDefault="00496A76" w:rsidP="00C55C9D">
      <w:pPr>
        <w:pStyle w:val="base-text-paragraph"/>
      </w:pPr>
      <w:r w:rsidRPr="00101AE1">
        <w:t>Amendments have also been made to exclude the State Fair Trading Act of any State or Territory from applying to CSF offers made under a defective CSF offer document</w:t>
      </w:r>
      <w:r w:rsidR="005A3B46" w:rsidRPr="00101AE1">
        <w:t xml:space="preserve"> </w:t>
      </w:r>
      <w:r w:rsidR="005A3B46" w:rsidRPr="004E1951">
        <w:rPr>
          <w:b/>
          <w:i/>
          <w:sz w:val="18"/>
        </w:rPr>
        <w:t>[Schedule 1, Part 1, item 3</w:t>
      </w:r>
      <w:r w:rsidR="00CB4702" w:rsidRPr="004E1951">
        <w:rPr>
          <w:b/>
          <w:i/>
          <w:sz w:val="18"/>
        </w:rPr>
        <w:t>1</w:t>
      </w:r>
      <w:r w:rsidR="005A3B46" w:rsidRPr="004E1951">
        <w:rPr>
          <w:b/>
          <w:i/>
          <w:sz w:val="18"/>
        </w:rPr>
        <w:t>, subparagraph 1041</w:t>
      </w:r>
      <w:r w:rsidR="00CB4702" w:rsidRPr="004E1951">
        <w:rPr>
          <w:b/>
          <w:i/>
          <w:sz w:val="18"/>
        </w:rPr>
        <w:t>K</w:t>
      </w:r>
      <w:r w:rsidR="005A3B46" w:rsidRPr="004E1951">
        <w:rPr>
          <w:b/>
          <w:i/>
          <w:sz w:val="18"/>
        </w:rPr>
        <w:t>(</w:t>
      </w:r>
      <w:r w:rsidR="00CB4702" w:rsidRPr="004E1951">
        <w:rPr>
          <w:b/>
          <w:i/>
          <w:sz w:val="18"/>
        </w:rPr>
        <w:t>1</w:t>
      </w:r>
      <w:r w:rsidR="005A3B46" w:rsidRPr="004E1951">
        <w:rPr>
          <w:b/>
          <w:i/>
          <w:sz w:val="18"/>
        </w:rPr>
        <w:t>)(a)(</w:t>
      </w:r>
      <w:proofErr w:type="spellStart"/>
      <w:r w:rsidR="005A3B46" w:rsidRPr="004E1951">
        <w:rPr>
          <w:b/>
          <w:i/>
          <w:sz w:val="18"/>
        </w:rPr>
        <w:t>ii</w:t>
      </w:r>
      <w:r w:rsidR="00622C27" w:rsidRPr="004E1951">
        <w:rPr>
          <w:b/>
          <w:i/>
          <w:sz w:val="18"/>
        </w:rPr>
        <w:t>a</w:t>
      </w:r>
      <w:proofErr w:type="spellEnd"/>
      <w:r w:rsidR="005A3B46" w:rsidRPr="004E1951">
        <w:rPr>
          <w:b/>
          <w:i/>
          <w:sz w:val="18"/>
        </w:rPr>
        <w:t>)]</w:t>
      </w:r>
      <w:r w:rsidR="004E1951">
        <w:t xml:space="preserve">. </w:t>
      </w:r>
      <w:r w:rsidR="00FC10F9" w:rsidRPr="00101AE1">
        <w:t>This amendment means</w:t>
      </w:r>
      <w:r w:rsidR="00FC10F9">
        <w:t xml:space="preserve"> that CSF offer</w:t>
      </w:r>
      <w:r w:rsidR="00982F42">
        <w:t xml:space="preserve"> documents</w:t>
      </w:r>
      <w:r w:rsidR="00FC10F9">
        <w:t xml:space="preserve"> will be treated in the same way as existing Chapter 6D disclosure documents. </w:t>
      </w:r>
    </w:p>
    <w:p w14:paraId="2E32885B" w14:textId="77777777" w:rsidR="00E27590" w:rsidRPr="00F63766" w:rsidRDefault="00E27590" w:rsidP="00B676BE">
      <w:pPr>
        <w:sectPr w:rsidR="00E27590" w:rsidRPr="00F63766" w:rsidSect="00B676BE">
          <w:headerReference w:type="even" r:id="rId47"/>
          <w:headerReference w:type="default" r:id="rId48"/>
          <w:footerReference w:type="even" r:id="rId49"/>
          <w:footerReference w:type="default" r:id="rId50"/>
          <w:footerReference w:type="first" r:id="rId51"/>
          <w:type w:val="oddPage"/>
          <w:pgSz w:w="11906" w:h="16838" w:code="9"/>
          <w:pgMar w:top="2466" w:right="2098" w:bottom="2466" w:left="2098" w:header="1559" w:footer="1899" w:gutter="0"/>
          <w:cols w:space="708"/>
          <w:titlePg/>
          <w:docGrid w:linePitch="360"/>
        </w:sectPr>
      </w:pPr>
    </w:p>
    <w:p w14:paraId="63A5C474" w14:textId="77777777" w:rsidR="00E27590" w:rsidRPr="00F63766" w:rsidRDefault="00E27590" w:rsidP="00B676BE">
      <w:pPr>
        <w:pStyle w:val="ChapterHeading"/>
        <w:tabs>
          <w:tab w:val="clear" w:pos="1134"/>
          <w:tab w:val="num" w:pos="360"/>
        </w:tabs>
      </w:pPr>
      <w:r w:rsidRPr="00F63766">
        <w:br/>
      </w:r>
      <w:bookmarkStart w:id="15" w:name="_Toc435701585"/>
      <w:bookmarkStart w:id="16" w:name="_Toc436037555"/>
      <w:r w:rsidRPr="00F63766">
        <w:t>Investor Protections</w:t>
      </w:r>
      <w:bookmarkEnd w:id="15"/>
      <w:bookmarkEnd w:id="16"/>
    </w:p>
    <w:p w14:paraId="696E7539" w14:textId="77777777" w:rsidR="00E27590" w:rsidRPr="00F63766" w:rsidRDefault="00E27590" w:rsidP="00B676BE">
      <w:pPr>
        <w:pStyle w:val="Heading2"/>
      </w:pPr>
      <w:r w:rsidRPr="00F63766">
        <w:t>Outline of chapter</w:t>
      </w:r>
    </w:p>
    <w:p w14:paraId="4D93F8CD" w14:textId="2EFACD8B" w:rsidR="00E27590" w:rsidRPr="00F63766" w:rsidRDefault="00E27590" w:rsidP="00E27590">
      <w:pPr>
        <w:pStyle w:val="base-text-paragraph"/>
      </w:pPr>
      <w:r w:rsidRPr="00F63766">
        <w:t xml:space="preserve">This Chapter sets out the investor protection provisions that are part of the </w:t>
      </w:r>
      <w:r w:rsidR="00876CC8" w:rsidRPr="00F63766">
        <w:t>CSF</w:t>
      </w:r>
      <w:r w:rsidRPr="00F63766">
        <w:t xml:space="preserve"> regime. </w:t>
      </w:r>
    </w:p>
    <w:p w14:paraId="40BCBC4B" w14:textId="77777777" w:rsidR="00E27590" w:rsidRPr="00F63766" w:rsidRDefault="00E27590" w:rsidP="00E27590">
      <w:pPr>
        <w:pStyle w:val="base-text-paragraph"/>
      </w:pPr>
      <w:r w:rsidRPr="00F63766">
        <w:t xml:space="preserve">All legislative references within this Chapter are to the </w:t>
      </w:r>
      <w:r w:rsidRPr="00F63766">
        <w:rPr>
          <w:i/>
        </w:rPr>
        <w:t>Corporations Act 2001</w:t>
      </w:r>
      <w:r w:rsidRPr="00F63766">
        <w:t xml:space="preserve"> unless specified otherwise. </w:t>
      </w:r>
    </w:p>
    <w:p w14:paraId="36663FD4" w14:textId="77777777" w:rsidR="00E27590" w:rsidRPr="00F63766" w:rsidRDefault="00E27590" w:rsidP="00B676BE">
      <w:pPr>
        <w:pStyle w:val="Heading2"/>
      </w:pPr>
      <w:r w:rsidRPr="00F63766">
        <w:t>Summary of new law</w:t>
      </w:r>
    </w:p>
    <w:p w14:paraId="5C4D9375" w14:textId="2FB42C38" w:rsidR="007639B0" w:rsidRPr="00F63766" w:rsidRDefault="007639B0" w:rsidP="007639B0">
      <w:pPr>
        <w:pStyle w:val="base-text-paragraph"/>
      </w:pPr>
      <w:r w:rsidRPr="00F63766">
        <w:t xml:space="preserve">The amendments establish </w:t>
      </w:r>
      <w:r w:rsidR="00E95A44">
        <w:t xml:space="preserve">certain </w:t>
      </w:r>
      <w:r w:rsidRPr="00F63766">
        <w:t xml:space="preserve">protections </w:t>
      </w:r>
      <w:r w:rsidR="00CE0AE0" w:rsidRPr="00F63766">
        <w:t xml:space="preserve">for </w:t>
      </w:r>
      <w:r w:rsidR="00663480" w:rsidRPr="00F63766">
        <w:t xml:space="preserve">all investors, with </w:t>
      </w:r>
      <w:r w:rsidR="00981360">
        <w:t xml:space="preserve">some </w:t>
      </w:r>
      <w:r w:rsidR="00663480" w:rsidRPr="00F63766">
        <w:t>additional protections applying to retail clients.</w:t>
      </w:r>
      <w:r w:rsidR="00435325">
        <w:t xml:space="preserve"> These protections ensure that investors can make informed decisions and reduce the extent to which they may be subjected to excessive levels of risk under the new CSF regime.</w:t>
      </w:r>
      <w:r w:rsidR="00663480" w:rsidRPr="00F63766">
        <w:t xml:space="preserve"> </w:t>
      </w:r>
    </w:p>
    <w:p w14:paraId="4E75AF9F" w14:textId="4DFEA8B8" w:rsidR="00C21A9B" w:rsidRDefault="00447D85" w:rsidP="007639B0">
      <w:pPr>
        <w:pStyle w:val="base-text-paragraph"/>
      </w:pPr>
      <w:r w:rsidRPr="00F63766">
        <w:t xml:space="preserve">The </w:t>
      </w:r>
      <w:r w:rsidR="00623352">
        <w:t xml:space="preserve">additional </w:t>
      </w:r>
      <w:r w:rsidRPr="00F63766">
        <w:t>p</w:t>
      </w:r>
      <w:r w:rsidR="007639B0" w:rsidRPr="00F63766">
        <w:t xml:space="preserve">rotections that apply to </w:t>
      </w:r>
      <w:r w:rsidRPr="00F63766">
        <w:t>retail clients</w:t>
      </w:r>
      <w:r w:rsidR="007639B0" w:rsidRPr="00F63766">
        <w:t xml:space="preserve"> </w:t>
      </w:r>
      <w:r w:rsidR="00C21A9B">
        <w:t xml:space="preserve">are: </w:t>
      </w:r>
    </w:p>
    <w:p w14:paraId="795627BD" w14:textId="77777777" w:rsidR="00C21A9B" w:rsidRDefault="007639B0" w:rsidP="00913B09">
      <w:pPr>
        <w:pStyle w:val="dotpoint"/>
      </w:pPr>
      <w:r w:rsidRPr="00F63766">
        <w:t>an investor cap of $10,000 per issuer via a particular intermediary within a 12-month period</w:t>
      </w:r>
      <w:r w:rsidR="00C21A9B">
        <w:t xml:space="preserve">; </w:t>
      </w:r>
    </w:p>
    <w:p w14:paraId="77F858BC" w14:textId="2CA52E7D" w:rsidR="00C21A9B" w:rsidRDefault="007639B0" w:rsidP="00FF5264">
      <w:pPr>
        <w:pStyle w:val="dotpoint"/>
      </w:pPr>
      <w:r w:rsidRPr="00F63766">
        <w:t>unconditional cooling</w:t>
      </w:r>
      <w:r w:rsidR="009776F7">
        <w:noBreakHyphen/>
      </w:r>
      <w:r w:rsidRPr="00F63766">
        <w:t xml:space="preserve">off </w:t>
      </w:r>
      <w:r w:rsidR="00C21A9B">
        <w:t xml:space="preserve">rights; </w:t>
      </w:r>
    </w:p>
    <w:p w14:paraId="64DB3E43" w14:textId="0CB04F27" w:rsidR="001C3BF8" w:rsidRDefault="00C21A9B">
      <w:pPr>
        <w:pStyle w:val="dotpoint"/>
      </w:pPr>
      <w:r w:rsidRPr="00F63766">
        <w:t>a prohibition on providing financial assistance to enable investments in CSF offers</w:t>
      </w:r>
      <w:r w:rsidR="001C3BF8">
        <w:t>; and</w:t>
      </w:r>
    </w:p>
    <w:p w14:paraId="06781975" w14:textId="77777777" w:rsidR="006835CB" w:rsidRDefault="001C3BF8">
      <w:pPr>
        <w:pStyle w:val="dotpoint"/>
      </w:pPr>
      <w:proofErr w:type="gramStart"/>
      <w:r>
        <w:t>the</w:t>
      </w:r>
      <w:proofErr w:type="gramEnd"/>
      <w:r>
        <w:t xml:space="preserve"> requirement to obtain a risk acknowledgment prior to accepting a CSF application. </w:t>
      </w:r>
      <w:r w:rsidR="00C21A9B">
        <w:t xml:space="preserve"> </w:t>
      </w:r>
    </w:p>
    <w:p w14:paraId="19AA8729" w14:textId="74D99003" w:rsidR="00260BE2" w:rsidRPr="005245C3" w:rsidRDefault="00260BE2">
      <w:pPr>
        <w:pStyle w:val="base-text-paragraph"/>
      </w:pPr>
      <w:r w:rsidRPr="005245C3">
        <w:t xml:space="preserve">The amendments restrict the advertising of CSF offers or intended CSF offers.  </w:t>
      </w:r>
    </w:p>
    <w:p w14:paraId="7EE2EF05" w14:textId="38189511" w:rsidR="009A64F7" w:rsidRPr="005245C3" w:rsidRDefault="00260BE2">
      <w:pPr>
        <w:pStyle w:val="base-text-paragraph"/>
      </w:pPr>
      <w:r w:rsidRPr="005245C3">
        <w:t xml:space="preserve">The existing </w:t>
      </w:r>
      <w:r w:rsidR="001542AD" w:rsidRPr="005245C3">
        <w:t>prohibition on securities hawking</w:t>
      </w:r>
      <w:r w:rsidR="003728EE" w:rsidRPr="005245C3">
        <w:t xml:space="preserve"> </w:t>
      </w:r>
      <w:r w:rsidR="001A09C6" w:rsidRPr="005245C3">
        <w:t xml:space="preserve">may </w:t>
      </w:r>
      <w:r w:rsidRPr="005245C3">
        <w:t>apply to certain offers of securities</w:t>
      </w:r>
      <w:r w:rsidR="00B96585" w:rsidRPr="005245C3">
        <w:t xml:space="preserve"> that are also the subject of a CSF offer.</w:t>
      </w:r>
      <w:r w:rsidRPr="005245C3">
        <w:t xml:space="preserve">  </w:t>
      </w:r>
    </w:p>
    <w:p w14:paraId="271EE8AA" w14:textId="221B916F" w:rsidR="007639B0" w:rsidRPr="005245C3" w:rsidRDefault="009A64F7">
      <w:pPr>
        <w:pStyle w:val="base-text-paragraph"/>
      </w:pPr>
      <w:r w:rsidRPr="005245C3">
        <w:t xml:space="preserve">The amendments make it an offence for a person to make an offer that is expressed as a CSF offer but that relates to a company that has not yet been formed or does not exist. </w:t>
      </w:r>
    </w:p>
    <w:p w14:paraId="2A5C5C88" w14:textId="084DD538" w:rsidR="000B2989" w:rsidRDefault="000B2989" w:rsidP="00B96F32">
      <w:pPr>
        <w:pStyle w:val="Heading2"/>
      </w:pPr>
      <w:r>
        <w:t xml:space="preserve">Comparison of key features of the </w:t>
      </w:r>
      <w:r w:rsidR="00FA1189">
        <w:t>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0B2989" w:rsidRPr="004666B8" w14:paraId="2BB34671" w14:textId="77777777" w:rsidTr="00AD20B8">
        <w:tc>
          <w:tcPr>
            <w:tcW w:w="3275" w:type="dxa"/>
          </w:tcPr>
          <w:p w14:paraId="489F7C02" w14:textId="77777777" w:rsidR="000B2989" w:rsidRPr="004666B8" w:rsidRDefault="000B2989" w:rsidP="00AD20B8">
            <w:pPr>
              <w:pStyle w:val="tableheaderwithintable"/>
              <w:rPr>
                <w:lang w:val="en-US" w:eastAsia="en-US"/>
              </w:rPr>
            </w:pPr>
            <w:r w:rsidRPr="004666B8">
              <w:rPr>
                <w:lang w:val="en-US" w:eastAsia="en-US"/>
              </w:rPr>
              <w:t>New law</w:t>
            </w:r>
          </w:p>
        </w:tc>
        <w:tc>
          <w:tcPr>
            <w:tcW w:w="3276" w:type="dxa"/>
          </w:tcPr>
          <w:p w14:paraId="29653BC9" w14:textId="77777777" w:rsidR="000B2989" w:rsidRPr="004666B8" w:rsidRDefault="000B2989" w:rsidP="00AD20B8">
            <w:pPr>
              <w:pStyle w:val="tableheaderwithintable"/>
              <w:rPr>
                <w:lang w:val="en-US" w:eastAsia="en-US"/>
              </w:rPr>
            </w:pPr>
            <w:r w:rsidRPr="004666B8">
              <w:rPr>
                <w:lang w:val="en-US" w:eastAsia="en-US"/>
              </w:rPr>
              <w:t>Current law</w:t>
            </w:r>
          </w:p>
        </w:tc>
      </w:tr>
      <w:tr w:rsidR="000B2989" w:rsidRPr="004666B8" w14:paraId="05326878" w14:textId="77777777" w:rsidTr="00AD20B8">
        <w:tc>
          <w:tcPr>
            <w:tcW w:w="3275" w:type="dxa"/>
          </w:tcPr>
          <w:p w14:paraId="17A22E47" w14:textId="5C80E5B1" w:rsidR="000B2989" w:rsidRDefault="00E85661">
            <w:pPr>
              <w:pStyle w:val="tabletext"/>
            </w:pPr>
            <w:r>
              <w:t>A CSF intermediary must reject an application from a retail investor that breaches the retail investor cap of $10,000 per issuer company via the intermediary’s platform within a 12</w:t>
            </w:r>
            <w:r>
              <w:noBreakHyphen/>
              <w:t>month period.</w:t>
            </w:r>
            <w:r w:rsidR="000B2989">
              <w:t xml:space="preserve"> </w:t>
            </w:r>
          </w:p>
        </w:tc>
        <w:tc>
          <w:tcPr>
            <w:tcW w:w="3276" w:type="dxa"/>
          </w:tcPr>
          <w:p w14:paraId="43D6095F" w14:textId="77777777" w:rsidR="000B2989" w:rsidRDefault="000B2989" w:rsidP="00AD20B8">
            <w:pPr>
              <w:pStyle w:val="tabletext"/>
              <w:rPr>
                <w:lang w:val="en-US" w:eastAsia="en-US"/>
              </w:rPr>
            </w:pPr>
            <w:r>
              <w:rPr>
                <w:lang w:val="en-US" w:eastAsia="en-US"/>
              </w:rPr>
              <w:t>No equivalent.</w:t>
            </w:r>
          </w:p>
        </w:tc>
      </w:tr>
      <w:tr w:rsidR="00976A35" w:rsidRPr="004666B8" w14:paraId="31714D79" w14:textId="77777777" w:rsidTr="00AD20B8">
        <w:tc>
          <w:tcPr>
            <w:tcW w:w="3275" w:type="dxa"/>
          </w:tcPr>
          <w:p w14:paraId="773DC811" w14:textId="74E72753" w:rsidR="00976A35" w:rsidRDefault="00976A35" w:rsidP="00AD20B8">
            <w:pPr>
              <w:pStyle w:val="tabletext"/>
            </w:pPr>
            <w:r>
              <w:t>A CSF intermediary must reject an application from a retail investor where the investor has not completed the risk acknowledgment.</w:t>
            </w:r>
          </w:p>
        </w:tc>
        <w:tc>
          <w:tcPr>
            <w:tcW w:w="3276" w:type="dxa"/>
          </w:tcPr>
          <w:p w14:paraId="18312BFD" w14:textId="50F7904D" w:rsidR="00976A35" w:rsidRDefault="00594DE6" w:rsidP="00AD20B8">
            <w:pPr>
              <w:pStyle w:val="tabletext"/>
              <w:rPr>
                <w:lang w:val="en-US" w:eastAsia="en-US"/>
              </w:rPr>
            </w:pPr>
            <w:r>
              <w:rPr>
                <w:lang w:val="en-US" w:eastAsia="en-US"/>
              </w:rPr>
              <w:t>No equivalent</w:t>
            </w:r>
            <w:r w:rsidR="002940B6">
              <w:rPr>
                <w:lang w:val="en-US" w:eastAsia="en-US"/>
              </w:rPr>
              <w:t>.</w:t>
            </w:r>
          </w:p>
        </w:tc>
      </w:tr>
      <w:tr w:rsidR="000B2989" w:rsidRPr="004666B8" w14:paraId="0BE027D8" w14:textId="77777777" w:rsidTr="00AD20B8">
        <w:tc>
          <w:tcPr>
            <w:tcW w:w="3275" w:type="dxa"/>
          </w:tcPr>
          <w:p w14:paraId="79DE66BB" w14:textId="3181CC56" w:rsidR="000B2989" w:rsidRPr="004666B8" w:rsidRDefault="00F52C94" w:rsidP="00C34F50">
            <w:pPr>
              <w:pStyle w:val="tabletext"/>
              <w:rPr>
                <w:lang w:val="en-US" w:eastAsia="en-US"/>
              </w:rPr>
            </w:pPr>
            <w:r>
              <w:t xml:space="preserve">A retail investor has an unconditional right to withdraw from a CSF offer within 5 business days of </w:t>
            </w:r>
            <w:r w:rsidR="00A05A3B">
              <w:t xml:space="preserve">making the </w:t>
            </w:r>
            <w:r w:rsidR="00C34F50">
              <w:t>application.</w:t>
            </w:r>
            <w:r>
              <w:t xml:space="preserve"> </w:t>
            </w:r>
          </w:p>
        </w:tc>
        <w:tc>
          <w:tcPr>
            <w:tcW w:w="3276" w:type="dxa"/>
          </w:tcPr>
          <w:p w14:paraId="64181B67" w14:textId="4B194681" w:rsidR="000B2989" w:rsidRPr="004666B8" w:rsidRDefault="000B2989" w:rsidP="00AD20B8">
            <w:pPr>
              <w:pStyle w:val="tabletext"/>
              <w:rPr>
                <w:lang w:val="en-US" w:eastAsia="en-US"/>
              </w:rPr>
            </w:pPr>
            <w:r>
              <w:rPr>
                <w:lang w:val="en-US" w:eastAsia="en-US"/>
              </w:rPr>
              <w:t>No equivalent</w:t>
            </w:r>
            <w:r w:rsidR="002940B6">
              <w:rPr>
                <w:lang w:val="en-US" w:eastAsia="en-US"/>
              </w:rPr>
              <w:t>.</w:t>
            </w:r>
          </w:p>
        </w:tc>
      </w:tr>
      <w:tr w:rsidR="000B2989" w:rsidRPr="004666B8" w14:paraId="68E86F10" w14:textId="77777777" w:rsidTr="00AD20B8">
        <w:tc>
          <w:tcPr>
            <w:tcW w:w="3275" w:type="dxa"/>
          </w:tcPr>
          <w:p w14:paraId="316552C0" w14:textId="13BF3324" w:rsidR="000B2989" w:rsidRDefault="009E1A30">
            <w:pPr>
              <w:pStyle w:val="tabledotpoint"/>
              <w:numPr>
                <w:ilvl w:val="0"/>
                <w:numId w:val="0"/>
              </w:numPr>
            </w:pPr>
            <w:r>
              <w:t xml:space="preserve">The company making the CSF offer and its related parties, and the CSF intermediary that hosts or intends to host a CSF offer </w:t>
            </w:r>
            <w:r w:rsidR="00594DE6">
              <w:t>and its associates</w:t>
            </w:r>
            <w:r w:rsidR="00F57287">
              <w:t>,</w:t>
            </w:r>
            <w:r w:rsidR="00594DE6">
              <w:t xml:space="preserve"> </w:t>
            </w:r>
            <w:r>
              <w:t>cannot financially assist or arrange financial assistance for a retail investor to acquire securities under a CSF offer.</w:t>
            </w:r>
          </w:p>
        </w:tc>
        <w:tc>
          <w:tcPr>
            <w:tcW w:w="3276" w:type="dxa"/>
          </w:tcPr>
          <w:p w14:paraId="17245BF4" w14:textId="77777777" w:rsidR="000B2989" w:rsidRDefault="000B2989" w:rsidP="00AD20B8">
            <w:pPr>
              <w:pStyle w:val="tabletext"/>
              <w:rPr>
                <w:lang w:val="en-US" w:eastAsia="en-US"/>
              </w:rPr>
            </w:pPr>
            <w:r>
              <w:rPr>
                <w:lang w:val="en-US" w:eastAsia="en-US"/>
              </w:rPr>
              <w:t>No equivalent.</w:t>
            </w:r>
          </w:p>
        </w:tc>
      </w:tr>
      <w:tr w:rsidR="000B2989" w:rsidRPr="004666B8" w14:paraId="1B9126D2" w14:textId="77777777" w:rsidTr="00AD20B8">
        <w:tc>
          <w:tcPr>
            <w:tcW w:w="3275" w:type="dxa"/>
          </w:tcPr>
          <w:p w14:paraId="37F9A755" w14:textId="2C2B16F1" w:rsidR="000B2989" w:rsidRDefault="00AA185E">
            <w:pPr>
              <w:pStyle w:val="tabledotpoint"/>
              <w:numPr>
                <w:ilvl w:val="0"/>
                <w:numId w:val="0"/>
              </w:numPr>
            </w:pPr>
            <w:r>
              <w:t xml:space="preserve">A person can advertise or publish a statement in relation to a CSF offer or </w:t>
            </w:r>
            <w:r w:rsidRPr="005245C3">
              <w:t xml:space="preserve">intended CSF offer so long as the advertisement or statement complies with the </w:t>
            </w:r>
            <w:r w:rsidR="00A75FFE" w:rsidRPr="005245C3">
              <w:t>advertising rules.</w:t>
            </w:r>
            <w:r>
              <w:t xml:space="preserve"> </w:t>
            </w:r>
          </w:p>
        </w:tc>
        <w:tc>
          <w:tcPr>
            <w:tcW w:w="3276" w:type="dxa"/>
          </w:tcPr>
          <w:p w14:paraId="7F953EA4" w14:textId="521DEE59" w:rsidR="000B2989" w:rsidRDefault="00472EED" w:rsidP="00F31466">
            <w:pPr>
              <w:pStyle w:val="tabletext"/>
              <w:rPr>
                <w:lang w:val="en-US" w:eastAsia="en-US"/>
              </w:rPr>
            </w:pPr>
            <w:r>
              <w:t xml:space="preserve">A person can advertise or publish a statement in relation to </w:t>
            </w:r>
            <w:r w:rsidR="003B557F">
              <w:t>an</w:t>
            </w:r>
            <w:r>
              <w:t xml:space="preserve"> offer </w:t>
            </w:r>
            <w:r w:rsidR="003B557F">
              <w:t xml:space="preserve">of securities </w:t>
            </w:r>
            <w:r>
              <w:t xml:space="preserve">or </w:t>
            </w:r>
            <w:r w:rsidR="00D43D66">
              <w:t xml:space="preserve">intended offer requiring disclosure </w:t>
            </w:r>
            <w:r w:rsidRPr="005245C3">
              <w:t>so long as the advertisement or statement complies with the advertising rules.</w:t>
            </w:r>
          </w:p>
        </w:tc>
      </w:tr>
      <w:tr w:rsidR="002A0808" w:rsidRPr="004666B8" w14:paraId="73263947" w14:textId="77777777" w:rsidTr="00AD20B8">
        <w:tc>
          <w:tcPr>
            <w:tcW w:w="3275" w:type="dxa"/>
          </w:tcPr>
          <w:p w14:paraId="4ED3D1F1" w14:textId="71D771CA" w:rsidR="002A0808" w:rsidRDefault="002A0808">
            <w:pPr>
              <w:pStyle w:val="tabledotpoint"/>
              <w:numPr>
                <w:ilvl w:val="0"/>
                <w:numId w:val="0"/>
              </w:numPr>
            </w:pPr>
            <w:r>
              <w:t xml:space="preserve">A person must not make an offer expressed as a CSF offer in relation to a company that has not been formed or does not exist. </w:t>
            </w:r>
          </w:p>
        </w:tc>
        <w:tc>
          <w:tcPr>
            <w:tcW w:w="3276" w:type="dxa"/>
          </w:tcPr>
          <w:p w14:paraId="2F29D6E7" w14:textId="614D9CBA" w:rsidR="002A0808" w:rsidRDefault="000F65AE" w:rsidP="002215D8">
            <w:pPr>
              <w:pStyle w:val="tabletext"/>
            </w:pPr>
            <w:r>
              <w:t>A person must not make an offer of securities</w:t>
            </w:r>
            <w:r w:rsidR="00CB6125">
              <w:t xml:space="preserve"> that need</w:t>
            </w:r>
            <w:r w:rsidR="000F135E">
              <w:t>s</w:t>
            </w:r>
            <w:r w:rsidR="00CB6125">
              <w:t xml:space="preserve"> disclosure under Part 6D.2</w:t>
            </w:r>
            <w:r>
              <w:t xml:space="preserve"> in relation to a company that has not been formed or does not exist.</w:t>
            </w:r>
          </w:p>
        </w:tc>
      </w:tr>
    </w:tbl>
    <w:p w14:paraId="03D6AB6E" w14:textId="77777777" w:rsidR="00E27590" w:rsidRPr="00F63766" w:rsidRDefault="00E27590" w:rsidP="00B676BE">
      <w:pPr>
        <w:pStyle w:val="Heading2"/>
      </w:pPr>
      <w:r w:rsidRPr="00F63766">
        <w:t>Detailed explanation of new law</w:t>
      </w:r>
    </w:p>
    <w:p w14:paraId="57271B05" w14:textId="39619E15" w:rsidR="00E27590" w:rsidRPr="00F63766" w:rsidRDefault="007639B0" w:rsidP="002D5F39">
      <w:pPr>
        <w:pStyle w:val="base-text-paragraph"/>
      </w:pPr>
      <w:r w:rsidRPr="00F63766">
        <w:t xml:space="preserve">The </w:t>
      </w:r>
      <w:r w:rsidR="00057785" w:rsidRPr="00F63766">
        <w:t xml:space="preserve">CSF regime contains </w:t>
      </w:r>
      <w:r w:rsidR="006835CB">
        <w:t>certain</w:t>
      </w:r>
      <w:r w:rsidRPr="00F63766">
        <w:t xml:space="preserve"> investor protections</w:t>
      </w:r>
      <w:r w:rsidR="006835CB">
        <w:t xml:space="preserve"> that apply only to </w:t>
      </w:r>
      <w:r w:rsidR="00BC5368">
        <w:t>an investor treated as a retail client in relation to the CSF offer.</w:t>
      </w:r>
    </w:p>
    <w:p w14:paraId="2F630C74" w14:textId="77777777" w:rsidR="003A1462" w:rsidRDefault="003A1462">
      <w:pPr>
        <w:spacing w:before="0" w:after="0"/>
        <w:rPr>
          <w:rFonts w:ascii="Helvetica" w:hAnsi="Helvetica"/>
          <w:b/>
        </w:rPr>
      </w:pPr>
      <w:r>
        <w:br w:type="page"/>
      </w:r>
    </w:p>
    <w:p w14:paraId="66755AEF" w14:textId="2C8D4F94" w:rsidR="00E27590" w:rsidRPr="00F63766" w:rsidRDefault="00E27590" w:rsidP="00E27590">
      <w:pPr>
        <w:pStyle w:val="Heading3"/>
      </w:pPr>
      <w:r w:rsidRPr="00F63766">
        <w:t xml:space="preserve">Protections for </w:t>
      </w:r>
      <w:r w:rsidR="00396B29">
        <w:t>retail clients</w:t>
      </w:r>
      <w:r w:rsidRPr="00F63766">
        <w:t xml:space="preserve"> </w:t>
      </w:r>
    </w:p>
    <w:p w14:paraId="7B6633FD" w14:textId="02801E14" w:rsidR="0092284E" w:rsidRPr="00F63766" w:rsidRDefault="0092284E" w:rsidP="0092284E">
      <w:pPr>
        <w:pStyle w:val="base-text-paragraph"/>
      </w:pPr>
      <w:r w:rsidRPr="00F63766">
        <w:t xml:space="preserve">For the purposes of the CSF regime, a </w:t>
      </w:r>
      <w:r w:rsidR="002059DA" w:rsidRPr="00F63766">
        <w:t>r</w:t>
      </w:r>
      <w:r w:rsidR="00CC06FD" w:rsidRPr="00F63766">
        <w:t xml:space="preserve">etail client for the purpose of a CSF offer is defined in the same way as a retail client for the </w:t>
      </w:r>
      <w:r w:rsidR="00CC06FD" w:rsidRPr="00FD36B5">
        <w:t xml:space="preserve">purpose of a </w:t>
      </w:r>
      <w:r w:rsidR="002940B6">
        <w:t>crowd-funding</w:t>
      </w:r>
      <w:r w:rsidR="00CC06FD" w:rsidRPr="00FD36B5">
        <w:t xml:space="preserve"> service</w:t>
      </w:r>
      <w:r w:rsidR="00B84E95" w:rsidRPr="00FD36B5">
        <w:t xml:space="preserve"> </w:t>
      </w:r>
      <w:r w:rsidR="00B84E95" w:rsidRPr="00FD36B5">
        <w:rPr>
          <w:b/>
          <w:i/>
          <w:sz w:val="18"/>
        </w:rPr>
        <w:t>[Schedule 1, Part 1, item 14, section 738D]</w:t>
      </w:r>
      <w:r w:rsidR="00CC06FD" w:rsidRPr="00FD36B5">
        <w:t xml:space="preserve">. </w:t>
      </w:r>
      <w:r w:rsidR="0012211F" w:rsidRPr="00FD36B5">
        <w:t xml:space="preserve"> </w:t>
      </w:r>
      <w:r w:rsidR="0012211F" w:rsidRPr="00351190">
        <w:t xml:space="preserve">Paragraphs </w:t>
      </w:r>
      <w:r w:rsidR="005245C3" w:rsidRPr="00351190">
        <w:t>3</w:t>
      </w:r>
      <w:r w:rsidR="0012211F" w:rsidRPr="00351190">
        <w:t>.</w:t>
      </w:r>
      <w:r w:rsidR="004F7458">
        <w:t>21</w:t>
      </w:r>
      <w:r w:rsidR="0012211F" w:rsidRPr="00351190">
        <w:t xml:space="preserve"> to </w:t>
      </w:r>
      <w:r w:rsidR="005245C3" w:rsidRPr="00351190">
        <w:t>3</w:t>
      </w:r>
      <w:r w:rsidR="0012211F" w:rsidRPr="00351190">
        <w:t>.</w:t>
      </w:r>
      <w:r w:rsidR="004F7458">
        <w:t>24</w:t>
      </w:r>
      <w:r w:rsidR="004F7458" w:rsidRPr="00FD36B5">
        <w:t xml:space="preserve"> </w:t>
      </w:r>
      <w:r w:rsidR="0012211F" w:rsidRPr="00FD36B5">
        <w:t>explain</w:t>
      </w:r>
      <w:r w:rsidR="0012211F">
        <w:t xml:space="preserve"> when a person will be treated as a retail client in relation to a </w:t>
      </w:r>
      <w:r w:rsidR="002940B6">
        <w:t>crowd-funding</w:t>
      </w:r>
      <w:r w:rsidR="0012211F">
        <w:t xml:space="preserve"> service.</w:t>
      </w:r>
    </w:p>
    <w:p w14:paraId="3F2E64D5" w14:textId="77777777" w:rsidR="00E27590" w:rsidRPr="00F63766" w:rsidRDefault="00E27590" w:rsidP="00E27590">
      <w:pPr>
        <w:pStyle w:val="Heading4"/>
      </w:pPr>
      <w:r w:rsidRPr="00F63766">
        <w:t>Investor caps</w:t>
      </w:r>
    </w:p>
    <w:p w14:paraId="5FD0D6BD" w14:textId="76C240F4" w:rsidR="001C315D" w:rsidRPr="00F63766" w:rsidRDefault="00E27590" w:rsidP="001C315D">
      <w:pPr>
        <w:numPr>
          <w:ilvl w:val="1"/>
          <w:numId w:val="33"/>
        </w:numPr>
      </w:pPr>
      <w:r w:rsidRPr="00F63766">
        <w:t xml:space="preserve">The Bill establishes a $10,000 cap as the maximum amount a </w:t>
      </w:r>
      <w:r w:rsidR="00CC06FD" w:rsidRPr="00F63766">
        <w:t>retail client</w:t>
      </w:r>
      <w:r w:rsidRPr="00F63766">
        <w:t xml:space="preserve"> can invest in relation to CSF offers by a particular issuer via the same intermediary within a 12-month period</w:t>
      </w:r>
      <w:r w:rsidR="00C7442F">
        <w:t xml:space="preserve"> to limit a retail investor’s exposure to a </w:t>
      </w:r>
      <w:r w:rsidR="00C365A5">
        <w:t>single</w:t>
      </w:r>
      <w:r w:rsidR="00C7442F">
        <w:t xml:space="preserve"> company</w:t>
      </w:r>
      <w:r w:rsidRPr="00F63766">
        <w:t>.</w:t>
      </w:r>
      <w:r w:rsidR="004E1951">
        <w:rPr>
          <w:b/>
          <w:i/>
          <w:sz w:val="18"/>
        </w:rPr>
        <w:t xml:space="preserve"> </w:t>
      </w:r>
      <w:r w:rsidR="00A7665A">
        <w:t>The amount of the cap can be adjusted by regulations</w:t>
      </w:r>
      <w:r w:rsidR="00233D65">
        <w:t>.</w:t>
      </w:r>
      <w:r w:rsidR="00A7665A">
        <w:t xml:space="preserve"> </w:t>
      </w:r>
      <w:r w:rsidR="00A7665A" w:rsidRPr="00A7665A">
        <w:rPr>
          <w:b/>
          <w:i/>
          <w:sz w:val="18"/>
        </w:rPr>
        <w:t xml:space="preserve">[Schedule 1, Part 1, item 14, </w:t>
      </w:r>
      <w:r w:rsidR="00A7665A">
        <w:rPr>
          <w:b/>
          <w:i/>
          <w:sz w:val="18"/>
        </w:rPr>
        <w:t>subsection </w:t>
      </w:r>
      <w:r w:rsidR="00A7665A" w:rsidRPr="00F63766">
        <w:rPr>
          <w:b/>
          <w:i/>
          <w:sz w:val="18"/>
        </w:rPr>
        <w:t>738ZC(1</w:t>
      </w:r>
      <w:r w:rsidR="00A7665A" w:rsidRPr="00A7665A">
        <w:rPr>
          <w:b/>
          <w:i/>
          <w:sz w:val="18"/>
        </w:rPr>
        <w:t>)</w:t>
      </w:r>
      <w:r w:rsidR="001E08F8">
        <w:rPr>
          <w:b/>
          <w:i/>
          <w:sz w:val="18"/>
        </w:rPr>
        <w:t>]</w:t>
      </w:r>
      <w:r w:rsidR="00A7665A">
        <w:t xml:space="preserve"> </w:t>
      </w:r>
    </w:p>
    <w:p w14:paraId="0A160107" w14:textId="2E0BC52A" w:rsidR="00E27590" w:rsidRPr="00F63766" w:rsidRDefault="00E27590" w:rsidP="00913B09">
      <w:pPr>
        <w:pStyle w:val="base-text-paragraph"/>
        <w:numPr>
          <w:ilvl w:val="1"/>
          <w:numId w:val="33"/>
        </w:numPr>
      </w:pPr>
      <w:r w:rsidRPr="00F63766">
        <w:t xml:space="preserve">The investment cap </w:t>
      </w:r>
      <w:r w:rsidR="001E4B08">
        <w:t xml:space="preserve">is applied as </w:t>
      </w:r>
      <w:r w:rsidRPr="00F63766">
        <w:t>an obligation on</w:t>
      </w:r>
      <w:r w:rsidR="001E4B08">
        <w:t xml:space="preserve"> a </w:t>
      </w:r>
      <w:r w:rsidRPr="00F63766">
        <w:t>CSF</w:t>
      </w:r>
      <w:r w:rsidR="00765447">
        <w:t> </w:t>
      </w:r>
      <w:r w:rsidR="001E4B08" w:rsidRPr="00F63766">
        <w:t>intermediar</w:t>
      </w:r>
      <w:r w:rsidR="001E4B08">
        <w:t>y</w:t>
      </w:r>
      <w:r w:rsidR="001E4B08" w:rsidRPr="00F63766">
        <w:t xml:space="preserve"> </w:t>
      </w:r>
      <w:r w:rsidRPr="00F63766">
        <w:t xml:space="preserve">to </w:t>
      </w:r>
      <w:r w:rsidR="001A778E">
        <w:t>reject</w:t>
      </w:r>
      <w:r w:rsidR="001A778E" w:rsidRPr="00F63766">
        <w:t xml:space="preserve"> </w:t>
      </w:r>
      <w:r w:rsidR="001E4B08">
        <w:t xml:space="preserve">an </w:t>
      </w:r>
      <w:r w:rsidRPr="00F63766">
        <w:t xml:space="preserve">application </w:t>
      </w:r>
      <w:r w:rsidR="00CC06FD" w:rsidRPr="00F63766">
        <w:t xml:space="preserve">from </w:t>
      </w:r>
      <w:r w:rsidR="001E4B08">
        <w:t xml:space="preserve">a </w:t>
      </w:r>
      <w:r w:rsidR="00CC06FD" w:rsidRPr="00F63766">
        <w:t xml:space="preserve">retail client </w:t>
      </w:r>
      <w:r w:rsidR="00B64A4A">
        <w:t>where it</w:t>
      </w:r>
      <w:r w:rsidRPr="00F63766">
        <w:t xml:space="preserve"> would </w:t>
      </w:r>
      <w:r w:rsidR="001C706E">
        <w:t xml:space="preserve">otherwise </w:t>
      </w:r>
      <w:r w:rsidR="001E4B08">
        <w:t>breach</w:t>
      </w:r>
      <w:r w:rsidR="001E4B08" w:rsidRPr="00F63766">
        <w:t xml:space="preserve"> </w:t>
      </w:r>
      <w:r w:rsidRPr="00F63766">
        <w:t xml:space="preserve">the cap. </w:t>
      </w:r>
      <w:r w:rsidR="000E1D01">
        <w:t xml:space="preserve"> </w:t>
      </w:r>
      <w:r w:rsidRPr="00F63766">
        <w:t xml:space="preserve">When assessing whether </w:t>
      </w:r>
      <w:r w:rsidR="00B74268">
        <w:t>the cap would be breached</w:t>
      </w:r>
      <w:r w:rsidR="000E1D01">
        <w:t xml:space="preserve">, the </w:t>
      </w:r>
      <w:r w:rsidRPr="00F63766">
        <w:t>intermediary</w:t>
      </w:r>
      <w:r w:rsidR="0058602B">
        <w:t xml:space="preserve"> should only take account of investments made on its offer platform and not </w:t>
      </w:r>
      <w:r w:rsidRPr="00F63766">
        <w:t xml:space="preserve">investments </w:t>
      </w:r>
      <w:r w:rsidR="000E1D01">
        <w:t xml:space="preserve">made in the issuer company via other platforms.  </w:t>
      </w:r>
    </w:p>
    <w:p w14:paraId="09320EB6" w14:textId="71FFD7DA" w:rsidR="00E27590" w:rsidRPr="00F63766" w:rsidRDefault="00E27590" w:rsidP="00E27590">
      <w:pPr>
        <w:numPr>
          <w:ilvl w:val="1"/>
          <w:numId w:val="33"/>
        </w:numPr>
      </w:pPr>
      <w:r w:rsidRPr="00F63766">
        <w:t xml:space="preserve">It is expected that CSF intermediaries will </w:t>
      </w:r>
      <w:r w:rsidR="00E325A3">
        <w:t>have the necessary systems</w:t>
      </w:r>
      <w:r w:rsidRPr="00F63766">
        <w:t xml:space="preserve"> to ensure that</w:t>
      </w:r>
      <w:r w:rsidR="008C074C">
        <w:t xml:space="preserve"> amounts invested by retail investors are appropriately tracked </w:t>
      </w:r>
      <w:r w:rsidR="004F7458">
        <w:t>so that</w:t>
      </w:r>
      <w:r w:rsidR="008C074C">
        <w:t xml:space="preserve"> an</w:t>
      </w:r>
      <w:r w:rsidRPr="00F63766">
        <w:t xml:space="preserve"> application from a </w:t>
      </w:r>
      <w:r w:rsidR="00345CEB" w:rsidRPr="00F63766">
        <w:t>retail client</w:t>
      </w:r>
      <w:r w:rsidRPr="00F63766">
        <w:t xml:space="preserve"> that would exceed the cap </w:t>
      </w:r>
      <w:r w:rsidR="008C074C">
        <w:t>is rejected</w:t>
      </w:r>
      <w:r w:rsidRPr="00F63766">
        <w:t xml:space="preserve">. </w:t>
      </w:r>
      <w:r w:rsidR="00140C0E">
        <w:t xml:space="preserve"> Where an application is rejected because it would other</w:t>
      </w:r>
      <w:r w:rsidR="00DF7536">
        <w:t>wise</w:t>
      </w:r>
      <w:r w:rsidR="00140C0E">
        <w:t xml:space="preserve"> breach the cap, the intermediary must refund application money to the investor as soon as practicable</w:t>
      </w:r>
      <w:r w:rsidR="00F22330">
        <w:t xml:space="preserve"> </w:t>
      </w:r>
      <w:r w:rsidR="00F22330" w:rsidRPr="00A7665A">
        <w:rPr>
          <w:b/>
          <w:i/>
          <w:sz w:val="18"/>
        </w:rPr>
        <w:t>[Schedule</w:t>
      </w:r>
      <w:r w:rsidR="00D839B6">
        <w:rPr>
          <w:b/>
          <w:i/>
          <w:sz w:val="18"/>
        </w:rPr>
        <w:t> </w:t>
      </w:r>
      <w:r w:rsidR="00F22330" w:rsidRPr="00A7665A">
        <w:rPr>
          <w:b/>
          <w:i/>
          <w:sz w:val="18"/>
        </w:rPr>
        <w:t xml:space="preserve">1, Part 1, item 14, </w:t>
      </w:r>
      <w:r w:rsidR="00F22330">
        <w:rPr>
          <w:b/>
          <w:i/>
          <w:sz w:val="18"/>
        </w:rPr>
        <w:t>paragraph </w:t>
      </w:r>
      <w:proofErr w:type="gramStart"/>
      <w:r w:rsidR="00F22330" w:rsidRPr="00F63766">
        <w:rPr>
          <w:b/>
          <w:i/>
          <w:sz w:val="18"/>
        </w:rPr>
        <w:t>738Z</w:t>
      </w:r>
      <w:r w:rsidR="00F22330">
        <w:rPr>
          <w:b/>
          <w:i/>
          <w:sz w:val="18"/>
        </w:rPr>
        <w:t>B</w:t>
      </w:r>
      <w:r w:rsidR="00F22330" w:rsidRPr="00F63766">
        <w:rPr>
          <w:b/>
          <w:i/>
          <w:sz w:val="18"/>
        </w:rPr>
        <w:t>(</w:t>
      </w:r>
      <w:proofErr w:type="gramEnd"/>
      <w:r w:rsidR="00F22330">
        <w:rPr>
          <w:b/>
          <w:i/>
          <w:sz w:val="18"/>
        </w:rPr>
        <w:t>4)(b)</w:t>
      </w:r>
      <w:r w:rsidR="00F22330" w:rsidRPr="00A7665A">
        <w:rPr>
          <w:b/>
          <w:i/>
          <w:sz w:val="18"/>
        </w:rPr>
        <w:t>].</w:t>
      </w:r>
      <w:r w:rsidR="00140C0E">
        <w:t xml:space="preserve"> </w:t>
      </w:r>
    </w:p>
    <w:p w14:paraId="750A534C" w14:textId="414C88F5" w:rsidR="00E27590" w:rsidRPr="00F63766" w:rsidRDefault="003D5999" w:rsidP="00E27590">
      <w:pPr>
        <w:pStyle w:val="ExampleHeading"/>
        <w:numPr>
          <w:ilvl w:val="3"/>
          <w:numId w:val="33"/>
        </w:numPr>
        <w:tabs>
          <w:tab w:val="num" w:pos="360"/>
        </w:tabs>
        <w:ind w:left="0"/>
      </w:pPr>
      <w:r>
        <w:t xml:space="preserve">: </w:t>
      </w:r>
      <w:r w:rsidR="00EC28BB">
        <w:t>Treatment of j</w:t>
      </w:r>
      <w:r>
        <w:t xml:space="preserve">oint applications </w:t>
      </w:r>
    </w:p>
    <w:p w14:paraId="282A9381" w14:textId="77777777" w:rsidR="00E27590" w:rsidRPr="00F63766" w:rsidRDefault="00E27590" w:rsidP="002215D8">
      <w:pPr>
        <w:pStyle w:val="exampletext"/>
      </w:pPr>
      <w:r w:rsidRPr="00F63766">
        <w:t xml:space="preserve">On 2 January of the current year, Donna makes an application to invest $9,000 in a CSF offer by New Tech Ltd via Value Add Pty Ltd, a licensed CSF intermediary. </w:t>
      </w:r>
    </w:p>
    <w:p w14:paraId="04699050" w14:textId="7F08BD71" w:rsidR="00E27590" w:rsidRPr="00F63766" w:rsidRDefault="00E27590" w:rsidP="0072458B">
      <w:pPr>
        <w:pStyle w:val="exampletext"/>
      </w:pPr>
      <w:r w:rsidRPr="00F63766">
        <w:t>New Tech’s CSF offer is successful and the company decides to make a second CSF offer 6 months later using the Value Add platform again. Do</w:t>
      </w:r>
      <w:r w:rsidR="00EC4ADA">
        <w:t>n</w:t>
      </w:r>
      <w:r w:rsidRPr="00F63766">
        <w:t xml:space="preserve">na was very happy with her investment in New Tech and decides to participate in their second offer. </w:t>
      </w:r>
    </w:p>
    <w:p w14:paraId="60D1F55F" w14:textId="64630A00" w:rsidR="00E27590" w:rsidRPr="00F63766" w:rsidRDefault="00E27590" w:rsidP="0072458B">
      <w:pPr>
        <w:pStyle w:val="exampletext"/>
      </w:pPr>
      <w:r w:rsidRPr="00F63766">
        <w:t xml:space="preserve">On 5 July Donna attempts to make an investment of $5,000 in New Tech but is unable to complete the application on the Value Add platform. This is because the $5,000 allocation would take her total investment in New Tech via the Value Add platform beyond the $10,000 cap within 12 months. </w:t>
      </w:r>
      <w:r w:rsidR="00C445E4" w:rsidRPr="00F63766" w:rsidDel="00C445E4">
        <w:t xml:space="preserve"> </w:t>
      </w:r>
    </w:p>
    <w:p w14:paraId="5D635EB5" w14:textId="44FC2382" w:rsidR="00E27590" w:rsidRPr="00F63766" w:rsidRDefault="00E27590" w:rsidP="00E27590">
      <w:pPr>
        <w:numPr>
          <w:ilvl w:val="1"/>
          <w:numId w:val="33"/>
        </w:numPr>
      </w:pPr>
      <w:r w:rsidRPr="00F63766">
        <w:t xml:space="preserve">The Bill provides rules relating to the investor cap if two or more people make a joint application for securities. Where there are joint applicants, each of the applicants is taken to have made an individual application for the purposes of </w:t>
      </w:r>
      <w:r w:rsidR="00C445E4">
        <w:t>calculating the amounts contributing to each applicant’s investor cap</w:t>
      </w:r>
      <w:r w:rsidRPr="00F63766">
        <w:t>.</w:t>
      </w:r>
      <w:r w:rsidRPr="00F63766">
        <w:rPr>
          <w:b/>
          <w:i/>
          <w:sz w:val="18"/>
        </w:rPr>
        <w:t xml:space="preserve"> </w:t>
      </w:r>
      <w:r w:rsidRPr="00F63766">
        <w:t>The amount each of the applicants is considered to have invested is determined by dividing the total amount invested under the joint application by the total number of applicants.</w:t>
      </w:r>
      <w:r w:rsidRPr="00F63766">
        <w:rPr>
          <w:b/>
          <w:i/>
          <w:sz w:val="18"/>
        </w:rPr>
        <w:t xml:space="preserve"> [Schedule 1, Part 1, item 1</w:t>
      </w:r>
      <w:r w:rsidR="00DE67FF">
        <w:rPr>
          <w:b/>
          <w:i/>
          <w:sz w:val="18"/>
        </w:rPr>
        <w:t>4</w:t>
      </w:r>
      <w:r w:rsidRPr="00F63766">
        <w:rPr>
          <w:b/>
          <w:i/>
          <w:sz w:val="18"/>
        </w:rPr>
        <w:t xml:space="preserve">, </w:t>
      </w:r>
      <w:r w:rsidR="00DE67FF">
        <w:rPr>
          <w:b/>
          <w:i/>
          <w:sz w:val="18"/>
        </w:rPr>
        <w:t>subsection </w:t>
      </w:r>
      <w:r w:rsidRPr="00F63766">
        <w:rPr>
          <w:b/>
          <w:i/>
          <w:sz w:val="18"/>
        </w:rPr>
        <w:t>738ZC(2)]</w:t>
      </w:r>
    </w:p>
    <w:p w14:paraId="517F0E40" w14:textId="30CD27BE" w:rsidR="00EA022F" w:rsidRPr="00F63766" w:rsidRDefault="00E27590" w:rsidP="00EA022F">
      <w:pPr>
        <w:numPr>
          <w:ilvl w:val="1"/>
          <w:numId w:val="33"/>
        </w:numPr>
      </w:pPr>
      <w:r w:rsidRPr="00F63766">
        <w:t xml:space="preserve">If the amount being </w:t>
      </w:r>
      <w:r w:rsidR="00CB2B82">
        <w:t xml:space="preserve">attributed to each applicant under a joint application would result in </w:t>
      </w:r>
      <w:r w:rsidR="0075352B">
        <w:t xml:space="preserve">any one of </w:t>
      </w:r>
      <w:r w:rsidR="00CB2B82">
        <w:t>the individual applicant</w:t>
      </w:r>
      <w:r w:rsidR="0075352B">
        <w:t>s</w:t>
      </w:r>
      <w:r w:rsidR="00CB2B82">
        <w:t xml:space="preserve"> exceeding the</w:t>
      </w:r>
      <w:r w:rsidR="0075352B">
        <w:t>ir</w:t>
      </w:r>
      <w:r w:rsidR="00CB2B82">
        <w:t xml:space="preserve"> investor cap, the </w:t>
      </w:r>
      <w:r w:rsidRPr="00F63766">
        <w:t xml:space="preserve">CSF intermediary </w:t>
      </w:r>
      <w:r w:rsidR="00CB2B82">
        <w:t xml:space="preserve">must reject </w:t>
      </w:r>
      <w:r w:rsidRPr="00F63766">
        <w:t>the joint application</w:t>
      </w:r>
      <w:r w:rsidR="00CB2B82">
        <w:t xml:space="preserve"> and refund the application money.</w:t>
      </w:r>
      <w:r w:rsidR="00EA022F">
        <w:t xml:space="preserve"> There is a regulation-making power to allow th</w:t>
      </w:r>
      <w:r w:rsidR="0075352B">
        <w:t>e</w:t>
      </w:r>
      <w:r w:rsidR="00EA022F">
        <w:t xml:space="preserve"> default rule</w:t>
      </w:r>
      <w:r w:rsidR="00742A52">
        <w:t>s</w:t>
      </w:r>
      <w:r w:rsidR="00EA022F">
        <w:t xml:space="preserve"> relating to joint applications to be amended by regulation</w:t>
      </w:r>
      <w:r w:rsidR="00B94D63">
        <w:t>.</w:t>
      </w:r>
      <w:r w:rsidR="00EA022F">
        <w:t xml:space="preserve"> </w:t>
      </w:r>
      <w:r w:rsidR="00EA022F" w:rsidRPr="00F63766">
        <w:rPr>
          <w:b/>
          <w:i/>
          <w:sz w:val="18"/>
        </w:rPr>
        <w:t>[Schedule 1, Part 1, item 1</w:t>
      </w:r>
      <w:r w:rsidR="00CD3A39">
        <w:rPr>
          <w:b/>
          <w:i/>
          <w:sz w:val="18"/>
        </w:rPr>
        <w:t>4</w:t>
      </w:r>
      <w:r w:rsidR="00EA022F" w:rsidRPr="00F63766">
        <w:rPr>
          <w:b/>
          <w:i/>
          <w:sz w:val="18"/>
        </w:rPr>
        <w:t xml:space="preserve">, </w:t>
      </w:r>
      <w:r w:rsidR="00CD3A39">
        <w:rPr>
          <w:b/>
          <w:i/>
          <w:sz w:val="18"/>
        </w:rPr>
        <w:t>subsection </w:t>
      </w:r>
      <w:r w:rsidR="00EA022F" w:rsidRPr="00F63766">
        <w:rPr>
          <w:b/>
          <w:i/>
          <w:sz w:val="18"/>
        </w:rPr>
        <w:t>738ZC(2)]</w:t>
      </w:r>
    </w:p>
    <w:p w14:paraId="05E2E44B" w14:textId="3B4D33B8" w:rsidR="005862CF" w:rsidRPr="00913B09" w:rsidRDefault="0075352B" w:rsidP="00913B09">
      <w:pPr>
        <w:pStyle w:val="base-text-paragraph"/>
      </w:pPr>
      <w:r>
        <w:t>An</w:t>
      </w:r>
      <w:r w:rsidR="003C2AEF">
        <w:t xml:space="preserve"> intermediary </w:t>
      </w:r>
      <w:r>
        <w:t xml:space="preserve">that </w:t>
      </w:r>
      <w:r w:rsidR="003C2AEF">
        <w:t>does not reject an application by a retail client</w:t>
      </w:r>
      <w:r>
        <w:t>, which leads to a breach of</w:t>
      </w:r>
      <w:r w:rsidR="003C2AEF">
        <w:t xml:space="preserve"> the investor cap</w:t>
      </w:r>
      <w:r w:rsidR="00B37606">
        <w:t xml:space="preserve">, </w:t>
      </w:r>
      <w:r>
        <w:t xml:space="preserve">commits an offence </w:t>
      </w:r>
      <w:r w:rsidR="00B37606">
        <w:t xml:space="preserve">punishable by a maximum penalty of </w:t>
      </w:r>
      <w:r w:rsidR="00E27590" w:rsidRPr="00F63766">
        <w:t>30</w:t>
      </w:r>
      <w:r w:rsidR="00685928" w:rsidRPr="00F63766">
        <w:t> </w:t>
      </w:r>
      <w:r w:rsidR="00E27590" w:rsidRPr="00F63766">
        <w:t xml:space="preserve">penalty units. </w:t>
      </w:r>
      <w:r w:rsidR="00E27590" w:rsidRPr="00CD3A39">
        <w:rPr>
          <w:b/>
          <w:i/>
          <w:sz w:val="18"/>
        </w:rPr>
        <w:t xml:space="preserve">[Schedule 1, Part 1, </w:t>
      </w:r>
      <w:r w:rsidR="001D2577">
        <w:rPr>
          <w:b/>
          <w:i/>
          <w:sz w:val="18"/>
        </w:rPr>
        <w:t xml:space="preserve">item 14, </w:t>
      </w:r>
      <w:r w:rsidR="00B656EE">
        <w:rPr>
          <w:b/>
          <w:i/>
          <w:sz w:val="18"/>
        </w:rPr>
        <w:t>subsection 738ZC(1)</w:t>
      </w:r>
      <w:r w:rsidR="008E2693">
        <w:rPr>
          <w:b/>
          <w:i/>
          <w:sz w:val="18"/>
        </w:rPr>
        <w:t xml:space="preserve"> and </w:t>
      </w:r>
      <w:r w:rsidR="00FB6301" w:rsidRPr="00F63766">
        <w:rPr>
          <w:b/>
          <w:i/>
          <w:sz w:val="18"/>
        </w:rPr>
        <w:t>item 34</w:t>
      </w:r>
      <w:r w:rsidR="00FB6301">
        <w:rPr>
          <w:b/>
          <w:i/>
          <w:sz w:val="18"/>
        </w:rPr>
        <w:t>, item 245</w:t>
      </w:r>
      <w:r w:rsidR="008E2693">
        <w:rPr>
          <w:b/>
          <w:i/>
          <w:sz w:val="18"/>
        </w:rPr>
        <w:t>Q</w:t>
      </w:r>
      <w:r w:rsidR="00FB6301">
        <w:rPr>
          <w:b/>
          <w:i/>
          <w:sz w:val="18"/>
        </w:rPr>
        <w:t xml:space="preserve"> in the table to Schedule 3</w:t>
      </w:r>
      <w:r w:rsidR="00E27590" w:rsidRPr="00CD3A39">
        <w:rPr>
          <w:b/>
          <w:i/>
          <w:sz w:val="18"/>
        </w:rPr>
        <w:t>]</w:t>
      </w:r>
      <w:r w:rsidR="005862CF">
        <w:rPr>
          <w:b/>
          <w:i/>
          <w:sz w:val="18"/>
        </w:rPr>
        <w:t xml:space="preserve"> </w:t>
      </w:r>
    </w:p>
    <w:p w14:paraId="05D9192A" w14:textId="68FF05C8" w:rsidR="004470B2" w:rsidRDefault="005862CF" w:rsidP="00FF5264">
      <w:pPr>
        <w:pStyle w:val="base-text-paragraph"/>
      </w:pPr>
      <w:r w:rsidRPr="00FF5264">
        <w:t>In the case of a prosecution related to this offence, the defendant would bear an evidential burden for establishing that the investor was not a retail client in relation to the CSF offer</w:t>
      </w:r>
      <w:r w:rsidR="00AB3C76">
        <w:t xml:space="preserve"> </w:t>
      </w:r>
      <w:r w:rsidR="00AB3C76" w:rsidRPr="00913B09">
        <w:rPr>
          <w:rStyle w:val="Referencingstyle"/>
        </w:rPr>
        <w:t>[Schedule 1, Part 1, item </w:t>
      </w:r>
      <w:r w:rsidR="00AB3C76">
        <w:rPr>
          <w:rStyle w:val="Referencingstyle"/>
        </w:rPr>
        <w:t>23</w:t>
      </w:r>
      <w:r w:rsidR="00AB3C76" w:rsidRPr="00913B09">
        <w:rPr>
          <w:rStyle w:val="Referencingstyle"/>
        </w:rPr>
        <w:t>, subsection </w:t>
      </w:r>
      <w:r w:rsidR="009B6F72">
        <w:rPr>
          <w:rStyle w:val="Referencingstyle"/>
        </w:rPr>
        <w:t>761G(8)]</w:t>
      </w:r>
      <w:r w:rsidR="004630A7">
        <w:rPr>
          <w:rStyle w:val="Referencingstyle"/>
        </w:rPr>
        <w:t>.</w:t>
      </w:r>
      <w:r w:rsidRPr="00913B09">
        <w:rPr>
          <w:rStyle w:val="Referencingstyle"/>
        </w:rPr>
        <w:t xml:space="preserve"> </w:t>
      </w:r>
      <w:r w:rsidRPr="00FF5264">
        <w:t xml:space="preserve"> </w:t>
      </w:r>
      <w:r w:rsidRPr="00F63766">
        <w:t xml:space="preserve">Imposing the evidential burden on the defendant is </w:t>
      </w:r>
      <w:r w:rsidR="004630A7">
        <w:t xml:space="preserve">necessary and </w:t>
      </w:r>
      <w:r w:rsidRPr="00F63766">
        <w:t xml:space="preserve">appropriate </w:t>
      </w:r>
      <w:r w:rsidR="004630A7">
        <w:t>to ensure</w:t>
      </w:r>
      <w:r>
        <w:t xml:space="preserve"> investors that are retail clients </w:t>
      </w:r>
      <w:r w:rsidR="004446BB">
        <w:t>are provided with</w:t>
      </w:r>
      <w:r>
        <w:t xml:space="preserve"> the additional investor protections, such as the investor cap, </w:t>
      </w:r>
      <w:r w:rsidR="00F93B74">
        <w:t xml:space="preserve">provided to retail clients </w:t>
      </w:r>
      <w:r>
        <w:t xml:space="preserve">under the CSF regime. </w:t>
      </w:r>
    </w:p>
    <w:p w14:paraId="7E2F48BF" w14:textId="1AC5B9BC" w:rsidR="00E27590" w:rsidRPr="00F63766" w:rsidRDefault="00E27590">
      <w:pPr>
        <w:pStyle w:val="base-text-paragraph"/>
      </w:pPr>
      <w:r w:rsidRPr="00F63766">
        <w:t xml:space="preserve">There are no penalties for </w:t>
      </w:r>
      <w:r w:rsidR="00AB7773">
        <w:t xml:space="preserve">a retail client </w:t>
      </w:r>
      <w:r w:rsidR="00C20567">
        <w:t>that makes</w:t>
      </w:r>
      <w:r w:rsidR="00B32036">
        <w:t>, or purports to make,</w:t>
      </w:r>
      <w:r w:rsidR="00C20567">
        <w:t xml:space="preserve"> an</w:t>
      </w:r>
      <w:r w:rsidRPr="00F63766">
        <w:t xml:space="preserve"> application that exceed</w:t>
      </w:r>
      <w:r w:rsidR="00C20567">
        <w:t>s</w:t>
      </w:r>
      <w:r w:rsidRPr="00F63766">
        <w:t xml:space="preserve"> the investor cap. </w:t>
      </w:r>
    </w:p>
    <w:p w14:paraId="7706B1DB" w14:textId="77777777" w:rsidR="00E27590" w:rsidRPr="00F63766" w:rsidRDefault="00E27590" w:rsidP="00E27590">
      <w:pPr>
        <w:pStyle w:val="Heading4"/>
      </w:pPr>
      <w:r w:rsidRPr="00F63766">
        <w:t>Cooling-off rights</w:t>
      </w:r>
    </w:p>
    <w:p w14:paraId="7693D3E5" w14:textId="2B1AC4A6" w:rsidR="00AC130B" w:rsidRDefault="00E27590" w:rsidP="00AB3451">
      <w:pPr>
        <w:pStyle w:val="base-text-paragraph"/>
      </w:pPr>
      <w:r w:rsidRPr="00F63766">
        <w:t xml:space="preserve">The Bill provides </w:t>
      </w:r>
      <w:r w:rsidR="00260510">
        <w:t xml:space="preserve">all retail clients </w:t>
      </w:r>
      <w:r w:rsidRPr="00F63766">
        <w:t xml:space="preserve">who make an application </w:t>
      </w:r>
      <w:r w:rsidR="00260510">
        <w:t xml:space="preserve">in relation to a </w:t>
      </w:r>
      <w:r w:rsidRPr="00F63766">
        <w:t>CSF offer</w:t>
      </w:r>
      <w:r w:rsidR="00260510">
        <w:t xml:space="preserve"> </w:t>
      </w:r>
      <w:r w:rsidRPr="00F63766">
        <w:t xml:space="preserve">with </w:t>
      </w:r>
      <w:r w:rsidR="00260510">
        <w:t xml:space="preserve">an unconditional right to withdraw their application within 5 business days of it being made </w:t>
      </w:r>
      <w:r w:rsidRPr="00FF5264">
        <w:rPr>
          <w:b/>
          <w:i/>
          <w:sz w:val="18"/>
        </w:rPr>
        <w:t>[Schedule 1, Part 1, item 1</w:t>
      </w:r>
      <w:r w:rsidR="00260510">
        <w:rPr>
          <w:b/>
          <w:i/>
          <w:sz w:val="18"/>
        </w:rPr>
        <w:t>4</w:t>
      </w:r>
      <w:r w:rsidRPr="00F63766">
        <w:rPr>
          <w:b/>
          <w:i/>
          <w:sz w:val="18"/>
        </w:rPr>
        <w:t xml:space="preserve">, </w:t>
      </w:r>
      <w:r w:rsidR="00317930">
        <w:rPr>
          <w:b/>
          <w:i/>
          <w:sz w:val="18"/>
        </w:rPr>
        <w:t>subsection </w:t>
      </w:r>
      <w:r w:rsidRPr="00F63766">
        <w:rPr>
          <w:b/>
          <w:i/>
          <w:sz w:val="18"/>
        </w:rPr>
        <w:t>738ZD(1)]</w:t>
      </w:r>
      <w:r w:rsidR="004E1951">
        <w:rPr>
          <w:b/>
          <w:i/>
          <w:sz w:val="18"/>
        </w:rPr>
        <w:t xml:space="preserve"> </w:t>
      </w:r>
    </w:p>
    <w:p w14:paraId="715E1465" w14:textId="6B9A5340" w:rsidR="00F40C6C" w:rsidRDefault="00E27590" w:rsidP="00AB3451">
      <w:pPr>
        <w:pStyle w:val="base-text-paragraph"/>
      </w:pPr>
      <w:r w:rsidRPr="00F63766">
        <w:t>Th</w:t>
      </w:r>
      <w:r w:rsidR="00317930">
        <w:t>e</w:t>
      </w:r>
      <w:r w:rsidRPr="00F63766">
        <w:t xml:space="preserve"> cooling-off </w:t>
      </w:r>
      <w:r w:rsidR="00317930">
        <w:t>rights</w:t>
      </w:r>
      <w:r w:rsidR="00317930" w:rsidRPr="00F63766">
        <w:t xml:space="preserve"> </w:t>
      </w:r>
      <w:r w:rsidRPr="00F63766">
        <w:t xml:space="preserve">provide </w:t>
      </w:r>
      <w:r w:rsidR="00396B29">
        <w:t>retail clients</w:t>
      </w:r>
      <w:r w:rsidRPr="00F63766">
        <w:t xml:space="preserve"> with time to </w:t>
      </w:r>
      <w:r w:rsidR="00FC6776">
        <w:t>re</w:t>
      </w:r>
      <w:r w:rsidRPr="00F63766">
        <w:t xml:space="preserve">consider their decision to invest and </w:t>
      </w:r>
      <w:r w:rsidR="00867F9E">
        <w:t xml:space="preserve">allow the investor to withdraw their application </w:t>
      </w:r>
      <w:r w:rsidR="00FC6776">
        <w:t xml:space="preserve">in the event they no longer wish to proceed with the investment. </w:t>
      </w:r>
    </w:p>
    <w:p w14:paraId="31F450BD" w14:textId="4A454312" w:rsidR="00F40C6C" w:rsidRPr="00F63766" w:rsidRDefault="00F40C6C" w:rsidP="00F40C6C">
      <w:pPr>
        <w:numPr>
          <w:ilvl w:val="1"/>
          <w:numId w:val="33"/>
        </w:numPr>
      </w:pPr>
      <w:r>
        <w:t xml:space="preserve">The investor must exercise their cooling-off rights in accordance with the method specified by the intermediary on their offer platform.  </w:t>
      </w:r>
      <w:r w:rsidRPr="00F63766">
        <w:rPr>
          <w:b/>
          <w:i/>
          <w:sz w:val="18"/>
        </w:rPr>
        <w:t>[Schedule 1, Part 1, item 1</w:t>
      </w:r>
      <w:r>
        <w:rPr>
          <w:b/>
          <w:i/>
          <w:sz w:val="18"/>
        </w:rPr>
        <w:t>4</w:t>
      </w:r>
      <w:r w:rsidRPr="00F63766">
        <w:rPr>
          <w:b/>
          <w:i/>
          <w:sz w:val="18"/>
        </w:rPr>
        <w:t xml:space="preserve">, </w:t>
      </w:r>
      <w:r>
        <w:rPr>
          <w:b/>
          <w:i/>
          <w:sz w:val="18"/>
        </w:rPr>
        <w:t>subsection 7</w:t>
      </w:r>
      <w:r w:rsidRPr="00F63766">
        <w:rPr>
          <w:b/>
          <w:i/>
          <w:sz w:val="18"/>
        </w:rPr>
        <w:t>38ZD(2)]</w:t>
      </w:r>
    </w:p>
    <w:p w14:paraId="121D2E3B" w14:textId="505518E8" w:rsidR="00B6499B" w:rsidRPr="00F63766" w:rsidRDefault="00B6499B" w:rsidP="00776630">
      <w:pPr>
        <w:keepNext/>
        <w:keepLines/>
        <w:numPr>
          <w:ilvl w:val="1"/>
          <w:numId w:val="33"/>
        </w:numPr>
      </w:pPr>
      <w:r>
        <w:t xml:space="preserve">The intermediary is required to display information regarding the retail investors’ statutory cooling-off rights prominently on the offer platform </w:t>
      </w:r>
      <w:r w:rsidR="0075352B">
        <w:t>including</w:t>
      </w:r>
      <w:r>
        <w:t xml:space="preserve"> the means by which </w:t>
      </w:r>
      <w:r w:rsidR="0000005C">
        <w:t>an</w:t>
      </w:r>
      <w:r>
        <w:t xml:space="preserve"> investor can exercise th</w:t>
      </w:r>
      <w:r w:rsidR="00251114">
        <w:t>o</w:t>
      </w:r>
      <w:r>
        <w:t>se rights</w:t>
      </w:r>
      <w:r w:rsidR="009B6A48">
        <w:t xml:space="preserve"> </w:t>
      </w:r>
      <w:r w:rsidR="009B6A48" w:rsidRPr="00F63766">
        <w:rPr>
          <w:b/>
          <w:i/>
          <w:sz w:val="18"/>
        </w:rPr>
        <w:t>[</w:t>
      </w:r>
      <w:r w:rsidR="009B6A48" w:rsidRPr="001A766E">
        <w:rPr>
          <w:b/>
          <w:i/>
          <w:sz w:val="18"/>
        </w:rPr>
        <w:t>Schedule 1, Part 1, item 14, subsection </w:t>
      </w:r>
      <w:proofErr w:type="gramStart"/>
      <w:r w:rsidR="009B6A48" w:rsidRPr="001A766E">
        <w:rPr>
          <w:b/>
          <w:i/>
          <w:sz w:val="18"/>
        </w:rPr>
        <w:t>738ZA(</w:t>
      </w:r>
      <w:proofErr w:type="gramEnd"/>
      <w:r w:rsidR="009B6A48" w:rsidRPr="001A766E">
        <w:rPr>
          <w:b/>
          <w:i/>
          <w:sz w:val="18"/>
        </w:rPr>
        <w:t>8)]</w:t>
      </w:r>
      <w:r w:rsidRPr="001A766E">
        <w:t>. Th</w:t>
      </w:r>
      <w:r w:rsidR="009B6A48" w:rsidRPr="001A766E">
        <w:t>e</w:t>
      </w:r>
      <w:r w:rsidRPr="001A766E">
        <w:t>s</w:t>
      </w:r>
      <w:r w:rsidR="009B6A48" w:rsidRPr="001A766E">
        <w:t>e</w:t>
      </w:r>
      <w:r w:rsidRPr="001A766E">
        <w:t xml:space="preserve"> requirement</w:t>
      </w:r>
      <w:r w:rsidR="009B6A48" w:rsidRPr="001A766E">
        <w:t>s</w:t>
      </w:r>
      <w:r w:rsidRPr="001A766E">
        <w:t xml:space="preserve"> </w:t>
      </w:r>
      <w:r w:rsidR="009B6A48" w:rsidRPr="001A766E">
        <w:t>are</w:t>
      </w:r>
      <w:r w:rsidRPr="001A766E">
        <w:t xml:space="preserve"> discussed in </w:t>
      </w:r>
      <w:r w:rsidRPr="00351190">
        <w:t xml:space="preserve">paragraphs </w:t>
      </w:r>
      <w:r w:rsidR="00404444" w:rsidRPr="00351190">
        <w:t>3</w:t>
      </w:r>
      <w:r w:rsidRPr="00351190">
        <w:t>.</w:t>
      </w:r>
      <w:r w:rsidR="00404444" w:rsidRPr="00351190">
        <w:t>70</w:t>
      </w:r>
      <w:r w:rsidRPr="00351190">
        <w:t xml:space="preserve"> to </w:t>
      </w:r>
      <w:r w:rsidR="00404444" w:rsidRPr="00351190">
        <w:t>3</w:t>
      </w:r>
      <w:r w:rsidRPr="00351190">
        <w:t>.</w:t>
      </w:r>
      <w:r w:rsidR="00404444" w:rsidRPr="00351190">
        <w:t>71</w:t>
      </w:r>
      <w:r w:rsidR="009B6A48" w:rsidRPr="001A766E">
        <w:t>.</w:t>
      </w:r>
    </w:p>
    <w:p w14:paraId="3C888882" w14:textId="6BA94B1A" w:rsidR="00E27590" w:rsidRPr="00F63766" w:rsidRDefault="00E27590" w:rsidP="00E27590">
      <w:pPr>
        <w:numPr>
          <w:ilvl w:val="1"/>
          <w:numId w:val="33"/>
        </w:numPr>
      </w:pPr>
      <w:r w:rsidRPr="00F63766">
        <w:t xml:space="preserve">Where an investor </w:t>
      </w:r>
      <w:r w:rsidR="00FF00BF">
        <w:t xml:space="preserve">exercises their cooling-off rights, </w:t>
      </w:r>
      <w:r w:rsidR="00AC130B">
        <w:t>the intermediary must refund their application money as soon as practicable</w:t>
      </w:r>
      <w:r w:rsidR="004E1951">
        <w:t>.</w:t>
      </w:r>
      <w:r w:rsidR="00AC130B">
        <w:t xml:space="preserve"> </w:t>
      </w:r>
      <w:r w:rsidRPr="00F63766">
        <w:rPr>
          <w:b/>
          <w:i/>
          <w:sz w:val="18"/>
        </w:rPr>
        <w:t>[Schedule</w:t>
      </w:r>
      <w:r w:rsidR="000F6A02">
        <w:rPr>
          <w:b/>
          <w:i/>
          <w:sz w:val="18"/>
        </w:rPr>
        <w:t> </w:t>
      </w:r>
      <w:r w:rsidRPr="00F63766">
        <w:rPr>
          <w:b/>
          <w:i/>
          <w:sz w:val="18"/>
        </w:rPr>
        <w:t>1, Part 1, item 1</w:t>
      </w:r>
      <w:r w:rsidR="00251114">
        <w:rPr>
          <w:b/>
          <w:i/>
          <w:sz w:val="18"/>
        </w:rPr>
        <w:t>4</w:t>
      </w:r>
      <w:r w:rsidRPr="00F63766">
        <w:rPr>
          <w:b/>
          <w:i/>
          <w:sz w:val="18"/>
        </w:rPr>
        <w:t>, paragraph</w:t>
      </w:r>
      <w:r w:rsidR="0096401C">
        <w:rPr>
          <w:b/>
          <w:i/>
          <w:sz w:val="18"/>
        </w:rPr>
        <w:t> </w:t>
      </w:r>
      <w:r w:rsidRPr="00F63766">
        <w:rPr>
          <w:b/>
          <w:i/>
          <w:sz w:val="18"/>
        </w:rPr>
        <w:t>738ZB(4)(a)]</w:t>
      </w:r>
    </w:p>
    <w:p w14:paraId="0EECFC81" w14:textId="22052AF0" w:rsidR="00E27590" w:rsidRPr="00F63766" w:rsidRDefault="00625949" w:rsidP="00E27590">
      <w:pPr>
        <w:pStyle w:val="ExampleHeading"/>
        <w:numPr>
          <w:ilvl w:val="3"/>
          <w:numId w:val="33"/>
        </w:numPr>
        <w:tabs>
          <w:tab w:val="num" w:pos="360"/>
        </w:tabs>
        <w:ind w:left="0"/>
      </w:pPr>
      <w:r>
        <w:t>: Exercise of cooling-off rights</w:t>
      </w:r>
    </w:p>
    <w:p w14:paraId="349FA37A" w14:textId="58B327F1" w:rsidR="00E27590" w:rsidRPr="00F63766" w:rsidRDefault="00E27590" w:rsidP="00AB3451">
      <w:pPr>
        <w:pStyle w:val="exampletext"/>
      </w:pPr>
      <w:r w:rsidRPr="00F63766">
        <w:t xml:space="preserve">Eric applies to invest $7,000 in a CSF offer by </w:t>
      </w:r>
      <w:proofErr w:type="spellStart"/>
      <w:r w:rsidR="00251114">
        <w:t>AlphaBeta</w:t>
      </w:r>
      <w:proofErr w:type="spellEnd"/>
      <w:r w:rsidRPr="00F63766">
        <w:t xml:space="preserve"> Ltd via the Value Add Pty Ltd CSF platform on 10 March. He thinks about the decision to invest and on 13 March decides that he has changed his mind and wants to withdraw his application. </w:t>
      </w:r>
      <w:r w:rsidRPr="00F63766">
        <w:br/>
      </w:r>
      <w:r w:rsidRPr="00F63766">
        <w:br/>
        <w:t>Eric can withdraw as he is within the 5</w:t>
      </w:r>
      <w:r w:rsidR="003F4544">
        <w:t xml:space="preserve"> business </w:t>
      </w:r>
      <w:r w:rsidRPr="00F63766">
        <w:t xml:space="preserve">day withdrawal period but he must indicate his withdrawal to Value Add in accordance with the instructions they have provided on their platform. </w:t>
      </w:r>
    </w:p>
    <w:p w14:paraId="5B1CCE18" w14:textId="77777777" w:rsidR="00E27590" w:rsidRPr="00F63766" w:rsidRDefault="00E27590" w:rsidP="00E27590">
      <w:pPr>
        <w:pStyle w:val="Heading4"/>
      </w:pPr>
      <w:r w:rsidRPr="00F63766">
        <w:t xml:space="preserve">Prohibition on the provision of financial assistance </w:t>
      </w:r>
    </w:p>
    <w:p w14:paraId="2CE7BC59" w14:textId="06B18E6A" w:rsidR="00B51B42" w:rsidRDefault="00E27590" w:rsidP="00E27590">
      <w:pPr>
        <w:numPr>
          <w:ilvl w:val="1"/>
          <w:numId w:val="33"/>
        </w:numPr>
      </w:pPr>
      <w:r w:rsidRPr="00F63766">
        <w:t xml:space="preserve">The Bill </w:t>
      </w:r>
      <w:r w:rsidR="007A44BF">
        <w:t>prohibits</w:t>
      </w:r>
      <w:r w:rsidRPr="00F63766">
        <w:t xml:space="preserve"> </w:t>
      </w:r>
      <w:r w:rsidR="00B51B42">
        <w:t>the following persons from providing financial assistance or arranging to provide financial assistance to a person that is a retail investor:</w:t>
      </w:r>
    </w:p>
    <w:p w14:paraId="0656D57D" w14:textId="794E2D57" w:rsidR="00B51B42" w:rsidRDefault="00354835" w:rsidP="00913B09">
      <w:pPr>
        <w:pStyle w:val="dotpoint"/>
      </w:pPr>
      <w:r w:rsidRPr="00F63766">
        <w:t>a company making the CSF offer</w:t>
      </w:r>
      <w:r w:rsidR="00B51B42">
        <w:t xml:space="preserve"> or intended offer</w:t>
      </w:r>
      <w:r w:rsidR="00025D41">
        <w:t xml:space="preserve"> (an offer that is yet to be made)</w:t>
      </w:r>
      <w:r w:rsidR="00B51B42">
        <w:t xml:space="preserve">; </w:t>
      </w:r>
    </w:p>
    <w:p w14:paraId="04E33293" w14:textId="77777777" w:rsidR="00B51B42" w:rsidRDefault="00354835" w:rsidP="00FF5264">
      <w:pPr>
        <w:pStyle w:val="dotpoint"/>
      </w:pPr>
      <w:r w:rsidRPr="00F63766">
        <w:t>related parties</w:t>
      </w:r>
      <w:r w:rsidR="00B51B42">
        <w:t xml:space="preserve"> of the company; </w:t>
      </w:r>
    </w:p>
    <w:p w14:paraId="3563DBA0" w14:textId="77777777" w:rsidR="00B51B42" w:rsidRDefault="00B51B42">
      <w:pPr>
        <w:pStyle w:val="dotpoint"/>
      </w:pPr>
      <w:r>
        <w:t>a CSF intermediary that is hosting or intending to host the CSF offer; and</w:t>
      </w:r>
    </w:p>
    <w:p w14:paraId="7B1B6254" w14:textId="2403312E" w:rsidR="00E27590" w:rsidRPr="00F63766" w:rsidRDefault="00B51B42">
      <w:pPr>
        <w:pStyle w:val="dotpoint"/>
      </w:pPr>
      <w:proofErr w:type="gramStart"/>
      <w:r>
        <w:t>any</w:t>
      </w:r>
      <w:proofErr w:type="gramEnd"/>
      <w:r>
        <w:t xml:space="preserve"> associates of the CSF intermediary. </w:t>
      </w:r>
      <w:r w:rsidR="00A060C0" w:rsidRPr="00F63766">
        <w:rPr>
          <w:b/>
          <w:i/>
          <w:sz w:val="18"/>
        </w:rPr>
        <w:t>[Schedule 1, Part 1, item 1</w:t>
      </w:r>
      <w:r w:rsidR="00A060C0">
        <w:rPr>
          <w:b/>
          <w:i/>
          <w:sz w:val="18"/>
        </w:rPr>
        <w:t>4</w:t>
      </w:r>
      <w:r w:rsidR="00A060C0" w:rsidRPr="00F63766">
        <w:rPr>
          <w:b/>
          <w:i/>
          <w:sz w:val="18"/>
        </w:rPr>
        <w:t xml:space="preserve">, </w:t>
      </w:r>
      <w:r w:rsidR="00A060C0">
        <w:rPr>
          <w:b/>
          <w:i/>
          <w:sz w:val="18"/>
        </w:rPr>
        <w:t>subsection</w:t>
      </w:r>
      <w:r>
        <w:rPr>
          <w:b/>
          <w:i/>
          <w:sz w:val="18"/>
        </w:rPr>
        <w:t>s</w:t>
      </w:r>
      <w:r w:rsidR="00A060C0">
        <w:rPr>
          <w:b/>
          <w:i/>
          <w:sz w:val="18"/>
        </w:rPr>
        <w:t> </w:t>
      </w:r>
      <w:proofErr w:type="gramStart"/>
      <w:r w:rsidR="00A060C0" w:rsidRPr="00F63766">
        <w:rPr>
          <w:b/>
          <w:i/>
          <w:sz w:val="18"/>
        </w:rPr>
        <w:t>738ZE(</w:t>
      </w:r>
      <w:proofErr w:type="gramEnd"/>
      <w:r w:rsidR="00A060C0" w:rsidRPr="00F63766">
        <w:rPr>
          <w:b/>
          <w:i/>
          <w:sz w:val="18"/>
        </w:rPr>
        <w:t>1)</w:t>
      </w:r>
      <w:r>
        <w:rPr>
          <w:b/>
          <w:i/>
          <w:sz w:val="18"/>
        </w:rPr>
        <w:t xml:space="preserve"> and (2)</w:t>
      </w:r>
      <w:r w:rsidR="00A060C0" w:rsidRPr="00F63766">
        <w:rPr>
          <w:b/>
          <w:i/>
          <w:sz w:val="18"/>
        </w:rPr>
        <w:t>]</w:t>
      </w:r>
      <w:r w:rsidR="00E27590" w:rsidRPr="00F63766">
        <w:t xml:space="preserve">. </w:t>
      </w:r>
    </w:p>
    <w:p w14:paraId="3F21628A" w14:textId="0284D5A9" w:rsidR="00E27590" w:rsidRPr="00F63766" w:rsidRDefault="00A060C0" w:rsidP="00E27590">
      <w:pPr>
        <w:numPr>
          <w:ilvl w:val="1"/>
          <w:numId w:val="33"/>
        </w:numPr>
      </w:pPr>
      <w:r>
        <w:t xml:space="preserve">The amendments define who </w:t>
      </w:r>
      <w:r w:rsidR="00973466">
        <w:t>is</w:t>
      </w:r>
      <w:r w:rsidR="00D16C37">
        <w:t xml:space="preserve"> taken to be </w:t>
      </w:r>
      <w:r>
        <w:t xml:space="preserve">a </w:t>
      </w:r>
      <w:r w:rsidR="00E27590" w:rsidRPr="00F63766">
        <w:t xml:space="preserve">related party of the </w:t>
      </w:r>
      <w:r w:rsidR="00E27590" w:rsidRPr="00E82926">
        <w:t>company</w:t>
      </w:r>
      <w:r w:rsidR="008F1097" w:rsidRPr="00E82926">
        <w:t xml:space="preserve"> (refer </w:t>
      </w:r>
      <w:r w:rsidR="00A455B5">
        <w:t xml:space="preserve">to </w:t>
      </w:r>
      <w:r w:rsidR="008F1097" w:rsidRPr="00351190">
        <w:t>paragraphs 2.</w:t>
      </w:r>
      <w:r w:rsidR="00351190" w:rsidRPr="00351190">
        <w:t>44</w:t>
      </w:r>
      <w:r w:rsidR="008F1097" w:rsidRPr="00351190">
        <w:t xml:space="preserve"> to 2.</w:t>
      </w:r>
      <w:r w:rsidR="00351190" w:rsidRPr="00351190">
        <w:t>47</w:t>
      </w:r>
      <w:r w:rsidR="008F1097" w:rsidRPr="00351190">
        <w:t>)</w:t>
      </w:r>
      <w:r w:rsidR="005B08E9" w:rsidRPr="001E11CA">
        <w:t>.</w:t>
      </w:r>
      <w:r w:rsidR="005B08E9" w:rsidRPr="00E82926">
        <w:t xml:space="preserve">  An ‘</w:t>
      </w:r>
      <w:r w:rsidR="005B08E9">
        <w:t xml:space="preserve">associate’ of an intermediary </w:t>
      </w:r>
      <w:r w:rsidR="0098766D">
        <w:t>is</w:t>
      </w:r>
      <w:r w:rsidR="005B08E9">
        <w:t xml:space="preserve"> determined </w:t>
      </w:r>
      <w:r w:rsidR="0098766D">
        <w:t>in accordance with</w:t>
      </w:r>
      <w:r w:rsidR="005B08E9">
        <w:t xml:space="preserve"> sections 10 to 17. </w:t>
      </w:r>
      <w:r w:rsidR="00E27590" w:rsidRPr="00F63766">
        <w:t xml:space="preserve"> </w:t>
      </w:r>
    </w:p>
    <w:p w14:paraId="650505FC" w14:textId="77777777" w:rsidR="0046445F" w:rsidRDefault="0046445F">
      <w:pPr>
        <w:spacing w:before="0" w:after="0"/>
      </w:pPr>
      <w:r>
        <w:br w:type="page"/>
      </w:r>
    </w:p>
    <w:p w14:paraId="48830D48" w14:textId="43245CB3" w:rsidR="00E27590" w:rsidRPr="00390FAB" w:rsidRDefault="00E27590" w:rsidP="00E27590">
      <w:pPr>
        <w:numPr>
          <w:ilvl w:val="1"/>
          <w:numId w:val="33"/>
        </w:numPr>
      </w:pPr>
      <w:r w:rsidRPr="00F63766">
        <w:t xml:space="preserve">The Bill </w:t>
      </w:r>
      <w:r w:rsidR="008531C4">
        <w:t>confirms</w:t>
      </w:r>
      <w:r w:rsidR="008531C4" w:rsidRPr="00F63766">
        <w:t xml:space="preserve"> </w:t>
      </w:r>
      <w:r w:rsidRPr="00F63766">
        <w:t xml:space="preserve">that the prohibition applies </w:t>
      </w:r>
      <w:r w:rsidR="008531C4">
        <w:t xml:space="preserve">whether the financial assistance was provided </w:t>
      </w:r>
      <w:r w:rsidRPr="00F63766">
        <w:t>before or after the acquisition of securities</w:t>
      </w:r>
      <w:r w:rsidR="008531C4">
        <w:t xml:space="preserve"> under the offer</w:t>
      </w:r>
      <w:r w:rsidRPr="00F63766">
        <w:t xml:space="preserve"> and </w:t>
      </w:r>
      <w:r w:rsidR="008531C4">
        <w:t xml:space="preserve">also </w:t>
      </w:r>
      <w:r w:rsidRPr="00F63766">
        <w:t xml:space="preserve">covers financial assistance provided in the form of a dividend </w:t>
      </w:r>
      <w:r w:rsidRPr="00390FAB">
        <w:rPr>
          <w:b/>
          <w:i/>
          <w:sz w:val="18"/>
        </w:rPr>
        <w:t>[Schedule 1, Part 1, item 1</w:t>
      </w:r>
      <w:r w:rsidR="00BC1A4D" w:rsidRPr="00390FAB">
        <w:rPr>
          <w:b/>
          <w:i/>
          <w:sz w:val="18"/>
        </w:rPr>
        <w:t>4</w:t>
      </w:r>
      <w:r w:rsidRPr="00390FAB">
        <w:rPr>
          <w:b/>
          <w:i/>
          <w:sz w:val="18"/>
        </w:rPr>
        <w:t xml:space="preserve">, </w:t>
      </w:r>
      <w:r w:rsidR="008D34B8" w:rsidRPr="00390FAB">
        <w:rPr>
          <w:b/>
          <w:i/>
          <w:sz w:val="18"/>
        </w:rPr>
        <w:t>subsection </w:t>
      </w:r>
      <w:r w:rsidRPr="00390FAB">
        <w:rPr>
          <w:b/>
          <w:i/>
          <w:sz w:val="18"/>
        </w:rPr>
        <w:t>738ZE(3)]</w:t>
      </w:r>
      <w:r w:rsidR="00390FAB">
        <w:rPr>
          <w:b/>
          <w:i/>
          <w:sz w:val="18"/>
        </w:rPr>
        <w:t>.</w:t>
      </w:r>
      <w:r w:rsidR="00390FAB" w:rsidRPr="00390FAB">
        <w:rPr>
          <w:b/>
          <w:i/>
          <w:sz w:val="18"/>
        </w:rPr>
        <w:t xml:space="preserve"> </w:t>
      </w:r>
      <w:r w:rsidRPr="00F63766">
        <w:t xml:space="preserve">The Bill </w:t>
      </w:r>
      <w:r w:rsidR="007C5F3F">
        <w:t>provides</w:t>
      </w:r>
      <w:r w:rsidR="007C5F3F" w:rsidRPr="00F63766">
        <w:t xml:space="preserve"> </w:t>
      </w:r>
      <w:r w:rsidRPr="00F63766">
        <w:t xml:space="preserve">that the terms </w:t>
      </w:r>
      <w:r w:rsidR="00DB3EEC" w:rsidRPr="00F63766">
        <w:t>‘</w:t>
      </w:r>
      <w:r w:rsidRPr="00F63766">
        <w:t>financially assist</w:t>
      </w:r>
      <w:r w:rsidR="00DB3EEC" w:rsidRPr="00F63766">
        <w:t>’</w:t>
      </w:r>
      <w:r w:rsidRPr="00F63766">
        <w:t xml:space="preserve"> and </w:t>
      </w:r>
      <w:r w:rsidR="00DB3EEC" w:rsidRPr="00F63766">
        <w:t>‘</w:t>
      </w:r>
      <w:r w:rsidRPr="00F63766">
        <w:t>financial assistance</w:t>
      </w:r>
      <w:r w:rsidR="00DB3EEC" w:rsidRPr="00F63766">
        <w:t>’</w:t>
      </w:r>
      <w:r w:rsidRPr="00F63766">
        <w:t xml:space="preserve"> have the same meaning</w:t>
      </w:r>
      <w:r w:rsidR="00310110">
        <w:t>s</w:t>
      </w:r>
      <w:r w:rsidRPr="00F63766">
        <w:t xml:space="preserve"> as </w:t>
      </w:r>
      <w:r w:rsidR="00310110">
        <w:t xml:space="preserve">they do for </w:t>
      </w:r>
      <w:r w:rsidRPr="00F63766">
        <w:t xml:space="preserve">section 260A of the Act </w:t>
      </w:r>
      <w:r w:rsidRPr="00390FAB">
        <w:rPr>
          <w:b/>
          <w:i/>
          <w:sz w:val="18"/>
        </w:rPr>
        <w:t>[Schedule 1, Part 1, item 1</w:t>
      </w:r>
      <w:r w:rsidR="00BC1A4D" w:rsidRPr="00390FAB">
        <w:rPr>
          <w:b/>
          <w:i/>
          <w:sz w:val="18"/>
        </w:rPr>
        <w:t>4</w:t>
      </w:r>
      <w:r w:rsidRPr="00390FAB">
        <w:rPr>
          <w:b/>
          <w:i/>
          <w:sz w:val="18"/>
        </w:rPr>
        <w:t xml:space="preserve">, </w:t>
      </w:r>
      <w:r w:rsidR="008D34B8" w:rsidRPr="00390FAB">
        <w:rPr>
          <w:b/>
          <w:i/>
          <w:sz w:val="18"/>
        </w:rPr>
        <w:t>subsection </w:t>
      </w:r>
      <w:r w:rsidR="00BC1A4D" w:rsidRPr="00390FAB">
        <w:rPr>
          <w:b/>
          <w:i/>
          <w:sz w:val="18"/>
        </w:rPr>
        <w:t>7</w:t>
      </w:r>
      <w:r w:rsidRPr="00390FAB">
        <w:rPr>
          <w:b/>
          <w:i/>
          <w:sz w:val="18"/>
        </w:rPr>
        <w:t>38ZE(4)]</w:t>
      </w:r>
      <w:r w:rsidR="00390FAB">
        <w:rPr>
          <w:b/>
          <w:i/>
          <w:sz w:val="18"/>
        </w:rPr>
        <w:t>.</w:t>
      </w:r>
    </w:p>
    <w:p w14:paraId="0A7A9A94" w14:textId="5E420001" w:rsidR="00390FAB" w:rsidRPr="00F63766" w:rsidRDefault="00390FAB" w:rsidP="00E27590">
      <w:pPr>
        <w:numPr>
          <w:ilvl w:val="1"/>
          <w:numId w:val="33"/>
        </w:numPr>
      </w:pPr>
      <w:r w:rsidRPr="00390FAB">
        <w:t xml:space="preserve">Contravention of the prohibition is an offence, punishable by </w:t>
      </w:r>
      <w:r w:rsidR="00916064">
        <w:t xml:space="preserve">a maximum penalty of </w:t>
      </w:r>
      <w:r w:rsidRPr="00390FAB">
        <w:t xml:space="preserve">300 penalty units, five years imprisonment, or both. </w:t>
      </w:r>
      <w:r>
        <w:t xml:space="preserve"> The term of imprisonment is consistent with the penalty applicable under section 260A. The penalty of 300 penalty units has been calculated based on the </w:t>
      </w:r>
      <w:r w:rsidRPr="00F63766">
        <w:t xml:space="preserve">fine/imprisonment ratio of 5:1 specified in the Government’s </w:t>
      </w:r>
      <w:r w:rsidRPr="00F63766">
        <w:rPr>
          <w:i/>
        </w:rPr>
        <w:t>Guide to Framing Commonwealth Offences, Infringement Notices and Enforcement Powers</w:t>
      </w:r>
      <w:r w:rsidRPr="00F63766">
        <w:t xml:space="preserve"> (section 3.1.3 </w:t>
      </w:r>
      <w:r>
        <w:t xml:space="preserve">of the Guide </w:t>
      </w:r>
      <w:r w:rsidRPr="00F63766">
        <w:t>refers).</w:t>
      </w:r>
      <w:r>
        <w:t xml:space="preserve"> </w:t>
      </w:r>
      <w:r w:rsidRPr="00390FAB">
        <w:rPr>
          <w:b/>
          <w:i/>
          <w:sz w:val="18"/>
        </w:rPr>
        <w:t>[Schedule 1, Part 1, item </w:t>
      </w:r>
      <w:r>
        <w:rPr>
          <w:b/>
          <w:i/>
          <w:sz w:val="18"/>
        </w:rPr>
        <w:t>34</w:t>
      </w:r>
      <w:r w:rsidRPr="00390FAB">
        <w:rPr>
          <w:b/>
          <w:i/>
          <w:sz w:val="18"/>
        </w:rPr>
        <w:t xml:space="preserve">, </w:t>
      </w:r>
      <w:r>
        <w:rPr>
          <w:b/>
          <w:i/>
          <w:sz w:val="18"/>
        </w:rPr>
        <w:t>item 245R in the table to Schedule 3</w:t>
      </w:r>
      <w:r w:rsidRPr="00390FAB">
        <w:rPr>
          <w:b/>
          <w:i/>
          <w:sz w:val="18"/>
        </w:rPr>
        <w:t>]</w:t>
      </w:r>
    </w:p>
    <w:p w14:paraId="071DFDEB" w14:textId="77777777" w:rsidR="007A44BF" w:rsidRPr="00F63766" w:rsidRDefault="007A44BF" w:rsidP="007A44BF">
      <w:pPr>
        <w:pStyle w:val="Heading3"/>
      </w:pPr>
      <w:r w:rsidRPr="00F63766">
        <w:t xml:space="preserve">Protections applying to all investors </w:t>
      </w:r>
    </w:p>
    <w:p w14:paraId="66A16336" w14:textId="77777777" w:rsidR="00E27590" w:rsidRPr="00F63766" w:rsidRDefault="00E27590" w:rsidP="00E27590">
      <w:pPr>
        <w:pStyle w:val="Heading3"/>
      </w:pPr>
      <w:r w:rsidRPr="00F63766">
        <w:t xml:space="preserve">Advertising restrictions </w:t>
      </w:r>
    </w:p>
    <w:p w14:paraId="2BA86D5F" w14:textId="22976C50" w:rsidR="009E7B0F" w:rsidRPr="00F63766" w:rsidRDefault="009E7B0F" w:rsidP="00E27590">
      <w:pPr>
        <w:numPr>
          <w:ilvl w:val="1"/>
          <w:numId w:val="33"/>
        </w:numPr>
      </w:pPr>
      <w:r w:rsidRPr="00F63766">
        <w:t>The Bill permits issuers and intermediaries to advertise CSF offers as long as the advertisement or publication</w:t>
      </w:r>
      <w:r w:rsidR="008D34B8">
        <w:t xml:space="preserve"> complies with the rules set out in the Bill.  </w:t>
      </w:r>
    </w:p>
    <w:p w14:paraId="58680993" w14:textId="112721F1" w:rsidR="00E27590" w:rsidRDefault="00E27590" w:rsidP="00E27590">
      <w:pPr>
        <w:numPr>
          <w:ilvl w:val="1"/>
          <w:numId w:val="33"/>
        </w:numPr>
      </w:pPr>
      <w:r w:rsidRPr="00F63766">
        <w:t xml:space="preserve">The purpose </w:t>
      </w:r>
      <w:r w:rsidR="006D70D2" w:rsidRPr="00F63766">
        <w:t xml:space="preserve">of the advertising rules </w:t>
      </w:r>
      <w:r w:rsidRPr="00F63766">
        <w:t>is to protect investors by ensuring they make informed decisions</w:t>
      </w:r>
      <w:r w:rsidR="00562773" w:rsidRPr="00F63766">
        <w:t xml:space="preserve"> regarding the merits of </w:t>
      </w:r>
      <w:r w:rsidR="00702E05">
        <w:t>a</w:t>
      </w:r>
      <w:r w:rsidR="00702E05" w:rsidRPr="00F63766">
        <w:t xml:space="preserve"> </w:t>
      </w:r>
      <w:r w:rsidR="00562773" w:rsidRPr="00F63766">
        <w:t>CSF</w:t>
      </w:r>
      <w:r w:rsidR="007E0040">
        <w:t> </w:t>
      </w:r>
      <w:r w:rsidR="00562773" w:rsidRPr="00F63766">
        <w:t xml:space="preserve">offer based on the information contained </w:t>
      </w:r>
      <w:r w:rsidRPr="00F63766">
        <w:t>in</w:t>
      </w:r>
      <w:r w:rsidR="00562773" w:rsidRPr="00F63766">
        <w:t xml:space="preserve"> the</w:t>
      </w:r>
      <w:r w:rsidRPr="00F63766">
        <w:t xml:space="preserve"> CSF offer </w:t>
      </w:r>
      <w:r w:rsidR="00562773" w:rsidRPr="00F63766">
        <w:t xml:space="preserve">document </w:t>
      </w:r>
      <w:r w:rsidR="00661B23">
        <w:t xml:space="preserve">rather than </w:t>
      </w:r>
      <w:r w:rsidRPr="00F63766">
        <w:t>advertisements</w:t>
      </w:r>
      <w:r w:rsidR="003A314E" w:rsidRPr="00F63766">
        <w:t xml:space="preserve">. </w:t>
      </w:r>
    </w:p>
    <w:p w14:paraId="5A6B1886" w14:textId="3325D864" w:rsidR="00143C70" w:rsidRPr="00F63766" w:rsidRDefault="00143C70" w:rsidP="00FF5264">
      <w:pPr>
        <w:pStyle w:val="Heading3"/>
      </w:pPr>
      <w:r>
        <w:t>Scope of the advertising prohibitions</w:t>
      </w:r>
    </w:p>
    <w:p w14:paraId="6C7D4DE4" w14:textId="17A402B3" w:rsidR="007B754F" w:rsidRPr="00F63766" w:rsidRDefault="00E27590" w:rsidP="007B754F">
      <w:pPr>
        <w:numPr>
          <w:ilvl w:val="1"/>
          <w:numId w:val="33"/>
        </w:numPr>
      </w:pPr>
      <w:r w:rsidRPr="00F63766">
        <w:t xml:space="preserve">The </w:t>
      </w:r>
      <w:r w:rsidR="00B119F6">
        <w:t>advertising restrictions</w:t>
      </w:r>
      <w:r w:rsidRPr="00F63766">
        <w:t xml:space="preserve"> </w:t>
      </w:r>
      <w:r w:rsidR="00B119F6">
        <w:t>apply to</w:t>
      </w:r>
      <w:r w:rsidRPr="00F63766">
        <w:t xml:space="preserve"> advertisement</w:t>
      </w:r>
      <w:r w:rsidR="00B119F6">
        <w:t>s</w:t>
      </w:r>
      <w:r w:rsidRPr="00F63766">
        <w:t xml:space="preserve"> </w:t>
      </w:r>
      <w:r w:rsidR="007E0040">
        <w:t>of</w:t>
      </w:r>
      <w:r w:rsidRPr="00F63766">
        <w:t xml:space="preserve"> CSF</w:t>
      </w:r>
      <w:r w:rsidR="00B119F6">
        <w:t> </w:t>
      </w:r>
      <w:r w:rsidRPr="00F63766">
        <w:t>offer</w:t>
      </w:r>
      <w:r w:rsidR="00B119F6">
        <w:t>s</w:t>
      </w:r>
      <w:r w:rsidRPr="00F63766">
        <w:t xml:space="preserve"> </w:t>
      </w:r>
      <w:r w:rsidR="00B119F6">
        <w:t>and</w:t>
      </w:r>
      <w:r w:rsidRPr="00F63766">
        <w:t xml:space="preserve"> intended CSF offer</w:t>
      </w:r>
      <w:r w:rsidR="00B119F6">
        <w:t xml:space="preserve">s (offers that are yet to be </w:t>
      </w:r>
      <w:r w:rsidR="00702E05">
        <w:t xml:space="preserve">made). </w:t>
      </w:r>
      <w:r w:rsidR="007B754F" w:rsidRPr="00F63766">
        <w:rPr>
          <w:b/>
          <w:i/>
          <w:sz w:val="18"/>
        </w:rPr>
        <w:t xml:space="preserve">[Schedule 1, Part 1, </w:t>
      </w:r>
      <w:r w:rsidR="007B754F">
        <w:rPr>
          <w:b/>
          <w:i/>
          <w:sz w:val="18"/>
        </w:rPr>
        <w:t>item 14</w:t>
      </w:r>
      <w:r w:rsidR="007B754F" w:rsidRPr="00F63766">
        <w:rPr>
          <w:b/>
          <w:i/>
          <w:sz w:val="18"/>
        </w:rPr>
        <w:t>, </w:t>
      </w:r>
      <w:r w:rsidR="007B754F">
        <w:rPr>
          <w:b/>
          <w:i/>
          <w:sz w:val="18"/>
        </w:rPr>
        <w:t>paragraph</w:t>
      </w:r>
      <w:r w:rsidR="007B754F" w:rsidRPr="00F63766">
        <w:rPr>
          <w:b/>
          <w:i/>
          <w:sz w:val="18"/>
        </w:rPr>
        <w:t> 738ZG(1</w:t>
      </w:r>
      <w:r w:rsidR="007B754F">
        <w:rPr>
          <w:b/>
          <w:i/>
          <w:sz w:val="18"/>
        </w:rPr>
        <w:t>)(a</w:t>
      </w:r>
      <w:r w:rsidR="007B754F" w:rsidRPr="00F63766">
        <w:rPr>
          <w:b/>
          <w:i/>
          <w:sz w:val="18"/>
        </w:rPr>
        <w:t>)]</w:t>
      </w:r>
    </w:p>
    <w:p w14:paraId="0401A783" w14:textId="6AD59189" w:rsidR="00E27590" w:rsidRPr="00F63766" w:rsidRDefault="00B119F6">
      <w:pPr>
        <w:numPr>
          <w:ilvl w:val="1"/>
          <w:numId w:val="33"/>
        </w:numPr>
      </w:pPr>
      <w:r>
        <w:t>The advertising restrictions</w:t>
      </w:r>
      <w:r w:rsidRPr="00F63766">
        <w:t xml:space="preserve"> </w:t>
      </w:r>
      <w:r w:rsidR="0029689E" w:rsidRPr="00F63766">
        <w:t>also</w:t>
      </w:r>
      <w:r w:rsidR="00E27590" w:rsidRPr="00F63766">
        <w:t xml:space="preserve"> </w:t>
      </w:r>
      <w:r w:rsidRPr="00F63766">
        <w:t>appl</w:t>
      </w:r>
      <w:r>
        <w:t>y to statement</w:t>
      </w:r>
      <w:r w:rsidR="001D51FD">
        <w:t>s</w:t>
      </w:r>
      <w:r>
        <w:t xml:space="preserve"> </w:t>
      </w:r>
      <w:r w:rsidR="00E27590" w:rsidRPr="00F63766">
        <w:t>that refer to CSF offer</w:t>
      </w:r>
      <w:r w:rsidR="001D51FD">
        <w:t>s</w:t>
      </w:r>
      <w:r w:rsidR="00E27590" w:rsidRPr="00F63766">
        <w:t xml:space="preserve"> or intended offer</w:t>
      </w:r>
      <w:r w:rsidR="001D51FD">
        <w:t>s</w:t>
      </w:r>
      <w:r w:rsidR="00E27590" w:rsidRPr="00F63766">
        <w:t xml:space="preserve"> (</w:t>
      </w:r>
      <w:r>
        <w:t xml:space="preserve">whether </w:t>
      </w:r>
      <w:r w:rsidR="00E27590" w:rsidRPr="00F63766">
        <w:t>directly or indirectly) or statement</w:t>
      </w:r>
      <w:r w:rsidR="001D51FD">
        <w:t>s</w:t>
      </w:r>
      <w:r w:rsidR="00E27590" w:rsidRPr="00F63766">
        <w:t xml:space="preserve"> </w:t>
      </w:r>
      <w:r>
        <w:t xml:space="preserve">that </w:t>
      </w:r>
      <w:r w:rsidR="001D51FD">
        <w:t>are</w:t>
      </w:r>
      <w:r w:rsidR="001D51FD" w:rsidRPr="00F63766">
        <w:t xml:space="preserve"> </w:t>
      </w:r>
      <w:r w:rsidR="00E27590" w:rsidRPr="00F63766">
        <w:t xml:space="preserve">reasonably likely to induce people to apply for securities </w:t>
      </w:r>
      <w:r w:rsidR="009D1FFC">
        <w:t xml:space="preserve">under a CSF </w:t>
      </w:r>
      <w:r w:rsidR="00E27590" w:rsidRPr="00F63766">
        <w:t>offer</w:t>
      </w:r>
      <w:r w:rsidR="009D1FFC">
        <w:t xml:space="preserve"> or intended offer</w:t>
      </w:r>
      <w:r w:rsidR="00E27590" w:rsidRPr="00F63766">
        <w:t xml:space="preserve">. </w:t>
      </w:r>
      <w:r w:rsidR="00E27590" w:rsidRPr="00F63766">
        <w:rPr>
          <w:b/>
          <w:i/>
          <w:sz w:val="18"/>
        </w:rPr>
        <w:t xml:space="preserve">[Schedule 1, Part 1, </w:t>
      </w:r>
      <w:r w:rsidR="004C3043">
        <w:rPr>
          <w:b/>
          <w:i/>
          <w:sz w:val="18"/>
        </w:rPr>
        <w:t>item</w:t>
      </w:r>
      <w:r w:rsidR="007E0040">
        <w:rPr>
          <w:b/>
          <w:i/>
          <w:sz w:val="18"/>
        </w:rPr>
        <w:t> </w:t>
      </w:r>
      <w:r w:rsidR="004C3043">
        <w:rPr>
          <w:b/>
          <w:i/>
          <w:sz w:val="18"/>
        </w:rPr>
        <w:t>14</w:t>
      </w:r>
      <w:r w:rsidR="00E27590" w:rsidRPr="00F63766">
        <w:rPr>
          <w:b/>
          <w:i/>
          <w:sz w:val="18"/>
        </w:rPr>
        <w:t>,</w:t>
      </w:r>
      <w:r w:rsidR="00FD1A7E" w:rsidRPr="00F63766">
        <w:rPr>
          <w:b/>
          <w:i/>
          <w:sz w:val="18"/>
        </w:rPr>
        <w:t> </w:t>
      </w:r>
      <w:r w:rsidR="007E3747">
        <w:rPr>
          <w:b/>
          <w:i/>
          <w:sz w:val="18"/>
        </w:rPr>
        <w:t>paragraph</w:t>
      </w:r>
      <w:r w:rsidR="007E3747" w:rsidRPr="00F63766">
        <w:rPr>
          <w:b/>
          <w:i/>
          <w:sz w:val="18"/>
        </w:rPr>
        <w:t> </w:t>
      </w:r>
      <w:r w:rsidR="00E27590" w:rsidRPr="00F63766">
        <w:rPr>
          <w:b/>
          <w:i/>
          <w:sz w:val="18"/>
        </w:rPr>
        <w:t>738ZG(1</w:t>
      </w:r>
      <w:r w:rsidR="007E3747">
        <w:rPr>
          <w:b/>
          <w:i/>
          <w:sz w:val="18"/>
        </w:rPr>
        <w:t>)(b</w:t>
      </w:r>
      <w:r w:rsidR="00FD1A7E" w:rsidRPr="00F63766">
        <w:rPr>
          <w:b/>
          <w:i/>
          <w:sz w:val="18"/>
        </w:rPr>
        <w:t>)</w:t>
      </w:r>
      <w:r w:rsidR="00E27590" w:rsidRPr="00F63766">
        <w:rPr>
          <w:b/>
          <w:i/>
          <w:sz w:val="18"/>
        </w:rPr>
        <w:t>]</w:t>
      </w:r>
    </w:p>
    <w:p w14:paraId="7AEAECF3" w14:textId="77777777" w:rsidR="0046445F" w:rsidRDefault="0046445F">
      <w:pPr>
        <w:spacing w:before="0" w:after="0"/>
        <w:rPr>
          <w:b/>
          <w:i/>
        </w:rPr>
      </w:pPr>
      <w:r>
        <w:br w:type="page"/>
      </w:r>
    </w:p>
    <w:p w14:paraId="0283DCFD" w14:textId="728F34D6" w:rsidR="00464E13" w:rsidRPr="00F63766" w:rsidRDefault="00464E13" w:rsidP="00FF5264">
      <w:pPr>
        <w:pStyle w:val="Heading4"/>
      </w:pPr>
      <w:r>
        <w:t>When a statement will be taken to indirectly refer to a CSF offer or to reasonably induce investors to apply</w:t>
      </w:r>
    </w:p>
    <w:p w14:paraId="4E840250" w14:textId="69C3B965" w:rsidR="00E27590" w:rsidRPr="00F63766" w:rsidRDefault="00BD6EF4" w:rsidP="00E27590">
      <w:pPr>
        <w:numPr>
          <w:ilvl w:val="1"/>
          <w:numId w:val="33"/>
        </w:numPr>
      </w:pPr>
      <w:r>
        <w:t>In</w:t>
      </w:r>
      <w:r w:rsidR="006E2140" w:rsidRPr="00F63766">
        <w:t xml:space="preserve"> </w:t>
      </w:r>
      <w:r w:rsidR="00E27590" w:rsidRPr="00F63766">
        <w:t>determining whether a statement indirectly refers to a CSF offer or intended offer</w:t>
      </w:r>
      <w:r w:rsidR="00DE5A62">
        <w:t xml:space="preserve">, or </w:t>
      </w:r>
      <w:r w:rsidR="00E27590" w:rsidRPr="00F63766">
        <w:t xml:space="preserve">is reasonably likely to induce investors to apply for securities </w:t>
      </w:r>
      <w:r w:rsidR="00343FA1">
        <w:t>offered under a CSF offer or intended offer</w:t>
      </w:r>
      <w:r>
        <w:t xml:space="preserve">, </w:t>
      </w:r>
      <w:r w:rsidR="00BD54BB">
        <w:t xml:space="preserve">the Bill provides that </w:t>
      </w:r>
      <w:r>
        <w:t>regard must be had to three factors</w:t>
      </w:r>
      <w:r w:rsidR="001C56D5" w:rsidRPr="00F63766">
        <w:t xml:space="preserve">: </w:t>
      </w:r>
    </w:p>
    <w:p w14:paraId="395999F8" w14:textId="11DCF1DC" w:rsidR="00E27590" w:rsidRPr="00F63766" w:rsidRDefault="00E27590" w:rsidP="002D5F39">
      <w:pPr>
        <w:pStyle w:val="dotpoint"/>
      </w:pPr>
      <w:r w:rsidRPr="00F63766">
        <w:t xml:space="preserve">whether the statement is part of normal advertising directed at maintaining or attracting customers </w:t>
      </w:r>
      <w:r w:rsidRPr="00F63766">
        <w:rPr>
          <w:b/>
          <w:i/>
          <w:sz w:val="18"/>
        </w:rPr>
        <w:t>[Schedule 1, Part 1, item 1</w:t>
      </w:r>
      <w:r w:rsidR="0053667A">
        <w:rPr>
          <w:b/>
          <w:i/>
          <w:sz w:val="18"/>
        </w:rPr>
        <w:t>4</w:t>
      </w:r>
      <w:r w:rsidRPr="00F63766">
        <w:rPr>
          <w:b/>
          <w:i/>
          <w:sz w:val="18"/>
        </w:rPr>
        <w:t>, paragraph</w:t>
      </w:r>
      <w:r w:rsidR="0053667A">
        <w:rPr>
          <w:b/>
          <w:i/>
          <w:sz w:val="18"/>
        </w:rPr>
        <w:t> </w:t>
      </w:r>
      <w:r w:rsidRPr="00F63766">
        <w:rPr>
          <w:b/>
          <w:i/>
          <w:sz w:val="18"/>
        </w:rPr>
        <w:t>738ZG(3)(c)]</w:t>
      </w:r>
      <w:r w:rsidR="00D32764">
        <w:rPr>
          <w:b/>
          <w:i/>
          <w:sz w:val="18"/>
        </w:rPr>
        <w:t>;</w:t>
      </w:r>
    </w:p>
    <w:p w14:paraId="3BC2EA04" w14:textId="7A027070" w:rsidR="00E27590" w:rsidRPr="00F63766" w:rsidRDefault="00E27590" w:rsidP="00085AD0">
      <w:pPr>
        <w:pStyle w:val="dotpoint"/>
      </w:pPr>
      <w:r w:rsidRPr="00F63766">
        <w:t>whether the statement contains information that deals with the affairs of the body</w:t>
      </w:r>
      <w:r w:rsidR="00947099">
        <w:t xml:space="preserve"> publishing the statement</w:t>
      </w:r>
      <w:r w:rsidRPr="00F63766">
        <w:t xml:space="preserve"> </w:t>
      </w:r>
      <w:r w:rsidRPr="00F63766">
        <w:rPr>
          <w:b/>
          <w:i/>
          <w:sz w:val="18"/>
        </w:rPr>
        <w:t>[Schedule 1, Part 1, item 1</w:t>
      </w:r>
      <w:r w:rsidR="00680481">
        <w:rPr>
          <w:b/>
          <w:i/>
          <w:sz w:val="18"/>
        </w:rPr>
        <w:t>4</w:t>
      </w:r>
      <w:r w:rsidRPr="00F63766">
        <w:rPr>
          <w:b/>
          <w:i/>
          <w:sz w:val="18"/>
        </w:rPr>
        <w:t>, paragraph</w:t>
      </w:r>
      <w:r w:rsidR="00680481">
        <w:rPr>
          <w:b/>
          <w:i/>
          <w:sz w:val="18"/>
        </w:rPr>
        <w:t> </w:t>
      </w:r>
      <w:r w:rsidRPr="00F63766">
        <w:rPr>
          <w:b/>
          <w:i/>
          <w:sz w:val="18"/>
        </w:rPr>
        <w:t>738ZG(3)(d)]</w:t>
      </w:r>
      <w:r w:rsidR="00680481">
        <w:rPr>
          <w:b/>
          <w:i/>
          <w:sz w:val="18"/>
        </w:rPr>
        <w:t xml:space="preserve">; </w:t>
      </w:r>
      <w:r w:rsidR="00680481" w:rsidRPr="00FF5264">
        <w:t>and</w:t>
      </w:r>
    </w:p>
    <w:p w14:paraId="562657EF" w14:textId="0F4E8612" w:rsidR="00E27590" w:rsidRPr="00F63766" w:rsidRDefault="00E27590" w:rsidP="00085AD0">
      <w:pPr>
        <w:pStyle w:val="dotpoint"/>
        <w:rPr>
          <w:i/>
        </w:rPr>
      </w:pPr>
      <w:proofErr w:type="gramStart"/>
      <w:r w:rsidRPr="00F63766">
        <w:t>whether</w:t>
      </w:r>
      <w:proofErr w:type="gramEnd"/>
      <w:r w:rsidRPr="00F63766">
        <w:t xml:space="preserve"> an investor </w:t>
      </w:r>
      <w:r w:rsidR="00D32764">
        <w:t>would likely</w:t>
      </w:r>
      <w:r w:rsidRPr="00F63766">
        <w:t xml:space="preserve"> be </w:t>
      </w:r>
      <w:r w:rsidR="00680481">
        <w:t xml:space="preserve">encouraged to invest in </w:t>
      </w:r>
      <w:r w:rsidRPr="00F63766">
        <w:t>the securities on the basis of the statement rather than the CSF offer document</w:t>
      </w:r>
      <w:r w:rsidR="00C655A1">
        <w:t xml:space="preserve"> </w:t>
      </w:r>
      <w:r w:rsidR="00C655A1" w:rsidRPr="00F63766">
        <w:rPr>
          <w:b/>
          <w:i/>
          <w:sz w:val="18"/>
        </w:rPr>
        <w:t>[Schedule</w:t>
      </w:r>
      <w:r w:rsidR="00C655A1">
        <w:rPr>
          <w:b/>
          <w:i/>
          <w:sz w:val="18"/>
        </w:rPr>
        <w:t> </w:t>
      </w:r>
      <w:r w:rsidR="00C655A1" w:rsidRPr="00F63766">
        <w:rPr>
          <w:b/>
          <w:i/>
          <w:sz w:val="18"/>
        </w:rPr>
        <w:t>1, Part 1, item 1</w:t>
      </w:r>
      <w:r w:rsidR="00C655A1">
        <w:rPr>
          <w:b/>
          <w:i/>
          <w:sz w:val="18"/>
        </w:rPr>
        <w:t>4</w:t>
      </w:r>
      <w:r w:rsidR="00C655A1" w:rsidRPr="00F63766">
        <w:rPr>
          <w:b/>
          <w:i/>
          <w:sz w:val="18"/>
        </w:rPr>
        <w:t>, paragraph</w:t>
      </w:r>
      <w:r w:rsidR="000C28F1">
        <w:rPr>
          <w:b/>
          <w:i/>
          <w:sz w:val="18"/>
        </w:rPr>
        <w:t> </w:t>
      </w:r>
      <w:r w:rsidR="00C655A1">
        <w:rPr>
          <w:b/>
          <w:i/>
          <w:sz w:val="18"/>
        </w:rPr>
        <w:t>7</w:t>
      </w:r>
      <w:r w:rsidR="00C655A1" w:rsidRPr="00F63766">
        <w:rPr>
          <w:b/>
          <w:i/>
          <w:sz w:val="18"/>
        </w:rPr>
        <w:t>38ZG(3)(e)]</w:t>
      </w:r>
      <w:r w:rsidRPr="00F63766">
        <w:t xml:space="preserve">. </w:t>
      </w:r>
      <w:r w:rsidR="00D31E6F">
        <w:t xml:space="preserve"> </w:t>
      </w:r>
      <w:r w:rsidRPr="00F63766">
        <w:t xml:space="preserve"> </w:t>
      </w:r>
    </w:p>
    <w:p w14:paraId="349ABFA6" w14:textId="5558675E" w:rsidR="00DF4B7D" w:rsidRPr="00C83906" w:rsidRDefault="000747E2" w:rsidP="00FF5264">
      <w:pPr>
        <w:pStyle w:val="Heading3"/>
      </w:pPr>
      <w:r>
        <w:t>Not within scope of</w:t>
      </w:r>
      <w:r w:rsidR="00DF4B7D">
        <w:t xml:space="preserve"> the advertising </w:t>
      </w:r>
      <w:r w:rsidR="001679CB">
        <w:t>restrictions</w:t>
      </w:r>
    </w:p>
    <w:p w14:paraId="13DDF9EA" w14:textId="692CE725" w:rsidR="00C05A12" w:rsidRDefault="007C57B7" w:rsidP="007C57B7">
      <w:pPr>
        <w:pStyle w:val="base-text-paragraph"/>
      </w:pPr>
      <w:r w:rsidRPr="00B724E8">
        <w:t>The ad</w:t>
      </w:r>
      <w:r>
        <w:t xml:space="preserve">vertising restrictions do not apply to the publication of a CSF offer, CSF offer document, or any other information relating to a CSF offer that is on the platform of the intermediary </w:t>
      </w:r>
      <w:r w:rsidRPr="00F63766">
        <w:rPr>
          <w:b/>
          <w:i/>
          <w:sz w:val="18"/>
        </w:rPr>
        <w:t>[Schedule</w:t>
      </w:r>
      <w:r>
        <w:rPr>
          <w:b/>
          <w:i/>
          <w:sz w:val="18"/>
        </w:rPr>
        <w:t> </w:t>
      </w:r>
      <w:r w:rsidRPr="00F63766">
        <w:rPr>
          <w:b/>
          <w:i/>
          <w:sz w:val="18"/>
        </w:rPr>
        <w:t>1, Part 1, item 1</w:t>
      </w:r>
      <w:r>
        <w:rPr>
          <w:b/>
          <w:i/>
          <w:sz w:val="18"/>
        </w:rPr>
        <w:t>4</w:t>
      </w:r>
      <w:r w:rsidRPr="00F63766">
        <w:rPr>
          <w:b/>
          <w:i/>
          <w:sz w:val="18"/>
        </w:rPr>
        <w:t xml:space="preserve">, </w:t>
      </w:r>
      <w:r w:rsidR="00CB4989">
        <w:rPr>
          <w:b/>
          <w:i/>
          <w:sz w:val="18"/>
        </w:rPr>
        <w:t xml:space="preserve">subsection 738L(4) and </w:t>
      </w:r>
      <w:r w:rsidRPr="00F63766">
        <w:rPr>
          <w:b/>
          <w:i/>
          <w:sz w:val="18"/>
        </w:rPr>
        <w:t>paragraph</w:t>
      </w:r>
      <w:r>
        <w:rPr>
          <w:b/>
          <w:i/>
          <w:sz w:val="18"/>
        </w:rPr>
        <w:t> 7</w:t>
      </w:r>
      <w:r w:rsidRPr="00F63766">
        <w:rPr>
          <w:b/>
          <w:i/>
          <w:sz w:val="18"/>
        </w:rPr>
        <w:t>38ZG(</w:t>
      </w:r>
      <w:r>
        <w:rPr>
          <w:b/>
          <w:i/>
          <w:sz w:val="18"/>
        </w:rPr>
        <w:t>2</w:t>
      </w:r>
      <w:r w:rsidRPr="00F63766">
        <w:rPr>
          <w:b/>
          <w:i/>
          <w:sz w:val="18"/>
        </w:rPr>
        <w:t>)(</w:t>
      </w:r>
      <w:r>
        <w:rPr>
          <w:b/>
          <w:i/>
          <w:sz w:val="18"/>
        </w:rPr>
        <w:t>a</w:t>
      </w:r>
      <w:r w:rsidRPr="00F63766">
        <w:rPr>
          <w:b/>
          <w:i/>
          <w:sz w:val="18"/>
        </w:rPr>
        <w:t>)]</w:t>
      </w:r>
      <w:r w:rsidRPr="00F63766">
        <w:t>.</w:t>
      </w:r>
      <w:r w:rsidR="00C05A12">
        <w:t xml:space="preserve"> </w:t>
      </w:r>
      <w:r w:rsidR="00230CC3">
        <w:t>In the absence of this carve</w:t>
      </w:r>
      <w:r w:rsidR="003232AA">
        <w:t> </w:t>
      </w:r>
      <w:r w:rsidR="00230CC3">
        <w:t>out</w:t>
      </w:r>
      <w:r w:rsidR="007B63C2">
        <w:t xml:space="preserve">, </w:t>
      </w:r>
      <w:r w:rsidR="00230CC3">
        <w:t>the intermediary would be required to include a statement that a person should, in deciding whether to make an application under the offer, c</w:t>
      </w:r>
      <w:r w:rsidR="00230CC3" w:rsidRPr="00F63766">
        <w:t xml:space="preserve">onsider the CSF offer document and </w:t>
      </w:r>
      <w:r w:rsidR="00230CC3">
        <w:t xml:space="preserve">general </w:t>
      </w:r>
      <w:r w:rsidR="00230CC3" w:rsidRPr="00F63766">
        <w:t>CSF risk warning</w:t>
      </w:r>
      <w:r w:rsidR="003232AA">
        <w:t xml:space="preserve"> (refer to paragraphs 6.37 to 6.40)</w:t>
      </w:r>
      <w:r w:rsidR="00230CC3">
        <w:t xml:space="preserve">. However, it </w:t>
      </w:r>
      <w:r w:rsidR="005219F9">
        <w:t>would be</w:t>
      </w:r>
      <w:r w:rsidR="009B5084">
        <w:t xml:space="preserve"> </w:t>
      </w:r>
      <w:r w:rsidR="00250342">
        <w:t xml:space="preserve">unnecessary </w:t>
      </w:r>
      <w:r w:rsidR="0028317F">
        <w:t xml:space="preserve">to </w:t>
      </w:r>
      <w:r w:rsidR="006D0CB2">
        <w:t>include a statement directing a person’s</w:t>
      </w:r>
      <w:r w:rsidR="0028317F">
        <w:t xml:space="preserve"> attention to the offer document and the</w:t>
      </w:r>
      <w:r w:rsidR="00263B4A">
        <w:t xml:space="preserve"> general CSF</w:t>
      </w:r>
      <w:r w:rsidR="0028317F">
        <w:t xml:space="preserve"> risk warning given, in order to read the statement, </w:t>
      </w:r>
      <w:r w:rsidR="006D0CB2">
        <w:t>the person</w:t>
      </w:r>
      <w:r w:rsidR="0028317F">
        <w:t xml:space="preserve"> would</w:t>
      </w:r>
      <w:r w:rsidR="00233DE0">
        <w:t xml:space="preserve"> already</w:t>
      </w:r>
      <w:r w:rsidR="0028317F">
        <w:t xml:space="preserve"> have to be viewing the offer platform which would </w:t>
      </w:r>
      <w:r w:rsidR="00473209">
        <w:t xml:space="preserve">itself already display </w:t>
      </w:r>
      <w:r w:rsidR="00230CC3">
        <w:t xml:space="preserve">the CSF offer document and </w:t>
      </w:r>
      <w:r w:rsidR="00473209">
        <w:t xml:space="preserve">general CSF </w:t>
      </w:r>
      <w:r w:rsidR="00230CC3">
        <w:t>risk warning</w:t>
      </w:r>
      <w:r w:rsidR="00473209">
        <w:t xml:space="preserve">. </w:t>
      </w:r>
      <w:r w:rsidR="004B365C">
        <w:t xml:space="preserve"> </w:t>
      </w:r>
    </w:p>
    <w:p w14:paraId="4FF5EBF7" w14:textId="459FCC78" w:rsidR="009610D7" w:rsidRDefault="00C05A12" w:rsidP="009610D7">
      <w:pPr>
        <w:pStyle w:val="base-text-paragraph"/>
      </w:pPr>
      <w:r>
        <w:t xml:space="preserve">However, </w:t>
      </w:r>
      <w:r w:rsidR="005D0935">
        <w:t xml:space="preserve">the Bill provides that </w:t>
      </w:r>
      <w:r>
        <w:t xml:space="preserve">statements made on a communication facility, even where the </w:t>
      </w:r>
      <w:r w:rsidR="00182B78">
        <w:t xml:space="preserve">communication </w:t>
      </w:r>
      <w:r>
        <w:t xml:space="preserve">facility is </w:t>
      </w:r>
      <w:r w:rsidR="00182B78">
        <w:t>part of</w:t>
      </w:r>
      <w:r>
        <w:t xml:space="preserve"> the offer platform, will remain subject to the advertising restrictions</w:t>
      </w:r>
      <w:r w:rsidR="009610D7">
        <w:t xml:space="preserve"> </w:t>
      </w:r>
      <w:r w:rsidR="009610D7" w:rsidRPr="00F63766">
        <w:rPr>
          <w:b/>
          <w:i/>
          <w:sz w:val="18"/>
        </w:rPr>
        <w:t>[Schedule</w:t>
      </w:r>
      <w:r w:rsidR="009610D7">
        <w:rPr>
          <w:b/>
          <w:i/>
          <w:sz w:val="18"/>
        </w:rPr>
        <w:t> </w:t>
      </w:r>
      <w:r w:rsidR="009610D7" w:rsidRPr="00F63766">
        <w:rPr>
          <w:b/>
          <w:i/>
          <w:sz w:val="18"/>
        </w:rPr>
        <w:t>1, Part 1, item 1</w:t>
      </w:r>
      <w:r w:rsidR="009610D7">
        <w:rPr>
          <w:b/>
          <w:i/>
          <w:sz w:val="18"/>
        </w:rPr>
        <w:t>4</w:t>
      </w:r>
      <w:r w:rsidR="009610D7" w:rsidRPr="00F63766">
        <w:rPr>
          <w:b/>
          <w:i/>
          <w:sz w:val="18"/>
        </w:rPr>
        <w:t xml:space="preserve">, </w:t>
      </w:r>
      <w:r w:rsidR="009610D7">
        <w:rPr>
          <w:b/>
          <w:i/>
          <w:sz w:val="18"/>
        </w:rPr>
        <w:t>subsection </w:t>
      </w:r>
      <w:proofErr w:type="gramStart"/>
      <w:r w:rsidR="009610D7">
        <w:rPr>
          <w:b/>
          <w:i/>
          <w:sz w:val="18"/>
        </w:rPr>
        <w:t>7</w:t>
      </w:r>
      <w:r w:rsidR="009610D7" w:rsidRPr="00F63766">
        <w:rPr>
          <w:b/>
          <w:i/>
          <w:sz w:val="18"/>
        </w:rPr>
        <w:t>38ZG(</w:t>
      </w:r>
      <w:proofErr w:type="gramEnd"/>
      <w:r w:rsidR="009610D7">
        <w:rPr>
          <w:b/>
          <w:i/>
          <w:sz w:val="18"/>
        </w:rPr>
        <w:t>2)</w:t>
      </w:r>
      <w:r w:rsidR="009610D7" w:rsidRPr="00F63766">
        <w:rPr>
          <w:b/>
          <w:i/>
          <w:sz w:val="18"/>
        </w:rPr>
        <w:t>]</w:t>
      </w:r>
      <w:r w:rsidR="009610D7" w:rsidRPr="00F63766">
        <w:t>.</w:t>
      </w:r>
      <w:r w:rsidR="009610D7">
        <w:t xml:space="preserve">  </w:t>
      </w:r>
      <w:r w:rsidR="005C5774">
        <w:t xml:space="preserve">There is a separate exception </w:t>
      </w:r>
      <w:r w:rsidR="0069327F">
        <w:t xml:space="preserve">to </w:t>
      </w:r>
      <w:r w:rsidR="005C5774">
        <w:t xml:space="preserve">the advertising rules </w:t>
      </w:r>
      <w:r w:rsidR="00853069">
        <w:t xml:space="preserve">that applies </w:t>
      </w:r>
      <w:r w:rsidR="005C5774">
        <w:t>for statements made in good faith</w:t>
      </w:r>
      <w:r w:rsidR="00853069">
        <w:t xml:space="preserve"> on the communication facility, </w:t>
      </w:r>
      <w:r w:rsidR="0069327F">
        <w:t xml:space="preserve">discussed at </w:t>
      </w:r>
      <w:r w:rsidR="0069327F" w:rsidRPr="001E11CA">
        <w:t xml:space="preserve">paragraphs </w:t>
      </w:r>
      <w:r w:rsidR="00591AEC" w:rsidRPr="001E11CA">
        <w:t>6.48 to 6.52</w:t>
      </w:r>
      <w:r w:rsidR="003C1BF5">
        <w:t>.</w:t>
      </w:r>
    </w:p>
    <w:p w14:paraId="5837D294" w14:textId="77777777" w:rsidR="00CE7D90" w:rsidRDefault="00CE7D90">
      <w:pPr>
        <w:spacing w:before="0" w:after="0"/>
      </w:pPr>
      <w:r>
        <w:br w:type="page"/>
      </w:r>
    </w:p>
    <w:p w14:paraId="3A499083" w14:textId="7FDADFD3" w:rsidR="00B1204B" w:rsidRDefault="00182B78" w:rsidP="007C57B7">
      <w:pPr>
        <w:pStyle w:val="base-text-paragraph"/>
      </w:pPr>
      <w:r>
        <w:t xml:space="preserve">The advertising restrictions do not apply to </w:t>
      </w:r>
      <w:r w:rsidR="00B1204B">
        <w:t>advertisement</w:t>
      </w:r>
      <w:r w:rsidR="00545993">
        <w:t>s</w:t>
      </w:r>
      <w:r w:rsidR="00B1204B">
        <w:t xml:space="preserve"> </w:t>
      </w:r>
      <w:r>
        <w:t>or publication</w:t>
      </w:r>
      <w:r w:rsidR="00545993">
        <w:t>s</w:t>
      </w:r>
      <w:r>
        <w:t xml:space="preserve"> that do not refer to particular CSF offer</w:t>
      </w:r>
      <w:r w:rsidR="00317689">
        <w:t>s</w:t>
      </w:r>
      <w:r>
        <w:t xml:space="preserve"> or </w:t>
      </w:r>
      <w:r w:rsidR="00FC0846">
        <w:t xml:space="preserve">intended </w:t>
      </w:r>
      <w:r w:rsidR="00B1204B">
        <w:t>offer</w:t>
      </w:r>
      <w:r w:rsidR="00317689">
        <w:t>s</w:t>
      </w:r>
      <w:r w:rsidR="00B1204B">
        <w:t xml:space="preserve"> and that do either or both of the following:</w:t>
      </w:r>
    </w:p>
    <w:p w14:paraId="21BEA7D9" w14:textId="654D5F91" w:rsidR="007C57B7" w:rsidRDefault="00B1204B" w:rsidP="00FF5264">
      <w:pPr>
        <w:pStyle w:val="dotpoint"/>
      </w:pPr>
      <w:r>
        <w:t xml:space="preserve">identify a person as a CSF intermediary;  </w:t>
      </w:r>
    </w:p>
    <w:p w14:paraId="546C9999" w14:textId="60F55233" w:rsidR="00B1204B" w:rsidRDefault="00B1204B">
      <w:pPr>
        <w:pStyle w:val="dotpoint"/>
      </w:pPr>
      <w:proofErr w:type="gramStart"/>
      <w:r>
        <w:t>provide</w:t>
      </w:r>
      <w:proofErr w:type="gramEnd"/>
      <w:r>
        <w:t xml:space="preserve"> general information about the intermediary’s CSF services.</w:t>
      </w:r>
      <w:r w:rsidR="007F0CAF">
        <w:t xml:space="preserve"> </w:t>
      </w:r>
      <w:r w:rsidR="007F0CAF" w:rsidRPr="00F63766">
        <w:rPr>
          <w:b/>
          <w:i/>
          <w:sz w:val="18"/>
        </w:rPr>
        <w:t>[Schedule</w:t>
      </w:r>
      <w:r w:rsidR="007F0CAF">
        <w:rPr>
          <w:b/>
          <w:i/>
          <w:sz w:val="18"/>
        </w:rPr>
        <w:t> </w:t>
      </w:r>
      <w:r w:rsidR="007F0CAF" w:rsidRPr="00F63766">
        <w:rPr>
          <w:b/>
          <w:i/>
          <w:sz w:val="18"/>
        </w:rPr>
        <w:t>1, Part 1, item 1</w:t>
      </w:r>
      <w:r w:rsidR="007F0CAF">
        <w:rPr>
          <w:b/>
          <w:i/>
          <w:sz w:val="18"/>
        </w:rPr>
        <w:t>4</w:t>
      </w:r>
      <w:r w:rsidR="007F0CAF" w:rsidRPr="00F63766">
        <w:rPr>
          <w:b/>
          <w:i/>
          <w:sz w:val="18"/>
        </w:rPr>
        <w:t xml:space="preserve">, </w:t>
      </w:r>
      <w:r w:rsidR="007F0CAF">
        <w:rPr>
          <w:b/>
          <w:i/>
          <w:sz w:val="18"/>
        </w:rPr>
        <w:t>paragraph 7</w:t>
      </w:r>
      <w:r w:rsidR="007F0CAF" w:rsidRPr="00F63766">
        <w:rPr>
          <w:b/>
          <w:i/>
          <w:sz w:val="18"/>
        </w:rPr>
        <w:t>38ZG(</w:t>
      </w:r>
      <w:r w:rsidR="007F0CAF">
        <w:rPr>
          <w:b/>
          <w:i/>
          <w:sz w:val="18"/>
        </w:rPr>
        <w:t>2)(b)</w:t>
      </w:r>
      <w:r w:rsidR="007F0CAF" w:rsidRPr="00F63766">
        <w:rPr>
          <w:b/>
          <w:i/>
          <w:sz w:val="18"/>
        </w:rPr>
        <w:t>]</w:t>
      </w:r>
      <w:r>
        <w:t xml:space="preserve">  </w:t>
      </w:r>
    </w:p>
    <w:p w14:paraId="3E50B134" w14:textId="257730D2" w:rsidR="00C05A12" w:rsidRDefault="009C70C9" w:rsidP="007C57B7">
      <w:pPr>
        <w:pStyle w:val="base-text-paragraph"/>
      </w:pPr>
      <w:r>
        <w:t>This exclusion from the advertising restrictions is</w:t>
      </w:r>
      <w:r w:rsidR="001679CB">
        <w:t xml:space="preserve"> to </w:t>
      </w:r>
      <w:r w:rsidR="00DA76DB">
        <w:t xml:space="preserve">permit the intermediary to advertise its </w:t>
      </w:r>
      <w:r w:rsidR="00942081">
        <w:t>intermediation</w:t>
      </w:r>
      <w:r w:rsidR="00A733C3">
        <w:t xml:space="preserve"> </w:t>
      </w:r>
      <w:r w:rsidR="00DA76DB">
        <w:t>services</w:t>
      </w:r>
      <w:r w:rsidR="00C66C89">
        <w:t xml:space="preserve">. </w:t>
      </w:r>
    </w:p>
    <w:p w14:paraId="3CC38652" w14:textId="39BB4BCA" w:rsidR="00FD132C" w:rsidRDefault="00FD132C" w:rsidP="00FF5264">
      <w:pPr>
        <w:pStyle w:val="Heading3"/>
      </w:pPr>
      <w:r>
        <w:t xml:space="preserve">Exceptions </w:t>
      </w:r>
      <w:r w:rsidR="009C0A32">
        <w:t>to</w:t>
      </w:r>
      <w:r>
        <w:t xml:space="preserve"> the advertising </w:t>
      </w:r>
      <w:r w:rsidR="00692ACC">
        <w:t>restrictions</w:t>
      </w:r>
    </w:p>
    <w:p w14:paraId="141FB17F" w14:textId="717EE1EB" w:rsidR="00E27590" w:rsidRPr="00F63766" w:rsidRDefault="00E27590">
      <w:pPr>
        <w:pStyle w:val="base-text-paragraph"/>
        <w:rPr>
          <w:i/>
        </w:rPr>
      </w:pPr>
      <w:r w:rsidRPr="00F63766">
        <w:t xml:space="preserve">The Bill </w:t>
      </w:r>
      <w:r w:rsidR="00692742">
        <w:t>sets out</w:t>
      </w:r>
      <w:r w:rsidR="00692742" w:rsidRPr="00F63766">
        <w:t xml:space="preserve"> </w:t>
      </w:r>
      <w:r w:rsidRPr="00F63766">
        <w:t xml:space="preserve">some </w:t>
      </w:r>
      <w:r w:rsidR="003E7C93" w:rsidRPr="00F63766">
        <w:t>e</w:t>
      </w:r>
      <w:r w:rsidR="003E7C93">
        <w:t>xception</w:t>
      </w:r>
      <w:r w:rsidR="003E7C93" w:rsidRPr="00F63766">
        <w:t xml:space="preserve">s </w:t>
      </w:r>
      <w:r w:rsidRPr="00F63766">
        <w:t xml:space="preserve">to the advertising </w:t>
      </w:r>
      <w:r w:rsidR="003E7C93">
        <w:t xml:space="preserve">restrictions. </w:t>
      </w:r>
      <w:r w:rsidR="007F0CAF" w:rsidRPr="00F63766">
        <w:rPr>
          <w:b/>
          <w:i/>
          <w:sz w:val="18"/>
        </w:rPr>
        <w:t>[Schedule</w:t>
      </w:r>
      <w:r w:rsidR="007F0CAF">
        <w:rPr>
          <w:b/>
          <w:i/>
          <w:sz w:val="18"/>
        </w:rPr>
        <w:t> </w:t>
      </w:r>
      <w:r w:rsidR="007F0CAF" w:rsidRPr="00F63766">
        <w:rPr>
          <w:b/>
          <w:i/>
          <w:sz w:val="18"/>
        </w:rPr>
        <w:t>1, Part 1, item 1</w:t>
      </w:r>
      <w:r w:rsidR="007F0CAF">
        <w:rPr>
          <w:b/>
          <w:i/>
          <w:sz w:val="18"/>
        </w:rPr>
        <w:t>4</w:t>
      </w:r>
      <w:r w:rsidR="007F0CAF" w:rsidRPr="00F63766">
        <w:rPr>
          <w:b/>
          <w:i/>
          <w:sz w:val="18"/>
        </w:rPr>
        <w:t xml:space="preserve">, </w:t>
      </w:r>
      <w:r w:rsidR="007F0CAF">
        <w:rPr>
          <w:b/>
          <w:i/>
          <w:sz w:val="18"/>
        </w:rPr>
        <w:t>section 7</w:t>
      </w:r>
      <w:r w:rsidR="007F0CAF" w:rsidRPr="00F63766">
        <w:rPr>
          <w:b/>
          <w:i/>
          <w:sz w:val="18"/>
        </w:rPr>
        <w:t>38ZG(</w:t>
      </w:r>
      <w:r w:rsidR="007F0CAF">
        <w:rPr>
          <w:b/>
          <w:i/>
          <w:sz w:val="18"/>
        </w:rPr>
        <w:t>4)</w:t>
      </w:r>
      <w:r w:rsidR="007F0CAF" w:rsidRPr="00F63766">
        <w:rPr>
          <w:b/>
          <w:i/>
          <w:sz w:val="18"/>
        </w:rPr>
        <w:t>]</w:t>
      </w:r>
      <w:r w:rsidR="003E7C93">
        <w:t xml:space="preserve"> </w:t>
      </w:r>
      <w:r w:rsidRPr="00F63766">
        <w:t xml:space="preserve"> </w:t>
      </w:r>
    </w:p>
    <w:p w14:paraId="057A0900" w14:textId="042380F8" w:rsidR="00E27590" w:rsidRPr="00F63766" w:rsidRDefault="007D234A" w:rsidP="00E27590">
      <w:pPr>
        <w:pStyle w:val="Heading4"/>
      </w:pPr>
      <w:r>
        <w:t>Advertisement includes a statement that a person must</w:t>
      </w:r>
      <w:r w:rsidR="007223EE">
        <w:t>, in deciding whether to invest in the CSF offer,</w:t>
      </w:r>
      <w:r>
        <w:t xml:space="preserve"> </w:t>
      </w:r>
      <w:r w:rsidR="007223EE">
        <w:t xml:space="preserve">consider </w:t>
      </w:r>
      <w:r>
        <w:t>the CSF offer document and risk warning</w:t>
      </w:r>
    </w:p>
    <w:p w14:paraId="6C05335C" w14:textId="0838E31F" w:rsidR="0046689F" w:rsidRPr="00FF5264" w:rsidRDefault="00F33C79" w:rsidP="00FF5264">
      <w:pPr>
        <w:pStyle w:val="base-text-paragraph"/>
        <w:rPr>
          <w:u w:val="single"/>
        </w:rPr>
      </w:pPr>
      <w:r>
        <w:t xml:space="preserve">An advertisement or publication will not contravene the advertising restrictions where the advertisement or publication </w:t>
      </w:r>
      <w:r w:rsidR="00A4651B" w:rsidRPr="00F63766">
        <w:t>include</w:t>
      </w:r>
      <w:r w:rsidR="00CB519F" w:rsidRPr="00F63766">
        <w:t>s</w:t>
      </w:r>
      <w:r w:rsidR="00A4651B" w:rsidRPr="00F63766">
        <w:t xml:space="preserve"> a </w:t>
      </w:r>
      <w:r w:rsidR="00E27590" w:rsidRPr="00F63766">
        <w:t xml:space="preserve">statement that </w:t>
      </w:r>
      <w:r w:rsidR="009A75E1" w:rsidRPr="00F63766">
        <w:t xml:space="preserve">a person </w:t>
      </w:r>
      <w:r w:rsidR="0046689F">
        <w:t>should, in deciding whether to make an application under the offer, c</w:t>
      </w:r>
      <w:r w:rsidR="009A75E1" w:rsidRPr="00F63766">
        <w:t xml:space="preserve">onsider the CSF offer document and </w:t>
      </w:r>
      <w:r w:rsidR="009177E2">
        <w:t xml:space="preserve">general </w:t>
      </w:r>
      <w:r w:rsidR="009A75E1" w:rsidRPr="00F63766">
        <w:t>CSF risk warning</w:t>
      </w:r>
      <w:r w:rsidR="0046689F">
        <w:t xml:space="preserve">.  </w:t>
      </w:r>
      <w:r w:rsidR="001225E0" w:rsidRPr="00F63766">
        <w:rPr>
          <w:b/>
          <w:i/>
          <w:sz w:val="18"/>
        </w:rPr>
        <w:t xml:space="preserve">[Schedule 1, Part 1, </w:t>
      </w:r>
      <w:r w:rsidR="001225E0">
        <w:rPr>
          <w:b/>
          <w:i/>
          <w:sz w:val="18"/>
        </w:rPr>
        <w:t>item 14</w:t>
      </w:r>
      <w:r w:rsidR="001225E0" w:rsidRPr="00F63766">
        <w:rPr>
          <w:b/>
          <w:i/>
          <w:sz w:val="18"/>
        </w:rPr>
        <w:t>, subsection 738ZG(</w:t>
      </w:r>
      <w:r w:rsidR="001225E0">
        <w:rPr>
          <w:b/>
          <w:i/>
          <w:sz w:val="18"/>
        </w:rPr>
        <w:t>6</w:t>
      </w:r>
      <w:r w:rsidR="001225E0" w:rsidRPr="00F63766">
        <w:rPr>
          <w:b/>
          <w:i/>
          <w:sz w:val="18"/>
        </w:rPr>
        <w:t>)]</w:t>
      </w:r>
    </w:p>
    <w:p w14:paraId="0DD59A30" w14:textId="7113FF2D" w:rsidR="000A10CA" w:rsidRPr="00FF5264" w:rsidRDefault="00CD72EF">
      <w:pPr>
        <w:pStyle w:val="base-text-paragraph"/>
        <w:rPr>
          <w:u w:val="single"/>
        </w:rPr>
      </w:pPr>
      <w:r>
        <w:t>The same requirements apply whether the advertisement is in relation to an open CSF offer</w:t>
      </w:r>
      <w:r w:rsidR="0048331D">
        <w:t xml:space="preserve"> (one where the </w:t>
      </w:r>
      <w:r w:rsidR="00F86B33">
        <w:t xml:space="preserve">CSF </w:t>
      </w:r>
      <w:r w:rsidR="0048331D">
        <w:t>offer document has been published)</w:t>
      </w:r>
      <w:r>
        <w:t xml:space="preserve"> or an intended offer. This is different to how advertisement</w:t>
      </w:r>
      <w:r w:rsidR="00CF64EF">
        <w:t>s</w:t>
      </w:r>
      <w:r>
        <w:t xml:space="preserve"> relating to offers </w:t>
      </w:r>
      <w:r w:rsidR="003E3594">
        <w:t>of a</w:t>
      </w:r>
      <w:r w:rsidR="00AA04CF">
        <w:t>n un</w:t>
      </w:r>
      <w:r w:rsidR="003E3594">
        <w:t xml:space="preserve">listed company </w:t>
      </w:r>
      <w:r>
        <w:t xml:space="preserve">are treated: </w:t>
      </w:r>
      <w:r w:rsidR="00CF64EF">
        <w:t xml:space="preserve">an </w:t>
      </w:r>
      <w:r>
        <w:t xml:space="preserve">advertisement </w:t>
      </w:r>
      <w:r w:rsidR="000F1DA3">
        <w:t>made before the</w:t>
      </w:r>
      <w:r>
        <w:t xml:space="preserve"> disclosure document has been lodged with ASIC is subject to stricter controls regarding what can be included in the </w:t>
      </w:r>
      <w:r w:rsidR="003D34FE">
        <w:t>advertisement</w:t>
      </w:r>
      <w:r w:rsidR="00964DC3">
        <w:t xml:space="preserve"> than </w:t>
      </w:r>
      <w:r w:rsidR="003E3594">
        <w:t xml:space="preserve">an advertisement </w:t>
      </w:r>
      <w:r w:rsidR="000F1DA3">
        <w:t xml:space="preserve">made </w:t>
      </w:r>
      <w:r w:rsidR="00964DC3">
        <w:t xml:space="preserve">after the disclosure document </w:t>
      </w:r>
      <w:r w:rsidR="000B57CF">
        <w:t>has been</w:t>
      </w:r>
      <w:r w:rsidR="00964DC3">
        <w:t xml:space="preserve"> lodged (paragraph 734(5)(b) compared with subsection 734(6))</w:t>
      </w:r>
      <w:r w:rsidR="003D34FE">
        <w:t xml:space="preserve">. </w:t>
      </w:r>
      <w:r w:rsidR="000A10CA">
        <w:t xml:space="preserve"> </w:t>
      </w:r>
    </w:p>
    <w:p w14:paraId="5C252148" w14:textId="35067C8C" w:rsidR="00CD72EF" w:rsidRPr="00FF5264" w:rsidRDefault="000A10CA">
      <w:pPr>
        <w:pStyle w:val="base-text-paragraph"/>
        <w:rPr>
          <w:u w:val="single"/>
        </w:rPr>
      </w:pPr>
      <w:r>
        <w:t>The rationale for relaxing some of the advertising restrictions applying to intended offers is that the CSF regime builds in certain investor protections</w:t>
      </w:r>
      <w:r w:rsidR="00431DD6">
        <w:t>, for example,</w:t>
      </w:r>
      <w:r>
        <w:t xml:space="preserve"> </w:t>
      </w:r>
      <w:r w:rsidR="00431DD6">
        <w:t xml:space="preserve">that </w:t>
      </w:r>
      <w:r>
        <w:t xml:space="preserve">applications can only be made via the platform of an intermediary </w:t>
      </w:r>
      <w:r w:rsidR="00431DD6">
        <w:t xml:space="preserve">that </w:t>
      </w:r>
      <w:r>
        <w:t>is required to prominently display important information for investors (such as the</w:t>
      </w:r>
      <w:r w:rsidR="00A51B92">
        <w:t xml:space="preserve"> CSF offer document and</w:t>
      </w:r>
      <w:r>
        <w:t xml:space="preserve"> risk warning)</w:t>
      </w:r>
      <w:r w:rsidR="004C0E12">
        <w:t>.  The regime also</w:t>
      </w:r>
      <w:r>
        <w:t xml:space="preserve"> provides </w:t>
      </w:r>
      <w:r w:rsidR="004C0E12">
        <w:t xml:space="preserve">additional </w:t>
      </w:r>
      <w:r>
        <w:t xml:space="preserve">protections for retail investors (such as the </w:t>
      </w:r>
      <w:r w:rsidR="004C0E12">
        <w:t xml:space="preserve">unconditional </w:t>
      </w:r>
      <w:r>
        <w:t>cooling-off rights)</w:t>
      </w:r>
      <w:r w:rsidR="00683023">
        <w:t xml:space="preserve">. </w:t>
      </w:r>
    </w:p>
    <w:p w14:paraId="02EC68A1" w14:textId="77777777" w:rsidR="003A1462" w:rsidRDefault="003A1462">
      <w:pPr>
        <w:spacing w:before="0" w:after="0"/>
      </w:pPr>
      <w:r>
        <w:br w:type="page"/>
      </w:r>
    </w:p>
    <w:p w14:paraId="7DEBDDA0" w14:textId="58A0099F" w:rsidR="00C9783D" w:rsidRPr="00C9783D" w:rsidRDefault="00C9783D">
      <w:pPr>
        <w:pStyle w:val="base-text-paragraph"/>
      </w:pPr>
      <w:r w:rsidRPr="00C9783D">
        <w:t xml:space="preserve">Where </w:t>
      </w:r>
      <w:r>
        <w:t>the advertisement or publication does not include the required statement (and no other exceptions apply), the person advertising or publishing the statement will commit an offence</w:t>
      </w:r>
      <w:r w:rsidR="00987A3C">
        <w:t xml:space="preserve"> </w:t>
      </w:r>
      <w:r w:rsidR="00427507" w:rsidRPr="00685029">
        <w:t xml:space="preserve">(refer </w:t>
      </w:r>
      <w:r w:rsidR="00427507">
        <w:t xml:space="preserve">to </w:t>
      </w:r>
      <w:r w:rsidR="00427507" w:rsidRPr="001E11CA">
        <w:t>paragraphs</w:t>
      </w:r>
      <w:r w:rsidR="00C9046D" w:rsidRPr="001E11CA">
        <w:t> </w:t>
      </w:r>
      <w:r w:rsidR="00427507" w:rsidRPr="001E11CA">
        <w:t>6.57 to 6.59</w:t>
      </w:r>
      <w:r w:rsidR="00427507" w:rsidRPr="00685029">
        <w:t>).</w:t>
      </w:r>
      <w:r w:rsidR="00427507">
        <w:t xml:space="preserve"> </w:t>
      </w:r>
      <w:r>
        <w:t xml:space="preserve"> </w:t>
      </w:r>
    </w:p>
    <w:p w14:paraId="0E1A2E0D" w14:textId="2DFA2F2A" w:rsidR="00E27590" w:rsidRPr="00F63766" w:rsidRDefault="009D5256" w:rsidP="00E27590">
      <w:pPr>
        <w:pStyle w:val="Heading4"/>
      </w:pPr>
      <w:r>
        <w:t>Exception for publishers</w:t>
      </w:r>
    </w:p>
    <w:p w14:paraId="1D656ABD" w14:textId="023963D5" w:rsidR="00E27590" w:rsidRPr="00F63766" w:rsidRDefault="00B02863" w:rsidP="00E27590">
      <w:pPr>
        <w:numPr>
          <w:ilvl w:val="1"/>
          <w:numId w:val="33"/>
        </w:numPr>
      </w:pPr>
      <w:r w:rsidRPr="00F63766">
        <w:t>M</w:t>
      </w:r>
      <w:r w:rsidR="00E27590" w:rsidRPr="00F63766">
        <w:t xml:space="preserve">edia businesses </w:t>
      </w:r>
      <w:r w:rsidR="00593BC3">
        <w:t>that</w:t>
      </w:r>
      <w:r w:rsidR="00E27590" w:rsidRPr="00F63766">
        <w:t xml:space="preserve"> publish an advertisement in the ordinary course of their business</w:t>
      </w:r>
      <w:r w:rsidRPr="00F63766">
        <w:t xml:space="preserve"> are </w:t>
      </w:r>
      <w:r w:rsidR="00651B7F">
        <w:t>not subject to</w:t>
      </w:r>
      <w:r w:rsidRPr="00F63766">
        <w:t xml:space="preserve"> the advertising restrictions</w:t>
      </w:r>
      <w:r w:rsidR="00E27590" w:rsidRPr="00F63766">
        <w:t xml:space="preserve">. The </w:t>
      </w:r>
      <w:r w:rsidR="00F83D15">
        <w:t>exception</w:t>
      </w:r>
      <w:r w:rsidR="00F83D15" w:rsidRPr="00F63766">
        <w:t xml:space="preserve"> </w:t>
      </w:r>
      <w:r w:rsidR="00E27590" w:rsidRPr="00F63766">
        <w:t xml:space="preserve">only applies if the media business does not know and does not suspect that the publication would breach the advertising </w:t>
      </w:r>
      <w:r w:rsidR="00734CB5">
        <w:t xml:space="preserve">restrictions. </w:t>
      </w:r>
      <w:r w:rsidR="00E27590" w:rsidRPr="00F63766">
        <w:rPr>
          <w:b/>
          <w:i/>
          <w:sz w:val="18"/>
        </w:rPr>
        <w:t xml:space="preserve">[Schedule 1, Part 1, </w:t>
      </w:r>
      <w:r w:rsidR="004C3043">
        <w:rPr>
          <w:b/>
          <w:i/>
          <w:sz w:val="18"/>
        </w:rPr>
        <w:t>item 14</w:t>
      </w:r>
      <w:r w:rsidR="00E27590" w:rsidRPr="00F63766">
        <w:rPr>
          <w:b/>
          <w:i/>
          <w:sz w:val="18"/>
        </w:rPr>
        <w:t xml:space="preserve">, </w:t>
      </w:r>
      <w:r w:rsidR="0035453B" w:rsidRPr="00F63766">
        <w:rPr>
          <w:b/>
          <w:i/>
          <w:sz w:val="18"/>
        </w:rPr>
        <w:t>subsection </w:t>
      </w:r>
      <w:r w:rsidR="00E27590" w:rsidRPr="00F63766">
        <w:rPr>
          <w:b/>
          <w:i/>
          <w:sz w:val="18"/>
        </w:rPr>
        <w:t>738ZG(</w:t>
      </w:r>
      <w:r w:rsidR="004E2641">
        <w:rPr>
          <w:b/>
          <w:i/>
          <w:sz w:val="18"/>
        </w:rPr>
        <w:t>7</w:t>
      </w:r>
      <w:r w:rsidR="00E27590" w:rsidRPr="00F63766">
        <w:rPr>
          <w:b/>
          <w:i/>
          <w:sz w:val="18"/>
        </w:rPr>
        <w:t>)]</w:t>
      </w:r>
    </w:p>
    <w:p w14:paraId="56BC891C" w14:textId="06510623" w:rsidR="00E27590" w:rsidRPr="00F63766" w:rsidRDefault="00E27590" w:rsidP="00E27590">
      <w:pPr>
        <w:numPr>
          <w:ilvl w:val="1"/>
          <w:numId w:val="33"/>
        </w:numPr>
      </w:pPr>
      <w:r w:rsidRPr="00F63766">
        <w:t xml:space="preserve">The </w:t>
      </w:r>
      <w:r w:rsidR="00087602">
        <w:t>exception</w:t>
      </w:r>
      <w:r w:rsidR="00087602" w:rsidRPr="00F63766">
        <w:t xml:space="preserve"> </w:t>
      </w:r>
      <w:r w:rsidRPr="00F63766">
        <w:t>only applies in relation to media business</w:t>
      </w:r>
      <w:r w:rsidR="00DB3EEC" w:rsidRPr="00F63766">
        <w:t>es</w:t>
      </w:r>
      <w:r w:rsidRPr="00F63766">
        <w:t xml:space="preserve"> </w:t>
      </w:r>
      <w:r w:rsidR="0047274F">
        <w:t>that are</w:t>
      </w:r>
      <w:r w:rsidRPr="00F63766">
        <w:t xml:space="preserve"> newspaper</w:t>
      </w:r>
      <w:r w:rsidR="0047274F">
        <w:t>s,</w:t>
      </w:r>
      <w:r w:rsidRPr="00F63766">
        <w:t xml:space="preserve"> magazines, radio and television broadcasters, and their electronic equivalents. </w:t>
      </w:r>
      <w:r w:rsidRPr="00F63766">
        <w:rPr>
          <w:b/>
          <w:i/>
          <w:sz w:val="18"/>
        </w:rPr>
        <w:t xml:space="preserve">[Schedule 1, Part 1, </w:t>
      </w:r>
      <w:r w:rsidR="004C3043">
        <w:rPr>
          <w:b/>
          <w:i/>
          <w:sz w:val="18"/>
        </w:rPr>
        <w:t>item 14</w:t>
      </w:r>
      <w:r w:rsidRPr="00F63766">
        <w:rPr>
          <w:b/>
          <w:i/>
          <w:sz w:val="18"/>
        </w:rPr>
        <w:t xml:space="preserve">, </w:t>
      </w:r>
      <w:r w:rsidR="006C74A1" w:rsidRPr="00F63766">
        <w:rPr>
          <w:b/>
          <w:i/>
          <w:sz w:val="18"/>
        </w:rPr>
        <w:t>subsection </w:t>
      </w:r>
      <w:r w:rsidRPr="00F63766">
        <w:rPr>
          <w:b/>
          <w:i/>
          <w:sz w:val="18"/>
        </w:rPr>
        <w:t>738ZG</w:t>
      </w:r>
      <w:r w:rsidR="00017273" w:rsidRPr="00F63766">
        <w:rPr>
          <w:b/>
          <w:i/>
          <w:sz w:val="18"/>
        </w:rPr>
        <w:t>(</w:t>
      </w:r>
      <w:r w:rsidRPr="00F63766">
        <w:rPr>
          <w:b/>
          <w:i/>
          <w:sz w:val="18"/>
        </w:rPr>
        <w:t>1</w:t>
      </w:r>
      <w:r w:rsidR="004E2641">
        <w:rPr>
          <w:b/>
          <w:i/>
          <w:sz w:val="18"/>
        </w:rPr>
        <w:t>0</w:t>
      </w:r>
      <w:r w:rsidRPr="00F63766">
        <w:rPr>
          <w:b/>
          <w:i/>
          <w:sz w:val="18"/>
        </w:rPr>
        <w:t>)]</w:t>
      </w:r>
    </w:p>
    <w:p w14:paraId="19E4D6B5" w14:textId="00FC5035" w:rsidR="00E27590" w:rsidRPr="00F63766" w:rsidRDefault="00E27590" w:rsidP="00CD18C8">
      <w:pPr>
        <w:keepNext/>
        <w:keepLines/>
        <w:numPr>
          <w:ilvl w:val="1"/>
          <w:numId w:val="33"/>
        </w:numPr>
      </w:pPr>
      <w:r w:rsidRPr="00F63766">
        <w:t xml:space="preserve">The </w:t>
      </w:r>
      <w:r w:rsidR="00971967">
        <w:t>exception</w:t>
      </w:r>
      <w:r w:rsidR="00971967" w:rsidRPr="00F63766">
        <w:t xml:space="preserve"> </w:t>
      </w:r>
      <w:r w:rsidRPr="00F63766">
        <w:t>also extends to new</w:t>
      </w:r>
      <w:r w:rsidR="0009311E">
        <w:t>s</w:t>
      </w:r>
      <w:r w:rsidRPr="00F63766">
        <w:t xml:space="preserve"> reports or other </w:t>
      </w:r>
      <w:r w:rsidR="00431DD6">
        <w:t xml:space="preserve">genuine </w:t>
      </w:r>
      <w:r w:rsidRPr="00F63766">
        <w:t xml:space="preserve">comment in the media that refer to a CSF offer document that is published on an intermediary’s platform, information in such an offer document and information that is contained in </w:t>
      </w:r>
      <w:r w:rsidR="00431DD6">
        <w:t xml:space="preserve">certain other permitted </w:t>
      </w:r>
      <w:r w:rsidRPr="00F63766">
        <w:t>reports</w:t>
      </w:r>
      <w:r w:rsidR="00431DD6">
        <w:t xml:space="preserve">. </w:t>
      </w:r>
      <w:r w:rsidRPr="00F63766">
        <w:rPr>
          <w:b/>
          <w:i/>
          <w:sz w:val="18"/>
        </w:rPr>
        <w:t>[Schedule</w:t>
      </w:r>
      <w:r w:rsidR="00B262DA">
        <w:rPr>
          <w:b/>
          <w:i/>
          <w:sz w:val="18"/>
        </w:rPr>
        <w:t> </w:t>
      </w:r>
      <w:r w:rsidRPr="00F63766">
        <w:rPr>
          <w:b/>
          <w:i/>
          <w:sz w:val="18"/>
        </w:rPr>
        <w:t>1,</w:t>
      </w:r>
      <w:r w:rsidR="004E2641">
        <w:rPr>
          <w:b/>
          <w:i/>
          <w:sz w:val="18"/>
        </w:rPr>
        <w:t> </w:t>
      </w:r>
      <w:r w:rsidRPr="00F63766">
        <w:rPr>
          <w:b/>
          <w:i/>
          <w:sz w:val="18"/>
        </w:rPr>
        <w:t>Part 1, item 1</w:t>
      </w:r>
      <w:r w:rsidR="000B7E25" w:rsidRPr="00F63766">
        <w:rPr>
          <w:b/>
          <w:i/>
          <w:sz w:val="18"/>
        </w:rPr>
        <w:t>4</w:t>
      </w:r>
      <w:r w:rsidRPr="00F63766">
        <w:rPr>
          <w:b/>
          <w:i/>
          <w:sz w:val="18"/>
        </w:rPr>
        <w:t>, paragraph </w:t>
      </w:r>
      <w:r w:rsidR="00DB1AA8">
        <w:rPr>
          <w:b/>
          <w:i/>
          <w:sz w:val="18"/>
        </w:rPr>
        <w:t>7</w:t>
      </w:r>
      <w:r w:rsidRPr="00F63766">
        <w:rPr>
          <w:b/>
          <w:i/>
          <w:sz w:val="18"/>
        </w:rPr>
        <w:t>38ZG(</w:t>
      </w:r>
      <w:r w:rsidR="004E2641">
        <w:rPr>
          <w:b/>
          <w:i/>
          <w:sz w:val="18"/>
        </w:rPr>
        <w:t>9</w:t>
      </w:r>
      <w:r w:rsidRPr="00F63766">
        <w:rPr>
          <w:b/>
          <w:i/>
          <w:sz w:val="18"/>
        </w:rPr>
        <w:t>)(c)]</w:t>
      </w:r>
    </w:p>
    <w:p w14:paraId="7B0DA7EE" w14:textId="51A1D291" w:rsidR="00E27590" w:rsidRPr="00F63766" w:rsidRDefault="00E27590" w:rsidP="00E27590">
      <w:pPr>
        <w:numPr>
          <w:ilvl w:val="1"/>
          <w:numId w:val="33"/>
        </w:numPr>
      </w:pPr>
      <w:r w:rsidRPr="00F63766">
        <w:t xml:space="preserve">Reports about securities of the company making the CSF offer </w:t>
      </w:r>
      <w:r w:rsidR="003406EA">
        <w:t xml:space="preserve">or intended offer </w:t>
      </w:r>
      <w:r w:rsidRPr="00F63766">
        <w:t xml:space="preserve">that are published by an </w:t>
      </w:r>
      <w:r w:rsidRPr="00FF5264">
        <w:rPr>
          <w:i/>
        </w:rPr>
        <w:t xml:space="preserve">independent </w:t>
      </w:r>
      <w:r w:rsidRPr="00F63766">
        <w:t xml:space="preserve">third party are also </w:t>
      </w:r>
      <w:r w:rsidR="00EB6567">
        <w:t>an exception to</w:t>
      </w:r>
      <w:r w:rsidRPr="00F63766">
        <w:t xml:space="preserve"> </w:t>
      </w:r>
      <w:r w:rsidR="00593BC3">
        <w:t xml:space="preserve">the </w:t>
      </w:r>
      <w:r w:rsidRPr="00F63766">
        <w:t xml:space="preserve">advertising restrictions. </w:t>
      </w:r>
      <w:r w:rsidRPr="00F63766">
        <w:rPr>
          <w:b/>
          <w:i/>
          <w:sz w:val="18"/>
        </w:rPr>
        <w:t>[Schedule 1, Part 1, item 1</w:t>
      </w:r>
      <w:r w:rsidR="000B7E25" w:rsidRPr="00F63766">
        <w:rPr>
          <w:b/>
          <w:i/>
          <w:sz w:val="18"/>
        </w:rPr>
        <w:t>4</w:t>
      </w:r>
      <w:r w:rsidRPr="00F63766">
        <w:rPr>
          <w:b/>
          <w:i/>
          <w:sz w:val="18"/>
        </w:rPr>
        <w:t>, paragraph</w:t>
      </w:r>
      <w:r w:rsidR="00263803">
        <w:rPr>
          <w:b/>
          <w:i/>
          <w:sz w:val="18"/>
        </w:rPr>
        <w:t> </w:t>
      </w:r>
      <w:r w:rsidRPr="00F63766">
        <w:rPr>
          <w:b/>
          <w:i/>
          <w:sz w:val="18"/>
        </w:rPr>
        <w:t>738ZG(</w:t>
      </w:r>
      <w:r w:rsidR="004E2641">
        <w:rPr>
          <w:b/>
          <w:i/>
          <w:sz w:val="18"/>
        </w:rPr>
        <w:t>9</w:t>
      </w:r>
      <w:r w:rsidRPr="00F63766">
        <w:rPr>
          <w:b/>
          <w:i/>
          <w:sz w:val="18"/>
        </w:rPr>
        <w:t>)(d)]</w:t>
      </w:r>
    </w:p>
    <w:p w14:paraId="2E1C28CF" w14:textId="6A9DA870" w:rsidR="00686313" w:rsidRDefault="00E27590" w:rsidP="00F31466">
      <w:pPr>
        <w:numPr>
          <w:ilvl w:val="1"/>
          <w:numId w:val="33"/>
        </w:numPr>
      </w:pPr>
      <w:r w:rsidRPr="00F63766">
        <w:t>An entity</w:t>
      </w:r>
      <w:r w:rsidR="00686313">
        <w:t xml:space="preserve"> will be considered</w:t>
      </w:r>
      <w:r w:rsidRPr="00F63766">
        <w:t xml:space="preserve"> an independent third party if </w:t>
      </w:r>
      <w:r w:rsidR="00E200D7">
        <w:t>it is</w:t>
      </w:r>
      <w:r w:rsidR="006769C0">
        <w:t>:</w:t>
      </w:r>
      <w:r w:rsidRPr="00F63766">
        <w:t xml:space="preserve"> </w:t>
      </w:r>
      <w:r w:rsidR="006769C0">
        <w:t xml:space="preserve">not </w:t>
      </w:r>
      <w:r w:rsidRPr="00F63766">
        <w:t>the company making the CSF offer</w:t>
      </w:r>
      <w:r w:rsidR="006769C0">
        <w:t>;</w:t>
      </w:r>
      <w:r w:rsidRPr="00F63766">
        <w:t xml:space="preserve"> not acting for that company</w:t>
      </w:r>
      <w:r w:rsidR="006769C0">
        <w:t>;</w:t>
      </w:r>
      <w:r w:rsidRPr="00F63766">
        <w:t xml:space="preserve"> not a director of the company</w:t>
      </w:r>
      <w:r w:rsidR="006769C0">
        <w:t>;</w:t>
      </w:r>
      <w:r w:rsidR="006769C0" w:rsidRPr="00F63766">
        <w:t xml:space="preserve"> </w:t>
      </w:r>
      <w:r w:rsidRPr="00F63766">
        <w:t>not the CSF intermediary hosting the offer</w:t>
      </w:r>
      <w:r w:rsidR="006769C0">
        <w:t>;</w:t>
      </w:r>
      <w:r w:rsidR="00DB3EEC" w:rsidRPr="00F63766">
        <w:t xml:space="preserve"> and not </w:t>
      </w:r>
      <w:r w:rsidRPr="00F63766">
        <w:t xml:space="preserve">anyone else who has an interest in the success of the issue of the securities. </w:t>
      </w:r>
      <w:r w:rsidR="00D64902" w:rsidRPr="00F31466">
        <w:rPr>
          <w:b/>
          <w:i/>
          <w:sz w:val="18"/>
        </w:rPr>
        <w:t>[Schedule 1, Part 1, item 14, paragraph 738ZG(9)(d)]</w:t>
      </w:r>
    </w:p>
    <w:p w14:paraId="55F04EEB" w14:textId="383AF4CF" w:rsidR="00E27590" w:rsidRDefault="00E27590" w:rsidP="002215D8">
      <w:pPr>
        <w:numPr>
          <w:ilvl w:val="1"/>
          <w:numId w:val="33"/>
        </w:numPr>
      </w:pPr>
      <w:r w:rsidRPr="00F63766">
        <w:t xml:space="preserve">An entity will not be </w:t>
      </w:r>
      <w:r w:rsidR="006769C0">
        <w:t xml:space="preserve">considered </w:t>
      </w:r>
      <w:r w:rsidRPr="00F63766">
        <w:t>independent if they receive consideration or any other benefit for the publication</w:t>
      </w:r>
      <w:r w:rsidR="008179A7">
        <w:t xml:space="preserve"> that contravenes the advertising restrict</w:t>
      </w:r>
      <w:r w:rsidR="00DD5082">
        <w:t>i</w:t>
      </w:r>
      <w:r w:rsidR="008179A7">
        <w:t>ons</w:t>
      </w:r>
      <w:r w:rsidRPr="00F63766">
        <w:t>.</w:t>
      </w:r>
      <w:r w:rsidR="00D64902">
        <w:t xml:space="preserve"> </w:t>
      </w:r>
      <w:r w:rsidR="00D64902" w:rsidRPr="00F31466">
        <w:rPr>
          <w:b/>
          <w:i/>
          <w:sz w:val="18"/>
        </w:rPr>
        <w:t>[Schedule 1, Part 1, item 14, paragraph 738ZG(9)(d)]</w:t>
      </w:r>
      <w:r w:rsidRPr="00F63766">
        <w:t xml:space="preserve"> </w:t>
      </w:r>
    </w:p>
    <w:p w14:paraId="48AAF513" w14:textId="2106810E" w:rsidR="00DE0C39" w:rsidRPr="00B724E8" w:rsidRDefault="00DE0C39" w:rsidP="00DE0C39">
      <w:pPr>
        <w:pStyle w:val="base-text-paragraph"/>
      </w:pPr>
      <w:r>
        <w:t xml:space="preserve">An advertisement or publication not covered by this exception will contravene the advertising restrictions (unless another exception applies) and the </w:t>
      </w:r>
      <w:r w:rsidRPr="00685029">
        <w:t>person advertising or publishing the statement will commit an offence (</w:t>
      </w:r>
      <w:r w:rsidR="000E4847">
        <w:t xml:space="preserve">refer to </w:t>
      </w:r>
      <w:r w:rsidR="000E4847" w:rsidRPr="001E11CA">
        <w:t>paragraphs</w:t>
      </w:r>
      <w:r w:rsidRPr="001E11CA">
        <w:t xml:space="preserve"> </w:t>
      </w:r>
      <w:r w:rsidR="00393AAA" w:rsidRPr="001E11CA">
        <w:t>6.57 to 6.59</w:t>
      </w:r>
      <w:r w:rsidRPr="00685029">
        <w:t>).</w:t>
      </w:r>
      <w:r>
        <w:t xml:space="preserve"> </w:t>
      </w:r>
    </w:p>
    <w:p w14:paraId="38C26385" w14:textId="77777777" w:rsidR="003A1462" w:rsidRDefault="003A1462">
      <w:pPr>
        <w:spacing w:before="0" w:after="0"/>
        <w:rPr>
          <w:b/>
          <w:i/>
        </w:rPr>
      </w:pPr>
      <w:r>
        <w:br w:type="page"/>
      </w:r>
    </w:p>
    <w:p w14:paraId="7F107824" w14:textId="731CF1E3" w:rsidR="00E27590" w:rsidRPr="00F63766" w:rsidRDefault="005D71C7" w:rsidP="00E27590">
      <w:pPr>
        <w:pStyle w:val="Heading4"/>
      </w:pPr>
      <w:r w:rsidRPr="00F63766">
        <w:t>Statements made in good faith on the</w:t>
      </w:r>
      <w:r w:rsidR="00E27590" w:rsidRPr="00F63766">
        <w:t xml:space="preserve"> communication facility</w:t>
      </w:r>
    </w:p>
    <w:p w14:paraId="35DDF710" w14:textId="3D53D0D1" w:rsidR="00E27590" w:rsidRPr="00EA1472" w:rsidRDefault="003A4A8E" w:rsidP="00E27590">
      <w:pPr>
        <w:numPr>
          <w:ilvl w:val="1"/>
          <w:numId w:val="33"/>
        </w:numPr>
      </w:pPr>
      <w:r>
        <w:t>This exception</w:t>
      </w:r>
      <w:r w:rsidR="00E27590" w:rsidRPr="00F63766">
        <w:t xml:space="preserve"> </w:t>
      </w:r>
      <w:r w:rsidR="0041322E">
        <w:t>to</w:t>
      </w:r>
      <w:r w:rsidR="00E27590" w:rsidRPr="00F63766">
        <w:t xml:space="preserve"> the </w:t>
      </w:r>
      <w:r w:rsidR="0019161F">
        <w:t>advertising restrictions</w:t>
      </w:r>
      <w:r w:rsidR="00E27590" w:rsidRPr="00F63766">
        <w:t xml:space="preserve"> is to enable </w:t>
      </w:r>
      <w:r w:rsidR="00CF2FB5">
        <w:t>statements to be made</w:t>
      </w:r>
      <w:r w:rsidR="00E27590" w:rsidRPr="00F63766">
        <w:t xml:space="preserve"> on the communication </w:t>
      </w:r>
      <w:r w:rsidR="00CF2FB5" w:rsidRPr="00F63766">
        <w:t>facilit</w:t>
      </w:r>
      <w:r w:rsidR="00CF2FB5">
        <w:t>y for a CSF offer</w:t>
      </w:r>
      <w:r w:rsidR="00CF2FB5" w:rsidRPr="00F63766">
        <w:t xml:space="preserve"> </w:t>
      </w:r>
      <w:r w:rsidR="00E27590" w:rsidRPr="00F63766">
        <w:t xml:space="preserve">as long as the statement is made in good faith.  </w:t>
      </w:r>
      <w:r w:rsidR="00E27590" w:rsidRPr="00F63766">
        <w:rPr>
          <w:b/>
          <w:i/>
          <w:sz w:val="18"/>
        </w:rPr>
        <w:t>[Schedule 1, Part 1, item 1</w:t>
      </w:r>
      <w:r w:rsidR="00726130">
        <w:rPr>
          <w:b/>
          <w:i/>
          <w:sz w:val="18"/>
        </w:rPr>
        <w:t>4</w:t>
      </w:r>
      <w:r w:rsidR="00E27590" w:rsidRPr="00F63766">
        <w:rPr>
          <w:b/>
          <w:i/>
          <w:sz w:val="18"/>
        </w:rPr>
        <w:t xml:space="preserve">, </w:t>
      </w:r>
      <w:r w:rsidR="003F34ED" w:rsidRPr="00F63766">
        <w:rPr>
          <w:b/>
          <w:i/>
          <w:sz w:val="18"/>
        </w:rPr>
        <w:t>subsection </w:t>
      </w:r>
      <w:r w:rsidR="00E27590" w:rsidRPr="00F63766">
        <w:rPr>
          <w:b/>
          <w:i/>
          <w:sz w:val="18"/>
        </w:rPr>
        <w:t>738ZG(</w:t>
      </w:r>
      <w:r w:rsidR="004E2641">
        <w:rPr>
          <w:b/>
          <w:i/>
          <w:sz w:val="18"/>
        </w:rPr>
        <w:t>8</w:t>
      </w:r>
      <w:r w:rsidR="00E27590" w:rsidRPr="00F63766">
        <w:rPr>
          <w:b/>
          <w:i/>
          <w:sz w:val="18"/>
        </w:rPr>
        <w:t>)]</w:t>
      </w:r>
    </w:p>
    <w:p w14:paraId="55343F5E" w14:textId="4B48AC7E" w:rsidR="00EA1472" w:rsidRPr="00F63766" w:rsidRDefault="00C105B0" w:rsidP="00EA1472">
      <w:pPr>
        <w:pStyle w:val="base-text-paragraph"/>
        <w:numPr>
          <w:ilvl w:val="1"/>
          <w:numId w:val="33"/>
        </w:numPr>
      </w:pPr>
      <w:r>
        <w:t>In the absence of this exception, a</w:t>
      </w:r>
      <w:r w:rsidR="00EA1472" w:rsidRPr="00F63766">
        <w:t>ny person</w:t>
      </w:r>
      <w:r w:rsidR="00B53F42">
        <w:t xml:space="preserve"> (including a prospective investor)</w:t>
      </w:r>
      <w:r w:rsidR="00EA1472" w:rsidRPr="00F63766">
        <w:t xml:space="preserve"> making </w:t>
      </w:r>
      <w:r>
        <w:t xml:space="preserve">a statement on the communication facility </w:t>
      </w:r>
      <w:r w:rsidR="00EA1472" w:rsidRPr="00F63766">
        <w:t>would be required to include</w:t>
      </w:r>
      <w:r>
        <w:t>, in addition to their statement,</w:t>
      </w:r>
      <w:r w:rsidR="00EA1472" w:rsidRPr="00F63766">
        <w:t xml:space="preserve"> a</w:t>
      </w:r>
      <w:r>
        <w:t> </w:t>
      </w:r>
      <w:r w:rsidR="00EA1472" w:rsidRPr="00F63766">
        <w:t xml:space="preserve">statement that a person, in deciding whether to </w:t>
      </w:r>
      <w:r>
        <w:t>make an application pursuant to</w:t>
      </w:r>
      <w:r w:rsidRPr="00F63766">
        <w:t xml:space="preserve"> </w:t>
      </w:r>
      <w:r w:rsidR="00EA1472" w:rsidRPr="00F63766">
        <w:t xml:space="preserve">the CSF offer, should consider the CSF offer document and general CSF risk warning.  If </w:t>
      </w:r>
      <w:r w:rsidRPr="00F63766">
        <w:t>the</w:t>
      </w:r>
      <w:r>
        <w:t xml:space="preserve"> person failed to </w:t>
      </w:r>
      <w:r w:rsidR="00687FCE">
        <w:t>include the required statement</w:t>
      </w:r>
      <w:r w:rsidR="00EA1472" w:rsidRPr="00F63766">
        <w:t>, the</w:t>
      </w:r>
      <w:r>
        <w:t>y</w:t>
      </w:r>
      <w:r w:rsidR="00EA1472" w:rsidRPr="00F63766">
        <w:t xml:space="preserve"> would </w:t>
      </w:r>
      <w:r w:rsidR="00701A4B">
        <w:t xml:space="preserve">breach the advertising restrictions and </w:t>
      </w:r>
      <w:r w:rsidR="00EA1472" w:rsidRPr="00F63766">
        <w:t xml:space="preserve">commit a strict liability offence, punishable by </w:t>
      </w:r>
      <w:r w:rsidR="008F19F1">
        <w:t xml:space="preserve">a maximum penalty of </w:t>
      </w:r>
      <w:r w:rsidR="00EA1472" w:rsidRPr="00F63766">
        <w:t xml:space="preserve">30 penalty units.  </w:t>
      </w:r>
    </w:p>
    <w:p w14:paraId="506FD3A9" w14:textId="3DE2CAC2" w:rsidR="00EA1472" w:rsidRPr="00F63766" w:rsidRDefault="00EA1472" w:rsidP="00EA1472">
      <w:pPr>
        <w:pStyle w:val="base-text-paragraph"/>
        <w:numPr>
          <w:ilvl w:val="1"/>
          <w:numId w:val="33"/>
        </w:numPr>
      </w:pPr>
      <w:r w:rsidRPr="00F63766">
        <w:t xml:space="preserve">As it would be impracticable to require every person using the </w:t>
      </w:r>
      <w:r w:rsidR="001F2618">
        <w:t xml:space="preserve">communication </w:t>
      </w:r>
      <w:r w:rsidRPr="00F63766">
        <w:t xml:space="preserve">facility to </w:t>
      </w:r>
      <w:r w:rsidR="0041322E">
        <w:t>include the required statement</w:t>
      </w:r>
      <w:r w:rsidRPr="00F63766">
        <w:t xml:space="preserve"> </w:t>
      </w:r>
      <w:r w:rsidR="001F2618">
        <w:t>every</w:t>
      </w:r>
      <w:r w:rsidR="001F2618" w:rsidRPr="00F63766">
        <w:t xml:space="preserve"> </w:t>
      </w:r>
      <w:r w:rsidRPr="00F63766">
        <w:t xml:space="preserve">time they made a </w:t>
      </w:r>
      <w:r w:rsidR="008B2981">
        <w:t xml:space="preserve">statement on the facility, </w:t>
      </w:r>
      <w:r w:rsidRPr="00F63766">
        <w:t xml:space="preserve">the amendments </w:t>
      </w:r>
      <w:r w:rsidR="00D91310">
        <w:t xml:space="preserve">create an </w:t>
      </w:r>
      <w:r w:rsidR="008B2981">
        <w:t xml:space="preserve">exception </w:t>
      </w:r>
      <w:r w:rsidRPr="00F63766">
        <w:t>for statements</w:t>
      </w:r>
      <w:r w:rsidR="00D91310">
        <w:t xml:space="preserve"> made </w:t>
      </w:r>
      <w:r w:rsidR="0041322E">
        <w:t>in good faith</w:t>
      </w:r>
      <w:r w:rsidRPr="00F63766">
        <w:t xml:space="preserve"> </w:t>
      </w:r>
      <w:r w:rsidR="00D91310">
        <w:t>on the communication</w:t>
      </w:r>
      <w:r w:rsidRPr="00F63766">
        <w:t xml:space="preserve"> </w:t>
      </w:r>
      <w:r w:rsidR="00D91310">
        <w:t>facility, by any person (including the issuer company or intermediary)</w:t>
      </w:r>
      <w:r w:rsidR="004E2641">
        <w:t>.</w:t>
      </w:r>
      <w:r w:rsidRPr="00F63766">
        <w:t xml:space="preserve">  </w:t>
      </w:r>
      <w:r w:rsidRPr="00EA1472">
        <w:rPr>
          <w:b/>
          <w:i/>
          <w:sz w:val="18"/>
        </w:rPr>
        <w:t>[Schedule</w:t>
      </w:r>
      <w:r w:rsidR="00977B4D">
        <w:rPr>
          <w:b/>
          <w:i/>
          <w:sz w:val="18"/>
        </w:rPr>
        <w:t> </w:t>
      </w:r>
      <w:r w:rsidRPr="00EA1472">
        <w:rPr>
          <w:b/>
          <w:i/>
          <w:sz w:val="18"/>
        </w:rPr>
        <w:t>1, Part 1, item</w:t>
      </w:r>
      <w:r w:rsidR="00A80E2F">
        <w:rPr>
          <w:b/>
          <w:i/>
          <w:sz w:val="18"/>
        </w:rPr>
        <w:t> </w:t>
      </w:r>
      <w:r w:rsidRPr="00EA1472">
        <w:rPr>
          <w:b/>
          <w:i/>
          <w:sz w:val="18"/>
        </w:rPr>
        <w:t>14, subsections 738ZG(1) and (8)]</w:t>
      </w:r>
    </w:p>
    <w:p w14:paraId="6D17E46A" w14:textId="27117744" w:rsidR="00EA1472" w:rsidRPr="00F63766" w:rsidRDefault="00EA1472" w:rsidP="00EA1472">
      <w:pPr>
        <w:pStyle w:val="base-text-paragraph"/>
        <w:numPr>
          <w:ilvl w:val="1"/>
          <w:numId w:val="33"/>
        </w:numPr>
      </w:pPr>
      <w:r w:rsidRPr="00F63766">
        <w:t xml:space="preserve">A statement not made in good faith would not be covered by </w:t>
      </w:r>
      <w:r w:rsidR="00EA72DE">
        <w:t>this</w:t>
      </w:r>
      <w:r w:rsidRPr="00F63766">
        <w:t xml:space="preserve"> </w:t>
      </w:r>
      <w:r w:rsidR="00A80E2F">
        <w:t>exception</w:t>
      </w:r>
      <w:r w:rsidRPr="00F63766">
        <w:t xml:space="preserve">. The evidential burden of demonstrating that the statement was made in ‘good faith’ falls on the person making the statement. This is appropriate as the person making the statement is best placed to raise evidence as to why the statement was made in good faith, given it could at least in part involve some inquiry as to the </w:t>
      </w:r>
      <w:r w:rsidR="00A55562">
        <w:t xml:space="preserve">person’s </w:t>
      </w:r>
      <w:r w:rsidRPr="00F63766">
        <w:t xml:space="preserve">state of mind and knowledge.  </w:t>
      </w:r>
    </w:p>
    <w:p w14:paraId="6C3506D4" w14:textId="4C32F694" w:rsidR="00893ED2" w:rsidRPr="00C67765" w:rsidRDefault="00EA1472" w:rsidP="00893ED2">
      <w:pPr>
        <w:pStyle w:val="base-text-paragraph"/>
      </w:pPr>
      <w:r w:rsidRPr="00F63766">
        <w:t xml:space="preserve">Where the person is unable to show the statement was made in good faith, the person will </w:t>
      </w:r>
      <w:r w:rsidR="00893ED2">
        <w:t xml:space="preserve">commit an </w:t>
      </w:r>
      <w:r w:rsidR="00893ED2" w:rsidRPr="00C67765">
        <w:t xml:space="preserve">offence (refer </w:t>
      </w:r>
      <w:r w:rsidR="006707E9">
        <w:t xml:space="preserve">to </w:t>
      </w:r>
      <w:r w:rsidR="00893ED2" w:rsidRPr="001E11CA">
        <w:t>paragraph</w:t>
      </w:r>
      <w:r w:rsidR="009A60E6" w:rsidRPr="001E11CA">
        <w:t>s</w:t>
      </w:r>
      <w:r w:rsidR="00893ED2" w:rsidRPr="001E11CA">
        <w:t xml:space="preserve"> </w:t>
      </w:r>
      <w:r w:rsidR="009A60E6" w:rsidRPr="001E11CA">
        <w:t>6.57 to 6.59</w:t>
      </w:r>
      <w:r w:rsidR="00893ED2" w:rsidRPr="00C67765">
        <w:t xml:space="preserve">). </w:t>
      </w:r>
    </w:p>
    <w:p w14:paraId="52523ADA" w14:textId="2B866B70" w:rsidR="00E27590" w:rsidRPr="00F63766" w:rsidRDefault="00DE7096" w:rsidP="00E27590">
      <w:pPr>
        <w:pStyle w:val="Heading4"/>
      </w:pPr>
      <w:r w:rsidRPr="00C67765">
        <w:t>Exceptions for certain reports and notices</w:t>
      </w:r>
    </w:p>
    <w:p w14:paraId="37A89F6D" w14:textId="19856933" w:rsidR="00E27590" w:rsidRPr="00F63766" w:rsidRDefault="00D27436" w:rsidP="00E27590">
      <w:pPr>
        <w:numPr>
          <w:ilvl w:val="1"/>
          <w:numId w:val="33"/>
        </w:numPr>
      </w:pPr>
      <w:r w:rsidRPr="00F63766">
        <w:t xml:space="preserve">This </w:t>
      </w:r>
      <w:r w:rsidR="00757260">
        <w:t>exception</w:t>
      </w:r>
      <w:r w:rsidR="00E27590" w:rsidRPr="00F63766">
        <w:t xml:space="preserve"> </w:t>
      </w:r>
      <w:r w:rsidR="008966C9" w:rsidRPr="00F63766">
        <w:t xml:space="preserve">is </w:t>
      </w:r>
      <w:r w:rsidR="00E27590" w:rsidRPr="00F63766">
        <w:t xml:space="preserve">to enable the publication of </w:t>
      </w:r>
      <w:r w:rsidR="007A311F">
        <w:t>certain</w:t>
      </w:r>
      <w:r w:rsidR="007A311F" w:rsidRPr="00F63766">
        <w:t xml:space="preserve"> </w:t>
      </w:r>
      <w:r w:rsidR="00E27590" w:rsidRPr="00F63766">
        <w:t>notices and reports relating to a company making a CSF offer.</w:t>
      </w:r>
      <w:r w:rsidR="00E27590" w:rsidRPr="00F63766">
        <w:rPr>
          <w:b/>
          <w:i/>
          <w:sz w:val="18"/>
        </w:rPr>
        <w:t xml:space="preserve"> </w:t>
      </w:r>
    </w:p>
    <w:p w14:paraId="5AF8F775" w14:textId="63E774FE" w:rsidR="00E27590" w:rsidRPr="00F63766" w:rsidRDefault="00E27590" w:rsidP="00E27590">
      <w:pPr>
        <w:numPr>
          <w:ilvl w:val="1"/>
          <w:numId w:val="33"/>
        </w:numPr>
      </w:pPr>
      <w:r w:rsidRPr="00F63766">
        <w:t xml:space="preserve">The </w:t>
      </w:r>
      <w:r w:rsidR="002D7F77">
        <w:t>exception</w:t>
      </w:r>
      <w:r w:rsidR="002D7F77" w:rsidRPr="00F63766">
        <w:t xml:space="preserve"> </w:t>
      </w:r>
      <w:r w:rsidRPr="00F63766">
        <w:t xml:space="preserve">enables the publication of a notice or report of a general meeting of a company making a CSF offer. </w:t>
      </w:r>
      <w:r w:rsidRPr="00F63766">
        <w:rPr>
          <w:b/>
          <w:i/>
          <w:sz w:val="18"/>
        </w:rPr>
        <w:t>[Schedule 1, Part 1, item 1</w:t>
      </w:r>
      <w:r w:rsidR="0010315B" w:rsidRPr="00F63766">
        <w:rPr>
          <w:b/>
          <w:i/>
          <w:sz w:val="18"/>
        </w:rPr>
        <w:t>4</w:t>
      </w:r>
      <w:r w:rsidRPr="00F63766">
        <w:rPr>
          <w:b/>
          <w:i/>
          <w:sz w:val="18"/>
        </w:rPr>
        <w:t xml:space="preserve">, </w:t>
      </w:r>
      <w:r w:rsidR="0010315B" w:rsidRPr="00F63766">
        <w:rPr>
          <w:b/>
          <w:i/>
          <w:sz w:val="18"/>
        </w:rPr>
        <w:t>paragraph </w:t>
      </w:r>
      <w:r w:rsidRPr="00F63766">
        <w:rPr>
          <w:b/>
          <w:i/>
          <w:sz w:val="18"/>
        </w:rPr>
        <w:t>738ZG(</w:t>
      </w:r>
      <w:r w:rsidR="00E363BD">
        <w:rPr>
          <w:b/>
          <w:i/>
          <w:sz w:val="18"/>
        </w:rPr>
        <w:t>9</w:t>
      </w:r>
      <w:r w:rsidRPr="00F63766">
        <w:rPr>
          <w:b/>
          <w:i/>
          <w:sz w:val="18"/>
        </w:rPr>
        <w:t>)(a)]</w:t>
      </w:r>
    </w:p>
    <w:p w14:paraId="1A285556" w14:textId="77777777" w:rsidR="003A1462" w:rsidRDefault="003A1462">
      <w:pPr>
        <w:spacing w:before="0" w:after="0"/>
      </w:pPr>
      <w:r>
        <w:br w:type="page"/>
      </w:r>
    </w:p>
    <w:p w14:paraId="37A0A068" w14:textId="77777777" w:rsidR="009D5646" w:rsidRPr="00C14911" w:rsidRDefault="00E27590" w:rsidP="00E27590">
      <w:pPr>
        <w:numPr>
          <w:ilvl w:val="1"/>
          <w:numId w:val="33"/>
        </w:numPr>
      </w:pPr>
      <w:r w:rsidRPr="00F63766">
        <w:t xml:space="preserve">The </w:t>
      </w:r>
      <w:r w:rsidR="002D7F77">
        <w:t>exception</w:t>
      </w:r>
      <w:r w:rsidR="002D7F77" w:rsidRPr="00F63766">
        <w:t xml:space="preserve"> </w:t>
      </w:r>
      <w:r w:rsidRPr="00F63766">
        <w:t xml:space="preserve">also covers reports about the company that are published as long as </w:t>
      </w:r>
      <w:r w:rsidR="002D7F77">
        <w:t>the reports</w:t>
      </w:r>
      <w:r w:rsidR="002D7F77" w:rsidRPr="00F63766">
        <w:t xml:space="preserve"> </w:t>
      </w:r>
      <w:r w:rsidR="00DB3EEC" w:rsidRPr="00F63766">
        <w:t xml:space="preserve">do not </w:t>
      </w:r>
      <w:r w:rsidRPr="00F63766">
        <w:t xml:space="preserve">contain material information about the company that is not included in the CSF offer document or annual report and do not actually refer to the CSF offer. </w:t>
      </w:r>
      <w:r w:rsidRPr="00F63766">
        <w:rPr>
          <w:b/>
          <w:i/>
          <w:sz w:val="18"/>
        </w:rPr>
        <w:t>[Schedule 1, Part 1, item 1</w:t>
      </w:r>
      <w:r w:rsidR="0010315B" w:rsidRPr="00F63766">
        <w:rPr>
          <w:b/>
          <w:i/>
          <w:sz w:val="18"/>
        </w:rPr>
        <w:t>4</w:t>
      </w:r>
      <w:r w:rsidRPr="00F63766">
        <w:rPr>
          <w:b/>
          <w:i/>
          <w:sz w:val="18"/>
        </w:rPr>
        <w:t xml:space="preserve">, </w:t>
      </w:r>
      <w:r w:rsidR="0010315B" w:rsidRPr="00F63766">
        <w:rPr>
          <w:b/>
          <w:i/>
          <w:sz w:val="18"/>
        </w:rPr>
        <w:t>paragraph </w:t>
      </w:r>
      <w:r w:rsidRPr="00F63766">
        <w:rPr>
          <w:b/>
          <w:i/>
          <w:sz w:val="18"/>
        </w:rPr>
        <w:t>738ZG(</w:t>
      </w:r>
      <w:r w:rsidR="00E363BD">
        <w:rPr>
          <w:b/>
          <w:i/>
          <w:sz w:val="18"/>
        </w:rPr>
        <w:t>9</w:t>
      </w:r>
      <w:r w:rsidRPr="00F63766">
        <w:rPr>
          <w:b/>
          <w:i/>
          <w:sz w:val="18"/>
        </w:rPr>
        <w:t>)(b)]</w:t>
      </w:r>
      <w:r w:rsidR="007C3E80">
        <w:rPr>
          <w:b/>
          <w:i/>
          <w:sz w:val="18"/>
        </w:rPr>
        <w:t xml:space="preserve">  </w:t>
      </w:r>
    </w:p>
    <w:p w14:paraId="3E77EBBC" w14:textId="0F0521C0" w:rsidR="0033330D" w:rsidRPr="00B724E8" w:rsidRDefault="00C14911" w:rsidP="0033330D">
      <w:pPr>
        <w:pStyle w:val="base-text-paragraph"/>
      </w:pPr>
      <w:r>
        <w:t xml:space="preserve">An advertisement or publication not covered by this exception will </w:t>
      </w:r>
      <w:r w:rsidRPr="00C67765">
        <w:t>contravene the advertising restrictions (unless another exception applies) and the person advertising or publishing the statement will commit an offence (</w:t>
      </w:r>
      <w:r w:rsidR="000E4847">
        <w:t xml:space="preserve">refer to </w:t>
      </w:r>
      <w:r w:rsidR="000E4847" w:rsidRPr="001E11CA">
        <w:t>paragraphs</w:t>
      </w:r>
      <w:r w:rsidR="0033330D" w:rsidRPr="001E11CA">
        <w:t xml:space="preserve"> 6.57 to 6.59</w:t>
      </w:r>
      <w:r w:rsidR="0033330D" w:rsidRPr="00C67765">
        <w:t>).</w:t>
      </w:r>
      <w:r w:rsidR="0033330D">
        <w:t xml:space="preserve"> </w:t>
      </w:r>
    </w:p>
    <w:p w14:paraId="31F4A63A" w14:textId="428E0242" w:rsidR="003E7C93" w:rsidRDefault="00BC3F60" w:rsidP="00FF5264">
      <w:pPr>
        <w:pStyle w:val="Heading4"/>
      </w:pPr>
      <w:r>
        <w:t>Consequences of contravening the advertising restrictions</w:t>
      </w:r>
    </w:p>
    <w:p w14:paraId="3F345149" w14:textId="77777777" w:rsidR="003641FE" w:rsidRDefault="00A9582D">
      <w:pPr>
        <w:pStyle w:val="base-text-paragraph"/>
      </w:pPr>
      <w:r>
        <w:t xml:space="preserve">A person that advertises or publishes a statement in contravention of the advertising restrictions </w:t>
      </w:r>
      <w:r w:rsidR="00BC3F60" w:rsidRPr="00F63766">
        <w:t>commit</w:t>
      </w:r>
      <w:r>
        <w:t>s</w:t>
      </w:r>
      <w:r w:rsidR="00BC3F60" w:rsidRPr="00F63766">
        <w:t xml:space="preserve"> a</w:t>
      </w:r>
      <w:r>
        <w:t xml:space="preserve"> strict liability</w:t>
      </w:r>
      <w:r w:rsidR="00BC3F60" w:rsidRPr="00F63766">
        <w:t xml:space="preserve"> offence</w:t>
      </w:r>
      <w:r w:rsidR="00BC3F60">
        <w:t>, p</w:t>
      </w:r>
      <w:r w:rsidR="00BC3F60" w:rsidRPr="00F63766">
        <w:t xml:space="preserve">unishable by </w:t>
      </w:r>
      <w:r w:rsidR="00BC3F60">
        <w:t xml:space="preserve">a maximum penalty of </w:t>
      </w:r>
      <w:r w:rsidR="00BC3F60" w:rsidRPr="00F63766">
        <w:t>30 penalty units</w:t>
      </w:r>
      <w:r w:rsidR="00BC3F60">
        <w:t xml:space="preserve"> </w:t>
      </w:r>
      <w:r w:rsidR="00BC3F60" w:rsidRPr="00F63766">
        <w:rPr>
          <w:b/>
          <w:i/>
          <w:sz w:val="18"/>
        </w:rPr>
        <w:t>[Schedule 1, Part 1, item 1</w:t>
      </w:r>
      <w:r w:rsidR="003641FE">
        <w:rPr>
          <w:b/>
          <w:i/>
          <w:sz w:val="18"/>
        </w:rPr>
        <w:t>4</w:t>
      </w:r>
      <w:r w:rsidR="00BC3F60" w:rsidRPr="00F63766">
        <w:rPr>
          <w:b/>
          <w:i/>
          <w:sz w:val="18"/>
        </w:rPr>
        <w:t>, subsection </w:t>
      </w:r>
      <w:proofErr w:type="gramStart"/>
      <w:r w:rsidR="00BC3F60" w:rsidRPr="00F63766">
        <w:rPr>
          <w:b/>
          <w:i/>
          <w:sz w:val="18"/>
        </w:rPr>
        <w:t>738ZG(</w:t>
      </w:r>
      <w:proofErr w:type="gramEnd"/>
      <w:r w:rsidR="00BC3F60" w:rsidRPr="00F63766">
        <w:rPr>
          <w:b/>
          <w:i/>
          <w:sz w:val="18"/>
        </w:rPr>
        <w:t xml:space="preserve">5) </w:t>
      </w:r>
      <w:r w:rsidR="00BC3F60">
        <w:rPr>
          <w:b/>
          <w:i/>
          <w:sz w:val="18"/>
        </w:rPr>
        <w:t>and</w:t>
      </w:r>
      <w:r w:rsidR="00BC3F60" w:rsidRPr="00F63766">
        <w:rPr>
          <w:b/>
          <w:i/>
          <w:sz w:val="18"/>
        </w:rPr>
        <w:t xml:space="preserve"> item 34</w:t>
      </w:r>
      <w:r w:rsidR="00BC3F60">
        <w:rPr>
          <w:b/>
          <w:i/>
          <w:sz w:val="18"/>
        </w:rPr>
        <w:t>, item 245T in the table to Schedule 3</w:t>
      </w:r>
      <w:r w:rsidR="00BC3F60" w:rsidRPr="00F63766">
        <w:rPr>
          <w:b/>
          <w:i/>
          <w:sz w:val="18"/>
        </w:rPr>
        <w:t>]</w:t>
      </w:r>
      <w:r w:rsidR="00BC3F60" w:rsidRPr="00F63766">
        <w:t xml:space="preserve">. </w:t>
      </w:r>
    </w:p>
    <w:p w14:paraId="040157B2" w14:textId="403DFC9F" w:rsidR="00BC3F60" w:rsidRDefault="003641FE">
      <w:pPr>
        <w:pStyle w:val="base-text-paragraph"/>
      </w:pPr>
      <w:r>
        <w:t>Strict liability is appropriate because</w:t>
      </w:r>
      <w:r w:rsidR="00313732">
        <w:t xml:space="preserve"> of the importance of ensuring that investors applying for CSF offers do so </w:t>
      </w:r>
      <w:r w:rsidR="00BD4035">
        <w:t xml:space="preserve">after forming a view of the merits of the CSF offer, </w:t>
      </w:r>
      <w:r w:rsidR="001E312D">
        <w:t xml:space="preserve">based on the </w:t>
      </w:r>
      <w:r w:rsidR="00313732">
        <w:t>information contained in the CSF offer document</w:t>
      </w:r>
      <w:r w:rsidR="00BD4035">
        <w:t xml:space="preserve"> and </w:t>
      </w:r>
      <w:r w:rsidR="001E312D">
        <w:t xml:space="preserve">having regard to </w:t>
      </w:r>
      <w:r w:rsidR="00BD4035">
        <w:t xml:space="preserve">the general CSF risk warning. </w:t>
      </w:r>
      <w:r w:rsidR="00E66E9D">
        <w:t xml:space="preserve">This is particularly important given CSF investments will be </w:t>
      </w:r>
      <w:r w:rsidR="00CD5CCA">
        <w:t xml:space="preserve">high risk </w:t>
      </w:r>
      <w:r w:rsidR="00E66E9D">
        <w:t>(</w:t>
      </w:r>
      <w:r w:rsidR="00D6400E">
        <w:t>given the relatively high failure rate of</w:t>
      </w:r>
      <w:r w:rsidR="00E66E9D">
        <w:t xml:space="preserve"> start-ups and small businesses</w:t>
      </w:r>
      <w:r w:rsidR="00D6400E">
        <w:t xml:space="preserve">). </w:t>
      </w:r>
    </w:p>
    <w:p w14:paraId="2BC66497" w14:textId="6DABBAD0" w:rsidR="00966DA9" w:rsidRPr="00F63766" w:rsidRDefault="00966DA9">
      <w:pPr>
        <w:pStyle w:val="base-text-paragraph"/>
      </w:pPr>
      <w:r>
        <w:t xml:space="preserve">The penalty </w:t>
      </w:r>
      <w:r w:rsidR="00D73FA7">
        <w:t xml:space="preserve">of 30 penalty units </w:t>
      </w:r>
      <w:r>
        <w:t xml:space="preserve">complies with the </w:t>
      </w:r>
      <w:r w:rsidR="00020159">
        <w:t>Government’s</w:t>
      </w:r>
      <w:r w:rsidR="00020159" w:rsidRPr="00F63766">
        <w:t xml:space="preserve"> </w:t>
      </w:r>
      <w:r w:rsidR="00020159" w:rsidRPr="00B96F32">
        <w:rPr>
          <w:i/>
        </w:rPr>
        <w:t>Guide to Framing Commonwealth Offences, Infringement Notices and Enforcement Powers</w:t>
      </w:r>
      <w:r>
        <w:t xml:space="preserve"> as it is below the </w:t>
      </w:r>
      <w:r w:rsidR="00C81ADB">
        <w:t xml:space="preserve">recommended </w:t>
      </w:r>
      <w:r>
        <w:t xml:space="preserve">maximum penalty of </w:t>
      </w:r>
      <w:r w:rsidR="007933A1">
        <w:t xml:space="preserve">60 </w:t>
      </w:r>
      <w:r>
        <w:t xml:space="preserve">penalty units and does not include a term of imprisonment. </w:t>
      </w:r>
    </w:p>
    <w:p w14:paraId="7C454D7B" w14:textId="12059BFD" w:rsidR="00E27590" w:rsidRPr="00F63766" w:rsidRDefault="00E27590" w:rsidP="00E27590">
      <w:pPr>
        <w:pStyle w:val="Heading3"/>
      </w:pPr>
      <w:r w:rsidRPr="00F63766">
        <w:t xml:space="preserve">Prohibition on hawking </w:t>
      </w:r>
      <w:r w:rsidR="00AE421E">
        <w:t>securities</w:t>
      </w:r>
    </w:p>
    <w:p w14:paraId="5A283F2C" w14:textId="636439C8" w:rsidR="00F91FEE" w:rsidRDefault="00212930" w:rsidP="00FF5264">
      <w:pPr>
        <w:pStyle w:val="base-text-paragraph"/>
      </w:pPr>
      <w:r>
        <w:t xml:space="preserve">Section 736 </w:t>
      </w:r>
      <w:r w:rsidR="00F91FEE">
        <w:t>prohibits a person from offering securities for issue (or sale) in the course of, or because of, an unsolicited</w:t>
      </w:r>
      <w:r w:rsidR="006E0C9C">
        <w:t xml:space="preserve"> meeting or telephone call. </w:t>
      </w:r>
      <w:r w:rsidR="00F91FEE">
        <w:t>The prohibition on securities hawking</w:t>
      </w:r>
      <w:r w:rsidR="005748C4">
        <w:t xml:space="preserve"> in Part 6D.3</w:t>
      </w:r>
      <w:r w:rsidR="00F91FEE">
        <w:t xml:space="preserve"> is an important safeguard </w:t>
      </w:r>
      <w:r w:rsidR="00F91FEE" w:rsidRPr="00F63766">
        <w:t xml:space="preserve">against </w:t>
      </w:r>
      <w:r w:rsidR="00F91FEE">
        <w:t>a person</w:t>
      </w:r>
      <w:r w:rsidR="00F91FEE" w:rsidRPr="00F63766">
        <w:t xml:space="preserve"> being pressured into acquiring securities without </w:t>
      </w:r>
      <w:r w:rsidR="00F91FEE">
        <w:t xml:space="preserve">potentially </w:t>
      </w:r>
      <w:r w:rsidR="00F91FEE" w:rsidRPr="00F63766">
        <w:t xml:space="preserve">having all of the information to make an informed decision </w:t>
      </w:r>
      <w:r w:rsidR="00F91FEE">
        <w:t>or the benefits of</w:t>
      </w:r>
      <w:r w:rsidR="00F91FEE" w:rsidRPr="00F63766">
        <w:t xml:space="preserve"> the protections offered under the CSF regime</w:t>
      </w:r>
      <w:r w:rsidR="00F91FEE">
        <w:t xml:space="preserve">. </w:t>
      </w:r>
    </w:p>
    <w:p w14:paraId="35BA1588" w14:textId="77777777" w:rsidR="003A1462" w:rsidRDefault="003A1462">
      <w:pPr>
        <w:spacing w:before="0" w:after="0"/>
      </w:pPr>
      <w:r>
        <w:br w:type="page"/>
      </w:r>
    </w:p>
    <w:p w14:paraId="3B20C291" w14:textId="0315AD52" w:rsidR="008B4048" w:rsidRDefault="00742D53" w:rsidP="008B4048">
      <w:pPr>
        <w:pStyle w:val="base-text-paragraph"/>
      </w:pPr>
      <w:r>
        <w:t xml:space="preserve">The prohibition has not been specifically amended to apply to CSF offers because CSF </w:t>
      </w:r>
      <w:r w:rsidR="00787409">
        <w:t>offers can only be</w:t>
      </w:r>
      <w:r>
        <w:t xml:space="preserve"> made via an intermediary’s platform. Nevertheless, </w:t>
      </w:r>
      <w:r w:rsidR="008B4048">
        <w:t xml:space="preserve">it is possible for the securities </w:t>
      </w:r>
      <w:r w:rsidR="00812766">
        <w:t xml:space="preserve">hawking </w:t>
      </w:r>
      <w:r w:rsidR="008B4048">
        <w:t>prohibition to apply to securities under a CSF offer where the offer actually made in the</w:t>
      </w:r>
      <w:r w:rsidR="003D21AD">
        <w:t xml:space="preserve"> </w:t>
      </w:r>
      <w:r w:rsidR="008B4048">
        <w:t xml:space="preserve">course of the unsolicited meeting or telephone call is </w:t>
      </w:r>
      <w:r w:rsidR="008B4048" w:rsidRPr="00B724E8">
        <w:rPr>
          <w:i/>
        </w:rPr>
        <w:t>not</w:t>
      </w:r>
      <w:r w:rsidR="008B4048">
        <w:t xml:space="preserve"> expressed to be made as a CSF offer.  In such cases, the offer </w:t>
      </w:r>
      <w:r w:rsidR="008B4048" w:rsidRPr="00916748">
        <w:t xml:space="preserve">will </w:t>
      </w:r>
      <w:r w:rsidR="008B4048">
        <w:t xml:space="preserve">not be a CSF offer and </w:t>
      </w:r>
      <w:r w:rsidR="008B4048" w:rsidRPr="00FF5264">
        <w:rPr>
          <w:i/>
        </w:rPr>
        <w:t>will</w:t>
      </w:r>
      <w:r w:rsidR="008B4048">
        <w:t>, therefore, be covered by the securities hawking prohibition</w:t>
      </w:r>
      <w:r w:rsidR="00A00314">
        <w:t xml:space="preserve"> in section 736</w:t>
      </w:r>
      <w:r w:rsidR="008B4048">
        <w:t xml:space="preserve">.  </w:t>
      </w:r>
    </w:p>
    <w:p w14:paraId="710AB8AF" w14:textId="702AC255" w:rsidR="00E27590" w:rsidRPr="00F63766" w:rsidRDefault="006E0C9C" w:rsidP="00FF5264">
      <w:pPr>
        <w:pStyle w:val="base-text-paragraph"/>
      </w:pPr>
      <w:r>
        <w:t>Where the person offering the s</w:t>
      </w:r>
      <w:r w:rsidR="00906749">
        <w:t>ecurities does so in a way that the offer is</w:t>
      </w:r>
      <w:r w:rsidR="008A1500">
        <w:t xml:space="preserve"> expressed</w:t>
      </w:r>
      <w:r w:rsidR="00906749">
        <w:t xml:space="preserve"> as a CSF offer</w:t>
      </w:r>
      <w:r w:rsidR="00B5353D">
        <w:t xml:space="preserve"> (and the offer is eligible to be made as a CSF offer)</w:t>
      </w:r>
      <w:r w:rsidR="00906749">
        <w:t>, t</w:t>
      </w:r>
      <w:r>
        <w:t xml:space="preserve">he prohibition on securities hawking </w:t>
      </w:r>
      <w:r w:rsidR="00906749">
        <w:t>will not apply</w:t>
      </w:r>
      <w:r w:rsidR="00015B78">
        <w:t xml:space="preserve"> (refer to paragraph 2.10)</w:t>
      </w:r>
      <w:r>
        <w:t xml:space="preserve">. However, </w:t>
      </w:r>
      <w:r w:rsidR="00906749">
        <w:t>as the C</w:t>
      </w:r>
      <w:r>
        <w:t xml:space="preserve">SF offer </w:t>
      </w:r>
      <w:r w:rsidR="00906749">
        <w:t xml:space="preserve">would have been </w:t>
      </w:r>
      <w:r>
        <w:t xml:space="preserve">made otherwise than on the platform of an </w:t>
      </w:r>
      <w:r w:rsidR="00906749">
        <w:t>intermediary, the rules regarding how a</w:t>
      </w:r>
      <w:r w:rsidR="00E524CC">
        <w:t xml:space="preserve"> CSF</w:t>
      </w:r>
      <w:r w:rsidR="00906749">
        <w:t xml:space="preserve"> offer must be made </w:t>
      </w:r>
      <w:r w:rsidR="008E55AF">
        <w:t xml:space="preserve">(refer </w:t>
      </w:r>
      <w:r w:rsidR="00FC0D38">
        <w:t>Chapter 4</w:t>
      </w:r>
      <w:r w:rsidR="00577765">
        <w:t xml:space="preserve"> of the Explanatory Memorandum</w:t>
      </w:r>
      <w:r w:rsidR="00FC0D38">
        <w:t>)</w:t>
      </w:r>
      <w:r w:rsidR="008E55AF">
        <w:t xml:space="preserve"> </w:t>
      </w:r>
      <w:r w:rsidR="00906749">
        <w:t xml:space="preserve">will </w:t>
      </w:r>
      <w:r w:rsidR="00E524CC">
        <w:t xml:space="preserve">have been </w:t>
      </w:r>
      <w:r w:rsidR="00916748">
        <w:t>contravened</w:t>
      </w:r>
      <w:r w:rsidR="00BB4724">
        <w:t>, which is an offence</w:t>
      </w:r>
      <w:r w:rsidR="00916748">
        <w:t>.</w:t>
      </w:r>
    </w:p>
    <w:p w14:paraId="13D7648B" w14:textId="3C6A141B" w:rsidR="00392A95" w:rsidRPr="00F63766" w:rsidRDefault="00392A95" w:rsidP="00392A95">
      <w:pPr>
        <w:pStyle w:val="Heading3"/>
      </w:pPr>
      <w:r>
        <w:t>Offering securities of a company that does not exist</w:t>
      </w:r>
    </w:p>
    <w:p w14:paraId="3509DB24" w14:textId="25807B2C" w:rsidR="003F45D5" w:rsidRPr="003F45D5" w:rsidRDefault="00891A0A" w:rsidP="00891A0A">
      <w:pPr>
        <w:pStyle w:val="base-text-paragraph"/>
      </w:pPr>
      <w:r>
        <w:t>The amendments prohibit a</w:t>
      </w:r>
      <w:r w:rsidR="00392A95">
        <w:t xml:space="preserve"> person </w:t>
      </w:r>
      <w:r>
        <w:t xml:space="preserve">from </w:t>
      </w:r>
      <w:r w:rsidR="00392A95">
        <w:t>mak</w:t>
      </w:r>
      <w:r>
        <w:t>ing</w:t>
      </w:r>
      <w:r w:rsidR="00392A95">
        <w:t xml:space="preserve"> an offer expressed as a CSF offer in relation to a company that has not been formed or </w:t>
      </w:r>
      <w:r w:rsidR="003B18BE">
        <w:t xml:space="preserve">that </w:t>
      </w:r>
      <w:r w:rsidR="00392A95">
        <w:t>does not exist</w:t>
      </w:r>
      <w:r>
        <w:t xml:space="preserve"> </w:t>
      </w:r>
      <w:r w:rsidRPr="00F63766">
        <w:rPr>
          <w:b/>
          <w:i/>
          <w:sz w:val="18"/>
        </w:rPr>
        <w:t>[Schedule 1, Part 1, item 1</w:t>
      </w:r>
      <w:r>
        <w:rPr>
          <w:b/>
          <w:i/>
          <w:sz w:val="18"/>
        </w:rPr>
        <w:t>4</w:t>
      </w:r>
      <w:r w:rsidRPr="00F63766">
        <w:rPr>
          <w:b/>
          <w:i/>
          <w:sz w:val="18"/>
        </w:rPr>
        <w:t>, section 738Z</w:t>
      </w:r>
      <w:r>
        <w:rPr>
          <w:b/>
          <w:i/>
          <w:sz w:val="18"/>
        </w:rPr>
        <w:t>F]</w:t>
      </w:r>
      <w:r w:rsidR="00C155D1">
        <w:rPr>
          <w:b/>
          <w:i/>
          <w:sz w:val="18"/>
        </w:rPr>
        <w:t xml:space="preserve">. </w:t>
      </w:r>
      <w:r w:rsidR="00CE01BF" w:rsidRPr="002215D8">
        <w:t>This is comparable to the rule in s</w:t>
      </w:r>
      <w:r w:rsidR="00C155D1" w:rsidRPr="002215D8">
        <w:t>ection 726</w:t>
      </w:r>
      <w:r w:rsidR="00CE01BF">
        <w:t>, which</w:t>
      </w:r>
      <w:r w:rsidR="00C155D1" w:rsidRPr="002215D8">
        <w:t xml:space="preserve"> </w:t>
      </w:r>
      <w:r w:rsidR="00CE01BF">
        <w:t>makes it an</w:t>
      </w:r>
      <w:r w:rsidR="00C155D1" w:rsidRPr="002215D8">
        <w:t xml:space="preserve"> offence </w:t>
      </w:r>
      <w:r w:rsidR="009313CD" w:rsidRPr="002215D8">
        <w:t>for</w:t>
      </w:r>
      <w:r w:rsidR="00C155D1" w:rsidRPr="002215D8">
        <w:t xml:space="preserve"> </w:t>
      </w:r>
      <w:r w:rsidR="00CE01BF">
        <w:t xml:space="preserve">a person to offer securities in a body that has not been formed or that does not exist where the offer requires </w:t>
      </w:r>
      <w:r w:rsidR="00C155D1" w:rsidRPr="002215D8">
        <w:t>disclosure under Part 6D.2</w:t>
      </w:r>
      <w:r w:rsidR="00CE01BF">
        <w:t>. S</w:t>
      </w:r>
      <w:r w:rsidR="009313CD" w:rsidRPr="002215D8">
        <w:t xml:space="preserve">ection 726 does not apply to a CSF offer as </w:t>
      </w:r>
      <w:r w:rsidR="009313CD">
        <w:t>a CSF offer is not</w:t>
      </w:r>
      <w:r w:rsidR="009313CD" w:rsidRPr="002215D8">
        <w:t xml:space="preserve"> an offer requir</w:t>
      </w:r>
      <w:r w:rsidR="004624C3">
        <w:t>ing</w:t>
      </w:r>
      <w:r w:rsidR="009313CD" w:rsidRPr="002215D8">
        <w:t xml:space="preserve"> disclosure under Part</w:t>
      </w:r>
      <w:r w:rsidR="009313CD">
        <w:t> </w:t>
      </w:r>
      <w:r w:rsidR="009313CD" w:rsidRPr="002215D8">
        <w:t>6D.2</w:t>
      </w:r>
      <w:r w:rsidR="00A73200">
        <w:t>, which is why these amendments create a new offence</w:t>
      </w:r>
      <w:r w:rsidR="009313CD" w:rsidRPr="002215D8">
        <w:t>.</w:t>
      </w:r>
      <w:r w:rsidR="009313CD" w:rsidRPr="002215D8" w:rsidDel="009313CD">
        <w:t xml:space="preserve"> </w:t>
      </w:r>
    </w:p>
    <w:p w14:paraId="435BFC33" w14:textId="2F23B1B3" w:rsidR="00E27590" w:rsidRDefault="00B32ADD" w:rsidP="00891A0A">
      <w:pPr>
        <w:pStyle w:val="base-text-paragraph"/>
      </w:pPr>
      <w:r>
        <w:t xml:space="preserve">The offence carries </w:t>
      </w:r>
      <w:r w:rsidR="00916064">
        <w:t xml:space="preserve">a maximum penalty of </w:t>
      </w:r>
      <w:r w:rsidR="00480580">
        <w:t>300 penalty units, five years</w:t>
      </w:r>
      <w:r w:rsidR="00266870">
        <w:t xml:space="preserve"> imprisonment, or both</w:t>
      </w:r>
      <w:r w:rsidR="00891A0A">
        <w:t xml:space="preserve"> </w:t>
      </w:r>
      <w:r w:rsidR="00891A0A" w:rsidRPr="00F63766">
        <w:rPr>
          <w:b/>
          <w:i/>
          <w:sz w:val="18"/>
        </w:rPr>
        <w:t>[Schedule 1, Part 1, item 34</w:t>
      </w:r>
      <w:r w:rsidR="00891A0A">
        <w:rPr>
          <w:b/>
          <w:i/>
          <w:sz w:val="18"/>
        </w:rPr>
        <w:t>, item</w:t>
      </w:r>
      <w:r w:rsidR="00266870">
        <w:rPr>
          <w:b/>
          <w:i/>
          <w:sz w:val="18"/>
        </w:rPr>
        <w:t> </w:t>
      </w:r>
      <w:r w:rsidR="00891A0A">
        <w:rPr>
          <w:b/>
          <w:i/>
          <w:sz w:val="18"/>
        </w:rPr>
        <w:t>245</w:t>
      </w:r>
      <w:r w:rsidR="00266870">
        <w:rPr>
          <w:b/>
          <w:i/>
          <w:sz w:val="18"/>
        </w:rPr>
        <w:t>S</w:t>
      </w:r>
      <w:r w:rsidR="00891A0A">
        <w:rPr>
          <w:b/>
          <w:i/>
          <w:sz w:val="18"/>
        </w:rPr>
        <w:t xml:space="preserve"> in the table to Schedule 3</w:t>
      </w:r>
      <w:r w:rsidR="00891A0A" w:rsidRPr="00F63766">
        <w:rPr>
          <w:b/>
          <w:i/>
          <w:sz w:val="18"/>
        </w:rPr>
        <w:t>]</w:t>
      </w:r>
      <w:r w:rsidR="00891A0A" w:rsidRPr="00F63766">
        <w:t>.</w:t>
      </w:r>
    </w:p>
    <w:p w14:paraId="2B624ADC" w14:textId="51D64E65" w:rsidR="00137287" w:rsidRDefault="00DD2D00" w:rsidP="00137287">
      <w:pPr>
        <w:pStyle w:val="Heading3"/>
      </w:pPr>
      <w:r>
        <w:t>ASIC s</w:t>
      </w:r>
      <w:r w:rsidR="00137287">
        <w:t xml:space="preserve">top order powers </w:t>
      </w:r>
    </w:p>
    <w:p w14:paraId="539353C1" w14:textId="7C23D174" w:rsidR="007D7884" w:rsidRPr="007D7884" w:rsidRDefault="007D7884" w:rsidP="007D7884">
      <w:pPr>
        <w:pStyle w:val="Heading4"/>
      </w:pPr>
      <w:r>
        <w:t>De</w:t>
      </w:r>
      <w:r w:rsidR="00EF1D39">
        <w:t>fective advertising of CSF offers</w:t>
      </w:r>
    </w:p>
    <w:p w14:paraId="4DBEE8C9" w14:textId="0C5DC559" w:rsidR="00E200BF" w:rsidRDefault="00DD2D00" w:rsidP="00DD2D00">
      <w:pPr>
        <w:pStyle w:val="base-text-paragraph"/>
      </w:pPr>
      <w:r>
        <w:t xml:space="preserve">ASIC’s stop order powers have been extended so that they apply where an advertisement or publication for a CSF offer or intended offer is defective because there is a misleading or deceptive statement in the advertisement, or the advertisement does not include the required statement advising that a person should, in considering whether to apply for the offer, consider the CSF offer document and </w:t>
      </w:r>
      <w:r w:rsidR="007C3619">
        <w:t xml:space="preserve">general CSF </w:t>
      </w:r>
      <w:r>
        <w:t xml:space="preserve">risk warning </w:t>
      </w:r>
      <w:r w:rsidRPr="00F63766">
        <w:rPr>
          <w:b/>
          <w:i/>
          <w:sz w:val="18"/>
        </w:rPr>
        <w:t>[Schedule</w:t>
      </w:r>
      <w:r>
        <w:rPr>
          <w:b/>
          <w:i/>
          <w:sz w:val="18"/>
        </w:rPr>
        <w:t> </w:t>
      </w:r>
      <w:r w:rsidRPr="00F63766">
        <w:rPr>
          <w:b/>
          <w:i/>
          <w:sz w:val="18"/>
        </w:rPr>
        <w:t xml:space="preserve">1, Part 1, </w:t>
      </w:r>
      <w:r>
        <w:rPr>
          <w:b/>
          <w:i/>
          <w:sz w:val="18"/>
        </w:rPr>
        <w:t>items 15</w:t>
      </w:r>
      <w:r w:rsidRPr="00F63766">
        <w:rPr>
          <w:b/>
          <w:i/>
          <w:sz w:val="18"/>
        </w:rPr>
        <w:t>,</w:t>
      </w:r>
      <w:r>
        <w:rPr>
          <w:b/>
          <w:i/>
          <w:sz w:val="18"/>
        </w:rPr>
        <w:t xml:space="preserve"> 18 and 19,</w:t>
      </w:r>
      <w:r w:rsidRPr="00F63766">
        <w:rPr>
          <w:b/>
          <w:i/>
          <w:sz w:val="18"/>
        </w:rPr>
        <w:t xml:space="preserve"> </w:t>
      </w:r>
      <w:r>
        <w:rPr>
          <w:b/>
          <w:i/>
          <w:sz w:val="18"/>
        </w:rPr>
        <w:t>paragraph</w:t>
      </w:r>
      <w:r w:rsidRPr="00F63766">
        <w:rPr>
          <w:b/>
          <w:i/>
          <w:sz w:val="18"/>
        </w:rPr>
        <w:t> 73</w:t>
      </w:r>
      <w:r>
        <w:rPr>
          <w:b/>
          <w:i/>
          <w:sz w:val="18"/>
        </w:rPr>
        <w:t>9(1)(f), subsection 739(6) and paragraph 739(6)(c)</w:t>
      </w:r>
      <w:r w:rsidRPr="00F63766">
        <w:rPr>
          <w:b/>
          <w:i/>
          <w:sz w:val="18"/>
        </w:rPr>
        <w:t>]</w:t>
      </w:r>
      <w:r w:rsidRPr="00F63766">
        <w:t>.</w:t>
      </w:r>
      <w:r>
        <w:t xml:space="preserve">  </w:t>
      </w:r>
    </w:p>
    <w:p w14:paraId="1F72E0D6" w14:textId="6EDA6258" w:rsidR="00DD2D00" w:rsidRDefault="00E200BF" w:rsidP="00DD2D00">
      <w:pPr>
        <w:pStyle w:val="base-text-paragraph"/>
      </w:pPr>
      <w:r>
        <w:t xml:space="preserve">Where the advertisement is defective, </w:t>
      </w:r>
      <w:r w:rsidR="00DD2D00">
        <w:t xml:space="preserve">ASIC may order </w:t>
      </w:r>
      <w:r>
        <w:t>may that the relevant conduct specified in the stop</w:t>
      </w:r>
      <w:r w:rsidR="00CD18C8">
        <w:t xml:space="preserve"> order must not be engaged in. </w:t>
      </w:r>
      <w:r w:rsidR="00DD2D00" w:rsidRPr="00F63766">
        <w:rPr>
          <w:b/>
          <w:i/>
          <w:sz w:val="18"/>
        </w:rPr>
        <w:t xml:space="preserve">[Schedule 1, Part 1, </w:t>
      </w:r>
      <w:r w:rsidR="00DD2D00">
        <w:rPr>
          <w:b/>
          <w:i/>
          <w:sz w:val="18"/>
        </w:rPr>
        <w:t>item 1</w:t>
      </w:r>
      <w:r w:rsidR="008C7A72">
        <w:rPr>
          <w:b/>
          <w:i/>
          <w:sz w:val="18"/>
        </w:rPr>
        <w:t>7</w:t>
      </w:r>
      <w:r w:rsidR="00DD2D00" w:rsidRPr="00F63766">
        <w:rPr>
          <w:b/>
          <w:i/>
          <w:sz w:val="18"/>
        </w:rPr>
        <w:t xml:space="preserve">, </w:t>
      </w:r>
      <w:r w:rsidR="00DD2D00">
        <w:rPr>
          <w:b/>
          <w:i/>
          <w:sz w:val="18"/>
        </w:rPr>
        <w:t>paragraph</w:t>
      </w:r>
      <w:r w:rsidR="00DD2D00" w:rsidRPr="00F63766">
        <w:rPr>
          <w:b/>
          <w:i/>
          <w:sz w:val="18"/>
        </w:rPr>
        <w:t> 73</w:t>
      </w:r>
      <w:r w:rsidR="00DD2D00">
        <w:rPr>
          <w:b/>
          <w:i/>
          <w:sz w:val="18"/>
        </w:rPr>
        <w:t>9(1A)(</w:t>
      </w:r>
      <w:r w:rsidR="008C7A72">
        <w:rPr>
          <w:b/>
          <w:i/>
          <w:sz w:val="18"/>
        </w:rPr>
        <w:t>b</w:t>
      </w:r>
      <w:r w:rsidR="00DD2D00">
        <w:rPr>
          <w:b/>
          <w:i/>
          <w:sz w:val="18"/>
        </w:rPr>
        <w:t>)</w:t>
      </w:r>
      <w:r w:rsidR="00DD2D00" w:rsidRPr="00F63766">
        <w:rPr>
          <w:b/>
          <w:i/>
          <w:sz w:val="18"/>
        </w:rPr>
        <w:t>]</w:t>
      </w:r>
    </w:p>
    <w:p w14:paraId="0E7973D6" w14:textId="5C06862E" w:rsidR="00D62714" w:rsidRDefault="00D62714" w:rsidP="00D62714">
      <w:pPr>
        <w:pStyle w:val="Heading4"/>
      </w:pPr>
      <w:r>
        <w:t>Offers expressed as, but not eligible to be, CSF offers</w:t>
      </w:r>
    </w:p>
    <w:p w14:paraId="2DDBFDA3" w14:textId="77777777" w:rsidR="008C7A72" w:rsidRDefault="00C116DF" w:rsidP="00D71448">
      <w:pPr>
        <w:pStyle w:val="base-text-paragraph"/>
        <w:numPr>
          <w:ilvl w:val="1"/>
          <w:numId w:val="49"/>
        </w:numPr>
      </w:pPr>
      <w:r>
        <w:t xml:space="preserve">The amendments extend </w:t>
      </w:r>
      <w:r w:rsidR="00137287">
        <w:t xml:space="preserve">ASIC’s stop order powers so that they apply </w:t>
      </w:r>
      <w:r w:rsidR="00B32338">
        <w:t xml:space="preserve">to </w:t>
      </w:r>
      <w:r w:rsidR="00137287">
        <w:t xml:space="preserve">offers </w:t>
      </w:r>
      <w:r w:rsidR="00B32338">
        <w:t xml:space="preserve">expressed to be made as CSF offers but that are not eligible to be made as CSF offers </w:t>
      </w:r>
      <w:r w:rsidR="00137287" w:rsidRPr="00D71448">
        <w:rPr>
          <w:b/>
          <w:i/>
          <w:sz w:val="18"/>
        </w:rPr>
        <w:t>[Schedule 1, Part 1, item 15, paragraph 739(1)(</w:t>
      </w:r>
      <w:r w:rsidR="000C2FB5" w:rsidRPr="00D71448">
        <w:rPr>
          <w:b/>
          <w:i/>
          <w:sz w:val="18"/>
        </w:rPr>
        <w:t>g</w:t>
      </w:r>
      <w:r w:rsidR="00137287" w:rsidRPr="00D71448">
        <w:rPr>
          <w:b/>
          <w:i/>
          <w:sz w:val="18"/>
        </w:rPr>
        <w:t>)]</w:t>
      </w:r>
      <w:r w:rsidR="00137287" w:rsidRPr="00F63766">
        <w:t>.</w:t>
      </w:r>
      <w:r w:rsidR="00137287">
        <w:t xml:space="preserve"> </w:t>
      </w:r>
    </w:p>
    <w:p w14:paraId="74DE94AA" w14:textId="78A367E0" w:rsidR="00137287" w:rsidRPr="0075415B" w:rsidRDefault="00137287" w:rsidP="00D71448">
      <w:pPr>
        <w:pStyle w:val="base-text-paragraph"/>
        <w:numPr>
          <w:ilvl w:val="1"/>
          <w:numId w:val="49"/>
        </w:numPr>
        <w:rPr>
          <w:rStyle w:val="Referencingstyle"/>
        </w:rPr>
      </w:pPr>
      <w:r>
        <w:t xml:space="preserve">ASIC may order that no offers, issues, sales or transfers of the securities are to take place while the order is in force </w:t>
      </w:r>
      <w:r w:rsidRPr="0075415B">
        <w:rPr>
          <w:rStyle w:val="Referencingstyle"/>
        </w:rPr>
        <w:t>[Schedule 1, Part 1, item</w:t>
      </w:r>
      <w:r w:rsidR="0075415B" w:rsidRPr="0075415B">
        <w:rPr>
          <w:rStyle w:val="Referencingstyle"/>
        </w:rPr>
        <w:t> </w:t>
      </w:r>
      <w:r w:rsidRPr="0075415B">
        <w:rPr>
          <w:rStyle w:val="Referencingstyle"/>
        </w:rPr>
        <w:t>16, paragraph 739(1A</w:t>
      </w:r>
      <w:proofErr w:type="gramStart"/>
      <w:r w:rsidRPr="0075415B">
        <w:rPr>
          <w:rStyle w:val="Referencingstyle"/>
        </w:rPr>
        <w:t>)(</w:t>
      </w:r>
      <w:proofErr w:type="gramEnd"/>
      <w:r w:rsidRPr="0075415B">
        <w:rPr>
          <w:rStyle w:val="Referencingstyle"/>
        </w:rPr>
        <w:t xml:space="preserve">a)].  </w:t>
      </w:r>
    </w:p>
    <w:p w14:paraId="2E94A342" w14:textId="77777777" w:rsidR="007E4E3B" w:rsidRDefault="007E4E3B" w:rsidP="007E4E3B">
      <w:pPr>
        <w:pStyle w:val="Heading2"/>
      </w:pPr>
      <w:r>
        <w:t>Consequential amendments</w:t>
      </w:r>
    </w:p>
    <w:p w14:paraId="66AA7300" w14:textId="18FE83BB" w:rsidR="00750594" w:rsidRDefault="007E4E3B" w:rsidP="00750594">
      <w:pPr>
        <w:pStyle w:val="base-text-paragraph"/>
        <w:numPr>
          <w:ilvl w:val="1"/>
          <w:numId w:val="49"/>
        </w:numPr>
        <w:rPr>
          <w:rStyle w:val="Referencingstyle"/>
        </w:rPr>
      </w:pPr>
      <w:r w:rsidRPr="007C3E80">
        <w:t xml:space="preserve">A consequential </w:t>
      </w:r>
      <w:r>
        <w:t>amendment</w:t>
      </w:r>
      <w:r w:rsidRPr="007C3E80">
        <w:t xml:space="preserve"> has been made to </w:t>
      </w:r>
      <w:r>
        <w:t xml:space="preserve">one of the exceptions to the </w:t>
      </w:r>
      <w:r w:rsidR="002438CE">
        <w:t xml:space="preserve">existing </w:t>
      </w:r>
      <w:r>
        <w:t xml:space="preserve">advertising restrictions in Part 6D.3 to add CSF offer documents.  The consequential </w:t>
      </w:r>
      <w:r w:rsidR="00CC5B2B">
        <w:t xml:space="preserve">amendment </w:t>
      </w:r>
      <w:r w:rsidR="00CB17F1">
        <w:t xml:space="preserve">is intended to cover the situation </w:t>
      </w:r>
      <w:r>
        <w:t xml:space="preserve">where a company has made both </w:t>
      </w:r>
      <w:r w:rsidR="00F42A62">
        <w:t xml:space="preserve">a </w:t>
      </w:r>
      <w:r>
        <w:t xml:space="preserve">CSF offer and </w:t>
      </w:r>
      <w:r w:rsidR="00F42A62">
        <w:t>an</w:t>
      </w:r>
      <w:r>
        <w:t xml:space="preserve"> offer requiring disclosure under Chapter 6D. </w:t>
      </w:r>
      <w:r w:rsidR="004B3891">
        <w:t xml:space="preserve">A </w:t>
      </w:r>
      <w:r>
        <w:t>reference to both offers in a report of the company could breach both the advertising restrictions in the CSF regime as well as the existing restrictions applying to advertising of disclosure documents. The effect of the consequential amendment is that a report about a company that does not contain material information about the company that has not previously been included in a Chapter</w:t>
      </w:r>
      <w:r w:rsidR="00194AF3">
        <w:t> </w:t>
      </w:r>
      <w:r>
        <w:t>6D</w:t>
      </w:r>
      <w:r w:rsidR="00C4735C">
        <w:t> </w:t>
      </w:r>
      <w:r w:rsidR="00A07E17">
        <w:t>disclosure</w:t>
      </w:r>
      <w:r>
        <w:t xml:space="preserve"> </w:t>
      </w:r>
      <w:proofErr w:type="gramStart"/>
      <w:r>
        <w:t>document</w:t>
      </w:r>
      <w:proofErr w:type="gramEnd"/>
      <w:r>
        <w:t xml:space="preserve"> </w:t>
      </w:r>
      <w:r w:rsidRPr="007E4E3B">
        <w:rPr>
          <w:i/>
        </w:rPr>
        <w:t xml:space="preserve">or a CSF offer document </w:t>
      </w:r>
      <w:r w:rsidR="00D42CAB">
        <w:t xml:space="preserve">and that does not refer to the offers </w:t>
      </w:r>
      <w:r>
        <w:t>will not contravene the existing adver</w:t>
      </w:r>
      <w:r w:rsidR="00A07E17">
        <w:t>tising restrictions in Part</w:t>
      </w:r>
      <w:r w:rsidR="00C4735C">
        <w:t> </w:t>
      </w:r>
      <w:r w:rsidR="00A07E17">
        <w:t>6D.3</w:t>
      </w:r>
      <w:r>
        <w:t>.</w:t>
      </w:r>
      <w:r w:rsidR="00750594">
        <w:t xml:space="preserve"> </w:t>
      </w:r>
      <w:r w:rsidR="00750594" w:rsidRPr="0075415B">
        <w:rPr>
          <w:rStyle w:val="Referencingstyle"/>
        </w:rPr>
        <w:t>[Schedule 1, Part 1, item 1</w:t>
      </w:r>
      <w:r w:rsidR="00750594">
        <w:rPr>
          <w:rStyle w:val="Referencingstyle"/>
        </w:rPr>
        <w:t>3</w:t>
      </w:r>
      <w:r w:rsidR="00750594" w:rsidRPr="0075415B">
        <w:rPr>
          <w:rStyle w:val="Referencingstyle"/>
        </w:rPr>
        <w:t>,</w:t>
      </w:r>
      <w:r w:rsidR="003E7655">
        <w:rPr>
          <w:rStyle w:val="Referencingstyle"/>
        </w:rPr>
        <w:t> </w:t>
      </w:r>
      <w:r w:rsidR="00750594">
        <w:rPr>
          <w:rStyle w:val="Referencingstyle"/>
        </w:rPr>
        <w:t>sub</w:t>
      </w:r>
      <w:r w:rsidR="00750594" w:rsidRPr="0075415B">
        <w:rPr>
          <w:rStyle w:val="Referencingstyle"/>
        </w:rPr>
        <w:t>paragraph 73</w:t>
      </w:r>
      <w:r w:rsidR="00750594">
        <w:rPr>
          <w:rStyle w:val="Referencingstyle"/>
        </w:rPr>
        <w:t>4</w:t>
      </w:r>
      <w:r w:rsidR="00750594" w:rsidRPr="0075415B">
        <w:rPr>
          <w:rStyle w:val="Referencingstyle"/>
        </w:rPr>
        <w:t>(</w:t>
      </w:r>
      <w:r w:rsidR="00750594">
        <w:rPr>
          <w:rStyle w:val="Referencingstyle"/>
        </w:rPr>
        <w:t>7</w:t>
      </w:r>
      <w:r w:rsidR="00750594" w:rsidRPr="0075415B">
        <w:rPr>
          <w:rStyle w:val="Referencingstyle"/>
        </w:rPr>
        <w:t>)(</w:t>
      </w:r>
      <w:r w:rsidR="00750594">
        <w:rPr>
          <w:rStyle w:val="Referencingstyle"/>
        </w:rPr>
        <w:t>c</w:t>
      </w:r>
      <w:r w:rsidR="00750594" w:rsidRPr="0075415B">
        <w:rPr>
          <w:rStyle w:val="Referencingstyle"/>
        </w:rPr>
        <w:t>)</w:t>
      </w:r>
      <w:r w:rsidR="00750594">
        <w:rPr>
          <w:rStyle w:val="Referencingstyle"/>
        </w:rPr>
        <w:t>(</w:t>
      </w:r>
      <w:proofErr w:type="spellStart"/>
      <w:r w:rsidR="00750594">
        <w:rPr>
          <w:rStyle w:val="Referencingstyle"/>
        </w:rPr>
        <w:t>i</w:t>
      </w:r>
      <w:proofErr w:type="spellEnd"/>
      <w:r w:rsidR="00750594">
        <w:rPr>
          <w:rStyle w:val="Referencingstyle"/>
        </w:rPr>
        <w:t>)</w:t>
      </w:r>
      <w:r w:rsidR="00CD18C8">
        <w:rPr>
          <w:rStyle w:val="Referencingstyle"/>
        </w:rPr>
        <w:t>]</w:t>
      </w:r>
      <w:r w:rsidR="00750594" w:rsidRPr="0075415B">
        <w:rPr>
          <w:rStyle w:val="Referencingstyle"/>
        </w:rPr>
        <w:t xml:space="preserve"> </w:t>
      </w:r>
    </w:p>
    <w:p w14:paraId="1286AFBE" w14:textId="07456D24" w:rsidR="00891A0A" w:rsidRDefault="00381ADF" w:rsidP="009C2662">
      <w:pPr>
        <w:pStyle w:val="base-text-paragraph"/>
      </w:pPr>
      <w:r>
        <w:t>C</w:t>
      </w:r>
      <w:r w:rsidR="000A72CD">
        <w:t>onsequential amendment</w:t>
      </w:r>
      <w:r>
        <w:t>s</w:t>
      </w:r>
      <w:r w:rsidR="000A72CD">
        <w:t xml:space="preserve"> ha</w:t>
      </w:r>
      <w:r>
        <w:t>ve</w:t>
      </w:r>
      <w:r w:rsidR="000A72CD">
        <w:t xml:space="preserve"> been made to subsection </w:t>
      </w:r>
      <w:proofErr w:type="gramStart"/>
      <w:r w:rsidR="000A72CD">
        <w:t>1018A(</w:t>
      </w:r>
      <w:proofErr w:type="gramEnd"/>
      <w:r w:rsidR="000A72CD">
        <w:t>4).  Th</w:t>
      </w:r>
      <w:r>
        <w:t>e</w:t>
      </w:r>
      <w:r w:rsidR="000A72CD">
        <w:t xml:space="preserve"> subsection sets out </w:t>
      </w:r>
      <w:r w:rsidR="00791F7C">
        <w:t xml:space="preserve">the </w:t>
      </w:r>
      <w:r w:rsidR="000A72CD">
        <w:t xml:space="preserve">general exceptions to advertising restrictions applying to financial products.  </w:t>
      </w:r>
      <w:r>
        <w:t>An</w:t>
      </w:r>
      <w:r w:rsidR="000A72CD">
        <w:t xml:space="preserve"> existing exception </w:t>
      </w:r>
      <w:r w:rsidR="00791F7C">
        <w:t xml:space="preserve">for </w:t>
      </w:r>
      <w:r w:rsidR="000A72CD">
        <w:t>reports by the issuer where information was previously made available in a disclosure document lodged with ASIC has been extended to</w:t>
      </w:r>
      <w:r w:rsidR="00E4197D">
        <w:t xml:space="preserve"> </w:t>
      </w:r>
      <w:r w:rsidR="000A72CD">
        <w:t>include</w:t>
      </w:r>
      <w:r w:rsidR="00E4197D">
        <w:t xml:space="preserve"> </w:t>
      </w:r>
      <w:r w:rsidR="000A72CD">
        <w:t>CSF offer document</w:t>
      </w:r>
      <w:r w:rsidR="00E4197D">
        <w:t>s</w:t>
      </w:r>
      <w:r w:rsidR="000A72CD">
        <w:t>.</w:t>
      </w:r>
      <w:r>
        <w:t xml:space="preserve"> An exception for news reports, or genuine comment, in the media relating to information contained in a disclosure document lodged with ASIC has been extended to include CSF offer documents.</w:t>
      </w:r>
      <w:r w:rsidR="000A72CD">
        <w:t xml:space="preserve"> </w:t>
      </w:r>
      <w:r w:rsidR="008364CB" w:rsidRPr="0075415B">
        <w:rPr>
          <w:rStyle w:val="Referencingstyle"/>
        </w:rPr>
        <w:t>[Schedule 1, Part 1, item</w:t>
      </w:r>
      <w:r w:rsidR="001F0FB4">
        <w:rPr>
          <w:rStyle w:val="Referencingstyle"/>
        </w:rPr>
        <w:t>s</w:t>
      </w:r>
      <w:r w:rsidR="008364CB" w:rsidRPr="0075415B">
        <w:rPr>
          <w:rStyle w:val="Referencingstyle"/>
        </w:rPr>
        <w:t> </w:t>
      </w:r>
      <w:r w:rsidR="008364CB">
        <w:rPr>
          <w:rStyle w:val="Referencingstyle"/>
        </w:rPr>
        <w:t>28</w:t>
      </w:r>
      <w:r w:rsidR="001F0FB4">
        <w:rPr>
          <w:rStyle w:val="Referencingstyle"/>
        </w:rPr>
        <w:t xml:space="preserve"> and 29</w:t>
      </w:r>
      <w:r w:rsidR="008364CB" w:rsidRPr="0075415B">
        <w:rPr>
          <w:rStyle w:val="Referencingstyle"/>
        </w:rPr>
        <w:t>,</w:t>
      </w:r>
      <w:r w:rsidR="008364CB">
        <w:rPr>
          <w:rStyle w:val="Referencingstyle"/>
        </w:rPr>
        <w:t xml:space="preserve"> sub</w:t>
      </w:r>
      <w:r w:rsidR="008364CB" w:rsidRPr="0075415B">
        <w:rPr>
          <w:rStyle w:val="Referencingstyle"/>
        </w:rPr>
        <w:t>paragraph</w:t>
      </w:r>
      <w:r w:rsidR="003356BA">
        <w:rPr>
          <w:rStyle w:val="Referencingstyle"/>
        </w:rPr>
        <w:t>s</w:t>
      </w:r>
      <w:r w:rsidR="008364CB" w:rsidRPr="0075415B">
        <w:rPr>
          <w:rStyle w:val="Referencingstyle"/>
        </w:rPr>
        <w:t> </w:t>
      </w:r>
      <w:r w:rsidR="008364CB">
        <w:rPr>
          <w:rStyle w:val="Referencingstyle"/>
        </w:rPr>
        <w:t>1018A</w:t>
      </w:r>
      <w:r w:rsidR="008364CB" w:rsidRPr="0075415B">
        <w:rPr>
          <w:rStyle w:val="Referencingstyle"/>
        </w:rPr>
        <w:t>(</w:t>
      </w:r>
      <w:r w:rsidR="008364CB">
        <w:rPr>
          <w:rStyle w:val="Referencingstyle"/>
        </w:rPr>
        <w:t>4</w:t>
      </w:r>
      <w:r w:rsidR="008364CB" w:rsidRPr="0075415B">
        <w:rPr>
          <w:rStyle w:val="Referencingstyle"/>
        </w:rPr>
        <w:t>)(</w:t>
      </w:r>
      <w:r w:rsidR="008364CB">
        <w:rPr>
          <w:rStyle w:val="Referencingstyle"/>
        </w:rPr>
        <w:t>c</w:t>
      </w:r>
      <w:r w:rsidR="008364CB" w:rsidRPr="0075415B">
        <w:rPr>
          <w:rStyle w:val="Referencingstyle"/>
        </w:rPr>
        <w:t>)</w:t>
      </w:r>
      <w:r w:rsidR="008364CB">
        <w:rPr>
          <w:rStyle w:val="Referencingstyle"/>
        </w:rPr>
        <w:t>(</w:t>
      </w:r>
      <w:proofErr w:type="spellStart"/>
      <w:r w:rsidR="008364CB">
        <w:rPr>
          <w:rStyle w:val="Referencingstyle"/>
        </w:rPr>
        <w:t>i</w:t>
      </w:r>
      <w:proofErr w:type="spellEnd"/>
      <w:r w:rsidR="008364CB">
        <w:rPr>
          <w:rStyle w:val="Referencingstyle"/>
        </w:rPr>
        <w:t>)</w:t>
      </w:r>
      <w:r w:rsidR="003356BA">
        <w:rPr>
          <w:rStyle w:val="Referencingstyle"/>
        </w:rPr>
        <w:t xml:space="preserve"> and 1018A</w:t>
      </w:r>
      <w:r w:rsidR="003356BA" w:rsidRPr="0075415B">
        <w:rPr>
          <w:rStyle w:val="Referencingstyle"/>
        </w:rPr>
        <w:t>(</w:t>
      </w:r>
      <w:r w:rsidR="003356BA">
        <w:rPr>
          <w:rStyle w:val="Referencingstyle"/>
        </w:rPr>
        <w:t>4</w:t>
      </w:r>
      <w:r w:rsidR="003356BA" w:rsidRPr="0075415B">
        <w:rPr>
          <w:rStyle w:val="Referencingstyle"/>
        </w:rPr>
        <w:t>)(</w:t>
      </w:r>
      <w:r w:rsidR="003356BA">
        <w:rPr>
          <w:rStyle w:val="Referencingstyle"/>
        </w:rPr>
        <w:t>d</w:t>
      </w:r>
      <w:r w:rsidR="003356BA" w:rsidRPr="0075415B">
        <w:rPr>
          <w:rStyle w:val="Referencingstyle"/>
        </w:rPr>
        <w:t>)</w:t>
      </w:r>
      <w:r w:rsidR="003356BA">
        <w:rPr>
          <w:rStyle w:val="Referencingstyle"/>
        </w:rPr>
        <w:t>(</w:t>
      </w:r>
      <w:proofErr w:type="spellStart"/>
      <w:r w:rsidR="003356BA">
        <w:rPr>
          <w:rStyle w:val="Referencingstyle"/>
        </w:rPr>
        <w:t>i</w:t>
      </w:r>
      <w:proofErr w:type="spellEnd"/>
      <w:r w:rsidR="003356BA">
        <w:rPr>
          <w:rStyle w:val="Referencingstyle"/>
        </w:rPr>
        <w:t>)</w:t>
      </w:r>
      <w:r w:rsidR="00CD18C8">
        <w:rPr>
          <w:rStyle w:val="Referencingstyle"/>
        </w:rPr>
        <w:t>]</w:t>
      </w:r>
      <w:r w:rsidR="008364CB" w:rsidRPr="0075415B">
        <w:rPr>
          <w:rStyle w:val="Referencingstyle"/>
        </w:rPr>
        <w:t xml:space="preserve"> </w:t>
      </w:r>
    </w:p>
    <w:p w14:paraId="378A5BD7" w14:textId="77777777" w:rsidR="00392A95" w:rsidRPr="00F63766" w:rsidRDefault="00392A95" w:rsidP="00B676BE">
      <w:pPr>
        <w:sectPr w:rsidR="00392A95" w:rsidRPr="00F63766" w:rsidSect="00B676BE">
          <w:headerReference w:type="even" r:id="rId52"/>
          <w:headerReference w:type="default" r:id="rId53"/>
          <w:footerReference w:type="even" r:id="rId54"/>
          <w:footerReference w:type="default" r:id="rId55"/>
          <w:footerReference w:type="first" r:id="rId56"/>
          <w:type w:val="oddPage"/>
          <w:pgSz w:w="11906" w:h="16838" w:code="9"/>
          <w:pgMar w:top="2466" w:right="2098" w:bottom="2466" w:left="2098" w:header="1559" w:footer="1899" w:gutter="0"/>
          <w:cols w:space="708"/>
          <w:titlePg/>
          <w:docGrid w:linePitch="360"/>
        </w:sectPr>
      </w:pPr>
    </w:p>
    <w:p w14:paraId="3AE6F649" w14:textId="08577585" w:rsidR="00701469" w:rsidRPr="00F63766" w:rsidRDefault="00701469" w:rsidP="00B676BE">
      <w:pPr>
        <w:pStyle w:val="ChapterHeading"/>
        <w:tabs>
          <w:tab w:val="clear" w:pos="1134"/>
          <w:tab w:val="num" w:pos="360"/>
        </w:tabs>
      </w:pPr>
      <w:r w:rsidRPr="00F63766">
        <w:br/>
      </w:r>
      <w:bookmarkStart w:id="17" w:name="_Toc435701586"/>
      <w:bookmarkStart w:id="18" w:name="_Toc436037556"/>
      <w:r w:rsidRPr="00F63766">
        <w:t xml:space="preserve">Corporate Governance </w:t>
      </w:r>
      <w:r w:rsidR="00D23498">
        <w:t>Concessions</w:t>
      </w:r>
      <w:bookmarkEnd w:id="17"/>
      <w:bookmarkEnd w:id="18"/>
    </w:p>
    <w:p w14:paraId="49832C7B" w14:textId="77777777" w:rsidR="00701469" w:rsidRPr="00F63766" w:rsidRDefault="00701469" w:rsidP="00B676BE">
      <w:pPr>
        <w:pStyle w:val="Heading2"/>
      </w:pPr>
      <w:r w:rsidRPr="00F63766">
        <w:t>Outline of chapter</w:t>
      </w:r>
    </w:p>
    <w:p w14:paraId="484E3BFB" w14:textId="49200FD9" w:rsidR="00701469" w:rsidRPr="00F63766" w:rsidRDefault="00701469" w:rsidP="00701469">
      <w:pPr>
        <w:pStyle w:val="base-text-paragraph"/>
      </w:pPr>
      <w:r w:rsidRPr="00F63766">
        <w:t xml:space="preserve">This Chapter sets out the temporary </w:t>
      </w:r>
      <w:r w:rsidR="003B7C24">
        <w:t>concessions</w:t>
      </w:r>
      <w:r w:rsidRPr="00F63766">
        <w:t xml:space="preserve"> from certain public company corporate governance and reporting requirements available to a new public company that </w:t>
      </w:r>
      <w:r w:rsidR="006952BE">
        <w:t>is</w:t>
      </w:r>
      <w:r w:rsidR="006952BE" w:rsidRPr="00F63766">
        <w:t xml:space="preserve"> </w:t>
      </w:r>
      <w:r w:rsidRPr="00F63766">
        <w:t xml:space="preserve">eligible to crowd fund and </w:t>
      </w:r>
      <w:r w:rsidR="008846BB">
        <w:t xml:space="preserve">has </w:t>
      </w:r>
      <w:r w:rsidR="00C1017F" w:rsidRPr="00F63766">
        <w:t>complete</w:t>
      </w:r>
      <w:r w:rsidR="00C1017F">
        <w:t>s</w:t>
      </w:r>
      <w:r w:rsidR="00C1017F" w:rsidRPr="00F63766">
        <w:t xml:space="preserve"> </w:t>
      </w:r>
      <w:r w:rsidR="002E269A" w:rsidRPr="00F63766">
        <w:t>or intend</w:t>
      </w:r>
      <w:r w:rsidR="008846BB">
        <w:t>s</w:t>
      </w:r>
      <w:r w:rsidR="002E269A" w:rsidRPr="00F63766">
        <w:t xml:space="preserve"> to complete </w:t>
      </w:r>
      <w:r w:rsidRPr="00F63766">
        <w:t xml:space="preserve">a </w:t>
      </w:r>
      <w:r w:rsidR="00BF6A8C" w:rsidRPr="00F63766">
        <w:t>CSF</w:t>
      </w:r>
      <w:r w:rsidRPr="00F63766">
        <w:t xml:space="preserve"> offer within the required time. </w:t>
      </w:r>
    </w:p>
    <w:p w14:paraId="7C5FE917" w14:textId="77777777" w:rsidR="00701469" w:rsidRPr="00F63766" w:rsidRDefault="00701469" w:rsidP="00701469">
      <w:pPr>
        <w:pStyle w:val="base-text-paragraph"/>
      </w:pPr>
      <w:r w:rsidRPr="00F63766">
        <w:t xml:space="preserve">Unless otherwise stated, all references in this Chapter relate to the </w:t>
      </w:r>
      <w:r w:rsidRPr="00F63766">
        <w:rPr>
          <w:i/>
        </w:rPr>
        <w:t>Corporations Act 2001.</w:t>
      </w:r>
    </w:p>
    <w:p w14:paraId="067E208E" w14:textId="77777777" w:rsidR="00701469" w:rsidRPr="00F63766" w:rsidRDefault="00701469" w:rsidP="00B676BE">
      <w:pPr>
        <w:pStyle w:val="Heading2"/>
      </w:pPr>
      <w:r w:rsidRPr="00F63766">
        <w:t>Context of amendments</w:t>
      </w:r>
    </w:p>
    <w:p w14:paraId="2FB38B2E" w14:textId="2BD6D983" w:rsidR="00701469" w:rsidRPr="00F63766" w:rsidRDefault="00BF6A8C" w:rsidP="00701469">
      <w:pPr>
        <w:pStyle w:val="base-text-paragraph"/>
        <w:numPr>
          <w:ilvl w:val="1"/>
          <w:numId w:val="35"/>
        </w:numPr>
      </w:pPr>
      <w:r w:rsidRPr="00F63766">
        <w:t>As the CSF regime is only available to public companies</w:t>
      </w:r>
      <w:r w:rsidR="008846BB">
        <w:t>,</w:t>
      </w:r>
      <w:r w:rsidRPr="00F63766">
        <w:t xml:space="preserve"> it will </w:t>
      </w:r>
      <w:r w:rsidR="00701469" w:rsidRPr="00F63766">
        <w:t>exclude start-ups and other small</w:t>
      </w:r>
      <w:r w:rsidR="00151236">
        <w:noBreakHyphen/>
      </w:r>
      <w:r w:rsidR="00701469" w:rsidRPr="00F63766">
        <w:t>scale enterprises that do not adopt a public company structure</w:t>
      </w:r>
      <w:r w:rsidRPr="00F63766">
        <w:t xml:space="preserve">. </w:t>
      </w:r>
      <w:r w:rsidR="00704DD9" w:rsidRPr="00F63766">
        <w:t xml:space="preserve"> Restricting the CSF regime </w:t>
      </w:r>
      <w:r w:rsidR="008846BB">
        <w:t xml:space="preserve">in this way </w:t>
      </w:r>
      <w:r w:rsidR="00704DD9" w:rsidRPr="00F63766">
        <w:t xml:space="preserve">could </w:t>
      </w:r>
      <w:r w:rsidRPr="00F63766">
        <w:t xml:space="preserve">potentially reduce the number of companies using the CSF regime and </w:t>
      </w:r>
      <w:r w:rsidR="00701469" w:rsidRPr="00F63766">
        <w:t xml:space="preserve">consequently substantially reduce the effectiveness of the regime. </w:t>
      </w:r>
    </w:p>
    <w:p w14:paraId="15EF21E8" w14:textId="7F0DAB8C" w:rsidR="00806817" w:rsidRPr="00F63766" w:rsidRDefault="00BF6A8C">
      <w:pPr>
        <w:pStyle w:val="base-text-paragraph"/>
        <w:numPr>
          <w:ilvl w:val="1"/>
          <w:numId w:val="35"/>
        </w:numPr>
      </w:pPr>
      <w:r w:rsidRPr="00F63766">
        <w:t xml:space="preserve">To address this, </w:t>
      </w:r>
      <w:r w:rsidR="008143EB">
        <w:t>the Bill creates temporary concessions from certain</w:t>
      </w:r>
      <w:r w:rsidR="008143EB" w:rsidRPr="00F63766">
        <w:t xml:space="preserve"> </w:t>
      </w:r>
      <w:r w:rsidR="008143EB">
        <w:t xml:space="preserve">public company </w:t>
      </w:r>
      <w:r w:rsidR="008143EB" w:rsidRPr="00F63766">
        <w:t xml:space="preserve">corporate governance and reporting requirements </w:t>
      </w:r>
      <w:r w:rsidR="008143EB">
        <w:t xml:space="preserve">for </w:t>
      </w:r>
      <w:r w:rsidRPr="00F63766">
        <w:t>new public companies that</w:t>
      </w:r>
      <w:r w:rsidR="00C1017F">
        <w:t xml:space="preserve"> satisfy </w:t>
      </w:r>
      <w:r w:rsidR="0037605E">
        <w:t>the CSF eligibility</w:t>
      </w:r>
      <w:r w:rsidR="00C1017F">
        <w:t xml:space="preserve"> criteria at the time of registration as</w:t>
      </w:r>
      <w:r w:rsidR="00FA6588">
        <w:t xml:space="preserve"> </w:t>
      </w:r>
      <w:r w:rsidR="00C1017F">
        <w:t>a new public company and at the end of the relevant financial year</w:t>
      </w:r>
      <w:r w:rsidR="00FA6588">
        <w:t>,</w:t>
      </w:r>
      <w:r w:rsidR="00C1017F">
        <w:t xml:space="preserve"> and that complete a CSF offer within the required timeframe</w:t>
      </w:r>
      <w:r w:rsidR="008143EB">
        <w:t xml:space="preserve">. </w:t>
      </w:r>
      <w:r w:rsidR="00701469" w:rsidRPr="00F63766">
        <w:t xml:space="preserve">The purpose of </w:t>
      </w:r>
      <w:r w:rsidRPr="00F63766">
        <w:t xml:space="preserve">the </w:t>
      </w:r>
      <w:r w:rsidR="00701469" w:rsidRPr="00F63766">
        <w:t>concessions is to reduce the barrier</w:t>
      </w:r>
      <w:r w:rsidRPr="00F63766">
        <w:t>s</w:t>
      </w:r>
      <w:r w:rsidR="00701469" w:rsidRPr="00F63766">
        <w:t xml:space="preserve"> to adopting a public company structure</w:t>
      </w:r>
      <w:r w:rsidR="004372EB">
        <w:t xml:space="preserve">. </w:t>
      </w:r>
    </w:p>
    <w:p w14:paraId="11F46B9E" w14:textId="4A7B0F46" w:rsidR="00563332" w:rsidRPr="00F63766" w:rsidRDefault="00563332" w:rsidP="00563332">
      <w:pPr>
        <w:pStyle w:val="base-text-paragraph"/>
        <w:numPr>
          <w:ilvl w:val="1"/>
          <w:numId w:val="35"/>
        </w:numPr>
      </w:pPr>
      <w:r w:rsidRPr="00F63766">
        <w:t xml:space="preserve">The corporate governance concessions </w:t>
      </w:r>
      <w:r w:rsidR="00BD017C">
        <w:t>are only</w:t>
      </w:r>
      <w:r w:rsidRPr="00F63766">
        <w:t xml:space="preserve"> available to companies that register as, or convert to, a public company </w:t>
      </w:r>
      <w:r w:rsidRPr="00F63766">
        <w:rPr>
          <w:i/>
        </w:rPr>
        <w:t xml:space="preserve">after </w:t>
      </w:r>
      <w:r w:rsidRPr="00F63766">
        <w:t xml:space="preserve">the commencement of the CSF regime. This </w:t>
      </w:r>
      <w:r w:rsidR="00BD017C">
        <w:t>is to</w:t>
      </w:r>
      <w:r w:rsidR="00BD017C" w:rsidRPr="00F63766">
        <w:t xml:space="preserve"> </w:t>
      </w:r>
      <w:r w:rsidRPr="00F63766">
        <w:t xml:space="preserve">ensure that </w:t>
      </w:r>
      <w:r w:rsidR="00BD017C">
        <w:t xml:space="preserve">public </w:t>
      </w:r>
      <w:r w:rsidRPr="00F63766">
        <w:t xml:space="preserve">companies </w:t>
      </w:r>
      <w:r w:rsidR="00BD017C">
        <w:t xml:space="preserve">currently </w:t>
      </w:r>
      <w:r w:rsidRPr="00F63766">
        <w:t xml:space="preserve">subject to the </w:t>
      </w:r>
      <w:r w:rsidR="00BD017C">
        <w:t xml:space="preserve">public company </w:t>
      </w:r>
      <w:r w:rsidRPr="00F63766">
        <w:t xml:space="preserve">requirements do not </w:t>
      </w:r>
      <w:r w:rsidR="00BD017C">
        <w:t>reduce</w:t>
      </w:r>
      <w:r w:rsidR="00BD017C" w:rsidRPr="00F63766">
        <w:t xml:space="preserve"> </w:t>
      </w:r>
      <w:r w:rsidRPr="00F63766">
        <w:t xml:space="preserve">their reporting or governance standards. </w:t>
      </w:r>
    </w:p>
    <w:p w14:paraId="24795C38" w14:textId="77777777" w:rsidR="00701469" w:rsidRPr="00F63766" w:rsidRDefault="00701469" w:rsidP="00B676BE">
      <w:pPr>
        <w:pStyle w:val="Heading2"/>
      </w:pPr>
      <w:r w:rsidRPr="00F63766">
        <w:t>Summary of new law</w:t>
      </w:r>
    </w:p>
    <w:p w14:paraId="5ED3A097" w14:textId="211AF410" w:rsidR="00FC5277" w:rsidRPr="00F63766" w:rsidRDefault="00517CD6" w:rsidP="00563332">
      <w:pPr>
        <w:pStyle w:val="base-text-paragraph"/>
        <w:numPr>
          <w:ilvl w:val="1"/>
          <w:numId w:val="35"/>
        </w:numPr>
      </w:pPr>
      <w:r>
        <w:t>A company that is</w:t>
      </w:r>
      <w:r w:rsidR="00FC5277" w:rsidRPr="00F63766">
        <w:t xml:space="preserve"> registered as, or</w:t>
      </w:r>
      <w:r w:rsidR="00FA6588">
        <w:t xml:space="preserve"> that</w:t>
      </w:r>
      <w:r w:rsidR="00FC5277" w:rsidRPr="00F63766">
        <w:t xml:space="preserve"> convert</w:t>
      </w:r>
      <w:r w:rsidR="00D87A93">
        <w:t>s</w:t>
      </w:r>
      <w:r w:rsidR="00FC5277" w:rsidRPr="00F63766">
        <w:t xml:space="preserve"> to, a public company </w:t>
      </w:r>
      <w:r w:rsidR="00FC5277" w:rsidRPr="00FF5264">
        <w:t>after</w:t>
      </w:r>
      <w:r w:rsidR="00FC5277" w:rsidRPr="00F63766">
        <w:t xml:space="preserve"> the commencement of the CSF regime will be eligible for </w:t>
      </w:r>
      <w:r w:rsidR="00FA6588">
        <w:t xml:space="preserve">the </w:t>
      </w:r>
      <w:r w:rsidR="00FC5277" w:rsidRPr="00F63766">
        <w:t>corporate governance</w:t>
      </w:r>
      <w:r>
        <w:t xml:space="preserve"> and reporting</w:t>
      </w:r>
      <w:r w:rsidR="00FC5277" w:rsidRPr="00F63766">
        <w:t xml:space="preserve"> concessions. </w:t>
      </w:r>
    </w:p>
    <w:p w14:paraId="77C4AF4C" w14:textId="34934B10" w:rsidR="00FC5277" w:rsidRPr="00F63766" w:rsidRDefault="00FC5277" w:rsidP="00563332">
      <w:pPr>
        <w:pStyle w:val="base-text-paragraph"/>
        <w:numPr>
          <w:ilvl w:val="1"/>
          <w:numId w:val="35"/>
        </w:numPr>
      </w:pPr>
      <w:r w:rsidRPr="00F63766">
        <w:t xml:space="preserve">The concessions </w:t>
      </w:r>
      <w:r w:rsidR="008302DC">
        <w:t>are only</w:t>
      </w:r>
      <w:r w:rsidRPr="00F63766">
        <w:t xml:space="preserve"> available to companies that are eligible and intend to crowd fund at the time they are register</w:t>
      </w:r>
      <w:r w:rsidR="0006251E" w:rsidRPr="00F63766">
        <w:t>ed</w:t>
      </w:r>
      <w:r w:rsidRPr="00F63766">
        <w:t xml:space="preserve"> </w:t>
      </w:r>
      <w:r w:rsidR="00EF4295">
        <w:t xml:space="preserve">and </w:t>
      </w:r>
      <w:r w:rsidR="00FA6588">
        <w:t xml:space="preserve">that </w:t>
      </w:r>
      <w:r w:rsidR="00EF4295">
        <w:t xml:space="preserve">successfully complete a </w:t>
      </w:r>
      <w:r w:rsidRPr="00F63766">
        <w:t xml:space="preserve">CSF offer within 12 months of registration. </w:t>
      </w:r>
    </w:p>
    <w:p w14:paraId="372C0244" w14:textId="35667F68" w:rsidR="00715036" w:rsidRDefault="005E5483" w:rsidP="00FF5264">
      <w:pPr>
        <w:pStyle w:val="base-text-paragraph"/>
      </w:pPr>
      <w:r w:rsidRPr="00F63766">
        <w:t xml:space="preserve">The corporate governance and reporting </w:t>
      </w:r>
      <w:r w:rsidR="00715036">
        <w:t>concessions</w:t>
      </w:r>
      <w:r w:rsidR="00715036" w:rsidRPr="00F63766">
        <w:t xml:space="preserve"> </w:t>
      </w:r>
      <w:r w:rsidRPr="00F63766">
        <w:t>apply for a maximum of five years</w:t>
      </w:r>
      <w:r w:rsidR="003815F7">
        <w:t xml:space="preserve"> from the date of registration</w:t>
      </w:r>
      <w:r w:rsidR="00812766">
        <w:t xml:space="preserve"> as</w:t>
      </w:r>
      <w:r w:rsidR="00FA6588">
        <w:t>,</w:t>
      </w:r>
      <w:r w:rsidR="00812766">
        <w:t xml:space="preserve"> or conversion to</w:t>
      </w:r>
      <w:r w:rsidR="00FA6588">
        <w:t>,</w:t>
      </w:r>
      <w:r w:rsidR="00812766">
        <w:t xml:space="preserve"> a public company</w:t>
      </w:r>
      <w:r w:rsidR="00715036">
        <w:t>. The concessions are:</w:t>
      </w:r>
      <w:r w:rsidR="00715036" w:rsidRPr="00F63766" w:rsidDel="003815F7">
        <w:t xml:space="preserve"> </w:t>
      </w:r>
    </w:p>
    <w:p w14:paraId="5FD92CA3" w14:textId="42DB117B" w:rsidR="00483F10" w:rsidRPr="00F63766" w:rsidRDefault="00715036" w:rsidP="00563332">
      <w:pPr>
        <w:pStyle w:val="dotpoint"/>
      </w:pPr>
      <w:r>
        <w:t xml:space="preserve">an exemption from needing to hold an </w:t>
      </w:r>
      <w:r w:rsidR="00483F10" w:rsidRPr="00F63766">
        <w:t>Annual General Meeting (AGM)</w:t>
      </w:r>
      <w:r w:rsidR="00FA6588">
        <w:t xml:space="preserve"> under the usual rules</w:t>
      </w:r>
      <w:r w:rsidR="00483F10" w:rsidRPr="00F63766">
        <w:t>;</w:t>
      </w:r>
    </w:p>
    <w:p w14:paraId="299258B6" w14:textId="1FB3A852" w:rsidR="00563332" w:rsidRPr="00F63766" w:rsidRDefault="00715036" w:rsidP="00563332">
      <w:pPr>
        <w:pStyle w:val="dotpoint"/>
      </w:pPr>
      <w:r>
        <w:t xml:space="preserve">the option </w:t>
      </w:r>
      <w:r w:rsidR="00563332" w:rsidRPr="00F63766">
        <w:t xml:space="preserve">to </w:t>
      </w:r>
      <w:r>
        <w:t xml:space="preserve">only </w:t>
      </w:r>
      <w:r w:rsidR="00563332" w:rsidRPr="00F63766">
        <w:t xml:space="preserve">provide financial reports to shareholders </w:t>
      </w:r>
      <w:r>
        <w:t>online; and</w:t>
      </w:r>
      <w:r w:rsidR="00563332" w:rsidRPr="00F63766">
        <w:t xml:space="preserve"> </w:t>
      </w:r>
    </w:p>
    <w:p w14:paraId="6E61FC61" w14:textId="61FDCE3E" w:rsidR="00563332" w:rsidRDefault="00715036" w:rsidP="00563332">
      <w:pPr>
        <w:pStyle w:val="dotpoint"/>
      </w:pPr>
      <w:proofErr w:type="gramStart"/>
      <w:r>
        <w:t>the</w:t>
      </w:r>
      <w:proofErr w:type="gramEnd"/>
      <w:r>
        <w:t xml:space="preserve"> company not being required to appoint an auditor or have </w:t>
      </w:r>
      <w:r w:rsidR="00563332" w:rsidRPr="00F63766">
        <w:t xml:space="preserve">audited financial reports until more than $1 million has been raised from CSF offers or other </w:t>
      </w:r>
      <w:r w:rsidR="00483F10" w:rsidRPr="00F63766">
        <w:t xml:space="preserve">fundraising </w:t>
      </w:r>
      <w:r w:rsidR="00563332" w:rsidRPr="00F63766">
        <w:t xml:space="preserve">offers </w:t>
      </w:r>
      <w:r w:rsidR="003521AE">
        <w:t>requiring disclosure</w:t>
      </w:r>
      <w:r w:rsidR="00563332" w:rsidRPr="00F63766">
        <w:t xml:space="preserve">. </w:t>
      </w:r>
    </w:p>
    <w:p w14:paraId="238BF25B" w14:textId="6D83449C" w:rsidR="00305FBD" w:rsidRPr="00F63766" w:rsidRDefault="00305FBD" w:rsidP="00305FBD">
      <w:pPr>
        <w:pStyle w:val="Heading2"/>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305FBD" w:rsidRPr="004666B8" w14:paraId="4E70055B" w14:textId="77777777" w:rsidTr="00AD20B8">
        <w:tc>
          <w:tcPr>
            <w:tcW w:w="3275" w:type="dxa"/>
          </w:tcPr>
          <w:p w14:paraId="35C39DD1" w14:textId="77777777" w:rsidR="00305FBD" w:rsidRPr="004666B8" w:rsidRDefault="00305FBD" w:rsidP="00AD20B8">
            <w:pPr>
              <w:pStyle w:val="tableheaderwithintable"/>
              <w:rPr>
                <w:lang w:val="en-US" w:eastAsia="en-US"/>
              </w:rPr>
            </w:pPr>
            <w:r w:rsidRPr="004666B8">
              <w:rPr>
                <w:lang w:val="en-US" w:eastAsia="en-US"/>
              </w:rPr>
              <w:t>New law</w:t>
            </w:r>
          </w:p>
        </w:tc>
        <w:tc>
          <w:tcPr>
            <w:tcW w:w="3276" w:type="dxa"/>
          </w:tcPr>
          <w:p w14:paraId="2C8A3DC2" w14:textId="77777777" w:rsidR="00305FBD" w:rsidRPr="004666B8" w:rsidRDefault="00305FBD" w:rsidP="00AD20B8">
            <w:pPr>
              <w:pStyle w:val="tableheaderwithintable"/>
              <w:rPr>
                <w:lang w:val="en-US" w:eastAsia="en-US"/>
              </w:rPr>
            </w:pPr>
            <w:r w:rsidRPr="004666B8">
              <w:rPr>
                <w:lang w:val="en-US" w:eastAsia="en-US"/>
              </w:rPr>
              <w:t>Current law</w:t>
            </w:r>
          </w:p>
        </w:tc>
      </w:tr>
      <w:tr w:rsidR="00305FBD" w:rsidRPr="004666B8" w14:paraId="0E4932FF" w14:textId="77777777" w:rsidTr="00AD20B8">
        <w:tc>
          <w:tcPr>
            <w:tcW w:w="3275" w:type="dxa"/>
          </w:tcPr>
          <w:p w14:paraId="3A8A51A5" w14:textId="6D11230D" w:rsidR="00305FBD" w:rsidRDefault="008A5FCC" w:rsidP="002215D8">
            <w:pPr>
              <w:pStyle w:val="tabletext"/>
            </w:pPr>
            <w:r>
              <w:t>A company that is</w:t>
            </w:r>
            <w:r w:rsidRPr="00F63766">
              <w:t xml:space="preserve"> registered as, or convert</w:t>
            </w:r>
            <w:r>
              <w:t>s</w:t>
            </w:r>
            <w:r w:rsidRPr="00F63766">
              <w:t xml:space="preserve"> to, a public company </w:t>
            </w:r>
            <w:r w:rsidRPr="00FF5264">
              <w:t>after</w:t>
            </w:r>
            <w:r w:rsidRPr="00F63766">
              <w:t xml:space="preserve"> the commencement of the CSF regime</w:t>
            </w:r>
            <w:r>
              <w:t xml:space="preserve"> and</w:t>
            </w:r>
            <w:r w:rsidR="008F14BE">
              <w:t xml:space="preserve"> that</w:t>
            </w:r>
            <w:r>
              <w:t xml:space="preserve"> satisfies the eligibility criteria is eligible for </w:t>
            </w:r>
            <w:r w:rsidR="00A219E0">
              <w:t xml:space="preserve">certain </w:t>
            </w:r>
            <w:r w:rsidRPr="00F63766">
              <w:t>corporate governance</w:t>
            </w:r>
            <w:r>
              <w:t xml:space="preserve"> and reporting</w:t>
            </w:r>
            <w:r w:rsidRPr="00F63766">
              <w:t xml:space="preserve"> concessions</w:t>
            </w:r>
            <w:r w:rsidR="001A1A44">
              <w:t xml:space="preserve"> for up to </w:t>
            </w:r>
            <w:r w:rsidR="000A5B37">
              <w:t>five</w:t>
            </w:r>
            <w:r w:rsidR="00A219E0">
              <w:t> </w:t>
            </w:r>
            <w:r w:rsidR="001A1A44">
              <w:t>years</w:t>
            </w:r>
            <w:r w:rsidR="00885A85">
              <w:t>.</w:t>
            </w:r>
          </w:p>
        </w:tc>
        <w:tc>
          <w:tcPr>
            <w:tcW w:w="3276" w:type="dxa"/>
          </w:tcPr>
          <w:p w14:paraId="676AFBC2" w14:textId="77777777" w:rsidR="00305FBD" w:rsidRDefault="00305FBD" w:rsidP="00AD20B8">
            <w:pPr>
              <w:pStyle w:val="tabletext"/>
              <w:rPr>
                <w:lang w:val="en-US" w:eastAsia="en-US"/>
              </w:rPr>
            </w:pPr>
            <w:r>
              <w:rPr>
                <w:lang w:val="en-US" w:eastAsia="en-US"/>
              </w:rPr>
              <w:t>No equivalent.</w:t>
            </w:r>
          </w:p>
        </w:tc>
      </w:tr>
      <w:tr w:rsidR="00305FBD" w:rsidRPr="004666B8" w14:paraId="1CE80C42" w14:textId="77777777" w:rsidTr="00AD20B8">
        <w:tc>
          <w:tcPr>
            <w:tcW w:w="3275" w:type="dxa"/>
          </w:tcPr>
          <w:p w14:paraId="29361B3B" w14:textId="5C57D713" w:rsidR="00305FBD" w:rsidRDefault="001A1A44" w:rsidP="0046445F">
            <w:pPr>
              <w:pStyle w:val="tabletext"/>
            </w:pPr>
            <w:r>
              <w:t xml:space="preserve">A company that is eligible for the corporate governance and reporting concessions is not required </w:t>
            </w:r>
            <w:r w:rsidR="000344B8">
              <w:t>to hold</w:t>
            </w:r>
            <w:r>
              <w:t xml:space="preserve"> an AGM</w:t>
            </w:r>
            <w:r w:rsidR="000344B8">
              <w:t xml:space="preserve"> </w:t>
            </w:r>
            <w:r w:rsidR="0046445F">
              <w:t>under</w:t>
            </w:r>
            <w:r w:rsidR="000344B8">
              <w:t xml:space="preserve"> section 250N</w:t>
            </w:r>
            <w:r>
              <w:t xml:space="preserve">. </w:t>
            </w:r>
          </w:p>
        </w:tc>
        <w:tc>
          <w:tcPr>
            <w:tcW w:w="3276" w:type="dxa"/>
          </w:tcPr>
          <w:p w14:paraId="1BBF81EC" w14:textId="092430E8" w:rsidR="00305FBD" w:rsidRDefault="000344B8" w:rsidP="002215D8">
            <w:pPr>
              <w:pStyle w:val="tabletext"/>
              <w:rPr>
                <w:lang w:val="en-US" w:eastAsia="en-US"/>
              </w:rPr>
            </w:pPr>
            <w:r>
              <w:rPr>
                <w:lang w:val="en-US" w:eastAsia="en-US"/>
              </w:rPr>
              <w:t>Under section 250N, a</w:t>
            </w:r>
            <w:r w:rsidR="003442A9">
              <w:rPr>
                <w:lang w:val="en-US" w:eastAsia="en-US"/>
              </w:rPr>
              <w:t xml:space="preserve"> public company must hold an AGM each year.</w:t>
            </w:r>
          </w:p>
        </w:tc>
      </w:tr>
      <w:tr w:rsidR="00305FBD" w:rsidRPr="004666B8" w14:paraId="21DAB3F7" w14:textId="77777777" w:rsidTr="00AD20B8">
        <w:tc>
          <w:tcPr>
            <w:tcW w:w="3275" w:type="dxa"/>
          </w:tcPr>
          <w:p w14:paraId="0D2B0B6F" w14:textId="096DE043" w:rsidR="00305FBD" w:rsidRPr="004666B8" w:rsidRDefault="001A1A44">
            <w:pPr>
              <w:pStyle w:val="tabletext"/>
              <w:rPr>
                <w:lang w:val="en-US" w:eastAsia="en-US"/>
              </w:rPr>
            </w:pPr>
            <w:r>
              <w:t>A company that is eligible for the corporate governance and reporting concessions is only required to provide financial reports to shareholders online.</w:t>
            </w:r>
            <w:r w:rsidR="00305FBD">
              <w:t xml:space="preserve"> </w:t>
            </w:r>
          </w:p>
        </w:tc>
        <w:tc>
          <w:tcPr>
            <w:tcW w:w="3276" w:type="dxa"/>
          </w:tcPr>
          <w:p w14:paraId="4762516E" w14:textId="4C74EA87" w:rsidR="00305FBD" w:rsidRPr="004666B8" w:rsidRDefault="003442A9" w:rsidP="00F31466">
            <w:pPr>
              <w:pStyle w:val="tabletext"/>
              <w:rPr>
                <w:lang w:val="en-US" w:eastAsia="en-US"/>
              </w:rPr>
            </w:pPr>
            <w:r>
              <w:rPr>
                <w:lang w:val="en-US" w:eastAsia="en-US"/>
              </w:rPr>
              <w:t xml:space="preserve">A public company </w:t>
            </w:r>
            <w:r w:rsidR="00870CA9">
              <w:rPr>
                <w:lang w:val="en-US" w:eastAsia="en-US"/>
              </w:rPr>
              <w:t>may</w:t>
            </w:r>
            <w:r>
              <w:rPr>
                <w:lang w:val="en-US" w:eastAsia="en-US"/>
              </w:rPr>
              <w:t xml:space="preserve"> provide financial reports</w:t>
            </w:r>
            <w:r w:rsidR="00870CA9">
              <w:rPr>
                <w:lang w:val="en-US" w:eastAsia="en-US"/>
              </w:rPr>
              <w:t xml:space="preserve"> to shareholders</w:t>
            </w:r>
            <w:r w:rsidR="00756DE3">
              <w:rPr>
                <w:lang w:val="en-US" w:eastAsia="en-US"/>
              </w:rPr>
              <w:t>:</w:t>
            </w:r>
            <w:r>
              <w:rPr>
                <w:lang w:val="en-US" w:eastAsia="en-US"/>
              </w:rPr>
              <w:t xml:space="preserve"> </w:t>
            </w:r>
            <w:r w:rsidR="00870CA9">
              <w:rPr>
                <w:lang w:val="en-US" w:eastAsia="en-US"/>
              </w:rPr>
              <w:t xml:space="preserve">by </w:t>
            </w:r>
            <w:r w:rsidR="00161932">
              <w:rPr>
                <w:lang w:val="en-US" w:eastAsia="en-US"/>
              </w:rPr>
              <w:t>hard copy</w:t>
            </w:r>
            <w:r w:rsidR="00870CA9">
              <w:rPr>
                <w:lang w:val="en-US" w:eastAsia="en-US"/>
              </w:rPr>
              <w:t xml:space="preserve"> or email (where the shareholder has made an election to receive the reports in this way); </w:t>
            </w:r>
            <w:r w:rsidR="00756DE3">
              <w:rPr>
                <w:lang w:val="en-US" w:eastAsia="en-US"/>
              </w:rPr>
              <w:t xml:space="preserve">by </w:t>
            </w:r>
            <w:r w:rsidR="00161932">
              <w:rPr>
                <w:lang w:val="en-US" w:eastAsia="en-US"/>
              </w:rPr>
              <w:t xml:space="preserve">making the report readily accessible on a website; or </w:t>
            </w:r>
            <w:r w:rsidR="00756DE3">
              <w:rPr>
                <w:lang w:val="en-US" w:eastAsia="en-US"/>
              </w:rPr>
              <w:t xml:space="preserve">by </w:t>
            </w:r>
            <w:r w:rsidR="00161932">
              <w:rPr>
                <w:lang w:val="en-US" w:eastAsia="en-US"/>
              </w:rPr>
              <w:t>directly notifying, in writing, all persons that did not make an election as to how to receive the report, the website at which the reports may be accessed</w:t>
            </w:r>
            <w:r>
              <w:rPr>
                <w:lang w:val="en-US" w:eastAsia="en-US"/>
              </w:rPr>
              <w:t xml:space="preserve">. </w:t>
            </w:r>
          </w:p>
        </w:tc>
      </w:tr>
      <w:tr w:rsidR="007340A6" w:rsidRPr="004666B8" w14:paraId="7A41713C" w14:textId="77777777" w:rsidTr="005F5526">
        <w:tc>
          <w:tcPr>
            <w:tcW w:w="3275" w:type="dxa"/>
          </w:tcPr>
          <w:p w14:paraId="6B36FDA0" w14:textId="77777777" w:rsidR="007340A6" w:rsidRPr="004666B8" w:rsidRDefault="007340A6" w:rsidP="005F5526">
            <w:pPr>
              <w:pStyle w:val="tableheaderwithintable"/>
              <w:rPr>
                <w:lang w:val="en-US" w:eastAsia="en-US"/>
              </w:rPr>
            </w:pPr>
            <w:r w:rsidRPr="004666B8">
              <w:rPr>
                <w:lang w:val="en-US" w:eastAsia="en-US"/>
              </w:rPr>
              <w:t>New law</w:t>
            </w:r>
          </w:p>
        </w:tc>
        <w:tc>
          <w:tcPr>
            <w:tcW w:w="3276" w:type="dxa"/>
          </w:tcPr>
          <w:p w14:paraId="37ACC655" w14:textId="77777777" w:rsidR="007340A6" w:rsidRPr="004666B8" w:rsidRDefault="007340A6" w:rsidP="005F5526">
            <w:pPr>
              <w:pStyle w:val="tableheaderwithintable"/>
              <w:rPr>
                <w:lang w:val="en-US" w:eastAsia="en-US"/>
              </w:rPr>
            </w:pPr>
            <w:r w:rsidRPr="004666B8">
              <w:rPr>
                <w:lang w:val="en-US" w:eastAsia="en-US"/>
              </w:rPr>
              <w:t>Current law</w:t>
            </w:r>
          </w:p>
        </w:tc>
      </w:tr>
      <w:tr w:rsidR="00305FBD" w:rsidRPr="004666B8" w14:paraId="05942976" w14:textId="77777777" w:rsidTr="00AD20B8">
        <w:tc>
          <w:tcPr>
            <w:tcW w:w="3275" w:type="dxa"/>
          </w:tcPr>
          <w:p w14:paraId="5E36DDC0" w14:textId="075CA3DE" w:rsidR="00305FBD" w:rsidRDefault="001A1A44" w:rsidP="007340A6">
            <w:pPr>
              <w:pStyle w:val="tabledotpoint"/>
              <w:keepNext/>
              <w:keepLines/>
              <w:numPr>
                <w:ilvl w:val="0"/>
                <w:numId w:val="0"/>
              </w:numPr>
            </w:pPr>
            <w:r>
              <w:t xml:space="preserve">A company that is eligible for the corporate governance and reporting concessions is not required to appoint an auditor or have audited financial reports until more than $1 million has been raised from CSF offer or other offers requiring disclosure. </w:t>
            </w:r>
          </w:p>
        </w:tc>
        <w:tc>
          <w:tcPr>
            <w:tcW w:w="3276" w:type="dxa"/>
          </w:tcPr>
          <w:p w14:paraId="79E5F27A" w14:textId="40348930" w:rsidR="00305FBD" w:rsidRDefault="008C48BB" w:rsidP="007340A6">
            <w:pPr>
              <w:pStyle w:val="tabletext"/>
              <w:keepNext/>
              <w:keepLines/>
              <w:rPr>
                <w:lang w:val="en-US" w:eastAsia="en-US"/>
              </w:rPr>
            </w:pPr>
            <w:r>
              <w:rPr>
                <w:lang w:val="en-US" w:eastAsia="en-US"/>
              </w:rPr>
              <w:t xml:space="preserve">A public company must appoint an auditor within one month of registration and </w:t>
            </w:r>
            <w:r w:rsidR="000B6439">
              <w:rPr>
                <w:lang w:val="en-US" w:eastAsia="en-US"/>
              </w:rPr>
              <w:t xml:space="preserve">its </w:t>
            </w:r>
            <w:r>
              <w:rPr>
                <w:lang w:val="en-US" w:eastAsia="en-US"/>
              </w:rPr>
              <w:t xml:space="preserve">financial reports must be audited each year. </w:t>
            </w:r>
          </w:p>
        </w:tc>
      </w:tr>
    </w:tbl>
    <w:p w14:paraId="7758EFFE" w14:textId="77777777" w:rsidR="00701469" w:rsidRDefault="00701469" w:rsidP="00B676BE">
      <w:pPr>
        <w:pStyle w:val="Heading2"/>
      </w:pPr>
      <w:r w:rsidRPr="00F63766">
        <w:t>Detailed explanation of new law</w:t>
      </w:r>
    </w:p>
    <w:p w14:paraId="29FBDEFB" w14:textId="3A6351C6" w:rsidR="002E269A" w:rsidRPr="00F63766" w:rsidRDefault="002E269A" w:rsidP="002E269A">
      <w:pPr>
        <w:pStyle w:val="base-text-paragraph"/>
        <w:numPr>
          <w:ilvl w:val="1"/>
          <w:numId w:val="33"/>
        </w:numPr>
      </w:pPr>
      <w:r w:rsidRPr="00F63766">
        <w:t xml:space="preserve">The concessions are only available to a company that </w:t>
      </w:r>
      <w:r w:rsidR="00DC062F" w:rsidRPr="00F63766">
        <w:t>register</w:t>
      </w:r>
      <w:r w:rsidR="00DC062F">
        <w:t>s</w:t>
      </w:r>
      <w:r w:rsidR="00DC062F" w:rsidRPr="00F63766">
        <w:t xml:space="preserve"> </w:t>
      </w:r>
      <w:r w:rsidRPr="00F63766">
        <w:t xml:space="preserve">as a public company, or </w:t>
      </w:r>
      <w:r w:rsidR="00DC062F">
        <w:t>converts</w:t>
      </w:r>
      <w:r w:rsidRPr="00F63766">
        <w:t xml:space="preserve"> to a public company, after the commencement of the CSF regime. </w:t>
      </w:r>
      <w:r w:rsidR="00A90BFB">
        <w:t xml:space="preserve"> In order to be eligible to claim the concessions, the company must satisfy certain eligibility criteria on registration and at the end of the financial year in which it is claiming the conce</w:t>
      </w:r>
      <w:r w:rsidR="000A423D">
        <w:t xml:space="preserve">ssion. </w:t>
      </w:r>
    </w:p>
    <w:p w14:paraId="3EA618D4" w14:textId="559B8A30" w:rsidR="002E269A" w:rsidRPr="00F63766" w:rsidRDefault="001E06BD" w:rsidP="001E06BD">
      <w:pPr>
        <w:pStyle w:val="Heading3"/>
      </w:pPr>
      <w:r>
        <w:t>Must be eligible on</w:t>
      </w:r>
      <w:r w:rsidR="002E269A" w:rsidRPr="00F63766">
        <w:t xml:space="preserve"> registration</w:t>
      </w:r>
    </w:p>
    <w:p w14:paraId="05134819" w14:textId="6DF729C9" w:rsidR="002E269A" w:rsidRPr="00F63766" w:rsidRDefault="002E269A" w:rsidP="002E269A">
      <w:pPr>
        <w:pStyle w:val="base-text-paragraph"/>
        <w:numPr>
          <w:ilvl w:val="1"/>
          <w:numId w:val="33"/>
        </w:numPr>
      </w:pPr>
      <w:r w:rsidRPr="00F63766">
        <w:t xml:space="preserve">In order to be eligible for the concessions, the company must indicate, on its application for registration, that it will satisfy the requirements to be an eligible CSF </w:t>
      </w:r>
      <w:r w:rsidRPr="00B67F02">
        <w:t xml:space="preserve">company (Chapter </w:t>
      </w:r>
      <w:r w:rsidR="00B65FD8" w:rsidRPr="00B67F02">
        <w:t>2</w:t>
      </w:r>
      <w:r w:rsidR="00576A71">
        <w:t xml:space="preserve"> of the Explanatory Memorandum</w:t>
      </w:r>
      <w:r w:rsidRPr="00B67F02">
        <w:t xml:space="preserve">) </w:t>
      </w:r>
      <w:r w:rsidR="00BB2252" w:rsidRPr="00B67F02">
        <w:t xml:space="preserve">on registration </w:t>
      </w:r>
      <w:r w:rsidRPr="00B67F02">
        <w:t xml:space="preserve">and that it intends to make a CSF offer after registration </w:t>
      </w:r>
      <w:r w:rsidRPr="00B67F02">
        <w:rPr>
          <w:rStyle w:val="Referencingstyle"/>
        </w:rPr>
        <w:t xml:space="preserve">[Schedule </w:t>
      </w:r>
      <w:r w:rsidR="00512723" w:rsidRPr="00B67F02">
        <w:rPr>
          <w:rStyle w:val="Referencingstyle"/>
        </w:rPr>
        <w:t>2</w:t>
      </w:r>
      <w:r w:rsidRPr="00B67F02">
        <w:rPr>
          <w:rStyle w:val="Referencingstyle"/>
        </w:rPr>
        <w:t>, item</w:t>
      </w:r>
      <w:r w:rsidRPr="00F63766">
        <w:rPr>
          <w:rStyle w:val="Referencingstyle"/>
        </w:rPr>
        <w:t> </w:t>
      </w:r>
      <w:r w:rsidR="00512723">
        <w:rPr>
          <w:rStyle w:val="Referencingstyle"/>
        </w:rPr>
        <w:t>1</w:t>
      </w:r>
      <w:r w:rsidRPr="00F63766">
        <w:rPr>
          <w:rStyle w:val="Referencingstyle"/>
        </w:rPr>
        <w:t>, paragraph 117(2)(mc)]</w:t>
      </w:r>
      <w:r w:rsidRPr="00F63766">
        <w:t xml:space="preserve">.  </w:t>
      </w:r>
    </w:p>
    <w:p w14:paraId="4FC19AB5" w14:textId="732A6B01" w:rsidR="002E269A" w:rsidRDefault="002E269A" w:rsidP="002E269A">
      <w:pPr>
        <w:pStyle w:val="base-text-paragraph"/>
        <w:numPr>
          <w:ilvl w:val="1"/>
          <w:numId w:val="33"/>
        </w:numPr>
      </w:pPr>
      <w:r w:rsidRPr="00F63766">
        <w:t xml:space="preserve">A company that does not indicate the above in its application for registration will be ineligible for the </w:t>
      </w:r>
      <w:r w:rsidR="00E04B80">
        <w:t>concessions.</w:t>
      </w:r>
    </w:p>
    <w:p w14:paraId="561C0193" w14:textId="003C8E9E" w:rsidR="00302946" w:rsidRPr="00F63766" w:rsidRDefault="001E06BD" w:rsidP="001E06BD">
      <w:pPr>
        <w:pStyle w:val="Heading3"/>
      </w:pPr>
      <w:r>
        <w:t>Must be eligible at end of</w:t>
      </w:r>
      <w:r w:rsidR="00302946">
        <w:t xml:space="preserve"> financial year</w:t>
      </w:r>
    </w:p>
    <w:p w14:paraId="4FAFBC22" w14:textId="3C562A5D" w:rsidR="00162230" w:rsidRDefault="00302946" w:rsidP="002E269A">
      <w:pPr>
        <w:pStyle w:val="base-text-paragraph"/>
      </w:pPr>
      <w:r>
        <w:t xml:space="preserve">The company </w:t>
      </w:r>
      <w:r w:rsidR="00D75F38">
        <w:t xml:space="preserve">must </w:t>
      </w:r>
      <w:r>
        <w:t xml:space="preserve">determine its eligibility to claim </w:t>
      </w:r>
      <w:r w:rsidR="00162230">
        <w:t xml:space="preserve">the concessions at each </w:t>
      </w:r>
      <w:r>
        <w:t>financial year</w:t>
      </w:r>
      <w:r w:rsidR="0094269C">
        <w:t xml:space="preserve"> </w:t>
      </w:r>
      <w:r>
        <w:t xml:space="preserve">end.  </w:t>
      </w:r>
    </w:p>
    <w:p w14:paraId="17749DFE" w14:textId="5994DAAB" w:rsidR="00302946" w:rsidRDefault="00162230" w:rsidP="002E269A">
      <w:pPr>
        <w:pStyle w:val="base-text-paragraph"/>
      </w:pPr>
      <w:r>
        <w:t xml:space="preserve">A company </w:t>
      </w:r>
      <w:r w:rsidR="00D75F38">
        <w:t>is</w:t>
      </w:r>
      <w:r>
        <w:t xml:space="preserve"> eligible for the concessions </w:t>
      </w:r>
      <w:r w:rsidR="00C76751">
        <w:t xml:space="preserve">for a particular year </w:t>
      </w:r>
      <w:r>
        <w:t>where it satisfies the following criteria:</w:t>
      </w:r>
    </w:p>
    <w:p w14:paraId="54A4D227" w14:textId="24D5C2CD" w:rsidR="00162230" w:rsidRPr="00F63766" w:rsidRDefault="00A54E11" w:rsidP="00162230">
      <w:pPr>
        <w:pStyle w:val="dotpoint"/>
      </w:pPr>
      <w:r>
        <w:t xml:space="preserve">it </w:t>
      </w:r>
      <w:r w:rsidR="00AF40E4">
        <w:t>is</w:t>
      </w:r>
      <w:r w:rsidR="00162230" w:rsidRPr="00F63766">
        <w:t xml:space="preserve"> an eligible CSF company at the end of the financial year; </w:t>
      </w:r>
    </w:p>
    <w:p w14:paraId="521F15C8" w14:textId="1383B2BD" w:rsidR="00162230" w:rsidRPr="00F63766" w:rsidRDefault="00A54E11" w:rsidP="00162230">
      <w:pPr>
        <w:pStyle w:val="dotpoint"/>
      </w:pPr>
      <w:r>
        <w:t xml:space="preserve">it </w:t>
      </w:r>
      <w:r w:rsidR="00AF40E4">
        <w:t>has</w:t>
      </w:r>
      <w:r w:rsidR="00162230">
        <w:t xml:space="preserve">, in its </w:t>
      </w:r>
      <w:r w:rsidR="00162230" w:rsidRPr="00F63766">
        <w:t>application for registration</w:t>
      </w:r>
      <w:r w:rsidR="00162230">
        <w:t>,</w:t>
      </w:r>
      <w:r w:rsidR="00162230" w:rsidRPr="00F63766">
        <w:t xml:space="preserve"> </w:t>
      </w:r>
      <w:r w:rsidR="00162230">
        <w:t xml:space="preserve">indicated that it </w:t>
      </w:r>
      <w:r w:rsidR="00D75F38">
        <w:t xml:space="preserve">will </w:t>
      </w:r>
      <w:r w:rsidR="00162230">
        <w:t xml:space="preserve">be an eligible </w:t>
      </w:r>
      <w:r w:rsidR="00162230" w:rsidRPr="00F63766">
        <w:t xml:space="preserve">CSF company </w:t>
      </w:r>
      <w:r w:rsidR="00162230">
        <w:t xml:space="preserve">on registration </w:t>
      </w:r>
      <w:r w:rsidR="00162230" w:rsidRPr="00F63766">
        <w:t xml:space="preserve">and that </w:t>
      </w:r>
      <w:r w:rsidR="00162230">
        <w:t xml:space="preserve">it intends to make </w:t>
      </w:r>
      <w:r w:rsidR="00162230" w:rsidRPr="00F63766">
        <w:t xml:space="preserve">a CSF offer; </w:t>
      </w:r>
    </w:p>
    <w:p w14:paraId="0D937DEA" w14:textId="3E6CA725" w:rsidR="00162230" w:rsidRPr="00F63766" w:rsidRDefault="00162230" w:rsidP="00162230">
      <w:pPr>
        <w:pStyle w:val="dotpoint"/>
      </w:pPr>
      <w:r w:rsidRPr="00F63766">
        <w:t xml:space="preserve">the current financial year </w:t>
      </w:r>
      <w:r w:rsidR="00AF40E4">
        <w:t>ends</w:t>
      </w:r>
      <w:r w:rsidRPr="00F63766">
        <w:t xml:space="preserve"> within </w:t>
      </w:r>
      <w:r w:rsidR="00EF0CB9">
        <w:t>five</w:t>
      </w:r>
      <w:r w:rsidRPr="00F63766">
        <w:t xml:space="preserve"> years of the date of the company’s registration; </w:t>
      </w:r>
    </w:p>
    <w:p w14:paraId="6E522ED4" w14:textId="0882B666" w:rsidR="00162230" w:rsidRPr="00F63766" w:rsidRDefault="00162230" w:rsidP="00162230">
      <w:pPr>
        <w:pStyle w:val="dotpoint"/>
      </w:pPr>
      <w:r w:rsidRPr="00F63766">
        <w:t xml:space="preserve">where </w:t>
      </w:r>
      <w:r w:rsidR="00AF40E4">
        <w:t xml:space="preserve">the current financial year ends </w:t>
      </w:r>
      <w:r w:rsidRPr="00F63766">
        <w:t xml:space="preserve">more than 12 months </w:t>
      </w:r>
      <w:r>
        <w:t>since</w:t>
      </w:r>
      <w:r w:rsidRPr="00F63766">
        <w:t xml:space="preserve"> registration, the company has successfully completed a CSF offer; and</w:t>
      </w:r>
    </w:p>
    <w:p w14:paraId="61DB7D64" w14:textId="3CFB6BF4" w:rsidR="00162230" w:rsidRPr="00937982" w:rsidRDefault="00D5270D" w:rsidP="00162230">
      <w:pPr>
        <w:pStyle w:val="dotpoint"/>
        <w:rPr>
          <w:rStyle w:val="Referencingstyle"/>
          <w:b w:val="0"/>
          <w:i w:val="0"/>
          <w:sz w:val="22"/>
        </w:rPr>
      </w:pPr>
      <w:proofErr w:type="gramStart"/>
      <w:r>
        <w:t>either</w:t>
      </w:r>
      <w:proofErr w:type="gramEnd"/>
      <w:r>
        <w:t xml:space="preserve"> it is the company’s first financial year, or where it</w:t>
      </w:r>
      <w:r w:rsidR="00162230" w:rsidRPr="00F63766">
        <w:t xml:space="preserve"> is not the company’s first financial year, the company has been eligible for the </w:t>
      </w:r>
      <w:r w:rsidR="002F35DD">
        <w:t>concession</w:t>
      </w:r>
      <w:r w:rsidR="00573C51">
        <w:t>s</w:t>
      </w:r>
      <w:r w:rsidR="00162230" w:rsidRPr="00F63766">
        <w:t xml:space="preserve"> </w:t>
      </w:r>
      <w:r w:rsidR="00573C51">
        <w:t>in relation to</w:t>
      </w:r>
      <w:r w:rsidR="00162230" w:rsidRPr="00F63766">
        <w:t xml:space="preserve"> every </w:t>
      </w:r>
      <w:r w:rsidR="00573C51">
        <w:t>earlier</w:t>
      </w:r>
      <w:r w:rsidR="00162230" w:rsidRPr="00F63766">
        <w:t xml:space="preserve"> financial year.  </w:t>
      </w:r>
      <w:r w:rsidR="00162230" w:rsidRPr="00F63766">
        <w:rPr>
          <w:rStyle w:val="Referencingstyle"/>
        </w:rPr>
        <w:t xml:space="preserve">[Schedule 1, Part </w:t>
      </w:r>
      <w:r w:rsidR="002440B3">
        <w:rPr>
          <w:rStyle w:val="Referencingstyle"/>
        </w:rPr>
        <w:t>1</w:t>
      </w:r>
      <w:r w:rsidR="00162230" w:rsidRPr="00F63766">
        <w:rPr>
          <w:rStyle w:val="Referencingstyle"/>
        </w:rPr>
        <w:t>, item </w:t>
      </w:r>
      <w:r w:rsidR="002440B3">
        <w:rPr>
          <w:rStyle w:val="Referencingstyle"/>
        </w:rPr>
        <w:t>14</w:t>
      </w:r>
      <w:r w:rsidR="00162230" w:rsidRPr="00F63766">
        <w:rPr>
          <w:rStyle w:val="Referencingstyle"/>
        </w:rPr>
        <w:t xml:space="preserve">, </w:t>
      </w:r>
      <w:r w:rsidR="002440B3">
        <w:rPr>
          <w:rStyle w:val="Referencingstyle"/>
        </w:rPr>
        <w:t>section 738Z</w:t>
      </w:r>
      <w:r w:rsidR="002A554D">
        <w:rPr>
          <w:rStyle w:val="Referencingstyle"/>
        </w:rPr>
        <w:t>I</w:t>
      </w:r>
      <w:r w:rsidR="00162230" w:rsidRPr="00F63766">
        <w:rPr>
          <w:rStyle w:val="Referencingstyle"/>
        </w:rPr>
        <w:t>]</w:t>
      </w:r>
    </w:p>
    <w:p w14:paraId="6554DEAC" w14:textId="7B500327" w:rsidR="00FC0199" w:rsidRDefault="00E70821" w:rsidP="00E70821">
      <w:pPr>
        <w:pStyle w:val="Heading4"/>
      </w:pPr>
      <w:r>
        <w:t>M</w:t>
      </w:r>
      <w:r w:rsidR="00FC0199">
        <w:t>ust complete a CSF offer</w:t>
      </w:r>
      <w:r w:rsidR="00F622A0">
        <w:t xml:space="preserve"> within 12 months</w:t>
      </w:r>
      <w:r w:rsidR="00DE0935">
        <w:t xml:space="preserve"> of registration</w:t>
      </w:r>
    </w:p>
    <w:p w14:paraId="1C1A8299" w14:textId="315C7350" w:rsidR="007B1879" w:rsidRPr="00F63766" w:rsidRDefault="007B1879">
      <w:pPr>
        <w:pStyle w:val="base-text-paragraph"/>
      </w:pPr>
      <w:r w:rsidRPr="00F63766">
        <w:t>The requirement that the company complete a CSF offer</w:t>
      </w:r>
      <w:r w:rsidR="000D6889">
        <w:t xml:space="preserve"> within 12 months of registration</w:t>
      </w:r>
      <w:r w:rsidR="00397A73">
        <w:t xml:space="preserve"> as</w:t>
      </w:r>
      <w:r w:rsidR="003B1076">
        <w:t>,</w:t>
      </w:r>
      <w:r w:rsidR="000D6889">
        <w:t xml:space="preserve"> or conversion to</w:t>
      </w:r>
      <w:r w:rsidR="003B1076">
        <w:t>,</w:t>
      </w:r>
      <w:r w:rsidR="000D6889">
        <w:t xml:space="preserve"> a public company</w:t>
      </w:r>
      <w:r w:rsidRPr="00F63766">
        <w:t xml:space="preserve"> </w:t>
      </w:r>
      <w:r w:rsidR="00FC0199">
        <w:t>is intended to ensure the concessions</w:t>
      </w:r>
      <w:r w:rsidRPr="00F63766">
        <w:t xml:space="preserve"> are targeted to companies that use the CSF regime</w:t>
      </w:r>
      <w:r w:rsidR="00E04AC8">
        <w:t xml:space="preserve">. </w:t>
      </w:r>
    </w:p>
    <w:p w14:paraId="3E2C7EDF" w14:textId="574DFE35" w:rsidR="00E23183" w:rsidRDefault="007B1879">
      <w:pPr>
        <w:pStyle w:val="base-text-paragraph"/>
      </w:pPr>
      <w:r w:rsidRPr="00F63766">
        <w:t xml:space="preserve">Recognising that it will take some time for a newly formed company to complete a CSF offer, the company </w:t>
      </w:r>
      <w:r w:rsidR="00E954F4">
        <w:t>has</w:t>
      </w:r>
      <w:r w:rsidRPr="00F63766">
        <w:t xml:space="preserve"> a period of 12 months from registration </w:t>
      </w:r>
      <w:r w:rsidR="00881F45">
        <w:t>as</w:t>
      </w:r>
      <w:r w:rsidR="003B1076">
        <w:t>,</w:t>
      </w:r>
      <w:r w:rsidR="00881F45">
        <w:t xml:space="preserve"> or conversion to</w:t>
      </w:r>
      <w:r w:rsidR="003B1076">
        <w:t>,</w:t>
      </w:r>
      <w:r w:rsidR="00881F45">
        <w:t xml:space="preserve"> a public company </w:t>
      </w:r>
      <w:r w:rsidRPr="00F63766">
        <w:t xml:space="preserve">within which to successfully complete a CSF offer.  </w:t>
      </w:r>
    </w:p>
    <w:p w14:paraId="426C8785" w14:textId="5A1E3550" w:rsidR="00E23183" w:rsidRDefault="003A6EE6">
      <w:pPr>
        <w:pStyle w:val="base-text-paragraph"/>
      </w:pPr>
      <w:r>
        <w:t>The offer must be complete within the 12</w:t>
      </w:r>
      <w:r>
        <w:noBreakHyphen/>
        <w:t xml:space="preserve">month period.  </w:t>
      </w:r>
      <w:r w:rsidR="007B1879" w:rsidRPr="00F63766">
        <w:t xml:space="preserve">A company that makes a CSF offer that is open at the </w:t>
      </w:r>
      <w:r w:rsidR="003B1076">
        <w:t>end</w:t>
      </w:r>
      <w:r w:rsidR="007B1879" w:rsidRPr="00F63766">
        <w:t xml:space="preserve"> of the 12 month period will not be eligible for the CSF </w:t>
      </w:r>
      <w:r w:rsidR="00812766">
        <w:t>corporate governance concessions</w:t>
      </w:r>
      <w:r w:rsidR="00812766" w:rsidRPr="00F63766">
        <w:t xml:space="preserve"> </w:t>
      </w:r>
      <w:r w:rsidR="007B1879" w:rsidRPr="00F63766">
        <w:t>even if the offer subsequently successfully completes.</w:t>
      </w:r>
      <w:r w:rsidR="00E23183">
        <w:t xml:space="preserve"> </w:t>
      </w:r>
    </w:p>
    <w:p w14:paraId="7B8C6CFE" w14:textId="071E5B07" w:rsidR="00AB06DA" w:rsidRPr="000677BF" w:rsidRDefault="007B1879">
      <w:pPr>
        <w:pStyle w:val="base-text-paragraph"/>
      </w:pPr>
      <w:r w:rsidRPr="00F63766">
        <w:t xml:space="preserve">Likewise, </w:t>
      </w:r>
      <w:r w:rsidR="00316FFB">
        <w:t xml:space="preserve">if the company makes </w:t>
      </w:r>
      <w:r w:rsidRPr="00F63766">
        <w:t xml:space="preserve">a CSF offer that closes but </w:t>
      </w:r>
      <w:r w:rsidR="00E63519">
        <w:t>does</w:t>
      </w:r>
      <w:r w:rsidRPr="00F63766">
        <w:t xml:space="preserve"> not ‘complete’ (</w:t>
      </w:r>
      <w:r w:rsidR="00316FFB">
        <w:t xml:space="preserve">for example, </w:t>
      </w:r>
      <w:r w:rsidRPr="00F63766">
        <w:t xml:space="preserve">because the minimum </w:t>
      </w:r>
      <w:r w:rsidR="0074485D">
        <w:t>subscription condition is not met</w:t>
      </w:r>
      <w:r w:rsidRPr="000677BF">
        <w:t xml:space="preserve">), the company will be ineligible to claim the concessions.  </w:t>
      </w:r>
    </w:p>
    <w:p w14:paraId="4010F9DB" w14:textId="4BCDACA4" w:rsidR="007B1879" w:rsidRPr="00F63766" w:rsidRDefault="00AB06DA">
      <w:pPr>
        <w:pStyle w:val="base-text-paragraph"/>
      </w:pPr>
      <w:r w:rsidRPr="000677BF">
        <w:t xml:space="preserve">While the companies described in </w:t>
      </w:r>
      <w:r w:rsidRPr="00982C0F">
        <w:t>paragraph</w:t>
      </w:r>
      <w:r w:rsidR="00064818">
        <w:t>s</w:t>
      </w:r>
      <w:r w:rsidRPr="00982C0F">
        <w:t xml:space="preserve"> </w:t>
      </w:r>
      <w:r w:rsidR="00B67F02" w:rsidRPr="00982C0F">
        <w:t>7.</w:t>
      </w:r>
      <w:r w:rsidR="00064818" w:rsidRPr="00982C0F">
        <w:t>1</w:t>
      </w:r>
      <w:r w:rsidR="00064818">
        <w:t>6 and 7.17</w:t>
      </w:r>
      <w:r w:rsidR="00064818" w:rsidRPr="000677BF">
        <w:t xml:space="preserve"> </w:t>
      </w:r>
      <w:r w:rsidRPr="000677BF">
        <w:t>will</w:t>
      </w:r>
      <w:r>
        <w:t xml:space="preserve"> not be eligible for the public company </w:t>
      </w:r>
      <w:r w:rsidR="00BD24D5">
        <w:t xml:space="preserve">corporate governance and reporting </w:t>
      </w:r>
      <w:r>
        <w:t>concessions</w:t>
      </w:r>
      <w:r w:rsidR="00701518">
        <w:t xml:space="preserve"> outlined in paragraphs 7.19 to</w:t>
      </w:r>
      <w:r w:rsidR="00CB50FB">
        <w:t xml:space="preserve"> </w:t>
      </w:r>
      <w:r w:rsidR="00701518">
        <w:t>7.29</w:t>
      </w:r>
      <w:r>
        <w:t xml:space="preserve">, they </w:t>
      </w:r>
      <w:r w:rsidR="00D80C84">
        <w:t xml:space="preserve">may </w:t>
      </w:r>
      <w:r w:rsidR="00804EC9">
        <w:t xml:space="preserve">still </w:t>
      </w:r>
      <w:r>
        <w:t xml:space="preserve">be eligible to make </w:t>
      </w:r>
      <w:r w:rsidR="00D80C84">
        <w:t xml:space="preserve">a </w:t>
      </w:r>
      <w:r>
        <w:t>CSF offer</w:t>
      </w:r>
      <w:r w:rsidR="00D80C84">
        <w:t xml:space="preserve">, subject to satisfying the relevant eligibility criteria (refer to Chapter 2 of the Explanatory Memorandum). </w:t>
      </w:r>
    </w:p>
    <w:p w14:paraId="5158F15D" w14:textId="4343B626" w:rsidR="002E269A" w:rsidRPr="00F63766" w:rsidRDefault="00D946D9" w:rsidP="00A842E0">
      <w:pPr>
        <w:pStyle w:val="Heading3"/>
      </w:pPr>
      <w:r>
        <w:t xml:space="preserve">Concession 1: </w:t>
      </w:r>
      <w:r w:rsidR="002E269A" w:rsidRPr="00F63766">
        <w:t>Relief from holding an AGM</w:t>
      </w:r>
    </w:p>
    <w:p w14:paraId="73A5FB80" w14:textId="613BB59B" w:rsidR="00C536B5" w:rsidRPr="00C36ACE" w:rsidRDefault="006F2342" w:rsidP="00C536B5">
      <w:pPr>
        <w:pStyle w:val="base-text-paragraph"/>
        <w:numPr>
          <w:ilvl w:val="1"/>
          <w:numId w:val="33"/>
        </w:numPr>
      </w:pPr>
      <w:r>
        <w:t xml:space="preserve">If the financial year end </w:t>
      </w:r>
      <w:r w:rsidR="00A02A67">
        <w:t xml:space="preserve">for the company is within 18 months of </w:t>
      </w:r>
      <w:r w:rsidR="00A02A67" w:rsidRPr="00C36ACE">
        <w:t xml:space="preserve">the date of registration, the company </w:t>
      </w:r>
      <w:r w:rsidRPr="00C36ACE">
        <w:t xml:space="preserve">does not need to hold an AGM </w:t>
      </w:r>
      <w:r w:rsidR="00A02A67" w:rsidRPr="00C36ACE">
        <w:t xml:space="preserve">if it satisfies the requirements to claim the </w:t>
      </w:r>
      <w:r w:rsidR="001553D9" w:rsidRPr="00C36ACE">
        <w:t xml:space="preserve">public company </w:t>
      </w:r>
      <w:r w:rsidR="00162CBB" w:rsidRPr="00C36ACE">
        <w:t xml:space="preserve">concessions </w:t>
      </w:r>
      <w:r w:rsidR="00A02A67" w:rsidRPr="00C36ACE">
        <w:t>(</w:t>
      </w:r>
      <w:r w:rsidR="00A02A67" w:rsidRPr="00982C0F">
        <w:t xml:space="preserve">paragraph </w:t>
      </w:r>
      <w:r w:rsidR="000677BF" w:rsidRPr="00982C0F">
        <w:t>7.13</w:t>
      </w:r>
      <w:r w:rsidR="00A02A67" w:rsidRPr="00C36ACE">
        <w:t>) at the end of the financial year</w:t>
      </w:r>
      <w:r w:rsidR="00C536B5" w:rsidRPr="00C36ACE">
        <w:t xml:space="preserve"> </w:t>
      </w:r>
      <w:r w:rsidR="00C536B5" w:rsidRPr="00C36ACE">
        <w:rPr>
          <w:rStyle w:val="Referencingstyle"/>
        </w:rPr>
        <w:t>[Schedule 2, item </w:t>
      </w:r>
      <w:r w:rsidR="009A236A" w:rsidRPr="00C36ACE">
        <w:rPr>
          <w:rStyle w:val="Referencingstyle"/>
        </w:rPr>
        <w:t>2</w:t>
      </w:r>
      <w:r w:rsidR="00C536B5" w:rsidRPr="00C36ACE">
        <w:rPr>
          <w:rStyle w:val="Referencingstyle"/>
        </w:rPr>
        <w:t>,</w:t>
      </w:r>
      <w:r w:rsidR="009A236A" w:rsidRPr="00C36ACE">
        <w:rPr>
          <w:rStyle w:val="Referencingstyle"/>
        </w:rPr>
        <w:t>subsection 250N(5)</w:t>
      </w:r>
      <w:r w:rsidR="00C536B5" w:rsidRPr="00C36ACE">
        <w:rPr>
          <w:rStyle w:val="Referencingstyle"/>
        </w:rPr>
        <w:t>]</w:t>
      </w:r>
      <w:r w:rsidR="00C536B5" w:rsidRPr="00C36ACE">
        <w:t xml:space="preserve">.  </w:t>
      </w:r>
    </w:p>
    <w:p w14:paraId="446BD8CF" w14:textId="77777777" w:rsidR="00FC2356" w:rsidRDefault="00FC2356">
      <w:pPr>
        <w:spacing w:before="0" w:after="0"/>
      </w:pPr>
      <w:r>
        <w:br w:type="page"/>
      </w:r>
    </w:p>
    <w:p w14:paraId="011942E3" w14:textId="410A5501" w:rsidR="00F076DA" w:rsidRPr="00F63766" w:rsidRDefault="00A02A67" w:rsidP="00F076DA">
      <w:pPr>
        <w:pStyle w:val="base-text-paragraph"/>
        <w:numPr>
          <w:ilvl w:val="1"/>
          <w:numId w:val="33"/>
        </w:numPr>
      </w:pPr>
      <w:r w:rsidRPr="00C36ACE">
        <w:t>For all subsequent financial years, the company does not need to hold an AGM if it satisfies the requirements to claim the public company concessions (</w:t>
      </w:r>
      <w:r w:rsidRPr="00982C0F">
        <w:t xml:space="preserve">paragraph </w:t>
      </w:r>
      <w:r w:rsidR="00851A93" w:rsidRPr="00982C0F">
        <w:t>7.13</w:t>
      </w:r>
      <w:r w:rsidRPr="00C36ACE">
        <w:t>) at the</w:t>
      </w:r>
      <w:r>
        <w:t xml:space="preserve"> end of that financial year</w:t>
      </w:r>
      <w:r w:rsidR="00C536B5">
        <w:t xml:space="preserve"> </w:t>
      </w:r>
      <w:r w:rsidR="00F076DA" w:rsidRPr="00F63766">
        <w:rPr>
          <w:rStyle w:val="Referencingstyle"/>
        </w:rPr>
        <w:t xml:space="preserve">[Schedule </w:t>
      </w:r>
      <w:r w:rsidR="00F076DA">
        <w:rPr>
          <w:rStyle w:val="Referencingstyle"/>
        </w:rPr>
        <w:t>2</w:t>
      </w:r>
      <w:r w:rsidR="00F076DA" w:rsidRPr="00F63766">
        <w:rPr>
          <w:rStyle w:val="Referencingstyle"/>
        </w:rPr>
        <w:t>, item </w:t>
      </w:r>
      <w:r w:rsidR="00F076DA">
        <w:rPr>
          <w:rStyle w:val="Referencingstyle"/>
        </w:rPr>
        <w:t>2</w:t>
      </w:r>
      <w:proofErr w:type="gramStart"/>
      <w:r w:rsidR="00F076DA" w:rsidRPr="00F63766">
        <w:rPr>
          <w:rStyle w:val="Referencingstyle"/>
        </w:rPr>
        <w:t>,</w:t>
      </w:r>
      <w:r w:rsidR="00F076DA">
        <w:rPr>
          <w:rStyle w:val="Referencingstyle"/>
        </w:rPr>
        <w:t>subsection</w:t>
      </w:r>
      <w:proofErr w:type="gramEnd"/>
      <w:r w:rsidR="00F076DA">
        <w:rPr>
          <w:rStyle w:val="Referencingstyle"/>
        </w:rPr>
        <w:t> 250N(6)</w:t>
      </w:r>
      <w:r w:rsidR="00F076DA" w:rsidRPr="00F63766">
        <w:rPr>
          <w:rStyle w:val="Referencingstyle"/>
        </w:rPr>
        <w:t>]</w:t>
      </w:r>
      <w:r w:rsidR="00F076DA" w:rsidRPr="00F63766">
        <w:t xml:space="preserve">.  </w:t>
      </w:r>
    </w:p>
    <w:p w14:paraId="5C304DEE" w14:textId="37669AE5" w:rsidR="002E269A" w:rsidRPr="00F63766" w:rsidRDefault="002E269A" w:rsidP="007340A6">
      <w:pPr>
        <w:pStyle w:val="base-text-paragraph"/>
        <w:keepNext/>
        <w:keepLines/>
        <w:numPr>
          <w:ilvl w:val="1"/>
          <w:numId w:val="33"/>
        </w:numPr>
      </w:pPr>
      <w:r w:rsidRPr="00F63766">
        <w:t xml:space="preserve">The policy rationale for </w:t>
      </w:r>
      <w:r w:rsidR="00973773">
        <w:t>providing relief from having to hold an AGM</w:t>
      </w:r>
      <w:r w:rsidRPr="00F63766">
        <w:t xml:space="preserve"> is that</w:t>
      </w:r>
      <w:r w:rsidR="00FE6984">
        <w:t>,</w:t>
      </w:r>
      <w:r w:rsidRPr="00F63766">
        <w:t xml:space="preserve"> while AGMs serve a purpose in the general engagement process between companies and their shareholders and </w:t>
      </w:r>
      <w:r w:rsidR="00812766">
        <w:t>are</w:t>
      </w:r>
      <w:r w:rsidRPr="00F63766">
        <w:t xml:space="preserve"> a mechanism for accountability of those in control of the company, holding an AGM poses practical difficulties and cost</w:t>
      </w:r>
      <w:r w:rsidR="00FE6984">
        <w:t>s for start-ups and other small</w:t>
      </w:r>
      <w:r w:rsidR="00FE6984">
        <w:noBreakHyphen/>
        <w:t>s</w:t>
      </w:r>
      <w:r w:rsidRPr="00F63766">
        <w:t xml:space="preserve">cale enterprises.  The concession, therefore, </w:t>
      </w:r>
      <w:r w:rsidR="00554501">
        <w:t xml:space="preserve">is intended to </w:t>
      </w:r>
      <w:r w:rsidRPr="00F63766">
        <w:t xml:space="preserve">reduce the burdens associated with holding an AGM for a </w:t>
      </w:r>
      <w:r w:rsidR="007B3F75">
        <w:t>limited period.</w:t>
      </w:r>
      <w:r w:rsidR="00C424EE">
        <w:t xml:space="preserve"> Notwithstanding the company will not be required to hold an AGM under section 250N, the directors may </w:t>
      </w:r>
      <w:r w:rsidR="000301B5">
        <w:t xml:space="preserve">still </w:t>
      </w:r>
      <w:r w:rsidR="00C424EE">
        <w:t xml:space="preserve">be required to call a general meeting under other circumstances (for example, pursuant to subsection 249D(1), </w:t>
      </w:r>
      <w:r w:rsidR="00C424EE" w:rsidRPr="002215D8">
        <w:t>on the request of members with at least 5</w:t>
      </w:r>
      <w:r w:rsidR="00C424EE">
        <w:t> per cent</w:t>
      </w:r>
      <w:r w:rsidR="00C424EE" w:rsidRPr="002215D8">
        <w:t xml:space="preserve"> of the votes that may be cast at the general meeting</w:t>
      </w:r>
      <w:r w:rsidR="00C424EE">
        <w:t>)</w:t>
      </w:r>
      <w:r w:rsidR="00C424EE" w:rsidRPr="002215D8">
        <w:t>.</w:t>
      </w:r>
    </w:p>
    <w:p w14:paraId="766EF9A6" w14:textId="70673AF0" w:rsidR="002E269A" w:rsidRPr="00F63766" w:rsidRDefault="00866D42" w:rsidP="00866D42">
      <w:pPr>
        <w:pStyle w:val="Heading3"/>
      </w:pPr>
      <w:r>
        <w:t xml:space="preserve">Concession 2: </w:t>
      </w:r>
      <w:r w:rsidR="002E269A" w:rsidRPr="00F63766">
        <w:t>Relief from preparing audited annual financial reports</w:t>
      </w:r>
    </w:p>
    <w:p w14:paraId="57975CED" w14:textId="63A877DC" w:rsidR="00D12F04" w:rsidRDefault="002E269A" w:rsidP="002E269A">
      <w:pPr>
        <w:pStyle w:val="base-text-paragraph"/>
      </w:pPr>
      <w:r w:rsidRPr="00F63766">
        <w:t>Public companies must have their financial reports audited</w:t>
      </w:r>
      <w:r w:rsidR="0053001B">
        <w:t xml:space="preserve"> (sections 295 to 297)</w:t>
      </w:r>
      <w:r w:rsidRPr="00F63766">
        <w:t xml:space="preserve">.  However, recognising the compliance burden that can arise for a newly formed public company (particularly where it has converted from a proprietary company where audited financial reports are not required), </w:t>
      </w:r>
      <w:r w:rsidR="00353768">
        <w:t>a</w:t>
      </w:r>
      <w:r w:rsidRPr="00F63766">
        <w:t xml:space="preserve"> </w:t>
      </w:r>
      <w:r w:rsidR="00353768">
        <w:t xml:space="preserve">company can elect not to have audited financial </w:t>
      </w:r>
      <w:r w:rsidRPr="00F63766">
        <w:t xml:space="preserve">reports </w:t>
      </w:r>
      <w:r w:rsidR="00353768">
        <w:t>where</w:t>
      </w:r>
      <w:r w:rsidR="00D12F04">
        <w:t>:</w:t>
      </w:r>
    </w:p>
    <w:p w14:paraId="14A32312" w14:textId="0B9A41AC" w:rsidR="00D12F04" w:rsidRDefault="00D12F04" w:rsidP="002E269A">
      <w:pPr>
        <w:pStyle w:val="dotpoint"/>
      </w:pPr>
      <w:r>
        <w:t xml:space="preserve">they </w:t>
      </w:r>
      <w:r w:rsidRPr="003520DF">
        <w:t>satisfy the general eligibility criteria to claim the concession</w:t>
      </w:r>
      <w:r w:rsidR="00BA4465">
        <w:t>s</w:t>
      </w:r>
      <w:r w:rsidRPr="003520DF">
        <w:t xml:space="preserve"> (</w:t>
      </w:r>
      <w:r w:rsidRPr="00982C0F">
        <w:t xml:space="preserve">paragraph </w:t>
      </w:r>
      <w:r w:rsidR="00C36ACE" w:rsidRPr="00982C0F">
        <w:t>7.13</w:t>
      </w:r>
      <w:r w:rsidRPr="003520DF">
        <w:t>); and</w:t>
      </w:r>
    </w:p>
    <w:p w14:paraId="75BBD5D6" w14:textId="74370E56" w:rsidR="002E269A" w:rsidRPr="00F63766" w:rsidRDefault="00D12F04" w:rsidP="002E269A">
      <w:pPr>
        <w:pStyle w:val="dotpoint"/>
        <w:rPr>
          <w:rStyle w:val="Referencingstyle"/>
        </w:rPr>
      </w:pPr>
      <w:proofErr w:type="gramStart"/>
      <w:r>
        <w:t>as</w:t>
      </w:r>
      <w:proofErr w:type="gramEnd"/>
      <w:r>
        <w:t xml:space="preserve"> </w:t>
      </w:r>
      <w:r w:rsidR="002E269A" w:rsidRPr="00F63766">
        <w:t>at the end of the current financial year, the company has raised less than $1 million from all CSF offers and other offers requir</w:t>
      </w:r>
      <w:r w:rsidR="00BA4465">
        <w:t>ing</w:t>
      </w:r>
      <w:r w:rsidR="002E269A" w:rsidRPr="00F63766">
        <w:t xml:space="preserve"> disclosure under Chapter 6D.2 that it has made at any time </w:t>
      </w:r>
      <w:r w:rsidR="002E269A" w:rsidRPr="00F63766">
        <w:rPr>
          <w:rStyle w:val="Referencingstyle"/>
        </w:rPr>
        <w:t xml:space="preserve">[Schedule </w:t>
      </w:r>
      <w:r w:rsidR="00AA2915">
        <w:rPr>
          <w:rStyle w:val="Referencingstyle"/>
        </w:rPr>
        <w:t>2</w:t>
      </w:r>
      <w:r w:rsidR="002E269A" w:rsidRPr="00F63766">
        <w:rPr>
          <w:rStyle w:val="Referencingstyle"/>
        </w:rPr>
        <w:t>, item </w:t>
      </w:r>
      <w:r w:rsidR="00AA2915">
        <w:rPr>
          <w:rStyle w:val="Referencingstyle"/>
        </w:rPr>
        <w:t>5</w:t>
      </w:r>
      <w:r w:rsidR="002E269A" w:rsidRPr="00F63766">
        <w:rPr>
          <w:rStyle w:val="Referencingstyle"/>
        </w:rPr>
        <w:t>, subsection 301(5)]</w:t>
      </w:r>
      <w:r w:rsidR="006D0735">
        <w:rPr>
          <w:rStyle w:val="Referencingstyle"/>
        </w:rPr>
        <w:t>.</w:t>
      </w:r>
      <w:r w:rsidR="002E269A" w:rsidRPr="00F63766">
        <w:rPr>
          <w:rStyle w:val="Referencingstyle"/>
        </w:rPr>
        <w:t xml:space="preserve">  </w:t>
      </w:r>
    </w:p>
    <w:p w14:paraId="42075CC4" w14:textId="20AAC8E4" w:rsidR="002E269A" w:rsidRPr="00F63766" w:rsidRDefault="002E269A" w:rsidP="002E269A">
      <w:pPr>
        <w:pStyle w:val="base-text-paragraph"/>
        <w:numPr>
          <w:ilvl w:val="1"/>
          <w:numId w:val="33"/>
        </w:numPr>
      </w:pPr>
      <w:r w:rsidRPr="00F63766">
        <w:t xml:space="preserve">Recognising </w:t>
      </w:r>
      <w:r w:rsidR="00FE11BD">
        <w:t xml:space="preserve">that </w:t>
      </w:r>
      <w:r w:rsidRPr="00F63766">
        <w:t>the obligation to have audited financial reports provides an important safeguard for investors, the exemption from having audited financial reports ceases at the earlier of</w:t>
      </w:r>
      <w:r w:rsidR="00BA4465">
        <w:t>:</w:t>
      </w:r>
      <w:r w:rsidRPr="00F63766">
        <w:t xml:space="preserve"> </w:t>
      </w:r>
      <w:r w:rsidR="00B91704">
        <w:t>five</w:t>
      </w:r>
      <w:r w:rsidRPr="00F63766">
        <w:t xml:space="preserve"> years </w:t>
      </w:r>
      <w:r w:rsidR="00812766">
        <w:t>from the date of registration as</w:t>
      </w:r>
      <w:r w:rsidR="00BA4465">
        <w:t>,</w:t>
      </w:r>
      <w:r w:rsidR="00812766">
        <w:t xml:space="preserve"> or conversion to</w:t>
      </w:r>
      <w:r w:rsidR="00BA4465">
        <w:t>,</w:t>
      </w:r>
      <w:r w:rsidR="00812766">
        <w:t xml:space="preserve"> a public company</w:t>
      </w:r>
      <w:r w:rsidR="00BA4465">
        <w:t>;</w:t>
      </w:r>
      <w:r w:rsidRPr="00F63766">
        <w:t xml:space="preserve"> or when the company raised more than $1 million from CSF offers or other offers requiring disclosure made at any time</w:t>
      </w:r>
      <w:r w:rsidR="00C300ED">
        <w:t>.  The cap is based on offers made at any time</w:t>
      </w:r>
      <w:r w:rsidR="006A04F1">
        <w:t xml:space="preserve"> — </w:t>
      </w:r>
      <w:r w:rsidRPr="00F63766">
        <w:t xml:space="preserve">the </w:t>
      </w:r>
      <w:r w:rsidR="006A04F1">
        <w:t xml:space="preserve">$1 million </w:t>
      </w:r>
      <w:r w:rsidRPr="00F63766">
        <w:t xml:space="preserve">cap does not reset every year. </w:t>
      </w:r>
    </w:p>
    <w:p w14:paraId="2F7EA5F1" w14:textId="77777777" w:rsidR="002E269A" w:rsidRPr="00F63766" w:rsidRDefault="002E269A" w:rsidP="00866D42">
      <w:pPr>
        <w:pStyle w:val="Heading4"/>
      </w:pPr>
      <w:r w:rsidRPr="00F63766">
        <w:t>Relief from appointing an auditor</w:t>
      </w:r>
    </w:p>
    <w:p w14:paraId="28B0E71E" w14:textId="77777777" w:rsidR="002E269A" w:rsidRPr="00F63766" w:rsidRDefault="002E269A" w:rsidP="002E269A">
      <w:pPr>
        <w:pStyle w:val="base-text-paragraph"/>
        <w:numPr>
          <w:ilvl w:val="1"/>
          <w:numId w:val="33"/>
        </w:numPr>
      </w:pPr>
      <w:r w:rsidRPr="00F63766">
        <w:t>As the Bill provides an exemption from the requirement to prepare audited financial reports, the Bill exempts the directors of a company from needing to appoint an auditor within one month of registration where the following requirements are satisfied:</w:t>
      </w:r>
    </w:p>
    <w:p w14:paraId="259F3833" w14:textId="4F2D06A5" w:rsidR="002E269A" w:rsidRPr="00F63766" w:rsidRDefault="00546C7F" w:rsidP="002E269A">
      <w:pPr>
        <w:pStyle w:val="dotpoint"/>
      </w:pPr>
      <w:r>
        <w:t xml:space="preserve">on registration, </w:t>
      </w:r>
      <w:r w:rsidR="002E269A" w:rsidRPr="00F63766">
        <w:t xml:space="preserve">the </w:t>
      </w:r>
      <w:r>
        <w:t xml:space="preserve">company </w:t>
      </w:r>
      <w:r w:rsidRPr="000317DA">
        <w:t>satisfied the general eligibility criteria to claim the concession</w:t>
      </w:r>
      <w:r w:rsidR="0021380B">
        <w:t>s</w:t>
      </w:r>
      <w:r w:rsidRPr="000317DA">
        <w:t xml:space="preserve"> (</w:t>
      </w:r>
      <w:r w:rsidRPr="00982C0F">
        <w:t xml:space="preserve">paragraph </w:t>
      </w:r>
      <w:r w:rsidR="003520DF" w:rsidRPr="00982C0F">
        <w:t>7.13</w:t>
      </w:r>
      <w:r w:rsidRPr="000317DA">
        <w:t>); and</w:t>
      </w:r>
    </w:p>
    <w:p w14:paraId="683BCF3F" w14:textId="6019FEAB" w:rsidR="002E269A" w:rsidRPr="00F63766" w:rsidRDefault="00546C7F" w:rsidP="002E269A">
      <w:pPr>
        <w:pStyle w:val="dotpoint"/>
      </w:pPr>
      <w:proofErr w:type="gramStart"/>
      <w:r>
        <w:t>the</w:t>
      </w:r>
      <w:proofErr w:type="gramEnd"/>
      <w:r>
        <w:t xml:space="preserve"> application for registration stated that the company would be eligible for the concessions on registration and that the company intends to make a CSF offer after registration. </w:t>
      </w:r>
      <w:r w:rsidR="002E269A" w:rsidRPr="00F63766">
        <w:rPr>
          <w:rStyle w:val="Referencingstyle"/>
        </w:rPr>
        <w:t xml:space="preserve">[Schedule </w:t>
      </w:r>
      <w:r>
        <w:rPr>
          <w:rStyle w:val="Referencingstyle"/>
        </w:rPr>
        <w:t>2</w:t>
      </w:r>
      <w:r w:rsidR="002E269A" w:rsidRPr="00F63766">
        <w:rPr>
          <w:rStyle w:val="Referencingstyle"/>
        </w:rPr>
        <w:t>, item </w:t>
      </w:r>
      <w:r>
        <w:rPr>
          <w:rStyle w:val="Referencingstyle"/>
        </w:rPr>
        <w:t>9</w:t>
      </w:r>
      <w:r w:rsidR="002E269A" w:rsidRPr="00F63766">
        <w:rPr>
          <w:rStyle w:val="Referencingstyle"/>
        </w:rPr>
        <w:t>, subsection 327A(4)]</w:t>
      </w:r>
      <w:r w:rsidR="002E269A" w:rsidRPr="00F63766">
        <w:t xml:space="preserve"> </w:t>
      </w:r>
    </w:p>
    <w:p w14:paraId="598A921B" w14:textId="7654E612" w:rsidR="002E269A" w:rsidRPr="00F63766" w:rsidRDefault="00866D42" w:rsidP="00866D42">
      <w:pPr>
        <w:pStyle w:val="Heading3"/>
      </w:pPr>
      <w:r>
        <w:t xml:space="preserve">Concession 3: </w:t>
      </w:r>
      <w:r w:rsidR="0061234F">
        <w:t>A</w:t>
      </w:r>
      <w:r w:rsidR="002E269A" w:rsidRPr="00F63766">
        <w:t>nn</w:t>
      </w:r>
      <w:r w:rsidR="0061234F">
        <w:t>ual financial reports only to be provided online</w:t>
      </w:r>
    </w:p>
    <w:p w14:paraId="3413F711" w14:textId="77777777" w:rsidR="002E269A" w:rsidRPr="00F63766" w:rsidRDefault="002E269A" w:rsidP="002E269A">
      <w:pPr>
        <w:pStyle w:val="base-text-paragraph"/>
        <w:numPr>
          <w:ilvl w:val="1"/>
          <w:numId w:val="33"/>
        </w:numPr>
      </w:pPr>
      <w:r w:rsidRPr="00F63766">
        <w:t xml:space="preserve">Public companies must provide a financial report, directors’ report and auditor’s report to shareholders each year.  The company must, on at least one occasion, directly notify each shareholder in writing that they may elect to receive the reports in either hard or electronic copy free of charge and, if they do not so elect, they may access the reports on a specified website.  </w:t>
      </w:r>
    </w:p>
    <w:p w14:paraId="7CFA182B" w14:textId="676A069F" w:rsidR="002E269A" w:rsidRPr="00F63766" w:rsidRDefault="002E269A" w:rsidP="002E269A">
      <w:pPr>
        <w:pStyle w:val="base-text-paragraph"/>
        <w:numPr>
          <w:ilvl w:val="1"/>
          <w:numId w:val="33"/>
        </w:numPr>
      </w:pPr>
      <w:r w:rsidRPr="00F63766">
        <w:t xml:space="preserve">The requirement to notify shareholders of the options to receive the annual reports and to provide the reports in the format elected by the shareholder may impose significant costs </w:t>
      </w:r>
      <w:r w:rsidR="0021380B">
        <w:t>on</w:t>
      </w:r>
      <w:r w:rsidR="0021380B" w:rsidRPr="00F63766">
        <w:t xml:space="preserve"> </w:t>
      </w:r>
      <w:r w:rsidRPr="00F63766">
        <w:t xml:space="preserve">a start-up or </w:t>
      </w:r>
      <w:r w:rsidR="00682CB1">
        <w:t>small</w:t>
      </w:r>
      <w:r w:rsidR="0021380B">
        <w:noBreakHyphen/>
      </w:r>
      <w:r w:rsidR="00682CB1">
        <w:t>scale enterprise</w:t>
      </w:r>
      <w:r w:rsidRPr="00F63766">
        <w:t xml:space="preserve">.  </w:t>
      </w:r>
    </w:p>
    <w:p w14:paraId="1EF96768" w14:textId="1028A051" w:rsidR="00DF6CB4" w:rsidRDefault="002E269A" w:rsidP="00FF5264">
      <w:pPr>
        <w:pStyle w:val="base-text-paragraph"/>
      </w:pPr>
      <w:r w:rsidRPr="00F63766">
        <w:t xml:space="preserve">The Bill provides that a company that satisfies </w:t>
      </w:r>
      <w:r w:rsidR="00224D89">
        <w:t xml:space="preserve">the general eligibility criteria to claim the </w:t>
      </w:r>
      <w:r w:rsidR="00224D89" w:rsidRPr="009C6E40">
        <w:t>concession</w:t>
      </w:r>
      <w:r w:rsidR="00224D89">
        <w:t>s</w:t>
      </w:r>
      <w:r w:rsidR="00224D89" w:rsidRPr="009C6E40">
        <w:t xml:space="preserve"> (</w:t>
      </w:r>
      <w:r w:rsidR="00224D89" w:rsidRPr="00982C0F">
        <w:t>paragraph 7.13</w:t>
      </w:r>
      <w:r w:rsidR="00224D89">
        <w:t>) at the end of the financial year</w:t>
      </w:r>
      <w:r w:rsidR="00224D89" w:rsidRPr="00F63766">
        <w:t xml:space="preserve"> </w:t>
      </w:r>
      <w:r w:rsidR="00224D89">
        <w:t xml:space="preserve">only needs to provide its </w:t>
      </w:r>
      <w:r w:rsidR="00DE01F7">
        <w:t xml:space="preserve">annual </w:t>
      </w:r>
      <w:r w:rsidRPr="00F63766">
        <w:t xml:space="preserve">reports </w:t>
      </w:r>
      <w:r w:rsidR="00224D89">
        <w:t xml:space="preserve">via a </w:t>
      </w:r>
      <w:r w:rsidRPr="00F63766">
        <w:t>website</w:t>
      </w:r>
      <w:r w:rsidR="00224D89">
        <w:t xml:space="preserve"> and does not need to</w:t>
      </w:r>
      <w:r w:rsidRPr="00F63766">
        <w:t xml:space="preserve"> notify shareholders of alternative</w:t>
      </w:r>
      <w:r w:rsidR="000F26A6">
        <w:t xml:space="preserve"> ways of </w:t>
      </w:r>
      <w:r w:rsidRPr="00F63766">
        <w:t>receiving the reports</w:t>
      </w:r>
      <w:r w:rsidR="002A5868">
        <w:t xml:space="preserve">. </w:t>
      </w:r>
      <w:r w:rsidR="004E5AEF" w:rsidRPr="00F63766">
        <w:rPr>
          <w:rStyle w:val="Referencingstyle"/>
        </w:rPr>
        <w:t xml:space="preserve">[Schedule </w:t>
      </w:r>
      <w:r w:rsidR="004E5AEF">
        <w:rPr>
          <w:rStyle w:val="Referencingstyle"/>
        </w:rPr>
        <w:t>2</w:t>
      </w:r>
      <w:r w:rsidR="004E5AEF" w:rsidRPr="00F63766">
        <w:rPr>
          <w:rStyle w:val="Referencingstyle"/>
        </w:rPr>
        <w:t>, item</w:t>
      </w:r>
      <w:r w:rsidR="004E5AEF">
        <w:rPr>
          <w:rStyle w:val="Referencingstyle"/>
        </w:rPr>
        <w:t>s</w:t>
      </w:r>
      <w:r w:rsidR="004E5AEF" w:rsidRPr="00F63766">
        <w:rPr>
          <w:rStyle w:val="Referencingstyle"/>
        </w:rPr>
        <w:t> </w:t>
      </w:r>
      <w:r w:rsidR="004E5AEF">
        <w:rPr>
          <w:rStyle w:val="Referencingstyle"/>
        </w:rPr>
        <w:t>6 and 7</w:t>
      </w:r>
      <w:r w:rsidR="004E5AEF" w:rsidRPr="00F63766">
        <w:rPr>
          <w:rStyle w:val="Referencingstyle"/>
        </w:rPr>
        <w:t>, subsection</w:t>
      </w:r>
      <w:r w:rsidR="002E65D3">
        <w:rPr>
          <w:rStyle w:val="Referencingstyle"/>
        </w:rPr>
        <w:t>s</w:t>
      </w:r>
      <w:r w:rsidR="004E5AEF" w:rsidRPr="00F63766">
        <w:rPr>
          <w:rStyle w:val="Referencingstyle"/>
        </w:rPr>
        <w:t> 3</w:t>
      </w:r>
      <w:r w:rsidR="004E5AEF">
        <w:rPr>
          <w:rStyle w:val="Referencingstyle"/>
        </w:rPr>
        <w:t>14(1) and</w:t>
      </w:r>
      <w:r w:rsidR="002E65D3">
        <w:rPr>
          <w:rStyle w:val="Referencingstyle"/>
        </w:rPr>
        <w:t xml:space="preserve"> </w:t>
      </w:r>
      <w:r w:rsidR="004E5AEF">
        <w:rPr>
          <w:rStyle w:val="Referencingstyle"/>
        </w:rPr>
        <w:t>314(1A</w:t>
      </w:r>
      <w:r w:rsidR="00C355F6">
        <w:rPr>
          <w:rStyle w:val="Referencingstyle"/>
        </w:rPr>
        <w:t>F</w:t>
      </w:r>
      <w:r w:rsidR="004E5AEF" w:rsidRPr="00F63766">
        <w:rPr>
          <w:rStyle w:val="Referencingstyle"/>
        </w:rPr>
        <w:t>)]</w:t>
      </w:r>
      <w:r w:rsidR="004E5AEF" w:rsidRPr="00F63766">
        <w:t xml:space="preserve"> </w:t>
      </w:r>
      <w:r w:rsidR="00662D3D">
        <w:t xml:space="preserve"> </w:t>
      </w:r>
    </w:p>
    <w:p w14:paraId="55E287F7" w14:textId="019AFF73" w:rsidR="002F5D4F" w:rsidRDefault="00B16153" w:rsidP="002F5D4F">
      <w:pPr>
        <w:pStyle w:val="base-text-paragraph"/>
      </w:pPr>
      <w:r>
        <w:t>A similar amendment has also been made to enable a company that qualifies for the concession</w:t>
      </w:r>
      <w:r w:rsidR="00563038">
        <w:t>s</w:t>
      </w:r>
      <w:r>
        <w:t xml:space="preserve"> to provide </w:t>
      </w:r>
      <w:r w:rsidR="00563038">
        <w:t xml:space="preserve">its </w:t>
      </w:r>
      <w:r>
        <w:t>concise financial report to shareholders by making the report available on a website</w:t>
      </w:r>
      <w:r w:rsidR="002F5D4F">
        <w:t xml:space="preserve"> </w:t>
      </w:r>
      <w:r w:rsidR="002F5D4F" w:rsidRPr="00F63766">
        <w:rPr>
          <w:rStyle w:val="Referencingstyle"/>
        </w:rPr>
        <w:t>[Schedule</w:t>
      </w:r>
      <w:r w:rsidR="002F5D4F">
        <w:rPr>
          <w:rStyle w:val="Referencingstyle"/>
        </w:rPr>
        <w:t> 2</w:t>
      </w:r>
      <w:r w:rsidR="007E69B7">
        <w:rPr>
          <w:rStyle w:val="Referencingstyle"/>
        </w:rPr>
        <w:t>, </w:t>
      </w:r>
      <w:r w:rsidR="002F5D4F" w:rsidRPr="00F63766">
        <w:rPr>
          <w:rStyle w:val="Referencingstyle"/>
        </w:rPr>
        <w:t>item </w:t>
      </w:r>
      <w:r w:rsidR="002F5D4F">
        <w:rPr>
          <w:rStyle w:val="Referencingstyle"/>
        </w:rPr>
        <w:t>8</w:t>
      </w:r>
      <w:r w:rsidR="007E69B7">
        <w:rPr>
          <w:rStyle w:val="Referencingstyle"/>
        </w:rPr>
        <w:t>, </w:t>
      </w:r>
      <w:proofErr w:type="gramStart"/>
      <w:r w:rsidR="002F5D4F">
        <w:rPr>
          <w:rStyle w:val="Referencingstyle"/>
        </w:rPr>
        <w:t>subsection</w:t>
      </w:r>
      <w:proofErr w:type="gramEnd"/>
      <w:r w:rsidR="002F5D4F">
        <w:rPr>
          <w:rStyle w:val="Referencingstyle"/>
        </w:rPr>
        <w:t> 314(2</w:t>
      </w:r>
      <w:r w:rsidR="004C2826">
        <w:rPr>
          <w:rStyle w:val="Referencingstyle"/>
        </w:rPr>
        <w:t>A</w:t>
      </w:r>
      <w:r w:rsidR="002F5D4F">
        <w:rPr>
          <w:rStyle w:val="Referencingstyle"/>
        </w:rPr>
        <w:t>)</w:t>
      </w:r>
      <w:r w:rsidR="002F5D4F" w:rsidRPr="00F63766">
        <w:rPr>
          <w:rStyle w:val="Referencingstyle"/>
        </w:rPr>
        <w:t>]</w:t>
      </w:r>
      <w:r w:rsidR="002F5D4F">
        <w:t>.</w:t>
      </w:r>
    </w:p>
    <w:p w14:paraId="0746FF2D" w14:textId="3B7948BB" w:rsidR="00B16153" w:rsidRDefault="001F2AEF" w:rsidP="00FF5264">
      <w:pPr>
        <w:pStyle w:val="base-text-paragraph"/>
      </w:pPr>
      <w:r>
        <w:t xml:space="preserve">Consequential </w:t>
      </w:r>
      <w:r w:rsidR="00957E1D">
        <w:t>amendments</w:t>
      </w:r>
      <w:r>
        <w:t xml:space="preserve"> have been made </w:t>
      </w:r>
      <w:r w:rsidR="00957E1D">
        <w:t>to the content requirements of the annual directors</w:t>
      </w:r>
      <w:r w:rsidR="006B1913">
        <w:t>’</w:t>
      </w:r>
      <w:r w:rsidR="00957E1D">
        <w:t xml:space="preserve"> report</w:t>
      </w:r>
      <w:r w:rsidR="00693B12">
        <w:t xml:space="preserve">. </w:t>
      </w:r>
      <w:r w:rsidR="006B1913">
        <w:t xml:space="preserve">The amendments provide that </w:t>
      </w:r>
      <w:r w:rsidR="00957E1D">
        <w:t xml:space="preserve">a company that claims the </w:t>
      </w:r>
      <w:r w:rsidR="006B1913">
        <w:t>audit concessions (</w:t>
      </w:r>
      <w:r w:rsidR="000E4847">
        <w:t xml:space="preserve">refer to </w:t>
      </w:r>
      <w:r w:rsidR="000E4847" w:rsidRPr="00982C0F">
        <w:t>paragraphs</w:t>
      </w:r>
      <w:r w:rsidR="006B1913" w:rsidRPr="00982C0F">
        <w:t xml:space="preserve"> </w:t>
      </w:r>
      <w:r w:rsidR="009C6E40" w:rsidRPr="00982C0F">
        <w:t>7.22 to 7.23</w:t>
      </w:r>
      <w:r w:rsidR="009C6E40" w:rsidRPr="00AD61C7">
        <w:t>)</w:t>
      </w:r>
      <w:r w:rsidR="00957E1D" w:rsidRPr="00AD61C7">
        <w:t xml:space="preserve"> </w:t>
      </w:r>
      <w:r w:rsidR="006B1913" w:rsidRPr="00AD61C7">
        <w:t>is not</w:t>
      </w:r>
      <w:r w:rsidR="006B1913">
        <w:t xml:space="preserve"> required to include </w:t>
      </w:r>
      <w:r w:rsidR="00957E1D">
        <w:t>a copy of the auditor’s declaration</w:t>
      </w:r>
      <w:r w:rsidR="006B1913">
        <w:t xml:space="preserve"> in its directors’ report</w:t>
      </w:r>
      <w:r w:rsidR="00E468D6">
        <w:t xml:space="preserve"> </w:t>
      </w:r>
      <w:r w:rsidR="00E468D6" w:rsidRPr="00F63766">
        <w:rPr>
          <w:rStyle w:val="Referencingstyle"/>
        </w:rPr>
        <w:t>[Schedule</w:t>
      </w:r>
      <w:r w:rsidR="00E468D6">
        <w:rPr>
          <w:rStyle w:val="Referencingstyle"/>
        </w:rPr>
        <w:t> 2</w:t>
      </w:r>
      <w:r w:rsidR="00E468D6" w:rsidRPr="00F63766">
        <w:rPr>
          <w:rStyle w:val="Referencingstyle"/>
        </w:rPr>
        <w:t>, item</w:t>
      </w:r>
      <w:r w:rsidR="00E468D6">
        <w:rPr>
          <w:rStyle w:val="Referencingstyle"/>
        </w:rPr>
        <w:t>s</w:t>
      </w:r>
      <w:r w:rsidR="00E468D6" w:rsidRPr="00F63766">
        <w:rPr>
          <w:rStyle w:val="Referencingstyle"/>
        </w:rPr>
        <w:t> </w:t>
      </w:r>
      <w:r w:rsidR="00E468D6">
        <w:rPr>
          <w:rStyle w:val="Referencingstyle"/>
        </w:rPr>
        <w:t>3 and 4</w:t>
      </w:r>
      <w:r w:rsidR="00E468D6" w:rsidRPr="00F63766">
        <w:rPr>
          <w:rStyle w:val="Referencingstyle"/>
        </w:rPr>
        <w:t>, subsection</w:t>
      </w:r>
      <w:r w:rsidR="00E468D6">
        <w:rPr>
          <w:rStyle w:val="Referencingstyle"/>
        </w:rPr>
        <w:t>s</w:t>
      </w:r>
      <w:r w:rsidR="00E468D6" w:rsidRPr="00F63766">
        <w:rPr>
          <w:rStyle w:val="Referencingstyle"/>
        </w:rPr>
        <w:t> </w:t>
      </w:r>
      <w:r w:rsidR="00E468D6">
        <w:rPr>
          <w:rStyle w:val="Referencingstyle"/>
        </w:rPr>
        <w:t>298(1AA) and 298(1A</w:t>
      </w:r>
      <w:r w:rsidR="00F63AFF">
        <w:rPr>
          <w:rStyle w:val="Referencingstyle"/>
        </w:rPr>
        <w:t>C</w:t>
      </w:r>
      <w:r w:rsidR="00E468D6">
        <w:rPr>
          <w:rStyle w:val="Referencingstyle"/>
        </w:rPr>
        <w:t>)</w:t>
      </w:r>
      <w:r w:rsidR="00E468D6" w:rsidRPr="00F63766">
        <w:rPr>
          <w:rStyle w:val="Referencingstyle"/>
        </w:rPr>
        <w:t>]</w:t>
      </w:r>
      <w:r w:rsidR="006B1913">
        <w:t>.</w:t>
      </w:r>
    </w:p>
    <w:p w14:paraId="568E18E9" w14:textId="4DC2FAC6" w:rsidR="00701469" w:rsidRPr="00F63766" w:rsidRDefault="00701469" w:rsidP="00B676BE">
      <w:pPr>
        <w:pStyle w:val="Hiddentext"/>
      </w:pPr>
      <w:r w:rsidRPr="00F63766">
        <w:t>.</w:t>
      </w:r>
    </w:p>
    <w:p w14:paraId="245E75AB" w14:textId="77777777" w:rsidR="00701469" w:rsidRPr="00F63766" w:rsidRDefault="00701469" w:rsidP="00B676BE">
      <w:pPr>
        <w:sectPr w:rsidR="00701469" w:rsidRPr="00F63766" w:rsidSect="00B676BE">
          <w:headerReference w:type="even" r:id="rId57"/>
          <w:headerReference w:type="default" r:id="rId58"/>
          <w:footerReference w:type="even" r:id="rId59"/>
          <w:footerReference w:type="default" r:id="rId60"/>
          <w:footerReference w:type="first" r:id="rId61"/>
          <w:type w:val="oddPage"/>
          <w:pgSz w:w="11906" w:h="16838" w:code="9"/>
          <w:pgMar w:top="2466" w:right="2098" w:bottom="2466" w:left="2098" w:header="1559" w:footer="1899" w:gutter="0"/>
          <w:cols w:space="708"/>
          <w:titlePg/>
          <w:docGrid w:linePitch="360"/>
        </w:sectPr>
      </w:pPr>
    </w:p>
    <w:p w14:paraId="56D4DE7C" w14:textId="4C1B6EC5" w:rsidR="00701469" w:rsidRPr="00F63766" w:rsidRDefault="00701469" w:rsidP="00B676BE">
      <w:pPr>
        <w:pStyle w:val="ChapterHeading"/>
        <w:tabs>
          <w:tab w:val="clear" w:pos="1134"/>
          <w:tab w:val="num" w:pos="360"/>
        </w:tabs>
      </w:pPr>
      <w:r w:rsidRPr="00F63766">
        <w:br/>
      </w:r>
      <w:bookmarkStart w:id="19" w:name="_Toc435701587"/>
      <w:bookmarkStart w:id="20" w:name="_Toc436037557"/>
      <w:r w:rsidR="00BE6305" w:rsidRPr="00F63766">
        <w:t xml:space="preserve">Exemptions </w:t>
      </w:r>
      <w:r w:rsidR="00E36375">
        <w:t>from</w:t>
      </w:r>
      <w:r w:rsidR="00BE6305" w:rsidRPr="00F63766">
        <w:t xml:space="preserve"> </w:t>
      </w:r>
      <w:r w:rsidR="00787625" w:rsidRPr="00F63766">
        <w:t>regulatory requirements relating to</w:t>
      </w:r>
      <w:r w:rsidR="00BE6305" w:rsidRPr="00F63766">
        <w:t xml:space="preserve"> Australian Market Licence</w:t>
      </w:r>
      <w:r w:rsidR="00787625" w:rsidRPr="00F63766">
        <w:t>s</w:t>
      </w:r>
      <w:r w:rsidR="00BE6305" w:rsidRPr="00F63766">
        <w:t xml:space="preserve"> and Clearing and Settlement </w:t>
      </w:r>
      <w:r w:rsidR="00B246D7" w:rsidRPr="00F63766">
        <w:t>Facility Licence</w:t>
      </w:r>
      <w:r w:rsidR="00787625" w:rsidRPr="00F63766">
        <w:t>s</w:t>
      </w:r>
      <w:bookmarkEnd w:id="19"/>
      <w:bookmarkEnd w:id="20"/>
    </w:p>
    <w:p w14:paraId="3F68322F" w14:textId="77777777" w:rsidR="00701469" w:rsidRPr="00F63766" w:rsidRDefault="00701469" w:rsidP="00B676BE">
      <w:pPr>
        <w:pStyle w:val="Heading2"/>
      </w:pPr>
      <w:r w:rsidRPr="00F63766">
        <w:t>Outline of chapter</w:t>
      </w:r>
    </w:p>
    <w:p w14:paraId="75349BBC" w14:textId="7D508F95" w:rsidR="000F517D" w:rsidRPr="00F63766" w:rsidRDefault="009E14FF" w:rsidP="000F517D">
      <w:pPr>
        <w:pStyle w:val="base-text-paragraph"/>
        <w:numPr>
          <w:ilvl w:val="1"/>
          <w:numId w:val="36"/>
        </w:numPr>
      </w:pPr>
      <w:r w:rsidRPr="00F63766">
        <w:t xml:space="preserve">This </w:t>
      </w:r>
      <w:r w:rsidR="00667DEA" w:rsidRPr="00F63766">
        <w:t>C</w:t>
      </w:r>
      <w:r w:rsidRPr="00F63766">
        <w:t xml:space="preserve">hapter </w:t>
      </w:r>
      <w:r w:rsidR="000F517D" w:rsidRPr="00F63766">
        <w:t xml:space="preserve">sets out </w:t>
      </w:r>
      <w:r w:rsidR="00CF66C1" w:rsidRPr="00F63766">
        <w:t>the new exemption</w:t>
      </w:r>
      <w:r w:rsidR="00667DEA" w:rsidRPr="00F63766">
        <w:t xml:space="preserve"> powers that </w:t>
      </w:r>
      <w:r w:rsidR="007B55AC" w:rsidRPr="00F63766">
        <w:t>can be used</w:t>
      </w:r>
      <w:r w:rsidR="00CF66C1" w:rsidRPr="00F63766">
        <w:t xml:space="preserve"> to provide for a more tailored regulatory regime </w:t>
      </w:r>
      <w:r w:rsidR="004A4B7C">
        <w:t>to facilitate</w:t>
      </w:r>
      <w:r w:rsidR="00CF66C1" w:rsidRPr="00F63766">
        <w:t xml:space="preserve"> </w:t>
      </w:r>
      <w:r w:rsidR="008C6405" w:rsidRPr="00F63766">
        <w:t xml:space="preserve">specialised and </w:t>
      </w:r>
      <w:r w:rsidR="00CF66C1" w:rsidRPr="00F63766">
        <w:t>emerging financial market</w:t>
      </w:r>
      <w:r w:rsidR="004A4B7C">
        <w:t xml:space="preserve"> and clearing and settlement facility</w:t>
      </w:r>
      <w:r w:rsidR="00CF66C1" w:rsidRPr="00F63766">
        <w:t xml:space="preserve"> operators</w:t>
      </w:r>
      <w:r w:rsidR="004A4B7C">
        <w:t>, including in relation to CSF securities</w:t>
      </w:r>
      <w:r w:rsidR="00CF66C1" w:rsidRPr="00F63766">
        <w:t xml:space="preserve">. </w:t>
      </w:r>
    </w:p>
    <w:p w14:paraId="7E476D7C" w14:textId="77777777" w:rsidR="000F517D" w:rsidRPr="00F63766" w:rsidRDefault="000F517D" w:rsidP="000F517D">
      <w:pPr>
        <w:pStyle w:val="base-text-paragraph"/>
      </w:pPr>
      <w:r w:rsidRPr="00F63766">
        <w:t xml:space="preserve">All legislative references within this Chapter are to the </w:t>
      </w:r>
      <w:r w:rsidRPr="00F63766">
        <w:rPr>
          <w:i/>
        </w:rPr>
        <w:t>Corporations Act 2001</w:t>
      </w:r>
      <w:r w:rsidRPr="00F63766">
        <w:t xml:space="preserve"> unless specified otherwise. </w:t>
      </w:r>
    </w:p>
    <w:p w14:paraId="67E1455A" w14:textId="77777777" w:rsidR="00701469" w:rsidRPr="00F63766" w:rsidRDefault="00701469" w:rsidP="00B676BE">
      <w:pPr>
        <w:pStyle w:val="Heading2"/>
      </w:pPr>
      <w:r w:rsidRPr="00F63766">
        <w:t>Context of amendments</w:t>
      </w:r>
    </w:p>
    <w:p w14:paraId="482E7B51" w14:textId="62B4E3E1" w:rsidR="00701469" w:rsidRPr="00F63766" w:rsidRDefault="006D68EB" w:rsidP="00B676BE">
      <w:pPr>
        <w:pStyle w:val="base-text-paragraph"/>
      </w:pPr>
      <w:r w:rsidRPr="00F63766">
        <w:t xml:space="preserve">Currently, under Part 7.2 of the Act, any person that falls within the definition of operating a financial market is required to obtain an Australian Market Licence (AML) or seek an exemption from the Minister. The </w:t>
      </w:r>
      <w:r w:rsidR="008C6405" w:rsidRPr="00F63766">
        <w:t xml:space="preserve">Minister has the power to </w:t>
      </w:r>
      <w:r w:rsidRPr="00F63766">
        <w:t>exempt</w:t>
      </w:r>
      <w:r w:rsidR="008C6405" w:rsidRPr="00F63766">
        <w:t xml:space="preserve"> a market</w:t>
      </w:r>
      <w:r w:rsidRPr="00F63766">
        <w:t xml:space="preserve"> </w:t>
      </w:r>
      <w:r w:rsidR="008C6405" w:rsidRPr="00F63766">
        <w:t xml:space="preserve">from the operation of Part 7.2 in </w:t>
      </w:r>
      <w:r w:rsidR="007C4F42" w:rsidRPr="00F63766">
        <w:t>full</w:t>
      </w:r>
      <w:r w:rsidR="008C6405" w:rsidRPr="00F63766">
        <w:t xml:space="preserve">, but </w:t>
      </w:r>
      <w:r w:rsidRPr="00F63766">
        <w:t>does not</w:t>
      </w:r>
      <w:r w:rsidR="008C6405" w:rsidRPr="00F63766">
        <w:t xml:space="preserve"> have the power to </w:t>
      </w:r>
      <w:r w:rsidRPr="00F63766">
        <w:t xml:space="preserve">provide a </w:t>
      </w:r>
      <w:r w:rsidR="007C4F42" w:rsidRPr="00F63766">
        <w:t xml:space="preserve">partial </w:t>
      </w:r>
      <w:r w:rsidRPr="00F63766">
        <w:t xml:space="preserve">exemption from particular requirements under the regime. </w:t>
      </w:r>
    </w:p>
    <w:p w14:paraId="28A9916C" w14:textId="7BE9E658" w:rsidR="006D68EB" w:rsidRPr="00F63766" w:rsidRDefault="006D68EB" w:rsidP="00B676BE">
      <w:pPr>
        <w:pStyle w:val="base-text-paragraph"/>
      </w:pPr>
      <w:r w:rsidRPr="00F63766">
        <w:t>The AML regime was designed to address the risks associated with large public exchanges (such as the A</w:t>
      </w:r>
      <w:r w:rsidR="004A4B7C">
        <w:t xml:space="preserve">ustralian </w:t>
      </w:r>
      <w:r w:rsidRPr="00F63766">
        <w:t>S</w:t>
      </w:r>
      <w:r w:rsidR="004A4B7C">
        <w:t>ecurities Exchange</w:t>
      </w:r>
      <w:r w:rsidRPr="00F63766">
        <w:t xml:space="preserve">) and imposes obligations </w:t>
      </w:r>
      <w:r w:rsidR="004A4B7C">
        <w:t xml:space="preserve">commensurate with the nature and risks of those financial markets. The full suite of obligations </w:t>
      </w:r>
      <w:r w:rsidR="00937982">
        <w:t>may not</w:t>
      </w:r>
      <w:r w:rsidR="004A4B7C">
        <w:t xml:space="preserve"> </w:t>
      </w:r>
      <w:r w:rsidR="00937982">
        <w:t>be</w:t>
      </w:r>
      <w:r w:rsidR="00D44A5E">
        <w:t xml:space="preserve"> as</w:t>
      </w:r>
      <w:r w:rsidR="00937982">
        <w:t xml:space="preserve"> appropriate</w:t>
      </w:r>
      <w:r w:rsidRPr="00F63766">
        <w:t xml:space="preserve"> for operators of emerging </w:t>
      </w:r>
      <w:r w:rsidR="004A4B7C">
        <w:t>or</w:t>
      </w:r>
      <w:r w:rsidR="004A4B7C" w:rsidRPr="00F63766">
        <w:t xml:space="preserve"> </w:t>
      </w:r>
      <w:r w:rsidR="005D06CD" w:rsidRPr="00F63766">
        <w:t xml:space="preserve">specialised </w:t>
      </w:r>
      <w:r w:rsidR="004A4B7C">
        <w:t xml:space="preserve">financial </w:t>
      </w:r>
      <w:r w:rsidRPr="00F63766">
        <w:t>markets</w:t>
      </w:r>
      <w:r w:rsidR="0019203E">
        <w:t xml:space="preserve"> such as crowd</w:t>
      </w:r>
      <w:r w:rsidR="00484D0D">
        <w:noBreakHyphen/>
      </w:r>
      <w:r w:rsidR="0019203E">
        <w:t>sourced funding (CSF) intermediaries</w:t>
      </w:r>
      <w:r w:rsidRPr="00F63766">
        <w:t xml:space="preserve">. </w:t>
      </w:r>
    </w:p>
    <w:p w14:paraId="50FEE1F7" w14:textId="337BAF00" w:rsidR="000F517D" w:rsidRPr="00F63766" w:rsidRDefault="003C279B" w:rsidP="00B676BE">
      <w:pPr>
        <w:pStyle w:val="base-text-paragraph"/>
      </w:pPr>
      <w:r>
        <w:t>Generally</w:t>
      </w:r>
      <w:r w:rsidR="00FC6798">
        <w:t>, r</w:t>
      </w:r>
      <w:r w:rsidR="000F517D" w:rsidRPr="00F63766">
        <w:t xml:space="preserve">equiring </w:t>
      </w:r>
      <w:r w:rsidR="0019203E">
        <w:t>these types of market operators</w:t>
      </w:r>
      <w:r w:rsidR="0019203E" w:rsidRPr="00F63766">
        <w:t xml:space="preserve"> </w:t>
      </w:r>
      <w:r w:rsidR="000F517D" w:rsidRPr="00F63766">
        <w:t>to obtain an</w:t>
      </w:r>
      <w:r w:rsidR="00FC6798">
        <w:t xml:space="preserve"> appropriately modified</w:t>
      </w:r>
      <w:r w:rsidR="000F517D" w:rsidRPr="00F63766">
        <w:t xml:space="preserve"> AML </w:t>
      </w:r>
      <w:r w:rsidR="007D4F8E" w:rsidRPr="00F63766">
        <w:t xml:space="preserve">may </w:t>
      </w:r>
      <w:r w:rsidR="000F517D" w:rsidRPr="00F63766">
        <w:t>ensure that they have adequate arrangements to meet their obligations and to provide the market environment</w:t>
      </w:r>
      <w:r w:rsidR="0063517F" w:rsidRPr="00F63766">
        <w:t xml:space="preserve"> expected by </w:t>
      </w:r>
      <w:r w:rsidR="0019203E">
        <w:t>persons participating in the market</w:t>
      </w:r>
      <w:r w:rsidR="000F517D" w:rsidRPr="00F63766">
        <w:t xml:space="preserve">. </w:t>
      </w:r>
    </w:p>
    <w:p w14:paraId="4CBD735C" w14:textId="5736B27B" w:rsidR="000F517D" w:rsidRPr="00F63766" w:rsidRDefault="004824CA" w:rsidP="008801E4">
      <w:pPr>
        <w:pStyle w:val="base-text-paragraph"/>
        <w:keepNext/>
        <w:keepLines/>
      </w:pPr>
      <w:r>
        <w:t>A</w:t>
      </w:r>
      <w:r w:rsidR="000F517D" w:rsidRPr="00F63766">
        <w:t>mend</w:t>
      </w:r>
      <w:r>
        <w:t>ing</w:t>
      </w:r>
      <w:r w:rsidR="000F517D" w:rsidRPr="00F63766">
        <w:t xml:space="preserve"> the AML framework to </w:t>
      </w:r>
      <w:r>
        <w:t>provide the Minister with the power to exempt</w:t>
      </w:r>
      <w:r w:rsidRPr="00F63766">
        <w:t xml:space="preserve"> </w:t>
      </w:r>
      <w:r w:rsidR="003C279B">
        <w:t>certain</w:t>
      </w:r>
      <w:r w:rsidR="000F517D" w:rsidRPr="00F63766">
        <w:t xml:space="preserve"> market operators from </w:t>
      </w:r>
      <w:r w:rsidR="00172162" w:rsidRPr="00F63766">
        <w:t xml:space="preserve">specified </w:t>
      </w:r>
      <w:r w:rsidR="000F517D" w:rsidRPr="00F63766">
        <w:t xml:space="preserve">obligations would ensure that the AML regime </w:t>
      </w:r>
      <w:r w:rsidR="00A10113" w:rsidRPr="00F63766">
        <w:t>c</w:t>
      </w:r>
      <w:r w:rsidR="00A10113">
        <w:t>ould</w:t>
      </w:r>
      <w:r w:rsidR="00A10113" w:rsidRPr="00F63766">
        <w:t xml:space="preserve"> </w:t>
      </w:r>
      <w:r w:rsidR="000F517D" w:rsidRPr="00F63766">
        <w:t>be tailored to</w:t>
      </w:r>
      <w:r w:rsidR="003C279B">
        <w:t xml:space="preserve"> </w:t>
      </w:r>
      <w:r w:rsidR="000F517D" w:rsidRPr="00F63766">
        <w:t xml:space="preserve">particular markets. The exemption power </w:t>
      </w:r>
      <w:r w:rsidR="003C279B">
        <w:t>could be used to</w:t>
      </w:r>
      <w:r w:rsidR="000F517D" w:rsidRPr="00F63766">
        <w:t xml:space="preserve"> facilitate the development of emerging</w:t>
      </w:r>
      <w:r w:rsidR="00172162" w:rsidRPr="00F63766">
        <w:t xml:space="preserve"> and specialised</w:t>
      </w:r>
      <w:r w:rsidR="000F517D" w:rsidRPr="00F63766">
        <w:t xml:space="preserve"> markets</w:t>
      </w:r>
      <w:r>
        <w:t>, including CSF intermediaries</w:t>
      </w:r>
      <w:r w:rsidR="000F517D" w:rsidRPr="00F63766">
        <w:t xml:space="preserve">. </w:t>
      </w:r>
    </w:p>
    <w:p w14:paraId="35C9C1BB" w14:textId="6FBB168D" w:rsidR="00867AEA" w:rsidRPr="00F63766" w:rsidRDefault="00867AEA" w:rsidP="00B676BE">
      <w:pPr>
        <w:pStyle w:val="base-text-paragraph"/>
      </w:pPr>
      <w:r w:rsidRPr="00F63766">
        <w:t xml:space="preserve">To be able to effectively tailor the regulatory obligations to suit emerging </w:t>
      </w:r>
      <w:r w:rsidR="003C279B">
        <w:t xml:space="preserve">or specialised financial </w:t>
      </w:r>
      <w:r w:rsidRPr="00F63766">
        <w:t xml:space="preserve">markets, similar </w:t>
      </w:r>
      <w:r w:rsidR="0098514C" w:rsidRPr="00F63766">
        <w:t xml:space="preserve">partial </w:t>
      </w:r>
      <w:r w:rsidRPr="00F63766">
        <w:t>exemption power</w:t>
      </w:r>
      <w:r w:rsidR="00523DA1">
        <w:t>s</w:t>
      </w:r>
      <w:r w:rsidRPr="00F63766">
        <w:t xml:space="preserve"> </w:t>
      </w:r>
      <w:r w:rsidR="00523DA1">
        <w:t>are</w:t>
      </w:r>
      <w:r w:rsidRPr="00F63766">
        <w:t xml:space="preserve"> required in relation to Parts 7.2A, 7.3 and 7.5 of the Act. </w:t>
      </w:r>
    </w:p>
    <w:p w14:paraId="05D358D6" w14:textId="08DADCB9" w:rsidR="00023589" w:rsidRPr="00F63766" w:rsidRDefault="00867AEA" w:rsidP="00B676BE">
      <w:pPr>
        <w:pStyle w:val="base-text-paragraph"/>
      </w:pPr>
      <w:r w:rsidRPr="00F63766">
        <w:t>Part 7.2A provides for A</w:t>
      </w:r>
      <w:r w:rsidR="00613C50" w:rsidRPr="00F63766">
        <w:t xml:space="preserve">ustralian </w:t>
      </w:r>
      <w:r w:rsidRPr="00F63766">
        <w:t>S</w:t>
      </w:r>
      <w:r w:rsidR="00613C50" w:rsidRPr="00F63766">
        <w:t>ecurities and Investment Commission (ASIC)</w:t>
      </w:r>
      <w:r w:rsidRPr="00F63766">
        <w:t xml:space="preserve"> su</w:t>
      </w:r>
      <w:r w:rsidR="00023589" w:rsidRPr="00F63766">
        <w:t xml:space="preserve">pervision of financial markets. </w:t>
      </w:r>
      <w:r w:rsidR="00CD7CD1" w:rsidRPr="00F63766">
        <w:t xml:space="preserve">Some </w:t>
      </w:r>
      <w:r w:rsidR="003C279B">
        <w:t>or all</w:t>
      </w:r>
      <w:r w:rsidR="00577D70">
        <w:t xml:space="preserve"> </w:t>
      </w:r>
      <w:r w:rsidR="00CD7CD1" w:rsidRPr="00F63766">
        <w:t>of t</w:t>
      </w:r>
      <w:r w:rsidR="00023589" w:rsidRPr="00F63766">
        <w:t xml:space="preserve">hese requirements </w:t>
      </w:r>
      <w:r w:rsidR="003C279B">
        <w:t>may</w:t>
      </w:r>
      <w:r w:rsidR="003C279B" w:rsidRPr="00F63766">
        <w:t xml:space="preserve"> </w:t>
      </w:r>
      <w:r w:rsidR="00023589" w:rsidRPr="00F63766">
        <w:t>not</w:t>
      </w:r>
      <w:r w:rsidR="003C279B">
        <w:t xml:space="preserve"> be</w:t>
      </w:r>
      <w:r w:rsidR="00023589" w:rsidRPr="00F63766">
        <w:t xml:space="preserve"> suitable for </w:t>
      </w:r>
      <w:r w:rsidR="00CD7CD1" w:rsidRPr="00F63766">
        <w:t xml:space="preserve">all </w:t>
      </w:r>
      <w:r w:rsidR="00023589" w:rsidRPr="00F63766">
        <w:t xml:space="preserve">emerging </w:t>
      </w:r>
      <w:r w:rsidR="00CD7CD1" w:rsidRPr="00F63766">
        <w:t xml:space="preserve">and specialised </w:t>
      </w:r>
      <w:r w:rsidR="003C279B">
        <w:t>financial</w:t>
      </w:r>
      <w:r w:rsidR="00A819D4">
        <w:t xml:space="preserve"> markets</w:t>
      </w:r>
      <w:r w:rsidR="00EF23F2" w:rsidRPr="00F63766">
        <w:t>.</w:t>
      </w:r>
      <w:r w:rsidR="00CD7CD1" w:rsidRPr="00F63766">
        <w:t xml:space="preserve"> </w:t>
      </w:r>
      <w:r w:rsidR="00023589" w:rsidRPr="00F63766">
        <w:t>Similarly, Part</w:t>
      </w:r>
      <w:r w:rsidR="003F4B54" w:rsidRPr="00F63766">
        <w:t> </w:t>
      </w:r>
      <w:r w:rsidR="00023589" w:rsidRPr="00F63766">
        <w:t xml:space="preserve">7.5 </w:t>
      </w:r>
      <w:r w:rsidR="00B80B82">
        <w:t>requires</w:t>
      </w:r>
      <w:r w:rsidR="00023589" w:rsidRPr="00F63766">
        <w:t xml:space="preserve"> AML holders to maintain compensation arrangements designed for public exchanges </w:t>
      </w:r>
      <w:r w:rsidR="008B49BB">
        <w:t>but that</w:t>
      </w:r>
      <w:r w:rsidR="00023589" w:rsidRPr="00F63766">
        <w:t xml:space="preserve"> </w:t>
      </w:r>
      <w:r w:rsidR="003C279B">
        <w:t>may not be appropriate for other types of financial markets</w:t>
      </w:r>
      <w:r w:rsidR="00023589" w:rsidRPr="00F63766">
        <w:t xml:space="preserve">. </w:t>
      </w:r>
    </w:p>
    <w:p w14:paraId="6CE962BB" w14:textId="161CAD98" w:rsidR="00023589" w:rsidRPr="00F63766" w:rsidRDefault="00023589" w:rsidP="00B676BE">
      <w:pPr>
        <w:pStyle w:val="base-text-paragraph"/>
      </w:pPr>
      <w:r w:rsidRPr="00F63766">
        <w:t xml:space="preserve">Part 7.3 provides for the licencing of clearing and settlement facilities. </w:t>
      </w:r>
      <w:r w:rsidR="00D230BF" w:rsidRPr="00F63766">
        <w:t xml:space="preserve">The definition of clearing and settlement is wide </w:t>
      </w:r>
      <w:r w:rsidR="003C279B">
        <w:t>and</w:t>
      </w:r>
      <w:r w:rsidR="00E96FB1">
        <w:t xml:space="preserve"> </w:t>
      </w:r>
      <w:r w:rsidR="00D230BF" w:rsidRPr="00F63766">
        <w:t xml:space="preserve">could </w:t>
      </w:r>
      <w:r w:rsidR="003C279B">
        <w:t>apply to</w:t>
      </w:r>
      <w:r w:rsidR="003C279B" w:rsidRPr="00F63766">
        <w:t xml:space="preserve"> </w:t>
      </w:r>
      <w:r w:rsidRPr="00F63766">
        <w:t xml:space="preserve">emerging </w:t>
      </w:r>
      <w:r w:rsidR="003C279B">
        <w:t xml:space="preserve">or specialised financial </w:t>
      </w:r>
      <w:r w:rsidRPr="00F63766">
        <w:t xml:space="preserve">markets </w:t>
      </w:r>
      <w:r w:rsidR="003C279B">
        <w:t>owing to some</w:t>
      </w:r>
      <w:r w:rsidR="003C279B" w:rsidRPr="00F63766">
        <w:t xml:space="preserve"> </w:t>
      </w:r>
      <w:r w:rsidR="00D230BF" w:rsidRPr="00F63766">
        <w:t xml:space="preserve">incidental </w:t>
      </w:r>
      <w:r w:rsidR="003C279B">
        <w:t>activities they perform as part of operating a financial</w:t>
      </w:r>
      <w:r w:rsidR="00D230BF" w:rsidRPr="00F63766">
        <w:t xml:space="preserve"> market</w:t>
      </w:r>
      <w:r w:rsidR="00C9728D">
        <w:t>.</w:t>
      </w:r>
      <w:r w:rsidRPr="00F63766">
        <w:t xml:space="preserve"> </w:t>
      </w:r>
      <w:r w:rsidR="003A788B" w:rsidRPr="00F63766">
        <w:t xml:space="preserve">These include transferring money between the trading accounts of </w:t>
      </w:r>
      <w:r w:rsidR="00E07505" w:rsidRPr="00F63766">
        <w:t>investors</w:t>
      </w:r>
      <w:r w:rsidR="003A788B" w:rsidRPr="00F63766">
        <w:t xml:space="preserve">. </w:t>
      </w:r>
      <w:r w:rsidR="001E749E" w:rsidRPr="00F63766">
        <w:t xml:space="preserve">Like Part 7.2, </w:t>
      </w:r>
      <w:r w:rsidR="003C279B">
        <w:t>some of</w:t>
      </w:r>
      <w:r w:rsidR="001E749E" w:rsidRPr="00F63766">
        <w:t xml:space="preserve"> the </w:t>
      </w:r>
      <w:r w:rsidRPr="00F63766">
        <w:t xml:space="preserve">requirements </w:t>
      </w:r>
      <w:r w:rsidR="001E749E" w:rsidRPr="00F63766">
        <w:t xml:space="preserve">imposed by Part 7.3 </w:t>
      </w:r>
      <w:r w:rsidR="003C279B">
        <w:t>may not be</w:t>
      </w:r>
      <w:r w:rsidR="00852247" w:rsidRPr="00F63766">
        <w:t xml:space="preserve"> </w:t>
      </w:r>
      <w:r w:rsidRPr="00F63766">
        <w:t xml:space="preserve">appropriate </w:t>
      </w:r>
      <w:r w:rsidR="003C279B">
        <w:t>for such incidental activities.</w:t>
      </w:r>
    </w:p>
    <w:p w14:paraId="62EE83F9" w14:textId="750959F2" w:rsidR="000F588E" w:rsidRPr="00F63766" w:rsidRDefault="00E23956" w:rsidP="00B676BE">
      <w:pPr>
        <w:pStyle w:val="base-text-paragraph"/>
      </w:pPr>
      <w:r>
        <w:t>As such, p</w:t>
      </w:r>
      <w:r w:rsidR="00023589" w:rsidRPr="00F63766">
        <w:t xml:space="preserve">roviding </w:t>
      </w:r>
      <w:r w:rsidR="00725DFC">
        <w:t>the Minister with enhanced</w:t>
      </w:r>
      <w:r w:rsidR="00023589" w:rsidRPr="00F63766">
        <w:t xml:space="preserve"> powers to exempt some emerging</w:t>
      </w:r>
      <w:r>
        <w:t xml:space="preserve"> and specialised financial</w:t>
      </w:r>
      <w:r w:rsidR="00023589" w:rsidRPr="00F63766">
        <w:t xml:space="preserve"> markets </w:t>
      </w:r>
      <w:r w:rsidR="00D256E6" w:rsidRPr="00F63766">
        <w:t xml:space="preserve">– </w:t>
      </w:r>
      <w:r w:rsidR="00023589" w:rsidRPr="00F63766">
        <w:t xml:space="preserve">such as intermediaries </w:t>
      </w:r>
      <w:r w:rsidR="000F588E" w:rsidRPr="00F63766">
        <w:t>operating</w:t>
      </w:r>
      <w:r w:rsidR="00023589" w:rsidRPr="00F63766">
        <w:t xml:space="preserve"> fac</w:t>
      </w:r>
      <w:r w:rsidR="000F588E" w:rsidRPr="00F63766">
        <w:t xml:space="preserve">ilities for secondary trading in CSF interests </w:t>
      </w:r>
      <w:r w:rsidR="00D256E6" w:rsidRPr="00F63766">
        <w:t xml:space="preserve">– </w:t>
      </w:r>
      <w:r w:rsidR="000F588E" w:rsidRPr="00F63766">
        <w:t xml:space="preserve">from some </w:t>
      </w:r>
      <w:r>
        <w:t xml:space="preserve">or all </w:t>
      </w:r>
      <w:r w:rsidR="000F588E" w:rsidRPr="00F63766">
        <w:t xml:space="preserve">of the requirements in parts 7.2, 7.2A, 7.3 and 7.5 would provide for a more </w:t>
      </w:r>
      <w:r w:rsidR="00725DFC">
        <w:t xml:space="preserve">effective, efficient and </w:t>
      </w:r>
      <w:r w:rsidR="000F588E" w:rsidRPr="00F63766">
        <w:t xml:space="preserve">flexible regulatory regime. </w:t>
      </w:r>
    </w:p>
    <w:p w14:paraId="0B9FC566" w14:textId="55ECF329" w:rsidR="00FB2650" w:rsidRPr="00F63766" w:rsidRDefault="000F588E" w:rsidP="00B676BE">
      <w:pPr>
        <w:pStyle w:val="base-text-paragraph"/>
      </w:pPr>
      <w:r w:rsidRPr="00F63766">
        <w:t xml:space="preserve">The ability to offer more tailored regulation of </w:t>
      </w:r>
      <w:r w:rsidR="00010C36" w:rsidRPr="00F63766">
        <w:t>financial market</w:t>
      </w:r>
      <w:r w:rsidR="001D15FE" w:rsidRPr="00F63766">
        <w:t>s</w:t>
      </w:r>
      <w:r w:rsidR="00010C36" w:rsidRPr="00F63766">
        <w:t xml:space="preserve"> </w:t>
      </w:r>
      <w:r w:rsidRPr="00F63766">
        <w:t xml:space="preserve">and clearing and settlement facilities would provide a more agile framework that would facilitate innovation in and the development of </w:t>
      </w:r>
      <w:r w:rsidR="003018BA" w:rsidRPr="00F63766">
        <w:t xml:space="preserve">new types of </w:t>
      </w:r>
      <w:r w:rsidR="008577CC" w:rsidRPr="00F63766">
        <w:t>funding mechanisms</w:t>
      </w:r>
      <w:r w:rsidR="003F4B54" w:rsidRPr="00F63766">
        <w:t>, including CSF</w:t>
      </w:r>
      <w:r w:rsidRPr="00F63766">
        <w:t xml:space="preserve">. </w:t>
      </w:r>
    </w:p>
    <w:p w14:paraId="3A3DA24D" w14:textId="77777777" w:rsidR="00701469" w:rsidRPr="00F63766" w:rsidRDefault="00701469" w:rsidP="00B676BE">
      <w:pPr>
        <w:pStyle w:val="Heading2"/>
      </w:pPr>
      <w:r w:rsidRPr="00F63766">
        <w:t>Summary of new law</w:t>
      </w:r>
    </w:p>
    <w:p w14:paraId="69882F93" w14:textId="3D51BF60" w:rsidR="00701469" w:rsidRPr="00F63766" w:rsidRDefault="0060155A" w:rsidP="00B676BE">
      <w:pPr>
        <w:pStyle w:val="base-text-paragraph"/>
      </w:pPr>
      <w:r w:rsidRPr="00F63766">
        <w:t xml:space="preserve">The </w:t>
      </w:r>
      <w:r w:rsidR="000B13C4" w:rsidRPr="00F63766">
        <w:t>Bi</w:t>
      </w:r>
      <w:r w:rsidRPr="00F63766">
        <w:t xml:space="preserve">ll provides the Minister with additional exemption powers to provide </w:t>
      </w:r>
      <w:r w:rsidR="00F112A8" w:rsidRPr="00F63766">
        <w:t xml:space="preserve">financial </w:t>
      </w:r>
      <w:r w:rsidRPr="00F63766">
        <w:t>markets</w:t>
      </w:r>
      <w:r w:rsidR="00F112A8" w:rsidRPr="00F63766">
        <w:t xml:space="preserve"> and clearing and settlement facilities</w:t>
      </w:r>
      <w:r w:rsidRPr="00F63766">
        <w:t xml:space="preserve"> with exemptions from </w:t>
      </w:r>
      <w:r w:rsidR="00F112A8" w:rsidRPr="00F63766">
        <w:t xml:space="preserve">specified parts of </w:t>
      </w:r>
      <w:r w:rsidRPr="00F63766">
        <w:t xml:space="preserve">the AML and clearing and settlement </w:t>
      </w:r>
      <w:r w:rsidR="001D15FE" w:rsidRPr="00F63766">
        <w:t xml:space="preserve">facility </w:t>
      </w:r>
      <w:r w:rsidRPr="00F63766">
        <w:t xml:space="preserve">licencing regimes. </w:t>
      </w:r>
    </w:p>
    <w:p w14:paraId="1903F366" w14:textId="181E8039" w:rsidR="0060155A" w:rsidRPr="00F63766" w:rsidRDefault="0060155A" w:rsidP="008801E4">
      <w:pPr>
        <w:pStyle w:val="base-text-paragraph"/>
        <w:keepNext/>
        <w:keepLines/>
      </w:pPr>
      <w:r w:rsidRPr="00F63766">
        <w:t xml:space="preserve">The </w:t>
      </w:r>
      <w:r w:rsidR="000B13C4" w:rsidRPr="00F63766">
        <w:t xml:space="preserve">Bill </w:t>
      </w:r>
      <w:r w:rsidRPr="00F63766">
        <w:t xml:space="preserve">amends the existing exemption power under Part 7.2 of the Act to provide the Minister with the power to exempt a financial market </w:t>
      </w:r>
      <w:r w:rsidR="002E192D" w:rsidRPr="00F63766">
        <w:t xml:space="preserve">or </w:t>
      </w:r>
      <w:r w:rsidR="004B717C" w:rsidRPr="00F63766">
        <w:t>class</w:t>
      </w:r>
      <w:r w:rsidR="002E192D" w:rsidRPr="00F63766">
        <w:t xml:space="preserve"> </w:t>
      </w:r>
      <w:r w:rsidRPr="00F63766">
        <w:t>of financial market</w:t>
      </w:r>
      <w:r w:rsidR="004B717C" w:rsidRPr="00F63766">
        <w:t>s</w:t>
      </w:r>
      <w:r w:rsidRPr="00F63766">
        <w:t xml:space="preserve"> from some of the AML regulatory requirements under Part 7.2 of the Act. The </w:t>
      </w:r>
      <w:r w:rsidR="002E192D" w:rsidRPr="00F63766">
        <w:t xml:space="preserve">existing </w:t>
      </w:r>
      <w:r w:rsidRPr="00F63766">
        <w:t xml:space="preserve">exemption power </w:t>
      </w:r>
      <w:r w:rsidR="00A3114B">
        <w:t xml:space="preserve">only </w:t>
      </w:r>
      <w:r w:rsidR="00066A03">
        <w:t>allows for</w:t>
      </w:r>
      <w:r w:rsidRPr="00F63766">
        <w:t xml:space="preserve"> a full exemption from holding an AML. </w:t>
      </w:r>
    </w:p>
    <w:p w14:paraId="5BE57E56" w14:textId="7A6EEFDB" w:rsidR="007364FD" w:rsidRPr="00F63766" w:rsidRDefault="0060155A" w:rsidP="00B676BE">
      <w:pPr>
        <w:pStyle w:val="base-text-paragraph"/>
      </w:pPr>
      <w:r w:rsidRPr="00F63766">
        <w:t xml:space="preserve">An identical exemption power is also being introduced into </w:t>
      </w:r>
      <w:r w:rsidR="007364FD" w:rsidRPr="00F63766">
        <w:t>P</w:t>
      </w:r>
      <w:r w:rsidRPr="00F63766">
        <w:t>art</w:t>
      </w:r>
      <w:r w:rsidR="008504E2" w:rsidRPr="00F63766">
        <w:t> </w:t>
      </w:r>
      <w:r w:rsidRPr="00F63766">
        <w:t xml:space="preserve">7.2A of the Act so that the Minister can exempt </w:t>
      </w:r>
      <w:r w:rsidR="007364FD" w:rsidRPr="00F63766">
        <w:t xml:space="preserve">a financial market or </w:t>
      </w:r>
      <w:r w:rsidR="004B717C" w:rsidRPr="00F63766">
        <w:t>class</w:t>
      </w:r>
      <w:r w:rsidR="00031320" w:rsidRPr="00F63766">
        <w:t xml:space="preserve"> </w:t>
      </w:r>
      <w:r w:rsidR="007364FD" w:rsidRPr="00F63766">
        <w:t>of financial market</w:t>
      </w:r>
      <w:r w:rsidR="004B717C" w:rsidRPr="00F63766">
        <w:t>s</w:t>
      </w:r>
      <w:r w:rsidR="007364FD" w:rsidRPr="00F63766">
        <w:t xml:space="preserve"> from some or all of the</w:t>
      </w:r>
      <w:r w:rsidR="00066A03">
        <w:t xml:space="preserve"> obligations relating to</w:t>
      </w:r>
      <w:r w:rsidR="007364FD" w:rsidRPr="00F63766">
        <w:t xml:space="preserve"> ASIC supervision under Part 7.2A</w:t>
      </w:r>
      <w:r w:rsidR="00B107D4" w:rsidRPr="00F63766">
        <w:t xml:space="preserve"> of the Act</w:t>
      </w:r>
      <w:r w:rsidR="007364FD" w:rsidRPr="00F63766">
        <w:t xml:space="preserve">. This is a new exemption power that exactly mirrors the amended exemption power being introduced into Part 7.2 of the Act. </w:t>
      </w:r>
    </w:p>
    <w:p w14:paraId="777FA3E4" w14:textId="0CF4A930" w:rsidR="007364FD" w:rsidRPr="00F63766" w:rsidRDefault="007364FD" w:rsidP="00B676BE">
      <w:pPr>
        <w:pStyle w:val="base-text-paragraph"/>
      </w:pPr>
      <w:r w:rsidRPr="00F63766">
        <w:t xml:space="preserve">The existing exemption power in Part 7.3 of the Act is being amended to provide the Minister with the power to exempt a </w:t>
      </w:r>
      <w:r w:rsidR="00031320" w:rsidRPr="00F63766">
        <w:t>clearing and settlement facility</w:t>
      </w:r>
      <w:r w:rsidRPr="00F63766">
        <w:t xml:space="preserve"> or </w:t>
      </w:r>
      <w:r w:rsidR="004B717C" w:rsidRPr="00F63766">
        <w:t>class</w:t>
      </w:r>
      <w:r w:rsidR="00031320" w:rsidRPr="00F63766">
        <w:t xml:space="preserve"> </w:t>
      </w:r>
      <w:r w:rsidRPr="00F63766">
        <w:t xml:space="preserve">of </w:t>
      </w:r>
      <w:r w:rsidR="00031320" w:rsidRPr="00F63766">
        <w:t>clearing and settlement facilit</w:t>
      </w:r>
      <w:r w:rsidR="004B717C" w:rsidRPr="00F63766">
        <w:t>ies</w:t>
      </w:r>
      <w:r w:rsidRPr="00F63766">
        <w:t xml:space="preserve"> from some of the clearing and settlement </w:t>
      </w:r>
      <w:r w:rsidR="001D15FE" w:rsidRPr="00F63766">
        <w:t>facility</w:t>
      </w:r>
      <w:r w:rsidRPr="00F63766">
        <w:t xml:space="preserve"> </w:t>
      </w:r>
      <w:r w:rsidR="00031320" w:rsidRPr="00F63766">
        <w:t xml:space="preserve">licensing </w:t>
      </w:r>
      <w:r w:rsidRPr="00F63766">
        <w:t>requirements under Part</w:t>
      </w:r>
      <w:r w:rsidR="008504E2" w:rsidRPr="00F63766">
        <w:t> </w:t>
      </w:r>
      <w:r w:rsidRPr="00F63766">
        <w:t xml:space="preserve">7.3 of the Act. The current exemption power only </w:t>
      </w:r>
      <w:r w:rsidR="00066A03">
        <w:t>allows for</w:t>
      </w:r>
      <w:r w:rsidR="00066A03" w:rsidRPr="00F63766">
        <w:t xml:space="preserve"> </w:t>
      </w:r>
      <w:r w:rsidRPr="00F63766">
        <w:t xml:space="preserve">a full exemption from needing a licence for operating a clearing and settlement facility. </w:t>
      </w:r>
    </w:p>
    <w:p w14:paraId="4AEF82FC" w14:textId="210B4DD0" w:rsidR="00B107D4" w:rsidRPr="00F63766" w:rsidRDefault="00B107D4" w:rsidP="00B107D4">
      <w:pPr>
        <w:pStyle w:val="base-text-paragraph"/>
      </w:pPr>
      <w:r w:rsidRPr="00F63766">
        <w:t>An identical exemption power is also being introduced into Part</w:t>
      </w:r>
      <w:r w:rsidR="00725DFC">
        <w:t> </w:t>
      </w:r>
      <w:r w:rsidRPr="00F63766">
        <w:t>7.5 of the Act so that the Minister can exempt a financial market or class of financial markets from some or all of the compensation arrangement requirements under Part 7.5 of the Act</w:t>
      </w:r>
      <w:r w:rsidR="00031320" w:rsidRPr="00F63766">
        <w:t>.</w:t>
      </w:r>
      <w:r w:rsidRPr="00F63766">
        <w:t xml:space="preserve"> This is a new exemption power that exactly mirrors the amended exemption power being introduced into Part 7.2 of the Act.</w:t>
      </w:r>
      <w:r w:rsidR="00031320" w:rsidRPr="00F63766">
        <w:t xml:space="preserve"> </w:t>
      </w:r>
    </w:p>
    <w:p w14:paraId="3BE728E2" w14:textId="5C82C7B6" w:rsidR="0060155A" w:rsidRDefault="00B107D4" w:rsidP="00B676BE">
      <w:pPr>
        <w:pStyle w:val="base-text-paragraph"/>
      </w:pPr>
      <w:r w:rsidRPr="00F63766">
        <w:t xml:space="preserve">The </w:t>
      </w:r>
      <w:r w:rsidR="00066A03">
        <w:t>introduction</w:t>
      </w:r>
      <w:r w:rsidR="00066A03" w:rsidRPr="00F63766">
        <w:t xml:space="preserve"> </w:t>
      </w:r>
      <w:r w:rsidRPr="00F63766">
        <w:t>of these four identical exemption power</w:t>
      </w:r>
      <w:r w:rsidR="007E55F9" w:rsidRPr="00F63766">
        <w:t>s</w:t>
      </w:r>
      <w:r w:rsidRPr="00F63766">
        <w:t xml:space="preserve"> </w:t>
      </w:r>
      <w:r w:rsidR="00066A03">
        <w:t>creates</w:t>
      </w:r>
      <w:r w:rsidR="00066A03" w:rsidRPr="00F63766">
        <w:t xml:space="preserve"> </w:t>
      </w:r>
      <w:r w:rsidRPr="00F63766">
        <w:t xml:space="preserve">a streamlined approach to </w:t>
      </w:r>
      <w:r w:rsidR="00066A03">
        <w:t>granting</w:t>
      </w:r>
      <w:r w:rsidR="00066A03" w:rsidRPr="00F63766">
        <w:t xml:space="preserve"> </w:t>
      </w:r>
      <w:r w:rsidRPr="00F63766">
        <w:t>some emerging</w:t>
      </w:r>
      <w:r w:rsidR="007E55F9" w:rsidRPr="00F63766">
        <w:t xml:space="preserve"> or specialised</w:t>
      </w:r>
      <w:r w:rsidRPr="00F63766">
        <w:t xml:space="preserve"> financial markets</w:t>
      </w:r>
      <w:r w:rsidR="00066A03">
        <w:t xml:space="preserve"> and clearing and settlement facilities</w:t>
      </w:r>
      <w:r w:rsidRPr="00F63766">
        <w:t xml:space="preserve"> with exemptions from some of the regulatory requirements in Parts 7.2, 7.2A, 7.3 and 7.5 of the Act to provide for a more tailored regulatory approach. </w:t>
      </w:r>
    </w:p>
    <w:p w14:paraId="1907BF63" w14:textId="1B0526C4" w:rsidR="0082214B" w:rsidRDefault="0082214B" w:rsidP="00B96F32">
      <w:pPr>
        <w:pStyle w:val="Heading2"/>
      </w:pPr>
      <w:r>
        <w:t>Summary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2214B" w:rsidRPr="004666B8" w14:paraId="7BE45EA4" w14:textId="77777777" w:rsidTr="00AD20B8">
        <w:tc>
          <w:tcPr>
            <w:tcW w:w="3275" w:type="dxa"/>
          </w:tcPr>
          <w:p w14:paraId="1DEB5A91" w14:textId="77777777" w:rsidR="0082214B" w:rsidRPr="004666B8" w:rsidRDefault="0082214B" w:rsidP="00AD20B8">
            <w:pPr>
              <w:pStyle w:val="tableheaderwithintable"/>
              <w:rPr>
                <w:lang w:val="en-US" w:eastAsia="en-US"/>
              </w:rPr>
            </w:pPr>
            <w:r w:rsidRPr="004666B8">
              <w:rPr>
                <w:lang w:val="en-US" w:eastAsia="en-US"/>
              </w:rPr>
              <w:t>New law</w:t>
            </w:r>
          </w:p>
        </w:tc>
        <w:tc>
          <w:tcPr>
            <w:tcW w:w="3276" w:type="dxa"/>
          </w:tcPr>
          <w:p w14:paraId="68FE392D" w14:textId="77777777" w:rsidR="0082214B" w:rsidRPr="004666B8" w:rsidRDefault="0082214B" w:rsidP="00AD20B8">
            <w:pPr>
              <w:pStyle w:val="tableheaderwithintable"/>
              <w:rPr>
                <w:lang w:val="en-US" w:eastAsia="en-US"/>
              </w:rPr>
            </w:pPr>
            <w:r w:rsidRPr="004666B8">
              <w:rPr>
                <w:lang w:val="en-US" w:eastAsia="en-US"/>
              </w:rPr>
              <w:t>Current law</w:t>
            </w:r>
          </w:p>
        </w:tc>
      </w:tr>
      <w:tr w:rsidR="0082214B" w:rsidRPr="004666B8" w14:paraId="7CF81CA7" w14:textId="77777777" w:rsidTr="00AD20B8">
        <w:tc>
          <w:tcPr>
            <w:tcW w:w="3275" w:type="dxa"/>
          </w:tcPr>
          <w:p w14:paraId="030FBDFB" w14:textId="3513ECC1" w:rsidR="0082214B" w:rsidRDefault="00475F47" w:rsidP="00A3114B">
            <w:pPr>
              <w:pStyle w:val="tabletext"/>
            </w:pPr>
            <w:r>
              <w:rPr>
                <w:lang w:val="en-US" w:eastAsia="en-US"/>
              </w:rPr>
              <w:t xml:space="preserve">The Minister may exempt a financial market or class of financial market </w:t>
            </w:r>
            <w:r w:rsidR="00741743">
              <w:rPr>
                <w:lang w:val="en-US" w:eastAsia="en-US"/>
              </w:rPr>
              <w:t xml:space="preserve">from </w:t>
            </w:r>
            <w:r w:rsidR="00A3114B">
              <w:rPr>
                <w:lang w:val="en-US" w:eastAsia="en-US"/>
              </w:rPr>
              <w:t xml:space="preserve">some of </w:t>
            </w:r>
            <w:r>
              <w:rPr>
                <w:lang w:val="en-US" w:eastAsia="en-US"/>
              </w:rPr>
              <w:t>the AML</w:t>
            </w:r>
            <w:r w:rsidR="002D31F9">
              <w:rPr>
                <w:lang w:val="en-US" w:eastAsia="en-US"/>
              </w:rPr>
              <w:t xml:space="preserve"> </w:t>
            </w:r>
            <w:r w:rsidR="00741743">
              <w:rPr>
                <w:lang w:val="en-US" w:eastAsia="en-US"/>
              </w:rPr>
              <w:t>requirements</w:t>
            </w:r>
            <w:r w:rsidR="002D31F9">
              <w:rPr>
                <w:lang w:val="en-US" w:eastAsia="en-US"/>
              </w:rPr>
              <w:t>.</w:t>
            </w:r>
          </w:p>
        </w:tc>
        <w:tc>
          <w:tcPr>
            <w:tcW w:w="3276" w:type="dxa"/>
          </w:tcPr>
          <w:p w14:paraId="0DF7F82A" w14:textId="642338AC" w:rsidR="0082214B" w:rsidRDefault="00475F47">
            <w:pPr>
              <w:pStyle w:val="tabletext"/>
              <w:rPr>
                <w:lang w:val="en-US" w:eastAsia="en-US"/>
              </w:rPr>
            </w:pPr>
            <w:r>
              <w:rPr>
                <w:lang w:val="en-US" w:eastAsia="en-US"/>
              </w:rPr>
              <w:t xml:space="preserve">The Minister may exempt a financial market or class of financial market from </w:t>
            </w:r>
            <w:r w:rsidR="00A3114B">
              <w:rPr>
                <w:lang w:val="en-US" w:eastAsia="en-US"/>
              </w:rPr>
              <w:t xml:space="preserve">all of </w:t>
            </w:r>
            <w:r>
              <w:rPr>
                <w:lang w:val="en-US" w:eastAsia="en-US"/>
              </w:rPr>
              <w:t xml:space="preserve">the </w:t>
            </w:r>
            <w:r w:rsidR="00741743">
              <w:rPr>
                <w:lang w:val="en-US" w:eastAsia="en-US"/>
              </w:rPr>
              <w:t xml:space="preserve">AML </w:t>
            </w:r>
            <w:r>
              <w:rPr>
                <w:lang w:val="en-US" w:eastAsia="en-US"/>
              </w:rPr>
              <w:t>requirement</w:t>
            </w:r>
            <w:r w:rsidR="00741743">
              <w:rPr>
                <w:lang w:val="en-US" w:eastAsia="en-US"/>
              </w:rPr>
              <w:t xml:space="preserve">s. </w:t>
            </w:r>
          </w:p>
        </w:tc>
      </w:tr>
      <w:tr w:rsidR="00E53995" w:rsidRPr="004666B8" w14:paraId="01E3F81E" w14:textId="77777777" w:rsidTr="00AD20B8">
        <w:tc>
          <w:tcPr>
            <w:tcW w:w="3275" w:type="dxa"/>
          </w:tcPr>
          <w:p w14:paraId="5BD6FC51" w14:textId="0C82CB5F" w:rsidR="00E53995" w:rsidRDefault="00E53995" w:rsidP="00D707CE">
            <w:pPr>
              <w:pStyle w:val="tabletext"/>
              <w:rPr>
                <w:lang w:val="en-US" w:eastAsia="en-US"/>
              </w:rPr>
            </w:pPr>
            <w:r>
              <w:t xml:space="preserve">The </w:t>
            </w:r>
            <w:r w:rsidRPr="00F63766">
              <w:t>Minister can exempt a financial market or class of financial markets from some or all of the</w:t>
            </w:r>
            <w:r>
              <w:t xml:space="preserve"> obligations relating to</w:t>
            </w:r>
            <w:r w:rsidRPr="00F63766">
              <w:t xml:space="preserve"> ASIC supervision</w:t>
            </w:r>
            <w:r>
              <w:t xml:space="preserve">. </w:t>
            </w:r>
          </w:p>
        </w:tc>
        <w:tc>
          <w:tcPr>
            <w:tcW w:w="3276" w:type="dxa"/>
          </w:tcPr>
          <w:p w14:paraId="619A921B" w14:textId="50DEC044" w:rsidR="00E53995" w:rsidRDefault="00E53995" w:rsidP="002D6FCF">
            <w:pPr>
              <w:pStyle w:val="tabletext"/>
              <w:rPr>
                <w:lang w:val="en-US" w:eastAsia="en-US"/>
              </w:rPr>
            </w:pPr>
            <w:r>
              <w:rPr>
                <w:lang w:val="en-US" w:eastAsia="en-US"/>
              </w:rPr>
              <w:t>No equivalent.</w:t>
            </w:r>
          </w:p>
        </w:tc>
      </w:tr>
      <w:tr w:rsidR="008801E4" w:rsidRPr="004666B8" w14:paraId="112AF6C1" w14:textId="77777777" w:rsidTr="005F5526">
        <w:tc>
          <w:tcPr>
            <w:tcW w:w="3275" w:type="dxa"/>
          </w:tcPr>
          <w:p w14:paraId="264D8509" w14:textId="77777777" w:rsidR="008801E4" w:rsidRPr="004666B8" w:rsidRDefault="008801E4" w:rsidP="005F5526">
            <w:pPr>
              <w:pStyle w:val="tableheaderwithintable"/>
              <w:rPr>
                <w:lang w:val="en-US" w:eastAsia="en-US"/>
              </w:rPr>
            </w:pPr>
            <w:r w:rsidRPr="004666B8">
              <w:rPr>
                <w:lang w:val="en-US" w:eastAsia="en-US"/>
              </w:rPr>
              <w:t>New law</w:t>
            </w:r>
          </w:p>
        </w:tc>
        <w:tc>
          <w:tcPr>
            <w:tcW w:w="3276" w:type="dxa"/>
          </w:tcPr>
          <w:p w14:paraId="06F57234" w14:textId="77777777" w:rsidR="008801E4" w:rsidRPr="004666B8" w:rsidRDefault="008801E4" w:rsidP="005F5526">
            <w:pPr>
              <w:pStyle w:val="tableheaderwithintable"/>
              <w:rPr>
                <w:lang w:val="en-US" w:eastAsia="en-US"/>
              </w:rPr>
            </w:pPr>
            <w:r w:rsidRPr="004666B8">
              <w:rPr>
                <w:lang w:val="en-US" w:eastAsia="en-US"/>
              </w:rPr>
              <w:t>Current law</w:t>
            </w:r>
          </w:p>
        </w:tc>
      </w:tr>
      <w:tr w:rsidR="00E53995" w:rsidRPr="004666B8" w14:paraId="68BA49B9" w14:textId="77777777" w:rsidTr="00AD20B8">
        <w:tc>
          <w:tcPr>
            <w:tcW w:w="3275" w:type="dxa"/>
          </w:tcPr>
          <w:p w14:paraId="557028C1" w14:textId="25BF2A3F" w:rsidR="00E53995" w:rsidRDefault="00E53995" w:rsidP="008801E4">
            <w:pPr>
              <w:pStyle w:val="tabletext"/>
              <w:keepNext/>
              <w:keepLines/>
            </w:pPr>
            <w:r>
              <w:rPr>
                <w:lang w:val="en-US" w:eastAsia="en-US"/>
              </w:rPr>
              <w:t xml:space="preserve">The Minister may exempt a clearance and settlement facility or class of clearing and settlement facility from some of </w:t>
            </w:r>
            <w:r w:rsidRPr="00F63766">
              <w:t>the clearing and settlement facility licensing requirements</w:t>
            </w:r>
          </w:p>
        </w:tc>
        <w:tc>
          <w:tcPr>
            <w:tcW w:w="3276" w:type="dxa"/>
          </w:tcPr>
          <w:p w14:paraId="4AD85824" w14:textId="3405BAC8" w:rsidR="00E53995" w:rsidRDefault="00E53995" w:rsidP="008801E4">
            <w:pPr>
              <w:pStyle w:val="tabletext"/>
              <w:keepNext/>
              <w:keepLines/>
              <w:rPr>
                <w:lang w:val="en-US" w:eastAsia="en-US"/>
              </w:rPr>
            </w:pPr>
            <w:r>
              <w:rPr>
                <w:lang w:val="en-US" w:eastAsia="en-US"/>
              </w:rPr>
              <w:t xml:space="preserve">The Minister may exempt a clearance and settlement facility or class of clearing and settlement facility from all </w:t>
            </w:r>
            <w:r w:rsidRPr="00F63766">
              <w:t>the clearing and settlement facility licensing requirements</w:t>
            </w:r>
          </w:p>
        </w:tc>
      </w:tr>
      <w:tr w:rsidR="00E53995" w:rsidRPr="004666B8" w14:paraId="2C10BBF7" w14:textId="77777777" w:rsidTr="00AD20B8">
        <w:tc>
          <w:tcPr>
            <w:tcW w:w="3275" w:type="dxa"/>
          </w:tcPr>
          <w:p w14:paraId="6706DB2B" w14:textId="7C8292E4" w:rsidR="00E53995" w:rsidRDefault="00E53995" w:rsidP="00AD20B8">
            <w:pPr>
              <w:pStyle w:val="tabledotpoint"/>
              <w:numPr>
                <w:ilvl w:val="0"/>
                <w:numId w:val="0"/>
              </w:numPr>
            </w:pPr>
            <w:r>
              <w:t>T</w:t>
            </w:r>
            <w:r w:rsidRPr="00F63766">
              <w:t>he Minister can exempt a financial market or class of financial markets from some or all of the compensation arrangement requirements</w:t>
            </w:r>
            <w:r>
              <w:t>.</w:t>
            </w:r>
          </w:p>
        </w:tc>
        <w:tc>
          <w:tcPr>
            <w:tcW w:w="3276" w:type="dxa"/>
          </w:tcPr>
          <w:p w14:paraId="0D12FA15" w14:textId="11778D64" w:rsidR="00E53995" w:rsidRDefault="00E53995" w:rsidP="00AD20B8">
            <w:pPr>
              <w:pStyle w:val="tabletext"/>
              <w:rPr>
                <w:lang w:val="en-US" w:eastAsia="en-US"/>
              </w:rPr>
            </w:pPr>
            <w:r>
              <w:rPr>
                <w:lang w:val="en-US" w:eastAsia="en-US"/>
              </w:rPr>
              <w:t>No equivalent.</w:t>
            </w:r>
          </w:p>
        </w:tc>
      </w:tr>
    </w:tbl>
    <w:p w14:paraId="593E96A6" w14:textId="77777777" w:rsidR="00701469" w:rsidRPr="00F63766" w:rsidRDefault="00701469" w:rsidP="00B676BE">
      <w:pPr>
        <w:pStyle w:val="Heading2"/>
      </w:pPr>
      <w:r w:rsidRPr="00F63766">
        <w:t>Detailed explanation of new law</w:t>
      </w:r>
    </w:p>
    <w:p w14:paraId="2B287399" w14:textId="4F525742" w:rsidR="00C83619" w:rsidRPr="00F63766" w:rsidRDefault="00235F25" w:rsidP="00B676BE">
      <w:pPr>
        <w:pStyle w:val="base-text-paragraph"/>
      </w:pPr>
      <w:r w:rsidRPr="00F63766">
        <w:t xml:space="preserve">The </w:t>
      </w:r>
      <w:r w:rsidR="00812766">
        <w:t>B</w:t>
      </w:r>
      <w:r w:rsidRPr="00F63766">
        <w:t>ill provides for changes in the exemption powers in Parts</w:t>
      </w:r>
      <w:r w:rsidR="00594A78">
        <w:t> </w:t>
      </w:r>
      <w:r w:rsidRPr="00F63766">
        <w:t>7.2, 7.2A, 7.3 and 7.5 of the Act. The changes provide a more flexible and appropriate regulatory regime</w:t>
      </w:r>
      <w:r w:rsidR="00A00452" w:rsidRPr="00F63766">
        <w:t xml:space="preserve"> for emerging</w:t>
      </w:r>
      <w:r w:rsidR="00016BB7" w:rsidRPr="00F63766">
        <w:t xml:space="preserve"> and specialised financial</w:t>
      </w:r>
      <w:r w:rsidR="00A00452" w:rsidRPr="00F63766">
        <w:t xml:space="preserve"> markets</w:t>
      </w:r>
      <w:r w:rsidRPr="00F63766">
        <w:t xml:space="preserve">. </w:t>
      </w:r>
    </w:p>
    <w:p w14:paraId="512640E9" w14:textId="4C16189C" w:rsidR="00701469" w:rsidRPr="00F63766" w:rsidRDefault="00AF1B64" w:rsidP="00C83619">
      <w:pPr>
        <w:pStyle w:val="base-text-paragraph"/>
        <w:numPr>
          <w:ilvl w:val="0"/>
          <w:numId w:val="0"/>
        </w:numPr>
      </w:pPr>
      <w:r w:rsidRPr="00F63766">
        <w:rPr>
          <w:b/>
        </w:rPr>
        <w:t>E</w:t>
      </w:r>
      <w:r w:rsidR="00C83619" w:rsidRPr="00F63766">
        <w:rPr>
          <w:b/>
        </w:rPr>
        <w:t>xemptions from AML obligation</w:t>
      </w:r>
      <w:r w:rsidR="00725DFC">
        <w:rPr>
          <w:b/>
        </w:rPr>
        <w:t>s</w:t>
      </w:r>
      <w:r w:rsidR="00C83619" w:rsidRPr="00F63766">
        <w:rPr>
          <w:b/>
        </w:rPr>
        <w:t xml:space="preserve"> </w:t>
      </w:r>
    </w:p>
    <w:p w14:paraId="29C8D40D" w14:textId="4998903B" w:rsidR="00235F25" w:rsidRPr="00F63766" w:rsidRDefault="00235F25" w:rsidP="00B676BE">
      <w:pPr>
        <w:pStyle w:val="base-text-paragraph"/>
        <w:rPr>
          <w:rStyle w:val="Referencingstyle"/>
          <w:b w:val="0"/>
          <w:i w:val="0"/>
          <w:sz w:val="22"/>
        </w:rPr>
      </w:pPr>
      <w:r w:rsidRPr="00F63766">
        <w:t xml:space="preserve">The </w:t>
      </w:r>
      <w:r w:rsidR="00812766">
        <w:t>B</w:t>
      </w:r>
      <w:r w:rsidRPr="00F63766">
        <w:t xml:space="preserve">ill repeals the exemption power in existing section 791C of the Act and replaces it with an amended exemption power. </w:t>
      </w:r>
      <w:r w:rsidR="00A00452" w:rsidRPr="00F63766">
        <w:rPr>
          <w:rStyle w:val="Referencingstyle"/>
        </w:rPr>
        <w:t>[Schedule</w:t>
      </w:r>
      <w:r w:rsidR="003639D2">
        <w:rPr>
          <w:rStyle w:val="Referencingstyle"/>
        </w:rPr>
        <w:t> 3</w:t>
      </w:r>
      <w:r w:rsidR="00A00452" w:rsidRPr="00F63766">
        <w:rPr>
          <w:rStyle w:val="Referencingstyle"/>
        </w:rPr>
        <w:t>,</w:t>
      </w:r>
      <w:r w:rsidR="003639D2">
        <w:rPr>
          <w:rStyle w:val="Referencingstyle"/>
        </w:rPr>
        <w:t> item</w:t>
      </w:r>
      <w:r w:rsidR="0018687F">
        <w:rPr>
          <w:rStyle w:val="Referencingstyle"/>
        </w:rPr>
        <w:t> </w:t>
      </w:r>
      <w:r w:rsidR="003441FD">
        <w:rPr>
          <w:rStyle w:val="Referencingstyle"/>
        </w:rPr>
        <w:t>1</w:t>
      </w:r>
      <w:r w:rsidR="0018687F">
        <w:rPr>
          <w:rStyle w:val="Referencingstyle"/>
        </w:rPr>
        <w:t>,</w:t>
      </w:r>
      <w:r w:rsidR="003639D2">
        <w:rPr>
          <w:rStyle w:val="Referencingstyle"/>
        </w:rPr>
        <w:t> </w:t>
      </w:r>
      <w:r w:rsidR="00D64F8A">
        <w:rPr>
          <w:rStyle w:val="Referencingstyle"/>
        </w:rPr>
        <w:t xml:space="preserve"> </w:t>
      </w:r>
      <w:r w:rsidR="003639D2">
        <w:rPr>
          <w:rStyle w:val="Referencingstyle"/>
        </w:rPr>
        <w:t>section 791C</w:t>
      </w:r>
      <w:r w:rsidRPr="00F63766">
        <w:rPr>
          <w:rStyle w:val="Referencingstyle"/>
        </w:rPr>
        <w:t>]</w:t>
      </w:r>
    </w:p>
    <w:p w14:paraId="6AAC5C9D" w14:textId="445A384D" w:rsidR="00AF1B64" w:rsidRPr="00F63766" w:rsidRDefault="00235F25" w:rsidP="00B676BE">
      <w:pPr>
        <w:pStyle w:val="base-text-paragraph"/>
        <w:rPr>
          <w:rStyle w:val="Referencingstyle"/>
          <w:b w:val="0"/>
          <w:i w:val="0"/>
          <w:sz w:val="22"/>
        </w:rPr>
      </w:pPr>
      <w:r w:rsidRPr="00F63766">
        <w:t>The new</w:t>
      </w:r>
      <w:r w:rsidR="00A00452" w:rsidRPr="00F63766">
        <w:t xml:space="preserve"> amended</w:t>
      </w:r>
      <w:r w:rsidRPr="00F63766">
        <w:t xml:space="preserve"> exemption power </w:t>
      </w:r>
      <w:r w:rsidR="00AF1B64" w:rsidRPr="00F63766">
        <w:t xml:space="preserve">largely replicates the existing power being replaced but provides greater flexibility in allowing the Minister to provide an exemption </w:t>
      </w:r>
      <w:r w:rsidR="00016BB7" w:rsidRPr="00F63766">
        <w:t>from specified</w:t>
      </w:r>
      <w:r w:rsidR="00AF1B64" w:rsidRPr="00F63766">
        <w:t xml:space="preserve"> obligations under Part 7.2 of the Act (as opposed to only being able to provide a complete exemption from the AML regime). </w:t>
      </w:r>
      <w:r w:rsidR="003439D4" w:rsidRPr="00F63766">
        <w:rPr>
          <w:rStyle w:val="Referencingstyle"/>
        </w:rPr>
        <w:t>[Schedule</w:t>
      </w:r>
      <w:r w:rsidR="003439D4">
        <w:rPr>
          <w:rStyle w:val="Referencingstyle"/>
        </w:rPr>
        <w:t> 3</w:t>
      </w:r>
      <w:r w:rsidR="003439D4" w:rsidRPr="00F63766">
        <w:rPr>
          <w:rStyle w:val="Referencingstyle"/>
        </w:rPr>
        <w:t>,</w:t>
      </w:r>
      <w:r w:rsidR="003439D4">
        <w:rPr>
          <w:rStyle w:val="Referencingstyle"/>
        </w:rPr>
        <w:t> item 1, subsection 791C(1)</w:t>
      </w:r>
      <w:r w:rsidR="003439D4" w:rsidRPr="00F63766">
        <w:rPr>
          <w:rStyle w:val="Referencingstyle"/>
        </w:rPr>
        <w:t>]</w:t>
      </w:r>
    </w:p>
    <w:p w14:paraId="297EB64F" w14:textId="22DF7696" w:rsidR="00C83619" w:rsidRPr="00F63766" w:rsidRDefault="00C83619" w:rsidP="00B676BE">
      <w:pPr>
        <w:pStyle w:val="base-text-paragraph"/>
      </w:pPr>
      <w:r w:rsidRPr="00F63766">
        <w:t xml:space="preserve">The exemption can be applied in relation to a particular market or a particular </w:t>
      </w:r>
      <w:r w:rsidR="00575995" w:rsidRPr="00F63766">
        <w:t>class</w:t>
      </w:r>
      <w:r w:rsidR="00016BB7" w:rsidRPr="00F63766">
        <w:t xml:space="preserve"> </w:t>
      </w:r>
      <w:r w:rsidRPr="00F63766">
        <w:t>of markets. Where an exemption is made in relation to a class of financial markets, then the exemption is a legislative instrument and is subject to disallowance and sunsetting</w:t>
      </w:r>
      <w:r w:rsidR="009068C6">
        <w:t xml:space="preserve">, consistent with the </w:t>
      </w:r>
      <w:r w:rsidR="008755C2" w:rsidRPr="00F63766">
        <w:t>existing exemption power.</w:t>
      </w:r>
      <w:r w:rsidR="008755C2" w:rsidRPr="00F63766">
        <w:rPr>
          <w:rStyle w:val="Referencingstyle"/>
        </w:rPr>
        <w:t xml:space="preserve"> </w:t>
      </w:r>
      <w:r w:rsidR="003439D4" w:rsidRPr="00F63766">
        <w:rPr>
          <w:rStyle w:val="Referencingstyle"/>
        </w:rPr>
        <w:t>[Schedule</w:t>
      </w:r>
      <w:r w:rsidR="003439D4">
        <w:rPr>
          <w:rStyle w:val="Referencingstyle"/>
        </w:rPr>
        <w:t> 3</w:t>
      </w:r>
      <w:r w:rsidR="003439D4" w:rsidRPr="00F63766">
        <w:rPr>
          <w:rStyle w:val="Referencingstyle"/>
        </w:rPr>
        <w:t>,</w:t>
      </w:r>
      <w:r w:rsidR="003439D4">
        <w:rPr>
          <w:rStyle w:val="Referencingstyle"/>
        </w:rPr>
        <w:t> item 1, subsection 791C(4)</w:t>
      </w:r>
      <w:r w:rsidR="003439D4" w:rsidRPr="00F63766">
        <w:rPr>
          <w:rStyle w:val="Referencingstyle"/>
        </w:rPr>
        <w:t>]</w:t>
      </w:r>
    </w:p>
    <w:p w14:paraId="3AF9E31F" w14:textId="4CE7CCCC" w:rsidR="00C83619" w:rsidRPr="00F63766" w:rsidRDefault="00AF1B64" w:rsidP="00B676BE">
      <w:pPr>
        <w:pStyle w:val="base-text-paragraph"/>
      </w:pPr>
      <w:r w:rsidRPr="00F63766">
        <w:t>Where an exemption applies in relation to a particular market, an exemption i</w:t>
      </w:r>
      <w:r w:rsidR="008755C2" w:rsidRPr="00F63766">
        <w:t>s not a legislative instrument and the Minister is required to publish a notice of the exemption in the Gazette</w:t>
      </w:r>
      <w:r w:rsidR="00DD6255">
        <w:t xml:space="preserve"> </w:t>
      </w:r>
      <w:r w:rsidR="00DD6255" w:rsidRPr="00F63766">
        <w:rPr>
          <w:rStyle w:val="Referencingstyle"/>
        </w:rPr>
        <w:t xml:space="preserve">[Schedule </w:t>
      </w:r>
      <w:r w:rsidR="00DD6255">
        <w:rPr>
          <w:rStyle w:val="Referencingstyle"/>
        </w:rPr>
        <w:t>3</w:t>
      </w:r>
      <w:r w:rsidR="00DD6255" w:rsidRPr="00F63766">
        <w:rPr>
          <w:rStyle w:val="Referencingstyle"/>
        </w:rPr>
        <w:t xml:space="preserve">, </w:t>
      </w:r>
      <w:r w:rsidR="00860B86">
        <w:rPr>
          <w:rStyle w:val="Referencingstyle"/>
        </w:rPr>
        <w:t xml:space="preserve">item 1, </w:t>
      </w:r>
      <w:r w:rsidR="00DD6255" w:rsidRPr="00F63766">
        <w:rPr>
          <w:rStyle w:val="Referencingstyle"/>
        </w:rPr>
        <w:t>subsection </w:t>
      </w:r>
      <w:proofErr w:type="gramStart"/>
      <w:r w:rsidR="00DD6255" w:rsidRPr="00F63766">
        <w:rPr>
          <w:rStyle w:val="Referencingstyle"/>
        </w:rPr>
        <w:t>791C(</w:t>
      </w:r>
      <w:proofErr w:type="gramEnd"/>
      <w:r w:rsidR="00DD6255">
        <w:rPr>
          <w:rStyle w:val="Referencingstyle"/>
        </w:rPr>
        <w:t>5</w:t>
      </w:r>
      <w:r w:rsidR="00DD6255" w:rsidRPr="00F63766">
        <w:rPr>
          <w:rStyle w:val="Referencingstyle"/>
        </w:rPr>
        <w:t>)]</w:t>
      </w:r>
      <w:r w:rsidR="008755C2" w:rsidRPr="00F63766">
        <w:t xml:space="preserve">. This is the same approach as is currently provided for in the existing exemption power. </w:t>
      </w:r>
    </w:p>
    <w:p w14:paraId="09D8EF1F" w14:textId="77777777" w:rsidR="00FC2356" w:rsidRDefault="00FC2356">
      <w:pPr>
        <w:spacing w:before="0" w:after="0"/>
      </w:pPr>
      <w:r>
        <w:br w:type="page"/>
      </w:r>
    </w:p>
    <w:p w14:paraId="66B09DAC" w14:textId="7581A662" w:rsidR="00BE6305" w:rsidRPr="00F63766" w:rsidRDefault="00AF1B64" w:rsidP="00B676BE">
      <w:pPr>
        <w:pStyle w:val="base-text-paragraph"/>
      </w:pPr>
      <w:r w:rsidRPr="00F63766">
        <w:t>The new exemption also replicates the Minister’s powers to vary or revoke an exemption after providing notice and providing affected market operators with the opportunity to make submissions. The only change to these requirements is that notice of a change</w:t>
      </w:r>
      <w:r w:rsidR="008755C2" w:rsidRPr="00F63766">
        <w:t xml:space="preserve"> to an exemption</w:t>
      </w:r>
      <w:r w:rsidRPr="00F63766">
        <w:t xml:space="preserve"> relating to a class of financial markets </w:t>
      </w:r>
      <w:r w:rsidR="00BE6305" w:rsidRPr="00F63766">
        <w:t xml:space="preserve">must be published on the ASIC website instead of a newspaper. </w:t>
      </w:r>
      <w:r w:rsidR="00BE6305" w:rsidRPr="00F63766">
        <w:rPr>
          <w:rStyle w:val="Referencingstyle"/>
        </w:rPr>
        <w:t xml:space="preserve">[Schedule </w:t>
      </w:r>
      <w:r w:rsidR="0063788F">
        <w:rPr>
          <w:rStyle w:val="Referencingstyle"/>
        </w:rPr>
        <w:t>3</w:t>
      </w:r>
      <w:r w:rsidR="00BE6305" w:rsidRPr="00F63766">
        <w:rPr>
          <w:rStyle w:val="Referencingstyle"/>
        </w:rPr>
        <w:t xml:space="preserve">, </w:t>
      </w:r>
      <w:r w:rsidR="00DB39BB">
        <w:rPr>
          <w:rStyle w:val="Referencingstyle"/>
        </w:rPr>
        <w:t xml:space="preserve">item 1, </w:t>
      </w:r>
      <w:r w:rsidR="00BE6305" w:rsidRPr="00F63766">
        <w:rPr>
          <w:rStyle w:val="Referencingstyle"/>
        </w:rPr>
        <w:t>subsections 791C</w:t>
      </w:r>
      <w:r w:rsidR="0063788F">
        <w:rPr>
          <w:rStyle w:val="Referencingstyle"/>
        </w:rPr>
        <w:t xml:space="preserve">(2) and </w:t>
      </w:r>
      <w:r w:rsidR="00BE6305" w:rsidRPr="00F63766">
        <w:rPr>
          <w:rStyle w:val="Referencingstyle"/>
        </w:rPr>
        <w:t>(3)]</w:t>
      </w:r>
    </w:p>
    <w:p w14:paraId="27FCE12F" w14:textId="298E18B3" w:rsidR="00BE6305" w:rsidRPr="00F63766" w:rsidRDefault="00BE6305" w:rsidP="00B676BE">
      <w:pPr>
        <w:pStyle w:val="base-text-paragraph"/>
      </w:pPr>
      <w:r w:rsidRPr="00F63766">
        <w:t xml:space="preserve">The new amended exemption </w:t>
      </w:r>
      <w:r w:rsidR="002643E8" w:rsidRPr="00F63766">
        <w:t xml:space="preserve">power </w:t>
      </w:r>
      <w:r w:rsidRPr="00F63766">
        <w:t xml:space="preserve">has also been rewritten to reflect modern drafting requirements. </w:t>
      </w:r>
    </w:p>
    <w:p w14:paraId="2FAAFEA9" w14:textId="2EC33DC7" w:rsidR="00BE6305" w:rsidRPr="00F63766" w:rsidRDefault="00BE6305" w:rsidP="00B676BE">
      <w:pPr>
        <w:pStyle w:val="base-text-paragraph"/>
      </w:pPr>
      <w:r w:rsidRPr="00F63766">
        <w:t xml:space="preserve">As the existing exemption is being repealed to be replaced with the amended exemption, a savings provision has been introduced to ensure that all exemptions made prior to the change continue to operate. </w:t>
      </w:r>
      <w:r w:rsidRPr="00F63766">
        <w:rPr>
          <w:rStyle w:val="Referencingstyle"/>
        </w:rPr>
        <w:t xml:space="preserve">[Schedule </w:t>
      </w:r>
      <w:r w:rsidR="00B3560B">
        <w:rPr>
          <w:rStyle w:val="Referencingstyle"/>
        </w:rPr>
        <w:t>3</w:t>
      </w:r>
      <w:r w:rsidRPr="00F63766">
        <w:rPr>
          <w:rStyle w:val="Referencingstyle"/>
        </w:rPr>
        <w:t>, item</w:t>
      </w:r>
      <w:r w:rsidR="00B3560B">
        <w:rPr>
          <w:rStyle w:val="Referencingstyle"/>
        </w:rPr>
        <w:t xml:space="preserve"> 2</w:t>
      </w:r>
      <w:r w:rsidRPr="00F63766">
        <w:rPr>
          <w:rStyle w:val="Referencingstyle"/>
        </w:rPr>
        <w:t>]</w:t>
      </w:r>
    </w:p>
    <w:p w14:paraId="128049F5" w14:textId="22A2E6F2" w:rsidR="00BE6305" w:rsidRPr="00F63766" w:rsidRDefault="00BE6305" w:rsidP="00BE6305">
      <w:pPr>
        <w:pStyle w:val="base-text-paragraph"/>
        <w:numPr>
          <w:ilvl w:val="0"/>
          <w:numId w:val="0"/>
        </w:numPr>
        <w:rPr>
          <w:b/>
        </w:rPr>
      </w:pPr>
      <w:r w:rsidRPr="00F63766">
        <w:rPr>
          <w:b/>
        </w:rPr>
        <w:t xml:space="preserve">Exemptions from ASIC supervision </w:t>
      </w:r>
    </w:p>
    <w:p w14:paraId="212F7ECE" w14:textId="5CB6D182" w:rsidR="00235F25" w:rsidRPr="00F63766" w:rsidRDefault="00ED0836" w:rsidP="00B676BE">
      <w:pPr>
        <w:pStyle w:val="base-text-paragraph"/>
      </w:pPr>
      <w:r w:rsidRPr="00F63766">
        <w:t xml:space="preserve">The </w:t>
      </w:r>
      <w:r w:rsidR="00812766">
        <w:t>B</w:t>
      </w:r>
      <w:r w:rsidRPr="00F63766">
        <w:t xml:space="preserve">ill provides the Minister with a new power to exempt a particular financial market or a class of financial markets from ASIC supervision under Part 7.2 of the Act. </w:t>
      </w:r>
      <w:r w:rsidRPr="00F63766">
        <w:rPr>
          <w:rStyle w:val="Referencingstyle"/>
        </w:rPr>
        <w:t xml:space="preserve">[Schedule </w:t>
      </w:r>
      <w:r w:rsidR="00D64F8A">
        <w:rPr>
          <w:rStyle w:val="Referencingstyle"/>
        </w:rPr>
        <w:t>3</w:t>
      </w:r>
      <w:r w:rsidRPr="00F63766">
        <w:rPr>
          <w:rStyle w:val="Referencingstyle"/>
        </w:rPr>
        <w:t>,</w:t>
      </w:r>
      <w:r w:rsidR="00D64F8A">
        <w:rPr>
          <w:rStyle w:val="Referencingstyle"/>
        </w:rPr>
        <w:t xml:space="preserve"> item</w:t>
      </w:r>
      <w:r w:rsidR="00D33FBB">
        <w:rPr>
          <w:rStyle w:val="Referencingstyle"/>
        </w:rPr>
        <w:t> </w:t>
      </w:r>
      <w:r w:rsidR="00D64F8A">
        <w:rPr>
          <w:rStyle w:val="Referencingstyle"/>
        </w:rPr>
        <w:t>3,</w:t>
      </w:r>
      <w:r w:rsidRPr="00F63766">
        <w:rPr>
          <w:rStyle w:val="Referencingstyle"/>
        </w:rPr>
        <w:t xml:space="preserve"> section 798M]</w:t>
      </w:r>
    </w:p>
    <w:p w14:paraId="70544E72" w14:textId="4F4C855A" w:rsidR="00ED0836" w:rsidRPr="00F63766" w:rsidRDefault="00ED0836" w:rsidP="00ED0836">
      <w:pPr>
        <w:pStyle w:val="base-text-paragraph"/>
      </w:pPr>
      <w:r w:rsidRPr="00F63766">
        <w:t xml:space="preserve">This new exemption power operates identically to the amended </w:t>
      </w:r>
      <w:r w:rsidRPr="0013509B">
        <w:t>exemption power being introduced into Part 7.2 of the Act</w:t>
      </w:r>
      <w:r w:rsidR="00725DFC" w:rsidRPr="0013509B">
        <w:t xml:space="preserve"> </w:t>
      </w:r>
      <w:r w:rsidR="00B62393" w:rsidRPr="0013509B">
        <w:t>(</w:t>
      </w:r>
      <w:r w:rsidR="00982C0F">
        <w:t>refer to</w:t>
      </w:r>
      <w:r w:rsidR="00B62393" w:rsidRPr="0013509B">
        <w:t xml:space="preserve"> </w:t>
      </w:r>
      <w:r w:rsidR="00B62393" w:rsidRPr="00982C0F">
        <w:t>paragraphs</w:t>
      </w:r>
      <w:r w:rsidR="008E6D34" w:rsidRPr="00982C0F">
        <w:t> </w:t>
      </w:r>
      <w:r w:rsidR="00B62393" w:rsidRPr="00982C0F">
        <w:t>8.</w:t>
      </w:r>
      <w:r w:rsidR="00AD61C7" w:rsidRPr="00982C0F">
        <w:t>19</w:t>
      </w:r>
      <w:r w:rsidR="00B62393" w:rsidRPr="00982C0F">
        <w:t xml:space="preserve"> to 8.2</w:t>
      </w:r>
      <w:r w:rsidR="00083FE9" w:rsidRPr="00982C0F">
        <w:t>3</w:t>
      </w:r>
      <w:r w:rsidR="00725DFC" w:rsidRPr="0013509B">
        <w:t xml:space="preserve"> for</w:t>
      </w:r>
      <w:r w:rsidR="00725DFC">
        <w:t xml:space="preserve"> a detailed description of how the power </w:t>
      </w:r>
      <w:r w:rsidR="008E6D34">
        <w:t>operates</w:t>
      </w:r>
      <w:r w:rsidR="00725DFC">
        <w:t>)</w:t>
      </w:r>
      <w:r w:rsidRPr="00F63766">
        <w:t xml:space="preserve">. </w:t>
      </w:r>
    </w:p>
    <w:p w14:paraId="2EAC8EE9" w14:textId="45A4BB2A" w:rsidR="00ED0836" w:rsidRPr="00F63766" w:rsidRDefault="00ED0836" w:rsidP="00ED0836">
      <w:pPr>
        <w:pStyle w:val="base-text-paragraph"/>
      </w:pPr>
      <w:r w:rsidRPr="00F63766">
        <w:t xml:space="preserve">There is </w:t>
      </w:r>
      <w:r w:rsidR="00862743" w:rsidRPr="00F63766">
        <w:t>already</w:t>
      </w:r>
      <w:r w:rsidRPr="00F63766">
        <w:t xml:space="preserve"> a broad regulation making power under section</w:t>
      </w:r>
      <w:r w:rsidR="00D47196">
        <w:t> </w:t>
      </w:r>
      <w:r w:rsidRPr="00F63766">
        <w:t xml:space="preserve">798L of the Act to exempt financial markets or types of financial markets from ASIC supervision under Part 7.2A of the Act. </w:t>
      </w:r>
    </w:p>
    <w:p w14:paraId="3252E2CE" w14:textId="40CBCE22" w:rsidR="00862743" w:rsidRPr="00F63766" w:rsidRDefault="00862743" w:rsidP="00862743">
      <w:pPr>
        <w:pStyle w:val="base-text-paragraph"/>
      </w:pPr>
      <w:r w:rsidRPr="00F63766">
        <w:t xml:space="preserve">The new exemption power is being introduced despite the existence of the regulation making power so that a consistent approach can be taken in providing a more tailored regulatory regime for emerging </w:t>
      </w:r>
      <w:r w:rsidR="00E92202" w:rsidRPr="00F63766">
        <w:t xml:space="preserve">and specialised </w:t>
      </w:r>
      <w:r w:rsidRPr="00F63766">
        <w:t xml:space="preserve">financial markets. Under this approach, where relevant, the Minister can exempt a financial market or class of financial markets from </w:t>
      </w:r>
      <w:r w:rsidR="00066A03">
        <w:t xml:space="preserve">obligations relating to </w:t>
      </w:r>
      <w:r w:rsidRPr="00F63766">
        <w:t xml:space="preserve">ASIC supervision in the same way that these markets can be given an exemption from the AML requirements in </w:t>
      </w:r>
      <w:r w:rsidR="00066A03">
        <w:t>P</w:t>
      </w:r>
      <w:r w:rsidRPr="00F63766">
        <w:t>art</w:t>
      </w:r>
      <w:r w:rsidR="00066A03">
        <w:t> </w:t>
      </w:r>
      <w:r w:rsidRPr="00F63766">
        <w:t xml:space="preserve">7.2 of the Act. </w:t>
      </w:r>
    </w:p>
    <w:p w14:paraId="298008ED" w14:textId="6BA8E6B7" w:rsidR="00862743" w:rsidRPr="00F63766" w:rsidRDefault="00862743" w:rsidP="00862743">
      <w:pPr>
        <w:pStyle w:val="base-text-paragraph"/>
        <w:numPr>
          <w:ilvl w:val="0"/>
          <w:numId w:val="0"/>
        </w:numPr>
        <w:rPr>
          <w:b/>
        </w:rPr>
      </w:pPr>
      <w:r w:rsidRPr="00F63766">
        <w:rPr>
          <w:b/>
        </w:rPr>
        <w:t xml:space="preserve">Exemptions from clearing and settlement </w:t>
      </w:r>
      <w:r w:rsidR="000F7835">
        <w:rPr>
          <w:b/>
        </w:rPr>
        <w:t>licensing obligations</w:t>
      </w:r>
      <w:r w:rsidRPr="00F63766">
        <w:rPr>
          <w:b/>
        </w:rPr>
        <w:t xml:space="preserve"> </w:t>
      </w:r>
    </w:p>
    <w:p w14:paraId="5F11A140" w14:textId="03694259" w:rsidR="00862743" w:rsidRPr="00F63766" w:rsidRDefault="00862743" w:rsidP="00ED0836">
      <w:pPr>
        <w:pStyle w:val="base-text-paragraph"/>
      </w:pPr>
      <w:r w:rsidRPr="00F63766">
        <w:t xml:space="preserve">The </w:t>
      </w:r>
      <w:r w:rsidR="00812766">
        <w:t>B</w:t>
      </w:r>
      <w:r w:rsidRPr="00F63766">
        <w:t>ill repeals the exemption power in existing section 820C of the Act and replaces it with an amended exemption power.</w:t>
      </w:r>
      <w:r w:rsidRPr="00F63766">
        <w:rPr>
          <w:rStyle w:val="Referencingstyle"/>
        </w:rPr>
        <w:t xml:space="preserve"> [Schedule </w:t>
      </w:r>
      <w:r w:rsidR="007C0400">
        <w:rPr>
          <w:rStyle w:val="Referencingstyle"/>
        </w:rPr>
        <w:t>3</w:t>
      </w:r>
      <w:r w:rsidRPr="00F63766">
        <w:rPr>
          <w:rStyle w:val="Referencingstyle"/>
        </w:rPr>
        <w:t>, item </w:t>
      </w:r>
      <w:r w:rsidR="007C0400">
        <w:rPr>
          <w:rStyle w:val="Referencingstyle"/>
        </w:rPr>
        <w:t>4, section 820C</w:t>
      </w:r>
      <w:r w:rsidRPr="00F63766">
        <w:rPr>
          <w:rStyle w:val="Referencingstyle"/>
        </w:rPr>
        <w:t>]</w:t>
      </w:r>
    </w:p>
    <w:p w14:paraId="5980D1C2" w14:textId="77777777" w:rsidR="00FC2356" w:rsidRDefault="00FC2356">
      <w:pPr>
        <w:spacing w:before="0" w:after="0"/>
      </w:pPr>
      <w:r>
        <w:br w:type="page"/>
      </w:r>
    </w:p>
    <w:p w14:paraId="48D3850F" w14:textId="4E5622C5" w:rsidR="00DF31AB" w:rsidRPr="00F63766" w:rsidRDefault="004935AF" w:rsidP="00ED0836">
      <w:pPr>
        <w:pStyle w:val="base-text-paragraph"/>
      </w:pPr>
      <w:r w:rsidRPr="00F63766">
        <w:t xml:space="preserve">The change to the exemption power </w:t>
      </w:r>
      <w:r w:rsidR="00DF31AB" w:rsidRPr="00F63766">
        <w:t xml:space="preserve">is identical to the change being made to the </w:t>
      </w:r>
      <w:r w:rsidR="00DF31AB" w:rsidRPr="0013509B">
        <w:t>exemption power in Part 7.2 of the Act</w:t>
      </w:r>
      <w:r w:rsidR="00725DFC" w:rsidRPr="0013509B">
        <w:t xml:space="preserve"> (see </w:t>
      </w:r>
      <w:r w:rsidR="0013509B" w:rsidRPr="00982C0F">
        <w:t>paragraphs 8.19 to 8.23</w:t>
      </w:r>
      <w:r w:rsidR="0013509B" w:rsidRPr="0013509B">
        <w:t xml:space="preserve"> </w:t>
      </w:r>
      <w:r w:rsidR="00725DFC" w:rsidRPr="0013509B">
        <w:t xml:space="preserve">for a detailed description of how the power </w:t>
      </w:r>
      <w:r w:rsidR="00A0444B" w:rsidRPr="0013509B">
        <w:t>operates</w:t>
      </w:r>
      <w:r w:rsidR="00725DFC" w:rsidRPr="0013509B">
        <w:t>)</w:t>
      </w:r>
      <w:r w:rsidR="00F33B8D" w:rsidRPr="0013509B">
        <w:t xml:space="preserve">. </w:t>
      </w:r>
    </w:p>
    <w:p w14:paraId="0108A822" w14:textId="029A2454" w:rsidR="00862743" w:rsidRPr="00F63766" w:rsidRDefault="00DF31AB" w:rsidP="00ED0836">
      <w:pPr>
        <w:pStyle w:val="base-text-paragraph"/>
      </w:pPr>
      <w:r w:rsidRPr="00F63766">
        <w:t xml:space="preserve">The main change to the provision </w:t>
      </w:r>
      <w:r w:rsidR="00E56B2F">
        <w:t>is,</w:t>
      </w:r>
      <w:r w:rsidRPr="00F63766">
        <w:t xml:space="preserve"> therefore</w:t>
      </w:r>
      <w:r w:rsidR="00E56B2F">
        <w:t>,</w:t>
      </w:r>
      <w:r w:rsidRPr="00F63766">
        <w:t xml:space="preserve"> to give the Minister the power to exempt a </w:t>
      </w:r>
      <w:r w:rsidR="00C3081F" w:rsidRPr="00F63766">
        <w:t>clearing and settlement facility or</w:t>
      </w:r>
      <w:r w:rsidRPr="00F63766">
        <w:t xml:space="preserve"> class of </w:t>
      </w:r>
      <w:r w:rsidR="00C3081F" w:rsidRPr="00F63766">
        <w:t>clearing and settlement facilities</w:t>
      </w:r>
      <w:r w:rsidRPr="00F63766">
        <w:t xml:space="preserve"> from part of the clearing and settlement</w:t>
      </w:r>
      <w:r w:rsidR="00C3081F" w:rsidRPr="00F63766">
        <w:t xml:space="preserve"> licensing</w:t>
      </w:r>
      <w:r w:rsidRPr="00F63766">
        <w:t xml:space="preserve"> regime</w:t>
      </w:r>
      <w:r w:rsidR="00604E33">
        <w:t xml:space="preserve"> </w:t>
      </w:r>
      <w:r w:rsidR="00604E33" w:rsidRPr="00F63766">
        <w:rPr>
          <w:rStyle w:val="Referencingstyle"/>
        </w:rPr>
        <w:t xml:space="preserve">[Schedule </w:t>
      </w:r>
      <w:r w:rsidR="00604E33">
        <w:rPr>
          <w:rStyle w:val="Referencingstyle"/>
        </w:rPr>
        <w:t>3</w:t>
      </w:r>
      <w:r w:rsidR="00604E33" w:rsidRPr="00F63766">
        <w:rPr>
          <w:rStyle w:val="Referencingstyle"/>
        </w:rPr>
        <w:t>, item </w:t>
      </w:r>
      <w:r w:rsidR="00604E33">
        <w:rPr>
          <w:rStyle w:val="Referencingstyle"/>
        </w:rPr>
        <w:t>4, subsection 820C(1)</w:t>
      </w:r>
      <w:r w:rsidR="00604E33" w:rsidRPr="00F63766">
        <w:rPr>
          <w:rStyle w:val="Referencingstyle"/>
        </w:rPr>
        <w:t>]</w:t>
      </w:r>
      <w:r w:rsidR="000E6A42">
        <w:rPr>
          <w:rStyle w:val="Referencingstyle"/>
        </w:rPr>
        <w:t xml:space="preserve">. </w:t>
      </w:r>
      <w:r w:rsidR="00E56B2F">
        <w:rPr>
          <w:rStyle w:val="Referencingstyle"/>
        </w:rPr>
        <w:t xml:space="preserve"> </w:t>
      </w:r>
      <w:r w:rsidR="00E56B2F" w:rsidRPr="00F63766">
        <w:t>The new exemption also replicates the Minister’s powers to vary or revoke an exemption</w:t>
      </w:r>
      <w:r w:rsidR="008775A6">
        <w:t xml:space="preserve">, with the required notice now able to be provided </w:t>
      </w:r>
      <w:r w:rsidR="00E56B2F">
        <w:t>on the ASIC website rather than</w:t>
      </w:r>
      <w:r w:rsidR="008775A6">
        <w:t xml:space="preserve"> in</w:t>
      </w:r>
      <w:r w:rsidR="00E56B2F">
        <w:t xml:space="preserve"> a </w:t>
      </w:r>
      <w:r w:rsidR="00E56B2F" w:rsidRPr="00F63766">
        <w:t>newspaper</w:t>
      </w:r>
      <w:r w:rsidR="001B5A31">
        <w:t xml:space="preserve"> </w:t>
      </w:r>
      <w:r w:rsidR="001B5A31" w:rsidRPr="00F63766">
        <w:rPr>
          <w:rStyle w:val="Referencingstyle"/>
        </w:rPr>
        <w:t>[Schedule</w:t>
      </w:r>
      <w:r w:rsidR="001B5A31">
        <w:rPr>
          <w:rStyle w:val="Referencingstyle"/>
        </w:rPr>
        <w:t> 3</w:t>
      </w:r>
      <w:r w:rsidR="001B5A31" w:rsidRPr="00F63766">
        <w:rPr>
          <w:rStyle w:val="Referencingstyle"/>
        </w:rPr>
        <w:t>,</w:t>
      </w:r>
      <w:r w:rsidR="001B5A31">
        <w:rPr>
          <w:rStyle w:val="Referencingstyle"/>
        </w:rPr>
        <w:t> </w:t>
      </w:r>
      <w:r w:rsidR="001B5A31" w:rsidRPr="00F63766">
        <w:rPr>
          <w:rStyle w:val="Referencingstyle"/>
        </w:rPr>
        <w:t>item </w:t>
      </w:r>
      <w:r w:rsidR="001B5A31">
        <w:rPr>
          <w:rStyle w:val="Referencingstyle"/>
        </w:rPr>
        <w:t xml:space="preserve">4, </w:t>
      </w:r>
      <w:r w:rsidR="00D47196">
        <w:rPr>
          <w:rStyle w:val="Referencingstyle"/>
        </w:rPr>
        <w:t>subsections </w:t>
      </w:r>
      <w:r w:rsidR="001B5A31">
        <w:rPr>
          <w:rStyle w:val="Referencingstyle"/>
        </w:rPr>
        <w:t>820C(</w:t>
      </w:r>
      <w:r w:rsidR="00D47196">
        <w:rPr>
          <w:rStyle w:val="Referencingstyle"/>
        </w:rPr>
        <w:t>2) and (3)</w:t>
      </w:r>
      <w:r w:rsidR="001B5A31" w:rsidRPr="00F63766">
        <w:rPr>
          <w:rStyle w:val="Referencingstyle"/>
        </w:rPr>
        <w:t>]</w:t>
      </w:r>
      <w:r w:rsidR="00E56B2F">
        <w:t xml:space="preserve">. </w:t>
      </w:r>
      <w:r w:rsidR="00725DFC">
        <w:t>The new amended exemption power has also been rewritten to reflect modern drafting requirements.</w:t>
      </w:r>
    </w:p>
    <w:p w14:paraId="7D4FE53F" w14:textId="67B02C7F" w:rsidR="00DF31AB" w:rsidRPr="00F63766" w:rsidRDefault="00DF31AB" w:rsidP="00DF31AB">
      <w:pPr>
        <w:pStyle w:val="base-text-paragraph"/>
        <w:rPr>
          <w:rStyle w:val="Referencingstyle"/>
          <w:b w:val="0"/>
          <w:i w:val="0"/>
          <w:sz w:val="22"/>
        </w:rPr>
      </w:pPr>
      <w:r w:rsidRPr="00F63766">
        <w:t xml:space="preserve">As the existing exemption is being repealed to be replaced with the amended exemption, a savings provision has been introduced to ensure that all exemptions made prior to the change continue to operate. </w:t>
      </w:r>
      <w:r w:rsidRPr="00F63766">
        <w:rPr>
          <w:rStyle w:val="Referencingstyle"/>
        </w:rPr>
        <w:t xml:space="preserve">[Schedule </w:t>
      </w:r>
      <w:r w:rsidR="00626FA8">
        <w:rPr>
          <w:rStyle w:val="Referencingstyle"/>
        </w:rPr>
        <w:t>3</w:t>
      </w:r>
      <w:r w:rsidRPr="00F63766">
        <w:rPr>
          <w:rStyle w:val="Referencingstyle"/>
        </w:rPr>
        <w:t>,</w:t>
      </w:r>
      <w:r w:rsidR="00626FA8">
        <w:rPr>
          <w:rStyle w:val="Referencingstyle"/>
        </w:rPr>
        <w:t xml:space="preserve"> item 5</w:t>
      </w:r>
      <w:r w:rsidRPr="00F63766">
        <w:rPr>
          <w:rStyle w:val="Referencingstyle"/>
        </w:rPr>
        <w:t>]</w:t>
      </w:r>
    </w:p>
    <w:p w14:paraId="2B90EFCA" w14:textId="1E354788" w:rsidR="006000D1" w:rsidRPr="00F63766" w:rsidRDefault="006000D1" w:rsidP="00FC4013">
      <w:pPr>
        <w:pStyle w:val="base-text-paragraph"/>
        <w:numPr>
          <w:ilvl w:val="0"/>
          <w:numId w:val="0"/>
        </w:numPr>
      </w:pPr>
      <w:r w:rsidRPr="00F63766">
        <w:rPr>
          <w:b/>
        </w:rPr>
        <w:t xml:space="preserve">Exemptions from compensation </w:t>
      </w:r>
      <w:r w:rsidR="00697BAD">
        <w:rPr>
          <w:b/>
        </w:rPr>
        <w:t xml:space="preserve">regime </w:t>
      </w:r>
      <w:r w:rsidRPr="00F63766">
        <w:rPr>
          <w:b/>
        </w:rPr>
        <w:t xml:space="preserve">requirements </w:t>
      </w:r>
    </w:p>
    <w:p w14:paraId="3EF1696D" w14:textId="782315A3" w:rsidR="00FC4013" w:rsidRPr="00F63766" w:rsidRDefault="00FC4013" w:rsidP="00FC4013">
      <w:pPr>
        <w:pStyle w:val="base-text-paragraph"/>
      </w:pPr>
      <w:r w:rsidRPr="00F63766">
        <w:t xml:space="preserve">The </w:t>
      </w:r>
      <w:r w:rsidR="00812766">
        <w:t>B</w:t>
      </w:r>
      <w:r w:rsidRPr="00F63766">
        <w:t xml:space="preserve">ill provides the Minister with a new power to exempt a particular financial market or a class of financial markets from </w:t>
      </w:r>
      <w:r w:rsidR="00C760B8" w:rsidRPr="00F63766">
        <w:t xml:space="preserve">the compensation arrangement requirements </w:t>
      </w:r>
      <w:r w:rsidRPr="00F63766">
        <w:t>under Part 7.</w:t>
      </w:r>
      <w:r w:rsidR="00C760B8" w:rsidRPr="00F63766">
        <w:t>5</w:t>
      </w:r>
      <w:r w:rsidRPr="00F63766">
        <w:t xml:space="preserve"> of the Act. </w:t>
      </w:r>
      <w:r w:rsidR="00C760B8" w:rsidRPr="00F63766">
        <w:rPr>
          <w:rStyle w:val="Referencingstyle"/>
        </w:rPr>
        <w:t xml:space="preserve">[Schedule </w:t>
      </w:r>
      <w:r w:rsidR="00760AE1">
        <w:rPr>
          <w:rStyle w:val="Referencingstyle"/>
        </w:rPr>
        <w:t>3</w:t>
      </w:r>
      <w:r w:rsidR="00C760B8" w:rsidRPr="00F63766">
        <w:rPr>
          <w:rStyle w:val="Referencingstyle"/>
        </w:rPr>
        <w:t xml:space="preserve">, </w:t>
      </w:r>
      <w:r w:rsidR="00760AE1">
        <w:rPr>
          <w:rStyle w:val="Referencingstyle"/>
        </w:rPr>
        <w:t>item 6, section 893B</w:t>
      </w:r>
      <w:r w:rsidR="00C760B8" w:rsidRPr="00F63766">
        <w:rPr>
          <w:rStyle w:val="Referencingstyle"/>
        </w:rPr>
        <w:t>]</w:t>
      </w:r>
    </w:p>
    <w:p w14:paraId="4E664407" w14:textId="4B1637ED" w:rsidR="00FC4013" w:rsidRPr="00F63766" w:rsidRDefault="00FC4013" w:rsidP="00FC4013">
      <w:pPr>
        <w:pStyle w:val="base-text-paragraph"/>
      </w:pPr>
      <w:r w:rsidRPr="00F63766">
        <w:t xml:space="preserve">This new exemption power operates identically to the amended exemption power being introduced into Part 7.2 of the Act (see </w:t>
      </w:r>
      <w:r w:rsidR="0013509B" w:rsidRPr="00982C0F">
        <w:t>paragraphs 8.19 to 8.23</w:t>
      </w:r>
      <w:r w:rsidR="0013509B" w:rsidRPr="0013509B">
        <w:t xml:space="preserve"> </w:t>
      </w:r>
      <w:r w:rsidRPr="0013509B">
        <w:t>for a</w:t>
      </w:r>
      <w:r w:rsidRPr="00F63766">
        <w:t xml:space="preserve"> detailed description of how the power operates). </w:t>
      </w:r>
    </w:p>
    <w:p w14:paraId="444C9AAF" w14:textId="6CA7FF8B" w:rsidR="00FC4013" w:rsidRPr="00F63766" w:rsidRDefault="00FC4013" w:rsidP="00FC4013">
      <w:pPr>
        <w:pStyle w:val="base-text-paragraph"/>
      </w:pPr>
      <w:r w:rsidRPr="00F63766">
        <w:t>There is already a broad regulation making power under section</w:t>
      </w:r>
      <w:r w:rsidR="0098408F">
        <w:t> </w:t>
      </w:r>
      <w:r w:rsidR="00C760B8" w:rsidRPr="00F63766">
        <w:t>893A</w:t>
      </w:r>
      <w:r w:rsidRPr="00F63766">
        <w:t xml:space="preserve"> of the Act to exempt financial markets or types of financial markets from </w:t>
      </w:r>
      <w:r w:rsidR="00C760B8" w:rsidRPr="00F63766">
        <w:t>the compensation arrangements requirements</w:t>
      </w:r>
      <w:r w:rsidRPr="00F63766">
        <w:t xml:space="preserve"> under Part 7.</w:t>
      </w:r>
      <w:r w:rsidR="00C760B8" w:rsidRPr="00F63766">
        <w:t>5</w:t>
      </w:r>
      <w:r w:rsidRPr="00F63766">
        <w:t xml:space="preserve"> of the Act. </w:t>
      </w:r>
    </w:p>
    <w:p w14:paraId="49D6F2C1" w14:textId="166E19E0" w:rsidR="00FC4013" w:rsidRPr="00F63766" w:rsidRDefault="00FC4013" w:rsidP="00FC4013">
      <w:pPr>
        <w:pStyle w:val="base-text-paragraph"/>
      </w:pPr>
      <w:r w:rsidRPr="00F63766">
        <w:t xml:space="preserve">The new exemption power is being introduced despite the existence of the regulation making power so that a consistent approach can be taken in providing a more tailored regulatory regime for emerging </w:t>
      </w:r>
      <w:r w:rsidR="00E92202" w:rsidRPr="00F63766">
        <w:t xml:space="preserve">and specialised </w:t>
      </w:r>
      <w:r w:rsidRPr="00F63766">
        <w:t xml:space="preserve">financial markets. Under this approach, where relevant, the Minister can exempt a financial market or class of financial markets from </w:t>
      </w:r>
      <w:r w:rsidR="00C760B8" w:rsidRPr="00F63766">
        <w:t>some of the compensation arrangement requirements in Part 7.5 of the Act</w:t>
      </w:r>
      <w:r w:rsidRPr="00F63766">
        <w:t xml:space="preserve"> in the same way that these markets can be given an exemption from the AML requirements in </w:t>
      </w:r>
      <w:r w:rsidR="007F4D16" w:rsidRPr="00F63766">
        <w:t>P</w:t>
      </w:r>
      <w:r w:rsidRPr="00F63766">
        <w:t xml:space="preserve">art 7.2 of the Act. </w:t>
      </w:r>
    </w:p>
    <w:p w14:paraId="4C28E40C" w14:textId="77777777" w:rsidR="00701469" w:rsidRPr="00F63766" w:rsidRDefault="00701469" w:rsidP="00B676BE">
      <w:pPr>
        <w:pStyle w:val="Heading2"/>
      </w:pPr>
      <w:r w:rsidRPr="00F63766">
        <w:t>Application and transitional provisions</w:t>
      </w:r>
    </w:p>
    <w:p w14:paraId="57C17614" w14:textId="1A508757" w:rsidR="00701469" w:rsidRPr="00F63766" w:rsidRDefault="00C760B8" w:rsidP="00B676BE">
      <w:pPr>
        <w:pStyle w:val="base-text-paragraph"/>
      </w:pPr>
      <w:r w:rsidRPr="00F63766">
        <w:t xml:space="preserve">These amendments will take effect from the day after the Bill receives Royal Assent. This is </w:t>
      </w:r>
      <w:r w:rsidR="00A35071">
        <w:t>before</w:t>
      </w:r>
      <w:r w:rsidRPr="00F63766">
        <w:t xml:space="preserve"> the CSF regime</w:t>
      </w:r>
      <w:r w:rsidR="00A35071">
        <w:t xml:space="preserve"> commences</w:t>
      </w:r>
      <w:r w:rsidRPr="00F63766">
        <w:t xml:space="preserve"> because </w:t>
      </w:r>
      <w:r w:rsidR="00E92202" w:rsidRPr="00F63766">
        <w:t xml:space="preserve">the </w:t>
      </w:r>
      <w:r w:rsidRPr="00F63766">
        <w:t>changes will have application to other emerging</w:t>
      </w:r>
      <w:r w:rsidR="00851538">
        <w:t xml:space="preserve"> or specialised </w:t>
      </w:r>
      <w:r w:rsidRPr="00F63766">
        <w:t xml:space="preserve">market operators in addition to CSF intermediaries. </w:t>
      </w:r>
    </w:p>
    <w:p w14:paraId="6010B312" w14:textId="77777777" w:rsidR="00C23A4C" w:rsidRDefault="00C23A4C">
      <w:pPr>
        <w:spacing w:before="0" w:after="0"/>
      </w:pPr>
    </w:p>
    <w:p w14:paraId="7EFB4B67" w14:textId="77777777" w:rsidR="0033263A" w:rsidRDefault="0033263A">
      <w:pPr>
        <w:spacing w:before="0" w:after="0"/>
        <w:sectPr w:rsidR="0033263A" w:rsidSect="007F37A1">
          <w:headerReference w:type="even" r:id="rId62"/>
          <w:headerReference w:type="default" r:id="rId63"/>
          <w:footerReference w:type="even" r:id="rId64"/>
          <w:footerReference w:type="default" r:id="rId65"/>
          <w:footerReference w:type="first" r:id="rId66"/>
          <w:type w:val="oddPage"/>
          <w:pgSz w:w="11906" w:h="16838" w:code="9"/>
          <w:pgMar w:top="2466" w:right="2098" w:bottom="2466" w:left="2098" w:header="1559" w:footer="1899" w:gutter="0"/>
          <w:cols w:space="708"/>
          <w:titlePg/>
          <w:docGrid w:linePitch="360"/>
        </w:sectPr>
      </w:pPr>
    </w:p>
    <w:p w14:paraId="0868C247" w14:textId="77777777" w:rsidR="007F37A1" w:rsidRPr="00F63766" w:rsidRDefault="007F37A1" w:rsidP="007F37A1">
      <w:pPr>
        <w:pStyle w:val="ChapterHeading"/>
      </w:pPr>
      <w:r w:rsidRPr="00F63766">
        <w:br/>
      </w:r>
      <w:bookmarkStart w:id="21" w:name="_Toc435701588"/>
      <w:bookmarkStart w:id="22" w:name="_Toc436037558"/>
      <w:r w:rsidRPr="00F63766">
        <w:t>Regulation impact statement</w:t>
      </w:r>
      <w:bookmarkEnd w:id="21"/>
      <w:bookmarkEnd w:id="22"/>
    </w:p>
    <w:p w14:paraId="35F1DFE1" w14:textId="77777777" w:rsidR="007F37A1" w:rsidRPr="00F63766" w:rsidRDefault="007F37A1" w:rsidP="007F37A1">
      <w:pPr>
        <w:pStyle w:val="Heading2"/>
      </w:pPr>
      <w:r w:rsidRPr="00F63766">
        <w:t>Policy objective</w:t>
      </w:r>
    </w:p>
    <w:p w14:paraId="1B269C86" w14:textId="0588951F" w:rsidR="007F37A1" w:rsidRPr="00F63766" w:rsidRDefault="003E6977" w:rsidP="007F37A1">
      <w:pPr>
        <w:pStyle w:val="base-text-paragraph"/>
      </w:pPr>
      <w:r w:rsidRPr="00F63766">
        <w:t xml:space="preserve">The primary policy objective of this Bill is to facilitate the development of the CSF market in Australia, through the removal of regulatory impediments to this </w:t>
      </w:r>
      <w:r w:rsidR="00B737E2">
        <w:t xml:space="preserve">type of </w:t>
      </w:r>
      <w:r w:rsidRPr="00F63766">
        <w:t xml:space="preserve">fundraising. These impediments include </w:t>
      </w:r>
      <w:r w:rsidR="003637B5" w:rsidRPr="00F63766">
        <w:t xml:space="preserve">governance and reporting requirements for companies, equity fundraising rules and requirements for financial intermediaries. </w:t>
      </w:r>
    </w:p>
    <w:p w14:paraId="60AA97C1" w14:textId="21773648" w:rsidR="003E6977" w:rsidRPr="00F63766" w:rsidRDefault="003637B5" w:rsidP="007F37A1">
      <w:pPr>
        <w:pStyle w:val="base-text-paragraph"/>
      </w:pPr>
      <w:r w:rsidRPr="00F63766">
        <w:t>While these arrangements exist to protect and promote the interests of market participants, each has the effect of increasing the regulatory burden and cost of equity fundraising. This makes the overall cost of equity fundraising prohibitively expensive for small businesses, particularly start-ups, as the amount of funds they may seek to raise through CSF is typically small. Current regulatory settings are therefore constraining development of the CSF market in Australia.</w:t>
      </w:r>
    </w:p>
    <w:p w14:paraId="5D83B9AE" w14:textId="7B685BD9" w:rsidR="003637B5" w:rsidRPr="00F63766" w:rsidRDefault="003637B5" w:rsidP="007F37A1">
      <w:pPr>
        <w:pStyle w:val="base-text-paragraph"/>
      </w:pPr>
      <w:r w:rsidRPr="00F63766">
        <w:t xml:space="preserve">This Bill provides a framework that </w:t>
      </w:r>
      <w:r w:rsidR="002D586E" w:rsidRPr="00F63766">
        <w:t xml:space="preserve">addresses the regulatory barriers that are not easily able to be addressed by potential CSF participants. It also facilitates </w:t>
      </w:r>
      <w:r w:rsidR="00C05210" w:rsidRPr="00F63766">
        <w:t>investment in these products by retail investors, who have previously been unable to participate in CSF offerings.</w:t>
      </w:r>
    </w:p>
    <w:p w14:paraId="334F75BB" w14:textId="77777777" w:rsidR="007F37A1" w:rsidRPr="00F63766" w:rsidRDefault="007F37A1" w:rsidP="007F37A1">
      <w:pPr>
        <w:pStyle w:val="Heading2"/>
      </w:pPr>
      <w:r w:rsidRPr="00F63766">
        <w:t>Implementation options</w:t>
      </w:r>
    </w:p>
    <w:p w14:paraId="0A64517E" w14:textId="5F3D4C1D" w:rsidR="007F37A1" w:rsidRPr="00F63766" w:rsidRDefault="0022496D" w:rsidP="007F37A1">
      <w:pPr>
        <w:pStyle w:val="base-text-paragraph"/>
      </w:pPr>
      <w:r w:rsidRPr="00F63766">
        <w:t xml:space="preserve">Four policy options are considered in the regulation impact statement. </w:t>
      </w:r>
      <w:r w:rsidR="0053574A" w:rsidRPr="00F63766">
        <w:t>Three options were considered in the initial consultation process over December 201</w:t>
      </w:r>
      <w:r w:rsidR="007F4D16" w:rsidRPr="00F63766">
        <w:t>4</w:t>
      </w:r>
      <w:r w:rsidR="0053574A" w:rsidRPr="00F63766">
        <w:t xml:space="preserve"> and January 2015. Option 4 was developed based upon stakeholder feedback from that initial process</w:t>
      </w:r>
      <w:r w:rsidR="00A81AFB" w:rsidRPr="00F63766">
        <w:t xml:space="preserve"> and incorporates elements of Options 1 and 2</w:t>
      </w:r>
      <w:r w:rsidR="0053574A" w:rsidRPr="00F63766">
        <w:t>.</w:t>
      </w:r>
    </w:p>
    <w:p w14:paraId="66923502" w14:textId="77777777" w:rsidR="005C1D03" w:rsidRPr="00F63766" w:rsidRDefault="0022496D" w:rsidP="0022496D">
      <w:pPr>
        <w:pStyle w:val="base-text-paragraph"/>
      </w:pPr>
      <w:r w:rsidRPr="00F63766">
        <w:t>Option 1 is the model recommended by a CAMAC review in 2013. This model creates a new category of company – the ‘exempt public company’ – which would be relieved of some of the compliance requirements for public companies for a period of three to five years. These include continuous disclosure, annual general meeting, audited financial reports and half-yearly reporting</w:t>
      </w:r>
      <w:r w:rsidR="007F4D16" w:rsidRPr="00F63766">
        <w:t xml:space="preserve"> requirements</w:t>
      </w:r>
      <w:r w:rsidRPr="00F63766">
        <w:t xml:space="preserve">. Issuers would be able to </w:t>
      </w:r>
      <w:proofErr w:type="gramStart"/>
      <w:r w:rsidRPr="00F63766">
        <w:t>raise</w:t>
      </w:r>
      <w:proofErr w:type="gramEnd"/>
      <w:r w:rsidRPr="00F63766">
        <w:t xml:space="preserve"> up to $2 million through CSF in any 12-month period, and investors would be limited to a $2,500 investment per 12-month period in any particular CSF issuer, and $10,000 in aggregate per 12-month period. </w:t>
      </w:r>
    </w:p>
    <w:p w14:paraId="38D29106" w14:textId="12087F79" w:rsidR="0022496D" w:rsidRPr="00F63766" w:rsidRDefault="0022496D" w:rsidP="0022496D">
      <w:pPr>
        <w:pStyle w:val="base-text-paragraph"/>
      </w:pPr>
      <w:r w:rsidRPr="00F63766">
        <w:t>Intermediaries would be required to hold an AFSL, undertake due diligence requirements and provide risk warnings to investors.</w:t>
      </w:r>
    </w:p>
    <w:p w14:paraId="29423541" w14:textId="77777777" w:rsidR="0053574A" w:rsidRPr="00F63766" w:rsidRDefault="0022496D" w:rsidP="0022496D">
      <w:pPr>
        <w:pStyle w:val="base-text-paragraph"/>
      </w:pPr>
      <w:r w:rsidRPr="00F63766">
        <w:t>Option 2 is the model adopted in New Zealand. It provides</w:t>
      </w:r>
      <w:r w:rsidR="0053574A" w:rsidRPr="00F63766">
        <w:t xml:space="preserve"> a cap of $2 million on the amount that can be raised through CSF in any 12</w:t>
      </w:r>
      <w:r w:rsidR="0053574A" w:rsidRPr="00F63766">
        <w:noBreakHyphen/>
        <w:t>month period, is not specifically limited to small enterprises but does not offer CSF-specific exemptions from compliance costs such as financial reporting and audit. Investors must sign a risk acknowledgment statement, but any investor caps are voluntary. Intermediaries must meet similar obligations to those provided in Option 1, and are permitted to invest in issuers using their platform.</w:t>
      </w:r>
    </w:p>
    <w:p w14:paraId="77F27CB3" w14:textId="57C9D8D6" w:rsidR="0022496D" w:rsidRPr="00F63766" w:rsidRDefault="0053574A" w:rsidP="0022496D">
      <w:pPr>
        <w:pStyle w:val="base-text-paragraph"/>
      </w:pPr>
      <w:r w:rsidRPr="00F63766">
        <w:t xml:space="preserve">Option 3 is retention of the status quo. </w:t>
      </w:r>
    </w:p>
    <w:p w14:paraId="07796950" w14:textId="6B09CF60" w:rsidR="0053574A" w:rsidRPr="00F63766" w:rsidRDefault="00A81AFB" w:rsidP="0022496D">
      <w:pPr>
        <w:pStyle w:val="base-text-paragraph"/>
      </w:pPr>
      <w:r w:rsidRPr="00F63766">
        <w:t xml:space="preserve">Option 4 allows CSF fundraising of up to $5 million per annum for unlisted public companies with less than $5 million in assets and annual turnover, with exemptions from certain public company obligations as recommended by Option 1.  Investors would be limited to up to $10,000 per </w:t>
      </w:r>
      <w:r w:rsidR="00812766">
        <w:t>issuer per 12-month period</w:t>
      </w:r>
      <w:r w:rsidRPr="00F63766">
        <w:t xml:space="preserve"> and required to </w:t>
      </w:r>
      <w:r w:rsidR="00117F98">
        <w:t>complete</w:t>
      </w:r>
      <w:r w:rsidRPr="00F63766">
        <w:t xml:space="preserve"> a risk acknowledgment statement, but will not be limited in how much they can invest per 12</w:t>
      </w:r>
      <w:r w:rsidRPr="00F63766">
        <w:noBreakHyphen/>
        <w:t>month period.</w:t>
      </w:r>
      <w:r w:rsidR="00130731" w:rsidRPr="00F63766">
        <w:t xml:space="preserve"> Intermediaries will be required to hold an AFSL, undertake due diligence requirements and provide generic risk warnings to investors.</w:t>
      </w:r>
    </w:p>
    <w:p w14:paraId="4596F7FC" w14:textId="77777777" w:rsidR="007F37A1" w:rsidRPr="00F63766" w:rsidRDefault="007F37A1" w:rsidP="007F37A1">
      <w:pPr>
        <w:pStyle w:val="Heading2"/>
      </w:pPr>
      <w:r w:rsidRPr="00F63766">
        <w:t>Assessment of impacts</w:t>
      </w:r>
    </w:p>
    <w:p w14:paraId="4BB454A4" w14:textId="7EA17769" w:rsidR="007F37A1" w:rsidRPr="00F63766" w:rsidRDefault="00A050A4" w:rsidP="007F37A1">
      <w:pPr>
        <w:pStyle w:val="base-text-paragraph"/>
      </w:pPr>
      <w:r w:rsidRPr="00F63766">
        <w:t xml:space="preserve">The compliance costs are estimated by modelling the cost for issuers, intermediaries and investors of key relevant elements of the current regulatory framework for small businesses that currently use online platforms to raise equity, and comparing these status quo costs </w:t>
      </w:r>
      <w:r w:rsidR="0098542F" w:rsidRPr="00F63766">
        <w:t>of Option 3</w:t>
      </w:r>
      <w:r w:rsidRPr="00F63766">
        <w:t xml:space="preserve"> to the expected costs under each of the options. This approach makes assumptions about the number of CSF issuers, intermediaries and investors over the next 10 years under each option.</w:t>
      </w:r>
    </w:p>
    <w:p w14:paraId="7AFADA8C" w14:textId="050790CC" w:rsidR="0098542F" w:rsidRPr="00F63766" w:rsidRDefault="0098542F" w:rsidP="007F37A1">
      <w:pPr>
        <w:pStyle w:val="base-text-paragraph"/>
      </w:pPr>
      <w:r w:rsidRPr="00F63766">
        <w:t>For each of Options 1, 2 and 4, the ‘per business’ compliance costs are expected to decline. However, given the likely growth in the number of businesses raising funds through CSF, the aggregate compliance burden across the economy over the next 10 years is expected to increase.</w:t>
      </w:r>
    </w:p>
    <w:p w14:paraId="601FE61A" w14:textId="77777777" w:rsidR="007F37A1" w:rsidRPr="00F63766" w:rsidRDefault="007F37A1" w:rsidP="007F37A1">
      <w:pPr>
        <w:pStyle w:val="Heading3"/>
      </w:pPr>
      <w:r w:rsidRPr="00F63766">
        <w:t>Impact group identification</w:t>
      </w:r>
    </w:p>
    <w:p w14:paraId="42CB5B12" w14:textId="37C3C012" w:rsidR="007F37A1" w:rsidRPr="00F63766" w:rsidRDefault="00E12023" w:rsidP="007F37A1">
      <w:pPr>
        <w:pStyle w:val="base-text-paragraph"/>
      </w:pPr>
      <w:r w:rsidRPr="00F63766">
        <w:t>There are three groups primarily impacted under this regulation impact statement.</w:t>
      </w:r>
    </w:p>
    <w:p w14:paraId="61DBF307" w14:textId="3B02DF0A" w:rsidR="00E12023" w:rsidRPr="00F63766" w:rsidRDefault="00E12023" w:rsidP="007F37A1">
      <w:pPr>
        <w:pStyle w:val="base-text-paragraph"/>
      </w:pPr>
      <w:r w:rsidRPr="00F63766">
        <w:t xml:space="preserve">Companies seeking to raise funds and which stand to benefit from a CSF framework. This is particularly the case for innovative firms and start-ups, which typically have more difficulty </w:t>
      </w:r>
      <w:proofErr w:type="gramStart"/>
      <w:r w:rsidRPr="00F63766">
        <w:t>obtaining</w:t>
      </w:r>
      <w:proofErr w:type="gramEnd"/>
      <w:r w:rsidRPr="00F63766">
        <w:t xml:space="preserve"> bank debt finance than established firms, but for whom existing equity fundraising is prohibitively expensive. These companies would be </w:t>
      </w:r>
      <w:r w:rsidRPr="00F63766">
        <w:rPr>
          <w:i/>
        </w:rPr>
        <w:t>issuers</w:t>
      </w:r>
      <w:r w:rsidRPr="00F63766">
        <w:t xml:space="preserve"> of CSF offerings.</w:t>
      </w:r>
    </w:p>
    <w:p w14:paraId="3077DC1A" w14:textId="62252585" w:rsidR="00E12023" w:rsidRPr="00F63766" w:rsidRDefault="00E12023" w:rsidP="007F37A1">
      <w:pPr>
        <w:pStyle w:val="base-text-paragraph"/>
      </w:pPr>
      <w:r w:rsidRPr="00F63766">
        <w:t xml:space="preserve">Individuals seeking new opportunities to invest stand to benefit from the increased range of financial products that CSF would present. These individuals would be able to diversify the range of products they invest in, and would be </w:t>
      </w:r>
      <w:r w:rsidRPr="00F63766">
        <w:rPr>
          <w:i/>
        </w:rPr>
        <w:t>investors</w:t>
      </w:r>
      <w:r w:rsidRPr="00F63766">
        <w:t xml:space="preserve"> in CSF offerings.</w:t>
      </w:r>
    </w:p>
    <w:p w14:paraId="69AFE87A" w14:textId="6CD2A66C" w:rsidR="00E12023" w:rsidRPr="00F63766" w:rsidRDefault="00E12023" w:rsidP="007F37A1">
      <w:pPr>
        <w:pStyle w:val="base-text-paragraph"/>
      </w:pPr>
      <w:r w:rsidRPr="00F63766">
        <w:t xml:space="preserve">A number of organisations are seeking to establish and operate a platform that allows issuers to list their CSF offerings, bringing together issuers and potential investors. These organisations would operate as </w:t>
      </w:r>
      <w:r w:rsidRPr="00F63766">
        <w:rPr>
          <w:i/>
        </w:rPr>
        <w:t>intermediaries</w:t>
      </w:r>
      <w:r w:rsidRPr="00F63766">
        <w:t xml:space="preserve"> in the CSF market.</w:t>
      </w:r>
    </w:p>
    <w:p w14:paraId="0E71A366" w14:textId="77777777" w:rsidR="007F37A1" w:rsidRPr="00F63766" w:rsidRDefault="007F37A1" w:rsidP="007F37A1">
      <w:pPr>
        <w:pStyle w:val="Heading3"/>
      </w:pPr>
      <w:r w:rsidRPr="00F63766">
        <w:t>Analysis of costs/benefits</w:t>
      </w:r>
    </w:p>
    <w:p w14:paraId="38963C13" w14:textId="68476741" w:rsidR="007F37A1" w:rsidRPr="00F63766" w:rsidRDefault="0098542F" w:rsidP="007F37A1">
      <w:pPr>
        <w:pStyle w:val="base-text-paragraph"/>
      </w:pPr>
      <w:r w:rsidRPr="00F63766">
        <w:t xml:space="preserve">Under Option 1, costs per issuer are expected to fall in net terms by $7,950 per year, driven primarily by temporary exemptions from audit, annual general meeting and disclosure </w:t>
      </w:r>
      <w:r w:rsidR="00990294" w:rsidRPr="00F63766">
        <w:t>requirements</w:t>
      </w:r>
      <w:r w:rsidRPr="00F63766">
        <w:t>. Intermediary costs are expected to increase by $1,550 per fundraising campaign. Costs per investor are expected to increase by $75 per year as a result of risk disclosure statements and monitoring their compliance with investment caps.</w:t>
      </w:r>
    </w:p>
    <w:p w14:paraId="57B7E7AF" w14:textId="12F017C1" w:rsidR="0098542F" w:rsidRPr="00F63766" w:rsidRDefault="0098542F" w:rsidP="007F37A1">
      <w:pPr>
        <w:pStyle w:val="base-text-paragraph"/>
      </w:pPr>
      <w:r w:rsidRPr="00F63766">
        <w:t>In aggregate, the regulatory compliance cost of Option 1 is $58.9 million.</w:t>
      </w:r>
    </w:p>
    <w:p w14:paraId="4DC67ABA" w14:textId="165129B8" w:rsidR="0098542F" w:rsidRPr="00F63766" w:rsidRDefault="0098542F" w:rsidP="007F37A1">
      <w:pPr>
        <w:pStyle w:val="base-text-paragraph"/>
      </w:pPr>
      <w:r w:rsidRPr="00F63766">
        <w:t xml:space="preserve">Under Option 2, costs per issuer are expected to fall in net terms by only $1,750 per year, as there are no CSF-specific exemptions from public company compliance </w:t>
      </w:r>
      <w:r w:rsidR="00990294" w:rsidRPr="00F63766">
        <w:t>requirements</w:t>
      </w:r>
      <w:r w:rsidRPr="00F63766">
        <w:t>. Intermediary costs are expected to increase by $1,680 per fundraising campaign. Costs per investor are expected to increase by $17 per year as a result of risk disclosure statements.</w:t>
      </w:r>
    </w:p>
    <w:p w14:paraId="63E4EBA8" w14:textId="630BC687" w:rsidR="0098542F" w:rsidRPr="00F63766" w:rsidRDefault="0098542F" w:rsidP="007F37A1">
      <w:pPr>
        <w:pStyle w:val="base-text-paragraph"/>
      </w:pPr>
      <w:r w:rsidRPr="00F63766">
        <w:t>In aggregate, the regulatory compliance cost of Option 2 is $73.4 million.</w:t>
      </w:r>
    </w:p>
    <w:p w14:paraId="0835EF88" w14:textId="77777777" w:rsidR="00FC2356" w:rsidRDefault="00FC2356">
      <w:pPr>
        <w:spacing w:before="0" w:after="0"/>
      </w:pPr>
      <w:r>
        <w:br w:type="page"/>
      </w:r>
    </w:p>
    <w:p w14:paraId="04E5CA9C" w14:textId="0723EC89" w:rsidR="0098542F" w:rsidRPr="00F63766" w:rsidRDefault="0098542F" w:rsidP="007F37A1">
      <w:pPr>
        <w:pStyle w:val="base-text-paragraph"/>
      </w:pPr>
      <w:r w:rsidRPr="00F63766">
        <w:t xml:space="preserve">Under Option 4, costs per issuer are expected to fall in net terms by $9,950 per year, driven primarily by temporary exemptions from audit, annual general meeting and disclosure </w:t>
      </w:r>
      <w:r w:rsidR="00990294" w:rsidRPr="00F63766">
        <w:t>requirements</w:t>
      </w:r>
      <w:r w:rsidRPr="00F63766">
        <w:t>. Intermediary requirements are the same as for Option 1 and are expected to increase by $1,550 per fundraising campaign.  Costs per investor are expected to increase by $75 per year as a result of risk disclosure statements and monitoring their compliance with investment caps.</w:t>
      </w:r>
    </w:p>
    <w:p w14:paraId="5A234D0D" w14:textId="092A07C4" w:rsidR="0098542F" w:rsidRPr="00F63766" w:rsidRDefault="0098542F" w:rsidP="007F37A1">
      <w:pPr>
        <w:pStyle w:val="base-text-paragraph"/>
      </w:pPr>
      <w:r w:rsidRPr="00F63766">
        <w:t>In aggregate, the regulatory compliance cost of Option 4 is $54.6 million.</w:t>
      </w:r>
    </w:p>
    <w:p w14:paraId="768B6B55" w14:textId="4B965F97" w:rsidR="007F37A1" w:rsidRDefault="007F37A1" w:rsidP="007F37A1">
      <w:pPr>
        <w:pStyle w:val="Heading2"/>
      </w:pPr>
      <w:r w:rsidRPr="00F63766">
        <w:t>Consulta</w:t>
      </w:r>
      <w:r>
        <w:t>tion</w:t>
      </w:r>
    </w:p>
    <w:p w14:paraId="5DA19230" w14:textId="1D745531" w:rsidR="007F37A1" w:rsidRDefault="009F7593" w:rsidP="007F37A1">
      <w:pPr>
        <w:pStyle w:val="base-text-paragraph"/>
      </w:pPr>
      <w:r>
        <w:t xml:space="preserve">The design of Option 4 was driven by stakeholder feedback from consultation undertaken in the first half of 2015. A subsequent discussion paper was released in August 2015, outlining the key features of Option 4. Feedback provided at this stage informed the design of the final model. </w:t>
      </w:r>
    </w:p>
    <w:p w14:paraId="72B267C7" w14:textId="1CE031E4" w:rsidR="009F7593" w:rsidRDefault="009F7593" w:rsidP="007F37A1">
      <w:pPr>
        <w:pStyle w:val="base-text-paragraph"/>
      </w:pPr>
      <w:r>
        <w:t xml:space="preserve">The draft Bill was shared with key industry stakeholders, including a number of firms seeking to set up as intermediaries in Australia, and corporate law experts for comment in early </w:t>
      </w:r>
      <w:r w:rsidRPr="009D27C2">
        <w:t>November 2015</w:t>
      </w:r>
      <w:r>
        <w:t>. Stakeholders were overall supportive of the draft legislation. Issues raised related to the obligations of intermediaries, and eligibility criteria for using CSF. Some of these have been addressed through revisions to the Bill. Others are expected to be clarified in time through regulations and ASIC guidance.</w:t>
      </w:r>
    </w:p>
    <w:p w14:paraId="1A723473" w14:textId="77777777" w:rsidR="007F37A1" w:rsidRDefault="007F37A1" w:rsidP="007F37A1">
      <w:pPr>
        <w:pStyle w:val="Heading2"/>
      </w:pPr>
      <w:r>
        <w:t>Conclusion and recommended option</w:t>
      </w:r>
    </w:p>
    <w:p w14:paraId="2A52E0AB" w14:textId="37F72ED8" w:rsidR="007F37A1" w:rsidRDefault="009F7593" w:rsidP="007F37A1">
      <w:pPr>
        <w:pStyle w:val="base-text-paragraph"/>
      </w:pPr>
      <w:r>
        <w:t>The Government has elected to implement Option 4. This model is considered to provide the most appropriate balance between reducing the barriers to and compliance costs of CSF for public companies, while maintaining adequate investor protection. This model is also likely to have the highest net benefit of the options considered, and has a lower estimated aggregate regulatory cost than the other two options.</w:t>
      </w:r>
    </w:p>
    <w:p w14:paraId="4881BF23" w14:textId="77777777" w:rsidR="007F37A1" w:rsidRPr="0023060E" w:rsidRDefault="007F37A1" w:rsidP="007F37A1">
      <w:pPr>
        <w:pStyle w:val="Hiddentext"/>
      </w:pPr>
      <w:r>
        <w:t>Do not remove section break.</w:t>
      </w:r>
    </w:p>
    <w:p w14:paraId="348E7257" w14:textId="77777777" w:rsidR="007F37A1" w:rsidRDefault="007F37A1" w:rsidP="007F37A1">
      <w:pPr>
        <w:sectPr w:rsidR="007F37A1" w:rsidSect="007F37A1">
          <w:headerReference w:type="default" r:id="rId67"/>
          <w:type w:val="oddPage"/>
          <w:pgSz w:w="11906" w:h="16838" w:code="9"/>
          <w:pgMar w:top="2466" w:right="2098" w:bottom="2466" w:left="2098" w:header="1559" w:footer="1899" w:gutter="0"/>
          <w:cols w:space="708"/>
          <w:titlePg/>
          <w:docGrid w:linePitch="360"/>
        </w:sectPr>
      </w:pPr>
    </w:p>
    <w:p w14:paraId="1B103B72" w14:textId="77777777" w:rsidR="00701469" w:rsidRDefault="00701469" w:rsidP="00B676BE">
      <w:pPr>
        <w:pStyle w:val="ChapterHeading"/>
      </w:pPr>
      <w:r>
        <w:br/>
      </w:r>
      <w:bookmarkStart w:id="23" w:name="_Toc435701589"/>
      <w:bookmarkStart w:id="24" w:name="_Toc436037559"/>
      <w:r>
        <w:t>Statement of Compatibility with Human Rights</w:t>
      </w:r>
      <w:bookmarkEnd w:id="23"/>
      <w:bookmarkEnd w:id="24"/>
    </w:p>
    <w:p w14:paraId="58C5520A" w14:textId="77777777" w:rsidR="00701469" w:rsidRDefault="00701469" w:rsidP="00B676BE">
      <w:pPr>
        <w:pStyle w:val="Heading2"/>
      </w:pPr>
      <w:r>
        <w:t xml:space="preserve">Prepared in accordance with Part 3 of the </w:t>
      </w:r>
      <w:r w:rsidRPr="00E7365D">
        <w:rPr>
          <w:i/>
        </w:rPr>
        <w:t>Human Rights (Parliamentary Scrutiny) Act 2011</w:t>
      </w:r>
    </w:p>
    <w:p w14:paraId="24E92A5E" w14:textId="7AEBDCA8" w:rsidR="00701469" w:rsidRPr="00A04A9F" w:rsidRDefault="005B3FA5" w:rsidP="00B676BE">
      <w:pPr>
        <w:pStyle w:val="Heading3"/>
        <w:rPr>
          <w:i/>
        </w:rPr>
      </w:pPr>
      <w:r>
        <w:rPr>
          <w:i/>
        </w:rPr>
        <w:t>Corporations Amendment (Crowd</w:t>
      </w:r>
      <w:r w:rsidR="005E31F1">
        <w:rPr>
          <w:i/>
        </w:rPr>
        <w:noBreakHyphen/>
        <w:t>s</w:t>
      </w:r>
      <w:r>
        <w:rPr>
          <w:i/>
        </w:rPr>
        <w:t>ourced Funding) Bill 2015</w:t>
      </w:r>
    </w:p>
    <w:p w14:paraId="200B1EBC" w14:textId="5D6479DE" w:rsidR="00701469" w:rsidRDefault="00701469" w:rsidP="00B676BE">
      <w:pPr>
        <w:pStyle w:val="base-text-paragraph"/>
      </w:pPr>
      <w:r>
        <w:t xml:space="preserve">This </w:t>
      </w:r>
      <w:r w:rsidR="005B3FA5">
        <w:t xml:space="preserve">Bill </w:t>
      </w:r>
      <w:r>
        <w:t xml:space="preserve">is compatible with the human rights and freedoms recognised or declared in the international instruments listed in section 3 of the </w:t>
      </w:r>
      <w:r w:rsidRPr="00A04A9F">
        <w:rPr>
          <w:i/>
        </w:rPr>
        <w:t>Human Rights (Parliamentary Scrutiny) Act 2011</w:t>
      </w:r>
      <w:r>
        <w:t>.</w:t>
      </w:r>
    </w:p>
    <w:p w14:paraId="65A6C9D1" w14:textId="77777777" w:rsidR="00701469" w:rsidRDefault="00701469" w:rsidP="00B676BE">
      <w:pPr>
        <w:pStyle w:val="Heading3"/>
      </w:pPr>
      <w:r>
        <w:t>Overview</w:t>
      </w:r>
    </w:p>
    <w:p w14:paraId="4A99479E" w14:textId="439145D0" w:rsidR="00701469" w:rsidRDefault="002B4F87" w:rsidP="00B676BE">
      <w:pPr>
        <w:pStyle w:val="base-text-paragraph"/>
      </w:pPr>
      <w:r>
        <w:t>The Bill establishes the regulatory framework to facilitate CSF</w:t>
      </w:r>
      <w:r w:rsidR="00B31EE6">
        <w:t xml:space="preserve"> offers</w:t>
      </w:r>
      <w:r>
        <w:t xml:space="preserve"> by small unlisted public companies, provides new public companies that are eligible to crowd fund with temporary relief from reporting an</w:t>
      </w:r>
      <w:r w:rsidR="006106B0">
        <w:t>d</w:t>
      </w:r>
      <w:r>
        <w:t xml:space="preserve"> corporate governance requirements that would normally apply and </w:t>
      </w:r>
      <w:r w:rsidR="00167DBC">
        <w:t xml:space="preserve">creates new exemption powers to provide emerging financial markets with a more tailored regulatory and licencing framework. </w:t>
      </w:r>
    </w:p>
    <w:p w14:paraId="755D596D" w14:textId="77777777" w:rsidR="00701469" w:rsidRDefault="00701469" w:rsidP="00B676BE">
      <w:pPr>
        <w:pStyle w:val="Heading3"/>
      </w:pPr>
      <w:r>
        <w:t>Human rights implications</w:t>
      </w:r>
    </w:p>
    <w:p w14:paraId="193CB36B" w14:textId="3976A8A3" w:rsidR="00701469" w:rsidRPr="008C68A9" w:rsidRDefault="00371609" w:rsidP="00B676BE">
      <w:pPr>
        <w:pStyle w:val="base-text-paragraph"/>
      </w:pPr>
      <w:r>
        <w:t xml:space="preserve">The Bill engages the </w:t>
      </w:r>
      <w:r w:rsidR="00167DBC">
        <w:t>right of freedom of expression under Article 19(2) of the International Covenant on Civil and Political Rights</w:t>
      </w:r>
      <w:r w:rsidR="00F31466">
        <w:t xml:space="preserve"> (ICCPR)</w:t>
      </w:r>
      <w:r w:rsidR="00167DBC">
        <w:t xml:space="preserve">. </w:t>
      </w:r>
    </w:p>
    <w:p w14:paraId="2DED4889" w14:textId="4FA3FDC4" w:rsidR="00300441" w:rsidRDefault="00E658E2" w:rsidP="00B676BE">
      <w:pPr>
        <w:pStyle w:val="base-text-paragraph"/>
      </w:pPr>
      <w:r>
        <w:t>New section 738ZG under item 1 in Schedule 1, Part 1 of the Bill restrict</w:t>
      </w:r>
      <w:r w:rsidR="000B6024">
        <w:t>s</w:t>
      </w:r>
      <w:r>
        <w:t xml:space="preserve"> </w:t>
      </w:r>
      <w:r w:rsidR="00300441">
        <w:t xml:space="preserve">the </w:t>
      </w:r>
      <w:r>
        <w:t>adve</w:t>
      </w:r>
      <w:r w:rsidR="00300441">
        <w:t xml:space="preserve">rtisement of </w:t>
      </w:r>
      <w:r>
        <w:t xml:space="preserve">CSF offers </w:t>
      </w:r>
      <w:r w:rsidR="00300441">
        <w:t xml:space="preserve">except in prescribed circumstances. </w:t>
      </w:r>
    </w:p>
    <w:p w14:paraId="44512C09" w14:textId="169DDCB2" w:rsidR="008350EC" w:rsidRDefault="00300441" w:rsidP="00B676BE">
      <w:pPr>
        <w:pStyle w:val="base-text-paragraph"/>
      </w:pPr>
      <w:r>
        <w:t xml:space="preserve">The restriction on advertising is part of the investor protection provisions included in the Bill. </w:t>
      </w:r>
      <w:r w:rsidR="00AD1C30">
        <w:t>Restricting the advertisement of CSF offers except as prescribed</w:t>
      </w:r>
      <w:r>
        <w:t xml:space="preserve"> is intended </w:t>
      </w:r>
      <w:r w:rsidR="008350EC">
        <w:t xml:space="preserve">to ensure that investors make decisions to invest in CSF interests based on full and accurate information. </w:t>
      </w:r>
    </w:p>
    <w:p w14:paraId="09C8F237" w14:textId="77777777" w:rsidR="00FC2356" w:rsidRDefault="00FC2356">
      <w:pPr>
        <w:spacing w:before="0" w:after="0"/>
      </w:pPr>
      <w:r>
        <w:br w:type="page"/>
      </w:r>
    </w:p>
    <w:p w14:paraId="7A93F694" w14:textId="30D5812A" w:rsidR="009A1BBF" w:rsidRDefault="008350EC" w:rsidP="00B676BE">
      <w:pPr>
        <w:pStyle w:val="base-text-paragraph"/>
      </w:pPr>
      <w:r>
        <w:t xml:space="preserve">To balance the need to protect investors with the need to enable the flow of information, there are a number of exemptions </w:t>
      </w:r>
      <w:r w:rsidR="009C0A32">
        <w:t>from</w:t>
      </w:r>
      <w:r>
        <w:t xml:space="preserve"> the advertising restriction</w:t>
      </w:r>
      <w:r w:rsidR="00A03D63">
        <w:t>s</w:t>
      </w:r>
      <w:r>
        <w:t>. The first</w:t>
      </w:r>
      <w:r w:rsidR="00B61236">
        <w:t xml:space="preserve"> is</w:t>
      </w:r>
      <w:r>
        <w:t xml:space="preserve"> to allow advertisements relating to CSF offers as long as the advertisement </w:t>
      </w:r>
      <w:r w:rsidR="00AD1C30">
        <w:t>includes a statement that the investor should, in considering whether to invest in the offer, consider the CSF offer document and risk warning.</w:t>
      </w:r>
    </w:p>
    <w:p w14:paraId="6288437E" w14:textId="287F6886" w:rsidR="009A1BBF" w:rsidRDefault="009A1BBF" w:rsidP="00B676BE">
      <w:pPr>
        <w:pStyle w:val="base-text-paragraph"/>
      </w:pPr>
      <w:r>
        <w:t xml:space="preserve">The provision provides for advertisements that </w:t>
      </w:r>
      <w:r w:rsidR="00DC5BBD">
        <w:t xml:space="preserve">direct potential investors to the CSF offer document and risk warning on the intermediary’s platform </w:t>
      </w:r>
      <w:r>
        <w:t>to</w:t>
      </w:r>
      <w:r w:rsidR="00DC5BBD">
        <w:t xml:space="preserve"> obtain further information about the offer that will enable them to</w:t>
      </w:r>
      <w:r>
        <w:t xml:space="preserve"> make an informed decision on whether to invest. </w:t>
      </w:r>
    </w:p>
    <w:p w14:paraId="2C5DBC76" w14:textId="4C67278F" w:rsidR="00371609" w:rsidRPr="008C68A9" w:rsidRDefault="009A1BBF" w:rsidP="00B676BE">
      <w:pPr>
        <w:pStyle w:val="base-text-paragraph"/>
      </w:pPr>
      <w:r>
        <w:t>There is also an exemption from the advertising restriction</w:t>
      </w:r>
      <w:r w:rsidR="00A03D63">
        <w:t>s</w:t>
      </w:r>
      <w:r>
        <w:t xml:space="preserve"> to permit media businesses reporting on CSF offers in the ordinary course of their business to refer to CSF offers as long as they are not aware that </w:t>
      </w:r>
      <w:r w:rsidR="00A03D63">
        <w:t>they are</w:t>
      </w:r>
      <w:r>
        <w:t xml:space="preserve"> breach</w:t>
      </w:r>
      <w:r w:rsidR="00A03D63">
        <w:t>ing</w:t>
      </w:r>
      <w:r>
        <w:t xml:space="preserve"> the advertising restrictions. </w:t>
      </w:r>
    </w:p>
    <w:p w14:paraId="7EC0CAC2" w14:textId="39923FFB" w:rsidR="009A1BBF" w:rsidRDefault="009A1BBF" w:rsidP="00B676BE">
      <w:pPr>
        <w:pStyle w:val="base-text-paragraph"/>
      </w:pPr>
      <w:r>
        <w:t xml:space="preserve">The CSF regime also provides for a specific communications facility that intermediaries are required to maintain while an offer is open so that investors can </w:t>
      </w:r>
      <w:r w:rsidR="00B61236">
        <w:t>obtain</w:t>
      </w:r>
      <w:r>
        <w:t xml:space="preserve"> information about an offer. </w:t>
      </w:r>
    </w:p>
    <w:p w14:paraId="27477189" w14:textId="2C657064" w:rsidR="009A1BBF" w:rsidRPr="008C68A9" w:rsidRDefault="009A1BBF" w:rsidP="00B676BE">
      <w:pPr>
        <w:pStyle w:val="base-text-paragraph"/>
      </w:pPr>
      <w:r>
        <w:t xml:space="preserve">The advertising restrictions </w:t>
      </w:r>
      <w:r w:rsidR="00DB3251">
        <w:t xml:space="preserve">put constraints on the freedom of expression under the ICCPR but do so to protect investors. The provision balances the need to allow full freedom of expression with the need to protect investors participating in CSF offers. The provisions strike an effective balance by enabling the dissemination of information while also ensuring investors are </w:t>
      </w:r>
      <w:r w:rsidR="00DC5BBD">
        <w:t>directed to an appropriate source to obtain further information about the offer</w:t>
      </w:r>
      <w:r w:rsidR="00DB3251">
        <w:t xml:space="preserve">. </w:t>
      </w:r>
    </w:p>
    <w:p w14:paraId="48BBDD46" w14:textId="77777777" w:rsidR="00701469" w:rsidRDefault="00701469" w:rsidP="00B676BE">
      <w:pPr>
        <w:pStyle w:val="Heading3"/>
      </w:pPr>
      <w:r>
        <w:t>Conclusion</w:t>
      </w:r>
    </w:p>
    <w:p w14:paraId="38A66DD6" w14:textId="48C38D95" w:rsidR="007A2855" w:rsidRDefault="007A2855" w:rsidP="007A2855">
      <w:pPr>
        <w:pStyle w:val="base-text-paragraph"/>
      </w:pPr>
      <w:r>
        <w:t xml:space="preserve">The Bill is compatible with human rights as it seeks to </w:t>
      </w:r>
      <w:r w:rsidR="00AF32D0">
        <w:t xml:space="preserve">protect </w:t>
      </w:r>
      <w:r w:rsidR="00396B29">
        <w:t>retail client</w:t>
      </w:r>
      <w:r w:rsidR="00AF32D0">
        <w:t xml:space="preserve">s from advertisements that could induce them to make investment decisions without having all the necessary information. </w:t>
      </w:r>
    </w:p>
    <w:p w14:paraId="26351B11" w14:textId="597568EA" w:rsidR="005940CB" w:rsidRDefault="007A2855" w:rsidP="00E124B3">
      <w:pPr>
        <w:pStyle w:val="base-text-paragraph"/>
      </w:pPr>
      <w:r>
        <w:t xml:space="preserve">To the extent that the Bill restricts the </w:t>
      </w:r>
      <w:r w:rsidR="00AF32D0">
        <w:t>freedom of expression</w:t>
      </w:r>
      <w:r>
        <w:t xml:space="preserve">, this is justified because it is a </w:t>
      </w:r>
      <w:r w:rsidR="00E124B3" w:rsidRPr="00E124B3">
        <w:t>reasonable, necessary and proportionate consequence of protecting investors by ensuring they can access sufficient information about the CSF offer.</w:t>
      </w:r>
    </w:p>
    <w:p w14:paraId="745C61A1" w14:textId="77777777" w:rsidR="00E124B3" w:rsidRDefault="00E124B3" w:rsidP="00E124B3">
      <w:pPr>
        <w:pStyle w:val="base-text-paragraph"/>
        <w:numPr>
          <w:ilvl w:val="0"/>
          <w:numId w:val="0"/>
        </w:numPr>
        <w:ind w:left="1134"/>
      </w:pPr>
    </w:p>
    <w:p w14:paraId="72A6C382" w14:textId="77777777" w:rsidR="00E124B3" w:rsidRDefault="00E124B3" w:rsidP="00E124B3">
      <w:pPr>
        <w:pStyle w:val="ChapterHeading"/>
        <w:sectPr w:rsidR="00E124B3" w:rsidSect="00821379">
          <w:headerReference w:type="even" r:id="rId68"/>
          <w:headerReference w:type="default" r:id="rId69"/>
          <w:footerReference w:type="even" r:id="rId70"/>
          <w:footerReference w:type="default" r:id="rId71"/>
          <w:footerReference w:type="first" r:id="rId72"/>
          <w:type w:val="oddPage"/>
          <w:pgSz w:w="11906" w:h="16838" w:code="9"/>
          <w:pgMar w:top="2466" w:right="2098" w:bottom="2466" w:left="2098" w:header="1559" w:footer="1899" w:gutter="0"/>
          <w:cols w:space="708"/>
          <w:titlePg/>
          <w:docGrid w:linePitch="360"/>
        </w:sectPr>
      </w:pPr>
    </w:p>
    <w:p w14:paraId="3E5BD96C" w14:textId="6A30F152" w:rsidR="00E124B3" w:rsidRDefault="00E124B3" w:rsidP="00E124B3">
      <w:pPr>
        <w:pStyle w:val="base-text-paragraph"/>
        <w:numPr>
          <w:ilvl w:val="0"/>
          <w:numId w:val="0"/>
        </w:numPr>
        <w:ind w:left="1134"/>
      </w:pPr>
    </w:p>
    <w:p w14:paraId="30026C0F" w14:textId="77777777" w:rsidR="00E124B3" w:rsidRPr="00D67ADC" w:rsidRDefault="00E124B3" w:rsidP="005F5526">
      <w:pPr>
        <w:pStyle w:val="Chapterheadingsubdocument"/>
      </w:pPr>
      <w:bookmarkStart w:id="25" w:name="Index"/>
      <w:bookmarkStart w:id="26" w:name="_Toc436037560"/>
      <w:r w:rsidRPr="00D67ADC">
        <w:t>Index</w:t>
      </w:r>
      <w:bookmarkEnd w:id="25"/>
      <w:bookmarkEnd w:id="26"/>
    </w:p>
    <w:p w14:paraId="67F84999" w14:textId="5A4EDEB4" w:rsidR="00E124B3" w:rsidRDefault="00E124B3" w:rsidP="005F5526">
      <w:pPr>
        <w:pStyle w:val="Heading2with18pointafter"/>
      </w:pPr>
      <w:r>
        <w:t xml:space="preserve">Schedule 1:  </w:t>
      </w:r>
      <w:r w:rsidRPr="00E124B3">
        <w:t>Main amendments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980"/>
      </w:tblGrid>
      <w:tr w:rsidR="00E124B3" w:rsidRPr="00442FB9" w14:paraId="2225D66B" w14:textId="77777777" w:rsidTr="005F5526">
        <w:trPr>
          <w:tblHeader/>
        </w:trPr>
        <w:tc>
          <w:tcPr>
            <w:tcW w:w="5760" w:type="dxa"/>
          </w:tcPr>
          <w:p w14:paraId="3B2C5DBB" w14:textId="77777777" w:rsidR="00E124B3" w:rsidRPr="00231CBA" w:rsidRDefault="00E124B3" w:rsidP="005F5526">
            <w:pPr>
              <w:pStyle w:val="tableheaderwithintable"/>
            </w:pPr>
            <w:r w:rsidRPr="00231CBA">
              <w:t>Bill reference</w:t>
            </w:r>
          </w:p>
        </w:tc>
        <w:tc>
          <w:tcPr>
            <w:tcW w:w="1980" w:type="dxa"/>
          </w:tcPr>
          <w:p w14:paraId="30149F09" w14:textId="77777777" w:rsidR="00E124B3" w:rsidRPr="00231CBA" w:rsidRDefault="00E124B3" w:rsidP="005F5526">
            <w:pPr>
              <w:pStyle w:val="tableheaderwithintable"/>
            </w:pPr>
            <w:r w:rsidRPr="00231CBA">
              <w:t>Paragraph number</w:t>
            </w:r>
          </w:p>
        </w:tc>
      </w:tr>
      <w:tr w:rsidR="00E124B3" w:rsidRPr="00231CBA" w14:paraId="5F2C6460" w14:textId="77777777" w:rsidTr="005F5526">
        <w:trPr>
          <w:tblHeader/>
        </w:trPr>
        <w:tc>
          <w:tcPr>
            <w:tcW w:w="5760" w:type="dxa"/>
          </w:tcPr>
          <w:p w14:paraId="209F788D" w14:textId="14F1B989" w:rsidR="00E124B3" w:rsidRPr="00231CBA" w:rsidRDefault="00E124B3" w:rsidP="005F5526">
            <w:pPr>
              <w:pStyle w:val="tabletext"/>
            </w:pPr>
            <w:r>
              <w:t>Part 1, items 1, 2, 3, 4, 5 ,6, section 9</w:t>
            </w:r>
          </w:p>
        </w:tc>
        <w:tc>
          <w:tcPr>
            <w:tcW w:w="1980" w:type="dxa"/>
          </w:tcPr>
          <w:p w14:paraId="20E07D1C" w14:textId="186780F5" w:rsidR="00E124B3" w:rsidRPr="00231CBA" w:rsidRDefault="00E124B3" w:rsidP="005F5526">
            <w:pPr>
              <w:pStyle w:val="tabletext"/>
            </w:pPr>
            <w:r>
              <w:t>2.53</w:t>
            </w:r>
          </w:p>
        </w:tc>
      </w:tr>
      <w:tr w:rsidR="00E124B3" w:rsidRPr="00231CBA" w14:paraId="46736B77" w14:textId="77777777" w:rsidTr="005F5526">
        <w:trPr>
          <w:tblHeader/>
        </w:trPr>
        <w:tc>
          <w:tcPr>
            <w:tcW w:w="5760" w:type="dxa"/>
          </w:tcPr>
          <w:p w14:paraId="774A820B" w14:textId="54EE90D8" w:rsidR="00E124B3" w:rsidRDefault="00E124B3" w:rsidP="005F5526">
            <w:pPr>
              <w:pStyle w:val="tabletext"/>
            </w:pPr>
            <w:r>
              <w:t>Part 1, item 2, section 9</w:t>
            </w:r>
          </w:p>
        </w:tc>
        <w:tc>
          <w:tcPr>
            <w:tcW w:w="1980" w:type="dxa"/>
          </w:tcPr>
          <w:p w14:paraId="006BE66C" w14:textId="5F3780E3" w:rsidR="00E124B3" w:rsidRDefault="00E124B3" w:rsidP="005F5526">
            <w:pPr>
              <w:pStyle w:val="tabletext"/>
            </w:pPr>
            <w:r>
              <w:t>3.26</w:t>
            </w:r>
          </w:p>
        </w:tc>
      </w:tr>
      <w:tr w:rsidR="00E124B3" w:rsidRPr="00231CBA" w14:paraId="01054A68" w14:textId="77777777" w:rsidTr="005F5526">
        <w:trPr>
          <w:tblHeader/>
        </w:trPr>
        <w:tc>
          <w:tcPr>
            <w:tcW w:w="5760" w:type="dxa"/>
          </w:tcPr>
          <w:p w14:paraId="5B5A9911" w14:textId="430438AB" w:rsidR="00E124B3" w:rsidRDefault="00E124B3" w:rsidP="005F5526">
            <w:pPr>
              <w:pStyle w:val="tabletext"/>
            </w:pPr>
            <w:r>
              <w:t>Part 1, item 6, item 12 in the table in section 611</w:t>
            </w:r>
          </w:p>
        </w:tc>
        <w:tc>
          <w:tcPr>
            <w:tcW w:w="1980" w:type="dxa"/>
          </w:tcPr>
          <w:p w14:paraId="3DAF16AA" w14:textId="13FEDD81" w:rsidR="00E124B3" w:rsidRDefault="00E124B3" w:rsidP="005F5526">
            <w:pPr>
              <w:pStyle w:val="tabletext"/>
            </w:pPr>
            <w:r>
              <w:t>3.83</w:t>
            </w:r>
          </w:p>
        </w:tc>
      </w:tr>
      <w:tr w:rsidR="00E124B3" w:rsidRPr="00231CBA" w14:paraId="3150D4AB" w14:textId="77777777" w:rsidTr="005F5526">
        <w:trPr>
          <w:tblHeader/>
        </w:trPr>
        <w:tc>
          <w:tcPr>
            <w:tcW w:w="5760" w:type="dxa"/>
          </w:tcPr>
          <w:p w14:paraId="47EF0DE7" w14:textId="04FB67A3" w:rsidR="00E124B3" w:rsidRDefault="00E124B3" w:rsidP="005F5526">
            <w:pPr>
              <w:pStyle w:val="tabletext"/>
            </w:pPr>
            <w:r>
              <w:t>Part 1, item 6, item 13 in the table in section 611</w:t>
            </w:r>
          </w:p>
        </w:tc>
        <w:tc>
          <w:tcPr>
            <w:tcW w:w="1980" w:type="dxa"/>
          </w:tcPr>
          <w:p w14:paraId="38F53075" w14:textId="3BC37E94" w:rsidR="00E124B3" w:rsidRDefault="00E124B3" w:rsidP="005F5526">
            <w:pPr>
              <w:pStyle w:val="tabletext"/>
            </w:pPr>
            <w:r>
              <w:t>3.84</w:t>
            </w:r>
          </w:p>
        </w:tc>
      </w:tr>
      <w:tr w:rsidR="00E124B3" w:rsidRPr="00231CBA" w14:paraId="31636730" w14:textId="77777777" w:rsidTr="005F5526">
        <w:trPr>
          <w:tblHeader/>
        </w:trPr>
        <w:tc>
          <w:tcPr>
            <w:tcW w:w="5760" w:type="dxa"/>
          </w:tcPr>
          <w:p w14:paraId="73D96A92" w14:textId="4D7A6B56" w:rsidR="00E124B3" w:rsidRDefault="00E124B3" w:rsidP="005F5526">
            <w:pPr>
              <w:pStyle w:val="tabletext"/>
            </w:pPr>
            <w:r>
              <w:t>Part 1, items 7, 8, 9 and 10, heading to Part 6D.2, section 703B, section 704, section 706</w:t>
            </w:r>
          </w:p>
        </w:tc>
        <w:tc>
          <w:tcPr>
            <w:tcW w:w="1980" w:type="dxa"/>
          </w:tcPr>
          <w:p w14:paraId="76DA57B3" w14:textId="6C7322FA" w:rsidR="00E124B3" w:rsidRDefault="00066728" w:rsidP="00066728">
            <w:pPr>
              <w:pStyle w:val="tabletext"/>
            </w:pPr>
            <w:r>
              <w:t>2.9, 4.5</w:t>
            </w:r>
          </w:p>
        </w:tc>
      </w:tr>
      <w:tr w:rsidR="00E124B3" w:rsidRPr="00231CBA" w14:paraId="53B2F45A" w14:textId="77777777" w:rsidTr="005F5526">
        <w:trPr>
          <w:tblHeader/>
        </w:trPr>
        <w:tc>
          <w:tcPr>
            <w:tcW w:w="5760" w:type="dxa"/>
          </w:tcPr>
          <w:p w14:paraId="053BAD65" w14:textId="13550900" w:rsidR="00E124B3" w:rsidRDefault="00E124B3" w:rsidP="005F5526">
            <w:pPr>
              <w:pStyle w:val="tabletext"/>
            </w:pPr>
            <w:r>
              <w:t>Part 1, items 11 and 12, heading to Part 6D.3 and section 725A</w:t>
            </w:r>
          </w:p>
        </w:tc>
        <w:tc>
          <w:tcPr>
            <w:tcW w:w="1980" w:type="dxa"/>
          </w:tcPr>
          <w:p w14:paraId="5D77B04A" w14:textId="320ED4D9" w:rsidR="00E124B3" w:rsidRDefault="00066728" w:rsidP="005F5526">
            <w:pPr>
              <w:pStyle w:val="tabletext"/>
            </w:pPr>
            <w:r>
              <w:t>2.10, 4.6</w:t>
            </w:r>
          </w:p>
        </w:tc>
      </w:tr>
      <w:tr w:rsidR="00E124B3" w:rsidRPr="00231CBA" w14:paraId="374ADC27" w14:textId="77777777" w:rsidTr="005F5526">
        <w:trPr>
          <w:tblHeader/>
        </w:trPr>
        <w:tc>
          <w:tcPr>
            <w:tcW w:w="5760" w:type="dxa"/>
          </w:tcPr>
          <w:p w14:paraId="16B70EC7" w14:textId="0403578F" w:rsidR="00E124B3" w:rsidRDefault="00E124B3" w:rsidP="002215D8">
            <w:pPr>
              <w:pStyle w:val="tabletext"/>
            </w:pPr>
            <w:r>
              <w:t>Part 1, item 1</w:t>
            </w:r>
            <w:r w:rsidR="00F479AB">
              <w:t>4</w:t>
            </w:r>
            <w:r>
              <w:t>, paragraph 738ZB(4)(a)</w:t>
            </w:r>
          </w:p>
        </w:tc>
        <w:tc>
          <w:tcPr>
            <w:tcW w:w="1980" w:type="dxa"/>
          </w:tcPr>
          <w:p w14:paraId="07BEA19E" w14:textId="07379E44" w:rsidR="00E124B3" w:rsidRDefault="00E124B3" w:rsidP="005F5526">
            <w:pPr>
              <w:pStyle w:val="tabletext"/>
            </w:pPr>
            <w:r>
              <w:t>6.22</w:t>
            </w:r>
          </w:p>
        </w:tc>
      </w:tr>
      <w:tr w:rsidR="00E124B3" w:rsidRPr="00231CBA" w14:paraId="0F26D76C" w14:textId="77777777" w:rsidTr="005F5526">
        <w:trPr>
          <w:tblHeader/>
        </w:trPr>
        <w:tc>
          <w:tcPr>
            <w:tcW w:w="5760" w:type="dxa"/>
          </w:tcPr>
          <w:p w14:paraId="35ABDA88" w14:textId="0F42B72F" w:rsidR="00E124B3" w:rsidRDefault="00E124B3" w:rsidP="002215D8">
            <w:pPr>
              <w:pStyle w:val="tabletext"/>
            </w:pPr>
            <w:r>
              <w:t>Part 1, item 1</w:t>
            </w:r>
            <w:r w:rsidR="00F479AB">
              <w:t>4</w:t>
            </w:r>
            <w:r>
              <w:t>, subsection 738ZG(8)</w:t>
            </w:r>
          </w:p>
        </w:tc>
        <w:tc>
          <w:tcPr>
            <w:tcW w:w="1980" w:type="dxa"/>
          </w:tcPr>
          <w:p w14:paraId="1CEB6FA5" w14:textId="3C969C52" w:rsidR="00E124B3" w:rsidRDefault="00E124B3" w:rsidP="005F5526">
            <w:pPr>
              <w:pStyle w:val="tabletext"/>
            </w:pPr>
            <w:r>
              <w:t>6.48</w:t>
            </w:r>
          </w:p>
        </w:tc>
      </w:tr>
      <w:tr w:rsidR="00E124B3" w:rsidRPr="00231CBA" w14:paraId="69CB5A93" w14:textId="77777777" w:rsidTr="005F5526">
        <w:trPr>
          <w:tblHeader/>
        </w:trPr>
        <w:tc>
          <w:tcPr>
            <w:tcW w:w="5760" w:type="dxa"/>
          </w:tcPr>
          <w:p w14:paraId="1FE6E858" w14:textId="395EA3BA" w:rsidR="00E124B3" w:rsidRDefault="00E124B3" w:rsidP="005F5526">
            <w:pPr>
              <w:pStyle w:val="tabletext"/>
            </w:pPr>
            <w:r>
              <w:t>Part 1, item 13,subparagraph 734(7)(c)(</w:t>
            </w:r>
            <w:proofErr w:type="spellStart"/>
            <w:r>
              <w:t>i</w:t>
            </w:r>
            <w:proofErr w:type="spellEnd"/>
            <w:r>
              <w:t>)</w:t>
            </w:r>
          </w:p>
        </w:tc>
        <w:tc>
          <w:tcPr>
            <w:tcW w:w="1980" w:type="dxa"/>
          </w:tcPr>
          <w:p w14:paraId="786C321C" w14:textId="7EBBE6BD" w:rsidR="00E124B3" w:rsidRDefault="00E124B3" w:rsidP="005F5526">
            <w:pPr>
              <w:pStyle w:val="tabletext"/>
            </w:pPr>
            <w:r>
              <w:t>6.69</w:t>
            </w:r>
          </w:p>
        </w:tc>
      </w:tr>
      <w:tr w:rsidR="00E124B3" w:rsidRPr="00231CBA" w14:paraId="4E093B7C" w14:textId="77777777" w:rsidTr="005F5526">
        <w:trPr>
          <w:tblHeader/>
        </w:trPr>
        <w:tc>
          <w:tcPr>
            <w:tcW w:w="5760" w:type="dxa"/>
          </w:tcPr>
          <w:p w14:paraId="0CC46B5E" w14:textId="533BD5F1" w:rsidR="00E124B3" w:rsidRDefault="00E124B3" w:rsidP="005F5526">
            <w:pPr>
              <w:pStyle w:val="tabletext"/>
            </w:pPr>
            <w:r>
              <w:t>Part 1, item 14, paragraph 738H(1)(d)</w:t>
            </w:r>
          </w:p>
        </w:tc>
        <w:tc>
          <w:tcPr>
            <w:tcW w:w="1980" w:type="dxa"/>
          </w:tcPr>
          <w:p w14:paraId="6657B6B5" w14:textId="398B6CD9" w:rsidR="00E124B3" w:rsidRDefault="00E124B3" w:rsidP="005F5526">
            <w:pPr>
              <w:pStyle w:val="tabletext"/>
            </w:pPr>
            <w:r>
              <w:t>2.14</w:t>
            </w:r>
          </w:p>
        </w:tc>
      </w:tr>
      <w:tr w:rsidR="00E124B3" w:rsidRPr="00231CBA" w14:paraId="254B930B" w14:textId="77777777" w:rsidTr="005F5526">
        <w:trPr>
          <w:tblHeader/>
        </w:trPr>
        <w:tc>
          <w:tcPr>
            <w:tcW w:w="5760" w:type="dxa"/>
          </w:tcPr>
          <w:p w14:paraId="61C19CE8" w14:textId="5F54D42D" w:rsidR="00E124B3" w:rsidRDefault="00E124B3" w:rsidP="005F5526">
            <w:pPr>
              <w:pStyle w:val="tabletext"/>
            </w:pPr>
            <w:r>
              <w:t>Part 1, item 14, paragraph 738H(1)(e)</w:t>
            </w:r>
          </w:p>
        </w:tc>
        <w:tc>
          <w:tcPr>
            <w:tcW w:w="1980" w:type="dxa"/>
          </w:tcPr>
          <w:p w14:paraId="5BAD6013" w14:textId="1C54EB4B" w:rsidR="00E124B3" w:rsidRDefault="00E124B3" w:rsidP="005F5526">
            <w:pPr>
              <w:pStyle w:val="tabletext"/>
            </w:pPr>
            <w:r>
              <w:t>2.14, 2.26</w:t>
            </w:r>
          </w:p>
        </w:tc>
      </w:tr>
      <w:tr w:rsidR="00E124B3" w:rsidRPr="00231CBA" w14:paraId="737AF7CF" w14:textId="77777777" w:rsidTr="005F5526">
        <w:trPr>
          <w:tblHeader/>
        </w:trPr>
        <w:tc>
          <w:tcPr>
            <w:tcW w:w="5760" w:type="dxa"/>
          </w:tcPr>
          <w:p w14:paraId="381D04FC" w14:textId="4F81C858" w:rsidR="00E124B3" w:rsidRDefault="00E124B3" w:rsidP="005F5526">
            <w:pPr>
              <w:pStyle w:val="tabletext"/>
            </w:pPr>
            <w:r>
              <w:t>Part 1, item 14, paragraph 738H(1)(f)</w:t>
            </w:r>
          </w:p>
        </w:tc>
        <w:tc>
          <w:tcPr>
            <w:tcW w:w="1980" w:type="dxa"/>
          </w:tcPr>
          <w:p w14:paraId="4C54FD01" w14:textId="76CB14FE" w:rsidR="00E124B3" w:rsidRDefault="00E124B3" w:rsidP="005F5526">
            <w:pPr>
              <w:pStyle w:val="tabletext"/>
            </w:pPr>
            <w:r>
              <w:t>2.14, 2.29</w:t>
            </w:r>
          </w:p>
        </w:tc>
      </w:tr>
      <w:tr w:rsidR="00E124B3" w:rsidRPr="00231CBA" w14:paraId="275180B2" w14:textId="77777777" w:rsidTr="005F5526">
        <w:trPr>
          <w:tblHeader/>
        </w:trPr>
        <w:tc>
          <w:tcPr>
            <w:tcW w:w="5760" w:type="dxa"/>
          </w:tcPr>
          <w:p w14:paraId="24535596" w14:textId="7CC2FF28" w:rsidR="00E124B3" w:rsidRDefault="00E124B3" w:rsidP="005F5526">
            <w:pPr>
              <w:pStyle w:val="tabletext"/>
            </w:pPr>
            <w:r>
              <w:t>Part 1, item 14, paragraph 738H(2)(a)</w:t>
            </w:r>
          </w:p>
        </w:tc>
        <w:tc>
          <w:tcPr>
            <w:tcW w:w="1980" w:type="dxa"/>
          </w:tcPr>
          <w:p w14:paraId="2C0718DC" w14:textId="5FC3A135" w:rsidR="00E124B3" w:rsidRDefault="00E124B3" w:rsidP="005F5526">
            <w:pPr>
              <w:pStyle w:val="tabletext"/>
            </w:pPr>
            <w:r>
              <w:t>2.21</w:t>
            </w:r>
          </w:p>
        </w:tc>
      </w:tr>
      <w:tr w:rsidR="00E124B3" w:rsidRPr="00231CBA" w14:paraId="5F3AEBB4" w14:textId="77777777" w:rsidTr="005F5526">
        <w:trPr>
          <w:tblHeader/>
        </w:trPr>
        <w:tc>
          <w:tcPr>
            <w:tcW w:w="5760" w:type="dxa"/>
          </w:tcPr>
          <w:p w14:paraId="123812DB" w14:textId="72715285" w:rsidR="00E124B3" w:rsidRDefault="00E124B3" w:rsidP="005F5526">
            <w:pPr>
              <w:pStyle w:val="tabletext"/>
            </w:pPr>
            <w:r>
              <w:t>Part 1, item 14, paragraph 738H(2)(b)</w:t>
            </w:r>
          </w:p>
        </w:tc>
        <w:tc>
          <w:tcPr>
            <w:tcW w:w="1980" w:type="dxa"/>
          </w:tcPr>
          <w:p w14:paraId="0C38199A" w14:textId="0077BB5F" w:rsidR="00E124B3" w:rsidRDefault="00E124B3" w:rsidP="005F5526">
            <w:pPr>
              <w:pStyle w:val="tabletext"/>
            </w:pPr>
            <w:r>
              <w:t>2.24</w:t>
            </w:r>
          </w:p>
        </w:tc>
      </w:tr>
      <w:tr w:rsidR="00E124B3" w:rsidRPr="00231CBA" w14:paraId="4C222819" w14:textId="77777777" w:rsidTr="005F5526">
        <w:trPr>
          <w:tblHeader/>
        </w:trPr>
        <w:tc>
          <w:tcPr>
            <w:tcW w:w="5760" w:type="dxa"/>
          </w:tcPr>
          <w:p w14:paraId="1DE51B4C" w14:textId="55693227" w:rsidR="00E124B3" w:rsidRDefault="00E124B3" w:rsidP="005F5526">
            <w:pPr>
              <w:pStyle w:val="tabletext"/>
            </w:pPr>
            <w:r>
              <w:t>Part 1, item 14, paragraph 738G(1)(c)</w:t>
            </w:r>
          </w:p>
        </w:tc>
        <w:tc>
          <w:tcPr>
            <w:tcW w:w="1980" w:type="dxa"/>
          </w:tcPr>
          <w:p w14:paraId="7954FAB0" w14:textId="3FB5F1A9" w:rsidR="00E124B3" w:rsidRDefault="00E124B3" w:rsidP="005F5526">
            <w:pPr>
              <w:pStyle w:val="tabletext"/>
            </w:pPr>
            <w:r>
              <w:t>2.31</w:t>
            </w:r>
          </w:p>
        </w:tc>
      </w:tr>
      <w:tr w:rsidR="00E124B3" w:rsidRPr="00231CBA" w14:paraId="2D17A2D2" w14:textId="77777777" w:rsidTr="005F5526">
        <w:trPr>
          <w:tblHeader/>
        </w:trPr>
        <w:tc>
          <w:tcPr>
            <w:tcW w:w="5760" w:type="dxa"/>
          </w:tcPr>
          <w:p w14:paraId="4F68A23D" w14:textId="7ECE1127" w:rsidR="00E124B3" w:rsidRDefault="00E124B3" w:rsidP="005F5526">
            <w:pPr>
              <w:pStyle w:val="tabletext"/>
            </w:pPr>
            <w:r>
              <w:t>Part 1, item 14, paragraph 738G(1)(d)</w:t>
            </w:r>
          </w:p>
        </w:tc>
        <w:tc>
          <w:tcPr>
            <w:tcW w:w="1980" w:type="dxa"/>
          </w:tcPr>
          <w:p w14:paraId="7C24DBF8" w14:textId="4274EE38" w:rsidR="00E124B3" w:rsidRDefault="00E124B3" w:rsidP="005F5526">
            <w:pPr>
              <w:pStyle w:val="tabletext"/>
            </w:pPr>
            <w:r>
              <w:t>2.33</w:t>
            </w:r>
          </w:p>
        </w:tc>
      </w:tr>
      <w:tr w:rsidR="00E124B3" w:rsidRPr="00231CBA" w14:paraId="35C6EFDD" w14:textId="77777777" w:rsidTr="005F5526">
        <w:trPr>
          <w:tblHeader/>
        </w:trPr>
        <w:tc>
          <w:tcPr>
            <w:tcW w:w="5760" w:type="dxa"/>
          </w:tcPr>
          <w:p w14:paraId="74D8BFCC" w14:textId="2BECCECC" w:rsidR="00E124B3" w:rsidRDefault="00E124B3" w:rsidP="005F5526">
            <w:pPr>
              <w:pStyle w:val="tabletext"/>
            </w:pPr>
            <w:r>
              <w:t>Part 1, item 14, subsection 738G(2)</w:t>
            </w:r>
          </w:p>
        </w:tc>
        <w:tc>
          <w:tcPr>
            <w:tcW w:w="1980" w:type="dxa"/>
          </w:tcPr>
          <w:p w14:paraId="3A42F53D" w14:textId="36C635F6" w:rsidR="00E124B3" w:rsidRDefault="00E124B3" w:rsidP="005F5526">
            <w:pPr>
              <w:pStyle w:val="tabletext"/>
            </w:pPr>
            <w:r>
              <w:t>2.34</w:t>
            </w:r>
          </w:p>
        </w:tc>
      </w:tr>
      <w:tr w:rsidR="00E124B3" w:rsidRPr="00231CBA" w14:paraId="5FDC0FD4" w14:textId="77777777" w:rsidTr="005F5526">
        <w:trPr>
          <w:tblHeader/>
        </w:trPr>
        <w:tc>
          <w:tcPr>
            <w:tcW w:w="5760" w:type="dxa"/>
          </w:tcPr>
          <w:p w14:paraId="7B293CFA" w14:textId="1858208B" w:rsidR="00E124B3" w:rsidRDefault="00E124B3" w:rsidP="005F5526">
            <w:pPr>
              <w:pStyle w:val="tabletext"/>
            </w:pPr>
            <w:r>
              <w:t>Part 1, item 14, subsections 738L(6) and 738N(1)</w:t>
            </w:r>
          </w:p>
        </w:tc>
        <w:tc>
          <w:tcPr>
            <w:tcW w:w="1980" w:type="dxa"/>
          </w:tcPr>
          <w:p w14:paraId="78152FEA" w14:textId="07E536E3" w:rsidR="00E124B3" w:rsidRDefault="00E124B3" w:rsidP="005F5526">
            <w:pPr>
              <w:pStyle w:val="tabletext"/>
            </w:pPr>
            <w:r>
              <w:t>2.41</w:t>
            </w:r>
          </w:p>
        </w:tc>
      </w:tr>
      <w:tr w:rsidR="00E124B3" w:rsidRPr="00231CBA" w14:paraId="2198D4E8" w14:textId="77777777" w:rsidTr="005F5526">
        <w:trPr>
          <w:tblHeader/>
        </w:trPr>
        <w:tc>
          <w:tcPr>
            <w:tcW w:w="5760" w:type="dxa"/>
          </w:tcPr>
          <w:p w14:paraId="336EE3D1" w14:textId="7F2C9E4C" w:rsidR="00E124B3" w:rsidRDefault="00E124B3" w:rsidP="005F5526">
            <w:pPr>
              <w:pStyle w:val="tabletext"/>
            </w:pPr>
            <w:r>
              <w:t>Part 1, item 14, paragraph 738G(2)(c)</w:t>
            </w:r>
          </w:p>
        </w:tc>
        <w:tc>
          <w:tcPr>
            <w:tcW w:w="1980" w:type="dxa"/>
          </w:tcPr>
          <w:p w14:paraId="40268A6A" w14:textId="6DC1B787" w:rsidR="00E124B3" w:rsidRDefault="00E124B3" w:rsidP="005F5526">
            <w:pPr>
              <w:pStyle w:val="tabletext"/>
            </w:pPr>
            <w:r>
              <w:t>2.42</w:t>
            </w:r>
          </w:p>
        </w:tc>
      </w:tr>
      <w:tr w:rsidR="00E124B3" w:rsidRPr="00231CBA" w14:paraId="4DCDECF8" w14:textId="77777777" w:rsidTr="005F5526">
        <w:trPr>
          <w:tblHeader/>
        </w:trPr>
        <w:tc>
          <w:tcPr>
            <w:tcW w:w="5760" w:type="dxa"/>
          </w:tcPr>
          <w:p w14:paraId="409D84F3" w14:textId="7008B225" w:rsidR="00E124B3" w:rsidRDefault="00E124B3" w:rsidP="005F5526">
            <w:pPr>
              <w:pStyle w:val="tabletext"/>
            </w:pPr>
            <w:r>
              <w:t>Part 1, item 14, subsection 738G(3)</w:t>
            </w:r>
          </w:p>
        </w:tc>
        <w:tc>
          <w:tcPr>
            <w:tcW w:w="1980" w:type="dxa"/>
          </w:tcPr>
          <w:p w14:paraId="76023591" w14:textId="18A71D4B" w:rsidR="00E124B3" w:rsidRDefault="00E124B3" w:rsidP="005F5526">
            <w:pPr>
              <w:pStyle w:val="tabletext"/>
            </w:pPr>
            <w:r>
              <w:t>2.44</w:t>
            </w:r>
          </w:p>
        </w:tc>
      </w:tr>
      <w:tr w:rsidR="00E124B3" w:rsidRPr="00231CBA" w14:paraId="6CE0DA2A" w14:textId="77777777" w:rsidTr="005F5526">
        <w:trPr>
          <w:tblHeader/>
        </w:trPr>
        <w:tc>
          <w:tcPr>
            <w:tcW w:w="5760" w:type="dxa"/>
          </w:tcPr>
          <w:p w14:paraId="36775DED" w14:textId="091E632A" w:rsidR="00E124B3" w:rsidRDefault="00E124B3" w:rsidP="005F5526">
            <w:pPr>
              <w:pStyle w:val="tabletext"/>
            </w:pPr>
            <w:r>
              <w:t>Part 1, item 14, paragraph 738G(1)(e)</w:t>
            </w:r>
          </w:p>
        </w:tc>
        <w:tc>
          <w:tcPr>
            <w:tcW w:w="1980" w:type="dxa"/>
          </w:tcPr>
          <w:p w14:paraId="1C5B127C" w14:textId="6DCEF6EE" w:rsidR="00E124B3" w:rsidRDefault="00E124B3" w:rsidP="005F5526">
            <w:pPr>
              <w:pStyle w:val="tabletext"/>
            </w:pPr>
            <w:r>
              <w:t>2.50</w:t>
            </w:r>
          </w:p>
        </w:tc>
      </w:tr>
      <w:tr w:rsidR="00E124B3" w:rsidRPr="00231CBA" w14:paraId="4A97B28E" w14:textId="77777777" w:rsidTr="005F5526">
        <w:trPr>
          <w:tblHeader/>
        </w:trPr>
        <w:tc>
          <w:tcPr>
            <w:tcW w:w="5760" w:type="dxa"/>
          </w:tcPr>
          <w:p w14:paraId="39EBEB84" w14:textId="38A9CA14" w:rsidR="00E124B3" w:rsidRDefault="00E124B3" w:rsidP="005F5526">
            <w:pPr>
              <w:pStyle w:val="tabletext"/>
            </w:pPr>
            <w:r>
              <w:t>Part 1, item 14, section 738B</w:t>
            </w:r>
          </w:p>
        </w:tc>
        <w:tc>
          <w:tcPr>
            <w:tcW w:w="1980" w:type="dxa"/>
          </w:tcPr>
          <w:p w14:paraId="2AB70716" w14:textId="64BA2898" w:rsidR="00E124B3" w:rsidRDefault="00E124B3" w:rsidP="005F5526">
            <w:pPr>
              <w:pStyle w:val="tabletext"/>
            </w:pPr>
            <w:r>
              <w:t>2.8</w:t>
            </w:r>
          </w:p>
        </w:tc>
      </w:tr>
      <w:tr w:rsidR="00E124B3" w:rsidRPr="00231CBA" w14:paraId="0DDBF31D" w14:textId="77777777" w:rsidTr="005F5526">
        <w:trPr>
          <w:tblHeader/>
        </w:trPr>
        <w:tc>
          <w:tcPr>
            <w:tcW w:w="5760" w:type="dxa"/>
          </w:tcPr>
          <w:p w14:paraId="189D190C" w14:textId="4A0A57BB" w:rsidR="00E124B3" w:rsidRDefault="00E124B3" w:rsidP="005F5526">
            <w:pPr>
              <w:pStyle w:val="tabletext"/>
            </w:pPr>
            <w:r>
              <w:t>Part 1, items 14 and 25, section 738C and paragraph 766A(1)(</w:t>
            </w:r>
            <w:proofErr w:type="spellStart"/>
            <w:r>
              <w:t>ea</w:t>
            </w:r>
            <w:proofErr w:type="spellEnd"/>
            <w:r>
              <w:t>)</w:t>
            </w:r>
          </w:p>
        </w:tc>
        <w:tc>
          <w:tcPr>
            <w:tcW w:w="1980" w:type="dxa"/>
          </w:tcPr>
          <w:p w14:paraId="5DD6A099" w14:textId="09D4839E" w:rsidR="00E124B3" w:rsidRDefault="00E124B3" w:rsidP="005F5526">
            <w:pPr>
              <w:pStyle w:val="tabletext"/>
            </w:pPr>
            <w:r>
              <w:t>3.8</w:t>
            </w:r>
          </w:p>
        </w:tc>
      </w:tr>
      <w:tr w:rsidR="00E124B3" w:rsidRPr="00231CBA" w14:paraId="18F1DD46" w14:textId="77777777" w:rsidTr="005F5526">
        <w:trPr>
          <w:tblHeader/>
        </w:trPr>
        <w:tc>
          <w:tcPr>
            <w:tcW w:w="5760" w:type="dxa"/>
          </w:tcPr>
          <w:p w14:paraId="059D4966" w14:textId="11C277D0" w:rsidR="00E124B3" w:rsidRDefault="00E124B3" w:rsidP="005F5526">
            <w:pPr>
              <w:pStyle w:val="tabletext"/>
            </w:pPr>
            <w:r>
              <w:t>Part 1, item 14, section 738A</w:t>
            </w:r>
          </w:p>
        </w:tc>
        <w:tc>
          <w:tcPr>
            <w:tcW w:w="1980" w:type="dxa"/>
          </w:tcPr>
          <w:p w14:paraId="7E1579E2" w14:textId="1C161788" w:rsidR="00E124B3" w:rsidRDefault="00E124B3" w:rsidP="005F5526">
            <w:pPr>
              <w:pStyle w:val="tabletext"/>
            </w:pPr>
            <w:r>
              <w:t>2.6, 4.4</w:t>
            </w:r>
          </w:p>
        </w:tc>
      </w:tr>
      <w:tr w:rsidR="00E124B3" w:rsidRPr="00231CBA" w14:paraId="481A4FE6" w14:textId="77777777" w:rsidTr="005F5526">
        <w:trPr>
          <w:tblHeader/>
        </w:trPr>
        <w:tc>
          <w:tcPr>
            <w:tcW w:w="5760" w:type="dxa"/>
          </w:tcPr>
          <w:p w14:paraId="2D6CBBC8" w14:textId="3477FDCD" w:rsidR="00E124B3" w:rsidRDefault="00E124B3" w:rsidP="005F5526">
            <w:pPr>
              <w:pStyle w:val="tabletext"/>
            </w:pPr>
            <w:r>
              <w:t>Part 1, item 14, subsection 738L(5)</w:t>
            </w:r>
          </w:p>
        </w:tc>
        <w:tc>
          <w:tcPr>
            <w:tcW w:w="1980" w:type="dxa"/>
          </w:tcPr>
          <w:p w14:paraId="3F6CB2F6" w14:textId="7A5073BE" w:rsidR="00E124B3" w:rsidRDefault="00E124B3" w:rsidP="005F5526">
            <w:pPr>
              <w:pStyle w:val="tabletext"/>
            </w:pPr>
            <w:r>
              <w:t>3.27</w:t>
            </w:r>
          </w:p>
        </w:tc>
      </w:tr>
      <w:tr w:rsidR="00E124B3" w:rsidRPr="00231CBA" w14:paraId="3607329C" w14:textId="77777777" w:rsidTr="005F5526">
        <w:trPr>
          <w:tblHeader/>
        </w:trPr>
        <w:tc>
          <w:tcPr>
            <w:tcW w:w="5760" w:type="dxa"/>
          </w:tcPr>
          <w:p w14:paraId="2FED5FA1" w14:textId="4D2D6B07" w:rsidR="00E124B3" w:rsidRDefault="00E124B3" w:rsidP="005F5526">
            <w:pPr>
              <w:pStyle w:val="tabletext"/>
            </w:pPr>
            <w:r>
              <w:t>Part 1, item 14, section 738Q</w:t>
            </w:r>
          </w:p>
        </w:tc>
        <w:tc>
          <w:tcPr>
            <w:tcW w:w="1980" w:type="dxa"/>
          </w:tcPr>
          <w:p w14:paraId="407A7C81" w14:textId="626FDC02" w:rsidR="00E124B3" w:rsidRDefault="00E124B3" w:rsidP="005F5526">
            <w:pPr>
              <w:pStyle w:val="tabletext"/>
            </w:pPr>
            <w:r>
              <w:t>3.28</w:t>
            </w:r>
          </w:p>
        </w:tc>
      </w:tr>
      <w:tr w:rsidR="00E124B3" w:rsidRPr="00231CBA" w14:paraId="754F005D" w14:textId="77777777" w:rsidTr="005F5526">
        <w:trPr>
          <w:tblHeader/>
        </w:trPr>
        <w:tc>
          <w:tcPr>
            <w:tcW w:w="5760" w:type="dxa"/>
          </w:tcPr>
          <w:p w14:paraId="405D43D3" w14:textId="72CDEDA9" w:rsidR="00E124B3" w:rsidRDefault="00E124B3" w:rsidP="005F5526">
            <w:pPr>
              <w:pStyle w:val="tabletext"/>
            </w:pPr>
            <w:r>
              <w:t>Part 1, item 14, subsection 738Q(1)</w:t>
            </w:r>
          </w:p>
        </w:tc>
        <w:tc>
          <w:tcPr>
            <w:tcW w:w="1980" w:type="dxa"/>
          </w:tcPr>
          <w:p w14:paraId="54FFD303" w14:textId="3AFCBD21" w:rsidR="00E124B3" w:rsidRDefault="00E124B3" w:rsidP="005F5526">
            <w:pPr>
              <w:pStyle w:val="tabletext"/>
            </w:pPr>
            <w:r>
              <w:t>3.29, 3.30</w:t>
            </w:r>
          </w:p>
        </w:tc>
      </w:tr>
      <w:tr w:rsidR="00E124B3" w:rsidRPr="00231CBA" w14:paraId="7DD8F6D4" w14:textId="77777777" w:rsidTr="005F5526">
        <w:trPr>
          <w:tblHeader/>
        </w:trPr>
        <w:tc>
          <w:tcPr>
            <w:tcW w:w="5760" w:type="dxa"/>
          </w:tcPr>
          <w:p w14:paraId="1E7B9A89" w14:textId="07820F4A" w:rsidR="00E124B3" w:rsidRDefault="00E124B3" w:rsidP="005F5526">
            <w:pPr>
              <w:pStyle w:val="tabletext"/>
            </w:pPr>
            <w:r>
              <w:t>Part 1, item 14, subsection 738Q(2)</w:t>
            </w:r>
          </w:p>
        </w:tc>
        <w:tc>
          <w:tcPr>
            <w:tcW w:w="1980" w:type="dxa"/>
          </w:tcPr>
          <w:p w14:paraId="06E44287" w14:textId="23914F7E" w:rsidR="00E124B3" w:rsidRDefault="00E124B3" w:rsidP="005F5526">
            <w:pPr>
              <w:pStyle w:val="tabletext"/>
            </w:pPr>
            <w:r>
              <w:t>3.30</w:t>
            </w:r>
          </w:p>
        </w:tc>
      </w:tr>
      <w:tr w:rsidR="00E124B3" w:rsidRPr="00231CBA" w14:paraId="75149289" w14:textId="77777777" w:rsidTr="005F5526">
        <w:trPr>
          <w:tblHeader/>
        </w:trPr>
        <w:tc>
          <w:tcPr>
            <w:tcW w:w="5760" w:type="dxa"/>
          </w:tcPr>
          <w:p w14:paraId="00EB1F78" w14:textId="5CB4A33D" w:rsidR="00E124B3" w:rsidRDefault="00E124B3" w:rsidP="002215D8">
            <w:pPr>
              <w:pStyle w:val="tabletext"/>
            </w:pPr>
            <w:r>
              <w:t>Part 1, item 14, subsection 738Q(3)</w:t>
            </w:r>
            <w:r w:rsidR="00AE3283">
              <w:t xml:space="preserve"> item 34, item 245E in the table to Schedule 3</w:t>
            </w:r>
          </w:p>
        </w:tc>
        <w:tc>
          <w:tcPr>
            <w:tcW w:w="1980" w:type="dxa"/>
          </w:tcPr>
          <w:p w14:paraId="5723021A" w14:textId="7752DD8E" w:rsidR="00E124B3" w:rsidRDefault="00E124B3" w:rsidP="005F5526">
            <w:pPr>
              <w:pStyle w:val="tabletext"/>
            </w:pPr>
            <w:r>
              <w:t>3.31</w:t>
            </w:r>
          </w:p>
        </w:tc>
      </w:tr>
      <w:tr w:rsidR="00E124B3" w:rsidRPr="00231CBA" w14:paraId="7A95221C" w14:textId="77777777" w:rsidTr="005F5526">
        <w:trPr>
          <w:tblHeader/>
        </w:trPr>
        <w:tc>
          <w:tcPr>
            <w:tcW w:w="5760" w:type="dxa"/>
          </w:tcPr>
          <w:p w14:paraId="07BEA484" w14:textId="464A7E70" w:rsidR="00E124B3" w:rsidRDefault="00E124B3" w:rsidP="005F5526">
            <w:pPr>
              <w:pStyle w:val="tabletext"/>
            </w:pPr>
            <w:r>
              <w:t>Part 1, item 14, subsection 738Q(4)</w:t>
            </w:r>
          </w:p>
        </w:tc>
        <w:tc>
          <w:tcPr>
            <w:tcW w:w="1980" w:type="dxa"/>
          </w:tcPr>
          <w:p w14:paraId="37BA211D" w14:textId="32E168AD" w:rsidR="00E124B3" w:rsidRDefault="00E124B3" w:rsidP="005F5526">
            <w:pPr>
              <w:pStyle w:val="tabletext"/>
            </w:pPr>
            <w:r>
              <w:t>3.33</w:t>
            </w:r>
          </w:p>
        </w:tc>
      </w:tr>
      <w:tr w:rsidR="00E124B3" w:rsidRPr="00231CBA" w14:paraId="645B63DF" w14:textId="77777777" w:rsidTr="005F5526">
        <w:trPr>
          <w:tblHeader/>
        </w:trPr>
        <w:tc>
          <w:tcPr>
            <w:tcW w:w="5760" w:type="dxa"/>
          </w:tcPr>
          <w:p w14:paraId="701B5EA4" w14:textId="21134D9C" w:rsidR="00E124B3" w:rsidRDefault="00E124B3" w:rsidP="005F5526">
            <w:pPr>
              <w:pStyle w:val="tabletext"/>
            </w:pPr>
            <w:r>
              <w:t>Part 1, item 14, subsection 738Q(5)</w:t>
            </w:r>
          </w:p>
        </w:tc>
        <w:tc>
          <w:tcPr>
            <w:tcW w:w="1980" w:type="dxa"/>
          </w:tcPr>
          <w:p w14:paraId="650AA4A6" w14:textId="7C952D37" w:rsidR="00E124B3" w:rsidRDefault="00E124B3" w:rsidP="005F5526">
            <w:pPr>
              <w:pStyle w:val="tabletext"/>
            </w:pPr>
            <w:r>
              <w:t>3.36</w:t>
            </w:r>
          </w:p>
        </w:tc>
      </w:tr>
      <w:tr w:rsidR="00E124B3" w:rsidRPr="00231CBA" w14:paraId="4D3F5D70" w14:textId="77777777" w:rsidTr="005F5526">
        <w:trPr>
          <w:tblHeader/>
        </w:trPr>
        <w:tc>
          <w:tcPr>
            <w:tcW w:w="5760" w:type="dxa"/>
          </w:tcPr>
          <w:p w14:paraId="59444421" w14:textId="12F06F80" w:rsidR="00E124B3" w:rsidRDefault="00E124B3" w:rsidP="005F5526">
            <w:pPr>
              <w:pStyle w:val="tabletext"/>
            </w:pPr>
            <w:r>
              <w:t>Part 1, item 14, paragraph 738Q(5)(a)</w:t>
            </w:r>
          </w:p>
        </w:tc>
        <w:tc>
          <w:tcPr>
            <w:tcW w:w="1980" w:type="dxa"/>
          </w:tcPr>
          <w:p w14:paraId="2AF67DA8" w14:textId="2CF244DD" w:rsidR="00E124B3" w:rsidRDefault="00E124B3" w:rsidP="005F5526">
            <w:pPr>
              <w:pStyle w:val="tabletext"/>
            </w:pPr>
            <w:r>
              <w:t>3.39</w:t>
            </w:r>
          </w:p>
        </w:tc>
      </w:tr>
      <w:tr w:rsidR="00E124B3" w:rsidRPr="00231CBA" w14:paraId="491A009D" w14:textId="77777777" w:rsidTr="005F5526">
        <w:trPr>
          <w:tblHeader/>
        </w:trPr>
        <w:tc>
          <w:tcPr>
            <w:tcW w:w="5760" w:type="dxa"/>
          </w:tcPr>
          <w:p w14:paraId="0D8BFF79" w14:textId="05967569" w:rsidR="00E124B3" w:rsidRDefault="00E124B3" w:rsidP="005F5526">
            <w:pPr>
              <w:pStyle w:val="tabletext"/>
            </w:pPr>
            <w:r>
              <w:t>Part 1, item 14, paragraph 738Q(5)(b)</w:t>
            </w:r>
          </w:p>
        </w:tc>
        <w:tc>
          <w:tcPr>
            <w:tcW w:w="1980" w:type="dxa"/>
          </w:tcPr>
          <w:p w14:paraId="4ED47F07" w14:textId="7822DF9C" w:rsidR="00E124B3" w:rsidRDefault="00E124B3" w:rsidP="005F5526">
            <w:pPr>
              <w:pStyle w:val="tabletext"/>
            </w:pPr>
            <w:r>
              <w:t>3.41</w:t>
            </w:r>
          </w:p>
        </w:tc>
      </w:tr>
      <w:tr w:rsidR="00E124B3" w:rsidRPr="00231CBA" w14:paraId="6860E288" w14:textId="77777777" w:rsidTr="005F5526">
        <w:trPr>
          <w:tblHeader/>
        </w:trPr>
        <w:tc>
          <w:tcPr>
            <w:tcW w:w="5760" w:type="dxa"/>
          </w:tcPr>
          <w:p w14:paraId="553CE89F" w14:textId="67DF7C48" w:rsidR="00E124B3" w:rsidRDefault="00E124B3" w:rsidP="005F5526">
            <w:pPr>
              <w:pStyle w:val="tabletext"/>
            </w:pPr>
            <w:r>
              <w:t>Part 1, item 14, paragraph 738Q(5)(c)</w:t>
            </w:r>
          </w:p>
        </w:tc>
        <w:tc>
          <w:tcPr>
            <w:tcW w:w="1980" w:type="dxa"/>
          </w:tcPr>
          <w:p w14:paraId="1CB50A82" w14:textId="03AFC02F" w:rsidR="00E124B3" w:rsidRDefault="00E124B3" w:rsidP="005F5526">
            <w:pPr>
              <w:pStyle w:val="tabletext"/>
            </w:pPr>
            <w:r>
              <w:t>3.44</w:t>
            </w:r>
          </w:p>
        </w:tc>
      </w:tr>
      <w:tr w:rsidR="00E124B3" w:rsidRPr="00231CBA" w14:paraId="40DB9BF2" w14:textId="77777777" w:rsidTr="005F5526">
        <w:trPr>
          <w:tblHeader/>
        </w:trPr>
        <w:tc>
          <w:tcPr>
            <w:tcW w:w="5760" w:type="dxa"/>
          </w:tcPr>
          <w:p w14:paraId="75AB8F60" w14:textId="43FA6962" w:rsidR="00E124B3" w:rsidRDefault="00E124B3" w:rsidP="005F5526">
            <w:pPr>
              <w:pStyle w:val="tabletext"/>
            </w:pPr>
            <w:r>
              <w:t>Part 1, item 14, subsection 738Q(6)</w:t>
            </w:r>
          </w:p>
        </w:tc>
        <w:tc>
          <w:tcPr>
            <w:tcW w:w="1980" w:type="dxa"/>
          </w:tcPr>
          <w:p w14:paraId="51A84E95" w14:textId="78A99F9A" w:rsidR="00E124B3" w:rsidRDefault="00E124B3" w:rsidP="005F5526">
            <w:pPr>
              <w:pStyle w:val="tabletext"/>
            </w:pPr>
            <w:r>
              <w:t>3.48</w:t>
            </w:r>
          </w:p>
        </w:tc>
      </w:tr>
      <w:tr w:rsidR="00E124B3" w:rsidRPr="00231CBA" w14:paraId="7143B024" w14:textId="77777777" w:rsidTr="005F5526">
        <w:trPr>
          <w:tblHeader/>
        </w:trPr>
        <w:tc>
          <w:tcPr>
            <w:tcW w:w="5760" w:type="dxa"/>
          </w:tcPr>
          <w:p w14:paraId="47E2E3A9" w14:textId="4CC942B3" w:rsidR="00E124B3" w:rsidRDefault="00E124B3" w:rsidP="005F5526">
            <w:pPr>
              <w:pStyle w:val="tabletext"/>
            </w:pPr>
            <w:r>
              <w:t>Part 1, item 14, paragraph 738Q(5)(d)</w:t>
            </w:r>
          </w:p>
        </w:tc>
        <w:tc>
          <w:tcPr>
            <w:tcW w:w="1980" w:type="dxa"/>
          </w:tcPr>
          <w:p w14:paraId="66449CE3" w14:textId="60109CF9" w:rsidR="00E124B3" w:rsidRDefault="00E124B3" w:rsidP="005F5526">
            <w:pPr>
              <w:pStyle w:val="tabletext"/>
            </w:pPr>
            <w:r>
              <w:t>3.51</w:t>
            </w:r>
          </w:p>
        </w:tc>
      </w:tr>
      <w:tr w:rsidR="00E124B3" w:rsidRPr="00231CBA" w14:paraId="69C162C4" w14:textId="77777777" w:rsidTr="005F5526">
        <w:trPr>
          <w:tblHeader/>
        </w:trPr>
        <w:tc>
          <w:tcPr>
            <w:tcW w:w="5760" w:type="dxa"/>
          </w:tcPr>
          <w:p w14:paraId="767E933E" w14:textId="3AF6EFD1" w:rsidR="00E124B3" w:rsidRDefault="00E124B3" w:rsidP="005F5526">
            <w:pPr>
              <w:pStyle w:val="tabletext"/>
            </w:pPr>
            <w:r>
              <w:t>Part 1, item 14, subsection 738Q(7)</w:t>
            </w:r>
          </w:p>
        </w:tc>
        <w:tc>
          <w:tcPr>
            <w:tcW w:w="1980" w:type="dxa"/>
          </w:tcPr>
          <w:p w14:paraId="70E3AF1A" w14:textId="2E5AED02" w:rsidR="00E124B3" w:rsidRDefault="00E124B3" w:rsidP="005F5526">
            <w:pPr>
              <w:pStyle w:val="tabletext"/>
            </w:pPr>
            <w:r>
              <w:t>3.54</w:t>
            </w:r>
          </w:p>
        </w:tc>
      </w:tr>
      <w:tr w:rsidR="00E124B3" w:rsidRPr="00231CBA" w14:paraId="013DCFA3" w14:textId="77777777" w:rsidTr="005F5526">
        <w:trPr>
          <w:tblHeader/>
        </w:trPr>
        <w:tc>
          <w:tcPr>
            <w:tcW w:w="5760" w:type="dxa"/>
          </w:tcPr>
          <w:p w14:paraId="72E3155F" w14:textId="3B5344C8" w:rsidR="00E124B3" w:rsidRDefault="00E124B3" w:rsidP="005F5526">
            <w:pPr>
              <w:pStyle w:val="tabletext"/>
            </w:pPr>
            <w:r>
              <w:t>Part 1, item 14, subsection 738ZA(1)</w:t>
            </w:r>
          </w:p>
        </w:tc>
        <w:tc>
          <w:tcPr>
            <w:tcW w:w="1980" w:type="dxa"/>
          </w:tcPr>
          <w:p w14:paraId="0CB7C644" w14:textId="507899EB" w:rsidR="00E124B3" w:rsidRDefault="00E124B3" w:rsidP="005F5526">
            <w:pPr>
              <w:pStyle w:val="tabletext"/>
            </w:pPr>
            <w:r>
              <w:t>3.55, 3.58</w:t>
            </w:r>
          </w:p>
        </w:tc>
      </w:tr>
      <w:tr w:rsidR="00E124B3" w:rsidRPr="00231CBA" w14:paraId="32CBD48D" w14:textId="77777777" w:rsidTr="005F5526">
        <w:trPr>
          <w:tblHeader/>
        </w:trPr>
        <w:tc>
          <w:tcPr>
            <w:tcW w:w="5760" w:type="dxa"/>
          </w:tcPr>
          <w:p w14:paraId="7AEA5D3F" w14:textId="50A5FA7E" w:rsidR="00E124B3" w:rsidRDefault="00E124B3" w:rsidP="005F5526">
            <w:pPr>
              <w:pStyle w:val="tabletext"/>
            </w:pPr>
            <w:r>
              <w:t>Part 1, item 14, subsections 738ZA(3) and (4)</w:t>
            </w:r>
          </w:p>
        </w:tc>
        <w:tc>
          <w:tcPr>
            <w:tcW w:w="1980" w:type="dxa"/>
          </w:tcPr>
          <w:p w14:paraId="0C083AFE" w14:textId="0A878260" w:rsidR="00E124B3" w:rsidRDefault="00E124B3" w:rsidP="005F5526">
            <w:pPr>
              <w:pStyle w:val="tabletext"/>
            </w:pPr>
            <w:r>
              <w:t>3.55</w:t>
            </w:r>
          </w:p>
        </w:tc>
      </w:tr>
      <w:tr w:rsidR="00E124B3" w:rsidRPr="00231CBA" w14:paraId="5AA42763" w14:textId="77777777" w:rsidTr="005F5526">
        <w:trPr>
          <w:tblHeader/>
        </w:trPr>
        <w:tc>
          <w:tcPr>
            <w:tcW w:w="5760" w:type="dxa"/>
          </w:tcPr>
          <w:p w14:paraId="1725A941" w14:textId="6687D568" w:rsidR="00E124B3" w:rsidRDefault="00E124B3" w:rsidP="005F5526">
            <w:pPr>
              <w:pStyle w:val="tabletext"/>
            </w:pPr>
            <w:r>
              <w:t>Part 1, item 14, subsection 738ZA(5)</w:t>
            </w:r>
          </w:p>
        </w:tc>
        <w:tc>
          <w:tcPr>
            <w:tcW w:w="1980" w:type="dxa"/>
          </w:tcPr>
          <w:p w14:paraId="1ADAE587" w14:textId="0412EBD3" w:rsidR="00E124B3" w:rsidRDefault="00E124B3" w:rsidP="005F5526">
            <w:pPr>
              <w:pStyle w:val="tabletext"/>
            </w:pPr>
            <w:r>
              <w:t>3.55</w:t>
            </w:r>
          </w:p>
        </w:tc>
      </w:tr>
      <w:tr w:rsidR="00E124B3" w:rsidRPr="00231CBA" w14:paraId="480EBB3E" w14:textId="77777777" w:rsidTr="005F5526">
        <w:trPr>
          <w:tblHeader/>
        </w:trPr>
        <w:tc>
          <w:tcPr>
            <w:tcW w:w="5760" w:type="dxa"/>
          </w:tcPr>
          <w:p w14:paraId="31CA4050" w14:textId="78320FD6" w:rsidR="00E124B3" w:rsidRDefault="00E124B3" w:rsidP="005F5526">
            <w:pPr>
              <w:pStyle w:val="tabletext"/>
            </w:pPr>
            <w:r>
              <w:t>Part 1, item 14, subsection 738ZA(8)</w:t>
            </w:r>
          </w:p>
        </w:tc>
        <w:tc>
          <w:tcPr>
            <w:tcW w:w="1980" w:type="dxa"/>
          </w:tcPr>
          <w:p w14:paraId="3711FC74" w14:textId="04EF6AC3" w:rsidR="00E124B3" w:rsidRDefault="00E124B3" w:rsidP="005F5526">
            <w:pPr>
              <w:pStyle w:val="tabletext"/>
            </w:pPr>
            <w:r>
              <w:t>3.55, 6.21</w:t>
            </w:r>
          </w:p>
        </w:tc>
      </w:tr>
      <w:tr w:rsidR="00E124B3" w:rsidRPr="00231CBA" w14:paraId="463AF992" w14:textId="77777777" w:rsidTr="005F5526">
        <w:trPr>
          <w:tblHeader/>
        </w:trPr>
        <w:tc>
          <w:tcPr>
            <w:tcW w:w="5760" w:type="dxa"/>
          </w:tcPr>
          <w:p w14:paraId="31950C70" w14:textId="5F8523AA" w:rsidR="00E124B3" w:rsidRDefault="00E124B3" w:rsidP="005F5526">
            <w:pPr>
              <w:pStyle w:val="tabletext"/>
            </w:pPr>
            <w:r>
              <w:t>Part 1, item 14, subsection 738ZA(9)</w:t>
            </w:r>
          </w:p>
        </w:tc>
        <w:tc>
          <w:tcPr>
            <w:tcW w:w="1980" w:type="dxa"/>
          </w:tcPr>
          <w:p w14:paraId="3E0AFA8E" w14:textId="11B6117E" w:rsidR="00E124B3" w:rsidRDefault="00E124B3" w:rsidP="005F5526">
            <w:pPr>
              <w:pStyle w:val="tabletext"/>
            </w:pPr>
            <w:r>
              <w:t>3.55</w:t>
            </w:r>
          </w:p>
        </w:tc>
      </w:tr>
      <w:tr w:rsidR="00E124B3" w:rsidRPr="00231CBA" w14:paraId="046A2C1F" w14:textId="77777777" w:rsidTr="005F5526">
        <w:trPr>
          <w:tblHeader/>
        </w:trPr>
        <w:tc>
          <w:tcPr>
            <w:tcW w:w="5760" w:type="dxa"/>
          </w:tcPr>
          <w:p w14:paraId="7E8ACB3D" w14:textId="782B4F44" w:rsidR="00E124B3" w:rsidRDefault="00E124B3" w:rsidP="005F5526">
            <w:pPr>
              <w:pStyle w:val="tabletext"/>
            </w:pPr>
            <w:r>
              <w:t>Part 1, item 14, subsection 738ZA(2)</w:t>
            </w:r>
          </w:p>
        </w:tc>
        <w:tc>
          <w:tcPr>
            <w:tcW w:w="1980" w:type="dxa"/>
          </w:tcPr>
          <w:p w14:paraId="2DA3EA8F" w14:textId="308CD1C6" w:rsidR="00E124B3" w:rsidRDefault="00E124B3" w:rsidP="005F5526">
            <w:pPr>
              <w:pStyle w:val="tabletext"/>
            </w:pPr>
            <w:r>
              <w:t>3.58</w:t>
            </w:r>
          </w:p>
        </w:tc>
      </w:tr>
      <w:tr w:rsidR="00E124B3" w:rsidRPr="00231CBA" w14:paraId="2CCEEACC" w14:textId="77777777" w:rsidTr="005F5526">
        <w:trPr>
          <w:tblHeader/>
        </w:trPr>
        <w:tc>
          <w:tcPr>
            <w:tcW w:w="5760" w:type="dxa"/>
          </w:tcPr>
          <w:p w14:paraId="635587F3" w14:textId="1912676F" w:rsidR="00E124B3" w:rsidRDefault="00E124B3" w:rsidP="005F5526">
            <w:pPr>
              <w:pStyle w:val="tabletext"/>
            </w:pPr>
            <w:r>
              <w:t>Part 1, item 14, subsection 738ZA(4) and paragraph 738ZB(4)(b)</w:t>
            </w:r>
          </w:p>
        </w:tc>
        <w:tc>
          <w:tcPr>
            <w:tcW w:w="1980" w:type="dxa"/>
          </w:tcPr>
          <w:p w14:paraId="634D7002" w14:textId="7216C033" w:rsidR="00E124B3" w:rsidRDefault="00E124B3" w:rsidP="005F5526">
            <w:pPr>
              <w:pStyle w:val="tabletext"/>
            </w:pPr>
            <w:r>
              <w:t>3.61</w:t>
            </w:r>
          </w:p>
        </w:tc>
      </w:tr>
      <w:tr w:rsidR="00E124B3" w:rsidRPr="00231CBA" w14:paraId="756D516D" w14:textId="77777777" w:rsidTr="005F5526">
        <w:trPr>
          <w:tblHeader/>
        </w:trPr>
        <w:tc>
          <w:tcPr>
            <w:tcW w:w="5760" w:type="dxa"/>
          </w:tcPr>
          <w:p w14:paraId="41D3A60F" w14:textId="7DD9BB4E" w:rsidR="00E124B3" w:rsidRDefault="00E124B3" w:rsidP="005F5526">
            <w:pPr>
              <w:pStyle w:val="tabletext"/>
            </w:pPr>
            <w:r>
              <w:t>Part 1, item 14, paragraphs 738ZA(3)(a) and (c)</w:t>
            </w:r>
          </w:p>
        </w:tc>
        <w:tc>
          <w:tcPr>
            <w:tcW w:w="1980" w:type="dxa"/>
          </w:tcPr>
          <w:p w14:paraId="6F9655FA" w14:textId="24F39127" w:rsidR="00E124B3" w:rsidRDefault="00E124B3" w:rsidP="005F5526">
            <w:pPr>
              <w:pStyle w:val="tabletext"/>
            </w:pPr>
            <w:r>
              <w:t>3.62</w:t>
            </w:r>
          </w:p>
        </w:tc>
      </w:tr>
      <w:tr w:rsidR="00E124B3" w:rsidRPr="00231CBA" w14:paraId="2FCAA919" w14:textId="77777777" w:rsidTr="005F5526">
        <w:trPr>
          <w:tblHeader/>
        </w:trPr>
        <w:tc>
          <w:tcPr>
            <w:tcW w:w="5760" w:type="dxa"/>
          </w:tcPr>
          <w:p w14:paraId="4F5B6C41" w14:textId="0CC5E1FA" w:rsidR="00E124B3" w:rsidRDefault="00E124B3" w:rsidP="005F5526">
            <w:pPr>
              <w:pStyle w:val="tabletext"/>
            </w:pPr>
            <w:r>
              <w:t>Part 1, item 14, paragraph 738ZA(3)(b)</w:t>
            </w:r>
          </w:p>
        </w:tc>
        <w:tc>
          <w:tcPr>
            <w:tcW w:w="1980" w:type="dxa"/>
          </w:tcPr>
          <w:p w14:paraId="0154DDB9" w14:textId="1E7AF426" w:rsidR="00E124B3" w:rsidRDefault="00E124B3" w:rsidP="005F5526">
            <w:pPr>
              <w:pStyle w:val="tabletext"/>
            </w:pPr>
            <w:r>
              <w:t>3.63</w:t>
            </w:r>
          </w:p>
        </w:tc>
      </w:tr>
      <w:tr w:rsidR="00E124B3" w:rsidRPr="00231CBA" w14:paraId="220963BF" w14:textId="77777777" w:rsidTr="005F5526">
        <w:trPr>
          <w:tblHeader/>
        </w:trPr>
        <w:tc>
          <w:tcPr>
            <w:tcW w:w="5760" w:type="dxa"/>
          </w:tcPr>
          <w:p w14:paraId="1C8ADAD3" w14:textId="5D445AF2" w:rsidR="00E124B3" w:rsidRDefault="00E124B3" w:rsidP="005F5526">
            <w:pPr>
              <w:pStyle w:val="tabletext"/>
            </w:pPr>
            <w:r>
              <w:t>Part 1, item 14, paragraph 738ZA(3b)</w:t>
            </w:r>
          </w:p>
        </w:tc>
        <w:tc>
          <w:tcPr>
            <w:tcW w:w="1980" w:type="dxa"/>
          </w:tcPr>
          <w:p w14:paraId="15F98FAC" w14:textId="2261D779" w:rsidR="00E124B3" w:rsidRDefault="00E124B3" w:rsidP="005F5526">
            <w:pPr>
              <w:pStyle w:val="tabletext"/>
            </w:pPr>
            <w:r>
              <w:t>3.63</w:t>
            </w:r>
          </w:p>
        </w:tc>
      </w:tr>
      <w:tr w:rsidR="00E124B3" w:rsidRPr="00231CBA" w14:paraId="5DCDF20B" w14:textId="77777777" w:rsidTr="005F5526">
        <w:trPr>
          <w:tblHeader/>
        </w:trPr>
        <w:tc>
          <w:tcPr>
            <w:tcW w:w="5760" w:type="dxa"/>
          </w:tcPr>
          <w:p w14:paraId="082C5742" w14:textId="40CB7201" w:rsidR="00E124B3" w:rsidRDefault="00E124B3" w:rsidP="005F5526">
            <w:pPr>
              <w:pStyle w:val="tabletext"/>
            </w:pPr>
            <w:r>
              <w:t>Part 1, item 14, subsection 738ZA(5)</w:t>
            </w:r>
          </w:p>
        </w:tc>
        <w:tc>
          <w:tcPr>
            <w:tcW w:w="1980" w:type="dxa"/>
          </w:tcPr>
          <w:p w14:paraId="281C3946" w14:textId="57E15A51" w:rsidR="00E124B3" w:rsidRDefault="00E124B3" w:rsidP="005F5526">
            <w:pPr>
              <w:pStyle w:val="tabletext"/>
            </w:pPr>
            <w:r>
              <w:t>3.64</w:t>
            </w:r>
          </w:p>
        </w:tc>
      </w:tr>
      <w:tr w:rsidR="00E124B3" w:rsidRPr="00231CBA" w14:paraId="1FF878DF" w14:textId="77777777" w:rsidTr="005F5526">
        <w:trPr>
          <w:tblHeader/>
        </w:trPr>
        <w:tc>
          <w:tcPr>
            <w:tcW w:w="5760" w:type="dxa"/>
          </w:tcPr>
          <w:p w14:paraId="663683B4" w14:textId="1A41D6C9" w:rsidR="00E124B3" w:rsidRDefault="00E124B3" w:rsidP="005F5526">
            <w:pPr>
              <w:pStyle w:val="tabletext"/>
            </w:pPr>
            <w:r>
              <w:t>Part 1, item 14, paragraphs 738ZA(5)(a) and (b)</w:t>
            </w:r>
          </w:p>
        </w:tc>
        <w:tc>
          <w:tcPr>
            <w:tcW w:w="1980" w:type="dxa"/>
          </w:tcPr>
          <w:p w14:paraId="546774CB" w14:textId="6AD99357" w:rsidR="00E124B3" w:rsidRDefault="00E124B3" w:rsidP="005F5526">
            <w:pPr>
              <w:pStyle w:val="tabletext"/>
            </w:pPr>
            <w:r>
              <w:t>3.65</w:t>
            </w:r>
          </w:p>
        </w:tc>
      </w:tr>
      <w:tr w:rsidR="00E124B3" w:rsidRPr="00231CBA" w14:paraId="43640407" w14:textId="77777777" w:rsidTr="005F5526">
        <w:trPr>
          <w:tblHeader/>
        </w:trPr>
        <w:tc>
          <w:tcPr>
            <w:tcW w:w="5760" w:type="dxa"/>
          </w:tcPr>
          <w:p w14:paraId="6F512DC8" w14:textId="6EFB52D0" w:rsidR="00E124B3" w:rsidRDefault="00E124B3" w:rsidP="005F5526">
            <w:pPr>
              <w:pStyle w:val="tabletext"/>
            </w:pPr>
            <w:r>
              <w:t>Part 1, item 14, subsection 738ZA(6)</w:t>
            </w:r>
          </w:p>
        </w:tc>
        <w:tc>
          <w:tcPr>
            <w:tcW w:w="1980" w:type="dxa"/>
          </w:tcPr>
          <w:p w14:paraId="18565769" w14:textId="3AA4E056" w:rsidR="00E124B3" w:rsidRDefault="00E124B3" w:rsidP="005F5526">
            <w:pPr>
              <w:pStyle w:val="tabletext"/>
            </w:pPr>
            <w:r>
              <w:t>3.67</w:t>
            </w:r>
          </w:p>
        </w:tc>
      </w:tr>
      <w:tr w:rsidR="00E124B3" w:rsidRPr="00231CBA" w14:paraId="40298396" w14:textId="77777777" w:rsidTr="005F5526">
        <w:trPr>
          <w:tblHeader/>
        </w:trPr>
        <w:tc>
          <w:tcPr>
            <w:tcW w:w="5760" w:type="dxa"/>
          </w:tcPr>
          <w:p w14:paraId="5AF7F854" w14:textId="13A9DF32" w:rsidR="00E124B3" w:rsidRDefault="00E124B3" w:rsidP="005F5526">
            <w:pPr>
              <w:pStyle w:val="tabletext"/>
            </w:pPr>
            <w:r>
              <w:t>Part 1, item 14, subsection 738ZA(7)</w:t>
            </w:r>
          </w:p>
        </w:tc>
        <w:tc>
          <w:tcPr>
            <w:tcW w:w="1980" w:type="dxa"/>
          </w:tcPr>
          <w:p w14:paraId="75FE8461" w14:textId="76E44280" w:rsidR="00E124B3" w:rsidRDefault="00E124B3" w:rsidP="005F5526">
            <w:pPr>
              <w:pStyle w:val="tabletext"/>
            </w:pPr>
            <w:r>
              <w:t>3.68</w:t>
            </w:r>
          </w:p>
        </w:tc>
      </w:tr>
      <w:tr w:rsidR="00E124B3" w:rsidRPr="00231CBA" w14:paraId="45F3CABA" w14:textId="77777777" w:rsidTr="005F5526">
        <w:trPr>
          <w:tblHeader/>
        </w:trPr>
        <w:tc>
          <w:tcPr>
            <w:tcW w:w="5760" w:type="dxa"/>
          </w:tcPr>
          <w:p w14:paraId="6717382F" w14:textId="34B52035" w:rsidR="00E124B3" w:rsidRDefault="00E124B3" w:rsidP="005F5526">
            <w:pPr>
              <w:pStyle w:val="tabletext"/>
            </w:pPr>
            <w:r>
              <w:t>Part 1, item 14, subsection 738ZA(8)</w:t>
            </w:r>
          </w:p>
        </w:tc>
        <w:tc>
          <w:tcPr>
            <w:tcW w:w="1980" w:type="dxa"/>
          </w:tcPr>
          <w:p w14:paraId="00D351BF" w14:textId="23A16001" w:rsidR="00E124B3" w:rsidRDefault="00E124B3" w:rsidP="005F5526">
            <w:pPr>
              <w:pStyle w:val="tabletext"/>
            </w:pPr>
            <w:r>
              <w:t>3.70</w:t>
            </w:r>
          </w:p>
        </w:tc>
      </w:tr>
      <w:tr w:rsidR="00E124B3" w:rsidRPr="00231CBA" w14:paraId="6D5C4837" w14:textId="77777777" w:rsidTr="005F5526">
        <w:trPr>
          <w:tblHeader/>
        </w:trPr>
        <w:tc>
          <w:tcPr>
            <w:tcW w:w="5760" w:type="dxa"/>
          </w:tcPr>
          <w:p w14:paraId="20A8B510" w14:textId="084B64F4" w:rsidR="00E124B3" w:rsidRDefault="00E124B3" w:rsidP="005F5526">
            <w:pPr>
              <w:pStyle w:val="tabletext"/>
            </w:pPr>
            <w:r>
              <w:t>Part 1, item 14, paragraph 738ZA(9)(a)</w:t>
            </w:r>
          </w:p>
        </w:tc>
        <w:tc>
          <w:tcPr>
            <w:tcW w:w="1980" w:type="dxa"/>
          </w:tcPr>
          <w:p w14:paraId="0336EE30" w14:textId="4F6C93EB" w:rsidR="00E124B3" w:rsidRDefault="00E124B3" w:rsidP="005F5526">
            <w:pPr>
              <w:pStyle w:val="tabletext"/>
            </w:pPr>
            <w:r>
              <w:t>3.72</w:t>
            </w:r>
          </w:p>
        </w:tc>
      </w:tr>
      <w:tr w:rsidR="00E124B3" w:rsidRPr="00231CBA" w14:paraId="50A02E04" w14:textId="77777777" w:rsidTr="005F5526">
        <w:trPr>
          <w:tblHeader/>
        </w:trPr>
        <w:tc>
          <w:tcPr>
            <w:tcW w:w="5760" w:type="dxa"/>
          </w:tcPr>
          <w:p w14:paraId="4A2C18D5" w14:textId="2C123A87" w:rsidR="00E124B3" w:rsidRDefault="00E124B3" w:rsidP="005F5526">
            <w:pPr>
              <w:pStyle w:val="tabletext"/>
            </w:pPr>
            <w:r>
              <w:t>Part 1, item 14, paragraph 738ZA(9)(b)</w:t>
            </w:r>
          </w:p>
        </w:tc>
        <w:tc>
          <w:tcPr>
            <w:tcW w:w="1980" w:type="dxa"/>
          </w:tcPr>
          <w:p w14:paraId="18C17487" w14:textId="525C162C" w:rsidR="00E124B3" w:rsidRDefault="00E124B3" w:rsidP="005F5526">
            <w:pPr>
              <w:pStyle w:val="tabletext"/>
            </w:pPr>
            <w:r>
              <w:t>3.73</w:t>
            </w:r>
          </w:p>
        </w:tc>
      </w:tr>
      <w:tr w:rsidR="00E124B3" w:rsidRPr="00231CBA" w14:paraId="07C1A419" w14:textId="77777777" w:rsidTr="005F5526">
        <w:trPr>
          <w:tblHeader/>
        </w:trPr>
        <w:tc>
          <w:tcPr>
            <w:tcW w:w="5760" w:type="dxa"/>
          </w:tcPr>
          <w:p w14:paraId="3526B0CC" w14:textId="2AC111E0" w:rsidR="00E124B3" w:rsidRDefault="00E124B3" w:rsidP="005F5526">
            <w:pPr>
              <w:pStyle w:val="tabletext"/>
            </w:pPr>
            <w:r>
              <w:t>Part 1, item 14, subsection 738ZB(1)</w:t>
            </w:r>
          </w:p>
        </w:tc>
        <w:tc>
          <w:tcPr>
            <w:tcW w:w="1980" w:type="dxa"/>
          </w:tcPr>
          <w:p w14:paraId="28595FEC" w14:textId="4BD77A18" w:rsidR="00E124B3" w:rsidRDefault="00E124B3" w:rsidP="005F5526">
            <w:pPr>
              <w:pStyle w:val="tabletext"/>
            </w:pPr>
            <w:r>
              <w:t>3.75</w:t>
            </w:r>
          </w:p>
        </w:tc>
      </w:tr>
      <w:tr w:rsidR="00E124B3" w:rsidRPr="00231CBA" w14:paraId="23893389" w14:textId="77777777" w:rsidTr="005F5526">
        <w:trPr>
          <w:tblHeader/>
        </w:trPr>
        <w:tc>
          <w:tcPr>
            <w:tcW w:w="5760" w:type="dxa"/>
          </w:tcPr>
          <w:p w14:paraId="1BCD3B2A" w14:textId="618AD786" w:rsidR="00E124B3" w:rsidRDefault="00E124B3" w:rsidP="005F5526">
            <w:pPr>
              <w:pStyle w:val="tabletext"/>
            </w:pPr>
            <w:r>
              <w:t>Part 1, item 14, subsections 738L(8) and 738ZB(2)</w:t>
            </w:r>
          </w:p>
        </w:tc>
        <w:tc>
          <w:tcPr>
            <w:tcW w:w="1980" w:type="dxa"/>
          </w:tcPr>
          <w:p w14:paraId="2B638244" w14:textId="267B17D5" w:rsidR="00E124B3" w:rsidRDefault="00E124B3" w:rsidP="005F5526">
            <w:pPr>
              <w:pStyle w:val="tabletext"/>
            </w:pPr>
            <w:r>
              <w:t>3.76</w:t>
            </w:r>
          </w:p>
        </w:tc>
      </w:tr>
      <w:tr w:rsidR="00E124B3" w:rsidRPr="00231CBA" w14:paraId="19F35C44" w14:textId="77777777" w:rsidTr="005F5526">
        <w:trPr>
          <w:tblHeader/>
        </w:trPr>
        <w:tc>
          <w:tcPr>
            <w:tcW w:w="5760" w:type="dxa"/>
          </w:tcPr>
          <w:p w14:paraId="409329ED" w14:textId="282763BD" w:rsidR="00E124B3" w:rsidRDefault="00E124B3" w:rsidP="005F5526">
            <w:pPr>
              <w:pStyle w:val="tabletext"/>
            </w:pPr>
            <w:r>
              <w:t>Part 1, item 14, subsections 738ZB(3) and (4)</w:t>
            </w:r>
          </w:p>
        </w:tc>
        <w:tc>
          <w:tcPr>
            <w:tcW w:w="1980" w:type="dxa"/>
          </w:tcPr>
          <w:p w14:paraId="68BC46C2" w14:textId="0A2A04A2" w:rsidR="00E124B3" w:rsidRDefault="00E124B3" w:rsidP="005F5526">
            <w:pPr>
              <w:pStyle w:val="tabletext"/>
            </w:pPr>
            <w:r>
              <w:t>3.77</w:t>
            </w:r>
          </w:p>
        </w:tc>
      </w:tr>
      <w:tr w:rsidR="00E124B3" w:rsidRPr="00231CBA" w14:paraId="54DD250D" w14:textId="77777777" w:rsidTr="005F5526">
        <w:trPr>
          <w:tblHeader/>
        </w:trPr>
        <w:tc>
          <w:tcPr>
            <w:tcW w:w="5760" w:type="dxa"/>
          </w:tcPr>
          <w:p w14:paraId="686AD98F" w14:textId="42E3401C" w:rsidR="00E124B3" w:rsidRDefault="00E124B3" w:rsidP="005F5526">
            <w:pPr>
              <w:pStyle w:val="tabletext"/>
            </w:pPr>
            <w:r>
              <w:t>Part 1, item 14, subsection 738ZB(5) and item 34, item 245P in the table to Schedule 3</w:t>
            </w:r>
          </w:p>
        </w:tc>
        <w:tc>
          <w:tcPr>
            <w:tcW w:w="1980" w:type="dxa"/>
          </w:tcPr>
          <w:p w14:paraId="66292E2B" w14:textId="231F4A97" w:rsidR="00E124B3" w:rsidRDefault="00E124B3" w:rsidP="005F5526">
            <w:pPr>
              <w:pStyle w:val="tabletext"/>
            </w:pPr>
            <w:r>
              <w:t>3.78</w:t>
            </w:r>
          </w:p>
        </w:tc>
      </w:tr>
      <w:tr w:rsidR="00E124B3" w:rsidRPr="00231CBA" w14:paraId="6E0D08DB" w14:textId="77777777" w:rsidTr="005F5526">
        <w:trPr>
          <w:tblHeader/>
        </w:trPr>
        <w:tc>
          <w:tcPr>
            <w:tcW w:w="5760" w:type="dxa"/>
          </w:tcPr>
          <w:p w14:paraId="04FB1BD0" w14:textId="0D7A3C53" w:rsidR="00E124B3" w:rsidRDefault="00E124B3" w:rsidP="005F5526">
            <w:pPr>
              <w:pStyle w:val="tabletext"/>
            </w:pPr>
            <w:r>
              <w:t>Part 1, item 14, section 738Z</w:t>
            </w:r>
            <w:r w:rsidR="002A554D">
              <w:t>J</w:t>
            </w:r>
          </w:p>
        </w:tc>
        <w:tc>
          <w:tcPr>
            <w:tcW w:w="1980" w:type="dxa"/>
          </w:tcPr>
          <w:p w14:paraId="3066AD24" w14:textId="42D0AF70" w:rsidR="00E124B3" w:rsidRDefault="00E124B3" w:rsidP="005F5526">
            <w:pPr>
              <w:pStyle w:val="tabletext"/>
            </w:pPr>
            <w:r>
              <w:t>3.80</w:t>
            </w:r>
          </w:p>
        </w:tc>
      </w:tr>
      <w:tr w:rsidR="00E124B3" w:rsidRPr="00231CBA" w14:paraId="5CFC261F" w14:textId="77777777" w:rsidTr="005F5526">
        <w:trPr>
          <w:tblHeader/>
        </w:trPr>
        <w:tc>
          <w:tcPr>
            <w:tcW w:w="5760" w:type="dxa"/>
          </w:tcPr>
          <w:p w14:paraId="74C77592" w14:textId="504F49E1" w:rsidR="00E124B3" w:rsidRDefault="00E124B3" w:rsidP="005F5526">
            <w:pPr>
              <w:pStyle w:val="tabletext"/>
            </w:pPr>
            <w:r>
              <w:t>Part 1, item 14, section 738E</w:t>
            </w:r>
          </w:p>
        </w:tc>
        <w:tc>
          <w:tcPr>
            <w:tcW w:w="1980" w:type="dxa"/>
          </w:tcPr>
          <w:p w14:paraId="22F64685" w14:textId="0CD215AE" w:rsidR="00E124B3" w:rsidRDefault="00E124B3" w:rsidP="005F5526">
            <w:pPr>
              <w:pStyle w:val="tabletext"/>
            </w:pPr>
            <w:r>
              <w:t>2.7</w:t>
            </w:r>
          </w:p>
        </w:tc>
      </w:tr>
      <w:tr w:rsidR="00E124B3" w:rsidRPr="00231CBA" w14:paraId="7A82D308" w14:textId="77777777" w:rsidTr="005F5526">
        <w:trPr>
          <w:tblHeader/>
        </w:trPr>
        <w:tc>
          <w:tcPr>
            <w:tcW w:w="5760" w:type="dxa"/>
          </w:tcPr>
          <w:p w14:paraId="1C538A23" w14:textId="07E6CB0D" w:rsidR="00E124B3" w:rsidRDefault="00E124B3" w:rsidP="005F5526">
            <w:pPr>
              <w:pStyle w:val="tabletext"/>
            </w:pPr>
            <w:r>
              <w:t>Part 1, item 14, subsection 738ZH</w:t>
            </w:r>
          </w:p>
        </w:tc>
        <w:tc>
          <w:tcPr>
            <w:tcW w:w="1980" w:type="dxa"/>
          </w:tcPr>
          <w:p w14:paraId="4BE710F8" w14:textId="3C086FD7" w:rsidR="00E124B3" w:rsidRDefault="00E124B3" w:rsidP="005F5526">
            <w:pPr>
              <w:pStyle w:val="tabletext"/>
            </w:pPr>
            <w:r>
              <w:t>2.10</w:t>
            </w:r>
          </w:p>
        </w:tc>
      </w:tr>
      <w:tr w:rsidR="00E124B3" w:rsidRPr="00231CBA" w14:paraId="7FD635EE" w14:textId="77777777" w:rsidTr="005F5526">
        <w:trPr>
          <w:tblHeader/>
        </w:trPr>
        <w:tc>
          <w:tcPr>
            <w:tcW w:w="5760" w:type="dxa"/>
          </w:tcPr>
          <w:p w14:paraId="32C48A64" w14:textId="57DFF028" w:rsidR="00E124B3" w:rsidRDefault="00E124B3" w:rsidP="005F5526">
            <w:pPr>
              <w:pStyle w:val="tabletext"/>
            </w:pPr>
            <w:r>
              <w:t>Part 1, item 14, paragraphs 738F(1)(a) and (b), subsection 738F(2)</w:t>
            </w:r>
          </w:p>
        </w:tc>
        <w:tc>
          <w:tcPr>
            <w:tcW w:w="1980" w:type="dxa"/>
          </w:tcPr>
          <w:p w14:paraId="38FDE8BC" w14:textId="450D22BF" w:rsidR="00E124B3" w:rsidRDefault="00E124B3" w:rsidP="005F5526">
            <w:pPr>
              <w:pStyle w:val="tabletext"/>
            </w:pPr>
            <w:r>
              <w:t>3.85</w:t>
            </w:r>
          </w:p>
        </w:tc>
      </w:tr>
      <w:tr w:rsidR="00E124B3" w:rsidRPr="00231CBA" w14:paraId="38C07806" w14:textId="77777777" w:rsidTr="005F5526">
        <w:trPr>
          <w:tblHeader/>
        </w:trPr>
        <w:tc>
          <w:tcPr>
            <w:tcW w:w="5760" w:type="dxa"/>
          </w:tcPr>
          <w:p w14:paraId="4133E4D4" w14:textId="4AC93FE4" w:rsidR="00E124B3" w:rsidRDefault="00E124B3" w:rsidP="005F5526">
            <w:pPr>
              <w:pStyle w:val="tabletext"/>
            </w:pPr>
            <w:r>
              <w:t>Part 1, item 14, paragraph 738F(1)(c)</w:t>
            </w:r>
          </w:p>
        </w:tc>
        <w:tc>
          <w:tcPr>
            <w:tcW w:w="1980" w:type="dxa"/>
          </w:tcPr>
          <w:p w14:paraId="7EDE7F24" w14:textId="25A4F322" w:rsidR="00E124B3" w:rsidRDefault="00E124B3" w:rsidP="005F5526">
            <w:pPr>
              <w:pStyle w:val="tabletext"/>
            </w:pPr>
            <w:r>
              <w:t>3.86</w:t>
            </w:r>
          </w:p>
        </w:tc>
      </w:tr>
      <w:tr w:rsidR="00E124B3" w:rsidRPr="00231CBA" w14:paraId="777FFEFF" w14:textId="77777777" w:rsidTr="005F5526">
        <w:trPr>
          <w:tblHeader/>
        </w:trPr>
        <w:tc>
          <w:tcPr>
            <w:tcW w:w="5760" w:type="dxa"/>
          </w:tcPr>
          <w:p w14:paraId="55F048F6" w14:textId="04666FA8" w:rsidR="00E124B3" w:rsidRDefault="00E124B3" w:rsidP="005F5526">
            <w:pPr>
              <w:pStyle w:val="tabletext"/>
            </w:pPr>
            <w:r>
              <w:t>Part 1, item 14, subsection 738F(3)</w:t>
            </w:r>
          </w:p>
        </w:tc>
        <w:tc>
          <w:tcPr>
            <w:tcW w:w="1980" w:type="dxa"/>
          </w:tcPr>
          <w:p w14:paraId="7E2BF5C2" w14:textId="68D62C9D" w:rsidR="00E124B3" w:rsidRDefault="00E124B3" w:rsidP="005F5526">
            <w:pPr>
              <w:pStyle w:val="tabletext"/>
            </w:pPr>
            <w:r>
              <w:t>3.87</w:t>
            </w:r>
          </w:p>
        </w:tc>
      </w:tr>
      <w:tr w:rsidR="00E124B3" w:rsidRPr="00231CBA" w14:paraId="275F7ADB" w14:textId="77777777" w:rsidTr="005F5526">
        <w:trPr>
          <w:tblHeader/>
        </w:trPr>
        <w:tc>
          <w:tcPr>
            <w:tcW w:w="5760" w:type="dxa"/>
          </w:tcPr>
          <w:p w14:paraId="1752FA90" w14:textId="14F8F1F0" w:rsidR="00E124B3" w:rsidRDefault="00E124B3" w:rsidP="005F5526">
            <w:pPr>
              <w:pStyle w:val="tabletext"/>
            </w:pPr>
            <w:r>
              <w:t>Part 1, item 14, subsection 738J(1)</w:t>
            </w:r>
          </w:p>
        </w:tc>
        <w:tc>
          <w:tcPr>
            <w:tcW w:w="1980" w:type="dxa"/>
          </w:tcPr>
          <w:p w14:paraId="656323C0" w14:textId="2D663784" w:rsidR="00E124B3" w:rsidRDefault="00E124B3" w:rsidP="005F5526">
            <w:pPr>
              <w:pStyle w:val="tabletext"/>
            </w:pPr>
            <w:r>
              <w:t>4.7</w:t>
            </w:r>
          </w:p>
        </w:tc>
      </w:tr>
      <w:tr w:rsidR="00E124B3" w:rsidRPr="00231CBA" w14:paraId="649DCF93" w14:textId="77777777" w:rsidTr="005F5526">
        <w:trPr>
          <w:tblHeader/>
        </w:trPr>
        <w:tc>
          <w:tcPr>
            <w:tcW w:w="5760" w:type="dxa"/>
          </w:tcPr>
          <w:p w14:paraId="672E8183" w14:textId="0B5C9FE1" w:rsidR="00E124B3" w:rsidRDefault="00E124B3" w:rsidP="00AC3D95">
            <w:pPr>
              <w:pStyle w:val="tabletext"/>
            </w:pPr>
            <w:r>
              <w:t>Part 1</w:t>
            </w:r>
            <w:r w:rsidR="00AC3D95">
              <w:t>, item 14, subsection 738J(2)</w:t>
            </w:r>
          </w:p>
        </w:tc>
        <w:tc>
          <w:tcPr>
            <w:tcW w:w="1980" w:type="dxa"/>
          </w:tcPr>
          <w:p w14:paraId="7E2B77BF" w14:textId="402AD9BC" w:rsidR="00E124B3" w:rsidRDefault="00E124B3" w:rsidP="005F5526">
            <w:pPr>
              <w:pStyle w:val="tabletext"/>
            </w:pPr>
            <w:r>
              <w:t>4.8</w:t>
            </w:r>
          </w:p>
        </w:tc>
      </w:tr>
      <w:tr w:rsidR="00E124B3" w:rsidRPr="00231CBA" w14:paraId="66852E64" w14:textId="77777777" w:rsidTr="005F5526">
        <w:trPr>
          <w:tblHeader/>
        </w:trPr>
        <w:tc>
          <w:tcPr>
            <w:tcW w:w="5760" w:type="dxa"/>
          </w:tcPr>
          <w:p w14:paraId="31D76919" w14:textId="1E5195C3" w:rsidR="00E124B3" w:rsidRDefault="00E124B3" w:rsidP="005F5526">
            <w:pPr>
              <w:pStyle w:val="tabletext"/>
            </w:pPr>
            <w:r>
              <w:t>Part 1, item 14, section 738K</w:t>
            </w:r>
          </w:p>
        </w:tc>
        <w:tc>
          <w:tcPr>
            <w:tcW w:w="1980" w:type="dxa"/>
          </w:tcPr>
          <w:p w14:paraId="2FE7B12F" w14:textId="3AEB0EBD" w:rsidR="00E124B3" w:rsidRDefault="00E124B3" w:rsidP="005F5526">
            <w:pPr>
              <w:pStyle w:val="tabletext"/>
            </w:pPr>
            <w:r>
              <w:t>4.10</w:t>
            </w:r>
          </w:p>
        </w:tc>
      </w:tr>
      <w:tr w:rsidR="00E124B3" w:rsidRPr="00231CBA" w14:paraId="0463BC38" w14:textId="77777777" w:rsidTr="005F5526">
        <w:trPr>
          <w:tblHeader/>
        </w:trPr>
        <w:tc>
          <w:tcPr>
            <w:tcW w:w="5760" w:type="dxa"/>
          </w:tcPr>
          <w:p w14:paraId="2398BA09" w14:textId="01386818" w:rsidR="00E124B3" w:rsidRDefault="00E124B3" w:rsidP="005F5526">
            <w:pPr>
              <w:pStyle w:val="tabletext"/>
            </w:pPr>
            <w:r>
              <w:t>Part 1, item 14, subsection 738L(1)</w:t>
            </w:r>
          </w:p>
        </w:tc>
        <w:tc>
          <w:tcPr>
            <w:tcW w:w="1980" w:type="dxa"/>
          </w:tcPr>
          <w:p w14:paraId="3525C0D7" w14:textId="445725CC" w:rsidR="00E124B3" w:rsidRDefault="00E124B3" w:rsidP="005F5526">
            <w:pPr>
              <w:pStyle w:val="tabletext"/>
            </w:pPr>
            <w:r>
              <w:t>4.12, 4.15</w:t>
            </w:r>
          </w:p>
        </w:tc>
      </w:tr>
      <w:tr w:rsidR="00E124B3" w:rsidRPr="00231CBA" w14:paraId="62F02590" w14:textId="77777777" w:rsidTr="005F5526">
        <w:trPr>
          <w:tblHeader/>
        </w:trPr>
        <w:tc>
          <w:tcPr>
            <w:tcW w:w="5760" w:type="dxa"/>
          </w:tcPr>
          <w:p w14:paraId="33106FC9" w14:textId="31DDE11A" w:rsidR="00E124B3" w:rsidRDefault="00E124B3" w:rsidP="005F5526">
            <w:pPr>
              <w:pStyle w:val="tabletext"/>
            </w:pPr>
            <w:r>
              <w:t>Part 1, item 14, subsection 738L(2)</w:t>
            </w:r>
          </w:p>
        </w:tc>
        <w:tc>
          <w:tcPr>
            <w:tcW w:w="1980" w:type="dxa"/>
          </w:tcPr>
          <w:p w14:paraId="189D3B14" w14:textId="2811697B" w:rsidR="00E124B3" w:rsidRDefault="00E124B3" w:rsidP="005F5526">
            <w:pPr>
              <w:pStyle w:val="tabletext"/>
            </w:pPr>
            <w:r>
              <w:t>4.17</w:t>
            </w:r>
          </w:p>
        </w:tc>
      </w:tr>
      <w:tr w:rsidR="00E124B3" w:rsidRPr="00231CBA" w14:paraId="532C0712" w14:textId="77777777" w:rsidTr="005F5526">
        <w:trPr>
          <w:tblHeader/>
        </w:trPr>
        <w:tc>
          <w:tcPr>
            <w:tcW w:w="5760" w:type="dxa"/>
          </w:tcPr>
          <w:p w14:paraId="67F60E21" w14:textId="2569031D" w:rsidR="00E124B3" w:rsidRDefault="00E124B3" w:rsidP="005F5526">
            <w:pPr>
              <w:pStyle w:val="tabletext"/>
            </w:pPr>
            <w:r>
              <w:t xml:space="preserve">Part 1, item 14, subsection 738L(3) and item 34, item 245A </w:t>
            </w:r>
            <w:r w:rsidR="00C13BCD">
              <w:t>in</w:t>
            </w:r>
            <w:r>
              <w:t xml:space="preserve"> the table to Schedule 3</w:t>
            </w:r>
          </w:p>
        </w:tc>
        <w:tc>
          <w:tcPr>
            <w:tcW w:w="1980" w:type="dxa"/>
          </w:tcPr>
          <w:p w14:paraId="6588FBAD" w14:textId="45DB5AB2" w:rsidR="00E124B3" w:rsidRDefault="00E124B3" w:rsidP="005F5526">
            <w:pPr>
              <w:pStyle w:val="tabletext"/>
            </w:pPr>
            <w:r>
              <w:t>4.18</w:t>
            </w:r>
          </w:p>
        </w:tc>
      </w:tr>
      <w:tr w:rsidR="00E124B3" w:rsidRPr="00231CBA" w14:paraId="4B915B14" w14:textId="77777777" w:rsidTr="005F5526">
        <w:trPr>
          <w:tblHeader/>
        </w:trPr>
        <w:tc>
          <w:tcPr>
            <w:tcW w:w="5760" w:type="dxa"/>
          </w:tcPr>
          <w:p w14:paraId="6FC84B3C" w14:textId="225FE928" w:rsidR="00E124B3" w:rsidRDefault="00E124B3" w:rsidP="005F5526">
            <w:pPr>
              <w:pStyle w:val="tabletext"/>
            </w:pPr>
            <w:r>
              <w:t>Part 1, item 14, subsection 738R(1)</w:t>
            </w:r>
          </w:p>
        </w:tc>
        <w:tc>
          <w:tcPr>
            <w:tcW w:w="1980" w:type="dxa"/>
          </w:tcPr>
          <w:p w14:paraId="71FB2A44" w14:textId="548063AB" w:rsidR="00E124B3" w:rsidRDefault="00E124B3" w:rsidP="005F5526">
            <w:pPr>
              <w:pStyle w:val="tabletext"/>
            </w:pPr>
            <w:r>
              <w:t>4.21</w:t>
            </w:r>
          </w:p>
        </w:tc>
      </w:tr>
      <w:tr w:rsidR="00E124B3" w:rsidRPr="00231CBA" w14:paraId="48F0250B" w14:textId="77777777" w:rsidTr="005F5526">
        <w:trPr>
          <w:tblHeader/>
        </w:trPr>
        <w:tc>
          <w:tcPr>
            <w:tcW w:w="5760" w:type="dxa"/>
          </w:tcPr>
          <w:p w14:paraId="3CAF70E8" w14:textId="3FCA018B" w:rsidR="00E124B3" w:rsidRDefault="00E124B3" w:rsidP="005F5526">
            <w:pPr>
              <w:pStyle w:val="tabletext"/>
            </w:pPr>
            <w:r>
              <w:t>Part 1, item 14, subsection 738R(2)</w:t>
            </w:r>
          </w:p>
        </w:tc>
        <w:tc>
          <w:tcPr>
            <w:tcW w:w="1980" w:type="dxa"/>
          </w:tcPr>
          <w:p w14:paraId="318B52B1" w14:textId="43AA1693" w:rsidR="00E124B3" w:rsidRDefault="00E124B3" w:rsidP="005F5526">
            <w:pPr>
              <w:pStyle w:val="tabletext"/>
            </w:pPr>
            <w:r>
              <w:t>4.22</w:t>
            </w:r>
          </w:p>
        </w:tc>
      </w:tr>
      <w:tr w:rsidR="00E124B3" w:rsidRPr="00231CBA" w14:paraId="46C1397A" w14:textId="77777777" w:rsidTr="005F5526">
        <w:trPr>
          <w:tblHeader/>
        </w:trPr>
        <w:tc>
          <w:tcPr>
            <w:tcW w:w="5760" w:type="dxa"/>
          </w:tcPr>
          <w:p w14:paraId="4FF3A2C5" w14:textId="7DC6EB03" w:rsidR="00E124B3" w:rsidRDefault="00E124B3" w:rsidP="005F5526">
            <w:pPr>
              <w:pStyle w:val="tabletext"/>
            </w:pPr>
            <w:r>
              <w:t>Part 1, item 14, subsection 738M(1)</w:t>
            </w:r>
          </w:p>
        </w:tc>
        <w:tc>
          <w:tcPr>
            <w:tcW w:w="1980" w:type="dxa"/>
          </w:tcPr>
          <w:p w14:paraId="50B83B21" w14:textId="5332CF4B" w:rsidR="00E124B3" w:rsidRDefault="00E124B3" w:rsidP="005F5526">
            <w:pPr>
              <w:pStyle w:val="tabletext"/>
            </w:pPr>
            <w:r>
              <w:t>4.25</w:t>
            </w:r>
          </w:p>
        </w:tc>
      </w:tr>
      <w:tr w:rsidR="00E124B3" w:rsidRPr="00231CBA" w14:paraId="66781B8C" w14:textId="77777777" w:rsidTr="005F5526">
        <w:trPr>
          <w:tblHeader/>
        </w:trPr>
        <w:tc>
          <w:tcPr>
            <w:tcW w:w="5760" w:type="dxa"/>
          </w:tcPr>
          <w:p w14:paraId="6CA0D0D8" w14:textId="28C5BE60" w:rsidR="00E124B3" w:rsidRDefault="00E124B3" w:rsidP="005F5526">
            <w:pPr>
              <w:pStyle w:val="tabletext"/>
            </w:pPr>
            <w:r>
              <w:t>Part 1, item 14, subsection 738M(2)</w:t>
            </w:r>
          </w:p>
        </w:tc>
        <w:tc>
          <w:tcPr>
            <w:tcW w:w="1980" w:type="dxa"/>
          </w:tcPr>
          <w:p w14:paraId="7078D45E" w14:textId="45252DA9" w:rsidR="00E124B3" w:rsidRDefault="00E124B3" w:rsidP="005F5526">
            <w:pPr>
              <w:pStyle w:val="tabletext"/>
            </w:pPr>
            <w:r>
              <w:t>4.26</w:t>
            </w:r>
          </w:p>
        </w:tc>
      </w:tr>
      <w:tr w:rsidR="00E124B3" w:rsidRPr="00231CBA" w14:paraId="14FE8B96" w14:textId="77777777" w:rsidTr="005F5526">
        <w:trPr>
          <w:tblHeader/>
        </w:trPr>
        <w:tc>
          <w:tcPr>
            <w:tcW w:w="5760" w:type="dxa"/>
          </w:tcPr>
          <w:p w14:paraId="3E177833" w14:textId="043DBA9C" w:rsidR="00E124B3" w:rsidRDefault="00E124B3" w:rsidP="005F5526">
            <w:pPr>
              <w:pStyle w:val="tabletext"/>
            </w:pPr>
            <w:r>
              <w:t>Part 1, item 14, subsection 738M(3)</w:t>
            </w:r>
          </w:p>
        </w:tc>
        <w:tc>
          <w:tcPr>
            <w:tcW w:w="1980" w:type="dxa"/>
          </w:tcPr>
          <w:p w14:paraId="256B007D" w14:textId="4F2CA03A" w:rsidR="00E124B3" w:rsidRDefault="00E124B3" w:rsidP="005F5526">
            <w:pPr>
              <w:pStyle w:val="tabletext"/>
            </w:pPr>
            <w:r>
              <w:t>4.27</w:t>
            </w:r>
          </w:p>
        </w:tc>
      </w:tr>
      <w:tr w:rsidR="00E124B3" w:rsidRPr="00231CBA" w14:paraId="2FFB0894" w14:textId="77777777" w:rsidTr="005F5526">
        <w:trPr>
          <w:tblHeader/>
        </w:trPr>
        <w:tc>
          <w:tcPr>
            <w:tcW w:w="5760" w:type="dxa"/>
          </w:tcPr>
          <w:p w14:paraId="789F6A52" w14:textId="48A92389" w:rsidR="00E124B3" w:rsidRDefault="00E124B3" w:rsidP="005F5526">
            <w:pPr>
              <w:pStyle w:val="tabletext"/>
            </w:pPr>
            <w:r>
              <w:t xml:space="preserve">Part 1, items 14 and 34, subsection 738M(4) and item 245B </w:t>
            </w:r>
            <w:r w:rsidR="00C13BCD">
              <w:t>in</w:t>
            </w:r>
            <w:r>
              <w:t xml:space="preserve"> the table to Schedule 3</w:t>
            </w:r>
          </w:p>
        </w:tc>
        <w:tc>
          <w:tcPr>
            <w:tcW w:w="1980" w:type="dxa"/>
          </w:tcPr>
          <w:p w14:paraId="16BEC793" w14:textId="1F092B9A" w:rsidR="00E124B3" w:rsidRDefault="00E124B3" w:rsidP="005F5526">
            <w:pPr>
              <w:pStyle w:val="tabletext"/>
            </w:pPr>
            <w:r>
              <w:t>4.29</w:t>
            </w:r>
          </w:p>
        </w:tc>
      </w:tr>
      <w:tr w:rsidR="00E124B3" w:rsidRPr="00231CBA" w14:paraId="480C692B" w14:textId="77777777" w:rsidTr="005F5526">
        <w:trPr>
          <w:tblHeader/>
        </w:trPr>
        <w:tc>
          <w:tcPr>
            <w:tcW w:w="5760" w:type="dxa"/>
          </w:tcPr>
          <w:p w14:paraId="6F610AEF" w14:textId="1F2B7F99" w:rsidR="00E124B3" w:rsidRDefault="00E124B3" w:rsidP="005F5526">
            <w:pPr>
              <w:pStyle w:val="tabletext"/>
            </w:pPr>
            <w:r>
              <w:t>Part 1, item 14, subsection 738N(2)</w:t>
            </w:r>
          </w:p>
        </w:tc>
        <w:tc>
          <w:tcPr>
            <w:tcW w:w="1980" w:type="dxa"/>
          </w:tcPr>
          <w:p w14:paraId="78ED70C7" w14:textId="62CAD66A" w:rsidR="00E124B3" w:rsidRDefault="00E124B3" w:rsidP="005F5526">
            <w:pPr>
              <w:pStyle w:val="tabletext"/>
            </w:pPr>
            <w:r>
              <w:t>4.32</w:t>
            </w:r>
          </w:p>
        </w:tc>
      </w:tr>
      <w:tr w:rsidR="00E124B3" w:rsidRPr="00231CBA" w14:paraId="161E82F9" w14:textId="77777777" w:rsidTr="005F5526">
        <w:trPr>
          <w:tblHeader/>
        </w:trPr>
        <w:tc>
          <w:tcPr>
            <w:tcW w:w="5760" w:type="dxa"/>
          </w:tcPr>
          <w:p w14:paraId="21B48993" w14:textId="2B93438E" w:rsidR="00E124B3" w:rsidRDefault="00E124B3" w:rsidP="005F5526">
            <w:pPr>
              <w:pStyle w:val="tabletext"/>
            </w:pPr>
            <w:r>
              <w:t>Part 1, item 14, subsections 738N(3) and 738(5)</w:t>
            </w:r>
          </w:p>
        </w:tc>
        <w:tc>
          <w:tcPr>
            <w:tcW w:w="1980" w:type="dxa"/>
          </w:tcPr>
          <w:p w14:paraId="260E855A" w14:textId="4B9361CC" w:rsidR="00E124B3" w:rsidRDefault="00E124B3" w:rsidP="005F5526">
            <w:pPr>
              <w:pStyle w:val="tabletext"/>
            </w:pPr>
            <w:r>
              <w:t>4.34</w:t>
            </w:r>
          </w:p>
        </w:tc>
      </w:tr>
      <w:tr w:rsidR="00E124B3" w:rsidRPr="00231CBA" w14:paraId="2E0EDA02" w14:textId="77777777" w:rsidTr="005F5526">
        <w:trPr>
          <w:tblHeader/>
        </w:trPr>
        <w:tc>
          <w:tcPr>
            <w:tcW w:w="5760" w:type="dxa"/>
          </w:tcPr>
          <w:p w14:paraId="7FF42091" w14:textId="0ACE4636" w:rsidR="00E124B3" w:rsidRDefault="00E124B3" w:rsidP="005F5526">
            <w:pPr>
              <w:pStyle w:val="tabletext"/>
            </w:pPr>
            <w:r>
              <w:t>Part 1, item 14, subsection 738N(3)</w:t>
            </w:r>
          </w:p>
        </w:tc>
        <w:tc>
          <w:tcPr>
            <w:tcW w:w="1980" w:type="dxa"/>
          </w:tcPr>
          <w:p w14:paraId="53924932" w14:textId="64E07CC1" w:rsidR="00E124B3" w:rsidRDefault="00E124B3" w:rsidP="005F5526">
            <w:pPr>
              <w:pStyle w:val="tabletext"/>
            </w:pPr>
            <w:r>
              <w:t>4.35, 5.36</w:t>
            </w:r>
          </w:p>
        </w:tc>
      </w:tr>
      <w:tr w:rsidR="00E124B3" w:rsidRPr="00231CBA" w14:paraId="5D0BE325" w14:textId="77777777" w:rsidTr="005F5526">
        <w:trPr>
          <w:tblHeader/>
        </w:trPr>
        <w:tc>
          <w:tcPr>
            <w:tcW w:w="5760" w:type="dxa"/>
          </w:tcPr>
          <w:p w14:paraId="26689891" w14:textId="2C15FB01" w:rsidR="00E124B3" w:rsidRDefault="00E124B3" w:rsidP="005F5526">
            <w:pPr>
              <w:pStyle w:val="tabletext"/>
            </w:pPr>
            <w:r>
              <w:t>Part 1, item 14, paragraph 738N(4)(a)</w:t>
            </w:r>
          </w:p>
        </w:tc>
        <w:tc>
          <w:tcPr>
            <w:tcW w:w="1980" w:type="dxa"/>
          </w:tcPr>
          <w:p w14:paraId="15B1B225" w14:textId="624B12CD" w:rsidR="00E124B3" w:rsidRDefault="00E124B3" w:rsidP="005F5526">
            <w:pPr>
              <w:pStyle w:val="tabletext"/>
            </w:pPr>
            <w:r>
              <w:t>4.37</w:t>
            </w:r>
          </w:p>
        </w:tc>
      </w:tr>
      <w:tr w:rsidR="00E124B3" w:rsidRPr="00231CBA" w14:paraId="2D96AA8D" w14:textId="77777777" w:rsidTr="005F5526">
        <w:trPr>
          <w:tblHeader/>
        </w:trPr>
        <w:tc>
          <w:tcPr>
            <w:tcW w:w="5760" w:type="dxa"/>
          </w:tcPr>
          <w:p w14:paraId="74670AC4" w14:textId="0819B38D" w:rsidR="00E124B3" w:rsidRDefault="00E124B3" w:rsidP="005F5526">
            <w:pPr>
              <w:pStyle w:val="tabletext"/>
            </w:pPr>
            <w:r>
              <w:t>Part 1, item 14, subsection 738N (7) and subsection 738ZB(2)</w:t>
            </w:r>
          </w:p>
        </w:tc>
        <w:tc>
          <w:tcPr>
            <w:tcW w:w="1980" w:type="dxa"/>
          </w:tcPr>
          <w:p w14:paraId="3014EB61" w14:textId="5D09D0E8" w:rsidR="00E124B3" w:rsidRDefault="00E124B3" w:rsidP="005F5526">
            <w:pPr>
              <w:pStyle w:val="tabletext"/>
            </w:pPr>
            <w:r>
              <w:t>4.39</w:t>
            </w:r>
          </w:p>
        </w:tc>
      </w:tr>
      <w:tr w:rsidR="00E124B3" w:rsidRPr="00231CBA" w14:paraId="49F82B44" w14:textId="77777777" w:rsidTr="005F5526">
        <w:trPr>
          <w:tblHeader/>
        </w:trPr>
        <w:tc>
          <w:tcPr>
            <w:tcW w:w="5760" w:type="dxa"/>
          </w:tcPr>
          <w:p w14:paraId="789E40E5" w14:textId="50A0B65B" w:rsidR="00E124B3" w:rsidRDefault="00E124B3" w:rsidP="005F5526">
            <w:pPr>
              <w:pStyle w:val="tabletext"/>
            </w:pPr>
            <w:r>
              <w:t>Part 1, item 14, subsection 738ZB(3)</w:t>
            </w:r>
          </w:p>
        </w:tc>
        <w:tc>
          <w:tcPr>
            <w:tcW w:w="1980" w:type="dxa"/>
          </w:tcPr>
          <w:p w14:paraId="6A2C8BB2" w14:textId="4080950E" w:rsidR="00E124B3" w:rsidRDefault="00E124B3" w:rsidP="005F5526">
            <w:pPr>
              <w:pStyle w:val="tabletext"/>
            </w:pPr>
            <w:r>
              <w:t>4.39</w:t>
            </w:r>
          </w:p>
        </w:tc>
      </w:tr>
      <w:tr w:rsidR="00E124B3" w:rsidRPr="00231CBA" w14:paraId="2557E13C" w14:textId="77777777" w:rsidTr="005F5526">
        <w:trPr>
          <w:tblHeader/>
        </w:trPr>
        <w:tc>
          <w:tcPr>
            <w:tcW w:w="5760" w:type="dxa"/>
          </w:tcPr>
          <w:p w14:paraId="04058248" w14:textId="37687CA9" w:rsidR="00E124B3" w:rsidRDefault="00E124B3" w:rsidP="005F5526">
            <w:pPr>
              <w:pStyle w:val="tabletext"/>
            </w:pPr>
            <w:r>
              <w:t>Part 1, item 14, subsection 738P(2)</w:t>
            </w:r>
          </w:p>
        </w:tc>
        <w:tc>
          <w:tcPr>
            <w:tcW w:w="1980" w:type="dxa"/>
          </w:tcPr>
          <w:p w14:paraId="6263AFB0" w14:textId="604BA1D8" w:rsidR="00E124B3" w:rsidRDefault="00E124B3" w:rsidP="005F5526">
            <w:pPr>
              <w:pStyle w:val="tabletext"/>
            </w:pPr>
            <w:r>
              <w:t>4.40, 4.43, 4.46</w:t>
            </w:r>
          </w:p>
        </w:tc>
      </w:tr>
      <w:tr w:rsidR="00E124B3" w:rsidRPr="00231CBA" w14:paraId="2137B8BB" w14:textId="77777777" w:rsidTr="005F5526">
        <w:trPr>
          <w:tblHeader/>
        </w:trPr>
        <w:tc>
          <w:tcPr>
            <w:tcW w:w="5760" w:type="dxa"/>
          </w:tcPr>
          <w:p w14:paraId="79C587A1" w14:textId="71B69261" w:rsidR="00E124B3" w:rsidRDefault="00E124B3" w:rsidP="005F5526">
            <w:pPr>
              <w:pStyle w:val="tabletext"/>
            </w:pPr>
            <w:r>
              <w:t>Part 1, item 14, paragraph 738N(4)(b)</w:t>
            </w:r>
          </w:p>
        </w:tc>
        <w:tc>
          <w:tcPr>
            <w:tcW w:w="1980" w:type="dxa"/>
          </w:tcPr>
          <w:p w14:paraId="29F11823" w14:textId="20C60D29" w:rsidR="00E124B3" w:rsidRDefault="00E124B3" w:rsidP="005F5526">
            <w:pPr>
              <w:pStyle w:val="tabletext"/>
            </w:pPr>
            <w:r>
              <w:t>4.41, 5.36</w:t>
            </w:r>
          </w:p>
        </w:tc>
      </w:tr>
      <w:tr w:rsidR="00E124B3" w:rsidRPr="00231CBA" w14:paraId="78DA3AFC" w14:textId="77777777" w:rsidTr="005F5526">
        <w:trPr>
          <w:tblHeader/>
        </w:trPr>
        <w:tc>
          <w:tcPr>
            <w:tcW w:w="5760" w:type="dxa"/>
          </w:tcPr>
          <w:p w14:paraId="1B0824E1" w14:textId="6715BC0C" w:rsidR="00E124B3" w:rsidRDefault="00E124B3" w:rsidP="005F5526">
            <w:pPr>
              <w:pStyle w:val="tabletext"/>
            </w:pPr>
            <w:r>
              <w:t>Part 1, item 14, subsection 738L(7) and paragraph 738N(4)(c)</w:t>
            </w:r>
          </w:p>
        </w:tc>
        <w:tc>
          <w:tcPr>
            <w:tcW w:w="1980" w:type="dxa"/>
          </w:tcPr>
          <w:p w14:paraId="227B8CEE" w14:textId="47DC04C8" w:rsidR="00E124B3" w:rsidRDefault="00E124B3" w:rsidP="005F5526">
            <w:pPr>
              <w:pStyle w:val="tabletext"/>
            </w:pPr>
            <w:r>
              <w:t>4.44</w:t>
            </w:r>
          </w:p>
        </w:tc>
      </w:tr>
      <w:tr w:rsidR="00E124B3" w:rsidRPr="00231CBA" w14:paraId="1E937305" w14:textId="77777777" w:rsidTr="005F5526">
        <w:trPr>
          <w:tblHeader/>
        </w:trPr>
        <w:tc>
          <w:tcPr>
            <w:tcW w:w="5760" w:type="dxa"/>
          </w:tcPr>
          <w:p w14:paraId="48A780E2" w14:textId="19B04589" w:rsidR="00E124B3" w:rsidRDefault="00E124B3" w:rsidP="005F5526">
            <w:pPr>
              <w:pStyle w:val="tabletext"/>
            </w:pPr>
            <w:r>
              <w:t>Part 1, item 14, paragraph 738ZB(4)(b)</w:t>
            </w:r>
          </w:p>
        </w:tc>
        <w:tc>
          <w:tcPr>
            <w:tcW w:w="1980" w:type="dxa"/>
          </w:tcPr>
          <w:p w14:paraId="5D0832D8" w14:textId="02B0F57C" w:rsidR="00E124B3" w:rsidRDefault="00E124B3" w:rsidP="005F5526">
            <w:pPr>
              <w:pStyle w:val="tabletext"/>
            </w:pPr>
            <w:r>
              <w:t>4.45, 6.12</w:t>
            </w:r>
          </w:p>
        </w:tc>
      </w:tr>
      <w:tr w:rsidR="00E124B3" w:rsidRPr="00231CBA" w14:paraId="250157B4" w14:textId="77777777" w:rsidTr="005F5526">
        <w:trPr>
          <w:tblHeader/>
        </w:trPr>
        <w:tc>
          <w:tcPr>
            <w:tcW w:w="5760" w:type="dxa"/>
          </w:tcPr>
          <w:p w14:paraId="088557BF" w14:textId="3F8E50DC" w:rsidR="00E124B3" w:rsidRDefault="00E124B3" w:rsidP="005F5526">
            <w:pPr>
              <w:pStyle w:val="tabletext"/>
            </w:pPr>
            <w:r>
              <w:t>Part 1, item 14, section 738S)</w:t>
            </w:r>
          </w:p>
        </w:tc>
        <w:tc>
          <w:tcPr>
            <w:tcW w:w="1980" w:type="dxa"/>
          </w:tcPr>
          <w:p w14:paraId="7E83E551" w14:textId="51C0D1CD" w:rsidR="00E124B3" w:rsidRDefault="00E124B3" w:rsidP="005F5526">
            <w:pPr>
              <w:pStyle w:val="tabletext"/>
            </w:pPr>
            <w:r>
              <w:t>4.47</w:t>
            </w:r>
          </w:p>
        </w:tc>
      </w:tr>
      <w:tr w:rsidR="00E124B3" w:rsidRPr="00231CBA" w14:paraId="6B2F5F54" w14:textId="77777777" w:rsidTr="005F5526">
        <w:trPr>
          <w:tblHeader/>
        </w:trPr>
        <w:tc>
          <w:tcPr>
            <w:tcW w:w="5760" w:type="dxa"/>
          </w:tcPr>
          <w:p w14:paraId="188C4139" w14:textId="13690D48" w:rsidR="00E124B3" w:rsidRDefault="00E124B3" w:rsidP="005F5526">
            <w:pPr>
              <w:pStyle w:val="tabletext"/>
            </w:pPr>
            <w:r>
              <w:t>Part 1, item 14, paragraph 738N(4)(d) and subsection 738P(1)</w:t>
            </w:r>
          </w:p>
        </w:tc>
        <w:tc>
          <w:tcPr>
            <w:tcW w:w="1980" w:type="dxa"/>
          </w:tcPr>
          <w:p w14:paraId="57AEE260" w14:textId="402F4F0F" w:rsidR="00E124B3" w:rsidRDefault="00E124B3" w:rsidP="005F5526">
            <w:pPr>
              <w:pStyle w:val="tabletext"/>
            </w:pPr>
            <w:r>
              <w:t>4.47</w:t>
            </w:r>
          </w:p>
        </w:tc>
      </w:tr>
      <w:tr w:rsidR="00E124B3" w:rsidRPr="00231CBA" w14:paraId="59CEFE3E" w14:textId="77777777" w:rsidTr="005F5526">
        <w:trPr>
          <w:tblHeader/>
        </w:trPr>
        <w:tc>
          <w:tcPr>
            <w:tcW w:w="5760" w:type="dxa"/>
          </w:tcPr>
          <w:p w14:paraId="4C7BFEF1" w14:textId="74FC6A82" w:rsidR="00E124B3" w:rsidRDefault="00E124B3" w:rsidP="005F5526">
            <w:pPr>
              <w:pStyle w:val="tabletext"/>
            </w:pPr>
            <w:r>
              <w:t>Part 1, items 14 and 34, paragraph 738N(4)(e), subsection 738P(1), item 245D in the table to Schedule 3</w:t>
            </w:r>
          </w:p>
        </w:tc>
        <w:tc>
          <w:tcPr>
            <w:tcW w:w="1980" w:type="dxa"/>
          </w:tcPr>
          <w:p w14:paraId="4BF03932" w14:textId="128F0334" w:rsidR="00E124B3" w:rsidRDefault="00E124B3" w:rsidP="005F5526">
            <w:pPr>
              <w:pStyle w:val="tabletext"/>
            </w:pPr>
            <w:r>
              <w:t>4.48</w:t>
            </w:r>
          </w:p>
        </w:tc>
      </w:tr>
      <w:tr w:rsidR="00E124B3" w:rsidRPr="00231CBA" w14:paraId="035F7BA4" w14:textId="77777777" w:rsidTr="005F5526">
        <w:trPr>
          <w:tblHeader/>
        </w:trPr>
        <w:tc>
          <w:tcPr>
            <w:tcW w:w="5760" w:type="dxa"/>
          </w:tcPr>
          <w:p w14:paraId="70943E5C" w14:textId="0116F3E3" w:rsidR="00E124B3" w:rsidRDefault="00E124B3" w:rsidP="005F5526">
            <w:pPr>
              <w:pStyle w:val="tabletext"/>
            </w:pPr>
            <w:r>
              <w:t>Part 1, item 14, paragraph 738N(7)(a)</w:t>
            </w:r>
          </w:p>
        </w:tc>
        <w:tc>
          <w:tcPr>
            <w:tcW w:w="1980" w:type="dxa"/>
          </w:tcPr>
          <w:p w14:paraId="02293EEB" w14:textId="68970381" w:rsidR="00E124B3" w:rsidRDefault="00E124B3" w:rsidP="005F5526">
            <w:pPr>
              <w:pStyle w:val="tabletext"/>
            </w:pPr>
            <w:r>
              <w:t>4.51</w:t>
            </w:r>
          </w:p>
        </w:tc>
      </w:tr>
      <w:tr w:rsidR="00E124B3" w:rsidRPr="00231CBA" w14:paraId="1B7B5F5E" w14:textId="77777777" w:rsidTr="005F5526">
        <w:trPr>
          <w:tblHeader/>
        </w:trPr>
        <w:tc>
          <w:tcPr>
            <w:tcW w:w="5760" w:type="dxa"/>
          </w:tcPr>
          <w:p w14:paraId="27A33FCE" w14:textId="67066BCB" w:rsidR="00E124B3" w:rsidRDefault="00E124B3" w:rsidP="005F5526">
            <w:pPr>
              <w:pStyle w:val="tabletext"/>
            </w:pPr>
            <w:r>
              <w:t>Part 1, item 14, paragraph 738N(7)(b)</w:t>
            </w:r>
          </w:p>
        </w:tc>
        <w:tc>
          <w:tcPr>
            <w:tcW w:w="1980" w:type="dxa"/>
          </w:tcPr>
          <w:p w14:paraId="3CD39156" w14:textId="7C6231FE" w:rsidR="00E124B3" w:rsidRDefault="00E124B3" w:rsidP="005F5526">
            <w:pPr>
              <w:pStyle w:val="tabletext"/>
            </w:pPr>
            <w:r>
              <w:t>4.52</w:t>
            </w:r>
          </w:p>
        </w:tc>
      </w:tr>
      <w:tr w:rsidR="00E124B3" w:rsidRPr="00231CBA" w14:paraId="2DD71467" w14:textId="77777777" w:rsidTr="005F5526">
        <w:trPr>
          <w:tblHeader/>
        </w:trPr>
        <w:tc>
          <w:tcPr>
            <w:tcW w:w="5760" w:type="dxa"/>
          </w:tcPr>
          <w:p w14:paraId="6EAE16B1" w14:textId="2F368DC8" w:rsidR="00E124B3" w:rsidRDefault="00E124B3" w:rsidP="005F5526">
            <w:pPr>
              <w:pStyle w:val="tabletext"/>
            </w:pPr>
            <w:r>
              <w:t>Part 1, item 14, paragraph 738N(7)(c))</w:t>
            </w:r>
          </w:p>
        </w:tc>
        <w:tc>
          <w:tcPr>
            <w:tcW w:w="1980" w:type="dxa"/>
          </w:tcPr>
          <w:p w14:paraId="27A9881A" w14:textId="5AEA0DBE" w:rsidR="00E124B3" w:rsidRDefault="00E124B3" w:rsidP="005F5526">
            <w:pPr>
              <w:pStyle w:val="tabletext"/>
            </w:pPr>
            <w:r>
              <w:t>4.53</w:t>
            </w:r>
          </w:p>
        </w:tc>
      </w:tr>
      <w:tr w:rsidR="00E124B3" w:rsidRPr="00231CBA" w14:paraId="73C7B4C5" w14:textId="77777777" w:rsidTr="005F5526">
        <w:trPr>
          <w:tblHeader/>
        </w:trPr>
        <w:tc>
          <w:tcPr>
            <w:tcW w:w="5760" w:type="dxa"/>
          </w:tcPr>
          <w:p w14:paraId="4659132A" w14:textId="4F6EDC48" w:rsidR="00E124B3" w:rsidRDefault="00E124B3" w:rsidP="005F5526">
            <w:pPr>
              <w:pStyle w:val="tabletext"/>
            </w:pPr>
            <w:r>
              <w:t>Part 1, item 14, subsection 738Y(1)</w:t>
            </w:r>
          </w:p>
        </w:tc>
        <w:tc>
          <w:tcPr>
            <w:tcW w:w="1980" w:type="dxa"/>
          </w:tcPr>
          <w:p w14:paraId="62410773" w14:textId="6B059397" w:rsidR="00E124B3" w:rsidRDefault="00E124B3" w:rsidP="005F5526">
            <w:pPr>
              <w:pStyle w:val="tabletext"/>
            </w:pPr>
            <w:r>
              <w:t>5.6</w:t>
            </w:r>
          </w:p>
        </w:tc>
      </w:tr>
      <w:tr w:rsidR="00E124B3" w:rsidRPr="00231CBA" w14:paraId="38C01397" w14:textId="77777777" w:rsidTr="005F5526">
        <w:trPr>
          <w:tblHeader/>
        </w:trPr>
        <w:tc>
          <w:tcPr>
            <w:tcW w:w="5760" w:type="dxa"/>
          </w:tcPr>
          <w:p w14:paraId="07444D51" w14:textId="3BBC4F90" w:rsidR="00E124B3" w:rsidRDefault="00E124B3" w:rsidP="005F5526">
            <w:pPr>
              <w:pStyle w:val="tabletext"/>
            </w:pPr>
            <w:r>
              <w:t>Part 1, item 14, subsection 738Y(2)</w:t>
            </w:r>
          </w:p>
        </w:tc>
        <w:tc>
          <w:tcPr>
            <w:tcW w:w="1980" w:type="dxa"/>
          </w:tcPr>
          <w:p w14:paraId="6256D897" w14:textId="42451AA2" w:rsidR="00E124B3" w:rsidRDefault="00E124B3" w:rsidP="005F5526">
            <w:pPr>
              <w:pStyle w:val="tabletext"/>
            </w:pPr>
            <w:r>
              <w:t>5.6</w:t>
            </w:r>
          </w:p>
        </w:tc>
      </w:tr>
      <w:tr w:rsidR="00E124B3" w:rsidRPr="00231CBA" w14:paraId="50786D1F" w14:textId="77777777" w:rsidTr="005F5526">
        <w:trPr>
          <w:tblHeader/>
        </w:trPr>
        <w:tc>
          <w:tcPr>
            <w:tcW w:w="5760" w:type="dxa"/>
          </w:tcPr>
          <w:p w14:paraId="2BA317B9" w14:textId="36FF1182" w:rsidR="00E124B3" w:rsidRDefault="00E124B3" w:rsidP="005F5526">
            <w:pPr>
              <w:pStyle w:val="tabletext"/>
            </w:pPr>
            <w:r>
              <w:t>Part 1, item 14, subsection 738Y(3)</w:t>
            </w:r>
          </w:p>
        </w:tc>
        <w:tc>
          <w:tcPr>
            <w:tcW w:w="1980" w:type="dxa"/>
          </w:tcPr>
          <w:p w14:paraId="2AD1DF83" w14:textId="724F7A7F" w:rsidR="00E124B3" w:rsidRDefault="00E124B3" w:rsidP="005F5526">
            <w:pPr>
              <w:pStyle w:val="tabletext"/>
            </w:pPr>
            <w:r>
              <w:t>5.7</w:t>
            </w:r>
          </w:p>
        </w:tc>
      </w:tr>
      <w:tr w:rsidR="00E124B3" w:rsidRPr="00231CBA" w14:paraId="2E442F4A" w14:textId="77777777" w:rsidTr="005F5526">
        <w:trPr>
          <w:tblHeader/>
        </w:trPr>
        <w:tc>
          <w:tcPr>
            <w:tcW w:w="5760" w:type="dxa"/>
          </w:tcPr>
          <w:p w14:paraId="62424966" w14:textId="08D6E3E2" w:rsidR="00E124B3" w:rsidRDefault="00E124B3" w:rsidP="005F5526">
            <w:pPr>
              <w:pStyle w:val="tabletext"/>
            </w:pPr>
            <w:r>
              <w:t>Part 1, item 14, subsection 738Q(4)</w:t>
            </w:r>
          </w:p>
        </w:tc>
        <w:tc>
          <w:tcPr>
            <w:tcW w:w="1980" w:type="dxa"/>
          </w:tcPr>
          <w:p w14:paraId="2406A712" w14:textId="421F3009" w:rsidR="00E124B3" w:rsidRDefault="00E124B3" w:rsidP="005F5526">
            <w:pPr>
              <w:pStyle w:val="tabletext"/>
            </w:pPr>
            <w:r>
              <w:t>5.7, 5.12, 5.43</w:t>
            </w:r>
          </w:p>
        </w:tc>
      </w:tr>
      <w:tr w:rsidR="00E124B3" w:rsidRPr="00231CBA" w14:paraId="75F5A91A" w14:textId="77777777" w:rsidTr="005F5526">
        <w:trPr>
          <w:tblHeader/>
        </w:trPr>
        <w:tc>
          <w:tcPr>
            <w:tcW w:w="5760" w:type="dxa"/>
          </w:tcPr>
          <w:p w14:paraId="287FB3B2" w14:textId="6C65483F" w:rsidR="00E124B3" w:rsidRDefault="00E124B3" w:rsidP="005F5526">
            <w:pPr>
              <w:pStyle w:val="tabletext"/>
            </w:pPr>
            <w:r>
              <w:t>Part 1, item 14, subsection 738U(1)</w:t>
            </w:r>
          </w:p>
        </w:tc>
        <w:tc>
          <w:tcPr>
            <w:tcW w:w="1980" w:type="dxa"/>
          </w:tcPr>
          <w:p w14:paraId="461D87F5" w14:textId="04919832" w:rsidR="00E124B3" w:rsidRDefault="00E124B3" w:rsidP="005F5526">
            <w:pPr>
              <w:pStyle w:val="tabletext"/>
            </w:pPr>
            <w:r>
              <w:t>5.8</w:t>
            </w:r>
          </w:p>
        </w:tc>
      </w:tr>
      <w:tr w:rsidR="00E124B3" w:rsidRPr="00231CBA" w14:paraId="0B0B47CB" w14:textId="77777777" w:rsidTr="005F5526">
        <w:trPr>
          <w:tblHeader/>
        </w:trPr>
        <w:tc>
          <w:tcPr>
            <w:tcW w:w="5760" w:type="dxa"/>
          </w:tcPr>
          <w:p w14:paraId="3546D882" w14:textId="4ACDEC9F" w:rsidR="00E124B3" w:rsidRDefault="00E124B3" w:rsidP="005F5526">
            <w:pPr>
              <w:pStyle w:val="tabletext"/>
            </w:pPr>
            <w:r>
              <w:t>Part 1, item 14, subsection 738U(2)</w:t>
            </w:r>
          </w:p>
        </w:tc>
        <w:tc>
          <w:tcPr>
            <w:tcW w:w="1980" w:type="dxa"/>
          </w:tcPr>
          <w:p w14:paraId="79ECC33F" w14:textId="58FB5A3D" w:rsidR="00E124B3" w:rsidRDefault="00E124B3" w:rsidP="005F5526">
            <w:pPr>
              <w:pStyle w:val="tabletext"/>
            </w:pPr>
            <w:r>
              <w:t>5.9</w:t>
            </w:r>
          </w:p>
        </w:tc>
      </w:tr>
      <w:tr w:rsidR="00E124B3" w:rsidRPr="00231CBA" w14:paraId="46723CC1" w14:textId="77777777" w:rsidTr="005F5526">
        <w:trPr>
          <w:tblHeader/>
        </w:trPr>
        <w:tc>
          <w:tcPr>
            <w:tcW w:w="5760" w:type="dxa"/>
          </w:tcPr>
          <w:p w14:paraId="1B68620B" w14:textId="2791989F" w:rsidR="00E124B3" w:rsidRDefault="00E124B3" w:rsidP="005F5526">
            <w:pPr>
              <w:pStyle w:val="tabletext"/>
            </w:pPr>
            <w:r>
              <w:t>Part 1, item 14, subsection 738V(1)</w:t>
            </w:r>
          </w:p>
        </w:tc>
        <w:tc>
          <w:tcPr>
            <w:tcW w:w="1980" w:type="dxa"/>
          </w:tcPr>
          <w:p w14:paraId="0E8604C9" w14:textId="1798E3CE" w:rsidR="00E124B3" w:rsidRDefault="00E124B3" w:rsidP="005F5526">
            <w:pPr>
              <w:pStyle w:val="tabletext"/>
            </w:pPr>
            <w:r>
              <w:t>5.10</w:t>
            </w:r>
          </w:p>
        </w:tc>
      </w:tr>
      <w:tr w:rsidR="00E124B3" w:rsidRPr="00231CBA" w14:paraId="5D9B56D2" w14:textId="77777777" w:rsidTr="005F5526">
        <w:trPr>
          <w:tblHeader/>
        </w:trPr>
        <w:tc>
          <w:tcPr>
            <w:tcW w:w="5760" w:type="dxa"/>
          </w:tcPr>
          <w:p w14:paraId="665082BD" w14:textId="2B5E9094" w:rsidR="00E124B3" w:rsidRDefault="00E124B3" w:rsidP="005F5526">
            <w:pPr>
              <w:pStyle w:val="tabletext"/>
            </w:pPr>
            <w:r>
              <w:t>Part 1, item 14, subsection 738V(2)</w:t>
            </w:r>
          </w:p>
        </w:tc>
        <w:tc>
          <w:tcPr>
            <w:tcW w:w="1980" w:type="dxa"/>
          </w:tcPr>
          <w:p w14:paraId="39B48692" w14:textId="65DD52E2" w:rsidR="00E124B3" w:rsidRDefault="00E124B3" w:rsidP="005F5526">
            <w:pPr>
              <w:pStyle w:val="tabletext"/>
            </w:pPr>
            <w:r>
              <w:t>5.10</w:t>
            </w:r>
          </w:p>
        </w:tc>
      </w:tr>
      <w:tr w:rsidR="00E124B3" w:rsidRPr="00231CBA" w14:paraId="4CCE4C44" w14:textId="77777777" w:rsidTr="005F5526">
        <w:trPr>
          <w:tblHeader/>
        </w:trPr>
        <w:tc>
          <w:tcPr>
            <w:tcW w:w="5760" w:type="dxa"/>
          </w:tcPr>
          <w:p w14:paraId="68EA4CDA" w14:textId="2150A68B" w:rsidR="00E124B3" w:rsidRDefault="00E124B3" w:rsidP="005F5526">
            <w:pPr>
              <w:pStyle w:val="tabletext"/>
            </w:pPr>
            <w:r>
              <w:t>Part 1, item 14, subsection 738V(3)</w:t>
            </w:r>
          </w:p>
        </w:tc>
        <w:tc>
          <w:tcPr>
            <w:tcW w:w="1980" w:type="dxa"/>
          </w:tcPr>
          <w:p w14:paraId="7F933111" w14:textId="2E11F42B" w:rsidR="00E124B3" w:rsidRDefault="00E124B3" w:rsidP="005F5526">
            <w:pPr>
              <w:pStyle w:val="tabletext"/>
            </w:pPr>
            <w:r>
              <w:t>5.10</w:t>
            </w:r>
          </w:p>
        </w:tc>
      </w:tr>
      <w:tr w:rsidR="00E124B3" w:rsidRPr="00231CBA" w14:paraId="41ADB41E" w14:textId="77777777" w:rsidTr="005F5526">
        <w:trPr>
          <w:tblHeader/>
        </w:trPr>
        <w:tc>
          <w:tcPr>
            <w:tcW w:w="5760" w:type="dxa"/>
          </w:tcPr>
          <w:p w14:paraId="650E332E" w14:textId="3FE3B83E" w:rsidR="00E124B3" w:rsidRDefault="00E124B3" w:rsidP="005F5526">
            <w:pPr>
              <w:pStyle w:val="tabletext"/>
            </w:pPr>
            <w:r>
              <w:t>Part 1, items 14 and 34, subsection 738V(4) and item 245J in the table to Schedule 3</w:t>
            </w:r>
          </w:p>
        </w:tc>
        <w:tc>
          <w:tcPr>
            <w:tcW w:w="1980" w:type="dxa"/>
          </w:tcPr>
          <w:p w14:paraId="6CCE4EB0" w14:textId="1E1FF818" w:rsidR="00E124B3" w:rsidRDefault="00E124B3" w:rsidP="005F5526">
            <w:pPr>
              <w:pStyle w:val="tabletext"/>
            </w:pPr>
            <w:r>
              <w:t>5.14</w:t>
            </w:r>
          </w:p>
        </w:tc>
      </w:tr>
      <w:tr w:rsidR="00E124B3" w:rsidRPr="00231CBA" w14:paraId="43BDFD6F" w14:textId="77777777" w:rsidTr="005F5526">
        <w:trPr>
          <w:tblHeader/>
        </w:trPr>
        <w:tc>
          <w:tcPr>
            <w:tcW w:w="5760" w:type="dxa"/>
          </w:tcPr>
          <w:p w14:paraId="0A9EF5DD" w14:textId="6AB07485" w:rsidR="00E124B3" w:rsidRDefault="00E124B3" w:rsidP="005F5526">
            <w:pPr>
              <w:pStyle w:val="tabletext"/>
            </w:pPr>
            <w:r>
              <w:t>Part 1, item 14, subsections 738N(6),  738X(1) and (2)</w:t>
            </w:r>
          </w:p>
        </w:tc>
        <w:tc>
          <w:tcPr>
            <w:tcW w:w="1980" w:type="dxa"/>
          </w:tcPr>
          <w:p w14:paraId="0F4ACD98" w14:textId="0E73136C" w:rsidR="00E124B3" w:rsidRDefault="00E124B3" w:rsidP="005F5526">
            <w:pPr>
              <w:pStyle w:val="tabletext"/>
            </w:pPr>
            <w:r>
              <w:t>5.15</w:t>
            </w:r>
          </w:p>
        </w:tc>
      </w:tr>
      <w:tr w:rsidR="00E124B3" w:rsidRPr="00231CBA" w14:paraId="6DF552E6" w14:textId="77777777" w:rsidTr="005F5526">
        <w:trPr>
          <w:tblHeader/>
        </w:trPr>
        <w:tc>
          <w:tcPr>
            <w:tcW w:w="5760" w:type="dxa"/>
          </w:tcPr>
          <w:p w14:paraId="2C1742B5" w14:textId="777A3949" w:rsidR="00E124B3" w:rsidRDefault="00E124B3" w:rsidP="005F5526">
            <w:pPr>
              <w:pStyle w:val="tabletext"/>
            </w:pPr>
            <w:r>
              <w:t>Part 1, item 14, subsection 738X(3)</w:t>
            </w:r>
          </w:p>
        </w:tc>
        <w:tc>
          <w:tcPr>
            <w:tcW w:w="1980" w:type="dxa"/>
          </w:tcPr>
          <w:p w14:paraId="1366E895" w14:textId="26F4AFC4" w:rsidR="00E124B3" w:rsidRDefault="00E124B3" w:rsidP="005F5526">
            <w:pPr>
              <w:pStyle w:val="tabletext"/>
            </w:pPr>
            <w:r>
              <w:t>5.17</w:t>
            </w:r>
          </w:p>
        </w:tc>
      </w:tr>
      <w:tr w:rsidR="00E124B3" w:rsidRPr="00231CBA" w14:paraId="20731A1C" w14:textId="77777777" w:rsidTr="005F5526">
        <w:trPr>
          <w:tblHeader/>
        </w:trPr>
        <w:tc>
          <w:tcPr>
            <w:tcW w:w="5760" w:type="dxa"/>
          </w:tcPr>
          <w:p w14:paraId="26206547" w14:textId="7ABD5EEA" w:rsidR="00E124B3" w:rsidRDefault="00E124B3" w:rsidP="005F5526">
            <w:pPr>
              <w:pStyle w:val="tabletext"/>
            </w:pPr>
            <w:r>
              <w:t>Part 1, items 14 and 34, subsection 738X(4) and item 245K in the table to Schedule 3</w:t>
            </w:r>
          </w:p>
        </w:tc>
        <w:tc>
          <w:tcPr>
            <w:tcW w:w="1980" w:type="dxa"/>
          </w:tcPr>
          <w:p w14:paraId="43DA1562" w14:textId="4DEF206E" w:rsidR="00E124B3" w:rsidRDefault="00E124B3" w:rsidP="005F5526">
            <w:pPr>
              <w:pStyle w:val="tabletext"/>
            </w:pPr>
            <w:r>
              <w:t>5.18</w:t>
            </w:r>
          </w:p>
        </w:tc>
      </w:tr>
      <w:tr w:rsidR="00E124B3" w:rsidRPr="00231CBA" w14:paraId="7A45FDAD" w14:textId="77777777" w:rsidTr="005F5526">
        <w:trPr>
          <w:tblHeader/>
        </w:trPr>
        <w:tc>
          <w:tcPr>
            <w:tcW w:w="5760" w:type="dxa"/>
          </w:tcPr>
          <w:p w14:paraId="4C24ABE7" w14:textId="6A21CA5C" w:rsidR="00E124B3" w:rsidRDefault="00E124B3" w:rsidP="005F5526">
            <w:pPr>
              <w:pStyle w:val="tabletext"/>
            </w:pPr>
            <w:r>
              <w:t>Part 1, item 14, subsection 738W(1)</w:t>
            </w:r>
          </w:p>
        </w:tc>
        <w:tc>
          <w:tcPr>
            <w:tcW w:w="1980" w:type="dxa"/>
          </w:tcPr>
          <w:p w14:paraId="35E3ABE3" w14:textId="2D5D16A5" w:rsidR="00E124B3" w:rsidRDefault="00E124B3" w:rsidP="005F5526">
            <w:pPr>
              <w:pStyle w:val="tabletext"/>
            </w:pPr>
            <w:r>
              <w:t>5.21</w:t>
            </w:r>
          </w:p>
        </w:tc>
      </w:tr>
      <w:tr w:rsidR="00E124B3" w:rsidRPr="00231CBA" w14:paraId="5F8DAA53" w14:textId="77777777" w:rsidTr="005F5526">
        <w:trPr>
          <w:tblHeader/>
        </w:trPr>
        <w:tc>
          <w:tcPr>
            <w:tcW w:w="5760" w:type="dxa"/>
          </w:tcPr>
          <w:p w14:paraId="5C7C5CF3" w14:textId="58CC1F9F" w:rsidR="00E124B3" w:rsidRDefault="00E124B3" w:rsidP="005F5526">
            <w:pPr>
              <w:pStyle w:val="tabletext"/>
            </w:pPr>
            <w:r>
              <w:t>Part 1, item 14, subsection 738W(2)</w:t>
            </w:r>
          </w:p>
        </w:tc>
        <w:tc>
          <w:tcPr>
            <w:tcW w:w="1980" w:type="dxa"/>
          </w:tcPr>
          <w:p w14:paraId="2A06BD01" w14:textId="29E5FF10" w:rsidR="00E124B3" w:rsidRDefault="00E124B3" w:rsidP="005F5526">
            <w:pPr>
              <w:pStyle w:val="tabletext"/>
            </w:pPr>
            <w:r>
              <w:t>5.23</w:t>
            </w:r>
          </w:p>
        </w:tc>
      </w:tr>
      <w:tr w:rsidR="00E124B3" w:rsidRPr="00231CBA" w14:paraId="3BB13C85" w14:textId="77777777" w:rsidTr="005F5526">
        <w:trPr>
          <w:tblHeader/>
        </w:trPr>
        <w:tc>
          <w:tcPr>
            <w:tcW w:w="5760" w:type="dxa"/>
          </w:tcPr>
          <w:p w14:paraId="4F19B5BE" w14:textId="196B8519" w:rsidR="00E124B3" w:rsidRDefault="00E124B3" w:rsidP="005F5526">
            <w:pPr>
              <w:pStyle w:val="tabletext"/>
            </w:pPr>
            <w:r>
              <w:t>Part 1, item 14, subsections 738W(3) and (4)</w:t>
            </w:r>
          </w:p>
        </w:tc>
        <w:tc>
          <w:tcPr>
            <w:tcW w:w="1980" w:type="dxa"/>
          </w:tcPr>
          <w:p w14:paraId="285E10A4" w14:textId="4CDDCE32" w:rsidR="00E124B3" w:rsidRDefault="00E124B3" w:rsidP="005F5526">
            <w:pPr>
              <w:pStyle w:val="tabletext"/>
            </w:pPr>
            <w:r>
              <w:t>5.24</w:t>
            </w:r>
          </w:p>
        </w:tc>
      </w:tr>
      <w:tr w:rsidR="00E124B3" w:rsidRPr="00231CBA" w14:paraId="33788AFF" w14:textId="77777777" w:rsidTr="005F5526">
        <w:trPr>
          <w:tblHeader/>
        </w:trPr>
        <w:tc>
          <w:tcPr>
            <w:tcW w:w="5760" w:type="dxa"/>
          </w:tcPr>
          <w:p w14:paraId="4E7B4243" w14:textId="32793759" w:rsidR="00E124B3" w:rsidRDefault="00E124B3" w:rsidP="005F5526">
            <w:pPr>
              <w:pStyle w:val="tabletext"/>
            </w:pPr>
            <w:r>
              <w:t>Part 1, item 14, paragraph 738W(6)(a)</w:t>
            </w:r>
          </w:p>
        </w:tc>
        <w:tc>
          <w:tcPr>
            <w:tcW w:w="1980" w:type="dxa"/>
          </w:tcPr>
          <w:p w14:paraId="69A9D5B6" w14:textId="6F4D1B95" w:rsidR="00E124B3" w:rsidRDefault="00E124B3" w:rsidP="005F5526">
            <w:pPr>
              <w:pStyle w:val="tabletext"/>
            </w:pPr>
            <w:r>
              <w:t>5.25</w:t>
            </w:r>
          </w:p>
        </w:tc>
      </w:tr>
      <w:tr w:rsidR="00E124B3" w:rsidRPr="00231CBA" w14:paraId="32994A17" w14:textId="77777777" w:rsidTr="005F5526">
        <w:trPr>
          <w:tblHeader/>
        </w:trPr>
        <w:tc>
          <w:tcPr>
            <w:tcW w:w="5760" w:type="dxa"/>
          </w:tcPr>
          <w:p w14:paraId="43AC495C" w14:textId="3DBC2F9E" w:rsidR="00E124B3" w:rsidRDefault="00E124B3" w:rsidP="005F5526">
            <w:pPr>
              <w:pStyle w:val="tabletext"/>
            </w:pPr>
            <w:r>
              <w:t>Part 1, item 14, subsection 738W(7)</w:t>
            </w:r>
          </w:p>
        </w:tc>
        <w:tc>
          <w:tcPr>
            <w:tcW w:w="1980" w:type="dxa"/>
          </w:tcPr>
          <w:p w14:paraId="438724BD" w14:textId="777BA360" w:rsidR="00E124B3" w:rsidRDefault="00E124B3" w:rsidP="005F5526">
            <w:pPr>
              <w:pStyle w:val="tabletext"/>
            </w:pPr>
            <w:r>
              <w:t>5.25</w:t>
            </w:r>
          </w:p>
        </w:tc>
      </w:tr>
      <w:tr w:rsidR="00E124B3" w:rsidRPr="00231CBA" w14:paraId="13406E11" w14:textId="77777777" w:rsidTr="005F5526">
        <w:trPr>
          <w:tblHeader/>
        </w:trPr>
        <w:tc>
          <w:tcPr>
            <w:tcW w:w="5760" w:type="dxa"/>
          </w:tcPr>
          <w:p w14:paraId="4ABC1F87" w14:textId="29CB3B0C" w:rsidR="00E124B3" w:rsidRDefault="00E124B3" w:rsidP="005F5526">
            <w:pPr>
              <w:pStyle w:val="tabletext"/>
            </w:pPr>
            <w:r>
              <w:t>Part 1, item 14, paragraph 738W(6)(b)</w:t>
            </w:r>
          </w:p>
        </w:tc>
        <w:tc>
          <w:tcPr>
            <w:tcW w:w="1980" w:type="dxa"/>
          </w:tcPr>
          <w:p w14:paraId="2E126884" w14:textId="74A51007" w:rsidR="00E124B3" w:rsidRDefault="00E124B3" w:rsidP="005F5526">
            <w:pPr>
              <w:pStyle w:val="tabletext"/>
            </w:pPr>
            <w:r>
              <w:t>5.27</w:t>
            </w:r>
          </w:p>
        </w:tc>
      </w:tr>
      <w:tr w:rsidR="00E124B3" w:rsidRPr="00231CBA" w14:paraId="5F6EBAC4" w14:textId="77777777" w:rsidTr="005F5526">
        <w:trPr>
          <w:tblHeader/>
        </w:trPr>
        <w:tc>
          <w:tcPr>
            <w:tcW w:w="5760" w:type="dxa"/>
          </w:tcPr>
          <w:p w14:paraId="0F70BF8E" w14:textId="35FFE737" w:rsidR="00E124B3" w:rsidRDefault="00E124B3" w:rsidP="005F5526">
            <w:pPr>
              <w:pStyle w:val="tabletext"/>
            </w:pPr>
            <w:r>
              <w:t>Part 1, item 14, paragraph 738W(5)(a)</w:t>
            </w:r>
          </w:p>
        </w:tc>
        <w:tc>
          <w:tcPr>
            <w:tcW w:w="1980" w:type="dxa"/>
          </w:tcPr>
          <w:p w14:paraId="73715FA2" w14:textId="3556060B" w:rsidR="00E124B3" w:rsidRDefault="00E124B3" w:rsidP="005F5526">
            <w:pPr>
              <w:pStyle w:val="tabletext"/>
            </w:pPr>
            <w:r>
              <w:t>5.28</w:t>
            </w:r>
          </w:p>
        </w:tc>
      </w:tr>
      <w:tr w:rsidR="00E124B3" w:rsidRPr="00231CBA" w14:paraId="4DFAE644" w14:textId="77777777" w:rsidTr="005F5526">
        <w:trPr>
          <w:tblHeader/>
        </w:trPr>
        <w:tc>
          <w:tcPr>
            <w:tcW w:w="5760" w:type="dxa"/>
          </w:tcPr>
          <w:p w14:paraId="4BF6D26C" w14:textId="2D609F4A" w:rsidR="00E124B3" w:rsidRDefault="00E124B3" w:rsidP="005F5526">
            <w:pPr>
              <w:pStyle w:val="tabletext"/>
            </w:pPr>
            <w:r>
              <w:t>Part 1, item 14, subsection 738W(8)</w:t>
            </w:r>
          </w:p>
        </w:tc>
        <w:tc>
          <w:tcPr>
            <w:tcW w:w="1980" w:type="dxa"/>
          </w:tcPr>
          <w:p w14:paraId="56F34715" w14:textId="6ECB9287" w:rsidR="00E124B3" w:rsidRDefault="00E124B3" w:rsidP="005F5526">
            <w:pPr>
              <w:pStyle w:val="tabletext"/>
            </w:pPr>
            <w:r>
              <w:t>5.28</w:t>
            </w:r>
          </w:p>
        </w:tc>
      </w:tr>
      <w:tr w:rsidR="00E124B3" w:rsidRPr="00231CBA" w14:paraId="6301BBEC" w14:textId="77777777" w:rsidTr="005F5526">
        <w:trPr>
          <w:tblHeader/>
        </w:trPr>
        <w:tc>
          <w:tcPr>
            <w:tcW w:w="5760" w:type="dxa"/>
          </w:tcPr>
          <w:p w14:paraId="3CFF5C42" w14:textId="54933841" w:rsidR="00E124B3" w:rsidRDefault="00E124B3" w:rsidP="005F5526">
            <w:pPr>
              <w:pStyle w:val="tabletext"/>
            </w:pPr>
            <w:r>
              <w:t>Part 1, item 14, paragraph 738W(5)(b)</w:t>
            </w:r>
          </w:p>
        </w:tc>
        <w:tc>
          <w:tcPr>
            <w:tcW w:w="1980" w:type="dxa"/>
          </w:tcPr>
          <w:p w14:paraId="2B833129" w14:textId="2EE2088E" w:rsidR="00E124B3" w:rsidRDefault="00E124B3" w:rsidP="005F5526">
            <w:pPr>
              <w:pStyle w:val="tabletext"/>
            </w:pPr>
            <w:r>
              <w:t>5.29</w:t>
            </w:r>
          </w:p>
        </w:tc>
      </w:tr>
      <w:tr w:rsidR="00E124B3" w:rsidRPr="00231CBA" w14:paraId="2309610E" w14:textId="77777777" w:rsidTr="005F5526">
        <w:trPr>
          <w:tblHeader/>
        </w:trPr>
        <w:tc>
          <w:tcPr>
            <w:tcW w:w="5760" w:type="dxa"/>
          </w:tcPr>
          <w:p w14:paraId="61227CCA" w14:textId="39DD1E52" w:rsidR="00E124B3" w:rsidRDefault="00E124B3" w:rsidP="005F5526">
            <w:pPr>
              <w:pStyle w:val="tabletext"/>
            </w:pPr>
            <w:r>
              <w:t>Part 1, item 14, subsection 738W(9)</w:t>
            </w:r>
          </w:p>
        </w:tc>
        <w:tc>
          <w:tcPr>
            <w:tcW w:w="1980" w:type="dxa"/>
          </w:tcPr>
          <w:p w14:paraId="031A4D05" w14:textId="72E0FE29" w:rsidR="00E124B3" w:rsidRDefault="00E124B3" w:rsidP="005F5526">
            <w:pPr>
              <w:pStyle w:val="tabletext"/>
            </w:pPr>
            <w:r>
              <w:t>5.29</w:t>
            </w:r>
          </w:p>
        </w:tc>
      </w:tr>
      <w:tr w:rsidR="00E124B3" w:rsidRPr="00231CBA" w14:paraId="25606E93" w14:textId="77777777" w:rsidTr="005F5526">
        <w:trPr>
          <w:tblHeader/>
        </w:trPr>
        <w:tc>
          <w:tcPr>
            <w:tcW w:w="5760" w:type="dxa"/>
          </w:tcPr>
          <w:p w14:paraId="67322497" w14:textId="7F7EC8B4" w:rsidR="00E124B3" w:rsidRDefault="00E124B3" w:rsidP="005F5526">
            <w:pPr>
              <w:pStyle w:val="tabletext"/>
            </w:pPr>
            <w:r>
              <w:t>Part 1, item 14, subsections 738X(5), 738X(6) and 738X(7)</w:t>
            </w:r>
          </w:p>
        </w:tc>
        <w:tc>
          <w:tcPr>
            <w:tcW w:w="1980" w:type="dxa"/>
          </w:tcPr>
          <w:p w14:paraId="09B2A494" w14:textId="3DE69049" w:rsidR="00E124B3" w:rsidRDefault="00E124B3" w:rsidP="005F5526">
            <w:pPr>
              <w:pStyle w:val="tabletext"/>
            </w:pPr>
            <w:r>
              <w:t>5.31</w:t>
            </w:r>
          </w:p>
        </w:tc>
      </w:tr>
      <w:tr w:rsidR="00E124B3" w:rsidRPr="00231CBA" w14:paraId="2394CF56" w14:textId="77777777" w:rsidTr="005F5526">
        <w:trPr>
          <w:tblHeader/>
        </w:trPr>
        <w:tc>
          <w:tcPr>
            <w:tcW w:w="5760" w:type="dxa"/>
          </w:tcPr>
          <w:p w14:paraId="1058C4BC" w14:textId="1EE2EC69" w:rsidR="00E124B3" w:rsidRDefault="00E124B3" w:rsidP="005F5526">
            <w:pPr>
              <w:pStyle w:val="tabletext"/>
            </w:pPr>
            <w:r>
              <w:t>Part 1, item 14, subsection 738X(9)</w:t>
            </w:r>
          </w:p>
        </w:tc>
        <w:tc>
          <w:tcPr>
            <w:tcW w:w="1980" w:type="dxa"/>
          </w:tcPr>
          <w:p w14:paraId="38800D8E" w14:textId="02944DA4" w:rsidR="00E124B3" w:rsidRDefault="00E124B3" w:rsidP="005F5526">
            <w:pPr>
              <w:pStyle w:val="tabletext"/>
            </w:pPr>
            <w:r>
              <w:t>5.33</w:t>
            </w:r>
          </w:p>
        </w:tc>
      </w:tr>
      <w:tr w:rsidR="00E124B3" w:rsidRPr="00231CBA" w14:paraId="39719F08" w14:textId="77777777" w:rsidTr="005F5526">
        <w:trPr>
          <w:tblHeader/>
        </w:trPr>
        <w:tc>
          <w:tcPr>
            <w:tcW w:w="5760" w:type="dxa"/>
          </w:tcPr>
          <w:p w14:paraId="6689A0C3" w14:textId="56EED909" w:rsidR="00E124B3" w:rsidRDefault="00E124B3" w:rsidP="005F5526">
            <w:pPr>
              <w:pStyle w:val="tabletext"/>
            </w:pPr>
            <w:r>
              <w:t>Part 1, item 14, paragraph 738T(1)(a) and subsection 738ZB(4)</w:t>
            </w:r>
          </w:p>
        </w:tc>
        <w:tc>
          <w:tcPr>
            <w:tcW w:w="1980" w:type="dxa"/>
          </w:tcPr>
          <w:p w14:paraId="48E94E67" w14:textId="24091406" w:rsidR="00E124B3" w:rsidRDefault="00E124B3" w:rsidP="005F5526">
            <w:pPr>
              <w:pStyle w:val="tabletext"/>
            </w:pPr>
            <w:r>
              <w:t>5.33</w:t>
            </w:r>
          </w:p>
        </w:tc>
      </w:tr>
      <w:tr w:rsidR="00E124B3" w:rsidRPr="00231CBA" w14:paraId="7238950C" w14:textId="77777777" w:rsidTr="005F5526">
        <w:trPr>
          <w:tblHeader/>
        </w:trPr>
        <w:tc>
          <w:tcPr>
            <w:tcW w:w="5760" w:type="dxa"/>
          </w:tcPr>
          <w:p w14:paraId="242A1464" w14:textId="7FBAEB9C" w:rsidR="00E124B3" w:rsidRDefault="00E124B3" w:rsidP="005F5526">
            <w:pPr>
              <w:pStyle w:val="tabletext"/>
            </w:pPr>
            <w:r>
              <w:t>Part 1, item 14, paragraphs 738N(4)(a) and (b)</w:t>
            </w:r>
          </w:p>
        </w:tc>
        <w:tc>
          <w:tcPr>
            <w:tcW w:w="1980" w:type="dxa"/>
          </w:tcPr>
          <w:p w14:paraId="7D5CF539" w14:textId="40EDC26C" w:rsidR="00E124B3" w:rsidRDefault="00E124B3" w:rsidP="005F5526">
            <w:pPr>
              <w:pStyle w:val="tabletext"/>
            </w:pPr>
            <w:r>
              <w:t>5.36</w:t>
            </w:r>
          </w:p>
        </w:tc>
      </w:tr>
      <w:tr w:rsidR="00E124B3" w:rsidRPr="00231CBA" w14:paraId="00D4D192" w14:textId="77777777" w:rsidTr="005F5526">
        <w:trPr>
          <w:tblHeader/>
        </w:trPr>
        <w:tc>
          <w:tcPr>
            <w:tcW w:w="5760" w:type="dxa"/>
          </w:tcPr>
          <w:p w14:paraId="5CC20BC2" w14:textId="7F788D46" w:rsidR="00E124B3" w:rsidRDefault="00E124B3" w:rsidP="005F5526">
            <w:pPr>
              <w:pStyle w:val="tabletext"/>
            </w:pPr>
            <w:r>
              <w:t>Part 1, item 14, subsection 738Y(4)</w:t>
            </w:r>
          </w:p>
        </w:tc>
        <w:tc>
          <w:tcPr>
            <w:tcW w:w="1980" w:type="dxa"/>
          </w:tcPr>
          <w:p w14:paraId="1B49FF53" w14:textId="7007DF39" w:rsidR="00E124B3" w:rsidRDefault="00E124B3" w:rsidP="005F5526">
            <w:pPr>
              <w:pStyle w:val="tabletext"/>
            </w:pPr>
            <w:r>
              <w:t>5.38, 5.39</w:t>
            </w:r>
          </w:p>
        </w:tc>
      </w:tr>
      <w:tr w:rsidR="00E124B3" w:rsidRPr="00231CBA" w14:paraId="3AF2186D" w14:textId="77777777" w:rsidTr="005F5526">
        <w:trPr>
          <w:tblHeader/>
        </w:trPr>
        <w:tc>
          <w:tcPr>
            <w:tcW w:w="5760" w:type="dxa"/>
          </w:tcPr>
          <w:p w14:paraId="73445DC9" w14:textId="749FD992" w:rsidR="00E124B3" w:rsidRDefault="00E124B3" w:rsidP="005F5526">
            <w:pPr>
              <w:pStyle w:val="tabletext"/>
            </w:pPr>
            <w:r>
              <w:t>Part 1, item 14, subsections 738Q(4) and 738Y(3)</w:t>
            </w:r>
          </w:p>
        </w:tc>
        <w:tc>
          <w:tcPr>
            <w:tcW w:w="1980" w:type="dxa"/>
          </w:tcPr>
          <w:p w14:paraId="20CEDC9C" w14:textId="336ABD49" w:rsidR="00E124B3" w:rsidRDefault="00E124B3" w:rsidP="005F5526">
            <w:pPr>
              <w:pStyle w:val="tabletext"/>
            </w:pPr>
            <w:r>
              <w:t>5.39</w:t>
            </w:r>
          </w:p>
        </w:tc>
      </w:tr>
      <w:tr w:rsidR="00E124B3" w:rsidRPr="00231CBA" w14:paraId="0D4D9CFB" w14:textId="77777777" w:rsidTr="005F5526">
        <w:trPr>
          <w:tblHeader/>
        </w:trPr>
        <w:tc>
          <w:tcPr>
            <w:tcW w:w="5760" w:type="dxa"/>
          </w:tcPr>
          <w:p w14:paraId="770917C2" w14:textId="758C05B9" w:rsidR="00E124B3" w:rsidRDefault="00E124B3" w:rsidP="005F5526">
            <w:pPr>
              <w:pStyle w:val="tabletext"/>
            </w:pPr>
            <w:r>
              <w:t>Part 1, item 14, subsection 738Y(5)</w:t>
            </w:r>
          </w:p>
        </w:tc>
        <w:tc>
          <w:tcPr>
            <w:tcW w:w="1980" w:type="dxa"/>
          </w:tcPr>
          <w:p w14:paraId="32E16E34" w14:textId="17C4816C" w:rsidR="00E124B3" w:rsidRDefault="00E124B3" w:rsidP="005F5526">
            <w:pPr>
              <w:pStyle w:val="tabletext"/>
            </w:pPr>
            <w:r>
              <w:t>5.42</w:t>
            </w:r>
          </w:p>
        </w:tc>
      </w:tr>
      <w:tr w:rsidR="00E124B3" w:rsidRPr="00231CBA" w14:paraId="0704AED0" w14:textId="77777777" w:rsidTr="005F5526">
        <w:trPr>
          <w:tblHeader/>
        </w:trPr>
        <w:tc>
          <w:tcPr>
            <w:tcW w:w="5760" w:type="dxa"/>
          </w:tcPr>
          <w:p w14:paraId="3C31C936" w14:textId="59B30CDF" w:rsidR="00E124B3" w:rsidRDefault="00E124B3" w:rsidP="005F5526">
            <w:pPr>
              <w:pStyle w:val="tabletext"/>
            </w:pPr>
            <w:r>
              <w:t>Part 1, item 14, subsection 738Y(6)</w:t>
            </w:r>
          </w:p>
        </w:tc>
        <w:tc>
          <w:tcPr>
            <w:tcW w:w="1980" w:type="dxa"/>
          </w:tcPr>
          <w:p w14:paraId="5D00E958" w14:textId="4501A067" w:rsidR="00E124B3" w:rsidRDefault="00E124B3" w:rsidP="005F5526">
            <w:pPr>
              <w:pStyle w:val="tabletext"/>
            </w:pPr>
            <w:r>
              <w:t>5.44</w:t>
            </w:r>
          </w:p>
        </w:tc>
      </w:tr>
      <w:tr w:rsidR="00E124B3" w:rsidRPr="00231CBA" w14:paraId="6DC46562" w14:textId="77777777" w:rsidTr="005F5526">
        <w:trPr>
          <w:tblHeader/>
        </w:trPr>
        <w:tc>
          <w:tcPr>
            <w:tcW w:w="5760" w:type="dxa"/>
          </w:tcPr>
          <w:p w14:paraId="2CC3CEA5" w14:textId="22725C9C" w:rsidR="00E124B3" w:rsidRDefault="00E124B3" w:rsidP="005F5526">
            <w:pPr>
              <w:pStyle w:val="tabletext"/>
            </w:pPr>
            <w:r>
              <w:t>Part 1, item 14, paragraph 738Z(1)(a)</w:t>
            </w:r>
          </w:p>
        </w:tc>
        <w:tc>
          <w:tcPr>
            <w:tcW w:w="1980" w:type="dxa"/>
          </w:tcPr>
          <w:p w14:paraId="6EDB4A75" w14:textId="185797D4" w:rsidR="00E124B3" w:rsidRDefault="00E124B3" w:rsidP="005F5526">
            <w:pPr>
              <w:pStyle w:val="tabletext"/>
            </w:pPr>
            <w:r>
              <w:t>5.47</w:t>
            </w:r>
          </w:p>
        </w:tc>
      </w:tr>
      <w:tr w:rsidR="00E124B3" w:rsidRPr="00231CBA" w14:paraId="34CE8083" w14:textId="77777777" w:rsidTr="005F5526">
        <w:trPr>
          <w:tblHeader/>
        </w:trPr>
        <w:tc>
          <w:tcPr>
            <w:tcW w:w="5760" w:type="dxa"/>
          </w:tcPr>
          <w:p w14:paraId="25856C7E" w14:textId="7124ECF7" w:rsidR="00E124B3" w:rsidRDefault="00E124B3" w:rsidP="005F5526">
            <w:pPr>
              <w:pStyle w:val="tabletext"/>
            </w:pPr>
            <w:r>
              <w:t>Part 1, item 14, paragraph 738Z(1)(b) and subsection 738Z(2)</w:t>
            </w:r>
          </w:p>
        </w:tc>
        <w:tc>
          <w:tcPr>
            <w:tcW w:w="1980" w:type="dxa"/>
          </w:tcPr>
          <w:p w14:paraId="0A9FF033" w14:textId="30A3B598" w:rsidR="00E124B3" w:rsidRDefault="00E124B3" w:rsidP="005F5526">
            <w:pPr>
              <w:pStyle w:val="tabletext"/>
            </w:pPr>
            <w:r>
              <w:t>5.48</w:t>
            </w:r>
          </w:p>
        </w:tc>
      </w:tr>
      <w:tr w:rsidR="00E124B3" w:rsidRPr="00231CBA" w14:paraId="48DAEF8C" w14:textId="77777777" w:rsidTr="005F5526">
        <w:trPr>
          <w:tblHeader/>
        </w:trPr>
        <w:tc>
          <w:tcPr>
            <w:tcW w:w="5760" w:type="dxa"/>
          </w:tcPr>
          <w:p w14:paraId="4472E12D" w14:textId="1224A42E" w:rsidR="00E124B3" w:rsidRDefault="00E124B3" w:rsidP="005F5526">
            <w:pPr>
              <w:pStyle w:val="tabletext"/>
            </w:pPr>
            <w:r>
              <w:t>Part 1, item 14, subsections 738Y(3) and 738Z(2)</w:t>
            </w:r>
          </w:p>
        </w:tc>
        <w:tc>
          <w:tcPr>
            <w:tcW w:w="1980" w:type="dxa"/>
          </w:tcPr>
          <w:p w14:paraId="0635611B" w14:textId="22BB35C8" w:rsidR="00E124B3" w:rsidRDefault="00E124B3" w:rsidP="005F5526">
            <w:pPr>
              <w:pStyle w:val="tabletext"/>
            </w:pPr>
            <w:r>
              <w:t>5.49</w:t>
            </w:r>
          </w:p>
        </w:tc>
      </w:tr>
      <w:tr w:rsidR="00E124B3" w:rsidRPr="00231CBA" w14:paraId="684B09C3" w14:textId="77777777" w:rsidTr="005F5526">
        <w:trPr>
          <w:tblHeader/>
        </w:trPr>
        <w:tc>
          <w:tcPr>
            <w:tcW w:w="5760" w:type="dxa"/>
          </w:tcPr>
          <w:p w14:paraId="1012B27F" w14:textId="21C26924" w:rsidR="00E124B3" w:rsidRDefault="00E124B3" w:rsidP="005F5526">
            <w:pPr>
              <w:pStyle w:val="tabletext"/>
            </w:pPr>
            <w:r>
              <w:t>Part 1, item 14, subsection 738Z(3)</w:t>
            </w:r>
          </w:p>
        </w:tc>
        <w:tc>
          <w:tcPr>
            <w:tcW w:w="1980" w:type="dxa"/>
          </w:tcPr>
          <w:p w14:paraId="3856781F" w14:textId="3A4841C0" w:rsidR="00E124B3" w:rsidRDefault="00E124B3" w:rsidP="005F5526">
            <w:pPr>
              <w:pStyle w:val="tabletext"/>
            </w:pPr>
            <w:r>
              <w:t>5.50</w:t>
            </w:r>
          </w:p>
        </w:tc>
      </w:tr>
      <w:tr w:rsidR="00E124B3" w:rsidRPr="00231CBA" w14:paraId="1C0BA871" w14:textId="77777777" w:rsidTr="005F5526">
        <w:trPr>
          <w:tblHeader/>
        </w:trPr>
        <w:tc>
          <w:tcPr>
            <w:tcW w:w="5760" w:type="dxa"/>
          </w:tcPr>
          <w:p w14:paraId="0668EABC" w14:textId="0649BD0A" w:rsidR="00E124B3" w:rsidRDefault="00E124B3" w:rsidP="005F5526">
            <w:pPr>
              <w:pStyle w:val="tabletext"/>
            </w:pPr>
            <w:r>
              <w:t>Part 1, item 14, subsections 738Y(3) and 738Z(5)</w:t>
            </w:r>
          </w:p>
        </w:tc>
        <w:tc>
          <w:tcPr>
            <w:tcW w:w="1980" w:type="dxa"/>
          </w:tcPr>
          <w:p w14:paraId="0201D9C2" w14:textId="55E5E5C6" w:rsidR="00E124B3" w:rsidRDefault="00E124B3" w:rsidP="005F5526">
            <w:pPr>
              <w:pStyle w:val="tabletext"/>
            </w:pPr>
            <w:r>
              <w:t>5.50</w:t>
            </w:r>
          </w:p>
        </w:tc>
      </w:tr>
      <w:tr w:rsidR="00E124B3" w:rsidRPr="00231CBA" w14:paraId="635D01DB" w14:textId="77777777" w:rsidTr="005F5526">
        <w:trPr>
          <w:tblHeader/>
        </w:trPr>
        <w:tc>
          <w:tcPr>
            <w:tcW w:w="5760" w:type="dxa"/>
          </w:tcPr>
          <w:p w14:paraId="7C28D24D" w14:textId="021D1AE9" w:rsidR="00E124B3" w:rsidRDefault="00E124B3" w:rsidP="005F5526">
            <w:pPr>
              <w:pStyle w:val="tabletext"/>
            </w:pPr>
            <w:r>
              <w:t>Part 1, item 14, subsection 738Z(4)</w:t>
            </w:r>
          </w:p>
        </w:tc>
        <w:tc>
          <w:tcPr>
            <w:tcW w:w="1980" w:type="dxa"/>
          </w:tcPr>
          <w:p w14:paraId="4518CC28" w14:textId="319E02C9" w:rsidR="00E124B3" w:rsidRDefault="00E124B3" w:rsidP="005F5526">
            <w:pPr>
              <w:pStyle w:val="tabletext"/>
            </w:pPr>
            <w:r>
              <w:t>5.51</w:t>
            </w:r>
          </w:p>
        </w:tc>
      </w:tr>
      <w:tr w:rsidR="00E124B3" w:rsidRPr="00231CBA" w14:paraId="52062E7A" w14:textId="77777777" w:rsidTr="005F5526">
        <w:trPr>
          <w:tblHeader/>
        </w:trPr>
        <w:tc>
          <w:tcPr>
            <w:tcW w:w="5760" w:type="dxa"/>
          </w:tcPr>
          <w:p w14:paraId="40CB7869" w14:textId="5231DFF3" w:rsidR="00E124B3" w:rsidRDefault="00E124B3" w:rsidP="005F5526">
            <w:pPr>
              <w:pStyle w:val="tabletext"/>
            </w:pPr>
            <w:r>
              <w:t>Part 1, item 14, subsection 738Z(6)</w:t>
            </w:r>
          </w:p>
        </w:tc>
        <w:tc>
          <w:tcPr>
            <w:tcW w:w="1980" w:type="dxa"/>
          </w:tcPr>
          <w:p w14:paraId="58D72DD5" w14:textId="5E69611D" w:rsidR="00E124B3" w:rsidRDefault="00E124B3" w:rsidP="005F5526">
            <w:pPr>
              <w:pStyle w:val="tabletext"/>
            </w:pPr>
            <w:r>
              <w:t>5.52</w:t>
            </w:r>
          </w:p>
        </w:tc>
      </w:tr>
      <w:tr w:rsidR="00E124B3" w:rsidRPr="00231CBA" w14:paraId="2C0D8451" w14:textId="77777777" w:rsidTr="005F5526">
        <w:trPr>
          <w:tblHeader/>
        </w:trPr>
        <w:tc>
          <w:tcPr>
            <w:tcW w:w="5760" w:type="dxa"/>
          </w:tcPr>
          <w:p w14:paraId="6BF5C58B" w14:textId="1D99CFC6" w:rsidR="00E124B3" w:rsidRDefault="00E124B3" w:rsidP="005F5526">
            <w:pPr>
              <w:pStyle w:val="tabletext"/>
            </w:pPr>
            <w:r>
              <w:t>Part 1, item 14, section 738D</w:t>
            </w:r>
          </w:p>
        </w:tc>
        <w:tc>
          <w:tcPr>
            <w:tcW w:w="1980" w:type="dxa"/>
          </w:tcPr>
          <w:p w14:paraId="4EA85D3B" w14:textId="30C4A92F" w:rsidR="00E124B3" w:rsidRDefault="00E124B3" w:rsidP="005F5526">
            <w:pPr>
              <w:pStyle w:val="tabletext"/>
            </w:pPr>
            <w:r>
              <w:t>6.9</w:t>
            </w:r>
          </w:p>
        </w:tc>
      </w:tr>
      <w:tr w:rsidR="00E124B3" w:rsidRPr="00231CBA" w14:paraId="42FB52D8" w14:textId="77777777" w:rsidTr="005F5526">
        <w:trPr>
          <w:tblHeader/>
        </w:trPr>
        <w:tc>
          <w:tcPr>
            <w:tcW w:w="5760" w:type="dxa"/>
          </w:tcPr>
          <w:p w14:paraId="52BC9546" w14:textId="3EA6035B" w:rsidR="00E124B3" w:rsidRDefault="00E124B3" w:rsidP="005F5526">
            <w:pPr>
              <w:pStyle w:val="tabletext"/>
            </w:pPr>
            <w:r>
              <w:t>Part 1, item 14, subsection 738ZC(1)</w:t>
            </w:r>
          </w:p>
        </w:tc>
        <w:tc>
          <w:tcPr>
            <w:tcW w:w="1980" w:type="dxa"/>
          </w:tcPr>
          <w:p w14:paraId="27B76DC8" w14:textId="01DBA091" w:rsidR="00E124B3" w:rsidRDefault="00E124B3" w:rsidP="005F5526">
            <w:pPr>
              <w:pStyle w:val="tabletext"/>
            </w:pPr>
            <w:r>
              <w:t>6.10</w:t>
            </w:r>
          </w:p>
        </w:tc>
      </w:tr>
      <w:tr w:rsidR="00E124B3" w:rsidRPr="00231CBA" w14:paraId="4C87F08E" w14:textId="77777777" w:rsidTr="005F5526">
        <w:trPr>
          <w:tblHeader/>
        </w:trPr>
        <w:tc>
          <w:tcPr>
            <w:tcW w:w="5760" w:type="dxa"/>
          </w:tcPr>
          <w:p w14:paraId="46F5D85D" w14:textId="16246210" w:rsidR="00E124B3" w:rsidRDefault="00E124B3" w:rsidP="005F5526">
            <w:pPr>
              <w:pStyle w:val="tabletext"/>
            </w:pPr>
            <w:r>
              <w:t>Part 1, item 14, subsection 738ZC(2)</w:t>
            </w:r>
          </w:p>
        </w:tc>
        <w:tc>
          <w:tcPr>
            <w:tcW w:w="1980" w:type="dxa"/>
          </w:tcPr>
          <w:p w14:paraId="607A3D20" w14:textId="398487BE" w:rsidR="00E124B3" w:rsidRDefault="00E124B3" w:rsidP="005F5526">
            <w:pPr>
              <w:pStyle w:val="tabletext"/>
            </w:pPr>
            <w:r>
              <w:t>6.13, 6.14</w:t>
            </w:r>
          </w:p>
        </w:tc>
      </w:tr>
      <w:tr w:rsidR="00E124B3" w:rsidRPr="00231CBA" w14:paraId="220A3918" w14:textId="77777777" w:rsidTr="005F5526">
        <w:trPr>
          <w:tblHeader/>
        </w:trPr>
        <w:tc>
          <w:tcPr>
            <w:tcW w:w="5760" w:type="dxa"/>
          </w:tcPr>
          <w:p w14:paraId="3D272E2E" w14:textId="7D3D2070" w:rsidR="00E124B3" w:rsidRDefault="00E124B3" w:rsidP="005F5526">
            <w:pPr>
              <w:pStyle w:val="tabletext"/>
            </w:pPr>
            <w:r>
              <w:t>Part 1, item 14, subsection 738ZC(1) and item 34, item 245Q in the table to Schedule 3</w:t>
            </w:r>
          </w:p>
        </w:tc>
        <w:tc>
          <w:tcPr>
            <w:tcW w:w="1980" w:type="dxa"/>
          </w:tcPr>
          <w:p w14:paraId="23237347" w14:textId="2D1256E9" w:rsidR="00E124B3" w:rsidRDefault="00E124B3" w:rsidP="005F5526">
            <w:pPr>
              <w:pStyle w:val="tabletext"/>
            </w:pPr>
            <w:r>
              <w:t>6.15</w:t>
            </w:r>
          </w:p>
        </w:tc>
      </w:tr>
      <w:tr w:rsidR="00E124B3" w:rsidRPr="00231CBA" w14:paraId="72289DE7" w14:textId="77777777" w:rsidTr="005F5526">
        <w:trPr>
          <w:tblHeader/>
        </w:trPr>
        <w:tc>
          <w:tcPr>
            <w:tcW w:w="5760" w:type="dxa"/>
          </w:tcPr>
          <w:p w14:paraId="1422A148" w14:textId="1B3EA45A" w:rsidR="00E124B3" w:rsidRDefault="00E124B3" w:rsidP="005F5526">
            <w:pPr>
              <w:pStyle w:val="tabletext"/>
            </w:pPr>
            <w:r>
              <w:t>Part 1, item 14, subsection 738ZD(1)</w:t>
            </w:r>
          </w:p>
        </w:tc>
        <w:tc>
          <w:tcPr>
            <w:tcW w:w="1980" w:type="dxa"/>
          </w:tcPr>
          <w:p w14:paraId="0F92147C" w14:textId="4D33C6B8" w:rsidR="00E124B3" w:rsidRDefault="00E124B3" w:rsidP="005F5526">
            <w:pPr>
              <w:pStyle w:val="tabletext"/>
            </w:pPr>
            <w:r>
              <w:t>6.18</w:t>
            </w:r>
          </w:p>
        </w:tc>
      </w:tr>
      <w:tr w:rsidR="00E124B3" w:rsidRPr="00231CBA" w14:paraId="79D5C4A1" w14:textId="77777777" w:rsidTr="005F5526">
        <w:trPr>
          <w:tblHeader/>
        </w:trPr>
        <w:tc>
          <w:tcPr>
            <w:tcW w:w="5760" w:type="dxa"/>
          </w:tcPr>
          <w:p w14:paraId="79D9175A" w14:textId="18E555AB" w:rsidR="00E124B3" w:rsidRDefault="00E124B3" w:rsidP="005F5526">
            <w:pPr>
              <w:pStyle w:val="tabletext"/>
            </w:pPr>
            <w:r>
              <w:t>Part 1, item 14, subsection 738ZD(2)</w:t>
            </w:r>
          </w:p>
        </w:tc>
        <w:tc>
          <w:tcPr>
            <w:tcW w:w="1980" w:type="dxa"/>
          </w:tcPr>
          <w:p w14:paraId="1861C52B" w14:textId="31143A4B" w:rsidR="00E124B3" w:rsidRDefault="00E124B3" w:rsidP="005F5526">
            <w:pPr>
              <w:pStyle w:val="tabletext"/>
            </w:pPr>
            <w:r>
              <w:t>6.20</w:t>
            </w:r>
          </w:p>
        </w:tc>
      </w:tr>
      <w:tr w:rsidR="00E124B3" w:rsidRPr="00231CBA" w14:paraId="2951496E" w14:textId="77777777" w:rsidTr="005F5526">
        <w:trPr>
          <w:tblHeader/>
        </w:trPr>
        <w:tc>
          <w:tcPr>
            <w:tcW w:w="5760" w:type="dxa"/>
          </w:tcPr>
          <w:p w14:paraId="156C9A14" w14:textId="2E7AD722" w:rsidR="00E124B3" w:rsidRDefault="00E124B3" w:rsidP="005F5526">
            <w:pPr>
              <w:pStyle w:val="tabletext"/>
            </w:pPr>
            <w:r>
              <w:t>Part 1, item 14, paragraph 738G(1)(a)</w:t>
            </w:r>
          </w:p>
        </w:tc>
        <w:tc>
          <w:tcPr>
            <w:tcW w:w="1980" w:type="dxa"/>
          </w:tcPr>
          <w:p w14:paraId="025F9E87" w14:textId="399BF97C" w:rsidR="00E124B3" w:rsidRDefault="00E124B3" w:rsidP="005F5526">
            <w:pPr>
              <w:pStyle w:val="tabletext"/>
            </w:pPr>
            <w:r>
              <w:t>2.12</w:t>
            </w:r>
          </w:p>
        </w:tc>
      </w:tr>
      <w:tr w:rsidR="00E124B3" w:rsidRPr="00231CBA" w14:paraId="53C36AF9" w14:textId="77777777" w:rsidTr="005F5526">
        <w:trPr>
          <w:tblHeader/>
        </w:trPr>
        <w:tc>
          <w:tcPr>
            <w:tcW w:w="5760" w:type="dxa"/>
          </w:tcPr>
          <w:p w14:paraId="2884603B" w14:textId="0AEBB97D" w:rsidR="00E124B3" w:rsidRDefault="00E124B3" w:rsidP="005F5526">
            <w:pPr>
              <w:pStyle w:val="tabletext"/>
            </w:pPr>
            <w:r>
              <w:t>Part 1, item 14, subsections 738ZE(1) and (2)</w:t>
            </w:r>
          </w:p>
        </w:tc>
        <w:tc>
          <w:tcPr>
            <w:tcW w:w="1980" w:type="dxa"/>
          </w:tcPr>
          <w:p w14:paraId="796C88A7" w14:textId="10379A86" w:rsidR="00E124B3" w:rsidRDefault="00E124B3" w:rsidP="005F5526">
            <w:pPr>
              <w:pStyle w:val="tabletext"/>
            </w:pPr>
            <w:r>
              <w:t>6.23</w:t>
            </w:r>
          </w:p>
        </w:tc>
      </w:tr>
      <w:tr w:rsidR="00E124B3" w:rsidRPr="00231CBA" w14:paraId="6A94CDDA" w14:textId="77777777" w:rsidTr="005F5526">
        <w:trPr>
          <w:tblHeader/>
        </w:trPr>
        <w:tc>
          <w:tcPr>
            <w:tcW w:w="5760" w:type="dxa"/>
          </w:tcPr>
          <w:p w14:paraId="3B229DB0" w14:textId="69AA1E67" w:rsidR="00E124B3" w:rsidRDefault="00E124B3" w:rsidP="005F5526">
            <w:pPr>
              <w:pStyle w:val="tabletext"/>
            </w:pPr>
            <w:r>
              <w:t>Part 1, item 14, subsection 738ZE(3)</w:t>
            </w:r>
          </w:p>
        </w:tc>
        <w:tc>
          <w:tcPr>
            <w:tcW w:w="1980" w:type="dxa"/>
          </w:tcPr>
          <w:p w14:paraId="3A0846E7" w14:textId="3E5D3913" w:rsidR="00E124B3" w:rsidRDefault="00E124B3" w:rsidP="005F5526">
            <w:pPr>
              <w:pStyle w:val="tabletext"/>
            </w:pPr>
            <w:r>
              <w:t>6.25</w:t>
            </w:r>
          </w:p>
        </w:tc>
      </w:tr>
      <w:tr w:rsidR="00E124B3" w:rsidRPr="00231CBA" w14:paraId="758569D9" w14:textId="77777777" w:rsidTr="005F5526">
        <w:trPr>
          <w:tblHeader/>
        </w:trPr>
        <w:tc>
          <w:tcPr>
            <w:tcW w:w="5760" w:type="dxa"/>
          </w:tcPr>
          <w:p w14:paraId="165DC274" w14:textId="1A3A99ED" w:rsidR="00E124B3" w:rsidRDefault="00E124B3" w:rsidP="005F5526">
            <w:pPr>
              <w:pStyle w:val="tabletext"/>
            </w:pPr>
            <w:r>
              <w:t>Part 1, item 14, subsection 738ZE(4)</w:t>
            </w:r>
          </w:p>
        </w:tc>
        <w:tc>
          <w:tcPr>
            <w:tcW w:w="1980" w:type="dxa"/>
          </w:tcPr>
          <w:p w14:paraId="25F9A6EC" w14:textId="552FE8BF" w:rsidR="00E124B3" w:rsidRDefault="00E124B3" w:rsidP="005F5526">
            <w:pPr>
              <w:pStyle w:val="tabletext"/>
            </w:pPr>
            <w:r>
              <w:t>6.25</w:t>
            </w:r>
          </w:p>
        </w:tc>
      </w:tr>
      <w:tr w:rsidR="00E124B3" w:rsidRPr="00231CBA" w14:paraId="09F491EB" w14:textId="77777777" w:rsidTr="005F5526">
        <w:trPr>
          <w:tblHeader/>
        </w:trPr>
        <w:tc>
          <w:tcPr>
            <w:tcW w:w="5760" w:type="dxa"/>
          </w:tcPr>
          <w:p w14:paraId="312DDEB6" w14:textId="068EACAE" w:rsidR="00E124B3" w:rsidRDefault="00E124B3" w:rsidP="005F5526">
            <w:pPr>
              <w:pStyle w:val="tabletext"/>
            </w:pPr>
            <w:r>
              <w:t>Part 1, item 14, paragraph 738ZG(1)(a)</w:t>
            </w:r>
          </w:p>
        </w:tc>
        <w:tc>
          <w:tcPr>
            <w:tcW w:w="1980" w:type="dxa"/>
          </w:tcPr>
          <w:p w14:paraId="47C5CA74" w14:textId="2A834D8E" w:rsidR="00E124B3" w:rsidRDefault="00E124B3" w:rsidP="005F5526">
            <w:pPr>
              <w:pStyle w:val="tabletext"/>
            </w:pPr>
            <w:r>
              <w:t>6.29</w:t>
            </w:r>
          </w:p>
        </w:tc>
      </w:tr>
      <w:tr w:rsidR="00E124B3" w:rsidRPr="00231CBA" w14:paraId="2365D761" w14:textId="77777777" w:rsidTr="005F5526">
        <w:trPr>
          <w:tblHeader/>
        </w:trPr>
        <w:tc>
          <w:tcPr>
            <w:tcW w:w="5760" w:type="dxa"/>
          </w:tcPr>
          <w:p w14:paraId="4C207670" w14:textId="150461D5" w:rsidR="00E124B3" w:rsidRDefault="00E124B3" w:rsidP="005F5526">
            <w:pPr>
              <w:pStyle w:val="tabletext"/>
            </w:pPr>
            <w:r>
              <w:t>Part 1, item 14, paragraph 738ZG(1)(b)</w:t>
            </w:r>
          </w:p>
        </w:tc>
        <w:tc>
          <w:tcPr>
            <w:tcW w:w="1980" w:type="dxa"/>
          </w:tcPr>
          <w:p w14:paraId="146C8CE5" w14:textId="6429E7B1" w:rsidR="00E124B3" w:rsidRDefault="00E124B3" w:rsidP="005F5526">
            <w:pPr>
              <w:pStyle w:val="tabletext"/>
            </w:pPr>
            <w:r>
              <w:t>6.30</w:t>
            </w:r>
          </w:p>
        </w:tc>
      </w:tr>
      <w:tr w:rsidR="00E124B3" w:rsidRPr="00231CBA" w14:paraId="0E889DF9" w14:textId="77777777" w:rsidTr="005F5526">
        <w:trPr>
          <w:tblHeader/>
        </w:trPr>
        <w:tc>
          <w:tcPr>
            <w:tcW w:w="5760" w:type="dxa"/>
          </w:tcPr>
          <w:p w14:paraId="015C1EEB" w14:textId="2A211481" w:rsidR="00E124B3" w:rsidRDefault="00E124B3" w:rsidP="005F5526">
            <w:pPr>
              <w:pStyle w:val="tabletext"/>
            </w:pPr>
            <w:r>
              <w:t>Part 1, item 14, paragraph 738ZG(3)(c)</w:t>
            </w:r>
          </w:p>
        </w:tc>
        <w:tc>
          <w:tcPr>
            <w:tcW w:w="1980" w:type="dxa"/>
          </w:tcPr>
          <w:p w14:paraId="461AD5CB" w14:textId="521C516F" w:rsidR="00E124B3" w:rsidRDefault="00E124B3" w:rsidP="005F5526">
            <w:pPr>
              <w:pStyle w:val="tabletext"/>
            </w:pPr>
            <w:r>
              <w:t>6.31</w:t>
            </w:r>
          </w:p>
        </w:tc>
      </w:tr>
      <w:tr w:rsidR="00E124B3" w:rsidRPr="00231CBA" w14:paraId="5EEA4B42" w14:textId="77777777" w:rsidTr="005F5526">
        <w:trPr>
          <w:tblHeader/>
        </w:trPr>
        <w:tc>
          <w:tcPr>
            <w:tcW w:w="5760" w:type="dxa"/>
          </w:tcPr>
          <w:p w14:paraId="6C58FF16" w14:textId="5D56171D" w:rsidR="00E124B3" w:rsidRDefault="00E124B3" w:rsidP="005F5526">
            <w:pPr>
              <w:pStyle w:val="tabletext"/>
            </w:pPr>
            <w:r>
              <w:t>Part 1, item 14, paragraph 738ZG(3)(d)</w:t>
            </w:r>
          </w:p>
        </w:tc>
        <w:tc>
          <w:tcPr>
            <w:tcW w:w="1980" w:type="dxa"/>
          </w:tcPr>
          <w:p w14:paraId="2D3ED7D1" w14:textId="4AC1A234" w:rsidR="00E124B3" w:rsidRDefault="00E124B3" w:rsidP="005F5526">
            <w:pPr>
              <w:pStyle w:val="tabletext"/>
            </w:pPr>
            <w:r>
              <w:t>6.31</w:t>
            </w:r>
          </w:p>
        </w:tc>
      </w:tr>
      <w:tr w:rsidR="00E124B3" w:rsidRPr="00231CBA" w14:paraId="4E643B05" w14:textId="77777777" w:rsidTr="005F5526">
        <w:trPr>
          <w:tblHeader/>
        </w:trPr>
        <w:tc>
          <w:tcPr>
            <w:tcW w:w="5760" w:type="dxa"/>
          </w:tcPr>
          <w:p w14:paraId="1D6716D9" w14:textId="7638FFC6" w:rsidR="00E124B3" w:rsidRDefault="00E124B3" w:rsidP="005F5526">
            <w:pPr>
              <w:pStyle w:val="tabletext"/>
            </w:pPr>
            <w:r>
              <w:t>Part 1, item 14, paragraph 738ZG(3)(e)</w:t>
            </w:r>
          </w:p>
        </w:tc>
        <w:tc>
          <w:tcPr>
            <w:tcW w:w="1980" w:type="dxa"/>
          </w:tcPr>
          <w:p w14:paraId="16E44628" w14:textId="03B94612" w:rsidR="00E124B3" w:rsidRDefault="00E124B3" w:rsidP="005F5526">
            <w:pPr>
              <w:pStyle w:val="tabletext"/>
            </w:pPr>
            <w:r>
              <w:t>6.31</w:t>
            </w:r>
          </w:p>
        </w:tc>
      </w:tr>
      <w:tr w:rsidR="00E124B3" w:rsidRPr="00231CBA" w14:paraId="18CD8FCE" w14:textId="77777777" w:rsidTr="005F5526">
        <w:trPr>
          <w:tblHeader/>
        </w:trPr>
        <w:tc>
          <w:tcPr>
            <w:tcW w:w="5760" w:type="dxa"/>
          </w:tcPr>
          <w:p w14:paraId="70926EBA" w14:textId="21128FE1" w:rsidR="00E124B3" w:rsidRDefault="00E124B3" w:rsidP="005F5526">
            <w:pPr>
              <w:pStyle w:val="tabletext"/>
            </w:pPr>
            <w:r>
              <w:t>Part 1, item 14, subsection 738L(4) and paragraph 738ZG(2)(a)</w:t>
            </w:r>
          </w:p>
        </w:tc>
        <w:tc>
          <w:tcPr>
            <w:tcW w:w="1980" w:type="dxa"/>
          </w:tcPr>
          <w:p w14:paraId="3CAECBCF" w14:textId="60266D7F" w:rsidR="00E124B3" w:rsidRDefault="00E124B3" w:rsidP="005F5526">
            <w:pPr>
              <w:pStyle w:val="tabletext"/>
            </w:pPr>
            <w:r>
              <w:t>6.32</w:t>
            </w:r>
          </w:p>
        </w:tc>
      </w:tr>
      <w:tr w:rsidR="00E124B3" w:rsidRPr="00231CBA" w14:paraId="3FF0E2D6" w14:textId="77777777" w:rsidTr="005F5526">
        <w:trPr>
          <w:tblHeader/>
        </w:trPr>
        <w:tc>
          <w:tcPr>
            <w:tcW w:w="5760" w:type="dxa"/>
          </w:tcPr>
          <w:p w14:paraId="0CACF40B" w14:textId="173B0B21" w:rsidR="00E124B3" w:rsidRDefault="00E124B3" w:rsidP="005F5526">
            <w:pPr>
              <w:pStyle w:val="tabletext"/>
            </w:pPr>
            <w:r>
              <w:t>Part 1, item 14, subsection 738ZG(2)</w:t>
            </w:r>
          </w:p>
        </w:tc>
        <w:tc>
          <w:tcPr>
            <w:tcW w:w="1980" w:type="dxa"/>
          </w:tcPr>
          <w:p w14:paraId="621AF9E0" w14:textId="4F26AD3B" w:rsidR="00E124B3" w:rsidRDefault="00E124B3" w:rsidP="005F5526">
            <w:pPr>
              <w:pStyle w:val="tabletext"/>
            </w:pPr>
            <w:r>
              <w:t>6.33</w:t>
            </w:r>
          </w:p>
        </w:tc>
      </w:tr>
      <w:tr w:rsidR="00E124B3" w:rsidRPr="00231CBA" w14:paraId="1B8B0F19" w14:textId="77777777" w:rsidTr="005F5526">
        <w:trPr>
          <w:tblHeader/>
        </w:trPr>
        <w:tc>
          <w:tcPr>
            <w:tcW w:w="5760" w:type="dxa"/>
          </w:tcPr>
          <w:p w14:paraId="366111A6" w14:textId="40CF03D4" w:rsidR="00E124B3" w:rsidRDefault="00E124B3" w:rsidP="005F5526">
            <w:pPr>
              <w:pStyle w:val="tabletext"/>
            </w:pPr>
            <w:r>
              <w:t>Part 1, item 14, paragraph 738ZG(2)(b)</w:t>
            </w:r>
          </w:p>
        </w:tc>
        <w:tc>
          <w:tcPr>
            <w:tcW w:w="1980" w:type="dxa"/>
          </w:tcPr>
          <w:p w14:paraId="44EEE319" w14:textId="60D2BC5F" w:rsidR="00E124B3" w:rsidRDefault="00E124B3" w:rsidP="005F5526">
            <w:pPr>
              <w:pStyle w:val="tabletext"/>
            </w:pPr>
            <w:r>
              <w:t>6.34</w:t>
            </w:r>
          </w:p>
        </w:tc>
      </w:tr>
      <w:tr w:rsidR="00E124B3" w:rsidRPr="00231CBA" w14:paraId="0E95E19D" w14:textId="77777777" w:rsidTr="005F5526">
        <w:trPr>
          <w:tblHeader/>
        </w:trPr>
        <w:tc>
          <w:tcPr>
            <w:tcW w:w="5760" w:type="dxa"/>
          </w:tcPr>
          <w:p w14:paraId="1ECE2285" w14:textId="26FD0812" w:rsidR="00E124B3" w:rsidRDefault="00E124B3" w:rsidP="005F5526">
            <w:pPr>
              <w:pStyle w:val="tabletext"/>
            </w:pPr>
            <w:r>
              <w:t>Part 1, item 14, section 738ZG(4)</w:t>
            </w:r>
          </w:p>
        </w:tc>
        <w:tc>
          <w:tcPr>
            <w:tcW w:w="1980" w:type="dxa"/>
          </w:tcPr>
          <w:p w14:paraId="650F1497" w14:textId="542B71AE" w:rsidR="00E124B3" w:rsidRDefault="00E124B3" w:rsidP="005F5526">
            <w:pPr>
              <w:pStyle w:val="tabletext"/>
            </w:pPr>
            <w:r>
              <w:t>6.36</w:t>
            </w:r>
          </w:p>
        </w:tc>
      </w:tr>
      <w:tr w:rsidR="00E124B3" w:rsidRPr="00231CBA" w14:paraId="3F9A8640" w14:textId="77777777" w:rsidTr="005F5526">
        <w:trPr>
          <w:tblHeader/>
        </w:trPr>
        <w:tc>
          <w:tcPr>
            <w:tcW w:w="5760" w:type="dxa"/>
          </w:tcPr>
          <w:p w14:paraId="6F2A0231" w14:textId="261D1008" w:rsidR="00E124B3" w:rsidRDefault="00E124B3" w:rsidP="005F5526">
            <w:pPr>
              <w:pStyle w:val="tabletext"/>
            </w:pPr>
            <w:r>
              <w:t>Part 1, item 14, subsection 738ZG(6)</w:t>
            </w:r>
          </w:p>
        </w:tc>
        <w:tc>
          <w:tcPr>
            <w:tcW w:w="1980" w:type="dxa"/>
          </w:tcPr>
          <w:p w14:paraId="39A30F9B" w14:textId="43FCC106" w:rsidR="00E124B3" w:rsidRDefault="00E124B3" w:rsidP="005F5526">
            <w:pPr>
              <w:pStyle w:val="tabletext"/>
            </w:pPr>
            <w:r>
              <w:t>6.37</w:t>
            </w:r>
          </w:p>
        </w:tc>
      </w:tr>
      <w:tr w:rsidR="00E124B3" w:rsidRPr="00231CBA" w14:paraId="6595E272" w14:textId="77777777" w:rsidTr="005F5526">
        <w:trPr>
          <w:tblHeader/>
        </w:trPr>
        <w:tc>
          <w:tcPr>
            <w:tcW w:w="5760" w:type="dxa"/>
          </w:tcPr>
          <w:p w14:paraId="57B3D84E" w14:textId="421D0DC0" w:rsidR="00E124B3" w:rsidRDefault="00E124B3" w:rsidP="005F5526">
            <w:pPr>
              <w:pStyle w:val="tabletext"/>
            </w:pPr>
            <w:r>
              <w:t>Part 1, item 14, subsection 738ZG(7)</w:t>
            </w:r>
          </w:p>
        </w:tc>
        <w:tc>
          <w:tcPr>
            <w:tcW w:w="1980" w:type="dxa"/>
          </w:tcPr>
          <w:p w14:paraId="297E191B" w14:textId="6FA54C86" w:rsidR="00E124B3" w:rsidRDefault="00E124B3" w:rsidP="005F5526">
            <w:pPr>
              <w:pStyle w:val="tabletext"/>
            </w:pPr>
            <w:r>
              <w:t>6.41</w:t>
            </w:r>
          </w:p>
        </w:tc>
      </w:tr>
      <w:tr w:rsidR="00E124B3" w:rsidRPr="00231CBA" w14:paraId="2F1C1911" w14:textId="77777777" w:rsidTr="005F5526">
        <w:trPr>
          <w:tblHeader/>
        </w:trPr>
        <w:tc>
          <w:tcPr>
            <w:tcW w:w="5760" w:type="dxa"/>
          </w:tcPr>
          <w:p w14:paraId="37175DC7" w14:textId="63FA5D7E" w:rsidR="00E124B3" w:rsidRDefault="00E124B3" w:rsidP="005F5526">
            <w:pPr>
              <w:pStyle w:val="tabletext"/>
            </w:pPr>
            <w:r>
              <w:t>Part 1, item 14, subsection 738ZG(10)</w:t>
            </w:r>
          </w:p>
        </w:tc>
        <w:tc>
          <w:tcPr>
            <w:tcW w:w="1980" w:type="dxa"/>
          </w:tcPr>
          <w:p w14:paraId="16755A76" w14:textId="16E18D15" w:rsidR="00E124B3" w:rsidRDefault="00E124B3" w:rsidP="005F5526">
            <w:pPr>
              <w:pStyle w:val="tabletext"/>
            </w:pPr>
            <w:r>
              <w:t>6.42</w:t>
            </w:r>
          </w:p>
        </w:tc>
      </w:tr>
      <w:tr w:rsidR="00E124B3" w:rsidRPr="00231CBA" w14:paraId="1E636EA7" w14:textId="77777777" w:rsidTr="005F5526">
        <w:trPr>
          <w:tblHeader/>
        </w:trPr>
        <w:tc>
          <w:tcPr>
            <w:tcW w:w="5760" w:type="dxa"/>
          </w:tcPr>
          <w:p w14:paraId="1645E195" w14:textId="6798C6EB" w:rsidR="00E124B3" w:rsidRDefault="00E124B3" w:rsidP="005F5526">
            <w:pPr>
              <w:pStyle w:val="tabletext"/>
            </w:pPr>
            <w:r>
              <w:t>Part 1, item 14, paragraph 738ZG(9)(c)</w:t>
            </w:r>
          </w:p>
        </w:tc>
        <w:tc>
          <w:tcPr>
            <w:tcW w:w="1980" w:type="dxa"/>
          </w:tcPr>
          <w:p w14:paraId="11EBCEA6" w14:textId="6B1425CC" w:rsidR="00E124B3" w:rsidRDefault="00E124B3" w:rsidP="005F5526">
            <w:pPr>
              <w:pStyle w:val="tabletext"/>
            </w:pPr>
            <w:r>
              <w:t>6.43</w:t>
            </w:r>
          </w:p>
        </w:tc>
      </w:tr>
      <w:tr w:rsidR="00E124B3" w:rsidRPr="00231CBA" w14:paraId="724D14C6" w14:textId="77777777" w:rsidTr="005F5526">
        <w:trPr>
          <w:tblHeader/>
        </w:trPr>
        <w:tc>
          <w:tcPr>
            <w:tcW w:w="5760" w:type="dxa"/>
          </w:tcPr>
          <w:p w14:paraId="10FDA007" w14:textId="1222F588" w:rsidR="00E124B3" w:rsidRDefault="00E124B3" w:rsidP="005F5526">
            <w:pPr>
              <w:pStyle w:val="tabletext"/>
            </w:pPr>
            <w:r>
              <w:t>Part 1, item 14, paragraph 738ZG(9)(d)</w:t>
            </w:r>
          </w:p>
        </w:tc>
        <w:tc>
          <w:tcPr>
            <w:tcW w:w="1980" w:type="dxa"/>
          </w:tcPr>
          <w:p w14:paraId="6CF0F0A6" w14:textId="3C5D201E" w:rsidR="00E124B3" w:rsidRDefault="00E124B3" w:rsidP="005F5526">
            <w:pPr>
              <w:pStyle w:val="tabletext"/>
            </w:pPr>
            <w:r>
              <w:t>6.44</w:t>
            </w:r>
            <w:r w:rsidR="00222787">
              <w:t>, 6.45, 6.46</w:t>
            </w:r>
          </w:p>
        </w:tc>
      </w:tr>
      <w:tr w:rsidR="00E124B3" w:rsidRPr="00231CBA" w14:paraId="143E6999" w14:textId="77777777" w:rsidTr="005F5526">
        <w:trPr>
          <w:tblHeader/>
        </w:trPr>
        <w:tc>
          <w:tcPr>
            <w:tcW w:w="5760" w:type="dxa"/>
          </w:tcPr>
          <w:p w14:paraId="2340EB3A" w14:textId="3965C0D0" w:rsidR="00E124B3" w:rsidRDefault="00E124B3" w:rsidP="005F5526">
            <w:pPr>
              <w:pStyle w:val="tabletext"/>
            </w:pPr>
            <w:r>
              <w:t>Part 1, item 14, paragraph 738G(1)(b)</w:t>
            </w:r>
          </w:p>
        </w:tc>
        <w:tc>
          <w:tcPr>
            <w:tcW w:w="1980" w:type="dxa"/>
          </w:tcPr>
          <w:p w14:paraId="0C8CE51E" w14:textId="0FA2C82D" w:rsidR="00E124B3" w:rsidRDefault="00E124B3" w:rsidP="005F5526">
            <w:pPr>
              <w:pStyle w:val="tabletext"/>
            </w:pPr>
            <w:r>
              <w:t>2.13</w:t>
            </w:r>
          </w:p>
        </w:tc>
      </w:tr>
      <w:tr w:rsidR="00E124B3" w:rsidRPr="00231CBA" w14:paraId="29CE04E6" w14:textId="77777777" w:rsidTr="005F5526">
        <w:trPr>
          <w:tblHeader/>
        </w:trPr>
        <w:tc>
          <w:tcPr>
            <w:tcW w:w="5760" w:type="dxa"/>
          </w:tcPr>
          <w:p w14:paraId="5080261D" w14:textId="5F9EC504" w:rsidR="00E124B3" w:rsidRDefault="00E124B3" w:rsidP="005F5526">
            <w:pPr>
              <w:pStyle w:val="tabletext"/>
            </w:pPr>
            <w:r>
              <w:t>Part 1, item 14, subsections 738ZG(1) and (8)</w:t>
            </w:r>
          </w:p>
        </w:tc>
        <w:tc>
          <w:tcPr>
            <w:tcW w:w="1980" w:type="dxa"/>
          </w:tcPr>
          <w:p w14:paraId="5F430970" w14:textId="68F92602" w:rsidR="00E124B3" w:rsidRDefault="00E124B3" w:rsidP="005F5526">
            <w:pPr>
              <w:pStyle w:val="tabletext"/>
            </w:pPr>
            <w:r>
              <w:t>6.50</w:t>
            </w:r>
          </w:p>
        </w:tc>
      </w:tr>
      <w:tr w:rsidR="00E124B3" w:rsidRPr="00231CBA" w14:paraId="24C79E57" w14:textId="77777777" w:rsidTr="005F5526">
        <w:trPr>
          <w:tblHeader/>
        </w:trPr>
        <w:tc>
          <w:tcPr>
            <w:tcW w:w="5760" w:type="dxa"/>
          </w:tcPr>
          <w:p w14:paraId="485AE44F" w14:textId="19122914" w:rsidR="00E124B3" w:rsidRDefault="00E124B3" w:rsidP="005F5526">
            <w:pPr>
              <w:pStyle w:val="tabletext"/>
            </w:pPr>
            <w:r>
              <w:t>Part 1, item 14, paragraph 738ZG(9)(a)</w:t>
            </w:r>
          </w:p>
        </w:tc>
        <w:tc>
          <w:tcPr>
            <w:tcW w:w="1980" w:type="dxa"/>
          </w:tcPr>
          <w:p w14:paraId="61F590F9" w14:textId="68BEA3F4" w:rsidR="00E124B3" w:rsidRDefault="00E124B3" w:rsidP="005F5526">
            <w:pPr>
              <w:pStyle w:val="tabletext"/>
            </w:pPr>
            <w:r>
              <w:t>6.54</w:t>
            </w:r>
          </w:p>
        </w:tc>
      </w:tr>
      <w:tr w:rsidR="00E124B3" w:rsidRPr="00231CBA" w14:paraId="47817186" w14:textId="77777777" w:rsidTr="005F5526">
        <w:trPr>
          <w:tblHeader/>
        </w:trPr>
        <w:tc>
          <w:tcPr>
            <w:tcW w:w="5760" w:type="dxa"/>
          </w:tcPr>
          <w:p w14:paraId="5BA3B35C" w14:textId="4BECFCDE" w:rsidR="00E124B3" w:rsidRDefault="00E124B3" w:rsidP="005F5526">
            <w:pPr>
              <w:pStyle w:val="tabletext"/>
            </w:pPr>
            <w:r>
              <w:t>Part 1, item 14, paragraph 738ZG(9)(b)</w:t>
            </w:r>
          </w:p>
        </w:tc>
        <w:tc>
          <w:tcPr>
            <w:tcW w:w="1980" w:type="dxa"/>
          </w:tcPr>
          <w:p w14:paraId="3224C40A" w14:textId="5DADACA9" w:rsidR="00E124B3" w:rsidRDefault="00E124B3" w:rsidP="005F5526">
            <w:pPr>
              <w:pStyle w:val="tabletext"/>
            </w:pPr>
            <w:r>
              <w:t>6.55</w:t>
            </w:r>
          </w:p>
        </w:tc>
      </w:tr>
      <w:tr w:rsidR="00E124B3" w:rsidRPr="00231CBA" w14:paraId="71E22B03" w14:textId="77777777" w:rsidTr="005F5526">
        <w:trPr>
          <w:tblHeader/>
        </w:trPr>
        <w:tc>
          <w:tcPr>
            <w:tcW w:w="5760" w:type="dxa"/>
          </w:tcPr>
          <w:p w14:paraId="186F4DED" w14:textId="0C9902F0" w:rsidR="00E124B3" w:rsidRDefault="00E124B3" w:rsidP="005F5526">
            <w:pPr>
              <w:pStyle w:val="tabletext"/>
            </w:pPr>
            <w:r>
              <w:t>Part 1, item 14, subsection 738ZG(5) and item 34, item 245T in the table to Schedule 3</w:t>
            </w:r>
          </w:p>
        </w:tc>
        <w:tc>
          <w:tcPr>
            <w:tcW w:w="1980" w:type="dxa"/>
          </w:tcPr>
          <w:p w14:paraId="010D2F74" w14:textId="65125EF7" w:rsidR="00E124B3" w:rsidRDefault="00E124B3" w:rsidP="005F5526">
            <w:pPr>
              <w:pStyle w:val="tabletext"/>
            </w:pPr>
            <w:r>
              <w:t>6.57</w:t>
            </w:r>
          </w:p>
        </w:tc>
      </w:tr>
      <w:tr w:rsidR="00E124B3" w:rsidRPr="00231CBA" w14:paraId="08802180" w14:textId="77777777" w:rsidTr="005F5526">
        <w:trPr>
          <w:tblHeader/>
        </w:trPr>
        <w:tc>
          <w:tcPr>
            <w:tcW w:w="5760" w:type="dxa"/>
          </w:tcPr>
          <w:p w14:paraId="23A43383" w14:textId="3691F11C" w:rsidR="00E124B3" w:rsidRDefault="00E124B3" w:rsidP="005F5526">
            <w:pPr>
              <w:pStyle w:val="tabletext"/>
            </w:pPr>
            <w:r>
              <w:t>Part 1, item 14, section 738ZF</w:t>
            </w:r>
          </w:p>
        </w:tc>
        <w:tc>
          <w:tcPr>
            <w:tcW w:w="1980" w:type="dxa"/>
          </w:tcPr>
          <w:p w14:paraId="6D58F371" w14:textId="17DB8F33" w:rsidR="00E124B3" w:rsidRDefault="00E124B3" w:rsidP="005F5526">
            <w:pPr>
              <w:pStyle w:val="tabletext"/>
            </w:pPr>
            <w:r>
              <w:t>6.63</w:t>
            </w:r>
          </w:p>
        </w:tc>
      </w:tr>
      <w:tr w:rsidR="00E124B3" w:rsidRPr="00231CBA" w14:paraId="6EBF73FB" w14:textId="77777777" w:rsidTr="005F5526">
        <w:trPr>
          <w:tblHeader/>
        </w:trPr>
        <w:tc>
          <w:tcPr>
            <w:tcW w:w="5760" w:type="dxa"/>
          </w:tcPr>
          <w:p w14:paraId="6E6D8618" w14:textId="41D15F24" w:rsidR="00E124B3" w:rsidRDefault="00E124B3" w:rsidP="005F5526">
            <w:pPr>
              <w:pStyle w:val="tabletext"/>
            </w:pPr>
            <w:r>
              <w:t>Part 1, item 14, paragraphs 738H(1)(a), (b) and (c)</w:t>
            </w:r>
          </w:p>
        </w:tc>
        <w:tc>
          <w:tcPr>
            <w:tcW w:w="1980" w:type="dxa"/>
          </w:tcPr>
          <w:p w14:paraId="7ABE39E1" w14:textId="183BC4C4" w:rsidR="00E124B3" w:rsidRDefault="00E124B3" w:rsidP="005F5526">
            <w:pPr>
              <w:pStyle w:val="tabletext"/>
            </w:pPr>
            <w:r>
              <w:t>2.14</w:t>
            </w:r>
          </w:p>
        </w:tc>
      </w:tr>
      <w:tr w:rsidR="00E124B3" w:rsidRPr="00231CBA" w14:paraId="66FEFE02" w14:textId="77777777" w:rsidTr="005F5526">
        <w:trPr>
          <w:tblHeader/>
        </w:trPr>
        <w:tc>
          <w:tcPr>
            <w:tcW w:w="5760" w:type="dxa"/>
          </w:tcPr>
          <w:p w14:paraId="54DC84E5" w14:textId="1BC51ADC" w:rsidR="00E124B3" w:rsidRDefault="00E124B3" w:rsidP="005F5526">
            <w:pPr>
              <w:pStyle w:val="tabletext"/>
            </w:pPr>
            <w:r>
              <w:t>Part 1, item 14, section 738Z</w:t>
            </w:r>
            <w:r w:rsidR="002A554D">
              <w:t>I</w:t>
            </w:r>
          </w:p>
        </w:tc>
        <w:tc>
          <w:tcPr>
            <w:tcW w:w="1980" w:type="dxa"/>
          </w:tcPr>
          <w:p w14:paraId="2AE32494" w14:textId="048245C4" w:rsidR="00E124B3" w:rsidRDefault="00E124B3" w:rsidP="005F5526">
            <w:pPr>
              <w:pStyle w:val="tabletext"/>
            </w:pPr>
            <w:r>
              <w:t>7.13</w:t>
            </w:r>
          </w:p>
        </w:tc>
      </w:tr>
      <w:tr w:rsidR="00E124B3" w:rsidRPr="00231CBA" w14:paraId="55B2757E" w14:textId="77777777" w:rsidTr="005F5526">
        <w:trPr>
          <w:tblHeader/>
        </w:trPr>
        <w:tc>
          <w:tcPr>
            <w:tcW w:w="5760" w:type="dxa"/>
          </w:tcPr>
          <w:p w14:paraId="785F1B74" w14:textId="3A5256D7" w:rsidR="00E124B3" w:rsidRDefault="00E124B3" w:rsidP="005F5526">
            <w:pPr>
              <w:pStyle w:val="tabletext"/>
            </w:pPr>
            <w:r>
              <w:t>Part 1, items 15, 18 and 19, paragraph 739(1)(f), subsection 739(6) and paragraph 739(6)(c)</w:t>
            </w:r>
          </w:p>
        </w:tc>
        <w:tc>
          <w:tcPr>
            <w:tcW w:w="1980" w:type="dxa"/>
          </w:tcPr>
          <w:p w14:paraId="73AD2D5E" w14:textId="03DA3772" w:rsidR="00E124B3" w:rsidRDefault="00E124B3" w:rsidP="005F5526">
            <w:pPr>
              <w:pStyle w:val="tabletext"/>
            </w:pPr>
            <w:r>
              <w:t>6.65</w:t>
            </w:r>
          </w:p>
        </w:tc>
      </w:tr>
      <w:tr w:rsidR="00E124B3" w:rsidRPr="00231CBA" w14:paraId="0F0A39A4" w14:textId="77777777" w:rsidTr="005F5526">
        <w:trPr>
          <w:tblHeader/>
        </w:trPr>
        <w:tc>
          <w:tcPr>
            <w:tcW w:w="5760" w:type="dxa"/>
          </w:tcPr>
          <w:p w14:paraId="7DE16905" w14:textId="16520460" w:rsidR="00E124B3" w:rsidRDefault="00E124B3" w:rsidP="005F5526">
            <w:pPr>
              <w:pStyle w:val="tabletext"/>
            </w:pPr>
            <w:r>
              <w:t>Part 1, item 15, paragraph 739(1)(g)</w:t>
            </w:r>
          </w:p>
        </w:tc>
        <w:tc>
          <w:tcPr>
            <w:tcW w:w="1980" w:type="dxa"/>
          </w:tcPr>
          <w:p w14:paraId="4B86D79B" w14:textId="637E8867" w:rsidR="00E124B3" w:rsidRDefault="00E124B3" w:rsidP="005F5526">
            <w:pPr>
              <w:pStyle w:val="tabletext"/>
            </w:pPr>
            <w:r>
              <w:t>6.67</w:t>
            </w:r>
          </w:p>
        </w:tc>
      </w:tr>
      <w:tr w:rsidR="00E124B3" w:rsidRPr="00231CBA" w14:paraId="6FE556C1" w14:textId="77777777" w:rsidTr="005F5526">
        <w:trPr>
          <w:tblHeader/>
        </w:trPr>
        <w:tc>
          <w:tcPr>
            <w:tcW w:w="5760" w:type="dxa"/>
          </w:tcPr>
          <w:p w14:paraId="0E2A1A17" w14:textId="4C3E2705" w:rsidR="00E124B3" w:rsidRDefault="00E124B3" w:rsidP="005F5526">
            <w:pPr>
              <w:pStyle w:val="tabletext"/>
            </w:pPr>
            <w:r>
              <w:t>Part 1, item 15, paragraph 739(1)(e)</w:t>
            </w:r>
          </w:p>
        </w:tc>
        <w:tc>
          <w:tcPr>
            <w:tcW w:w="1980" w:type="dxa"/>
          </w:tcPr>
          <w:p w14:paraId="00379896" w14:textId="076BCB1A" w:rsidR="00E124B3" w:rsidRDefault="00E124B3" w:rsidP="005F5526">
            <w:pPr>
              <w:pStyle w:val="tabletext"/>
            </w:pPr>
            <w:r>
              <w:t>4.11</w:t>
            </w:r>
          </w:p>
        </w:tc>
      </w:tr>
      <w:tr w:rsidR="00E124B3" w:rsidRPr="00231CBA" w14:paraId="0516DE7E" w14:textId="77777777" w:rsidTr="005F5526">
        <w:trPr>
          <w:tblHeader/>
        </w:trPr>
        <w:tc>
          <w:tcPr>
            <w:tcW w:w="5760" w:type="dxa"/>
          </w:tcPr>
          <w:p w14:paraId="3F064452" w14:textId="596249EF" w:rsidR="00E124B3" w:rsidRDefault="00E124B3" w:rsidP="005F5526">
            <w:pPr>
              <w:pStyle w:val="tabletext"/>
            </w:pPr>
            <w:r>
              <w:t>Part 1, item 15, paragraph 739(1)(d)</w:t>
            </w:r>
          </w:p>
        </w:tc>
        <w:tc>
          <w:tcPr>
            <w:tcW w:w="1980" w:type="dxa"/>
          </w:tcPr>
          <w:p w14:paraId="6E77CD96" w14:textId="2ABB3E93" w:rsidR="00E124B3" w:rsidRDefault="00E124B3" w:rsidP="005F5526">
            <w:pPr>
              <w:pStyle w:val="tabletext"/>
            </w:pPr>
            <w:r>
              <w:t>5.54</w:t>
            </w:r>
          </w:p>
        </w:tc>
      </w:tr>
      <w:tr w:rsidR="00E124B3" w:rsidRPr="00231CBA" w14:paraId="3AB1EFC5" w14:textId="77777777" w:rsidTr="005F5526">
        <w:trPr>
          <w:tblHeader/>
        </w:trPr>
        <w:tc>
          <w:tcPr>
            <w:tcW w:w="5760" w:type="dxa"/>
          </w:tcPr>
          <w:p w14:paraId="3A825246" w14:textId="57482E95" w:rsidR="00E124B3" w:rsidRDefault="00E124B3" w:rsidP="005F5526">
            <w:pPr>
              <w:pStyle w:val="tabletext"/>
            </w:pPr>
            <w:r>
              <w:t>Part 1, item 16, paragraph 739(1A)(a)</w:t>
            </w:r>
          </w:p>
        </w:tc>
        <w:tc>
          <w:tcPr>
            <w:tcW w:w="1980" w:type="dxa"/>
          </w:tcPr>
          <w:p w14:paraId="349B08EB" w14:textId="357B7D4B" w:rsidR="00E124B3" w:rsidRDefault="00E124B3" w:rsidP="005F5526">
            <w:pPr>
              <w:pStyle w:val="tabletext"/>
            </w:pPr>
            <w:r>
              <w:t>4.11, 5.54</w:t>
            </w:r>
          </w:p>
        </w:tc>
      </w:tr>
      <w:tr w:rsidR="00E124B3" w:rsidRPr="00231CBA" w14:paraId="00A07025" w14:textId="77777777" w:rsidTr="005F5526">
        <w:trPr>
          <w:tblHeader/>
        </w:trPr>
        <w:tc>
          <w:tcPr>
            <w:tcW w:w="5760" w:type="dxa"/>
          </w:tcPr>
          <w:p w14:paraId="65BA2C86" w14:textId="25FAF537" w:rsidR="00E124B3" w:rsidRDefault="00E124B3" w:rsidP="005F5526">
            <w:pPr>
              <w:pStyle w:val="tabletext"/>
            </w:pPr>
            <w:r>
              <w:t>Part 1, item 16, paragraph 739(1A)(a)</w:t>
            </w:r>
          </w:p>
        </w:tc>
        <w:tc>
          <w:tcPr>
            <w:tcW w:w="1980" w:type="dxa"/>
          </w:tcPr>
          <w:p w14:paraId="324AF4DC" w14:textId="279DF42F" w:rsidR="00E124B3" w:rsidRDefault="00E124B3" w:rsidP="005F5526">
            <w:pPr>
              <w:pStyle w:val="tabletext"/>
            </w:pPr>
            <w:r>
              <w:t>6.68</w:t>
            </w:r>
          </w:p>
        </w:tc>
      </w:tr>
      <w:tr w:rsidR="00E124B3" w:rsidRPr="00231CBA" w14:paraId="3AEDB242" w14:textId="77777777" w:rsidTr="005F5526">
        <w:trPr>
          <w:tblHeader/>
        </w:trPr>
        <w:tc>
          <w:tcPr>
            <w:tcW w:w="5760" w:type="dxa"/>
          </w:tcPr>
          <w:p w14:paraId="3F3112CE" w14:textId="4BDC4F77" w:rsidR="00E124B3" w:rsidRDefault="00E124B3" w:rsidP="005F5526">
            <w:pPr>
              <w:pStyle w:val="tabletext"/>
            </w:pPr>
            <w:r>
              <w:t>Part 1, item 17, paragraph 739(1A)(b)</w:t>
            </w:r>
          </w:p>
        </w:tc>
        <w:tc>
          <w:tcPr>
            <w:tcW w:w="1980" w:type="dxa"/>
          </w:tcPr>
          <w:p w14:paraId="58AB33C3" w14:textId="5DE158A1" w:rsidR="00E124B3" w:rsidRDefault="00E124B3" w:rsidP="005F5526">
            <w:pPr>
              <w:pStyle w:val="tabletext"/>
            </w:pPr>
            <w:r>
              <w:t>6.66</w:t>
            </w:r>
          </w:p>
        </w:tc>
      </w:tr>
      <w:tr w:rsidR="00E124B3" w:rsidRPr="00231CBA" w14:paraId="62F00975" w14:textId="77777777" w:rsidTr="005F5526">
        <w:trPr>
          <w:tblHeader/>
        </w:trPr>
        <w:tc>
          <w:tcPr>
            <w:tcW w:w="5760" w:type="dxa"/>
          </w:tcPr>
          <w:p w14:paraId="4D78BC67" w14:textId="2DA7A88B" w:rsidR="00E124B3" w:rsidRDefault="00E124B3" w:rsidP="005F5526">
            <w:pPr>
              <w:pStyle w:val="tabletext"/>
            </w:pPr>
            <w:r>
              <w:t>Part 1, items 20 and 21, paragraphs 740(1)(b) and 740(2)(d)</w:t>
            </w:r>
          </w:p>
        </w:tc>
        <w:tc>
          <w:tcPr>
            <w:tcW w:w="1980" w:type="dxa"/>
          </w:tcPr>
          <w:p w14:paraId="2BE09CE7" w14:textId="13F9AA93" w:rsidR="00E124B3" w:rsidRDefault="00E124B3" w:rsidP="005F5526">
            <w:pPr>
              <w:pStyle w:val="tabletext"/>
            </w:pPr>
            <w:r>
              <w:t>2.48</w:t>
            </w:r>
          </w:p>
        </w:tc>
      </w:tr>
      <w:tr w:rsidR="00E124B3" w:rsidRPr="00231CBA" w14:paraId="1B30C22F" w14:textId="77777777" w:rsidTr="005F5526">
        <w:trPr>
          <w:tblHeader/>
        </w:trPr>
        <w:tc>
          <w:tcPr>
            <w:tcW w:w="5760" w:type="dxa"/>
          </w:tcPr>
          <w:p w14:paraId="1B95CB73" w14:textId="38964849" w:rsidR="00E124B3" w:rsidRDefault="00E124B3" w:rsidP="005F5526">
            <w:pPr>
              <w:pStyle w:val="tabletext"/>
            </w:pPr>
            <w:r>
              <w:t>Part 1, items 22 and 27, section 761A and subsection 766F(1)</w:t>
            </w:r>
          </w:p>
        </w:tc>
        <w:tc>
          <w:tcPr>
            <w:tcW w:w="1980" w:type="dxa"/>
          </w:tcPr>
          <w:p w14:paraId="5CAAB00D" w14:textId="785FEFBC" w:rsidR="00E124B3" w:rsidRDefault="00E124B3" w:rsidP="005F5526">
            <w:pPr>
              <w:pStyle w:val="tabletext"/>
            </w:pPr>
            <w:r>
              <w:t>3.11</w:t>
            </w:r>
          </w:p>
        </w:tc>
      </w:tr>
      <w:tr w:rsidR="00E124B3" w:rsidRPr="00231CBA" w14:paraId="78040EA7" w14:textId="77777777" w:rsidTr="005F5526">
        <w:trPr>
          <w:tblHeader/>
        </w:trPr>
        <w:tc>
          <w:tcPr>
            <w:tcW w:w="5760" w:type="dxa"/>
          </w:tcPr>
          <w:p w14:paraId="43CCC02C" w14:textId="4EB30531" w:rsidR="00E124B3" w:rsidRDefault="00E124B3" w:rsidP="005F5526">
            <w:pPr>
              <w:pStyle w:val="tabletext"/>
            </w:pPr>
            <w:r>
              <w:t>Part 1, item  23, subsection 761G(8)</w:t>
            </w:r>
          </w:p>
        </w:tc>
        <w:tc>
          <w:tcPr>
            <w:tcW w:w="1980" w:type="dxa"/>
          </w:tcPr>
          <w:p w14:paraId="20F527C9" w14:textId="44DB11A0" w:rsidR="00E124B3" w:rsidRDefault="00E124B3" w:rsidP="005F5526">
            <w:pPr>
              <w:pStyle w:val="tabletext"/>
            </w:pPr>
            <w:r>
              <w:t>3.19</w:t>
            </w:r>
          </w:p>
        </w:tc>
      </w:tr>
      <w:tr w:rsidR="00E124B3" w:rsidRPr="00231CBA" w14:paraId="716A1C1E" w14:textId="77777777" w:rsidTr="005F5526">
        <w:trPr>
          <w:tblHeader/>
        </w:trPr>
        <w:tc>
          <w:tcPr>
            <w:tcW w:w="5760" w:type="dxa"/>
          </w:tcPr>
          <w:p w14:paraId="394F115B" w14:textId="0EC5A928" w:rsidR="00E124B3" w:rsidRDefault="00E124B3" w:rsidP="005F5526">
            <w:pPr>
              <w:pStyle w:val="tabletext"/>
            </w:pPr>
            <w:r>
              <w:t>Part 1, item 23, subsection 761G(8)</w:t>
            </w:r>
          </w:p>
        </w:tc>
        <w:tc>
          <w:tcPr>
            <w:tcW w:w="1980" w:type="dxa"/>
          </w:tcPr>
          <w:p w14:paraId="2959B464" w14:textId="4FF7198E" w:rsidR="00E124B3" w:rsidRDefault="00E124B3" w:rsidP="005F5526">
            <w:pPr>
              <w:pStyle w:val="tabletext"/>
            </w:pPr>
            <w:r>
              <w:t>6.16</w:t>
            </w:r>
          </w:p>
        </w:tc>
      </w:tr>
      <w:tr w:rsidR="00E124B3" w:rsidRPr="00231CBA" w14:paraId="1CF29CC1" w14:textId="77777777" w:rsidTr="005F5526">
        <w:trPr>
          <w:tblHeader/>
        </w:trPr>
        <w:tc>
          <w:tcPr>
            <w:tcW w:w="5760" w:type="dxa"/>
          </w:tcPr>
          <w:p w14:paraId="6EC2E588" w14:textId="22744C91" w:rsidR="00E124B3" w:rsidRDefault="00E124B3" w:rsidP="005F5526">
            <w:pPr>
              <w:pStyle w:val="tabletext"/>
            </w:pPr>
            <w:r>
              <w:t>Part 1, item 24, section 761GA</w:t>
            </w:r>
          </w:p>
        </w:tc>
        <w:tc>
          <w:tcPr>
            <w:tcW w:w="1980" w:type="dxa"/>
          </w:tcPr>
          <w:p w14:paraId="45EC7FE0" w14:textId="62AA0FD8" w:rsidR="00E124B3" w:rsidRDefault="00E124B3" w:rsidP="005F5526">
            <w:pPr>
              <w:pStyle w:val="tabletext"/>
            </w:pPr>
            <w:r>
              <w:t>3.24</w:t>
            </w:r>
          </w:p>
        </w:tc>
      </w:tr>
      <w:tr w:rsidR="00E124B3" w:rsidRPr="00231CBA" w14:paraId="6019DBFF" w14:textId="77777777" w:rsidTr="005F5526">
        <w:trPr>
          <w:tblHeader/>
        </w:trPr>
        <w:tc>
          <w:tcPr>
            <w:tcW w:w="5760" w:type="dxa"/>
          </w:tcPr>
          <w:p w14:paraId="483AB5C6" w14:textId="5B19C1CB" w:rsidR="00E124B3" w:rsidRDefault="00E124B3" w:rsidP="005F5526">
            <w:pPr>
              <w:pStyle w:val="tabletext"/>
            </w:pPr>
            <w:r>
              <w:t>Part 1, item 26, subsection 766C(2A)</w:t>
            </w:r>
          </w:p>
        </w:tc>
        <w:tc>
          <w:tcPr>
            <w:tcW w:w="1980" w:type="dxa"/>
          </w:tcPr>
          <w:p w14:paraId="0F5C3996" w14:textId="062C61C4" w:rsidR="00E124B3" w:rsidRDefault="00E124B3" w:rsidP="005F5526">
            <w:pPr>
              <w:pStyle w:val="tabletext"/>
            </w:pPr>
            <w:r>
              <w:t>3.25</w:t>
            </w:r>
          </w:p>
        </w:tc>
      </w:tr>
      <w:tr w:rsidR="00E124B3" w:rsidRPr="00231CBA" w14:paraId="286881E7" w14:textId="77777777" w:rsidTr="005F5526">
        <w:trPr>
          <w:tblHeader/>
        </w:trPr>
        <w:tc>
          <w:tcPr>
            <w:tcW w:w="5760" w:type="dxa"/>
          </w:tcPr>
          <w:p w14:paraId="476AE64D" w14:textId="4C4C4745" w:rsidR="00E124B3" w:rsidRDefault="00E124B3" w:rsidP="005F5526">
            <w:pPr>
              <w:pStyle w:val="tabletext"/>
            </w:pPr>
            <w:r>
              <w:t>Part 1, item  27, subsection 766F(3)</w:t>
            </w:r>
          </w:p>
        </w:tc>
        <w:tc>
          <w:tcPr>
            <w:tcW w:w="1980" w:type="dxa"/>
          </w:tcPr>
          <w:p w14:paraId="6B11E419" w14:textId="2556FF6E" w:rsidR="00E124B3" w:rsidRDefault="00E124B3" w:rsidP="005F5526">
            <w:pPr>
              <w:pStyle w:val="tabletext"/>
            </w:pPr>
            <w:r>
              <w:t>3.16</w:t>
            </w:r>
          </w:p>
        </w:tc>
      </w:tr>
      <w:tr w:rsidR="00E124B3" w:rsidRPr="00231CBA" w14:paraId="3A57D364" w14:textId="77777777" w:rsidTr="005F5526">
        <w:trPr>
          <w:tblHeader/>
        </w:trPr>
        <w:tc>
          <w:tcPr>
            <w:tcW w:w="5760" w:type="dxa"/>
          </w:tcPr>
          <w:p w14:paraId="20E820AA" w14:textId="56556929" w:rsidR="00E124B3" w:rsidRDefault="00E124B3" w:rsidP="005F5526">
            <w:pPr>
              <w:pStyle w:val="tabletext"/>
            </w:pPr>
            <w:r>
              <w:t>Part 1, item  27, subsection 766F(4)</w:t>
            </w:r>
          </w:p>
        </w:tc>
        <w:tc>
          <w:tcPr>
            <w:tcW w:w="1980" w:type="dxa"/>
          </w:tcPr>
          <w:p w14:paraId="0439D973" w14:textId="25B02ED3" w:rsidR="00E124B3" w:rsidRDefault="00E124B3" w:rsidP="005F5526">
            <w:pPr>
              <w:pStyle w:val="tabletext"/>
            </w:pPr>
            <w:r>
              <w:t>3.16</w:t>
            </w:r>
          </w:p>
        </w:tc>
      </w:tr>
      <w:tr w:rsidR="00E124B3" w:rsidRPr="00231CBA" w14:paraId="6AD83218" w14:textId="77777777" w:rsidTr="005F5526">
        <w:trPr>
          <w:tblHeader/>
        </w:trPr>
        <w:tc>
          <w:tcPr>
            <w:tcW w:w="5760" w:type="dxa"/>
          </w:tcPr>
          <w:p w14:paraId="5A9B2C5B" w14:textId="0306ACAC" w:rsidR="00E124B3" w:rsidRDefault="00E124B3" w:rsidP="005F5526">
            <w:pPr>
              <w:pStyle w:val="tabletext"/>
            </w:pPr>
            <w:r>
              <w:t>Part 1, item  27, subsection 766F(2)</w:t>
            </w:r>
          </w:p>
        </w:tc>
        <w:tc>
          <w:tcPr>
            <w:tcW w:w="1980" w:type="dxa"/>
          </w:tcPr>
          <w:p w14:paraId="0E0181AB" w14:textId="321AEFD1" w:rsidR="00E124B3" w:rsidRDefault="00E124B3" w:rsidP="005F5526">
            <w:pPr>
              <w:pStyle w:val="tabletext"/>
            </w:pPr>
            <w:r>
              <w:t>3.12</w:t>
            </w:r>
          </w:p>
        </w:tc>
      </w:tr>
      <w:tr w:rsidR="00E124B3" w:rsidRPr="00231CBA" w14:paraId="73E911AA" w14:textId="77777777" w:rsidTr="005F5526">
        <w:trPr>
          <w:tblHeader/>
        </w:trPr>
        <w:tc>
          <w:tcPr>
            <w:tcW w:w="5760" w:type="dxa"/>
          </w:tcPr>
          <w:p w14:paraId="179F0114" w14:textId="4F57A6E2" w:rsidR="00E124B3" w:rsidRDefault="00E124B3" w:rsidP="005F5526">
            <w:pPr>
              <w:pStyle w:val="tabletext"/>
            </w:pPr>
            <w:r>
              <w:t>Part 1, item  27, subsections 766F(3) and (4)</w:t>
            </w:r>
          </w:p>
        </w:tc>
        <w:tc>
          <w:tcPr>
            <w:tcW w:w="1980" w:type="dxa"/>
          </w:tcPr>
          <w:p w14:paraId="49F916B6" w14:textId="70AA1D2A" w:rsidR="00E124B3" w:rsidRDefault="00E124B3" w:rsidP="005F5526">
            <w:pPr>
              <w:pStyle w:val="tabletext"/>
            </w:pPr>
            <w:r>
              <w:t>3.15</w:t>
            </w:r>
          </w:p>
        </w:tc>
      </w:tr>
      <w:tr w:rsidR="00E124B3" w:rsidRPr="00231CBA" w14:paraId="6DC3761D" w14:textId="77777777" w:rsidTr="005F5526">
        <w:trPr>
          <w:tblHeader/>
        </w:trPr>
        <w:tc>
          <w:tcPr>
            <w:tcW w:w="5760" w:type="dxa"/>
          </w:tcPr>
          <w:p w14:paraId="0E2FC02B" w14:textId="7E971CA9" w:rsidR="00E124B3" w:rsidRDefault="00E124B3" w:rsidP="005F5526">
            <w:pPr>
              <w:pStyle w:val="tabletext"/>
            </w:pPr>
            <w:r>
              <w:t>Part 1, items 28 and 29, subparagraphs 1018A(4)(c)(</w:t>
            </w:r>
            <w:proofErr w:type="spellStart"/>
            <w:r>
              <w:t>i</w:t>
            </w:r>
            <w:proofErr w:type="spellEnd"/>
            <w:r>
              <w:t>) and 1018A(4)(d)(</w:t>
            </w:r>
            <w:proofErr w:type="spellStart"/>
            <w:r>
              <w:t>i</w:t>
            </w:r>
            <w:proofErr w:type="spellEnd"/>
            <w:r>
              <w:t>)</w:t>
            </w:r>
          </w:p>
        </w:tc>
        <w:tc>
          <w:tcPr>
            <w:tcW w:w="1980" w:type="dxa"/>
          </w:tcPr>
          <w:p w14:paraId="58EBEBD7" w14:textId="06336F6B" w:rsidR="00E124B3" w:rsidRDefault="00E124B3" w:rsidP="005F5526">
            <w:pPr>
              <w:pStyle w:val="tabletext"/>
            </w:pPr>
            <w:r>
              <w:t>6.70</w:t>
            </w:r>
          </w:p>
        </w:tc>
      </w:tr>
      <w:tr w:rsidR="00E124B3" w:rsidRPr="00231CBA" w14:paraId="7013D539" w14:textId="77777777" w:rsidTr="005F5526">
        <w:trPr>
          <w:tblHeader/>
        </w:trPr>
        <w:tc>
          <w:tcPr>
            <w:tcW w:w="5760" w:type="dxa"/>
          </w:tcPr>
          <w:p w14:paraId="2DDBFFAF" w14:textId="43E7EFCE" w:rsidR="00E124B3" w:rsidRDefault="00E124B3" w:rsidP="005F5526">
            <w:pPr>
              <w:pStyle w:val="tabletext"/>
            </w:pPr>
            <w:r>
              <w:t>Part 1, item 30, subparagraph 1041H(3)(a)(</w:t>
            </w:r>
            <w:proofErr w:type="spellStart"/>
            <w:r>
              <w:t>iia</w:t>
            </w:r>
            <w:proofErr w:type="spellEnd"/>
            <w:r>
              <w:t>)</w:t>
            </w:r>
          </w:p>
        </w:tc>
        <w:tc>
          <w:tcPr>
            <w:tcW w:w="1980" w:type="dxa"/>
          </w:tcPr>
          <w:p w14:paraId="6BECA21B" w14:textId="33E794AB" w:rsidR="00E124B3" w:rsidRDefault="00E124B3" w:rsidP="005F5526">
            <w:pPr>
              <w:pStyle w:val="tabletext"/>
            </w:pPr>
            <w:r>
              <w:t>5.55</w:t>
            </w:r>
          </w:p>
        </w:tc>
      </w:tr>
      <w:tr w:rsidR="00E124B3" w:rsidRPr="00231CBA" w14:paraId="41D0ACF0" w14:textId="77777777" w:rsidTr="005F5526">
        <w:trPr>
          <w:tblHeader/>
        </w:trPr>
        <w:tc>
          <w:tcPr>
            <w:tcW w:w="5760" w:type="dxa"/>
          </w:tcPr>
          <w:p w14:paraId="062EB651" w14:textId="7D874EAC" w:rsidR="00E124B3" w:rsidRDefault="00E124B3" w:rsidP="005F5526">
            <w:pPr>
              <w:pStyle w:val="tabletext"/>
            </w:pPr>
            <w:r>
              <w:t>Part 1, item 31, subparagraph 1041K(1)(a)(</w:t>
            </w:r>
            <w:proofErr w:type="spellStart"/>
            <w:r>
              <w:t>iia</w:t>
            </w:r>
            <w:proofErr w:type="spellEnd"/>
            <w:r>
              <w:t>)</w:t>
            </w:r>
          </w:p>
        </w:tc>
        <w:tc>
          <w:tcPr>
            <w:tcW w:w="1980" w:type="dxa"/>
          </w:tcPr>
          <w:p w14:paraId="4914E637" w14:textId="4AE2145F" w:rsidR="00E124B3" w:rsidRDefault="00E124B3" w:rsidP="005F5526">
            <w:pPr>
              <w:pStyle w:val="tabletext"/>
            </w:pPr>
            <w:r>
              <w:t>5.56</w:t>
            </w:r>
          </w:p>
        </w:tc>
      </w:tr>
      <w:tr w:rsidR="007060B3" w:rsidRPr="00231CBA" w14:paraId="10469B92" w14:textId="77777777" w:rsidTr="005F5526">
        <w:trPr>
          <w:tblHeader/>
        </w:trPr>
        <w:tc>
          <w:tcPr>
            <w:tcW w:w="5760" w:type="dxa"/>
          </w:tcPr>
          <w:p w14:paraId="122FD537" w14:textId="28095B5D" w:rsidR="007060B3" w:rsidRPr="007060B3" w:rsidRDefault="007060B3" w:rsidP="005F5526">
            <w:pPr>
              <w:pStyle w:val="tabletext"/>
            </w:pPr>
            <w:r w:rsidRPr="007060B3">
              <w:t>Part 1, item 32, paragraph 2(1)(c)</w:t>
            </w:r>
          </w:p>
        </w:tc>
        <w:tc>
          <w:tcPr>
            <w:tcW w:w="1980" w:type="dxa"/>
          </w:tcPr>
          <w:p w14:paraId="5013523C" w14:textId="412F71D1" w:rsidR="007060B3" w:rsidRDefault="007060B3" w:rsidP="005F5526">
            <w:pPr>
              <w:pStyle w:val="tabletext"/>
            </w:pPr>
            <w:r>
              <w:t>3.35</w:t>
            </w:r>
          </w:p>
        </w:tc>
      </w:tr>
      <w:tr w:rsidR="00E124B3" w:rsidRPr="00231CBA" w14:paraId="090AC155" w14:textId="77777777" w:rsidTr="005F5526">
        <w:trPr>
          <w:tblHeader/>
        </w:trPr>
        <w:tc>
          <w:tcPr>
            <w:tcW w:w="5760" w:type="dxa"/>
          </w:tcPr>
          <w:p w14:paraId="69FA8487" w14:textId="7CA78449" w:rsidR="00E124B3" w:rsidRDefault="00E124B3" w:rsidP="005F5526">
            <w:pPr>
              <w:pStyle w:val="tabletext"/>
            </w:pPr>
            <w:r>
              <w:t>Part 1, item 33, paragraph 1311(1A)(dba)</w:t>
            </w:r>
          </w:p>
        </w:tc>
        <w:tc>
          <w:tcPr>
            <w:tcW w:w="1980" w:type="dxa"/>
          </w:tcPr>
          <w:p w14:paraId="4ABB286D" w14:textId="418ADD61" w:rsidR="00E124B3" w:rsidRDefault="00E124B3" w:rsidP="005F5526">
            <w:pPr>
              <w:pStyle w:val="tabletext"/>
            </w:pPr>
            <w:r>
              <w:t>2.54</w:t>
            </w:r>
          </w:p>
        </w:tc>
      </w:tr>
      <w:tr w:rsidR="00E124B3" w:rsidRPr="00231CBA" w14:paraId="4922CAD0" w14:textId="77777777" w:rsidTr="005F5526">
        <w:trPr>
          <w:tblHeader/>
        </w:trPr>
        <w:tc>
          <w:tcPr>
            <w:tcW w:w="5760" w:type="dxa"/>
          </w:tcPr>
          <w:p w14:paraId="7C1EF13B" w14:textId="56CB6215" w:rsidR="00E124B3" w:rsidRDefault="00E124B3" w:rsidP="005F5526">
            <w:pPr>
              <w:pStyle w:val="tabletext"/>
            </w:pPr>
            <w:r>
              <w:t>Part 1, item 34, item 245M in the table to Schedule 3</w:t>
            </w:r>
          </w:p>
        </w:tc>
        <w:tc>
          <w:tcPr>
            <w:tcW w:w="1980" w:type="dxa"/>
          </w:tcPr>
          <w:p w14:paraId="4A1956C6" w14:textId="537E9545" w:rsidR="00E124B3" w:rsidRDefault="00E124B3" w:rsidP="005F5526">
            <w:pPr>
              <w:pStyle w:val="tabletext"/>
            </w:pPr>
            <w:r>
              <w:t>5.40</w:t>
            </w:r>
          </w:p>
        </w:tc>
      </w:tr>
      <w:tr w:rsidR="00E124B3" w:rsidRPr="00231CBA" w14:paraId="13758657" w14:textId="77777777" w:rsidTr="005F5526">
        <w:trPr>
          <w:tblHeader/>
        </w:trPr>
        <w:tc>
          <w:tcPr>
            <w:tcW w:w="5760" w:type="dxa"/>
          </w:tcPr>
          <w:p w14:paraId="44C26F97" w14:textId="1EAF7C51" w:rsidR="00E124B3" w:rsidRDefault="00E124B3" w:rsidP="005F5526">
            <w:pPr>
              <w:pStyle w:val="tabletext"/>
            </w:pPr>
            <w:r>
              <w:t>Part 1, item 34, item 245B in the table to Schedule 3</w:t>
            </w:r>
          </w:p>
        </w:tc>
        <w:tc>
          <w:tcPr>
            <w:tcW w:w="1980" w:type="dxa"/>
          </w:tcPr>
          <w:p w14:paraId="723FC500" w14:textId="4D40F88E" w:rsidR="00E124B3" w:rsidRDefault="00E124B3" w:rsidP="005F5526">
            <w:pPr>
              <w:pStyle w:val="tabletext"/>
            </w:pPr>
            <w:r>
              <w:t>5.26</w:t>
            </w:r>
          </w:p>
        </w:tc>
      </w:tr>
      <w:tr w:rsidR="00E124B3" w:rsidRPr="00231CBA" w14:paraId="248330D3" w14:textId="77777777" w:rsidTr="005F5526">
        <w:trPr>
          <w:tblHeader/>
        </w:trPr>
        <w:tc>
          <w:tcPr>
            <w:tcW w:w="5760" w:type="dxa"/>
          </w:tcPr>
          <w:p w14:paraId="1B41ACB7" w14:textId="57F4CD71" w:rsidR="00E124B3" w:rsidRDefault="00E124B3" w:rsidP="005F5526">
            <w:pPr>
              <w:pStyle w:val="tabletext"/>
            </w:pPr>
            <w:r>
              <w:t>Part 1, item 34, item 245S in the table to Schedule 3</w:t>
            </w:r>
          </w:p>
        </w:tc>
        <w:tc>
          <w:tcPr>
            <w:tcW w:w="1980" w:type="dxa"/>
          </w:tcPr>
          <w:p w14:paraId="418B9FED" w14:textId="657A4A21" w:rsidR="00E124B3" w:rsidRDefault="00E124B3" w:rsidP="005F5526">
            <w:pPr>
              <w:pStyle w:val="tabletext"/>
            </w:pPr>
            <w:r>
              <w:t>6.64</w:t>
            </w:r>
          </w:p>
        </w:tc>
      </w:tr>
      <w:tr w:rsidR="00E124B3" w:rsidRPr="00231CBA" w14:paraId="60D724CA" w14:textId="77777777" w:rsidTr="005F5526">
        <w:trPr>
          <w:tblHeader/>
        </w:trPr>
        <w:tc>
          <w:tcPr>
            <w:tcW w:w="5760" w:type="dxa"/>
          </w:tcPr>
          <w:p w14:paraId="3EC11B5C" w14:textId="38AB4881" w:rsidR="00E124B3" w:rsidRDefault="00E124B3" w:rsidP="005F5526">
            <w:pPr>
              <w:pStyle w:val="tabletext"/>
            </w:pPr>
            <w:r>
              <w:t>Part 1, item 34, item 245L in the table to Schedule 3</w:t>
            </w:r>
          </w:p>
        </w:tc>
        <w:tc>
          <w:tcPr>
            <w:tcW w:w="1980" w:type="dxa"/>
          </w:tcPr>
          <w:p w14:paraId="1143606E" w14:textId="1E093EA7" w:rsidR="00E124B3" w:rsidRDefault="00E124B3" w:rsidP="005F5526">
            <w:pPr>
              <w:pStyle w:val="tabletext"/>
            </w:pPr>
            <w:r>
              <w:t>5.31</w:t>
            </w:r>
          </w:p>
        </w:tc>
      </w:tr>
      <w:tr w:rsidR="00E124B3" w:rsidRPr="00231CBA" w14:paraId="61CB84AD" w14:textId="77777777" w:rsidTr="005F5526">
        <w:trPr>
          <w:tblHeader/>
        </w:trPr>
        <w:tc>
          <w:tcPr>
            <w:tcW w:w="5760" w:type="dxa"/>
          </w:tcPr>
          <w:p w14:paraId="7BC3FC06" w14:textId="57ADCE3E" w:rsidR="00E124B3" w:rsidRDefault="00E124B3" w:rsidP="005F5526">
            <w:pPr>
              <w:pStyle w:val="tabletext"/>
            </w:pPr>
            <w:r>
              <w:t>Part 1, item 34, item 245N in the table in Schedule 3</w:t>
            </w:r>
          </w:p>
        </w:tc>
        <w:tc>
          <w:tcPr>
            <w:tcW w:w="1980" w:type="dxa"/>
          </w:tcPr>
          <w:p w14:paraId="28A87635" w14:textId="424925F6" w:rsidR="00E124B3" w:rsidRDefault="00E124B3" w:rsidP="005F5526">
            <w:pPr>
              <w:pStyle w:val="tabletext"/>
            </w:pPr>
            <w:r>
              <w:t>3.56, 3.67</w:t>
            </w:r>
          </w:p>
        </w:tc>
      </w:tr>
      <w:tr w:rsidR="00E124B3" w:rsidRPr="00231CBA" w14:paraId="35B80D59" w14:textId="77777777" w:rsidTr="005F5526">
        <w:trPr>
          <w:tblHeader/>
        </w:trPr>
        <w:tc>
          <w:tcPr>
            <w:tcW w:w="5760" w:type="dxa"/>
          </w:tcPr>
          <w:p w14:paraId="1D112BC0" w14:textId="73A42676" w:rsidR="00E124B3" w:rsidRDefault="00E124B3" w:rsidP="005F5526">
            <w:pPr>
              <w:pStyle w:val="tabletext"/>
            </w:pPr>
            <w:r>
              <w:t>Part 1, item 34, item 245G in the table to Schedule 3</w:t>
            </w:r>
          </w:p>
        </w:tc>
        <w:tc>
          <w:tcPr>
            <w:tcW w:w="1980" w:type="dxa"/>
          </w:tcPr>
          <w:p w14:paraId="36C81AC7" w14:textId="1964A810" w:rsidR="00E124B3" w:rsidRDefault="00E124B3" w:rsidP="005F5526">
            <w:pPr>
              <w:pStyle w:val="tabletext"/>
            </w:pPr>
            <w:r>
              <w:t>3.54</w:t>
            </w:r>
          </w:p>
        </w:tc>
      </w:tr>
      <w:tr w:rsidR="00E124B3" w:rsidRPr="00231CBA" w14:paraId="6F40ACCA" w14:textId="77777777" w:rsidTr="005F5526">
        <w:trPr>
          <w:tblHeader/>
        </w:trPr>
        <w:tc>
          <w:tcPr>
            <w:tcW w:w="5760" w:type="dxa"/>
          </w:tcPr>
          <w:p w14:paraId="00D8B155" w14:textId="1F31A381" w:rsidR="00E124B3" w:rsidRDefault="00E124B3" w:rsidP="005F5526">
            <w:pPr>
              <w:pStyle w:val="tabletext"/>
            </w:pPr>
            <w:r>
              <w:t>Part 1, item 34, item 245F in the table in Schedule 3</w:t>
            </w:r>
          </w:p>
        </w:tc>
        <w:tc>
          <w:tcPr>
            <w:tcW w:w="1980" w:type="dxa"/>
          </w:tcPr>
          <w:p w14:paraId="1417C72C" w14:textId="4E5A4D20" w:rsidR="00E124B3" w:rsidRDefault="00E124B3" w:rsidP="005F5526">
            <w:pPr>
              <w:pStyle w:val="tabletext"/>
            </w:pPr>
            <w:r>
              <w:t>3.53</w:t>
            </w:r>
          </w:p>
        </w:tc>
      </w:tr>
      <w:tr w:rsidR="00E124B3" w:rsidRPr="00231CBA" w14:paraId="4954FD39" w14:textId="77777777" w:rsidTr="005F5526">
        <w:trPr>
          <w:tblHeader/>
        </w:trPr>
        <w:tc>
          <w:tcPr>
            <w:tcW w:w="5760" w:type="dxa"/>
          </w:tcPr>
          <w:p w14:paraId="06FB15B0" w14:textId="5C83545D" w:rsidR="00E124B3" w:rsidRDefault="00E124B3" w:rsidP="005F5526">
            <w:pPr>
              <w:pStyle w:val="tabletext"/>
            </w:pPr>
            <w:r>
              <w:t>Part 1, item 34, item 245C in the table to Schedule 3</w:t>
            </w:r>
          </w:p>
        </w:tc>
        <w:tc>
          <w:tcPr>
            <w:tcW w:w="1980" w:type="dxa"/>
          </w:tcPr>
          <w:p w14:paraId="697BB17D" w14:textId="354859C3" w:rsidR="00E124B3" w:rsidRDefault="00E124B3" w:rsidP="005F5526">
            <w:pPr>
              <w:pStyle w:val="tabletext"/>
            </w:pPr>
            <w:r>
              <w:t>4.36</w:t>
            </w:r>
          </w:p>
        </w:tc>
      </w:tr>
      <w:tr w:rsidR="00E124B3" w:rsidRPr="00231CBA" w14:paraId="7DC3A90B" w14:textId="77777777" w:rsidTr="005F5526">
        <w:trPr>
          <w:tblHeader/>
        </w:trPr>
        <w:tc>
          <w:tcPr>
            <w:tcW w:w="5760" w:type="dxa"/>
          </w:tcPr>
          <w:p w14:paraId="6E668092" w14:textId="563915D6" w:rsidR="00E124B3" w:rsidRDefault="00E124B3" w:rsidP="005F5526">
            <w:pPr>
              <w:pStyle w:val="tabletext"/>
            </w:pPr>
            <w:r>
              <w:t>Part 1, item 34, item 245H in the table to Schedule 3</w:t>
            </w:r>
          </w:p>
        </w:tc>
        <w:tc>
          <w:tcPr>
            <w:tcW w:w="1980" w:type="dxa"/>
          </w:tcPr>
          <w:p w14:paraId="6D5F5819" w14:textId="6707A2E8" w:rsidR="00E124B3" w:rsidRDefault="00E124B3" w:rsidP="005F5526">
            <w:pPr>
              <w:pStyle w:val="tabletext"/>
            </w:pPr>
            <w:r>
              <w:t>4.23</w:t>
            </w:r>
          </w:p>
        </w:tc>
      </w:tr>
      <w:tr w:rsidR="00E124B3" w:rsidRPr="00231CBA" w14:paraId="73E66923" w14:textId="77777777" w:rsidTr="005F5526">
        <w:trPr>
          <w:tblHeader/>
        </w:trPr>
        <w:tc>
          <w:tcPr>
            <w:tcW w:w="5760" w:type="dxa"/>
          </w:tcPr>
          <w:p w14:paraId="70CBBEEF" w14:textId="695C60B1" w:rsidR="00E124B3" w:rsidRDefault="00E124B3" w:rsidP="005F5526">
            <w:pPr>
              <w:pStyle w:val="tabletext"/>
            </w:pPr>
            <w:r>
              <w:t>Part 1, item 34, item 245R in the table to Schedule 3</w:t>
            </w:r>
          </w:p>
        </w:tc>
        <w:tc>
          <w:tcPr>
            <w:tcW w:w="1980" w:type="dxa"/>
          </w:tcPr>
          <w:p w14:paraId="5368BB4D" w14:textId="17F6659B" w:rsidR="00E124B3" w:rsidRDefault="00E124B3" w:rsidP="005F5526">
            <w:pPr>
              <w:pStyle w:val="tabletext"/>
            </w:pPr>
            <w:r>
              <w:t>6.26</w:t>
            </w:r>
          </w:p>
        </w:tc>
      </w:tr>
      <w:tr w:rsidR="00E124B3" w:rsidRPr="00231CBA" w14:paraId="07A2738F" w14:textId="77777777" w:rsidTr="005F5526">
        <w:trPr>
          <w:tblHeader/>
        </w:trPr>
        <w:tc>
          <w:tcPr>
            <w:tcW w:w="5760" w:type="dxa"/>
          </w:tcPr>
          <w:p w14:paraId="2ED141B0" w14:textId="7E37D8FC" w:rsidR="00E124B3" w:rsidRDefault="00E124B3" w:rsidP="005F5526">
            <w:pPr>
              <w:pStyle w:val="tabletext"/>
            </w:pPr>
            <w:r>
              <w:t>Part 2, items 35 and 36, subsection 5(1) and subsections 12BAB(1C) and 12BAB(1D) of the ASIC Act</w:t>
            </w:r>
          </w:p>
        </w:tc>
        <w:tc>
          <w:tcPr>
            <w:tcW w:w="1980" w:type="dxa"/>
          </w:tcPr>
          <w:p w14:paraId="2CD1CC96" w14:textId="3F8C49E9" w:rsidR="00E124B3" w:rsidRDefault="00E124B3" w:rsidP="005F5526">
            <w:pPr>
              <w:pStyle w:val="tabletext"/>
            </w:pPr>
            <w:r>
              <w:t>3.81</w:t>
            </w:r>
          </w:p>
        </w:tc>
      </w:tr>
      <w:tr w:rsidR="00E124B3" w:rsidRPr="00231CBA" w14:paraId="7E0FB688" w14:textId="77777777" w:rsidTr="005F5526">
        <w:trPr>
          <w:tblHeader/>
        </w:trPr>
        <w:tc>
          <w:tcPr>
            <w:tcW w:w="5760" w:type="dxa"/>
          </w:tcPr>
          <w:p w14:paraId="512F9CAC" w14:textId="3BDA8767" w:rsidR="00E124B3" w:rsidRDefault="00E124B3" w:rsidP="005F5526">
            <w:pPr>
              <w:pStyle w:val="tabletext"/>
            </w:pPr>
            <w:r>
              <w:t>Part 2, item 37, subparagraphs 12DA(1A)(a)(iii) and 12DB(2)(a)(iii) of the ASIC Act</w:t>
            </w:r>
          </w:p>
        </w:tc>
        <w:tc>
          <w:tcPr>
            <w:tcW w:w="1980" w:type="dxa"/>
          </w:tcPr>
          <w:p w14:paraId="2A9A5731" w14:textId="498947F8" w:rsidR="00E124B3" w:rsidRDefault="00E124B3" w:rsidP="005F5526">
            <w:pPr>
              <w:pStyle w:val="tabletext"/>
            </w:pPr>
            <w:r>
              <w:t>5.56</w:t>
            </w:r>
          </w:p>
        </w:tc>
      </w:tr>
    </w:tbl>
    <w:p w14:paraId="4513A279" w14:textId="00A7DC4F" w:rsidR="00E124B3" w:rsidRDefault="00E124B3" w:rsidP="00E124B3">
      <w:pPr>
        <w:pStyle w:val="Heading2with18pointafter"/>
        <w:keepLines/>
      </w:pPr>
      <w:r>
        <w:t xml:space="preserve">Schedule 2: </w:t>
      </w:r>
      <w:r w:rsidRPr="00E124B3">
        <w:t>Related amendments of corporate governance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980"/>
      </w:tblGrid>
      <w:tr w:rsidR="00E124B3" w:rsidRPr="00442FB9" w14:paraId="6119473A" w14:textId="77777777" w:rsidTr="005F5526">
        <w:trPr>
          <w:tblHeader/>
        </w:trPr>
        <w:tc>
          <w:tcPr>
            <w:tcW w:w="5760" w:type="dxa"/>
          </w:tcPr>
          <w:p w14:paraId="1D4CCF81" w14:textId="77777777" w:rsidR="00E124B3" w:rsidRPr="00442FB9" w:rsidRDefault="00E124B3" w:rsidP="00E124B3">
            <w:pPr>
              <w:pStyle w:val="tableheaderwithintable"/>
              <w:keepLines/>
              <w:rPr>
                <w:lang w:val="en-US" w:eastAsia="en-US"/>
              </w:rPr>
            </w:pPr>
            <w:r w:rsidRPr="00442FB9">
              <w:rPr>
                <w:lang w:val="en-US" w:eastAsia="en-US"/>
              </w:rPr>
              <w:t>Bill reference</w:t>
            </w:r>
          </w:p>
        </w:tc>
        <w:tc>
          <w:tcPr>
            <w:tcW w:w="1980" w:type="dxa"/>
          </w:tcPr>
          <w:p w14:paraId="26C14FA5" w14:textId="77777777" w:rsidR="00E124B3" w:rsidRPr="00442FB9" w:rsidRDefault="00E124B3" w:rsidP="00E124B3">
            <w:pPr>
              <w:pStyle w:val="tableheaderwithintable"/>
              <w:keepLines/>
              <w:rPr>
                <w:lang w:val="en-US" w:eastAsia="en-US"/>
              </w:rPr>
            </w:pPr>
            <w:r w:rsidRPr="00442FB9">
              <w:rPr>
                <w:lang w:val="en-US" w:eastAsia="en-US"/>
              </w:rPr>
              <w:t>Paragraph number</w:t>
            </w:r>
          </w:p>
        </w:tc>
      </w:tr>
      <w:tr w:rsidR="00E124B3" w:rsidRPr="00231CBA" w14:paraId="4599BEB9" w14:textId="77777777" w:rsidTr="005F5526">
        <w:trPr>
          <w:tblHeader/>
        </w:trPr>
        <w:tc>
          <w:tcPr>
            <w:tcW w:w="5760" w:type="dxa"/>
          </w:tcPr>
          <w:p w14:paraId="21CE778E" w14:textId="3D3B8B5E" w:rsidR="00E124B3" w:rsidRPr="00231CBA" w:rsidRDefault="00E124B3" w:rsidP="00E124B3">
            <w:pPr>
              <w:pStyle w:val="tabletext"/>
              <w:keepNext/>
              <w:keepLines/>
            </w:pPr>
            <w:r>
              <w:t>Item 1, paragraph 117(2)(mc)</w:t>
            </w:r>
          </w:p>
        </w:tc>
        <w:tc>
          <w:tcPr>
            <w:tcW w:w="1980" w:type="dxa"/>
          </w:tcPr>
          <w:p w14:paraId="08CD4341" w14:textId="305E622D" w:rsidR="00E124B3" w:rsidRPr="00231CBA" w:rsidRDefault="00E124B3" w:rsidP="00E124B3">
            <w:pPr>
              <w:pStyle w:val="tabletext"/>
              <w:keepNext/>
              <w:keepLines/>
            </w:pPr>
            <w:r>
              <w:t>7.10</w:t>
            </w:r>
          </w:p>
        </w:tc>
      </w:tr>
      <w:tr w:rsidR="00E124B3" w:rsidRPr="00231CBA" w14:paraId="4EF1D03A" w14:textId="77777777" w:rsidTr="005F5526">
        <w:trPr>
          <w:tblHeader/>
        </w:trPr>
        <w:tc>
          <w:tcPr>
            <w:tcW w:w="5760" w:type="dxa"/>
          </w:tcPr>
          <w:p w14:paraId="31487BDF" w14:textId="79FB8A1B" w:rsidR="00E124B3" w:rsidRDefault="00E124B3" w:rsidP="00E124B3">
            <w:pPr>
              <w:pStyle w:val="tabletext"/>
              <w:keepNext/>
              <w:keepLines/>
            </w:pPr>
            <w:r>
              <w:t>Item 2,subsection 250N(5)</w:t>
            </w:r>
          </w:p>
        </w:tc>
        <w:tc>
          <w:tcPr>
            <w:tcW w:w="1980" w:type="dxa"/>
          </w:tcPr>
          <w:p w14:paraId="44C4DA26" w14:textId="41EE28EA" w:rsidR="00E124B3" w:rsidRDefault="00E124B3" w:rsidP="00E124B3">
            <w:pPr>
              <w:pStyle w:val="tabletext"/>
              <w:keepNext/>
              <w:keepLines/>
            </w:pPr>
            <w:r>
              <w:t>7.19</w:t>
            </w:r>
          </w:p>
        </w:tc>
      </w:tr>
      <w:tr w:rsidR="00E124B3" w:rsidRPr="00231CBA" w14:paraId="2527D384" w14:textId="77777777" w:rsidTr="005F5526">
        <w:trPr>
          <w:tblHeader/>
        </w:trPr>
        <w:tc>
          <w:tcPr>
            <w:tcW w:w="5760" w:type="dxa"/>
          </w:tcPr>
          <w:p w14:paraId="524095C3" w14:textId="0A15DEFC" w:rsidR="00E124B3" w:rsidRDefault="00E124B3" w:rsidP="00E124B3">
            <w:pPr>
              <w:pStyle w:val="tabletext"/>
              <w:keepNext/>
              <w:keepLines/>
            </w:pPr>
            <w:r>
              <w:t>Item 2,subsection 250N(6)</w:t>
            </w:r>
          </w:p>
        </w:tc>
        <w:tc>
          <w:tcPr>
            <w:tcW w:w="1980" w:type="dxa"/>
          </w:tcPr>
          <w:p w14:paraId="12BE2F43" w14:textId="0418299D" w:rsidR="00E124B3" w:rsidRDefault="00E124B3" w:rsidP="00E124B3">
            <w:pPr>
              <w:pStyle w:val="tabletext"/>
              <w:keepNext/>
              <w:keepLines/>
            </w:pPr>
            <w:r>
              <w:t>7.20</w:t>
            </w:r>
          </w:p>
        </w:tc>
      </w:tr>
      <w:tr w:rsidR="00E124B3" w:rsidRPr="00231CBA" w14:paraId="202F23D8" w14:textId="77777777" w:rsidTr="005F5526">
        <w:trPr>
          <w:tblHeader/>
        </w:trPr>
        <w:tc>
          <w:tcPr>
            <w:tcW w:w="5760" w:type="dxa"/>
          </w:tcPr>
          <w:p w14:paraId="1F591EC9" w14:textId="27BEE33C" w:rsidR="00E124B3" w:rsidRDefault="00E124B3" w:rsidP="00E124B3">
            <w:pPr>
              <w:pStyle w:val="tabletext"/>
              <w:keepNext/>
              <w:keepLines/>
            </w:pPr>
            <w:r>
              <w:t>Items 3 and 4, subsections 298(1AA) and 298(1AC)</w:t>
            </w:r>
          </w:p>
        </w:tc>
        <w:tc>
          <w:tcPr>
            <w:tcW w:w="1980" w:type="dxa"/>
          </w:tcPr>
          <w:p w14:paraId="38FEC097" w14:textId="61204079" w:rsidR="00E124B3" w:rsidRDefault="00E124B3" w:rsidP="00E124B3">
            <w:pPr>
              <w:pStyle w:val="tabletext"/>
              <w:keepNext/>
              <w:keepLines/>
            </w:pPr>
            <w:r>
              <w:t>7.29</w:t>
            </w:r>
          </w:p>
        </w:tc>
      </w:tr>
      <w:tr w:rsidR="00E124B3" w:rsidRPr="00231CBA" w14:paraId="644F1096" w14:textId="77777777" w:rsidTr="005F5526">
        <w:trPr>
          <w:tblHeader/>
        </w:trPr>
        <w:tc>
          <w:tcPr>
            <w:tcW w:w="5760" w:type="dxa"/>
          </w:tcPr>
          <w:p w14:paraId="7E3FE675" w14:textId="4B118309" w:rsidR="00E124B3" w:rsidRDefault="00E124B3" w:rsidP="00E124B3">
            <w:pPr>
              <w:pStyle w:val="tabletext"/>
              <w:keepNext/>
              <w:keepLines/>
            </w:pPr>
            <w:r>
              <w:t>Item 5, subsection 301(5)</w:t>
            </w:r>
          </w:p>
        </w:tc>
        <w:tc>
          <w:tcPr>
            <w:tcW w:w="1980" w:type="dxa"/>
          </w:tcPr>
          <w:p w14:paraId="74791607" w14:textId="79DCDC9D" w:rsidR="00E124B3" w:rsidRDefault="00E124B3" w:rsidP="00E124B3">
            <w:pPr>
              <w:pStyle w:val="tabletext"/>
              <w:keepNext/>
              <w:keepLines/>
            </w:pPr>
            <w:r>
              <w:t>7.22</w:t>
            </w:r>
          </w:p>
        </w:tc>
      </w:tr>
      <w:tr w:rsidR="00E124B3" w:rsidRPr="00231CBA" w14:paraId="2C2E7F06" w14:textId="77777777" w:rsidTr="005F5526">
        <w:trPr>
          <w:tblHeader/>
        </w:trPr>
        <w:tc>
          <w:tcPr>
            <w:tcW w:w="5760" w:type="dxa"/>
          </w:tcPr>
          <w:p w14:paraId="491B501A" w14:textId="00DFF842" w:rsidR="00E124B3" w:rsidRDefault="00E124B3" w:rsidP="00E124B3">
            <w:pPr>
              <w:pStyle w:val="tabletext"/>
              <w:keepNext/>
              <w:keepLines/>
            </w:pPr>
            <w:r>
              <w:t>Items 6 and 7, subsections 314(1) and 314(1AF)</w:t>
            </w:r>
          </w:p>
        </w:tc>
        <w:tc>
          <w:tcPr>
            <w:tcW w:w="1980" w:type="dxa"/>
          </w:tcPr>
          <w:p w14:paraId="37DCC997" w14:textId="2B439AB3" w:rsidR="00E124B3" w:rsidRDefault="00E124B3" w:rsidP="00E124B3">
            <w:pPr>
              <w:pStyle w:val="tabletext"/>
              <w:keepNext/>
              <w:keepLines/>
            </w:pPr>
            <w:r>
              <w:t>7.27</w:t>
            </w:r>
          </w:p>
        </w:tc>
      </w:tr>
      <w:tr w:rsidR="00E124B3" w:rsidRPr="00231CBA" w14:paraId="6F757A61" w14:textId="77777777" w:rsidTr="005F5526">
        <w:trPr>
          <w:tblHeader/>
        </w:trPr>
        <w:tc>
          <w:tcPr>
            <w:tcW w:w="5760" w:type="dxa"/>
          </w:tcPr>
          <w:p w14:paraId="0C54BCE4" w14:textId="5F99AF8A" w:rsidR="00E124B3" w:rsidRDefault="00E124B3" w:rsidP="00E124B3">
            <w:pPr>
              <w:pStyle w:val="tabletext"/>
              <w:keepNext/>
              <w:keepLines/>
            </w:pPr>
            <w:r>
              <w:t>Item 8, subsection 314(2A)</w:t>
            </w:r>
          </w:p>
        </w:tc>
        <w:tc>
          <w:tcPr>
            <w:tcW w:w="1980" w:type="dxa"/>
          </w:tcPr>
          <w:p w14:paraId="29DF1D58" w14:textId="25F03067" w:rsidR="00E124B3" w:rsidRDefault="00E124B3" w:rsidP="00E124B3">
            <w:pPr>
              <w:pStyle w:val="tabletext"/>
              <w:keepNext/>
              <w:keepLines/>
            </w:pPr>
            <w:r>
              <w:t>7.28</w:t>
            </w:r>
          </w:p>
        </w:tc>
      </w:tr>
      <w:tr w:rsidR="00E124B3" w:rsidRPr="00231CBA" w14:paraId="40F088C4" w14:textId="77777777" w:rsidTr="005F5526">
        <w:trPr>
          <w:tblHeader/>
        </w:trPr>
        <w:tc>
          <w:tcPr>
            <w:tcW w:w="5760" w:type="dxa"/>
          </w:tcPr>
          <w:p w14:paraId="3F6CE474" w14:textId="20278D34" w:rsidR="00E124B3" w:rsidRDefault="00E124B3" w:rsidP="00E124B3">
            <w:pPr>
              <w:pStyle w:val="tabletext"/>
              <w:keepNext/>
              <w:keepLines/>
            </w:pPr>
            <w:r>
              <w:t>Item 9, subsection 327A(4)</w:t>
            </w:r>
          </w:p>
        </w:tc>
        <w:tc>
          <w:tcPr>
            <w:tcW w:w="1980" w:type="dxa"/>
          </w:tcPr>
          <w:p w14:paraId="4F851E84" w14:textId="2860C83A" w:rsidR="00E124B3" w:rsidRDefault="00E124B3" w:rsidP="00E124B3">
            <w:pPr>
              <w:pStyle w:val="tabletext"/>
              <w:keepNext/>
              <w:keepLines/>
            </w:pPr>
            <w:r>
              <w:t>7.24</w:t>
            </w:r>
          </w:p>
        </w:tc>
      </w:tr>
    </w:tbl>
    <w:p w14:paraId="36369C32" w14:textId="57A1E23A" w:rsidR="00E124B3" w:rsidRDefault="00E124B3" w:rsidP="005F5526">
      <w:pPr>
        <w:pStyle w:val="Heading2with18pointafter"/>
      </w:pPr>
      <w:r>
        <w:t xml:space="preserve">Schedule 3:  </w:t>
      </w:r>
      <w:r w:rsidRPr="00E124B3">
        <w:t>Exemption powers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980"/>
      </w:tblGrid>
      <w:tr w:rsidR="00E124B3" w:rsidRPr="00442FB9" w14:paraId="4C38C15A" w14:textId="77777777" w:rsidTr="005F5526">
        <w:trPr>
          <w:tblHeader/>
        </w:trPr>
        <w:tc>
          <w:tcPr>
            <w:tcW w:w="5760" w:type="dxa"/>
          </w:tcPr>
          <w:p w14:paraId="6812ED99" w14:textId="77777777" w:rsidR="00E124B3" w:rsidRPr="00442FB9" w:rsidRDefault="00E124B3" w:rsidP="005F5526">
            <w:pPr>
              <w:pStyle w:val="tableheaderwithintable"/>
              <w:rPr>
                <w:lang w:val="en-US" w:eastAsia="en-US"/>
              </w:rPr>
            </w:pPr>
            <w:r w:rsidRPr="00442FB9">
              <w:rPr>
                <w:lang w:val="en-US" w:eastAsia="en-US"/>
              </w:rPr>
              <w:t>Bill reference</w:t>
            </w:r>
          </w:p>
        </w:tc>
        <w:tc>
          <w:tcPr>
            <w:tcW w:w="1980" w:type="dxa"/>
          </w:tcPr>
          <w:p w14:paraId="3931F2B4" w14:textId="77777777" w:rsidR="00E124B3" w:rsidRPr="00442FB9" w:rsidRDefault="00E124B3" w:rsidP="005F5526">
            <w:pPr>
              <w:pStyle w:val="tableheaderwithintable"/>
              <w:rPr>
                <w:lang w:val="en-US" w:eastAsia="en-US"/>
              </w:rPr>
            </w:pPr>
            <w:r w:rsidRPr="00442FB9">
              <w:rPr>
                <w:lang w:val="en-US" w:eastAsia="en-US"/>
              </w:rPr>
              <w:t>Paragraph number</w:t>
            </w:r>
          </w:p>
        </w:tc>
      </w:tr>
      <w:tr w:rsidR="00E124B3" w:rsidRPr="00442FB9" w14:paraId="182540E8" w14:textId="77777777" w:rsidTr="005F5526">
        <w:trPr>
          <w:tblHeader/>
        </w:trPr>
        <w:tc>
          <w:tcPr>
            <w:tcW w:w="5760" w:type="dxa"/>
          </w:tcPr>
          <w:p w14:paraId="385E6AFE" w14:textId="6D6D8D4D" w:rsidR="00E124B3" w:rsidRPr="00442FB9" w:rsidRDefault="00E124B3" w:rsidP="005F5526">
            <w:pPr>
              <w:pStyle w:val="tabletext"/>
              <w:rPr>
                <w:lang w:val="en-US" w:eastAsia="en-US"/>
              </w:rPr>
            </w:pPr>
            <w:r>
              <w:rPr>
                <w:lang w:val="en-US" w:eastAsia="en-US"/>
              </w:rPr>
              <w:t>Item 1,  section 791C</w:t>
            </w:r>
          </w:p>
        </w:tc>
        <w:tc>
          <w:tcPr>
            <w:tcW w:w="1980" w:type="dxa"/>
          </w:tcPr>
          <w:p w14:paraId="193B6F30" w14:textId="1ED2AAE7" w:rsidR="00E124B3" w:rsidRPr="00442FB9" w:rsidRDefault="00E124B3" w:rsidP="005F5526">
            <w:pPr>
              <w:pStyle w:val="tabletext"/>
              <w:rPr>
                <w:lang w:val="en-US" w:eastAsia="en-US"/>
              </w:rPr>
            </w:pPr>
            <w:r>
              <w:rPr>
                <w:lang w:val="en-US" w:eastAsia="en-US"/>
              </w:rPr>
              <w:t>8.19</w:t>
            </w:r>
          </w:p>
        </w:tc>
      </w:tr>
      <w:tr w:rsidR="00E124B3" w:rsidRPr="00442FB9" w14:paraId="2899DB59" w14:textId="77777777" w:rsidTr="005F5526">
        <w:trPr>
          <w:tblHeader/>
        </w:trPr>
        <w:tc>
          <w:tcPr>
            <w:tcW w:w="5760" w:type="dxa"/>
          </w:tcPr>
          <w:p w14:paraId="548E1BAC" w14:textId="56ADBC0B" w:rsidR="00E124B3" w:rsidRDefault="00E124B3" w:rsidP="005F5526">
            <w:pPr>
              <w:pStyle w:val="tabletext"/>
              <w:rPr>
                <w:lang w:val="en-US" w:eastAsia="en-US"/>
              </w:rPr>
            </w:pPr>
            <w:r>
              <w:rPr>
                <w:lang w:val="en-US" w:eastAsia="en-US"/>
              </w:rPr>
              <w:t>Item 1, subsection 791C(1)</w:t>
            </w:r>
          </w:p>
        </w:tc>
        <w:tc>
          <w:tcPr>
            <w:tcW w:w="1980" w:type="dxa"/>
          </w:tcPr>
          <w:p w14:paraId="6AC87E15" w14:textId="6213C59D" w:rsidR="00E124B3" w:rsidRDefault="00E124B3" w:rsidP="005F5526">
            <w:pPr>
              <w:pStyle w:val="tabletext"/>
              <w:rPr>
                <w:lang w:val="en-US" w:eastAsia="en-US"/>
              </w:rPr>
            </w:pPr>
            <w:r>
              <w:rPr>
                <w:lang w:val="en-US" w:eastAsia="en-US"/>
              </w:rPr>
              <w:t>8.20</w:t>
            </w:r>
          </w:p>
        </w:tc>
      </w:tr>
      <w:tr w:rsidR="00E124B3" w:rsidRPr="00442FB9" w14:paraId="1BB000C3" w14:textId="77777777" w:rsidTr="005F5526">
        <w:trPr>
          <w:tblHeader/>
        </w:trPr>
        <w:tc>
          <w:tcPr>
            <w:tcW w:w="5760" w:type="dxa"/>
          </w:tcPr>
          <w:p w14:paraId="2F7365F4" w14:textId="3862DC29" w:rsidR="00E124B3" w:rsidRDefault="00E124B3" w:rsidP="005F5526">
            <w:pPr>
              <w:pStyle w:val="tabletext"/>
              <w:rPr>
                <w:lang w:val="en-US" w:eastAsia="en-US"/>
              </w:rPr>
            </w:pPr>
            <w:r>
              <w:rPr>
                <w:lang w:val="en-US" w:eastAsia="en-US"/>
              </w:rPr>
              <w:t>Item 1, subsection 791C(4)</w:t>
            </w:r>
          </w:p>
        </w:tc>
        <w:tc>
          <w:tcPr>
            <w:tcW w:w="1980" w:type="dxa"/>
          </w:tcPr>
          <w:p w14:paraId="791AFEDB" w14:textId="43A4E39E" w:rsidR="00E124B3" w:rsidRDefault="00E124B3" w:rsidP="005F5526">
            <w:pPr>
              <w:pStyle w:val="tabletext"/>
              <w:rPr>
                <w:lang w:val="en-US" w:eastAsia="en-US"/>
              </w:rPr>
            </w:pPr>
            <w:r>
              <w:rPr>
                <w:lang w:val="en-US" w:eastAsia="en-US"/>
              </w:rPr>
              <w:t>8.21</w:t>
            </w:r>
          </w:p>
        </w:tc>
      </w:tr>
      <w:tr w:rsidR="00E124B3" w:rsidRPr="00442FB9" w14:paraId="034080F2" w14:textId="77777777" w:rsidTr="005F5526">
        <w:trPr>
          <w:tblHeader/>
        </w:trPr>
        <w:tc>
          <w:tcPr>
            <w:tcW w:w="5760" w:type="dxa"/>
          </w:tcPr>
          <w:p w14:paraId="0F6AEE03" w14:textId="73B3D4DD" w:rsidR="00E124B3" w:rsidRDefault="00E124B3" w:rsidP="005F5526">
            <w:pPr>
              <w:pStyle w:val="tabletext"/>
              <w:rPr>
                <w:lang w:val="en-US" w:eastAsia="en-US"/>
              </w:rPr>
            </w:pPr>
            <w:r>
              <w:rPr>
                <w:lang w:val="en-US" w:eastAsia="en-US"/>
              </w:rPr>
              <w:t>Item 1, subsection 791C(5)</w:t>
            </w:r>
          </w:p>
        </w:tc>
        <w:tc>
          <w:tcPr>
            <w:tcW w:w="1980" w:type="dxa"/>
          </w:tcPr>
          <w:p w14:paraId="1439AA21" w14:textId="54FA299B" w:rsidR="00E124B3" w:rsidRDefault="00E124B3" w:rsidP="005F5526">
            <w:pPr>
              <w:pStyle w:val="tabletext"/>
              <w:rPr>
                <w:lang w:val="en-US" w:eastAsia="en-US"/>
              </w:rPr>
            </w:pPr>
            <w:r>
              <w:rPr>
                <w:lang w:val="en-US" w:eastAsia="en-US"/>
              </w:rPr>
              <w:t>8.22</w:t>
            </w:r>
          </w:p>
        </w:tc>
      </w:tr>
      <w:tr w:rsidR="007060B3" w:rsidRPr="00442FB9" w14:paraId="5F1D33AE" w14:textId="77777777" w:rsidTr="00D23BCA">
        <w:trPr>
          <w:tblHeader/>
        </w:trPr>
        <w:tc>
          <w:tcPr>
            <w:tcW w:w="5760" w:type="dxa"/>
          </w:tcPr>
          <w:p w14:paraId="1931B1C9" w14:textId="77777777" w:rsidR="007060B3" w:rsidRPr="007060B3" w:rsidRDefault="007060B3" w:rsidP="00D23BCA">
            <w:pPr>
              <w:pStyle w:val="tabletext"/>
              <w:rPr>
                <w:lang w:val="en-US" w:eastAsia="en-US"/>
              </w:rPr>
            </w:pPr>
            <w:r w:rsidRPr="007060B3">
              <w:rPr>
                <w:lang w:val="en-US" w:eastAsia="en-US"/>
              </w:rPr>
              <w:t>Item 1, subsections 791C(2) and (3)</w:t>
            </w:r>
          </w:p>
        </w:tc>
        <w:tc>
          <w:tcPr>
            <w:tcW w:w="1980" w:type="dxa"/>
          </w:tcPr>
          <w:p w14:paraId="227E3753" w14:textId="77777777" w:rsidR="007060B3" w:rsidRPr="007060B3" w:rsidRDefault="007060B3" w:rsidP="00D23BCA">
            <w:pPr>
              <w:pStyle w:val="tabletext"/>
              <w:rPr>
                <w:lang w:val="en-US" w:eastAsia="en-US"/>
              </w:rPr>
            </w:pPr>
            <w:r w:rsidRPr="007060B3">
              <w:rPr>
                <w:lang w:val="en-US" w:eastAsia="en-US"/>
              </w:rPr>
              <w:t>8.23</w:t>
            </w:r>
          </w:p>
        </w:tc>
      </w:tr>
      <w:tr w:rsidR="00E124B3" w:rsidRPr="00442FB9" w14:paraId="462A82D7" w14:textId="77777777" w:rsidTr="005F5526">
        <w:trPr>
          <w:tblHeader/>
        </w:trPr>
        <w:tc>
          <w:tcPr>
            <w:tcW w:w="5760" w:type="dxa"/>
          </w:tcPr>
          <w:p w14:paraId="6C5A534D" w14:textId="176233D6" w:rsidR="00E124B3" w:rsidRDefault="00E124B3" w:rsidP="005F5526">
            <w:pPr>
              <w:pStyle w:val="tabletext"/>
              <w:rPr>
                <w:lang w:val="en-US" w:eastAsia="en-US"/>
              </w:rPr>
            </w:pPr>
            <w:r>
              <w:rPr>
                <w:lang w:val="en-US" w:eastAsia="en-US"/>
              </w:rPr>
              <w:t>Item 2</w:t>
            </w:r>
          </w:p>
        </w:tc>
        <w:tc>
          <w:tcPr>
            <w:tcW w:w="1980" w:type="dxa"/>
          </w:tcPr>
          <w:p w14:paraId="603AADCD" w14:textId="2D6B44E0" w:rsidR="00E124B3" w:rsidRDefault="00E124B3" w:rsidP="005F5526">
            <w:pPr>
              <w:pStyle w:val="tabletext"/>
              <w:rPr>
                <w:lang w:val="en-US" w:eastAsia="en-US"/>
              </w:rPr>
            </w:pPr>
            <w:r>
              <w:rPr>
                <w:lang w:val="en-US" w:eastAsia="en-US"/>
              </w:rPr>
              <w:t>8.25</w:t>
            </w:r>
          </w:p>
        </w:tc>
      </w:tr>
      <w:tr w:rsidR="00E124B3" w:rsidRPr="00442FB9" w14:paraId="04950805" w14:textId="77777777" w:rsidTr="005F5526">
        <w:trPr>
          <w:tblHeader/>
        </w:trPr>
        <w:tc>
          <w:tcPr>
            <w:tcW w:w="5760" w:type="dxa"/>
          </w:tcPr>
          <w:p w14:paraId="3BC2C4D3" w14:textId="7ABCFB74" w:rsidR="00E124B3" w:rsidRDefault="00E124B3" w:rsidP="005F5526">
            <w:pPr>
              <w:pStyle w:val="tabletext"/>
              <w:rPr>
                <w:lang w:val="en-US" w:eastAsia="en-US"/>
              </w:rPr>
            </w:pPr>
            <w:r>
              <w:rPr>
                <w:lang w:val="en-US" w:eastAsia="en-US"/>
              </w:rPr>
              <w:t>Item 3, section 798M</w:t>
            </w:r>
          </w:p>
        </w:tc>
        <w:tc>
          <w:tcPr>
            <w:tcW w:w="1980" w:type="dxa"/>
          </w:tcPr>
          <w:p w14:paraId="3A059E41" w14:textId="3F07856E" w:rsidR="00E124B3" w:rsidRDefault="00E124B3" w:rsidP="005F5526">
            <w:pPr>
              <w:pStyle w:val="tabletext"/>
              <w:rPr>
                <w:lang w:val="en-US" w:eastAsia="en-US"/>
              </w:rPr>
            </w:pPr>
            <w:r>
              <w:rPr>
                <w:lang w:val="en-US" w:eastAsia="en-US"/>
              </w:rPr>
              <w:t>8.26</w:t>
            </w:r>
          </w:p>
        </w:tc>
      </w:tr>
      <w:tr w:rsidR="00E124B3" w:rsidRPr="00442FB9" w14:paraId="70669559" w14:textId="77777777" w:rsidTr="005F5526">
        <w:trPr>
          <w:tblHeader/>
        </w:trPr>
        <w:tc>
          <w:tcPr>
            <w:tcW w:w="5760" w:type="dxa"/>
          </w:tcPr>
          <w:p w14:paraId="5A020214" w14:textId="0254B2EB" w:rsidR="00E124B3" w:rsidRDefault="00E124B3" w:rsidP="005F5526">
            <w:pPr>
              <w:pStyle w:val="tabletext"/>
              <w:rPr>
                <w:lang w:val="en-US" w:eastAsia="en-US"/>
              </w:rPr>
            </w:pPr>
            <w:r>
              <w:rPr>
                <w:lang w:val="en-US" w:eastAsia="en-US"/>
              </w:rPr>
              <w:t>Item 4, section 820C</w:t>
            </w:r>
          </w:p>
        </w:tc>
        <w:tc>
          <w:tcPr>
            <w:tcW w:w="1980" w:type="dxa"/>
          </w:tcPr>
          <w:p w14:paraId="1A169BE0" w14:textId="06608D0F" w:rsidR="00E124B3" w:rsidRDefault="00E124B3" w:rsidP="005F5526">
            <w:pPr>
              <w:pStyle w:val="tabletext"/>
              <w:rPr>
                <w:lang w:val="en-US" w:eastAsia="en-US"/>
              </w:rPr>
            </w:pPr>
            <w:r>
              <w:rPr>
                <w:lang w:val="en-US" w:eastAsia="en-US"/>
              </w:rPr>
              <w:t>8.30</w:t>
            </w:r>
          </w:p>
        </w:tc>
      </w:tr>
      <w:tr w:rsidR="00E124B3" w:rsidRPr="00442FB9" w14:paraId="5495A14F" w14:textId="77777777" w:rsidTr="005F5526">
        <w:trPr>
          <w:tblHeader/>
        </w:trPr>
        <w:tc>
          <w:tcPr>
            <w:tcW w:w="5760" w:type="dxa"/>
          </w:tcPr>
          <w:p w14:paraId="09FA78A6" w14:textId="5D6CADDB" w:rsidR="00E124B3" w:rsidRDefault="00E124B3" w:rsidP="005F5526">
            <w:pPr>
              <w:pStyle w:val="tabletext"/>
              <w:rPr>
                <w:lang w:val="en-US" w:eastAsia="en-US"/>
              </w:rPr>
            </w:pPr>
            <w:r>
              <w:rPr>
                <w:lang w:val="en-US" w:eastAsia="en-US"/>
              </w:rPr>
              <w:t>Item 4, subsection 820C(1)</w:t>
            </w:r>
          </w:p>
        </w:tc>
        <w:tc>
          <w:tcPr>
            <w:tcW w:w="1980" w:type="dxa"/>
          </w:tcPr>
          <w:p w14:paraId="68F3306C" w14:textId="2D56915D" w:rsidR="00E124B3" w:rsidRDefault="00E124B3" w:rsidP="005F5526">
            <w:pPr>
              <w:pStyle w:val="tabletext"/>
              <w:rPr>
                <w:lang w:val="en-US" w:eastAsia="en-US"/>
              </w:rPr>
            </w:pPr>
            <w:r>
              <w:rPr>
                <w:lang w:val="en-US" w:eastAsia="en-US"/>
              </w:rPr>
              <w:t>8.32</w:t>
            </w:r>
          </w:p>
        </w:tc>
      </w:tr>
      <w:tr w:rsidR="00E124B3" w:rsidRPr="00442FB9" w14:paraId="301EA640" w14:textId="77777777" w:rsidTr="005F5526">
        <w:trPr>
          <w:tblHeader/>
        </w:trPr>
        <w:tc>
          <w:tcPr>
            <w:tcW w:w="5760" w:type="dxa"/>
          </w:tcPr>
          <w:p w14:paraId="72F1B4AB" w14:textId="57C5FCCE" w:rsidR="00E124B3" w:rsidRDefault="00E124B3" w:rsidP="002215D8">
            <w:pPr>
              <w:pStyle w:val="tabletext"/>
              <w:rPr>
                <w:lang w:val="en-US" w:eastAsia="en-US"/>
              </w:rPr>
            </w:pPr>
            <w:r>
              <w:rPr>
                <w:lang w:val="en-US" w:eastAsia="en-US"/>
              </w:rPr>
              <w:t xml:space="preserve">Item 4, </w:t>
            </w:r>
            <w:r w:rsidR="00FA2970">
              <w:rPr>
                <w:lang w:val="en-US" w:eastAsia="en-US"/>
              </w:rPr>
              <w:t>subsections 820C(2) and (3)</w:t>
            </w:r>
          </w:p>
        </w:tc>
        <w:tc>
          <w:tcPr>
            <w:tcW w:w="1980" w:type="dxa"/>
          </w:tcPr>
          <w:p w14:paraId="3DACFACF" w14:textId="1E64B8BB" w:rsidR="00E124B3" w:rsidRDefault="00E124B3" w:rsidP="005F5526">
            <w:pPr>
              <w:pStyle w:val="tabletext"/>
              <w:rPr>
                <w:lang w:val="en-US" w:eastAsia="en-US"/>
              </w:rPr>
            </w:pPr>
            <w:r>
              <w:rPr>
                <w:lang w:val="en-US" w:eastAsia="en-US"/>
              </w:rPr>
              <w:t>8.32</w:t>
            </w:r>
          </w:p>
        </w:tc>
      </w:tr>
      <w:tr w:rsidR="00E124B3" w:rsidRPr="00442FB9" w14:paraId="5783B219" w14:textId="77777777" w:rsidTr="005F5526">
        <w:trPr>
          <w:tblHeader/>
        </w:trPr>
        <w:tc>
          <w:tcPr>
            <w:tcW w:w="5760" w:type="dxa"/>
          </w:tcPr>
          <w:p w14:paraId="2B45844D" w14:textId="18096DB7" w:rsidR="00E124B3" w:rsidRDefault="00E124B3" w:rsidP="005F5526">
            <w:pPr>
              <w:pStyle w:val="tabletext"/>
              <w:rPr>
                <w:lang w:val="en-US" w:eastAsia="en-US"/>
              </w:rPr>
            </w:pPr>
            <w:r>
              <w:rPr>
                <w:lang w:val="en-US" w:eastAsia="en-US"/>
              </w:rPr>
              <w:t>Item 5</w:t>
            </w:r>
          </w:p>
        </w:tc>
        <w:tc>
          <w:tcPr>
            <w:tcW w:w="1980" w:type="dxa"/>
          </w:tcPr>
          <w:p w14:paraId="24F148D4" w14:textId="3CC2BB48" w:rsidR="00E124B3" w:rsidRDefault="00E124B3" w:rsidP="005F5526">
            <w:pPr>
              <w:pStyle w:val="tabletext"/>
              <w:rPr>
                <w:lang w:val="en-US" w:eastAsia="en-US"/>
              </w:rPr>
            </w:pPr>
            <w:r>
              <w:rPr>
                <w:lang w:val="en-US" w:eastAsia="en-US"/>
              </w:rPr>
              <w:t>8.33</w:t>
            </w:r>
          </w:p>
        </w:tc>
      </w:tr>
      <w:tr w:rsidR="00E124B3" w:rsidRPr="00442FB9" w14:paraId="4D6015DE" w14:textId="77777777" w:rsidTr="005F5526">
        <w:trPr>
          <w:tblHeader/>
        </w:trPr>
        <w:tc>
          <w:tcPr>
            <w:tcW w:w="5760" w:type="dxa"/>
          </w:tcPr>
          <w:p w14:paraId="7AA6F6AB" w14:textId="543033B3" w:rsidR="00E124B3" w:rsidRDefault="00E124B3" w:rsidP="005F5526">
            <w:pPr>
              <w:pStyle w:val="tabletext"/>
              <w:rPr>
                <w:lang w:val="en-US" w:eastAsia="en-US"/>
              </w:rPr>
            </w:pPr>
            <w:r>
              <w:rPr>
                <w:lang w:val="en-US" w:eastAsia="en-US"/>
              </w:rPr>
              <w:t>Item 6, section 893B</w:t>
            </w:r>
          </w:p>
        </w:tc>
        <w:tc>
          <w:tcPr>
            <w:tcW w:w="1980" w:type="dxa"/>
          </w:tcPr>
          <w:p w14:paraId="7251F63A" w14:textId="583C4985" w:rsidR="00E124B3" w:rsidRDefault="00E124B3" w:rsidP="005F5526">
            <w:pPr>
              <w:pStyle w:val="tabletext"/>
              <w:rPr>
                <w:lang w:val="en-US" w:eastAsia="en-US"/>
              </w:rPr>
            </w:pPr>
            <w:r>
              <w:rPr>
                <w:lang w:val="en-US" w:eastAsia="en-US"/>
              </w:rPr>
              <w:t>8.34</w:t>
            </w:r>
          </w:p>
        </w:tc>
      </w:tr>
    </w:tbl>
    <w:p w14:paraId="404A7DFE" w14:textId="77777777" w:rsidR="00E124B3" w:rsidRPr="00200C32" w:rsidRDefault="00E124B3" w:rsidP="00E124B3">
      <w:pPr>
        <w:pStyle w:val="Heading2with18pointafter"/>
      </w:pPr>
    </w:p>
    <w:sectPr w:rsidR="00E124B3" w:rsidRPr="00200C32" w:rsidSect="00821379">
      <w:headerReference w:type="default" r:id="rId73"/>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32AB4" w14:textId="77777777" w:rsidR="00577571" w:rsidRDefault="00577571">
      <w:r>
        <w:separator/>
      </w:r>
    </w:p>
  </w:endnote>
  <w:endnote w:type="continuationSeparator" w:id="0">
    <w:p w14:paraId="75CD96B8" w14:textId="77777777" w:rsidR="00577571" w:rsidRDefault="00577571">
      <w:r>
        <w:continuationSeparator/>
      </w:r>
    </w:p>
  </w:endnote>
  <w:endnote w:type="continuationNotice" w:id="1">
    <w:p w14:paraId="2F1187BF" w14:textId="77777777" w:rsidR="00577571" w:rsidRDefault="005775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175FF" w14:textId="77777777" w:rsidR="00577571" w:rsidRDefault="00577571" w:rsidP="00B676BE">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FEF17" w14:textId="77777777" w:rsidR="00577571" w:rsidRDefault="00577571" w:rsidP="00B676BE">
    <w:pPr>
      <w:pStyle w:val="leftfooter"/>
    </w:pPr>
    <w:r>
      <w:fldChar w:fldCharType="begin"/>
    </w:r>
    <w:r>
      <w:instrText xml:space="preserve"> PAGE   \* MERGEFORMAT </w:instrText>
    </w:r>
    <w:r>
      <w:fldChar w:fldCharType="separate"/>
    </w:r>
    <w:r w:rsidR="00D476C3">
      <w:rPr>
        <w:noProof/>
      </w:rPr>
      <w:t>8</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CB50A" w14:textId="77777777" w:rsidR="00577571" w:rsidRDefault="00577571" w:rsidP="00B676BE">
    <w:pPr>
      <w:pStyle w:val="rightfooter"/>
    </w:pPr>
    <w:r>
      <w:fldChar w:fldCharType="begin"/>
    </w:r>
    <w:r>
      <w:instrText xml:space="preserve"> PAGE   \* MERGEFORMAT </w:instrText>
    </w:r>
    <w:r>
      <w:fldChar w:fldCharType="separate"/>
    </w:r>
    <w:r w:rsidR="00D476C3">
      <w:rPr>
        <w:noProof/>
      </w:rPr>
      <w:t>9</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59420" w14:textId="77777777" w:rsidR="00577571" w:rsidRDefault="00577571" w:rsidP="00B676BE">
    <w:pPr>
      <w:pStyle w:val="rightfooter"/>
    </w:pPr>
    <w:r>
      <w:fldChar w:fldCharType="begin"/>
    </w:r>
    <w:r>
      <w:instrText xml:space="preserve"> PAGE  \* Arabic  \* MERGEFORMAT </w:instrText>
    </w:r>
    <w:r>
      <w:fldChar w:fldCharType="separate"/>
    </w:r>
    <w:r w:rsidR="00D476C3">
      <w:rPr>
        <w:noProof/>
      </w:rPr>
      <w:t>7</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4AC01" w14:textId="77777777" w:rsidR="00577571" w:rsidRDefault="00577571" w:rsidP="00B676BE">
    <w:pPr>
      <w:pStyle w:val="leftfooter"/>
    </w:pPr>
    <w:r>
      <w:fldChar w:fldCharType="begin"/>
    </w:r>
    <w:r>
      <w:instrText xml:space="preserve"> PAGE   \* MERGEFORMAT </w:instrText>
    </w:r>
    <w:r>
      <w:fldChar w:fldCharType="separate"/>
    </w:r>
    <w:r w:rsidR="00D476C3">
      <w:rPr>
        <w:noProof/>
      </w:rPr>
      <w:t>20</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E452F" w14:textId="77777777" w:rsidR="00577571" w:rsidRDefault="00577571" w:rsidP="00B676BE">
    <w:pPr>
      <w:pStyle w:val="rightfooter"/>
    </w:pPr>
    <w:r>
      <w:fldChar w:fldCharType="begin"/>
    </w:r>
    <w:r>
      <w:instrText xml:space="preserve"> PAGE   \* MERGEFORMAT </w:instrText>
    </w:r>
    <w:r>
      <w:fldChar w:fldCharType="separate"/>
    </w:r>
    <w:r w:rsidR="00D476C3">
      <w:rPr>
        <w:noProof/>
      </w:rPr>
      <w:t>21</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68241" w14:textId="77777777" w:rsidR="00577571" w:rsidRDefault="00577571" w:rsidP="00B676BE">
    <w:pPr>
      <w:pStyle w:val="rightfooter"/>
    </w:pPr>
    <w:r>
      <w:fldChar w:fldCharType="begin"/>
    </w:r>
    <w:r>
      <w:instrText xml:space="preserve"> PAGE  \* Arabic  \* MERGEFORMAT </w:instrText>
    </w:r>
    <w:r>
      <w:fldChar w:fldCharType="separate"/>
    </w:r>
    <w:r w:rsidR="00D476C3">
      <w:rPr>
        <w:noProof/>
      </w:rPr>
      <w:t>10</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3FDC2" w14:textId="77777777" w:rsidR="00577571" w:rsidRDefault="00577571" w:rsidP="00B676BE">
    <w:pPr>
      <w:pStyle w:val="leftfooter"/>
    </w:pPr>
    <w:r>
      <w:fldChar w:fldCharType="begin"/>
    </w:r>
    <w:r>
      <w:instrText xml:space="preserve"> PAGE   \* MERGEFORMAT </w:instrText>
    </w:r>
    <w:r>
      <w:fldChar w:fldCharType="separate"/>
    </w:r>
    <w:r w:rsidR="00D476C3">
      <w:rPr>
        <w:noProof/>
      </w:rPr>
      <w:t>40</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9212A" w14:textId="77777777" w:rsidR="00577571" w:rsidRDefault="00577571" w:rsidP="00B676BE">
    <w:pPr>
      <w:pStyle w:val="rightfooter"/>
    </w:pPr>
    <w:r>
      <w:fldChar w:fldCharType="begin"/>
    </w:r>
    <w:r>
      <w:instrText xml:space="preserve"> PAGE   \* MERGEFORMAT </w:instrText>
    </w:r>
    <w:r>
      <w:fldChar w:fldCharType="separate"/>
    </w:r>
    <w:r w:rsidR="00D476C3">
      <w:rPr>
        <w:noProof/>
      </w:rPr>
      <w:t>41</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95AA9" w14:textId="77777777" w:rsidR="00577571" w:rsidRDefault="00577571" w:rsidP="00B676BE">
    <w:pPr>
      <w:pStyle w:val="rightfooter"/>
    </w:pPr>
    <w:r>
      <w:fldChar w:fldCharType="begin"/>
    </w:r>
    <w:r>
      <w:instrText xml:space="preserve"> PAGE  \* Arabic  \* MERGEFORMAT </w:instrText>
    </w:r>
    <w:r>
      <w:fldChar w:fldCharType="separate"/>
    </w:r>
    <w:r w:rsidR="00D476C3">
      <w:rPr>
        <w:noProof/>
      </w:rPr>
      <w:t>23</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29AEB" w14:textId="77777777" w:rsidR="00577571" w:rsidRDefault="00577571" w:rsidP="00B676BE">
    <w:pPr>
      <w:pStyle w:val="leftfooter"/>
    </w:pPr>
    <w:r>
      <w:fldChar w:fldCharType="begin"/>
    </w:r>
    <w:r>
      <w:instrText xml:space="preserve"> PAGE   \* MERGEFORMAT </w:instrText>
    </w:r>
    <w:r>
      <w:fldChar w:fldCharType="separate"/>
    </w:r>
    <w:r w:rsidR="00D476C3">
      <w:rPr>
        <w:noProof/>
      </w:rPr>
      <w:t>52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A1A10" w14:textId="77777777" w:rsidR="00577571" w:rsidRDefault="00577571" w:rsidP="00B676B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79468" w14:textId="77777777" w:rsidR="00577571" w:rsidRDefault="00577571" w:rsidP="00B676BE">
    <w:pPr>
      <w:pStyle w:val="rightfooter"/>
    </w:pPr>
    <w:r>
      <w:fldChar w:fldCharType="begin"/>
    </w:r>
    <w:r>
      <w:instrText xml:space="preserve"> PAGE   \* MERGEFORMAT </w:instrText>
    </w:r>
    <w:r>
      <w:fldChar w:fldCharType="separate"/>
    </w:r>
    <w:r w:rsidR="00D476C3">
      <w:rPr>
        <w:noProof/>
      </w:rPr>
      <w:t>53</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539F1" w14:textId="77777777" w:rsidR="00577571" w:rsidRDefault="00577571" w:rsidP="00B676BE">
    <w:pPr>
      <w:pStyle w:val="rightfooter"/>
    </w:pPr>
    <w:r>
      <w:fldChar w:fldCharType="begin"/>
    </w:r>
    <w:r>
      <w:instrText xml:space="preserve"> PAGE  \* Arabic  \* MERGEFORMAT </w:instrText>
    </w:r>
    <w:r>
      <w:fldChar w:fldCharType="separate"/>
    </w:r>
    <w:r w:rsidR="00D476C3">
      <w:rPr>
        <w:noProof/>
      </w:rPr>
      <w:t>42</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D1274" w14:textId="77777777" w:rsidR="00577571" w:rsidRDefault="00577571" w:rsidP="00B676BE">
    <w:pPr>
      <w:pStyle w:val="leftfooter"/>
    </w:pPr>
    <w:r>
      <w:fldChar w:fldCharType="begin"/>
    </w:r>
    <w:r>
      <w:instrText xml:space="preserve"> PAGE   \* MERGEFORMAT </w:instrText>
    </w:r>
    <w:r>
      <w:fldChar w:fldCharType="separate"/>
    </w:r>
    <w:r w:rsidR="00D476C3">
      <w:rPr>
        <w:noProof/>
      </w:rPr>
      <w:t>66</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B294D" w14:textId="77777777" w:rsidR="00577571" w:rsidRDefault="00577571" w:rsidP="00B676BE">
    <w:pPr>
      <w:pStyle w:val="rightfooter"/>
    </w:pPr>
    <w:r>
      <w:fldChar w:fldCharType="begin"/>
    </w:r>
    <w:r>
      <w:instrText xml:space="preserve"> PAGE   \* MERGEFORMAT </w:instrText>
    </w:r>
    <w:r>
      <w:fldChar w:fldCharType="separate"/>
    </w:r>
    <w:r w:rsidR="00D476C3">
      <w:rPr>
        <w:noProof/>
      </w:rPr>
      <w:t>67</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852B3" w14:textId="77777777" w:rsidR="00577571" w:rsidRDefault="00577571" w:rsidP="00B676BE">
    <w:pPr>
      <w:pStyle w:val="rightfooter"/>
    </w:pPr>
    <w:r>
      <w:fldChar w:fldCharType="begin"/>
    </w:r>
    <w:r>
      <w:instrText xml:space="preserve"> PAGE  \* Arabic  \* MERGEFORMAT </w:instrText>
    </w:r>
    <w:r>
      <w:fldChar w:fldCharType="separate"/>
    </w:r>
    <w:r w:rsidR="00D476C3">
      <w:rPr>
        <w:noProof/>
      </w:rPr>
      <w:t>54</w:t>
    </w:r>
    <w:r>
      <w:rPr>
        <w:noProof/>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F739F" w14:textId="77777777" w:rsidR="00577571" w:rsidRDefault="00577571" w:rsidP="00B676BE">
    <w:pPr>
      <w:pStyle w:val="leftfooter"/>
    </w:pPr>
    <w:r>
      <w:fldChar w:fldCharType="begin"/>
    </w:r>
    <w:r>
      <w:instrText xml:space="preserve"> PAGE   \* MERGEFORMAT </w:instrText>
    </w:r>
    <w:r>
      <w:fldChar w:fldCharType="separate"/>
    </w:r>
    <w:r w:rsidR="00D476C3">
      <w:rPr>
        <w:noProof/>
      </w:rPr>
      <w:t>80</w:t>
    </w:r>
    <w:r>
      <w:rPr>
        <w:noProof/>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50BBE" w14:textId="77777777" w:rsidR="00577571" w:rsidRDefault="00577571" w:rsidP="00B676BE">
    <w:pPr>
      <w:pStyle w:val="rightfooter"/>
    </w:pPr>
    <w:r>
      <w:fldChar w:fldCharType="begin"/>
    </w:r>
    <w:r>
      <w:instrText xml:space="preserve"> PAGE   \* MERGEFORMAT </w:instrText>
    </w:r>
    <w:r>
      <w:fldChar w:fldCharType="separate"/>
    </w:r>
    <w:r w:rsidR="00D476C3">
      <w:rPr>
        <w:noProof/>
      </w:rPr>
      <w:t>81</w:t>
    </w:r>
    <w:r>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13173" w14:textId="77777777" w:rsidR="00577571" w:rsidRDefault="00577571" w:rsidP="00B676BE">
    <w:pPr>
      <w:pStyle w:val="rightfooter"/>
    </w:pPr>
    <w:r>
      <w:fldChar w:fldCharType="begin"/>
    </w:r>
    <w:r>
      <w:instrText xml:space="preserve"> PAGE  \* Arabic  \* MERGEFORMAT </w:instrText>
    </w:r>
    <w:r>
      <w:fldChar w:fldCharType="separate"/>
    </w:r>
    <w:r w:rsidR="00D476C3">
      <w:rPr>
        <w:noProof/>
      </w:rPr>
      <w:t>69</w:t>
    </w:r>
    <w:r>
      <w:rPr>
        <w:noProof/>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D35B2" w14:textId="77777777" w:rsidR="00577571" w:rsidRDefault="00577571" w:rsidP="00B676BE">
    <w:pPr>
      <w:pStyle w:val="leftfooter"/>
    </w:pPr>
    <w:r>
      <w:fldChar w:fldCharType="begin"/>
    </w:r>
    <w:r>
      <w:instrText xml:space="preserve"> PAGE   \* MERGEFORMAT </w:instrText>
    </w:r>
    <w:r>
      <w:fldChar w:fldCharType="separate"/>
    </w:r>
    <w:r w:rsidR="00D476C3">
      <w:rPr>
        <w:noProof/>
      </w:rPr>
      <w:t>88</w:t>
    </w:r>
    <w:r>
      <w:rPr>
        <w:noProof/>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D7BC5" w14:textId="77777777" w:rsidR="00577571" w:rsidRDefault="00577571" w:rsidP="00B676BE">
    <w:pPr>
      <w:pStyle w:val="rightfooter"/>
    </w:pPr>
    <w:r>
      <w:fldChar w:fldCharType="begin"/>
    </w:r>
    <w:r>
      <w:instrText xml:space="preserve"> PAGE   \* MERGEFORMAT </w:instrText>
    </w:r>
    <w:r>
      <w:fldChar w:fldCharType="separate"/>
    </w:r>
    <w:r w:rsidR="00D476C3">
      <w:rPr>
        <w:noProof/>
      </w:rPr>
      <w:t>87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0EB33" w14:textId="77777777" w:rsidR="00D476C3" w:rsidRDefault="00D476C3">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A14BC" w14:textId="77777777" w:rsidR="00577571" w:rsidRDefault="00577571" w:rsidP="00B676BE">
    <w:pPr>
      <w:pStyle w:val="rightfooter"/>
    </w:pPr>
    <w:r>
      <w:fldChar w:fldCharType="begin"/>
    </w:r>
    <w:r>
      <w:instrText xml:space="preserve"> PAGE  \* Arabic  \* MERGEFORMAT </w:instrText>
    </w:r>
    <w:r>
      <w:fldChar w:fldCharType="separate"/>
    </w:r>
    <w:r w:rsidR="00D476C3">
      <w:rPr>
        <w:noProof/>
      </w:rPr>
      <w:t>83</w:t>
    </w:r>
    <w:r>
      <w:rPr>
        <w:noProof/>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E261D" w14:textId="77777777" w:rsidR="00577571" w:rsidRDefault="00577571" w:rsidP="007F37A1">
    <w:pPr>
      <w:pStyle w:val="leftfooter"/>
    </w:pPr>
    <w:r>
      <w:fldChar w:fldCharType="begin"/>
    </w:r>
    <w:r>
      <w:instrText xml:space="preserve"> PAGE   \* MERGEFORMAT </w:instrText>
    </w:r>
    <w:r>
      <w:fldChar w:fldCharType="separate"/>
    </w:r>
    <w:r w:rsidR="00D476C3">
      <w:rPr>
        <w:noProof/>
      </w:rPr>
      <w:t>100</w:t>
    </w:r>
    <w:r>
      <w:rPr>
        <w:noProof/>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1DF99" w14:textId="77777777" w:rsidR="00577571" w:rsidRDefault="00577571" w:rsidP="007F37A1">
    <w:pPr>
      <w:pStyle w:val="rightfooter"/>
    </w:pPr>
    <w:r>
      <w:fldChar w:fldCharType="begin"/>
    </w:r>
    <w:r>
      <w:instrText xml:space="preserve"> PAGE   \* MERGEFORMAT </w:instrText>
    </w:r>
    <w:r>
      <w:fldChar w:fldCharType="separate"/>
    </w:r>
    <w:r w:rsidR="00D476C3">
      <w:rPr>
        <w:noProof/>
      </w:rPr>
      <w:t>99</w:t>
    </w:r>
    <w:r>
      <w:rPr>
        <w:noProof/>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FFE53" w14:textId="77777777" w:rsidR="00577571" w:rsidRDefault="00577571" w:rsidP="007F37A1">
    <w:pPr>
      <w:pStyle w:val="rightfooter"/>
    </w:pPr>
    <w:r>
      <w:fldChar w:fldCharType="begin"/>
    </w:r>
    <w:r>
      <w:instrText xml:space="preserve"> PAGE  \* Arabic  \* MERGEFORMAT </w:instrText>
    </w:r>
    <w:r>
      <w:fldChar w:fldCharType="separate"/>
    </w:r>
    <w:r w:rsidR="00D476C3">
      <w:rPr>
        <w:noProof/>
      </w:rPr>
      <w:t>97</w:t>
    </w:r>
    <w:r>
      <w:rPr>
        <w:noProof/>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4C5C0" w14:textId="77777777" w:rsidR="00577571" w:rsidRDefault="00577571" w:rsidP="005A76CC">
    <w:pPr>
      <w:pStyle w:val="leftfooter"/>
    </w:pPr>
    <w:r>
      <w:fldChar w:fldCharType="begin"/>
    </w:r>
    <w:r>
      <w:instrText xml:space="preserve"> PAGE   \* MERGEFORMAT </w:instrText>
    </w:r>
    <w:r>
      <w:fldChar w:fldCharType="separate"/>
    </w:r>
    <w:r w:rsidR="00D476C3">
      <w:rPr>
        <w:noProof/>
      </w:rPr>
      <w:t>108</w:t>
    </w:r>
    <w:r>
      <w:rPr>
        <w:noProof/>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33884" w14:textId="77777777" w:rsidR="00577571" w:rsidRDefault="00577571" w:rsidP="005A76CC">
    <w:pPr>
      <w:pStyle w:val="rightfooter"/>
    </w:pPr>
    <w:r>
      <w:fldChar w:fldCharType="begin"/>
    </w:r>
    <w:r>
      <w:instrText xml:space="preserve"> PAGE   \* MERGEFORMAT </w:instrText>
    </w:r>
    <w:r>
      <w:fldChar w:fldCharType="separate"/>
    </w:r>
    <w:r w:rsidR="00D476C3">
      <w:rPr>
        <w:noProof/>
      </w:rPr>
      <w:t>109</w:t>
    </w:r>
    <w:r>
      <w:rPr>
        <w:noProof/>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AE415" w14:textId="77777777" w:rsidR="00577571" w:rsidRDefault="00577571" w:rsidP="005A76CC">
    <w:pPr>
      <w:pStyle w:val="rightfooter"/>
    </w:pPr>
    <w:r>
      <w:fldChar w:fldCharType="begin"/>
    </w:r>
    <w:r>
      <w:instrText xml:space="preserve"> PAGE  \* Arabic  \* MERGEFORMAT </w:instrText>
    </w:r>
    <w:r>
      <w:fldChar w:fldCharType="separate"/>
    </w:r>
    <w:r w:rsidR="00D476C3">
      <w:rPr>
        <w:noProof/>
      </w:rPr>
      <w:t>103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2A87C" w14:textId="77777777" w:rsidR="00577571" w:rsidRDefault="00577571" w:rsidP="00B676BE">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52B67" w14:textId="77777777" w:rsidR="00577571" w:rsidRDefault="00577571" w:rsidP="00B676B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CD8FA" w14:textId="77777777" w:rsidR="00577571" w:rsidRPr="00B2068E" w:rsidRDefault="00577571" w:rsidP="00B676B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9937C" w14:textId="77777777" w:rsidR="00577571" w:rsidRDefault="00577571" w:rsidP="00B676B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B586A" w14:textId="77777777" w:rsidR="00577571" w:rsidRDefault="00577571" w:rsidP="00B676BE">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EB360" w14:textId="77777777" w:rsidR="00577571" w:rsidRDefault="00577571" w:rsidP="00B676BE">
    <w:pPr>
      <w:pStyle w:val="rightfooter"/>
    </w:pPr>
    <w:r>
      <w:fldChar w:fldCharType="begin"/>
    </w:r>
    <w:r>
      <w:instrText xml:space="preserve"> PAGE  \* Arabic  \* MERGEFORMAT </w:instrText>
    </w:r>
    <w:r>
      <w:fldChar w:fldCharType="separate"/>
    </w:r>
    <w:r w:rsidR="00D476C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4B1BB" w14:textId="77777777" w:rsidR="00577571" w:rsidRDefault="00577571">
      <w:r>
        <w:separator/>
      </w:r>
    </w:p>
  </w:footnote>
  <w:footnote w:type="continuationSeparator" w:id="0">
    <w:p w14:paraId="069663D2" w14:textId="77777777" w:rsidR="00577571" w:rsidRDefault="00577571">
      <w:r>
        <w:continuationSeparator/>
      </w:r>
    </w:p>
  </w:footnote>
  <w:footnote w:type="continuationNotice" w:id="1">
    <w:p w14:paraId="1B7D0B74" w14:textId="77777777" w:rsidR="00577571" w:rsidRDefault="0057757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1F81C" w14:textId="77777777" w:rsidR="00577571" w:rsidRDefault="00577571" w:rsidP="00B676BE">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C61BC" w14:textId="6F51C0DB" w:rsidR="00577571" w:rsidRDefault="00577571" w:rsidP="00B676BE">
    <w:pPr>
      <w:pStyle w:val="rightheader"/>
    </w:pPr>
    <w:r w:rsidRPr="0033263A">
      <w:t>General outline and financial impact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21D81" w14:textId="2E72D276" w:rsidR="00577571" w:rsidRDefault="00577571" w:rsidP="00B676BE">
    <w:pPr>
      <w:pStyle w:val="rightheader"/>
    </w:pPr>
    <w:r>
      <w:t>Background</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71CE3" w14:textId="5A0385AB" w:rsidR="00577571" w:rsidRDefault="00577571" w:rsidP="00B676BE">
    <w:pPr>
      <w:pStyle w:val="leftheader"/>
    </w:pPr>
    <w:r>
      <w:t>Corporations Amendment (Crowd-</w:t>
    </w:r>
    <w:r w:rsidRPr="000063E5">
      <w:t>sourced Funding) Bill 2015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CAED1" w14:textId="0E8B8292" w:rsidR="00577571" w:rsidRDefault="00577571" w:rsidP="00B676BE">
    <w:pPr>
      <w:pStyle w:val="rightheader"/>
    </w:pPr>
    <w:r w:rsidRPr="000063E5">
      <w:t>Eligibility requirements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4B66" w14:textId="688C425B" w:rsidR="00577571" w:rsidRDefault="00577571" w:rsidP="00B676BE">
    <w:pPr>
      <w:pStyle w:val="leftheader"/>
    </w:pPr>
    <w:r w:rsidRPr="00A96593">
      <w:t xml:space="preserve">Corporations Amendment (Crowd-sourced Funding) Bill </w:t>
    </w:r>
    <w:r>
      <w:t>2015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8569C" w14:textId="7807DCF1" w:rsidR="00577571" w:rsidRDefault="00577571" w:rsidP="00B676BE">
    <w:pPr>
      <w:pStyle w:val="rightheader"/>
    </w:pPr>
    <w:r w:rsidRPr="00A96593">
      <w:t>The role and ob</w:t>
    </w:r>
    <w:r>
      <w:t>ligations of a CSF intermediary</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3E525" w14:textId="05843B12" w:rsidR="00577571" w:rsidRDefault="00577571" w:rsidP="00B676BE">
    <w:pPr>
      <w:pStyle w:val="leftheader"/>
    </w:pPr>
    <w:r w:rsidRPr="001C502F">
      <w:t>Corporations Amendment (Crowd-sourced Funding) Bill 2015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3BCA8" w14:textId="46AD65AF" w:rsidR="00577571" w:rsidRDefault="00577571" w:rsidP="00B676BE">
    <w:pPr>
      <w:pStyle w:val="rightheader"/>
    </w:pPr>
    <w:r w:rsidRPr="001C502F">
      <w:t>Process for making a CSF offer</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942B3" w14:textId="21B8C789" w:rsidR="00577571" w:rsidRDefault="00577571" w:rsidP="00B676BE">
    <w:pPr>
      <w:pStyle w:val="leftheader"/>
    </w:pPr>
    <w:r w:rsidRPr="00BF0E39">
      <w:t>Corporations Amendment (Crowd-sourced Funding) Bill 2015</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6E2D3" w14:textId="10DC2005" w:rsidR="00577571" w:rsidRDefault="00577571" w:rsidP="00B676BE">
    <w:pPr>
      <w:pStyle w:val="rightheader"/>
    </w:pPr>
    <w:r w:rsidRPr="00BF0E39">
      <w:t>Defective CSF offer documents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B6F9" w14:textId="77777777" w:rsidR="00577571" w:rsidRDefault="00577571" w:rsidP="00B676BE">
    <w:pPr>
      <w:pStyle w:val="rightheader"/>
    </w:pPr>
    <w:r>
      <w:fldChar w:fldCharType="begin"/>
    </w:r>
    <w:r>
      <w:instrText xml:space="preserve"> macrobutton nomacro [Click here and enter the name of the Chapter </w:instrTex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D7E34" w14:textId="662D7F31" w:rsidR="00577571" w:rsidRDefault="00577571" w:rsidP="00B676BE">
    <w:pPr>
      <w:pStyle w:val="leftheader"/>
    </w:pPr>
    <w:r w:rsidRPr="004E1951">
      <w:t>Corporations Amendment (Crowd-sourced Funding) Bill 2015</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0708F" w14:textId="7AE40345" w:rsidR="00577571" w:rsidRDefault="00577571" w:rsidP="00B676BE">
    <w:pPr>
      <w:pStyle w:val="rightheader"/>
    </w:pPr>
    <w:r w:rsidRPr="004E1951">
      <w:t>Investor Protections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25EF6" w14:textId="5905430B" w:rsidR="00577571" w:rsidRDefault="00577571" w:rsidP="00B676BE">
    <w:pPr>
      <w:pStyle w:val="leftheader"/>
    </w:pPr>
    <w:r w:rsidRPr="007340A6">
      <w:t>Corporations Amendment (Crowd-sourced Funding) Bill 2015</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94D46" w14:textId="39819271" w:rsidR="00577571" w:rsidRDefault="00577571" w:rsidP="00B676BE">
    <w:pPr>
      <w:pStyle w:val="rightheader"/>
    </w:pPr>
    <w:r w:rsidRPr="00F63766">
      <w:t xml:space="preserve">Corporate Governance </w:t>
    </w:r>
    <w:r>
      <w:t>Concessions</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884D1" w14:textId="5D500032" w:rsidR="00577571" w:rsidRDefault="00577571" w:rsidP="007F37A1">
    <w:pPr>
      <w:pStyle w:val="leftheader"/>
    </w:pPr>
    <w:r w:rsidRPr="008801E4">
      <w:t>Corporations Amendment (Crowd-sourced Funding) Bill 2015</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5D53E" w14:textId="3856D440" w:rsidR="00577571" w:rsidRPr="007340A6" w:rsidRDefault="00577571" w:rsidP="007340A6">
    <w:pPr>
      <w:pStyle w:val="Header"/>
      <w:pBdr>
        <w:bottom w:val="single" w:sz="4" w:space="1" w:color="auto"/>
      </w:pBdr>
      <w:jc w:val="right"/>
    </w:pPr>
    <w:r w:rsidRPr="007340A6">
      <w:rPr>
        <w:i/>
        <w:sz w:val="20"/>
      </w:rPr>
      <w:t>Exemptions from regulatory requirements relating to Australian Market Licences and Clearing and Settlement Facility Licences</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18CED" w14:textId="0B16AD77" w:rsidR="00577571" w:rsidRPr="007340A6" w:rsidRDefault="00577571" w:rsidP="007340A6">
    <w:pPr>
      <w:pStyle w:val="Header"/>
      <w:pBdr>
        <w:bottom w:val="single" w:sz="4" w:space="1" w:color="auto"/>
      </w:pBdr>
      <w:jc w:val="right"/>
    </w:pPr>
    <w:r w:rsidRPr="00E3735C">
      <w:rPr>
        <w:i/>
        <w:sz w:val="20"/>
      </w:rPr>
      <w:t>Regulation impact statement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45182" w14:textId="31BF8F49" w:rsidR="00577571" w:rsidRDefault="00577571" w:rsidP="005A76CC">
    <w:pPr>
      <w:pStyle w:val="leftheader"/>
    </w:pPr>
    <w:r w:rsidRPr="005940CB">
      <w:t>Corporations Amendment (Crowd-sourced Funding) Bill 2015</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D85E4" w14:textId="77777777" w:rsidR="00577571" w:rsidRDefault="00577571" w:rsidP="005A76CC">
    <w:pPr>
      <w:pStyle w:val="rightheader"/>
    </w:pPr>
    <w:r>
      <w:fldChar w:fldCharType="begin"/>
    </w:r>
    <w:r>
      <w:instrText xml:space="preserve"> macrobutton nomacro [Click here and enter the name of the Chapter </w:instrText>
    </w:r>
    <w: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9BCA9" w14:textId="0D4B5589" w:rsidR="00577571" w:rsidRDefault="00577571" w:rsidP="005A76CC">
    <w:pPr>
      <w:pStyle w:val="rightheader"/>
    </w:pPr>
    <w:r>
      <w:t>Index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8292B" w14:textId="77777777" w:rsidR="00D476C3" w:rsidRDefault="00D476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005C3" w14:textId="77777777" w:rsidR="00577571" w:rsidRDefault="00577571" w:rsidP="00B676BE">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C93D0" w14:textId="77777777" w:rsidR="00577571" w:rsidRDefault="00577571" w:rsidP="00B676BE">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E95E7" w14:textId="77777777" w:rsidR="00577571" w:rsidRDefault="0057757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41AB8" w14:textId="77777777" w:rsidR="00577571" w:rsidRDefault="00577571" w:rsidP="00B676BE">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19754" w14:textId="77777777" w:rsidR="00577571" w:rsidRDefault="00577571" w:rsidP="00B676BE">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A6DC8" w14:textId="017F1760" w:rsidR="00577571" w:rsidRDefault="00577571" w:rsidP="00B676BE">
    <w:pPr>
      <w:pStyle w:val="leftheader"/>
    </w:pPr>
    <w:r>
      <w:t>Corporations Amendment (Crowd-</w:t>
    </w:r>
    <w:r w:rsidRPr="0033263A">
      <w:t>sourced Funding) Bill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94E3551"/>
    <w:multiLevelType w:val="multilevel"/>
    <w:tmpl w:val="64EAE98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3708" w:hanging="360"/>
      </w:pPr>
    </w:lvl>
    <w:lvl w:ilvl="4">
      <w:start w:val="1"/>
      <w:numFmt w:val="lowerLetter"/>
      <w:lvlText w:val="(%5)"/>
      <w:lvlJc w:val="left"/>
      <w:pPr>
        <w:ind w:left="4068" w:hanging="360"/>
      </w:pPr>
    </w:lvl>
    <w:lvl w:ilvl="5">
      <w:start w:val="1"/>
      <w:numFmt w:val="lowerRoman"/>
      <w:lvlText w:val="(%6)"/>
      <w:lvlJc w:val="left"/>
      <w:pPr>
        <w:ind w:left="4428" w:hanging="360"/>
      </w:pPr>
    </w:lvl>
    <w:lvl w:ilvl="6">
      <w:start w:val="1"/>
      <w:numFmt w:val="decimal"/>
      <w:lvlText w:val="%7."/>
      <w:lvlJc w:val="left"/>
      <w:pPr>
        <w:ind w:left="4788" w:hanging="360"/>
      </w:pPr>
    </w:lvl>
    <w:lvl w:ilvl="7">
      <w:start w:val="1"/>
      <w:numFmt w:val="lowerLetter"/>
      <w:lvlText w:val="%8."/>
      <w:lvlJc w:val="left"/>
      <w:pPr>
        <w:ind w:left="5148" w:hanging="360"/>
      </w:pPr>
    </w:lvl>
    <w:lvl w:ilvl="8">
      <w:start w:val="1"/>
      <w:numFmt w:val="lowerRoman"/>
      <w:lvlText w:val="%9."/>
      <w:lvlJc w:val="left"/>
      <w:pPr>
        <w:ind w:left="5508" w:hanging="360"/>
      </w:pPr>
    </w:lvl>
  </w:abstractNum>
  <w:abstractNum w:abstractNumId="13">
    <w:nsid w:val="0F5B5BBF"/>
    <w:multiLevelType w:val="multilevel"/>
    <w:tmpl w:val="A316FE50"/>
    <w:numStyleLink w:val="ChapterList"/>
  </w:abstractNum>
  <w:abstractNum w:abstractNumId="14">
    <w:nsid w:val="13303D0D"/>
    <w:multiLevelType w:val="multilevel"/>
    <w:tmpl w:val="A62C8D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1BEB4EC5"/>
    <w:multiLevelType w:val="multilevel"/>
    <w:tmpl w:val="6D98FC9A"/>
    <w:numStyleLink w:val="TableDotPointList"/>
  </w:abstractNum>
  <w:abstractNum w:abstractNumId="18">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nsid w:val="43FB3E18"/>
    <w:multiLevelType w:val="multilevel"/>
    <w:tmpl w:val="A316FE50"/>
    <w:numStyleLink w:val="ChapterList"/>
  </w:abstractNum>
  <w:abstractNum w:abstractNumId="24">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F8E244F"/>
    <w:multiLevelType w:val="multilevel"/>
    <w:tmpl w:val="4C18B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4281CEB"/>
    <w:multiLevelType w:val="multilevel"/>
    <w:tmpl w:val="A316FE50"/>
    <w:numStyleLink w:val="ChapterList"/>
  </w:abstractNum>
  <w:abstractNum w:abstractNumId="28">
    <w:nsid w:val="65DF6494"/>
    <w:multiLevelType w:val="multilevel"/>
    <w:tmpl w:val="A316FE50"/>
    <w:numStyleLink w:val="ChapterList"/>
  </w:abstractNum>
  <w:abstractNum w:abstractNumId="29">
    <w:nsid w:val="6D302C09"/>
    <w:multiLevelType w:val="multilevel"/>
    <w:tmpl w:val="A316FE50"/>
    <w:numStyleLink w:val="ChapterList"/>
  </w:abstractNum>
  <w:abstractNum w:abstractNumId="3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nsid w:val="7CAC208D"/>
    <w:multiLevelType w:val="multilevel"/>
    <w:tmpl w:val="A316FE50"/>
    <w:numStyleLink w:val="ChapterList"/>
  </w:abstractNum>
  <w:num w:numId="1">
    <w:abstractNumId w:val="22"/>
  </w:num>
  <w:num w:numId="2">
    <w:abstractNumId w:val="21"/>
  </w:num>
  <w:num w:numId="3">
    <w:abstractNumId w:val="18"/>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30"/>
  </w:num>
  <w:num w:numId="17">
    <w:abstractNumId w:val="31"/>
  </w:num>
  <w:num w:numId="18">
    <w:abstractNumId w:val="10"/>
  </w:num>
  <w:num w:numId="19">
    <w:abstractNumId w:val="20"/>
  </w:num>
  <w:num w:numId="20">
    <w:abstractNumId w:val="24"/>
  </w:num>
  <w:num w:numId="21">
    <w:abstractNumId w:val="25"/>
  </w:num>
  <w:num w:numId="22">
    <w:abstractNumId w:val="15"/>
  </w:num>
  <w:num w:numId="23">
    <w:abstractNumId w:val="17"/>
  </w:num>
  <w:num w:numId="24">
    <w:abstractNumId w:val="29"/>
  </w:num>
  <w:num w:numId="25">
    <w:abstractNumId w:val="32"/>
  </w:num>
  <w:num w:numId="26">
    <w:abstractNumId w:val="27"/>
  </w:num>
  <w:num w:numId="27">
    <w:abstractNumId w:val="11"/>
  </w:num>
  <w:num w:numId="28">
    <w:abstractNumId w:val="23"/>
  </w:num>
  <w:num w:numId="29">
    <w:abstractNumId w:val="13"/>
  </w:num>
  <w:num w:numId="30">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8"/>
  </w:num>
  <w:num w:numId="32">
    <w:abstractNumId w:val="12"/>
  </w:num>
  <w:num w:numId="33">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8"/>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abstractNumId w:val="28"/>
    <w:lvlOverride w:ilvl="0">
      <w:startOverride w:val="1"/>
      <w:lvl w:ilvl="0">
        <w:start w:val="1"/>
        <w:numFmt w:val="decimal"/>
        <w:pStyle w:val="ChapterHeading"/>
        <w:lvlText w:val=""/>
        <w:lvlJc w:val="left"/>
      </w:lvl>
    </w:lvlOverride>
    <w:lvlOverride w:ilvl="1">
      <w:startOverride w:val="1"/>
      <w:lvl w:ilvl="1">
        <w:start w:val="1"/>
        <w:numFmt w:val="decimal"/>
        <w:pStyle w:val="base-text-paragraph"/>
        <w:lvlText w:val="%1.%2"/>
        <w:lvlJc w:val="left"/>
        <w:pPr>
          <w:tabs>
            <w:tab w:val="num" w:pos="1985"/>
          </w:tabs>
          <w:ind w:left="1134" w:firstLine="0"/>
        </w:pPr>
        <w:rPr>
          <w:b w:val="0"/>
          <w:i w:val="0"/>
          <w:sz w:val="22"/>
          <w:szCs w:val="22"/>
        </w:rPr>
      </w:lvl>
    </w:lvlOverride>
    <w:lvlOverride w:ilvl="2">
      <w:startOverride w:val="1"/>
      <w:lvl w:ilvl="2">
        <w:start w:val="1"/>
        <w:numFmt w:val="decimal"/>
        <w:pStyle w:val="Diagram"/>
        <w:lvlText w:val=""/>
        <w:lvlJc w:val="left"/>
      </w:lvl>
    </w:lvlOverride>
    <w:lvlOverride w:ilvl="3">
      <w:startOverride w:val="1"/>
      <w:lvl w:ilvl="3">
        <w:start w:val="1"/>
        <w:numFmt w:val="decimal"/>
        <w:pStyle w:val="ExampleHeading"/>
        <w:lvlText w:val=""/>
        <w:lvlJc w:val="left"/>
      </w:lvl>
    </w:lvlOverride>
    <w:lvlOverride w:ilvl="4">
      <w:startOverride w:val="1"/>
      <w:lvl w:ilvl="4">
        <w:start w:val="1"/>
        <w:numFmt w:val="decimal"/>
        <w:pStyle w:val="TableHeadingoutsidetable"/>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28"/>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28"/>
    <w:lvlOverride w:ilvl="0">
      <w:lvl w:ilvl="0">
        <w:start w:val="1"/>
        <w:numFmt w:val="decimal"/>
        <w:pStyle w:val="ChapterHeading"/>
        <w:lvlText w:val="Chapter %1"/>
        <w:lvlJc w:val="left"/>
        <w:pPr>
          <w:tabs>
            <w:tab w:val="num" w:pos="4395"/>
          </w:tabs>
          <w:ind w:left="3261" w:firstLine="0"/>
        </w:pPr>
        <w:rPr>
          <w:rFonts w:hint="default"/>
        </w:rPr>
      </w:lvl>
    </w:lvlOverride>
    <w:lvlOverride w:ilvl="1">
      <w:lvl w:ilvl="1">
        <w:start w:val="1"/>
        <w:numFmt w:val="decimal"/>
        <w:pStyle w:val="base-text-paragraph"/>
        <w:lvlText w:val="%1.%2"/>
        <w:lvlJc w:val="left"/>
        <w:pPr>
          <w:tabs>
            <w:tab w:val="num" w:pos="5246"/>
          </w:tabs>
          <w:ind w:left="4395" w:firstLine="0"/>
        </w:pPr>
        <w:rPr>
          <w:rFonts w:hint="default"/>
        </w:rPr>
      </w:lvl>
    </w:lvlOverride>
    <w:lvlOverride w:ilvl="2">
      <w:lvl w:ilvl="2">
        <w:start w:val="1"/>
        <w:numFmt w:val="decimal"/>
        <w:lvlRestart w:val="1"/>
        <w:pStyle w:val="Diagram"/>
        <w:suff w:val="nothing"/>
        <w:lvlText w:val="Diagram %1.%3"/>
        <w:lvlJc w:val="left"/>
        <w:pPr>
          <w:ind w:left="4395" w:firstLine="0"/>
        </w:pPr>
        <w:rPr>
          <w:rFonts w:hint="default"/>
        </w:rPr>
      </w:lvl>
    </w:lvlOverride>
    <w:lvlOverride w:ilvl="3">
      <w:lvl w:ilvl="3">
        <w:start w:val="1"/>
        <w:numFmt w:val="decimal"/>
        <w:lvlRestart w:val="1"/>
        <w:pStyle w:val="ExampleHeading"/>
        <w:suff w:val="nothing"/>
        <w:lvlText w:val="Example %1.%4"/>
        <w:lvlJc w:val="left"/>
        <w:pPr>
          <w:ind w:left="4395" w:firstLine="0"/>
        </w:pPr>
        <w:rPr>
          <w:rFonts w:hint="default"/>
        </w:rPr>
      </w:lvl>
    </w:lvlOverride>
    <w:lvlOverride w:ilvl="4">
      <w:lvl w:ilvl="4">
        <w:start w:val="1"/>
        <w:numFmt w:val="decimal"/>
        <w:lvlRestart w:val="1"/>
        <w:pStyle w:val="TableHeadingoutsidetable"/>
        <w:suff w:val="nothing"/>
        <w:lvlText w:val="Table %1.%5"/>
        <w:lvlJc w:val="left"/>
        <w:pPr>
          <w:ind w:left="4395" w:firstLine="0"/>
        </w:pPr>
        <w:rPr>
          <w:rFonts w:hint="default"/>
        </w:rPr>
      </w:lvl>
    </w:lvlOverride>
    <w:lvlOverride w:ilvl="5">
      <w:lvl w:ilvl="5">
        <w:start w:val="1"/>
        <w:numFmt w:val="lowerRoman"/>
        <w:lvlText w:val="(%6)"/>
        <w:lvlJc w:val="left"/>
        <w:pPr>
          <w:ind w:left="5421" w:hanging="360"/>
        </w:pPr>
        <w:rPr>
          <w:rFonts w:hint="default"/>
        </w:rPr>
      </w:lvl>
    </w:lvlOverride>
    <w:lvlOverride w:ilvl="6">
      <w:lvl w:ilvl="6">
        <w:start w:val="1"/>
        <w:numFmt w:val="decimal"/>
        <w:lvlText w:val="%7."/>
        <w:lvlJc w:val="left"/>
        <w:pPr>
          <w:ind w:left="5781" w:hanging="360"/>
        </w:pPr>
        <w:rPr>
          <w:rFonts w:hint="default"/>
        </w:rPr>
      </w:lvl>
    </w:lvlOverride>
    <w:lvlOverride w:ilvl="7">
      <w:lvl w:ilvl="7">
        <w:start w:val="1"/>
        <w:numFmt w:val="lowerLetter"/>
        <w:lvlText w:val="%8."/>
        <w:lvlJc w:val="left"/>
        <w:pPr>
          <w:ind w:left="6141" w:hanging="360"/>
        </w:pPr>
        <w:rPr>
          <w:rFonts w:hint="default"/>
        </w:rPr>
      </w:lvl>
    </w:lvlOverride>
    <w:lvlOverride w:ilvl="8">
      <w:lvl w:ilvl="8">
        <w:start w:val="1"/>
        <w:numFmt w:val="lowerRoman"/>
        <w:lvlText w:val="%9."/>
        <w:lvlJc w:val="left"/>
        <w:pPr>
          <w:ind w:left="6501" w:hanging="360"/>
        </w:pPr>
        <w:rPr>
          <w:rFonts w:hint="default"/>
        </w:rPr>
      </w:lvl>
    </w:lvlOverride>
  </w:num>
  <w:num w:numId="41">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26"/>
  </w:num>
  <w:num w:numId="44">
    <w:abstractNumId w:val="14"/>
  </w:num>
  <w:num w:numId="45">
    <w:abstractNumId w:val="28"/>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6">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28"/>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3">
    <w:abstractNumId w:val="2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0C"/>
    <w:rsid w:val="0000005C"/>
    <w:rsid w:val="000016AE"/>
    <w:rsid w:val="00001776"/>
    <w:rsid w:val="00001C67"/>
    <w:rsid w:val="00003127"/>
    <w:rsid w:val="000034D9"/>
    <w:rsid w:val="00003852"/>
    <w:rsid w:val="00003D47"/>
    <w:rsid w:val="00003E74"/>
    <w:rsid w:val="00004ADC"/>
    <w:rsid w:val="000053AF"/>
    <w:rsid w:val="000055ED"/>
    <w:rsid w:val="00005866"/>
    <w:rsid w:val="00005978"/>
    <w:rsid w:val="00005CFC"/>
    <w:rsid w:val="000061F4"/>
    <w:rsid w:val="000063E5"/>
    <w:rsid w:val="0000643A"/>
    <w:rsid w:val="00006AB9"/>
    <w:rsid w:val="00006B87"/>
    <w:rsid w:val="0000703A"/>
    <w:rsid w:val="000072C1"/>
    <w:rsid w:val="00007C7B"/>
    <w:rsid w:val="00007DBD"/>
    <w:rsid w:val="000101A1"/>
    <w:rsid w:val="00010C36"/>
    <w:rsid w:val="00012575"/>
    <w:rsid w:val="00012F66"/>
    <w:rsid w:val="00013107"/>
    <w:rsid w:val="00013464"/>
    <w:rsid w:val="00013A96"/>
    <w:rsid w:val="00013BFC"/>
    <w:rsid w:val="00014370"/>
    <w:rsid w:val="0001470B"/>
    <w:rsid w:val="000148DD"/>
    <w:rsid w:val="00014A00"/>
    <w:rsid w:val="00015B30"/>
    <w:rsid w:val="00015B78"/>
    <w:rsid w:val="000165EC"/>
    <w:rsid w:val="000166DC"/>
    <w:rsid w:val="00016BB7"/>
    <w:rsid w:val="00017273"/>
    <w:rsid w:val="000177F6"/>
    <w:rsid w:val="00020022"/>
    <w:rsid w:val="00020159"/>
    <w:rsid w:val="000202C6"/>
    <w:rsid w:val="000208F8"/>
    <w:rsid w:val="00020AAC"/>
    <w:rsid w:val="00020B5B"/>
    <w:rsid w:val="00022201"/>
    <w:rsid w:val="00022221"/>
    <w:rsid w:val="00022587"/>
    <w:rsid w:val="00022DBB"/>
    <w:rsid w:val="000233DB"/>
    <w:rsid w:val="000233FF"/>
    <w:rsid w:val="00023589"/>
    <w:rsid w:val="0002365B"/>
    <w:rsid w:val="0002372F"/>
    <w:rsid w:val="00023B12"/>
    <w:rsid w:val="00025686"/>
    <w:rsid w:val="00025D41"/>
    <w:rsid w:val="00026532"/>
    <w:rsid w:val="00026675"/>
    <w:rsid w:val="00026680"/>
    <w:rsid w:val="000267AF"/>
    <w:rsid w:val="00026B9B"/>
    <w:rsid w:val="00026CBE"/>
    <w:rsid w:val="0002751A"/>
    <w:rsid w:val="000301B5"/>
    <w:rsid w:val="000301C3"/>
    <w:rsid w:val="00030A30"/>
    <w:rsid w:val="00030F1B"/>
    <w:rsid w:val="000312C2"/>
    <w:rsid w:val="00031320"/>
    <w:rsid w:val="000316C7"/>
    <w:rsid w:val="000317DA"/>
    <w:rsid w:val="00031B02"/>
    <w:rsid w:val="00031EE6"/>
    <w:rsid w:val="00031F2B"/>
    <w:rsid w:val="000327A2"/>
    <w:rsid w:val="00032D46"/>
    <w:rsid w:val="0003305A"/>
    <w:rsid w:val="00033101"/>
    <w:rsid w:val="000332F7"/>
    <w:rsid w:val="00033E8A"/>
    <w:rsid w:val="000340CF"/>
    <w:rsid w:val="000340D1"/>
    <w:rsid w:val="0003419B"/>
    <w:rsid w:val="000344B8"/>
    <w:rsid w:val="00034661"/>
    <w:rsid w:val="000347A8"/>
    <w:rsid w:val="00034BE8"/>
    <w:rsid w:val="00035405"/>
    <w:rsid w:val="00035BAE"/>
    <w:rsid w:val="00035CB7"/>
    <w:rsid w:val="00035FE9"/>
    <w:rsid w:val="000361B7"/>
    <w:rsid w:val="000364F6"/>
    <w:rsid w:val="00036A32"/>
    <w:rsid w:val="00036DA9"/>
    <w:rsid w:val="00037DFD"/>
    <w:rsid w:val="0004000A"/>
    <w:rsid w:val="00040676"/>
    <w:rsid w:val="0004186A"/>
    <w:rsid w:val="00042325"/>
    <w:rsid w:val="00043A75"/>
    <w:rsid w:val="00044159"/>
    <w:rsid w:val="000444D1"/>
    <w:rsid w:val="0004487F"/>
    <w:rsid w:val="00044910"/>
    <w:rsid w:val="00044F71"/>
    <w:rsid w:val="0004521A"/>
    <w:rsid w:val="0004569B"/>
    <w:rsid w:val="00046125"/>
    <w:rsid w:val="0004619C"/>
    <w:rsid w:val="0004648B"/>
    <w:rsid w:val="0004659E"/>
    <w:rsid w:val="00046A1B"/>
    <w:rsid w:val="0004707F"/>
    <w:rsid w:val="00047DD7"/>
    <w:rsid w:val="00047DE8"/>
    <w:rsid w:val="00050170"/>
    <w:rsid w:val="000502A6"/>
    <w:rsid w:val="000502B5"/>
    <w:rsid w:val="000503F3"/>
    <w:rsid w:val="00050BD9"/>
    <w:rsid w:val="00050EE2"/>
    <w:rsid w:val="00050F79"/>
    <w:rsid w:val="00051361"/>
    <w:rsid w:val="00051A55"/>
    <w:rsid w:val="00051CAC"/>
    <w:rsid w:val="000530D7"/>
    <w:rsid w:val="00054268"/>
    <w:rsid w:val="00054EED"/>
    <w:rsid w:val="000554BF"/>
    <w:rsid w:val="0005550F"/>
    <w:rsid w:val="0005569B"/>
    <w:rsid w:val="00055A3D"/>
    <w:rsid w:val="00055EF6"/>
    <w:rsid w:val="00055FAB"/>
    <w:rsid w:val="0005600E"/>
    <w:rsid w:val="0005661F"/>
    <w:rsid w:val="00056B05"/>
    <w:rsid w:val="00056C1F"/>
    <w:rsid w:val="000575A3"/>
    <w:rsid w:val="00057785"/>
    <w:rsid w:val="0006061D"/>
    <w:rsid w:val="00060758"/>
    <w:rsid w:val="00061026"/>
    <w:rsid w:val="000619C2"/>
    <w:rsid w:val="000619E2"/>
    <w:rsid w:val="00061A39"/>
    <w:rsid w:val="0006251E"/>
    <w:rsid w:val="000631EC"/>
    <w:rsid w:val="00063E22"/>
    <w:rsid w:val="000643DA"/>
    <w:rsid w:val="000645E2"/>
    <w:rsid w:val="00064818"/>
    <w:rsid w:val="00064C88"/>
    <w:rsid w:val="000654ED"/>
    <w:rsid w:val="00065989"/>
    <w:rsid w:val="00065D93"/>
    <w:rsid w:val="0006668B"/>
    <w:rsid w:val="00066728"/>
    <w:rsid w:val="000669C8"/>
    <w:rsid w:val="00066A03"/>
    <w:rsid w:val="000677BF"/>
    <w:rsid w:val="00067CE3"/>
    <w:rsid w:val="00067E1D"/>
    <w:rsid w:val="000701F6"/>
    <w:rsid w:val="000705A5"/>
    <w:rsid w:val="000708E3"/>
    <w:rsid w:val="00070ACB"/>
    <w:rsid w:val="00070FBF"/>
    <w:rsid w:val="00071582"/>
    <w:rsid w:val="000725C0"/>
    <w:rsid w:val="00072B94"/>
    <w:rsid w:val="00073119"/>
    <w:rsid w:val="0007383E"/>
    <w:rsid w:val="00073A31"/>
    <w:rsid w:val="0007414E"/>
    <w:rsid w:val="000747E2"/>
    <w:rsid w:val="0007503A"/>
    <w:rsid w:val="00075250"/>
    <w:rsid w:val="00075359"/>
    <w:rsid w:val="00075DDA"/>
    <w:rsid w:val="00076543"/>
    <w:rsid w:val="00076B4C"/>
    <w:rsid w:val="00077384"/>
    <w:rsid w:val="00077984"/>
    <w:rsid w:val="000805AA"/>
    <w:rsid w:val="00082F32"/>
    <w:rsid w:val="00082FA5"/>
    <w:rsid w:val="00083039"/>
    <w:rsid w:val="000835C7"/>
    <w:rsid w:val="00083B84"/>
    <w:rsid w:val="00083FE9"/>
    <w:rsid w:val="0008407C"/>
    <w:rsid w:val="00084502"/>
    <w:rsid w:val="00085291"/>
    <w:rsid w:val="000853AF"/>
    <w:rsid w:val="000857F5"/>
    <w:rsid w:val="00085AD0"/>
    <w:rsid w:val="00085B0A"/>
    <w:rsid w:val="00085C5D"/>
    <w:rsid w:val="00085E5B"/>
    <w:rsid w:val="000860F5"/>
    <w:rsid w:val="000863A1"/>
    <w:rsid w:val="000863E9"/>
    <w:rsid w:val="00086DEE"/>
    <w:rsid w:val="00087233"/>
    <w:rsid w:val="00087602"/>
    <w:rsid w:val="00087A17"/>
    <w:rsid w:val="00090174"/>
    <w:rsid w:val="0009055D"/>
    <w:rsid w:val="00090A59"/>
    <w:rsid w:val="0009136B"/>
    <w:rsid w:val="00091514"/>
    <w:rsid w:val="000917F2"/>
    <w:rsid w:val="000918F7"/>
    <w:rsid w:val="00091ADD"/>
    <w:rsid w:val="00091E08"/>
    <w:rsid w:val="00091F50"/>
    <w:rsid w:val="00091FB6"/>
    <w:rsid w:val="0009296C"/>
    <w:rsid w:val="0009311E"/>
    <w:rsid w:val="0009315C"/>
    <w:rsid w:val="00093B10"/>
    <w:rsid w:val="00093D60"/>
    <w:rsid w:val="0009468E"/>
    <w:rsid w:val="00095357"/>
    <w:rsid w:val="0009570E"/>
    <w:rsid w:val="00095841"/>
    <w:rsid w:val="000958C3"/>
    <w:rsid w:val="0009597A"/>
    <w:rsid w:val="00095C7C"/>
    <w:rsid w:val="000960B7"/>
    <w:rsid w:val="00096E51"/>
    <w:rsid w:val="000A0AFD"/>
    <w:rsid w:val="000A10CA"/>
    <w:rsid w:val="000A1112"/>
    <w:rsid w:val="000A2094"/>
    <w:rsid w:val="000A24EE"/>
    <w:rsid w:val="000A264B"/>
    <w:rsid w:val="000A28AF"/>
    <w:rsid w:val="000A2D19"/>
    <w:rsid w:val="000A2ED4"/>
    <w:rsid w:val="000A341E"/>
    <w:rsid w:val="000A39A0"/>
    <w:rsid w:val="000A3DCE"/>
    <w:rsid w:val="000A423D"/>
    <w:rsid w:val="000A48F6"/>
    <w:rsid w:val="000A5823"/>
    <w:rsid w:val="000A5B26"/>
    <w:rsid w:val="000A5B37"/>
    <w:rsid w:val="000A5C4D"/>
    <w:rsid w:val="000A60DE"/>
    <w:rsid w:val="000A64B5"/>
    <w:rsid w:val="000A689C"/>
    <w:rsid w:val="000A6DBE"/>
    <w:rsid w:val="000A6DDB"/>
    <w:rsid w:val="000A72CD"/>
    <w:rsid w:val="000A79AC"/>
    <w:rsid w:val="000B02D2"/>
    <w:rsid w:val="000B083A"/>
    <w:rsid w:val="000B13C4"/>
    <w:rsid w:val="000B177B"/>
    <w:rsid w:val="000B1F96"/>
    <w:rsid w:val="000B2077"/>
    <w:rsid w:val="000B2170"/>
    <w:rsid w:val="000B2989"/>
    <w:rsid w:val="000B2F8D"/>
    <w:rsid w:val="000B37E2"/>
    <w:rsid w:val="000B38E6"/>
    <w:rsid w:val="000B3B4C"/>
    <w:rsid w:val="000B4B91"/>
    <w:rsid w:val="000B5301"/>
    <w:rsid w:val="000B5315"/>
    <w:rsid w:val="000B578C"/>
    <w:rsid w:val="000B57CF"/>
    <w:rsid w:val="000B6024"/>
    <w:rsid w:val="000B6393"/>
    <w:rsid w:val="000B6439"/>
    <w:rsid w:val="000B786C"/>
    <w:rsid w:val="000B7BBA"/>
    <w:rsid w:val="000B7E25"/>
    <w:rsid w:val="000B7E9E"/>
    <w:rsid w:val="000B7FBA"/>
    <w:rsid w:val="000C06D9"/>
    <w:rsid w:val="000C06FC"/>
    <w:rsid w:val="000C10C4"/>
    <w:rsid w:val="000C17CD"/>
    <w:rsid w:val="000C1B76"/>
    <w:rsid w:val="000C1C45"/>
    <w:rsid w:val="000C28F1"/>
    <w:rsid w:val="000C2FB5"/>
    <w:rsid w:val="000C3199"/>
    <w:rsid w:val="000C3241"/>
    <w:rsid w:val="000C3305"/>
    <w:rsid w:val="000C3A7C"/>
    <w:rsid w:val="000C3C68"/>
    <w:rsid w:val="000C4337"/>
    <w:rsid w:val="000C4A42"/>
    <w:rsid w:val="000C4E0B"/>
    <w:rsid w:val="000C50D2"/>
    <w:rsid w:val="000C5D80"/>
    <w:rsid w:val="000C6068"/>
    <w:rsid w:val="000C6742"/>
    <w:rsid w:val="000D077E"/>
    <w:rsid w:val="000D0985"/>
    <w:rsid w:val="000D0BE3"/>
    <w:rsid w:val="000D10AC"/>
    <w:rsid w:val="000D10B2"/>
    <w:rsid w:val="000D173B"/>
    <w:rsid w:val="000D1C0E"/>
    <w:rsid w:val="000D1D0E"/>
    <w:rsid w:val="000D29BB"/>
    <w:rsid w:val="000D2A3C"/>
    <w:rsid w:val="000D2CB1"/>
    <w:rsid w:val="000D2EB3"/>
    <w:rsid w:val="000D2FE6"/>
    <w:rsid w:val="000D30A5"/>
    <w:rsid w:val="000D31E7"/>
    <w:rsid w:val="000D321B"/>
    <w:rsid w:val="000D39BC"/>
    <w:rsid w:val="000D4744"/>
    <w:rsid w:val="000D4B34"/>
    <w:rsid w:val="000D4EE9"/>
    <w:rsid w:val="000D5101"/>
    <w:rsid w:val="000D53EA"/>
    <w:rsid w:val="000D54A6"/>
    <w:rsid w:val="000D5D6F"/>
    <w:rsid w:val="000D5DF1"/>
    <w:rsid w:val="000D629E"/>
    <w:rsid w:val="000D63A0"/>
    <w:rsid w:val="000D6889"/>
    <w:rsid w:val="000D6C5F"/>
    <w:rsid w:val="000D6C7D"/>
    <w:rsid w:val="000D6CD4"/>
    <w:rsid w:val="000D6E40"/>
    <w:rsid w:val="000D6E56"/>
    <w:rsid w:val="000D7173"/>
    <w:rsid w:val="000D77AF"/>
    <w:rsid w:val="000E062A"/>
    <w:rsid w:val="000E089D"/>
    <w:rsid w:val="000E0CDF"/>
    <w:rsid w:val="000E0D2F"/>
    <w:rsid w:val="000E10F8"/>
    <w:rsid w:val="000E11E2"/>
    <w:rsid w:val="000E14DD"/>
    <w:rsid w:val="000E1A54"/>
    <w:rsid w:val="000E1BFC"/>
    <w:rsid w:val="000E1D01"/>
    <w:rsid w:val="000E28F5"/>
    <w:rsid w:val="000E34AD"/>
    <w:rsid w:val="000E3FD3"/>
    <w:rsid w:val="000E4018"/>
    <w:rsid w:val="000E46EF"/>
    <w:rsid w:val="000E4847"/>
    <w:rsid w:val="000E4C6E"/>
    <w:rsid w:val="000E4E26"/>
    <w:rsid w:val="000E5893"/>
    <w:rsid w:val="000E5B9A"/>
    <w:rsid w:val="000E5D12"/>
    <w:rsid w:val="000E665A"/>
    <w:rsid w:val="000E6A42"/>
    <w:rsid w:val="000E7733"/>
    <w:rsid w:val="000F1054"/>
    <w:rsid w:val="000F1137"/>
    <w:rsid w:val="000F135E"/>
    <w:rsid w:val="000F16EE"/>
    <w:rsid w:val="000F1C15"/>
    <w:rsid w:val="000F1DA3"/>
    <w:rsid w:val="000F2066"/>
    <w:rsid w:val="000F26A6"/>
    <w:rsid w:val="000F2FC2"/>
    <w:rsid w:val="000F360E"/>
    <w:rsid w:val="000F3F77"/>
    <w:rsid w:val="000F517D"/>
    <w:rsid w:val="000F51B3"/>
    <w:rsid w:val="000F52DB"/>
    <w:rsid w:val="000F588E"/>
    <w:rsid w:val="000F5978"/>
    <w:rsid w:val="000F60AE"/>
    <w:rsid w:val="000F6595"/>
    <w:rsid w:val="000F65AE"/>
    <w:rsid w:val="000F6A02"/>
    <w:rsid w:val="000F6D81"/>
    <w:rsid w:val="000F7835"/>
    <w:rsid w:val="00100364"/>
    <w:rsid w:val="00100D44"/>
    <w:rsid w:val="00100D64"/>
    <w:rsid w:val="00101272"/>
    <w:rsid w:val="001013B3"/>
    <w:rsid w:val="00101AE1"/>
    <w:rsid w:val="00102947"/>
    <w:rsid w:val="00102C0F"/>
    <w:rsid w:val="00102DF5"/>
    <w:rsid w:val="0010315B"/>
    <w:rsid w:val="00103A0A"/>
    <w:rsid w:val="00103DDD"/>
    <w:rsid w:val="00103FEC"/>
    <w:rsid w:val="001042AA"/>
    <w:rsid w:val="00104A5E"/>
    <w:rsid w:val="00105635"/>
    <w:rsid w:val="00105CD1"/>
    <w:rsid w:val="001061D0"/>
    <w:rsid w:val="00106696"/>
    <w:rsid w:val="00106DB6"/>
    <w:rsid w:val="00107C52"/>
    <w:rsid w:val="0011067C"/>
    <w:rsid w:val="001114E6"/>
    <w:rsid w:val="00112C90"/>
    <w:rsid w:val="00113024"/>
    <w:rsid w:val="001132F9"/>
    <w:rsid w:val="00113BBA"/>
    <w:rsid w:val="00113E19"/>
    <w:rsid w:val="001141D8"/>
    <w:rsid w:val="00114398"/>
    <w:rsid w:val="001152CD"/>
    <w:rsid w:val="0011589C"/>
    <w:rsid w:val="00115D9F"/>
    <w:rsid w:val="00116883"/>
    <w:rsid w:val="001174E6"/>
    <w:rsid w:val="00117F98"/>
    <w:rsid w:val="001202D6"/>
    <w:rsid w:val="00121684"/>
    <w:rsid w:val="0012174E"/>
    <w:rsid w:val="00121E0A"/>
    <w:rsid w:val="00121EB0"/>
    <w:rsid w:val="0012211F"/>
    <w:rsid w:val="001225E0"/>
    <w:rsid w:val="00123230"/>
    <w:rsid w:val="00123D96"/>
    <w:rsid w:val="00123DAB"/>
    <w:rsid w:val="00123EBE"/>
    <w:rsid w:val="0012405D"/>
    <w:rsid w:val="0012409C"/>
    <w:rsid w:val="00124991"/>
    <w:rsid w:val="00124AB4"/>
    <w:rsid w:val="00124E15"/>
    <w:rsid w:val="0012504A"/>
    <w:rsid w:val="00125086"/>
    <w:rsid w:val="0012516C"/>
    <w:rsid w:val="00125B1B"/>
    <w:rsid w:val="00125CEE"/>
    <w:rsid w:val="00125DCC"/>
    <w:rsid w:val="00126372"/>
    <w:rsid w:val="0012698C"/>
    <w:rsid w:val="001270D0"/>
    <w:rsid w:val="00127CD6"/>
    <w:rsid w:val="0013016B"/>
    <w:rsid w:val="00130731"/>
    <w:rsid w:val="0013081E"/>
    <w:rsid w:val="00130B4F"/>
    <w:rsid w:val="001315AC"/>
    <w:rsid w:val="00131E0C"/>
    <w:rsid w:val="00131F4E"/>
    <w:rsid w:val="001343D8"/>
    <w:rsid w:val="001348CA"/>
    <w:rsid w:val="00134BEC"/>
    <w:rsid w:val="00134EFC"/>
    <w:rsid w:val="0013509B"/>
    <w:rsid w:val="001352CE"/>
    <w:rsid w:val="0013550D"/>
    <w:rsid w:val="00135518"/>
    <w:rsid w:val="0013568D"/>
    <w:rsid w:val="00135828"/>
    <w:rsid w:val="00135D4C"/>
    <w:rsid w:val="00135F88"/>
    <w:rsid w:val="00136A2F"/>
    <w:rsid w:val="00136C2C"/>
    <w:rsid w:val="00136D8E"/>
    <w:rsid w:val="00137287"/>
    <w:rsid w:val="00137F5D"/>
    <w:rsid w:val="001403A8"/>
    <w:rsid w:val="00140C0E"/>
    <w:rsid w:val="0014100A"/>
    <w:rsid w:val="0014197C"/>
    <w:rsid w:val="00141A58"/>
    <w:rsid w:val="00141CA1"/>
    <w:rsid w:val="00141F2D"/>
    <w:rsid w:val="0014347C"/>
    <w:rsid w:val="00143891"/>
    <w:rsid w:val="00143C70"/>
    <w:rsid w:val="0014433A"/>
    <w:rsid w:val="00144E64"/>
    <w:rsid w:val="00144E84"/>
    <w:rsid w:val="001450C7"/>
    <w:rsid w:val="0014520F"/>
    <w:rsid w:val="00145277"/>
    <w:rsid w:val="00145C52"/>
    <w:rsid w:val="00145DFC"/>
    <w:rsid w:val="00146E25"/>
    <w:rsid w:val="00147843"/>
    <w:rsid w:val="0015090B"/>
    <w:rsid w:val="00150F1E"/>
    <w:rsid w:val="00151236"/>
    <w:rsid w:val="00152A3B"/>
    <w:rsid w:val="001542AD"/>
    <w:rsid w:val="001545F9"/>
    <w:rsid w:val="001553D9"/>
    <w:rsid w:val="00155BE2"/>
    <w:rsid w:val="00157186"/>
    <w:rsid w:val="001575A1"/>
    <w:rsid w:val="0016043C"/>
    <w:rsid w:val="00160474"/>
    <w:rsid w:val="0016098E"/>
    <w:rsid w:val="00161932"/>
    <w:rsid w:val="00162230"/>
    <w:rsid w:val="0016242D"/>
    <w:rsid w:val="00162CBB"/>
    <w:rsid w:val="00163BEB"/>
    <w:rsid w:val="00163F9C"/>
    <w:rsid w:val="00163FD0"/>
    <w:rsid w:val="001640A8"/>
    <w:rsid w:val="00164C6D"/>
    <w:rsid w:val="00165FE5"/>
    <w:rsid w:val="001660D4"/>
    <w:rsid w:val="0016610F"/>
    <w:rsid w:val="001668FB"/>
    <w:rsid w:val="00166DA5"/>
    <w:rsid w:val="00166DC2"/>
    <w:rsid w:val="00166E72"/>
    <w:rsid w:val="00167523"/>
    <w:rsid w:val="0016757B"/>
    <w:rsid w:val="001679CB"/>
    <w:rsid w:val="00167DBC"/>
    <w:rsid w:val="001707EE"/>
    <w:rsid w:val="001709C9"/>
    <w:rsid w:val="001713D4"/>
    <w:rsid w:val="00172162"/>
    <w:rsid w:val="0017238C"/>
    <w:rsid w:val="00172396"/>
    <w:rsid w:val="0017291C"/>
    <w:rsid w:val="00172D41"/>
    <w:rsid w:val="00173CAF"/>
    <w:rsid w:val="00174A29"/>
    <w:rsid w:val="00175038"/>
    <w:rsid w:val="0017562D"/>
    <w:rsid w:val="001757E2"/>
    <w:rsid w:val="00175A15"/>
    <w:rsid w:val="0017655A"/>
    <w:rsid w:val="00177645"/>
    <w:rsid w:val="001777BF"/>
    <w:rsid w:val="00177851"/>
    <w:rsid w:val="00177DC6"/>
    <w:rsid w:val="00180939"/>
    <w:rsid w:val="00180C80"/>
    <w:rsid w:val="00180EDF"/>
    <w:rsid w:val="00182AA0"/>
    <w:rsid w:val="00182B78"/>
    <w:rsid w:val="00183708"/>
    <w:rsid w:val="00183A67"/>
    <w:rsid w:val="00183BCD"/>
    <w:rsid w:val="00184265"/>
    <w:rsid w:val="0018512B"/>
    <w:rsid w:val="00185289"/>
    <w:rsid w:val="0018557B"/>
    <w:rsid w:val="00185E55"/>
    <w:rsid w:val="00186060"/>
    <w:rsid w:val="00186820"/>
    <w:rsid w:val="0018687F"/>
    <w:rsid w:val="00186CD8"/>
    <w:rsid w:val="001874EA"/>
    <w:rsid w:val="001879AE"/>
    <w:rsid w:val="00187DED"/>
    <w:rsid w:val="0019010A"/>
    <w:rsid w:val="00190447"/>
    <w:rsid w:val="0019161F"/>
    <w:rsid w:val="001917C7"/>
    <w:rsid w:val="00191B10"/>
    <w:rsid w:val="0019203E"/>
    <w:rsid w:val="001921C4"/>
    <w:rsid w:val="001924F4"/>
    <w:rsid w:val="00192E38"/>
    <w:rsid w:val="00192FC2"/>
    <w:rsid w:val="0019307A"/>
    <w:rsid w:val="001931C3"/>
    <w:rsid w:val="0019322F"/>
    <w:rsid w:val="001937EC"/>
    <w:rsid w:val="001948D0"/>
    <w:rsid w:val="00194923"/>
    <w:rsid w:val="00194AF3"/>
    <w:rsid w:val="001974F5"/>
    <w:rsid w:val="00197510"/>
    <w:rsid w:val="00197AA4"/>
    <w:rsid w:val="001A09C2"/>
    <w:rsid w:val="001A09C6"/>
    <w:rsid w:val="001A0FFC"/>
    <w:rsid w:val="001A1A44"/>
    <w:rsid w:val="001A1A98"/>
    <w:rsid w:val="001A2176"/>
    <w:rsid w:val="001A21F3"/>
    <w:rsid w:val="001A2739"/>
    <w:rsid w:val="001A3CE9"/>
    <w:rsid w:val="001A43A3"/>
    <w:rsid w:val="001A44B0"/>
    <w:rsid w:val="001A4980"/>
    <w:rsid w:val="001A6005"/>
    <w:rsid w:val="001A6D94"/>
    <w:rsid w:val="001A6DFC"/>
    <w:rsid w:val="001A729F"/>
    <w:rsid w:val="001A7503"/>
    <w:rsid w:val="001A766E"/>
    <w:rsid w:val="001A778E"/>
    <w:rsid w:val="001A7A18"/>
    <w:rsid w:val="001A7F87"/>
    <w:rsid w:val="001B0254"/>
    <w:rsid w:val="001B04BD"/>
    <w:rsid w:val="001B15D0"/>
    <w:rsid w:val="001B17CB"/>
    <w:rsid w:val="001B17FE"/>
    <w:rsid w:val="001B18B8"/>
    <w:rsid w:val="001B2938"/>
    <w:rsid w:val="001B30CE"/>
    <w:rsid w:val="001B366B"/>
    <w:rsid w:val="001B382E"/>
    <w:rsid w:val="001B39C3"/>
    <w:rsid w:val="001B4E07"/>
    <w:rsid w:val="001B5249"/>
    <w:rsid w:val="001B5448"/>
    <w:rsid w:val="001B55A9"/>
    <w:rsid w:val="001B5A31"/>
    <w:rsid w:val="001B5F43"/>
    <w:rsid w:val="001B67D6"/>
    <w:rsid w:val="001B7CAA"/>
    <w:rsid w:val="001C062C"/>
    <w:rsid w:val="001C0786"/>
    <w:rsid w:val="001C0D60"/>
    <w:rsid w:val="001C10AC"/>
    <w:rsid w:val="001C12F3"/>
    <w:rsid w:val="001C1B00"/>
    <w:rsid w:val="001C2F69"/>
    <w:rsid w:val="001C315D"/>
    <w:rsid w:val="001C37D4"/>
    <w:rsid w:val="001C3BF8"/>
    <w:rsid w:val="001C3D45"/>
    <w:rsid w:val="001C3DC5"/>
    <w:rsid w:val="001C468F"/>
    <w:rsid w:val="001C4780"/>
    <w:rsid w:val="001C502F"/>
    <w:rsid w:val="001C56D5"/>
    <w:rsid w:val="001C6231"/>
    <w:rsid w:val="001C706E"/>
    <w:rsid w:val="001C73DB"/>
    <w:rsid w:val="001D0062"/>
    <w:rsid w:val="001D07E7"/>
    <w:rsid w:val="001D08C8"/>
    <w:rsid w:val="001D15FE"/>
    <w:rsid w:val="001D2577"/>
    <w:rsid w:val="001D2A7D"/>
    <w:rsid w:val="001D3973"/>
    <w:rsid w:val="001D39C2"/>
    <w:rsid w:val="001D3A33"/>
    <w:rsid w:val="001D4ABE"/>
    <w:rsid w:val="001D51FD"/>
    <w:rsid w:val="001D5436"/>
    <w:rsid w:val="001D5478"/>
    <w:rsid w:val="001D5B92"/>
    <w:rsid w:val="001D5FF3"/>
    <w:rsid w:val="001D6075"/>
    <w:rsid w:val="001D6712"/>
    <w:rsid w:val="001D79B6"/>
    <w:rsid w:val="001E06BD"/>
    <w:rsid w:val="001E071B"/>
    <w:rsid w:val="001E08F8"/>
    <w:rsid w:val="001E0FB1"/>
    <w:rsid w:val="001E11CA"/>
    <w:rsid w:val="001E147E"/>
    <w:rsid w:val="001E1E34"/>
    <w:rsid w:val="001E1F71"/>
    <w:rsid w:val="001E23DD"/>
    <w:rsid w:val="001E2441"/>
    <w:rsid w:val="001E312D"/>
    <w:rsid w:val="001E38FE"/>
    <w:rsid w:val="001E4505"/>
    <w:rsid w:val="001E47E3"/>
    <w:rsid w:val="001E4B08"/>
    <w:rsid w:val="001E4BB3"/>
    <w:rsid w:val="001E4DA4"/>
    <w:rsid w:val="001E5370"/>
    <w:rsid w:val="001E5600"/>
    <w:rsid w:val="001E565D"/>
    <w:rsid w:val="001E582C"/>
    <w:rsid w:val="001E5B3B"/>
    <w:rsid w:val="001E5D27"/>
    <w:rsid w:val="001E63B4"/>
    <w:rsid w:val="001E6545"/>
    <w:rsid w:val="001E749E"/>
    <w:rsid w:val="001E7A0F"/>
    <w:rsid w:val="001E7A92"/>
    <w:rsid w:val="001E7C7E"/>
    <w:rsid w:val="001E7E1A"/>
    <w:rsid w:val="001F0078"/>
    <w:rsid w:val="001F064C"/>
    <w:rsid w:val="001F0FB4"/>
    <w:rsid w:val="001F1077"/>
    <w:rsid w:val="001F1ABC"/>
    <w:rsid w:val="001F1B9A"/>
    <w:rsid w:val="001F1D36"/>
    <w:rsid w:val="001F2435"/>
    <w:rsid w:val="001F2618"/>
    <w:rsid w:val="001F2AEF"/>
    <w:rsid w:val="001F2CAA"/>
    <w:rsid w:val="001F2D63"/>
    <w:rsid w:val="001F2DC4"/>
    <w:rsid w:val="001F2F1C"/>
    <w:rsid w:val="001F3958"/>
    <w:rsid w:val="001F39BD"/>
    <w:rsid w:val="001F3A26"/>
    <w:rsid w:val="001F420A"/>
    <w:rsid w:val="001F6637"/>
    <w:rsid w:val="001F696E"/>
    <w:rsid w:val="001F7046"/>
    <w:rsid w:val="001F78BA"/>
    <w:rsid w:val="001F7A3A"/>
    <w:rsid w:val="001F7B22"/>
    <w:rsid w:val="00200C32"/>
    <w:rsid w:val="00200E96"/>
    <w:rsid w:val="00201B36"/>
    <w:rsid w:val="00201C05"/>
    <w:rsid w:val="00202BBB"/>
    <w:rsid w:val="00204AD4"/>
    <w:rsid w:val="002059DA"/>
    <w:rsid w:val="00205A11"/>
    <w:rsid w:val="00205ACF"/>
    <w:rsid w:val="00206FCE"/>
    <w:rsid w:val="002076D0"/>
    <w:rsid w:val="00207EB2"/>
    <w:rsid w:val="002106EB"/>
    <w:rsid w:val="0021081C"/>
    <w:rsid w:val="00211043"/>
    <w:rsid w:val="00211967"/>
    <w:rsid w:val="0021201E"/>
    <w:rsid w:val="00212930"/>
    <w:rsid w:val="00212AB6"/>
    <w:rsid w:val="0021380B"/>
    <w:rsid w:val="00214009"/>
    <w:rsid w:val="0021421A"/>
    <w:rsid w:val="00214F46"/>
    <w:rsid w:val="002154F0"/>
    <w:rsid w:val="00215BAB"/>
    <w:rsid w:val="00215BF0"/>
    <w:rsid w:val="00215C78"/>
    <w:rsid w:val="00215E74"/>
    <w:rsid w:val="002161D9"/>
    <w:rsid w:val="0021638A"/>
    <w:rsid w:val="0021640B"/>
    <w:rsid w:val="00216849"/>
    <w:rsid w:val="00216A14"/>
    <w:rsid w:val="00216C26"/>
    <w:rsid w:val="00217659"/>
    <w:rsid w:val="0021790E"/>
    <w:rsid w:val="00217AE1"/>
    <w:rsid w:val="0022021E"/>
    <w:rsid w:val="00220D6C"/>
    <w:rsid w:val="002215D8"/>
    <w:rsid w:val="00221B89"/>
    <w:rsid w:val="00222601"/>
    <w:rsid w:val="00222787"/>
    <w:rsid w:val="00222BCD"/>
    <w:rsid w:val="00222D57"/>
    <w:rsid w:val="00222D8A"/>
    <w:rsid w:val="00222F3D"/>
    <w:rsid w:val="00222F80"/>
    <w:rsid w:val="00222F88"/>
    <w:rsid w:val="002230F7"/>
    <w:rsid w:val="00224456"/>
    <w:rsid w:val="0022479E"/>
    <w:rsid w:val="00224904"/>
    <w:rsid w:val="0022496D"/>
    <w:rsid w:val="002249B4"/>
    <w:rsid w:val="00224D89"/>
    <w:rsid w:val="0022516D"/>
    <w:rsid w:val="00226095"/>
    <w:rsid w:val="00226970"/>
    <w:rsid w:val="00227318"/>
    <w:rsid w:val="00227ABA"/>
    <w:rsid w:val="00227DA1"/>
    <w:rsid w:val="00227E37"/>
    <w:rsid w:val="00230CC3"/>
    <w:rsid w:val="0023104F"/>
    <w:rsid w:val="0023114B"/>
    <w:rsid w:val="00231260"/>
    <w:rsid w:val="002313F0"/>
    <w:rsid w:val="002314D2"/>
    <w:rsid w:val="002317A9"/>
    <w:rsid w:val="0023194B"/>
    <w:rsid w:val="00231A9C"/>
    <w:rsid w:val="00231CBA"/>
    <w:rsid w:val="00231D25"/>
    <w:rsid w:val="00231F61"/>
    <w:rsid w:val="0023254B"/>
    <w:rsid w:val="00232680"/>
    <w:rsid w:val="00232705"/>
    <w:rsid w:val="002328D3"/>
    <w:rsid w:val="0023308E"/>
    <w:rsid w:val="00233D65"/>
    <w:rsid w:val="00233DE0"/>
    <w:rsid w:val="0023417E"/>
    <w:rsid w:val="00234A0E"/>
    <w:rsid w:val="00234CA8"/>
    <w:rsid w:val="002352D0"/>
    <w:rsid w:val="002352E8"/>
    <w:rsid w:val="002353EE"/>
    <w:rsid w:val="0023540D"/>
    <w:rsid w:val="00235A66"/>
    <w:rsid w:val="00235C11"/>
    <w:rsid w:val="00235F25"/>
    <w:rsid w:val="00236638"/>
    <w:rsid w:val="0023694B"/>
    <w:rsid w:val="002369A9"/>
    <w:rsid w:val="00236A1C"/>
    <w:rsid w:val="00236B4D"/>
    <w:rsid w:val="00236F02"/>
    <w:rsid w:val="00237506"/>
    <w:rsid w:val="00237966"/>
    <w:rsid w:val="0024039F"/>
    <w:rsid w:val="002409B6"/>
    <w:rsid w:val="00241E0E"/>
    <w:rsid w:val="0024263E"/>
    <w:rsid w:val="002429CE"/>
    <w:rsid w:val="002433DF"/>
    <w:rsid w:val="00243483"/>
    <w:rsid w:val="002438CE"/>
    <w:rsid w:val="00243CA5"/>
    <w:rsid w:val="00243ECE"/>
    <w:rsid w:val="00243EFC"/>
    <w:rsid w:val="00243FC2"/>
    <w:rsid w:val="002440B3"/>
    <w:rsid w:val="0024424A"/>
    <w:rsid w:val="00244427"/>
    <w:rsid w:val="00244D9D"/>
    <w:rsid w:val="00244E93"/>
    <w:rsid w:val="00246014"/>
    <w:rsid w:val="00246058"/>
    <w:rsid w:val="00246179"/>
    <w:rsid w:val="002461D1"/>
    <w:rsid w:val="00246360"/>
    <w:rsid w:val="0024785C"/>
    <w:rsid w:val="00250154"/>
    <w:rsid w:val="00250342"/>
    <w:rsid w:val="00250443"/>
    <w:rsid w:val="00250AD6"/>
    <w:rsid w:val="00251114"/>
    <w:rsid w:val="00251184"/>
    <w:rsid w:val="002515AA"/>
    <w:rsid w:val="00251B3D"/>
    <w:rsid w:val="00252984"/>
    <w:rsid w:val="00252C14"/>
    <w:rsid w:val="00253838"/>
    <w:rsid w:val="00253AFF"/>
    <w:rsid w:val="00253D95"/>
    <w:rsid w:val="00253E01"/>
    <w:rsid w:val="0025425E"/>
    <w:rsid w:val="0025441E"/>
    <w:rsid w:val="00254D5D"/>
    <w:rsid w:val="0025530D"/>
    <w:rsid w:val="0025555D"/>
    <w:rsid w:val="00255634"/>
    <w:rsid w:val="002559F7"/>
    <w:rsid w:val="00255DCA"/>
    <w:rsid w:val="00256C59"/>
    <w:rsid w:val="00256F9E"/>
    <w:rsid w:val="00257A8E"/>
    <w:rsid w:val="00257D08"/>
    <w:rsid w:val="00257D6C"/>
    <w:rsid w:val="0026020B"/>
    <w:rsid w:val="00260510"/>
    <w:rsid w:val="00260A0B"/>
    <w:rsid w:val="00260BE2"/>
    <w:rsid w:val="00261107"/>
    <w:rsid w:val="0026144D"/>
    <w:rsid w:val="00261A10"/>
    <w:rsid w:val="00263803"/>
    <w:rsid w:val="00263B4A"/>
    <w:rsid w:val="002643E8"/>
    <w:rsid w:val="00265873"/>
    <w:rsid w:val="00266048"/>
    <w:rsid w:val="00266870"/>
    <w:rsid w:val="00266891"/>
    <w:rsid w:val="00266A71"/>
    <w:rsid w:val="002678CC"/>
    <w:rsid w:val="002702EB"/>
    <w:rsid w:val="0027080D"/>
    <w:rsid w:val="002709E8"/>
    <w:rsid w:val="00271056"/>
    <w:rsid w:val="002714B0"/>
    <w:rsid w:val="002717E7"/>
    <w:rsid w:val="00272FD3"/>
    <w:rsid w:val="0027329A"/>
    <w:rsid w:val="0027337E"/>
    <w:rsid w:val="00273CBF"/>
    <w:rsid w:val="002743B0"/>
    <w:rsid w:val="002748EB"/>
    <w:rsid w:val="00274E3A"/>
    <w:rsid w:val="00275659"/>
    <w:rsid w:val="0027616F"/>
    <w:rsid w:val="00276D92"/>
    <w:rsid w:val="00276FBA"/>
    <w:rsid w:val="00277707"/>
    <w:rsid w:val="00277E00"/>
    <w:rsid w:val="00281071"/>
    <w:rsid w:val="0028126B"/>
    <w:rsid w:val="00281278"/>
    <w:rsid w:val="00281B2C"/>
    <w:rsid w:val="002821FD"/>
    <w:rsid w:val="0028317F"/>
    <w:rsid w:val="00283E89"/>
    <w:rsid w:val="002841D4"/>
    <w:rsid w:val="0028444B"/>
    <w:rsid w:val="002845D9"/>
    <w:rsid w:val="00285520"/>
    <w:rsid w:val="002857E2"/>
    <w:rsid w:val="00286816"/>
    <w:rsid w:val="00286CA8"/>
    <w:rsid w:val="002870D7"/>
    <w:rsid w:val="00287590"/>
    <w:rsid w:val="00287908"/>
    <w:rsid w:val="00287911"/>
    <w:rsid w:val="00290714"/>
    <w:rsid w:val="00290977"/>
    <w:rsid w:val="0029106C"/>
    <w:rsid w:val="002917C7"/>
    <w:rsid w:val="0029246A"/>
    <w:rsid w:val="00292B77"/>
    <w:rsid w:val="0029352B"/>
    <w:rsid w:val="00293949"/>
    <w:rsid w:val="0029395D"/>
    <w:rsid w:val="00293A57"/>
    <w:rsid w:val="00293C11"/>
    <w:rsid w:val="002940B6"/>
    <w:rsid w:val="0029449D"/>
    <w:rsid w:val="00296622"/>
    <w:rsid w:val="0029689E"/>
    <w:rsid w:val="002974F9"/>
    <w:rsid w:val="00297A16"/>
    <w:rsid w:val="00297FF6"/>
    <w:rsid w:val="002A01AE"/>
    <w:rsid w:val="002A0808"/>
    <w:rsid w:val="002A1611"/>
    <w:rsid w:val="002A24A9"/>
    <w:rsid w:val="002A260E"/>
    <w:rsid w:val="002A285F"/>
    <w:rsid w:val="002A2F01"/>
    <w:rsid w:val="002A332D"/>
    <w:rsid w:val="002A36A2"/>
    <w:rsid w:val="002A38EA"/>
    <w:rsid w:val="002A38FC"/>
    <w:rsid w:val="002A3947"/>
    <w:rsid w:val="002A3B9B"/>
    <w:rsid w:val="002A3DB1"/>
    <w:rsid w:val="002A45F2"/>
    <w:rsid w:val="002A46FB"/>
    <w:rsid w:val="002A4852"/>
    <w:rsid w:val="002A4F1C"/>
    <w:rsid w:val="002A5373"/>
    <w:rsid w:val="002A554D"/>
    <w:rsid w:val="002A5868"/>
    <w:rsid w:val="002A5DDE"/>
    <w:rsid w:val="002A64A2"/>
    <w:rsid w:val="002A7398"/>
    <w:rsid w:val="002A7A06"/>
    <w:rsid w:val="002A7A6D"/>
    <w:rsid w:val="002B0690"/>
    <w:rsid w:val="002B0745"/>
    <w:rsid w:val="002B17C1"/>
    <w:rsid w:val="002B1C67"/>
    <w:rsid w:val="002B2033"/>
    <w:rsid w:val="002B2058"/>
    <w:rsid w:val="002B2286"/>
    <w:rsid w:val="002B2D2B"/>
    <w:rsid w:val="002B3024"/>
    <w:rsid w:val="002B41E4"/>
    <w:rsid w:val="002B43C2"/>
    <w:rsid w:val="002B4F87"/>
    <w:rsid w:val="002B5116"/>
    <w:rsid w:val="002B52BA"/>
    <w:rsid w:val="002B5358"/>
    <w:rsid w:val="002B5401"/>
    <w:rsid w:val="002B595E"/>
    <w:rsid w:val="002B59D4"/>
    <w:rsid w:val="002B6D41"/>
    <w:rsid w:val="002B7473"/>
    <w:rsid w:val="002B7D67"/>
    <w:rsid w:val="002B7E09"/>
    <w:rsid w:val="002C082A"/>
    <w:rsid w:val="002C0D56"/>
    <w:rsid w:val="002C1138"/>
    <w:rsid w:val="002C1325"/>
    <w:rsid w:val="002C1562"/>
    <w:rsid w:val="002C18D3"/>
    <w:rsid w:val="002C1EF7"/>
    <w:rsid w:val="002C25AA"/>
    <w:rsid w:val="002C2AAD"/>
    <w:rsid w:val="002C2B20"/>
    <w:rsid w:val="002C2E74"/>
    <w:rsid w:val="002C334B"/>
    <w:rsid w:val="002C341A"/>
    <w:rsid w:val="002C3EFA"/>
    <w:rsid w:val="002C43E8"/>
    <w:rsid w:val="002C6A4F"/>
    <w:rsid w:val="002C781A"/>
    <w:rsid w:val="002D05C0"/>
    <w:rsid w:val="002D07BA"/>
    <w:rsid w:val="002D095C"/>
    <w:rsid w:val="002D1389"/>
    <w:rsid w:val="002D1740"/>
    <w:rsid w:val="002D18A6"/>
    <w:rsid w:val="002D1B64"/>
    <w:rsid w:val="002D1C2C"/>
    <w:rsid w:val="002D1D2B"/>
    <w:rsid w:val="002D2436"/>
    <w:rsid w:val="002D31F9"/>
    <w:rsid w:val="002D3510"/>
    <w:rsid w:val="002D4036"/>
    <w:rsid w:val="002D4B45"/>
    <w:rsid w:val="002D4E0D"/>
    <w:rsid w:val="002D565B"/>
    <w:rsid w:val="002D586E"/>
    <w:rsid w:val="002D5B38"/>
    <w:rsid w:val="002D5ECF"/>
    <w:rsid w:val="002D5F39"/>
    <w:rsid w:val="002D6048"/>
    <w:rsid w:val="002D6555"/>
    <w:rsid w:val="002D6FCF"/>
    <w:rsid w:val="002D7EAF"/>
    <w:rsid w:val="002D7F77"/>
    <w:rsid w:val="002E0B05"/>
    <w:rsid w:val="002E11AA"/>
    <w:rsid w:val="002E18CB"/>
    <w:rsid w:val="002E192D"/>
    <w:rsid w:val="002E269A"/>
    <w:rsid w:val="002E2A28"/>
    <w:rsid w:val="002E3118"/>
    <w:rsid w:val="002E3140"/>
    <w:rsid w:val="002E3286"/>
    <w:rsid w:val="002E346B"/>
    <w:rsid w:val="002E3A4D"/>
    <w:rsid w:val="002E3F44"/>
    <w:rsid w:val="002E5413"/>
    <w:rsid w:val="002E5EF1"/>
    <w:rsid w:val="002E5FD3"/>
    <w:rsid w:val="002E5FE7"/>
    <w:rsid w:val="002E65D3"/>
    <w:rsid w:val="002E65FA"/>
    <w:rsid w:val="002E7086"/>
    <w:rsid w:val="002E71BE"/>
    <w:rsid w:val="002E7FFC"/>
    <w:rsid w:val="002F0138"/>
    <w:rsid w:val="002F0430"/>
    <w:rsid w:val="002F0ECC"/>
    <w:rsid w:val="002F0FDB"/>
    <w:rsid w:val="002F194A"/>
    <w:rsid w:val="002F2244"/>
    <w:rsid w:val="002F297D"/>
    <w:rsid w:val="002F342C"/>
    <w:rsid w:val="002F35DD"/>
    <w:rsid w:val="002F3991"/>
    <w:rsid w:val="002F3A8B"/>
    <w:rsid w:val="002F3F5D"/>
    <w:rsid w:val="002F442C"/>
    <w:rsid w:val="002F47D1"/>
    <w:rsid w:val="002F4BFE"/>
    <w:rsid w:val="002F5355"/>
    <w:rsid w:val="002F5906"/>
    <w:rsid w:val="002F5D4F"/>
    <w:rsid w:val="002F6819"/>
    <w:rsid w:val="002F75B0"/>
    <w:rsid w:val="002F767E"/>
    <w:rsid w:val="002F7F3F"/>
    <w:rsid w:val="00300247"/>
    <w:rsid w:val="00300441"/>
    <w:rsid w:val="00300448"/>
    <w:rsid w:val="00300EA3"/>
    <w:rsid w:val="003018BA"/>
    <w:rsid w:val="00301E68"/>
    <w:rsid w:val="0030256C"/>
    <w:rsid w:val="00302778"/>
    <w:rsid w:val="00302946"/>
    <w:rsid w:val="003031B9"/>
    <w:rsid w:val="0030381E"/>
    <w:rsid w:val="00303C31"/>
    <w:rsid w:val="0030408F"/>
    <w:rsid w:val="0030446C"/>
    <w:rsid w:val="003046C8"/>
    <w:rsid w:val="00304E99"/>
    <w:rsid w:val="00305FBD"/>
    <w:rsid w:val="00306CE8"/>
    <w:rsid w:val="00306D94"/>
    <w:rsid w:val="0030704A"/>
    <w:rsid w:val="00307378"/>
    <w:rsid w:val="00307908"/>
    <w:rsid w:val="00307FA2"/>
    <w:rsid w:val="00310110"/>
    <w:rsid w:val="00310F05"/>
    <w:rsid w:val="00311856"/>
    <w:rsid w:val="003118B6"/>
    <w:rsid w:val="00312112"/>
    <w:rsid w:val="00312E28"/>
    <w:rsid w:val="00313221"/>
    <w:rsid w:val="00313732"/>
    <w:rsid w:val="00313CE6"/>
    <w:rsid w:val="0031446E"/>
    <w:rsid w:val="00314655"/>
    <w:rsid w:val="00314F89"/>
    <w:rsid w:val="00316B88"/>
    <w:rsid w:val="00316DCD"/>
    <w:rsid w:val="00316FFB"/>
    <w:rsid w:val="00317689"/>
    <w:rsid w:val="00317930"/>
    <w:rsid w:val="00317A23"/>
    <w:rsid w:val="00320374"/>
    <w:rsid w:val="0032061F"/>
    <w:rsid w:val="00320ABE"/>
    <w:rsid w:val="00320E6E"/>
    <w:rsid w:val="003212C4"/>
    <w:rsid w:val="00321501"/>
    <w:rsid w:val="00321759"/>
    <w:rsid w:val="0032186A"/>
    <w:rsid w:val="00321DBE"/>
    <w:rsid w:val="00321E97"/>
    <w:rsid w:val="00322AF3"/>
    <w:rsid w:val="003232AA"/>
    <w:rsid w:val="0032338D"/>
    <w:rsid w:val="00323947"/>
    <w:rsid w:val="0032544D"/>
    <w:rsid w:val="00325767"/>
    <w:rsid w:val="00325BF0"/>
    <w:rsid w:val="00326B8B"/>
    <w:rsid w:val="00327A78"/>
    <w:rsid w:val="00327C5A"/>
    <w:rsid w:val="00330356"/>
    <w:rsid w:val="00330882"/>
    <w:rsid w:val="00330A87"/>
    <w:rsid w:val="00331034"/>
    <w:rsid w:val="00331697"/>
    <w:rsid w:val="003324C3"/>
    <w:rsid w:val="0033263A"/>
    <w:rsid w:val="0033330D"/>
    <w:rsid w:val="003341CC"/>
    <w:rsid w:val="003347B0"/>
    <w:rsid w:val="003356BA"/>
    <w:rsid w:val="00335BC7"/>
    <w:rsid w:val="00336A86"/>
    <w:rsid w:val="00336E6A"/>
    <w:rsid w:val="00337920"/>
    <w:rsid w:val="00337930"/>
    <w:rsid w:val="00337D7D"/>
    <w:rsid w:val="003400C0"/>
    <w:rsid w:val="003406EA"/>
    <w:rsid w:val="0034125F"/>
    <w:rsid w:val="003415A9"/>
    <w:rsid w:val="003418D5"/>
    <w:rsid w:val="003419EB"/>
    <w:rsid w:val="00341E24"/>
    <w:rsid w:val="003424FE"/>
    <w:rsid w:val="00342C9C"/>
    <w:rsid w:val="00343664"/>
    <w:rsid w:val="003439D4"/>
    <w:rsid w:val="00343D06"/>
    <w:rsid w:val="00343FA1"/>
    <w:rsid w:val="003441FD"/>
    <w:rsid w:val="0034422E"/>
    <w:rsid w:val="003442A9"/>
    <w:rsid w:val="00344807"/>
    <w:rsid w:val="003449D8"/>
    <w:rsid w:val="00345767"/>
    <w:rsid w:val="00345CCB"/>
    <w:rsid w:val="00345CEB"/>
    <w:rsid w:val="00346AC2"/>
    <w:rsid w:val="00346BEB"/>
    <w:rsid w:val="003475D3"/>
    <w:rsid w:val="0034767F"/>
    <w:rsid w:val="00347E28"/>
    <w:rsid w:val="003501C2"/>
    <w:rsid w:val="003502FC"/>
    <w:rsid w:val="0035059D"/>
    <w:rsid w:val="003505DF"/>
    <w:rsid w:val="003505E3"/>
    <w:rsid w:val="003508AC"/>
    <w:rsid w:val="00351190"/>
    <w:rsid w:val="003513CD"/>
    <w:rsid w:val="003520DF"/>
    <w:rsid w:val="003521AE"/>
    <w:rsid w:val="0035312C"/>
    <w:rsid w:val="00353768"/>
    <w:rsid w:val="00353AEB"/>
    <w:rsid w:val="0035453B"/>
    <w:rsid w:val="00354835"/>
    <w:rsid w:val="00355114"/>
    <w:rsid w:val="0035742E"/>
    <w:rsid w:val="00357C24"/>
    <w:rsid w:val="00357EDF"/>
    <w:rsid w:val="0036095C"/>
    <w:rsid w:val="00360DE4"/>
    <w:rsid w:val="00361382"/>
    <w:rsid w:val="00361455"/>
    <w:rsid w:val="0036198D"/>
    <w:rsid w:val="003619E0"/>
    <w:rsid w:val="003622C5"/>
    <w:rsid w:val="003637B5"/>
    <w:rsid w:val="0036381D"/>
    <w:rsid w:val="003639D2"/>
    <w:rsid w:val="003641FE"/>
    <w:rsid w:val="00364475"/>
    <w:rsid w:val="00364569"/>
    <w:rsid w:val="00364BCF"/>
    <w:rsid w:val="0036500B"/>
    <w:rsid w:val="00365431"/>
    <w:rsid w:val="003654B2"/>
    <w:rsid w:val="00365E55"/>
    <w:rsid w:val="00365F4F"/>
    <w:rsid w:val="003660AD"/>
    <w:rsid w:val="0036665F"/>
    <w:rsid w:val="003667CC"/>
    <w:rsid w:val="003668E2"/>
    <w:rsid w:val="00367104"/>
    <w:rsid w:val="0036732F"/>
    <w:rsid w:val="0036787F"/>
    <w:rsid w:val="003702F0"/>
    <w:rsid w:val="003702F2"/>
    <w:rsid w:val="0037037A"/>
    <w:rsid w:val="003703B9"/>
    <w:rsid w:val="0037094B"/>
    <w:rsid w:val="00370AE1"/>
    <w:rsid w:val="00370CF4"/>
    <w:rsid w:val="00371609"/>
    <w:rsid w:val="003719A4"/>
    <w:rsid w:val="003721F0"/>
    <w:rsid w:val="0037222A"/>
    <w:rsid w:val="0037287E"/>
    <w:rsid w:val="003728EE"/>
    <w:rsid w:val="00372AE2"/>
    <w:rsid w:val="00372C60"/>
    <w:rsid w:val="00372D90"/>
    <w:rsid w:val="00373AAF"/>
    <w:rsid w:val="00373DEE"/>
    <w:rsid w:val="00374763"/>
    <w:rsid w:val="0037587A"/>
    <w:rsid w:val="00375E72"/>
    <w:rsid w:val="00375F40"/>
    <w:rsid w:val="0037605E"/>
    <w:rsid w:val="003769A3"/>
    <w:rsid w:val="003769D3"/>
    <w:rsid w:val="00376FAF"/>
    <w:rsid w:val="00377062"/>
    <w:rsid w:val="003772F4"/>
    <w:rsid w:val="00377744"/>
    <w:rsid w:val="00377CD4"/>
    <w:rsid w:val="00380810"/>
    <w:rsid w:val="003811EB"/>
    <w:rsid w:val="003815F7"/>
    <w:rsid w:val="00381888"/>
    <w:rsid w:val="00381ADF"/>
    <w:rsid w:val="00382733"/>
    <w:rsid w:val="003834D7"/>
    <w:rsid w:val="00383DE9"/>
    <w:rsid w:val="00383E38"/>
    <w:rsid w:val="003840BB"/>
    <w:rsid w:val="0038415B"/>
    <w:rsid w:val="0038436E"/>
    <w:rsid w:val="0038446D"/>
    <w:rsid w:val="00384FD3"/>
    <w:rsid w:val="0038512A"/>
    <w:rsid w:val="00385810"/>
    <w:rsid w:val="00385D62"/>
    <w:rsid w:val="00386592"/>
    <w:rsid w:val="00386820"/>
    <w:rsid w:val="00386A6F"/>
    <w:rsid w:val="003873F3"/>
    <w:rsid w:val="00387856"/>
    <w:rsid w:val="00387BAB"/>
    <w:rsid w:val="00390141"/>
    <w:rsid w:val="00390E94"/>
    <w:rsid w:val="00390FAB"/>
    <w:rsid w:val="0039150E"/>
    <w:rsid w:val="00391A2D"/>
    <w:rsid w:val="00391A4B"/>
    <w:rsid w:val="00392A95"/>
    <w:rsid w:val="00393254"/>
    <w:rsid w:val="00393AAA"/>
    <w:rsid w:val="0039400F"/>
    <w:rsid w:val="00394561"/>
    <w:rsid w:val="003946B7"/>
    <w:rsid w:val="003957CA"/>
    <w:rsid w:val="00395C6C"/>
    <w:rsid w:val="00395C80"/>
    <w:rsid w:val="00395FA1"/>
    <w:rsid w:val="0039665D"/>
    <w:rsid w:val="00396B29"/>
    <w:rsid w:val="00396CA1"/>
    <w:rsid w:val="003971D6"/>
    <w:rsid w:val="00397A73"/>
    <w:rsid w:val="00397D13"/>
    <w:rsid w:val="003A01EA"/>
    <w:rsid w:val="003A03BA"/>
    <w:rsid w:val="003A0409"/>
    <w:rsid w:val="003A096E"/>
    <w:rsid w:val="003A0A77"/>
    <w:rsid w:val="003A1462"/>
    <w:rsid w:val="003A2F77"/>
    <w:rsid w:val="003A311E"/>
    <w:rsid w:val="003A314E"/>
    <w:rsid w:val="003A48E9"/>
    <w:rsid w:val="003A4A8E"/>
    <w:rsid w:val="003A4C87"/>
    <w:rsid w:val="003A4DC6"/>
    <w:rsid w:val="003A505A"/>
    <w:rsid w:val="003A52A6"/>
    <w:rsid w:val="003A5A84"/>
    <w:rsid w:val="003A5D7E"/>
    <w:rsid w:val="003A5DB9"/>
    <w:rsid w:val="003A6C10"/>
    <w:rsid w:val="003A6EE6"/>
    <w:rsid w:val="003A7510"/>
    <w:rsid w:val="003A788B"/>
    <w:rsid w:val="003A7CF3"/>
    <w:rsid w:val="003A7E5A"/>
    <w:rsid w:val="003B05C0"/>
    <w:rsid w:val="003B0647"/>
    <w:rsid w:val="003B1076"/>
    <w:rsid w:val="003B10F3"/>
    <w:rsid w:val="003B18BE"/>
    <w:rsid w:val="003B1F94"/>
    <w:rsid w:val="003B2C77"/>
    <w:rsid w:val="003B442E"/>
    <w:rsid w:val="003B4989"/>
    <w:rsid w:val="003B4BD8"/>
    <w:rsid w:val="003B526A"/>
    <w:rsid w:val="003B550D"/>
    <w:rsid w:val="003B557F"/>
    <w:rsid w:val="003B5F8D"/>
    <w:rsid w:val="003B6719"/>
    <w:rsid w:val="003B6BF9"/>
    <w:rsid w:val="003B6CCC"/>
    <w:rsid w:val="003B7204"/>
    <w:rsid w:val="003B7A3D"/>
    <w:rsid w:val="003B7C24"/>
    <w:rsid w:val="003C0013"/>
    <w:rsid w:val="003C07CB"/>
    <w:rsid w:val="003C0E91"/>
    <w:rsid w:val="003C1301"/>
    <w:rsid w:val="003C15C7"/>
    <w:rsid w:val="003C1BF5"/>
    <w:rsid w:val="003C2504"/>
    <w:rsid w:val="003C279B"/>
    <w:rsid w:val="003C2AEF"/>
    <w:rsid w:val="003C3469"/>
    <w:rsid w:val="003C3AF7"/>
    <w:rsid w:val="003C49A4"/>
    <w:rsid w:val="003C4E89"/>
    <w:rsid w:val="003C5BA3"/>
    <w:rsid w:val="003C6725"/>
    <w:rsid w:val="003C69DA"/>
    <w:rsid w:val="003C6A37"/>
    <w:rsid w:val="003C6D23"/>
    <w:rsid w:val="003D0671"/>
    <w:rsid w:val="003D06B3"/>
    <w:rsid w:val="003D10CD"/>
    <w:rsid w:val="003D1357"/>
    <w:rsid w:val="003D1655"/>
    <w:rsid w:val="003D1BFF"/>
    <w:rsid w:val="003D21AD"/>
    <w:rsid w:val="003D2434"/>
    <w:rsid w:val="003D34FE"/>
    <w:rsid w:val="003D39DE"/>
    <w:rsid w:val="003D5999"/>
    <w:rsid w:val="003D5A8D"/>
    <w:rsid w:val="003D64A9"/>
    <w:rsid w:val="003D6505"/>
    <w:rsid w:val="003D654C"/>
    <w:rsid w:val="003D6FD9"/>
    <w:rsid w:val="003D729D"/>
    <w:rsid w:val="003D734D"/>
    <w:rsid w:val="003D7F02"/>
    <w:rsid w:val="003E01E0"/>
    <w:rsid w:val="003E0794"/>
    <w:rsid w:val="003E091D"/>
    <w:rsid w:val="003E109C"/>
    <w:rsid w:val="003E247F"/>
    <w:rsid w:val="003E24E1"/>
    <w:rsid w:val="003E2E29"/>
    <w:rsid w:val="003E3561"/>
    <w:rsid w:val="003E3594"/>
    <w:rsid w:val="003E396A"/>
    <w:rsid w:val="003E4590"/>
    <w:rsid w:val="003E473F"/>
    <w:rsid w:val="003E4C9B"/>
    <w:rsid w:val="003E5786"/>
    <w:rsid w:val="003E5EE9"/>
    <w:rsid w:val="003E68F7"/>
    <w:rsid w:val="003E6932"/>
    <w:rsid w:val="003E6977"/>
    <w:rsid w:val="003E6C04"/>
    <w:rsid w:val="003E7655"/>
    <w:rsid w:val="003E7C93"/>
    <w:rsid w:val="003F00BB"/>
    <w:rsid w:val="003F0133"/>
    <w:rsid w:val="003F0330"/>
    <w:rsid w:val="003F096C"/>
    <w:rsid w:val="003F1D4F"/>
    <w:rsid w:val="003F2253"/>
    <w:rsid w:val="003F2950"/>
    <w:rsid w:val="003F34ED"/>
    <w:rsid w:val="003F3A0B"/>
    <w:rsid w:val="003F44DE"/>
    <w:rsid w:val="003F4544"/>
    <w:rsid w:val="003F45D5"/>
    <w:rsid w:val="003F4645"/>
    <w:rsid w:val="003F4649"/>
    <w:rsid w:val="003F4B54"/>
    <w:rsid w:val="003F4BD0"/>
    <w:rsid w:val="003F4CC0"/>
    <w:rsid w:val="003F518F"/>
    <w:rsid w:val="003F5513"/>
    <w:rsid w:val="003F6274"/>
    <w:rsid w:val="003F67D3"/>
    <w:rsid w:val="003F7609"/>
    <w:rsid w:val="003F7BFC"/>
    <w:rsid w:val="00400391"/>
    <w:rsid w:val="0040051E"/>
    <w:rsid w:val="004012D3"/>
    <w:rsid w:val="004012E9"/>
    <w:rsid w:val="004016E6"/>
    <w:rsid w:val="00401E0D"/>
    <w:rsid w:val="00402B66"/>
    <w:rsid w:val="00402E39"/>
    <w:rsid w:val="00403272"/>
    <w:rsid w:val="0040394F"/>
    <w:rsid w:val="00404444"/>
    <w:rsid w:val="004044AF"/>
    <w:rsid w:val="00404C3F"/>
    <w:rsid w:val="00404CCF"/>
    <w:rsid w:val="004067CC"/>
    <w:rsid w:val="00407650"/>
    <w:rsid w:val="00407AE4"/>
    <w:rsid w:val="00407B11"/>
    <w:rsid w:val="00407DD0"/>
    <w:rsid w:val="00410124"/>
    <w:rsid w:val="00410916"/>
    <w:rsid w:val="00410F93"/>
    <w:rsid w:val="00411C02"/>
    <w:rsid w:val="00411CE7"/>
    <w:rsid w:val="00411D39"/>
    <w:rsid w:val="00412213"/>
    <w:rsid w:val="004128B1"/>
    <w:rsid w:val="00412E33"/>
    <w:rsid w:val="004130B4"/>
    <w:rsid w:val="0041322E"/>
    <w:rsid w:val="0041390C"/>
    <w:rsid w:val="00413E56"/>
    <w:rsid w:val="00414397"/>
    <w:rsid w:val="004145A0"/>
    <w:rsid w:val="004146D0"/>
    <w:rsid w:val="00414C81"/>
    <w:rsid w:val="00414D86"/>
    <w:rsid w:val="00415490"/>
    <w:rsid w:val="00416DEF"/>
    <w:rsid w:val="0041795C"/>
    <w:rsid w:val="00417B8B"/>
    <w:rsid w:val="00417C95"/>
    <w:rsid w:val="00420678"/>
    <w:rsid w:val="004207AB"/>
    <w:rsid w:val="004207F8"/>
    <w:rsid w:val="00421F1D"/>
    <w:rsid w:val="00422F23"/>
    <w:rsid w:val="00423613"/>
    <w:rsid w:val="00423D3E"/>
    <w:rsid w:val="0042453D"/>
    <w:rsid w:val="00424757"/>
    <w:rsid w:val="00424F3A"/>
    <w:rsid w:val="0042504C"/>
    <w:rsid w:val="004256A8"/>
    <w:rsid w:val="00425725"/>
    <w:rsid w:val="00426626"/>
    <w:rsid w:val="00427306"/>
    <w:rsid w:val="00427507"/>
    <w:rsid w:val="0042786D"/>
    <w:rsid w:val="00427B12"/>
    <w:rsid w:val="00427E1A"/>
    <w:rsid w:val="00427EB2"/>
    <w:rsid w:val="00430678"/>
    <w:rsid w:val="00430F8A"/>
    <w:rsid w:val="00431DD6"/>
    <w:rsid w:val="00431F32"/>
    <w:rsid w:val="004323EC"/>
    <w:rsid w:val="00432448"/>
    <w:rsid w:val="00432A9D"/>
    <w:rsid w:val="00432FD3"/>
    <w:rsid w:val="0043366C"/>
    <w:rsid w:val="0043390B"/>
    <w:rsid w:val="00433B1D"/>
    <w:rsid w:val="00433BD7"/>
    <w:rsid w:val="00433C73"/>
    <w:rsid w:val="00433D9A"/>
    <w:rsid w:val="00433EF0"/>
    <w:rsid w:val="00433FD9"/>
    <w:rsid w:val="00435325"/>
    <w:rsid w:val="00436054"/>
    <w:rsid w:val="00436C23"/>
    <w:rsid w:val="004371A5"/>
    <w:rsid w:val="004372EB"/>
    <w:rsid w:val="004373FD"/>
    <w:rsid w:val="00437514"/>
    <w:rsid w:val="0043756C"/>
    <w:rsid w:val="004378D9"/>
    <w:rsid w:val="00437BA0"/>
    <w:rsid w:val="004403F9"/>
    <w:rsid w:val="00440763"/>
    <w:rsid w:val="0044097D"/>
    <w:rsid w:val="00441D1F"/>
    <w:rsid w:val="00441D38"/>
    <w:rsid w:val="00442066"/>
    <w:rsid w:val="004422C0"/>
    <w:rsid w:val="00442985"/>
    <w:rsid w:val="00442FB9"/>
    <w:rsid w:val="0044367B"/>
    <w:rsid w:val="0044391B"/>
    <w:rsid w:val="00443BC6"/>
    <w:rsid w:val="00443D55"/>
    <w:rsid w:val="004446BB"/>
    <w:rsid w:val="00444C57"/>
    <w:rsid w:val="00445437"/>
    <w:rsid w:val="004457AC"/>
    <w:rsid w:val="0044584F"/>
    <w:rsid w:val="00446634"/>
    <w:rsid w:val="00446DEF"/>
    <w:rsid w:val="004470B2"/>
    <w:rsid w:val="0044711A"/>
    <w:rsid w:val="0044716F"/>
    <w:rsid w:val="00447338"/>
    <w:rsid w:val="004473E0"/>
    <w:rsid w:val="00447674"/>
    <w:rsid w:val="00447D3B"/>
    <w:rsid w:val="00447D85"/>
    <w:rsid w:val="0045050A"/>
    <w:rsid w:val="00450635"/>
    <w:rsid w:val="0045156B"/>
    <w:rsid w:val="0045168B"/>
    <w:rsid w:val="00451BB3"/>
    <w:rsid w:val="00452406"/>
    <w:rsid w:val="0045362A"/>
    <w:rsid w:val="004539A2"/>
    <w:rsid w:val="00455828"/>
    <w:rsid w:val="00455CBD"/>
    <w:rsid w:val="004563CF"/>
    <w:rsid w:val="00456449"/>
    <w:rsid w:val="0045655D"/>
    <w:rsid w:val="00456F76"/>
    <w:rsid w:val="004579F5"/>
    <w:rsid w:val="00457BC3"/>
    <w:rsid w:val="00460019"/>
    <w:rsid w:val="0046003B"/>
    <w:rsid w:val="00460BC2"/>
    <w:rsid w:val="004610C3"/>
    <w:rsid w:val="00461514"/>
    <w:rsid w:val="00461575"/>
    <w:rsid w:val="0046174C"/>
    <w:rsid w:val="00461F2C"/>
    <w:rsid w:val="004620C9"/>
    <w:rsid w:val="004624C3"/>
    <w:rsid w:val="004624FD"/>
    <w:rsid w:val="004630A7"/>
    <w:rsid w:val="00463DA9"/>
    <w:rsid w:val="0046445F"/>
    <w:rsid w:val="0046457A"/>
    <w:rsid w:val="00464596"/>
    <w:rsid w:val="00464933"/>
    <w:rsid w:val="00464E13"/>
    <w:rsid w:val="004652A7"/>
    <w:rsid w:val="00465A34"/>
    <w:rsid w:val="00466153"/>
    <w:rsid w:val="0046689F"/>
    <w:rsid w:val="00466C5D"/>
    <w:rsid w:val="00466F00"/>
    <w:rsid w:val="00467203"/>
    <w:rsid w:val="00470181"/>
    <w:rsid w:val="0047066D"/>
    <w:rsid w:val="004710EB"/>
    <w:rsid w:val="004715F2"/>
    <w:rsid w:val="00471FA2"/>
    <w:rsid w:val="0047274F"/>
    <w:rsid w:val="00472EBA"/>
    <w:rsid w:val="00472EED"/>
    <w:rsid w:val="00473209"/>
    <w:rsid w:val="00473275"/>
    <w:rsid w:val="0047337C"/>
    <w:rsid w:val="00474918"/>
    <w:rsid w:val="00474E5F"/>
    <w:rsid w:val="00475111"/>
    <w:rsid w:val="00475488"/>
    <w:rsid w:val="00475D9F"/>
    <w:rsid w:val="00475EB8"/>
    <w:rsid w:val="00475F47"/>
    <w:rsid w:val="00476F25"/>
    <w:rsid w:val="004770A6"/>
    <w:rsid w:val="0047752F"/>
    <w:rsid w:val="0047780A"/>
    <w:rsid w:val="00480580"/>
    <w:rsid w:val="00480759"/>
    <w:rsid w:val="004807F8"/>
    <w:rsid w:val="00480C91"/>
    <w:rsid w:val="004824CA"/>
    <w:rsid w:val="00482649"/>
    <w:rsid w:val="004832BD"/>
    <w:rsid w:val="0048331D"/>
    <w:rsid w:val="00483522"/>
    <w:rsid w:val="0048363B"/>
    <w:rsid w:val="004836D2"/>
    <w:rsid w:val="0048372F"/>
    <w:rsid w:val="00483A94"/>
    <w:rsid w:val="00483F10"/>
    <w:rsid w:val="00484859"/>
    <w:rsid w:val="00484D0D"/>
    <w:rsid w:val="00485636"/>
    <w:rsid w:val="00485A78"/>
    <w:rsid w:val="00485FA4"/>
    <w:rsid w:val="004872D7"/>
    <w:rsid w:val="004873B5"/>
    <w:rsid w:val="0048763C"/>
    <w:rsid w:val="004878A2"/>
    <w:rsid w:val="00487DD9"/>
    <w:rsid w:val="00490163"/>
    <w:rsid w:val="0049073B"/>
    <w:rsid w:val="004907A9"/>
    <w:rsid w:val="00490841"/>
    <w:rsid w:val="00491EEE"/>
    <w:rsid w:val="00492FE9"/>
    <w:rsid w:val="004931A1"/>
    <w:rsid w:val="004935AF"/>
    <w:rsid w:val="00493C31"/>
    <w:rsid w:val="004943FB"/>
    <w:rsid w:val="0049545F"/>
    <w:rsid w:val="004955CB"/>
    <w:rsid w:val="00495C89"/>
    <w:rsid w:val="00495D37"/>
    <w:rsid w:val="00496678"/>
    <w:rsid w:val="00496A76"/>
    <w:rsid w:val="00496AD1"/>
    <w:rsid w:val="00497217"/>
    <w:rsid w:val="00497F18"/>
    <w:rsid w:val="004A141D"/>
    <w:rsid w:val="004A1A30"/>
    <w:rsid w:val="004A1CE3"/>
    <w:rsid w:val="004A229F"/>
    <w:rsid w:val="004A2D4E"/>
    <w:rsid w:val="004A310E"/>
    <w:rsid w:val="004A44A4"/>
    <w:rsid w:val="004A4907"/>
    <w:rsid w:val="004A4B55"/>
    <w:rsid w:val="004A4B7C"/>
    <w:rsid w:val="004A60A6"/>
    <w:rsid w:val="004A6C88"/>
    <w:rsid w:val="004B021F"/>
    <w:rsid w:val="004B08E7"/>
    <w:rsid w:val="004B09EA"/>
    <w:rsid w:val="004B2025"/>
    <w:rsid w:val="004B28AA"/>
    <w:rsid w:val="004B2CCD"/>
    <w:rsid w:val="004B2D58"/>
    <w:rsid w:val="004B3283"/>
    <w:rsid w:val="004B365C"/>
    <w:rsid w:val="004B3891"/>
    <w:rsid w:val="004B3C70"/>
    <w:rsid w:val="004B43E9"/>
    <w:rsid w:val="004B46D1"/>
    <w:rsid w:val="004B49F1"/>
    <w:rsid w:val="004B589F"/>
    <w:rsid w:val="004B6715"/>
    <w:rsid w:val="004B6A02"/>
    <w:rsid w:val="004B6A7E"/>
    <w:rsid w:val="004B701D"/>
    <w:rsid w:val="004B717C"/>
    <w:rsid w:val="004B750C"/>
    <w:rsid w:val="004B755A"/>
    <w:rsid w:val="004C0E12"/>
    <w:rsid w:val="004C1468"/>
    <w:rsid w:val="004C2286"/>
    <w:rsid w:val="004C2826"/>
    <w:rsid w:val="004C3043"/>
    <w:rsid w:val="004C3760"/>
    <w:rsid w:val="004C3BD9"/>
    <w:rsid w:val="004C3F25"/>
    <w:rsid w:val="004C4382"/>
    <w:rsid w:val="004C4CFF"/>
    <w:rsid w:val="004C5297"/>
    <w:rsid w:val="004C59C7"/>
    <w:rsid w:val="004C6B28"/>
    <w:rsid w:val="004C6B6C"/>
    <w:rsid w:val="004C742F"/>
    <w:rsid w:val="004C7503"/>
    <w:rsid w:val="004C7B9C"/>
    <w:rsid w:val="004C7CC0"/>
    <w:rsid w:val="004C7D2F"/>
    <w:rsid w:val="004C7F97"/>
    <w:rsid w:val="004D0CD7"/>
    <w:rsid w:val="004D1409"/>
    <w:rsid w:val="004D254F"/>
    <w:rsid w:val="004D2938"/>
    <w:rsid w:val="004D3575"/>
    <w:rsid w:val="004D3954"/>
    <w:rsid w:val="004D3AC4"/>
    <w:rsid w:val="004D4625"/>
    <w:rsid w:val="004D4C62"/>
    <w:rsid w:val="004D4C79"/>
    <w:rsid w:val="004D585F"/>
    <w:rsid w:val="004D5995"/>
    <w:rsid w:val="004D600A"/>
    <w:rsid w:val="004D657C"/>
    <w:rsid w:val="004D6822"/>
    <w:rsid w:val="004D6B85"/>
    <w:rsid w:val="004D6C71"/>
    <w:rsid w:val="004D7195"/>
    <w:rsid w:val="004D7D70"/>
    <w:rsid w:val="004E161F"/>
    <w:rsid w:val="004E16A2"/>
    <w:rsid w:val="004E1951"/>
    <w:rsid w:val="004E1EF4"/>
    <w:rsid w:val="004E2641"/>
    <w:rsid w:val="004E2DC5"/>
    <w:rsid w:val="004E3AF7"/>
    <w:rsid w:val="004E55AD"/>
    <w:rsid w:val="004E56DF"/>
    <w:rsid w:val="004E5AEF"/>
    <w:rsid w:val="004E5BD2"/>
    <w:rsid w:val="004E6082"/>
    <w:rsid w:val="004E6251"/>
    <w:rsid w:val="004E663A"/>
    <w:rsid w:val="004E7855"/>
    <w:rsid w:val="004F0CFB"/>
    <w:rsid w:val="004F1092"/>
    <w:rsid w:val="004F22D4"/>
    <w:rsid w:val="004F26E7"/>
    <w:rsid w:val="004F29CB"/>
    <w:rsid w:val="004F32DC"/>
    <w:rsid w:val="004F34D7"/>
    <w:rsid w:val="004F433F"/>
    <w:rsid w:val="004F49BA"/>
    <w:rsid w:val="004F4F00"/>
    <w:rsid w:val="004F531D"/>
    <w:rsid w:val="004F5CC9"/>
    <w:rsid w:val="004F5FF2"/>
    <w:rsid w:val="004F67C4"/>
    <w:rsid w:val="004F6EB9"/>
    <w:rsid w:val="004F7458"/>
    <w:rsid w:val="005001FF"/>
    <w:rsid w:val="005009DF"/>
    <w:rsid w:val="00500BE3"/>
    <w:rsid w:val="00501451"/>
    <w:rsid w:val="00501DFC"/>
    <w:rsid w:val="005021D8"/>
    <w:rsid w:val="00502229"/>
    <w:rsid w:val="00502551"/>
    <w:rsid w:val="005028B7"/>
    <w:rsid w:val="005029F5"/>
    <w:rsid w:val="00502D2A"/>
    <w:rsid w:val="0050320B"/>
    <w:rsid w:val="00503A70"/>
    <w:rsid w:val="00503D74"/>
    <w:rsid w:val="00504A4F"/>
    <w:rsid w:val="00504D4A"/>
    <w:rsid w:val="00504FE4"/>
    <w:rsid w:val="0050511D"/>
    <w:rsid w:val="005052B0"/>
    <w:rsid w:val="0050534E"/>
    <w:rsid w:val="0050588C"/>
    <w:rsid w:val="0050652E"/>
    <w:rsid w:val="00506FFD"/>
    <w:rsid w:val="00507B12"/>
    <w:rsid w:val="00511409"/>
    <w:rsid w:val="005119E5"/>
    <w:rsid w:val="00511B72"/>
    <w:rsid w:val="005122BE"/>
    <w:rsid w:val="00512301"/>
    <w:rsid w:val="00512597"/>
    <w:rsid w:val="00512723"/>
    <w:rsid w:val="0051285B"/>
    <w:rsid w:val="0051448D"/>
    <w:rsid w:val="00514526"/>
    <w:rsid w:val="00514BEC"/>
    <w:rsid w:val="00515085"/>
    <w:rsid w:val="00515243"/>
    <w:rsid w:val="00515AFE"/>
    <w:rsid w:val="00515E69"/>
    <w:rsid w:val="005161CB"/>
    <w:rsid w:val="0051638C"/>
    <w:rsid w:val="005167C1"/>
    <w:rsid w:val="00516812"/>
    <w:rsid w:val="00516C07"/>
    <w:rsid w:val="005177DF"/>
    <w:rsid w:val="00517B68"/>
    <w:rsid w:val="00517CD6"/>
    <w:rsid w:val="00520783"/>
    <w:rsid w:val="00520A98"/>
    <w:rsid w:val="00520CDE"/>
    <w:rsid w:val="005219F9"/>
    <w:rsid w:val="00521C69"/>
    <w:rsid w:val="00521FC9"/>
    <w:rsid w:val="0052205A"/>
    <w:rsid w:val="00522062"/>
    <w:rsid w:val="00522603"/>
    <w:rsid w:val="0052260B"/>
    <w:rsid w:val="00522A5E"/>
    <w:rsid w:val="00522FBF"/>
    <w:rsid w:val="00523617"/>
    <w:rsid w:val="005239B2"/>
    <w:rsid w:val="00523A74"/>
    <w:rsid w:val="00523DA1"/>
    <w:rsid w:val="00523FD5"/>
    <w:rsid w:val="0052405C"/>
    <w:rsid w:val="005245C3"/>
    <w:rsid w:val="00524766"/>
    <w:rsid w:val="005252B0"/>
    <w:rsid w:val="005255EA"/>
    <w:rsid w:val="005261D7"/>
    <w:rsid w:val="005262CE"/>
    <w:rsid w:val="00526601"/>
    <w:rsid w:val="00526899"/>
    <w:rsid w:val="00526915"/>
    <w:rsid w:val="00526ADC"/>
    <w:rsid w:val="0053001B"/>
    <w:rsid w:val="0053005A"/>
    <w:rsid w:val="0053027C"/>
    <w:rsid w:val="0053045A"/>
    <w:rsid w:val="00530A5B"/>
    <w:rsid w:val="00530B20"/>
    <w:rsid w:val="00530F2D"/>
    <w:rsid w:val="00531227"/>
    <w:rsid w:val="005324EC"/>
    <w:rsid w:val="00532AA4"/>
    <w:rsid w:val="0053351F"/>
    <w:rsid w:val="00533830"/>
    <w:rsid w:val="00533B2F"/>
    <w:rsid w:val="0053406C"/>
    <w:rsid w:val="00534D0A"/>
    <w:rsid w:val="005350F2"/>
    <w:rsid w:val="0053574A"/>
    <w:rsid w:val="00535901"/>
    <w:rsid w:val="00535E79"/>
    <w:rsid w:val="0053667A"/>
    <w:rsid w:val="005370E1"/>
    <w:rsid w:val="00537F11"/>
    <w:rsid w:val="005408E6"/>
    <w:rsid w:val="005421A1"/>
    <w:rsid w:val="0054284D"/>
    <w:rsid w:val="00542FCF"/>
    <w:rsid w:val="005430B5"/>
    <w:rsid w:val="005431CD"/>
    <w:rsid w:val="00543238"/>
    <w:rsid w:val="00543F45"/>
    <w:rsid w:val="005441B8"/>
    <w:rsid w:val="00545993"/>
    <w:rsid w:val="005459B9"/>
    <w:rsid w:val="00545ABE"/>
    <w:rsid w:val="00545B8B"/>
    <w:rsid w:val="00546815"/>
    <w:rsid w:val="00546C7F"/>
    <w:rsid w:val="00547471"/>
    <w:rsid w:val="00550077"/>
    <w:rsid w:val="005505D4"/>
    <w:rsid w:val="00550867"/>
    <w:rsid w:val="005518E7"/>
    <w:rsid w:val="00552538"/>
    <w:rsid w:val="005525E5"/>
    <w:rsid w:val="00552EDE"/>
    <w:rsid w:val="00553A2F"/>
    <w:rsid w:val="00554220"/>
    <w:rsid w:val="00554501"/>
    <w:rsid w:val="0055479C"/>
    <w:rsid w:val="00554C90"/>
    <w:rsid w:val="00554D17"/>
    <w:rsid w:val="005550B7"/>
    <w:rsid w:val="00555527"/>
    <w:rsid w:val="00555CFA"/>
    <w:rsid w:val="00555D38"/>
    <w:rsid w:val="005563B6"/>
    <w:rsid w:val="00557286"/>
    <w:rsid w:val="00557DB2"/>
    <w:rsid w:val="0056003A"/>
    <w:rsid w:val="005603A2"/>
    <w:rsid w:val="00560C14"/>
    <w:rsid w:val="00561079"/>
    <w:rsid w:val="00561161"/>
    <w:rsid w:val="00561B30"/>
    <w:rsid w:val="00561E16"/>
    <w:rsid w:val="00562386"/>
    <w:rsid w:val="00562611"/>
    <w:rsid w:val="00562773"/>
    <w:rsid w:val="00563038"/>
    <w:rsid w:val="00563332"/>
    <w:rsid w:val="00563461"/>
    <w:rsid w:val="00563B1E"/>
    <w:rsid w:val="00563BDD"/>
    <w:rsid w:val="00563D17"/>
    <w:rsid w:val="005643A2"/>
    <w:rsid w:val="0056482D"/>
    <w:rsid w:val="00565769"/>
    <w:rsid w:val="0056590E"/>
    <w:rsid w:val="0056614E"/>
    <w:rsid w:val="00566CF4"/>
    <w:rsid w:val="00567B43"/>
    <w:rsid w:val="0057024E"/>
    <w:rsid w:val="00570662"/>
    <w:rsid w:val="00570A6A"/>
    <w:rsid w:val="005721E3"/>
    <w:rsid w:val="00572518"/>
    <w:rsid w:val="005729F5"/>
    <w:rsid w:val="00572E05"/>
    <w:rsid w:val="005734A6"/>
    <w:rsid w:val="0057366E"/>
    <w:rsid w:val="005738C4"/>
    <w:rsid w:val="00573AF6"/>
    <w:rsid w:val="00573C51"/>
    <w:rsid w:val="00573DE1"/>
    <w:rsid w:val="00573FD0"/>
    <w:rsid w:val="005748C4"/>
    <w:rsid w:val="0057598A"/>
    <w:rsid w:val="00575995"/>
    <w:rsid w:val="00576808"/>
    <w:rsid w:val="00576A71"/>
    <w:rsid w:val="00576DEA"/>
    <w:rsid w:val="00577230"/>
    <w:rsid w:val="00577571"/>
    <w:rsid w:val="00577765"/>
    <w:rsid w:val="00577913"/>
    <w:rsid w:val="00577914"/>
    <w:rsid w:val="00577D70"/>
    <w:rsid w:val="0058020F"/>
    <w:rsid w:val="00580C19"/>
    <w:rsid w:val="005812BF"/>
    <w:rsid w:val="00581479"/>
    <w:rsid w:val="0058196A"/>
    <w:rsid w:val="00582873"/>
    <w:rsid w:val="00582F42"/>
    <w:rsid w:val="00583619"/>
    <w:rsid w:val="005838A4"/>
    <w:rsid w:val="00583959"/>
    <w:rsid w:val="00583C06"/>
    <w:rsid w:val="0058444E"/>
    <w:rsid w:val="005847D0"/>
    <w:rsid w:val="00584C95"/>
    <w:rsid w:val="00584F9D"/>
    <w:rsid w:val="00585184"/>
    <w:rsid w:val="00585A39"/>
    <w:rsid w:val="00585AFF"/>
    <w:rsid w:val="0058602B"/>
    <w:rsid w:val="005862CF"/>
    <w:rsid w:val="005867A9"/>
    <w:rsid w:val="00586E2A"/>
    <w:rsid w:val="0059023B"/>
    <w:rsid w:val="005902D1"/>
    <w:rsid w:val="00590320"/>
    <w:rsid w:val="0059064F"/>
    <w:rsid w:val="005906B3"/>
    <w:rsid w:val="00590A4D"/>
    <w:rsid w:val="00590D62"/>
    <w:rsid w:val="00591AEC"/>
    <w:rsid w:val="00591D26"/>
    <w:rsid w:val="00593847"/>
    <w:rsid w:val="00593BC3"/>
    <w:rsid w:val="005940CB"/>
    <w:rsid w:val="0059428A"/>
    <w:rsid w:val="0059428F"/>
    <w:rsid w:val="005947DD"/>
    <w:rsid w:val="00594A78"/>
    <w:rsid w:val="00594DE6"/>
    <w:rsid w:val="00595428"/>
    <w:rsid w:val="00595BE0"/>
    <w:rsid w:val="0059605A"/>
    <w:rsid w:val="005969BA"/>
    <w:rsid w:val="00596A6D"/>
    <w:rsid w:val="00596EDA"/>
    <w:rsid w:val="00597103"/>
    <w:rsid w:val="005A083B"/>
    <w:rsid w:val="005A0A51"/>
    <w:rsid w:val="005A146A"/>
    <w:rsid w:val="005A21D5"/>
    <w:rsid w:val="005A28FD"/>
    <w:rsid w:val="005A34C4"/>
    <w:rsid w:val="005A3821"/>
    <w:rsid w:val="005A3B46"/>
    <w:rsid w:val="005A3F9F"/>
    <w:rsid w:val="005A422D"/>
    <w:rsid w:val="005A42C1"/>
    <w:rsid w:val="005A4695"/>
    <w:rsid w:val="005A4CCF"/>
    <w:rsid w:val="005A51F9"/>
    <w:rsid w:val="005A5348"/>
    <w:rsid w:val="005A547E"/>
    <w:rsid w:val="005A5BB3"/>
    <w:rsid w:val="005A6339"/>
    <w:rsid w:val="005A75B1"/>
    <w:rsid w:val="005A76CC"/>
    <w:rsid w:val="005A7818"/>
    <w:rsid w:val="005B019B"/>
    <w:rsid w:val="005B08E9"/>
    <w:rsid w:val="005B090D"/>
    <w:rsid w:val="005B0BBE"/>
    <w:rsid w:val="005B0C19"/>
    <w:rsid w:val="005B1230"/>
    <w:rsid w:val="005B17D8"/>
    <w:rsid w:val="005B1880"/>
    <w:rsid w:val="005B201F"/>
    <w:rsid w:val="005B22C7"/>
    <w:rsid w:val="005B2488"/>
    <w:rsid w:val="005B2BE2"/>
    <w:rsid w:val="005B34E5"/>
    <w:rsid w:val="005B3AC9"/>
    <w:rsid w:val="005B3FA5"/>
    <w:rsid w:val="005B4679"/>
    <w:rsid w:val="005B4F12"/>
    <w:rsid w:val="005B52A5"/>
    <w:rsid w:val="005B546F"/>
    <w:rsid w:val="005B5D80"/>
    <w:rsid w:val="005B6A03"/>
    <w:rsid w:val="005B6C58"/>
    <w:rsid w:val="005B70DF"/>
    <w:rsid w:val="005B745C"/>
    <w:rsid w:val="005B74AF"/>
    <w:rsid w:val="005B775A"/>
    <w:rsid w:val="005B7811"/>
    <w:rsid w:val="005C0475"/>
    <w:rsid w:val="005C0C43"/>
    <w:rsid w:val="005C1D03"/>
    <w:rsid w:val="005C2178"/>
    <w:rsid w:val="005C27D6"/>
    <w:rsid w:val="005C2B1A"/>
    <w:rsid w:val="005C37D5"/>
    <w:rsid w:val="005C405F"/>
    <w:rsid w:val="005C438C"/>
    <w:rsid w:val="005C46A7"/>
    <w:rsid w:val="005C4758"/>
    <w:rsid w:val="005C4C42"/>
    <w:rsid w:val="005C4E76"/>
    <w:rsid w:val="005C5774"/>
    <w:rsid w:val="005C5816"/>
    <w:rsid w:val="005C5C37"/>
    <w:rsid w:val="005C5F1B"/>
    <w:rsid w:val="005C5F75"/>
    <w:rsid w:val="005C696C"/>
    <w:rsid w:val="005C69FF"/>
    <w:rsid w:val="005C6D02"/>
    <w:rsid w:val="005C6FB4"/>
    <w:rsid w:val="005C731A"/>
    <w:rsid w:val="005C7B11"/>
    <w:rsid w:val="005C7C74"/>
    <w:rsid w:val="005C7F09"/>
    <w:rsid w:val="005D0539"/>
    <w:rsid w:val="005D06CD"/>
    <w:rsid w:val="005D06F2"/>
    <w:rsid w:val="005D070E"/>
    <w:rsid w:val="005D0935"/>
    <w:rsid w:val="005D0CD7"/>
    <w:rsid w:val="005D0F19"/>
    <w:rsid w:val="005D0F90"/>
    <w:rsid w:val="005D13B3"/>
    <w:rsid w:val="005D19F2"/>
    <w:rsid w:val="005D244A"/>
    <w:rsid w:val="005D3766"/>
    <w:rsid w:val="005D3A48"/>
    <w:rsid w:val="005D4047"/>
    <w:rsid w:val="005D5699"/>
    <w:rsid w:val="005D6087"/>
    <w:rsid w:val="005D6C69"/>
    <w:rsid w:val="005D6EA3"/>
    <w:rsid w:val="005D71C7"/>
    <w:rsid w:val="005D7B04"/>
    <w:rsid w:val="005D7E3D"/>
    <w:rsid w:val="005E0F2A"/>
    <w:rsid w:val="005E2237"/>
    <w:rsid w:val="005E24C6"/>
    <w:rsid w:val="005E31B2"/>
    <w:rsid w:val="005E31F1"/>
    <w:rsid w:val="005E392F"/>
    <w:rsid w:val="005E3F3F"/>
    <w:rsid w:val="005E5483"/>
    <w:rsid w:val="005E5991"/>
    <w:rsid w:val="005E5CD5"/>
    <w:rsid w:val="005E6885"/>
    <w:rsid w:val="005E68C6"/>
    <w:rsid w:val="005E69B1"/>
    <w:rsid w:val="005E71BA"/>
    <w:rsid w:val="005E741D"/>
    <w:rsid w:val="005E77E1"/>
    <w:rsid w:val="005F019C"/>
    <w:rsid w:val="005F082A"/>
    <w:rsid w:val="005F09A1"/>
    <w:rsid w:val="005F09B6"/>
    <w:rsid w:val="005F0CDF"/>
    <w:rsid w:val="005F148F"/>
    <w:rsid w:val="005F1BC1"/>
    <w:rsid w:val="005F2537"/>
    <w:rsid w:val="005F311A"/>
    <w:rsid w:val="005F3161"/>
    <w:rsid w:val="005F45ED"/>
    <w:rsid w:val="005F48BA"/>
    <w:rsid w:val="005F514A"/>
    <w:rsid w:val="005F5526"/>
    <w:rsid w:val="005F5FBE"/>
    <w:rsid w:val="005F6575"/>
    <w:rsid w:val="005F6883"/>
    <w:rsid w:val="005F75AD"/>
    <w:rsid w:val="005F7DD9"/>
    <w:rsid w:val="006000D1"/>
    <w:rsid w:val="00600465"/>
    <w:rsid w:val="0060125D"/>
    <w:rsid w:val="0060155A"/>
    <w:rsid w:val="00601BAC"/>
    <w:rsid w:val="00601F55"/>
    <w:rsid w:val="0060211C"/>
    <w:rsid w:val="006027C0"/>
    <w:rsid w:val="00602BE9"/>
    <w:rsid w:val="00602C98"/>
    <w:rsid w:val="006031AD"/>
    <w:rsid w:val="0060349C"/>
    <w:rsid w:val="00603B96"/>
    <w:rsid w:val="006042D8"/>
    <w:rsid w:val="00604627"/>
    <w:rsid w:val="00604CE9"/>
    <w:rsid w:val="00604E33"/>
    <w:rsid w:val="006058AB"/>
    <w:rsid w:val="00605C78"/>
    <w:rsid w:val="00605ECD"/>
    <w:rsid w:val="00605EE7"/>
    <w:rsid w:val="006063EE"/>
    <w:rsid w:val="0060674F"/>
    <w:rsid w:val="006071CA"/>
    <w:rsid w:val="006071E9"/>
    <w:rsid w:val="00607736"/>
    <w:rsid w:val="006079D7"/>
    <w:rsid w:val="006106B0"/>
    <w:rsid w:val="00611327"/>
    <w:rsid w:val="0061187A"/>
    <w:rsid w:val="00611FCD"/>
    <w:rsid w:val="006121B1"/>
    <w:rsid w:val="0061234F"/>
    <w:rsid w:val="00612AEE"/>
    <w:rsid w:val="00612B37"/>
    <w:rsid w:val="00612F93"/>
    <w:rsid w:val="00613A64"/>
    <w:rsid w:val="00613C50"/>
    <w:rsid w:val="00613C85"/>
    <w:rsid w:val="00614CC1"/>
    <w:rsid w:val="00615624"/>
    <w:rsid w:val="00615D09"/>
    <w:rsid w:val="006162AA"/>
    <w:rsid w:val="00617299"/>
    <w:rsid w:val="006177D7"/>
    <w:rsid w:val="00617E31"/>
    <w:rsid w:val="00617EC0"/>
    <w:rsid w:val="006201A2"/>
    <w:rsid w:val="006201BB"/>
    <w:rsid w:val="00620880"/>
    <w:rsid w:val="00620EF9"/>
    <w:rsid w:val="006212F9"/>
    <w:rsid w:val="00621354"/>
    <w:rsid w:val="00621923"/>
    <w:rsid w:val="006220D7"/>
    <w:rsid w:val="006223A0"/>
    <w:rsid w:val="006224F6"/>
    <w:rsid w:val="00622B47"/>
    <w:rsid w:val="00622C27"/>
    <w:rsid w:val="006231AE"/>
    <w:rsid w:val="00623352"/>
    <w:rsid w:val="006233A3"/>
    <w:rsid w:val="00623D55"/>
    <w:rsid w:val="00624F07"/>
    <w:rsid w:val="00625539"/>
    <w:rsid w:val="00625949"/>
    <w:rsid w:val="00626079"/>
    <w:rsid w:val="00626367"/>
    <w:rsid w:val="006264C7"/>
    <w:rsid w:val="00626FA8"/>
    <w:rsid w:val="00627474"/>
    <w:rsid w:val="00627AE1"/>
    <w:rsid w:val="0063035C"/>
    <w:rsid w:val="006307C1"/>
    <w:rsid w:val="006311E2"/>
    <w:rsid w:val="0063244A"/>
    <w:rsid w:val="00632B57"/>
    <w:rsid w:val="00632C81"/>
    <w:rsid w:val="00633633"/>
    <w:rsid w:val="006341D7"/>
    <w:rsid w:val="0063517F"/>
    <w:rsid w:val="0063565E"/>
    <w:rsid w:val="00637200"/>
    <w:rsid w:val="006372FB"/>
    <w:rsid w:val="0063788F"/>
    <w:rsid w:val="00637AAA"/>
    <w:rsid w:val="0064117A"/>
    <w:rsid w:val="006412C3"/>
    <w:rsid w:val="00641F74"/>
    <w:rsid w:val="0064206F"/>
    <w:rsid w:val="006427A6"/>
    <w:rsid w:val="00642C6E"/>
    <w:rsid w:val="00642F31"/>
    <w:rsid w:val="00643C6B"/>
    <w:rsid w:val="00643C76"/>
    <w:rsid w:val="0064441F"/>
    <w:rsid w:val="006451DF"/>
    <w:rsid w:val="00645BFC"/>
    <w:rsid w:val="00645EBC"/>
    <w:rsid w:val="00646426"/>
    <w:rsid w:val="006467F8"/>
    <w:rsid w:val="00647F38"/>
    <w:rsid w:val="00650CAE"/>
    <w:rsid w:val="00650E8F"/>
    <w:rsid w:val="00651986"/>
    <w:rsid w:val="00651B7F"/>
    <w:rsid w:val="00651E9C"/>
    <w:rsid w:val="006521B6"/>
    <w:rsid w:val="00652F97"/>
    <w:rsid w:val="00653D00"/>
    <w:rsid w:val="00653DA2"/>
    <w:rsid w:val="0065503F"/>
    <w:rsid w:val="006566D0"/>
    <w:rsid w:val="00657B23"/>
    <w:rsid w:val="006619C9"/>
    <w:rsid w:val="00661B23"/>
    <w:rsid w:val="00661FC2"/>
    <w:rsid w:val="00662999"/>
    <w:rsid w:val="00662A98"/>
    <w:rsid w:val="00662D3D"/>
    <w:rsid w:val="00663480"/>
    <w:rsid w:val="00663C30"/>
    <w:rsid w:val="00663C8C"/>
    <w:rsid w:val="0066409C"/>
    <w:rsid w:val="00664694"/>
    <w:rsid w:val="006649FF"/>
    <w:rsid w:val="006655F9"/>
    <w:rsid w:val="0066623C"/>
    <w:rsid w:val="00667B1F"/>
    <w:rsid w:val="00667DEA"/>
    <w:rsid w:val="0067028A"/>
    <w:rsid w:val="006707E9"/>
    <w:rsid w:val="00670812"/>
    <w:rsid w:val="006712FD"/>
    <w:rsid w:val="00671FFE"/>
    <w:rsid w:val="00672E76"/>
    <w:rsid w:val="00673BEC"/>
    <w:rsid w:val="00673CD5"/>
    <w:rsid w:val="00673F5E"/>
    <w:rsid w:val="006743F5"/>
    <w:rsid w:val="00675484"/>
    <w:rsid w:val="0067591B"/>
    <w:rsid w:val="00675B1A"/>
    <w:rsid w:val="006769C0"/>
    <w:rsid w:val="00676AC8"/>
    <w:rsid w:val="006772E8"/>
    <w:rsid w:val="00680481"/>
    <w:rsid w:val="00680F59"/>
    <w:rsid w:val="0068102A"/>
    <w:rsid w:val="00681D8B"/>
    <w:rsid w:val="0068206A"/>
    <w:rsid w:val="00682420"/>
    <w:rsid w:val="0068297D"/>
    <w:rsid w:val="00682B3C"/>
    <w:rsid w:val="00682BF5"/>
    <w:rsid w:val="00682CB1"/>
    <w:rsid w:val="00683023"/>
    <w:rsid w:val="006835CB"/>
    <w:rsid w:val="006837E6"/>
    <w:rsid w:val="0068433E"/>
    <w:rsid w:val="00684481"/>
    <w:rsid w:val="00684854"/>
    <w:rsid w:val="006848D9"/>
    <w:rsid w:val="00685029"/>
    <w:rsid w:val="006857AE"/>
    <w:rsid w:val="00685928"/>
    <w:rsid w:val="00685B6D"/>
    <w:rsid w:val="00685D96"/>
    <w:rsid w:val="00686157"/>
    <w:rsid w:val="00686267"/>
    <w:rsid w:val="00686313"/>
    <w:rsid w:val="00686D19"/>
    <w:rsid w:val="00686FDF"/>
    <w:rsid w:val="006871E4"/>
    <w:rsid w:val="00687583"/>
    <w:rsid w:val="00687FCE"/>
    <w:rsid w:val="00690F60"/>
    <w:rsid w:val="006916A8"/>
    <w:rsid w:val="00692742"/>
    <w:rsid w:val="00692ACC"/>
    <w:rsid w:val="00692DF3"/>
    <w:rsid w:val="0069327F"/>
    <w:rsid w:val="00693836"/>
    <w:rsid w:val="00693B12"/>
    <w:rsid w:val="00693DDF"/>
    <w:rsid w:val="00695215"/>
    <w:rsid w:val="006952BE"/>
    <w:rsid w:val="00695307"/>
    <w:rsid w:val="00695BAE"/>
    <w:rsid w:val="00695C9E"/>
    <w:rsid w:val="00696AFB"/>
    <w:rsid w:val="00696EE6"/>
    <w:rsid w:val="00696F4A"/>
    <w:rsid w:val="0069799D"/>
    <w:rsid w:val="00697BAD"/>
    <w:rsid w:val="00697F04"/>
    <w:rsid w:val="006A0016"/>
    <w:rsid w:val="006A008B"/>
    <w:rsid w:val="006A04F1"/>
    <w:rsid w:val="006A0D84"/>
    <w:rsid w:val="006A19F9"/>
    <w:rsid w:val="006A1CF4"/>
    <w:rsid w:val="006A3AF2"/>
    <w:rsid w:val="006A4718"/>
    <w:rsid w:val="006A4927"/>
    <w:rsid w:val="006A4AC3"/>
    <w:rsid w:val="006A4EAB"/>
    <w:rsid w:val="006A5E1F"/>
    <w:rsid w:val="006A6085"/>
    <w:rsid w:val="006A6D3E"/>
    <w:rsid w:val="006A77B0"/>
    <w:rsid w:val="006B01DB"/>
    <w:rsid w:val="006B114B"/>
    <w:rsid w:val="006B14B8"/>
    <w:rsid w:val="006B1633"/>
    <w:rsid w:val="006B1669"/>
    <w:rsid w:val="006B1913"/>
    <w:rsid w:val="006B1A8D"/>
    <w:rsid w:val="006B1E16"/>
    <w:rsid w:val="006B2BC1"/>
    <w:rsid w:val="006B2D3D"/>
    <w:rsid w:val="006B413C"/>
    <w:rsid w:val="006B4219"/>
    <w:rsid w:val="006B4725"/>
    <w:rsid w:val="006B566E"/>
    <w:rsid w:val="006B596D"/>
    <w:rsid w:val="006B611F"/>
    <w:rsid w:val="006B690A"/>
    <w:rsid w:val="006B79B2"/>
    <w:rsid w:val="006B7C0B"/>
    <w:rsid w:val="006C03B0"/>
    <w:rsid w:val="006C03F1"/>
    <w:rsid w:val="006C086D"/>
    <w:rsid w:val="006C0A0E"/>
    <w:rsid w:val="006C0C99"/>
    <w:rsid w:val="006C246E"/>
    <w:rsid w:val="006C2C65"/>
    <w:rsid w:val="006C3CEB"/>
    <w:rsid w:val="006C3E66"/>
    <w:rsid w:val="006C4443"/>
    <w:rsid w:val="006C44EA"/>
    <w:rsid w:val="006C527F"/>
    <w:rsid w:val="006C52EC"/>
    <w:rsid w:val="006C6BCA"/>
    <w:rsid w:val="006C74A1"/>
    <w:rsid w:val="006C76D2"/>
    <w:rsid w:val="006D0277"/>
    <w:rsid w:val="006D0735"/>
    <w:rsid w:val="006D0CB2"/>
    <w:rsid w:val="006D1318"/>
    <w:rsid w:val="006D16BB"/>
    <w:rsid w:val="006D21D4"/>
    <w:rsid w:val="006D3AF6"/>
    <w:rsid w:val="006D3EE1"/>
    <w:rsid w:val="006D40D4"/>
    <w:rsid w:val="006D4184"/>
    <w:rsid w:val="006D41FF"/>
    <w:rsid w:val="006D4CA4"/>
    <w:rsid w:val="006D5AD9"/>
    <w:rsid w:val="006D6560"/>
    <w:rsid w:val="006D68EB"/>
    <w:rsid w:val="006D70D2"/>
    <w:rsid w:val="006D70E8"/>
    <w:rsid w:val="006D737B"/>
    <w:rsid w:val="006D7D63"/>
    <w:rsid w:val="006E01A2"/>
    <w:rsid w:val="006E08FB"/>
    <w:rsid w:val="006E0C9C"/>
    <w:rsid w:val="006E0DC3"/>
    <w:rsid w:val="006E10DD"/>
    <w:rsid w:val="006E11A1"/>
    <w:rsid w:val="006E11D4"/>
    <w:rsid w:val="006E1436"/>
    <w:rsid w:val="006E2140"/>
    <w:rsid w:val="006E259F"/>
    <w:rsid w:val="006E287F"/>
    <w:rsid w:val="006E2DED"/>
    <w:rsid w:val="006E2EFC"/>
    <w:rsid w:val="006E3ACC"/>
    <w:rsid w:val="006E4757"/>
    <w:rsid w:val="006E508C"/>
    <w:rsid w:val="006E5579"/>
    <w:rsid w:val="006E5C4A"/>
    <w:rsid w:val="006E5C63"/>
    <w:rsid w:val="006E60FD"/>
    <w:rsid w:val="006E61BD"/>
    <w:rsid w:val="006E6DF4"/>
    <w:rsid w:val="006E72FC"/>
    <w:rsid w:val="006F0043"/>
    <w:rsid w:val="006F0546"/>
    <w:rsid w:val="006F0A47"/>
    <w:rsid w:val="006F0CDD"/>
    <w:rsid w:val="006F139E"/>
    <w:rsid w:val="006F1DD8"/>
    <w:rsid w:val="006F21EF"/>
    <w:rsid w:val="006F2342"/>
    <w:rsid w:val="006F3950"/>
    <w:rsid w:val="006F3AAA"/>
    <w:rsid w:val="006F41D4"/>
    <w:rsid w:val="006F4741"/>
    <w:rsid w:val="006F4991"/>
    <w:rsid w:val="006F4BF8"/>
    <w:rsid w:val="006F51A9"/>
    <w:rsid w:val="006F5DE1"/>
    <w:rsid w:val="006F5E32"/>
    <w:rsid w:val="006F6979"/>
    <w:rsid w:val="006F6A7D"/>
    <w:rsid w:val="006F707A"/>
    <w:rsid w:val="006F79F9"/>
    <w:rsid w:val="006F7AFB"/>
    <w:rsid w:val="00700052"/>
    <w:rsid w:val="007001D0"/>
    <w:rsid w:val="00700AF4"/>
    <w:rsid w:val="00700E44"/>
    <w:rsid w:val="00701469"/>
    <w:rsid w:val="00701518"/>
    <w:rsid w:val="00701A4B"/>
    <w:rsid w:val="00702ACF"/>
    <w:rsid w:val="00702E05"/>
    <w:rsid w:val="00702F57"/>
    <w:rsid w:val="00703B2C"/>
    <w:rsid w:val="00703C25"/>
    <w:rsid w:val="00703E82"/>
    <w:rsid w:val="007043CE"/>
    <w:rsid w:val="00704DD9"/>
    <w:rsid w:val="00704F31"/>
    <w:rsid w:val="0070517F"/>
    <w:rsid w:val="007054F2"/>
    <w:rsid w:val="007060B3"/>
    <w:rsid w:val="007077E9"/>
    <w:rsid w:val="00707D39"/>
    <w:rsid w:val="00710171"/>
    <w:rsid w:val="007105B5"/>
    <w:rsid w:val="00710D8A"/>
    <w:rsid w:val="00711281"/>
    <w:rsid w:val="007119F8"/>
    <w:rsid w:val="00711A99"/>
    <w:rsid w:val="00711B0D"/>
    <w:rsid w:val="007128CA"/>
    <w:rsid w:val="00712C6B"/>
    <w:rsid w:val="00713E12"/>
    <w:rsid w:val="00714AB0"/>
    <w:rsid w:val="00715036"/>
    <w:rsid w:val="007154E8"/>
    <w:rsid w:val="007155B4"/>
    <w:rsid w:val="00715BF3"/>
    <w:rsid w:val="00716262"/>
    <w:rsid w:val="0071646B"/>
    <w:rsid w:val="00716D8E"/>
    <w:rsid w:val="00717289"/>
    <w:rsid w:val="007177F7"/>
    <w:rsid w:val="00720F6E"/>
    <w:rsid w:val="00721AA3"/>
    <w:rsid w:val="00721C2D"/>
    <w:rsid w:val="00721EB0"/>
    <w:rsid w:val="007223EE"/>
    <w:rsid w:val="00722C1B"/>
    <w:rsid w:val="0072302F"/>
    <w:rsid w:val="007235A2"/>
    <w:rsid w:val="00723BD1"/>
    <w:rsid w:val="00723D87"/>
    <w:rsid w:val="0072440F"/>
    <w:rsid w:val="0072458B"/>
    <w:rsid w:val="007247A4"/>
    <w:rsid w:val="00724B06"/>
    <w:rsid w:val="0072558E"/>
    <w:rsid w:val="00725B4F"/>
    <w:rsid w:val="00725DFC"/>
    <w:rsid w:val="00725FB5"/>
    <w:rsid w:val="00726130"/>
    <w:rsid w:val="007261A8"/>
    <w:rsid w:val="0072642B"/>
    <w:rsid w:val="00727458"/>
    <w:rsid w:val="00727823"/>
    <w:rsid w:val="00727CEC"/>
    <w:rsid w:val="00730FE3"/>
    <w:rsid w:val="00731B98"/>
    <w:rsid w:val="00731F0A"/>
    <w:rsid w:val="007329C5"/>
    <w:rsid w:val="00732A2D"/>
    <w:rsid w:val="00732D9A"/>
    <w:rsid w:val="0073369C"/>
    <w:rsid w:val="007340A6"/>
    <w:rsid w:val="007346D4"/>
    <w:rsid w:val="00734CB5"/>
    <w:rsid w:val="00734E58"/>
    <w:rsid w:val="00734FC3"/>
    <w:rsid w:val="00736240"/>
    <w:rsid w:val="007364FD"/>
    <w:rsid w:val="00736DB3"/>
    <w:rsid w:val="007371BE"/>
    <w:rsid w:val="00737ED2"/>
    <w:rsid w:val="007405B5"/>
    <w:rsid w:val="00740BE4"/>
    <w:rsid w:val="007415ED"/>
    <w:rsid w:val="00741743"/>
    <w:rsid w:val="00742A52"/>
    <w:rsid w:val="00742D53"/>
    <w:rsid w:val="007430D0"/>
    <w:rsid w:val="007433EA"/>
    <w:rsid w:val="00743659"/>
    <w:rsid w:val="007439D0"/>
    <w:rsid w:val="007440A3"/>
    <w:rsid w:val="0074485D"/>
    <w:rsid w:val="00744953"/>
    <w:rsid w:val="00744A27"/>
    <w:rsid w:val="007454F8"/>
    <w:rsid w:val="00745CF6"/>
    <w:rsid w:val="00745D4D"/>
    <w:rsid w:val="00745E41"/>
    <w:rsid w:val="007477F4"/>
    <w:rsid w:val="007502AD"/>
    <w:rsid w:val="00750594"/>
    <w:rsid w:val="007508B4"/>
    <w:rsid w:val="00750D5F"/>
    <w:rsid w:val="00750F19"/>
    <w:rsid w:val="007515DA"/>
    <w:rsid w:val="007515FD"/>
    <w:rsid w:val="00751949"/>
    <w:rsid w:val="0075201D"/>
    <w:rsid w:val="00752062"/>
    <w:rsid w:val="007525E1"/>
    <w:rsid w:val="007527A4"/>
    <w:rsid w:val="00752A91"/>
    <w:rsid w:val="00753239"/>
    <w:rsid w:val="0075352B"/>
    <w:rsid w:val="007538CF"/>
    <w:rsid w:val="0075415B"/>
    <w:rsid w:val="00754302"/>
    <w:rsid w:val="007547B8"/>
    <w:rsid w:val="007553EF"/>
    <w:rsid w:val="0075547C"/>
    <w:rsid w:val="00755571"/>
    <w:rsid w:val="00755B82"/>
    <w:rsid w:val="007565E8"/>
    <w:rsid w:val="00756C5E"/>
    <w:rsid w:val="00756DE3"/>
    <w:rsid w:val="00757260"/>
    <w:rsid w:val="00757502"/>
    <w:rsid w:val="00757E23"/>
    <w:rsid w:val="0076030B"/>
    <w:rsid w:val="007608C8"/>
    <w:rsid w:val="00760ADC"/>
    <w:rsid w:val="00760AE1"/>
    <w:rsid w:val="00760C5F"/>
    <w:rsid w:val="007614E0"/>
    <w:rsid w:val="0076282E"/>
    <w:rsid w:val="0076298C"/>
    <w:rsid w:val="00762AAE"/>
    <w:rsid w:val="00762D28"/>
    <w:rsid w:val="0076327D"/>
    <w:rsid w:val="00763679"/>
    <w:rsid w:val="007639B0"/>
    <w:rsid w:val="00763B76"/>
    <w:rsid w:val="00764399"/>
    <w:rsid w:val="007645C9"/>
    <w:rsid w:val="007646E9"/>
    <w:rsid w:val="007648FE"/>
    <w:rsid w:val="00764B87"/>
    <w:rsid w:val="007652BC"/>
    <w:rsid w:val="00765447"/>
    <w:rsid w:val="00765678"/>
    <w:rsid w:val="00765904"/>
    <w:rsid w:val="00766B32"/>
    <w:rsid w:val="00766C9C"/>
    <w:rsid w:val="00767B0A"/>
    <w:rsid w:val="00767EF9"/>
    <w:rsid w:val="007703CB"/>
    <w:rsid w:val="00770B04"/>
    <w:rsid w:val="0077135F"/>
    <w:rsid w:val="00771375"/>
    <w:rsid w:val="00773191"/>
    <w:rsid w:val="00773B4C"/>
    <w:rsid w:val="00773E7F"/>
    <w:rsid w:val="00774214"/>
    <w:rsid w:val="007744B4"/>
    <w:rsid w:val="00774C36"/>
    <w:rsid w:val="00774FB5"/>
    <w:rsid w:val="00774FCE"/>
    <w:rsid w:val="00775578"/>
    <w:rsid w:val="00775A77"/>
    <w:rsid w:val="00775E92"/>
    <w:rsid w:val="0077605E"/>
    <w:rsid w:val="00776521"/>
    <w:rsid w:val="00776630"/>
    <w:rsid w:val="00776B6D"/>
    <w:rsid w:val="00776E31"/>
    <w:rsid w:val="00776EAB"/>
    <w:rsid w:val="00777211"/>
    <w:rsid w:val="00777529"/>
    <w:rsid w:val="00777D3B"/>
    <w:rsid w:val="00777E8F"/>
    <w:rsid w:val="007806D2"/>
    <w:rsid w:val="007811C9"/>
    <w:rsid w:val="00782485"/>
    <w:rsid w:val="00782585"/>
    <w:rsid w:val="0078297B"/>
    <w:rsid w:val="00783696"/>
    <w:rsid w:val="00783A89"/>
    <w:rsid w:val="00783CCF"/>
    <w:rsid w:val="007847A6"/>
    <w:rsid w:val="00784B3F"/>
    <w:rsid w:val="00784BB5"/>
    <w:rsid w:val="00785092"/>
    <w:rsid w:val="0078587A"/>
    <w:rsid w:val="00785AA6"/>
    <w:rsid w:val="007871CD"/>
    <w:rsid w:val="007871D4"/>
    <w:rsid w:val="00787409"/>
    <w:rsid w:val="00787625"/>
    <w:rsid w:val="00787B35"/>
    <w:rsid w:val="00787BC8"/>
    <w:rsid w:val="00790795"/>
    <w:rsid w:val="007908CC"/>
    <w:rsid w:val="00790DB1"/>
    <w:rsid w:val="00791F7C"/>
    <w:rsid w:val="0079269C"/>
    <w:rsid w:val="00792ECD"/>
    <w:rsid w:val="007933A1"/>
    <w:rsid w:val="00793E2D"/>
    <w:rsid w:val="00793E68"/>
    <w:rsid w:val="00793F75"/>
    <w:rsid w:val="0079469F"/>
    <w:rsid w:val="00794884"/>
    <w:rsid w:val="0079498A"/>
    <w:rsid w:val="00794A08"/>
    <w:rsid w:val="007953C8"/>
    <w:rsid w:val="00796015"/>
    <w:rsid w:val="007966EF"/>
    <w:rsid w:val="00796D8D"/>
    <w:rsid w:val="00797783"/>
    <w:rsid w:val="00797D7F"/>
    <w:rsid w:val="007A0051"/>
    <w:rsid w:val="007A02BB"/>
    <w:rsid w:val="007A0748"/>
    <w:rsid w:val="007A1589"/>
    <w:rsid w:val="007A1BCB"/>
    <w:rsid w:val="007A1C92"/>
    <w:rsid w:val="007A21C9"/>
    <w:rsid w:val="007A2452"/>
    <w:rsid w:val="007A254F"/>
    <w:rsid w:val="007A2855"/>
    <w:rsid w:val="007A2C1F"/>
    <w:rsid w:val="007A2C69"/>
    <w:rsid w:val="007A311F"/>
    <w:rsid w:val="007A33C8"/>
    <w:rsid w:val="007A3496"/>
    <w:rsid w:val="007A397A"/>
    <w:rsid w:val="007A3C8D"/>
    <w:rsid w:val="007A4397"/>
    <w:rsid w:val="007A44BF"/>
    <w:rsid w:val="007A4C99"/>
    <w:rsid w:val="007A54BB"/>
    <w:rsid w:val="007A5928"/>
    <w:rsid w:val="007A5955"/>
    <w:rsid w:val="007A5CAF"/>
    <w:rsid w:val="007A72B7"/>
    <w:rsid w:val="007A740F"/>
    <w:rsid w:val="007A7C8E"/>
    <w:rsid w:val="007B0313"/>
    <w:rsid w:val="007B0FDF"/>
    <w:rsid w:val="007B14DD"/>
    <w:rsid w:val="007B1879"/>
    <w:rsid w:val="007B188B"/>
    <w:rsid w:val="007B191F"/>
    <w:rsid w:val="007B23EE"/>
    <w:rsid w:val="007B28AA"/>
    <w:rsid w:val="007B29E1"/>
    <w:rsid w:val="007B3663"/>
    <w:rsid w:val="007B38A5"/>
    <w:rsid w:val="007B3941"/>
    <w:rsid w:val="007B3BCC"/>
    <w:rsid w:val="007B3F75"/>
    <w:rsid w:val="007B55AC"/>
    <w:rsid w:val="007B5AE5"/>
    <w:rsid w:val="007B5B8A"/>
    <w:rsid w:val="007B61D5"/>
    <w:rsid w:val="007B61E7"/>
    <w:rsid w:val="007B6231"/>
    <w:rsid w:val="007B627F"/>
    <w:rsid w:val="007B63C2"/>
    <w:rsid w:val="007B6410"/>
    <w:rsid w:val="007B66C3"/>
    <w:rsid w:val="007B6AD1"/>
    <w:rsid w:val="007B752C"/>
    <w:rsid w:val="007B754F"/>
    <w:rsid w:val="007C0400"/>
    <w:rsid w:val="007C080C"/>
    <w:rsid w:val="007C13E6"/>
    <w:rsid w:val="007C1985"/>
    <w:rsid w:val="007C1E8F"/>
    <w:rsid w:val="007C2530"/>
    <w:rsid w:val="007C2539"/>
    <w:rsid w:val="007C3619"/>
    <w:rsid w:val="007C36F4"/>
    <w:rsid w:val="007C3E38"/>
    <w:rsid w:val="007C3E80"/>
    <w:rsid w:val="007C4F42"/>
    <w:rsid w:val="007C5318"/>
    <w:rsid w:val="007C57B7"/>
    <w:rsid w:val="007C5865"/>
    <w:rsid w:val="007C588B"/>
    <w:rsid w:val="007C5F3F"/>
    <w:rsid w:val="007C5FC4"/>
    <w:rsid w:val="007C7EBE"/>
    <w:rsid w:val="007D066A"/>
    <w:rsid w:val="007D0702"/>
    <w:rsid w:val="007D0C77"/>
    <w:rsid w:val="007D0F0D"/>
    <w:rsid w:val="007D1207"/>
    <w:rsid w:val="007D1821"/>
    <w:rsid w:val="007D1DCB"/>
    <w:rsid w:val="007D234A"/>
    <w:rsid w:val="007D27F4"/>
    <w:rsid w:val="007D2AC5"/>
    <w:rsid w:val="007D2D63"/>
    <w:rsid w:val="007D2EDF"/>
    <w:rsid w:val="007D3A37"/>
    <w:rsid w:val="007D3B04"/>
    <w:rsid w:val="007D3B52"/>
    <w:rsid w:val="007D4133"/>
    <w:rsid w:val="007D413F"/>
    <w:rsid w:val="007D453A"/>
    <w:rsid w:val="007D4F8E"/>
    <w:rsid w:val="007D55F4"/>
    <w:rsid w:val="007D58FC"/>
    <w:rsid w:val="007D5F7B"/>
    <w:rsid w:val="007D6F90"/>
    <w:rsid w:val="007D7218"/>
    <w:rsid w:val="007D7498"/>
    <w:rsid w:val="007D7750"/>
    <w:rsid w:val="007D7884"/>
    <w:rsid w:val="007D790C"/>
    <w:rsid w:val="007E0040"/>
    <w:rsid w:val="007E0162"/>
    <w:rsid w:val="007E06CC"/>
    <w:rsid w:val="007E0B5B"/>
    <w:rsid w:val="007E1508"/>
    <w:rsid w:val="007E17DC"/>
    <w:rsid w:val="007E1820"/>
    <w:rsid w:val="007E1A83"/>
    <w:rsid w:val="007E229E"/>
    <w:rsid w:val="007E24A7"/>
    <w:rsid w:val="007E25E0"/>
    <w:rsid w:val="007E3747"/>
    <w:rsid w:val="007E37B2"/>
    <w:rsid w:val="007E3A6C"/>
    <w:rsid w:val="007E3C31"/>
    <w:rsid w:val="007E3CD5"/>
    <w:rsid w:val="007E4E3B"/>
    <w:rsid w:val="007E55F9"/>
    <w:rsid w:val="007E588E"/>
    <w:rsid w:val="007E5BC2"/>
    <w:rsid w:val="007E668D"/>
    <w:rsid w:val="007E67B3"/>
    <w:rsid w:val="007E69B7"/>
    <w:rsid w:val="007F0CAF"/>
    <w:rsid w:val="007F2B2C"/>
    <w:rsid w:val="007F3416"/>
    <w:rsid w:val="007F34E7"/>
    <w:rsid w:val="007F36A0"/>
    <w:rsid w:val="007F37A1"/>
    <w:rsid w:val="007F38D1"/>
    <w:rsid w:val="007F3F3C"/>
    <w:rsid w:val="007F4AEA"/>
    <w:rsid w:val="007F4D16"/>
    <w:rsid w:val="007F524F"/>
    <w:rsid w:val="007F568A"/>
    <w:rsid w:val="007F5B1F"/>
    <w:rsid w:val="007F6110"/>
    <w:rsid w:val="007F68B9"/>
    <w:rsid w:val="007F700F"/>
    <w:rsid w:val="00800592"/>
    <w:rsid w:val="008006B5"/>
    <w:rsid w:val="00800E2E"/>
    <w:rsid w:val="00801962"/>
    <w:rsid w:val="00801BAE"/>
    <w:rsid w:val="0080271D"/>
    <w:rsid w:val="0080333D"/>
    <w:rsid w:val="008038CA"/>
    <w:rsid w:val="00804EC9"/>
    <w:rsid w:val="00805341"/>
    <w:rsid w:val="008058BE"/>
    <w:rsid w:val="00805ACD"/>
    <w:rsid w:val="00806390"/>
    <w:rsid w:val="00806817"/>
    <w:rsid w:val="008075C3"/>
    <w:rsid w:val="00807F58"/>
    <w:rsid w:val="00810302"/>
    <w:rsid w:val="008106B6"/>
    <w:rsid w:val="008108B2"/>
    <w:rsid w:val="00810DCB"/>
    <w:rsid w:val="00811287"/>
    <w:rsid w:val="008112D5"/>
    <w:rsid w:val="008114EC"/>
    <w:rsid w:val="00811701"/>
    <w:rsid w:val="008126FE"/>
    <w:rsid w:val="00812766"/>
    <w:rsid w:val="008129D2"/>
    <w:rsid w:val="00812A66"/>
    <w:rsid w:val="00812D41"/>
    <w:rsid w:val="00813210"/>
    <w:rsid w:val="008133C3"/>
    <w:rsid w:val="008134C8"/>
    <w:rsid w:val="008143DB"/>
    <w:rsid w:val="008143EB"/>
    <w:rsid w:val="008143F1"/>
    <w:rsid w:val="00814456"/>
    <w:rsid w:val="00814724"/>
    <w:rsid w:val="008147F1"/>
    <w:rsid w:val="008153F3"/>
    <w:rsid w:val="008155B5"/>
    <w:rsid w:val="0081598E"/>
    <w:rsid w:val="00815D65"/>
    <w:rsid w:val="0081630E"/>
    <w:rsid w:val="00816604"/>
    <w:rsid w:val="008169F2"/>
    <w:rsid w:val="00816A87"/>
    <w:rsid w:val="00817986"/>
    <w:rsid w:val="008179A7"/>
    <w:rsid w:val="008179D3"/>
    <w:rsid w:val="00817FB2"/>
    <w:rsid w:val="00820284"/>
    <w:rsid w:val="008206EA"/>
    <w:rsid w:val="0082101B"/>
    <w:rsid w:val="0082122F"/>
    <w:rsid w:val="008212B5"/>
    <w:rsid w:val="00821379"/>
    <w:rsid w:val="00821BE2"/>
    <w:rsid w:val="0082214B"/>
    <w:rsid w:val="00822887"/>
    <w:rsid w:val="00822BD7"/>
    <w:rsid w:val="00822DF6"/>
    <w:rsid w:val="008233EF"/>
    <w:rsid w:val="00823585"/>
    <w:rsid w:val="00823BA9"/>
    <w:rsid w:val="0082454B"/>
    <w:rsid w:val="00824B6D"/>
    <w:rsid w:val="008259F8"/>
    <w:rsid w:val="0082606E"/>
    <w:rsid w:val="00826780"/>
    <w:rsid w:val="008268A3"/>
    <w:rsid w:val="00826997"/>
    <w:rsid w:val="0082748D"/>
    <w:rsid w:val="008275A8"/>
    <w:rsid w:val="00827930"/>
    <w:rsid w:val="008302DC"/>
    <w:rsid w:val="00830A28"/>
    <w:rsid w:val="00830AB4"/>
    <w:rsid w:val="0083264A"/>
    <w:rsid w:val="00832743"/>
    <w:rsid w:val="0083291C"/>
    <w:rsid w:val="00834218"/>
    <w:rsid w:val="00834281"/>
    <w:rsid w:val="00834700"/>
    <w:rsid w:val="00834D60"/>
    <w:rsid w:val="00835001"/>
    <w:rsid w:val="008350EC"/>
    <w:rsid w:val="00835C0C"/>
    <w:rsid w:val="00835C4D"/>
    <w:rsid w:val="008360B2"/>
    <w:rsid w:val="00836374"/>
    <w:rsid w:val="008364CB"/>
    <w:rsid w:val="00837CE6"/>
    <w:rsid w:val="0084037E"/>
    <w:rsid w:val="008403EA"/>
    <w:rsid w:val="00840D6B"/>
    <w:rsid w:val="0084153F"/>
    <w:rsid w:val="008428D1"/>
    <w:rsid w:val="00842942"/>
    <w:rsid w:val="00842987"/>
    <w:rsid w:val="00842F3B"/>
    <w:rsid w:val="008434FC"/>
    <w:rsid w:val="00843CA7"/>
    <w:rsid w:val="00844687"/>
    <w:rsid w:val="0084483E"/>
    <w:rsid w:val="00844A10"/>
    <w:rsid w:val="00845453"/>
    <w:rsid w:val="00845493"/>
    <w:rsid w:val="00846A5E"/>
    <w:rsid w:val="00846F84"/>
    <w:rsid w:val="00847025"/>
    <w:rsid w:val="00847BB0"/>
    <w:rsid w:val="008500FF"/>
    <w:rsid w:val="00850113"/>
    <w:rsid w:val="008504E2"/>
    <w:rsid w:val="008505CA"/>
    <w:rsid w:val="008512C3"/>
    <w:rsid w:val="00851538"/>
    <w:rsid w:val="00851608"/>
    <w:rsid w:val="00851813"/>
    <w:rsid w:val="00851883"/>
    <w:rsid w:val="00851A93"/>
    <w:rsid w:val="00851D69"/>
    <w:rsid w:val="00852247"/>
    <w:rsid w:val="00852BB8"/>
    <w:rsid w:val="00852D1E"/>
    <w:rsid w:val="00853069"/>
    <w:rsid w:val="008531C4"/>
    <w:rsid w:val="00853383"/>
    <w:rsid w:val="008539D6"/>
    <w:rsid w:val="00854D52"/>
    <w:rsid w:val="00854EA6"/>
    <w:rsid w:val="00854FDA"/>
    <w:rsid w:val="0085512D"/>
    <w:rsid w:val="0085546F"/>
    <w:rsid w:val="00855838"/>
    <w:rsid w:val="0085589E"/>
    <w:rsid w:val="00855D57"/>
    <w:rsid w:val="00856735"/>
    <w:rsid w:val="00856D19"/>
    <w:rsid w:val="008577CC"/>
    <w:rsid w:val="00857C14"/>
    <w:rsid w:val="00857FB6"/>
    <w:rsid w:val="00860B86"/>
    <w:rsid w:val="008619CE"/>
    <w:rsid w:val="00861CC7"/>
    <w:rsid w:val="00862743"/>
    <w:rsid w:val="008627C1"/>
    <w:rsid w:val="00863147"/>
    <w:rsid w:val="00863B46"/>
    <w:rsid w:val="00863EEE"/>
    <w:rsid w:val="008640BD"/>
    <w:rsid w:val="0086425D"/>
    <w:rsid w:val="00864431"/>
    <w:rsid w:val="008644DF"/>
    <w:rsid w:val="00864FB3"/>
    <w:rsid w:val="00865A5B"/>
    <w:rsid w:val="00865CC1"/>
    <w:rsid w:val="00866376"/>
    <w:rsid w:val="00866846"/>
    <w:rsid w:val="00866D42"/>
    <w:rsid w:val="00867A51"/>
    <w:rsid w:val="00867AEA"/>
    <w:rsid w:val="00867F0F"/>
    <w:rsid w:val="00867F9E"/>
    <w:rsid w:val="0087004A"/>
    <w:rsid w:val="00870563"/>
    <w:rsid w:val="00870CA9"/>
    <w:rsid w:val="00871DE7"/>
    <w:rsid w:val="00873D03"/>
    <w:rsid w:val="00873E50"/>
    <w:rsid w:val="008748AB"/>
    <w:rsid w:val="00874B7E"/>
    <w:rsid w:val="00875138"/>
    <w:rsid w:val="008751C4"/>
    <w:rsid w:val="008752F1"/>
    <w:rsid w:val="008755C2"/>
    <w:rsid w:val="00876267"/>
    <w:rsid w:val="00876CC8"/>
    <w:rsid w:val="008775A6"/>
    <w:rsid w:val="00877E6E"/>
    <w:rsid w:val="00877F53"/>
    <w:rsid w:val="00880141"/>
    <w:rsid w:val="008801E4"/>
    <w:rsid w:val="008803AD"/>
    <w:rsid w:val="00880E59"/>
    <w:rsid w:val="00880F7A"/>
    <w:rsid w:val="00880F7F"/>
    <w:rsid w:val="00881B76"/>
    <w:rsid w:val="00881F45"/>
    <w:rsid w:val="008820BF"/>
    <w:rsid w:val="008824E3"/>
    <w:rsid w:val="00883375"/>
    <w:rsid w:val="008841DE"/>
    <w:rsid w:val="008843B2"/>
    <w:rsid w:val="0088466B"/>
    <w:rsid w:val="008846BB"/>
    <w:rsid w:val="00884D07"/>
    <w:rsid w:val="00885A85"/>
    <w:rsid w:val="00885BE8"/>
    <w:rsid w:val="00886F3C"/>
    <w:rsid w:val="00887396"/>
    <w:rsid w:val="00887AF4"/>
    <w:rsid w:val="00887CC6"/>
    <w:rsid w:val="00887FB3"/>
    <w:rsid w:val="00890245"/>
    <w:rsid w:val="00890B78"/>
    <w:rsid w:val="00890C93"/>
    <w:rsid w:val="00890FCC"/>
    <w:rsid w:val="0089108E"/>
    <w:rsid w:val="00891337"/>
    <w:rsid w:val="008919C1"/>
    <w:rsid w:val="00891A0A"/>
    <w:rsid w:val="00891A8D"/>
    <w:rsid w:val="00891BDE"/>
    <w:rsid w:val="0089216E"/>
    <w:rsid w:val="008923A4"/>
    <w:rsid w:val="00892D5E"/>
    <w:rsid w:val="008930B3"/>
    <w:rsid w:val="0089351D"/>
    <w:rsid w:val="00893742"/>
    <w:rsid w:val="00893BA4"/>
    <w:rsid w:val="00893ED2"/>
    <w:rsid w:val="00894948"/>
    <w:rsid w:val="00895537"/>
    <w:rsid w:val="0089584F"/>
    <w:rsid w:val="00895AA4"/>
    <w:rsid w:val="00895BB1"/>
    <w:rsid w:val="008966C9"/>
    <w:rsid w:val="008969F1"/>
    <w:rsid w:val="00896E9B"/>
    <w:rsid w:val="00896FD5"/>
    <w:rsid w:val="008978F8"/>
    <w:rsid w:val="0089792F"/>
    <w:rsid w:val="008A0937"/>
    <w:rsid w:val="008A0C1A"/>
    <w:rsid w:val="008A0F26"/>
    <w:rsid w:val="008A1299"/>
    <w:rsid w:val="008A1500"/>
    <w:rsid w:val="008A1AC1"/>
    <w:rsid w:val="008A1D1A"/>
    <w:rsid w:val="008A1E2E"/>
    <w:rsid w:val="008A2177"/>
    <w:rsid w:val="008A2C38"/>
    <w:rsid w:val="008A3361"/>
    <w:rsid w:val="008A4201"/>
    <w:rsid w:val="008A4587"/>
    <w:rsid w:val="008A4C6E"/>
    <w:rsid w:val="008A5811"/>
    <w:rsid w:val="008A5FCC"/>
    <w:rsid w:val="008A77AC"/>
    <w:rsid w:val="008B05E9"/>
    <w:rsid w:val="008B0747"/>
    <w:rsid w:val="008B095D"/>
    <w:rsid w:val="008B0D8C"/>
    <w:rsid w:val="008B0EB7"/>
    <w:rsid w:val="008B2981"/>
    <w:rsid w:val="008B2B29"/>
    <w:rsid w:val="008B2F51"/>
    <w:rsid w:val="008B3182"/>
    <w:rsid w:val="008B31CE"/>
    <w:rsid w:val="008B3397"/>
    <w:rsid w:val="008B380D"/>
    <w:rsid w:val="008B399F"/>
    <w:rsid w:val="008B3A55"/>
    <w:rsid w:val="008B4048"/>
    <w:rsid w:val="008B42FB"/>
    <w:rsid w:val="008B49BB"/>
    <w:rsid w:val="008B56B5"/>
    <w:rsid w:val="008B6F4C"/>
    <w:rsid w:val="008B76C4"/>
    <w:rsid w:val="008B7D21"/>
    <w:rsid w:val="008B7E7E"/>
    <w:rsid w:val="008C01C1"/>
    <w:rsid w:val="008C0452"/>
    <w:rsid w:val="008C074C"/>
    <w:rsid w:val="008C07A1"/>
    <w:rsid w:val="008C0AAC"/>
    <w:rsid w:val="008C0C37"/>
    <w:rsid w:val="008C17AC"/>
    <w:rsid w:val="008C1996"/>
    <w:rsid w:val="008C1DE9"/>
    <w:rsid w:val="008C1FDD"/>
    <w:rsid w:val="008C237F"/>
    <w:rsid w:val="008C239E"/>
    <w:rsid w:val="008C2508"/>
    <w:rsid w:val="008C2B39"/>
    <w:rsid w:val="008C3203"/>
    <w:rsid w:val="008C359D"/>
    <w:rsid w:val="008C389C"/>
    <w:rsid w:val="008C3C95"/>
    <w:rsid w:val="008C3EA7"/>
    <w:rsid w:val="008C48BB"/>
    <w:rsid w:val="008C50FE"/>
    <w:rsid w:val="008C5135"/>
    <w:rsid w:val="008C51F4"/>
    <w:rsid w:val="008C53CD"/>
    <w:rsid w:val="008C60DC"/>
    <w:rsid w:val="008C6179"/>
    <w:rsid w:val="008C61E3"/>
    <w:rsid w:val="008C62E8"/>
    <w:rsid w:val="008C63D6"/>
    <w:rsid w:val="008C6405"/>
    <w:rsid w:val="008C647B"/>
    <w:rsid w:val="008C6762"/>
    <w:rsid w:val="008C68A9"/>
    <w:rsid w:val="008C6D5C"/>
    <w:rsid w:val="008C79EF"/>
    <w:rsid w:val="008C7A72"/>
    <w:rsid w:val="008C7B76"/>
    <w:rsid w:val="008D0746"/>
    <w:rsid w:val="008D0AE4"/>
    <w:rsid w:val="008D0E2E"/>
    <w:rsid w:val="008D2294"/>
    <w:rsid w:val="008D22C6"/>
    <w:rsid w:val="008D2994"/>
    <w:rsid w:val="008D29C0"/>
    <w:rsid w:val="008D2ADE"/>
    <w:rsid w:val="008D328E"/>
    <w:rsid w:val="008D34B8"/>
    <w:rsid w:val="008D391A"/>
    <w:rsid w:val="008D3B66"/>
    <w:rsid w:val="008D407E"/>
    <w:rsid w:val="008D418A"/>
    <w:rsid w:val="008D440B"/>
    <w:rsid w:val="008D48B3"/>
    <w:rsid w:val="008D4C40"/>
    <w:rsid w:val="008D4C64"/>
    <w:rsid w:val="008D5784"/>
    <w:rsid w:val="008D59AA"/>
    <w:rsid w:val="008D6901"/>
    <w:rsid w:val="008D75E9"/>
    <w:rsid w:val="008D7DAB"/>
    <w:rsid w:val="008E060F"/>
    <w:rsid w:val="008E0969"/>
    <w:rsid w:val="008E0C86"/>
    <w:rsid w:val="008E2693"/>
    <w:rsid w:val="008E2DF0"/>
    <w:rsid w:val="008E341B"/>
    <w:rsid w:val="008E3D40"/>
    <w:rsid w:val="008E55AF"/>
    <w:rsid w:val="008E5F4F"/>
    <w:rsid w:val="008E5FD5"/>
    <w:rsid w:val="008E652D"/>
    <w:rsid w:val="008E65C4"/>
    <w:rsid w:val="008E6D34"/>
    <w:rsid w:val="008E75C5"/>
    <w:rsid w:val="008E7651"/>
    <w:rsid w:val="008E7E8F"/>
    <w:rsid w:val="008F0703"/>
    <w:rsid w:val="008F1097"/>
    <w:rsid w:val="008F12EE"/>
    <w:rsid w:val="008F14BE"/>
    <w:rsid w:val="008F19F1"/>
    <w:rsid w:val="008F1A67"/>
    <w:rsid w:val="008F22E6"/>
    <w:rsid w:val="008F24E1"/>
    <w:rsid w:val="008F2CE2"/>
    <w:rsid w:val="008F2F31"/>
    <w:rsid w:val="008F35E9"/>
    <w:rsid w:val="008F3BEB"/>
    <w:rsid w:val="008F3CD2"/>
    <w:rsid w:val="008F4911"/>
    <w:rsid w:val="008F5A90"/>
    <w:rsid w:val="008F67BD"/>
    <w:rsid w:val="008F6920"/>
    <w:rsid w:val="008F6A60"/>
    <w:rsid w:val="008F726E"/>
    <w:rsid w:val="008F7C84"/>
    <w:rsid w:val="00900333"/>
    <w:rsid w:val="00900590"/>
    <w:rsid w:val="00900A49"/>
    <w:rsid w:val="00901018"/>
    <w:rsid w:val="00901814"/>
    <w:rsid w:val="0090192E"/>
    <w:rsid w:val="00901ED2"/>
    <w:rsid w:val="0090208F"/>
    <w:rsid w:val="009023F6"/>
    <w:rsid w:val="00904A53"/>
    <w:rsid w:val="0090548C"/>
    <w:rsid w:val="00905874"/>
    <w:rsid w:val="0090648D"/>
    <w:rsid w:val="00906749"/>
    <w:rsid w:val="009068C6"/>
    <w:rsid w:val="00907C88"/>
    <w:rsid w:val="00907CD6"/>
    <w:rsid w:val="00910845"/>
    <w:rsid w:val="00910AC4"/>
    <w:rsid w:val="00910B42"/>
    <w:rsid w:val="00910EE7"/>
    <w:rsid w:val="009125BB"/>
    <w:rsid w:val="00912698"/>
    <w:rsid w:val="00912C93"/>
    <w:rsid w:val="00912F99"/>
    <w:rsid w:val="00913787"/>
    <w:rsid w:val="009139D6"/>
    <w:rsid w:val="00913B09"/>
    <w:rsid w:val="00913C4C"/>
    <w:rsid w:val="00914055"/>
    <w:rsid w:val="00915281"/>
    <w:rsid w:val="0091551E"/>
    <w:rsid w:val="009156AD"/>
    <w:rsid w:val="00915805"/>
    <w:rsid w:val="00915895"/>
    <w:rsid w:val="00915CA2"/>
    <w:rsid w:val="00915FA5"/>
    <w:rsid w:val="00916064"/>
    <w:rsid w:val="00916748"/>
    <w:rsid w:val="00916CAF"/>
    <w:rsid w:val="00916DB0"/>
    <w:rsid w:val="00916E26"/>
    <w:rsid w:val="0091713D"/>
    <w:rsid w:val="009172DD"/>
    <w:rsid w:val="009177E2"/>
    <w:rsid w:val="00917DED"/>
    <w:rsid w:val="00920858"/>
    <w:rsid w:val="00920CDE"/>
    <w:rsid w:val="0092189D"/>
    <w:rsid w:val="00921EFE"/>
    <w:rsid w:val="0092223C"/>
    <w:rsid w:val="00922576"/>
    <w:rsid w:val="00922787"/>
    <w:rsid w:val="0092284E"/>
    <w:rsid w:val="00922B74"/>
    <w:rsid w:val="00923669"/>
    <w:rsid w:val="00924525"/>
    <w:rsid w:val="009246D4"/>
    <w:rsid w:val="00924920"/>
    <w:rsid w:val="00924B96"/>
    <w:rsid w:val="00924F54"/>
    <w:rsid w:val="0092606E"/>
    <w:rsid w:val="00926E36"/>
    <w:rsid w:val="00926E82"/>
    <w:rsid w:val="00927360"/>
    <w:rsid w:val="0092745C"/>
    <w:rsid w:val="00930C07"/>
    <w:rsid w:val="009313CD"/>
    <w:rsid w:val="009319F8"/>
    <w:rsid w:val="0093212F"/>
    <w:rsid w:val="00932779"/>
    <w:rsid w:val="0093291A"/>
    <w:rsid w:val="009329D0"/>
    <w:rsid w:val="0093313E"/>
    <w:rsid w:val="009339B1"/>
    <w:rsid w:val="00933FD2"/>
    <w:rsid w:val="00934085"/>
    <w:rsid w:val="009343D5"/>
    <w:rsid w:val="0093491A"/>
    <w:rsid w:val="00935B8A"/>
    <w:rsid w:val="00935C6B"/>
    <w:rsid w:val="00935E84"/>
    <w:rsid w:val="00935EB0"/>
    <w:rsid w:val="009363EF"/>
    <w:rsid w:val="00936786"/>
    <w:rsid w:val="00936CB0"/>
    <w:rsid w:val="00937982"/>
    <w:rsid w:val="00937B71"/>
    <w:rsid w:val="00940A8B"/>
    <w:rsid w:val="00940BFD"/>
    <w:rsid w:val="00940F49"/>
    <w:rsid w:val="009419E8"/>
    <w:rsid w:val="00941A68"/>
    <w:rsid w:val="00942081"/>
    <w:rsid w:val="009423D6"/>
    <w:rsid w:val="00942564"/>
    <w:rsid w:val="0094269C"/>
    <w:rsid w:val="00942B46"/>
    <w:rsid w:val="00942D2F"/>
    <w:rsid w:val="0094316C"/>
    <w:rsid w:val="00943AC3"/>
    <w:rsid w:val="00944593"/>
    <w:rsid w:val="009451A9"/>
    <w:rsid w:val="00946764"/>
    <w:rsid w:val="00946ED2"/>
    <w:rsid w:val="00947099"/>
    <w:rsid w:val="0094722E"/>
    <w:rsid w:val="00947B1A"/>
    <w:rsid w:val="00947F39"/>
    <w:rsid w:val="00950900"/>
    <w:rsid w:val="009520C4"/>
    <w:rsid w:val="0095290C"/>
    <w:rsid w:val="00952C64"/>
    <w:rsid w:val="009530DE"/>
    <w:rsid w:val="0095370A"/>
    <w:rsid w:val="009537E3"/>
    <w:rsid w:val="00953891"/>
    <w:rsid w:val="00953CE3"/>
    <w:rsid w:val="00953E14"/>
    <w:rsid w:val="00953F17"/>
    <w:rsid w:val="009546DE"/>
    <w:rsid w:val="009547DD"/>
    <w:rsid w:val="00954AA4"/>
    <w:rsid w:val="009552AB"/>
    <w:rsid w:val="009557FD"/>
    <w:rsid w:val="00957493"/>
    <w:rsid w:val="00957859"/>
    <w:rsid w:val="00957E1D"/>
    <w:rsid w:val="0096005E"/>
    <w:rsid w:val="009608C8"/>
    <w:rsid w:val="00960EB6"/>
    <w:rsid w:val="009610D7"/>
    <w:rsid w:val="00961557"/>
    <w:rsid w:val="009615B2"/>
    <w:rsid w:val="0096239B"/>
    <w:rsid w:val="009625E3"/>
    <w:rsid w:val="00962B47"/>
    <w:rsid w:val="00962DB6"/>
    <w:rsid w:val="00962DEC"/>
    <w:rsid w:val="00963186"/>
    <w:rsid w:val="009639D1"/>
    <w:rsid w:val="0096401C"/>
    <w:rsid w:val="0096411E"/>
    <w:rsid w:val="00964780"/>
    <w:rsid w:val="00964DC3"/>
    <w:rsid w:val="00964DF5"/>
    <w:rsid w:val="00965416"/>
    <w:rsid w:val="00965B36"/>
    <w:rsid w:val="00966079"/>
    <w:rsid w:val="00966D2F"/>
    <w:rsid w:val="00966DA9"/>
    <w:rsid w:val="00966E1A"/>
    <w:rsid w:val="00967121"/>
    <w:rsid w:val="00967448"/>
    <w:rsid w:val="009703DC"/>
    <w:rsid w:val="0097163B"/>
    <w:rsid w:val="0097182A"/>
    <w:rsid w:val="009718AC"/>
    <w:rsid w:val="00971967"/>
    <w:rsid w:val="00971C52"/>
    <w:rsid w:val="00971E56"/>
    <w:rsid w:val="00971FF5"/>
    <w:rsid w:val="009720FE"/>
    <w:rsid w:val="00972902"/>
    <w:rsid w:val="00973466"/>
    <w:rsid w:val="0097349C"/>
    <w:rsid w:val="00973550"/>
    <w:rsid w:val="00973773"/>
    <w:rsid w:val="009748DA"/>
    <w:rsid w:val="00975140"/>
    <w:rsid w:val="009751F1"/>
    <w:rsid w:val="00975359"/>
    <w:rsid w:val="009759C8"/>
    <w:rsid w:val="009767FC"/>
    <w:rsid w:val="009769E9"/>
    <w:rsid w:val="00976A35"/>
    <w:rsid w:val="009776F7"/>
    <w:rsid w:val="00977952"/>
    <w:rsid w:val="00977B4D"/>
    <w:rsid w:val="009800E0"/>
    <w:rsid w:val="00980F78"/>
    <w:rsid w:val="00981360"/>
    <w:rsid w:val="00982237"/>
    <w:rsid w:val="00982523"/>
    <w:rsid w:val="00982A14"/>
    <w:rsid w:val="00982C0F"/>
    <w:rsid w:val="00982F42"/>
    <w:rsid w:val="009838A2"/>
    <w:rsid w:val="00983CB0"/>
    <w:rsid w:val="0098408F"/>
    <w:rsid w:val="00984CE0"/>
    <w:rsid w:val="0098514C"/>
    <w:rsid w:val="0098542F"/>
    <w:rsid w:val="0098568C"/>
    <w:rsid w:val="00986020"/>
    <w:rsid w:val="0098606B"/>
    <w:rsid w:val="00986926"/>
    <w:rsid w:val="00986AB6"/>
    <w:rsid w:val="00987256"/>
    <w:rsid w:val="0098766D"/>
    <w:rsid w:val="00987A3C"/>
    <w:rsid w:val="00987DFE"/>
    <w:rsid w:val="00990294"/>
    <w:rsid w:val="00990DD2"/>
    <w:rsid w:val="0099210C"/>
    <w:rsid w:val="00992704"/>
    <w:rsid w:val="00992973"/>
    <w:rsid w:val="00992BA7"/>
    <w:rsid w:val="00993897"/>
    <w:rsid w:val="009941AD"/>
    <w:rsid w:val="00994BA5"/>
    <w:rsid w:val="00994C72"/>
    <w:rsid w:val="009950D9"/>
    <w:rsid w:val="00995AEF"/>
    <w:rsid w:val="009962A4"/>
    <w:rsid w:val="00996EE8"/>
    <w:rsid w:val="009973BE"/>
    <w:rsid w:val="009977B4"/>
    <w:rsid w:val="00997812"/>
    <w:rsid w:val="009A02BA"/>
    <w:rsid w:val="009A0781"/>
    <w:rsid w:val="009A0D41"/>
    <w:rsid w:val="009A1206"/>
    <w:rsid w:val="009A1AF3"/>
    <w:rsid w:val="009A1BBF"/>
    <w:rsid w:val="009A236A"/>
    <w:rsid w:val="009A2B11"/>
    <w:rsid w:val="009A345D"/>
    <w:rsid w:val="009A43A4"/>
    <w:rsid w:val="009A4908"/>
    <w:rsid w:val="009A5B06"/>
    <w:rsid w:val="009A608F"/>
    <w:rsid w:val="009A60E6"/>
    <w:rsid w:val="009A64F7"/>
    <w:rsid w:val="009A65CF"/>
    <w:rsid w:val="009A7108"/>
    <w:rsid w:val="009A75E1"/>
    <w:rsid w:val="009A7662"/>
    <w:rsid w:val="009A7AAC"/>
    <w:rsid w:val="009A7B0D"/>
    <w:rsid w:val="009B0099"/>
    <w:rsid w:val="009B0AB7"/>
    <w:rsid w:val="009B0B14"/>
    <w:rsid w:val="009B10EF"/>
    <w:rsid w:val="009B1732"/>
    <w:rsid w:val="009B239C"/>
    <w:rsid w:val="009B2AD6"/>
    <w:rsid w:val="009B2BC3"/>
    <w:rsid w:val="009B330E"/>
    <w:rsid w:val="009B3657"/>
    <w:rsid w:val="009B411E"/>
    <w:rsid w:val="009B4452"/>
    <w:rsid w:val="009B46F9"/>
    <w:rsid w:val="009B4D5A"/>
    <w:rsid w:val="009B5084"/>
    <w:rsid w:val="009B5CB2"/>
    <w:rsid w:val="009B616C"/>
    <w:rsid w:val="009B64D4"/>
    <w:rsid w:val="009B6A48"/>
    <w:rsid w:val="009B6F72"/>
    <w:rsid w:val="009B764A"/>
    <w:rsid w:val="009B783A"/>
    <w:rsid w:val="009B7C8E"/>
    <w:rsid w:val="009C02C8"/>
    <w:rsid w:val="009C075A"/>
    <w:rsid w:val="009C09EF"/>
    <w:rsid w:val="009C0A32"/>
    <w:rsid w:val="009C162F"/>
    <w:rsid w:val="009C1B7D"/>
    <w:rsid w:val="009C233E"/>
    <w:rsid w:val="009C2662"/>
    <w:rsid w:val="009C2B69"/>
    <w:rsid w:val="009C2E54"/>
    <w:rsid w:val="009C3470"/>
    <w:rsid w:val="009C380E"/>
    <w:rsid w:val="009C4135"/>
    <w:rsid w:val="009C45DB"/>
    <w:rsid w:val="009C4D6F"/>
    <w:rsid w:val="009C4F53"/>
    <w:rsid w:val="009C65CB"/>
    <w:rsid w:val="009C6B3C"/>
    <w:rsid w:val="009C6DFE"/>
    <w:rsid w:val="009C6E40"/>
    <w:rsid w:val="009C6E92"/>
    <w:rsid w:val="009C70C9"/>
    <w:rsid w:val="009C7289"/>
    <w:rsid w:val="009C7937"/>
    <w:rsid w:val="009D0ADE"/>
    <w:rsid w:val="009D122E"/>
    <w:rsid w:val="009D134A"/>
    <w:rsid w:val="009D172E"/>
    <w:rsid w:val="009D1C09"/>
    <w:rsid w:val="009D1DA4"/>
    <w:rsid w:val="009D1FFC"/>
    <w:rsid w:val="009D2621"/>
    <w:rsid w:val="009D2A66"/>
    <w:rsid w:val="009D30C2"/>
    <w:rsid w:val="009D35EA"/>
    <w:rsid w:val="009D38A4"/>
    <w:rsid w:val="009D3A8A"/>
    <w:rsid w:val="009D3ED5"/>
    <w:rsid w:val="009D457A"/>
    <w:rsid w:val="009D5256"/>
    <w:rsid w:val="009D540F"/>
    <w:rsid w:val="009D5646"/>
    <w:rsid w:val="009D6573"/>
    <w:rsid w:val="009D6B70"/>
    <w:rsid w:val="009D6DB7"/>
    <w:rsid w:val="009D6EB5"/>
    <w:rsid w:val="009D6EFB"/>
    <w:rsid w:val="009D79EF"/>
    <w:rsid w:val="009D7D61"/>
    <w:rsid w:val="009E03C4"/>
    <w:rsid w:val="009E1186"/>
    <w:rsid w:val="009E14FF"/>
    <w:rsid w:val="009E1A30"/>
    <w:rsid w:val="009E1B01"/>
    <w:rsid w:val="009E3468"/>
    <w:rsid w:val="009E476A"/>
    <w:rsid w:val="009E4A3D"/>
    <w:rsid w:val="009E4AA9"/>
    <w:rsid w:val="009E5881"/>
    <w:rsid w:val="009E5ACA"/>
    <w:rsid w:val="009E5B5E"/>
    <w:rsid w:val="009E5ED5"/>
    <w:rsid w:val="009E620A"/>
    <w:rsid w:val="009E6C76"/>
    <w:rsid w:val="009E7B0F"/>
    <w:rsid w:val="009E7D50"/>
    <w:rsid w:val="009F04E8"/>
    <w:rsid w:val="009F0871"/>
    <w:rsid w:val="009F0B3C"/>
    <w:rsid w:val="009F0B5A"/>
    <w:rsid w:val="009F261E"/>
    <w:rsid w:val="009F31FE"/>
    <w:rsid w:val="009F4065"/>
    <w:rsid w:val="009F40D2"/>
    <w:rsid w:val="009F4BB2"/>
    <w:rsid w:val="009F5526"/>
    <w:rsid w:val="009F55CD"/>
    <w:rsid w:val="009F5AFB"/>
    <w:rsid w:val="009F65FF"/>
    <w:rsid w:val="009F6951"/>
    <w:rsid w:val="009F7117"/>
    <w:rsid w:val="009F7593"/>
    <w:rsid w:val="009F7CD1"/>
    <w:rsid w:val="009F7FB9"/>
    <w:rsid w:val="00A0000B"/>
    <w:rsid w:val="00A00091"/>
    <w:rsid w:val="00A0017B"/>
    <w:rsid w:val="00A0024A"/>
    <w:rsid w:val="00A00314"/>
    <w:rsid w:val="00A00452"/>
    <w:rsid w:val="00A01492"/>
    <w:rsid w:val="00A01952"/>
    <w:rsid w:val="00A01BED"/>
    <w:rsid w:val="00A022F5"/>
    <w:rsid w:val="00A0261A"/>
    <w:rsid w:val="00A02A16"/>
    <w:rsid w:val="00A02A67"/>
    <w:rsid w:val="00A03937"/>
    <w:rsid w:val="00A03D63"/>
    <w:rsid w:val="00A03E30"/>
    <w:rsid w:val="00A0444B"/>
    <w:rsid w:val="00A04A9F"/>
    <w:rsid w:val="00A050A4"/>
    <w:rsid w:val="00A054CF"/>
    <w:rsid w:val="00A05A3B"/>
    <w:rsid w:val="00A05DDB"/>
    <w:rsid w:val="00A060C0"/>
    <w:rsid w:val="00A060FE"/>
    <w:rsid w:val="00A063D9"/>
    <w:rsid w:val="00A070B4"/>
    <w:rsid w:val="00A074BD"/>
    <w:rsid w:val="00A07DDF"/>
    <w:rsid w:val="00A07E17"/>
    <w:rsid w:val="00A10113"/>
    <w:rsid w:val="00A10B40"/>
    <w:rsid w:val="00A1128B"/>
    <w:rsid w:val="00A114A0"/>
    <w:rsid w:val="00A11E6B"/>
    <w:rsid w:val="00A12039"/>
    <w:rsid w:val="00A120C0"/>
    <w:rsid w:val="00A1280F"/>
    <w:rsid w:val="00A134A9"/>
    <w:rsid w:val="00A1465F"/>
    <w:rsid w:val="00A1499A"/>
    <w:rsid w:val="00A15056"/>
    <w:rsid w:val="00A1509F"/>
    <w:rsid w:val="00A155C0"/>
    <w:rsid w:val="00A159D1"/>
    <w:rsid w:val="00A15CA8"/>
    <w:rsid w:val="00A15E17"/>
    <w:rsid w:val="00A15EB9"/>
    <w:rsid w:val="00A16944"/>
    <w:rsid w:val="00A16CCA"/>
    <w:rsid w:val="00A219E0"/>
    <w:rsid w:val="00A21AC5"/>
    <w:rsid w:val="00A21F4A"/>
    <w:rsid w:val="00A21F7F"/>
    <w:rsid w:val="00A225C4"/>
    <w:rsid w:val="00A225DB"/>
    <w:rsid w:val="00A22C72"/>
    <w:rsid w:val="00A23482"/>
    <w:rsid w:val="00A234E3"/>
    <w:rsid w:val="00A238D4"/>
    <w:rsid w:val="00A2392D"/>
    <w:rsid w:val="00A25268"/>
    <w:rsid w:val="00A25B0C"/>
    <w:rsid w:val="00A2629B"/>
    <w:rsid w:val="00A26940"/>
    <w:rsid w:val="00A26B34"/>
    <w:rsid w:val="00A2727D"/>
    <w:rsid w:val="00A27B13"/>
    <w:rsid w:val="00A27B94"/>
    <w:rsid w:val="00A27EB7"/>
    <w:rsid w:val="00A30396"/>
    <w:rsid w:val="00A30410"/>
    <w:rsid w:val="00A3079B"/>
    <w:rsid w:val="00A30B83"/>
    <w:rsid w:val="00A30C14"/>
    <w:rsid w:val="00A3114B"/>
    <w:rsid w:val="00A31380"/>
    <w:rsid w:val="00A32143"/>
    <w:rsid w:val="00A32849"/>
    <w:rsid w:val="00A32DD9"/>
    <w:rsid w:val="00A332EA"/>
    <w:rsid w:val="00A33744"/>
    <w:rsid w:val="00A33879"/>
    <w:rsid w:val="00A339CD"/>
    <w:rsid w:val="00A33BD9"/>
    <w:rsid w:val="00A33BF7"/>
    <w:rsid w:val="00A33CEE"/>
    <w:rsid w:val="00A34212"/>
    <w:rsid w:val="00A3440C"/>
    <w:rsid w:val="00A345E6"/>
    <w:rsid w:val="00A35071"/>
    <w:rsid w:val="00A357CE"/>
    <w:rsid w:val="00A3633A"/>
    <w:rsid w:val="00A36D62"/>
    <w:rsid w:val="00A3735F"/>
    <w:rsid w:val="00A374FF"/>
    <w:rsid w:val="00A376AF"/>
    <w:rsid w:val="00A37702"/>
    <w:rsid w:val="00A37F77"/>
    <w:rsid w:val="00A40A5A"/>
    <w:rsid w:val="00A40B54"/>
    <w:rsid w:val="00A417EC"/>
    <w:rsid w:val="00A41C42"/>
    <w:rsid w:val="00A42385"/>
    <w:rsid w:val="00A42D1D"/>
    <w:rsid w:val="00A42EA4"/>
    <w:rsid w:val="00A43066"/>
    <w:rsid w:val="00A43146"/>
    <w:rsid w:val="00A43634"/>
    <w:rsid w:val="00A436D2"/>
    <w:rsid w:val="00A44CA6"/>
    <w:rsid w:val="00A44E9C"/>
    <w:rsid w:val="00A45250"/>
    <w:rsid w:val="00A455B5"/>
    <w:rsid w:val="00A4651B"/>
    <w:rsid w:val="00A47151"/>
    <w:rsid w:val="00A47423"/>
    <w:rsid w:val="00A47764"/>
    <w:rsid w:val="00A47C2D"/>
    <w:rsid w:val="00A501DE"/>
    <w:rsid w:val="00A50317"/>
    <w:rsid w:val="00A50371"/>
    <w:rsid w:val="00A50A5E"/>
    <w:rsid w:val="00A50ACA"/>
    <w:rsid w:val="00A50F15"/>
    <w:rsid w:val="00A51198"/>
    <w:rsid w:val="00A516CB"/>
    <w:rsid w:val="00A51B92"/>
    <w:rsid w:val="00A51C6E"/>
    <w:rsid w:val="00A52FE8"/>
    <w:rsid w:val="00A53EB2"/>
    <w:rsid w:val="00A54CD3"/>
    <w:rsid w:val="00A54E11"/>
    <w:rsid w:val="00A55562"/>
    <w:rsid w:val="00A55592"/>
    <w:rsid w:val="00A55A00"/>
    <w:rsid w:val="00A56B6C"/>
    <w:rsid w:val="00A575AE"/>
    <w:rsid w:val="00A57AD6"/>
    <w:rsid w:val="00A60A4D"/>
    <w:rsid w:val="00A61078"/>
    <w:rsid w:val="00A6113D"/>
    <w:rsid w:val="00A61531"/>
    <w:rsid w:val="00A625DA"/>
    <w:rsid w:val="00A62CD2"/>
    <w:rsid w:val="00A62FE8"/>
    <w:rsid w:val="00A63BEC"/>
    <w:rsid w:val="00A64430"/>
    <w:rsid w:val="00A6555C"/>
    <w:rsid w:val="00A65853"/>
    <w:rsid w:val="00A65D09"/>
    <w:rsid w:val="00A668FA"/>
    <w:rsid w:val="00A6704C"/>
    <w:rsid w:val="00A70F65"/>
    <w:rsid w:val="00A71662"/>
    <w:rsid w:val="00A719D8"/>
    <w:rsid w:val="00A719FB"/>
    <w:rsid w:val="00A71FD2"/>
    <w:rsid w:val="00A722B0"/>
    <w:rsid w:val="00A7262E"/>
    <w:rsid w:val="00A72D6C"/>
    <w:rsid w:val="00A72DB7"/>
    <w:rsid w:val="00A73053"/>
    <w:rsid w:val="00A73200"/>
    <w:rsid w:val="00A733C3"/>
    <w:rsid w:val="00A74323"/>
    <w:rsid w:val="00A750CC"/>
    <w:rsid w:val="00A75330"/>
    <w:rsid w:val="00A754B1"/>
    <w:rsid w:val="00A75FFE"/>
    <w:rsid w:val="00A7665A"/>
    <w:rsid w:val="00A7677D"/>
    <w:rsid w:val="00A76A84"/>
    <w:rsid w:val="00A76C6D"/>
    <w:rsid w:val="00A770B6"/>
    <w:rsid w:val="00A77183"/>
    <w:rsid w:val="00A7725E"/>
    <w:rsid w:val="00A772BC"/>
    <w:rsid w:val="00A77E21"/>
    <w:rsid w:val="00A800B6"/>
    <w:rsid w:val="00A80E2F"/>
    <w:rsid w:val="00A819D4"/>
    <w:rsid w:val="00A81AFB"/>
    <w:rsid w:val="00A82FB3"/>
    <w:rsid w:val="00A834B8"/>
    <w:rsid w:val="00A83B26"/>
    <w:rsid w:val="00A83E41"/>
    <w:rsid w:val="00A842E0"/>
    <w:rsid w:val="00A84767"/>
    <w:rsid w:val="00A858A7"/>
    <w:rsid w:val="00A85EF0"/>
    <w:rsid w:val="00A86091"/>
    <w:rsid w:val="00A86446"/>
    <w:rsid w:val="00A86F1A"/>
    <w:rsid w:val="00A87005"/>
    <w:rsid w:val="00A872C2"/>
    <w:rsid w:val="00A87495"/>
    <w:rsid w:val="00A87CBB"/>
    <w:rsid w:val="00A90919"/>
    <w:rsid w:val="00A90BFB"/>
    <w:rsid w:val="00A90C17"/>
    <w:rsid w:val="00A913F3"/>
    <w:rsid w:val="00A9159F"/>
    <w:rsid w:val="00A92443"/>
    <w:rsid w:val="00A9275F"/>
    <w:rsid w:val="00A92A2B"/>
    <w:rsid w:val="00A93040"/>
    <w:rsid w:val="00A93921"/>
    <w:rsid w:val="00A9460F"/>
    <w:rsid w:val="00A94728"/>
    <w:rsid w:val="00A951FA"/>
    <w:rsid w:val="00A9582D"/>
    <w:rsid w:val="00A958C7"/>
    <w:rsid w:val="00A96322"/>
    <w:rsid w:val="00A96593"/>
    <w:rsid w:val="00A9673A"/>
    <w:rsid w:val="00A96753"/>
    <w:rsid w:val="00A96C01"/>
    <w:rsid w:val="00AA04CF"/>
    <w:rsid w:val="00AA051B"/>
    <w:rsid w:val="00AA1795"/>
    <w:rsid w:val="00AA185E"/>
    <w:rsid w:val="00AA1F5C"/>
    <w:rsid w:val="00AA2029"/>
    <w:rsid w:val="00AA20C9"/>
    <w:rsid w:val="00AA2141"/>
    <w:rsid w:val="00AA2278"/>
    <w:rsid w:val="00AA2391"/>
    <w:rsid w:val="00AA2915"/>
    <w:rsid w:val="00AA2B10"/>
    <w:rsid w:val="00AA2C94"/>
    <w:rsid w:val="00AA2F8D"/>
    <w:rsid w:val="00AA3050"/>
    <w:rsid w:val="00AA3FD8"/>
    <w:rsid w:val="00AA4312"/>
    <w:rsid w:val="00AA4572"/>
    <w:rsid w:val="00AA50D8"/>
    <w:rsid w:val="00AA5524"/>
    <w:rsid w:val="00AA5568"/>
    <w:rsid w:val="00AA5794"/>
    <w:rsid w:val="00AA5A43"/>
    <w:rsid w:val="00AA5F94"/>
    <w:rsid w:val="00AA6E4D"/>
    <w:rsid w:val="00AA719F"/>
    <w:rsid w:val="00AA7323"/>
    <w:rsid w:val="00AA76BD"/>
    <w:rsid w:val="00AB06DA"/>
    <w:rsid w:val="00AB0FE3"/>
    <w:rsid w:val="00AB14F5"/>
    <w:rsid w:val="00AB1CBC"/>
    <w:rsid w:val="00AB2254"/>
    <w:rsid w:val="00AB28CE"/>
    <w:rsid w:val="00AB3451"/>
    <w:rsid w:val="00AB3755"/>
    <w:rsid w:val="00AB375E"/>
    <w:rsid w:val="00AB3B3A"/>
    <w:rsid w:val="00AB3C76"/>
    <w:rsid w:val="00AB440F"/>
    <w:rsid w:val="00AB511D"/>
    <w:rsid w:val="00AB5F11"/>
    <w:rsid w:val="00AB633C"/>
    <w:rsid w:val="00AB6652"/>
    <w:rsid w:val="00AB6ACE"/>
    <w:rsid w:val="00AB6FCC"/>
    <w:rsid w:val="00AB728C"/>
    <w:rsid w:val="00AB7773"/>
    <w:rsid w:val="00AC1090"/>
    <w:rsid w:val="00AC130B"/>
    <w:rsid w:val="00AC1752"/>
    <w:rsid w:val="00AC17F6"/>
    <w:rsid w:val="00AC1810"/>
    <w:rsid w:val="00AC25DB"/>
    <w:rsid w:val="00AC274A"/>
    <w:rsid w:val="00AC2AAA"/>
    <w:rsid w:val="00AC3AEE"/>
    <w:rsid w:val="00AC3D95"/>
    <w:rsid w:val="00AC48AD"/>
    <w:rsid w:val="00AC49CA"/>
    <w:rsid w:val="00AC52B2"/>
    <w:rsid w:val="00AC5410"/>
    <w:rsid w:val="00AC58B7"/>
    <w:rsid w:val="00AC58D8"/>
    <w:rsid w:val="00AC5F0C"/>
    <w:rsid w:val="00AC5F65"/>
    <w:rsid w:val="00AC74D8"/>
    <w:rsid w:val="00AC7E40"/>
    <w:rsid w:val="00AD10C8"/>
    <w:rsid w:val="00AD19B3"/>
    <w:rsid w:val="00AD1AAD"/>
    <w:rsid w:val="00AD1C30"/>
    <w:rsid w:val="00AD20B8"/>
    <w:rsid w:val="00AD26C8"/>
    <w:rsid w:val="00AD3BDB"/>
    <w:rsid w:val="00AD3D4B"/>
    <w:rsid w:val="00AD3E2D"/>
    <w:rsid w:val="00AD3E85"/>
    <w:rsid w:val="00AD3EFB"/>
    <w:rsid w:val="00AD4ABE"/>
    <w:rsid w:val="00AD5227"/>
    <w:rsid w:val="00AD5EDA"/>
    <w:rsid w:val="00AD61C7"/>
    <w:rsid w:val="00AD687A"/>
    <w:rsid w:val="00AD6DC4"/>
    <w:rsid w:val="00AD6E17"/>
    <w:rsid w:val="00AD777B"/>
    <w:rsid w:val="00AD79EC"/>
    <w:rsid w:val="00AD7F00"/>
    <w:rsid w:val="00AE035B"/>
    <w:rsid w:val="00AE0AD7"/>
    <w:rsid w:val="00AE0C74"/>
    <w:rsid w:val="00AE1AA8"/>
    <w:rsid w:val="00AE1CCD"/>
    <w:rsid w:val="00AE1F72"/>
    <w:rsid w:val="00AE222F"/>
    <w:rsid w:val="00AE23F9"/>
    <w:rsid w:val="00AE30EB"/>
    <w:rsid w:val="00AE3283"/>
    <w:rsid w:val="00AE3607"/>
    <w:rsid w:val="00AE3A28"/>
    <w:rsid w:val="00AE4142"/>
    <w:rsid w:val="00AE421E"/>
    <w:rsid w:val="00AE4CA7"/>
    <w:rsid w:val="00AE4FC1"/>
    <w:rsid w:val="00AE5A24"/>
    <w:rsid w:val="00AE5EA9"/>
    <w:rsid w:val="00AE6DD6"/>
    <w:rsid w:val="00AE7E2A"/>
    <w:rsid w:val="00AF07BF"/>
    <w:rsid w:val="00AF0A9F"/>
    <w:rsid w:val="00AF0ACA"/>
    <w:rsid w:val="00AF0EB2"/>
    <w:rsid w:val="00AF1B64"/>
    <w:rsid w:val="00AF1DCF"/>
    <w:rsid w:val="00AF2729"/>
    <w:rsid w:val="00AF2D34"/>
    <w:rsid w:val="00AF30B3"/>
    <w:rsid w:val="00AF32D0"/>
    <w:rsid w:val="00AF3340"/>
    <w:rsid w:val="00AF3A21"/>
    <w:rsid w:val="00AF3A2F"/>
    <w:rsid w:val="00AF3F81"/>
    <w:rsid w:val="00AF40E4"/>
    <w:rsid w:val="00AF47C1"/>
    <w:rsid w:val="00AF5055"/>
    <w:rsid w:val="00AF5DD1"/>
    <w:rsid w:val="00AF675F"/>
    <w:rsid w:val="00AF6767"/>
    <w:rsid w:val="00AF6FAA"/>
    <w:rsid w:val="00B00911"/>
    <w:rsid w:val="00B00C37"/>
    <w:rsid w:val="00B014D7"/>
    <w:rsid w:val="00B016FC"/>
    <w:rsid w:val="00B01D3F"/>
    <w:rsid w:val="00B021C4"/>
    <w:rsid w:val="00B02863"/>
    <w:rsid w:val="00B02ABA"/>
    <w:rsid w:val="00B04810"/>
    <w:rsid w:val="00B04F1B"/>
    <w:rsid w:val="00B051C6"/>
    <w:rsid w:val="00B052AD"/>
    <w:rsid w:val="00B05D3D"/>
    <w:rsid w:val="00B06A09"/>
    <w:rsid w:val="00B071AC"/>
    <w:rsid w:val="00B0743D"/>
    <w:rsid w:val="00B07898"/>
    <w:rsid w:val="00B07A7F"/>
    <w:rsid w:val="00B07AD0"/>
    <w:rsid w:val="00B107D4"/>
    <w:rsid w:val="00B10AD5"/>
    <w:rsid w:val="00B119F6"/>
    <w:rsid w:val="00B1204B"/>
    <w:rsid w:val="00B12B71"/>
    <w:rsid w:val="00B13313"/>
    <w:rsid w:val="00B13922"/>
    <w:rsid w:val="00B142B9"/>
    <w:rsid w:val="00B14355"/>
    <w:rsid w:val="00B145FD"/>
    <w:rsid w:val="00B14640"/>
    <w:rsid w:val="00B15D3A"/>
    <w:rsid w:val="00B16153"/>
    <w:rsid w:val="00B16216"/>
    <w:rsid w:val="00B162A7"/>
    <w:rsid w:val="00B16B1B"/>
    <w:rsid w:val="00B16ED6"/>
    <w:rsid w:val="00B1719A"/>
    <w:rsid w:val="00B1747F"/>
    <w:rsid w:val="00B206C1"/>
    <w:rsid w:val="00B20795"/>
    <w:rsid w:val="00B20BE3"/>
    <w:rsid w:val="00B21AB7"/>
    <w:rsid w:val="00B22B48"/>
    <w:rsid w:val="00B23259"/>
    <w:rsid w:val="00B23436"/>
    <w:rsid w:val="00B236C0"/>
    <w:rsid w:val="00B244CF"/>
    <w:rsid w:val="00B246D7"/>
    <w:rsid w:val="00B24DBD"/>
    <w:rsid w:val="00B25976"/>
    <w:rsid w:val="00B25CC0"/>
    <w:rsid w:val="00B25CE5"/>
    <w:rsid w:val="00B26239"/>
    <w:rsid w:val="00B262DA"/>
    <w:rsid w:val="00B26AC2"/>
    <w:rsid w:val="00B27945"/>
    <w:rsid w:val="00B2796B"/>
    <w:rsid w:val="00B308B7"/>
    <w:rsid w:val="00B308D0"/>
    <w:rsid w:val="00B31641"/>
    <w:rsid w:val="00B31EE6"/>
    <w:rsid w:val="00B32036"/>
    <w:rsid w:val="00B320E7"/>
    <w:rsid w:val="00B321BE"/>
    <w:rsid w:val="00B32338"/>
    <w:rsid w:val="00B32ADD"/>
    <w:rsid w:val="00B33B32"/>
    <w:rsid w:val="00B33B9A"/>
    <w:rsid w:val="00B3403E"/>
    <w:rsid w:val="00B3448A"/>
    <w:rsid w:val="00B34561"/>
    <w:rsid w:val="00B3560B"/>
    <w:rsid w:val="00B36876"/>
    <w:rsid w:val="00B36A3A"/>
    <w:rsid w:val="00B36E1F"/>
    <w:rsid w:val="00B3746F"/>
    <w:rsid w:val="00B37606"/>
    <w:rsid w:val="00B37C5D"/>
    <w:rsid w:val="00B4068B"/>
    <w:rsid w:val="00B40D76"/>
    <w:rsid w:val="00B42159"/>
    <w:rsid w:val="00B425CE"/>
    <w:rsid w:val="00B4275F"/>
    <w:rsid w:val="00B42CAC"/>
    <w:rsid w:val="00B42FAA"/>
    <w:rsid w:val="00B434ED"/>
    <w:rsid w:val="00B444E4"/>
    <w:rsid w:val="00B4557A"/>
    <w:rsid w:val="00B458DC"/>
    <w:rsid w:val="00B46312"/>
    <w:rsid w:val="00B469D7"/>
    <w:rsid w:val="00B46FEA"/>
    <w:rsid w:val="00B47C7B"/>
    <w:rsid w:val="00B47FF0"/>
    <w:rsid w:val="00B50D6F"/>
    <w:rsid w:val="00B50F08"/>
    <w:rsid w:val="00B51777"/>
    <w:rsid w:val="00B518EC"/>
    <w:rsid w:val="00B51A99"/>
    <w:rsid w:val="00B51B42"/>
    <w:rsid w:val="00B52A05"/>
    <w:rsid w:val="00B531A2"/>
    <w:rsid w:val="00B5353D"/>
    <w:rsid w:val="00B53703"/>
    <w:rsid w:val="00B5374B"/>
    <w:rsid w:val="00B53840"/>
    <w:rsid w:val="00B53E51"/>
    <w:rsid w:val="00B53F42"/>
    <w:rsid w:val="00B548E2"/>
    <w:rsid w:val="00B55CF1"/>
    <w:rsid w:val="00B56FA8"/>
    <w:rsid w:val="00B6003B"/>
    <w:rsid w:val="00B61236"/>
    <w:rsid w:val="00B61378"/>
    <w:rsid w:val="00B61E12"/>
    <w:rsid w:val="00B61EEB"/>
    <w:rsid w:val="00B62393"/>
    <w:rsid w:val="00B6273D"/>
    <w:rsid w:val="00B62AC2"/>
    <w:rsid w:val="00B63C56"/>
    <w:rsid w:val="00B63EB2"/>
    <w:rsid w:val="00B64367"/>
    <w:rsid w:val="00B646C4"/>
    <w:rsid w:val="00B64794"/>
    <w:rsid w:val="00B6499B"/>
    <w:rsid w:val="00B64A2C"/>
    <w:rsid w:val="00B64A4A"/>
    <w:rsid w:val="00B65162"/>
    <w:rsid w:val="00B654ED"/>
    <w:rsid w:val="00B6560C"/>
    <w:rsid w:val="00B656EE"/>
    <w:rsid w:val="00B65996"/>
    <w:rsid w:val="00B659B3"/>
    <w:rsid w:val="00B65F7C"/>
    <w:rsid w:val="00B65FA5"/>
    <w:rsid w:val="00B65FD8"/>
    <w:rsid w:val="00B67600"/>
    <w:rsid w:val="00B676BE"/>
    <w:rsid w:val="00B67F02"/>
    <w:rsid w:val="00B703D2"/>
    <w:rsid w:val="00B705C3"/>
    <w:rsid w:val="00B71918"/>
    <w:rsid w:val="00B71B15"/>
    <w:rsid w:val="00B71E81"/>
    <w:rsid w:val="00B724DB"/>
    <w:rsid w:val="00B7259A"/>
    <w:rsid w:val="00B725B1"/>
    <w:rsid w:val="00B737E2"/>
    <w:rsid w:val="00B7388C"/>
    <w:rsid w:val="00B7408F"/>
    <w:rsid w:val="00B74268"/>
    <w:rsid w:val="00B742C0"/>
    <w:rsid w:val="00B757BC"/>
    <w:rsid w:val="00B758A1"/>
    <w:rsid w:val="00B75DB6"/>
    <w:rsid w:val="00B768C4"/>
    <w:rsid w:val="00B76EBD"/>
    <w:rsid w:val="00B779BC"/>
    <w:rsid w:val="00B77A3D"/>
    <w:rsid w:val="00B801B0"/>
    <w:rsid w:val="00B80B82"/>
    <w:rsid w:val="00B80EDA"/>
    <w:rsid w:val="00B80F2E"/>
    <w:rsid w:val="00B81253"/>
    <w:rsid w:val="00B8157D"/>
    <w:rsid w:val="00B81D07"/>
    <w:rsid w:val="00B81D4C"/>
    <w:rsid w:val="00B820DA"/>
    <w:rsid w:val="00B82318"/>
    <w:rsid w:val="00B82A27"/>
    <w:rsid w:val="00B82B89"/>
    <w:rsid w:val="00B832F7"/>
    <w:rsid w:val="00B83414"/>
    <w:rsid w:val="00B83633"/>
    <w:rsid w:val="00B83C27"/>
    <w:rsid w:val="00B83CED"/>
    <w:rsid w:val="00B84E7E"/>
    <w:rsid w:val="00B84E95"/>
    <w:rsid w:val="00B85C28"/>
    <w:rsid w:val="00B863A7"/>
    <w:rsid w:val="00B867A2"/>
    <w:rsid w:val="00B8736A"/>
    <w:rsid w:val="00B907AE"/>
    <w:rsid w:val="00B9114C"/>
    <w:rsid w:val="00B915DC"/>
    <w:rsid w:val="00B91704"/>
    <w:rsid w:val="00B91C34"/>
    <w:rsid w:val="00B92B51"/>
    <w:rsid w:val="00B9335C"/>
    <w:rsid w:val="00B93631"/>
    <w:rsid w:val="00B93DBB"/>
    <w:rsid w:val="00B93F84"/>
    <w:rsid w:val="00B9430C"/>
    <w:rsid w:val="00B94786"/>
    <w:rsid w:val="00B94871"/>
    <w:rsid w:val="00B94992"/>
    <w:rsid w:val="00B94B51"/>
    <w:rsid w:val="00B94D63"/>
    <w:rsid w:val="00B94E98"/>
    <w:rsid w:val="00B94FB4"/>
    <w:rsid w:val="00B95AF4"/>
    <w:rsid w:val="00B96032"/>
    <w:rsid w:val="00B96585"/>
    <w:rsid w:val="00B96C12"/>
    <w:rsid w:val="00B96F32"/>
    <w:rsid w:val="00BA0469"/>
    <w:rsid w:val="00BA0698"/>
    <w:rsid w:val="00BA07E1"/>
    <w:rsid w:val="00BA08BB"/>
    <w:rsid w:val="00BA0C32"/>
    <w:rsid w:val="00BA16C6"/>
    <w:rsid w:val="00BA2235"/>
    <w:rsid w:val="00BA2903"/>
    <w:rsid w:val="00BA37C6"/>
    <w:rsid w:val="00BA3C06"/>
    <w:rsid w:val="00BA4465"/>
    <w:rsid w:val="00BA4BFE"/>
    <w:rsid w:val="00BA5029"/>
    <w:rsid w:val="00BA5268"/>
    <w:rsid w:val="00BA5736"/>
    <w:rsid w:val="00BA5C89"/>
    <w:rsid w:val="00BA65DC"/>
    <w:rsid w:val="00BA6E49"/>
    <w:rsid w:val="00BA6EE2"/>
    <w:rsid w:val="00BA728F"/>
    <w:rsid w:val="00BA7527"/>
    <w:rsid w:val="00BA752D"/>
    <w:rsid w:val="00BA7AD1"/>
    <w:rsid w:val="00BA7D43"/>
    <w:rsid w:val="00BA7E08"/>
    <w:rsid w:val="00BB09F1"/>
    <w:rsid w:val="00BB0F20"/>
    <w:rsid w:val="00BB1B39"/>
    <w:rsid w:val="00BB1F21"/>
    <w:rsid w:val="00BB2252"/>
    <w:rsid w:val="00BB39E2"/>
    <w:rsid w:val="00BB3D08"/>
    <w:rsid w:val="00BB4589"/>
    <w:rsid w:val="00BB45C5"/>
    <w:rsid w:val="00BB46D1"/>
    <w:rsid w:val="00BB4724"/>
    <w:rsid w:val="00BB484D"/>
    <w:rsid w:val="00BB4B5D"/>
    <w:rsid w:val="00BB4DF3"/>
    <w:rsid w:val="00BB539C"/>
    <w:rsid w:val="00BB5F7D"/>
    <w:rsid w:val="00BB75CF"/>
    <w:rsid w:val="00BB77B8"/>
    <w:rsid w:val="00BB7A59"/>
    <w:rsid w:val="00BC05D0"/>
    <w:rsid w:val="00BC1A4D"/>
    <w:rsid w:val="00BC2272"/>
    <w:rsid w:val="00BC25D7"/>
    <w:rsid w:val="00BC2769"/>
    <w:rsid w:val="00BC28C8"/>
    <w:rsid w:val="00BC33C9"/>
    <w:rsid w:val="00BC3A95"/>
    <w:rsid w:val="00BC3DB1"/>
    <w:rsid w:val="00BC3F60"/>
    <w:rsid w:val="00BC4485"/>
    <w:rsid w:val="00BC4CB8"/>
    <w:rsid w:val="00BC4EBE"/>
    <w:rsid w:val="00BC5368"/>
    <w:rsid w:val="00BC64E5"/>
    <w:rsid w:val="00BC787D"/>
    <w:rsid w:val="00BC7D87"/>
    <w:rsid w:val="00BD017C"/>
    <w:rsid w:val="00BD08ED"/>
    <w:rsid w:val="00BD24D5"/>
    <w:rsid w:val="00BD2F65"/>
    <w:rsid w:val="00BD2FD0"/>
    <w:rsid w:val="00BD39A9"/>
    <w:rsid w:val="00BD4035"/>
    <w:rsid w:val="00BD409C"/>
    <w:rsid w:val="00BD4513"/>
    <w:rsid w:val="00BD54BB"/>
    <w:rsid w:val="00BD55EA"/>
    <w:rsid w:val="00BD5926"/>
    <w:rsid w:val="00BD5A2B"/>
    <w:rsid w:val="00BD5F0E"/>
    <w:rsid w:val="00BD612E"/>
    <w:rsid w:val="00BD6AD9"/>
    <w:rsid w:val="00BD6EF4"/>
    <w:rsid w:val="00BD6FFC"/>
    <w:rsid w:val="00BD7304"/>
    <w:rsid w:val="00BD759B"/>
    <w:rsid w:val="00BD7AD1"/>
    <w:rsid w:val="00BD7F87"/>
    <w:rsid w:val="00BE0378"/>
    <w:rsid w:val="00BE0A00"/>
    <w:rsid w:val="00BE0B45"/>
    <w:rsid w:val="00BE14CC"/>
    <w:rsid w:val="00BE19C1"/>
    <w:rsid w:val="00BE219D"/>
    <w:rsid w:val="00BE2E51"/>
    <w:rsid w:val="00BE3A55"/>
    <w:rsid w:val="00BE4732"/>
    <w:rsid w:val="00BE4AE5"/>
    <w:rsid w:val="00BE543A"/>
    <w:rsid w:val="00BE5B18"/>
    <w:rsid w:val="00BE5D6F"/>
    <w:rsid w:val="00BE6305"/>
    <w:rsid w:val="00BE66E3"/>
    <w:rsid w:val="00BE681A"/>
    <w:rsid w:val="00BE6D69"/>
    <w:rsid w:val="00BE6F52"/>
    <w:rsid w:val="00BE74C4"/>
    <w:rsid w:val="00BE74D9"/>
    <w:rsid w:val="00BE7B93"/>
    <w:rsid w:val="00BF00D0"/>
    <w:rsid w:val="00BF0CF6"/>
    <w:rsid w:val="00BF0E39"/>
    <w:rsid w:val="00BF1078"/>
    <w:rsid w:val="00BF1C59"/>
    <w:rsid w:val="00BF2586"/>
    <w:rsid w:val="00BF3333"/>
    <w:rsid w:val="00BF427C"/>
    <w:rsid w:val="00BF4AEF"/>
    <w:rsid w:val="00BF4F49"/>
    <w:rsid w:val="00BF536F"/>
    <w:rsid w:val="00BF55FD"/>
    <w:rsid w:val="00BF570C"/>
    <w:rsid w:val="00BF5F49"/>
    <w:rsid w:val="00BF6A8C"/>
    <w:rsid w:val="00BF6C1F"/>
    <w:rsid w:val="00BF7653"/>
    <w:rsid w:val="00C00D66"/>
    <w:rsid w:val="00C011F6"/>
    <w:rsid w:val="00C01872"/>
    <w:rsid w:val="00C02022"/>
    <w:rsid w:val="00C02817"/>
    <w:rsid w:val="00C028AC"/>
    <w:rsid w:val="00C03AC7"/>
    <w:rsid w:val="00C03AF3"/>
    <w:rsid w:val="00C03CD5"/>
    <w:rsid w:val="00C03D8E"/>
    <w:rsid w:val="00C03EFD"/>
    <w:rsid w:val="00C046F6"/>
    <w:rsid w:val="00C04A38"/>
    <w:rsid w:val="00C05210"/>
    <w:rsid w:val="00C05514"/>
    <w:rsid w:val="00C05595"/>
    <w:rsid w:val="00C05766"/>
    <w:rsid w:val="00C05A12"/>
    <w:rsid w:val="00C06591"/>
    <w:rsid w:val="00C1017F"/>
    <w:rsid w:val="00C105B0"/>
    <w:rsid w:val="00C10695"/>
    <w:rsid w:val="00C114A6"/>
    <w:rsid w:val="00C116DF"/>
    <w:rsid w:val="00C1231A"/>
    <w:rsid w:val="00C1278A"/>
    <w:rsid w:val="00C12C77"/>
    <w:rsid w:val="00C1354C"/>
    <w:rsid w:val="00C13A7A"/>
    <w:rsid w:val="00C13BCD"/>
    <w:rsid w:val="00C13CBF"/>
    <w:rsid w:val="00C14704"/>
    <w:rsid w:val="00C14911"/>
    <w:rsid w:val="00C155D1"/>
    <w:rsid w:val="00C1608D"/>
    <w:rsid w:val="00C160FF"/>
    <w:rsid w:val="00C163C0"/>
    <w:rsid w:val="00C16408"/>
    <w:rsid w:val="00C1665E"/>
    <w:rsid w:val="00C16DA8"/>
    <w:rsid w:val="00C16F07"/>
    <w:rsid w:val="00C171D7"/>
    <w:rsid w:val="00C1738A"/>
    <w:rsid w:val="00C179E6"/>
    <w:rsid w:val="00C17F39"/>
    <w:rsid w:val="00C2045A"/>
    <w:rsid w:val="00C20567"/>
    <w:rsid w:val="00C20728"/>
    <w:rsid w:val="00C20AD4"/>
    <w:rsid w:val="00C21855"/>
    <w:rsid w:val="00C21A9B"/>
    <w:rsid w:val="00C21FE2"/>
    <w:rsid w:val="00C22051"/>
    <w:rsid w:val="00C23861"/>
    <w:rsid w:val="00C23A4C"/>
    <w:rsid w:val="00C23C48"/>
    <w:rsid w:val="00C23FB0"/>
    <w:rsid w:val="00C24A9F"/>
    <w:rsid w:val="00C24C3F"/>
    <w:rsid w:val="00C2530E"/>
    <w:rsid w:val="00C25345"/>
    <w:rsid w:val="00C25A4B"/>
    <w:rsid w:val="00C25CA1"/>
    <w:rsid w:val="00C26669"/>
    <w:rsid w:val="00C267FD"/>
    <w:rsid w:val="00C26B22"/>
    <w:rsid w:val="00C26CB0"/>
    <w:rsid w:val="00C27414"/>
    <w:rsid w:val="00C300ED"/>
    <w:rsid w:val="00C3081F"/>
    <w:rsid w:val="00C30C72"/>
    <w:rsid w:val="00C31139"/>
    <w:rsid w:val="00C31401"/>
    <w:rsid w:val="00C31D7D"/>
    <w:rsid w:val="00C32240"/>
    <w:rsid w:val="00C3273A"/>
    <w:rsid w:val="00C331BD"/>
    <w:rsid w:val="00C33512"/>
    <w:rsid w:val="00C3359F"/>
    <w:rsid w:val="00C33AED"/>
    <w:rsid w:val="00C342C9"/>
    <w:rsid w:val="00C346BA"/>
    <w:rsid w:val="00C34D7A"/>
    <w:rsid w:val="00C34EC1"/>
    <w:rsid w:val="00C34F50"/>
    <w:rsid w:val="00C34FB1"/>
    <w:rsid w:val="00C355F6"/>
    <w:rsid w:val="00C357A8"/>
    <w:rsid w:val="00C3648D"/>
    <w:rsid w:val="00C365A5"/>
    <w:rsid w:val="00C365F9"/>
    <w:rsid w:val="00C36864"/>
    <w:rsid w:val="00C36ACE"/>
    <w:rsid w:val="00C36F55"/>
    <w:rsid w:val="00C371E4"/>
    <w:rsid w:val="00C37939"/>
    <w:rsid w:val="00C40156"/>
    <w:rsid w:val="00C401F3"/>
    <w:rsid w:val="00C40AA1"/>
    <w:rsid w:val="00C40FBB"/>
    <w:rsid w:val="00C411C4"/>
    <w:rsid w:val="00C414AA"/>
    <w:rsid w:val="00C414CD"/>
    <w:rsid w:val="00C41F34"/>
    <w:rsid w:val="00C424EE"/>
    <w:rsid w:val="00C42722"/>
    <w:rsid w:val="00C42931"/>
    <w:rsid w:val="00C42B86"/>
    <w:rsid w:val="00C42D8B"/>
    <w:rsid w:val="00C42E51"/>
    <w:rsid w:val="00C42F49"/>
    <w:rsid w:val="00C42F9A"/>
    <w:rsid w:val="00C4314A"/>
    <w:rsid w:val="00C4364F"/>
    <w:rsid w:val="00C43DBF"/>
    <w:rsid w:val="00C445E4"/>
    <w:rsid w:val="00C44D85"/>
    <w:rsid w:val="00C44EF6"/>
    <w:rsid w:val="00C44F34"/>
    <w:rsid w:val="00C45A65"/>
    <w:rsid w:val="00C45C61"/>
    <w:rsid w:val="00C4665A"/>
    <w:rsid w:val="00C466F4"/>
    <w:rsid w:val="00C46A7D"/>
    <w:rsid w:val="00C4735C"/>
    <w:rsid w:val="00C4763E"/>
    <w:rsid w:val="00C47C3C"/>
    <w:rsid w:val="00C506F6"/>
    <w:rsid w:val="00C50ADF"/>
    <w:rsid w:val="00C510BD"/>
    <w:rsid w:val="00C51723"/>
    <w:rsid w:val="00C51E4D"/>
    <w:rsid w:val="00C51EDD"/>
    <w:rsid w:val="00C52034"/>
    <w:rsid w:val="00C52335"/>
    <w:rsid w:val="00C5263C"/>
    <w:rsid w:val="00C5293C"/>
    <w:rsid w:val="00C52EF3"/>
    <w:rsid w:val="00C53228"/>
    <w:rsid w:val="00C53313"/>
    <w:rsid w:val="00C536B5"/>
    <w:rsid w:val="00C53D79"/>
    <w:rsid w:val="00C53E18"/>
    <w:rsid w:val="00C53EA4"/>
    <w:rsid w:val="00C540A4"/>
    <w:rsid w:val="00C541F2"/>
    <w:rsid w:val="00C54E29"/>
    <w:rsid w:val="00C55854"/>
    <w:rsid w:val="00C559A5"/>
    <w:rsid w:val="00C55C9D"/>
    <w:rsid w:val="00C55D39"/>
    <w:rsid w:val="00C55EE0"/>
    <w:rsid w:val="00C562AE"/>
    <w:rsid w:val="00C56579"/>
    <w:rsid w:val="00C57597"/>
    <w:rsid w:val="00C57905"/>
    <w:rsid w:val="00C60E64"/>
    <w:rsid w:val="00C61140"/>
    <w:rsid w:val="00C6230B"/>
    <w:rsid w:val="00C62967"/>
    <w:rsid w:val="00C62EE9"/>
    <w:rsid w:val="00C643DF"/>
    <w:rsid w:val="00C646AE"/>
    <w:rsid w:val="00C646C5"/>
    <w:rsid w:val="00C651D3"/>
    <w:rsid w:val="00C6525E"/>
    <w:rsid w:val="00C655A1"/>
    <w:rsid w:val="00C658A1"/>
    <w:rsid w:val="00C66611"/>
    <w:rsid w:val="00C66C89"/>
    <w:rsid w:val="00C66DB9"/>
    <w:rsid w:val="00C67765"/>
    <w:rsid w:val="00C677B6"/>
    <w:rsid w:val="00C679F8"/>
    <w:rsid w:val="00C70ACC"/>
    <w:rsid w:val="00C70AE8"/>
    <w:rsid w:val="00C7123E"/>
    <w:rsid w:val="00C714FE"/>
    <w:rsid w:val="00C71840"/>
    <w:rsid w:val="00C722B3"/>
    <w:rsid w:val="00C72950"/>
    <w:rsid w:val="00C72973"/>
    <w:rsid w:val="00C72CAD"/>
    <w:rsid w:val="00C72D3C"/>
    <w:rsid w:val="00C73EC4"/>
    <w:rsid w:val="00C741EA"/>
    <w:rsid w:val="00C7442F"/>
    <w:rsid w:val="00C744BC"/>
    <w:rsid w:val="00C74686"/>
    <w:rsid w:val="00C747B0"/>
    <w:rsid w:val="00C74D7A"/>
    <w:rsid w:val="00C74DB3"/>
    <w:rsid w:val="00C75B2C"/>
    <w:rsid w:val="00C75EA6"/>
    <w:rsid w:val="00C760B8"/>
    <w:rsid w:val="00C761ED"/>
    <w:rsid w:val="00C76751"/>
    <w:rsid w:val="00C772E3"/>
    <w:rsid w:val="00C7783A"/>
    <w:rsid w:val="00C77EF4"/>
    <w:rsid w:val="00C804A7"/>
    <w:rsid w:val="00C80ABB"/>
    <w:rsid w:val="00C80F68"/>
    <w:rsid w:val="00C810A7"/>
    <w:rsid w:val="00C811E2"/>
    <w:rsid w:val="00C81897"/>
    <w:rsid w:val="00C81ADB"/>
    <w:rsid w:val="00C82243"/>
    <w:rsid w:val="00C83619"/>
    <w:rsid w:val="00C83906"/>
    <w:rsid w:val="00C83D49"/>
    <w:rsid w:val="00C83F90"/>
    <w:rsid w:val="00C8443A"/>
    <w:rsid w:val="00C844C8"/>
    <w:rsid w:val="00C84822"/>
    <w:rsid w:val="00C85E30"/>
    <w:rsid w:val="00C861CD"/>
    <w:rsid w:val="00C8648B"/>
    <w:rsid w:val="00C8780A"/>
    <w:rsid w:val="00C87D50"/>
    <w:rsid w:val="00C900D3"/>
    <w:rsid w:val="00C9046D"/>
    <w:rsid w:val="00C906A9"/>
    <w:rsid w:val="00C90747"/>
    <w:rsid w:val="00C91606"/>
    <w:rsid w:val="00C919C2"/>
    <w:rsid w:val="00C91A24"/>
    <w:rsid w:val="00C92216"/>
    <w:rsid w:val="00C92385"/>
    <w:rsid w:val="00C92E29"/>
    <w:rsid w:val="00C9307A"/>
    <w:rsid w:val="00C932A5"/>
    <w:rsid w:val="00C93A07"/>
    <w:rsid w:val="00C94771"/>
    <w:rsid w:val="00C947E7"/>
    <w:rsid w:val="00C958D1"/>
    <w:rsid w:val="00C95AAD"/>
    <w:rsid w:val="00C95DB3"/>
    <w:rsid w:val="00C96C5C"/>
    <w:rsid w:val="00C96DC5"/>
    <w:rsid w:val="00C9728D"/>
    <w:rsid w:val="00C9783D"/>
    <w:rsid w:val="00C978EF"/>
    <w:rsid w:val="00C97DF6"/>
    <w:rsid w:val="00CA0A3C"/>
    <w:rsid w:val="00CA11BD"/>
    <w:rsid w:val="00CA1CBD"/>
    <w:rsid w:val="00CA231E"/>
    <w:rsid w:val="00CA250A"/>
    <w:rsid w:val="00CA29F4"/>
    <w:rsid w:val="00CA3564"/>
    <w:rsid w:val="00CA3CCA"/>
    <w:rsid w:val="00CA4EC4"/>
    <w:rsid w:val="00CA5D4C"/>
    <w:rsid w:val="00CA5F63"/>
    <w:rsid w:val="00CA5FB7"/>
    <w:rsid w:val="00CA6227"/>
    <w:rsid w:val="00CA62A1"/>
    <w:rsid w:val="00CA6CD0"/>
    <w:rsid w:val="00CA7CDA"/>
    <w:rsid w:val="00CB007F"/>
    <w:rsid w:val="00CB0CD3"/>
    <w:rsid w:val="00CB1042"/>
    <w:rsid w:val="00CB1258"/>
    <w:rsid w:val="00CB17F1"/>
    <w:rsid w:val="00CB1FC4"/>
    <w:rsid w:val="00CB2B82"/>
    <w:rsid w:val="00CB2E29"/>
    <w:rsid w:val="00CB33F6"/>
    <w:rsid w:val="00CB3C57"/>
    <w:rsid w:val="00CB3D0F"/>
    <w:rsid w:val="00CB42B0"/>
    <w:rsid w:val="00CB4702"/>
    <w:rsid w:val="00CB489A"/>
    <w:rsid w:val="00CB492E"/>
    <w:rsid w:val="00CB4989"/>
    <w:rsid w:val="00CB50FB"/>
    <w:rsid w:val="00CB5108"/>
    <w:rsid w:val="00CB519F"/>
    <w:rsid w:val="00CB5945"/>
    <w:rsid w:val="00CB598D"/>
    <w:rsid w:val="00CB6125"/>
    <w:rsid w:val="00CB644C"/>
    <w:rsid w:val="00CB6473"/>
    <w:rsid w:val="00CB6836"/>
    <w:rsid w:val="00CB703C"/>
    <w:rsid w:val="00CB71AB"/>
    <w:rsid w:val="00CB72B7"/>
    <w:rsid w:val="00CB796F"/>
    <w:rsid w:val="00CC06FD"/>
    <w:rsid w:val="00CC09C5"/>
    <w:rsid w:val="00CC1FCE"/>
    <w:rsid w:val="00CC3089"/>
    <w:rsid w:val="00CC30B1"/>
    <w:rsid w:val="00CC34AC"/>
    <w:rsid w:val="00CC426F"/>
    <w:rsid w:val="00CC4599"/>
    <w:rsid w:val="00CC4869"/>
    <w:rsid w:val="00CC5242"/>
    <w:rsid w:val="00CC5260"/>
    <w:rsid w:val="00CC5435"/>
    <w:rsid w:val="00CC5A10"/>
    <w:rsid w:val="00CC5B2B"/>
    <w:rsid w:val="00CC5CDE"/>
    <w:rsid w:val="00CC5D81"/>
    <w:rsid w:val="00CC5F0B"/>
    <w:rsid w:val="00CC6A7A"/>
    <w:rsid w:val="00CC7496"/>
    <w:rsid w:val="00CC7DEB"/>
    <w:rsid w:val="00CD004C"/>
    <w:rsid w:val="00CD006A"/>
    <w:rsid w:val="00CD0229"/>
    <w:rsid w:val="00CD0A44"/>
    <w:rsid w:val="00CD0B40"/>
    <w:rsid w:val="00CD18C8"/>
    <w:rsid w:val="00CD1E44"/>
    <w:rsid w:val="00CD1FA8"/>
    <w:rsid w:val="00CD2478"/>
    <w:rsid w:val="00CD2A82"/>
    <w:rsid w:val="00CD2DE8"/>
    <w:rsid w:val="00CD2EC6"/>
    <w:rsid w:val="00CD3151"/>
    <w:rsid w:val="00CD3899"/>
    <w:rsid w:val="00CD3A15"/>
    <w:rsid w:val="00CD3A39"/>
    <w:rsid w:val="00CD45A2"/>
    <w:rsid w:val="00CD495D"/>
    <w:rsid w:val="00CD4CDE"/>
    <w:rsid w:val="00CD5CCA"/>
    <w:rsid w:val="00CD5F96"/>
    <w:rsid w:val="00CD72EF"/>
    <w:rsid w:val="00CD7CD1"/>
    <w:rsid w:val="00CE01BF"/>
    <w:rsid w:val="00CE0700"/>
    <w:rsid w:val="00CE0AE0"/>
    <w:rsid w:val="00CE11E3"/>
    <w:rsid w:val="00CE1218"/>
    <w:rsid w:val="00CE163B"/>
    <w:rsid w:val="00CE1CB4"/>
    <w:rsid w:val="00CE2C59"/>
    <w:rsid w:val="00CE2FBA"/>
    <w:rsid w:val="00CE2FC9"/>
    <w:rsid w:val="00CE4136"/>
    <w:rsid w:val="00CE4FA8"/>
    <w:rsid w:val="00CE4FAA"/>
    <w:rsid w:val="00CE5590"/>
    <w:rsid w:val="00CE7137"/>
    <w:rsid w:val="00CE7D90"/>
    <w:rsid w:val="00CF065B"/>
    <w:rsid w:val="00CF1831"/>
    <w:rsid w:val="00CF1DFB"/>
    <w:rsid w:val="00CF203E"/>
    <w:rsid w:val="00CF255C"/>
    <w:rsid w:val="00CF2AC4"/>
    <w:rsid w:val="00CF2FB5"/>
    <w:rsid w:val="00CF3913"/>
    <w:rsid w:val="00CF441A"/>
    <w:rsid w:val="00CF4DEE"/>
    <w:rsid w:val="00CF4E96"/>
    <w:rsid w:val="00CF5226"/>
    <w:rsid w:val="00CF56D0"/>
    <w:rsid w:val="00CF5EE9"/>
    <w:rsid w:val="00CF5FBB"/>
    <w:rsid w:val="00CF64EF"/>
    <w:rsid w:val="00CF66C1"/>
    <w:rsid w:val="00CF670E"/>
    <w:rsid w:val="00CF6790"/>
    <w:rsid w:val="00CF6FFB"/>
    <w:rsid w:val="00CF7726"/>
    <w:rsid w:val="00CF782D"/>
    <w:rsid w:val="00CF7A0A"/>
    <w:rsid w:val="00CF7D06"/>
    <w:rsid w:val="00D00256"/>
    <w:rsid w:val="00D003FA"/>
    <w:rsid w:val="00D0062F"/>
    <w:rsid w:val="00D01035"/>
    <w:rsid w:val="00D0120A"/>
    <w:rsid w:val="00D01826"/>
    <w:rsid w:val="00D0198D"/>
    <w:rsid w:val="00D01E95"/>
    <w:rsid w:val="00D0280E"/>
    <w:rsid w:val="00D02CB6"/>
    <w:rsid w:val="00D03692"/>
    <w:rsid w:val="00D03BDF"/>
    <w:rsid w:val="00D041DE"/>
    <w:rsid w:val="00D04479"/>
    <w:rsid w:val="00D048DA"/>
    <w:rsid w:val="00D04A69"/>
    <w:rsid w:val="00D0552F"/>
    <w:rsid w:val="00D05CB2"/>
    <w:rsid w:val="00D05F09"/>
    <w:rsid w:val="00D060F9"/>
    <w:rsid w:val="00D061F1"/>
    <w:rsid w:val="00D069CB"/>
    <w:rsid w:val="00D06D83"/>
    <w:rsid w:val="00D072D5"/>
    <w:rsid w:val="00D0745A"/>
    <w:rsid w:val="00D076DB"/>
    <w:rsid w:val="00D105F1"/>
    <w:rsid w:val="00D1065B"/>
    <w:rsid w:val="00D109D4"/>
    <w:rsid w:val="00D10A4C"/>
    <w:rsid w:val="00D11207"/>
    <w:rsid w:val="00D11D73"/>
    <w:rsid w:val="00D12C8A"/>
    <w:rsid w:val="00D12F04"/>
    <w:rsid w:val="00D1332F"/>
    <w:rsid w:val="00D13B00"/>
    <w:rsid w:val="00D13B93"/>
    <w:rsid w:val="00D149E8"/>
    <w:rsid w:val="00D15430"/>
    <w:rsid w:val="00D1572C"/>
    <w:rsid w:val="00D16C37"/>
    <w:rsid w:val="00D2052B"/>
    <w:rsid w:val="00D20F8B"/>
    <w:rsid w:val="00D21279"/>
    <w:rsid w:val="00D2220A"/>
    <w:rsid w:val="00D22493"/>
    <w:rsid w:val="00D22699"/>
    <w:rsid w:val="00D227FD"/>
    <w:rsid w:val="00D230B6"/>
    <w:rsid w:val="00D230BF"/>
    <w:rsid w:val="00D23113"/>
    <w:rsid w:val="00D23294"/>
    <w:rsid w:val="00D23498"/>
    <w:rsid w:val="00D23BCA"/>
    <w:rsid w:val="00D2553C"/>
    <w:rsid w:val="00D256E6"/>
    <w:rsid w:val="00D25904"/>
    <w:rsid w:val="00D25D56"/>
    <w:rsid w:val="00D264B5"/>
    <w:rsid w:val="00D26CE6"/>
    <w:rsid w:val="00D27436"/>
    <w:rsid w:val="00D27960"/>
    <w:rsid w:val="00D30123"/>
    <w:rsid w:val="00D30B08"/>
    <w:rsid w:val="00D31C0A"/>
    <w:rsid w:val="00D31E6F"/>
    <w:rsid w:val="00D3202F"/>
    <w:rsid w:val="00D3271A"/>
    <w:rsid w:val="00D32764"/>
    <w:rsid w:val="00D3292F"/>
    <w:rsid w:val="00D32F4F"/>
    <w:rsid w:val="00D33FBB"/>
    <w:rsid w:val="00D34437"/>
    <w:rsid w:val="00D360EC"/>
    <w:rsid w:val="00D363E1"/>
    <w:rsid w:val="00D365AE"/>
    <w:rsid w:val="00D372B4"/>
    <w:rsid w:val="00D3752D"/>
    <w:rsid w:val="00D37562"/>
    <w:rsid w:val="00D37C3F"/>
    <w:rsid w:val="00D37EC0"/>
    <w:rsid w:val="00D4029F"/>
    <w:rsid w:val="00D4103B"/>
    <w:rsid w:val="00D411E4"/>
    <w:rsid w:val="00D4155C"/>
    <w:rsid w:val="00D41815"/>
    <w:rsid w:val="00D4260D"/>
    <w:rsid w:val="00D42CAB"/>
    <w:rsid w:val="00D43711"/>
    <w:rsid w:val="00D43D66"/>
    <w:rsid w:val="00D44A5E"/>
    <w:rsid w:val="00D44C66"/>
    <w:rsid w:val="00D44CB5"/>
    <w:rsid w:val="00D47196"/>
    <w:rsid w:val="00D476C3"/>
    <w:rsid w:val="00D477F1"/>
    <w:rsid w:val="00D47CFA"/>
    <w:rsid w:val="00D47F99"/>
    <w:rsid w:val="00D50456"/>
    <w:rsid w:val="00D51761"/>
    <w:rsid w:val="00D51FA4"/>
    <w:rsid w:val="00D51FB7"/>
    <w:rsid w:val="00D522E9"/>
    <w:rsid w:val="00D5265F"/>
    <w:rsid w:val="00D5270D"/>
    <w:rsid w:val="00D52B2A"/>
    <w:rsid w:val="00D52D87"/>
    <w:rsid w:val="00D536A6"/>
    <w:rsid w:val="00D53D67"/>
    <w:rsid w:val="00D54386"/>
    <w:rsid w:val="00D54B36"/>
    <w:rsid w:val="00D55251"/>
    <w:rsid w:val="00D5574C"/>
    <w:rsid w:val="00D55FD0"/>
    <w:rsid w:val="00D56416"/>
    <w:rsid w:val="00D56D82"/>
    <w:rsid w:val="00D56D86"/>
    <w:rsid w:val="00D56EE1"/>
    <w:rsid w:val="00D57556"/>
    <w:rsid w:val="00D577FE"/>
    <w:rsid w:val="00D57AAC"/>
    <w:rsid w:val="00D6065D"/>
    <w:rsid w:val="00D60C49"/>
    <w:rsid w:val="00D61112"/>
    <w:rsid w:val="00D61804"/>
    <w:rsid w:val="00D61DD1"/>
    <w:rsid w:val="00D62308"/>
    <w:rsid w:val="00D62714"/>
    <w:rsid w:val="00D62B60"/>
    <w:rsid w:val="00D62BE9"/>
    <w:rsid w:val="00D62F02"/>
    <w:rsid w:val="00D63BEC"/>
    <w:rsid w:val="00D6400E"/>
    <w:rsid w:val="00D6415B"/>
    <w:rsid w:val="00D644A4"/>
    <w:rsid w:val="00D645A4"/>
    <w:rsid w:val="00D64902"/>
    <w:rsid w:val="00D649D1"/>
    <w:rsid w:val="00D64A63"/>
    <w:rsid w:val="00D64F8A"/>
    <w:rsid w:val="00D65585"/>
    <w:rsid w:val="00D65F36"/>
    <w:rsid w:val="00D660C6"/>
    <w:rsid w:val="00D664C1"/>
    <w:rsid w:val="00D6691A"/>
    <w:rsid w:val="00D66F0C"/>
    <w:rsid w:val="00D670DC"/>
    <w:rsid w:val="00D67ADC"/>
    <w:rsid w:val="00D707CE"/>
    <w:rsid w:val="00D70D80"/>
    <w:rsid w:val="00D7126C"/>
    <w:rsid w:val="00D71448"/>
    <w:rsid w:val="00D71F13"/>
    <w:rsid w:val="00D72C9B"/>
    <w:rsid w:val="00D734BC"/>
    <w:rsid w:val="00D73CB1"/>
    <w:rsid w:val="00D73FA7"/>
    <w:rsid w:val="00D74DC8"/>
    <w:rsid w:val="00D751E4"/>
    <w:rsid w:val="00D75F38"/>
    <w:rsid w:val="00D75FB3"/>
    <w:rsid w:val="00D76044"/>
    <w:rsid w:val="00D76944"/>
    <w:rsid w:val="00D76D08"/>
    <w:rsid w:val="00D77A0F"/>
    <w:rsid w:val="00D77B3A"/>
    <w:rsid w:val="00D77EBD"/>
    <w:rsid w:val="00D803F4"/>
    <w:rsid w:val="00D804D8"/>
    <w:rsid w:val="00D80C84"/>
    <w:rsid w:val="00D80D80"/>
    <w:rsid w:val="00D81634"/>
    <w:rsid w:val="00D818C2"/>
    <w:rsid w:val="00D81956"/>
    <w:rsid w:val="00D81AB4"/>
    <w:rsid w:val="00D81C0F"/>
    <w:rsid w:val="00D81E3E"/>
    <w:rsid w:val="00D821C5"/>
    <w:rsid w:val="00D822BD"/>
    <w:rsid w:val="00D82D8C"/>
    <w:rsid w:val="00D82F91"/>
    <w:rsid w:val="00D839B6"/>
    <w:rsid w:val="00D84753"/>
    <w:rsid w:val="00D84967"/>
    <w:rsid w:val="00D84BDB"/>
    <w:rsid w:val="00D84E50"/>
    <w:rsid w:val="00D85B38"/>
    <w:rsid w:val="00D85BEA"/>
    <w:rsid w:val="00D86CBA"/>
    <w:rsid w:val="00D87242"/>
    <w:rsid w:val="00D87A93"/>
    <w:rsid w:val="00D90D9C"/>
    <w:rsid w:val="00D91310"/>
    <w:rsid w:val="00D91959"/>
    <w:rsid w:val="00D92003"/>
    <w:rsid w:val="00D9243D"/>
    <w:rsid w:val="00D93495"/>
    <w:rsid w:val="00D93657"/>
    <w:rsid w:val="00D9376A"/>
    <w:rsid w:val="00D93811"/>
    <w:rsid w:val="00D93E6D"/>
    <w:rsid w:val="00D94472"/>
    <w:rsid w:val="00D944D2"/>
    <w:rsid w:val="00D94697"/>
    <w:rsid w:val="00D946D9"/>
    <w:rsid w:val="00D94E40"/>
    <w:rsid w:val="00D959AA"/>
    <w:rsid w:val="00D95CA7"/>
    <w:rsid w:val="00D96329"/>
    <w:rsid w:val="00D963F2"/>
    <w:rsid w:val="00D96DCF"/>
    <w:rsid w:val="00D97FF4"/>
    <w:rsid w:val="00DA012B"/>
    <w:rsid w:val="00DA1C2A"/>
    <w:rsid w:val="00DA1C8C"/>
    <w:rsid w:val="00DA25D0"/>
    <w:rsid w:val="00DA2976"/>
    <w:rsid w:val="00DA2D4F"/>
    <w:rsid w:val="00DA5221"/>
    <w:rsid w:val="00DA63A2"/>
    <w:rsid w:val="00DA6A83"/>
    <w:rsid w:val="00DA72C6"/>
    <w:rsid w:val="00DA76DB"/>
    <w:rsid w:val="00DA7FD7"/>
    <w:rsid w:val="00DB004F"/>
    <w:rsid w:val="00DB0874"/>
    <w:rsid w:val="00DB0A17"/>
    <w:rsid w:val="00DB0EB7"/>
    <w:rsid w:val="00DB17E5"/>
    <w:rsid w:val="00DB198B"/>
    <w:rsid w:val="00DB1AA8"/>
    <w:rsid w:val="00DB1F26"/>
    <w:rsid w:val="00DB2170"/>
    <w:rsid w:val="00DB297F"/>
    <w:rsid w:val="00DB2E8B"/>
    <w:rsid w:val="00DB30F0"/>
    <w:rsid w:val="00DB3251"/>
    <w:rsid w:val="00DB342D"/>
    <w:rsid w:val="00DB36FF"/>
    <w:rsid w:val="00DB39BB"/>
    <w:rsid w:val="00DB3EEC"/>
    <w:rsid w:val="00DB3F72"/>
    <w:rsid w:val="00DB3F9C"/>
    <w:rsid w:val="00DB3FA7"/>
    <w:rsid w:val="00DB4106"/>
    <w:rsid w:val="00DB4263"/>
    <w:rsid w:val="00DB4623"/>
    <w:rsid w:val="00DB46A9"/>
    <w:rsid w:val="00DB48B2"/>
    <w:rsid w:val="00DB4CFC"/>
    <w:rsid w:val="00DB4FFB"/>
    <w:rsid w:val="00DB527E"/>
    <w:rsid w:val="00DB59E9"/>
    <w:rsid w:val="00DB5B77"/>
    <w:rsid w:val="00DB604B"/>
    <w:rsid w:val="00DB625C"/>
    <w:rsid w:val="00DB7FC1"/>
    <w:rsid w:val="00DC004E"/>
    <w:rsid w:val="00DC062F"/>
    <w:rsid w:val="00DC1C70"/>
    <w:rsid w:val="00DC2194"/>
    <w:rsid w:val="00DC2528"/>
    <w:rsid w:val="00DC2808"/>
    <w:rsid w:val="00DC3BD8"/>
    <w:rsid w:val="00DC434F"/>
    <w:rsid w:val="00DC5357"/>
    <w:rsid w:val="00DC56BB"/>
    <w:rsid w:val="00DC5BBD"/>
    <w:rsid w:val="00DC5C08"/>
    <w:rsid w:val="00DC5CA5"/>
    <w:rsid w:val="00DC5E53"/>
    <w:rsid w:val="00DC79FC"/>
    <w:rsid w:val="00DC7EB5"/>
    <w:rsid w:val="00DD0AB0"/>
    <w:rsid w:val="00DD1140"/>
    <w:rsid w:val="00DD2679"/>
    <w:rsid w:val="00DD29BF"/>
    <w:rsid w:val="00DD2A12"/>
    <w:rsid w:val="00DD2A16"/>
    <w:rsid w:val="00DD2D00"/>
    <w:rsid w:val="00DD2D08"/>
    <w:rsid w:val="00DD2EC4"/>
    <w:rsid w:val="00DD354F"/>
    <w:rsid w:val="00DD4BD5"/>
    <w:rsid w:val="00DD4DCF"/>
    <w:rsid w:val="00DD5082"/>
    <w:rsid w:val="00DD6255"/>
    <w:rsid w:val="00DD6306"/>
    <w:rsid w:val="00DD6562"/>
    <w:rsid w:val="00DD6885"/>
    <w:rsid w:val="00DD6A4C"/>
    <w:rsid w:val="00DD6B48"/>
    <w:rsid w:val="00DD6EA0"/>
    <w:rsid w:val="00DD748A"/>
    <w:rsid w:val="00DD777C"/>
    <w:rsid w:val="00DD79F6"/>
    <w:rsid w:val="00DD7CB3"/>
    <w:rsid w:val="00DE01F7"/>
    <w:rsid w:val="00DE02D7"/>
    <w:rsid w:val="00DE0935"/>
    <w:rsid w:val="00DE0A64"/>
    <w:rsid w:val="00DE0AA4"/>
    <w:rsid w:val="00DE0C29"/>
    <w:rsid w:val="00DE0C39"/>
    <w:rsid w:val="00DE17D8"/>
    <w:rsid w:val="00DE19A2"/>
    <w:rsid w:val="00DE1CAC"/>
    <w:rsid w:val="00DE2342"/>
    <w:rsid w:val="00DE2E40"/>
    <w:rsid w:val="00DE3564"/>
    <w:rsid w:val="00DE3B69"/>
    <w:rsid w:val="00DE4962"/>
    <w:rsid w:val="00DE4B76"/>
    <w:rsid w:val="00DE54A8"/>
    <w:rsid w:val="00DE55A7"/>
    <w:rsid w:val="00DE5657"/>
    <w:rsid w:val="00DE580D"/>
    <w:rsid w:val="00DE5A62"/>
    <w:rsid w:val="00DE604F"/>
    <w:rsid w:val="00DE6781"/>
    <w:rsid w:val="00DE67FF"/>
    <w:rsid w:val="00DE6C81"/>
    <w:rsid w:val="00DE7096"/>
    <w:rsid w:val="00DE73B2"/>
    <w:rsid w:val="00DE7D24"/>
    <w:rsid w:val="00DF01D4"/>
    <w:rsid w:val="00DF1368"/>
    <w:rsid w:val="00DF193A"/>
    <w:rsid w:val="00DF1F4E"/>
    <w:rsid w:val="00DF1FA9"/>
    <w:rsid w:val="00DF2579"/>
    <w:rsid w:val="00DF25DC"/>
    <w:rsid w:val="00DF31AB"/>
    <w:rsid w:val="00DF3974"/>
    <w:rsid w:val="00DF3ED8"/>
    <w:rsid w:val="00DF41B1"/>
    <w:rsid w:val="00DF43F0"/>
    <w:rsid w:val="00DF47CD"/>
    <w:rsid w:val="00DF4B7D"/>
    <w:rsid w:val="00DF4BE1"/>
    <w:rsid w:val="00DF612D"/>
    <w:rsid w:val="00DF69E7"/>
    <w:rsid w:val="00DF6CB4"/>
    <w:rsid w:val="00DF6FFA"/>
    <w:rsid w:val="00DF7536"/>
    <w:rsid w:val="00DF7654"/>
    <w:rsid w:val="00E000E8"/>
    <w:rsid w:val="00E00A59"/>
    <w:rsid w:val="00E011A1"/>
    <w:rsid w:val="00E0134B"/>
    <w:rsid w:val="00E0151D"/>
    <w:rsid w:val="00E01A29"/>
    <w:rsid w:val="00E01BDD"/>
    <w:rsid w:val="00E01D31"/>
    <w:rsid w:val="00E02ACA"/>
    <w:rsid w:val="00E03ACD"/>
    <w:rsid w:val="00E03C21"/>
    <w:rsid w:val="00E03F32"/>
    <w:rsid w:val="00E04831"/>
    <w:rsid w:val="00E04AC8"/>
    <w:rsid w:val="00E04B80"/>
    <w:rsid w:val="00E04F8C"/>
    <w:rsid w:val="00E0517B"/>
    <w:rsid w:val="00E07505"/>
    <w:rsid w:val="00E075C9"/>
    <w:rsid w:val="00E07857"/>
    <w:rsid w:val="00E07A97"/>
    <w:rsid w:val="00E07FE8"/>
    <w:rsid w:val="00E110EE"/>
    <w:rsid w:val="00E12023"/>
    <w:rsid w:val="00E124B3"/>
    <w:rsid w:val="00E12810"/>
    <w:rsid w:val="00E13059"/>
    <w:rsid w:val="00E131CF"/>
    <w:rsid w:val="00E1322E"/>
    <w:rsid w:val="00E144A0"/>
    <w:rsid w:val="00E146A8"/>
    <w:rsid w:val="00E14A06"/>
    <w:rsid w:val="00E15047"/>
    <w:rsid w:val="00E15070"/>
    <w:rsid w:val="00E155A9"/>
    <w:rsid w:val="00E15AC6"/>
    <w:rsid w:val="00E15B8B"/>
    <w:rsid w:val="00E15B9B"/>
    <w:rsid w:val="00E15F34"/>
    <w:rsid w:val="00E17B5D"/>
    <w:rsid w:val="00E200BF"/>
    <w:rsid w:val="00E200D7"/>
    <w:rsid w:val="00E20539"/>
    <w:rsid w:val="00E2061C"/>
    <w:rsid w:val="00E20CDC"/>
    <w:rsid w:val="00E20F8F"/>
    <w:rsid w:val="00E217E1"/>
    <w:rsid w:val="00E21B67"/>
    <w:rsid w:val="00E21E2C"/>
    <w:rsid w:val="00E21E59"/>
    <w:rsid w:val="00E22C90"/>
    <w:rsid w:val="00E22E65"/>
    <w:rsid w:val="00E23183"/>
    <w:rsid w:val="00E23870"/>
    <w:rsid w:val="00E23956"/>
    <w:rsid w:val="00E23AA4"/>
    <w:rsid w:val="00E23E7B"/>
    <w:rsid w:val="00E23F04"/>
    <w:rsid w:val="00E24BB6"/>
    <w:rsid w:val="00E255E6"/>
    <w:rsid w:val="00E26662"/>
    <w:rsid w:val="00E2683D"/>
    <w:rsid w:val="00E26C23"/>
    <w:rsid w:val="00E27590"/>
    <w:rsid w:val="00E278A1"/>
    <w:rsid w:val="00E27B8E"/>
    <w:rsid w:val="00E309E4"/>
    <w:rsid w:val="00E30ABA"/>
    <w:rsid w:val="00E318CE"/>
    <w:rsid w:val="00E318E9"/>
    <w:rsid w:val="00E31B34"/>
    <w:rsid w:val="00E31EB3"/>
    <w:rsid w:val="00E320EC"/>
    <w:rsid w:val="00E325A3"/>
    <w:rsid w:val="00E32D98"/>
    <w:rsid w:val="00E32F66"/>
    <w:rsid w:val="00E33716"/>
    <w:rsid w:val="00E33819"/>
    <w:rsid w:val="00E33BB4"/>
    <w:rsid w:val="00E33D3B"/>
    <w:rsid w:val="00E344A9"/>
    <w:rsid w:val="00E34F9E"/>
    <w:rsid w:val="00E354FC"/>
    <w:rsid w:val="00E36375"/>
    <w:rsid w:val="00E363BD"/>
    <w:rsid w:val="00E36B46"/>
    <w:rsid w:val="00E36E09"/>
    <w:rsid w:val="00E36F9A"/>
    <w:rsid w:val="00E36FC1"/>
    <w:rsid w:val="00E3735C"/>
    <w:rsid w:val="00E40004"/>
    <w:rsid w:val="00E405A8"/>
    <w:rsid w:val="00E4152C"/>
    <w:rsid w:val="00E41641"/>
    <w:rsid w:val="00E4197D"/>
    <w:rsid w:val="00E419AD"/>
    <w:rsid w:val="00E41C58"/>
    <w:rsid w:val="00E427A6"/>
    <w:rsid w:val="00E42A2B"/>
    <w:rsid w:val="00E4355F"/>
    <w:rsid w:val="00E44710"/>
    <w:rsid w:val="00E44DDF"/>
    <w:rsid w:val="00E44E6B"/>
    <w:rsid w:val="00E45241"/>
    <w:rsid w:val="00E45589"/>
    <w:rsid w:val="00E46319"/>
    <w:rsid w:val="00E468D6"/>
    <w:rsid w:val="00E47412"/>
    <w:rsid w:val="00E476A8"/>
    <w:rsid w:val="00E47DF5"/>
    <w:rsid w:val="00E47E66"/>
    <w:rsid w:val="00E47E72"/>
    <w:rsid w:val="00E505D0"/>
    <w:rsid w:val="00E509B6"/>
    <w:rsid w:val="00E513D0"/>
    <w:rsid w:val="00E517C4"/>
    <w:rsid w:val="00E524CC"/>
    <w:rsid w:val="00E528C3"/>
    <w:rsid w:val="00E52EFB"/>
    <w:rsid w:val="00E52F88"/>
    <w:rsid w:val="00E53698"/>
    <w:rsid w:val="00E53995"/>
    <w:rsid w:val="00E54185"/>
    <w:rsid w:val="00E54BA4"/>
    <w:rsid w:val="00E55A78"/>
    <w:rsid w:val="00E56B2F"/>
    <w:rsid w:val="00E56BA6"/>
    <w:rsid w:val="00E5785C"/>
    <w:rsid w:val="00E57BCD"/>
    <w:rsid w:val="00E57C35"/>
    <w:rsid w:val="00E57E15"/>
    <w:rsid w:val="00E6044E"/>
    <w:rsid w:val="00E60F85"/>
    <w:rsid w:val="00E61D99"/>
    <w:rsid w:val="00E622B2"/>
    <w:rsid w:val="00E629E6"/>
    <w:rsid w:val="00E62E8C"/>
    <w:rsid w:val="00E6339B"/>
    <w:rsid w:val="00E63519"/>
    <w:rsid w:val="00E6412B"/>
    <w:rsid w:val="00E6443C"/>
    <w:rsid w:val="00E64AAD"/>
    <w:rsid w:val="00E64D59"/>
    <w:rsid w:val="00E64F30"/>
    <w:rsid w:val="00E658AE"/>
    <w:rsid w:val="00E658E2"/>
    <w:rsid w:val="00E65DD4"/>
    <w:rsid w:val="00E663D4"/>
    <w:rsid w:val="00E66E9D"/>
    <w:rsid w:val="00E6705A"/>
    <w:rsid w:val="00E6736D"/>
    <w:rsid w:val="00E675FC"/>
    <w:rsid w:val="00E70329"/>
    <w:rsid w:val="00E70821"/>
    <w:rsid w:val="00E70CD1"/>
    <w:rsid w:val="00E70E78"/>
    <w:rsid w:val="00E72167"/>
    <w:rsid w:val="00E724BF"/>
    <w:rsid w:val="00E72928"/>
    <w:rsid w:val="00E7365D"/>
    <w:rsid w:val="00E74272"/>
    <w:rsid w:val="00E74370"/>
    <w:rsid w:val="00E747DC"/>
    <w:rsid w:val="00E7480A"/>
    <w:rsid w:val="00E74BDE"/>
    <w:rsid w:val="00E74E78"/>
    <w:rsid w:val="00E7526D"/>
    <w:rsid w:val="00E7684B"/>
    <w:rsid w:val="00E76E06"/>
    <w:rsid w:val="00E774B6"/>
    <w:rsid w:val="00E77D63"/>
    <w:rsid w:val="00E80A83"/>
    <w:rsid w:val="00E80C57"/>
    <w:rsid w:val="00E81026"/>
    <w:rsid w:val="00E812BF"/>
    <w:rsid w:val="00E817E1"/>
    <w:rsid w:val="00E81A68"/>
    <w:rsid w:val="00E81E05"/>
    <w:rsid w:val="00E82462"/>
    <w:rsid w:val="00E82926"/>
    <w:rsid w:val="00E82AC7"/>
    <w:rsid w:val="00E82F8A"/>
    <w:rsid w:val="00E832C7"/>
    <w:rsid w:val="00E838CE"/>
    <w:rsid w:val="00E83C71"/>
    <w:rsid w:val="00E83F44"/>
    <w:rsid w:val="00E847E2"/>
    <w:rsid w:val="00E84CA4"/>
    <w:rsid w:val="00E85661"/>
    <w:rsid w:val="00E85785"/>
    <w:rsid w:val="00E85C77"/>
    <w:rsid w:val="00E85CC8"/>
    <w:rsid w:val="00E8615D"/>
    <w:rsid w:val="00E86A44"/>
    <w:rsid w:val="00E86B45"/>
    <w:rsid w:val="00E87311"/>
    <w:rsid w:val="00E87729"/>
    <w:rsid w:val="00E87CBD"/>
    <w:rsid w:val="00E87D45"/>
    <w:rsid w:val="00E9043B"/>
    <w:rsid w:val="00E90581"/>
    <w:rsid w:val="00E91A7C"/>
    <w:rsid w:val="00E91BFC"/>
    <w:rsid w:val="00E91DC0"/>
    <w:rsid w:val="00E92202"/>
    <w:rsid w:val="00E9233D"/>
    <w:rsid w:val="00E92A3F"/>
    <w:rsid w:val="00E9355A"/>
    <w:rsid w:val="00E93FFD"/>
    <w:rsid w:val="00E94203"/>
    <w:rsid w:val="00E94F08"/>
    <w:rsid w:val="00E94F19"/>
    <w:rsid w:val="00E954F4"/>
    <w:rsid w:val="00E95A44"/>
    <w:rsid w:val="00E95D45"/>
    <w:rsid w:val="00E95DA0"/>
    <w:rsid w:val="00E95DA2"/>
    <w:rsid w:val="00E95FC4"/>
    <w:rsid w:val="00E96745"/>
    <w:rsid w:val="00E96BA9"/>
    <w:rsid w:val="00E96FB1"/>
    <w:rsid w:val="00E972C2"/>
    <w:rsid w:val="00E9737E"/>
    <w:rsid w:val="00E97DC7"/>
    <w:rsid w:val="00E97EDA"/>
    <w:rsid w:val="00EA022F"/>
    <w:rsid w:val="00EA0619"/>
    <w:rsid w:val="00EA0EEF"/>
    <w:rsid w:val="00EA1472"/>
    <w:rsid w:val="00EA1B91"/>
    <w:rsid w:val="00EA2E65"/>
    <w:rsid w:val="00EA2EF8"/>
    <w:rsid w:val="00EA3EDE"/>
    <w:rsid w:val="00EA4228"/>
    <w:rsid w:val="00EA4329"/>
    <w:rsid w:val="00EA4D75"/>
    <w:rsid w:val="00EA5329"/>
    <w:rsid w:val="00EA7159"/>
    <w:rsid w:val="00EA72DE"/>
    <w:rsid w:val="00EA7364"/>
    <w:rsid w:val="00EA7903"/>
    <w:rsid w:val="00EB04FD"/>
    <w:rsid w:val="00EB0915"/>
    <w:rsid w:val="00EB094E"/>
    <w:rsid w:val="00EB0B10"/>
    <w:rsid w:val="00EB134C"/>
    <w:rsid w:val="00EB1EF7"/>
    <w:rsid w:val="00EB27AA"/>
    <w:rsid w:val="00EB288C"/>
    <w:rsid w:val="00EB2929"/>
    <w:rsid w:val="00EB3168"/>
    <w:rsid w:val="00EB3F20"/>
    <w:rsid w:val="00EB4822"/>
    <w:rsid w:val="00EB4A58"/>
    <w:rsid w:val="00EB4F1D"/>
    <w:rsid w:val="00EB508F"/>
    <w:rsid w:val="00EB588A"/>
    <w:rsid w:val="00EB6567"/>
    <w:rsid w:val="00EB67E2"/>
    <w:rsid w:val="00EB6E47"/>
    <w:rsid w:val="00EB6F69"/>
    <w:rsid w:val="00EB7615"/>
    <w:rsid w:val="00EB7DE8"/>
    <w:rsid w:val="00EC25E2"/>
    <w:rsid w:val="00EC28BB"/>
    <w:rsid w:val="00EC2937"/>
    <w:rsid w:val="00EC37E0"/>
    <w:rsid w:val="00EC37FA"/>
    <w:rsid w:val="00EC3ABF"/>
    <w:rsid w:val="00EC3D36"/>
    <w:rsid w:val="00EC425D"/>
    <w:rsid w:val="00EC4ADA"/>
    <w:rsid w:val="00EC4CF2"/>
    <w:rsid w:val="00EC641B"/>
    <w:rsid w:val="00EC78D6"/>
    <w:rsid w:val="00EC78FD"/>
    <w:rsid w:val="00EC7C2E"/>
    <w:rsid w:val="00EC7D22"/>
    <w:rsid w:val="00ED0836"/>
    <w:rsid w:val="00ED0C5D"/>
    <w:rsid w:val="00ED0E4B"/>
    <w:rsid w:val="00ED180C"/>
    <w:rsid w:val="00ED2718"/>
    <w:rsid w:val="00ED2A47"/>
    <w:rsid w:val="00ED37A5"/>
    <w:rsid w:val="00ED3EA1"/>
    <w:rsid w:val="00ED47A7"/>
    <w:rsid w:val="00ED4F83"/>
    <w:rsid w:val="00ED50A3"/>
    <w:rsid w:val="00ED60CC"/>
    <w:rsid w:val="00ED647E"/>
    <w:rsid w:val="00ED780A"/>
    <w:rsid w:val="00ED7EBD"/>
    <w:rsid w:val="00EE03FE"/>
    <w:rsid w:val="00EE05C5"/>
    <w:rsid w:val="00EE09A4"/>
    <w:rsid w:val="00EE0F71"/>
    <w:rsid w:val="00EE124F"/>
    <w:rsid w:val="00EE2215"/>
    <w:rsid w:val="00EE3388"/>
    <w:rsid w:val="00EE3AC9"/>
    <w:rsid w:val="00EE4508"/>
    <w:rsid w:val="00EE4764"/>
    <w:rsid w:val="00EE4CAF"/>
    <w:rsid w:val="00EE5B81"/>
    <w:rsid w:val="00EE5D83"/>
    <w:rsid w:val="00EE6047"/>
    <w:rsid w:val="00EE6284"/>
    <w:rsid w:val="00EE7038"/>
    <w:rsid w:val="00EE7508"/>
    <w:rsid w:val="00EE7884"/>
    <w:rsid w:val="00EF00AC"/>
    <w:rsid w:val="00EF06FB"/>
    <w:rsid w:val="00EF07F3"/>
    <w:rsid w:val="00EF0884"/>
    <w:rsid w:val="00EF09C3"/>
    <w:rsid w:val="00EF0C89"/>
    <w:rsid w:val="00EF0CB9"/>
    <w:rsid w:val="00EF153F"/>
    <w:rsid w:val="00EF19B2"/>
    <w:rsid w:val="00EF1D39"/>
    <w:rsid w:val="00EF23F2"/>
    <w:rsid w:val="00EF2C39"/>
    <w:rsid w:val="00EF2D2E"/>
    <w:rsid w:val="00EF30E0"/>
    <w:rsid w:val="00EF336B"/>
    <w:rsid w:val="00EF4213"/>
    <w:rsid w:val="00EF4295"/>
    <w:rsid w:val="00EF4B0F"/>
    <w:rsid w:val="00EF4C20"/>
    <w:rsid w:val="00EF511E"/>
    <w:rsid w:val="00EF521D"/>
    <w:rsid w:val="00EF626E"/>
    <w:rsid w:val="00EF6787"/>
    <w:rsid w:val="00EF749E"/>
    <w:rsid w:val="00EF752B"/>
    <w:rsid w:val="00EF789C"/>
    <w:rsid w:val="00EF7FF6"/>
    <w:rsid w:val="00F005D7"/>
    <w:rsid w:val="00F01757"/>
    <w:rsid w:val="00F01E3E"/>
    <w:rsid w:val="00F03529"/>
    <w:rsid w:val="00F03C9C"/>
    <w:rsid w:val="00F03DE3"/>
    <w:rsid w:val="00F03F02"/>
    <w:rsid w:val="00F045AB"/>
    <w:rsid w:val="00F048C2"/>
    <w:rsid w:val="00F04C5F"/>
    <w:rsid w:val="00F052B9"/>
    <w:rsid w:val="00F053A1"/>
    <w:rsid w:val="00F05532"/>
    <w:rsid w:val="00F05754"/>
    <w:rsid w:val="00F05E74"/>
    <w:rsid w:val="00F0736C"/>
    <w:rsid w:val="00F073AD"/>
    <w:rsid w:val="00F076DA"/>
    <w:rsid w:val="00F07BCD"/>
    <w:rsid w:val="00F11056"/>
    <w:rsid w:val="00F112A8"/>
    <w:rsid w:val="00F113BD"/>
    <w:rsid w:val="00F1275C"/>
    <w:rsid w:val="00F12A45"/>
    <w:rsid w:val="00F1360D"/>
    <w:rsid w:val="00F14312"/>
    <w:rsid w:val="00F14440"/>
    <w:rsid w:val="00F14528"/>
    <w:rsid w:val="00F14693"/>
    <w:rsid w:val="00F155D7"/>
    <w:rsid w:val="00F158CB"/>
    <w:rsid w:val="00F15ECC"/>
    <w:rsid w:val="00F15F45"/>
    <w:rsid w:val="00F1601D"/>
    <w:rsid w:val="00F16166"/>
    <w:rsid w:val="00F163AF"/>
    <w:rsid w:val="00F16729"/>
    <w:rsid w:val="00F169E2"/>
    <w:rsid w:val="00F1712E"/>
    <w:rsid w:val="00F176AB"/>
    <w:rsid w:val="00F17AB5"/>
    <w:rsid w:val="00F17B53"/>
    <w:rsid w:val="00F20306"/>
    <w:rsid w:val="00F206FA"/>
    <w:rsid w:val="00F20B46"/>
    <w:rsid w:val="00F20BDD"/>
    <w:rsid w:val="00F210BB"/>
    <w:rsid w:val="00F21384"/>
    <w:rsid w:val="00F213C5"/>
    <w:rsid w:val="00F21AD7"/>
    <w:rsid w:val="00F2226A"/>
    <w:rsid w:val="00F22330"/>
    <w:rsid w:val="00F2279F"/>
    <w:rsid w:val="00F22A45"/>
    <w:rsid w:val="00F22FD6"/>
    <w:rsid w:val="00F2310A"/>
    <w:rsid w:val="00F23EBD"/>
    <w:rsid w:val="00F23F3E"/>
    <w:rsid w:val="00F241D6"/>
    <w:rsid w:val="00F242EA"/>
    <w:rsid w:val="00F244F9"/>
    <w:rsid w:val="00F2461D"/>
    <w:rsid w:val="00F2466F"/>
    <w:rsid w:val="00F2471B"/>
    <w:rsid w:val="00F248B3"/>
    <w:rsid w:val="00F24B41"/>
    <w:rsid w:val="00F24DDF"/>
    <w:rsid w:val="00F25BAE"/>
    <w:rsid w:val="00F25E0B"/>
    <w:rsid w:val="00F26057"/>
    <w:rsid w:val="00F26077"/>
    <w:rsid w:val="00F26156"/>
    <w:rsid w:val="00F2695F"/>
    <w:rsid w:val="00F27C00"/>
    <w:rsid w:val="00F31466"/>
    <w:rsid w:val="00F31944"/>
    <w:rsid w:val="00F3218C"/>
    <w:rsid w:val="00F33B19"/>
    <w:rsid w:val="00F33B8D"/>
    <w:rsid w:val="00F33C79"/>
    <w:rsid w:val="00F34871"/>
    <w:rsid w:val="00F34BD5"/>
    <w:rsid w:val="00F352A4"/>
    <w:rsid w:val="00F354C6"/>
    <w:rsid w:val="00F35929"/>
    <w:rsid w:val="00F35C12"/>
    <w:rsid w:val="00F3661F"/>
    <w:rsid w:val="00F374AB"/>
    <w:rsid w:val="00F3753C"/>
    <w:rsid w:val="00F3799C"/>
    <w:rsid w:val="00F40C6C"/>
    <w:rsid w:val="00F410CB"/>
    <w:rsid w:val="00F411B0"/>
    <w:rsid w:val="00F42A62"/>
    <w:rsid w:val="00F431A1"/>
    <w:rsid w:val="00F43EDA"/>
    <w:rsid w:val="00F443CA"/>
    <w:rsid w:val="00F449A3"/>
    <w:rsid w:val="00F44A88"/>
    <w:rsid w:val="00F44CB9"/>
    <w:rsid w:val="00F44F2E"/>
    <w:rsid w:val="00F44F84"/>
    <w:rsid w:val="00F44FF4"/>
    <w:rsid w:val="00F461FF"/>
    <w:rsid w:val="00F469D1"/>
    <w:rsid w:val="00F479AB"/>
    <w:rsid w:val="00F47A75"/>
    <w:rsid w:val="00F47ED9"/>
    <w:rsid w:val="00F47F2F"/>
    <w:rsid w:val="00F50207"/>
    <w:rsid w:val="00F5106E"/>
    <w:rsid w:val="00F5127B"/>
    <w:rsid w:val="00F514EB"/>
    <w:rsid w:val="00F51A71"/>
    <w:rsid w:val="00F51E82"/>
    <w:rsid w:val="00F523DB"/>
    <w:rsid w:val="00F52889"/>
    <w:rsid w:val="00F52C36"/>
    <w:rsid w:val="00F52C94"/>
    <w:rsid w:val="00F52EBF"/>
    <w:rsid w:val="00F53163"/>
    <w:rsid w:val="00F531F8"/>
    <w:rsid w:val="00F534BA"/>
    <w:rsid w:val="00F53633"/>
    <w:rsid w:val="00F536F4"/>
    <w:rsid w:val="00F53A41"/>
    <w:rsid w:val="00F53E4B"/>
    <w:rsid w:val="00F544D0"/>
    <w:rsid w:val="00F549EB"/>
    <w:rsid w:val="00F552FA"/>
    <w:rsid w:val="00F554F4"/>
    <w:rsid w:val="00F55874"/>
    <w:rsid w:val="00F55C7A"/>
    <w:rsid w:val="00F55F65"/>
    <w:rsid w:val="00F5605C"/>
    <w:rsid w:val="00F57287"/>
    <w:rsid w:val="00F57635"/>
    <w:rsid w:val="00F57704"/>
    <w:rsid w:val="00F578C9"/>
    <w:rsid w:val="00F605D2"/>
    <w:rsid w:val="00F60A35"/>
    <w:rsid w:val="00F61105"/>
    <w:rsid w:val="00F61CAC"/>
    <w:rsid w:val="00F622A0"/>
    <w:rsid w:val="00F62593"/>
    <w:rsid w:val="00F63092"/>
    <w:rsid w:val="00F63766"/>
    <w:rsid w:val="00F63AFF"/>
    <w:rsid w:val="00F63E93"/>
    <w:rsid w:val="00F6482B"/>
    <w:rsid w:val="00F64CE7"/>
    <w:rsid w:val="00F65AA6"/>
    <w:rsid w:val="00F67262"/>
    <w:rsid w:val="00F674FC"/>
    <w:rsid w:val="00F67B56"/>
    <w:rsid w:val="00F67DF4"/>
    <w:rsid w:val="00F708D0"/>
    <w:rsid w:val="00F70A93"/>
    <w:rsid w:val="00F7150F"/>
    <w:rsid w:val="00F71895"/>
    <w:rsid w:val="00F72247"/>
    <w:rsid w:val="00F7266B"/>
    <w:rsid w:val="00F73488"/>
    <w:rsid w:val="00F74AC6"/>
    <w:rsid w:val="00F74C20"/>
    <w:rsid w:val="00F75892"/>
    <w:rsid w:val="00F7606C"/>
    <w:rsid w:val="00F762FB"/>
    <w:rsid w:val="00F76FFB"/>
    <w:rsid w:val="00F8036B"/>
    <w:rsid w:val="00F80674"/>
    <w:rsid w:val="00F809BE"/>
    <w:rsid w:val="00F81359"/>
    <w:rsid w:val="00F81377"/>
    <w:rsid w:val="00F819F1"/>
    <w:rsid w:val="00F82177"/>
    <w:rsid w:val="00F825EE"/>
    <w:rsid w:val="00F82E3B"/>
    <w:rsid w:val="00F8337D"/>
    <w:rsid w:val="00F83D15"/>
    <w:rsid w:val="00F83DAF"/>
    <w:rsid w:val="00F83DCC"/>
    <w:rsid w:val="00F83F74"/>
    <w:rsid w:val="00F843B4"/>
    <w:rsid w:val="00F84742"/>
    <w:rsid w:val="00F84D77"/>
    <w:rsid w:val="00F85113"/>
    <w:rsid w:val="00F853D1"/>
    <w:rsid w:val="00F859D4"/>
    <w:rsid w:val="00F863B0"/>
    <w:rsid w:val="00F86702"/>
    <w:rsid w:val="00F86732"/>
    <w:rsid w:val="00F86B33"/>
    <w:rsid w:val="00F86DB4"/>
    <w:rsid w:val="00F87253"/>
    <w:rsid w:val="00F87F97"/>
    <w:rsid w:val="00F9033E"/>
    <w:rsid w:val="00F90596"/>
    <w:rsid w:val="00F9072C"/>
    <w:rsid w:val="00F90936"/>
    <w:rsid w:val="00F9111A"/>
    <w:rsid w:val="00F917C3"/>
    <w:rsid w:val="00F918CE"/>
    <w:rsid w:val="00F91FEE"/>
    <w:rsid w:val="00F92380"/>
    <w:rsid w:val="00F928FB"/>
    <w:rsid w:val="00F92F7B"/>
    <w:rsid w:val="00F92FE2"/>
    <w:rsid w:val="00F93382"/>
    <w:rsid w:val="00F93B74"/>
    <w:rsid w:val="00F943BF"/>
    <w:rsid w:val="00F949B7"/>
    <w:rsid w:val="00F94B9F"/>
    <w:rsid w:val="00F94DA4"/>
    <w:rsid w:val="00F94F0E"/>
    <w:rsid w:val="00F95B67"/>
    <w:rsid w:val="00F95B90"/>
    <w:rsid w:val="00F9627D"/>
    <w:rsid w:val="00F96E11"/>
    <w:rsid w:val="00F96E7E"/>
    <w:rsid w:val="00F96E8C"/>
    <w:rsid w:val="00F97101"/>
    <w:rsid w:val="00FA1189"/>
    <w:rsid w:val="00FA11C8"/>
    <w:rsid w:val="00FA129E"/>
    <w:rsid w:val="00FA1CAD"/>
    <w:rsid w:val="00FA2453"/>
    <w:rsid w:val="00FA26FC"/>
    <w:rsid w:val="00FA2970"/>
    <w:rsid w:val="00FA2DDF"/>
    <w:rsid w:val="00FA3792"/>
    <w:rsid w:val="00FA535F"/>
    <w:rsid w:val="00FA578D"/>
    <w:rsid w:val="00FA5802"/>
    <w:rsid w:val="00FA64E0"/>
    <w:rsid w:val="00FA6588"/>
    <w:rsid w:val="00FA69C7"/>
    <w:rsid w:val="00FA6DEF"/>
    <w:rsid w:val="00FA71B2"/>
    <w:rsid w:val="00FA72D7"/>
    <w:rsid w:val="00FA74FF"/>
    <w:rsid w:val="00FA7E08"/>
    <w:rsid w:val="00FB0005"/>
    <w:rsid w:val="00FB0670"/>
    <w:rsid w:val="00FB0A10"/>
    <w:rsid w:val="00FB186B"/>
    <w:rsid w:val="00FB2650"/>
    <w:rsid w:val="00FB36F7"/>
    <w:rsid w:val="00FB3A04"/>
    <w:rsid w:val="00FB3DC5"/>
    <w:rsid w:val="00FB53AE"/>
    <w:rsid w:val="00FB6301"/>
    <w:rsid w:val="00FB6510"/>
    <w:rsid w:val="00FB67B4"/>
    <w:rsid w:val="00FB70B6"/>
    <w:rsid w:val="00FB7E7A"/>
    <w:rsid w:val="00FB7F7E"/>
    <w:rsid w:val="00FC0199"/>
    <w:rsid w:val="00FC0302"/>
    <w:rsid w:val="00FC0846"/>
    <w:rsid w:val="00FC0D38"/>
    <w:rsid w:val="00FC10F9"/>
    <w:rsid w:val="00FC1516"/>
    <w:rsid w:val="00FC161E"/>
    <w:rsid w:val="00FC17C8"/>
    <w:rsid w:val="00FC1AC2"/>
    <w:rsid w:val="00FC2119"/>
    <w:rsid w:val="00FC2220"/>
    <w:rsid w:val="00FC2356"/>
    <w:rsid w:val="00FC27FC"/>
    <w:rsid w:val="00FC2BB0"/>
    <w:rsid w:val="00FC32C1"/>
    <w:rsid w:val="00FC347F"/>
    <w:rsid w:val="00FC3DA1"/>
    <w:rsid w:val="00FC4013"/>
    <w:rsid w:val="00FC4028"/>
    <w:rsid w:val="00FC403F"/>
    <w:rsid w:val="00FC40AC"/>
    <w:rsid w:val="00FC4771"/>
    <w:rsid w:val="00FC48DF"/>
    <w:rsid w:val="00FC4D36"/>
    <w:rsid w:val="00FC5277"/>
    <w:rsid w:val="00FC59F5"/>
    <w:rsid w:val="00FC5CB0"/>
    <w:rsid w:val="00FC5ED3"/>
    <w:rsid w:val="00FC604E"/>
    <w:rsid w:val="00FC6776"/>
    <w:rsid w:val="00FC6798"/>
    <w:rsid w:val="00FC6D81"/>
    <w:rsid w:val="00FC7303"/>
    <w:rsid w:val="00FC793E"/>
    <w:rsid w:val="00FD08F0"/>
    <w:rsid w:val="00FD0C7E"/>
    <w:rsid w:val="00FD0CEA"/>
    <w:rsid w:val="00FD132C"/>
    <w:rsid w:val="00FD144C"/>
    <w:rsid w:val="00FD15BC"/>
    <w:rsid w:val="00FD1A7E"/>
    <w:rsid w:val="00FD203B"/>
    <w:rsid w:val="00FD3311"/>
    <w:rsid w:val="00FD33A0"/>
    <w:rsid w:val="00FD36B5"/>
    <w:rsid w:val="00FD4051"/>
    <w:rsid w:val="00FD4B5C"/>
    <w:rsid w:val="00FD4BE0"/>
    <w:rsid w:val="00FD5029"/>
    <w:rsid w:val="00FD51E8"/>
    <w:rsid w:val="00FD57C2"/>
    <w:rsid w:val="00FD5A74"/>
    <w:rsid w:val="00FD69A7"/>
    <w:rsid w:val="00FD70A2"/>
    <w:rsid w:val="00FD713F"/>
    <w:rsid w:val="00FE0075"/>
    <w:rsid w:val="00FE0097"/>
    <w:rsid w:val="00FE0183"/>
    <w:rsid w:val="00FE03CC"/>
    <w:rsid w:val="00FE0F94"/>
    <w:rsid w:val="00FE0FE5"/>
    <w:rsid w:val="00FE11BD"/>
    <w:rsid w:val="00FE141C"/>
    <w:rsid w:val="00FE16DB"/>
    <w:rsid w:val="00FE1AEE"/>
    <w:rsid w:val="00FE246B"/>
    <w:rsid w:val="00FE2CFE"/>
    <w:rsid w:val="00FE2ED4"/>
    <w:rsid w:val="00FE4332"/>
    <w:rsid w:val="00FE4340"/>
    <w:rsid w:val="00FE537A"/>
    <w:rsid w:val="00FE5B21"/>
    <w:rsid w:val="00FE6235"/>
    <w:rsid w:val="00FE6984"/>
    <w:rsid w:val="00FE7626"/>
    <w:rsid w:val="00FF00BF"/>
    <w:rsid w:val="00FF0747"/>
    <w:rsid w:val="00FF13A8"/>
    <w:rsid w:val="00FF148A"/>
    <w:rsid w:val="00FF17B5"/>
    <w:rsid w:val="00FF1A65"/>
    <w:rsid w:val="00FF20E6"/>
    <w:rsid w:val="00FF2647"/>
    <w:rsid w:val="00FF2701"/>
    <w:rsid w:val="00FF2B66"/>
    <w:rsid w:val="00FF2E99"/>
    <w:rsid w:val="00FF5264"/>
    <w:rsid w:val="00FF5697"/>
    <w:rsid w:val="00FF5B20"/>
    <w:rsid w:val="00FF5F6E"/>
    <w:rsid w:val="00FF61CE"/>
    <w:rsid w:val="00FF61DF"/>
    <w:rsid w:val="00FF6444"/>
    <w:rsid w:val="00FF6C98"/>
    <w:rsid w:val="00FF7485"/>
    <w:rsid w:val="00FF75CB"/>
    <w:rsid w:val="00FF77AE"/>
    <w:rsid w:val="00FF7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5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link w:val="FootnoteTextChar"/>
    <w:uiPriority w:val="99"/>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B9430C"/>
    <w:rPr>
      <w:sz w:val="16"/>
      <w:szCs w:val="16"/>
    </w:rPr>
  </w:style>
  <w:style w:type="paragraph" w:styleId="CommentText">
    <w:name w:val="annotation text"/>
    <w:basedOn w:val="Normal"/>
    <w:link w:val="CommentTextChar"/>
    <w:rsid w:val="00B9430C"/>
    <w:rPr>
      <w:sz w:val="20"/>
    </w:rPr>
  </w:style>
  <w:style w:type="character" w:customStyle="1" w:styleId="CommentTextChar">
    <w:name w:val="Comment Text Char"/>
    <w:basedOn w:val="DefaultParagraphFont"/>
    <w:link w:val="CommentText"/>
    <w:rsid w:val="00B9430C"/>
  </w:style>
  <w:style w:type="paragraph" w:styleId="CommentSubject">
    <w:name w:val="annotation subject"/>
    <w:basedOn w:val="CommentText"/>
    <w:next w:val="CommentText"/>
    <w:link w:val="CommentSubjectChar"/>
    <w:rsid w:val="00B9430C"/>
    <w:rPr>
      <w:b/>
      <w:bCs/>
    </w:rPr>
  </w:style>
  <w:style w:type="character" w:customStyle="1" w:styleId="CommentSubjectChar">
    <w:name w:val="Comment Subject Char"/>
    <w:basedOn w:val="CommentTextChar"/>
    <w:link w:val="CommentSubject"/>
    <w:rsid w:val="00B9430C"/>
    <w:rPr>
      <w:b/>
      <w:bCs/>
    </w:rPr>
  </w:style>
  <w:style w:type="paragraph" w:styleId="BalloonText">
    <w:name w:val="Balloon Text"/>
    <w:basedOn w:val="Normal"/>
    <w:link w:val="BalloonTextChar"/>
    <w:rsid w:val="00B9430C"/>
    <w:pPr>
      <w:spacing w:before="0" w:after="0"/>
    </w:pPr>
    <w:rPr>
      <w:rFonts w:ascii="Tahoma" w:hAnsi="Tahoma" w:cs="Tahoma"/>
      <w:sz w:val="16"/>
      <w:szCs w:val="16"/>
    </w:rPr>
  </w:style>
  <w:style w:type="character" w:customStyle="1" w:styleId="BalloonTextChar">
    <w:name w:val="Balloon Text Char"/>
    <w:basedOn w:val="DefaultParagraphFont"/>
    <w:link w:val="BalloonText"/>
    <w:rsid w:val="00B9430C"/>
    <w:rPr>
      <w:rFonts w:ascii="Tahoma" w:hAnsi="Tahoma" w:cs="Tahoma"/>
      <w:sz w:val="16"/>
      <w:szCs w:val="16"/>
    </w:rPr>
  </w:style>
  <w:style w:type="paragraph" w:customStyle="1" w:styleId="Bullet">
    <w:name w:val="Bullet"/>
    <w:basedOn w:val="Normal"/>
    <w:link w:val="BulletChar"/>
    <w:rsid w:val="00EE0F71"/>
    <w:pPr>
      <w:numPr>
        <w:numId w:val="32"/>
      </w:numPr>
    </w:pPr>
  </w:style>
  <w:style w:type="character" w:customStyle="1" w:styleId="base-text-paragraphnonumbersChar">
    <w:name w:val="base-text-paragraph no numbers Char"/>
    <w:basedOn w:val="DefaultParagraphFont"/>
    <w:link w:val="base-text-paragraphnonumbers"/>
    <w:rsid w:val="00EE0F71"/>
    <w:rPr>
      <w:sz w:val="22"/>
    </w:rPr>
  </w:style>
  <w:style w:type="character" w:customStyle="1" w:styleId="BulletChar">
    <w:name w:val="Bullet Char"/>
    <w:basedOn w:val="base-text-paragraphnonumbersChar"/>
    <w:link w:val="Bullet"/>
    <w:rsid w:val="00EE0F71"/>
    <w:rPr>
      <w:sz w:val="22"/>
    </w:rPr>
  </w:style>
  <w:style w:type="paragraph" w:customStyle="1" w:styleId="Dash">
    <w:name w:val="Dash"/>
    <w:basedOn w:val="Normal"/>
    <w:link w:val="DashChar"/>
    <w:rsid w:val="00EE0F71"/>
    <w:pPr>
      <w:numPr>
        <w:ilvl w:val="1"/>
        <w:numId w:val="32"/>
      </w:numPr>
    </w:pPr>
  </w:style>
  <w:style w:type="character" w:customStyle="1" w:styleId="DashChar">
    <w:name w:val="Dash Char"/>
    <w:basedOn w:val="base-text-paragraphnonumbersChar"/>
    <w:link w:val="Dash"/>
    <w:rsid w:val="00EE0F71"/>
    <w:rPr>
      <w:sz w:val="22"/>
    </w:rPr>
  </w:style>
  <w:style w:type="paragraph" w:customStyle="1" w:styleId="DoubleDot">
    <w:name w:val="Double Dot"/>
    <w:basedOn w:val="Normal"/>
    <w:link w:val="DoubleDotChar"/>
    <w:rsid w:val="00EE0F71"/>
    <w:pPr>
      <w:numPr>
        <w:ilvl w:val="2"/>
        <w:numId w:val="32"/>
      </w:numPr>
    </w:pPr>
  </w:style>
  <w:style w:type="character" w:customStyle="1" w:styleId="DoubleDotChar">
    <w:name w:val="Double Dot Char"/>
    <w:basedOn w:val="base-text-paragraphnonumbersChar"/>
    <w:link w:val="DoubleDot"/>
    <w:rsid w:val="00EE0F71"/>
    <w:rPr>
      <w:sz w:val="22"/>
    </w:rPr>
  </w:style>
  <w:style w:type="character" w:customStyle="1" w:styleId="Heading4Char">
    <w:name w:val="Heading 4 Char"/>
    <w:basedOn w:val="DefaultParagraphFont"/>
    <w:link w:val="Heading4"/>
    <w:rsid w:val="00E27590"/>
    <w:rPr>
      <w:b/>
      <w:i/>
      <w:sz w:val="22"/>
    </w:rPr>
  </w:style>
  <w:style w:type="character" w:customStyle="1" w:styleId="FootnoteTextChar">
    <w:name w:val="Footnote Text Char"/>
    <w:basedOn w:val="DefaultParagraphFont"/>
    <w:link w:val="FootnoteText"/>
    <w:uiPriority w:val="99"/>
    <w:rsid w:val="00701469"/>
  </w:style>
  <w:style w:type="character" w:styleId="FootnoteReference">
    <w:name w:val="footnote reference"/>
    <w:basedOn w:val="DefaultParagraphFont"/>
    <w:uiPriority w:val="99"/>
    <w:rsid w:val="00701469"/>
    <w:rPr>
      <w:vertAlign w:val="superscript"/>
    </w:rPr>
  </w:style>
  <w:style w:type="paragraph" w:styleId="Revision">
    <w:name w:val="Revision"/>
    <w:hidden/>
    <w:uiPriority w:val="99"/>
    <w:semiHidden/>
    <w:rsid w:val="006848D9"/>
    <w:rPr>
      <w:sz w:val="22"/>
    </w:rPr>
  </w:style>
  <w:style w:type="character" w:customStyle="1" w:styleId="Heading3Char">
    <w:name w:val="Heading 3 Char"/>
    <w:basedOn w:val="DefaultParagraphFont"/>
    <w:link w:val="Heading3"/>
    <w:rsid w:val="00DD2D00"/>
    <w:rPr>
      <w:rFonts w:ascii="Helvetica" w:hAnsi="Helvetica"/>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link w:val="FootnoteTextChar"/>
    <w:uiPriority w:val="99"/>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B9430C"/>
    <w:rPr>
      <w:sz w:val="16"/>
      <w:szCs w:val="16"/>
    </w:rPr>
  </w:style>
  <w:style w:type="paragraph" w:styleId="CommentText">
    <w:name w:val="annotation text"/>
    <w:basedOn w:val="Normal"/>
    <w:link w:val="CommentTextChar"/>
    <w:rsid w:val="00B9430C"/>
    <w:rPr>
      <w:sz w:val="20"/>
    </w:rPr>
  </w:style>
  <w:style w:type="character" w:customStyle="1" w:styleId="CommentTextChar">
    <w:name w:val="Comment Text Char"/>
    <w:basedOn w:val="DefaultParagraphFont"/>
    <w:link w:val="CommentText"/>
    <w:rsid w:val="00B9430C"/>
  </w:style>
  <w:style w:type="paragraph" w:styleId="CommentSubject">
    <w:name w:val="annotation subject"/>
    <w:basedOn w:val="CommentText"/>
    <w:next w:val="CommentText"/>
    <w:link w:val="CommentSubjectChar"/>
    <w:rsid w:val="00B9430C"/>
    <w:rPr>
      <w:b/>
      <w:bCs/>
    </w:rPr>
  </w:style>
  <w:style w:type="character" w:customStyle="1" w:styleId="CommentSubjectChar">
    <w:name w:val="Comment Subject Char"/>
    <w:basedOn w:val="CommentTextChar"/>
    <w:link w:val="CommentSubject"/>
    <w:rsid w:val="00B9430C"/>
    <w:rPr>
      <w:b/>
      <w:bCs/>
    </w:rPr>
  </w:style>
  <w:style w:type="paragraph" w:styleId="BalloonText">
    <w:name w:val="Balloon Text"/>
    <w:basedOn w:val="Normal"/>
    <w:link w:val="BalloonTextChar"/>
    <w:rsid w:val="00B9430C"/>
    <w:pPr>
      <w:spacing w:before="0" w:after="0"/>
    </w:pPr>
    <w:rPr>
      <w:rFonts w:ascii="Tahoma" w:hAnsi="Tahoma" w:cs="Tahoma"/>
      <w:sz w:val="16"/>
      <w:szCs w:val="16"/>
    </w:rPr>
  </w:style>
  <w:style w:type="character" w:customStyle="1" w:styleId="BalloonTextChar">
    <w:name w:val="Balloon Text Char"/>
    <w:basedOn w:val="DefaultParagraphFont"/>
    <w:link w:val="BalloonText"/>
    <w:rsid w:val="00B9430C"/>
    <w:rPr>
      <w:rFonts w:ascii="Tahoma" w:hAnsi="Tahoma" w:cs="Tahoma"/>
      <w:sz w:val="16"/>
      <w:szCs w:val="16"/>
    </w:rPr>
  </w:style>
  <w:style w:type="paragraph" w:customStyle="1" w:styleId="Bullet">
    <w:name w:val="Bullet"/>
    <w:basedOn w:val="Normal"/>
    <w:link w:val="BulletChar"/>
    <w:rsid w:val="00EE0F71"/>
    <w:pPr>
      <w:numPr>
        <w:numId w:val="32"/>
      </w:numPr>
    </w:pPr>
  </w:style>
  <w:style w:type="character" w:customStyle="1" w:styleId="base-text-paragraphnonumbersChar">
    <w:name w:val="base-text-paragraph no numbers Char"/>
    <w:basedOn w:val="DefaultParagraphFont"/>
    <w:link w:val="base-text-paragraphnonumbers"/>
    <w:rsid w:val="00EE0F71"/>
    <w:rPr>
      <w:sz w:val="22"/>
    </w:rPr>
  </w:style>
  <w:style w:type="character" w:customStyle="1" w:styleId="BulletChar">
    <w:name w:val="Bullet Char"/>
    <w:basedOn w:val="base-text-paragraphnonumbersChar"/>
    <w:link w:val="Bullet"/>
    <w:rsid w:val="00EE0F71"/>
    <w:rPr>
      <w:sz w:val="22"/>
    </w:rPr>
  </w:style>
  <w:style w:type="paragraph" w:customStyle="1" w:styleId="Dash">
    <w:name w:val="Dash"/>
    <w:basedOn w:val="Normal"/>
    <w:link w:val="DashChar"/>
    <w:rsid w:val="00EE0F71"/>
    <w:pPr>
      <w:numPr>
        <w:ilvl w:val="1"/>
        <w:numId w:val="32"/>
      </w:numPr>
    </w:pPr>
  </w:style>
  <w:style w:type="character" w:customStyle="1" w:styleId="DashChar">
    <w:name w:val="Dash Char"/>
    <w:basedOn w:val="base-text-paragraphnonumbersChar"/>
    <w:link w:val="Dash"/>
    <w:rsid w:val="00EE0F71"/>
    <w:rPr>
      <w:sz w:val="22"/>
    </w:rPr>
  </w:style>
  <w:style w:type="paragraph" w:customStyle="1" w:styleId="DoubleDot">
    <w:name w:val="Double Dot"/>
    <w:basedOn w:val="Normal"/>
    <w:link w:val="DoubleDotChar"/>
    <w:rsid w:val="00EE0F71"/>
    <w:pPr>
      <w:numPr>
        <w:ilvl w:val="2"/>
        <w:numId w:val="32"/>
      </w:numPr>
    </w:pPr>
  </w:style>
  <w:style w:type="character" w:customStyle="1" w:styleId="DoubleDotChar">
    <w:name w:val="Double Dot Char"/>
    <w:basedOn w:val="base-text-paragraphnonumbersChar"/>
    <w:link w:val="DoubleDot"/>
    <w:rsid w:val="00EE0F71"/>
    <w:rPr>
      <w:sz w:val="22"/>
    </w:rPr>
  </w:style>
  <w:style w:type="character" w:customStyle="1" w:styleId="Heading4Char">
    <w:name w:val="Heading 4 Char"/>
    <w:basedOn w:val="DefaultParagraphFont"/>
    <w:link w:val="Heading4"/>
    <w:rsid w:val="00E27590"/>
    <w:rPr>
      <w:b/>
      <w:i/>
      <w:sz w:val="22"/>
    </w:rPr>
  </w:style>
  <w:style w:type="character" w:customStyle="1" w:styleId="FootnoteTextChar">
    <w:name w:val="Footnote Text Char"/>
    <w:basedOn w:val="DefaultParagraphFont"/>
    <w:link w:val="FootnoteText"/>
    <w:uiPriority w:val="99"/>
    <w:rsid w:val="00701469"/>
  </w:style>
  <w:style w:type="character" w:styleId="FootnoteReference">
    <w:name w:val="footnote reference"/>
    <w:basedOn w:val="DefaultParagraphFont"/>
    <w:uiPriority w:val="99"/>
    <w:rsid w:val="00701469"/>
    <w:rPr>
      <w:vertAlign w:val="superscript"/>
    </w:rPr>
  </w:style>
  <w:style w:type="paragraph" w:styleId="Revision">
    <w:name w:val="Revision"/>
    <w:hidden/>
    <w:uiPriority w:val="99"/>
    <w:semiHidden/>
    <w:rsid w:val="006848D9"/>
    <w:rPr>
      <w:sz w:val="22"/>
    </w:rPr>
  </w:style>
  <w:style w:type="character" w:customStyle="1" w:styleId="Heading3Char">
    <w:name w:val="Heading 3 Char"/>
    <w:basedOn w:val="DefaultParagraphFont"/>
    <w:link w:val="Heading3"/>
    <w:rsid w:val="00DD2D00"/>
    <w:rPr>
      <w:rFonts w:ascii="Helvetica" w:hAnsi="Helvetic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6252">
      <w:bodyDiv w:val="1"/>
      <w:marLeft w:val="0"/>
      <w:marRight w:val="0"/>
      <w:marTop w:val="0"/>
      <w:marBottom w:val="0"/>
      <w:divBdr>
        <w:top w:val="none" w:sz="0" w:space="0" w:color="auto"/>
        <w:left w:val="none" w:sz="0" w:space="0" w:color="auto"/>
        <w:bottom w:val="none" w:sz="0" w:space="0" w:color="auto"/>
        <w:right w:val="none" w:sz="0" w:space="0" w:color="auto"/>
      </w:divBdr>
    </w:div>
    <w:div w:id="414061137">
      <w:bodyDiv w:val="1"/>
      <w:marLeft w:val="0"/>
      <w:marRight w:val="0"/>
      <w:marTop w:val="0"/>
      <w:marBottom w:val="0"/>
      <w:divBdr>
        <w:top w:val="none" w:sz="0" w:space="0" w:color="auto"/>
        <w:left w:val="none" w:sz="0" w:space="0" w:color="auto"/>
        <w:bottom w:val="none" w:sz="0" w:space="0" w:color="auto"/>
        <w:right w:val="none" w:sz="0" w:space="0" w:color="auto"/>
      </w:divBdr>
    </w:div>
    <w:div w:id="1020398989">
      <w:bodyDiv w:val="1"/>
      <w:marLeft w:val="0"/>
      <w:marRight w:val="0"/>
      <w:marTop w:val="0"/>
      <w:marBottom w:val="0"/>
      <w:divBdr>
        <w:top w:val="none" w:sz="0" w:space="0" w:color="auto"/>
        <w:left w:val="none" w:sz="0" w:space="0" w:color="auto"/>
        <w:bottom w:val="none" w:sz="0" w:space="0" w:color="auto"/>
        <w:right w:val="none" w:sz="0" w:space="0" w:color="auto"/>
      </w:divBdr>
    </w:div>
    <w:div w:id="1491946472">
      <w:bodyDiv w:val="1"/>
      <w:marLeft w:val="0"/>
      <w:marRight w:val="0"/>
      <w:marTop w:val="0"/>
      <w:marBottom w:val="0"/>
      <w:divBdr>
        <w:top w:val="none" w:sz="0" w:space="0" w:color="auto"/>
        <w:left w:val="none" w:sz="0" w:space="0" w:color="auto"/>
        <w:bottom w:val="none" w:sz="0" w:space="0" w:color="auto"/>
        <w:right w:val="none" w:sz="0" w:space="0" w:color="auto"/>
      </w:divBdr>
    </w:div>
    <w:div w:id="159096785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header" Target="header16.xml"/><Relationship Id="rId47" Type="http://schemas.openxmlformats.org/officeDocument/2006/relationships/header" Target="header18.xml"/><Relationship Id="rId50" Type="http://schemas.openxmlformats.org/officeDocument/2006/relationships/footer" Target="footer23.xml"/><Relationship Id="rId55" Type="http://schemas.openxmlformats.org/officeDocument/2006/relationships/footer" Target="footer26.xml"/><Relationship Id="rId63" Type="http://schemas.openxmlformats.org/officeDocument/2006/relationships/header" Target="header25.xml"/><Relationship Id="rId68" Type="http://schemas.openxmlformats.org/officeDocument/2006/relationships/header" Target="header27.xml"/><Relationship Id="rId7" Type="http://schemas.openxmlformats.org/officeDocument/2006/relationships/footnotes" Target="footnotes.xml"/><Relationship Id="rId71" Type="http://schemas.openxmlformats.org/officeDocument/2006/relationships/footer" Target="footer35.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7.xml"/><Relationship Id="rId45" Type="http://schemas.openxmlformats.org/officeDocument/2006/relationships/footer" Target="footer20.xml"/><Relationship Id="rId53" Type="http://schemas.openxmlformats.org/officeDocument/2006/relationships/header" Target="header21.xml"/><Relationship Id="rId58" Type="http://schemas.openxmlformats.org/officeDocument/2006/relationships/header" Target="header23.xml"/><Relationship Id="rId66" Type="http://schemas.openxmlformats.org/officeDocument/2006/relationships/footer" Target="footer33.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footer" Target="footer22.xml"/><Relationship Id="rId57" Type="http://schemas.openxmlformats.org/officeDocument/2006/relationships/header" Target="header22.xml"/><Relationship Id="rId61" Type="http://schemas.openxmlformats.org/officeDocument/2006/relationships/footer" Target="footer3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footer" Target="footer19.xml"/><Relationship Id="rId52" Type="http://schemas.openxmlformats.org/officeDocument/2006/relationships/header" Target="header20.xml"/><Relationship Id="rId60" Type="http://schemas.openxmlformats.org/officeDocument/2006/relationships/footer" Target="footer29.xml"/><Relationship Id="rId65" Type="http://schemas.openxmlformats.org/officeDocument/2006/relationships/footer" Target="footer32.xml"/><Relationship Id="rId73" Type="http://schemas.openxmlformats.org/officeDocument/2006/relationships/header" Target="header2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7.xml"/><Relationship Id="rId64" Type="http://schemas.openxmlformats.org/officeDocument/2006/relationships/footer" Target="footer31.xml"/><Relationship Id="rId69" Type="http://schemas.openxmlformats.org/officeDocument/2006/relationships/header" Target="header28.xml"/><Relationship Id="rId8" Type="http://schemas.openxmlformats.org/officeDocument/2006/relationships/endnotes" Target="endnotes.xml"/><Relationship Id="rId51" Type="http://schemas.openxmlformats.org/officeDocument/2006/relationships/footer" Target="footer24.xml"/><Relationship Id="rId72" Type="http://schemas.openxmlformats.org/officeDocument/2006/relationships/footer" Target="footer3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footer" Target="footer21.xml"/><Relationship Id="rId59" Type="http://schemas.openxmlformats.org/officeDocument/2006/relationships/footer" Target="footer28.xml"/><Relationship Id="rId67" Type="http://schemas.openxmlformats.org/officeDocument/2006/relationships/header" Target="header26.xml"/><Relationship Id="rId20" Type="http://schemas.openxmlformats.org/officeDocument/2006/relationships/footer" Target="footer6.xml"/><Relationship Id="rId41" Type="http://schemas.openxmlformats.org/officeDocument/2006/relationships/footer" Target="footer18.xml"/><Relationship Id="rId54" Type="http://schemas.openxmlformats.org/officeDocument/2006/relationships/footer" Target="footer25.xml"/><Relationship Id="rId62" Type="http://schemas.openxmlformats.org/officeDocument/2006/relationships/header" Target="header24.xml"/><Relationship Id="rId70" Type="http://schemas.openxmlformats.org/officeDocument/2006/relationships/footer" Target="footer3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0270A-D539-4A5C-9902-D494FE25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31657</Words>
  <Characters>162805</Characters>
  <Application>Microsoft Office Word</Application>
  <DocSecurity>0</DocSecurity>
  <Lines>1356</Lines>
  <Paragraphs>388</Paragraphs>
  <ScaleCrop>false</ScaleCrop>
  <Company/>
  <LinksUpToDate>false</LinksUpToDate>
  <CharactersWithSpaces>194074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2015-12-01T04:38:00Z</dcterms:created>
  <dcterms:modified xsi:type="dcterms:W3CDTF">2015-12-01T04:38:00Z</dcterms:modified>
</cp:coreProperties>
</file>