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F3" w:rsidRDefault="00D705F3" w:rsidP="00CA7B36">
      <w:pPr>
        <w:spacing w:after="0" w:line="240" w:lineRule="auto"/>
        <w:rPr>
          <w:b/>
        </w:rPr>
      </w:pPr>
      <w:bookmarkStart w:id="0" w:name="_GoBack"/>
      <w:bookmarkEnd w:id="0"/>
    </w:p>
    <w:p w:rsidR="00330375" w:rsidRPr="00330375" w:rsidRDefault="00330375" w:rsidP="00330375">
      <w:pPr>
        <w:spacing w:after="120" w:line="375" w:lineRule="atLeast"/>
        <w:outlineLvl w:val="0"/>
        <w:rPr>
          <w:rFonts w:ascii="Arial" w:eastAsia="Times New Roman" w:hAnsi="Arial" w:cs="Arial"/>
          <w:b/>
          <w:bCs/>
          <w:caps/>
          <w:color w:val="004A80"/>
          <w:kern w:val="36"/>
          <w:sz w:val="41"/>
          <w:szCs w:val="41"/>
          <w:lang w:eastAsia="en-AU"/>
        </w:rPr>
      </w:pPr>
      <w:r w:rsidRPr="00330375">
        <w:rPr>
          <w:rFonts w:ascii="Arial" w:eastAsia="Times New Roman" w:hAnsi="Arial" w:cs="Arial"/>
          <w:b/>
          <w:bCs/>
          <w:caps/>
          <w:color w:val="004A80"/>
          <w:kern w:val="36"/>
          <w:sz w:val="41"/>
          <w:szCs w:val="41"/>
          <w:lang w:eastAsia="en-AU"/>
        </w:rPr>
        <w:t>OPTIONS TO STRENGTHEN THE MISUSE OF MARKET POWER LAW</w:t>
      </w:r>
    </w:p>
    <w:p w:rsidR="00330375" w:rsidRDefault="00330375" w:rsidP="002F19FC">
      <w:pPr>
        <w:spacing w:after="0" w:line="240" w:lineRule="auto"/>
        <w:rPr>
          <w:b/>
        </w:rPr>
      </w:pPr>
    </w:p>
    <w:p w:rsidR="008C6FE1" w:rsidRPr="006430BD" w:rsidRDefault="00556889" w:rsidP="002F19FC">
      <w:pPr>
        <w:spacing w:after="0" w:line="240" w:lineRule="auto"/>
        <w:rPr>
          <w:rFonts w:ascii="Century Gothic" w:hAnsi="Century Gothic"/>
          <w:b/>
          <w:sz w:val="24"/>
          <w:szCs w:val="24"/>
        </w:rPr>
      </w:pPr>
      <w:r w:rsidRPr="006430BD">
        <w:rPr>
          <w:rFonts w:ascii="Century Gothic" w:hAnsi="Century Gothic"/>
          <w:b/>
          <w:sz w:val="24"/>
          <w:szCs w:val="24"/>
        </w:rPr>
        <w:t>I</w:t>
      </w:r>
      <w:r w:rsidR="00631933" w:rsidRPr="006430BD">
        <w:rPr>
          <w:rFonts w:ascii="Century Gothic" w:hAnsi="Century Gothic"/>
          <w:b/>
          <w:sz w:val="24"/>
          <w:szCs w:val="24"/>
        </w:rPr>
        <w:t>nt</w:t>
      </w:r>
      <w:r w:rsidR="007471BB" w:rsidRPr="006430BD">
        <w:rPr>
          <w:rFonts w:ascii="Century Gothic" w:hAnsi="Century Gothic"/>
          <w:b/>
          <w:sz w:val="24"/>
          <w:szCs w:val="24"/>
        </w:rPr>
        <w:t>roduction</w:t>
      </w:r>
    </w:p>
    <w:p w:rsidR="00F70B84" w:rsidRPr="006430BD" w:rsidRDefault="00F70B84" w:rsidP="002F19FC">
      <w:pPr>
        <w:spacing w:after="0" w:line="240" w:lineRule="auto"/>
        <w:rPr>
          <w:b/>
          <w:sz w:val="24"/>
          <w:szCs w:val="24"/>
        </w:rPr>
      </w:pPr>
    </w:p>
    <w:p w:rsidR="00330375" w:rsidRPr="006430BD" w:rsidRDefault="00F70B84" w:rsidP="00330375">
      <w:pPr>
        <w:spacing w:after="0" w:line="240" w:lineRule="auto"/>
        <w:rPr>
          <w:sz w:val="24"/>
          <w:szCs w:val="24"/>
        </w:rPr>
      </w:pPr>
      <w:r w:rsidRPr="006430BD">
        <w:rPr>
          <w:sz w:val="24"/>
          <w:szCs w:val="24"/>
        </w:rPr>
        <w:t>I am a beef and fat lamb producer in the North East</w:t>
      </w:r>
      <w:r w:rsidR="007D2DE3" w:rsidRPr="006430BD">
        <w:rPr>
          <w:sz w:val="24"/>
          <w:szCs w:val="24"/>
        </w:rPr>
        <w:t xml:space="preserve"> of Victoria, I am </w:t>
      </w:r>
      <w:r w:rsidR="006C59C0" w:rsidRPr="006430BD">
        <w:rPr>
          <w:sz w:val="24"/>
          <w:szCs w:val="24"/>
        </w:rPr>
        <w:t xml:space="preserve">Secretary of the Ovens Valley Branch of the VFF and </w:t>
      </w:r>
      <w:r w:rsidR="007D2DE3" w:rsidRPr="006430BD">
        <w:rPr>
          <w:sz w:val="24"/>
          <w:szCs w:val="24"/>
        </w:rPr>
        <w:t>involved in the</w:t>
      </w:r>
      <w:r w:rsidRPr="006430BD">
        <w:rPr>
          <w:sz w:val="24"/>
          <w:szCs w:val="24"/>
        </w:rPr>
        <w:t xml:space="preserve"> local Landcare Group, CFA and am Chair of the Into Our Hands Community Foundation.  I rely only on the farm business </w:t>
      </w:r>
      <w:r w:rsidR="00102BAD" w:rsidRPr="006430BD">
        <w:rPr>
          <w:sz w:val="24"/>
          <w:szCs w:val="24"/>
        </w:rPr>
        <w:t>for</w:t>
      </w:r>
      <w:r w:rsidR="00C16CA8" w:rsidRPr="006430BD">
        <w:rPr>
          <w:sz w:val="24"/>
          <w:szCs w:val="24"/>
        </w:rPr>
        <w:t xml:space="preserve"> income and have been disappointed that we have not seen, until very recently, any significant price increase within the beef industry over the past 15</w:t>
      </w:r>
      <w:r w:rsidR="00B10C6B" w:rsidRPr="006430BD">
        <w:rPr>
          <w:sz w:val="24"/>
          <w:szCs w:val="24"/>
        </w:rPr>
        <w:t xml:space="preserve"> - 20</w:t>
      </w:r>
      <w:r w:rsidR="00C16CA8" w:rsidRPr="006430BD">
        <w:rPr>
          <w:sz w:val="24"/>
          <w:szCs w:val="24"/>
        </w:rPr>
        <w:t xml:space="preserve"> years. The poor market conditions have had huge impacts on the beef industry as a whole driving many farmers off the land and undermining any chance of younger generations realising their </w:t>
      </w:r>
      <w:r w:rsidR="007D2DE3" w:rsidRPr="006430BD">
        <w:rPr>
          <w:sz w:val="24"/>
          <w:szCs w:val="24"/>
        </w:rPr>
        <w:t>farming dream.  We have seen minimal industry reform or investigation into</w:t>
      </w:r>
      <w:r w:rsidR="00C16CA8" w:rsidRPr="006430BD">
        <w:rPr>
          <w:sz w:val="24"/>
          <w:szCs w:val="24"/>
        </w:rPr>
        <w:t xml:space="preserve"> the real causes of the ongoing down turn. </w:t>
      </w:r>
      <w:r w:rsidR="007D2DE3" w:rsidRPr="006430BD">
        <w:rPr>
          <w:sz w:val="24"/>
          <w:szCs w:val="24"/>
        </w:rPr>
        <w:t xml:space="preserve"> The</w:t>
      </w:r>
      <w:r w:rsidR="00394243" w:rsidRPr="006430BD">
        <w:rPr>
          <w:sz w:val="24"/>
          <w:szCs w:val="24"/>
        </w:rPr>
        <w:t xml:space="preserve"> low pro</w:t>
      </w:r>
      <w:r w:rsidR="00B10C6B" w:rsidRPr="006430BD">
        <w:rPr>
          <w:sz w:val="24"/>
          <w:szCs w:val="24"/>
        </w:rPr>
        <w:t>fitability has created a flow-on</w:t>
      </w:r>
      <w:r w:rsidR="000E6033" w:rsidRPr="006430BD">
        <w:rPr>
          <w:sz w:val="24"/>
          <w:szCs w:val="24"/>
        </w:rPr>
        <w:t xml:space="preserve"> e</w:t>
      </w:r>
      <w:r w:rsidR="00394243" w:rsidRPr="006430BD">
        <w:rPr>
          <w:sz w:val="24"/>
          <w:szCs w:val="24"/>
        </w:rPr>
        <w:t>ffect</w:t>
      </w:r>
      <w:r w:rsidR="00330375" w:rsidRPr="006430BD">
        <w:rPr>
          <w:sz w:val="24"/>
          <w:szCs w:val="24"/>
        </w:rPr>
        <w:t xml:space="preserve"> greatly </w:t>
      </w:r>
      <w:r w:rsidR="007D2DE3" w:rsidRPr="006430BD">
        <w:rPr>
          <w:sz w:val="24"/>
          <w:szCs w:val="24"/>
        </w:rPr>
        <w:t>impacting</w:t>
      </w:r>
      <w:r w:rsidR="00C16CA8" w:rsidRPr="006430BD">
        <w:rPr>
          <w:sz w:val="24"/>
          <w:szCs w:val="24"/>
        </w:rPr>
        <w:t xml:space="preserve"> </w:t>
      </w:r>
      <w:r w:rsidR="00394243" w:rsidRPr="006430BD">
        <w:rPr>
          <w:sz w:val="24"/>
          <w:szCs w:val="24"/>
        </w:rPr>
        <w:t xml:space="preserve">on </w:t>
      </w:r>
      <w:r w:rsidR="00C16CA8" w:rsidRPr="006430BD">
        <w:rPr>
          <w:sz w:val="24"/>
          <w:szCs w:val="24"/>
        </w:rPr>
        <w:t>rural communities</w:t>
      </w:r>
      <w:r w:rsidR="00394243" w:rsidRPr="006430BD">
        <w:rPr>
          <w:sz w:val="24"/>
          <w:szCs w:val="24"/>
        </w:rPr>
        <w:t xml:space="preserve">.  </w:t>
      </w:r>
    </w:p>
    <w:p w:rsidR="00330375" w:rsidRPr="006430BD" w:rsidRDefault="00330375" w:rsidP="00330375">
      <w:pPr>
        <w:spacing w:after="0" w:line="240" w:lineRule="auto"/>
        <w:rPr>
          <w:sz w:val="24"/>
          <w:szCs w:val="24"/>
        </w:rPr>
      </w:pPr>
    </w:p>
    <w:p w:rsidR="00303C08" w:rsidRPr="006430BD" w:rsidRDefault="00303C08" w:rsidP="00330375">
      <w:pPr>
        <w:spacing w:after="0" w:line="240" w:lineRule="auto"/>
        <w:rPr>
          <w:rFonts w:ascii="Century Gothic" w:hAnsi="Century Gothic"/>
          <w:sz w:val="24"/>
          <w:szCs w:val="24"/>
        </w:rPr>
      </w:pPr>
      <w:r w:rsidRPr="006430BD">
        <w:rPr>
          <w:rFonts w:ascii="Century Gothic" w:hAnsi="Century Gothic"/>
          <w:b/>
          <w:sz w:val="24"/>
          <w:szCs w:val="24"/>
        </w:rPr>
        <w:t>Misuse of market power through buyer collusion</w:t>
      </w:r>
      <w:r w:rsidR="0027318E" w:rsidRPr="006430BD">
        <w:rPr>
          <w:rFonts w:ascii="Century Gothic" w:hAnsi="Century Gothic"/>
          <w:sz w:val="24"/>
          <w:szCs w:val="24"/>
        </w:rPr>
        <w:t xml:space="preserve"> </w:t>
      </w:r>
    </w:p>
    <w:p w:rsidR="00C10364" w:rsidRPr="006430BD" w:rsidRDefault="00C10364" w:rsidP="00C10364">
      <w:pPr>
        <w:pStyle w:val="ListParagraph"/>
        <w:spacing w:after="0" w:line="240" w:lineRule="auto"/>
        <w:rPr>
          <w:sz w:val="24"/>
          <w:szCs w:val="24"/>
        </w:rPr>
      </w:pPr>
    </w:p>
    <w:p w:rsidR="000C627F" w:rsidRPr="006430BD" w:rsidRDefault="002F19FC" w:rsidP="000C627F">
      <w:pPr>
        <w:pStyle w:val="ListParagraph"/>
        <w:spacing w:after="0" w:line="240" w:lineRule="auto"/>
        <w:rPr>
          <w:sz w:val="24"/>
          <w:szCs w:val="24"/>
        </w:rPr>
      </w:pPr>
      <w:r w:rsidRPr="006430BD">
        <w:rPr>
          <w:sz w:val="24"/>
          <w:szCs w:val="24"/>
        </w:rPr>
        <w:t>One of the most significant</w:t>
      </w:r>
      <w:r w:rsidR="00FB5213" w:rsidRPr="006430BD">
        <w:rPr>
          <w:sz w:val="24"/>
          <w:szCs w:val="24"/>
        </w:rPr>
        <w:t xml:space="preserve"> open</w:t>
      </w:r>
      <w:r w:rsidRPr="006430BD">
        <w:rPr>
          <w:sz w:val="24"/>
          <w:szCs w:val="24"/>
        </w:rPr>
        <w:t xml:space="preserve"> examples of market power and c</w:t>
      </w:r>
      <w:r w:rsidR="007D2DE3" w:rsidRPr="006430BD">
        <w:rPr>
          <w:sz w:val="24"/>
          <w:szCs w:val="24"/>
        </w:rPr>
        <w:t>ollusion</w:t>
      </w:r>
      <w:r w:rsidR="00FB5213" w:rsidRPr="006430BD">
        <w:rPr>
          <w:sz w:val="24"/>
          <w:szCs w:val="24"/>
        </w:rPr>
        <w:t xml:space="preserve"> in the meat industry</w:t>
      </w:r>
      <w:r w:rsidR="007D2DE3" w:rsidRPr="006430BD">
        <w:rPr>
          <w:sz w:val="24"/>
          <w:szCs w:val="24"/>
        </w:rPr>
        <w:t xml:space="preserve"> was demonstrated on</w:t>
      </w:r>
      <w:r w:rsidRPr="006430BD">
        <w:rPr>
          <w:sz w:val="24"/>
          <w:szCs w:val="24"/>
        </w:rPr>
        <w:t xml:space="preserve"> 17</w:t>
      </w:r>
      <w:r w:rsidRPr="006430BD">
        <w:rPr>
          <w:sz w:val="24"/>
          <w:szCs w:val="24"/>
          <w:vertAlign w:val="superscript"/>
        </w:rPr>
        <w:t>th</w:t>
      </w:r>
      <w:r w:rsidRPr="006430BD">
        <w:rPr>
          <w:sz w:val="24"/>
          <w:szCs w:val="24"/>
        </w:rPr>
        <w:t xml:space="preserve"> Fe</w:t>
      </w:r>
      <w:r w:rsidR="00FB5213" w:rsidRPr="006430BD">
        <w:rPr>
          <w:sz w:val="24"/>
          <w:szCs w:val="24"/>
        </w:rPr>
        <w:t xml:space="preserve">bruary 2015 </w:t>
      </w:r>
      <w:r w:rsidR="00DC13C2">
        <w:rPr>
          <w:sz w:val="24"/>
          <w:szCs w:val="24"/>
        </w:rPr>
        <w:t>when 9</w:t>
      </w:r>
      <w:r w:rsidRPr="006430BD">
        <w:rPr>
          <w:sz w:val="24"/>
          <w:szCs w:val="24"/>
        </w:rPr>
        <w:t xml:space="preserve"> proces</w:t>
      </w:r>
      <w:r w:rsidR="00750F9D" w:rsidRPr="006430BD">
        <w:rPr>
          <w:sz w:val="24"/>
          <w:szCs w:val="24"/>
        </w:rPr>
        <w:t xml:space="preserve">ses chose to boycott the Northern Victoria </w:t>
      </w:r>
      <w:r w:rsidR="002436E1" w:rsidRPr="006430BD">
        <w:rPr>
          <w:sz w:val="24"/>
          <w:szCs w:val="24"/>
        </w:rPr>
        <w:t>Livestock Exchange</w:t>
      </w:r>
      <w:r w:rsidR="0061252F" w:rsidRPr="006430BD">
        <w:rPr>
          <w:sz w:val="24"/>
          <w:szCs w:val="24"/>
        </w:rPr>
        <w:t xml:space="preserve"> (NVLX)</w:t>
      </w:r>
      <w:r w:rsidR="00750F9D" w:rsidRPr="006430BD">
        <w:rPr>
          <w:sz w:val="24"/>
          <w:szCs w:val="24"/>
        </w:rPr>
        <w:t xml:space="preserve"> at north</w:t>
      </w:r>
      <w:r w:rsidRPr="006430BD">
        <w:rPr>
          <w:sz w:val="24"/>
          <w:szCs w:val="24"/>
        </w:rPr>
        <w:t xml:space="preserve"> Barnawartha</w:t>
      </w:r>
      <w:r w:rsidR="002436E1" w:rsidRPr="006430BD">
        <w:rPr>
          <w:sz w:val="24"/>
          <w:szCs w:val="24"/>
        </w:rPr>
        <w:t>.</w:t>
      </w:r>
      <w:r w:rsidR="0032698C" w:rsidRPr="006430BD">
        <w:rPr>
          <w:sz w:val="24"/>
          <w:szCs w:val="24"/>
        </w:rPr>
        <w:t xml:space="preserve"> </w:t>
      </w:r>
      <w:r w:rsidR="007D2DE3" w:rsidRPr="006430BD">
        <w:rPr>
          <w:sz w:val="24"/>
          <w:szCs w:val="24"/>
        </w:rPr>
        <w:t>It would appear the processors did collectively choos</w:t>
      </w:r>
      <w:r w:rsidR="006C59C0" w:rsidRPr="006430BD">
        <w:rPr>
          <w:sz w:val="24"/>
          <w:szCs w:val="24"/>
        </w:rPr>
        <w:t>e to boycott the very first prim</w:t>
      </w:r>
      <w:r w:rsidR="007D2DE3" w:rsidRPr="006430BD">
        <w:rPr>
          <w:sz w:val="24"/>
          <w:szCs w:val="24"/>
        </w:rPr>
        <w:t xml:space="preserve">e cattle sale, in an effort to change the </w:t>
      </w:r>
      <w:r w:rsidR="00102BAD" w:rsidRPr="006430BD">
        <w:rPr>
          <w:sz w:val="24"/>
          <w:szCs w:val="24"/>
        </w:rPr>
        <w:t>pre-weigh</w:t>
      </w:r>
      <w:r w:rsidR="007D2DE3" w:rsidRPr="006430BD">
        <w:rPr>
          <w:sz w:val="24"/>
          <w:szCs w:val="24"/>
        </w:rPr>
        <w:t xml:space="preserve"> system to post-weigh.  </w:t>
      </w:r>
      <w:r w:rsidR="008A23F2" w:rsidRPr="006430BD">
        <w:rPr>
          <w:sz w:val="24"/>
          <w:szCs w:val="24"/>
        </w:rPr>
        <w:t>Prices on the day dropped 20 – 30 cent per kg and t</w:t>
      </w:r>
      <w:r w:rsidR="00D66BD3" w:rsidRPr="006430BD">
        <w:rPr>
          <w:sz w:val="24"/>
          <w:szCs w:val="24"/>
        </w:rPr>
        <w:t>hese actions followed with</w:t>
      </w:r>
      <w:r w:rsidR="0032698C" w:rsidRPr="006430BD">
        <w:rPr>
          <w:sz w:val="24"/>
          <w:szCs w:val="24"/>
        </w:rPr>
        <w:t xml:space="preserve"> an ultimatum</w:t>
      </w:r>
      <w:r w:rsidR="008A23F2" w:rsidRPr="006430BD">
        <w:rPr>
          <w:sz w:val="24"/>
          <w:szCs w:val="24"/>
        </w:rPr>
        <w:t xml:space="preserve"> that</w:t>
      </w:r>
      <w:r w:rsidR="0032698C" w:rsidRPr="006430BD">
        <w:rPr>
          <w:sz w:val="24"/>
          <w:szCs w:val="24"/>
        </w:rPr>
        <w:t xml:space="preserve"> saw agents cave into processor demand</w:t>
      </w:r>
      <w:r w:rsidR="008A23F2" w:rsidRPr="006430BD">
        <w:rPr>
          <w:sz w:val="24"/>
          <w:szCs w:val="24"/>
        </w:rPr>
        <w:t>s and NVLX</w:t>
      </w:r>
      <w:r w:rsidR="0032698C" w:rsidRPr="006430BD">
        <w:rPr>
          <w:sz w:val="24"/>
          <w:szCs w:val="24"/>
        </w:rPr>
        <w:t xml:space="preserve"> moved to a post-weigh system </w:t>
      </w:r>
      <w:r w:rsidR="002436E1" w:rsidRPr="006430BD">
        <w:rPr>
          <w:sz w:val="24"/>
          <w:szCs w:val="24"/>
        </w:rPr>
        <w:t>that</w:t>
      </w:r>
      <w:r w:rsidR="00D66BD3" w:rsidRPr="006430BD">
        <w:rPr>
          <w:sz w:val="24"/>
          <w:szCs w:val="24"/>
        </w:rPr>
        <w:t xml:space="preserve"> very same afternoon</w:t>
      </w:r>
      <w:r w:rsidR="002436E1" w:rsidRPr="006430BD">
        <w:rPr>
          <w:sz w:val="24"/>
          <w:szCs w:val="24"/>
        </w:rPr>
        <w:t xml:space="preserve">.  There was no </w:t>
      </w:r>
      <w:r w:rsidR="0032698C" w:rsidRPr="006430BD">
        <w:rPr>
          <w:sz w:val="24"/>
          <w:szCs w:val="24"/>
        </w:rPr>
        <w:t>consult</w:t>
      </w:r>
      <w:r w:rsidR="00D66BD3" w:rsidRPr="006430BD">
        <w:rPr>
          <w:sz w:val="24"/>
          <w:szCs w:val="24"/>
        </w:rPr>
        <w:t>at</w:t>
      </w:r>
      <w:r w:rsidR="0032698C" w:rsidRPr="006430BD">
        <w:rPr>
          <w:sz w:val="24"/>
          <w:szCs w:val="24"/>
        </w:rPr>
        <w:t>ion with</w:t>
      </w:r>
      <w:r w:rsidR="006C59C0" w:rsidRPr="006430BD">
        <w:rPr>
          <w:sz w:val="24"/>
          <w:szCs w:val="24"/>
        </w:rPr>
        <w:t xml:space="preserve"> producers who</w:t>
      </w:r>
      <w:r w:rsidR="002436E1" w:rsidRPr="006430BD">
        <w:rPr>
          <w:sz w:val="24"/>
          <w:szCs w:val="24"/>
        </w:rPr>
        <w:t xml:space="preserve"> pay all the sale yard fees - f</w:t>
      </w:r>
      <w:r w:rsidR="00D66BD3" w:rsidRPr="006430BD">
        <w:rPr>
          <w:sz w:val="24"/>
          <w:szCs w:val="24"/>
        </w:rPr>
        <w:t xml:space="preserve">armers were astonished at this behaviour.  </w:t>
      </w:r>
    </w:p>
    <w:p w:rsidR="00330375" w:rsidRPr="006430BD" w:rsidRDefault="00330375" w:rsidP="000C627F">
      <w:pPr>
        <w:pStyle w:val="ListParagraph"/>
        <w:spacing w:after="0" w:line="240" w:lineRule="auto"/>
        <w:rPr>
          <w:sz w:val="24"/>
          <w:szCs w:val="24"/>
        </w:rPr>
      </w:pPr>
    </w:p>
    <w:p w:rsidR="009A1A21" w:rsidRPr="006430BD" w:rsidRDefault="00634B33" w:rsidP="00FB5213">
      <w:pPr>
        <w:spacing w:after="0" w:line="240" w:lineRule="auto"/>
        <w:ind w:left="720"/>
        <w:rPr>
          <w:sz w:val="24"/>
          <w:szCs w:val="24"/>
        </w:rPr>
      </w:pPr>
      <w:r w:rsidRPr="006430BD">
        <w:rPr>
          <w:sz w:val="24"/>
          <w:szCs w:val="24"/>
        </w:rPr>
        <w:t>As rationalisation contin</w:t>
      </w:r>
      <w:r w:rsidR="002660EB" w:rsidRPr="006430BD">
        <w:rPr>
          <w:sz w:val="24"/>
          <w:szCs w:val="24"/>
        </w:rPr>
        <w:t>ues to occur in our industry, with</w:t>
      </w:r>
      <w:r w:rsidRPr="006430BD">
        <w:rPr>
          <w:sz w:val="24"/>
          <w:szCs w:val="24"/>
        </w:rPr>
        <w:t xml:space="preserve"> fewer buyers attend</w:t>
      </w:r>
      <w:r w:rsidR="0061252F" w:rsidRPr="006430BD">
        <w:rPr>
          <w:sz w:val="24"/>
          <w:szCs w:val="24"/>
        </w:rPr>
        <w:t>ing</w:t>
      </w:r>
      <w:r w:rsidRPr="006430BD">
        <w:rPr>
          <w:sz w:val="24"/>
          <w:szCs w:val="24"/>
        </w:rPr>
        <w:t xml:space="preserve"> t</w:t>
      </w:r>
      <w:r w:rsidR="008C043F" w:rsidRPr="006430BD">
        <w:rPr>
          <w:sz w:val="24"/>
          <w:szCs w:val="24"/>
        </w:rPr>
        <w:t>he public cattle markets</w:t>
      </w:r>
      <w:r w:rsidR="0061252F" w:rsidRPr="006430BD">
        <w:rPr>
          <w:sz w:val="24"/>
          <w:szCs w:val="24"/>
        </w:rPr>
        <w:t>, there is</w:t>
      </w:r>
      <w:r w:rsidR="008C043F" w:rsidRPr="006430BD">
        <w:rPr>
          <w:sz w:val="24"/>
          <w:szCs w:val="24"/>
        </w:rPr>
        <w:t xml:space="preserve"> </w:t>
      </w:r>
      <w:r w:rsidRPr="006430BD">
        <w:rPr>
          <w:sz w:val="24"/>
          <w:szCs w:val="24"/>
        </w:rPr>
        <w:t>opportunity for operators to manipulate the market p</w:t>
      </w:r>
      <w:r w:rsidR="00330375" w:rsidRPr="006430BD">
        <w:rPr>
          <w:sz w:val="24"/>
          <w:szCs w:val="24"/>
        </w:rPr>
        <w:t>rice.</w:t>
      </w:r>
    </w:p>
    <w:p w:rsidR="00330375" w:rsidRPr="006430BD" w:rsidRDefault="00330375" w:rsidP="000C627F">
      <w:pPr>
        <w:pStyle w:val="ListParagraph"/>
        <w:spacing w:after="0" w:line="240" w:lineRule="auto"/>
        <w:rPr>
          <w:sz w:val="24"/>
          <w:szCs w:val="24"/>
        </w:rPr>
      </w:pPr>
    </w:p>
    <w:p w:rsidR="00330375" w:rsidRPr="006430BD" w:rsidRDefault="00F56B4D" w:rsidP="000C627F">
      <w:pPr>
        <w:pStyle w:val="ListParagraph"/>
        <w:spacing w:after="0" w:line="240" w:lineRule="auto"/>
        <w:rPr>
          <w:sz w:val="24"/>
          <w:szCs w:val="24"/>
        </w:rPr>
      </w:pPr>
      <w:r w:rsidRPr="006430BD">
        <w:rPr>
          <w:sz w:val="24"/>
          <w:szCs w:val="24"/>
        </w:rPr>
        <w:t xml:space="preserve">I sent a letter to the </w:t>
      </w:r>
      <w:r w:rsidR="00330375" w:rsidRPr="006430BD">
        <w:rPr>
          <w:sz w:val="24"/>
          <w:szCs w:val="24"/>
        </w:rPr>
        <w:t xml:space="preserve">ACCC </w:t>
      </w:r>
      <w:r w:rsidRPr="006430BD">
        <w:rPr>
          <w:sz w:val="24"/>
          <w:szCs w:val="24"/>
        </w:rPr>
        <w:t xml:space="preserve">(see Appendix A) seeking an investigation, as did other farmers and the Victorian Farmers Federation.  The ACCC </w:t>
      </w:r>
      <w:r w:rsidR="00330375" w:rsidRPr="006430BD">
        <w:rPr>
          <w:sz w:val="24"/>
          <w:szCs w:val="24"/>
        </w:rPr>
        <w:t xml:space="preserve">responded </w:t>
      </w:r>
      <w:r w:rsidR="00FB5213" w:rsidRPr="006430BD">
        <w:rPr>
          <w:sz w:val="24"/>
          <w:szCs w:val="24"/>
        </w:rPr>
        <w:t xml:space="preserve">to </w:t>
      </w:r>
      <w:r w:rsidRPr="006430BD">
        <w:rPr>
          <w:sz w:val="24"/>
          <w:szCs w:val="24"/>
        </w:rPr>
        <w:t>our requests and investigated</w:t>
      </w:r>
      <w:r w:rsidR="0080743F" w:rsidRPr="006430BD">
        <w:rPr>
          <w:sz w:val="24"/>
          <w:szCs w:val="24"/>
        </w:rPr>
        <w:t xml:space="preserve"> th</w:t>
      </w:r>
      <w:r w:rsidRPr="006430BD">
        <w:rPr>
          <w:sz w:val="24"/>
          <w:szCs w:val="24"/>
        </w:rPr>
        <w:t>e ‘boycott’</w:t>
      </w:r>
      <w:r w:rsidR="0080743F" w:rsidRPr="006430BD">
        <w:rPr>
          <w:sz w:val="24"/>
          <w:szCs w:val="24"/>
        </w:rPr>
        <w:t xml:space="preserve"> and after many months produced little for their efforts</w:t>
      </w:r>
      <w:r w:rsidR="00D55201">
        <w:rPr>
          <w:sz w:val="24"/>
          <w:szCs w:val="24"/>
        </w:rPr>
        <w:t>,</w:t>
      </w:r>
      <w:r w:rsidR="0080743F" w:rsidRPr="006430BD">
        <w:rPr>
          <w:sz w:val="24"/>
          <w:szCs w:val="24"/>
        </w:rPr>
        <w:t xml:space="preserve"> due largely to</w:t>
      </w:r>
      <w:r w:rsidRPr="006430BD">
        <w:rPr>
          <w:sz w:val="24"/>
          <w:szCs w:val="24"/>
        </w:rPr>
        <w:t xml:space="preserve"> the difficulty with</w:t>
      </w:r>
      <w:r w:rsidR="0080743F" w:rsidRPr="006430BD">
        <w:rPr>
          <w:sz w:val="24"/>
          <w:szCs w:val="24"/>
        </w:rPr>
        <w:t xml:space="preserve"> Section 46 of the Misuse of Market Power</w:t>
      </w:r>
      <w:r w:rsidR="00FB5213" w:rsidRPr="006430BD">
        <w:rPr>
          <w:sz w:val="24"/>
          <w:szCs w:val="24"/>
        </w:rPr>
        <w:t xml:space="preserve"> and the </w:t>
      </w:r>
      <w:r w:rsidR="0080743F" w:rsidRPr="006430BD">
        <w:rPr>
          <w:sz w:val="24"/>
          <w:szCs w:val="24"/>
        </w:rPr>
        <w:t>‘take advantage’ test</w:t>
      </w:r>
      <w:r w:rsidR="00FB5213" w:rsidRPr="006430BD">
        <w:rPr>
          <w:sz w:val="24"/>
          <w:szCs w:val="24"/>
        </w:rPr>
        <w:t>.</w:t>
      </w:r>
    </w:p>
    <w:p w:rsidR="00CB0F2C" w:rsidRPr="006430BD" w:rsidRDefault="00CB0F2C" w:rsidP="000C627F">
      <w:pPr>
        <w:pStyle w:val="ListParagraph"/>
        <w:spacing w:after="0" w:line="240" w:lineRule="auto"/>
        <w:rPr>
          <w:sz w:val="24"/>
          <w:szCs w:val="24"/>
        </w:rPr>
      </w:pPr>
    </w:p>
    <w:p w:rsidR="00CB0F2C" w:rsidRPr="006430BD" w:rsidRDefault="00CB0F2C" w:rsidP="000C627F">
      <w:pPr>
        <w:pStyle w:val="ListParagraph"/>
        <w:spacing w:after="0" w:line="240" w:lineRule="auto"/>
        <w:rPr>
          <w:i/>
          <w:sz w:val="24"/>
          <w:szCs w:val="24"/>
        </w:rPr>
      </w:pPr>
      <w:r w:rsidRPr="006430BD">
        <w:rPr>
          <w:sz w:val="24"/>
          <w:szCs w:val="24"/>
        </w:rPr>
        <w:t>Although the ACCC used statutory powers to gather documents from the buyers involved</w:t>
      </w:r>
      <w:r w:rsidR="00D55201">
        <w:rPr>
          <w:sz w:val="24"/>
          <w:szCs w:val="24"/>
        </w:rPr>
        <w:t>,</w:t>
      </w:r>
      <w:r w:rsidRPr="006430BD">
        <w:rPr>
          <w:sz w:val="24"/>
          <w:szCs w:val="24"/>
        </w:rPr>
        <w:t xml:space="preserve"> the Chairman </w:t>
      </w:r>
      <w:r w:rsidR="00D55201">
        <w:rPr>
          <w:sz w:val="24"/>
          <w:szCs w:val="24"/>
        </w:rPr>
        <w:t xml:space="preserve">Mr </w:t>
      </w:r>
      <w:r w:rsidRPr="006430BD">
        <w:rPr>
          <w:sz w:val="24"/>
          <w:szCs w:val="24"/>
        </w:rPr>
        <w:t>Rod Sims Said</w:t>
      </w:r>
      <w:r w:rsidR="00D55201">
        <w:rPr>
          <w:sz w:val="24"/>
          <w:szCs w:val="24"/>
        </w:rPr>
        <w:t>,</w:t>
      </w:r>
      <w:r w:rsidRPr="006430BD">
        <w:rPr>
          <w:sz w:val="24"/>
          <w:szCs w:val="24"/>
        </w:rPr>
        <w:t xml:space="preserve"> “</w:t>
      </w:r>
      <w:r w:rsidRPr="006430BD">
        <w:rPr>
          <w:i/>
          <w:sz w:val="24"/>
          <w:szCs w:val="24"/>
        </w:rPr>
        <w:t>Although it was clear that processors communicated about the sale, the evidence did not demonstrate that any of (them) entered an arrangement or reached an understanding not to attend the sale, which is required to establish a breach of the (Competition and Consumer) Act,”</w:t>
      </w:r>
    </w:p>
    <w:p w:rsidR="00CB0F2C" w:rsidRPr="006430BD" w:rsidRDefault="00CB0F2C" w:rsidP="000C627F">
      <w:pPr>
        <w:pStyle w:val="ListParagraph"/>
        <w:spacing w:after="0" w:line="240" w:lineRule="auto"/>
        <w:rPr>
          <w:sz w:val="24"/>
          <w:szCs w:val="24"/>
        </w:rPr>
      </w:pPr>
    </w:p>
    <w:p w:rsidR="00CB0F2C" w:rsidRDefault="00CB0F2C" w:rsidP="000C627F">
      <w:pPr>
        <w:pStyle w:val="ListParagraph"/>
        <w:spacing w:after="0" w:line="240" w:lineRule="auto"/>
      </w:pPr>
      <w:r w:rsidRPr="006430BD">
        <w:rPr>
          <w:sz w:val="24"/>
          <w:szCs w:val="24"/>
        </w:rPr>
        <w:lastRenderedPageBreak/>
        <w:t>The farming community were di</w:t>
      </w:r>
      <w:r w:rsidR="003A4206" w:rsidRPr="006430BD">
        <w:rPr>
          <w:sz w:val="24"/>
          <w:szCs w:val="24"/>
        </w:rPr>
        <w:t xml:space="preserve">sappointed with this decision </w:t>
      </w:r>
      <w:r w:rsidRPr="006430BD">
        <w:rPr>
          <w:sz w:val="24"/>
          <w:szCs w:val="24"/>
        </w:rPr>
        <w:t xml:space="preserve">and when I made contact with the ACCC </w:t>
      </w:r>
      <w:r w:rsidR="003A4206" w:rsidRPr="006430BD">
        <w:rPr>
          <w:sz w:val="24"/>
          <w:szCs w:val="24"/>
        </w:rPr>
        <w:t xml:space="preserve">they claimed the threshold for evidence is extremely high and virtually impossible to attain.  I </w:t>
      </w:r>
      <w:r w:rsidRPr="006430BD">
        <w:rPr>
          <w:sz w:val="24"/>
          <w:szCs w:val="24"/>
        </w:rPr>
        <w:t>received an email stating the following</w:t>
      </w:r>
      <w:r>
        <w:t>:</w:t>
      </w:r>
    </w:p>
    <w:p w:rsidR="00FB5213" w:rsidRDefault="00FB5213" w:rsidP="000C627F">
      <w:pPr>
        <w:pStyle w:val="ListParagraph"/>
        <w:spacing w:after="0" w:line="240" w:lineRule="auto"/>
      </w:pP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xml:space="preserve">Thank you for your phone call this morning.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xml:space="preserve">As discussed, the ACCC has now concluded its investigation into allegations that nine meat processors boycotted the Barnawartha saleyard on 17 February 2015.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xml:space="preserve">In this case, the ACCC needed to establish that two or more of the processors made a commitment not to attend the Barnawartha saleyard on 17 February 2015 in breach of the </w:t>
      </w:r>
      <w:r w:rsidRPr="00FB5213">
        <w:rPr>
          <w:rFonts w:ascii="Calibri" w:eastAsia="Times New Roman" w:hAnsi="Calibri" w:cs="Times New Roman"/>
          <w:i/>
          <w:iCs/>
          <w:color w:val="000000"/>
        </w:rPr>
        <w:t>Competition and Consumer Act 2010</w:t>
      </w:r>
      <w:r w:rsidRPr="00FB5213">
        <w:rPr>
          <w:rFonts w:ascii="Calibri" w:eastAsia="Times New Roman" w:hAnsi="Calibri" w:cs="Times New Roman"/>
          <w:i/>
          <w:color w:val="000000"/>
        </w:rPr>
        <w:t xml:space="preserve"> (the Act).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xml:space="preserve">As part of the investigation, the ACCC exercised its statutory powers to gather information, data and documents from the processors. The ACCC also used its powers to conduct compulsory examinations of key individuals. </w:t>
      </w:r>
    </w:p>
    <w:p w:rsidR="00FB5213" w:rsidRP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w:t>
      </w:r>
    </w:p>
    <w:p w:rsidR="00FB5213" w:rsidRDefault="00FB5213" w:rsidP="00FB5213">
      <w:pPr>
        <w:spacing w:after="0" w:line="240" w:lineRule="auto"/>
        <w:rPr>
          <w:rFonts w:ascii="Calibri" w:eastAsia="Times New Roman" w:hAnsi="Calibri" w:cs="Times New Roman"/>
          <w:i/>
          <w:color w:val="000000"/>
        </w:rPr>
      </w:pPr>
      <w:r w:rsidRPr="00FB5213">
        <w:rPr>
          <w:rFonts w:ascii="Calibri" w:eastAsia="Times New Roman" w:hAnsi="Calibri" w:cs="Times New Roman"/>
          <w:i/>
          <w:color w:val="000000"/>
        </w:rPr>
        <w:t xml:space="preserve">The evidence obtained through the investigation did not demonstrate that the processors made a commitment not to attend the sale. Although the evidence did not demonstrate a breach of the Act, </w:t>
      </w:r>
      <w:r w:rsidRPr="00FB5213">
        <w:rPr>
          <w:rFonts w:ascii="Calibri" w:eastAsia="Times New Roman" w:hAnsi="Calibri" w:cs="Times New Roman"/>
          <w:b/>
          <w:i/>
          <w:color w:val="000000"/>
        </w:rPr>
        <w:t>it did highlight some areas of concern.</w:t>
      </w:r>
      <w:r w:rsidRPr="00FB5213">
        <w:rPr>
          <w:rFonts w:ascii="Calibri" w:eastAsia="Times New Roman" w:hAnsi="Calibri" w:cs="Times New Roman"/>
          <w:i/>
          <w:color w:val="000000"/>
        </w:rPr>
        <w:t xml:space="preserve"> The ACCC’s new Agricultural Enforcement and Engagement Unit will continue to monitor these issues. </w:t>
      </w:r>
    </w:p>
    <w:p w:rsidR="003A4206" w:rsidRDefault="003A4206" w:rsidP="00FB5213">
      <w:pPr>
        <w:spacing w:after="0" w:line="240" w:lineRule="auto"/>
        <w:rPr>
          <w:rFonts w:ascii="Calibri" w:eastAsia="Times New Roman" w:hAnsi="Calibri" w:cs="Times New Roman"/>
          <w:i/>
          <w:color w:val="000000"/>
        </w:rPr>
      </w:pPr>
    </w:p>
    <w:p w:rsidR="003A4206" w:rsidRDefault="00D55201" w:rsidP="00FB521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 consider these comments suggest the ACCC’s has grave concerns with the current regulation due to the incredibly high threshold for evidence </w:t>
      </w:r>
      <w:r w:rsidR="00B9352E">
        <w:rPr>
          <w:rFonts w:ascii="Calibri" w:eastAsia="Times New Roman" w:hAnsi="Calibri" w:cs="Times New Roman"/>
          <w:color w:val="000000"/>
        </w:rPr>
        <w:t xml:space="preserve">which </w:t>
      </w:r>
      <w:r>
        <w:rPr>
          <w:rFonts w:ascii="Calibri" w:eastAsia="Times New Roman" w:hAnsi="Calibri" w:cs="Times New Roman"/>
          <w:color w:val="000000"/>
        </w:rPr>
        <w:t>virtually makes their role ineffective</w:t>
      </w:r>
      <w:r w:rsidR="00B9352E">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3A4206">
        <w:rPr>
          <w:rFonts w:ascii="Calibri" w:eastAsia="Times New Roman" w:hAnsi="Calibri" w:cs="Times New Roman"/>
          <w:color w:val="000000"/>
        </w:rPr>
        <w:t xml:space="preserve">I </w:t>
      </w:r>
      <w:r w:rsidR="00B9352E">
        <w:rPr>
          <w:rFonts w:ascii="Calibri" w:eastAsia="Times New Roman" w:hAnsi="Calibri" w:cs="Times New Roman"/>
          <w:color w:val="000000"/>
        </w:rPr>
        <w:t>therefore seek the support of government</w:t>
      </w:r>
      <w:r w:rsidR="003A4206">
        <w:rPr>
          <w:rFonts w:ascii="Calibri" w:eastAsia="Times New Roman" w:hAnsi="Calibri" w:cs="Times New Roman"/>
          <w:color w:val="000000"/>
        </w:rPr>
        <w:t xml:space="preserve"> to change the current regulation</w:t>
      </w:r>
      <w:r>
        <w:rPr>
          <w:rFonts w:ascii="Calibri" w:eastAsia="Times New Roman" w:hAnsi="Calibri" w:cs="Times New Roman"/>
          <w:color w:val="000000"/>
        </w:rPr>
        <w:t xml:space="preserve"> as</w:t>
      </w:r>
      <w:r w:rsidR="003A4206">
        <w:rPr>
          <w:rFonts w:ascii="Calibri" w:eastAsia="Times New Roman" w:hAnsi="Calibri" w:cs="Times New Roman"/>
          <w:color w:val="000000"/>
        </w:rPr>
        <w:t xml:space="preserve"> indicated in the Harper Review in regard to Section 46</w:t>
      </w:r>
      <w:r w:rsidR="00B9352E">
        <w:rPr>
          <w:rFonts w:ascii="Calibri" w:eastAsia="Times New Roman" w:hAnsi="Calibri" w:cs="Times New Roman"/>
          <w:color w:val="000000"/>
        </w:rPr>
        <w:t>:</w:t>
      </w:r>
      <w:r w:rsidR="003A4206">
        <w:rPr>
          <w:rFonts w:ascii="Calibri" w:eastAsia="Times New Roman" w:hAnsi="Calibri" w:cs="Times New Roman"/>
          <w:color w:val="000000"/>
        </w:rPr>
        <w:t xml:space="preserve"> </w:t>
      </w:r>
    </w:p>
    <w:p w:rsidR="003A4206" w:rsidRDefault="003A4206" w:rsidP="00FB5213">
      <w:pPr>
        <w:spacing w:after="0" w:line="240" w:lineRule="auto"/>
        <w:rPr>
          <w:rFonts w:ascii="Calibri" w:eastAsia="Times New Roman" w:hAnsi="Calibri" w:cs="Times New Roman"/>
          <w:color w:val="000000"/>
        </w:rPr>
      </w:pPr>
    </w:p>
    <w:p w:rsidR="003A4206" w:rsidRPr="006430BD" w:rsidRDefault="003A4206" w:rsidP="003A4206">
      <w:pPr>
        <w:pStyle w:val="Heading2"/>
        <w:rPr>
          <w:i/>
          <w:sz w:val="22"/>
          <w:szCs w:val="22"/>
        </w:rPr>
      </w:pPr>
      <w:bookmarkStart w:id="1" w:name="_Toc436048444"/>
      <w:bookmarkStart w:id="2" w:name="_Toc437421015"/>
      <w:r w:rsidRPr="006430BD">
        <w:rPr>
          <w:i/>
          <w:sz w:val="22"/>
          <w:szCs w:val="22"/>
        </w:rPr>
        <w:t>“The Harper Review’s findings</w:t>
      </w:r>
      <w:bookmarkEnd w:id="1"/>
      <w:bookmarkEnd w:id="2"/>
    </w:p>
    <w:p w:rsidR="003A4206" w:rsidRPr="006430BD" w:rsidRDefault="003A4206" w:rsidP="003A4206">
      <w:pPr>
        <w:rPr>
          <w:i/>
        </w:rPr>
      </w:pPr>
      <w:r w:rsidRPr="006430BD">
        <w:rPr>
          <w:i/>
        </w:rPr>
        <w:t xml:space="preserve">Following extensive public consultation, the Harper Panel considered that section 46 is deficient in its current form, both holistically and with respect to the ‘take advantage’ and ‘purpose’ limbs individually. The Panel was of the view that the current misuse of market power provision is not reliably enforceable and permits conduct that undermines the competitive process. This led the Panel to make the following recommendation. </w:t>
      </w:r>
    </w:p>
    <w:p w:rsidR="003A4206" w:rsidRPr="006430BD" w:rsidRDefault="003A4206" w:rsidP="003A4206">
      <w:pPr>
        <w:pStyle w:val="RecommendationHeading"/>
        <w:numPr>
          <w:ilvl w:val="0"/>
          <w:numId w:val="0"/>
        </w:numPr>
        <w:rPr>
          <w:i/>
          <w:szCs w:val="22"/>
        </w:rPr>
      </w:pPr>
      <w:bookmarkStart w:id="3" w:name="_Toc436048445"/>
      <w:r w:rsidRPr="006430BD">
        <w:rPr>
          <w:i/>
          <w:szCs w:val="22"/>
        </w:rPr>
        <w:t>Recommendation 30 — Misuse of market power</w:t>
      </w:r>
      <w:bookmarkEnd w:id="3"/>
    </w:p>
    <w:tbl>
      <w:tblPr>
        <w:tblW w:w="9072"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072"/>
      </w:tblGrid>
      <w:tr w:rsidR="003A4206" w:rsidRPr="006430BD" w:rsidTr="001A6A99">
        <w:tc>
          <w:tcPr>
            <w:tcW w:w="5000" w:type="pct"/>
            <w:shd w:val="clear" w:color="auto" w:fill="F2F2F2" w:themeFill="background1" w:themeFillShade="F2"/>
            <w:hideMark/>
          </w:tcPr>
          <w:p w:rsidR="003A4206" w:rsidRPr="006430BD" w:rsidRDefault="003A4206" w:rsidP="001A6A99">
            <w:pPr>
              <w:pStyle w:val="BoxText"/>
              <w:rPr>
                <w:i/>
                <w:szCs w:val="22"/>
              </w:rPr>
            </w:pPr>
            <w:r w:rsidRPr="006430BD">
              <w:rPr>
                <w:i/>
                <w:szCs w:val="22"/>
              </w:rPr>
              <w:t>The primary prohibition in section 46 of the CCA should be re</w:t>
            </w:r>
            <w:r w:rsidRPr="006430BD">
              <w:rPr>
                <w:i/>
                <w:szCs w:val="22"/>
              </w:rPr>
              <w:noBreakHyphen/>
              <w:t>framed to prohibit a corporation that has a substantial degree of power in a market from engaging in conduct if the proposed conduct has the purpose, or would have or be likely to have the effect, of substantially lessening competition in that or any other market.</w:t>
            </w:r>
          </w:p>
          <w:p w:rsidR="003A4206" w:rsidRPr="006430BD" w:rsidRDefault="003A4206" w:rsidP="001A6A99">
            <w:pPr>
              <w:pStyle w:val="BoxText"/>
              <w:spacing w:after="120"/>
              <w:rPr>
                <w:i/>
                <w:szCs w:val="22"/>
              </w:rPr>
            </w:pPr>
            <w:r w:rsidRPr="006430BD">
              <w:rPr>
                <w:i/>
                <w:szCs w:val="22"/>
              </w:rPr>
              <w:t>To mitigate concerns about inadvertently capturing pro</w:t>
            </w:r>
            <w:r w:rsidRPr="006430BD">
              <w:rPr>
                <w:i/>
                <w:szCs w:val="22"/>
              </w:rPr>
              <w:noBreakHyphen/>
              <w:t>competitive conduct, the legislation should direct the court, when determining whether conduct has the purpose, effect or likely effect, of substantially lessening competition in a market, to have regard to:</w:t>
            </w:r>
          </w:p>
          <w:p w:rsidR="003A4206" w:rsidRPr="006430BD" w:rsidRDefault="003A4206" w:rsidP="001A6A99">
            <w:pPr>
              <w:pStyle w:val="BoxBullet"/>
              <w:rPr>
                <w:i/>
                <w:szCs w:val="22"/>
              </w:rPr>
            </w:pPr>
            <w:r w:rsidRPr="006430BD">
              <w:rPr>
                <w:i/>
                <w:szCs w:val="22"/>
              </w:rPr>
              <w:t>the extent to which the conduct has the purpose, effect or likely effect of increasing competition in the market, including by enhancing efficiency, innovation, product quality or price competitiveness; and</w:t>
            </w:r>
          </w:p>
          <w:p w:rsidR="003A4206" w:rsidRPr="006430BD" w:rsidRDefault="003A4206" w:rsidP="001A6A99">
            <w:pPr>
              <w:pStyle w:val="BoxBullet"/>
              <w:spacing w:after="200"/>
              <w:rPr>
                <w:i/>
                <w:szCs w:val="22"/>
              </w:rPr>
            </w:pPr>
            <w:r w:rsidRPr="006430BD">
              <w:rPr>
                <w:i/>
                <w:szCs w:val="22"/>
              </w:rPr>
              <w:t xml:space="preserve">the extent to which the conduct has the purpose, effect or likely effect of lessening competition </w:t>
            </w:r>
            <w:r w:rsidRPr="006430BD">
              <w:rPr>
                <w:i/>
                <w:szCs w:val="22"/>
              </w:rPr>
              <w:lastRenderedPageBreak/>
              <w:t>in the market, including by preventing, restricting or deterring the potential for competitive conduct in the market or new entry into the market.</w:t>
            </w:r>
          </w:p>
          <w:p w:rsidR="003A4206" w:rsidRPr="006430BD" w:rsidRDefault="003A4206" w:rsidP="001A6A99">
            <w:pPr>
              <w:pStyle w:val="BoxText"/>
              <w:rPr>
                <w:i/>
                <w:szCs w:val="22"/>
              </w:rPr>
            </w:pPr>
            <w:r w:rsidRPr="006430BD">
              <w:rPr>
                <w:i/>
                <w:szCs w:val="22"/>
              </w:rPr>
              <w:t>Such a re</w:t>
            </w:r>
            <w:r w:rsidRPr="006430BD">
              <w:rPr>
                <w:i/>
                <w:szCs w:val="22"/>
              </w:rPr>
              <w:noBreakHyphen/>
              <w:t>framing would allow the provision to be simplified. Amendments introduced since 2007 would be unnecessary and could be repealed. These include specific provisions prohibiting predatory pricing, and amendments clarifying the meaning of ‘take advantage’ and how the causal link between the substantial degree of market power and anti</w:t>
            </w:r>
            <w:r w:rsidRPr="006430BD">
              <w:rPr>
                <w:i/>
                <w:szCs w:val="22"/>
              </w:rPr>
              <w:noBreakHyphen/>
              <w:t>competitive purpose may be determined.</w:t>
            </w:r>
          </w:p>
          <w:p w:rsidR="003A4206" w:rsidRPr="006430BD" w:rsidRDefault="003A4206" w:rsidP="001A6A99">
            <w:pPr>
              <w:pStyle w:val="BoxText"/>
              <w:rPr>
                <w:i/>
                <w:szCs w:val="22"/>
              </w:rPr>
            </w:pPr>
            <w:r w:rsidRPr="006430BD">
              <w:rPr>
                <w:i/>
                <w:szCs w:val="22"/>
              </w:rPr>
              <w:t>Authorisation should be available in relation to section 46, and the ACCC should issue guidelines regarding its approach to the provision.</w:t>
            </w:r>
          </w:p>
        </w:tc>
      </w:tr>
    </w:tbl>
    <w:p w:rsidR="003A4206" w:rsidRPr="006430BD" w:rsidRDefault="003A4206" w:rsidP="003A4206">
      <w:pPr>
        <w:pStyle w:val="SingleParagraph"/>
        <w:rPr>
          <w:i/>
          <w:szCs w:val="22"/>
        </w:rPr>
      </w:pPr>
    </w:p>
    <w:p w:rsidR="003A4206" w:rsidRPr="006430BD" w:rsidRDefault="003A4206" w:rsidP="003A4206">
      <w:pPr>
        <w:rPr>
          <w:i/>
        </w:rPr>
      </w:pPr>
      <w:r w:rsidRPr="006430BD">
        <w:rPr>
          <w:i/>
        </w:rPr>
        <w:t>The main elements of the recommendation are:</w:t>
      </w:r>
    </w:p>
    <w:p w:rsidR="003A4206" w:rsidRPr="006430BD" w:rsidRDefault="003A4206" w:rsidP="003A4206">
      <w:pPr>
        <w:pStyle w:val="OutlineNumbered1"/>
        <w:numPr>
          <w:ilvl w:val="0"/>
          <w:numId w:val="26"/>
        </w:numPr>
        <w:spacing w:after="120"/>
        <w:ind w:left="522" w:hanging="522"/>
        <w:jc w:val="left"/>
        <w:rPr>
          <w:i/>
          <w:szCs w:val="22"/>
        </w:rPr>
      </w:pPr>
      <w:r w:rsidRPr="006430BD">
        <w:rPr>
          <w:i/>
          <w:szCs w:val="22"/>
        </w:rPr>
        <w:t>remove the ‘take advantage’ test;</w:t>
      </w:r>
    </w:p>
    <w:p w:rsidR="003A4206" w:rsidRPr="006430BD" w:rsidRDefault="003A4206" w:rsidP="003A4206">
      <w:pPr>
        <w:pStyle w:val="OutlineNumbered1"/>
        <w:numPr>
          <w:ilvl w:val="0"/>
          <w:numId w:val="25"/>
        </w:numPr>
        <w:spacing w:after="120"/>
        <w:ind w:left="522" w:hanging="522"/>
        <w:jc w:val="left"/>
        <w:rPr>
          <w:i/>
          <w:szCs w:val="22"/>
        </w:rPr>
      </w:pPr>
      <w:r w:rsidRPr="006430BD">
        <w:rPr>
          <w:i/>
          <w:szCs w:val="22"/>
        </w:rPr>
        <w:t>move from a ‘purpose’ to ‘purpose, effect or likely effect’ test;</w:t>
      </w:r>
    </w:p>
    <w:p w:rsidR="003A4206" w:rsidRPr="006430BD" w:rsidRDefault="003A4206" w:rsidP="003A4206">
      <w:pPr>
        <w:pStyle w:val="OutlineNumbered1"/>
        <w:numPr>
          <w:ilvl w:val="0"/>
          <w:numId w:val="25"/>
        </w:numPr>
        <w:spacing w:after="120"/>
        <w:ind w:left="522" w:hanging="522"/>
        <w:jc w:val="left"/>
        <w:rPr>
          <w:i/>
          <w:szCs w:val="22"/>
        </w:rPr>
      </w:pPr>
      <w:r w:rsidRPr="006430BD">
        <w:rPr>
          <w:i/>
          <w:szCs w:val="22"/>
        </w:rPr>
        <w:t>move from a focus on ‘damage to a competitor’ to a focus on the competitive process (‘substantially lessening competition’);</w:t>
      </w:r>
    </w:p>
    <w:p w:rsidR="003A4206" w:rsidRPr="006430BD" w:rsidRDefault="003A4206" w:rsidP="003A4206">
      <w:pPr>
        <w:pStyle w:val="OutlineNumbered1"/>
        <w:numPr>
          <w:ilvl w:val="0"/>
          <w:numId w:val="25"/>
        </w:numPr>
        <w:spacing w:after="120"/>
        <w:ind w:left="522" w:hanging="522"/>
        <w:jc w:val="left"/>
        <w:rPr>
          <w:i/>
          <w:szCs w:val="22"/>
        </w:rPr>
      </w:pPr>
      <w:r w:rsidRPr="006430BD">
        <w:rPr>
          <w:i/>
          <w:szCs w:val="22"/>
        </w:rPr>
        <w:t>introduce mandatory factors that courts must take into account; and</w:t>
      </w:r>
    </w:p>
    <w:p w:rsidR="003A4206" w:rsidRPr="006430BD" w:rsidRDefault="00F56B4D" w:rsidP="003A4206">
      <w:pPr>
        <w:pStyle w:val="OutlineNumbered1"/>
        <w:numPr>
          <w:ilvl w:val="0"/>
          <w:numId w:val="25"/>
        </w:numPr>
        <w:jc w:val="left"/>
        <w:rPr>
          <w:i/>
          <w:szCs w:val="22"/>
        </w:rPr>
      </w:pPr>
      <w:r w:rsidRPr="006430BD">
        <w:rPr>
          <w:i/>
          <w:szCs w:val="22"/>
        </w:rPr>
        <w:t>additional</w:t>
      </w:r>
      <w:r w:rsidR="003A4206" w:rsidRPr="006430BD">
        <w:rPr>
          <w:i/>
          <w:szCs w:val="22"/>
        </w:rPr>
        <w:t xml:space="preserve"> measures to reduce uncertainty.</w:t>
      </w:r>
    </w:p>
    <w:p w:rsidR="003A4206" w:rsidRPr="006430BD" w:rsidRDefault="003A4206" w:rsidP="003A4206">
      <w:pPr>
        <w:rPr>
          <w:i/>
        </w:rPr>
      </w:pPr>
      <w:r w:rsidRPr="006430BD">
        <w:rPr>
          <w:i/>
        </w:rPr>
        <w:t xml:space="preserve">This section summarises the Panel’s considerations (reproduced in full at Attachment A). </w:t>
      </w:r>
    </w:p>
    <w:p w:rsidR="003A4206" w:rsidRPr="006430BD" w:rsidRDefault="003A4206" w:rsidP="003A4206">
      <w:pPr>
        <w:pStyle w:val="Heading3"/>
        <w:rPr>
          <w:i/>
          <w:sz w:val="22"/>
          <w:szCs w:val="22"/>
        </w:rPr>
      </w:pPr>
      <w:bookmarkStart w:id="4" w:name="_Toc436048446"/>
      <w:bookmarkStart w:id="5" w:name="_Toc437421016"/>
      <w:r w:rsidRPr="006430BD">
        <w:rPr>
          <w:i/>
          <w:sz w:val="22"/>
          <w:szCs w:val="22"/>
        </w:rPr>
        <w:t>Remove the ‘take advantage’ test</w:t>
      </w:r>
      <w:bookmarkEnd w:id="4"/>
      <w:bookmarkEnd w:id="5"/>
    </w:p>
    <w:p w:rsidR="003A4206" w:rsidRDefault="003A4206" w:rsidP="003A4206">
      <w:pPr>
        <w:rPr>
          <w:i/>
        </w:rPr>
      </w:pPr>
      <w:r w:rsidRPr="006430BD">
        <w:rPr>
          <w:i/>
        </w:rPr>
        <w:t>The Harper Panel considered the ‘take advantage’ limb of section 46 is not a useful test by which to distinguish competitive from anti</w:t>
      </w:r>
      <w:r w:rsidRPr="006430BD">
        <w:rPr>
          <w:i/>
        </w:rPr>
        <w:noBreakHyphen/>
        <w:t>competitive unilateral conduct.”</w:t>
      </w:r>
    </w:p>
    <w:p w:rsidR="006430BD" w:rsidRPr="006430BD" w:rsidRDefault="006430BD" w:rsidP="006430BD">
      <w:pPr>
        <w:pStyle w:val="Heading3"/>
        <w:rPr>
          <w:color w:val="auto"/>
          <w:szCs w:val="24"/>
        </w:rPr>
      </w:pPr>
      <w:r w:rsidRPr="006430BD">
        <w:rPr>
          <w:color w:val="auto"/>
          <w:szCs w:val="24"/>
        </w:rPr>
        <w:t>Conclusion</w:t>
      </w:r>
    </w:p>
    <w:p w:rsidR="003A4206" w:rsidRPr="006430BD" w:rsidRDefault="002961D9" w:rsidP="00DC13C2">
      <w:pPr>
        <w:rPr>
          <w:sz w:val="24"/>
          <w:szCs w:val="24"/>
        </w:rPr>
      </w:pPr>
      <w:r>
        <w:rPr>
          <w:sz w:val="24"/>
          <w:szCs w:val="24"/>
        </w:rPr>
        <w:t xml:space="preserve">I cannot emphasise enough the importance of accepting the above recommendation.  </w:t>
      </w:r>
      <w:r w:rsidR="003A4206" w:rsidRPr="006430BD">
        <w:rPr>
          <w:sz w:val="24"/>
          <w:szCs w:val="24"/>
        </w:rPr>
        <w:t xml:space="preserve">The farming community </w:t>
      </w:r>
      <w:r w:rsidR="00B9352E">
        <w:rPr>
          <w:sz w:val="24"/>
          <w:szCs w:val="24"/>
        </w:rPr>
        <w:t xml:space="preserve">for many years </w:t>
      </w:r>
      <w:r w:rsidR="003A4206" w:rsidRPr="006430BD">
        <w:rPr>
          <w:sz w:val="24"/>
          <w:szCs w:val="24"/>
        </w:rPr>
        <w:t xml:space="preserve">has </w:t>
      </w:r>
      <w:r w:rsidR="00B9352E">
        <w:rPr>
          <w:sz w:val="24"/>
          <w:szCs w:val="24"/>
        </w:rPr>
        <w:t xml:space="preserve">had </w:t>
      </w:r>
      <w:r w:rsidR="003A4206" w:rsidRPr="006430BD">
        <w:rPr>
          <w:sz w:val="24"/>
          <w:szCs w:val="24"/>
        </w:rPr>
        <w:t>little cont</w:t>
      </w:r>
      <w:r w:rsidR="005D69B7" w:rsidRPr="006430BD">
        <w:rPr>
          <w:sz w:val="24"/>
          <w:szCs w:val="24"/>
        </w:rPr>
        <w:t>rol over pricing, you could say we have been price takers allowing larg</w:t>
      </w:r>
      <w:r>
        <w:rPr>
          <w:sz w:val="24"/>
          <w:szCs w:val="24"/>
        </w:rPr>
        <w:t>e organisations to control product pricing</w:t>
      </w:r>
      <w:r w:rsidR="005D69B7" w:rsidRPr="006430BD">
        <w:rPr>
          <w:sz w:val="24"/>
          <w:szCs w:val="24"/>
        </w:rPr>
        <w:t xml:space="preserve">.  </w:t>
      </w:r>
      <w:r w:rsidR="00B9352E">
        <w:rPr>
          <w:sz w:val="24"/>
          <w:szCs w:val="24"/>
        </w:rPr>
        <w:t>The Australian farmer has</w:t>
      </w:r>
      <w:r w:rsidR="005D69B7" w:rsidRPr="006430BD">
        <w:rPr>
          <w:sz w:val="24"/>
          <w:szCs w:val="24"/>
        </w:rPr>
        <w:t xml:space="preserve"> had little support in managing collusion across our countr</w:t>
      </w:r>
      <w:r w:rsidR="00B9352E">
        <w:rPr>
          <w:sz w:val="24"/>
          <w:szCs w:val="24"/>
        </w:rPr>
        <w:t>y</w:t>
      </w:r>
      <w:r w:rsidR="005D69B7" w:rsidRPr="006430BD">
        <w:rPr>
          <w:sz w:val="24"/>
          <w:szCs w:val="24"/>
        </w:rPr>
        <w:t xml:space="preserve"> </w:t>
      </w:r>
      <w:r>
        <w:rPr>
          <w:sz w:val="24"/>
          <w:szCs w:val="24"/>
        </w:rPr>
        <w:t xml:space="preserve">and </w:t>
      </w:r>
      <w:r w:rsidR="005D69B7" w:rsidRPr="006430BD">
        <w:rPr>
          <w:sz w:val="24"/>
          <w:szCs w:val="24"/>
        </w:rPr>
        <w:t xml:space="preserve">when travelling through remote Australia and small country towns, you can see </w:t>
      </w:r>
      <w:r w:rsidR="00B9352E">
        <w:rPr>
          <w:sz w:val="24"/>
          <w:szCs w:val="24"/>
        </w:rPr>
        <w:t>the legacy of such</w:t>
      </w:r>
      <w:r w:rsidR="005D69B7" w:rsidRPr="006430BD">
        <w:rPr>
          <w:sz w:val="24"/>
          <w:szCs w:val="24"/>
        </w:rPr>
        <w:t xml:space="preserve"> collusion</w:t>
      </w:r>
      <w:r w:rsidR="00B9352E">
        <w:rPr>
          <w:sz w:val="24"/>
          <w:szCs w:val="24"/>
        </w:rPr>
        <w:t xml:space="preserve"> and</w:t>
      </w:r>
      <w:r w:rsidR="005D69B7" w:rsidRPr="006430BD">
        <w:rPr>
          <w:sz w:val="24"/>
          <w:szCs w:val="24"/>
        </w:rPr>
        <w:t xml:space="preserve"> poor </w:t>
      </w:r>
      <w:r w:rsidR="00B9352E">
        <w:rPr>
          <w:sz w:val="24"/>
          <w:szCs w:val="24"/>
        </w:rPr>
        <w:t>government representation</w:t>
      </w:r>
      <w:r>
        <w:rPr>
          <w:sz w:val="24"/>
          <w:szCs w:val="24"/>
        </w:rPr>
        <w:t xml:space="preserve"> -</w:t>
      </w:r>
      <w:r w:rsidR="00B9352E">
        <w:rPr>
          <w:sz w:val="24"/>
          <w:szCs w:val="24"/>
        </w:rPr>
        <w:t xml:space="preserve"> turning a blind eye to corrupt buying systems, partly brought on through rationalisation with little buyer </w:t>
      </w:r>
      <w:r>
        <w:rPr>
          <w:sz w:val="24"/>
          <w:szCs w:val="24"/>
        </w:rPr>
        <w:t xml:space="preserve">competition or </w:t>
      </w:r>
      <w:r w:rsidR="00B9352E">
        <w:rPr>
          <w:sz w:val="24"/>
          <w:szCs w:val="24"/>
        </w:rPr>
        <w:t>regulation.</w:t>
      </w:r>
      <w:r w:rsidR="005D69B7" w:rsidRPr="006430BD">
        <w:rPr>
          <w:sz w:val="24"/>
          <w:szCs w:val="24"/>
        </w:rPr>
        <w:t xml:space="preserve"> </w:t>
      </w:r>
      <w:r w:rsidR="00B9352E">
        <w:rPr>
          <w:sz w:val="24"/>
          <w:szCs w:val="24"/>
        </w:rPr>
        <w:t xml:space="preserve"> As a result our regional communities and</w:t>
      </w:r>
      <w:r w:rsidR="005D69B7" w:rsidRPr="006430BD">
        <w:rPr>
          <w:sz w:val="24"/>
          <w:szCs w:val="24"/>
        </w:rPr>
        <w:t xml:space="preserve"> small towns </w:t>
      </w:r>
      <w:r w:rsidR="00B9352E">
        <w:rPr>
          <w:sz w:val="24"/>
          <w:szCs w:val="24"/>
        </w:rPr>
        <w:t xml:space="preserve">have been crippled creating </w:t>
      </w:r>
      <w:r w:rsidR="005D69B7" w:rsidRPr="006430BD">
        <w:rPr>
          <w:sz w:val="24"/>
          <w:szCs w:val="24"/>
        </w:rPr>
        <w:t>fragmented communities</w:t>
      </w:r>
      <w:r w:rsidR="00B9352E">
        <w:rPr>
          <w:sz w:val="24"/>
          <w:szCs w:val="24"/>
        </w:rPr>
        <w:t xml:space="preserve"> and</w:t>
      </w:r>
      <w:r w:rsidR="005D69B7" w:rsidRPr="006430BD">
        <w:rPr>
          <w:sz w:val="24"/>
          <w:szCs w:val="24"/>
        </w:rPr>
        <w:t xml:space="preserve"> forcing farmers and local town folk to </w:t>
      </w:r>
      <w:r>
        <w:rPr>
          <w:sz w:val="24"/>
          <w:szCs w:val="24"/>
        </w:rPr>
        <w:t>leave their much loved homes</w:t>
      </w:r>
      <w:r w:rsidR="005D69B7" w:rsidRPr="006430BD">
        <w:rPr>
          <w:sz w:val="24"/>
          <w:szCs w:val="24"/>
        </w:rPr>
        <w:t xml:space="preserve"> to </w:t>
      </w:r>
      <w:r>
        <w:rPr>
          <w:sz w:val="24"/>
          <w:szCs w:val="24"/>
        </w:rPr>
        <w:t xml:space="preserve">relocate to </w:t>
      </w:r>
      <w:r w:rsidR="005D69B7" w:rsidRPr="006430BD">
        <w:rPr>
          <w:sz w:val="24"/>
          <w:szCs w:val="24"/>
        </w:rPr>
        <w:t xml:space="preserve">larger centres at a huge </w:t>
      </w:r>
      <w:r>
        <w:rPr>
          <w:sz w:val="24"/>
          <w:szCs w:val="24"/>
        </w:rPr>
        <w:t xml:space="preserve">social </w:t>
      </w:r>
      <w:r w:rsidR="005D69B7" w:rsidRPr="006430BD">
        <w:rPr>
          <w:sz w:val="24"/>
          <w:szCs w:val="24"/>
        </w:rPr>
        <w:t>cost to</w:t>
      </w:r>
      <w:r>
        <w:rPr>
          <w:sz w:val="24"/>
          <w:szCs w:val="24"/>
        </w:rPr>
        <w:t xml:space="preserve"> hardworking</w:t>
      </w:r>
      <w:r w:rsidR="005D69B7" w:rsidRPr="006430BD">
        <w:rPr>
          <w:sz w:val="24"/>
          <w:szCs w:val="24"/>
        </w:rPr>
        <w:t xml:space="preserve"> Australian farmers and Australia as a whole.</w:t>
      </w:r>
      <w:r w:rsidR="003A4206" w:rsidRPr="006430BD">
        <w:rPr>
          <w:sz w:val="24"/>
          <w:szCs w:val="24"/>
        </w:rPr>
        <w:t xml:space="preserve"> </w:t>
      </w:r>
    </w:p>
    <w:p w:rsidR="003A4206" w:rsidRPr="00FB5213" w:rsidRDefault="003A4206" w:rsidP="00FB5213">
      <w:pPr>
        <w:spacing w:after="0" w:line="240" w:lineRule="auto"/>
        <w:rPr>
          <w:rFonts w:ascii="Calibri" w:eastAsia="Times New Roman" w:hAnsi="Calibri" w:cs="Times New Roman"/>
          <w:color w:val="000000"/>
        </w:rPr>
      </w:pPr>
    </w:p>
    <w:p w:rsidR="00FB5213" w:rsidRPr="00FB5213" w:rsidRDefault="00FB5213" w:rsidP="00FB5213">
      <w:pPr>
        <w:spacing w:after="0" w:line="240" w:lineRule="auto"/>
        <w:rPr>
          <w:rFonts w:ascii="Calibri" w:eastAsia="Times New Roman" w:hAnsi="Calibri" w:cs="Times New Roman"/>
          <w:color w:val="000000"/>
        </w:rPr>
      </w:pPr>
      <w:r w:rsidRPr="00FB5213">
        <w:rPr>
          <w:rFonts w:ascii="Calibri" w:eastAsia="Times New Roman" w:hAnsi="Calibri" w:cs="Times New Roman"/>
          <w:color w:val="000000"/>
        </w:rPr>
        <w:t> </w:t>
      </w:r>
    </w:p>
    <w:p w:rsidR="00FB5213" w:rsidRDefault="00FB5213" w:rsidP="000C627F">
      <w:pPr>
        <w:pStyle w:val="ListParagraph"/>
        <w:spacing w:after="0" w:line="240" w:lineRule="auto"/>
      </w:pPr>
    </w:p>
    <w:sectPr w:rsidR="00FB5213" w:rsidSect="00FA07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1E" w:rsidRDefault="00F52F1E" w:rsidP="002C3918">
      <w:pPr>
        <w:spacing w:after="0" w:line="240" w:lineRule="auto"/>
      </w:pPr>
      <w:r>
        <w:separator/>
      </w:r>
    </w:p>
  </w:endnote>
  <w:endnote w:type="continuationSeparator" w:id="0">
    <w:p w:rsidR="00F52F1E" w:rsidRDefault="00F52F1E" w:rsidP="002C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1E" w:rsidRDefault="00F52F1E" w:rsidP="002C3918">
      <w:pPr>
        <w:spacing w:after="0" w:line="240" w:lineRule="auto"/>
      </w:pPr>
      <w:r>
        <w:separator/>
      </w:r>
    </w:p>
  </w:footnote>
  <w:footnote w:type="continuationSeparator" w:id="0">
    <w:p w:rsidR="00F52F1E" w:rsidRDefault="00F52F1E" w:rsidP="002C3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27318E" w:rsidRDefault="0027318E" w:rsidP="0027318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28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2811">
          <w:rPr>
            <w:b/>
            <w:bCs/>
            <w:noProof/>
          </w:rPr>
          <w:t>3</w:t>
        </w:r>
        <w:r>
          <w:rPr>
            <w:b/>
            <w:bCs/>
            <w:sz w:val="24"/>
            <w:szCs w:val="24"/>
          </w:rPr>
          <w:fldChar w:fldCharType="end"/>
        </w:r>
      </w:p>
    </w:sdtContent>
  </w:sdt>
  <w:p w:rsidR="002C3918" w:rsidRDefault="002C3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9E3"/>
    <w:multiLevelType w:val="hybridMultilevel"/>
    <w:tmpl w:val="0D76A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1C7D98"/>
    <w:multiLevelType w:val="multilevel"/>
    <w:tmpl w:val="9670B94C"/>
    <w:name w:val="StandardNumberedList"/>
    <w:lvl w:ilvl="0">
      <w:start w:val="1"/>
      <w:numFmt w:val="decimal"/>
      <w:lvlText w:val="%1."/>
      <w:lvlJc w:val="left"/>
      <w:pPr>
        <w:tabs>
          <w:tab w:val="num" w:pos="520"/>
        </w:tabs>
        <w:ind w:left="520" w:hanging="520"/>
      </w:pPr>
      <w:rPr>
        <w:rFonts w:cs="Times New Roman"/>
      </w:rPr>
    </w:lvl>
    <w:lvl w:ilvl="1">
      <w:start w:val="1"/>
      <w:numFmt w:val="decimal"/>
      <w:lvlText w:val="%1.%2."/>
      <w:lvlJc w:val="left"/>
      <w:pPr>
        <w:tabs>
          <w:tab w:val="num" w:pos="1040"/>
        </w:tabs>
        <w:ind w:left="1040" w:hanging="520"/>
      </w:pPr>
      <w:rPr>
        <w:rFonts w:cs="Times New Roman"/>
      </w:rPr>
    </w:lvl>
    <w:lvl w:ilvl="2">
      <w:start w:val="1"/>
      <w:numFmt w:val="decimal"/>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56548E1"/>
    <w:multiLevelType w:val="multilevel"/>
    <w:tmpl w:val="1FA8B282"/>
    <w:name w:val="Recommendation Heading List"/>
    <w:lvl w:ilvl="0">
      <w:start w:val="1"/>
      <w:numFmt w:val="decimal"/>
      <w:lvlRestart w:val="0"/>
      <w:pStyle w:val="RecommendationHeading"/>
      <w:suff w:val="nothing"/>
      <w:lvlText w:val="Recommendation %1"/>
      <w:lvlJc w:val="left"/>
      <w:rPr>
        <w:rFonts w:ascii="Century Gothic" w:hAnsi="Century Gothic" w:cs="Times New Roman"/>
        <w:b/>
        <w:i w:val="0"/>
        <w:color w:val="000080"/>
        <w:sz w:val="22"/>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3">
    <w:nsid w:val="26B36426"/>
    <w:multiLevelType w:val="hybridMultilevel"/>
    <w:tmpl w:val="97FC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440C8B"/>
    <w:multiLevelType w:val="multilevel"/>
    <w:tmpl w:val="3C08543C"/>
    <w:name w:val="StandardBulletedList"/>
    <w:lvl w:ilvl="0">
      <w:start w:val="1"/>
      <w:numFmt w:val="bullet"/>
      <w:pStyle w:val="Bullet"/>
      <w:lvlText w:val="•"/>
      <w:lvlJc w:val="left"/>
      <w:pPr>
        <w:tabs>
          <w:tab w:val="num" w:pos="520"/>
        </w:tabs>
        <w:ind w:left="520" w:hanging="520"/>
      </w:pPr>
      <w:rPr>
        <w:rFonts w:ascii="Times New Roman" w:hAnsi="Times New Roman"/>
        <w:b w:val="0"/>
        <w:i w:val="0"/>
      </w:rPr>
    </w:lvl>
    <w:lvl w:ilvl="1">
      <w:start w:val="1"/>
      <w:numFmt w:val="bullet"/>
      <w:pStyle w:val="Dash"/>
      <w:lvlText w:val="–"/>
      <w:lvlJc w:val="left"/>
      <w:pPr>
        <w:tabs>
          <w:tab w:val="num" w:pos="1040"/>
        </w:tabs>
        <w:ind w:left="1040" w:hanging="520"/>
      </w:pPr>
      <w:rPr>
        <w:rFonts w:ascii="Times New Roman" w:hAnsi="Times New Roman"/>
        <w:b w:val="0"/>
        <w:i w:val="0"/>
      </w:rPr>
    </w:lvl>
    <w:lvl w:ilvl="2">
      <w:start w:val="1"/>
      <w:numFmt w:val="bullet"/>
      <w:pStyle w:val="DoubleDot"/>
      <w:lvlText w:val=":"/>
      <w:lvlJc w:val="left"/>
      <w:pPr>
        <w:tabs>
          <w:tab w:val="num" w:pos="1560"/>
        </w:tabs>
        <w:ind w:left="1560" w:hanging="520"/>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5">
    <w:nsid w:val="2B60387A"/>
    <w:multiLevelType w:val="hybridMultilevel"/>
    <w:tmpl w:val="E244E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23769B"/>
    <w:multiLevelType w:val="hybridMultilevel"/>
    <w:tmpl w:val="83828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DE5A21"/>
    <w:multiLevelType w:val="hybridMultilevel"/>
    <w:tmpl w:val="C4F454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cs="Times New Roman" w:hint="default"/>
        <w:b w:val="0"/>
        <w:i w:val="0"/>
      </w:rPr>
    </w:lvl>
    <w:lvl w:ilvl="1">
      <w:start w:val="1"/>
      <w:numFmt w:val="decimal"/>
      <w:pStyle w:val="OutlineNumbered2"/>
      <w:lvlText w:val="%1.%2."/>
      <w:lvlJc w:val="left"/>
      <w:pPr>
        <w:tabs>
          <w:tab w:val="num" w:pos="1134"/>
        </w:tabs>
        <w:ind w:left="1134" w:hanging="567"/>
      </w:pPr>
      <w:rPr>
        <w:rFonts w:cs="Times New Roman" w:hint="default"/>
        <w:b w:val="0"/>
        <w:i w:val="0"/>
      </w:rPr>
    </w:lvl>
    <w:lvl w:ilvl="2">
      <w:start w:val="1"/>
      <w:numFmt w:val="decimal"/>
      <w:pStyle w:val="OutlineNumbered3"/>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9">
    <w:nsid w:val="3BD3505A"/>
    <w:multiLevelType w:val="hybridMultilevel"/>
    <w:tmpl w:val="E4AAE5B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E7126082">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B71B1E"/>
    <w:multiLevelType w:val="hybridMultilevel"/>
    <w:tmpl w:val="6E3C9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640F81"/>
    <w:multiLevelType w:val="hybridMultilevel"/>
    <w:tmpl w:val="20BAD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277706B"/>
    <w:multiLevelType w:val="hybridMultilevel"/>
    <w:tmpl w:val="AA6EC1BA"/>
    <w:lvl w:ilvl="0" w:tplc="759A0F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54C71ACA"/>
    <w:multiLevelType w:val="hybridMultilevel"/>
    <w:tmpl w:val="DAFA4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5">
    <w:nsid w:val="5A387132"/>
    <w:multiLevelType w:val="hybridMultilevel"/>
    <w:tmpl w:val="A7FCE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8A7151"/>
    <w:multiLevelType w:val="hybridMultilevel"/>
    <w:tmpl w:val="1910B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230691"/>
    <w:multiLevelType w:val="hybridMultilevel"/>
    <w:tmpl w:val="6D32A080"/>
    <w:lvl w:ilvl="0" w:tplc="94FC23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8665A86"/>
    <w:multiLevelType w:val="hybridMultilevel"/>
    <w:tmpl w:val="D71E48F2"/>
    <w:lvl w:ilvl="0" w:tplc="4740EB2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AA45B64"/>
    <w:multiLevelType w:val="hybridMultilevel"/>
    <w:tmpl w:val="A37EA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D452F87"/>
    <w:multiLevelType w:val="hybridMultilevel"/>
    <w:tmpl w:val="63541320"/>
    <w:lvl w:ilvl="0" w:tplc="2A546268">
      <w:start w:val="1"/>
      <w:numFmt w:val="decimal"/>
      <w:lvlText w:val="%1."/>
      <w:lvlJc w:val="left"/>
      <w:pPr>
        <w:ind w:left="720" w:hanging="360"/>
      </w:pPr>
      <w:rPr>
        <w:rFonts w:asciiTheme="minorHAnsi" w:eastAsiaTheme="minorHAnsi" w:hAnsiTheme="minorHAnsi"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0E13775"/>
    <w:multiLevelType w:val="hybridMultilevel"/>
    <w:tmpl w:val="198085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431997"/>
    <w:multiLevelType w:val="hybridMultilevel"/>
    <w:tmpl w:val="91ACD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BF275E"/>
    <w:multiLevelType w:val="multilevel"/>
    <w:tmpl w:val="A6800B9E"/>
    <w:numStyleLink w:val="Outlinenumbering"/>
  </w:abstractNum>
  <w:abstractNum w:abstractNumId="24">
    <w:nsid w:val="7F802D82"/>
    <w:multiLevelType w:val="hybridMultilevel"/>
    <w:tmpl w:val="C4020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5"/>
  </w:num>
  <w:num w:numId="3">
    <w:abstractNumId w:val="5"/>
  </w:num>
  <w:num w:numId="4">
    <w:abstractNumId w:val="10"/>
  </w:num>
  <w:num w:numId="5">
    <w:abstractNumId w:val="19"/>
  </w:num>
  <w:num w:numId="6">
    <w:abstractNumId w:val="13"/>
  </w:num>
  <w:num w:numId="7">
    <w:abstractNumId w:val="16"/>
  </w:num>
  <w:num w:numId="8">
    <w:abstractNumId w:val="9"/>
  </w:num>
  <w:num w:numId="9">
    <w:abstractNumId w:val="18"/>
  </w:num>
  <w:num w:numId="10">
    <w:abstractNumId w:val="7"/>
  </w:num>
  <w:num w:numId="11">
    <w:abstractNumId w:val="21"/>
  </w:num>
  <w:num w:numId="12">
    <w:abstractNumId w:val="0"/>
  </w:num>
  <w:num w:numId="13">
    <w:abstractNumId w:val="3"/>
  </w:num>
  <w:num w:numId="14">
    <w:abstractNumId w:val="11"/>
  </w:num>
  <w:num w:numId="15">
    <w:abstractNumId w:val="6"/>
  </w:num>
  <w:num w:numId="16">
    <w:abstractNumId w:val="22"/>
  </w:num>
  <w:num w:numId="17">
    <w:abstractNumId w:val="20"/>
  </w:num>
  <w:num w:numId="18">
    <w:abstractNumId w:val="12"/>
  </w:num>
  <w:num w:numId="19">
    <w:abstractNumId w:val="17"/>
  </w:num>
  <w:num w:numId="20">
    <w:abstractNumId w:val="4"/>
  </w:num>
  <w:num w:numId="21">
    <w:abstractNumId w:val="14"/>
  </w:num>
  <w:num w:numId="22">
    <w:abstractNumId w:val="2"/>
  </w:num>
  <w:num w:numId="23">
    <w:abstractNumId w:val="8"/>
  </w:num>
  <w:num w:numId="24">
    <w:abstractNumId w:val="23"/>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BB"/>
    <w:rsid w:val="000711B8"/>
    <w:rsid w:val="0008253F"/>
    <w:rsid w:val="000934CB"/>
    <w:rsid w:val="000C0945"/>
    <w:rsid w:val="000C627F"/>
    <w:rsid w:val="000E6033"/>
    <w:rsid w:val="000E6136"/>
    <w:rsid w:val="000F5F38"/>
    <w:rsid w:val="00102BAD"/>
    <w:rsid w:val="00102F63"/>
    <w:rsid w:val="00111A54"/>
    <w:rsid w:val="001405E5"/>
    <w:rsid w:val="0019528B"/>
    <w:rsid w:val="001E7E9A"/>
    <w:rsid w:val="001F3B3C"/>
    <w:rsid w:val="002250E4"/>
    <w:rsid w:val="00226974"/>
    <w:rsid w:val="002436E1"/>
    <w:rsid w:val="002660EB"/>
    <w:rsid w:val="0027318E"/>
    <w:rsid w:val="002912BD"/>
    <w:rsid w:val="002961D9"/>
    <w:rsid w:val="002C3918"/>
    <w:rsid w:val="002C465B"/>
    <w:rsid w:val="002C56E7"/>
    <w:rsid w:val="002F19FC"/>
    <w:rsid w:val="002F71A9"/>
    <w:rsid w:val="00303C08"/>
    <w:rsid w:val="0032698C"/>
    <w:rsid w:val="00330375"/>
    <w:rsid w:val="0036333F"/>
    <w:rsid w:val="00392BB2"/>
    <w:rsid w:val="00394243"/>
    <w:rsid w:val="00394E51"/>
    <w:rsid w:val="003A0322"/>
    <w:rsid w:val="003A4206"/>
    <w:rsid w:val="003D57C3"/>
    <w:rsid w:val="00407978"/>
    <w:rsid w:val="00473637"/>
    <w:rsid w:val="004B10BB"/>
    <w:rsid w:val="004F0BE0"/>
    <w:rsid w:val="00532A9E"/>
    <w:rsid w:val="00550134"/>
    <w:rsid w:val="00552A42"/>
    <w:rsid w:val="00556889"/>
    <w:rsid w:val="00562A0A"/>
    <w:rsid w:val="005735B5"/>
    <w:rsid w:val="00576F12"/>
    <w:rsid w:val="00580F58"/>
    <w:rsid w:val="005903A6"/>
    <w:rsid w:val="005A579B"/>
    <w:rsid w:val="005B098D"/>
    <w:rsid w:val="005B433B"/>
    <w:rsid w:val="005B71BB"/>
    <w:rsid w:val="005D69B7"/>
    <w:rsid w:val="005F19C6"/>
    <w:rsid w:val="006123AA"/>
    <w:rsid w:val="0061252F"/>
    <w:rsid w:val="00631933"/>
    <w:rsid w:val="00634B33"/>
    <w:rsid w:val="006430BD"/>
    <w:rsid w:val="006B361C"/>
    <w:rsid w:val="006C0D8C"/>
    <w:rsid w:val="006C59C0"/>
    <w:rsid w:val="007053A5"/>
    <w:rsid w:val="007110BA"/>
    <w:rsid w:val="007260B4"/>
    <w:rsid w:val="007279F2"/>
    <w:rsid w:val="007471BB"/>
    <w:rsid w:val="00750F9D"/>
    <w:rsid w:val="0075572C"/>
    <w:rsid w:val="007733DE"/>
    <w:rsid w:val="00780E4F"/>
    <w:rsid w:val="0078279F"/>
    <w:rsid w:val="007C6E55"/>
    <w:rsid w:val="007D2DE3"/>
    <w:rsid w:val="008042CA"/>
    <w:rsid w:val="00805217"/>
    <w:rsid w:val="0080743F"/>
    <w:rsid w:val="00847AD0"/>
    <w:rsid w:val="008A23F2"/>
    <w:rsid w:val="008C043F"/>
    <w:rsid w:val="008C6FE1"/>
    <w:rsid w:val="00946C34"/>
    <w:rsid w:val="009478F6"/>
    <w:rsid w:val="00974653"/>
    <w:rsid w:val="009A1A21"/>
    <w:rsid w:val="009A3D00"/>
    <w:rsid w:val="009B2E7A"/>
    <w:rsid w:val="009B7026"/>
    <w:rsid w:val="009C20DA"/>
    <w:rsid w:val="009D43B6"/>
    <w:rsid w:val="009D5C37"/>
    <w:rsid w:val="00A02FAE"/>
    <w:rsid w:val="00A24AFA"/>
    <w:rsid w:val="00A25A42"/>
    <w:rsid w:val="00A43139"/>
    <w:rsid w:val="00A643EF"/>
    <w:rsid w:val="00A85A2F"/>
    <w:rsid w:val="00AD291F"/>
    <w:rsid w:val="00B06311"/>
    <w:rsid w:val="00B10C6B"/>
    <w:rsid w:val="00B141CD"/>
    <w:rsid w:val="00B20171"/>
    <w:rsid w:val="00B307B2"/>
    <w:rsid w:val="00B50623"/>
    <w:rsid w:val="00B67DA7"/>
    <w:rsid w:val="00B707BE"/>
    <w:rsid w:val="00B9352E"/>
    <w:rsid w:val="00B95C5B"/>
    <w:rsid w:val="00BD3AD0"/>
    <w:rsid w:val="00BD4DA4"/>
    <w:rsid w:val="00BE5FB6"/>
    <w:rsid w:val="00C10364"/>
    <w:rsid w:val="00C16CA8"/>
    <w:rsid w:val="00C221E5"/>
    <w:rsid w:val="00C336F0"/>
    <w:rsid w:val="00C4110D"/>
    <w:rsid w:val="00C81CD9"/>
    <w:rsid w:val="00C91345"/>
    <w:rsid w:val="00CA7B36"/>
    <w:rsid w:val="00CB0F2C"/>
    <w:rsid w:val="00CC044E"/>
    <w:rsid w:val="00CF0399"/>
    <w:rsid w:val="00D25636"/>
    <w:rsid w:val="00D55201"/>
    <w:rsid w:val="00D62811"/>
    <w:rsid w:val="00D66BD3"/>
    <w:rsid w:val="00D705F3"/>
    <w:rsid w:val="00D80B43"/>
    <w:rsid w:val="00D815C1"/>
    <w:rsid w:val="00D93D3F"/>
    <w:rsid w:val="00D95619"/>
    <w:rsid w:val="00DA56B0"/>
    <w:rsid w:val="00DB3FA3"/>
    <w:rsid w:val="00DC09B5"/>
    <w:rsid w:val="00DC10FD"/>
    <w:rsid w:val="00DC13C2"/>
    <w:rsid w:val="00DC4CBF"/>
    <w:rsid w:val="00DD7879"/>
    <w:rsid w:val="00E310D8"/>
    <w:rsid w:val="00E40762"/>
    <w:rsid w:val="00E46896"/>
    <w:rsid w:val="00E605A1"/>
    <w:rsid w:val="00E8599A"/>
    <w:rsid w:val="00E95F4B"/>
    <w:rsid w:val="00EB1050"/>
    <w:rsid w:val="00EC2DE5"/>
    <w:rsid w:val="00EC79EC"/>
    <w:rsid w:val="00ED076A"/>
    <w:rsid w:val="00EE6530"/>
    <w:rsid w:val="00F00610"/>
    <w:rsid w:val="00F03212"/>
    <w:rsid w:val="00F16E13"/>
    <w:rsid w:val="00F30E27"/>
    <w:rsid w:val="00F311CB"/>
    <w:rsid w:val="00F45E3D"/>
    <w:rsid w:val="00F46EC4"/>
    <w:rsid w:val="00F473F6"/>
    <w:rsid w:val="00F51914"/>
    <w:rsid w:val="00F52F1E"/>
    <w:rsid w:val="00F56B4D"/>
    <w:rsid w:val="00F706C9"/>
    <w:rsid w:val="00F70B84"/>
    <w:rsid w:val="00F7153D"/>
    <w:rsid w:val="00F93E5B"/>
    <w:rsid w:val="00FA078F"/>
    <w:rsid w:val="00FB5213"/>
    <w:rsid w:val="00FB75C0"/>
    <w:rsid w:val="00FD7642"/>
    <w:rsid w:val="00FF3350"/>
    <w:rsid w:val="00FF5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OutlineNumbered1"/>
    <w:link w:val="Heading2Char"/>
    <w:uiPriority w:val="9"/>
    <w:qFormat/>
    <w:rsid w:val="003A4206"/>
    <w:pPr>
      <w:keepNext/>
      <w:spacing w:before="300" w:after="180" w:line="240" w:lineRule="auto"/>
      <w:outlineLvl w:val="1"/>
    </w:pPr>
    <w:rPr>
      <w:rFonts w:ascii="Century Gothic" w:eastAsia="Times New Roman" w:hAnsi="Century Gothic" w:cs="Arial"/>
      <w:b/>
      <w:bCs/>
      <w:iCs/>
      <w:smallCaps/>
      <w:color w:val="1F497D" w:themeColor="text2"/>
      <w:sz w:val="32"/>
      <w:szCs w:val="28"/>
      <w:lang w:eastAsia="en-AU"/>
    </w:rPr>
  </w:style>
  <w:style w:type="paragraph" w:styleId="Heading3">
    <w:name w:val="heading 3"/>
    <w:basedOn w:val="Normal"/>
    <w:next w:val="OutlineNumbered1"/>
    <w:link w:val="Heading3Char"/>
    <w:uiPriority w:val="9"/>
    <w:qFormat/>
    <w:rsid w:val="003A4206"/>
    <w:pPr>
      <w:keepNext/>
      <w:spacing w:before="240" w:after="180" w:line="240" w:lineRule="auto"/>
      <w:outlineLvl w:val="2"/>
    </w:pPr>
    <w:rPr>
      <w:rFonts w:ascii="Century Gothic" w:eastAsia="Times New Roman" w:hAnsi="Century Gothic" w:cs="Arial"/>
      <w:b/>
      <w:bCs/>
      <w:color w:val="1F497D" w:themeColor="text2"/>
      <w:sz w:val="24"/>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BB"/>
    <w:pPr>
      <w:ind w:left="720"/>
      <w:contextualSpacing/>
    </w:pPr>
  </w:style>
  <w:style w:type="paragraph" w:styleId="BalloonText">
    <w:name w:val="Balloon Text"/>
    <w:basedOn w:val="Normal"/>
    <w:link w:val="BalloonTextChar"/>
    <w:uiPriority w:val="99"/>
    <w:semiHidden/>
    <w:unhideWhenUsed/>
    <w:rsid w:val="00D25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36"/>
    <w:rPr>
      <w:rFonts w:ascii="Tahoma" w:hAnsi="Tahoma" w:cs="Tahoma"/>
      <w:sz w:val="16"/>
      <w:szCs w:val="16"/>
    </w:rPr>
  </w:style>
  <w:style w:type="character" w:styleId="Hyperlink">
    <w:name w:val="Hyperlink"/>
    <w:basedOn w:val="DefaultParagraphFont"/>
    <w:uiPriority w:val="99"/>
    <w:unhideWhenUsed/>
    <w:rsid w:val="00D25636"/>
    <w:rPr>
      <w:color w:val="0000FF" w:themeColor="hyperlink"/>
      <w:u w:val="single"/>
    </w:rPr>
  </w:style>
  <w:style w:type="paragraph" w:styleId="Header">
    <w:name w:val="header"/>
    <w:basedOn w:val="Normal"/>
    <w:link w:val="HeaderChar"/>
    <w:uiPriority w:val="99"/>
    <w:unhideWhenUsed/>
    <w:rsid w:val="002C3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918"/>
  </w:style>
  <w:style w:type="paragraph" w:styleId="Footer">
    <w:name w:val="footer"/>
    <w:basedOn w:val="Normal"/>
    <w:link w:val="FooterChar"/>
    <w:uiPriority w:val="99"/>
    <w:unhideWhenUsed/>
    <w:rsid w:val="002C3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918"/>
  </w:style>
  <w:style w:type="paragraph" w:styleId="NormalWeb">
    <w:name w:val="Normal (Web)"/>
    <w:basedOn w:val="Normal"/>
    <w:uiPriority w:val="99"/>
    <w:semiHidden/>
    <w:unhideWhenUsed/>
    <w:rsid w:val="00A43139"/>
    <w:pPr>
      <w:spacing w:after="105" w:line="360" w:lineRule="auto"/>
    </w:pPr>
    <w:rPr>
      <w:rFonts w:ascii="Arial" w:eastAsia="Times New Roman" w:hAnsi="Arial" w:cs="Arial"/>
      <w:sz w:val="18"/>
      <w:szCs w:val="18"/>
      <w:lang w:eastAsia="en-AU"/>
    </w:rPr>
  </w:style>
  <w:style w:type="character" w:customStyle="1" w:styleId="Heading2Char">
    <w:name w:val="Heading 2 Char"/>
    <w:basedOn w:val="DefaultParagraphFont"/>
    <w:link w:val="Heading2"/>
    <w:uiPriority w:val="9"/>
    <w:rsid w:val="003A4206"/>
    <w:rPr>
      <w:rFonts w:ascii="Century Gothic" w:eastAsia="Times New Roman" w:hAnsi="Century Gothic" w:cs="Arial"/>
      <w:b/>
      <w:bCs/>
      <w:iCs/>
      <w:smallCaps/>
      <w:color w:val="1F497D" w:themeColor="text2"/>
      <w:sz w:val="32"/>
      <w:szCs w:val="28"/>
      <w:lang w:eastAsia="en-AU"/>
    </w:rPr>
  </w:style>
  <w:style w:type="character" w:customStyle="1" w:styleId="Heading3Char">
    <w:name w:val="Heading 3 Char"/>
    <w:basedOn w:val="DefaultParagraphFont"/>
    <w:link w:val="Heading3"/>
    <w:uiPriority w:val="9"/>
    <w:rsid w:val="003A4206"/>
    <w:rPr>
      <w:rFonts w:ascii="Century Gothic" w:eastAsia="Times New Roman" w:hAnsi="Century Gothic" w:cs="Arial"/>
      <w:b/>
      <w:bCs/>
      <w:color w:val="1F497D" w:themeColor="text2"/>
      <w:sz w:val="24"/>
      <w:szCs w:val="26"/>
      <w:lang w:eastAsia="en-AU"/>
    </w:rPr>
  </w:style>
  <w:style w:type="paragraph" w:customStyle="1" w:styleId="SingleParagraph">
    <w:name w:val="Single Paragraph"/>
    <w:basedOn w:val="Normal"/>
    <w:link w:val="SingleParagraphChar"/>
    <w:rsid w:val="003A4206"/>
    <w:pPr>
      <w:spacing w:after="0" w:line="240" w:lineRule="auto"/>
      <w:jc w:val="both"/>
    </w:pPr>
    <w:rPr>
      <w:rFonts w:ascii="Calibri" w:eastAsia="Times New Roman" w:hAnsi="Calibri" w:cs="Times New Roman"/>
      <w:color w:val="000000"/>
      <w:szCs w:val="20"/>
      <w:lang w:eastAsia="en-AU"/>
    </w:rPr>
  </w:style>
  <w:style w:type="paragraph" w:customStyle="1" w:styleId="Bullet">
    <w:name w:val="Bullet"/>
    <w:basedOn w:val="Normal"/>
    <w:link w:val="BulletChar"/>
    <w:qFormat/>
    <w:rsid w:val="003A4206"/>
    <w:pPr>
      <w:numPr>
        <w:numId w:val="20"/>
      </w:numPr>
      <w:spacing w:before="120" w:after="120" w:line="240" w:lineRule="auto"/>
      <w:jc w:val="both"/>
    </w:pPr>
    <w:rPr>
      <w:rFonts w:ascii="Calibri" w:eastAsia="Times New Roman" w:hAnsi="Calibri" w:cs="Times New Roman"/>
      <w:color w:val="000000"/>
      <w:szCs w:val="20"/>
      <w:lang w:eastAsia="en-AU"/>
    </w:rPr>
  </w:style>
  <w:style w:type="paragraph" w:customStyle="1" w:styleId="Dash">
    <w:name w:val="Dash"/>
    <w:basedOn w:val="Normal"/>
    <w:qFormat/>
    <w:rsid w:val="003A4206"/>
    <w:pPr>
      <w:numPr>
        <w:ilvl w:val="1"/>
        <w:numId w:val="20"/>
      </w:numPr>
      <w:spacing w:after="240" w:line="240" w:lineRule="auto"/>
      <w:jc w:val="both"/>
    </w:pPr>
    <w:rPr>
      <w:rFonts w:ascii="Calibri" w:eastAsia="Times New Roman" w:hAnsi="Calibri" w:cs="Times New Roman"/>
      <w:color w:val="000000"/>
      <w:szCs w:val="20"/>
      <w:lang w:eastAsia="en-AU"/>
    </w:rPr>
  </w:style>
  <w:style w:type="paragraph" w:customStyle="1" w:styleId="DoubleDot">
    <w:name w:val="Double Dot"/>
    <w:basedOn w:val="Normal"/>
    <w:qFormat/>
    <w:rsid w:val="003A4206"/>
    <w:pPr>
      <w:numPr>
        <w:ilvl w:val="2"/>
        <w:numId w:val="20"/>
      </w:numPr>
      <w:spacing w:after="240" w:line="240" w:lineRule="auto"/>
      <w:jc w:val="both"/>
    </w:pPr>
    <w:rPr>
      <w:rFonts w:ascii="Calibri" w:eastAsia="Times New Roman" w:hAnsi="Calibri" w:cs="Times New Roman"/>
      <w:color w:val="000000"/>
      <w:szCs w:val="20"/>
      <w:lang w:eastAsia="en-AU"/>
    </w:rPr>
  </w:style>
  <w:style w:type="paragraph" w:customStyle="1" w:styleId="OutlineNumbered1">
    <w:name w:val="Outline Numbered 1"/>
    <w:basedOn w:val="Normal"/>
    <w:link w:val="OutlineNumbered1Char"/>
    <w:rsid w:val="003A4206"/>
    <w:pPr>
      <w:numPr>
        <w:numId w:val="24"/>
      </w:numPr>
      <w:spacing w:after="240" w:line="240" w:lineRule="auto"/>
      <w:jc w:val="both"/>
    </w:pPr>
    <w:rPr>
      <w:rFonts w:ascii="Calibri" w:eastAsia="Times New Roman" w:hAnsi="Calibri" w:cs="Times New Roman"/>
      <w:color w:val="000000"/>
      <w:szCs w:val="20"/>
      <w:lang w:eastAsia="en-AU"/>
    </w:rPr>
  </w:style>
  <w:style w:type="paragraph" w:customStyle="1" w:styleId="OutlineNumbered2">
    <w:name w:val="Outline Numbered 2"/>
    <w:basedOn w:val="Normal"/>
    <w:rsid w:val="003A4206"/>
    <w:pPr>
      <w:numPr>
        <w:ilvl w:val="1"/>
        <w:numId w:val="24"/>
      </w:numPr>
      <w:spacing w:after="240" w:line="240" w:lineRule="auto"/>
      <w:jc w:val="both"/>
    </w:pPr>
    <w:rPr>
      <w:rFonts w:ascii="Calibri" w:eastAsia="Times New Roman" w:hAnsi="Calibri" w:cs="Times New Roman"/>
      <w:color w:val="000000"/>
      <w:szCs w:val="20"/>
      <w:lang w:eastAsia="en-AU"/>
    </w:rPr>
  </w:style>
  <w:style w:type="paragraph" w:customStyle="1" w:styleId="OutlineNumbered3">
    <w:name w:val="Outline Numbered 3"/>
    <w:basedOn w:val="Normal"/>
    <w:rsid w:val="003A4206"/>
    <w:pPr>
      <w:numPr>
        <w:ilvl w:val="2"/>
        <w:numId w:val="24"/>
      </w:numPr>
      <w:spacing w:after="240" w:line="240" w:lineRule="auto"/>
      <w:jc w:val="both"/>
    </w:pPr>
    <w:rPr>
      <w:rFonts w:ascii="Calibri" w:eastAsia="Times New Roman" w:hAnsi="Calibri" w:cs="Times New Roman"/>
      <w:color w:val="000000"/>
      <w:szCs w:val="20"/>
      <w:lang w:eastAsia="en-AU"/>
    </w:rPr>
  </w:style>
  <w:style w:type="paragraph" w:customStyle="1" w:styleId="RecommendationHeading">
    <w:name w:val="Recommendation Heading"/>
    <w:basedOn w:val="Normal"/>
    <w:next w:val="Normal"/>
    <w:qFormat/>
    <w:rsid w:val="003A4206"/>
    <w:pPr>
      <w:keepNext/>
      <w:numPr>
        <w:numId w:val="22"/>
      </w:numPr>
      <w:spacing w:before="120" w:after="240" w:line="240" w:lineRule="auto"/>
    </w:pPr>
    <w:rPr>
      <w:rFonts w:ascii="Century Gothic" w:eastAsia="Times New Roman" w:hAnsi="Century Gothic" w:cs="Times New Roman"/>
      <w:b/>
      <w:color w:val="1F497D" w:themeColor="text2"/>
      <w:szCs w:val="20"/>
      <w:lang w:eastAsia="en-AU"/>
    </w:rPr>
  </w:style>
  <w:style w:type="paragraph" w:customStyle="1" w:styleId="BoxText">
    <w:name w:val="Box Text"/>
    <w:basedOn w:val="Normal"/>
    <w:rsid w:val="003A4206"/>
    <w:pPr>
      <w:spacing w:line="240" w:lineRule="auto"/>
    </w:pPr>
    <w:rPr>
      <w:rFonts w:ascii="Calibri" w:eastAsia="Times New Roman" w:hAnsi="Calibri" w:cs="Times New Roman"/>
      <w:color w:val="000000" w:themeColor="text1"/>
      <w:szCs w:val="20"/>
      <w:lang w:eastAsia="en-AU"/>
    </w:rPr>
  </w:style>
  <w:style w:type="paragraph" w:customStyle="1" w:styleId="BoxBullet">
    <w:name w:val="Box Bullet"/>
    <w:basedOn w:val="Normal"/>
    <w:rsid w:val="003A4206"/>
    <w:pPr>
      <w:numPr>
        <w:numId w:val="21"/>
      </w:numPr>
      <w:spacing w:before="60" w:after="120" w:line="240" w:lineRule="auto"/>
      <w:ind w:left="284" w:hanging="284"/>
    </w:pPr>
    <w:rPr>
      <w:rFonts w:ascii="Calibri" w:eastAsia="Times New Roman" w:hAnsi="Calibri" w:cs="Times New Roman"/>
      <w:color w:val="000000" w:themeColor="text1"/>
      <w:szCs w:val="20"/>
      <w:lang w:eastAsia="en-AU"/>
    </w:rPr>
  </w:style>
  <w:style w:type="paragraph" w:customStyle="1" w:styleId="BoxDash">
    <w:name w:val="Box Dash"/>
    <w:basedOn w:val="Normal"/>
    <w:rsid w:val="003A4206"/>
    <w:pPr>
      <w:numPr>
        <w:ilvl w:val="1"/>
        <w:numId w:val="21"/>
      </w:numPr>
      <w:spacing w:after="240" w:line="240" w:lineRule="auto"/>
      <w:jc w:val="both"/>
    </w:pPr>
    <w:rPr>
      <w:rFonts w:ascii="Calibri" w:eastAsia="Times New Roman" w:hAnsi="Calibri" w:cs="Times New Roman"/>
      <w:color w:val="000000" w:themeColor="text1"/>
      <w:szCs w:val="20"/>
      <w:lang w:eastAsia="en-AU"/>
    </w:rPr>
  </w:style>
  <w:style w:type="paragraph" w:customStyle="1" w:styleId="BoxDoubleDot">
    <w:name w:val="Box Double Dot"/>
    <w:basedOn w:val="Normal"/>
    <w:rsid w:val="003A4206"/>
    <w:pPr>
      <w:numPr>
        <w:ilvl w:val="2"/>
        <w:numId w:val="21"/>
      </w:numPr>
      <w:spacing w:after="240" w:line="240" w:lineRule="auto"/>
      <w:jc w:val="both"/>
    </w:pPr>
    <w:rPr>
      <w:rFonts w:ascii="Calibri" w:eastAsia="Times New Roman" w:hAnsi="Calibri" w:cs="Times New Roman"/>
      <w:color w:val="000000" w:themeColor="text1"/>
      <w:szCs w:val="20"/>
      <w:lang w:eastAsia="en-AU"/>
    </w:rPr>
  </w:style>
  <w:style w:type="character" w:customStyle="1" w:styleId="SingleParagraphChar">
    <w:name w:val="Single Paragraph Char"/>
    <w:basedOn w:val="DefaultParagraphFont"/>
    <w:link w:val="SingleParagraph"/>
    <w:locked/>
    <w:rsid w:val="003A4206"/>
    <w:rPr>
      <w:rFonts w:ascii="Calibri" w:eastAsia="Times New Roman" w:hAnsi="Calibri" w:cs="Times New Roman"/>
      <w:color w:val="000000"/>
      <w:szCs w:val="20"/>
      <w:lang w:eastAsia="en-AU"/>
    </w:rPr>
  </w:style>
  <w:style w:type="character" w:customStyle="1" w:styleId="BulletChar">
    <w:name w:val="Bullet Char"/>
    <w:basedOn w:val="DefaultParagraphFont"/>
    <w:link w:val="Bullet"/>
    <w:locked/>
    <w:rsid w:val="003A4206"/>
    <w:rPr>
      <w:rFonts w:ascii="Calibri" w:eastAsia="Times New Roman" w:hAnsi="Calibri" w:cs="Times New Roman"/>
      <w:color w:val="000000"/>
      <w:szCs w:val="20"/>
      <w:lang w:eastAsia="en-AU"/>
    </w:rPr>
  </w:style>
  <w:style w:type="character" w:customStyle="1" w:styleId="OutlineNumbered1Char">
    <w:name w:val="Outline Numbered 1 Char"/>
    <w:basedOn w:val="DefaultParagraphFont"/>
    <w:link w:val="OutlineNumbered1"/>
    <w:locked/>
    <w:rsid w:val="003A4206"/>
    <w:rPr>
      <w:rFonts w:ascii="Calibri" w:eastAsia="Times New Roman" w:hAnsi="Calibri" w:cs="Times New Roman"/>
      <w:color w:val="000000"/>
      <w:szCs w:val="20"/>
      <w:lang w:eastAsia="en-AU"/>
    </w:rPr>
  </w:style>
  <w:style w:type="numbering" w:customStyle="1" w:styleId="Outlinenumbering">
    <w:name w:val="Outline numbering"/>
    <w:rsid w:val="003A4206"/>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OutlineNumbered1"/>
    <w:link w:val="Heading2Char"/>
    <w:uiPriority w:val="9"/>
    <w:qFormat/>
    <w:rsid w:val="003A4206"/>
    <w:pPr>
      <w:keepNext/>
      <w:spacing w:before="300" w:after="180" w:line="240" w:lineRule="auto"/>
      <w:outlineLvl w:val="1"/>
    </w:pPr>
    <w:rPr>
      <w:rFonts w:ascii="Century Gothic" w:eastAsia="Times New Roman" w:hAnsi="Century Gothic" w:cs="Arial"/>
      <w:b/>
      <w:bCs/>
      <w:iCs/>
      <w:smallCaps/>
      <w:color w:val="1F497D" w:themeColor="text2"/>
      <w:sz w:val="32"/>
      <w:szCs w:val="28"/>
      <w:lang w:eastAsia="en-AU"/>
    </w:rPr>
  </w:style>
  <w:style w:type="paragraph" w:styleId="Heading3">
    <w:name w:val="heading 3"/>
    <w:basedOn w:val="Normal"/>
    <w:next w:val="OutlineNumbered1"/>
    <w:link w:val="Heading3Char"/>
    <w:uiPriority w:val="9"/>
    <w:qFormat/>
    <w:rsid w:val="003A4206"/>
    <w:pPr>
      <w:keepNext/>
      <w:spacing w:before="240" w:after="180" w:line="240" w:lineRule="auto"/>
      <w:outlineLvl w:val="2"/>
    </w:pPr>
    <w:rPr>
      <w:rFonts w:ascii="Century Gothic" w:eastAsia="Times New Roman" w:hAnsi="Century Gothic" w:cs="Arial"/>
      <w:b/>
      <w:bCs/>
      <w:color w:val="1F497D" w:themeColor="text2"/>
      <w:sz w:val="24"/>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BB"/>
    <w:pPr>
      <w:ind w:left="720"/>
      <w:contextualSpacing/>
    </w:pPr>
  </w:style>
  <w:style w:type="paragraph" w:styleId="BalloonText">
    <w:name w:val="Balloon Text"/>
    <w:basedOn w:val="Normal"/>
    <w:link w:val="BalloonTextChar"/>
    <w:uiPriority w:val="99"/>
    <w:semiHidden/>
    <w:unhideWhenUsed/>
    <w:rsid w:val="00D25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36"/>
    <w:rPr>
      <w:rFonts w:ascii="Tahoma" w:hAnsi="Tahoma" w:cs="Tahoma"/>
      <w:sz w:val="16"/>
      <w:szCs w:val="16"/>
    </w:rPr>
  </w:style>
  <w:style w:type="character" w:styleId="Hyperlink">
    <w:name w:val="Hyperlink"/>
    <w:basedOn w:val="DefaultParagraphFont"/>
    <w:uiPriority w:val="99"/>
    <w:unhideWhenUsed/>
    <w:rsid w:val="00D25636"/>
    <w:rPr>
      <w:color w:val="0000FF" w:themeColor="hyperlink"/>
      <w:u w:val="single"/>
    </w:rPr>
  </w:style>
  <w:style w:type="paragraph" w:styleId="Header">
    <w:name w:val="header"/>
    <w:basedOn w:val="Normal"/>
    <w:link w:val="HeaderChar"/>
    <w:uiPriority w:val="99"/>
    <w:unhideWhenUsed/>
    <w:rsid w:val="002C3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918"/>
  </w:style>
  <w:style w:type="paragraph" w:styleId="Footer">
    <w:name w:val="footer"/>
    <w:basedOn w:val="Normal"/>
    <w:link w:val="FooterChar"/>
    <w:uiPriority w:val="99"/>
    <w:unhideWhenUsed/>
    <w:rsid w:val="002C3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918"/>
  </w:style>
  <w:style w:type="paragraph" w:styleId="NormalWeb">
    <w:name w:val="Normal (Web)"/>
    <w:basedOn w:val="Normal"/>
    <w:uiPriority w:val="99"/>
    <w:semiHidden/>
    <w:unhideWhenUsed/>
    <w:rsid w:val="00A43139"/>
    <w:pPr>
      <w:spacing w:after="105" w:line="360" w:lineRule="auto"/>
    </w:pPr>
    <w:rPr>
      <w:rFonts w:ascii="Arial" w:eastAsia="Times New Roman" w:hAnsi="Arial" w:cs="Arial"/>
      <w:sz w:val="18"/>
      <w:szCs w:val="18"/>
      <w:lang w:eastAsia="en-AU"/>
    </w:rPr>
  </w:style>
  <w:style w:type="character" w:customStyle="1" w:styleId="Heading2Char">
    <w:name w:val="Heading 2 Char"/>
    <w:basedOn w:val="DefaultParagraphFont"/>
    <w:link w:val="Heading2"/>
    <w:uiPriority w:val="9"/>
    <w:rsid w:val="003A4206"/>
    <w:rPr>
      <w:rFonts w:ascii="Century Gothic" w:eastAsia="Times New Roman" w:hAnsi="Century Gothic" w:cs="Arial"/>
      <w:b/>
      <w:bCs/>
      <w:iCs/>
      <w:smallCaps/>
      <w:color w:val="1F497D" w:themeColor="text2"/>
      <w:sz w:val="32"/>
      <w:szCs w:val="28"/>
      <w:lang w:eastAsia="en-AU"/>
    </w:rPr>
  </w:style>
  <w:style w:type="character" w:customStyle="1" w:styleId="Heading3Char">
    <w:name w:val="Heading 3 Char"/>
    <w:basedOn w:val="DefaultParagraphFont"/>
    <w:link w:val="Heading3"/>
    <w:uiPriority w:val="9"/>
    <w:rsid w:val="003A4206"/>
    <w:rPr>
      <w:rFonts w:ascii="Century Gothic" w:eastAsia="Times New Roman" w:hAnsi="Century Gothic" w:cs="Arial"/>
      <w:b/>
      <w:bCs/>
      <w:color w:val="1F497D" w:themeColor="text2"/>
      <w:sz w:val="24"/>
      <w:szCs w:val="26"/>
      <w:lang w:eastAsia="en-AU"/>
    </w:rPr>
  </w:style>
  <w:style w:type="paragraph" w:customStyle="1" w:styleId="SingleParagraph">
    <w:name w:val="Single Paragraph"/>
    <w:basedOn w:val="Normal"/>
    <w:link w:val="SingleParagraphChar"/>
    <w:rsid w:val="003A4206"/>
    <w:pPr>
      <w:spacing w:after="0" w:line="240" w:lineRule="auto"/>
      <w:jc w:val="both"/>
    </w:pPr>
    <w:rPr>
      <w:rFonts w:ascii="Calibri" w:eastAsia="Times New Roman" w:hAnsi="Calibri" w:cs="Times New Roman"/>
      <w:color w:val="000000"/>
      <w:szCs w:val="20"/>
      <w:lang w:eastAsia="en-AU"/>
    </w:rPr>
  </w:style>
  <w:style w:type="paragraph" w:customStyle="1" w:styleId="Bullet">
    <w:name w:val="Bullet"/>
    <w:basedOn w:val="Normal"/>
    <w:link w:val="BulletChar"/>
    <w:qFormat/>
    <w:rsid w:val="003A4206"/>
    <w:pPr>
      <w:numPr>
        <w:numId w:val="20"/>
      </w:numPr>
      <w:spacing w:before="120" w:after="120" w:line="240" w:lineRule="auto"/>
      <w:jc w:val="both"/>
    </w:pPr>
    <w:rPr>
      <w:rFonts w:ascii="Calibri" w:eastAsia="Times New Roman" w:hAnsi="Calibri" w:cs="Times New Roman"/>
      <w:color w:val="000000"/>
      <w:szCs w:val="20"/>
      <w:lang w:eastAsia="en-AU"/>
    </w:rPr>
  </w:style>
  <w:style w:type="paragraph" w:customStyle="1" w:styleId="Dash">
    <w:name w:val="Dash"/>
    <w:basedOn w:val="Normal"/>
    <w:qFormat/>
    <w:rsid w:val="003A4206"/>
    <w:pPr>
      <w:numPr>
        <w:ilvl w:val="1"/>
        <w:numId w:val="20"/>
      </w:numPr>
      <w:spacing w:after="240" w:line="240" w:lineRule="auto"/>
      <w:jc w:val="both"/>
    </w:pPr>
    <w:rPr>
      <w:rFonts w:ascii="Calibri" w:eastAsia="Times New Roman" w:hAnsi="Calibri" w:cs="Times New Roman"/>
      <w:color w:val="000000"/>
      <w:szCs w:val="20"/>
      <w:lang w:eastAsia="en-AU"/>
    </w:rPr>
  </w:style>
  <w:style w:type="paragraph" w:customStyle="1" w:styleId="DoubleDot">
    <w:name w:val="Double Dot"/>
    <w:basedOn w:val="Normal"/>
    <w:qFormat/>
    <w:rsid w:val="003A4206"/>
    <w:pPr>
      <w:numPr>
        <w:ilvl w:val="2"/>
        <w:numId w:val="20"/>
      </w:numPr>
      <w:spacing w:after="240" w:line="240" w:lineRule="auto"/>
      <w:jc w:val="both"/>
    </w:pPr>
    <w:rPr>
      <w:rFonts w:ascii="Calibri" w:eastAsia="Times New Roman" w:hAnsi="Calibri" w:cs="Times New Roman"/>
      <w:color w:val="000000"/>
      <w:szCs w:val="20"/>
      <w:lang w:eastAsia="en-AU"/>
    </w:rPr>
  </w:style>
  <w:style w:type="paragraph" w:customStyle="1" w:styleId="OutlineNumbered1">
    <w:name w:val="Outline Numbered 1"/>
    <w:basedOn w:val="Normal"/>
    <w:link w:val="OutlineNumbered1Char"/>
    <w:rsid w:val="003A4206"/>
    <w:pPr>
      <w:numPr>
        <w:numId w:val="24"/>
      </w:numPr>
      <w:spacing w:after="240" w:line="240" w:lineRule="auto"/>
      <w:jc w:val="both"/>
    </w:pPr>
    <w:rPr>
      <w:rFonts w:ascii="Calibri" w:eastAsia="Times New Roman" w:hAnsi="Calibri" w:cs="Times New Roman"/>
      <w:color w:val="000000"/>
      <w:szCs w:val="20"/>
      <w:lang w:eastAsia="en-AU"/>
    </w:rPr>
  </w:style>
  <w:style w:type="paragraph" w:customStyle="1" w:styleId="OutlineNumbered2">
    <w:name w:val="Outline Numbered 2"/>
    <w:basedOn w:val="Normal"/>
    <w:rsid w:val="003A4206"/>
    <w:pPr>
      <w:numPr>
        <w:ilvl w:val="1"/>
        <w:numId w:val="24"/>
      </w:numPr>
      <w:spacing w:after="240" w:line="240" w:lineRule="auto"/>
      <w:jc w:val="both"/>
    </w:pPr>
    <w:rPr>
      <w:rFonts w:ascii="Calibri" w:eastAsia="Times New Roman" w:hAnsi="Calibri" w:cs="Times New Roman"/>
      <w:color w:val="000000"/>
      <w:szCs w:val="20"/>
      <w:lang w:eastAsia="en-AU"/>
    </w:rPr>
  </w:style>
  <w:style w:type="paragraph" w:customStyle="1" w:styleId="OutlineNumbered3">
    <w:name w:val="Outline Numbered 3"/>
    <w:basedOn w:val="Normal"/>
    <w:rsid w:val="003A4206"/>
    <w:pPr>
      <w:numPr>
        <w:ilvl w:val="2"/>
        <w:numId w:val="24"/>
      </w:numPr>
      <w:spacing w:after="240" w:line="240" w:lineRule="auto"/>
      <w:jc w:val="both"/>
    </w:pPr>
    <w:rPr>
      <w:rFonts w:ascii="Calibri" w:eastAsia="Times New Roman" w:hAnsi="Calibri" w:cs="Times New Roman"/>
      <w:color w:val="000000"/>
      <w:szCs w:val="20"/>
      <w:lang w:eastAsia="en-AU"/>
    </w:rPr>
  </w:style>
  <w:style w:type="paragraph" w:customStyle="1" w:styleId="RecommendationHeading">
    <w:name w:val="Recommendation Heading"/>
    <w:basedOn w:val="Normal"/>
    <w:next w:val="Normal"/>
    <w:qFormat/>
    <w:rsid w:val="003A4206"/>
    <w:pPr>
      <w:keepNext/>
      <w:numPr>
        <w:numId w:val="22"/>
      </w:numPr>
      <w:spacing w:before="120" w:after="240" w:line="240" w:lineRule="auto"/>
    </w:pPr>
    <w:rPr>
      <w:rFonts w:ascii="Century Gothic" w:eastAsia="Times New Roman" w:hAnsi="Century Gothic" w:cs="Times New Roman"/>
      <w:b/>
      <w:color w:val="1F497D" w:themeColor="text2"/>
      <w:szCs w:val="20"/>
      <w:lang w:eastAsia="en-AU"/>
    </w:rPr>
  </w:style>
  <w:style w:type="paragraph" w:customStyle="1" w:styleId="BoxText">
    <w:name w:val="Box Text"/>
    <w:basedOn w:val="Normal"/>
    <w:rsid w:val="003A4206"/>
    <w:pPr>
      <w:spacing w:line="240" w:lineRule="auto"/>
    </w:pPr>
    <w:rPr>
      <w:rFonts w:ascii="Calibri" w:eastAsia="Times New Roman" w:hAnsi="Calibri" w:cs="Times New Roman"/>
      <w:color w:val="000000" w:themeColor="text1"/>
      <w:szCs w:val="20"/>
      <w:lang w:eastAsia="en-AU"/>
    </w:rPr>
  </w:style>
  <w:style w:type="paragraph" w:customStyle="1" w:styleId="BoxBullet">
    <w:name w:val="Box Bullet"/>
    <w:basedOn w:val="Normal"/>
    <w:rsid w:val="003A4206"/>
    <w:pPr>
      <w:numPr>
        <w:numId w:val="21"/>
      </w:numPr>
      <w:spacing w:before="60" w:after="120" w:line="240" w:lineRule="auto"/>
      <w:ind w:left="284" w:hanging="284"/>
    </w:pPr>
    <w:rPr>
      <w:rFonts w:ascii="Calibri" w:eastAsia="Times New Roman" w:hAnsi="Calibri" w:cs="Times New Roman"/>
      <w:color w:val="000000" w:themeColor="text1"/>
      <w:szCs w:val="20"/>
      <w:lang w:eastAsia="en-AU"/>
    </w:rPr>
  </w:style>
  <w:style w:type="paragraph" w:customStyle="1" w:styleId="BoxDash">
    <w:name w:val="Box Dash"/>
    <w:basedOn w:val="Normal"/>
    <w:rsid w:val="003A4206"/>
    <w:pPr>
      <w:numPr>
        <w:ilvl w:val="1"/>
        <w:numId w:val="21"/>
      </w:numPr>
      <w:spacing w:after="240" w:line="240" w:lineRule="auto"/>
      <w:jc w:val="both"/>
    </w:pPr>
    <w:rPr>
      <w:rFonts w:ascii="Calibri" w:eastAsia="Times New Roman" w:hAnsi="Calibri" w:cs="Times New Roman"/>
      <w:color w:val="000000" w:themeColor="text1"/>
      <w:szCs w:val="20"/>
      <w:lang w:eastAsia="en-AU"/>
    </w:rPr>
  </w:style>
  <w:style w:type="paragraph" w:customStyle="1" w:styleId="BoxDoubleDot">
    <w:name w:val="Box Double Dot"/>
    <w:basedOn w:val="Normal"/>
    <w:rsid w:val="003A4206"/>
    <w:pPr>
      <w:numPr>
        <w:ilvl w:val="2"/>
        <w:numId w:val="21"/>
      </w:numPr>
      <w:spacing w:after="240" w:line="240" w:lineRule="auto"/>
      <w:jc w:val="both"/>
    </w:pPr>
    <w:rPr>
      <w:rFonts w:ascii="Calibri" w:eastAsia="Times New Roman" w:hAnsi="Calibri" w:cs="Times New Roman"/>
      <w:color w:val="000000" w:themeColor="text1"/>
      <w:szCs w:val="20"/>
      <w:lang w:eastAsia="en-AU"/>
    </w:rPr>
  </w:style>
  <w:style w:type="character" w:customStyle="1" w:styleId="SingleParagraphChar">
    <w:name w:val="Single Paragraph Char"/>
    <w:basedOn w:val="DefaultParagraphFont"/>
    <w:link w:val="SingleParagraph"/>
    <w:locked/>
    <w:rsid w:val="003A4206"/>
    <w:rPr>
      <w:rFonts w:ascii="Calibri" w:eastAsia="Times New Roman" w:hAnsi="Calibri" w:cs="Times New Roman"/>
      <w:color w:val="000000"/>
      <w:szCs w:val="20"/>
      <w:lang w:eastAsia="en-AU"/>
    </w:rPr>
  </w:style>
  <w:style w:type="character" w:customStyle="1" w:styleId="BulletChar">
    <w:name w:val="Bullet Char"/>
    <w:basedOn w:val="DefaultParagraphFont"/>
    <w:link w:val="Bullet"/>
    <w:locked/>
    <w:rsid w:val="003A4206"/>
    <w:rPr>
      <w:rFonts w:ascii="Calibri" w:eastAsia="Times New Roman" w:hAnsi="Calibri" w:cs="Times New Roman"/>
      <w:color w:val="000000"/>
      <w:szCs w:val="20"/>
      <w:lang w:eastAsia="en-AU"/>
    </w:rPr>
  </w:style>
  <w:style w:type="character" w:customStyle="1" w:styleId="OutlineNumbered1Char">
    <w:name w:val="Outline Numbered 1 Char"/>
    <w:basedOn w:val="DefaultParagraphFont"/>
    <w:link w:val="OutlineNumbered1"/>
    <w:locked/>
    <w:rsid w:val="003A4206"/>
    <w:rPr>
      <w:rFonts w:ascii="Calibri" w:eastAsia="Times New Roman" w:hAnsi="Calibri" w:cs="Times New Roman"/>
      <w:color w:val="000000"/>
      <w:szCs w:val="20"/>
      <w:lang w:eastAsia="en-AU"/>
    </w:rPr>
  </w:style>
  <w:style w:type="numbering" w:customStyle="1" w:styleId="Outlinenumbering">
    <w:name w:val="Outline numbering"/>
    <w:rsid w:val="003A420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422">
      <w:bodyDiv w:val="1"/>
      <w:marLeft w:val="0"/>
      <w:marRight w:val="0"/>
      <w:marTop w:val="0"/>
      <w:marBottom w:val="0"/>
      <w:divBdr>
        <w:top w:val="none" w:sz="0" w:space="0" w:color="auto"/>
        <w:left w:val="none" w:sz="0" w:space="0" w:color="auto"/>
        <w:bottom w:val="none" w:sz="0" w:space="0" w:color="auto"/>
        <w:right w:val="none" w:sz="0" w:space="0" w:color="auto"/>
      </w:divBdr>
      <w:divsChild>
        <w:div w:id="739136681">
          <w:marLeft w:val="0"/>
          <w:marRight w:val="0"/>
          <w:marTop w:val="0"/>
          <w:marBottom w:val="0"/>
          <w:divBdr>
            <w:top w:val="none" w:sz="0" w:space="0" w:color="auto"/>
            <w:left w:val="none" w:sz="0" w:space="0" w:color="auto"/>
            <w:bottom w:val="none" w:sz="0" w:space="0" w:color="auto"/>
            <w:right w:val="none" w:sz="0" w:space="0" w:color="auto"/>
          </w:divBdr>
          <w:divsChild>
            <w:div w:id="1216893238">
              <w:marLeft w:val="0"/>
              <w:marRight w:val="0"/>
              <w:marTop w:val="0"/>
              <w:marBottom w:val="0"/>
              <w:divBdr>
                <w:top w:val="none" w:sz="0" w:space="0" w:color="auto"/>
                <w:left w:val="none" w:sz="0" w:space="0" w:color="auto"/>
                <w:bottom w:val="none" w:sz="0" w:space="0" w:color="auto"/>
                <w:right w:val="none" w:sz="0" w:space="0" w:color="auto"/>
              </w:divBdr>
              <w:divsChild>
                <w:div w:id="1985616833">
                  <w:marLeft w:val="0"/>
                  <w:marRight w:val="0"/>
                  <w:marTop w:val="0"/>
                  <w:marBottom w:val="0"/>
                  <w:divBdr>
                    <w:top w:val="none" w:sz="0" w:space="0" w:color="auto"/>
                    <w:left w:val="none" w:sz="0" w:space="0" w:color="auto"/>
                    <w:bottom w:val="none" w:sz="0" w:space="0" w:color="auto"/>
                    <w:right w:val="none" w:sz="0" w:space="0" w:color="auto"/>
                  </w:divBdr>
                  <w:divsChild>
                    <w:div w:id="1664359662">
                      <w:marLeft w:val="0"/>
                      <w:marRight w:val="0"/>
                      <w:marTop w:val="0"/>
                      <w:marBottom w:val="0"/>
                      <w:divBdr>
                        <w:top w:val="none" w:sz="0" w:space="0" w:color="auto"/>
                        <w:left w:val="none" w:sz="0" w:space="0" w:color="auto"/>
                        <w:bottom w:val="none" w:sz="0" w:space="0" w:color="auto"/>
                        <w:right w:val="none" w:sz="0" w:space="0" w:color="auto"/>
                      </w:divBdr>
                      <w:divsChild>
                        <w:div w:id="20938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875916">
      <w:bodyDiv w:val="1"/>
      <w:marLeft w:val="0"/>
      <w:marRight w:val="0"/>
      <w:marTop w:val="0"/>
      <w:marBottom w:val="0"/>
      <w:divBdr>
        <w:top w:val="none" w:sz="0" w:space="0" w:color="auto"/>
        <w:left w:val="none" w:sz="0" w:space="0" w:color="auto"/>
        <w:bottom w:val="none" w:sz="0" w:space="0" w:color="auto"/>
        <w:right w:val="none" w:sz="0" w:space="0" w:color="auto"/>
      </w:divBdr>
      <w:divsChild>
        <w:div w:id="859052606">
          <w:marLeft w:val="0"/>
          <w:marRight w:val="0"/>
          <w:marTop w:val="0"/>
          <w:marBottom w:val="0"/>
          <w:divBdr>
            <w:top w:val="none" w:sz="0" w:space="0" w:color="auto"/>
            <w:left w:val="none" w:sz="0" w:space="0" w:color="auto"/>
            <w:bottom w:val="none" w:sz="0" w:space="0" w:color="auto"/>
            <w:right w:val="none" w:sz="0" w:space="0" w:color="auto"/>
          </w:divBdr>
          <w:divsChild>
            <w:div w:id="1165778185">
              <w:marLeft w:val="0"/>
              <w:marRight w:val="0"/>
              <w:marTop w:val="0"/>
              <w:marBottom w:val="0"/>
              <w:divBdr>
                <w:top w:val="none" w:sz="0" w:space="0" w:color="auto"/>
                <w:left w:val="none" w:sz="0" w:space="0" w:color="auto"/>
                <w:bottom w:val="none" w:sz="0" w:space="0" w:color="auto"/>
                <w:right w:val="none" w:sz="0" w:space="0" w:color="auto"/>
              </w:divBdr>
            </w:div>
            <w:div w:id="1371539289">
              <w:marLeft w:val="0"/>
              <w:marRight w:val="0"/>
              <w:marTop w:val="0"/>
              <w:marBottom w:val="0"/>
              <w:divBdr>
                <w:top w:val="none" w:sz="0" w:space="0" w:color="auto"/>
                <w:left w:val="none" w:sz="0" w:space="0" w:color="auto"/>
                <w:bottom w:val="none" w:sz="0" w:space="0" w:color="auto"/>
                <w:right w:val="none" w:sz="0" w:space="0" w:color="auto"/>
              </w:divBdr>
            </w:div>
            <w:div w:id="1648049768">
              <w:marLeft w:val="0"/>
              <w:marRight w:val="0"/>
              <w:marTop w:val="0"/>
              <w:marBottom w:val="0"/>
              <w:divBdr>
                <w:top w:val="none" w:sz="0" w:space="0" w:color="auto"/>
                <w:left w:val="none" w:sz="0" w:space="0" w:color="auto"/>
                <w:bottom w:val="none" w:sz="0" w:space="0" w:color="auto"/>
                <w:right w:val="none" w:sz="0" w:space="0" w:color="auto"/>
              </w:divBdr>
            </w:div>
          </w:divsChild>
        </w:div>
        <w:div w:id="611473071">
          <w:marLeft w:val="0"/>
          <w:marRight w:val="0"/>
          <w:marTop w:val="0"/>
          <w:marBottom w:val="0"/>
          <w:divBdr>
            <w:top w:val="none" w:sz="0" w:space="0" w:color="auto"/>
            <w:left w:val="none" w:sz="0" w:space="0" w:color="auto"/>
            <w:bottom w:val="none" w:sz="0" w:space="0" w:color="auto"/>
            <w:right w:val="none" w:sz="0" w:space="0" w:color="auto"/>
          </w:divBdr>
          <w:divsChild>
            <w:div w:id="1005934539">
              <w:marLeft w:val="0"/>
              <w:marRight w:val="0"/>
              <w:marTop w:val="0"/>
              <w:marBottom w:val="0"/>
              <w:divBdr>
                <w:top w:val="none" w:sz="0" w:space="0" w:color="auto"/>
                <w:left w:val="none" w:sz="0" w:space="0" w:color="auto"/>
                <w:bottom w:val="none" w:sz="0" w:space="0" w:color="auto"/>
                <w:right w:val="none" w:sz="0" w:space="0" w:color="auto"/>
              </w:divBdr>
              <w:divsChild>
                <w:div w:id="787548919">
                  <w:marLeft w:val="0"/>
                  <w:marRight w:val="0"/>
                  <w:marTop w:val="0"/>
                  <w:marBottom w:val="0"/>
                  <w:divBdr>
                    <w:top w:val="none" w:sz="0" w:space="0" w:color="auto"/>
                    <w:left w:val="none" w:sz="0" w:space="0" w:color="auto"/>
                    <w:bottom w:val="none" w:sz="0" w:space="0" w:color="auto"/>
                    <w:right w:val="none" w:sz="0" w:space="0" w:color="auto"/>
                  </w:divBdr>
                  <w:divsChild>
                    <w:div w:id="1068040927">
                      <w:marLeft w:val="0"/>
                      <w:marRight w:val="0"/>
                      <w:marTop w:val="0"/>
                      <w:marBottom w:val="0"/>
                      <w:divBdr>
                        <w:top w:val="none" w:sz="0" w:space="0" w:color="auto"/>
                        <w:left w:val="none" w:sz="0" w:space="0" w:color="auto"/>
                        <w:bottom w:val="none" w:sz="0" w:space="0" w:color="auto"/>
                        <w:right w:val="none" w:sz="0" w:space="0" w:color="auto"/>
                      </w:divBdr>
                      <w:divsChild>
                        <w:div w:id="1582907498">
                          <w:marLeft w:val="0"/>
                          <w:marRight w:val="0"/>
                          <w:marTop w:val="0"/>
                          <w:marBottom w:val="0"/>
                          <w:divBdr>
                            <w:top w:val="none" w:sz="0" w:space="0" w:color="auto"/>
                            <w:left w:val="none" w:sz="0" w:space="0" w:color="auto"/>
                            <w:bottom w:val="none" w:sz="0" w:space="0" w:color="auto"/>
                            <w:right w:val="none" w:sz="0" w:space="0" w:color="auto"/>
                          </w:divBdr>
                          <w:divsChild>
                            <w:div w:id="2002737527">
                              <w:marLeft w:val="0"/>
                              <w:marRight w:val="0"/>
                              <w:marTop w:val="0"/>
                              <w:marBottom w:val="0"/>
                              <w:divBdr>
                                <w:top w:val="none" w:sz="0" w:space="0" w:color="auto"/>
                                <w:left w:val="none" w:sz="0" w:space="0" w:color="auto"/>
                                <w:bottom w:val="none" w:sz="0" w:space="0" w:color="auto"/>
                                <w:right w:val="none" w:sz="0" w:space="0" w:color="auto"/>
                              </w:divBdr>
                              <w:divsChild>
                                <w:div w:id="1183544761">
                                  <w:marLeft w:val="0"/>
                                  <w:marRight w:val="0"/>
                                  <w:marTop w:val="0"/>
                                  <w:marBottom w:val="0"/>
                                  <w:divBdr>
                                    <w:top w:val="none" w:sz="0" w:space="0" w:color="auto"/>
                                    <w:left w:val="none" w:sz="0" w:space="0" w:color="auto"/>
                                    <w:bottom w:val="none" w:sz="0" w:space="0" w:color="auto"/>
                                    <w:right w:val="none" w:sz="0" w:space="0" w:color="auto"/>
                                  </w:divBdr>
                                  <w:divsChild>
                                    <w:div w:id="1324044070">
                                      <w:marLeft w:val="0"/>
                                      <w:marRight w:val="0"/>
                                      <w:marTop w:val="0"/>
                                      <w:marBottom w:val="0"/>
                                      <w:divBdr>
                                        <w:top w:val="none" w:sz="0" w:space="0" w:color="auto"/>
                                        <w:left w:val="none" w:sz="0" w:space="0" w:color="auto"/>
                                        <w:bottom w:val="none" w:sz="0" w:space="0" w:color="auto"/>
                                        <w:right w:val="none" w:sz="0" w:space="0" w:color="auto"/>
                                      </w:divBdr>
                                    </w:div>
                                    <w:div w:id="110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977867">
      <w:bodyDiv w:val="1"/>
      <w:marLeft w:val="0"/>
      <w:marRight w:val="0"/>
      <w:marTop w:val="0"/>
      <w:marBottom w:val="0"/>
      <w:divBdr>
        <w:top w:val="none" w:sz="0" w:space="0" w:color="auto"/>
        <w:left w:val="none" w:sz="0" w:space="0" w:color="auto"/>
        <w:bottom w:val="none" w:sz="0" w:space="0" w:color="auto"/>
        <w:right w:val="none" w:sz="0" w:space="0" w:color="auto"/>
      </w:divBdr>
      <w:divsChild>
        <w:div w:id="1743408264">
          <w:marLeft w:val="0"/>
          <w:marRight w:val="0"/>
          <w:marTop w:val="0"/>
          <w:marBottom w:val="0"/>
          <w:divBdr>
            <w:top w:val="none" w:sz="0" w:space="0" w:color="auto"/>
            <w:left w:val="none" w:sz="0" w:space="0" w:color="auto"/>
            <w:bottom w:val="none" w:sz="0" w:space="0" w:color="auto"/>
            <w:right w:val="none" w:sz="0" w:space="0" w:color="auto"/>
          </w:divBdr>
          <w:divsChild>
            <w:div w:id="1755543039">
              <w:marLeft w:val="0"/>
              <w:marRight w:val="0"/>
              <w:marTop w:val="0"/>
              <w:marBottom w:val="0"/>
              <w:divBdr>
                <w:top w:val="none" w:sz="0" w:space="0" w:color="auto"/>
                <w:left w:val="none" w:sz="0" w:space="0" w:color="auto"/>
                <w:bottom w:val="none" w:sz="0" w:space="0" w:color="auto"/>
                <w:right w:val="none" w:sz="0" w:space="0" w:color="auto"/>
              </w:divBdr>
              <w:divsChild>
                <w:div w:id="10353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5838">
      <w:bodyDiv w:val="1"/>
      <w:marLeft w:val="0"/>
      <w:marRight w:val="0"/>
      <w:marTop w:val="0"/>
      <w:marBottom w:val="0"/>
      <w:divBdr>
        <w:top w:val="none" w:sz="0" w:space="0" w:color="auto"/>
        <w:left w:val="none" w:sz="0" w:space="0" w:color="auto"/>
        <w:bottom w:val="none" w:sz="0" w:space="0" w:color="auto"/>
        <w:right w:val="none" w:sz="0" w:space="0" w:color="auto"/>
      </w:divBdr>
    </w:div>
    <w:div w:id="1722364006">
      <w:bodyDiv w:val="1"/>
      <w:marLeft w:val="0"/>
      <w:marRight w:val="0"/>
      <w:marTop w:val="0"/>
      <w:marBottom w:val="0"/>
      <w:divBdr>
        <w:top w:val="none" w:sz="0" w:space="0" w:color="auto"/>
        <w:left w:val="none" w:sz="0" w:space="0" w:color="auto"/>
        <w:bottom w:val="none" w:sz="0" w:space="0" w:color="auto"/>
        <w:right w:val="none" w:sz="0" w:space="0" w:color="auto"/>
      </w:divBdr>
      <w:divsChild>
        <w:div w:id="72244336">
          <w:marLeft w:val="0"/>
          <w:marRight w:val="0"/>
          <w:marTop w:val="0"/>
          <w:marBottom w:val="0"/>
          <w:divBdr>
            <w:top w:val="none" w:sz="0" w:space="0" w:color="auto"/>
            <w:left w:val="none" w:sz="0" w:space="0" w:color="auto"/>
            <w:bottom w:val="none" w:sz="0" w:space="0" w:color="auto"/>
            <w:right w:val="none" w:sz="0" w:space="0" w:color="auto"/>
          </w:divBdr>
          <w:divsChild>
            <w:div w:id="503396826">
              <w:marLeft w:val="0"/>
              <w:marRight w:val="0"/>
              <w:marTop w:val="0"/>
              <w:marBottom w:val="0"/>
              <w:divBdr>
                <w:top w:val="none" w:sz="0" w:space="0" w:color="auto"/>
                <w:left w:val="none" w:sz="0" w:space="0" w:color="auto"/>
                <w:bottom w:val="none" w:sz="0" w:space="0" w:color="auto"/>
                <w:right w:val="none" w:sz="0" w:space="0" w:color="auto"/>
              </w:divBdr>
              <w:divsChild>
                <w:div w:id="306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6536</Characters>
  <Application>Microsoft Office Word</Application>
  <DocSecurity>0</DocSecurity>
  <Lines>125</Lines>
  <Paragraphs>35</Paragraphs>
  <ScaleCrop>false</ScaleCrop>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Carroll Loretta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