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B3595" w:rsidRDefault="001B3595" w:rsidP="001B3595">
      <w:pPr>
        <w:spacing w:line="280" w:lineRule="exact"/>
        <w:rPr>
          <w:rFonts w:asciiTheme="minorHAnsi" w:hAnsiTheme="minorHAnsi"/>
          <w:sz w:val="24"/>
          <w:szCs w:val="24"/>
        </w:rPr>
      </w:pPr>
      <w:bookmarkStart w:id="0" w:name="_GoBack"/>
      <w:bookmarkEnd w:id="0"/>
    </w:p>
    <w:p w:rsidR="001B3595" w:rsidRPr="009A43F7" w:rsidRDefault="00C92ABA" w:rsidP="001B3595">
      <w:pPr>
        <w:spacing w:line="280" w:lineRule="exact"/>
        <w:rPr>
          <w:rFonts w:asciiTheme="minorHAnsi" w:hAnsiTheme="minorHAnsi"/>
          <w:b/>
          <w:sz w:val="24"/>
          <w:szCs w:val="24"/>
        </w:rPr>
      </w:pPr>
      <w:r>
        <w:rPr>
          <w:rFonts w:asciiTheme="minorHAnsi" w:hAnsiTheme="minorHAnsi"/>
          <w:b/>
          <w:sz w:val="24"/>
          <w:szCs w:val="24"/>
        </w:rPr>
        <w:t>11</w:t>
      </w:r>
      <w:r w:rsidR="00552CFE">
        <w:rPr>
          <w:rFonts w:asciiTheme="minorHAnsi" w:hAnsiTheme="minorHAnsi"/>
          <w:b/>
          <w:sz w:val="24"/>
          <w:szCs w:val="24"/>
        </w:rPr>
        <w:t xml:space="preserve"> </w:t>
      </w:r>
      <w:r>
        <w:rPr>
          <w:rFonts w:asciiTheme="minorHAnsi" w:hAnsiTheme="minorHAnsi"/>
          <w:b/>
          <w:sz w:val="24"/>
          <w:szCs w:val="24"/>
        </w:rPr>
        <w:t>February</w:t>
      </w:r>
      <w:r w:rsidR="00552CFE">
        <w:rPr>
          <w:rFonts w:asciiTheme="minorHAnsi" w:hAnsiTheme="minorHAnsi"/>
          <w:b/>
          <w:sz w:val="24"/>
          <w:szCs w:val="24"/>
        </w:rPr>
        <w:t xml:space="preserve"> 2016</w:t>
      </w:r>
    </w:p>
    <w:p w:rsidR="001B3595" w:rsidRDefault="001B3595" w:rsidP="001B3595">
      <w:pPr>
        <w:spacing w:line="280" w:lineRule="exact"/>
        <w:rPr>
          <w:rFonts w:asciiTheme="minorHAnsi" w:hAnsiTheme="minorHAnsi"/>
          <w:sz w:val="24"/>
          <w:szCs w:val="24"/>
        </w:rPr>
      </w:pPr>
    </w:p>
    <w:p w:rsidR="00BB6A07" w:rsidRPr="001B3595" w:rsidRDefault="00BB6A07" w:rsidP="001B3595">
      <w:pPr>
        <w:spacing w:line="280" w:lineRule="exact"/>
        <w:rPr>
          <w:rFonts w:asciiTheme="minorHAnsi" w:hAnsiTheme="minorHAnsi"/>
          <w:sz w:val="24"/>
          <w:szCs w:val="24"/>
        </w:rPr>
      </w:pPr>
    </w:p>
    <w:p w:rsidR="009647A4" w:rsidRDefault="00F7615B" w:rsidP="009647A4">
      <w:pPr>
        <w:rPr>
          <w:rFonts w:asciiTheme="minorHAnsi" w:hAnsiTheme="minorHAnsi" w:cs="Helvetica"/>
          <w:b/>
          <w:sz w:val="24"/>
          <w:szCs w:val="24"/>
        </w:rPr>
      </w:pPr>
      <w:r>
        <w:rPr>
          <w:rFonts w:asciiTheme="minorHAnsi" w:hAnsiTheme="minorHAnsi" w:cs="Helvetica"/>
          <w:b/>
          <w:sz w:val="24"/>
          <w:szCs w:val="24"/>
        </w:rPr>
        <w:t>The General Manager</w:t>
      </w:r>
    </w:p>
    <w:p w:rsidR="00F7615B" w:rsidRDefault="00F7615B" w:rsidP="009647A4">
      <w:pPr>
        <w:rPr>
          <w:rFonts w:asciiTheme="minorHAnsi" w:hAnsiTheme="minorHAnsi"/>
          <w:sz w:val="24"/>
          <w:szCs w:val="24"/>
        </w:rPr>
      </w:pPr>
      <w:r>
        <w:rPr>
          <w:rFonts w:asciiTheme="minorHAnsi" w:hAnsiTheme="minorHAnsi"/>
          <w:sz w:val="24"/>
          <w:szCs w:val="24"/>
        </w:rPr>
        <w:t>Market and Competition Policy Division</w:t>
      </w:r>
    </w:p>
    <w:p w:rsidR="00F7615B" w:rsidRDefault="00F7615B" w:rsidP="009647A4">
      <w:pPr>
        <w:rPr>
          <w:rFonts w:asciiTheme="minorHAnsi" w:hAnsiTheme="minorHAnsi"/>
          <w:sz w:val="24"/>
          <w:szCs w:val="24"/>
        </w:rPr>
      </w:pPr>
      <w:r>
        <w:rPr>
          <w:rFonts w:asciiTheme="minorHAnsi" w:hAnsiTheme="minorHAnsi"/>
          <w:sz w:val="24"/>
          <w:szCs w:val="24"/>
        </w:rPr>
        <w:t>The Treasury</w:t>
      </w:r>
    </w:p>
    <w:p w:rsidR="00F7615B" w:rsidRDefault="00F7615B" w:rsidP="009647A4">
      <w:pPr>
        <w:rPr>
          <w:rFonts w:asciiTheme="minorHAnsi" w:hAnsiTheme="minorHAnsi"/>
          <w:sz w:val="24"/>
          <w:szCs w:val="24"/>
        </w:rPr>
      </w:pPr>
      <w:r>
        <w:rPr>
          <w:rFonts w:asciiTheme="minorHAnsi" w:hAnsiTheme="minorHAnsi"/>
          <w:sz w:val="24"/>
          <w:szCs w:val="24"/>
        </w:rPr>
        <w:t>Langton Crescent</w:t>
      </w:r>
    </w:p>
    <w:p w:rsidR="009647A4" w:rsidRDefault="00F7615B" w:rsidP="009647A4">
      <w:pPr>
        <w:rPr>
          <w:rFonts w:asciiTheme="minorHAnsi" w:hAnsiTheme="minorHAnsi"/>
          <w:sz w:val="24"/>
          <w:szCs w:val="24"/>
        </w:rPr>
      </w:pPr>
      <w:r>
        <w:rPr>
          <w:rFonts w:asciiTheme="minorHAnsi" w:hAnsiTheme="minorHAnsi"/>
          <w:sz w:val="24"/>
          <w:szCs w:val="24"/>
        </w:rPr>
        <w:t>PARKES ACT 2600</w:t>
      </w:r>
    </w:p>
    <w:p w:rsidR="00F7615B" w:rsidRDefault="00F7615B" w:rsidP="009647A4">
      <w:pPr>
        <w:rPr>
          <w:rFonts w:asciiTheme="minorHAnsi" w:hAnsiTheme="minorHAnsi"/>
          <w:sz w:val="24"/>
          <w:szCs w:val="24"/>
        </w:rPr>
      </w:pPr>
    </w:p>
    <w:p w:rsidR="00F7615B" w:rsidRPr="00534FF2" w:rsidRDefault="00F7615B" w:rsidP="009647A4">
      <w:pPr>
        <w:rPr>
          <w:rFonts w:asciiTheme="minorHAnsi" w:hAnsiTheme="minorHAnsi"/>
          <w:sz w:val="24"/>
          <w:szCs w:val="24"/>
        </w:rPr>
      </w:pPr>
      <w:r>
        <w:rPr>
          <w:rFonts w:asciiTheme="minorHAnsi" w:hAnsiTheme="minorHAnsi"/>
          <w:sz w:val="24"/>
          <w:szCs w:val="24"/>
        </w:rPr>
        <w:t xml:space="preserve">Email: </w:t>
      </w:r>
      <w:hyperlink r:id="rId13" w:history="1">
        <w:r w:rsidRPr="00667932">
          <w:rPr>
            <w:rStyle w:val="Hyperlink"/>
            <w:rFonts w:asciiTheme="minorHAnsi" w:hAnsiTheme="minorHAnsi"/>
            <w:sz w:val="24"/>
            <w:szCs w:val="24"/>
          </w:rPr>
          <w:t>competition@treasury.gov.au</w:t>
        </w:r>
      </w:hyperlink>
      <w:r>
        <w:rPr>
          <w:rFonts w:asciiTheme="minorHAnsi" w:hAnsiTheme="minorHAnsi"/>
          <w:sz w:val="24"/>
          <w:szCs w:val="24"/>
        </w:rPr>
        <w:t xml:space="preserve"> </w:t>
      </w:r>
    </w:p>
    <w:p w:rsidR="009647A4" w:rsidRDefault="009647A4" w:rsidP="009647A4"/>
    <w:p w:rsidR="00F6294A" w:rsidRDefault="00F6294A" w:rsidP="001B3595">
      <w:pPr>
        <w:spacing w:line="280" w:lineRule="exact"/>
        <w:rPr>
          <w:rFonts w:asciiTheme="minorHAnsi" w:hAnsiTheme="minorHAnsi"/>
          <w:sz w:val="24"/>
          <w:szCs w:val="24"/>
        </w:rPr>
      </w:pPr>
    </w:p>
    <w:p w:rsidR="00E06EB1" w:rsidRDefault="00E06EB1" w:rsidP="001B3595">
      <w:pPr>
        <w:spacing w:line="280" w:lineRule="exact"/>
        <w:rPr>
          <w:rFonts w:asciiTheme="minorHAnsi" w:hAnsiTheme="minorHAnsi"/>
          <w:sz w:val="24"/>
          <w:szCs w:val="24"/>
        </w:rPr>
      </w:pPr>
    </w:p>
    <w:p w:rsidR="001B3595" w:rsidRDefault="006D4D48" w:rsidP="004C334C">
      <w:pPr>
        <w:spacing w:line="300" w:lineRule="exact"/>
        <w:rPr>
          <w:rFonts w:asciiTheme="minorHAnsi" w:hAnsiTheme="minorHAnsi"/>
          <w:sz w:val="24"/>
          <w:szCs w:val="24"/>
        </w:rPr>
      </w:pPr>
      <w:r>
        <w:rPr>
          <w:rFonts w:asciiTheme="minorHAnsi" w:hAnsiTheme="minorHAnsi"/>
          <w:sz w:val="24"/>
          <w:szCs w:val="24"/>
        </w:rPr>
        <w:t xml:space="preserve">Dear </w:t>
      </w:r>
      <w:r w:rsidR="00F7615B">
        <w:rPr>
          <w:rFonts w:asciiTheme="minorHAnsi" w:hAnsiTheme="minorHAnsi"/>
          <w:sz w:val="24"/>
          <w:szCs w:val="24"/>
        </w:rPr>
        <w:t>Sir/Madam</w:t>
      </w:r>
      <w:r w:rsidR="0088135E">
        <w:rPr>
          <w:rFonts w:asciiTheme="minorHAnsi" w:hAnsiTheme="minorHAnsi"/>
          <w:sz w:val="24"/>
          <w:szCs w:val="24"/>
        </w:rPr>
        <w:t>,</w:t>
      </w:r>
    </w:p>
    <w:p w:rsidR="005A15D0" w:rsidRDefault="005A15D0" w:rsidP="004C334C">
      <w:pPr>
        <w:spacing w:line="300" w:lineRule="exact"/>
        <w:rPr>
          <w:rFonts w:asciiTheme="minorHAnsi" w:hAnsiTheme="minorHAnsi"/>
          <w:sz w:val="24"/>
          <w:szCs w:val="24"/>
        </w:rPr>
      </w:pPr>
    </w:p>
    <w:p w:rsidR="005A15D0" w:rsidRPr="00F6294A" w:rsidRDefault="009647A4" w:rsidP="004C334C">
      <w:pPr>
        <w:spacing w:line="300" w:lineRule="exact"/>
        <w:rPr>
          <w:rFonts w:asciiTheme="minorHAnsi" w:hAnsiTheme="minorHAnsi"/>
          <w:b/>
          <w:sz w:val="24"/>
          <w:szCs w:val="24"/>
        </w:rPr>
      </w:pPr>
      <w:r>
        <w:rPr>
          <w:rFonts w:asciiTheme="minorHAnsi" w:hAnsiTheme="minorHAnsi"/>
          <w:b/>
          <w:sz w:val="24"/>
          <w:szCs w:val="24"/>
        </w:rPr>
        <w:t>Australian Government’s Final Review of the Harper Review recommendations on Section 46</w:t>
      </w:r>
    </w:p>
    <w:p w:rsidR="001B3595" w:rsidRPr="001B3595" w:rsidRDefault="001B3595" w:rsidP="004C334C">
      <w:pPr>
        <w:spacing w:line="300" w:lineRule="exact"/>
        <w:rPr>
          <w:rFonts w:asciiTheme="minorHAnsi" w:hAnsiTheme="minorHAnsi"/>
          <w:sz w:val="24"/>
          <w:szCs w:val="24"/>
        </w:rPr>
      </w:pPr>
    </w:p>
    <w:p w:rsidR="00552CFE" w:rsidRDefault="009647A4" w:rsidP="004C334C">
      <w:pPr>
        <w:spacing w:line="300" w:lineRule="exact"/>
        <w:rPr>
          <w:rFonts w:asciiTheme="minorHAnsi" w:hAnsiTheme="minorHAnsi"/>
          <w:sz w:val="24"/>
          <w:szCs w:val="24"/>
        </w:rPr>
      </w:pPr>
      <w:r>
        <w:rPr>
          <w:rFonts w:asciiTheme="minorHAnsi" w:hAnsiTheme="minorHAnsi"/>
          <w:sz w:val="24"/>
          <w:szCs w:val="24"/>
        </w:rPr>
        <w:t>I refer to the Treasurer’s press release of 11 December 2015 foreshadowing a ‘final review’ of Professor Ian Harper’s recommendation for changes to be made to Australia’s Competition and Consumer Act (2010)</w:t>
      </w:r>
      <w:r w:rsidR="00E56A86">
        <w:rPr>
          <w:rFonts w:asciiTheme="minorHAnsi" w:hAnsiTheme="minorHAnsi"/>
          <w:sz w:val="24"/>
          <w:szCs w:val="24"/>
        </w:rPr>
        <w:t>, and inviting submissions from interested stakeholders</w:t>
      </w:r>
      <w:r w:rsidR="009D126E">
        <w:rPr>
          <w:rFonts w:asciiTheme="minorHAnsi" w:hAnsiTheme="minorHAnsi"/>
          <w:sz w:val="24"/>
          <w:szCs w:val="24"/>
        </w:rPr>
        <w:t>.</w:t>
      </w:r>
    </w:p>
    <w:p w:rsidR="009D126E" w:rsidRDefault="009D126E" w:rsidP="004C334C">
      <w:pPr>
        <w:spacing w:line="300" w:lineRule="exact"/>
        <w:rPr>
          <w:rFonts w:asciiTheme="minorHAnsi" w:hAnsiTheme="minorHAnsi"/>
          <w:sz w:val="24"/>
          <w:szCs w:val="24"/>
        </w:rPr>
      </w:pPr>
    </w:p>
    <w:p w:rsidR="009647A4" w:rsidRDefault="00E56A86" w:rsidP="009647A4">
      <w:pPr>
        <w:spacing w:line="300" w:lineRule="exact"/>
        <w:rPr>
          <w:rFonts w:asciiTheme="minorHAnsi" w:hAnsiTheme="minorHAnsi"/>
          <w:sz w:val="24"/>
          <w:szCs w:val="24"/>
        </w:rPr>
      </w:pPr>
      <w:r>
        <w:rPr>
          <w:rFonts w:asciiTheme="minorHAnsi" w:hAnsiTheme="minorHAnsi"/>
          <w:sz w:val="24"/>
          <w:szCs w:val="24"/>
        </w:rPr>
        <w:t xml:space="preserve">Below please find ACAPMA’s </w:t>
      </w:r>
      <w:r w:rsidR="009647A4">
        <w:rPr>
          <w:rFonts w:asciiTheme="minorHAnsi" w:hAnsiTheme="minorHAnsi"/>
          <w:sz w:val="24"/>
          <w:szCs w:val="24"/>
        </w:rPr>
        <w:t>submission to the Australian Government</w:t>
      </w:r>
      <w:r>
        <w:rPr>
          <w:rFonts w:asciiTheme="minorHAnsi" w:hAnsiTheme="minorHAnsi"/>
          <w:sz w:val="24"/>
          <w:szCs w:val="24"/>
        </w:rPr>
        <w:t>’s Final Review on the misuse of market power laws</w:t>
      </w:r>
      <w:r w:rsidR="009647A4">
        <w:rPr>
          <w:rFonts w:asciiTheme="minorHAnsi" w:hAnsiTheme="minorHAnsi"/>
          <w:sz w:val="24"/>
          <w:szCs w:val="24"/>
        </w:rPr>
        <w:t>.</w:t>
      </w:r>
    </w:p>
    <w:p w:rsidR="009647A4" w:rsidRDefault="009647A4" w:rsidP="004C334C">
      <w:pPr>
        <w:spacing w:line="300" w:lineRule="exact"/>
        <w:rPr>
          <w:rFonts w:asciiTheme="minorHAnsi" w:hAnsiTheme="minorHAnsi"/>
          <w:sz w:val="24"/>
          <w:szCs w:val="24"/>
        </w:rPr>
      </w:pPr>
    </w:p>
    <w:p w:rsidR="009647A4" w:rsidRPr="009647A4" w:rsidRDefault="009647A4" w:rsidP="009647A4">
      <w:pPr>
        <w:pStyle w:val="ListParagraph"/>
        <w:numPr>
          <w:ilvl w:val="0"/>
          <w:numId w:val="9"/>
        </w:numPr>
        <w:spacing w:line="280" w:lineRule="exact"/>
        <w:rPr>
          <w:rFonts w:asciiTheme="minorHAnsi" w:hAnsiTheme="minorHAnsi"/>
          <w:b/>
          <w:sz w:val="24"/>
          <w:szCs w:val="24"/>
          <w:u w:val="single"/>
        </w:rPr>
      </w:pPr>
      <w:r w:rsidRPr="009647A4">
        <w:rPr>
          <w:rFonts w:asciiTheme="minorHAnsi" w:hAnsiTheme="minorHAnsi"/>
          <w:b/>
          <w:sz w:val="24"/>
          <w:szCs w:val="24"/>
          <w:u w:val="single"/>
        </w:rPr>
        <w:t>About ACAPMA</w:t>
      </w:r>
    </w:p>
    <w:p w:rsidR="009647A4" w:rsidRDefault="009647A4" w:rsidP="009647A4">
      <w:pPr>
        <w:spacing w:line="280" w:lineRule="exact"/>
        <w:rPr>
          <w:rFonts w:asciiTheme="minorHAnsi" w:hAnsiTheme="minorHAnsi"/>
          <w:sz w:val="24"/>
          <w:szCs w:val="24"/>
        </w:rPr>
      </w:pPr>
    </w:p>
    <w:p w:rsidR="009647A4" w:rsidRDefault="009647A4" w:rsidP="009647A4">
      <w:pPr>
        <w:spacing w:line="280" w:lineRule="exact"/>
        <w:rPr>
          <w:rFonts w:asciiTheme="minorHAnsi" w:hAnsiTheme="minorHAnsi"/>
          <w:sz w:val="24"/>
          <w:szCs w:val="24"/>
        </w:rPr>
      </w:pPr>
      <w:r>
        <w:rPr>
          <w:rFonts w:asciiTheme="minorHAnsi" w:hAnsiTheme="minorHAnsi"/>
          <w:sz w:val="24"/>
          <w:szCs w:val="24"/>
        </w:rPr>
        <w:t xml:space="preserve">ACAPMA is the national peak body representing the interests of the petroleum distribution and petrol convenience retail industry. </w:t>
      </w:r>
      <w:r w:rsidR="00AA01F0">
        <w:rPr>
          <w:rFonts w:asciiTheme="minorHAnsi" w:hAnsiTheme="minorHAnsi"/>
          <w:sz w:val="24"/>
          <w:szCs w:val="24"/>
        </w:rPr>
        <w:t xml:space="preserve">The </w:t>
      </w:r>
      <w:r>
        <w:rPr>
          <w:rFonts w:asciiTheme="minorHAnsi" w:hAnsiTheme="minorHAnsi"/>
          <w:sz w:val="24"/>
          <w:szCs w:val="24"/>
        </w:rPr>
        <w:t xml:space="preserve">scope of </w:t>
      </w:r>
      <w:r w:rsidR="00AA01F0">
        <w:rPr>
          <w:rFonts w:asciiTheme="minorHAnsi" w:hAnsiTheme="minorHAnsi"/>
          <w:sz w:val="24"/>
          <w:szCs w:val="24"/>
        </w:rPr>
        <w:t xml:space="preserve">ACAPMA’s </w:t>
      </w:r>
      <w:r>
        <w:rPr>
          <w:rFonts w:asciiTheme="minorHAnsi" w:hAnsiTheme="minorHAnsi"/>
          <w:sz w:val="24"/>
          <w:szCs w:val="24"/>
        </w:rPr>
        <w:t>membership extends from ‘refinery gate’ through to the forecourt of Australia’s national network of service stations and petrol convenience outlets – including fuel haulage, fuel distribution and fuel retail businesses.</w:t>
      </w:r>
    </w:p>
    <w:p w:rsidR="009647A4" w:rsidRDefault="009647A4" w:rsidP="009647A4">
      <w:pPr>
        <w:spacing w:line="280" w:lineRule="exact"/>
        <w:rPr>
          <w:rFonts w:asciiTheme="minorHAnsi" w:hAnsiTheme="minorHAnsi"/>
          <w:sz w:val="24"/>
          <w:szCs w:val="24"/>
        </w:rPr>
      </w:pPr>
    </w:p>
    <w:p w:rsidR="009647A4" w:rsidRDefault="009647A4" w:rsidP="009647A4">
      <w:pPr>
        <w:spacing w:line="280" w:lineRule="exact"/>
        <w:rPr>
          <w:rFonts w:asciiTheme="minorHAnsi" w:hAnsiTheme="minorHAnsi"/>
          <w:sz w:val="24"/>
          <w:szCs w:val="24"/>
        </w:rPr>
      </w:pPr>
      <w:r>
        <w:rPr>
          <w:rFonts w:asciiTheme="minorHAnsi" w:hAnsiTheme="minorHAnsi"/>
          <w:sz w:val="24"/>
          <w:szCs w:val="24"/>
        </w:rPr>
        <w:t>The profile of our membership varies from small Australian businesses, medium Australian-owned enterprises, to la</w:t>
      </w:r>
      <w:r w:rsidR="002852A3">
        <w:rPr>
          <w:rFonts w:asciiTheme="minorHAnsi" w:hAnsiTheme="minorHAnsi"/>
          <w:sz w:val="24"/>
          <w:szCs w:val="24"/>
        </w:rPr>
        <w:t>rge Australian corporations – which means that ACAPMA’s policy position on market competition is one of ensuring effective competition between big business and smaller enterprise (i.e. ‘big AND small’ and not ‘big VERSUS small’)</w:t>
      </w:r>
    </w:p>
    <w:p w:rsidR="009647A4" w:rsidRDefault="009647A4" w:rsidP="009647A4">
      <w:pPr>
        <w:spacing w:line="280" w:lineRule="exact"/>
        <w:rPr>
          <w:rFonts w:asciiTheme="minorHAnsi" w:hAnsiTheme="minorHAnsi"/>
          <w:sz w:val="24"/>
          <w:szCs w:val="24"/>
        </w:rPr>
      </w:pPr>
    </w:p>
    <w:p w:rsidR="00F7615B" w:rsidRDefault="009647A4" w:rsidP="009647A4">
      <w:pPr>
        <w:spacing w:line="280" w:lineRule="exact"/>
        <w:rPr>
          <w:rFonts w:asciiTheme="minorHAnsi" w:hAnsiTheme="minorHAnsi"/>
          <w:sz w:val="24"/>
          <w:szCs w:val="24"/>
        </w:rPr>
      </w:pPr>
      <w:r>
        <w:rPr>
          <w:rFonts w:asciiTheme="minorHAnsi" w:hAnsiTheme="minorHAnsi"/>
          <w:sz w:val="24"/>
          <w:szCs w:val="24"/>
        </w:rPr>
        <w:t xml:space="preserve">In recent years, </w:t>
      </w:r>
      <w:r w:rsidR="002852A3">
        <w:rPr>
          <w:rFonts w:asciiTheme="minorHAnsi" w:hAnsiTheme="minorHAnsi"/>
          <w:sz w:val="24"/>
          <w:szCs w:val="24"/>
        </w:rPr>
        <w:t xml:space="preserve">however, </w:t>
      </w:r>
      <w:r>
        <w:rPr>
          <w:rFonts w:asciiTheme="minorHAnsi" w:hAnsiTheme="minorHAnsi"/>
          <w:sz w:val="24"/>
          <w:szCs w:val="24"/>
        </w:rPr>
        <w:t>the competition fabric within the retail fuel industry has been substantially reshaped by the entry of the supermarket majors</w:t>
      </w:r>
      <w:r w:rsidR="002852A3">
        <w:rPr>
          <w:rFonts w:asciiTheme="minorHAnsi" w:hAnsiTheme="minorHAnsi"/>
          <w:sz w:val="24"/>
          <w:szCs w:val="24"/>
        </w:rPr>
        <w:t xml:space="preserve">. </w:t>
      </w:r>
    </w:p>
    <w:p w:rsidR="00F7615B" w:rsidRDefault="00F7615B" w:rsidP="009647A4">
      <w:pPr>
        <w:spacing w:line="280" w:lineRule="exact"/>
        <w:rPr>
          <w:rFonts w:asciiTheme="minorHAnsi" w:hAnsiTheme="minorHAnsi"/>
          <w:sz w:val="24"/>
          <w:szCs w:val="24"/>
        </w:rPr>
      </w:pPr>
    </w:p>
    <w:p w:rsidR="002852A3" w:rsidRDefault="002852A3" w:rsidP="009647A4">
      <w:pPr>
        <w:spacing w:line="280" w:lineRule="exact"/>
        <w:rPr>
          <w:rFonts w:asciiTheme="minorHAnsi" w:hAnsiTheme="minorHAnsi"/>
          <w:sz w:val="24"/>
          <w:szCs w:val="24"/>
        </w:rPr>
      </w:pPr>
      <w:r>
        <w:rPr>
          <w:rFonts w:asciiTheme="minorHAnsi" w:hAnsiTheme="minorHAnsi"/>
          <w:sz w:val="24"/>
          <w:szCs w:val="24"/>
        </w:rPr>
        <w:t xml:space="preserve">This </w:t>
      </w:r>
      <w:r w:rsidR="009647A4">
        <w:rPr>
          <w:rFonts w:asciiTheme="minorHAnsi" w:hAnsiTheme="minorHAnsi"/>
          <w:sz w:val="24"/>
          <w:szCs w:val="24"/>
        </w:rPr>
        <w:t xml:space="preserve">experience has given rise to some significant </w:t>
      </w:r>
      <w:r>
        <w:rPr>
          <w:rFonts w:asciiTheme="minorHAnsi" w:hAnsiTheme="minorHAnsi"/>
          <w:sz w:val="24"/>
          <w:szCs w:val="24"/>
        </w:rPr>
        <w:t xml:space="preserve">concerns about the future of effective </w:t>
      </w:r>
      <w:r w:rsidR="009647A4">
        <w:rPr>
          <w:rFonts w:asciiTheme="minorHAnsi" w:hAnsiTheme="minorHAnsi"/>
          <w:sz w:val="24"/>
          <w:szCs w:val="24"/>
        </w:rPr>
        <w:t xml:space="preserve">competition in petroleum </w:t>
      </w:r>
      <w:r>
        <w:rPr>
          <w:rFonts w:asciiTheme="minorHAnsi" w:hAnsiTheme="minorHAnsi"/>
          <w:sz w:val="24"/>
          <w:szCs w:val="24"/>
        </w:rPr>
        <w:t xml:space="preserve">retail </w:t>
      </w:r>
      <w:r w:rsidR="009647A4">
        <w:rPr>
          <w:rFonts w:asciiTheme="minorHAnsi" w:hAnsiTheme="minorHAnsi"/>
          <w:sz w:val="24"/>
          <w:szCs w:val="24"/>
        </w:rPr>
        <w:t xml:space="preserve">in </w:t>
      </w:r>
      <w:r>
        <w:rPr>
          <w:rFonts w:asciiTheme="minorHAnsi" w:hAnsiTheme="minorHAnsi"/>
          <w:sz w:val="24"/>
          <w:szCs w:val="24"/>
        </w:rPr>
        <w:t>Australia</w:t>
      </w:r>
      <w:r w:rsidR="009647A4">
        <w:rPr>
          <w:rFonts w:asciiTheme="minorHAnsi" w:hAnsiTheme="minorHAnsi"/>
          <w:sz w:val="24"/>
          <w:szCs w:val="24"/>
        </w:rPr>
        <w:t>.</w:t>
      </w:r>
    </w:p>
    <w:p w:rsidR="002852A3" w:rsidRDefault="002852A3" w:rsidP="009647A4">
      <w:pPr>
        <w:spacing w:line="280" w:lineRule="exact"/>
        <w:rPr>
          <w:rFonts w:asciiTheme="minorHAnsi" w:hAnsiTheme="minorHAnsi"/>
          <w:sz w:val="24"/>
          <w:szCs w:val="24"/>
        </w:rPr>
      </w:pPr>
    </w:p>
    <w:p w:rsidR="00AA01F0" w:rsidRDefault="00AA01F0" w:rsidP="009647A4">
      <w:pPr>
        <w:spacing w:line="280" w:lineRule="exact"/>
        <w:rPr>
          <w:rFonts w:asciiTheme="minorHAnsi" w:hAnsiTheme="minorHAnsi"/>
          <w:sz w:val="24"/>
          <w:szCs w:val="24"/>
        </w:rPr>
      </w:pPr>
    </w:p>
    <w:p w:rsidR="009647A4" w:rsidRPr="009647A4" w:rsidRDefault="009647A4" w:rsidP="009647A4">
      <w:pPr>
        <w:pStyle w:val="ListParagraph"/>
        <w:numPr>
          <w:ilvl w:val="0"/>
          <w:numId w:val="9"/>
        </w:numPr>
        <w:spacing w:line="300" w:lineRule="exact"/>
        <w:rPr>
          <w:rFonts w:asciiTheme="minorHAnsi" w:hAnsiTheme="minorHAnsi"/>
          <w:b/>
          <w:sz w:val="24"/>
          <w:szCs w:val="24"/>
          <w:u w:val="single"/>
        </w:rPr>
      </w:pPr>
      <w:r w:rsidRPr="009647A4">
        <w:rPr>
          <w:rFonts w:asciiTheme="minorHAnsi" w:hAnsiTheme="minorHAnsi"/>
          <w:b/>
          <w:sz w:val="24"/>
          <w:szCs w:val="24"/>
          <w:u w:val="single"/>
        </w:rPr>
        <w:lastRenderedPageBreak/>
        <w:t>The</w:t>
      </w:r>
      <w:r w:rsidR="000B6B75">
        <w:rPr>
          <w:rFonts w:asciiTheme="minorHAnsi" w:hAnsiTheme="minorHAnsi"/>
          <w:b/>
          <w:sz w:val="24"/>
          <w:szCs w:val="24"/>
          <w:u w:val="single"/>
        </w:rPr>
        <w:t xml:space="preserve"> c</w:t>
      </w:r>
      <w:r w:rsidRPr="009647A4">
        <w:rPr>
          <w:rFonts w:asciiTheme="minorHAnsi" w:hAnsiTheme="minorHAnsi"/>
          <w:b/>
          <w:sz w:val="24"/>
          <w:szCs w:val="24"/>
          <w:u w:val="single"/>
        </w:rPr>
        <w:t>hanges proposed in the Harper Review already constitute a compromise</w:t>
      </w:r>
      <w:r w:rsidR="000B6B75">
        <w:rPr>
          <w:rFonts w:asciiTheme="minorHAnsi" w:hAnsiTheme="minorHAnsi"/>
          <w:b/>
          <w:sz w:val="24"/>
          <w:szCs w:val="24"/>
          <w:u w:val="single"/>
        </w:rPr>
        <w:t xml:space="preserve"> by the SME lobby</w:t>
      </w:r>
    </w:p>
    <w:p w:rsidR="009647A4" w:rsidRDefault="009647A4" w:rsidP="009647A4">
      <w:pPr>
        <w:spacing w:line="300" w:lineRule="exact"/>
        <w:rPr>
          <w:rFonts w:asciiTheme="minorHAnsi" w:hAnsiTheme="minorHAnsi"/>
          <w:sz w:val="24"/>
          <w:szCs w:val="24"/>
        </w:rPr>
      </w:pPr>
    </w:p>
    <w:p w:rsidR="009647A4" w:rsidRDefault="009647A4" w:rsidP="009647A4">
      <w:pPr>
        <w:spacing w:line="300" w:lineRule="exact"/>
        <w:rPr>
          <w:rFonts w:asciiTheme="minorHAnsi" w:hAnsiTheme="minorHAnsi"/>
          <w:sz w:val="24"/>
          <w:szCs w:val="24"/>
        </w:rPr>
      </w:pPr>
      <w:r>
        <w:rPr>
          <w:rFonts w:asciiTheme="minorHAnsi" w:hAnsiTheme="minorHAnsi"/>
          <w:sz w:val="24"/>
          <w:szCs w:val="24"/>
        </w:rPr>
        <w:t>ACAPMA notes the comments of the Treasurer, the Hon. Scott Morrison MP, that debate about the recommendations made by Professor Ian Harper with respect to Section 46 has become highly polarised.</w:t>
      </w:r>
    </w:p>
    <w:p w:rsidR="009647A4" w:rsidRDefault="009647A4" w:rsidP="009647A4">
      <w:pPr>
        <w:spacing w:line="300" w:lineRule="exact"/>
        <w:rPr>
          <w:rFonts w:asciiTheme="minorHAnsi" w:hAnsiTheme="minorHAnsi"/>
          <w:sz w:val="24"/>
          <w:szCs w:val="24"/>
        </w:rPr>
      </w:pPr>
    </w:p>
    <w:p w:rsidR="009647A4" w:rsidRDefault="009647A4" w:rsidP="009647A4">
      <w:pPr>
        <w:spacing w:line="300" w:lineRule="exact"/>
        <w:rPr>
          <w:rFonts w:asciiTheme="minorHAnsi" w:hAnsiTheme="minorHAnsi"/>
          <w:sz w:val="24"/>
          <w:szCs w:val="24"/>
        </w:rPr>
      </w:pPr>
      <w:r>
        <w:rPr>
          <w:rFonts w:asciiTheme="minorHAnsi" w:hAnsiTheme="minorHAnsi"/>
          <w:sz w:val="24"/>
          <w:szCs w:val="24"/>
        </w:rPr>
        <w:t xml:space="preserve">ACAPMA strongly agrees with the Treasurer’s observation but equally suggests that such an argument should not be </w:t>
      </w:r>
      <w:r w:rsidR="00F7615B">
        <w:rPr>
          <w:rFonts w:asciiTheme="minorHAnsi" w:hAnsiTheme="minorHAnsi"/>
          <w:sz w:val="24"/>
          <w:szCs w:val="24"/>
        </w:rPr>
        <w:t xml:space="preserve">solely </w:t>
      </w:r>
      <w:r>
        <w:rPr>
          <w:rFonts w:asciiTheme="minorHAnsi" w:hAnsiTheme="minorHAnsi"/>
          <w:sz w:val="24"/>
          <w:szCs w:val="24"/>
        </w:rPr>
        <w:t xml:space="preserve">used to advance a position that fails to adequately address the demonstrable weaknesses of the </w:t>
      </w:r>
      <w:r w:rsidR="00AA01F0">
        <w:rPr>
          <w:rFonts w:asciiTheme="minorHAnsi" w:hAnsiTheme="minorHAnsi"/>
          <w:sz w:val="24"/>
          <w:szCs w:val="24"/>
        </w:rPr>
        <w:t xml:space="preserve">Clause 46 of the </w:t>
      </w:r>
      <w:r>
        <w:rPr>
          <w:rFonts w:asciiTheme="minorHAnsi" w:hAnsiTheme="minorHAnsi"/>
          <w:sz w:val="24"/>
          <w:szCs w:val="24"/>
        </w:rPr>
        <w:t>Competition and Consumer Act (CCA).</w:t>
      </w:r>
    </w:p>
    <w:p w:rsidR="009647A4" w:rsidRDefault="009647A4" w:rsidP="009647A4">
      <w:pPr>
        <w:spacing w:line="300" w:lineRule="exact"/>
        <w:rPr>
          <w:rFonts w:asciiTheme="minorHAnsi" w:hAnsiTheme="minorHAnsi"/>
          <w:sz w:val="24"/>
          <w:szCs w:val="24"/>
        </w:rPr>
      </w:pPr>
    </w:p>
    <w:p w:rsidR="009647A4" w:rsidRDefault="009647A4" w:rsidP="009647A4">
      <w:pPr>
        <w:spacing w:line="300" w:lineRule="exact"/>
        <w:rPr>
          <w:rFonts w:asciiTheme="minorHAnsi" w:hAnsiTheme="minorHAnsi"/>
          <w:sz w:val="24"/>
          <w:szCs w:val="24"/>
        </w:rPr>
      </w:pPr>
      <w:r>
        <w:rPr>
          <w:rFonts w:asciiTheme="minorHAnsi" w:hAnsiTheme="minorHAnsi"/>
          <w:sz w:val="24"/>
          <w:szCs w:val="24"/>
        </w:rPr>
        <w:t xml:space="preserve">ACAPMA is firmly of the view that the recommendations made with respect to changes to Section 46 in the final report </w:t>
      </w:r>
      <w:r w:rsidR="00AA01F0">
        <w:rPr>
          <w:rFonts w:asciiTheme="minorHAnsi" w:hAnsiTheme="minorHAnsi"/>
          <w:sz w:val="24"/>
          <w:szCs w:val="24"/>
        </w:rPr>
        <w:t xml:space="preserve">of the Harper Review </w:t>
      </w:r>
      <w:r>
        <w:rPr>
          <w:rFonts w:asciiTheme="minorHAnsi" w:hAnsiTheme="minorHAnsi"/>
          <w:sz w:val="24"/>
          <w:szCs w:val="24"/>
        </w:rPr>
        <w:t xml:space="preserve">constitute a significant ‘walk-back’ from the recommendations </w:t>
      </w:r>
      <w:r w:rsidR="00AA01F0">
        <w:rPr>
          <w:rFonts w:asciiTheme="minorHAnsi" w:hAnsiTheme="minorHAnsi"/>
          <w:sz w:val="24"/>
          <w:szCs w:val="24"/>
        </w:rPr>
        <w:t>contained in the</w:t>
      </w:r>
      <w:r>
        <w:rPr>
          <w:rFonts w:asciiTheme="minorHAnsi" w:hAnsiTheme="minorHAnsi"/>
          <w:sz w:val="24"/>
          <w:szCs w:val="24"/>
        </w:rPr>
        <w:t xml:space="preserve"> original draft report – </w:t>
      </w:r>
      <w:r w:rsidR="00AA01F0">
        <w:rPr>
          <w:rFonts w:asciiTheme="minorHAnsi" w:hAnsiTheme="minorHAnsi"/>
          <w:sz w:val="24"/>
          <w:szCs w:val="24"/>
        </w:rPr>
        <w:t xml:space="preserve">recommendations </w:t>
      </w:r>
      <w:r>
        <w:rPr>
          <w:rFonts w:asciiTheme="minorHAnsi" w:hAnsiTheme="minorHAnsi"/>
          <w:sz w:val="24"/>
          <w:szCs w:val="24"/>
        </w:rPr>
        <w:t xml:space="preserve">which, in our view, more closely reflected the concerns of </w:t>
      </w:r>
      <w:r w:rsidR="00AA01F0">
        <w:rPr>
          <w:rFonts w:asciiTheme="minorHAnsi" w:hAnsiTheme="minorHAnsi"/>
          <w:sz w:val="24"/>
          <w:szCs w:val="24"/>
        </w:rPr>
        <w:t xml:space="preserve">the </w:t>
      </w:r>
      <w:r>
        <w:rPr>
          <w:rFonts w:asciiTheme="minorHAnsi" w:hAnsiTheme="minorHAnsi"/>
          <w:sz w:val="24"/>
          <w:szCs w:val="24"/>
        </w:rPr>
        <w:t>many small to medium enterprises in Australia.</w:t>
      </w:r>
    </w:p>
    <w:p w:rsidR="009647A4" w:rsidRDefault="009647A4" w:rsidP="009647A4">
      <w:pPr>
        <w:spacing w:line="300" w:lineRule="exact"/>
        <w:rPr>
          <w:rFonts w:asciiTheme="minorHAnsi" w:hAnsiTheme="minorHAnsi"/>
          <w:sz w:val="24"/>
          <w:szCs w:val="24"/>
        </w:rPr>
      </w:pPr>
    </w:p>
    <w:p w:rsidR="009647A4" w:rsidRDefault="009647A4" w:rsidP="009647A4">
      <w:pPr>
        <w:spacing w:line="300" w:lineRule="exact"/>
        <w:rPr>
          <w:rFonts w:asciiTheme="minorHAnsi" w:hAnsiTheme="minorHAnsi"/>
          <w:sz w:val="24"/>
          <w:szCs w:val="24"/>
        </w:rPr>
      </w:pPr>
      <w:r>
        <w:rPr>
          <w:rFonts w:asciiTheme="minorHAnsi" w:hAnsiTheme="minorHAnsi"/>
          <w:sz w:val="24"/>
          <w:szCs w:val="24"/>
        </w:rPr>
        <w:t xml:space="preserve">To that end, we believe that the recommendations contained in the final report </w:t>
      </w:r>
      <w:r w:rsidR="008832C8">
        <w:rPr>
          <w:rFonts w:asciiTheme="minorHAnsi" w:hAnsiTheme="minorHAnsi"/>
          <w:sz w:val="24"/>
          <w:szCs w:val="24"/>
        </w:rPr>
        <w:t xml:space="preserve">of the Harper Review </w:t>
      </w:r>
      <w:r>
        <w:rPr>
          <w:rFonts w:asciiTheme="minorHAnsi" w:hAnsiTheme="minorHAnsi"/>
          <w:sz w:val="24"/>
          <w:szCs w:val="24"/>
        </w:rPr>
        <w:t xml:space="preserve">already </w:t>
      </w:r>
      <w:r w:rsidR="008832C8">
        <w:rPr>
          <w:rFonts w:asciiTheme="minorHAnsi" w:hAnsiTheme="minorHAnsi"/>
          <w:sz w:val="24"/>
          <w:szCs w:val="24"/>
        </w:rPr>
        <w:t xml:space="preserve">constitute a </w:t>
      </w:r>
      <w:r>
        <w:rPr>
          <w:rFonts w:asciiTheme="minorHAnsi" w:hAnsiTheme="minorHAnsi"/>
          <w:sz w:val="24"/>
          <w:szCs w:val="24"/>
        </w:rPr>
        <w:t xml:space="preserve">significant </w:t>
      </w:r>
      <w:r w:rsidR="008832C8">
        <w:rPr>
          <w:rFonts w:asciiTheme="minorHAnsi" w:hAnsiTheme="minorHAnsi"/>
          <w:sz w:val="24"/>
          <w:szCs w:val="24"/>
        </w:rPr>
        <w:t xml:space="preserve">compromise on the part of </w:t>
      </w:r>
      <w:r>
        <w:rPr>
          <w:rFonts w:asciiTheme="minorHAnsi" w:hAnsiTheme="minorHAnsi"/>
          <w:sz w:val="24"/>
          <w:szCs w:val="24"/>
        </w:rPr>
        <w:t xml:space="preserve">SME interests </w:t>
      </w:r>
      <w:r w:rsidR="008832C8">
        <w:rPr>
          <w:rFonts w:asciiTheme="minorHAnsi" w:hAnsiTheme="minorHAnsi"/>
          <w:sz w:val="24"/>
          <w:szCs w:val="24"/>
        </w:rPr>
        <w:t>in Australia</w:t>
      </w:r>
      <w:r>
        <w:rPr>
          <w:rFonts w:asciiTheme="minorHAnsi" w:hAnsiTheme="minorHAnsi"/>
          <w:sz w:val="24"/>
          <w:szCs w:val="24"/>
        </w:rPr>
        <w:t>.</w:t>
      </w:r>
    </w:p>
    <w:p w:rsidR="009647A4" w:rsidRDefault="009647A4" w:rsidP="009647A4">
      <w:pPr>
        <w:spacing w:line="300" w:lineRule="exact"/>
        <w:rPr>
          <w:rFonts w:asciiTheme="minorHAnsi" w:hAnsiTheme="minorHAnsi"/>
          <w:sz w:val="24"/>
          <w:szCs w:val="24"/>
        </w:rPr>
      </w:pPr>
    </w:p>
    <w:p w:rsidR="009D126E" w:rsidRPr="009647A4" w:rsidRDefault="009647A4" w:rsidP="009647A4">
      <w:pPr>
        <w:pStyle w:val="ListParagraph"/>
        <w:numPr>
          <w:ilvl w:val="0"/>
          <w:numId w:val="9"/>
        </w:numPr>
        <w:spacing w:line="300" w:lineRule="exact"/>
        <w:rPr>
          <w:rFonts w:asciiTheme="minorHAnsi" w:hAnsiTheme="minorHAnsi"/>
          <w:b/>
          <w:sz w:val="24"/>
          <w:szCs w:val="24"/>
          <w:u w:val="single"/>
        </w:rPr>
      </w:pPr>
      <w:r w:rsidRPr="009647A4">
        <w:rPr>
          <w:rFonts w:asciiTheme="minorHAnsi" w:hAnsiTheme="minorHAnsi"/>
          <w:b/>
          <w:sz w:val="24"/>
          <w:szCs w:val="24"/>
          <w:u w:val="single"/>
        </w:rPr>
        <w:t>The need to balance demonstrable competition damage in the past against risk of damage</w:t>
      </w:r>
    </w:p>
    <w:p w:rsidR="00C004CB" w:rsidRDefault="00C004CB" w:rsidP="004C334C">
      <w:pPr>
        <w:spacing w:line="300" w:lineRule="exact"/>
        <w:rPr>
          <w:rFonts w:asciiTheme="minorHAnsi" w:hAnsiTheme="minorHAnsi"/>
          <w:sz w:val="24"/>
          <w:szCs w:val="24"/>
        </w:rPr>
      </w:pPr>
    </w:p>
    <w:p w:rsidR="002852A3" w:rsidRDefault="0002600D" w:rsidP="004C334C">
      <w:pPr>
        <w:spacing w:line="300" w:lineRule="exact"/>
        <w:rPr>
          <w:rFonts w:asciiTheme="minorHAnsi" w:hAnsiTheme="minorHAnsi"/>
          <w:sz w:val="24"/>
          <w:szCs w:val="24"/>
        </w:rPr>
      </w:pPr>
      <w:r>
        <w:rPr>
          <w:rFonts w:asciiTheme="minorHAnsi" w:hAnsiTheme="minorHAnsi"/>
          <w:sz w:val="24"/>
          <w:szCs w:val="24"/>
        </w:rPr>
        <w:t xml:space="preserve">ACAPMA is aware that Professor Ian Harper was given numerous examples of situations where the actions of a large business – operating from a position of market dominance – </w:t>
      </w:r>
      <w:r w:rsidR="0001661E">
        <w:rPr>
          <w:rFonts w:asciiTheme="minorHAnsi" w:hAnsiTheme="minorHAnsi"/>
          <w:sz w:val="24"/>
          <w:szCs w:val="24"/>
        </w:rPr>
        <w:t>ha</w:t>
      </w:r>
      <w:r w:rsidR="008832C8">
        <w:rPr>
          <w:rFonts w:asciiTheme="minorHAnsi" w:hAnsiTheme="minorHAnsi"/>
          <w:sz w:val="24"/>
          <w:szCs w:val="24"/>
        </w:rPr>
        <w:t xml:space="preserve">d apparently </w:t>
      </w:r>
      <w:r>
        <w:rPr>
          <w:rFonts w:asciiTheme="minorHAnsi" w:hAnsiTheme="minorHAnsi"/>
          <w:sz w:val="24"/>
          <w:szCs w:val="24"/>
        </w:rPr>
        <w:t>damaged competition within a given industry.</w:t>
      </w:r>
    </w:p>
    <w:p w:rsidR="0002600D" w:rsidRDefault="0002600D" w:rsidP="004C334C">
      <w:pPr>
        <w:spacing w:line="300" w:lineRule="exact"/>
        <w:rPr>
          <w:rFonts w:asciiTheme="minorHAnsi" w:hAnsiTheme="minorHAnsi"/>
          <w:sz w:val="24"/>
          <w:szCs w:val="24"/>
        </w:rPr>
      </w:pPr>
    </w:p>
    <w:p w:rsidR="0001661E" w:rsidRDefault="0001661E" w:rsidP="004C334C">
      <w:pPr>
        <w:spacing w:line="300" w:lineRule="exact"/>
        <w:rPr>
          <w:rFonts w:asciiTheme="minorHAnsi" w:hAnsiTheme="minorHAnsi"/>
          <w:sz w:val="24"/>
          <w:szCs w:val="24"/>
        </w:rPr>
      </w:pPr>
      <w:r>
        <w:rPr>
          <w:rFonts w:asciiTheme="minorHAnsi" w:hAnsiTheme="minorHAnsi"/>
          <w:sz w:val="24"/>
          <w:szCs w:val="24"/>
        </w:rPr>
        <w:t xml:space="preserve">The </w:t>
      </w:r>
      <w:r w:rsidR="0002600D">
        <w:rPr>
          <w:rFonts w:asciiTheme="minorHAnsi" w:hAnsiTheme="minorHAnsi"/>
          <w:sz w:val="24"/>
          <w:szCs w:val="24"/>
        </w:rPr>
        <w:t>practice of ‘land banking’</w:t>
      </w:r>
      <w:r>
        <w:rPr>
          <w:rFonts w:asciiTheme="minorHAnsi" w:hAnsiTheme="minorHAnsi"/>
          <w:sz w:val="24"/>
          <w:szCs w:val="24"/>
        </w:rPr>
        <w:t>, where large market players pay an inflated price for a retail site as a means of removing the risk of a competitor setting up a business in direct competition to their established business</w:t>
      </w:r>
      <w:r w:rsidR="008832C8">
        <w:rPr>
          <w:rFonts w:asciiTheme="minorHAnsi" w:hAnsiTheme="minorHAnsi"/>
          <w:sz w:val="24"/>
          <w:szCs w:val="24"/>
        </w:rPr>
        <w:t>, is a case in point</w:t>
      </w:r>
      <w:r>
        <w:rPr>
          <w:rFonts w:asciiTheme="minorHAnsi" w:hAnsiTheme="minorHAnsi"/>
          <w:sz w:val="24"/>
          <w:szCs w:val="24"/>
        </w:rPr>
        <w:t>.</w:t>
      </w:r>
    </w:p>
    <w:p w:rsidR="0001661E" w:rsidRDefault="0001661E" w:rsidP="004C334C">
      <w:pPr>
        <w:spacing w:line="300" w:lineRule="exact"/>
        <w:rPr>
          <w:rFonts w:asciiTheme="minorHAnsi" w:hAnsiTheme="minorHAnsi"/>
          <w:sz w:val="24"/>
          <w:szCs w:val="24"/>
        </w:rPr>
      </w:pPr>
    </w:p>
    <w:p w:rsidR="0001661E" w:rsidRDefault="0001661E" w:rsidP="004C334C">
      <w:pPr>
        <w:spacing w:line="300" w:lineRule="exact"/>
        <w:rPr>
          <w:rFonts w:asciiTheme="minorHAnsi" w:hAnsiTheme="minorHAnsi"/>
          <w:sz w:val="24"/>
          <w:szCs w:val="24"/>
        </w:rPr>
      </w:pPr>
      <w:r>
        <w:rPr>
          <w:rFonts w:asciiTheme="minorHAnsi" w:hAnsiTheme="minorHAnsi"/>
          <w:sz w:val="24"/>
          <w:szCs w:val="24"/>
        </w:rPr>
        <w:t xml:space="preserve">Over the past 12 months, our industry has received several reports about alleged </w:t>
      </w:r>
      <w:r w:rsidR="008832C8">
        <w:rPr>
          <w:rFonts w:asciiTheme="minorHAnsi" w:hAnsiTheme="minorHAnsi"/>
          <w:sz w:val="24"/>
          <w:szCs w:val="24"/>
        </w:rPr>
        <w:t>‘</w:t>
      </w:r>
      <w:r>
        <w:rPr>
          <w:rFonts w:asciiTheme="minorHAnsi" w:hAnsiTheme="minorHAnsi"/>
          <w:sz w:val="24"/>
          <w:szCs w:val="24"/>
        </w:rPr>
        <w:t>land banking</w:t>
      </w:r>
      <w:r w:rsidR="008832C8">
        <w:rPr>
          <w:rFonts w:asciiTheme="minorHAnsi" w:hAnsiTheme="minorHAnsi"/>
          <w:sz w:val="24"/>
          <w:szCs w:val="24"/>
        </w:rPr>
        <w:t>’</w:t>
      </w:r>
      <w:r>
        <w:rPr>
          <w:rFonts w:asciiTheme="minorHAnsi" w:hAnsiTheme="minorHAnsi"/>
          <w:sz w:val="24"/>
          <w:szCs w:val="24"/>
        </w:rPr>
        <w:t xml:space="preserve"> practice – much of it occurring in markets like Canberra, where more than 80% of all retail fuel sold is controlled by the two </w:t>
      </w:r>
      <w:r w:rsidR="00F7615B">
        <w:rPr>
          <w:rFonts w:asciiTheme="minorHAnsi" w:hAnsiTheme="minorHAnsi"/>
          <w:sz w:val="24"/>
          <w:szCs w:val="24"/>
        </w:rPr>
        <w:t>large companies</w:t>
      </w:r>
      <w:r>
        <w:rPr>
          <w:rFonts w:asciiTheme="minorHAnsi" w:hAnsiTheme="minorHAnsi"/>
          <w:sz w:val="24"/>
          <w:szCs w:val="24"/>
        </w:rPr>
        <w:t>.</w:t>
      </w:r>
    </w:p>
    <w:p w:rsidR="0001661E" w:rsidRDefault="0001661E" w:rsidP="004C334C">
      <w:pPr>
        <w:spacing w:line="300" w:lineRule="exact"/>
        <w:rPr>
          <w:rFonts w:asciiTheme="minorHAnsi" w:hAnsiTheme="minorHAnsi"/>
          <w:sz w:val="24"/>
          <w:szCs w:val="24"/>
        </w:rPr>
      </w:pPr>
    </w:p>
    <w:p w:rsidR="0002600D" w:rsidRDefault="0001661E" w:rsidP="004C334C">
      <w:pPr>
        <w:spacing w:line="300" w:lineRule="exact"/>
        <w:rPr>
          <w:rFonts w:asciiTheme="minorHAnsi" w:hAnsiTheme="minorHAnsi"/>
          <w:sz w:val="24"/>
          <w:szCs w:val="24"/>
        </w:rPr>
      </w:pPr>
      <w:r>
        <w:rPr>
          <w:rFonts w:asciiTheme="minorHAnsi" w:hAnsiTheme="minorHAnsi"/>
          <w:sz w:val="24"/>
          <w:szCs w:val="24"/>
        </w:rPr>
        <w:t xml:space="preserve">This is </w:t>
      </w:r>
      <w:r w:rsidR="0002600D">
        <w:rPr>
          <w:rFonts w:asciiTheme="minorHAnsi" w:hAnsiTheme="minorHAnsi"/>
          <w:sz w:val="24"/>
          <w:szCs w:val="24"/>
        </w:rPr>
        <w:t xml:space="preserve">a particularly insidious form of competition manipulation </w:t>
      </w:r>
      <w:r w:rsidR="008832C8">
        <w:rPr>
          <w:rFonts w:asciiTheme="minorHAnsi" w:hAnsiTheme="minorHAnsi"/>
          <w:sz w:val="24"/>
          <w:szCs w:val="24"/>
        </w:rPr>
        <w:t xml:space="preserve">and our advice is that this practice </w:t>
      </w:r>
      <w:r>
        <w:rPr>
          <w:rFonts w:asciiTheme="minorHAnsi" w:hAnsiTheme="minorHAnsi"/>
          <w:sz w:val="24"/>
          <w:szCs w:val="24"/>
        </w:rPr>
        <w:t>cannot readily be addressed by Section 46 in its current state.</w:t>
      </w:r>
    </w:p>
    <w:p w:rsidR="008832C8" w:rsidRDefault="008832C8" w:rsidP="004C334C">
      <w:pPr>
        <w:spacing w:line="300" w:lineRule="exact"/>
        <w:rPr>
          <w:rFonts w:asciiTheme="minorHAnsi" w:hAnsiTheme="minorHAnsi"/>
          <w:sz w:val="24"/>
          <w:szCs w:val="24"/>
        </w:rPr>
      </w:pPr>
    </w:p>
    <w:p w:rsidR="0001661E" w:rsidRDefault="000B6B75" w:rsidP="004C334C">
      <w:pPr>
        <w:spacing w:line="300" w:lineRule="exact"/>
        <w:rPr>
          <w:rFonts w:asciiTheme="minorHAnsi" w:hAnsiTheme="minorHAnsi"/>
          <w:sz w:val="24"/>
          <w:szCs w:val="24"/>
        </w:rPr>
      </w:pPr>
      <w:r>
        <w:rPr>
          <w:rFonts w:asciiTheme="minorHAnsi" w:hAnsiTheme="minorHAnsi"/>
          <w:sz w:val="24"/>
          <w:szCs w:val="24"/>
        </w:rPr>
        <w:t>Our industry also re</w:t>
      </w:r>
      <w:r w:rsidR="008832C8">
        <w:rPr>
          <w:rFonts w:asciiTheme="minorHAnsi" w:hAnsiTheme="minorHAnsi"/>
          <w:sz w:val="24"/>
          <w:szCs w:val="24"/>
        </w:rPr>
        <w:t>cently</w:t>
      </w:r>
      <w:r>
        <w:rPr>
          <w:rFonts w:asciiTheme="minorHAnsi" w:hAnsiTheme="minorHAnsi"/>
          <w:sz w:val="24"/>
          <w:szCs w:val="24"/>
        </w:rPr>
        <w:t xml:space="preserve"> experienced</w:t>
      </w:r>
      <w:r w:rsidR="008832C8">
        <w:rPr>
          <w:rFonts w:asciiTheme="minorHAnsi" w:hAnsiTheme="minorHAnsi"/>
          <w:sz w:val="24"/>
          <w:szCs w:val="24"/>
        </w:rPr>
        <w:t xml:space="preserve"> </w:t>
      </w:r>
      <w:r>
        <w:rPr>
          <w:rFonts w:asciiTheme="minorHAnsi" w:hAnsiTheme="minorHAnsi"/>
          <w:sz w:val="24"/>
          <w:szCs w:val="24"/>
        </w:rPr>
        <w:t xml:space="preserve">a rapid change in the fabric of competition as a result of the two supermarket chains utilising their supermarket power via the provision of </w:t>
      </w:r>
      <w:r w:rsidR="008832C8">
        <w:rPr>
          <w:rFonts w:asciiTheme="minorHAnsi" w:hAnsiTheme="minorHAnsi"/>
          <w:sz w:val="24"/>
          <w:szCs w:val="24"/>
        </w:rPr>
        <w:t>‘</w:t>
      </w:r>
      <w:r>
        <w:rPr>
          <w:rFonts w:asciiTheme="minorHAnsi" w:hAnsiTheme="minorHAnsi"/>
          <w:sz w:val="24"/>
          <w:szCs w:val="24"/>
        </w:rPr>
        <w:t>high value shopper dockets</w:t>
      </w:r>
      <w:r w:rsidR="008832C8">
        <w:rPr>
          <w:rFonts w:asciiTheme="minorHAnsi" w:hAnsiTheme="minorHAnsi"/>
          <w:sz w:val="24"/>
          <w:szCs w:val="24"/>
        </w:rPr>
        <w:t>’</w:t>
      </w:r>
      <w:r>
        <w:rPr>
          <w:rFonts w:asciiTheme="minorHAnsi" w:hAnsiTheme="minorHAnsi"/>
          <w:sz w:val="24"/>
          <w:szCs w:val="24"/>
        </w:rPr>
        <w:t xml:space="preserve"> to incentivise consumer fuel purchases.</w:t>
      </w:r>
    </w:p>
    <w:p w:rsidR="000B6B75" w:rsidRDefault="000B6B75" w:rsidP="004C334C">
      <w:pPr>
        <w:spacing w:line="300" w:lineRule="exact"/>
        <w:rPr>
          <w:rFonts w:asciiTheme="minorHAnsi" w:hAnsiTheme="minorHAnsi"/>
          <w:sz w:val="24"/>
          <w:szCs w:val="24"/>
        </w:rPr>
      </w:pPr>
    </w:p>
    <w:p w:rsidR="008832C8" w:rsidRDefault="008832C8" w:rsidP="004C334C">
      <w:pPr>
        <w:spacing w:line="300" w:lineRule="exact"/>
        <w:rPr>
          <w:rFonts w:asciiTheme="minorHAnsi" w:hAnsiTheme="minorHAnsi"/>
          <w:sz w:val="24"/>
          <w:szCs w:val="24"/>
        </w:rPr>
      </w:pPr>
    </w:p>
    <w:p w:rsidR="008832C8" w:rsidRDefault="008832C8" w:rsidP="004C334C">
      <w:pPr>
        <w:spacing w:line="300" w:lineRule="exact"/>
        <w:rPr>
          <w:rFonts w:asciiTheme="minorHAnsi" w:hAnsiTheme="minorHAnsi"/>
          <w:sz w:val="24"/>
          <w:szCs w:val="24"/>
        </w:rPr>
      </w:pPr>
    </w:p>
    <w:p w:rsidR="000B6B75" w:rsidRDefault="000B6B75" w:rsidP="004C334C">
      <w:pPr>
        <w:spacing w:line="300" w:lineRule="exact"/>
        <w:rPr>
          <w:rFonts w:asciiTheme="minorHAnsi" w:hAnsiTheme="minorHAnsi"/>
          <w:sz w:val="24"/>
          <w:szCs w:val="24"/>
        </w:rPr>
      </w:pPr>
      <w:r>
        <w:rPr>
          <w:rFonts w:asciiTheme="minorHAnsi" w:hAnsiTheme="minorHAnsi"/>
          <w:sz w:val="24"/>
          <w:szCs w:val="24"/>
        </w:rPr>
        <w:lastRenderedPageBreak/>
        <w:t>While it might reasonably be argued that th</w:t>
      </w:r>
      <w:r w:rsidR="008832C8">
        <w:rPr>
          <w:rFonts w:asciiTheme="minorHAnsi" w:hAnsiTheme="minorHAnsi"/>
          <w:sz w:val="24"/>
          <w:szCs w:val="24"/>
        </w:rPr>
        <w:t>is</w:t>
      </w:r>
      <w:r>
        <w:rPr>
          <w:rFonts w:asciiTheme="minorHAnsi" w:hAnsiTheme="minorHAnsi"/>
          <w:sz w:val="24"/>
          <w:szCs w:val="24"/>
        </w:rPr>
        <w:t xml:space="preserve"> </w:t>
      </w:r>
      <w:r w:rsidR="00F7615B">
        <w:rPr>
          <w:rFonts w:asciiTheme="minorHAnsi" w:hAnsiTheme="minorHAnsi"/>
          <w:sz w:val="24"/>
          <w:szCs w:val="24"/>
        </w:rPr>
        <w:t xml:space="preserve">‘product </w:t>
      </w:r>
      <w:r>
        <w:rPr>
          <w:rFonts w:asciiTheme="minorHAnsi" w:hAnsiTheme="minorHAnsi"/>
          <w:sz w:val="24"/>
          <w:szCs w:val="24"/>
        </w:rPr>
        <w:t>stacking’ beha</w:t>
      </w:r>
      <w:r w:rsidR="008832C8">
        <w:rPr>
          <w:rFonts w:asciiTheme="minorHAnsi" w:hAnsiTheme="minorHAnsi"/>
          <w:sz w:val="24"/>
          <w:szCs w:val="24"/>
        </w:rPr>
        <w:t xml:space="preserve">viour was ultimately corrected by the companies involved </w:t>
      </w:r>
      <w:r w:rsidR="00F7615B">
        <w:rPr>
          <w:rFonts w:asciiTheme="minorHAnsi" w:hAnsiTheme="minorHAnsi"/>
          <w:sz w:val="24"/>
          <w:szCs w:val="24"/>
        </w:rPr>
        <w:t xml:space="preserve">vie them </w:t>
      </w:r>
      <w:r w:rsidR="008832C8">
        <w:rPr>
          <w:rFonts w:asciiTheme="minorHAnsi" w:hAnsiTheme="minorHAnsi"/>
          <w:sz w:val="24"/>
          <w:szCs w:val="24"/>
        </w:rPr>
        <w:t xml:space="preserve">entering into </w:t>
      </w:r>
      <w:r>
        <w:rPr>
          <w:rFonts w:asciiTheme="minorHAnsi" w:hAnsiTheme="minorHAnsi"/>
          <w:sz w:val="24"/>
          <w:szCs w:val="24"/>
        </w:rPr>
        <w:t xml:space="preserve">a voluntary undertaking with the ACCC, the absence of effective legislation relating to </w:t>
      </w:r>
      <w:r w:rsidR="008832C8">
        <w:rPr>
          <w:rFonts w:asciiTheme="minorHAnsi" w:hAnsiTheme="minorHAnsi"/>
          <w:sz w:val="24"/>
          <w:szCs w:val="24"/>
        </w:rPr>
        <w:t xml:space="preserve">the </w:t>
      </w:r>
      <w:r>
        <w:rPr>
          <w:rFonts w:asciiTheme="minorHAnsi" w:hAnsiTheme="minorHAnsi"/>
          <w:sz w:val="24"/>
          <w:szCs w:val="24"/>
        </w:rPr>
        <w:t xml:space="preserve">misuse of market power meant that that </w:t>
      </w:r>
      <w:r w:rsidR="008832C8">
        <w:rPr>
          <w:rFonts w:asciiTheme="minorHAnsi" w:hAnsiTheme="minorHAnsi"/>
          <w:sz w:val="24"/>
          <w:szCs w:val="24"/>
        </w:rPr>
        <w:t xml:space="preserve">substantial </w:t>
      </w:r>
      <w:r>
        <w:rPr>
          <w:rFonts w:asciiTheme="minorHAnsi" w:hAnsiTheme="minorHAnsi"/>
          <w:sz w:val="24"/>
          <w:szCs w:val="24"/>
        </w:rPr>
        <w:t xml:space="preserve">damage had </w:t>
      </w:r>
      <w:r w:rsidR="008832C8">
        <w:rPr>
          <w:rFonts w:asciiTheme="minorHAnsi" w:hAnsiTheme="minorHAnsi"/>
          <w:sz w:val="24"/>
          <w:szCs w:val="24"/>
        </w:rPr>
        <w:t>already occurred prior to the date of the formal undertaking</w:t>
      </w:r>
      <w:r>
        <w:rPr>
          <w:rFonts w:asciiTheme="minorHAnsi" w:hAnsiTheme="minorHAnsi"/>
          <w:sz w:val="24"/>
          <w:szCs w:val="24"/>
        </w:rPr>
        <w:t>.</w:t>
      </w:r>
    </w:p>
    <w:p w:rsidR="000B6B75" w:rsidRDefault="000B6B75" w:rsidP="004C334C">
      <w:pPr>
        <w:spacing w:line="300" w:lineRule="exact"/>
        <w:rPr>
          <w:rFonts w:asciiTheme="minorHAnsi" w:hAnsiTheme="minorHAnsi"/>
          <w:sz w:val="24"/>
          <w:szCs w:val="24"/>
        </w:rPr>
      </w:pPr>
    </w:p>
    <w:p w:rsidR="000B6B75" w:rsidRDefault="000B6B75" w:rsidP="004C334C">
      <w:pPr>
        <w:spacing w:line="300" w:lineRule="exact"/>
        <w:rPr>
          <w:rFonts w:asciiTheme="minorHAnsi" w:hAnsiTheme="minorHAnsi"/>
          <w:sz w:val="24"/>
          <w:szCs w:val="24"/>
        </w:rPr>
      </w:pPr>
      <w:r>
        <w:rPr>
          <w:rFonts w:asciiTheme="minorHAnsi" w:hAnsiTheme="minorHAnsi"/>
          <w:sz w:val="24"/>
          <w:szCs w:val="24"/>
        </w:rPr>
        <w:t xml:space="preserve">The two examples above provide tangible examples of where the exercise of market power has created competitive anomalies in our industry and, at least in our view, provides a compelling case for the </w:t>
      </w:r>
      <w:r w:rsidR="008832C8">
        <w:rPr>
          <w:rFonts w:asciiTheme="minorHAnsi" w:hAnsiTheme="minorHAnsi"/>
          <w:sz w:val="24"/>
          <w:szCs w:val="24"/>
        </w:rPr>
        <w:t xml:space="preserve">wholesale </w:t>
      </w:r>
      <w:r>
        <w:rPr>
          <w:rFonts w:asciiTheme="minorHAnsi" w:hAnsiTheme="minorHAnsi"/>
          <w:sz w:val="24"/>
          <w:szCs w:val="24"/>
        </w:rPr>
        <w:t>adoption of the changes to Section 46 identified in the Harper Review.</w:t>
      </w:r>
    </w:p>
    <w:p w:rsidR="000B6B75" w:rsidRDefault="000B6B75" w:rsidP="004C334C">
      <w:pPr>
        <w:spacing w:line="300" w:lineRule="exact"/>
        <w:rPr>
          <w:rFonts w:asciiTheme="minorHAnsi" w:hAnsiTheme="minorHAnsi"/>
          <w:sz w:val="24"/>
          <w:szCs w:val="24"/>
        </w:rPr>
      </w:pPr>
    </w:p>
    <w:p w:rsidR="000B6B75" w:rsidRDefault="000B6B75" w:rsidP="004C334C">
      <w:pPr>
        <w:spacing w:line="300" w:lineRule="exact"/>
        <w:rPr>
          <w:rFonts w:asciiTheme="minorHAnsi" w:hAnsiTheme="minorHAnsi"/>
          <w:sz w:val="24"/>
          <w:szCs w:val="24"/>
        </w:rPr>
      </w:pPr>
      <w:r>
        <w:rPr>
          <w:rFonts w:asciiTheme="minorHAnsi" w:hAnsiTheme="minorHAnsi"/>
          <w:sz w:val="24"/>
          <w:szCs w:val="24"/>
        </w:rPr>
        <w:t xml:space="preserve">Against this background, opponents of any change appear to be arguing that the changes proposed by Harper may result in endless legal debate which, while potentially a risk, pale in significance compared with the demonstrable damage to competition that is </w:t>
      </w:r>
      <w:r w:rsidR="008832C8">
        <w:rPr>
          <w:rFonts w:asciiTheme="minorHAnsi" w:hAnsiTheme="minorHAnsi"/>
          <w:sz w:val="24"/>
          <w:szCs w:val="24"/>
        </w:rPr>
        <w:t>now being observed</w:t>
      </w:r>
      <w:r>
        <w:rPr>
          <w:rFonts w:asciiTheme="minorHAnsi" w:hAnsiTheme="minorHAnsi"/>
          <w:sz w:val="24"/>
          <w:szCs w:val="24"/>
        </w:rPr>
        <w:t>.</w:t>
      </w:r>
    </w:p>
    <w:p w:rsidR="000B6B75" w:rsidRDefault="000B6B75" w:rsidP="004C334C">
      <w:pPr>
        <w:spacing w:line="300" w:lineRule="exact"/>
        <w:rPr>
          <w:rFonts w:asciiTheme="minorHAnsi" w:hAnsiTheme="minorHAnsi"/>
          <w:sz w:val="24"/>
          <w:szCs w:val="24"/>
        </w:rPr>
      </w:pPr>
    </w:p>
    <w:p w:rsidR="000B6B75" w:rsidRDefault="000B6B75" w:rsidP="004C334C">
      <w:pPr>
        <w:spacing w:line="300" w:lineRule="exact"/>
        <w:rPr>
          <w:rFonts w:asciiTheme="minorHAnsi" w:hAnsiTheme="minorHAnsi"/>
          <w:sz w:val="24"/>
          <w:szCs w:val="24"/>
        </w:rPr>
      </w:pPr>
      <w:r>
        <w:rPr>
          <w:rFonts w:asciiTheme="minorHAnsi" w:hAnsiTheme="minorHAnsi"/>
          <w:sz w:val="24"/>
          <w:szCs w:val="24"/>
        </w:rPr>
        <w:t xml:space="preserve">Consequently, we see this issue as </w:t>
      </w:r>
      <w:r w:rsidR="008832C8">
        <w:rPr>
          <w:rFonts w:asciiTheme="minorHAnsi" w:hAnsiTheme="minorHAnsi"/>
          <w:sz w:val="24"/>
          <w:szCs w:val="24"/>
        </w:rPr>
        <w:t xml:space="preserve">being </w:t>
      </w:r>
      <w:r>
        <w:rPr>
          <w:rFonts w:asciiTheme="minorHAnsi" w:hAnsiTheme="minorHAnsi"/>
          <w:sz w:val="24"/>
          <w:szCs w:val="24"/>
        </w:rPr>
        <w:t>a tussle between advocates of the need for change to avert competitive damage versus those that are worried about the legal complexity of addressing such damage</w:t>
      </w:r>
      <w:r w:rsidR="008832C8">
        <w:rPr>
          <w:rFonts w:asciiTheme="minorHAnsi" w:hAnsiTheme="minorHAnsi"/>
          <w:sz w:val="24"/>
          <w:szCs w:val="24"/>
        </w:rPr>
        <w:t xml:space="preserve"> in the future – the latter is not a valid argument for inaction</w:t>
      </w:r>
      <w:r w:rsidR="00F7615B">
        <w:rPr>
          <w:rFonts w:asciiTheme="minorHAnsi" w:hAnsiTheme="minorHAnsi"/>
          <w:sz w:val="24"/>
          <w:szCs w:val="24"/>
        </w:rPr>
        <w:t xml:space="preserve"> on its own</w:t>
      </w:r>
      <w:r>
        <w:rPr>
          <w:rFonts w:asciiTheme="minorHAnsi" w:hAnsiTheme="minorHAnsi"/>
          <w:sz w:val="24"/>
          <w:szCs w:val="24"/>
        </w:rPr>
        <w:t>.</w:t>
      </w:r>
    </w:p>
    <w:p w:rsidR="000B6B75" w:rsidRDefault="000B6B75" w:rsidP="004C334C">
      <w:pPr>
        <w:spacing w:line="300" w:lineRule="exact"/>
        <w:rPr>
          <w:rFonts w:asciiTheme="minorHAnsi" w:hAnsiTheme="minorHAnsi"/>
          <w:sz w:val="24"/>
          <w:szCs w:val="24"/>
        </w:rPr>
      </w:pPr>
    </w:p>
    <w:p w:rsidR="000B6B75" w:rsidRDefault="000B6B75" w:rsidP="004C334C">
      <w:pPr>
        <w:spacing w:line="300" w:lineRule="exact"/>
        <w:rPr>
          <w:rFonts w:asciiTheme="minorHAnsi" w:hAnsiTheme="minorHAnsi"/>
          <w:sz w:val="24"/>
          <w:szCs w:val="24"/>
        </w:rPr>
      </w:pPr>
      <w:r>
        <w:rPr>
          <w:rFonts w:asciiTheme="minorHAnsi" w:hAnsiTheme="minorHAnsi"/>
          <w:sz w:val="24"/>
          <w:szCs w:val="24"/>
        </w:rPr>
        <w:t xml:space="preserve">In reality, however, we believe that the proposed changes would have a significant deterrent effect in the first instance and that the issue of legal complexity would largely be resolved by the subsequent creation of legal precedent </w:t>
      </w:r>
      <w:r w:rsidR="008832C8">
        <w:rPr>
          <w:rFonts w:asciiTheme="minorHAnsi" w:hAnsiTheme="minorHAnsi"/>
          <w:sz w:val="24"/>
          <w:szCs w:val="24"/>
        </w:rPr>
        <w:t>as</w:t>
      </w:r>
      <w:r>
        <w:rPr>
          <w:rFonts w:asciiTheme="minorHAnsi" w:hAnsiTheme="minorHAnsi"/>
          <w:sz w:val="24"/>
          <w:szCs w:val="24"/>
        </w:rPr>
        <w:t xml:space="preserve"> cases </w:t>
      </w:r>
      <w:r w:rsidR="008832C8">
        <w:rPr>
          <w:rFonts w:asciiTheme="minorHAnsi" w:hAnsiTheme="minorHAnsi"/>
          <w:sz w:val="24"/>
          <w:szCs w:val="24"/>
        </w:rPr>
        <w:t xml:space="preserve">are progressively </w:t>
      </w:r>
      <w:r>
        <w:rPr>
          <w:rFonts w:asciiTheme="minorHAnsi" w:hAnsiTheme="minorHAnsi"/>
          <w:sz w:val="24"/>
          <w:szCs w:val="24"/>
        </w:rPr>
        <w:t>brought under the new legislation.</w:t>
      </w:r>
    </w:p>
    <w:p w:rsidR="002852A3" w:rsidRDefault="002852A3" w:rsidP="004C334C">
      <w:pPr>
        <w:spacing w:line="300" w:lineRule="exact"/>
        <w:rPr>
          <w:rFonts w:asciiTheme="minorHAnsi" w:hAnsiTheme="minorHAnsi"/>
          <w:sz w:val="24"/>
          <w:szCs w:val="24"/>
        </w:rPr>
      </w:pPr>
    </w:p>
    <w:p w:rsidR="002852A3" w:rsidRPr="002852A3" w:rsidRDefault="002852A3" w:rsidP="002852A3">
      <w:pPr>
        <w:pStyle w:val="ListParagraph"/>
        <w:numPr>
          <w:ilvl w:val="0"/>
          <w:numId w:val="9"/>
        </w:numPr>
        <w:spacing w:line="300" w:lineRule="exact"/>
        <w:rPr>
          <w:rFonts w:asciiTheme="minorHAnsi" w:hAnsiTheme="minorHAnsi"/>
          <w:b/>
          <w:sz w:val="24"/>
          <w:szCs w:val="24"/>
          <w:u w:val="single"/>
        </w:rPr>
      </w:pPr>
      <w:r w:rsidRPr="002852A3">
        <w:rPr>
          <w:rFonts w:asciiTheme="minorHAnsi" w:hAnsiTheme="minorHAnsi"/>
          <w:b/>
          <w:sz w:val="24"/>
          <w:szCs w:val="24"/>
          <w:u w:val="single"/>
        </w:rPr>
        <w:t>Failure of the ACCC to secure a successful prosecution of Section 46 is testimony of itself</w:t>
      </w:r>
    </w:p>
    <w:p w:rsidR="002852A3" w:rsidRDefault="002852A3" w:rsidP="004C334C">
      <w:pPr>
        <w:spacing w:line="300" w:lineRule="exact"/>
        <w:rPr>
          <w:rFonts w:asciiTheme="minorHAnsi" w:hAnsiTheme="minorHAnsi"/>
          <w:sz w:val="24"/>
          <w:szCs w:val="24"/>
        </w:rPr>
      </w:pPr>
    </w:p>
    <w:p w:rsidR="002852A3" w:rsidRDefault="000B6B75" w:rsidP="004C334C">
      <w:pPr>
        <w:spacing w:line="300" w:lineRule="exact"/>
        <w:rPr>
          <w:rFonts w:asciiTheme="minorHAnsi" w:hAnsiTheme="minorHAnsi"/>
          <w:sz w:val="24"/>
          <w:szCs w:val="24"/>
        </w:rPr>
      </w:pPr>
      <w:r>
        <w:rPr>
          <w:rFonts w:asciiTheme="minorHAnsi" w:hAnsiTheme="minorHAnsi"/>
          <w:sz w:val="24"/>
          <w:szCs w:val="24"/>
        </w:rPr>
        <w:t xml:space="preserve">We note that the ACCC has not successfully prosecuted a single case under </w:t>
      </w:r>
      <w:r w:rsidR="008832C8">
        <w:rPr>
          <w:rFonts w:asciiTheme="minorHAnsi" w:hAnsiTheme="minorHAnsi"/>
          <w:sz w:val="24"/>
          <w:szCs w:val="24"/>
        </w:rPr>
        <w:t>Section 46</w:t>
      </w:r>
      <w:r w:rsidR="008E1029">
        <w:rPr>
          <w:rFonts w:asciiTheme="minorHAnsi" w:hAnsiTheme="minorHAnsi"/>
          <w:sz w:val="24"/>
          <w:szCs w:val="24"/>
        </w:rPr>
        <w:t>. We</w:t>
      </w:r>
      <w:r w:rsidR="008832C8">
        <w:rPr>
          <w:rFonts w:asciiTheme="minorHAnsi" w:hAnsiTheme="minorHAnsi"/>
          <w:sz w:val="24"/>
          <w:szCs w:val="24"/>
        </w:rPr>
        <w:t xml:space="preserve"> therefore question the value of any loss of jurisprudence associated with the introduction of </w:t>
      </w:r>
      <w:r w:rsidR="008E1029">
        <w:rPr>
          <w:rFonts w:asciiTheme="minorHAnsi" w:hAnsiTheme="minorHAnsi"/>
          <w:sz w:val="24"/>
          <w:szCs w:val="24"/>
        </w:rPr>
        <w:t xml:space="preserve">an effects test (i.e. </w:t>
      </w:r>
      <w:r w:rsidR="008832C8">
        <w:rPr>
          <w:rFonts w:asciiTheme="minorHAnsi" w:hAnsiTheme="minorHAnsi"/>
          <w:sz w:val="24"/>
          <w:szCs w:val="24"/>
        </w:rPr>
        <w:t xml:space="preserve">mandatory factors for investigation </w:t>
      </w:r>
      <w:r w:rsidR="008E1029">
        <w:rPr>
          <w:rFonts w:asciiTheme="minorHAnsi" w:hAnsiTheme="minorHAnsi"/>
          <w:sz w:val="24"/>
          <w:szCs w:val="24"/>
        </w:rPr>
        <w:t>by a court) under</w:t>
      </w:r>
      <w:r w:rsidR="008832C8">
        <w:rPr>
          <w:rFonts w:asciiTheme="minorHAnsi" w:hAnsiTheme="minorHAnsi"/>
          <w:sz w:val="24"/>
          <w:szCs w:val="24"/>
        </w:rPr>
        <w:t xml:space="preserve"> this Section of the CCA</w:t>
      </w:r>
      <w:r w:rsidR="008E1029">
        <w:rPr>
          <w:rFonts w:asciiTheme="minorHAnsi" w:hAnsiTheme="minorHAnsi"/>
          <w:sz w:val="24"/>
          <w:szCs w:val="24"/>
        </w:rPr>
        <w:t>.</w:t>
      </w:r>
    </w:p>
    <w:p w:rsidR="000B6B75" w:rsidRDefault="000B6B75" w:rsidP="004C334C">
      <w:pPr>
        <w:spacing w:line="300" w:lineRule="exact"/>
        <w:rPr>
          <w:rFonts w:asciiTheme="minorHAnsi" w:hAnsiTheme="minorHAnsi"/>
          <w:sz w:val="24"/>
          <w:szCs w:val="24"/>
        </w:rPr>
      </w:pPr>
    </w:p>
    <w:p w:rsidR="00E56A86" w:rsidRDefault="000B6B75" w:rsidP="004C334C">
      <w:pPr>
        <w:spacing w:line="300" w:lineRule="exact"/>
        <w:rPr>
          <w:rFonts w:asciiTheme="minorHAnsi" w:hAnsiTheme="minorHAnsi"/>
          <w:sz w:val="24"/>
          <w:szCs w:val="24"/>
        </w:rPr>
      </w:pPr>
      <w:r>
        <w:rPr>
          <w:rFonts w:asciiTheme="minorHAnsi" w:hAnsiTheme="minorHAnsi"/>
          <w:sz w:val="24"/>
          <w:szCs w:val="24"/>
        </w:rPr>
        <w:t xml:space="preserve">At its most simplest, the absence of successful prosecutions for misuse of market power </w:t>
      </w:r>
      <w:r w:rsidR="008832C8">
        <w:rPr>
          <w:rFonts w:asciiTheme="minorHAnsi" w:hAnsiTheme="minorHAnsi"/>
          <w:sz w:val="24"/>
          <w:szCs w:val="24"/>
        </w:rPr>
        <w:t>could mean two things.</w:t>
      </w:r>
      <w:r w:rsidR="00E56A86">
        <w:rPr>
          <w:rFonts w:asciiTheme="minorHAnsi" w:hAnsiTheme="minorHAnsi"/>
          <w:sz w:val="24"/>
          <w:szCs w:val="24"/>
        </w:rPr>
        <w:t xml:space="preserve"> </w:t>
      </w:r>
    </w:p>
    <w:p w:rsidR="00E56A86" w:rsidRDefault="00E56A86" w:rsidP="004C334C">
      <w:pPr>
        <w:spacing w:line="300" w:lineRule="exact"/>
        <w:rPr>
          <w:rFonts w:asciiTheme="minorHAnsi" w:hAnsiTheme="minorHAnsi"/>
          <w:sz w:val="24"/>
          <w:szCs w:val="24"/>
        </w:rPr>
      </w:pPr>
    </w:p>
    <w:p w:rsidR="000B6B75" w:rsidRDefault="000B6B75" w:rsidP="004C334C">
      <w:pPr>
        <w:spacing w:line="300" w:lineRule="exact"/>
        <w:rPr>
          <w:rFonts w:asciiTheme="minorHAnsi" w:hAnsiTheme="minorHAnsi"/>
          <w:sz w:val="24"/>
          <w:szCs w:val="24"/>
        </w:rPr>
      </w:pPr>
      <w:r>
        <w:rPr>
          <w:rFonts w:asciiTheme="minorHAnsi" w:hAnsiTheme="minorHAnsi"/>
          <w:sz w:val="24"/>
          <w:szCs w:val="24"/>
        </w:rPr>
        <w:t>Either, there have been no material breaches and therefore the clause is no longer necessary or that the clause – as drafted – does not provide an efficient and effective means for prosecution of such allegations.</w:t>
      </w:r>
    </w:p>
    <w:p w:rsidR="000B6B75" w:rsidRDefault="000B6B75" w:rsidP="004C334C">
      <w:pPr>
        <w:spacing w:line="300" w:lineRule="exact"/>
        <w:rPr>
          <w:rFonts w:asciiTheme="minorHAnsi" w:hAnsiTheme="minorHAnsi"/>
          <w:sz w:val="24"/>
          <w:szCs w:val="24"/>
        </w:rPr>
      </w:pPr>
    </w:p>
    <w:p w:rsidR="000B6B75" w:rsidRDefault="000B6B75" w:rsidP="004C334C">
      <w:pPr>
        <w:spacing w:line="300" w:lineRule="exact"/>
        <w:rPr>
          <w:rFonts w:asciiTheme="minorHAnsi" w:hAnsiTheme="minorHAnsi"/>
          <w:sz w:val="24"/>
          <w:szCs w:val="24"/>
        </w:rPr>
      </w:pPr>
      <w:r>
        <w:rPr>
          <w:rFonts w:asciiTheme="minorHAnsi" w:hAnsiTheme="minorHAnsi"/>
          <w:sz w:val="24"/>
          <w:szCs w:val="24"/>
        </w:rPr>
        <w:t>For the reasons cited above, we are strongly of the view that the failure of the ACCC to secure a successful prosecution for breach of market power action can be solely attributed to the inadequacy of the existing legislation.</w:t>
      </w:r>
    </w:p>
    <w:p w:rsidR="002852A3" w:rsidRDefault="002852A3" w:rsidP="004C334C">
      <w:pPr>
        <w:spacing w:line="300" w:lineRule="exact"/>
        <w:rPr>
          <w:rFonts w:asciiTheme="minorHAnsi" w:hAnsiTheme="minorHAnsi"/>
          <w:sz w:val="24"/>
          <w:szCs w:val="24"/>
        </w:rPr>
      </w:pPr>
    </w:p>
    <w:p w:rsidR="002852A3" w:rsidRDefault="002852A3" w:rsidP="004C334C">
      <w:pPr>
        <w:spacing w:line="300" w:lineRule="exact"/>
        <w:rPr>
          <w:rFonts w:asciiTheme="minorHAnsi" w:hAnsiTheme="minorHAnsi"/>
          <w:sz w:val="24"/>
          <w:szCs w:val="24"/>
        </w:rPr>
      </w:pPr>
    </w:p>
    <w:p w:rsidR="008E1029" w:rsidRDefault="008E1029" w:rsidP="004C334C">
      <w:pPr>
        <w:spacing w:line="300" w:lineRule="exact"/>
        <w:rPr>
          <w:rFonts w:asciiTheme="minorHAnsi" w:hAnsiTheme="minorHAnsi"/>
          <w:sz w:val="24"/>
          <w:szCs w:val="24"/>
        </w:rPr>
      </w:pPr>
    </w:p>
    <w:p w:rsidR="00C004CB" w:rsidRPr="000B6B75" w:rsidRDefault="00517D0B" w:rsidP="000B6B75">
      <w:pPr>
        <w:pStyle w:val="ListParagraph"/>
        <w:numPr>
          <w:ilvl w:val="0"/>
          <w:numId w:val="9"/>
        </w:numPr>
        <w:spacing w:line="300" w:lineRule="exact"/>
        <w:rPr>
          <w:rFonts w:asciiTheme="minorHAnsi" w:hAnsiTheme="minorHAnsi"/>
          <w:b/>
          <w:sz w:val="24"/>
          <w:szCs w:val="24"/>
          <w:u w:val="single"/>
        </w:rPr>
      </w:pPr>
      <w:r w:rsidRPr="000B6B75">
        <w:rPr>
          <w:rFonts w:asciiTheme="minorHAnsi" w:hAnsiTheme="minorHAnsi"/>
          <w:b/>
          <w:sz w:val="24"/>
          <w:szCs w:val="24"/>
          <w:u w:val="single"/>
        </w:rPr>
        <w:lastRenderedPageBreak/>
        <w:t>Summary</w:t>
      </w:r>
    </w:p>
    <w:p w:rsidR="00C004CB" w:rsidRDefault="00C004CB" w:rsidP="004C334C">
      <w:pPr>
        <w:spacing w:line="300" w:lineRule="exact"/>
        <w:rPr>
          <w:rFonts w:asciiTheme="minorHAnsi" w:hAnsiTheme="minorHAnsi"/>
          <w:sz w:val="24"/>
          <w:szCs w:val="24"/>
        </w:rPr>
      </w:pPr>
    </w:p>
    <w:p w:rsidR="00976743" w:rsidRDefault="000B6B75" w:rsidP="000B6B75">
      <w:pPr>
        <w:spacing w:line="300" w:lineRule="exact"/>
        <w:rPr>
          <w:rFonts w:asciiTheme="minorHAnsi" w:hAnsiTheme="minorHAnsi"/>
          <w:sz w:val="24"/>
          <w:szCs w:val="24"/>
        </w:rPr>
      </w:pPr>
      <w:r>
        <w:rPr>
          <w:rFonts w:asciiTheme="minorHAnsi" w:hAnsiTheme="minorHAnsi"/>
          <w:sz w:val="24"/>
          <w:szCs w:val="24"/>
        </w:rPr>
        <w:t xml:space="preserve">For the reasons cited above, </w:t>
      </w:r>
      <w:r w:rsidR="00517D0B">
        <w:rPr>
          <w:rFonts w:asciiTheme="minorHAnsi" w:hAnsiTheme="minorHAnsi"/>
          <w:sz w:val="24"/>
          <w:szCs w:val="24"/>
        </w:rPr>
        <w:t xml:space="preserve">ACAPMA </w:t>
      </w:r>
      <w:r w:rsidR="00AA01F0">
        <w:rPr>
          <w:rFonts w:asciiTheme="minorHAnsi" w:hAnsiTheme="minorHAnsi"/>
          <w:sz w:val="24"/>
          <w:szCs w:val="24"/>
        </w:rPr>
        <w:t>offers the following critique on the six options canvassed in the latest Discussion Paper”</w:t>
      </w:r>
    </w:p>
    <w:p w:rsidR="00AA01F0" w:rsidRPr="00AA01F0" w:rsidRDefault="00AA01F0" w:rsidP="00AA01F0">
      <w:pPr>
        <w:pStyle w:val="ListParagraph"/>
        <w:numPr>
          <w:ilvl w:val="0"/>
          <w:numId w:val="10"/>
        </w:numPr>
        <w:spacing w:before="120" w:line="300" w:lineRule="exact"/>
        <w:ind w:left="357" w:hanging="357"/>
        <w:contextualSpacing w:val="0"/>
        <w:rPr>
          <w:rFonts w:asciiTheme="minorHAnsi" w:hAnsiTheme="minorHAnsi"/>
          <w:sz w:val="24"/>
          <w:szCs w:val="24"/>
        </w:rPr>
      </w:pPr>
      <w:r w:rsidRPr="00AA01F0">
        <w:rPr>
          <w:rFonts w:asciiTheme="minorHAnsi" w:hAnsiTheme="minorHAnsi"/>
          <w:b/>
          <w:sz w:val="24"/>
          <w:szCs w:val="24"/>
        </w:rPr>
        <w:t>Options A and B</w:t>
      </w:r>
      <w:r w:rsidRPr="00AA01F0">
        <w:rPr>
          <w:rFonts w:asciiTheme="minorHAnsi" w:hAnsiTheme="minorHAnsi"/>
          <w:sz w:val="24"/>
          <w:szCs w:val="24"/>
        </w:rPr>
        <w:t xml:space="preserve"> are not supported on the basis that they will not address the material concerns arising from the past decade of experience relating to the operation of the CCA’s misuse of market power provisions.</w:t>
      </w:r>
    </w:p>
    <w:p w:rsidR="00AA01F0" w:rsidRPr="00AA01F0" w:rsidRDefault="00AA01F0" w:rsidP="00AA01F0">
      <w:pPr>
        <w:pStyle w:val="ListParagraph"/>
        <w:numPr>
          <w:ilvl w:val="0"/>
          <w:numId w:val="10"/>
        </w:numPr>
        <w:spacing w:before="120" w:line="300" w:lineRule="exact"/>
        <w:ind w:left="357" w:hanging="357"/>
        <w:contextualSpacing w:val="0"/>
        <w:rPr>
          <w:rFonts w:asciiTheme="minorHAnsi" w:hAnsiTheme="minorHAnsi"/>
          <w:sz w:val="24"/>
          <w:szCs w:val="24"/>
        </w:rPr>
      </w:pPr>
      <w:r w:rsidRPr="00AA01F0">
        <w:rPr>
          <w:rFonts w:asciiTheme="minorHAnsi" w:hAnsiTheme="minorHAnsi"/>
          <w:b/>
          <w:sz w:val="24"/>
          <w:szCs w:val="24"/>
        </w:rPr>
        <w:t>Options C and D</w:t>
      </w:r>
      <w:r w:rsidRPr="00AA01F0">
        <w:rPr>
          <w:rFonts w:asciiTheme="minorHAnsi" w:hAnsiTheme="minorHAnsi"/>
          <w:sz w:val="24"/>
          <w:szCs w:val="24"/>
        </w:rPr>
        <w:t xml:space="preserve"> are not supported in that each of these options retains the purpose only provisions of the existing clause – provisions which are nigh on impossible to prove without the assistance of a ‘whistle blower’ or company documents that may have been leaked (i.e. deliberately or inadvertently.</w:t>
      </w:r>
    </w:p>
    <w:p w:rsidR="00AA01F0" w:rsidRPr="00AA01F0" w:rsidRDefault="00AA01F0" w:rsidP="00AA01F0">
      <w:pPr>
        <w:pStyle w:val="ListParagraph"/>
        <w:numPr>
          <w:ilvl w:val="0"/>
          <w:numId w:val="10"/>
        </w:numPr>
        <w:spacing w:before="120" w:line="300" w:lineRule="exact"/>
        <w:ind w:left="357" w:hanging="357"/>
        <w:contextualSpacing w:val="0"/>
        <w:rPr>
          <w:rFonts w:asciiTheme="minorHAnsi" w:hAnsiTheme="minorHAnsi"/>
          <w:sz w:val="24"/>
          <w:szCs w:val="24"/>
        </w:rPr>
      </w:pPr>
      <w:r w:rsidRPr="00AA01F0">
        <w:rPr>
          <w:rFonts w:asciiTheme="minorHAnsi" w:hAnsiTheme="minorHAnsi"/>
          <w:b/>
          <w:sz w:val="24"/>
          <w:szCs w:val="24"/>
        </w:rPr>
        <w:t xml:space="preserve">Option E </w:t>
      </w:r>
      <w:r w:rsidRPr="00AA01F0">
        <w:rPr>
          <w:rFonts w:asciiTheme="minorHAnsi" w:hAnsiTheme="minorHAnsi"/>
          <w:sz w:val="24"/>
          <w:szCs w:val="24"/>
        </w:rPr>
        <w:t xml:space="preserve">is supported in terms of its extension to incorporate consideration of ‘purpose, effect or likely effect’. The failure to include mandatory factors for the court to consider, however, means that the parties would </w:t>
      </w:r>
      <w:r w:rsidR="00E56A86">
        <w:rPr>
          <w:rFonts w:asciiTheme="minorHAnsi" w:hAnsiTheme="minorHAnsi"/>
          <w:sz w:val="24"/>
          <w:szCs w:val="24"/>
        </w:rPr>
        <w:t xml:space="preserve">potentially </w:t>
      </w:r>
      <w:r w:rsidRPr="00AA01F0">
        <w:rPr>
          <w:rFonts w:asciiTheme="minorHAnsi" w:hAnsiTheme="minorHAnsi"/>
          <w:sz w:val="24"/>
          <w:szCs w:val="24"/>
        </w:rPr>
        <w:t xml:space="preserve">need to engage in complex (and unbounded) economic analysis to ascertain whether the actions of a particular company actually deliver a net benefit to consumers. </w:t>
      </w:r>
      <w:r w:rsidR="00B643C3">
        <w:rPr>
          <w:rFonts w:asciiTheme="minorHAnsi" w:hAnsiTheme="minorHAnsi"/>
          <w:sz w:val="24"/>
          <w:szCs w:val="24"/>
        </w:rPr>
        <w:t>Nonetheless, this option would appear to be an acceptable compromise between doing nothing and full implementation of the recommendations of the Harper Review (see Option F below).</w:t>
      </w:r>
    </w:p>
    <w:p w:rsidR="00AA01F0" w:rsidRPr="00AA01F0" w:rsidRDefault="00AA01F0" w:rsidP="00AA01F0">
      <w:pPr>
        <w:pStyle w:val="ListParagraph"/>
        <w:numPr>
          <w:ilvl w:val="0"/>
          <w:numId w:val="10"/>
        </w:numPr>
        <w:spacing w:before="120" w:line="300" w:lineRule="exact"/>
        <w:ind w:left="357" w:hanging="357"/>
        <w:contextualSpacing w:val="0"/>
        <w:rPr>
          <w:rFonts w:asciiTheme="minorHAnsi" w:hAnsiTheme="minorHAnsi"/>
          <w:sz w:val="24"/>
          <w:szCs w:val="24"/>
        </w:rPr>
      </w:pPr>
      <w:r w:rsidRPr="00AA01F0">
        <w:rPr>
          <w:rFonts w:asciiTheme="minorHAnsi" w:hAnsiTheme="minorHAnsi"/>
          <w:b/>
          <w:sz w:val="24"/>
          <w:szCs w:val="24"/>
        </w:rPr>
        <w:t>Option F</w:t>
      </w:r>
      <w:r w:rsidRPr="00AA01F0">
        <w:rPr>
          <w:rFonts w:asciiTheme="minorHAnsi" w:hAnsiTheme="minorHAnsi"/>
          <w:sz w:val="24"/>
          <w:szCs w:val="24"/>
        </w:rPr>
        <w:t xml:space="preserve"> continues to be preferred option of ACAPMA as it both removes the ‘take advantage’ provisions and establishes mandatory factors for the investigation of misuse of market power allegations. </w:t>
      </w:r>
      <w:r w:rsidR="00E56A86">
        <w:rPr>
          <w:rFonts w:asciiTheme="minorHAnsi" w:hAnsiTheme="minorHAnsi"/>
          <w:sz w:val="24"/>
          <w:szCs w:val="24"/>
        </w:rPr>
        <w:t>That said, we openly acknowledge that this option may be considered by some stakeholders as a step too far.</w:t>
      </w:r>
    </w:p>
    <w:p w:rsidR="00552CFE" w:rsidRDefault="00552CFE" w:rsidP="004C334C">
      <w:pPr>
        <w:spacing w:line="300" w:lineRule="exact"/>
        <w:rPr>
          <w:rFonts w:asciiTheme="minorHAnsi" w:hAnsiTheme="minorHAnsi"/>
          <w:sz w:val="24"/>
          <w:szCs w:val="24"/>
        </w:rPr>
      </w:pPr>
    </w:p>
    <w:p w:rsidR="00AA01F0" w:rsidRDefault="00AA01F0" w:rsidP="004C334C">
      <w:pPr>
        <w:spacing w:line="300" w:lineRule="exact"/>
        <w:rPr>
          <w:rFonts w:asciiTheme="minorHAnsi" w:hAnsiTheme="minorHAnsi"/>
          <w:sz w:val="24"/>
          <w:szCs w:val="24"/>
        </w:rPr>
      </w:pPr>
      <w:r>
        <w:rPr>
          <w:rFonts w:asciiTheme="minorHAnsi" w:hAnsiTheme="minorHAnsi"/>
          <w:sz w:val="24"/>
          <w:szCs w:val="24"/>
        </w:rPr>
        <w:t>ACAPMA believes th</w:t>
      </w:r>
      <w:r w:rsidR="00E56A86">
        <w:rPr>
          <w:rFonts w:asciiTheme="minorHAnsi" w:hAnsiTheme="minorHAnsi"/>
          <w:sz w:val="24"/>
          <w:szCs w:val="24"/>
        </w:rPr>
        <w:t xml:space="preserve">at the implementation of Options E or </w:t>
      </w:r>
      <w:r>
        <w:rPr>
          <w:rFonts w:asciiTheme="minorHAnsi" w:hAnsiTheme="minorHAnsi"/>
          <w:sz w:val="24"/>
          <w:szCs w:val="24"/>
        </w:rPr>
        <w:t xml:space="preserve">F </w:t>
      </w:r>
      <w:r w:rsidR="00E56A86">
        <w:rPr>
          <w:rFonts w:asciiTheme="minorHAnsi" w:hAnsiTheme="minorHAnsi"/>
          <w:sz w:val="24"/>
          <w:szCs w:val="24"/>
        </w:rPr>
        <w:t>are</w:t>
      </w:r>
      <w:r>
        <w:rPr>
          <w:rFonts w:asciiTheme="minorHAnsi" w:hAnsiTheme="minorHAnsi"/>
          <w:sz w:val="24"/>
          <w:szCs w:val="24"/>
        </w:rPr>
        <w:t xml:space="preserve"> required in order to protect the long term interests of consumers by creating an environment where the economic returns of innovation and capital investment can be realised by both big and small business.</w:t>
      </w:r>
    </w:p>
    <w:p w:rsidR="00AA01F0" w:rsidRDefault="00AA01F0" w:rsidP="004C334C">
      <w:pPr>
        <w:spacing w:line="300" w:lineRule="exact"/>
        <w:rPr>
          <w:rFonts w:asciiTheme="minorHAnsi" w:hAnsiTheme="minorHAnsi"/>
          <w:sz w:val="24"/>
          <w:szCs w:val="24"/>
        </w:rPr>
      </w:pPr>
    </w:p>
    <w:p w:rsidR="00AA01F0" w:rsidRDefault="00E56A86" w:rsidP="004C334C">
      <w:pPr>
        <w:spacing w:line="300" w:lineRule="exact"/>
        <w:rPr>
          <w:rFonts w:asciiTheme="minorHAnsi" w:hAnsiTheme="minorHAnsi"/>
          <w:sz w:val="24"/>
          <w:szCs w:val="24"/>
        </w:rPr>
      </w:pPr>
      <w:r>
        <w:rPr>
          <w:rFonts w:asciiTheme="minorHAnsi" w:hAnsiTheme="minorHAnsi"/>
          <w:sz w:val="24"/>
          <w:szCs w:val="24"/>
        </w:rPr>
        <w:t>Should you require any further information on this matter, or there be an opportunity to further participate in the consultative process, please contact me directly.</w:t>
      </w:r>
    </w:p>
    <w:p w:rsidR="00E56A86" w:rsidRDefault="00E56A86" w:rsidP="004C334C">
      <w:pPr>
        <w:spacing w:line="300" w:lineRule="exact"/>
        <w:rPr>
          <w:rFonts w:asciiTheme="minorHAnsi" w:hAnsiTheme="minorHAnsi"/>
          <w:sz w:val="24"/>
          <w:szCs w:val="24"/>
        </w:rPr>
      </w:pPr>
    </w:p>
    <w:p w:rsidR="001B3595" w:rsidRDefault="001B3595" w:rsidP="004C334C">
      <w:pPr>
        <w:spacing w:line="300" w:lineRule="exact"/>
        <w:rPr>
          <w:rFonts w:asciiTheme="minorHAnsi" w:hAnsiTheme="minorHAnsi"/>
          <w:sz w:val="24"/>
          <w:szCs w:val="24"/>
        </w:rPr>
      </w:pPr>
      <w:r w:rsidRPr="009F4E1E">
        <w:rPr>
          <w:rFonts w:asciiTheme="minorHAnsi" w:hAnsiTheme="minorHAnsi"/>
          <w:sz w:val="24"/>
          <w:szCs w:val="24"/>
        </w:rPr>
        <w:t>Yours sincerely,</w:t>
      </w:r>
    </w:p>
    <w:p w:rsidR="004C334C" w:rsidRDefault="004C334C" w:rsidP="004C334C">
      <w:pPr>
        <w:spacing w:line="300" w:lineRule="exact"/>
        <w:rPr>
          <w:rFonts w:asciiTheme="minorHAnsi" w:hAnsiTheme="minorHAnsi"/>
          <w:sz w:val="24"/>
          <w:szCs w:val="24"/>
        </w:rPr>
      </w:pPr>
    </w:p>
    <w:p w:rsidR="004C334C" w:rsidRDefault="004C334C" w:rsidP="004C334C">
      <w:pPr>
        <w:spacing w:line="300" w:lineRule="exact"/>
        <w:rPr>
          <w:rFonts w:asciiTheme="minorHAnsi" w:hAnsiTheme="minorHAnsi"/>
          <w:sz w:val="24"/>
          <w:szCs w:val="24"/>
        </w:rPr>
      </w:pPr>
    </w:p>
    <w:p w:rsidR="001B3595" w:rsidRDefault="001B3595" w:rsidP="004C334C">
      <w:pPr>
        <w:spacing w:line="300" w:lineRule="exact"/>
        <w:rPr>
          <w:rFonts w:asciiTheme="minorHAnsi" w:hAnsiTheme="minorHAnsi"/>
          <w:sz w:val="24"/>
          <w:szCs w:val="24"/>
        </w:rPr>
      </w:pPr>
    </w:p>
    <w:p w:rsidR="00907E6E" w:rsidRPr="009F4E1E" w:rsidRDefault="00907E6E" w:rsidP="004C334C">
      <w:pPr>
        <w:spacing w:line="300" w:lineRule="exact"/>
        <w:rPr>
          <w:rFonts w:asciiTheme="minorHAnsi" w:hAnsiTheme="minorHAnsi"/>
          <w:sz w:val="24"/>
          <w:szCs w:val="24"/>
        </w:rPr>
      </w:pPr>
    </w:p>
    <w:p w:rsidR="00C5409C" w:rsidRPr="009F4E1E" w:rsidRDefault="001B3595" w:rsidP="004C334C">
      <w:pPr>
        <w:spacing w:line="300" w:lineRule="exact"/>
        <w:rPr>
          <w:rFonts w:asciiTheme="minorHAnsi" w:hAnsiTheme="minorHAnsi"/>
          <w:b/>
          <w:sz w:val="24"/>
          <w:szCs w:val="24"/>
        </w:rPr>
      </w:pPr>
      <w:r w:rsidRPr="009F4E1E">
        <w:rPr>
          <w:rFonts w:asciiTheme="minorHAnsi" w:hAnsiTheme="minorHAnsi"/>
          <w:b/>
          <w:sz w:val="24"/>
          <w:szCs w:val="24"/>
        </w:rPr>
        <w:t>Mark McKenzie</w:t>
      </w:r>
    </w:p>
    <w:p w:rsidR="00C5409C" w:rsidRPr="009F4E1E" w:rsidRDefault="001B3595" w:rsidP="004C334C">
      <w:pPr>
        <w:spacing w:line="300" w:lineRule="exact"/>
        <w:rPr>
          <w:rFonts w:asciiTheme="minorHAnsi" w:hAnsiTheme="minorHAnsi"/>
          <w:sz w:val="24"/>
          <w:szCs w:val="24"/>
        </w:rPr>
      </w:pPr>
      <w:r w:rsidRPr="009F4E1E">
        <w:rPr>
          <w:rFonts w:asciiTheme="minorHAnsi" w:hAnsiTheme="minorHAnsi"/>
          <w:sz w:val="24"/>
          <w:szCs w:val="24"/>
        </w:rPr>
        <w:t>Chief Executive Officer</w:t>
      </w:r>
    </w:p>
    <w:p w:rsidR="001B3595" w:rsidRPr="009F4E1E" w:rsidRDefault="001B3595" w:rsidP="004C334C">
      <w:pPr>
        <w:spacing w:before="120" w:line="300" w:lineRule="exact"/>
        <w:rPr>
          <w:rFonts w:asciiTheme="minorHAnsi" w:hAnsiTheme="minorHAnsi"/>
          <w:sz w:val="24"/>
          <w:szCs w:val="24"/>
        </w:rPr>
      </w:pPr>
      <w:r w:rsidRPr="009F4E1E">
        <w:rPr>
          <w:rFonts w:asciiTheme="minorHAnsi" w:hAnsiTheme="minorHAnsi"/>
          <w:b/>
          <w:sz w:val="24"/>
          <w:szCs w:val="24"/>
        </w:rPr>
        <w:t>P|</w:t>
      </w:r>
      <w:r w:rsidRPr="009F4E1E">
        <w:rPr>
          <w:rFonts w:asciiTheme="minorHAnsi" w:hAnsiTheme="minorHAnsi"/>
          <w:sz w:val="24"/>
          <w:szCs w:val="24"/>
        </w:rPr>
        <w:t xml:space="preserve"> 1300 160 270</w:t>
      </w:r>
    </w:p>
    <w:p w:rsidR="001B3595" w:rsidRPr="009F4E1E" w:rsidRDefault="001B3595" w:rsidP="004C334C">
      <w:pPr>
        <w:spacing w:line="300" w:lineRule="exact"/>
        <w:rPr>
          <w:rFonts w:asciiTheme="minorHAnsi" w:hAnsiTheme="minorHAnsi"/>
          <w:sz w:val="24"/>
          <w:szCs w:val="24"/>
        </w:rPr>
      </w:pPr>
      <w:r w:rsidRPr="009F4E1E">
        <w:rPr>
          <w:rFonts w:asciiTheme="minorHAnsi" w:hAnsiTheme="minorHAnsi"/>
          <w:b/>
          <w:sz w:val="24"/>
          <w:szCs w:val="24"/>
        </w:rPr>
        <w:t>M</w:t>
      </w:r>
      <w:r w:rsidRPr="009F4E1E">
        <w:rPr>
          <w:rFonts w:asciiTheme="minorHAnsi" w:hAnsiTheme="minorHAnsi"/>
          <w:sz w:val="24"/>
          <w:szCs w:val="24"/>
        </w:rPr>
        <w:t>| 0447 444 011</w:t>
      </w:r>
    </w:p>
    <w:p w:rsidR="0088135E" w:rsidRPr="001B3595" w:rsidRDefault="001B3595" w:rsidP="008832C8">
      <w:pPr>
        <w:spacing w:line="300" w:lineRule="exact"/>
        <w:rPr>
          <w:rFonts w:asciiTheme="minorHAnsi" w:hAnsiTheme="minorHAnsi"/>
          <w:sz w:val="24"/>
          <w:szCs w:val="24"/>
        </w:rPr>
      </w:pPr>
      <w:r w:rsidRPr="001B3595">
        <w:rPr>
          <w:rFonts w:asciiTheme="minorHAnsi" w:hAnsiTheme="minorHAnsi"/>
          <w:b/>
          <w:szCs w:val="22"/>
        </w:rPr>
        <w:t>E|</w:t>
      </w:r>
      <w:r w:rsidRPr="001B3595">
        <w:rPr>
          <w:rFonts w:asciiTheme="minorHAnsi" w:hAnsiTheme="minorHAnsi"/>
          <w:szCs w:val="22"/>
        </w:rPr>
        <w:t xml:space="preserve"> </w:t>
      </w:r>
      <w:hyperlink r:id="rId14" w:history="1">
        <w:r w:rsidRPr="001B3595">
          <w:rPr>
            <w:rStyle w:val="Hyperlink"/>
            <w:rFonts w:asciiTheme="minorHAnsi" w:hAnsiTheme="minorHAnsi"/>
            <w:szCs w:val="22"/>
          </w:rPr>
          <w:t>markm@acapma.com.au</w:t>
        </w:r>
      </w:hyperlink>
    </w:p>
    <w:sectPr w:rsidR="0088135E" w:rsidRPr="001B3595" w:rsidSect="006D4D48">
      <w:footerReference w:type="default" r:id="rId15"/>
      <w:headerReference w:type="first" r:id="rId16"/>
      <w:footerReference w:type="first" r:id="rId17"/>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E56" w:rsidRDefault="00084E56">
      <w:pPr>
        <w:spacing w:line="240" w:lineRule="auto"/>
      </w:pPr>
      <w:r>
        <w:separator/>
      </w:r>
    </w:p>
  </w:endnote>
  <w:endnote w:type="continuationSeparator" w:id="0">
    <w:p w:rsidR="00084E56" w:rsidRDefault="00084E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329901"/>
      <w:docPartObj>
        <w:docPartGallery w:val="Page Numbers (Bottom of Page)"/>
        <w:docPartUnique/>
      </w:docPartObj>
    </w:sdtPr>
    <w:sdtEndPr>
      <w:rPr>
        <w:noProof/>
        <w:sz w:val="20"/>
      </w:rPr>
    </w:sdtEndPr>
    <w:sdtContent>
      <w:p w:rsidR="0088135E" w:rsidRPr="0088135E" w:rsidRDefault="0088135E">
        <w:pPr>
          <w:pStyle w:val="Footer"/>
          <w:jc w:val="right"/>
          <w:rPr>
            <w:sz w:val="20"/>
          </w:rPr>
        </w:pPr>
        <w:r w:rsidRPr="0088135E">
          <w:rPr>
            <w:sz w:val="20"/>
          </w:rPr>
          <w:fldChar w:fldCharType="begin"/>
        </w:r>
        <w:r w:rsidRPr="0088135E">
          <w:rPr>
            <w:sz w:val="20"/>
          </w:rPr>
          <w:instrText xml:space="preserve"> PAGE   \* MERGEFORMAT </w:instrText>
        </w:r>
        <w:r w:rsidRPr="0088135E">
          <w:rPr>
            <w:sz w:val="20"/>
          </w:rPr>
          <w:fldChar w:fldCharType="separate"/>
        </w:r>
        <w:r w:rsidR="00EE7183">
          <w:rPr>
            <w:noProof/>
            <w:sz w:val="20"/>
          </w:rPr>
          <w:t>2</w:t>
        </w:r>
        <w:r w:rsidRPr="0088135E">
          <w:rPr>
            <w:noProof/>
            <w:sz w:val="20"/>
          </w:rPr>
          <w:fldChar w:fldCharType="end"/>
        </w:r>
      </w:p>
    </w:sdtContent>
  </w:sdt>
  <w:p w:rsidR="0041581C" w:rsidRPr="0088135E" w:rsidRDefault="0041581C" w:rsidP="008813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06" w:rsidRDefault="00036806" w:rsidP="001D1674">
    <w:pPr>
      <w:spacing w:line="240" w:lineRule="auto"/>
      <w:jc w:val="center"/>
      <w:rPr>
        <w:rFonts w:ascii="Calibri" w:eastAsia="Calibri" w:hAnsi="Calibri" w:cs="Calibri"/>
      </w:rPr>
    </w:pPr>
    <w:r>
      <w:rPr>
        <w:rFonts w:ascii="Calibri" w:eastAsia="Calibri" w:hAnsi="Calibri" w:cs="Calibri"/>
      </w:rPr>
      <w:t>P 1300 160 270 | F +61 2 8404 4160 | 56 Berry St North Sydney NSW 2060 | ABN: 71 506 541 351</w:t>
    </w:r>
  </w:p>
  <w:p w:rsidR="00036806" w:rsidRDefault="00EE7183" w:rsidP="005F2A33">
    <w:pPr>
      <w:spacing w:line="240" w:lineRule="auto"/>
      <w:jc w:val="center"/>
    </w:pPr>
    <w:hyperlink r:id="rId1" w:history="1">
      <w:r w:rsidR="00036806" w:rsidRPr="00436852">
        <w:rPr>
          <w:rStyle w:val="Hyperlink"/>
          <w:rFonts w:ascii="Calibri" w:eastAsia="Calibri" w:hAnsi="Calibri" w:cs="Calibri"/>
        </w:rPr>
        <w:t>www.acapma.com.au</w:t>
      </w:r>
    </w:hyperlink>
    <w:r w:rsidR="00036806">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E56" w:rsidRDefault="00084E56">
      <w:pPr>
        <w:spacing w:line="240" w:lineRule="auto"/>
      </w:pPr>
      <w:r>
        <w:separator/>
      </w:r>
    </w:p>
  </w:footnote>
  <w:footnote w:type="continuationSeparator" w:id="0">
    <w:p w:rsidR="00084E56" w:rsidRDefault="00084E5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A33" w:rsidRDefault="005F2A33" w:rsidP="00CE775E">
    <w:pPr>
      <w:pStyle w:val="Header"/>
      <w:jc w:val="both"/>
    </w:pPr>
    <w:r w:rsidRPr="00637A35">
      <w:rPr>
        <w:noProof/>
        <w:sz w:val="18"/>
      </w:rPr>
      <w:drawing>
        <wp:anchor distT="0" distB="0" distL="114300" distR="114300" simplePos="0" relativeHeight="251661312" behindDoc="0" locked="0" layoutInCell="1" allowOverlap="1" wp14:anchorId="6492C9B9" wp14:editId="6E51A921">
          <wp:simplePos x="0" y="0"/>
          <wp:positionH relativeFrom="margin">
            <wp:posOffset>0</wp:posOffset>
          </wp:positionH>
          <wp:positionV relativeFrom="paragraph">
            <wp:posOffset>-105410</wp:posOffset>
          </wp:positionV>
          <wp:extent cx="1634400" cy="43920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_logo_320x86.png"/>
                  <pic:cNvPicPr/>
                </pic:nvPicPr>
                <pic:blipFill>
                  <a:blip r:embed="rId1">
                    <a:extLst>
                      <a:ext uri="{28A0092B-C50C-407E-A947-70E740481C1C}">
                        <a14:useLocalDpi xmlns:a14="http://schemas.microsoft.com/office/drawing/2010/main" val="0"/>
                      </a:ext>
                    </a:extLst>
                  </a:blip>
                  <a:stretch>
                    <a:fillRect/>
                  </a:stretch>
                </pic:blipFill>
                <pic:spPr>
                  <a:xfrm>
                    <a:off x="0" y="0"/>
                    <a:ext cx="1634400" cy="43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C148C"/>
    <w:multiLevelType w:val="hybridMultilevel"/>
    <w:tmpl w:val="BEF2C23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12D52707"/>
    <w:multiLevelType w:val="hybridMultilevel"/>
    <w:tmpl w:val="DB5609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A3940FA"/>
    <w:multiLevelType w:val="hybridMultilevel"/>
    <w:tmpl w:val="F402AB8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52E66E9"/>
    <w:multiLevelType w:val="hybridMultilevel"/>
    <w:tmpl w:val="6A301C8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47717CB6"/>
    <w:multiLevelType w:val="hybridMultilevel"/>
    <w:tmpl w:val="E8C0B7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5E441B96"/>
    <w:multiLevelType w:val="hybridMultilevel"/>
    <w:tmpl w:val="5B1A7DF8"/>
    <w:lvl w:ilvl="0" w:tplc="6A9A136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6CE84AA3"/>
    <w:multiLevelType w:val="hybridMultilevel"/>
    <w:tmpl w:val="F65E3B6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7A9F6D57"/>
    <w:multiLevelType w:val="hybridMultilevel"/>
    <w:tmpl w:val="1E88C0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7C576B06"/>
    <w:multiLevelType w:val="hybridMultilevel"/>
    <w:tmpl w:val="C74083FC"/>
    <w:lvl w:ilvl="0" w:tplc="96A6DE2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7E3C15CD"/>
    <w:multiLevelType w:val="hybridMultilevel"/>
    <w:tmpl w:val="26DE68F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6"/>
  </w:num>
  <w:num w:numId="4">
    <w:abstractNumId w:val="9"/>
  </w:num>
  <w:num w:numId="5">
    <w:abstractNumId w:val="4"/>
  </w:num>
  <w:num w:numId="6">
    <w:abstractNumId w:val="7"/>
  </w:num>
  <w:num w:numId="7">
    <w:abstractNumId w:val="3"/>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09C"/>
    <w:rsid w:val="0001661E"/>
    <w:rsid w:val="0002600D"/>
    <w:rsid w:val="00036806"/>
    <w:rsid w:val="00052235"/>
    <w:rsid w:val="00063360"/>
    <w:rsid w:val="00084E56"/>
    <w:rsid w:val="00085C2B"/>
    <w:rsid w:val="000918CB"/>
    <w:rsid w:val="000A5B3C"/>
    <w:rsid w:val="000B6B75"/>
    <w:rsid w:val="0012344A"/>
    <w:rsid w:val="001463CB"/>
    <w:rsid w:val="001849C9"/>
    <w:rsid w:val="001B3595"/>
    <w:rsid w:val="001D1674"/>
    <w:rsid w:val="00203AD2"/>
    <w:rsid w:val="0024054A"/>
    <w:rsid w:val="00266A9B"/>
    <w:rsid w:val="002852A3"/>
    <w:rsid w:val="002D38DD"/>
    <w:rsid w:val="002E5111"/>
    <w:rsid w:val="00344711"/>
    <w:rsid w:val="003867CE"/>
    <w:rsid w:val="003B1E67"/>
    <w:rsid w:val="003C5D76"/>
    <w:rsid w:val="0041581C"/>
    <w:rsid w:val="00480CA9"/>
    <w:rsid w:val="004C334C"/>
    <w:rsid w:val="004D7F51"/>
    <w:rsid w:val="005067F0"/>
    <w:rsid w:val="00517D0B"/>
    <w:rsid w:val="005342F7"/>
    <w:rsid w:val="00552CFE"/>
    <w:rsid w:val="00555609"/>
    <w:rsid w:val="00560472"/>
    <w:rsid w:val="00581167"/>
    <w:rsid w:val="005949C0"/>
    <w:rsid w:val="005A15D0"/>
    <w:rsid w:val="005B75E1"/>
    <w:rsid w:val="005F2A33"/>
    <w:rsid w:val="005F2AD1"/>
    <w:rsid w:val="00657E0C"/>
    <w:rsid w:val="00664BC0"/>
    <w:rsid w:val="006A14C7"/>
    <w:rsid w:val="006C1CED"/>
    <w:rsid w:val="006D4D48"/>
    <w:rsid w:val="006F706A"/>
    <w:rsid w:val="00715C2B"/>
    <w:rsid w:val="00787540"/>
    <w:rsid w:val="007C4D0E"/>
    <w:rsid w:val="008056ED"/>
    <w:rsid w:val="00823A55"/>
    <w:rsid w:val="0088135E"/>
    <w:rsid w:val="008832C8"/>
    <w:rsid w:val="00897D37"/>
    <w:rsid w:val="008A47EC"/>
    <w:rsid w:val="008C6C55"/>
    <w:rsid w:val="008D48C2"/>
    <w:rsid w:val="008E1029"/>
    <w:rsid w:val="00907E6E"/>
    <w:rsid w:val="00954858"/>
    <w:rsid w:val="009647A4"/>
    <w:rsid w:val="00976743"/>
    <w:rsid w:val="009A3843"/>
    <w:rsid w:val="009A43F7"/>
    <w:rsid w:val="009C7304"/>
    <w:rsid w:val="009D126E"/>
    <w:rsid w:val="009F4E1E"/>
    <w:rsid w:val="00A13D4A"/>
    <w:rsid w:val="00A34418"/>
    <w:rsid w:val="00A456A6"/>
    <w:rsid w:val="00A94075"/>
    <w:rsid w:val="00A97DEB"/>
    <w:rsid w:val="00AA01F0"/>
    <w:rsid w:val="00AC6098"/>
    <w:rsid w:val="00AE0435"/>
    <w:rsid w:val="00AE213D"/>
    <w:rsid w:val="00B3317E"/>
    <w:rsid w:val="00B53118"/>
    <w:rsid w:val="00B643C3"/>
    <w:rsid w:val="00B84B9D"/>
    <w:rsid w:val="00B9691A"/>
    <w:rsid w:val="00BB6A07"/>
    <w:rsid w:val="00C004CB"/>
    <w:rsid w:val="00C3084F"/>
    <w:rsid w:val="00C3496A"/>
    <w:rsid w:val="00C352A5"/>
    <w:rsid w:val="00C5409C"/>
    <w:rsid w:val="00C812D4"/>
    <w:rsid w:val="00C8181F"/>
    <w:rsid w:val="00C92ABA"/>
    <w:rsid w:val="00CB13F3"/>
    <w:rsid w:val="00CB72A3"/>
    <w:rsid w:val="00CE775E"/>
    <w:rsid w:val="00CF5319"/>
    <w:rsid w:val="00D321AC"/>
    <w:rsid w:val="00D33724"/>
    <w:rsid w:val="00D47B19"/>
    <w:rsid w:val="00D55A3B"/>
    <w:rsid w:val="00D9391D"/>
    <w:rsid w:val="00DE3F47"/>
    <w:rsid w:val="00E06EB1"/>
    <w:rsid w:val="00E40BA7"/>
    <w:rsid w:val="00E42D31"/>
    <w:rsid w:val="00E56A86"/>
    <w:rsid w:val="00E62089"/>
    <w:rsid w:val="00EC1539"/>
    <w:rsid w:val="00EE7183"/>
    <w:rsid w:val="00F214A9"/>
    <w:rsid w:val="00F27EEE"/>
    <w:rsid w:val="00F6294A"/>
    <w:rsid w:val="00F71729"/>
    <w:rsid w:val="00F7615B"/>
    <w:rsid w:val="00F95524"/>
    <w:rsid w:val="00FD50DB"/>
    <w:rsid w:val="00FE3F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AU"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character" w:styleId="Hyperlink">
    <w:name w:val="Hyperlink"/>
    <w:basedOn w:val="DefaultParagraphFont"/>
    <w:uiPriority w:val="99"/>
    <w:unhideWhenUsed/>
    <w:rsid w:val="001B3595"/>
    <w:rPr>
      <w:color w:val="0563C1" w:themeColor="hyperlink"/>
      <w:u w:val="single"/>
    </w:rPr>
  </w:style>
  <w:style w:type="paragraph" w:styleId="ListParagraph">
    <w:name w:val="List Paragraph"/>
    <w:basedOn w:val="Normal"/>
    <w:uiPriority w:val="34"/>
    <w:qFormat/>
    <w:rsid w:val="005A15D0"/>
    <w:pPr>
      <w:ind w:left="720"/>
      <w:contextualSpacing/>
    </w:pPr>
  </w:style>
  <w:style w:type="paragraph" w:styleId="Header">
    <w:name w:val="header"/>
    <w:basedOn w:val="Normal"/>
    <w:link w:val="HeaderChar"/>
    <w:uiPriority w:val="99"/>
    <w:unhideWhenUsed/>
    <w:rsid w:val="00CE775E"/>
    <w:pPr>
      <w:tabs>
        <w:tab w:val="center" w:pos="4513"/>
        <w:tab w:val="right" w:pos="9026"/>
      </w:tabs>
      <w:spacing w:line="240" w:lineRule="auto"/>
    </w:pPr>
  </w:style>
  <w:style w:type="character" w:customStyle="1" w:styleId="HeaderChar">
    <w:name w:val="Header Char"/>
    <w:basedOn w:val="DefaultParagraphFont"/>
    <w:link w:val="Header"/>
    <w:uiPriority w:val="99"/>
    <w:rsid w:val="00CE775E"/>
  </w:style>
  <w:style w:type="paragraph" w:styleId="Footer">
    <w:name w:val="footer"/>
    <w:basedOn w:val="Normal"/>
    <w:link w:val="FooterChar"/>
    <w:uiPriority w:val="99"/>
    <w:unhideWhenUsed/>
    <w:rsid w:val="00CE775E"/>
    <w:pPr>
      <w:tabs>
        <w:tab w:val="center" w:pos="4513"/>
        <w:tab w:val="right" w:pos="9026"/>
      </w:tabs>
      <w:spacing w:line="240" w:lineRule="auto"/>
    </w:pPr>
  </w:style>
  <w:style w:type="character" w:customStyle="1" w:styleId="FooterChar">
    <w:name w:val="Footer Char"/>
    <w:basedOn w:val="DefaultParagraphFont"/>
    <w:link w:val="Footer"/>
    <w:uiPriority w:val="99"/>
    <w:rsid w:val="00CE775E"/>
  </w:style>
  <w:style w:type="paragraph" w:styleId="BalloonText">
    <w:name w:val="Balloon Text"/>
    <w:basedOn w:val="Normal"/>
    <w:link w:val="BalloonTextChar"/>
    <w:uiPriority w:val="99"/>
    <w:semiHidden/>
    <w:unhideWhenUsed/>
    <w:rsid w:val="00FE3F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FBF"/>
    <w:rPr>
      <w:rFonts w:ascii="Segoe UI" w:hAnsi="Segoe UI" w:cs="Segoe UI"/>
      <w:sz w:val="18"/>
      <w:szCs w:val="18"/>
    </w:rPr>
  </w:style>
  <w:style w:type="character" w:styleId="CommentReference">
    <w:name w:val="annotation reference"/>
    <w:basedOn w:val="DefaultParagraphFont"/>
    <w:uiPriority w:val="99"/>
    <w:semiHidden/>
    <w:unhideWhenUsed/>
    <w:rsid w:val="006A14C7"/>
    <w:rPr>
      <w:sz w:val="16"/>
      <w:szCs w:val="16"/>
    </w:rPr>
  </w:style>
  <w:style w:type="paragraph" w:styleId="CommentText">
    <w:name w:val="annotation text"/>
    <w:basedOn w:val="Normal"/>
    <w:link w:val="CommentTextChar"/>
    <w:uiPriority w:val="99"/>
    <w:semiHidden/>
    <w:unhideWhenUsed/>
    <w:rsid w:val="006A14C7"/>
    <w:pPr>
      <w:spacing w:line="240" w:lineRule="auto"/>
    </w:pPr>
    <w:rPr>
      <w:sz w:val="20"/>
    </w:rPr>
  </w:style>
  <w:style w:type="character" w:customStyle="1" w:styleId="CommentTextChar">
    <w:name w:val="Comment Text Char"/>
    <w:basedOn w:val="DefaultParagraphFont"/>
    <w:link w:val="CommentText"/>
    <w:uiPriority w:val="99"/>
    <w:semiHidden/>
    <w:rsid w:val="006A14C7"/>
    <w:rPr>
      <w:sz w:val="20"/>
    </w:rPr>
  </w:style>
  <w:style w:type="paragraph" w:styleId="CommentSubject">
    <w:name w:val="annotation subject"/>
    <w:basedOn w:val="CommentText"/>
    <w:next w:val="CommentText"/>
    <w:link w:val="CommentSubjectChar"/>
    <w:uiPriority w:val="99"/>
    <w:semiHidden/>
    <w:unhideWhenUsed/>
    <w:rsid w:val="006A14C7"/>
    <w:rPr>
      <w:b/>
      <w:bCs/>
    </w:rPr>
  </w:style>
  <w:style w:type="character" w:customStyle="1" w:styleId="CommentSubjectChar">
    <w:name w:val="Comment Subject Char"/>
    <w:basedOn w:val="CommentTextChar"/>
    <w:link w:val="CommentSubject"/>
    <w:uiPriority w:val="99"/>
    <w:semiHidden/>
    <w:rsid w:val="006A14C7"/>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AU"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character" w:styleId="Hyperlink">
    <w:name w:val="Hyperlink"/>
    <w:basedOn w:val="DefaultParagraphFont"/>
    <w:uiPriority w:val="99"/>
    <w:unhideWhenUsed/>
    <w:rsid w:val="001B3595"/>
    <w:rPr>
      <w:color w:val="0563C1" w:themeColor="hyperlink"/>
      <w:u w:val="single"/>
    </w:rPr>
  </w:style>
  <w:style w:type="paragraph" w:styleId="ListParagraph">
    <w:name w:val="List Paragraph"/>
    <w:basedOn w:val="Normal"/>
    <w:uiPriority w:val="34"/>
    <w:qFormat/>
    <w:rsid w:val="005A15D0"/>
    <w:pPr>
      <w:ind w:left="720"/>
      <w:contextualSpacing/>
    </w:pPr>
  </w:style>
  <w:style w:type="paragraph" w:styleId="Header">
    <w:name w:val="header"/>
    <w:basedOn w:val="Normal"/>
    <w:link w:val="HeaderChar"/>
    <w:uiPriority w:val="99"/>
    <w:unhideWhenUsed/>
    <w:rsid w:val="00CE775E"/>
    <w:pPr>
      <w:tabs>
        <w:tab w:val="center" w:pos="4513"/>
        <w:tab w:val="right" w:pos="9026"/>
      </w:tabs>
      <w:spacing w:line="240" w:lineRule="auto"/>
    </w:pPr>
  </w:style>
  <w:style w:type="character" w:customStyle="1" w:styleId="HeaderChar">
    <w:name w:val="Header Char"/>
    <w:basedOn w:val="DefaultParagraphFont"/>
    <w:link w:val="Header"/>
    <w:uiPriority w:val="99"/>
    <w:rsid w:val="00CE775E"/>
  </w:style>
  <w:style w:type="paragraph" w:styleId="Footer">
    <w:name w:val="footer"/>
    <w:basedOn w:val="Normal"/>
    <w:link w:val="FooterChar"/>
    <w:uiPriority w:val="99"/>
    <w:unhideWhenUsed/>
    <w:rsid w:val="00CE775E"/>
    <w:pPr>
      <w:tabs>
        <w:tab w:val="center" w:pos="4513"/>
        <w:tab w:val="right" w:pos="9026"/>
      </w:tabs>
      <w:spacing w:line="240" w:lineRule="auto"/>
    </w:pPr>
  </w:style>
  <w:style w:type="character" w:customStyle="1" w:styleId="FooterChar">
    <w:name w:val="Footer Char"/>
    <w:basedOn w:val="DefaultParagraphFont"/>
    <w:link w:val="Footer"/>
    <w:uiPriority w:val="99"/>
    <w:rsid w:val="00CE775E"/>
  </w:style>
  <w:style w:type="paragraph" w:styleId="BalloonText">
    <w:name w:val="Balloon Text"/>
    <w:basedOn w:val="Normal"/>
    <w:link w:val="BalloonTextChar"/>
    <w:uiPriority w:val="99"/>
    <w:semiHidden/>
    <w:unhideWhenUsed/>
    <w:rsid w:val="00FE3F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FBF"/>
    <w:rPr>
      <w:rFonts w:ascii="Segoe UI" w:hAnsi="Segoe UI" w:cs="Segoe UI"/>
      <w:sz w:val="18"/>
      <w:szCs w:val="18"/>
    </w:rPr>
  </w:style>
  <w:style w:type="character" w:styleId="CommentReference">
    <w:name w:val="annotation reference"/>
    <w:basedOn w:val="DefaultParagraphFont"/>
    <w:uiPriority w:val="99"/>
    <w:semiHidden/>
    <w:unhideWhenUsed/>
    <w:rsid w:val="006A14C7"/>
    <w:rPr>
      <w:sz w:val="16"/>
      <w:szCs w:val="16"/>
    </w:rPr>
  </w:style>
  <w:style w:type="paragraph" w:styleId="CommentText">
    <w:name w:val="annotation text"/>
    <w:basedOn w:val="Normal"/>
    <w:link w:val="CommentTextChar"/>
    <w:uiPriority w:val="99"/>
    <w:semiHidden/>
    <w:unhideWhenUsed/>
    <w:rsid w:val="006A14C7"/>
    <w:pPr>
      <w:spacing w:line="240" w:lineRule="auto"/>
    </w:pPr>
    <w:rPr>
      <w:sz w:val="20"/>
    </w:rPr>
  </w:style>
  <w:style w:type="character" w:customStyle="1" w:styleId="CommentTextChar">
    <w:name w:val="Comment Text Char"/>
    <w:basedOn w:val="DefaultParagraphFont"/>
    <w:link w:val="CommentText"/>
    <w:uiPriority w:val="99"/>
    <w:semiHidden/>
    <w:rsid w:val="006A14C7"/>
    <w:rPr>
      <w:sz w:val="20"/>
    </w:rPr>
  </w:style>
  <w:style w:type="paragraph" w:styleId="CommentSubject">
    <w:name w:val="annotation subject"/>
    <w:basedOn w:val="CommentText"/>
    <w:next w:val="CommentText"/>
    <w:link w:val="CommentSubjectChar"/>
    <w:uiPriority w:val="99"/>
    <w:semiHidden/>
    <w:unhideWhenUsed/>
    <w:rsid w:val="006A14C7"/>
    <w:rPr>
      <w:b/>
      <w:bCs/>
    </w:rPr>
  </w:style>
  <w:style w:type="character" w:customStyle="1" w:styleId="CommentSubjectChar">
    <w:name w:val="Comment Subject Char"/>
    <w:basedOn w:val="CommentTextChar"/>
    <w:link w:val="CommentSubject"/>
    <w:uiPriority w:val="99"/>
    <w:semiHidden/>
    <w:rsid w:val="006A14C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901316">
      <w:bodyDiv w:val="1"/>
      <w:marLeft w:val="0"/>
      <w:marRight w:val="0"/>
      <w:marTop w:val="0"/>
      <w:marBottom w:val="0"/>
      <w:divBdr>
        <w:top w:val="none" w:sz="0" w:space="0" w:color="auto"/>
        <w:left w:val="none" w:sz="0" w:space="0" w:color="auto"/>
        <w:bottom w:val="none" w:sz="0" w:space="0" w:color="auto"/>
        <w:right w:val="none" w:sz="0" w:space="0" w:color="auto"/>
      </w:divBdr>
      <w:divsChild>
        <w:div w:id="1857384798">
          <w:marLeft w:val="0"/>
          <w:marRight w:val="0"/>
          <w:marTop w:val="0"/>
          <w:marBottom w:val="0"/>
          <w:divBdr>
            <w:top w:val="none" w:sz="0" w:space="0" w:color="auto"/>
            <w:left w:val="none" w:sz="0" w:space="0" w:color="auto"/>
            <w:bottom w:val="none" w:sz="0" w:space="0" w:color="auto"/>
            <w:right w:val="none" w:sz="0" w:space="0" w:color="auto"/>
          </w:divBdr>
          <w:divsChild>
            <w:div w:id="3828459">
              <w:marLeft w:val="0"/>
              <w:marRight w:val="0"/>
              <w:marTop w:val="0"/>
              <w:marBottom w:val="0"/>
              <w:divBdr>
                <w:top w:val="none" w:sz="0" w:space="0" w:color="auto"/>
                <w:left w:val="none" w:sz="0" w:space="0" w:color="auto"/>
                <w:bottom w:val="none" w:sz="0" w:space="0" w:color="auto"/>
                <w:right w:val="none" w:sz="0" w:space="0" w:color="auto"/>
              </w:divBdr>
              <w:divsChild>
                <w:div w:id="5768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92631">
      <w:bodyDiv w:val="1"/>
      <w:marLeft w:val="0"/>
      <w:marRight w:val="0"/>
      <w:marTop w:val="0"/>
      <w:marBottom w:val="0"/>
      <w:divBdr>
        <w:top w:val="none" w:sz="0" w:space="0" w:color="auto"/>
        <w:left w:val="none" w:sz="0" w:space="0" w:color="auto"/>
        <w:bottom w:val="none" w:sz="0" w:space="0" w:color="auto"/>
        <w:right w:val="none" w:sz="0" w:space="0" w:color="auto"/>
      </w:divBdr>
      <w:divsChild>
        <w:div w:id="1236285383">
          <w:marLeft w:val="0"/>
          <w:marRight w:val="0"/>
          <w:marTop w:val="0"/>
          <w:marBottom w:val="0"/>
          <w:divBdr>
            <w:top w:val="none" w:sz="0" w:space="0" w:color="auto"/>
            <w:left w:val="none" w:sz="0" w:space="0" w:color="auto"/>
            <w:bottom w:val="none" w:sz="0" w:space="0" w:color="auto"/>
            <w:right w:val="none" w:sz="0" w:space="0" w:color="auto"/>
          </w:divBdr>
          <w:divsChild>
            <w:div w:id="502741298">
              <w:marLeft w:val="0"/>
              <w:marRight w:val="0"/>
              <w:marTop w:val="0"/>
              <w:marBottom w:val="0"/>
              <w:divBdr>
                <w:top w:val="none" w:sz="0" w:space="0" w:color="auto"/>
                <w:left w:val="none" w:sz="0" w:space="0" w:color="auto"/>
                <w:bottom w:val="none" w:sz="0" w:space="0" w:color="auto"/>
                <w:right w:val="none" w:sz="0" w:space="0" w:color="auto"/>
              </w:divBdr>
              <w:divsChild>
                <w:div w:id="20216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ompetition@treasury.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rkm@acapma.com.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capma.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6" ma:contentTypeDescription="" ma:contentTypeScope="" ma:versionID="601e91c2fe2e15d73230f7826fe5c55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909fbc57f3bd2a41427d943de09719e"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2015MG-133-11447</_dlc_DocId>
    <TaxCatchAll xmlns="d4dd4adf-ddb3-46a3-8d7c-fab3fb2a6bc7">
      <Value>2</Value>
    </TaxCatchAll>
    <_dlc_DocIdUrl xmlns="d4dd4adf-ddb3-46a3-8d7c-fab3fb2a6bc7">
      <Url>http://tweb/sites/mg/sbccpd/_layouts/15/DocIdRedir.aspx?ID=2015MG-133-11447</Url>
      <Description>2015MG-133-11447</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Props1.xml><?xml version="1.0" encoding="utf-8"?>
<ds:datastoreItem xmlns:ds="http://schemas.openxmlformats.org/officeDocument/2006/customXml" ds:itemID="{4F0EB7BB-640F-44D5-A64B-97DE8D0A66D3}">
  <ds:schemaRefs>
    <ds:schemaRef ds:uri="http://schemas.microsoft.com/sharepoint/events"/>
  </ds:schemaRefs>
</ds:datastoreItem>
</file>

<file path=customXml/itemProps2.xml><?xml version="1.0" encoding="utf-8"?>
<ds:datastoreItem xmlns:ds="http://schemas.openxmlformats.org/officeDocument/2006/customXml" ds:itemID="{AE21AAEC-C068-4A10-82EA-5D9687900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A1AEA8-4CB3-41DC-89D1-F43D01DA2264}">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microsoft.com/sharepoint/v3"/>
    <ds:schemaRef ds:uri="d4dd4adf-ddb3-46a3-8d7c-fab3fb2a6bc7"/>
    <ds:schemaRef ds:uri="http://purl.org/dc/dcmitype/"/>
    <ds:schemaRef ds:uri="http://schemas.microsoft.com/sharepoint/v4"/>
    <ds:schemaRef ds:uri="http://www.w3.org/XML/1998/namespace"/>
    <ds:schemaRef ds:uri="http://purl.org/dc/terms/"/>
  </ds:schemaRefs>
</ds:datastoreItem>
</file>

<file path=customXml/itemProps4.xml><?xml version="1.0" encoding="utf-8"?>
<ds:datastoreItem xmlns:ds="http://schemas.openxmlformats.org/officeDocument/2006/customXml" ds:itemID="{B011C6E8-3B21-45B0-84F3-C6D7BE0DA2C0}">
  <ds:schemaRefs>
    <ds:schemaRef ds:uri="http://schemas.microsoft.com/sharepoint/v3/contenttype/forms"/>
  </ds:schemaRefs>
</ds:datastoreItem>
</file>

<file path=customXml/itemProps5.xml><?xml version="1.0" encoding="utf-8"?>
<ds:datastoreItem xmlns:ds="http://schemas.openxmlformats.org/officeDocument/2006/customXml" ds:itemID="{F6A410D2-08F7-40BE-A776-5CDE26AC52DD}">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1337</Words>
  <Characters>7158</Characters>
  <Application>Microsoft Office Word</Application>
  <DocSecurity>0</DocSecurity>
  <Lines>169</Lines>
  <Paragraphs>51</Paragraphs>
  <ScaleCrop>false</ScaleCrop>
  <Company/>
  <LinksUpToDate>false</LinksUpToDate>
  <CharactersWithSpaces>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ACAPMA - Discussion paper: Options to strengthen the misuse of market power law</dc:title>
  <dc:creator/>
  <cp:lastModifiedBy/>
  <cp:revision>1</cp:revision>
  <dcterms:created xsi:type="dcterms:W3CDTF">2016-02-22T05:57:00Z</dcterms:created>
  <dcterms:modified xsi:type="dcterms:W3CDTF">2016-02-22T05:57:00Z</dcterms:modified>
  <dc:language>English</dc:language>
</cp:coreProperties>
</file>