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2617A" w14:textId="7A405107" w:rsidR="00E40703" w:rsidRDefault="00E40703" w:rsidP="00060A06">
      <w:pPr>
        <w:pStyle w:val="Baseparagraphcentred"/>
      </w:pPr>
      <w:bookmarkStart w:id="0" w:name="_GoBack"/>
      <w:bookmarkEnd w:id="0"/>
      <w:r>
        <w:t>2013</w:t>
      </w:r>
      <w:r w:rsidR="006C2352">
        <w:noBreakHyphen/>
      </w:r>
      <w:r>
        <w:t>2014</w:t>
      </w:r>
      <w:r w:rsidR="006C2352">
        <w:noBreakHyphen/>
      </w:r>
      <w:r>
        <w:t>2015</w:t>
      </w:r>
    </w:p>
    <w:p w14:paraId="0E32617B" w14:textId="77777777" w:rsidR="00E40703" w:rsidRDefault="00E40703" w:rsidP="00060A06">
      <w:pPr>
        <w:pStyle w:val="Baseparagraphcentred"/>
      </w:pPr>
    </w:p>
    <w:p w14:paraId="0E32617C" w14:textId="77777777" w:rsidR="00E40703" w:rsidRDefault="00E40703" w:rsidP="00060A06">
      <w:pPr>
        <w:pStyle w:val="Baseparagraphcentred"/>
      </w:pPr>
      <w:r>
        <w:t>THE PARLIAMENT OF THE COMMONWEALTH OF AUSTRALIA</w:t>
      </w:r>
    </w:p>
    <w:p w14:paraId="0E32617F" w14:textId="77777777" w:rsidR="00E40703" w:rsidRDefault="00E40703" w:rsidP="00340FDE">
      <w:pPr>
        <w:pStyle w:val="Baseparagraphcentred"/>
        <w:spacing w:before="600"/>
      </w:pPr>
    </w:p>
    <w:p w14:paraId="0E326180" w14:textId="77777777" w:rsidR="00E40703" w:rsidRDefault="00E40703" w:rsidP="00060A06">
      <w:pPr>
        <w:pStyle w:val="Baseparagraphcentred"/>
      </w:pPr>
      <w:r>
        <w:t>HOUSE OF REPRESENTATIVES</w:t>
      </w:r>
    </w:p>
    <w:p w14:paraId="0E326183" w14:textId="77777777" w:rsidR="00E40703" w:rsidRDefault="00E40703" w:rsidP="00340FDE">
      <w:pPr>
        <w:pStyle w:val="Baseparagraphcentred"/>
        <w:spacing w:before="600"/>
      </w:pPr>
    </w:p>
    <w:p w14:paraId="0E326184" w14:textId="15962AAF" w:rsidR="00E40703" w:rsidRDefault="00E40703" w:rsidP="00060A06">
      <w:pPr>
        <w:pStyle w:val="BillName"/>
      </w:pPr>
      <w:r w:rsidRPr="00E40703">
        <w:t>Superannuation Legislation Amendment (Transparency Measures) Bill 2015</w:t>
      </w:r>
    </w:p>
    <w:p w14:paraId="0E326185" w14:textId="77777777" w:rsidR="00E40703" w:rsidRDefault="00E40703" w:rsidP="00060A06">
      <w:pPr>
        <w:pStyle w:val="Baseparagraphcentred"/>
      </w:pPr>
    </w:p>
    <w:p w14:paraId="0E326189" w14:textId="77777777" w:rsidR="00E40703" w:rsidRDefault="00E40703" w:rsidP="00340FDE">
      <w:pPr>
        <w:pStyle w:val="Baseparagraphcentred"/>
        <w:spacing w:before="960"/>
      </w:pPr>
      <w:r>
        <w:t>EXPLANATORY MEMORANDUM</w:t>
      </w:r>
    </w:p>
    <w:p w14:paraId="0E32618A" w14:textId="77777777" w:rsidR="00E40703" w:rsidRDefault="00E40703" w:rsidP="00060A06">
      <w:pPr>
        <w:pStyle w:val="Baseparagraphcentred"/>
      </w:pPr>
    </w:p>
    <w:p w14:paraId="0E32618E" w14:textId="6429BA84" w:rsidR="00E40703" w:rsidRDefault="00E40703" w:rsidP="00340FDE">
      <w:pPr>
        <w:pStyle w:val="Baseparagraphcentred"/>
        <w:spacing w:before="2160"/>
      </w:pPr>
      <w:r>
        <w:t>(Circulated by the authority of the</w:t>
      </w:r>
      <w:r>
        <w:br/>
      </w:r>
      <w:r w:rsidR="00FF246D">
        <w:t xml:space="preserve">Minister for Small Business and Assistant </w:t>
      </w:r>
      <w:r>
        <w:t xml:space="preserve">Treasurer, </w:t>
      </w:r>
      <w:r w:rsidR="006C2352">
        <w:br/>
        <w:t>T</w:t>
      </w:r>
      <w:r>
        <w:t xml:space="preserve">he Hon </w:t>
      </w:r>
      <w:r w:rsidR="00FF246D">
        <w:t>K O</w:t>
      </w:r>
      <w:r w:rsidR="006C2352">
        <w:t>’</w:t>
      </w:r>
      <w:r w:rsidR="00FF246D">
        <w:t>Dwyer</w:t>
      </w:r>
      <w:r>
        <w:t>)</w:t>
      </w:r>
    </w:p>
    <w:p w14:paraId="0E32618F" w14:textId="77777777" w:rsidR="00E40703" w:rsidRDefault="00E40703" w:rsidP="00060A06"/>
    <w:p w14:paraId="0E326190" w14:textId="77777777" w:rsidR="00E40703" w:rsidRDefault="00E40703" w:rsidP="00060A06">
      <w:pPr>
        <w:sectPr w:rsidR="00E40703" w:rsidSect="00060A06">
          <w:headerReference w:type="even" r:id="rId9"/>
          <w:headerReference w:type="default" r:id="rId10"/>
          <w:footerReference w:type="even" r:id="rId11"/>
          <w:footerReference w:type="default" r:id="rId12"/>
          <w:headerReference w:type="first" r:id="rId13"/>
          <w:footerReference w:type="first" r:id="rId14"/>
          <w:type w:val="oddPage"/>
          <w:pgSz w:w="11906" w:h="16838" w:code="9"/>
          <w:pgMar w:top="2466" w:right="2098" w:bottom="2466" w:left="2098" w:header="1559" w:footer="1899" w:gutter="0"/>
          <w:cols w:space="708"/>
          <w:titlePg/>
          <w:docGrid w:linePitch="360"/>
        </w:sectPr>
      </w:pPr>
    </w:p>
    <w:p w14:paraId="0E326191" w14:textId="77777777" w:rsidR="00E40703" w:rsidRPr="003E0794" w:rsidRDefault="00E40703" w:rsidP="00060A06">
      <w:pPr>
        <w:pStyle w:val="TOCHeading"/>
      </w:pPr>
      <w:r w:rsidRPr="003E0794">
        <w:lastRenderedPageBreak/>
        <w:t>Table of contents</w:t>
      </w:r>
    </w:p>
    <w:p w14:paraId="572EA6B1" w14:textId="14EE3F19" w:rsidR="00353E46" w:rsidRDefault="00E40703">
      <w:pPr>
        <w:pStyle w:val="TOC2"/>
        <w:rPr>
          <w:rFonts w:asciiTheme="minorHAnsi" w:eastAsiaTheme="minorEastAsia" w:hAnsiTheme="minorHAnsi" w:cstheme="minorBidi"/>
          <w:sz w:val="22"/>
          <w:szCs w:val="22"/>
        </w:rPr>
      </w:pPr>
      <w:r>
        <w:rPr>
          <w:noProof w:val="0"/>
        </w:rPr>
        <w:fldChar w:fldCharType="begin"/>
      </w:r>
      <w:r>
        <w:instrText xml:space="preserve"> TOC \t "Chapter Heading,1,Chapter heading subdocument,2" </w:instrText>
      </w:r>
      <w:r>
        <w:rPr>
          <w:noProof w:val="0"/>
        </w:rPr>
        <w:fldChar w:fldCharType="separate"/>
      </w:r>
      <w:r w:rsidR="00353E46">
        <w:t>Glossary</w:t>
      </w:r>
      <w:r w:rsidR="00353E46">
        <w:tab/>
      </w:r>
      <w:r w:rsidR="00353E46">
        <w:fldChar w:fldCharType="begin"/>
      </w:r>
      <w:r w:rsidR="00353E46">
        <w:instrText xml:space="preserve"> PAGEREF _Toc429658443 \h </w:instrText>
      </w:r>
      <w:r w:rsidR="00353E46">
        <w:fldChar w:fldCharType="separate"/>
      </w:r>
      <w:r w:rsidR="00340FDE">
        <w:t>1</w:t>
      </w:r>
      <w:r w:rsidR="00353E46">
        <w:fldChar w:fldCharType="end"/>
      </w:r>
    </w:p>
    <w:p w14:paraId="33BDB8C8" w14:textId="12F76C7D" w:rsidR="00353E46" w:rsidRDefault="00353E46">
      <w:pPr>
        <w:pStyle w:val="TOC2"/>
        <w:rPr>
          <w:rFonts w:asciiTheme="minorHAnsi" w:eastAsiaTheme="minorEastAsia" w:hAnsiTheme="minorHAnsi" w:cstheme="minorBidi"/>
          <w:sz w:val="22"/>
          <w:szCs w:val="22"/>
        </w:rPr>
      </w:pPr>
      <w:r>
        <w:t>General outline and financial impact</w:t>
      </w:r>
      <w:r>
        <w:tab/>
      </w:r>
      <w:r>
        <w:fldChar w:fldCharType="begin"/>
      </w:r>
      <w:r>
        <w:instrText xml:space="preserve"> PAGEREF _Toc429658444 \h </w:instrText>
      </w:r>
      <w:r>
        <w:fldChar w:fldCharType="separate"/>
      </w:r>
      <w:r w:rsidR="00340FDE">
        <w:t>3</w:t>
      </w:r>
      <w:r>
        <w:fldChar w:fldCharType="end"/>
      </w:r>
    </w:p>
    <w:p w14:paraId="10669A64" w14:textId="3909B90C" w:rsidR="00353E46" w:rsidRDefault="00353E46">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Choice Product Dashboards</w:t>
      </w:r>
      <w:r>
        <w:rPr>
          <w:noProof/>
        </w:rPr>
        <w:tab/>
      </w:r>
      <w:r>
        <w:rPr>
          <w:noProof/>
        </w:rPr>
        <w:fldChar w:fldCharType="begin"/>
      </w:r>
      <w:r>
        <w:rPr>
          <w:noProof/>
        </w:rPr>
        <w:instrText xml:space="preserve"> PAGEREF _Toc429658445 \h </w:instrText>
      </w:r>
      <w:r>
        <w:rPr>
          <w:noProof/>
        </w:rPr>
      </w:r>
      <w:r>
        <w:rPr>
          <w:noProof/>
        </w:rPr>
        <w:fldChar w:fldCharType="separate"/>
      </w:r>
      <w:r w:rsidR="00340FDE">
        <w:rPr>
          <w:noProof/>
        </w:rPr>
        <w:t>5</w:t>
      </w:r>
      <w:r>
        <w:rPr>
          <w:noProof/>
        </w:rPr>
        <w:fldChar w:fldCharType="end"/>
      </w:r>
    </w:p>
    <w:p w14:paraId="4B3D979D" w14:textId="450CDFB2" w:rsidR="00353E46" w:rsidRDefault="00353E46">
      <w:pPr>
        <w:pStyle w:val="TOC1"/>
        <w:rPr>
          <w:rFonts w:asciiTheme="minorHAnsi" w:eastAsiaTheme="minorEastAsia" w:hAnsiTheme="minorHAnsi" w:cstheme="minorBidi"/>
          <w:noProof/>
          <w:sz w:val="22"/>
          <w:szCs w:val="22"/>
        </w:rPr>
      </w:pPr>
      <w:r>
        <w:rPr>
          <w:noProof/>
        </w:rPr>
        <w:t>Chapter 2</w:t>
      </w:r>
      <w:r>
        <w:rPr>
          <w:rFonts w:asciiTheme="minorHAnsi" w:eastAsiaTheme="minorEastAsia" w:hAnsiTheme="minorHAnsi" w:cstheme="minorBidi"/>
          <w:noProof/>
          <w:sz w:val="22"/>
          <w:szCs w:val="22"/>
        </w:rPr>
        <w:tab/>
      </w:r>
      <w:r>
        <w:rPr>
          <w:noProof/>
        </w:rPr>
        <w:t>Portfolio Holdings Disclosure</w:t>
      </w:r>
      <w:r>
        <w:rPr>
          <w:noProof/>
        </w:rPr>
        <w:tab/>
      </w:r>
      <w:r>
        <w:rPr>
          <w:noProof/>
        </w:rPr>
        <w:fldChar w:fldCharType="begin"/>
      </w:r>
      <w:r>
        <w:rPr>
          <w:noProof/>
        </w:rPr>
        <w:instrText xml:space="preserve"> PAGEREF _Toc429658446 \h </w:instrText>
      </w:r>
      <w:r>
        <w:rPr>
          <w:noProof/>
        </w:rPr>
      </w:r>
      <w:r>
        <w:rPr>
          <w:noProof/>
        </w:rPr>
        <w:fldChar w:fldCharType="separate"/>
      </w:r>
      <w:r w:rsidR="00340FDE">
        <w:rPr>
          <w:noProof/>
        </w:rPr>
        <w:t>13</w:t>
      </w:r>
      <w:r>
        <w:rPr>
          <w:noProof/>
        </w:rPr>
        <w:fldChar w:fldCharType="end"/>
      </w:r>
    </w:p>
    <w:p w14:paraId="0E326196" w14:textId="77777777" w:rsidR="00E40703" w:rsidRDefault="00E40703" w:rsidP="00060A06">
      <w:pPr>
        <w:pStyle w:val="base-text-paragraphnonumbers"/>
      </w:pPr>
      <w:r>
        <w:rPr>
          <w:b/>
          <w:bCs/>
          <w:noProof/>
          <w:lang w:val="en-US"/>
        </w:rPr>
        <w:fldChar w:fldCharType="end"/>
      </w:r>
    </w:p>
    <w:p w14:paraId="0E326197" w14:textId="6FF69FEF" w:rsidR="00E40703" w:rsidRDefault="00E40703" w:rsidP="00060A06">
      <w:pPr>
        <w:pStyle w:val="Hiddentext"/>
      </w:pPr>
    </w:p>
    <w:p w14:paraId="0E326198" w14:textId="77777777" w:rsidR="00E40703" w:rsidRDefault="00E40703" w:rsidP="00060A06">
      <w:pPr>
        <w:pStyle w:val="base-text-paragraphnonumbers"/>
        <w:sectPr w:rsidR="00E40703" w:rsidSect="00060A06">
          <w:headerReference w:type="even" r:id="rId15"/>
          <w:headerReference w:type="default" r:id="rId16"/>
          <w:footerReference w:type="even" r:id="rId17"/>
          <w:footerReference w:type="default" r:id="rId18"/>
          <w:headerReference w:type="first" r:id="rId19"/>
          <w:footerReference w:type="first" r:id="rId20"/>
          <w:type w:val="oddPage"/>
          <w:pgSz w:w="11906" w:h="16838" w:code="9"/>
          <w:pgMar w:top="2466" w:right="2098" w:bottom="2466" w:left="2098" w:header="1559" w:footer="1899" w:gutter="0"/>
          <w:cols w:space="708"/>
          <w:titlePg/>
          <w:docGrid w:linePitch="360"/>
        </w:sectPr>
      </w:pPr>
    </w:p>
    <w:p w14:paraId="0E326199" w14:textId="77777777" w:rsidR="00E40703" w:rsidRPr="00A03E30" w:rsidRDefault="00E40703" w:rsidP="00060A06"/>
    <w:p w14:paraId="0E32619A" w14:textId="77777777" w:rsidR="00E40703" w:rsidRPr="00D67ADC" w:rsidRDefault="00E40703" w:rsidP="00060A06">
      <w:pPr>
        <w:pStyle w:val="Chapterheadingsubdocument"/>
      </w:pPr>
      <w:bookmarkStart w:id="1" w:name="_Toc429658443"/>
      <w:r w:rsidRPr="00D67ADC">
        <w:t>Glossary</w:t>
      </w:r>
      <w:bookmarkEnd w:id="1"/>
    </w:p>
    <w:p w14:paraId="0E32619B" w14:textId="77777777" w:rsidR="00E40703" w:rsidRDefault="00E40703" w:rsidP="00060A06">
      <w:pPr>
        <w:pStyle w:val="BTPwithextraspacing"/>
      </w:pPr>
      <w:r>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E40703" w:rsidRPr="00123D96" w14:paraId="0E32619E" w14:textId="77777777" w:rsidTr="006C2352">
        <w:trPr>
          <w:tblHeader/>
        </w:trPr>
        <w:tc>
          <w:tcPr>
            <w:tcW w:w="2721" w:type="dxa"/>
          </w:tcPr>
          <w:p w14:paraId="0E32619C" w14:textId="77777777" w:rsidR="00E40703" w:rsidRPr="00123D96" w:rsidRDefault="00E40703" w:rsidP="00060A06">
            <w:pPr>
              <w:pStyle w:val="tableheaderwithintable"/>
            </w:pPr>
            <w:r w:rsidRPr="00123D96">
              <w:t>Abbreviation</w:t>
            </w:r>
          </w:p>
        </w:tc>
        <w:tc>
          <w:tcPr>
            <w:tcW w:w="3885" w:type="dxa"/>
          </w:tcPr>
          <w:p w14:paraId="0E32619D" w14:textId="77777777" w:rsidR="00E40703" w:rsidRPr="00123D96" w:rsidRDefault="00E40703" w:rsidP="00060A06">
            <w:pPr>
              <w:pStyle w:val="tableheaderwithintable"/>
            </w:pPr>
            <w:r w:rsidRPr="00123D96">
              <w:t>Definition</w:t>
            </w:r>
          </w:p>
        </w:tc>
      </w:tr>
      <w:tr w:rsidR="00B21ADE" w:rsidRPr="00123D96" w14:paraId="1F2B48E4" w14:textId="77777777" w:rsidTr="00060A06">
        <w:tc>
          <w:tcPr>
            <w:tcW w:w="2721" w:type="dxa"/>
          </w:tcPr>
          <w:p w14:paraId="77BAC4A2" w14:textId="326EF8F5" w:rsidR="00B21ADE" w:rsidRPr="00B21ADE" w:rsidRDefault="00B21ADE">
            <w:pPr>
              <w:pStyle w:val="tableheaderwithintable"/>
              <w:jc w:val="left"/>
              <w:rPr>
                <w:b w:val="0"/>
                <w:i w:val="0"/>
              </w:rPr>
            </w:pPr>
            <w:r>
              <w:rPr>
                <w:b w:val="0"/>
                <w:i w:val="0"/>
              </w:rPr>
              <w:t>APRA</w:t>
            </w:r>
          </w:p>
        </w:tc>
        <w:tc>
          <w:tcPr>
            <w:tcW w:w="3885" w:type="dxa"/>
          </w:tcPr>
          <w:p w14:paraId="53167249" w14:textId="62CA9A8A" w:rsidR="00B21ADE" w:rsidRPr="00123D96" w:rsidRDefault="00B21ADE" w:rsidP="00B760E4">
            <w:pPr>
              <w:pStyle w:val="tableheaderwithintable"/>
              <w:jc w:val="left"/>
            </w:pPr>
            <w:r>
              <w:rPr>
                <w:b w:val="0"/>
                <w:i w:val="0"/>
              </w:rPr>
              <w:t>Australian Prudential Regulation Authority</w:t>
            </w:r>
          </w:p>
        </w:tc>
      </w:tr>
      <w:tr w:rsidR="00B21ADE" w:rsidRPr="00123D96" w14:paraId="09383264" w14:textId="77777777" w:rsidTr="00060A06">
        <w:tc>
          <w:tcPr>
            <w:tcW w:w="2721" w:type="dxa"/>
          </w:tcPr>
          <w:p w14:paraId="3318418E" w14:textId="665194E9" w:rsidR="00B21ADE" w:rsidRPr="00B21ADE" w:rsidRDefault="00B21ADE" w:rsidP="00B760E4">
            <w:pPr>
              <w:pStyle w:val="tableheaderwithintable"/>
              <w:jc w:val="left"/>
              <w:rPr>
                <w:b w:val="0"/>
                <w:i w:val="0"/>
              </w:rPr>
            </w:pPr>
            <w:r>
              <w:rPr>
                <w:b w:val="0"/>
                <w:i w:val="0"/>
              </w:rPr>
              <w:t>ASIC</w:t>
            </w:r>
          </w:p>
        </w:tc>
        <w:tc>
          <w:tcPr>
            <w:tcW w:w="3885" w:type="dxa"/>
          </w:tcPr>
          <w:p w14:paraId="4497A8EC" w14:textId="11978F8E" w:rsidR="00B21ADE" w:rsidRPr="00123D96" w:rsidRDefault="00B21ADE" w:rsidP="00B760E4">
            <w:pPr>
              <w:pStyle w:val="tableheaderwithintable"/>
              <w:jc w:val="left"/>
            </w:pPr>
            <w:r>
              <w:rPr>
                <w:b w:val="0"/>
                <w:i w:val="0"/>
              </w:rPr>
              <w:t>Australian Securities and Investments Commission</w:t>
            </w:r>
          </w:p>
        </w:tc>
      </w:tr>
      <w:tr w:rsidR="00B21ADE" w:rsidRPr="002C43E8" w14:paraId="7274744E" w14:textId="77777777" w:rsidTr="00060A06">
        <w:tc>
          <w:tcPr>
            <w:tcW w:w="2721" w:type="dxa"/>
          </w:tcPr>
          <w:p w14:paraId="57D1DBED" w14:textId="7B276B9B" w:rsidR="00B21ADE" w:rsidRDefault="00B21ADE" w:rsidP="00060A06">
            <w:pPr>
              <w:pStyle w:val="Glossarytabletext"/>
              <w:rPr>
                <w:lang w:val="en-US" w:eastAsia="en-US"/>
              </w:rPr>
            </w:pPr>
            <w:r>
              <w:rPr>
                <w:lang w:val="en-US" w:eastAsia="en-US"/>
              </w:rPr>
              <w:t>Bill</w:t>
            </w:r>
          </w:p>
        </w:tc>
        <w:tc>
          <w:tcPr>
            <w:tcW w:w="3885" w:type="dxa"/>
          </w:tcPr>
          <w:p w14:paraId="28EEF687" w14:textId="313F36F1" w:rsidR="00B21ADE" w:rsidRPr="007C638B" w:rsidRDefault="00B21ADE" w:rsidP="00060A06">
            <w:pPr>
              <w:pStyle w:val="Glossarytabletext"/>
              <w:rPr>
                <w:i/>
                <w:lang w:val="en-US" w:eastAsia="en-US"/>
              </w:rPr>
            </w:pPr>
            <w:r>
              <w:rPr>
                <w:lang w:val="en-US" w:eastAsia="en-US"/>
              </w:rPr>
              <w:t>Superannuation Legislation Amendment (Transparency Measures) Bill 2015</w:t>
            </w:r>
          </w:p>
        </w:tc>
      </w:tr>
      <w:tr w:rsidR="007C638B" w:rsidRPr="002C43E8" w14:paraId="0E3261A1" w14:textId="77777777" w:rsidTr="00060A06">
        <w:tc>
          <w:tcPr>
            <w:tcW w:w="2721" w:type="dxa"/>
          </w:tcPr>
          <w:p w14:paraId="0E32619F" w14:textId="77777777" w:rsidR="007C638B" w:rsidRPr="002C43E8" w:rsidRDefault="007C638B" w:rsidP="00060A06">
            <w:pPr>
              <w:pStyle w:val="Glossarytabletext"/>
              <w:rPr>
                <w:lang w:val="en-US" w:eastAsia="en-US"/>
              </w:rPr>
            </w:pPr>
            <w:r>
              <w:rPr>
                <w:lang w:val="en-US" w:eastAsia="en-US"/>
              </w:rPr>
              <w:t xml:space="preserve">Corporations Act </w:t>
            </w:r>
          </w:p>
        </w:tc>
        <w:tc>
          <w:tcPr>
            <w:tcW w:w="3885" w:type="dxa"/>
          </w:tcPr>
          <w:p w14:paraId="0E3261A0" w14:textId="77777777" w:rsidR="007C638B" w:rsidRPr="007C638B" w:rsidRDefault="007C638B" w:rsidP="00060A06">
            <w:pPr>
              <w:pStyle w:val="Glossarytabletext"/>
              <w:rPr>
                <w:i/>
                <w:lang w:val="en-US" w:eastAsia="en-US"/>
              </w:rPr>
            </w:pPr>
            <w:r w:rsidRPr="007C638B">
              <w:rPr>
                <w:i/>
                <w:lang w:val="en-US" w:eastAsia="en-US"/>
              </w:rPr>
              <w:t>Corporations Act 2001</w:t>
            </w:r>
          </w:p>
        </w:tc>
      </w:tr>
      <w:tr w:rsidR="007C638B" w:rsidRPr="002C43E8" w14:paraId="0E3261A4" w14:textId="77777777" w:rsidTr="00060A06">
        <w:tc>
          <w:tcPr>
            <w:tcW w:w="2721" w:type="dxa"/>
          </w:tcPr>
          <w:p w14:paraId="0E3261A2" w14:textId="77777777" w:rsidR="007C638B" w:rsidRPr="002C43E8" w:rsidRDefault="007C638B" w:rsidP="00060A06">
            <w:pPr>
              <w:pStyle w:val="Glossarytabletext"/>
              <w:rPr>
                <w:lang w:val="en-US" w:eastAsia="en-US"/>
              </w:rPr>
            </w:pPr>
            <w:r>
              <w:rPr>
                <w:lang w:val="en-US" w:eastAsia="en-US"/>
              </w:rPr>
              <w:t>PHD</w:t>
            </w:r>
          </w:p>
        </w:tc>
        <w:tc>
          <w:tcPr>
            <w:tcW w:w="3885" w:type="dxa"/>
          </w:tcPr>
          <w:p w14:paraId="0E3261A3" w14:textId="77777777" w:rsidR="007C638B" w:rsidRPr="002C43E8" w:rsidRDefault="007C638B" w:rsidP="00060A06">
            <w:pPr>
              <w:pStyle w:val="Glossarytabletext"/>
              <w:rPr>
                <w:lang w:val="en-US" w:eastAsia="en-US"/>
              </w:rPr>
            </w:pPr>
            <w:r>
              <w:rPr>
                <w:lang w:val="en-US" w:eastAsia="en-US"/>
              </w:rPr>
              <w:t xml:space="preserve">Portfolio Holdings Disclosure </w:t>
            </w:r>
          </w:p>
        </w:tc>
      </w:tr>
      <w:tr w:rsidR="007C638B" w:rsidRPr="002C43E8" w14:paraId="0E3261A7" w14:textId="77777777" w:rsidTr="00060A06">
        <w:tc>
          <w:tcPr>
            <w:tcW w:w="2721" w:type="dxa"/>
          </w:tcPr>
          <w:p w14:paraId="0E3261A5" w14:textId="77777777" w:rsidR="007C638B" w:rsidRPr="002C43E8" w:rsidRDefault="007C638B" w:rsidP="00060A06">
            <w:pPr>
              <w:pStyle w:val="Glossarytabletext"/>
              <w:rPr>
                <w:lang w:val="en-US" w:eastAsia="en-US"/>
              </w:rPr>
            </w:pPr>
            <w:r>
              <w:rPr>
                <w:lang w:val="en-US" w:eastAsia="en-US"/>
              </w:rPr>
              <w:t xml:space="preserve">RSE </w:t>
            </w:r>
          </w:p>
        </w:tc>
        <w:tc>
          <w:tcPr>
            <w:tcW w:w="3885" w:type="dxa"/>
          </w:tcPr>
          <w:p w14:paraId="0E3261A6" w14:textId="77777777" w:rsidR="007C638B" w:rsidRPr="002C43E8" w:rsidRDefault="007C638B" w:rsidP="00060A06">
            <w:pPr>
              <w:pStyle w:val="Glossarytabletext"/>
              <w:rPr>
                <w:lang w:val="en-US" w:eastAsia="en-US"/>
              </w:rPr>
            </w:pPr>
            <w:r>
              <w:rPr>
                <w:lang w:val="en-US" w:eastAsia="en-US"/>
              </w:rPr>
              <w:t>R</w:t>
            </w:r>
            <w:r w:rsidRPr="00982EED">
              <w:rPr>
                <w:lang w:val="en-US" w:eastAsia="en-US"/>
              </w:rPr>
              <w:t>egistrable Superannuation Entity</w:t>
            </w:r>
          </w:p>
        </w:tc>
      </w:tr>
      <w:tr w:rsidR="007C638B" w:rsidRPr="002C43E8" w14:paraId="0E3261AA" w14:textId="77777777" w:rsidTr="00060A06">
        <w:tc>
          <w:tcPr>
            <w:tcW w:w="2721" w:type="dxa"/>
          </w:tcPr>
          <w:p w14:paraId="0E3261A8" w14:textId="77777777" w:rsidR="007C638B" w:rsidRPr="002C43E8" w:rsidRDefault="007C638B" w:rsidP="00060A06">
            <w:pPr>
              <w:pStyle w:val="Glossarytabletext"/>
              <w:rPr>
                <w:lang w:val="en-US" w:eastAsia="en-US"/>
              </w:rPr>
            </w:pPr>
            <w:r>
              <w:rPr>
                <w:lang w:val="en-US" w:eastAsia="en-US"/>
              </w:rPr>
              <w:t>RIS</w:t>
            </w:r>
          </w:p>
        </w:tc>
        <w:tc>
          <w:tcPr>
            <w:tcW w:w="3885" w:type="dxa"/>
          </w:tcPr>
          <w:p w14:paraId="0E3261A9" w14:textId="77777777" w:rsidR="007C638B" w:rsidRPr="002C43E8" w:rsidRDefault="007C638B" w:rsidP="00060A06">
            <w:pPr>
              <w:pStyle w:val="Glossarytabletext"/>
              <w:rPr>
                <w:lang w:val="en-US" w:eastAsia="en-US"/>
              </w:rPr>
            </w:pPr>
            <w:r>
              <w:rPr>
                <w:lang w:val="en-US" w:eastAsia="en-US"/>
              </w:rPr>
              <w:t>Regulation Impact Statement</w:t>
            </w:r>
          </w:p>
        </w:tc>
      </w:tr>
      <w:tr w:rsidR="007C638B" w:rsidRPr="002C43E8" w14:paraId="0E3261AD" w14:textId="77777777" w:rsidTr="00060A06">
        <w:tc>
          <w:tcPr>
            <w:tcW w:w="2721" w:type="dxa"/>
          </w:tcPr>
          <w:p w14:paraId="0E3261AB" w14:textId="77777777" w:rsidR="007C638B" w:rsidRPr="002C43E8" w:rsidRDefault="007C638B" w:rsidP="00060A06">
            <w:pPr>
              <w:pStyle w:val="Glossarytabletext"/>
              <w:rPr>
                <w:lang w:val="en-US" w:eastAsia="en-US"/>
              </w:rPr>
            </w:pPr>
            <w:r>
              <w:rPr>
                <w:lang w:val="en-US" w:eastAsia="en-US"/>
              </w:rPr>
              <w:t xml:space="preserve">The Review </w:t>
            </w:r>
          </w:p>
        </w:tc>
        <w:tc>
          <w:tcPr>
            <w:tcW w:w="3885" w:type="dxa"/>
          </w:tcPr>
          <w:p w14:paraId="0E3261AC" w14:textId="77777777" w:rsidR="007C638B" w:rsidRPr="002C43E8" w:rsidRDefault="007C638B" w:rsidP="00060A06">
            <w:pPr>
              <w:pStyle w:val="Glossarytabletext"/>
              <w:rPr>
                <w:lang w:val="en-US" w:eastAsia="en-US"/>
              </w:rPr>
            </w:pPr>
            <w:r>
              <w:rPr>
                <w:lang w:val="en-US" w:eastAsia="en-US"/>
              </w:rPr>
              <w:t>The Cooper Review</w:t>
            </w:r>
          </w:p>
        </w:tc>
      </w:tr>
      <w:tr w:rsidR="007C638B" w:rsidRPr="002C43E8" w14:paraId="0E3261B3" w14:textId="77777777" w:rsidTr="00060A06">
        <w:tc>
          <w:tcPr>
            <w:tcW w:w="2721" w:type="dxa"/>
          </w:tcPr>
          <w:p w14:paraId="0E3261B1" w14:textId="1ADC7897" w:rsidR="007C638B" w:rsidRPr="002C43E8" w:rsidRDefault="00B21ADE" w:rsidP="00060A06">
            <w:pPr>
              <w:pStyle w:val="Glossarytabletext"/>
              <w:rPr>
                <w:lang w:val="en-US" w:eastAsia="en-US"/>
              </w:rPr>
            </w:pPr>
            <w:r>
              <w:rPr>
                <w:lang w:val="en-US" w:eastAsia="en-US"/>
              </w:rPr>
              <w:t>SIS Act</w:t>
            </w:r>
          </w:p>
        </w:tc>
        <w:tc>
          <w:tcPr>
            <w:tcW w:w="3885" w:type="dxa"/>
          </w:tcPr>
          <w:p w14:paraId="0E3261B2" w14:textId="3ABA2410" w:rsidR="007C638B" w:rsidRPr="00B21ADE" w:rsidRDefault="00B21ADE" w:rsidP="00D6261F">
            <w:pPr>
              <w:pStyle w:val="Glossarytabletext"/>
              <w:rPr>
                <w:i/>
                <w:lang w:val="en-US" w:eastAsia="en-US"/>
              </w:rPr>
            </w:pPr>
            <w:r w:rsidRPr="00B21ADE">
              <w:rPr>
                <w:i/>
                <w:lang w:val="en-US" w:eastAsia="en-US"/>
              </w:rPr>
              <w:t xml:space="preserve">Superannuation Industry </w:t>
            </w:r>
            <w:r w:rsidR="006C2352">
              <w:rPr>
                <w:i/>
                <w:lang w:val="en-US" w:eastAsia="en-US"/>
              </w:rPr>
              <w:t>(Supervision) Act </w:t>
            </w:r>
            <w:r w:rsidRPr="00B21ADE">
              <w:rPr>
                <w:i/>
                <w:lang w:val="en-US" w:eastAsia="en-US"/>
              </w:rPr>
              <w:t>1993</w:t>
            </w:r>
          </w:p>
        </w:tc>
      </w:tr>
    </w:tbl>
    <w:p w14:paraId="0E3261E4" w14:textId="77777777" w:rsidR="00E40703" w:rsidRDefault="00E40703" w:rsidP="00060A06">
      <w:pPr>
        <w:sectPr w:rsidR="00E40703" w:rsidSect="00060A06">
          <w:headerReference w:type="even" r:id="rId21"/>
          <w:headerReference w:type="default" r:id="rId22"/>
          <w:footerReference w:type="even" r:id="rId23"/>
          <w:footerReference w:type="default" r:id="rId24"/>
          <w:footerReference w:type="first" r:id="rId25"/>
          <w:type w:val="oddPage"/>
          <w:pgSz w:w="11906" w:h="16838" w:code="9"/>
          <w:pgMar w:top="2466" w:right="2098" w:bottom="2466" w:left="2098" w:header="1559" w:footer="1899" w:gutter="0"/>
          <w:pgNumType w:start="1"/>
          <w:cols w:space="708"/>
          <w:titlePg/>
          <w:docGrid w:linePitch="360"/>
        </w:sectPr>
      </w:pPr>
    </w:p>
    <w:p w14:paraId="0E3261E5" w14:textId="77777777" w:rsidR="00E40703" w:rsidRPr="00433FD9" w:rsidRDefault="00E40703" w:rsidP="00060A06"/>
    <w:p w14:paraId="0E3261E6" w14:textId="77777777" w:rsidR="00E40703" w:rsidRPr="00D67ADC" w:rsidRDefault="00E40703" w:rsidP="00060A06">
      <w:pPr>
        <w:pStyle w:val="Chapterheadingsubdocument"/>
      </w:pPr>
      <w:bookmarkStart w:id="2" w:name="_Toc429658444"/>
      <w:r w:rsidRPr="00D67ADC">
        <w:t>General outline and financial impact</w:t>
      </w:r>
      <w:bookmarkEnd w:id="2"/>
    </w:p>
    <w:p w14:paraId="0E3261E7" w14:textId="77777777" w:rsidR="00E40703" w:rsidRDefault="00E40703" w:rsidP="00060A06">
      <w:pPr>
        <w:pStyle w:val="Heading2"/>
      </w:pPr>
      <w:r>
        <w:t>Outline</w:t>
      </w:r>
    </w:p>
    <w:p w14:paraId="0E3261E8" w14:textId="007F6402" w:rsidR="00DE6A8A" w:rsidRDefault="00E40703" w:rsidP="00E40703">
      <w:pPr>
        <w:pStyle w:val="base-text-paragraphnonumbers"/>
      </w:pPr>
      <w:r>
        <w:t xml:space="preserve">The Superannuation Legislation Amendment (Transparency Measures) Bill 2015 (this Bill) makes amendment to the </w:t>
      </w:r>
      <w:r w:rsidRPr="007C638B">
        <w:rPr>
          <w:i/>
        </w:rPr>
        <w:t>Corporations Act 2001</w:t>
      </w:r>
      <w:r>
        <w:t xml:space="preserve"> </w:t>
      </w:r>
      <w:r w:rsidR="007C638B">
        <w:t xml:space="preserve">(Corporations Act) </w:t>
      </w:r>
      <w:r>
        <w:t>to increase the quality of information available to superannuation fund members and employers</w:t>
      </w:r>
      <w:r w:rsidR="00D25ABD">
        <w:t xml:space="preserve"> while ensuring that the </w:t>
      </w:r>
      <w:r w:rsidR="00F45F8F">
        <w:t xml:space="preserve">current obligations in the Corporations Act in relation to choice product dashboards and portfolio holdings disclosure </w:t>
      </w:r>
      <w:r w:rsidR="00D25ABD">
        <w:t xml:space="preserve"> are workable for industry</w:t>
      </w:r>
      <w:r>
        <w:t xml:space="preserve">. </w:t>
      </w:r>
    </w:p>
    <w:p w14:paraId="0E3261E9" w14:textId="7631849D" w:rsidR="00DE6A8A" w:rsidRDefault="00E40703" w:rsidP="00E40703">
      <w:pPr>
        <w:pStyle w:val="base-text-paragraphnonumbers"/>
      </w:pPr>
      <w:r>
        <w:t>Improving the quality of information through improved disclosure will increase transparency and allow consumer</w:t>
      </w:r>
      <w:r w:rsidR="00FA1D0B">
        <w:t>s</w:t>
      </w:r>
      <w:r>
        <w:t xml:space="preserve"> and employers to make informed decisions in respect to member</w:t>
      </w:r>
      <w:r w:rsidR="006C2352">
        <w:t>’</w:t>
      </w:r>
      <w:r>
        <w:t xml:space="preserve">s superannuation savings. </w:t>
      </w:r>
    </w:p>
    <w:p w14:paraId="0E3261EA" w14:textId="13AE8540" w:rsidR="00E40703" w:rsidRDefault="00E40703" w:rsidP="00E40703">
      <w:pPr>
        <w:pStyle w:val="base-text-paragraphnonumbers"/>
      </w:pPr>
      <w:r>
        <w:t>Transparency through improved disclosure is critical to the efficiency and operation of Australia</w:t>
      </w:r>
      <w:r w:rsidR="006C2352">
        <w:t>’</w:t>
      </w:r>
      <w:r>
        <w:t>s market based superannuation system, as it improves understanding</w:t>
      </w:r>
      <w:r w:rsidR="00FA1D0B">
        <w:t>,</w:t>
      </w:r>
      <w:r>
        <w:t xml:space="preserve"> awareness and engagement across the community</w:t>
      </w:r>
      <w:r w:rsidR="006C2352">
        <w:t xml:space="preserve">. </w:t>
      </w:r>
    </w:p>
    <w:p w14:paraId="0E3261EB" w14:textId="77777777" w:rsidR="00E40703" w:rsidRDefault="00E40703" w:rsidP="00E40703">
      <w:pPr>
        <w:pStyle w:val="base-text-paragraphnonumbers"/>
      </w:pPr>
      <w:r>
        <w:t xml:space="preserve">The two measures contained in this Bill, portfolio holdings disclosure </w:t>
      </w:r>
      <w:r w:rsidR="007C638B">
        <w:t xml:space="preserve">(PHD) </w:t>
      </w:r>
      <w:r>
        <w:t>and choice dashboards will improve transparency while reducing potential costs for the superannuation industry.</w:t>
      </w:r>
    </w:p>
    <w:p w14:paraId="0E3261EC" w14:textId="50C156BB" w:rsidR="00E40703" w:rsidRDefault="00E40703" w:rsidP="00060A06">
      <w:pPr>
        <w:pStyle w:val="base-text-paragraphnonumbers"/>
      </w:pPr>
      <w:r w:rsidRPr="0088195E">
        <w:rPr>
          <w:rStyle w:val="BoldItalic"/>
        </w:rPr>
        <w:t>Date of effect</w:t>
      </w:r>
      <w:r w:rsidR="006C2352">
        <w:rPr>
          <w:rStyle w:val="base-text-paragraphChar"/>
        </w:rPr>
        <w:t>:</w:t>
      </w:r>
      <w:r w:rsidRPr="00266048">
        <w:rPr>
          <w:rStyle w:val="base-text-paragraphChar"/>
        </w:rPr>
        <w:t xml:space="preserve"> </w:t>
      </w:r>
      <w:r w:rsidR="00B944E7">
        <w:t>1 July 2016</w:t>
      </w:r>
    </w:p>
    <w:p w14:paraId="0E3261ED" w14:textId="18A2A29F" w:rsidR="00E40703" w:rsidRDefault="00E40703" w:rsidP="00060A06">
      <w:pPr>
        <w:pStyle w:val="base-text-paragraphnonumbers"/>
      </w:pPr>
      <w:r w:rsidRPr="0088195E">
        <w:rPr>
          <w:rStyle w:val="BoldItalic"/>
        </w:rPr>
        <w:t>Financial impact</w:t>
      </w:r>
      <w:r w:rsidR="006C2352">
        <w:rPr>
          <w:rStyle w:val="base-text-paragraphChar"/>
        </w:rPr>
        <w:t xml:space="preserve">: </w:t>
      </w:r>
      <w:r>
        <w:t xml:space="preserve">Low. </w:t>
      </w:r>
      <w:r w:rsidRPr="00E40703">
        <w:t>This Bill will have no financial impact on the Commonwealth.</w:t>
      </w:r>
    </w:p>
    <w:p w14:paraId="0E3261EE" w14:textId="77777777" w:rsidR="00E40703" w:rsidRDefault="00E40703" w:rsidP="00060A06">
      <w:pPr>
        <w:pStyle w:val="Heading2"/>
      </w:pPr>
      <w:r>
        <w:t>Summary of regulation impact statement</w:t>
      </w:r>
    </w:p>
    <w:p w14:paraId="0E3261EF" w14:textId="77777777" w:rsidR="00E40703" w:rsidRDefault="00E40703" w:rsidP="00060A06">
      <w:pPr>
        <w:pStyle w:val="Heading3"/>
      </w:pPr>
      <w:r>
        <w:t>Regulation impact on business</w:t>
      </w:r>
    </w:p>
    <w:p w14:paraId="0E3261F0" w14:textId="36617BA4" w:rsidR="00E40703" w:rsidRDefault="00E40703" w:rsidP="00060A06">
      <w:pPr>
        <w:pStyle w:val="base-text-paragraphnonumbers"/>
      </w:pPr>
      <w:r w:rsidRPr="0088195E">
        <w:rPr>
          <w:rStyle w:val="BoldItalic"/>
        </w:rPr>
        <w:t>Impact</w:t>
      </w:r>
      <w:r w:rsidR="006C2352">
        <w:rPr>
          <w:rStyle w:val="base-text-paragraphChar"/>
        </w:rPr>
        <w:t xml:space="preserve">: </w:t>
      </w:r>
      <w:r>
        <w:t xml:space="preserve">The full impact of this Bill will be assessed prior to the making of the regulation for the measures contained in this Bill. </w:t>
      </w:r>
    </w:p>
    <w:p w14:paraId="0E3261F1" w14:textId="77777777" w:rsidR="00E40703" w:rsidRPr="0088195E" w:rsidRDefault="00E40703" w:rsidP="00060A06">
      <w:pPr>
        <w:pStyle w:val="base-text-paragraphnonumbers"/>
        <w:rPr>
          <w:rStyle w:val="BoldItalic"/>
        </w:rPr>
      </w:pPr>
      <w:r w:rsidRPr="0088195E">
        <w:rPr>
          <w:rStyle w:val="BoldItalic"/>
        </w:rPr>
        <w:t>Main points</w:t>
      </w:r>
      <w:r w:rsidRPr="00266048">
        <w:rPr>
          <w:rStyle w:val="base-text-paragraphChar"/>
        </w:rPr>
        <w:t>:</w:t>
      </w:r>
    </w:p>
    <w:p w14:paraId="0E3261F2" w14:textId="3A7BFECB" w:rsidR="00E40703" w:rsidRDefault="00FF246D" w:rsidP="00060A06">
      <w:pPr>
        <w:pStyle w:val="dotpoint"/>
      </w:pPr>
      <w:r>
        <w:t>A</w:t>
      </w:r>
      <w:r w:rsidR="004B4BAE">
        <w:t>n early</w:t>
      </w:r>
      <w:r w:rsidR="00C0614A">
        <w:t xml:space="preserve"> assessment</w:t>
      </w:r>
      <w:r w:rsidR="004B4BAE">
        <w:t xml:space="preserve"> </w:t>
      </w:r>
      <w:r w:rsidR="00C0614A">
        <w:t>Regulation</w:t>
      </w:r>
      <w:r w:rsidR="00E40703">
        <w:t xml:space="preserve"> Impact Statement (RIS) has been prepared for this Bill</w:t>
      </w:r>
      <w:r w:rsidR="006C2352">
        <w:t xml:space="preserve">. </w:t>
      </w:r>
      <w:r w:rsidR="00E40703">
        <w:t xml:space="preserve"> </w:t>
      </w:r>
    </w:p>
    <w:p w14:paraId="1D063271" w14:textId="77777777" w:rsidR="00B944E7" w:rsidRPr="00C0614A" w:rsidRDefault="00B944E7" w:rsidP="00B944E7">
      <w:pPr>
        <w:pStyle w:val="dotpoint"/>
      </w:pPr>
      <w:r w:rsidRPr="00C0614A">
        <w:t>It is recognised that the proposed amendments will significantly reduce compliance costs on the industry, while still ensuring increased transparency for superannuation fund members.</w:t>
      </w:r>
    </w:p>
    <w:p w14:paraId="11C9D8AB" w14:textId="413EB893" w:rsidR="00B944E7" w:rsidRPr="00C0614A" w:rsidRDefault="00B944E7" w:rsidP="00B944E7">
      <w:pPr>
        <w:pStyle w:val="dotpoint"/>
      </w:pPr>
      <w:r w:rsidRPr="00C0614A">
        <w:t xml:space="preserve">Given the final cost implications of the proposed amendments will not be able to be determined without consideration of the content of the associated regulation, the explanatory statement to the Regulation will contain the final assessment RIS. </w:t>
      </w:r>
    </w:p>
    <w:p w14:paraId="0E3261F3" w14:textId="0FF570B3" w:rsidR="00E40703" w:rsidRDefault="00E40703" w:rsidP="00060A06">
      <w:pPr>
        <w:pStyle w:val="Hiddentext"/>
      </w:pPr>
    </w:p>
    <w:p w14:paraId="0E3261F4" w14:textId="77777777" w:rsidR="00E40703" w:rsidRDefault="00E40703" w:rsidP="00060A06">
      <w:pPr>
        <w:sectPr w:rsidR="00E40703" w:rsidSect="00060A06">
          <w:headerReference w:type="even" r:id="rId26"/>
          <w:headerReference w:type="default" r:id="rId27"/>
          <w:footerReference w:type="even" r:id="rId28"/>
          <w:footerReference w:type="default" r:id="rId29"/>
          <w:footerReference w:type="first" r:id="rId30"/>
          <w:type w:val="oddPage"/>
          <w:pgSz w:w="11906" w:h="16838" w:code="9"/>
          <w:pgMar w:top="2466" w:right="2098" w:bottom="2466" w:left="2098" w:header="1559" w:footer="1899" w:gutter="0"/>
          <w:cols w:space="708"/>
          <w:titlePg/>
          <w:docGrid w:linePitch="360"/>
        </w:sectPr>
      </w:pPr>
    </w:p>
    <w:p w14:paraId="0E3261F5" w14:textId="77777777" w:rsidR="00E40703" w:rsidRPr="007439D0" w:rsidRDefault="00E40703" w:rsidP="00060A06"/>
    <w:p w14:paraId="0E3261F6" w14:textId="146DAB01" w:rsidR="00E40703" w:rsidRPr="00F51A71" w:rsidRDefault="00E40703" w:rsidP="00E40703">
      <w:pPr>
        <w:pStyle w:val="ChapterHeading"/>
      </w:pPr>
      <w:r w:rsidRPr="00F51A71">
        <w:br/>
      </w:r>
      <w:bookmarkStart w:id="3" w:name="_Toc429658445"/>
      <w:r w:rsidR="00F45F8F">
        <w:t>Choice Product Dashboards</w:t>
      </w:r>
      <w:bookmarkEnd w:id="3"/>
      <w:r w:rsidR="00F45F8F">
        <w:t xml:space="preserve"> </w:t>
      </w:r>
    </w:p>
    <w:p w14:paraId="6C3E89AA" w14:textId="77777777" w:rsidR="00F45F8F" w:rsidRDefault="00F45F8F" w:rsidP="00F45F8F">
      <w:pPr>
        <w:pStyle w:val="Heading2"/>
      </w:pPr>
      <w:r>
        <w:t>Outline of chapter</w:t>
      </w:r>
    </w:p>
    <w:p w14:paraId="36341D8B" w14:textId="77777777" w:rsidR="00F45F8F" w:rsidRDefault="00F45F8F" w:rsidP="00F45F8F">
      <w:pPr>
        <w:pStyle w:val="base-text-paragraph"/>
      </w:pPr>
      <w:r>
        <w:t>The Government wishes to ensure the public disclosure of risk, return and fee information for regulated superannuation funds is easily accessible to consumers, while reducing the costs to superannuation funds of such disclosure.</w:t>
      </w:r>
    </w:p>
    <w:p w14:paraId="085E2ECC" w14:textId="2059BCA0" w:rsidR="00F45F8F" w:rsidRDefault="00F45F8F" w:rsidP="00F45F8F">
      <w:pPr>
        <w:pStyle w:val="base-text-paragraph"/>
      </w:pPr>
      <w:r>
        <w:t>To achieve this objective, t</w:t>
      </w:r>
      <w:r w:rsidRPr="00424EAA">
        <w:t xml:space="preserve">he Government will amend the </w:t>
      </w:r>
      <w:r w:rsidRPr="00424EAA">
        <w:rPr>
          <w:i/>
        </w:rPr>
        <w:t>Corporations Act 2001</w:t>
      </w:r>
      <w:r w:rsidRPr="00424EAA">
        <w:t xml:space="preserve"> (Corporations Act) to </w:t>
      </w:r>
      <w:r>
        <w:t xml:space="preserve">limit the </w:t>
      </w:r>
      <w:r w:rsidRPr="00424EAA">
        <w:t>require</w:t>
      </w:r>
      <w:r>
        <w:t>ment for</w:t>
      </w:r>
      <w:r w:rsidRPr="00424EAA">
        <w:t xml:space="preserve"> a trustee of a regulated superannuation fund with five or more members to</w:t>
      </w:r>
      <w:r>
        <w:t xml:space="preserve"> </w:t>
      </w:r>
      <w:r w:rsidRPr="00424EAA">
        <w:t xml:space="preserve">produce a choice product dashboard </w:t>
      </w:r>
      <w:r>
        <w:t>to</w:t>
      </w:r>
      <w:r w:rsidRPr="00424EAA">
        <w:t xml:space="preserve"> </w:t>
      </w:r>
      <w:r>
        <w:t>the</w:t>
      </w:r>
      <w:r w:rsidRPr="00424EAA">
        <w:t xml:space="preserve"> fund</w:t>
      </w:r>
      <w:r w:rsidR="006C2352">
        <w:t>’</w:t>
      </w:r>
      <w:r w:rsidRPr="00424EAA">
        <w:t>s 10 largest choice investment options, as measured by funds under management</w:t>
      </w:r>
      <w:r>
        <w:t>. The current requirement prescribes the provision of a product dashboard for all the fund</w:t>
      </w:r>
      <w:r w:rsidR="006C2352">
        <w:t>’</w:t>
      </w:r>
      <w:r>
        <w:t>s choice products. A power will be provided to prescribe by regulation how the dashboard must be displayed on the fund</w:t>
      </w:r>
      <w:r w:rsidR="006C2352">
        <w:t>’</w:t>
      </w:r>
      <w:r>
        <w:t>s website, and how information on the dashboard is to be set out</w:t>
      </w:r>
      <w:r w:rsidRPr="00424EAA">
        <w:t>.</w:t>
      </w:r>
    </w:p>
    <w:p w14:paraId="2035FEA9" w14:textId="77777777" w:rsidR="00F45F8F" w:rsidRDefault="00F45F8F" w:rsidP="00F45F8F">
      <w:pPr>
        <w:pStyle w:val="Heading2"/>
      </w:pPr>
      <w:r>
        <w:t>Context of amendments</w:t>
      </w:r>
    </w:p>
    <w:p w14:paraId="527755DC" w14:textId="127059C7" w:rsidR="00F45F8F" w:rsidRPr="0001784B" w:rsidRDefault="00F45F8F" w:rsidP="00F45F8F">
      <w:pPr>
        <w:pStyle w:val="base-text-paragraph"/>
      </w:pPr>
      <w:r w:rsidRPr="0001784B">
        <w:t>The Corporations Act requires trustees of certain superannuation funds to publish on the fund</w:t>
      </w:r>
      <w:r w:rsidR="006C2352">
        <w:t>’</w:t>
      </w:r>
      <w:r w:rsidRPr="0001784B">
        <w:t>s website a product dashboard. The dashboard provides a summary of information for consumers about each of the fund</w:t>
      </w:r>
      <w:r w:rsidR="006C2352">
        <w:t>’</w:t>
      </w:r>
      <w:r w:rsidRPr="0001784B">
        <w:t>s MySuper and choice products</w:t>
      </w:r>
      <w:r w:rsidR="006C2352">
        <w:t>.</w:t>
      </w:r>
      <w:r w:rsidRPr="0001784B">
        <w:rPr>
          <w:vertAlign w:val="superscript"/>
        </w:rPr>
        <w:footnoteReference w:id="2"/>
      </w:r>
      <w:r w:rsidRPr="0001784B">
        <w:t xml:space="preserve"> Product dashboards are intended to assist members and other users such as regulators, review agencies and the media to more easily compare investment options. The dashboard is also intended to assist members to decide whether their current superannuation investment option is suitable for them or whether to switch into a different investment option.</w:t>
      </w:r>
    </w:p>
    <w:p w14:paraId="4725C92A" w14:textId="77777777" w:rsidR="00F45F8F" w:rsidRPr="0001784B" w:rsidRDefault="00F45F8F" w:rsidP="00F45F8F">
      <w:pPr>
        <w:pStyle w:val="base-text-paragraph"/>
      </w:pPr>
      <w:r w:rsidRPr="0001784B">
        <w:t>The product dashboard requirements are set out in s</w:t>
      </w:r>
      <w:r>
        <w:t>ection</w:t>
      </w:r>
      <w:r w:rsidRPr="0001784B">
        <w:t> 1017BA of the Corporations Act. In summary:</w:t>
      </w:r>
    </w:p>
    <w:p w14:paraId="0FA32DD9" w14:textId="036F7F79" w:rsidR="00F45F8F" w:rsidRPr="0001784B" w:rsidRDefault="00F45F8F" w:rsidP="00F45F8F">
      <w:pPr>
        <w:pStyle w:val="dotpoint"/>
      </w:pPr>
      <w:r>
        <w:t>Subs</w:t>
      </w:r>
      <w:r w:rsidRPr="0001784B">
        <w:t>ection</w:t>
      </w:r>
      <w:r>
        <w:t> 1017BA(1)</w:t>
      </w:r>
      <w:r w:rsidRPr="0001784B">
        <w:t xml:space="preserve"> provides that trustees of regulated superannuation funds must produce a product dashboard for each of </w:t>
      </w:r>
      <w:r>
        <w:t>their</w:t>
      </w:r>
      <w:r w:rsidRPr="0001784B">
        <w:t xml:space="preserve"> MySuper products and choice products, and ensure that each product dashboard is available publicly on </w:t>
      </w:r>
      <w:r w:rsidR="00FA1D0B">
        <w:t xml:space="preserve">the </w:t>
      </w:r>
      <w:r w:rsidRPr="0001784B">
        <w:t>fund website</w:t>
      </w:r>
      <w:r w:rsidR="00FA1D0B">
        <w:t xml:space="preserve"> of each</w:t>
      </w:r>
      <w:r w:rsidRPr="0001784B">
        <w:t xml:space="preserve">, is updated as required and contains the required </w:t>
      </w:r>
      <w:r>
        <w:t>information;</w:t>
      </w:r>
    </w:p>
    <w:p w14:paraId="02228C4B" w14:textId="755625D9" w:rsidR="00F45F8F" w:rsidRPr="0001784B" w:rsidRDefault="00F45F8F" w:rsidP="00F45F8F">
      <w:pPr>
        <w:pStyle w:val="dotpoint"/>
      </w:pPr>
      <w:r>
        <w:t>Subs</w:t>
      </w:r>
      <w:r w:rsidRPr="0001784B">
        <w:t>ections 1017BA(2)</w:t>
      </w:r>
      <w:r w:rsidR="006C2352">
        <w:noBreakHyphen/>
      </w:r>
      <w:r>
        <w:t>(3)</w:t>
      </w:r>
      <w:r w:rsidRPr="0001784B">
        <w:t xml:space="preserve"> provide that certain information must be included, in accordance with the regulations, in product dashboards</w:t>
      </w:r>
      <w:r>
        <w:t>;</w:t>
      </w:r>
    </w:p>
    <w:p w14:paraId="026CBE0A" w14:textId="77777777" w:rsidR="00F45F8F" w:rsidRPr="0001784B" w:rsidRDefault="00F45F8F" w:rsidP="00F45F8F">
      <w:pPr>
        <w:pStyle w:val="dotpoint"/>
      </w:pPr>
      <w:r>
        <w:t>Subs</w:t>
      </w:r>
      <w:r w:rsidRPr="0001784B">
        <w:t>ection</w:t>
      </w:r>
      <w:r>
        <w:t> 1017BA(4)</w:t>
      </w:r>
      <w:r w:rsidRPr="0001784B">
        <w:t xml:space="preserve"> provides that product dashboards do not have to be published for investment options within a choice product in certain circumstances</w:t>
      </w:r>
      <w:r>
        <w:t>; and</w:t>
      </w:r>
    </w:p>
    <w:p w14:paraId="20C3403B" w14:textId="77777777" w:rsidR="00F45F8F" w:rsidRPr="0001784B" w:rsidRDefault="00F45F8F" w:rsidP="00F45F8F">
      <w:pPr>
        <w:pStyle w:val="dotpoint"/>
      </w:pPr>
      <w:r>
        <w:t>Subs</w:t>
      </w:r>
      <w:r w:rsidRPr="0001784B">
        <w:t xml:space="preserve">ection 1017BA(5) defines terms for the purposes of the product dashboard. The terms </w:t>
      </w:r>
      <w:r w:rsidR="006C2352">
        <w:t>‘</w:t>
      </w:r>
      <w:r w:rsidRPr="0001784B">
        <w:t>choice product</w:t>
      </w:r>
      <w:r w:rsidR="006C2352">
        <w:t>’</w:t>
      </w:r>
      <w:r w:rsidRPr="0001784B">
        <w:t xml:space="preserve">, </w:t>
      </w:r>
      <w:r w:rsidR="006C2352">
        <w:t>‘</w:t>
      </w:r>
      <w:r w:rsidRPr="0001784B">
        <w:t>member</w:t>
      </w:r>
      <w:r w:rsidR="006C2352">
        <w:t>’</w:t>
      </w:r>
      <w:r w:rsidRPr="0001784B">
        <w:t xml:space="preserve">, </w:t>
      </w:r>
      <w:r w:rsidR="006C2352">
        <w:t>‘</w:t>
      </w:r>
      <w:r w:rsidRPr="0001784B">
        <w:t>MySuper product</w:t>
      </w:r>
      <w:r w:rsidR="006C2352">
        <w:t>’</w:t>
      </w:r>
      <w:r w:rsidRPr="0001784B">
        <w:t xml:space="preserve">, and </w:t>
      </w:r>
      <w:r w:rsidR="006C2352">
        <w:t>‘</w:t>
      </w:r>
      <w:r w:rsidRPr="0001784B">
        <w:t>regulated superannuation fund</w:t>
      </w:r>
      <w:r w:rsidR="006C2352">
        <w:t>’</w:t>
      </w:r>
      <w:r w:rsidRPr="0001784B">
        <w:t xml:space="preserve"> are defined as having the same meaning as in the </w:t>
      </w:r>
      <w:r w:rsidRPr="0001784B">
        <w:rPr>
          <w:i/>
        </w:rPr>
        <w:t xml:space="preserve">Superannuation Industry (Supervision) Act 1993 </w:t>
      </w:r>
      <w:r>
        <w:t xml:space="preserve">(SIS Act) </w:t>
      </w:r>
      <w:r w:rsidRPr="0001784B">
        <w:t>as these terms are used with the same underlying concepts and are superannuation specific.</w:t>
      </w:r>
    </w:p>
    <w:p w14:paraId="7D83E38D" w14:textId="1B928368" w:rsidR="00F45F8F" w:rsidRPr="0001784B" w:rsidRDefault="00F45F8F" w:rsidP="00F45F8F">
      <w:pPr>
        <w:pStyle w:val="base-text-paragraph"/>
      </w:pPr>
      <w:r w:rsidRPr="0001784B">
        <w:t xml:space="preserve">The product dashboard requirements took effect for MySuper products on 31 December 2013. The </w:t>
      </w:r>
      <w:r w:rsidRPr="0001784B">
        <w:rPr>
          <w:i/>
        </w:rPr>
        <w:t>Corporations Regulations 2001</w:t>
      </w:r>
      <w:r w:rsidRPr="0001784B">
        <w:t xml:space="preserve"> (Corporations Regulations) specify the detailed requirements regarding the presentation and content of the information in a product dashboard for a MySuper product (</w:t>
      </w:r>
      <w:r>
        <w:t>regulations</w:t>
      </w:r>
      <w:r w:rsidRPr="0001784B">
        <w:t> 7.9.07L</w:t>
      </w:r>
      <w:r w:rsidR="006C2352">
        <w:t>–</w:t>
      </w:r>
      <w:r w:rsidRPr="0001784B">
        <w:t>7.9.07W). A</w:t>
      </w:r>
      <w:r w:rsidR="004C7F48">
        <w:t xml:space="preserve">ustralian </w:t>
      </w:r>
      <w:r w:rsidRPr="0001784B">
        <w:t>P</w:t>
      </w:r>
      <w:r w:rsidR="004C7F48">
        <w:t xml:space="preserve">rudential </w:t>
      </w:r>
      <w:r w:rsidRPr="0001784B">
        <w:t>R</w:t>
      </w:r>
      <w:r w:rsidR="004C7F48">
        <w:t xml:space="preserve">egulation </w:t>
      </w:r>
      <w:r w:rsidRPr="0001784B">
        <w:t>A</w:t>
      </w:r>
      <w:r w:rsidR="004C7F48">
        <w:t>uthority (APRA)</w:t>
      </w:r>
      <w:r w:rsidRPr="0001784B">
        <w:t xml:space="preserve"> Reporting Standard SRS 700.0 sets out the detailed requirements for product dashboards.</w:t>
      </w:r>
    </w:p>
    <w:p w14:paraId="47BDA5C3" w14:textId="77777777" w:rsidR="00F45F8F" w:rsidRPr="0001784B" w:rsidRDefault="00F45F8F" w:rsidP="00F45F8F">
      <w:pPr>
        <w:pStyle w:val="base-text-paragraph"/>
      </w:pPr>
      <w:r w:rsidRPr="0001784B">
        <w:t xml:space="preserve">The product dashboard requirements for choice products were scheduled to take effect from 1 July 2014. Regulations specifying the detailed requirements regarding the presentation and content of the information in a product dashboard for a choice product have not been made. </w:t>
      </w:r>
    </w:p>
    <w:p w14:paraId="518D0853" w14:textId="674E2AD3" w:rsidR="00F45F8F" w:rsidRPr="0001784B" w:rsidRDefault="00F45F8F" w:rsidP="00F45F8F">
      <w:pPr>
        <w:pStyle w:val="base-text-paragraph"/>
        <w:rPr>
          <w:lang w:val="en"/>
        </w:rPr>
      </w:pPr>
      <w:r w:rsidRPr="0001784B">
        <w:t>A</w:t>
      </w:r>
      <w:r w:rsidR="004C7F48">
        <w:t xml:space="preserve">ustralian </w:t>
      </w:r>
      <w:r w:rsidRPr="0001784B">
        <w:t>S</w:t>
      </w:r>
      <w:r w:rsidR="004C7F48">
        <w:t xml:space="preserve">ecurities and </w:t>
      </w:r>
      <w:r w:rsidRPr="0001784B">
        <w:t>I</w:t>
      </w:r>
      <w:r w:rsidR="004C7F48">
        <w:t xml:space="preserve">nvestments </w:t>
      </w:r>
      <w:r w:rsidRPr="0001784B">
        <w:t>C</w:t>
      </w:r>
      <w:r w:rsidR="004C7F48">
        <w:t>ommission (ASIC)</w:t>
      </w:r>
      <w:r w:rsidRPr="0001784B">
        <w:t xml:space="preserve"> Class Order [CO 14/443] delay</w:t>
      </w:r>
      <w:r>
        <w:t>s</w:t>
      </w:r>
      <w:r w:rsidRPr="0001784B">
        <w:t xml:space="preserve"> the requirement to provide choice product dashboards until 1 July 201</w:t>
      </w:r>
      <w:r>
        <w:t>6</w:t>
      </w:r>
      <w:r w:rsidRPr="0001784B">
        <w:t xml:space="preserve">. </w:t>
      </w:r>
      <w:r w:rsidRPr="0001784B">
        <w:rPr>
          <w:lang w:val="en"/>
        </w:rPr>
        <w:t xml:space="preserve">The purpose of this deferral </w:t>
      </w:r>
      <w:r>
        <w:rPr>
          <w:lang w:val="en"/>
        </w:rPr>
        <w:t>i</w:t>
      </w:r>
      <w:r w:rsidRPr="0001784B">
        <w:rPr>
          <w:lang w:val="en"/>
        </w:rPr>
        <w:t xml:space="preserve">s to allow further consultation </w:t>
      </w:r>
      <w:r w:rsidR="00FF246D">
        <w:rPr>
          <w:lang w:val="en"/>
        </w:rPr>
        <w:t xml:space="preserve">on both the legislation and regulation, </w:t>
      </w:r>
      <w:r w:rsidRPr="0001784B">
        <w:rPr>
          <w:lang w:val="en"/>
        </w:rPr>
        <w:t xml:space="preserve">and provide industry with a reasonable period to prepare for the detailed presentation and content requirements relating to the provisions. </w:t>
      </w:r>
    </w:p>
    <w:p w14:paraId="2A8533DE" w14:textId="77777777" w:rsidR="00F45F8F" w:rsidRDefault="00F45F8F" w:rsidP="00F45F8F">
      <w:pPr>
        <w:pStyle w:val="Heading2"/>
      </w:pPr>
      <w:r>
        <w:t>Summary of new law</w:t>
      </w:r>
    </w:p>
    <w:p w14:paraId="53238BB6" w14:textId="6779F25D" w:rsidR="00F45F8F" w:rsidRDefault="00F45F8F" w:rsidP="00F45F8F">
      <w:pPr>
        <w:pStyle w:val="base-text-paragraph"/>
      </w:pPr>
      <w:r>
        <w:t>The new law amends the existing provisions relating to product dashboards in section 1017BA of the Corporations Act. An important change limits the requirement to provide a product dashboard to a superannuation fund</w:t>
      </w:r>
      <w:r w:rsidR="006C2352">
        <w:t>’</w:t>
      </w:r>
      <w:r>
        <w:t>s ten largest choice investment options, as measured by funds under management, instead of for all investment options. The fund still has to provide a product dashboard for all its MySuper products.</w:t>
      </w:r>
    </w:p>
    <w:p w14:paraId="15B3AA93" w14:textId="77777777" w:rsidR="00F45F8F" w:rsidRDefault="00F45F8F" w:rsidP="00F45F8F">
      <w:pPr>
        <w:pStyle w:val="base-text-paragraph"/>
      </w:pPr>
      <w:r>
        <w:t>A new power is provided to prescribe in regulations how a product dashboard must be displayed on a fund</w:t>
      </w:r>
      <w:r w:rsidR="006C2352">
        <w:t>’</w:t>
      </w:r>
      <w:r>
        <w:t>s website. This power will cover both MySuper products and choice investment options.</w:t>
      </w:r>
    </w:p>
    <w:p w14:paraId="28A37AA2" w14:textId="77777777" w:rsidR="00F45F8F" w:rsidRPr="008F726E" w:rsidRDefault="00F45F8F" w:rsidP="00F45F8F">
      <w:pPr>
        <w:pStyle w:val="base-text-paragraph"/>
      </w:pPr>
      <w:r>
        <w:t>Certain types of choice products are excluded from the requirement to provide a product dashboard. A power to exclude further types of products by regulation is provided.</w:t>
      </w:r>
    </w:p>
    <w:p w14:paraId="22A4594B" w14:textId="77777777" w:rsidR="00F45F8F" w:rsidRDefault="00F45F8F" w:rsidP="006C2352">
      <w:pPr>
        <w:pStyle w:val="Heading2"/>
        <w:spacing w:before="240"/>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F45F8F" w:rsidRPr="004666B8" w14:paraId="72D28C51" w14:textId="77777777" w:rsidTr="006C2352">
        <w:trPr>
          <w:tblHeader/>
        </w:trPr>
        <w:tc>
          <w:tcPr>
            <w:tcW w:w="3275" w:type="dxa"/>
          </w:tcPr>
          <w:p w14:paraId="16024DD1" w14:textId="77777777" w:rsidR="00F45F8F" w:rsidRPr="004666B8" w:rsidRDefault="00F45F8F" w:rsidP="00F45F8F">
            <w:pPr>
              <w:pStyle w:val="tableheaderwithintable"/>
              <w:rPr>
                <w:lang w:val="en-US" w:eastAsia="en-US"/>
              </w:rPr>
            </w:pPr>
            <w:r w:rsidRPr="004666B8">
              <w:rPr>
                <w:lang w:val="en-US" w:eastAsia="en-US"/>
              </w:rPr>
              <w:t>New law</w:t>
            </w:r>
          </w:p>
        </w:tc>
        <w:tc>
          <w:tcPr>
            <w:tcW w:w="3276" w:type="dxa"/>
          </w:tcPr>
          <w:p w14:paraId="71700DE9" w14:textId="77777777" w:rsidR="00F45F8F" w:rsidRPr="004666B8" w:rsidRDefault="00F45F8F" w:rsidP="00F45F8F">
            <w:pPr>
              <w:pStyle w:val="tableheaderwithintable"/>
              <w:rPr>
                <w:lang w:val="en-US" w:eastAsia="en-US"/>
              </w:rPr>
            </w:pPr>
            <w:r w:rsidRPr="004666B8">
              <w:rPr>
                <w:lang w:val="en-US" w:eastAsia="en-US"/>
              </w:rPr>
              <w:t>Current law</w:t>
            </w:r>
          </w:p>
        </w:tc>
      </w:tr>
      <w:tr w:rsidR="00F45F8F" w:rsidRPr="004666B8" w14:paraId="2E22F217" w14:textId="77777777" w:rsidTr="00F45F8F">
        <w:tc>
          <w:tcPr>
            <w:tcW w:w="3275" w:type="dxa"/>
          </w:tcPr>
          <w:p w14:paraId="125DF631" w14:textId="77777777" w:rsidR="00F45F8F" w:rsidRDefault="00F45F8F" w:rsidP="00F45F8F">
            <w:pPr>
              <w:pStyle w:val="tabletext"/>
              <w:rPr>
                <w:lang w:eastAsia="en-US"/>
              </w:rPr>
            </w:pPr>
            <w:r w:rsidRPr="00AE5E15">
              <w:rPr>
                <w:lang w:eastAsia="en-US"/>
              </w:rPr>
              <w:t xml:space="preserve">Trustees of regulated superannuation funds with five or more members must publish a choice product dashboard for </w:t>
            </w:r>
            <w:r>
              <w:rPr>
                <w:lang w:eastAsia="en-US"/>
              </w:rPr>
              <w:t>each of their</w:t>
            </w:r>
            <w:r w:rsidRPr="00AE5E15">
              <w:rPr>
                <w:lang w:eastAsia="en-US"/>
              </w:rPr>
              <w:t xml:space="preserve"> fund</w:t>
            </w:r>
            <w:r w:rsidR="006C2352">
              <w:rPr>
                <w:lang w:eastAsia="en-US"/>
              </w:rPr>
              <w:t>’</w:t>
            </w:r>
            <w:r w:rsidRPr="00AE5E15">
              <w:rPr>
                <w:lang w:eastAsia="en-US"/>
              </w:rPr>
              <w:t xml:space="preserve">s </w:t>
            </w:r>
            <w:r>
              <w:rPr>
                <w:lang w:eastAsia="en-US"/>
              </w:rPr>
              <w:t>ten</w:t>
            </w:r>
            <w:r w:rsidRPr="00AE5E15">
              <w:rPr>
                <w:lang w:eastAsia="en-US"/>
              </w:rPr>
              <w:t xml:space="preserve"> largest choice investment options, as measured by funds under management.</w:t>
            </w:r>
            <w:r>
              <w:rPr>
                <w:lang w:eastAsia="en-US"/>
              </w:rPr>
              <w:t xml:space="preserve"> </w:t>
            </w:r>
          </w:p>
          <w:p w14:paraId="39BA6588" w14:textId="14118942" w:rsidR="00F45F8F" w:rsidRPr="004666B8" w:rsidRDefault="00F45F8F" w:rsidP="006C2352">
            <w:pPr>
              <w:pStyle w:val="tabletext"/>
              <w:rPr>
                <w:lang w:val="en-US" w:eastAsia="en-US"/>
              </w:rPr>
            </w:pPr>
            <w:r>
              <w:rPr>
                <w:lang w:eastAsia="en-US"/>
              </w:rPr>
              <w:t>For MySuper and choice lifecycle products, a separate dashboard must be provided for each lifecycle stage (in the case of choice lifecycle products, this rule only applies if the lifecycle product as a whole is among a fund</w:t>
            </w:r>
            <w:r w:rsidR="006C2352">
              <w:rPr>
                <w:lang w:eastAsia="en-US"/>
              </w:rPr>
              <w:t>’</w:t>
            </w:r>
            <w:r>
              <w:rPr>
                <w:lang w:eastAsia="en-US"/>
              </w:rPr>
              <w:t xml:space="preserve">s </w:t>
            </w:r>
            <w:r w:rsidR="006C2352">
              <w:rPr>
                <w:lang w:eastAsia="en-US"/>
              </w:rPr>
              <w:t>10</w:t>
            </w:r>
            <w:r>
              <w:rPr>
                <w:lang w:eastAsia="en-US"/>
              </w:rPr>
              <w:t xml:space="preserve"> largest choice investment options).</w:t>
            </w:r>
          </w:p>
        </w:tc>
        <w:tc>
          <w:tcPr>
            <w:tcW w:w="3276" w:type="dxa"/>
          </w:tcPr>
          <w:p w14:paraId="3ED5E0EE" w14:textId="77777777" w:rsidR="00F45F8F" w:rsidRPr="004666B8" w:rsidRDefault="00F45F8F" w:rsidP="00F45F8F">
            <w:pPr>
              <w:pStyle w:val="tabletext"/>
              <w:rPr>
                <w:lang w:val="en-US" w:eastAsia="en-US"/>
              </w:rPr>
            </w:pPr>
            <w:r w:rsidRPr="00C3553F">
              <w:rPr>
                <w:lang w:eastAsia="en-US"/>
              </w:rPr>
              <w:t xml:space="preserve">Trustees of regulated superannuation funds with five or more members must publish a product dashboard for each of </w:t>
            </w:r>
            <w:r>
              <w:rPr>
                <w:lang w:eastAsia="en-US"/>
              </w:rPr>
              <w:t>the investment options within a</w:t>
            </w:r>
            <w:r w:rsidRPr="00C3553F">
              <w:rPr>
                <w:lang w:eastAsia="en-US"/>
              </w:rPr>
              <w:t xml:space="preserve"> fund</w:t>
            </w:r>
            <w:r w:rsidR="006C2352">
              <w:rPr>
                <w:lang w:eastAsia="en-US"/>
              </w:rPr>
              <w:t>’</w:t>
            </w:r>
            <w:r w:rsidRPr="00C3553F">
              <w:rPr>
                <w:lang w:eastAsia="en-US"/>
              </w:rPr>
              <w:t>s choice products.</w:t>
            </w:r>
          </w:p>
        </w:tc>
      </w:tr>
      <w:tr w:rsidR="00F45F8F" w:rsidRPr="004666B8" w14:paraId="00667876" w14:textId="77777777" w:rsidTr="00F45F8F">
        <w:tc>
          <w:tcPr>
            <w:tcW w:w="3275" w:type="dxa"/>
          </w:tcPr>
          <w:p w14:paraId="0DAE17DA" w14:textId="77777777" w:rsidR="00F45F8F" w:rsidRPr="00AE5E15" w:rsidRDefault="00F45F8F" w:rsidP="00F45F8F">
            <w:pPr>
              <w:pStyle w:val="tabletext"/>
              <w:rPr>
                <w:lang w:eastAsia="en-US"/>
              </w:rPr>
            </w:pPr>
            <w:r>
              <w:rPr>
                <w:lang w:eastAsia="en-US"/>
              </w:rPr>
              <w:t>Regulations setting out content and presentation requirements for choice product dashboards will be made separately.</w:t>
            </w:r>
          </w:p>
        </w:tc>
        <w:tc>
          <w:tcPr>
            <w:tcW w:w="3276" w:type="dxa"/>
          </w:tcPr>
          <w:p w14:paraId="6AD5C236" w14:textId="77777777" w:rsidR="00F45F8F" w:rsidRPr="00C973FB" w:rsidRDefault="00F45F8F" w:rsidP="00F45F8F">
            <w:pPr>
              <w:pStyle w:val="tabletext"/>
              <w:rPr>
                <w:lang w:eastAsia="en-US"/>
              </w:rPr>
            </w:pPr>
            <w:r w:rsidRPr="00C973FB">
              <w:rPr>
                <w:lang w:eastAsia="en-US"/>
              </w:rPr>
              <w:t xml:space="preserve">Trustees must ensure that certain information is included, in accordance with the regulations, in a product dashboard for a choice </w:t>
            </w:r>
            <w:r>
              <w:rPr>
                <w:lang w:eastAsia="en-US"/>
              </w:rPr>
              <w:t>product</w:t>
            </w:r>
            <w:r w:rsidRPr="00C973FB">
              <w:rPr>
                <w:lang w:eastAsia="en-US"/>
              </w:rPr>
              <w:t>.</w:t>
            </w:r>
          </w:p>
          <w:p w14:paraId="25887E6A" w14:textId="77777777" w:rsidR="00F45F8F" w:rsidRPr="00C3553F" w:rsidRDefault="00F45F8F" w:rsidP="00F45F8F">
            <w:pPr>
              <w:pStyle w:val="tabletext"/>
              <w:rPr>
                <w:lang w:eastAsia="en-US"/>
              </w:rPr>
            </w:pPr>
            <w:r w:rsidRPr="00C973FB">
              <w:rPr>
                <w:lang w:eastAsia="en-US"/>
              </w:rPr>
              <w:t>Regulations setting out content and presentation requirements have not been made.</w:t>
            </w:r>
          </w:p>
        </w:tc>
      </w:tr>
      <w:tr w:rsidR="00F45F8F" w:rsidRPr="004666B8" w14:paraId="560502E2" w14:textId="77777777" w:rsidTr="00F45F8F">
        <w:tc>
          <w:tcPr>
            <w:tcW w:w="3275" w:type="dxa"/>
          </w:tcPr>
          <w:p w14:paraId="7627F312" w14:textId="77777777" w:rsidR="00F45F8F" w:rsidRDefault="00F45F8F" w:rsidP="00F45F8F">
            <w:pPr>
              <w:pStyle w:val="tabletext"/>
              <w:rPr>
                <w:lang w:eastAsia="en-US"/>
              </w:rPr>
            </w:pPr>
            <w:r w:rsidRPr="00070FF1">
              <w:rPr>
                <w:lang w:eastAsia="en-US"/>
              </w:rPr>
              <w:t>Regulations can prescribe the manner in which MySuper and choice product dashboards must be disclosed publicly</w:t>
            </w:r>
          </w:p>
        </w:tc>
        <w:tc>
          <w:tcPr>
            <w:tcW w:w="3276" w:type="dxa"/>
          </w:tcPr>
          <w:p w14:paraId="75A5002F" w14:textId="77777777" w:rsidR="00F45F8F" w:rsidRPr="00C973FB" w:rsidRDefault="00F45F8F" w:rsidP="00F45F8F">
            <w:pPr>
              <w:pStyle w:val="tabletext"/>
              <w:rPr>
                <w:lang w:eastAsia="en-US"/>
              </w:rPr>
            </w:pPr>
            <w:r w:rsidRPr="00070FF1">
              <w:rPr>
                <w:lang w:eastAsia="en-US"/>
              </w:rPr>
              <w:t>Product dashboards must be available on the fund</w:t>
            </w:r>
            <w:r w:rsidR="006C2352">
              <w:rPr>
                <w:lang w:eastAsia="en-US"/>
              </w:rPr>
              <w:t>’</w:t>
            </w:r>
            <w:r w:rsidRPr="00070FF1">
              <w:rPr>
                <w:lang w:eastAsia="en-US"/>
              </w:rPr>
              <w:t>s website.</w:t>
            </w:r>
          </w:p>
        </w:tc>
      </w:tr>
      <w:tr w:rsidR="00F45F8F" w:rsidRPr="004666B8" w14:paraId="117E3F2C" w14:textId="77777777" w:rsidTr="00F45F8F">
        <w:tc>
          <w:tcPr>
            <w:tcW w:w="3275" w:type="dxa"/>
          </w:tcPr>
          <w:p w14:paraId="194C8307" w14:textId="77777777" w:rsidR="00F45F8F" w:rsidRPr="00070FF1" w:rsidRDefault="00F45F8F" w:rsidP="00F45F8F">
            <w:pPr>
              <w:pStyle w:val="tabletext"/>
              <w:rPr>
                <w:lang w:eastAsia="en-US"/>
              </w:rPr>
            </w:pPr>
            <w:r>
              <w:rPr>
                <w:lang w:eastAsia="en-US"/>
              </w:rPr>
              <w:t>P</w:t>
            </w:r>
            <w:r w:rsidRPr="00433F22">
              <w:rPr>
                <w:lang w:eastAsia="en-US"/>
              </w:rPr>
              <w:t>ooled superannuation trusts and eligible rollover funds</w:t>
            </w:r>
            <w:r>
              <w:rPr>
                <w:lang w:eastAsia="en-US"/>
              </w:rPr>
              <w:t xml:space="preserve"> will be exempted from the product dashboard requirements</w:t>
            </w:r>
            <w:r w:rsidRPr="00433F22">
              <w:rPr>
                <w:lang w:eastAsia="en-US"/>
              </w:rPr>
              <w:t xml:space="preserve">. A general power to </w:t>
            </w:r>
            <w:r>
              <w:rPr>
                <w:lang w:eastAsia="en-US"/>
              </w:rPr>
              <w:t>provide</w:t>
            </w:r>
            <w:r w:rsidRPr="00433F22">
              <w:rPr>
                <w:lang w:eastAsia="en-US"/>
              </w:rPr>
              <w:t xml:space="preserve"> further </w:t>
            </w:r>
            <w:r>
              <w:rPr>
                <w:lang w:eastAsia="en-US"/>
              </w:rPr>
              <w:t xml:space="preserve">exemptions from </w:t>
            </w:r>
            <w:r w:rsidRPr="00433F22">
              <w:rPr>
                <w:lang w:eastAsia="en-US"/>
              </w:rPr>
              <w:t>the choice dashboard requirements by regulation will be inserted.</w:t>
            </w:r>
          </w:p>
        </w:tc>
        <w:tc>
          <w:tcPr>
            <w:tcW w:w="3276" w:type="dxa"/>
          </w:tcPr>
          <w:p w14:paraId="274B5EBD" w14:textId="77777777" w:rsidR="00F45F8F" w:rsidRPr="00070FF1" w:rsidRDefault="00F45F8F" w:rsidP="00F45F8F">
            <w:pPr>
              <w:pStyle w:val="tabletext"/>
              <w:rPr>
                <w:lang w:eastAsia="en-US"/>
              </w:rPr>
            </w:pPr>
            <w:r w:rsidRPr="00433F22">
              <w:rPr>
                <w:lang w:eastAsia="en-US"/>
              </w:rPr>
              <w:t>Product dashboards do not have to be published for investment options within a choice product in certain circumstances.</w:t>
            </w:r>
          </w:p>
        </w:tc>
      </w:tr>
      <w:tr w:rsidR="00F45F8F" w:rsidRPr="004666B8" w14:paraId="0AB003CA" w14:textId="77777777" w:rsidTr="00F45F8F">
        <w:tc>
          <w:tcPr>
            <w:tcW w:w="3275" w:type="dxa"/>
          </w:tcPr>
          <w:p w14:paraId="334A2B8A" w14:textId="77777777" w:rsidR="00F45F8F" w:rsidRPr="00433F22" w:rsidRDefault="00F45F8F" w:rsidP="00F45F8F">
            <w:pPr>
              <w:pStyle w:val="tabletext"/>
              <w:rPr>
                <w:lang w:eastAsia="en-US"/>
              </w:rPr>
            </w:pPr>
            <w:r>
              <w:rPr>
                <w:lang w:eastAsia="en-US"/>
              </w:rPr>
              <w:t xml:space="preserve">A number of further definitions will be inserted, including the important definition of a </w:t>
            </w:r>
            <w:r w:rsidR="006C2352">
              <w:rPr>
                <w:lang w:eastAsia="en-US"/>
              </w:rPr>
              <w:t>‘</w:t>
            </w:r>
            <w:r>
              <w:rPr>
                <w:lang w:eastAsia="en-US"/>
              </w:rPr>
              <w:t>qualifying choice investment option</w:t>
            </w:r>
            <w:r w:rsidR="006C2352">
              <w:rPr>
                <w:lang w:eastAsia="en-US"/>
              </w:rPr>
              <w:t>’</w:t>
            </w:r>
            <w:r>
              <w:rPr>
                <w:lang w:eastAsia="en-US"/>
              </w:rPr>
              <w:t xml:space="preserve"> which restricts the choice product dashboard requirements to a fund</w:t>
            </w:r>
            <w:r w:rsidR="006C2352">
              <w:rPr>
                <w:lang w:eastAsia="en-US"/>
              </w:rPr>
              <w:t>’</w:t>
            </w:r>
            <w:r>
              <w:rPr>
                <w:lang w:eastAsia="en-US"/>
              </w:rPr>
              <w:t>s 10 largest investment options.</w:t>
            </w:r>
          </w:p>
        </w:tc>
        <w:tc>
          <w:tcPr>
            <w:tcW w:w="3276" w:type="dxa"/>
          </w:tcPr>
          <w:p w14:paraId="3F751B95" w14:textId="77777777" w:rsidR="00F45F8F" w:rsidRPr="00433F22" w:rsidRDefault="00F45F8F" w:rsidP="00F45F8F">
            <w:pPr>
              <w:pStyle w:val="tabletext"/>
              <w:rPr>
                <w:lang w:eastAsia="en-US"/>
              </w:rPr>
            </w:pPr>
            <w:r w:rsidRPr="003912C0">
              <w:rPr>
                <w:lang w:eastAsia="en-US"/>
              </w:rPr>
              <w:t xml:space="preserve">A number of terms are defined for the purposes of the product dashboard requirements (for example </w:t>
            </w:r>
            <w:r w:rsidR="006C2352">
              <w:rPr>
                <w:lang w:eastAsia="en-US"/>
              </w:rPr>
              <w:t>‘</w:t>
            </w:r>
            <w:r w:rsidRPr="003912C0">
              <w:rPr>
                <w:lang w:eastAsia="en-US"/>
              </w:rPr>
              <w:t>choice product</w:t>
            </w:r>
            <w:r w:rsidR="006C2352">
              <w:rPr>
                <w:lang w:eastAsia="en-US"/>
              </w:rPr>
              <w:t>’</w:t>
            </w:r>
            <w:r w:rsidRPr="003912C0">
              <w:rPr>
                <w:lang w:eastAsia="en-US"/>
              </w:rPr>
              <w:t xml:space="preserve">, </w:t>
            </w:r>
            <w:r w:rsidR="006C2352">
              <w:rPr>
                <w:lang w:eastAsia="en-US"/>
              </w:rPr>
              <w:t>‘</w:t>
            </w:r>
            <w:r w:rsidRPr="003912C0">
              <w:rPr>
                <w:lang w:eastAsia="en-US"/>
              </w:rPr>
              <w:t>MySuper product</w:t>
            </w:r>
            <w:r w:rsidR="006C2352">
              <w:rPr>
                <w:lang w:eastAsia="en-US"/>
              </w:rPr>
              <w:t>’</w:t>
            </w:r>
            <w:r w:rsidRPr="003912C0">
              <w:rPr>
                <w:lang w:eastAsia="en-US"/>
              </w:rPr>
              <w:t xml:space="preserve">, and </w:t>
            </w:r>
            <w:r w:rsidR="006C2352">
              <w:rPr>
                <w:lang w:eastAsia="en-US"/>
              </w:rPr>
              <w:t>‘</w:t>
            </w:r>
            <w:r w:rsidRPr="003912C0">
              <w:rPr>
                <w:lang w:eastAsia="en-US"/>
              </w:rPr>
              <w:t>regulated superannuation fund</w:t>
            </w:r>
            <w:r w:rsidR="006C2352">
              <w:rPr>
                <w:lang w:eastAsia="en-US"/>
              </w:rPr>
              <w:t>’</w:t>
            </w:r>
            <w:r w:rsidRPr="003912C0">
              <w:rPr>
                <w:lang w:eastAsia="en-US"/>
              </w:rPr>
              <w:t>).</w:t>
            </w:r>
          </w:p>
        </w:tc>
      </w:tr>
    </w:tbl>
    <w:p w14:paraId="1D8E1C00" w14:textId="77777777" w:rsidR="00F45F8F" w:rsidRDefault="00F45F8F" w:rsidP="00F45F8F">
      <w:pPr>
        <w:pStyle w:val="Heading2"/>
      </w:pPr>
      <w:r>
        <w:t>Detailed explanation of new law</w:t>
      </w:r>
    </w:p>
    <w:p w14:paraId="6FD4E7A4" w14:textId="02C70A95" w:rsidR="00F45F8F" w:rsidRDefault="00F45F8F" w:rsidP="00F45F8F">
      <w:pPr>
        <w:pStyle w:val="Heading3"/>
      </w:pPr>
      <w:r>
        <w:t>Schedule #</w:t>
      </w:r>
      <w:r w:rsidR="006C2352">
        <w:t xml:space="preserve"> — </w:t>
      </w:r>
      <w:r>
        <w:t>Product dashboards</w:t>
      </w:r>
    </w:p>
    <w:p w14:paraId="55C76EE5" w14:textId="77777777" w:rsidR="00F45F8F" w:rsidRPr="00C15743" w:rsidRDefault="00F45F8F" w:rsidP="00F45F8F">
      <w:pPr>
        <w:pStyle w:val="Heading4"/>
      </w:pPr>
      <w:r>
        <w:t>Corporations Act 2001</w:t>
      </w:r>
    </w:p>
    <w:p w14:paraId="5EF62BD2" w14:textId="77777777" w:rsidR="00F45F8F" w:rsidRDefault="00F45F8F" w:rsidP="00F45F8F">
      <w:pPr>
        <w:pStyle w:val="base-text-paragraph"/>
      </w:pPr>
      <w:r>
        <w:t xml:space="preserve">A new subtitle </w:t>
      </w:r>
      <w:r w:rsidR="006C2352">
        <w:t>‘</w:t>
      </w:r>
      <w:r>
        <w:t>Making product dashboards publicly available</w:t>
      </w:r>
      <w:r w:rsidR="006C2352">
        <w:t>’</w:t>
      </w:r>
      <w:r>
        <w:t xml:space="preserve"> is inserted before subsection 1017BA(1). </w:t>
      </w:r>
      <w:r w:rsidRPr="003B7EDC">
        <w:rPr>
          <w:rStyle w:val="Referencingstyle"/>
        </w:rPr>
        <w:t>[Schedule #, item 1, Before subsection 1017BA(1)]</w:t>
      </w:r>
      <w:r>
        <w:t xml:space="preserve">  </w:t>
      </w:r>
    </w:p>
    <w:p w14:paraId="23CD0599" w14:textId="77777777" w:rsidR="00DB7341" w:rsidRDefault="00F45F8F" w:rsidP="00F45F8F">
      <w:pPr>
        <w:pStyle w:val="base-text-paragraph"/>
      </w:pPr>
      <w:r>
        <w:t>This item repeals and replaces existing paragraph 1017BA(1)(a) which requires that a product dashboard must be available on a fund</w:t>
      </w:r>
      <w:r w:rsidR="006C2352">
        <w:t>’</w:t>
      </w:r>
      <w:r>
        <w:t>s website for each of its MySuper products and choice products. New paragraph 1017BA(1)(a) requires a product dashboard to be available at all times on a fund</w:t>
      </w:r>
      <w:r w:rsidR="006C2352">
        <w:t>’</w:t>
      </w:r>
      <w:r>
        <w:t>s website for each of a fund</w:t>
      </w:r>
      <w:r w:rsidR="006C2352">
        <w:t>’</w:t>
      </w:r>
      <w:r>
        <w:t xml:space="preserve">s MySuper products and qualifying choice investment options. </w:t>
      </w:r>
    </w:p>
    <w:p w14:paraId="24FBEEF5" w14:textId="0B5C8D7C" w:rsidR="00F45F8F" w:rsidRPr="00645081" w:rsidRDefault="00F45F8F" w:rsidP="00F45F8F">
      <w:pPr>
        <w:pStyle w:val="base-text-paragraph"/>
        <w:rPr>
          <w:rStyle w:val="Referencingstyle"/>
          <w:b w:val="0"/>
          <w:i w:val="0"/>
          <w:sz w:val="22"/>
        </w:rPr>
      </w:pPr>
      <w:r w:rsidRPr="007246A6">
        <w:rPr>
          <w:b/>
          <w:i/>
        </w:rPr>
        <w:t>Qualifying choice investment option</w:t>
      </w:r>
      <w:r>
        <w:t xml:space="preserve"> is a new defined term which is inserted in subsection 1017BA(5) in this bill. It limits the product dashboard requirements to a fund</w:t>
      </w:r>
      <w:r w:rsidR="006C2352">
        <w:t>’</w:t>
      </w:r>
      <w:r>
        <w:t xml:space="preserve">s ten largest choice investment options, as measured by funds under management. For lifecycle products, a separate product dashboard must be prepared for each lifecycle stage, as each stage is likely to have a different mix of investments. The requirement applies to both MySuper and choice lifecycle products. Relevant definitions, including the definition of a lifecycle stage, are provided in subsections 1017BA(4C), (4D) and (5). See the relevant paragraph below for further details. </w:t>
      </w:r>
      <w:r w:rsidRPr="00645081">
        <w:rPr>
          <w:rStyle w:val="Referencingstyle"/>
        </w:rPr>
        <w:t xml:space="preserve">[Schedule #, item </w:t>
      </w:r>
      <w:r>
        <w:rPr>
          <w:rStyle w:val="Referencingstyle"/>
        </w:rPr>
        <w:t>2</w:t>
      </w:r>
      <w:r w:rsidRPr="00645081">
        <w:rPr>
          <w:rStyle w:val="Referencingstyle"/>
        </w:rPr>
        <w:t xml:space="preserve">, </w:t>
      </w:r>
      <w:r>
        <w:rPr>
          <w:rStyle w:val="Referencingstyle"/>
        </w:rPr>
        <w:t>P</w:t>
      </w:r>
      <w:r w:rsidRPr="00645081">
        <w:rPr>
          <w:rStyle w:val="Referencingstyle"/>
        </w:rPr>
        <w:t>aragraph 1017BA(1)(a)]</w:t>
      </w:r>
    </w:p>
    <w:p w14:paraId="700AF468" w14:textId="428C0DE2" w:rsidR="00F45F8F" w:rsidRPr="002A774A" w:rsidRDefault="00F45F8F" w:rsidP="00F45F8F">
      <w:pPr>
        <w:pStyle w:val="base-text-paragraph"/>
        <w:rPr>
          <w:rStyle w:val="Referencingstyle"/>
          <w:b w:val="0"/>
          <w:i w:val="0"/>
          <w:sz w:val="22"/>
        </w:rPr>
      </w:pPr>
      <w:r>
        <w:t>This item repeals and replaces existing paragraph 1017BA(1)(e) which allows the regulations to prescribe how information must be set out in a product dashboard. New paragraph 1017BA(1)(e) includes this provision, and adds a new power for the regulations to prescribe how a product dashboard is to be displayed on a fund</w:t>
      </w:r>
      <w:r w:rsidR="006C2352">
        <w:t>’</w:t>
      </w:r>
      <w:r>
        <w:t>s website. Matters that could be prescribed using this power could include the presentation of particular information, for example fee information, using specified formats. With regard to the display of product dashboards on a fund</w:t>
      </w:r>
      <w:r w:rsidR="006C2352">
        <w:t>’</w:t>
      </w:r>
      <w:r>
        <w:t>s website, this power could be used for example to prescribe how consumers could access the dashboard from the fund</w:t>
      </w:r>
      <w:r w:rsidR="006C2352">
        <w:t>’</w:t>
      </w:r>
      <w:r>
        <w:t xml:space="preserve">s homepage, </w:t>
      </w:r>
      <w:r w:rsidR="00224A43">
        <w:t xml:space="preserve">the types of </w:t>
      </w:r>
      <w:r>
        <w:t>links</w:t>
      </w:r>
      <w:r w:rsidR="00224A43">
        <w:t xml:space="preserve"> required</w:t>
      </w:r>
      <w:r>
        <w:t xml:space="preserve">, and </w:t>
      </w:r>
      <w:r w:rsidR="00224A43">
        <w:t xml:space="preserve">the </w:t>
      </w:r>
      <w:r>
        <w:t xml:space="preserve">file formats </w:t>
      </w:r>
      <w:r w:rsidR="00224A43">
        <w:t xml:space="preserve">that </w:t>
      </w:r>
      <w:r>
        <w:t xml:space="preserve">must be used for the dashboard. </w:t>
      </w:r>
      <w:r w:rsidRPr="00645081">
        <w:rPr>
          <w:rStyle w:val="Referencingstyle"/>
        </w:rPr>
        <w:t xml:space="preserve">[Schedule #, item </w:t>
      </w:r>
      <w:r>
        <w:rPr>
          <w:rStyle w:val="Referencingstyle"/>
        </w:rPr>
        <w:t>3</w:t>
      </w:r>
      <w:r w:rsidRPr="00645081">
        <w:rPr>
          <w:rStyle w:val="Referencingstyle"/>
        </w:rPr>
        <w:t xml:space="preserve">, </w:t>
      </w:r>
      <w:r>
        <w:rPr>
          <w:rStyle w:val="Referencingstyle"/>
        </w:rPr>
        <w:t>P</w:t>
      </w:r>
      <w:r w:rsidRPr="00645081">
        <w:rPr>
          <w:rStyle w:val="Referencingstyle"/>
        </w:rPr>
        <w:t>aragraph 1017BA(1)(</w:t>
      </w:r>
      <w:r>
        <w:rPr>
          <w:rStyle w:val="Referencingstyle"/>
        </w:rPr>
        <w:t>e</w:t>
      </w:r>
      <w:r w:rsidRPr="00645081">
        <w:rPr>
          <w:rStyle w:val="Referencingstyle"/>
        </w:rPr>
        <w:t>)]</w:t>
      </w:r>
    </w:p>
    <w:p w14:paraId="6F4F3DF4" w14:textId="11FD6D59" w:rsidR="00F45F8F" w:rsidRDefault="00F45F8F" w:rsidP="00F45F8F">
      <w:pPr>
        <w:pStyle w:val="base-text-paragraph"/>
        <w:rPr>
          <w:rStyle w:val="Referencingstyle"/>
          <w:b w:val="0"/>
          <w:i w:val="0"/>
          <w:sz w:val="22"/>
        </w:rPr>
      </w:pPr>
      <w:r>
        <w:rPr>
          <w:rStyle w:val="Referencingstyle"/>
          <w:b w:val="0"/>
          <w:i w:val="0"/>
          <w:sz w:val="22"/>
        </w:rPr>
        <w:t xml:space="preserve">A new subsection (1A) is inserted following subsection 1017BA(1) providing an exemption from the product dashboard requirements for pooled superannuation trusts and eligible rollover funds. A power is also created to provide further exemptions through regulations. If a product dashboard is being prepared for a choice product for the first time, because it is one of the qualifying choice investment options as determined at the end of the previous financial year, then a period extending until 1 October </w:t>
      </w:r>
      <w:r w:rsidR="0021560F">
        <w:rPr>
          <w:rStyle w:val="Referencingstyle"/>
          <w:b w:val="0"/>
          <w:i w:val="0"/>
          <w:sz w:val="22"/>
        </w:rPr>
        <w:t xml:space="preserve">of the current financial year </w:t>
      </w:r>
      <w:r>
        <w:rPr>
          <w:rStyle w:val="Referencingstyle"/>
          <w:b w:val="0"/>
          <w:i w:val="0"/>
          <w:sz w:val="22"/>
        </w:rPr>
        <w:t xml:space="preserve">is provided before the dashboard must be made available. </w:t>
      </w:r>
      <w:r w:rsidRPr="00A11E04">
        <w:rPr>
          <w:rStyle w:val="Referencingstyle"/>
        </w:rPr>
        <w:t xml:space="preserve">[Schedule #, item </w:t>
      </w:r>
      <w:r>
        <w:rPr>
          <w:rStyle w:val="Referencingstyle"/>
        </w:rPr>
        <w:t>4</w:t>
      </w:r>
      <w:r w:rsidRPr="00A11E04">
        <w:rPr>
          <w:rStyle w:val="Referencingstyle"/>
        </w:rPr>
        <w:t xml:space="preserve">, </w:t>
      </w:r>
      <w:r>
        <w:rPr>
          <w:rStyle w:val="Referencingstyle"/>
        </w:rPr>
        <w:t>A</w:t>
      </w:r>
      <w:r w:rsidRPr="00A11E04">
        <w:rPr>
          <w:rStyle w:val="Referencingstyle"/>
        </w:rPr>
        <w:t xml:space="preserve">fter </w:t>
      </w:r>
      <w:r>
        <w:rPr>
          <w:rStyle w:val="Referencingstyle"/>
        </w:rPr>
        <w:t>S</w:t>
      </w:r>
      <w:r w:rsidRPr="00A11E04">
        <w:rPr>
          <w:rStyle w:val="Referencingstyle"/>
        </w:rPr>
        <w:t>ubsection 1017BA(1)]</w:t>
      </w:r>
      <w:r>
        <w:rPr>
          <w:rStyle w:val="Referencingstyle"/>
          <w:b w:val="0"/>
          <w:i w:val="0"/>
          <w:sz w:val="22"/>
        </w:rPr>
        <w:t xml:space="preserve"> </w:t>
      </w:r>
    </w:p>
    <w:p w14:paraId="4E08A35D" w14:textId="77777777" w:rsidR="00F45F8F" w:rsidRDefault="00F45F8F" w:rsidP="00F45F8F">
      <w:pPr>
        <w:pStyle w:val="base-text-paragraph"/>
        <w:rPr>
          <w:rStyle w:val="Referencingstyle"/>
          <w:b w:val="0"/>
          <w:i w:val="0"/>
          <w:sz w:val="22"/>
        </w:rPr>
      </w:pPr>
      <w:r>
        <w:rPr>
          <w:rStyle w:val="Referencingstyle"/>
          <w:b w:val="0"/>
          <w:i w:val="0"/>
          <w:sz w:val="22"/>
        </w:rPr>
        <w:t xml:space="preserve">Paragraph 1017BA(2)(b) allows the regulations to prescribe other information that must be set out in a MySuper product dashboard. An additional power is provided allowing the regulations to prescribe that APRA or ASIC may issue instructions for how that other information is to be displayed. </w:t>
      </w:r>
      <w:r w:rsidRPr="001E168E">
        <w:rPr>
          <w:rStyle w:val="Referencingstyle"/>
        </w:rPr>
        <w:t xml:space="preserve">[Schedule #, item </w:t>
      </w:r>
      <w:r>
        <w:rPr>
          <w:rStyle w:val="Referencingstyle"/>
        </w:rPr>
        <w:t>5</w:t>
      </w:r>
      <w:r w:rsidRPr="001E168E">
        <w:rPr>
          <w:rStyle w:val="Referencingstyle"/>
        </w:rPr>
        <w:t>, At the end of subsection 1017BA(2)]</w:t>
      </w:r>
    </w:p>
    <w:p w14:paraId="3C700C04" w14:textId="77777777" w:rsidR="00F45F8F" w:rsidRDefault="00F45F8F" w:rsidP="00F45F8F">
      <w:pPr>
        <w:pStyle w:val="base-text-paragraph"/>
        <w:rPr>
          <w:rStyle w:val="Referencingstyle"/>
          <w:b w:val="0"/>
          <w:i w:val="0"/>
          <w:sz w:val="22"/>
        </w:rPr>
      </w:pPr>
      <w:r>
        <w:rPr>
          <w:rStyle w:val="Referencingstyle"/>
          <w:b w:val="0"/>
          <w:i w:val="0"/>
          <w:sz w:val="22"/>
        </w:rPr>
        <w:t xml:space="preserve">A new subsection (2A) is inserted following subsection 1017BA(2) creating a power to provide an exemption through regulations from the product dashboard requirements for MySuper products. </w:t>
      </w:r>
      <w:r w:rsidRPr="00AB1230">
        <w:rPr>
          <w:rStyle w:val="Referencingstyle"/>
        </w:rPr>
        <w:t xml:space="preserve">[Schedule #, item </w:t>
      </w:r>
      <w:r>
        <w:rPr>
          <w:rStyle w:val="Referencingstyle"/>
        </w:rPr>
        <w:t>6</w:t>
      </w:r>
      <w:r w:rsidRPr="00AB1230">
        <w:rPr>
          <w:rStyle w:val="Referencingstyle"/>
        </w:rPr>
        <w:t xml:space="preserve">, </w:t>
      </w:r>
      <w:r>
        <w:rPr>
          <w:rStyle w:val="Referencingstyle"/>
        </w:rPr>
        <w:t>A</w:t>
      </w:r>
      <w:r w:rsidRPr="00AB1230">
        <w:rPr>
          <w:rStyle w:val="Referencingstyle"/>
        </w:rPr>
        <w:t xml:space="preserve">fter </w:t>
      </w:r>
      <w:r>
        <w:rPr>
          <w:rStyle w:val="Referencingstyle"/>
        </w:rPr>
        <w:t>S</w:t>
      </w:r>
      <w:r w:rsidRPr="00AB1230">
        <w:rPr>
          <w:rStyle w:val="Referencingstyle"/>
        </w:rPr>
        <w:t>ubsection 1017BA(2)]</w:t>
      </w:r>
      <w:r>
        <w:rPr>
          <w:rStyle w:val="Referencingstyle"/>
          <w:b w:val="0"/>
          <w:i w:val="0"/>
          <w:sz w:val="22"/>
        </w:rPr>
        <w:t xml:space="preserve"> </w:t>
      </w:r>
    </w:p>
    <w:p w14:paraId="3189B824" w14:textId="4258A56E" w:rsidR="00F45F8F" w:rsidRDefault="00DB7341" w:rsidP="00F45F8F">
      <w:pPr>
        <w:pStyle w:val="base-text-paragraph"/>
        <w:rPr>
          <w:rStyle w:val="Referencingstyle"/>
          <w:b w:val="0"/>
          <w:i w:val="0"/>
          <w:sz w:val="22"/>
        </w:rPr>
      </w:pPr>
      <w:r>
        <w:rPr>
          <w:rStyle w:val="Referencingstyle"/>
          <w:b w:val="0"/>
          <w:i w:val="0"/>
          <w:sz w:val="22"/>
        </w:rPr>
        <w:t>S</w:t>
      </w:r>
      <w:r w:rsidR="00F45F8F">
        <w:rPr>
          <w:rStyle w:val="Referencingstyle"/>
          <w:b w:val="0"/>
          <w:i w:val="0"/>
          <w:sz w:val="22"/>
        </w:rPr>
        <w:t xml:space="preserve">ubsection 1017BA(3) is amended to ensure that it only applies to </w:t>
      </w:r>
      <w:r w:rsidR="00F45F8F" w:rsidRPr="007246A6">
        <w:rPr>
          <w:rStyle w:val="Referencingstyle"/>
          <w:sz w:val="22"/>
        </w:rPr>
        <w:t>qualifying choice investment options</w:t>
      </w:r>
      <w:r w:rsidR="00F45F8F">
        <w:rPr>
          <w:rStyle w:val="Referencingstyle"/>
          <w:b w:val="0"/>
          <w:i w:val="0"/>
          <w:sz w:val="22"/>
        </w:rPr>
        <w:t>, i.e. a fund</w:t>
      </w:r>
      <w:r w:rsidR="006C2352">
        <w:rPr>
          <w:rStyle w:val="Referencingstyle"/>
          <w:b w:val="0"/>
          <w:i w:val="0"/>
          <w:sz w:val="22"/>
        </w:rPr>
        <w:t>’</w:t>
      </w:r>
      <w:r w:rsidR="00F45F8F">
        <w:rPr>
          <w:rStyle w:val="Referencingstyle"/>
          <w:b w:val="0"/>
          <w:i w:val="0"/>
          <w:sz w:val="22"/>
        </w:rPr>
        <w:t xml:space="preserve">s ten largest choice investment options, as measured by funds under management. </w:t>
      </w:r>
      <w:r w:rsidR="00F45F8F" w:rsidRPr="004836A9">
        <w:rPr>
          <w:rStyle w:val="Referencingstyle"/>
        </w:rPr>
        <w:t xml:space="preserve">[Schedule #, item </w:t>
      </w:r>
      <w:r w:rsidR="00F45F8F">
        <w:rPr>
          <w:rStyle w:val="Referencingstyle"/>
        </w:rPr>
        <w:t>7</w:t>
      </w:r>
      <w:r w:rsidR="00F45F8F" w:rsidRPr="004836A9">
        <w:rPr>
          <w:rStyle w:val="Referencingstyle"/>
        </w:rPr>
        <w:t xml:space="preserve">, </w:t>
      </w:r>
      <w:r w:rsidR="00F45F8F">
        <w:rPr>
          <w:rStyle w:val="Referencingstyle"/>
        </w:rPr>
        <w:t>S</w:t>
      </w:r>
      <w:r w:rsidR="00F45F8F" w:rsidRPr="004836A9">
        <w:rPr>
          <w:rStyle w:val="Referencingstyle"/>
        </w:rPr>
        <w:t>ubsection 1017BA(3)]</w:t>
      </w:r>
      <w:r w:rsidR="00F45F8F">
        <w:rPr>
          <w:rStyle w:val="Referencingstyle"/>
          <w:b w:val="0"/>
          <w:i w:val="0"/>
          <w:sz w:val="22"/>
        </w:rPr>
        <w:t xml:space="preserve"> </w:t>
      </w:r>
    </w:p>
    <w:p w14:paraId="0B6A09E2" w14:textId="3FAB5514" w:rsidR="00F45F8F" w:rsidRDefault="00F45F8F" w:rsidP="00F45F8F">
      <w:pPr>
        <w:pStyle w:val="base-text-paragraph"/>
        <w:rPr>
          <w:rStyle w:val="Referencingstyle"/>
          <w:b w:val="0"/>
          <w:i w:val="0"/>
          <w:sz w:val="22"/>
        </w:rPr>
      </w:pPr>
      <w:r>
        <w:rPr>
          <w:rStyle w:val="Referencingstyle"/>
          <w:b w:val="0"/>
          <w:i w:val="0"/>
          <w:sz w:val="22"/>
        </w:rPr>
        <w:t xml:space="preserve">The wording </w:t>
      </w:r>
      <w:r w:rsidR="006C2352">
        <w:rPr>
          <w:rStyle w:val="Referencingstyle"/>
          <w:b w:val="0"/>
          <w:i w:val="0"/>
          <w:sz w:val="22"/>
        </w:rPr>
        <w:t>‘</w:t>
      </w:r>
      <w:r>
        <w:rPr>
          <w:rStyle w:val="Referencingstyle"/>
          <w:b w:val="0"/>
          <w:i w:val="0"/>
          <w:sz w:val="22"/>
        </w:rPr>
        <w:t>for each investment option offered within the choice product</w:t>
      </w:r>
      <w:r w:rsidR="006C2352">
        <w:rPr>
          <w:rStyle w:val="Referencingstyle"/>
          <w:b w:val="0"/>
          <w:i w:val="0"/>
          <w:sz w:val="22"/>
        </w:rPr>
        <w:t>’</w:t>
      </w:r>
      <w:r>
        <w:rPr>
          <w:rStyle w:val="Referencingstyle"/>
          <w:b w:val="0"/>
          <w:i w:val="0"/>
          <w:sz w:val="22"/>
        </w:rPr>
        <w:t xml:space="preserve"> is removed from paragraph 1017BA(3)(a). These words are not required, as they are superseded by the changes made in the previous item </w:t>
      </w:r>
      <w:r w:rsidR="00FF246D">
        <w:rPr>
          <w:rStyle w:val="Referencingstyle"/>
          <w:b w:val="0"/>
          <w:i w:val="0"/>
          <w:sz w:val="22"/>
        </w:rPr>
        <w:t>5 that</w:t>
      </w:r>
      <w:r>
        <w:rPr>
          <w:rStyle w:val="Referencingstyle"/>
          <w:b w:val="0"/>
          <w:i w:val="0"/>
          <w:sz w:val="22"/>
        </w:rPr>
        <w:t xml:space="preserve"> make it clear that this entire subsection only applies to qualifying choice investment options. </w:t>
      </w:r>
      <w:r w:rsidRPr="00BD4FDA">
        <w:rPr>
          <w:rStyle w:val="Referencingstyle"/>
        </w:rPr>
        <w:t xml:space="preserve">[Schedule #, item </w:t>
      </w:r>
      <w:r>
        <w:rPr>
          <w:rStyle w:val="Referencingstyle"/>
        </w:rPr>
        <w:t>8</w:t>
      </w:r>
      <w:r w:rsidRPr="00BD4FDA">
        <w:rPr>
          <w:rStyle w:val="Referencingstyle"/>
        </w:rPr>
        <w:t xml:space="preserve">, </w:t>
      </w:r>
      <w:r>
        <w:rPr>
          <w:rStyle w:val="Referencingstyle"/>
        </w:rPr>
        <w:t>P</w:t>
      </w:r>
      <w:r w:rsidRPr="00BD4FDA">
        <w:rPr>
          <w:rStyle w:val="Referencingstyle"/>
        </w:rPr>
        <w:t>aragraph 1017BA(3)(a)]</w:t>
      </w:r>
      <w:r>
        <w:rPr>
          <w:rStyle w:val="Referencingstyle"/>
          <w:b w:val="0"/>
          <w:i w:val="0"/>
          <w:sz w:val="22"/>
        </w:rPr>
        <w:t xml:space="preserve"> </w:t>
      </w:r>
    </w:p>
    <w:p w14:paraId="7E09DD8B" w14:textId="354B596E" w:rsidR="00F45F8F" w:rsidRDefault="00F45F8F" w:rsidP="00F45F8F">
      <w:pPr>
        <w:pStyle w:val="base-text-paragraph"/>
        <w:rPr>
          <w:rStyle w:val="Referencingstyle"/>
          <w:b w:val="0"/>
          <w:i w:val="0"/>
          <w:sz w:val="22"/>
        </w:rPr>
      </w:pPr>
      <w:r w:rsidRPr="009142FC">
        <w:rPr>
          <w:rStyle w:val="Referencingstyle"/>
          <w:b w:val="0"/>
          <w:i w:val="0"/>
          <w:sz w:val="22"/>
        </w:rPr>
        <w:t>Paragraph 1017BA(</w:t>
      </w:r>
      <w:r>
        <w:rPr>
          <w:rStyle w:val="Referencingstyle"/>
          <w:b w:val="0"/>
          <w:i w:val="0"/>
          <w:sz w:val="22"/>
        </w:rPr>
        <w:t>3</w:t>
      </w:r>
      <w:r w:rsidRPr="009142FC">
        <w:rPr>
          <w:rStyle w:val="Referencingstyle"/>
          <w:b w:val="0"/>
          <w:i w:val="0"/>
          <w:sz w:val="22"/>
        </w:rPr>
        <w:t xml:space="preserve">)(b) allows the regulations to prescribe other information that must be set out in a </w:t>
      </w:r>
      <w:r>
        <w:rPr>
          <w:rStyle w:val="Referencingstyle"/>
          <w:b w:val="0"/>
          <w:i w:val="0"/>
          <w:sz w:val="22"/>
        </w:rPr>
        <w:t>choice</w:t>
      </w:r>
      <w:r w:rsidRPr="009142FC">
        <w:rPr>
          <w:rStyle w:val="Referencingstyle"/>
          <w:b w:val="0"/>
          <w:i w:val="0"/>
          <w:sz w:val="22"/>
        </w:rPr>
        <w:t xml:space="preserve"> product dashboard. An additional power is provided allowing the regulations to prescribe that APRA or ASIC may issue instructions for how </w:t>
      </w:r>
      <w:r w:rsidR="00DB7341">
        <w:rPr>
          <w:rStyle w:val="Referencingstyle"/>
          <w:b w:val="0"/>
          <w:i w:val="0"/>
          <w:sz w:val="22"/>
        </w:rPr>
        <w:t xml:space="preserve">any </w:t>
      </w:r>
      <w:r w:rsidRPr="009142FC">
        <w:rPr>
          <w:rStyle w:val="Referencingstyle"/>
          <w:b w:val="0"/>
          <w:i w:val="0"/>
          <w:sz w:val="22"/>
        </w:rPr>
        <w:t xml:space="preserve">other information is to be displayed. </w:t>
      </w:r>
      <w:r w:rsidRPr="009142FC">
        <w:rPr>
          <w:rStyle w:val="Referencingstyle"/>
        </w:rPr>
        <w:t xml:space="preserve">[Schedule #, item </w:t>
      </w:r>
      <w:r>
        <w:rPr>
          <w:rStyle w:val="Referencingstyle"/>
        </w:rPr>
        <w:t>9</w:t>
      </w:r>
      <w:r w:rsidRPr="009142FC">
        <w:rPr>
          <w:rStyle w:val="Referencingstyle"/>
        </w:rPr>
        <w:t>, At the end of subsection 1017BA(3)]</w:t>
      </w:r>
    </w:p>
    <w:p w14:paraId="5B851169" w14:textId="74B0AE92" w:rsidR="00F45F8F" w:rsidRDefault="00DB7341" w:rsidP="00F45F8F">
      <w:pPr>
        <w:pStyle w:val="base-text-paragraph"/>
        <w:rPr>
          <w:rStyle w:val="Referencingstyle"/>
          <w:b w:val="0"/>
          <w:i w:val="0"/>
          <w:sz w:val="22"/>
        </w:rPr>
      </w:pPr>
      <w:r>
        <w:rPr>
          <w:rStyle w:val="Referencingstyle"/>
          <w:b w:val="0"/>
          <w:i w:val="0"/>
          <w:sz w:val="22"/>
        </w:rPr>
        <w:t>S</w:t>
      </w:r>
      <w:r w:rsidR="00F45F8F" w:rsidRPr="001A08E9">
        <w:rPr>
          <w:rStyle w:val="Referencingstyle"/>
          <w:b w:val="0"/>
          <w:i w:val="0"/>
          <w:sz w:val="22"/>
        </w:rPr>
        <w:t>ubsection</w:t>
      </w:r>
      <w:r w:rsidR="00F45F8F">
        <w:rPr>
          <w:rStyle w:val="Referencingstyle"/>
          <w:b w:val="0"/>
          <w:i w:val="0"/>
          <w:sz w:val="22"/>
        </w:rPr>
        <w:t> </w:t>
      </w:r>
      <w:r w:rsidR="00F45F8F" w:rsidRPr="001A08E9">
        <w:rPr>
          <w:rStyle w:val="Referencingstyle"/>
          <w:b w:val="0"/>
          <w:i w:val="0"/>
          <w:sz w:val="22"/>
        </w:rPr>
        <w:t xml:space="preserve">1017BA(4) is amended to ensure that it only applies to </w:t>
      </w:r>
      <w:r w:rsidR="00F45F8F" w:rsidRPr="007246A6">
        <w:rPr>
          <w:rStyle w:val="Referencingstyle"/>
          <w:sz w:val="22"/>
        </w:rPr>
        <w:t>qualifying choice investment options</w:t>
      </w:r>
      <w:r w:rsidR="00F45F8F" w:rsidRPr="001A08E9">
        <w:rPr>
          <w:rStyle w:val="Referencingstyle"/>
          <w:b w:val="0"/>
          <w:i w:val="0"/>
          <w:sz w:val="22"/>
        </w:rPr>
        <w:t>, i.e. a fund</w:t>
      </w:r>
      <w:r w:rsidR="006C2352">
        <w:rPr>
          <w:rStyle w:val="Referencingstyle"/>
          <w:b w:val="0"/>
          <w:i w:val="0"/>
          <w:sz w:val="22"/>
        </w:rPr>
        <w:t>’</w:t>
      </w:r>
      <w:r w:rsidR="00F45F8F" w:rsidRPr="001A08E9">
        <w:rPr>
          <w:rStyle w:val="Referencingstyle"/>
          <w:b w:val="0"/>
          <w:i w:val="0"/>
          <w:sz w:val="22"/>
        </w:rPr>
        <w:t>s ten largest choice investment options, as measured by funds under management.</w:t>
      </w:r>
      <w:r w:rsidR="00F45F8F">
        <w:rPr>
          <w:rStyle w:val="Referencingstyle"/>
          <w:b w:val="0"/>
          <w:i w:val="0"/>
          <w:sz w:val="22"/>
        </w:rPr>
        <w:t xml:space="preserve"> </w:t>
      </w:r>
      <w:r w:rsidR="00F45F8F" w:rsidRPr="001A08E9">
        <w:rPr>
          <w:rStyle w:val="Referencingstyle"/>
        </w:rPr>
        <w:t xml:space="preserve">[Schedule #, item </w:t>
      </w:r>
      <w:r w:rsidR="00F45F8F">
        <w:rPr>
          <w:rStyle w:val="Referencingstyle"/>
        </w:rPr>
        <w:t>10</w:t>
      </w:r>
      <w:r w:rsidR="00F45F8F" w:rsidRPr="001A08E9">
        <w:rPr>
          <w:rStyle w:val="Referencingstyle"/>
        </w:rPr>
        <w:t xml:space="preserve">, </w:t>
      </w:r>
      <w:r w:rsidR="00F45F8F">
        <w:rPr>
          <w:rStyle w:val="Referencingstyle"/>
        </w:rPr>
        <w:t>S</w:t>
      </w:r>
      <w:r w:rsidR="00F45F8F" w:rsidRPr="001A08E9">
        <w:rPr>
          <w:rStyle w:val="Referencingstyle"/>
        </w:rPr>
        <w:t>ubsection 1017BA(4)]</w:t>
      </w:r>
      <w:r w:rsidR="00F45F8F">
        <w:rPr>
          <w:rStyle w:val="Referencingstyle"/>
          <w:b w:val="0"/>
          <w:i w:val="0"/>
          <w:sz w:val="22"/>
        </w:rPr>
        <w:t xml:space="preserve"> </w:t>
      </w:r>
    </w:p>
    <w:p w14:paraId="1AF9C2FC" w14:textId="392618BE" w:rsidR="00F45F8F" w:rsidRDefault="00F45F8F" w:rsidP="00F45F8F">
      <w:pPr>
        <w:pStyle w:val="base-text-paragraph"/>
        <w:rPr>
          <w:rStyle w:val="Referencingstyle"/>
          <w:b w:val="0"/>
          <w:i w:val="0"/>
          <w:sz w:val="22"/>
        </w:rPr>
      </w:pPr>
      <w:r>
        <w:rPr>
          <w:rStyle w:val="Referencingstyle"/>
          <w:b w:val="0"/>
          <w:i w:val="0"/>
          <w:sz w:val="22"/>
        </w:rPr>
        <w:t xml:space="preserve">A minor amendment is made to paragraph 1017BA(4)(a) to make clear that it refers to the </w:t>
      </w:r>
      <w:r w:rsidRPr="007246A6">
        <w:rPr>
          <w:rStyle w:val="Referencingstyle"/>
          <w:sz w:val="22"/>
        </w:rPr>
        <w:t>qualifying choice investment options</w:t>
      </w:r>
      <w:r>
        <w:rPr>
          <w:rStyle w:val="Referencingstyle"/>
          <w:b w:val="0"/>
          <w:i w:val="0"/>
          <w:sz w:val="22"/>
        </w:rPr>
        <w:t xml:space="preserve"> mentioned in the first line in the subsection, as amended by the previous item. </w:t>
      </w:r>
      <w:r w:rsidRPr="00B41486">
        <w:rPr>
          <w:rStyle w:val="Referencingstyle"/>
        </w:rPr>
        <w:t xml:space="preserve">[Schedule #, item </w:t>
      </w:r>
      <w:r>
        <w:rPr>
          <w:rStyle w:val="Referencingstyle"/>
        </w:rPr>
        <w:t>11</w:t>
      </w:r>
      <w:r w:rsidRPr="00B41486">
        <w:rPr>
          <w:rStyle w:val="Referencingstyle"/>
        </w:rPr>
        <w:t>, Paragraph 1017BA(4)</w:t>
      </w:r>
      <w:r>
        <w:rPr>
          <w:rStyle w:val="Referencingstyle"/>
        </w:rPr>
        <w:t>(a)</w:t>
      </w:r>
      <w:r w:rsidRPr="00B41486">
        <w:rPr>
          <w:rStyle w:val="Referencingstyle"/>
        </w:rPr>
        <w:t>]</w:t>
      </w:r>
      <w:r>
        <w:rPr>
          <w:rStyle w:val="Referencingstyle"/>
          <w:b w:val="0"/>
          <w:i w:val="0"/>
          <w:sz w:val="22"/>
        </w:rPr>
        <w:t xml:space="preserve"> </w:t>
      </w:r>
    </w:p>
    <w:p w14:paraId="7ABA0F37" w14:textId="77777777" w:rsidR="00F45F8F" w:rsidRDefault="00F45F8F" w:rsidP="00F45F8F">
      <w:pPr>
        <w:pStyle w:val="base-text-paragraph"/>
        <w:rPr>
          <w:rStyle w:val="Referencingstyle"/>
          <w:b w:val="0"/>
          <w:i w:val="0"/>
          <w:sz w:val="22"/>
        </w:rPr>
      </w:pPr>
      <w:r>
        <w:rPr>
          <w:rStyle w:val="Referencingstyle"/>
          <w:b w:val="0"/>
          <w:i w:val="0"/>
          <w:sz w:val="22"/>
        </w:rPr>
        <w:t xml:space="preserve">A new paragraph is added to subsection 1017BA(4) providing a power to prescribe additional conditions by regulation which, if satisfied, would provide an exemption from the product dashboard requirements for </w:t>
      </w:r>
      <w:r w:rsidRPr="007246A6">
        <w:rPr>
          <w:rStyle w:val="Referencingstyle"/>
          <w:sz w:val="22"/>
        </w:rPr>
        <w:t>qualifying choice investment options</w:t>
      </w:r>
      <w:r>
        <w:rPr>
          <w:rStyle w:val="Referencingstyle"/>
          <w:b w:val="0"/>
          <w:i w:val="0"/>
          <w:sz w:val="22"/>
        </w:rPr>
        <w:t xml:space="preserve">. </w:t>
      </w:r>
      <w:r w:rsidRPr="00EF17AA">
        <w:rPr>
          <w:rStyle w:val="Referencingstyle"/>
        </w:rPr>
        <w:t xml:space="preserve">[Schedule #, item </w:t>
      </w:r>
      <w:r>
        <w:rPr>
          <w:rStyle w:val="Referencingstyle"/>
        </w:rPr>
        <w:t>12</w:t>
      </w:r>
      <w:r w:rsidRPr="00EF17AA">
        <w:rPr>
          <w:rStyle w:val="Referencingstyle"/>
        </w:rPr>
        <w:t>, At the end of subsection 1017BA(4)]</w:t>
      </w:r>
      <w:r>
        <w:rPr>
          <w:rStyle w:val="Referencingstyle"/>
          <w:b w:val="0"/>
          <w:i w:val="0"/>
          <w:sz w:val="22"/>
        </w:rPr>
        <w:t xml:space="preserve"> </w:t>
      </w:r>
    </w:p>
    <w:p w14:paraId="1BDD8D60" w14:textId="180CE592" w:rsidR="00224A43" w:rsidRDefault="00F45F8F" w:rsidP="00F45F8F">
      <w:pPr>
        <w:pStyle w:val="base-text-paragraph"/>
        <w:rPr>
          <w:rStyle w:val="Referencingstyle"/>
          <w:b w:val="0"/>
          <w:i w:val="0"/>
          <w:sz w:val="22"/>
        </w:rPr>
      </w:pPr>
      <w:r>
        <w:rPr>
          <w:rStyle w:val="Referencingstyle"/>
          <w:b w:val="0"/>
          <w:i w:val="0"/>
          <w:sz w:val="22"/>
        </w:rPr>
        <w:t xml:space="preserve">A new subsection (4B) is inserted in section 1017BA amending the existing definition of </w:t>
      </w:r>
      <w:r w:rsidRPr="00FA27F4">
        <w:rPr>
          <w:rStyle w:val="Referencingstyle"/>
          <w:sz w:val="22"/>
        </w:rPr>
        <w:t>fee</w:t>
      </w:r>
      <w:r>
        <w:rPr>
          <w:rStyle w:val="Referencingstyle"/>
          <w:b w:val="0"/>
          <w:i w:val="0"/>
          <w:sz w:val="22"/>
        </w:rPr>
        <w:t xml:space="preserve"> in subsection 1017BA(5) to ensure that it applies to </w:t>
      </w:r>
      <w:r w:rsidRPr="00FA27F4">
        <w:rPr>
          <w:rStyle w:val="Referencingstyle"/>
          <w:sz w:val="22"/>
        </w:rPr>
        <w:t>qualifying choice investment options</w:t>
      </w:r>
      <w:r>
        <w:rPr>
          <w:rStyle w:val="Referencingstyle"/>
          <w:b w:val="0"/>
          <w:i w:val="0"/>
          <w:sz w:val="22"/>
        </w:rPr>
        <w:t xml:space="preserve">. At the same </w:t>
      </w:r>
      <w:r w:rsidR="00FF246D">
        <w:rPr>
          <w:rStyle w:val="Referencingstyle"/>
          <w:b w:val="0"/>
          <w:i w:val="0"/>
          <w:sz w:val="22"/>
        </w:rPr>
        <w:t>time,</w:t>
      </w:r>
      <w:r>
        <w:rPr>
          <w:rStyle w:val="Referencingstyle"/>
          <w:b w:val="0"/>
          <w:i w:val="0"/>
          <w:sz w:val="22"/>
        </w:rPr>
        <w:t xml:space="preserve"> the definition is simplified and shortened by using the defined term </w:t>
      </w:r>
      <w:r w:rsidRPr="00FA27F4">
        <w:rPr>
          <w:rStyle w:val="Referencingstyle"/>
          <w:sz w:val="22"/>
        </w:rPr>
        <w:t>excluded fee</w:t>
      </w:r>
      <w:r>
        <w:rPr>
          <w:rStyle w:val="Referencingstyle"/>
          <w:b w:val="0"/>
          <w:i w:val="0"/>
          <w:sz w:val="22"/>
        </w:rPr>
        <w:t xml:space="preserve"> (see the next item for an explanation of this term). New subsections (4C) and 4(D) state that subsections 1017BA(1) to (4) apply to MySuper and choice lifecycle products as if each reference to a MySuper product and </w:t>
      </w:r>
      <w:r w:rsidRPr="00FA27F4">
        <w:rPr>
          <w:rStyle w:val="Referencingstyle"/>
          <w:sz w:val="22"/>
        </w:rPr>
        <w:t>qualifying choice investment option</w:t>
      </w:r>
      <w:r>
        <w:rPr>
          <w:rStyle w:val="Referencingstyle"/>
          <w:b w:val="0"/>
          <w:i w:val="0"/>
          <w:sz w:val="22"/>
        </w:rPr>
        <w:t xml:space="preserve"> was a reference to each lifecycle stage included in the product or investment option. </w:t>
      </w:r>
    </w:p>
    <w:p w14:paraId="4EE6B0BC" w14:textId="058FF4B0" w:rsidR="00F45F8F" w:rsidRDefault="00F45F8F" w:rsidP="00F45F8F">
      <w:pPr>
        <w:pStyle w:val="base-text-paragraph"/>
        <w:rPr>
          <w:rStyle w:val="Referencingstyle"/>
          <w:b w:val="0"/>
          <w:i w:val="0"/>
          <w:sz w:val="22"/>
        </w:rPr>
      </w:pPr>
      <w:r>
        <w:rPr>
          <w:rStyle w:val="Referencingstyle"/>
          <w:b w:val="0"/>
          <w:i w:val="0"/>
          <w:sz w:val="22"/>
        </w:rPr>
        <w:t xml:space="preserve">This means that a separate product dashboard must be prepared for each lifecycle stage of a MySuper lifecycle product or choice lifecycle investment option. The terms </w:t>
      </w:r>
      <w:r w:rsidRPr="007C47E7">
        <w:rPr>
          <w:rStyle w:val="Referencingstyle"/>
          <w:sz w:val="22"/>
        </w:rPr>
        <w:t>lifecycle exception</w:t>
      </w:r>
      <w:r>
        <w:rPr>
          <w:rStyle w:val="Referencingstyle"/>
          <w:b w:val="0"/>
          <w:i w:val="0"/>
          <w:sz w:val="22"/>
        </w:rPr>
        <w:t xml:space="preserve"> and </w:t>
      </w:r>
      <w:r w:rsidRPr="00FA27F4">
        <w:rPr>
          <w:rStyle w:val="Referencingstyle"/>
          <w:sz w:val="22"/>
        </w:rPr>
        <w:t>lifecycle stage</w:t>
      </w:r>
      <w:r>
        <w:rPr>
          <w:rStyle w:val="Referencingstyle"/>
          <w:b w:val="0"/>
          <w:i w:val="0"/>
          <w:sz w:val="22"/>
        </w:rPr>
        <w:t xml:space="preserve"> used in subsections (4C) and (4D) are defined and explained in subsection 1017BA(5) as amended </w:t>
      </w:r>
      <w:r w:rsidR="00DB7341">
        <w:rPr>
          <w:rStyle w:val="Referencingstyle"/>
          <w:b w:val="0"/>
          <w:i w:val="0"/>
          <w:sz w:val="22"/>
        </w:rPr>
        <w:t>by</w:t>
      </w:r>
      <w:r>
        <w:rPr>
          <w:rStyle w:val="Referencingstyle"/>
          <w:b w:val="0"/>
          <w:i w:val="0"/>
          <w:sz w:val="22"/>
        </w:rPr>
        <w:t xml:space="preserve"> this bill (see below for a detailed explanation). </w:t>
      </w:r>
      <w:r w:rsidRPr="009142FC">
        <w:rPr>
          <w:rStyle w:val="Referencingstyle"/>
        </w:rPr>
        <w:t>[Schedule #, item 1</w:t>
      </w:r>
      <w:r>
        <w:rPr>
          <w:rStyle w:val="Referencingstyle"/>
        </w:rPr>
        <w:t>3</w:t>
      </w:r>
      <w:r w:rsidRPr="009142FC">
        <w:rPr>
          <w:rStyle w:val="Referencingstyle"/>
        </w:rPr>
        <w:t>, After subsection</w:t>
      </w:r>
      <w:r>
        <w:rPr>
          <w:rStyle w:val="Referencingstyle"/>
        </w:rPr>
        <w:t> </w:t>
      </w:r>
      <w:r w:rsidRPr="009142FC">
        <w:rPr>
          <w:rStyle w:val="Referencingstyle"/>
        </w:rPr>
        <w:t>1017BA(4A)]</w:t>
      </w:r>
    </w:p>
    <w:p w14:paraId="0316EA9A" w14:textId="5823D353" w:rsidR="00F45F8F" w:rsidRDefault="00F45F8F" w:rsidP="00F45F8F">
      <w:pPr>
        <w:pStyle w:val="base-text-paragraph"/>
        <w:rPr>
          <w:rStyle w:val="Referencingstyle"/>
          <w:b w:val="0"/>
          <w:i w:val="0"/>
          <w:sz w:val="22"/>
        </w:rPr>
      </w:pPr>
      <w:r>
        <w:rPr>
          <w:rStyle w:val="Referencingstyle"/>
          <w:b w:val="0"/>
          <w:i w:val="0"/>
          <w:sz w:val="22"/>
        </w:rPr>
        <w:t xml:space="preserve">Two new definitions are inserted in subsection 1017BA(5). </w:t>
      </w:r>
      <w:r w:rsidRPr="00604C4F">
        <w:rPr>
          <w:rStyle w:val="Referencingstyle"/>
          <w:sz w:val="22"/>
        </w:rPr>
        <w:t>Eligible rollover fund</w:t>
      </w:r>
      <w:r>
        <w:rPr>
          <w:rStyle w:val="Referencingstyle"/>
          <w:b w:val="0"/>
          <w:i w:val="0"/>
          <w:sz w:val="22"/>
        </w:rPr>
        <w:t xml:space="preserve"> is defined as having</w:t>
      </w:r>
      <w:r w:rsidR="006C2352">
        <w:rPr>
          <w:rStyle w:val="Referencingstyle"/>
          <w:b w:val="0"/>
          <w:i w:val="0"/>
          <w:sz w:val="22"/>
        </w:rPr>
        <w:t xml:space="preserve"> the same meaning as in the SIS </w:t>
      </w:r>
      <w:r>
        <w:rPr>
          <w:rStyle w:val="Referencingstyle"/>
          <w:b w:val="0"/>
          <w:i w:val="0"/>
          <w:sz w:val="22"/>
        </w:rPr>
        <w:t>Act. The term e</w:t>
      </w:r>
      <w:r w:rsidRPr="00604C4F">
        <w:rPr>
          <w:rStyle w:val="Referencingstyle"/>
          <w:sz w:val="22"/>
        </w:rPr>
        <w:t>xcluded fee</w:t>
      </w:r>
      <w:r>
        <w:rPr>
          <w:rStyle w:val="Referencingstyle"/>
          <w:b w:val="0"/>
          <w:i w:val="0"/>
          <w:sz w:val="22"/>
        </w:rPr>
        <w:t xml:space="preserve"> is defined to include activity, advice and insurance fees as defined in the SIS Act. This term is used to simplify the definition of </w:t>
      </w:r>
      <w:r w:rsidRPr="00604C4F">
        <w:rPr>
          <w:rStyle w:val="Referencingstyle"/>
          <w:sz w:val="22"/>
        </w:rPr>
        <w:t>fee</w:t>
      </w:r>
      <w:r>
        <w:rPr>
          <w:rStyle w:val="Referencingstyle"/>
          <w:b w:val="0"/>
          <w:i w:val="0"/>
          <w:sz w:val="22"/>
        </w:rPr>
        <w:t xml:space="preserve"> in new</w:t>
      </w:r>
      <w:r w:rsidR="00224A43">
        <w:rPr>
          <w:rStyle w:val="Referencingstyle"/>
          <w:b w:val="0"/>
          <w:i w:val="0"/>
          <w:sz w:val="22"/>
        </w:rPr>
        <w:t xml:space="preserve"> </w:t>
      </w:r>
      <w:r>
        <w:rPr>
          <w:rStyle w:val="Referencingstyle"/>
          <w:b w:val="0"/>
          <w:i w:val="0"/>
          <w:sz w:val="22"/>
        </w:rPr>
        <w:t xml:space="preserve">subsection (4B) (see previous item for an explanation of this change). </w:t>
      </w:r>
      <w:r w:rsidRPr="004D171F">
        <w:rPr>
          <w:rStyle w:val="Referencingstyle"/>
        </w:rPr>
        <w:t>[Schedule #, item 1</w:t>
      </w:r>
      <w:r>
        <w:rPr>
          <w:rStyle w:val="Referencingstyle"/>
        </w:rPr>
        <w:t>4</w:t>
      </w:r>
      <w:r w:rsidRPr="004D171F">
        <w:rPr>
          <w:rStyle w:val="Referencingstyle"/>
        </w:rPr>
        <w:t xml:space="preserve">, </w:t>
      </w:r>
      <w:r>
        <w:rPr>
          <w:rStyle w:val="Referencingstyle"/>
        </w:rPr>
        <w:t xml:space="preserve">Subsection </w:t>
      </w:r>
      <w:r w:rsidRPr="004D171F">
        <w:rPr>
          <w:rStyle w:val="Referencingstyle"/>
        </w:rPr>
        <w:t>1017BA(5)]</w:t>
      </w:r>
      <w:r>
        <w:rPr>
          <w:rStyle w:val="Referencingstyle"/>
          <w:b w:val="0"/>
          <w:i w:val="0"/>
          <w:sz w:val="22"/>
        </w:rPr>
        <w:t xml:space="preserve"> </w:t>
      </w:r>
    </w:p>
    <w:p w14:paraId="2132C24E" w14:textId="6B9CB308" w:rsidR="00F45F8F" w:rsidRDefault="00F45F8F" w:rsidP="00F45F8F">
      <w:pPr>
        <w:pStyle w:val="base-text-paragraph"/>
        <w:rPr>
          <w:rStyle w:val="Referencingstyle"/>
          <w:b w:val="0"/>
          <w:i w:val="0"/>
          <w:sz w:val="22"/>
        </w:rPr>
      </w:pPr>
      <w:r>
        <w:rPr>
          <w:rStyle w:val="Referencingstyle"/>
          <w:b w:val="0"/>
          <w:i w:val="0"/>
          <w:sz w:val="22"/>
        </w:rPr>
        <w:t xml:space="preserve">The definition of </w:t>
      </w:r>
      <w:r w:rsidRPr="00C07DB9">
        <w:rPr>
          <w:rStyle w:val="Referencingstyle"/>
          <w:sz w:val="22"/>
        </w:rPr>
        <w:t>fee</w:t>
      </w:r>
      <w:r>
        <w:rPr>
          <w:rStyle w:val="Referencingstyle"/>
          <w:b w:val="0"/>
          <w:i w:val="0"/>
          <w:sz w:val="22"/>
        </w:rPr>
        <w:t xml:space="preserve"> in subsection 1017BA(5) is amended to</w:t>
      </w:r>
      <w:r w:rsidR="00224A43">
        <w:rPr>
          <w:rStyle w:val="Referencingstyle"/>
          <w:b w:val="0"/>
          <w:i w:val="0"/>
          <w:sz w:val="22"/>
        </w:rPr>
        <w:t xml:space="preserve"> </w:t>
      </w:r>
      <w:r>
        <w:rPr>
          <w:rStyle w:val="Referencingstyle"/>
          <w:b w:val="0"/>
          <w:i w:val="0"/>
          <w:sz w:val="22"/>
        </w:rPr>
        <w:t xml:space="preserve">refer to the new definition in subsection (4B), as explained above. </w:t>
      </w:r>
      <w:r w:rsidRPr="00C07DB9">
        <w:rPr>
          <w:rStyle w:val="Referencingstyle"/>
        </w:rPr>
        <w:t>[Schedule #, item 1</w:t>
      </w:r>
      <w:r>
        <w:rPr>
          <w:rStyle w:val="Referencingstyle"/>
        </w:rPr>
        <w:t>5</w:t>
      </w:r>
      <w:r w:rsidRPr="00C07DB9">
        <w:rPr>
          <w:rStyle w:val="Referencingstyle"/>
        </w:rPr>
        <w:t>, Subsection 1017BA(5) (definition of fee)]</w:t>
      </w:r>
      <w:r>
        <w:rPr>
          <w:rStyle w:val="Referencingstyle"/>
          <w:b w:val="0"/>
          <w:i w:val="0"/>
          <w:sz w:val="22"/>
        </w:rPr>
        <w:t xml:space="preserve"> </w:t>
      </w:r>
    </w:p>
    <w:p w14:paraId="7A78DBB1" w14:textId="77777777" w:rsidR="00224A43" w:rsidRDefault="00F45F8F" w:rsidP="00F45F8F">
      <w:pPr>
        <w:pStyle w:val="base-text-paragraph"/>
        <w:rPr>
          <w:rStyle w:val="Referencingstyle"/>
          <w:b w:val="0"/>
          <w:i w:val="0"/>
          <w:sz w:val="22"/>
        </w:rPr>
      </w:pPr>
      <w:r>
        <w:rPr>
          <w:rStyle w:val="Referencingstyle"/>
          <w:b w:val="0"/>
          <w:i w:val="0"/>
          <w:sz w:val="22"/>
        </w:rPr>
        <w:t xml:space="preserve">Five further definitions are inserted in subsection 1017BA(5). The first definition makes it clear that the term </w:t>
      </w:r>
      <w:r w:rsidRPr="00CB51DA">
        <w:rPr>
          <w:rStyle w:val="Referencingstyle"/>
          <w:sz w:val="22"/>
        </w:rPr>
        <w:t>investment option</w:t>
      </w:r>
      <w:r>
        <w:rPr>
          <w:rStyle w:val="Referencingstyle"/>
          <w:b w:val="0"/>
          <w:i w:val="0"/>
          <w:sz w:val="22"/>
        </w:rPr>
        <w:t xml:space="preserve"> includes choice products that do not offer multiple investment options. </w:t>
      </w:r>
    </w:p>
    <w:p w14:paraId="7419CF46" w14:textId="5F375851" w:rsidR="00224A43" w:rsidRDefault="00F45F8F" w:rsidP="00F45F8F">
      <w:pPr>
        <w:pStyle w:val="base-text-paragraph"/>
        <w:rPr>
          <w:rStyle w:val="Referencingstyle"/>
          <w:b w:val="0"/>
          <w:i w:val="0"/>
          <w:sz w:val="22"/>
        </w:rPr>
      </w:pPr>
      <w:r>
        <w:rPr>
          <w:rStyle w:val="Referencingstyle"/>
          <w:b w:val="0"/>
          <w:i w:val="0"/>
          <w:sz w:val="22"/>
        </w:rPr>
        <w:t xml:space="preserve">The second definition relates to the term </w:t>
      </w:r>
      <w:r w:rsidRPr="000D590E">
        <w:rPr>
          <w:rStyle w:val="Referencingstyle"/>
          <w:sz w:val="22"/>
        </w:rPr>
        <w:t>life</w:t>
      </w:r>
      <w:r>
        <w:rPr>
          <w:rStyle w:val="Referencingstyle"/>
          <w:sz w:val="22"/>
        </w:rPr>
        <w:t>cycle</w:t>
      </w:r>
      <w:r w:rsidRPr="000D590E">
        <w:rPr>
          <w:rStyle w:val="Referencingstyle"/>
          <w:sz w:val="22"/>
        </w:rPr>
        <w:t xml:space="preserve"> exception</w:t>
      </w:r>
      <w:r>
        <w:rPr>
          <w:rStyle w:val="Referencingstyle"/>
          <w:b w:val="0"/>
          <w:i w:val="0"/>
          <w:sz w:val="22"/>
        </w:rPr>
        <w:t xml:space="preserve"> for a MySuper product by referring to the definition in subsection 29TC(2) of the SIS Act. That definition states that a </w:t>
      </w:r>
      <w:r w:rsidRPr="000D590E">
        <w:rPr>
          <w:rStyle w:val="Referencingstyle"/>
          <w:sz w:val="22"/>
        </w:rPr>
        <w:t>life</w:t>
      </w:r>
      <w:r>
        <w:rPr>
          <w:rStyle w:val="Referencingstyle"/>
          <w:sz w:val="22"/>
        </w:rPr>
        <w:t>cycle</w:t>
      </w:r>
      <w:r w:rsidRPr="000D590E">
        <w:rPr>
          <w:rStyle w:val="Referencingstyle"/>
          <w:sz w:val="22"/>
        </w:rPr>
        <w:t xml:space="preserve"> exception</w:t>
      </w:r>
      <w:r>
        <w:rPr>
          <w:rStyle w:val="Referencingstyle"/>
          <w:b w:val="0"/>
          <w:i w:val="0"/>
          <w:sz w:val="22"/>
        </w:rPr>
        <w:t xml:space="preserve"> is a rule that allows gains and losses to be streamed to different groups of fund members </w:t>
      </w:r>
      <w:r w:rsidR="00FF246D">
        <w:rPr>
          <w:rStyle w:val="Referencingstyle"/>
          <w:b w:val="0"/>
          <w:i w:val="0"/>
          <w:sz w:val="22"/>
        </w:rPr>
        <w:t>based on</w:t>
      </w:r>
      <w:r>
        <w:rPr>
          <w:rStyle w:val="Referencingstyle"/>
          <w:b w:val="0"/>
          <w:i w:val="0"/>
          <w:sz w:val="22"/>
        </w:rPr>
        <w:t xml:space="preserve"> age or other prescribed factors. The same definition is then applied to qualifying choice investment options. </w:t>
      </w:r>
    </w:p>
    <w:p w14:paraId="1699E54B" w14:textId="704D160D" w:rsidR="00224A43" w:rsidRDefault="00F45F8F" w:rsidP="00F45F8F">
      <w:pPr>
        <w:pStyle w:val="base-text-paragraph"/>
        <w:rPr>
          <w:rStyle w:val="Referencingstyle"/>
          <w:b w:val="0"/>
          <w:i w:val="0"/>
          <w:sz w:val="22"/>
        </w:rPr>
      </w:pPr>
      <w:r>
        <w:rPr>
          <w:rStyle w:val="Referencingstyle"/>
          <w:b w:val="0"/>
          <w:i w:val="0"/>
          <w:sz w:val="22"/>
        </w:rPr>
        <w:t xml:space="preserve">The next definition of a </w:t>
      </w:r>
      <w:r w:rsidRPr="000D590E">
        <w:rPr>
          <w:rStyle w:val="Referencingstyle"/>
          <w:sz w:val="22"/>
        </w:rPr>
        <w:t>lifecycle stage</w:t>
      </w:r>
      <w:r>
        <w:rPr>
          <w:rStyle w:val="Referencingstyle"/>
          <w:b w:val="0"/>
          <w:i w:val="0"/>
          <w:sz w:val="22"/>
        </w:rPr>
        <w:t xml:space="preserve"> is linked to the definition of </w:t>
      </w:r>
      <w:r w:rsidRPr="000D590E">
        <w:rPr>
          <w:rStyle w:val="Referencingstyle"/>
          <w:sz w:val="22"/>
        </w:rPr>
        <w:t>life</w:t>
      </w:r>
      <w:r>
        <w:rPr>
          <w:rStyle w:val="Referencingstyle"/>
          <w:sz w:val="22"/>
        </w:rPr>
        <w:t>cycle</w:t>
      </w:r>
      <w:r w:rsidRPr="000D590E">
        <w:rPr>
          <w:rStyle w:val="Referencingstyle"/>
          <w:sz w:val="22"/>
        </w:rPr>
        <w:t xml:space="preserve"> exception</w:t>
      </w:r>
      <w:r>
        <w:rPr>
          <w:rStyle w:val="Referencingstyle"/>
          <w:b w:val="0"/>
          <w:i w:val="0"/>
          <w:sz w:val="22"/>
        </w:rPr>
        <w:t xml:space="preserve"> in that it is defined as so much of a lifecycle MySuper product or </w:t>
      </w:r>
      <w:r w:rsidRPr="000D590E">
        <w:rPr>
          <w:rStyle w:val="Referencingstyle"/>
          <w:sz w:val="22"/>
        </w:rPr>
        <w:t>qualifying choice investment option</w:t>
      </w:r>
      <w:r>
        <w:rPr>
          <w:rStyle w:val="Referencingstyle"/>
          <w:b w:val="0"/>
          <w:i w:val="0"/>
          <w:sz w:val="22"/>
        </w:rPr>
        <w:t xml:space="preserve"> as is streamed to one of the groups of fund members to which gains and losses are streamed </w:t>
      </w:r>
      <w:r w:rsidR="00FF246D">
        <w:rPr>
          <w:rStyle w:val="Referencingstyle"/>
          <w:b w:val="0"/>
          <w:i w:val="0"/>
          <w:sz w:val="22"/>
        </w:rPr>
        <w:t>based on</w:t>
      </w:r>
      <w:r>
        <w:rPr>
          <w:rStyle w:val="Referencingstyle"/>
          <w:b w:val="0"/>
          <w:i w:val="0"/>
          <w:sz w:val="22"/>
        </w:rPr>
        <w:t xml:space="preserve"> age or other factors. </w:t>
      </w:r>
    </w:p>
    <w:p w14:paraId="3A1E13D6" w14:textId="77777777" w:rsidR="00224A43" w:rsidRDefault="00F45F8F" w:rsidP="00F45F8F">
      <w:pPr>
        <w:pStyle w:val="base-text-paragraph"/>
        <w:rPr>
          <w:rStyle w:val="Referencingstyle"/>
          <w:b w:val="0"/>
          <w:i w:val="0"/>
          <w:sz w:val="22"/>
        </w:rPr>
      </w:pPr>
      <w:r w:rsidRPr="00FE5DE2">
        <w:rPr>
          <w:rStyle w:val="Referencingstyle"/>
          <w:sz w:val="22"/>
        </w:rPr>
        <w:t>Pooled superannuation trust</w:t>
      </w:r>
      <w:r>
        <w:rPr>
          <w:rStyle w:val="Referencingstyle"/>
          <w:b w:val="0"/>
          <w:i w:val="0"/>
          <w:sz w:val="22"/>
        </w:rPr>
        <w:t xml:space="preserve"> is defined as having the same meaning as in the SIS Act. </w:t>
      </w:r>
    </w:p>
    <w:p w14:paraId="242BFBA5" w14:textId="0700F717" w:rsidR="00224A43" w:rsidRDefault="00F45F8F" w:rsidP="00F45F8F">
      <w:pPr>
        <w:pStyle w:val="base-text-paragraph"/>
        <w:rPr>
          <w:rStyle w:val="Referencingstyle"/>
          <w:b w:val="0"/>
          <w:i w:val="0"/>
          <w:sz w:val="22"/>
        </w:rPr>
      </w:pPr>
      <w:r>
        <w:rPr>
          <w:rStyle w:val="Referencingstyle"/>
          <w:b w:val="0"/>
          <w:i w:val="0"/>
          <w:sz w:val="22"/>
        </w:rPr>
        <w:t xml:space="preserve">The final definition concerns the important term </w:t>
      </w:r>
      <w:r w:rsidRPr="00FE5DE2">
        <w:rPr>
          <w:rStyle w:val="Referencingstyle"/>
          <w:sz w:val="22"/>
        </w:rPr>
        <w:t>qualifying choice investment option</w:t>
      </w:r>
      <w:r>
        <w:rPr>
          <w:rStyle w:val="Referencingstyle"/>
          <w:b w:val="0"/>
          <w:i w:val="0"/>
          <w:sz w:val="22"/>
        </w:rPr>
        <w:t xml:space="preserve">. This definition effects the change to the scope of the product dashboard requirements with respect to choice products, in that it limits the scope to the ten largest investment options within a choice product. Section 1017BA previously required a product dashboard to be produced for all investment options. The determination of the </w:t>
      </w:r>
      <w:r w:rsidR="006C2352">
        <w:rPr>
          <w:rStyle w:val="Referencingstyle"/>
          <w:b w:val="0"/>
          <w:i w:val="0"/>
          <w:sz w:val="22"/>
        </w:rPr>
        <w:t>10</w:t>
      </w:r>
      <w:r>
        <w:rPr>
          <w:rStyle w:val="Referencingstyle"/>
          <w:b w:val="0"/>
          <w:i w:val="0"/>
          <w:sz w:val="22"/>
        </w:rPr>
        <w:t xml:space="preserve"> largest investment options is to occur annually based on funds under management as of 30 June of the previous financial year. It is noted that all investment options are to be included in the calculation, including options closed to new investors. The note to this definition explains that for investment options that include lifecycle stages the funds under management of all stages must be added together in working out whether the option is a </w:t>
      </w:r>
      <w:r w:rsidRPr="0088514B">
        <w:rPr>
          <w:rStyle w:val="Referencingstyle"/>
          <w:sz w:val="22"/>
        </w:rPr>
        <w:t>qualifying choice investment option</w:t>
      </w:r>
      <w:r>
        <w:rPr>
          <w:rStyle w:val="Referencingstyle"/>
          <w:b w:val="0"/>
          <w:i w:val="0"/>
          <w:sz w:val="22"/>
        </w:rPr>
        <w:t>. This outcome results from the</w:t>
      </w:r>
      <w:r w:rsidR="00FF246D">
        <w:rPr>
          <w:rStyle w:val="Referencingstyle"/>
          <w:b w:val="0"/>
          <w:i w:val="0"/>
          <w:sz w:val="22"/>
        </w:rPr>
        <w:t xml:space="preserve"> fact that new subsection (4D) that </w:t>
      </w:r>
      <w:r>
        <w:rPr>
          <w:rStyle w:val="Referencingstyle"/>
          <w:b w:val="0"/>
          <w:i w:val="0"/>
          <w:sz w:val="22"/>
        </w:rPr>
        <w:t>provides for these options</w:t>
      </w:r>
      <w:r w:rsidR="00FF246D">
        <w:rPr>
          <w:rStyle w:val="Referencingstyle"/>
          <w:b w:val="0"/>
          <w:i w:val="0"/>
          <w:sz w:val="22"/>
        </w:rPr>
        <w:t>,</w:t>
      </w:r>
      <w:r>
        <w:rPr>
          <w:rStyle w:val="Referencingstyle"/>
          <w:b w:val="0"/>
          <w:i w:val="0"/>
          <w:sz w:val="22"/>
        </w:rPr>
        <w:t xml:space="preserve"> a reference to a qualifying choice investment option is equivalent to a reference to each lifecycle</w:t>
      </w:r>
      <w:r w:rsidR="00FF246D">
        <w:rPr>
          <w:rStyle w:val="Referencingstyle"/>
          <w:b w:val="0"/>
          <w:i w:val="0"/>
          <w:sz w:val="22"/>
        </w:rPr>
        <w:t xml:space="preserve"> stage of the investment option</w:t>
      </w:r>
      <w:r>
        <w:rPr>
          <w:rStyle w:val="Referencingstyle"/>
          <w:b w:val="0"/>
          <w:i w:val="0"/>
          <w:sz w:val="22"/>
        </w:rPr>
        <w:t xml:space="preserve"> does not apply to subsection (5). </w:t>
      </w:r>
    </w:p>
    <w:p w14:paraId="3354F232" w14:textId="7B0C93E0" w:rsidR="00F45F8F" w:rsidRDefault="00F45F8F" w:rsidP="00F45F8F">
      <w:pPr>
        <w:pStyle w:val="base-text-paragraph"/>
        <w:rPr>
          <w:rStyle w:val="Referencingstyle"/>
          <w:b w:val="0"/>
          <w:i w:val="0"/>
          <w:sz w:val="22"/>
        </w:rPr>
      </w:pPr>
      <w:r>
        <w:rPr>
          <w:rStyle w:val="Referencingstyle"/>
          <w:b w:val="0"/>
          <w:i w:val="0"/>
          <w:sz w:val="22"/>
        </w:rPr>
        <w:t xml:space="preserve">Finally, a power is provided to prescribe by regulation investment options that may be excluded from the calculation and therefore do not require a product dashboard. </w:t>
      </w:r>
      <w:r w:rsidRPr="009D185A">
        <w:rPr>
          <w:rStyle w:val="Referencingstyle"/>
        </w:rPr>
        <w:t>[Schedule #, item 1</w:t>
      </w:r>
      <w:r>
        <w:rPr>
          <w:rStyle w:val="Referencingstyle"/>
        </w:rPr>
        <w:t>6</w:t>
      </w:r>
      <w:r w:rsidRPr="009D185A">
        <w:rPr>
          <w:rStyle w:val="Referencingstyle"/>
        </w:rPr>
        <w:t>, Subsection</w:t>
      </w:r>
      <w:r w:rsidR="006C2352">
        <w:rPr>
          <w:rStyle w:val="Referencingstyle"/>
        </w:rPr>
        <w:t> </w:t>
      </w:r>
      <w:r w:rsidRPr="009D185A">
        <w:rPr>
          <w:rStyle w:val="Referencingstyle"/>
        </w:rPr>
        <w:t>1017BA(5)]</w:t>
      </w:r>
      <w:r>
        <w:rPr>
          <w:rStyle w:val="Referencingstyle"/>
          <w:b w:val="0"/>
          <w:i w:val="0"/>
          <w:sz w:val="22"/>
        </w:rPr>
        <w:t xml:space="preserve"> </w:t>
      </w:r>
    </w:p>
    <w:p w14:paraId="5CDC3A0F" w14:textId="23094015" w:rsidR="00F45F8F" w:rsidRDefault="00F45F8F" w:rsidP="00F45F8F">
      <w:pPr>
        <w:pStyle w:val="base-text-paragraph"/>
        <w:rPr>
          <w:rStyle w:val="Referencingstyle"/>
          <w:b w:val="0"/>
          <w:i w:val="0"/>
          <w:sz w:val="22"/>
        </w:rPr>
      </w:pPr>
      <w:r>
        <w:rPr>
          <w:rStyle w:val="Referencingstyle"/>
          <w:b w:val="0"/>
          <w:i w:val="0"/>
          <w:sz w:val="22"/>
        </w:rPr>
        <w:t xml:space="preserve">Section 1021NA sets out a number of offences in relation to the product dashboard requirements in section 1017BA. The wording of paragraphs 1021NA(1)(b) and (c) is amended to reflect the changes made </w:t>
      </w:r>
      <w:r w:rsidR="00224A43">
        <w:rPr>
          <w:rStyle w:val="Referencingstyle"/>
          <w:b w:val="0"/>
          <w:i w:val="0"/>
          <w:sz w:val="22"/>
        </w:rPr>
        <w:t xml:space="preserve">to section 1017BA </w:t>
      </w:r>
      <w:r w:rsidR="00DB7341">
        <w:rPr>
          <w:rStyle w:val="Referencingstyle"/>
          <w:b w:val="0"/>
          <w:i w:val="0"/>
          <w:sz w:val="22"/>
        </w:rPr>
        <w:t>by</w:t>
      </w:r>
      <w:r>
        <w:rPr>
          <w:rStyle w:val="Referencingstyle"/>
          <w:b w:val="0"/>
          <w:i w:val="0"/>
          <w:sz w:val="22"/>
        </w:rPr>
        <w:t xml:space="preserve"> this bill. The fundamenta</w:t>
      </w:r>
      <w:r w:rsidR="006C2352">
        <w:rPr>
          <w:rStyle w:val="Referencingstyle"/>
          <w:b w:val="0"/>
          <w:i w:val="0"/>
          <w:sz w:val="22"/>
        </w:rPr>
        <w:t>l offence remains the same, that is,</w:t>
      </w:r>
      <w:r>
        <w:rPr>
          <w:rStyle w:val="Referencingstyle"/>
          <w:b w:val="0"/>
          <w:i w:val="0"/>
          <w:sz w:val="22"/>
        </w:rPr>
        <w:t xml:space="preserve"> failing to comply with the requirement in section 1017BA to make a product dashboard publicly available. </w:t>
      </w:r>
      <w:r w:rsidRPr="000D35CC">
        <w:rPr>
          <w:rStyle w:val="Referencingstyle"/>
        </w:rPr>
        <w:t xml:space="preserve">[Schedule #, item </w:t>
      </w:r>
      <w:r>
        <w:rPr>
          <w:rStyle w:val="Referencingstyle"/>
        </w:rPr>
        <w:t>17</w:t>
      </w:r>
      <w:r w:rsidRPr="000D35CC">
        <w:rPr>
          <w:rStyle w:val="Referencingstyle"/>
        </w:rPr>
        <w:t>, Paragraphs 1021NA(1)(b) and (c)]</w:t>
      </w:r>
      <w:r>
        <w:rPr>
          <w:rStyle w:val="Referencingstyle"/>
          <w:b w:val="0"/>
          <w:i w:val="0"/>
          <w:sz w:val="22"/>
        </w:rPr>
        <w:t xml:space="preserve"> </w:t>
      </w:r>
    </w:p>
    <w:p w14:paraId="07AC3FBF" w14:textId="77777777" w:rsidR="00F45F8F" w:rsidRDefault="00F45F8F" w:rsidP="00F45F8F">
      <w:pPr>
        <w:pStyle w:val="base-text-paragraph"/>
        <w:rPr>
          <w:rStyle w:val="Referencingstyle"/>
          <w:b w:val="0"/>
          <w:i w:val="0"/>
          <w:sz w:val="22"/>
        </w:rPr>
      </w:pPr>
      <w:r>
        <w:rPr>
          <w:rStyle w:val="Referencingstyle"/>
          <w:b w:val="0"/>
          <w:i w:val="0"/>
          <w:sz w:val="22"/>
        </w:rPr>
        <w:t xml:space="preserve">Paragraph 1539(a) is amended to reflect that the MySuper product dashboard requirements took effect from 31 December 2013. </w:t>
      </w:r>
      <w:r w:rsidRPr="00D76E95">
        <w:rPr>
          <w:rStyle w:val="Referencingstyle"/>
        </w:rPr>
        <w:t xml:space="preserve">[Schedule #, item </w:t>
      </w:r>
      <w:r>
        <w:rPr>
          <w:rStyle w:val="Referencingstyle"/>
        </w:rPr>
        <w:t>18</w:t>
      </w:r>
      <w:r w:rsidRPr="00D76E95">
        <w:rPr>
          <w:rStyle w:val="Referencingstyle"/>
        </w:rPr>
        <w:t>, Paragraph 1539(a)]</w:t>
      </w:r>
      <w:r>
        <w:rPr>
          <w:rStyle w:val="Referencingstyle"/>
          <w:b w:val="0"/>
          <w:i w:val="0"/>
          <w:sz w:val="22"/>
        </w:rPr>
        <w:t xml:space="preserve"> </w:t>
      </w:r>
    </w:p>
    <w:p w14:paraId="7616443F" w14:textId="77777777" w:rsidR="00F45F8F" w:rsidRDefault="00F45F8F" w:rsidP="00F45F8F">
      <w:pPr>
        <w:pStyle w:val="Heading2"/>
      </w:pPr>
      <w:r>
        <w:t>Application and transitional provisions</w:t>
      </w:r>
    </w:p>
    <w:p w14:paraId="2FA1E8B9" w14:textId="58E0594E" w:rsidR="00F45F8F" w:rsidRDefault="00F45F8F" w:rsidP="009C1D2A">
      <w:pPr>
        <w:pStyle w:val="base-text-paragraph"/>
      </w:pPr>
      <w:r>
        <w:t xml:space="preserve">Paragraph 1539(b) is amended to specify that the product dashboard requirements with regard to choice products will apply from 1 July 2016. </w:t>
      </w:r>
      <w:r w:rsidRPr="00F45F8F">
        <w:rPr>
          <w:rStyle w:val="Referencingstyle"/>
        </w:rPr>
        <w:t xml:space="preserve">[Schedule #, item </w:t>
      </w:r>
      <w:r w:rsidRPr="00353E46">
        <w:rPr>
          <w:rStyle w:val="Referencingstyle"/>
        </w:rPr>
        <w:t>19, Paragraph</w:t>
      </w:r>
      <w:r>
        <w:rPr>
          <w:rStyle w:val="Referencingstyle"/>
        </w:rPr>
        <w:t xml:space="preserve"> 1539(b)</w:t>
      </w:r>
      <w:r w:rsidRPr="009C1D2A">
        <w:rPr>
          <w:rStyle w:val="Referencingstyle"/>
        </w:rPr>
        <w:t>]</w:t>
      </w:r>
    </w:p>
    <w:p w14:paraId="7CF8C80A" w14:textId="77777777" w:rsidR="006C2352" w:rsidRDefault="006C2352" w:rsidP="00686746">
      <w:pPr>
        <w:pStyle w:val="base-text-paragraph"/>
        <w:numPr>
          <w:ilvl w:val="0"/>
          <w:numId w:val="0"/>
        </w:numPr>
        <w:ind w:left="1134"/>
        <w:sectPr w:rsidR="006C2352" w:rsidSect="00821379">
          <w:headerReference w:type="even" r:id="rId31"/>
          <w:headerReference w:type="default" r:id="rId32"/>
          <w:footerReference w:type="even" r:id="rId33"/>
          <w:footerReference w:type="default" r:id="rId34"/>
          <w:footerReference w:type="first" r:id="rId35"/>
          <w:type w:val="oddPage"/>
          <w:pgSz w:w="11906" w:h="16838" w:code="9"/>
          <w:pgMar w:top="2466" w:right="2098" w:bottom="2466" w:left="2098" w:header="1559" w:footer="1899" w:gutter="0"/>
          <w:cols w:space="708"/>
          <w:titlePg/>
          <w:docGrid w:linePitch="360"/>
        </w:sectPr>
      </w:pPr>
    </w:p>
    <w:p w14:paraId="0E32625A" w14:textId="7CA01C76" w:rsidR="00686746" w:rsidRPr="00F51A71" w:rsidRDefault="00686746" w:rsidP="00F45F8F">
      <w:pPr>
        <w:pStyle w:val="ChapterHeading"/>
        <w:tabs>
          <w:tab w:val="clear" w:pos="1134"/>
          <w:tab w:val="num" w:pos="360"/>
        </w:tabs>
      </w:pPr>
      <w:r w:rsidRPr="00F51A71">
        <w:br/>
      </w:r>
      <w:bookmarkStart w:id="4" w:name="_Toc429658446"/>
      <w:r w:rsidR="00F45F8F" w:rsidRPr="00F45F8F">
        <w:t>Portfolio Holdings Disclosure</w:t>
      </w:r>
      <w:bookmarkEnd w:id="4"/>
    </w:p>
    <w:p w14:paraId="4472BE6B" w14:textId="77777777" w:rsidR="00F45F8F" w:rsidRDefault="00F45F8F" w:rsidP="00F45F8F">
      <w:pPr>
        <w:pStyle w:val="Heading2"/>
      </w:pPr>
      <w:r>
        <w:t>Outline of chapter</w:t>
      </w:r>
    </w:p>
    <w:p w14:paraId="00FFE112" w14:textId="18EF620D" w:rsidR="00F45F8F" w:rsidRDefault="00F45F8F" w:rsidP="00F45F8F">
      <w:pPr>
        <w:pStyle w:val="base-text-paragraph"/>
      </w:pPr>
      <w:r>
        <w:t xml:space="preserve">This Chapter explains the amendments to the </w:t>
      </w:r>
      <w:r w:rsidR="006C2352">
        <w:rPr>
          <w:i/>
        </w:rPr>
        <w:t>Corporations Act </w:t>
      </w:r>
      <w:r w:rsidRPr="00F45F8F">
        <w:rPr>
          <w:i/>
        </w:rPr>
        <w:t>2001</w:t>
      </w:r>
      <w:r>
        <w:t xml:space="preserve"> that refine the requirements for RSE licensees to publish their portfolio holdings. The purpose of these amendments is to ensure that superannuation fund members, and their employers, have access to information about the portfolio holdings of superannuation funds, while minimising the compliance burden RSE licensees. </w:t>
      </w:r>
    </w:p>
    <w:p w14:paraId="736A2CFA" w14:textId="77777777" w:rsidR="00F45F8F" w:rsidRDefault="00F45F8F" w:rsidP="00F45F8F">
      <w:pPr>
        <w:pStyle w:val="Heading2"/>
      </w:pPr>
      <w:r>
        <w:t>Context of amendments</w:t>
      </w:r>
    </w:p>
    <w:p w14:paraId="4B4C70ED" w14:textId="77777777" w:rsidR="00F45F8F" w:rsidRPr="00F45F8F" w:rsidRDefault="00F45F8F" w:rsidP="00F45F8F">
      <w:pPr>
        <w:pStyle w:val="base-text-paragraph"/>
        <w:numPr>
          <w:ilvl w:val="0"/>
          <w:numId w:val="0"/>
        </w:numPr>
        <w:ind w:left="1134"/>
        <w:rPr>
          <w:b/>
          <w:i/>
        </w:rPr>
      </w:pPr>
      <w:r w:rsidRPr="00F45F8F">
        <w:rPr>
          <w:b/>
          <w:i/>
        </w:rPr>
        <w:t>Existing requirements for trustees to publish details of portfolio holdings</w:t>
      </w:r>
    </w:p>
    <w:p w14:paraId="4E950DF0" w14:textId="7775F2D8" w:rsidR="00F45F8F" w:rsidRDefault="00F45F8F" w:rsidP="00F45F8F">
      <w:pPr>
        <w:pStyle w:val="base-text-paragraph"/>
      </w:pPr>
      <w:r>
        <w:t>Under the current law trustees of a</w:t>
      </w:r>
      <w:r w:rsidR="00DB7341">
        <w:t>n</w:t>
      </w:r>
      <w:r>
        <w:t xml:space="preserve"> RSE (other than a pooled superannuation trust) must publish their fund</w:t>
      </w:r>
      <w:r w:rsidR="006C2352">
        <w:t>’</w:t>
      </w:r>
      <w:r>
        <w:t>s portfolio holdings on the fund</w:t>
      </w:r>
      <w:r w:rsidR="006C2352">
        <w:t>’</w:t>
      </w:r>
      <w:r>
        <w:t>s website twice a year (s</w:t>
      </w:r>
      <w:r w:rsidR="00DB7341">
        <w:t>ubsection</w:t>
      </w:r>
      <w:r>
        <w:t xml:space="preserve"> 1017BB(1) of the Corporations Act).</w:t>
      </w:r>
    </w:p>
    <w:p w14:paraId="474481DC" w14:textId="235577F8" w:rsidR="00F45F8F" w:rsidRDefault="00F45F8F" w:rsidP="00F45F8F">
      <w:pPr>
        <w:pStyle w:val="base-text-paragraph"/>
      </w:pPr>
      <w:r>
        <w:t>The information must be sufficient to identify each financial product or other property, and the value of the investment in each financial product or property. The legislation does not differentiate between assets held in a fund</w:t>
      </w:r>
      <w:r w:rsidR="006C2352">
        <w:t>’</w:t>
      </w:r>
      <w:r>
        <w:t>s associated entities and its non</w:t>
      </w:r>
      <w:r w:rsidR="006C2352">
        <w:noBreakHyphen/>
      </w:r>
      <w:r>
        <w:t>associated entities. As such, the same level of disclosure is required.</w:t>
      </w:r>
    </w:p>
    <w:p w14:paraId="2A36AE50" w14:textId="0C6B0001" w:rsidR="00F45F8F" w:rsidRDefault="00F45F8F" w:rsidP="00F45F8F">
      <w:pPr>
        <w:pStyle w:val="base-text-paragraph"/>
      </w:pPr>
      <w:r>
        <w:t xml:space="preserve">Disclosure is required for all assets the fund invests in on a full </w:t>
      </w:r>
      <w:r w:rsidR="006C2352">
        <w:t>‘</w:t>
      </w:r>
      <w:r>
        <w:t>look</w:t>
      </w:r>
      <w:r w:rsidR="006C2352">
        <w:noBreakHyphen/>
      </w:r>
      <w:r>
        <w:t>through</w:t>
      </w:r>
      <w:r w:rsidR="006C2352">
        <w:t>’</w:t>
      </w:r>
      <w:r>
        <w:t xml:space="preserve"> basis by including </w:t>
      </w:r>
      <w:r w:rsidR="006C2352">
        <w:t>‘</w:t>
      </w:r>
      <w:r>
        <w:t>assets derived from assets</w:t>
      </w:r>
      <w:r w:rsidR="006C2352">
        <w:t>’</w:t>
      </w:r>
      <w:r>
        <w:t xml:space="preserve"> in the scope of investments covered by the provision. </w:t>
      </w:r>
      <w:r w:rsidR="00136AF0">
        <w:t>For example, t</w:t>
      </w:r>
      <w:r>
        <w:t xml:space="preserve">his means that full disclosure must be made with respect to , multiple levels of investments. </w:t>
      </w:r>
    </w:p>
    <w:p w14:paraId="0ECA014A" w14:textId="0F9BA7E9" w:rsidR="00F45F8F" w:rsidRDefault="00F45F8F" w:rsidP="00F45F8F">
      <w:pPr>
        <w:pStyle w:val="base-text-paragraph"/>
      </w:pPr>
      <w:r>
        <w:t>To enable trustees to meet these obligations, a party acquiring a financial product from another party must notify the second party if the purchase is being made using the funds of the RSE and provide the second party with details of the RSE (s</w:t>
      </w:r>
      <w:r w:rsidR="00DB7341">
        <w:t>ubsections</w:t>
      </w:r>
      <w:r w:rsidRPr="00744250">
        <w:t xml:space="preserve"> 1017BC(1)–(2) of t</w:t>
      </w:r>
      <w:r>
        <w:t>he Corporations Act)</w:t>
      </w:r>
      <w:r w:rsidR="006C2352">
        <w:t xml:space="preserve">. </w:t>
      </w:r>
      <w:r>
        <w:t>Where this occurs, the second party is required to provide the trustees of the RSE with information on the financial product acquired and any other product or property acquired using assets of the RSE fund.(</w:t>
      </w:r>
      <w:r w:rsidRPr="00744250">
        <w:t xml:space="preserve"> </w:t>
      </w:r>
      <w:r>
        <w:t>s</w:t>
      </w:r>
      <w:r w:rsidR="00DB7341">
        <w:t>ubsection</w:t>
      </w:r>
      <w:r>
        <w:t xml:space="preserve"> 1017BC(3) of the Corporations Act). </w:t>
      </w:r>
    </w:p>
    <w:p w14:paraId="76A03FA2" w14:textId="54441A0D" w:rsidR="00F45F8F" w:rsidRDefault="00F45F8F" w:rsidP="00F45F8F">
      <w:pPr>
        <w:pStyle w:val="base-text-paragraph"/>
      </w:pPr>
      <w:r>
        <w:t xml:space="preserve">The existing portfolio holdings disclosure requirements were introduced in 2012 </w:t>
      </w:r>
      <w:r w:rsidR="00136AF0">
        <w:t xml:space="preserve">by </w:t>
      </w:r>
      <w:r>
        <w:t xml:space="preserve">the </w:t>
      </w:r>
      <w:r w:rsidRPr="00F45F8F">
        <w:rPr>
          <w:i/>
        </w:rPr>
        <w:t>Superannuation Legislation Amendment (Further MySuper and Transparency Measures) Act 2012</w:t>
      </w:r>
      <w:r w:rsidR="006C2352">
        <w:t xml:space="preserve">. </w:t>
      </w:r>
    </w:p>
    <w:p w14:paraId="7CB61C30" w14:textId="77777777" w:rsidR="00F45F8F" w:rsidRDefault="00F45F8F" w:rsidP="00F45F8F">
      <w:pPr>
        <w:pStyle w:val="base-text-paragraph"/>
      </w:pPr>
      <w:r>
        <w:t>Commencement of these disclosure requirements was initially delayed until 1 July 2015 through the Australian Securities and Investments Commission (ASIC) Class Order CO14/443. The requirements were originally due to take effect from 31 December 2013. ASIC amended the Class Order on 1 May 2015, deferring the start for portfolio holdings disclosure reporting until 1 July 2016.</w:t>
      </w:r>
    </w:p>
    <w:p w14:paraId="716464AE" w14:textId="77777777" w:rsidR="00F45F8F" w:rsidRDefault="00F45F8F" w:rsidP="00F45F8F">
      <w:pPr>
        <w:pStyle w:val="base-text-paragraph"/>
      </w:pPr>
      <w:r>
        <w:t xml:space="preserve">Consultation on the current PHD obligations have indicated that there are significant compliance costs in collecting and collating data for all assets held indirectly (held by third parties). Concerns have also been raised by some superannuation funds about the requirement to disclose data, which relates to private equity investments, unlisted assets and other commercial in confidence arrangements. The amendments in this Bill will address the comments in the consultation and other concerns raised by industry   </w:t>
      </w:r>
    </w:p>
    <w:p w14:paraId="3377622B" w14:textId="77777777" w:rsidR="00F45F8F" w:rsidRDefault="00F45F8F" w:rsidP="00F45F8F">
      <w:pPr>
        <w:pStyle w:val="Heading2"/>
      </w:pPr>
      <w:r>
        <w:t>Summary of new law</w:t>
      </w:r>
    </w:p>
    <w:p w14:paraId="05FDE850" w14:textId="5452BA69" w:rsidR="00F45F8F" w:rsidRDefault="00F45F8F" w:rsidP="00F45F8F">
      <w:pPr>
        <w:pStyle w:val="base-text-paragraph"/>
      </w:pPr>
      <w:r>
        <w:t>The new law amends the existing portfolio holdings disclosure obligations in the Corporations Act. Two important changes are:</w:t>
      </w:r>
    </w:p>
    <w:p w14:paraId="78C5EC9F" w14:textId="4EF20892" w:rsidR="00F45F8F" w:rsidRDefault="00F45F8F" w:rsidP="00F45F8F">
      <w:pPr>
        <w:pStyle w:val="dotpoint"/>
      </w:pPr>
      <w:r>
        <w:t xml:space="preserve">The RSE must publish, for each of its </w:t>
      </w:r>
      <w:r w:rsidRPr="00534552">
        <w:t>investment option</w:t>
      </w:r>
      <w:r>
        <w:t>s</w:t>
      </w:r>
      <w:r w:rsidRPr="00534552">
        <w:t>,</w:t>
      </w:r>
      <w:r>
        <w:t xml:space="preserve"> information about the </w:t>
      </w:r>
      <w:r w:rsidRPr="00534552">
        <w:t xml:space="preserve">nature and value of financial products or other property that </w:t>
      </w:r>
      <w:r>
        <w:t>the RSE</w:t>
      </w:r>
      <w:r w:rsidRPr="00534552">
        <w:t>, or an associated entity</w:t>
      </w:r>
      <w:r>
        <w:t xml:space="preserve"> of the RSE</w:t>
      </w:r>
      <w:r w:rsidRPr="00534552">
        <w:t xml:space="preserve">, has </w:t>
      </w:r>
      <w:r>
        <w:t xml:space="preserve">directly </w:t>
      </w:r>
      <w:r w:rsidRPr="00534552">
        <w:t>invested in</w:t>
      </w:r>
      <w:r>
        <w:t>. The obligation to include information about financial products, or other property that non</w:t>
      </w:r>
      <w:r w:rsidR="006C2352">
        <w:noBreakHyphen/>
      </w:r>
      <w:r>
        <w:t xml:space="preserve">associated entities have directly invested in will be repealed; and </w:t>
      </w:r>
    </w:p>
    <w:p w14:paraId="5C138C5E" w14:textId="7953F1D9" w:rsidR="00F45F8F" w:rsidRDefault="00F45F8F" w:rsidP="00F45F8F">
      <w:pPr>
        <w:pStyle w:val="dotpoint"/>
      </w:pPr>
      <w:r>
        <w:t>The reporting obligations on parties to contracts and arrangements that acquire a financial product using the assets, or assets derived from asse</w:t>
      </w:r>
      <w:r w:rsidR="006C2352">
        <w:t>ts, of an RSE will be repealed.</w:t>
      </w:r>
    </w:p>
    <w:p w14:paraId="29D34B55" w14:textId="77777777" w:rsidR="006C2352" w:rsidRDefault="006C2352">
      <w:pPr>
        <w:spacing w:before="0" w:after="0"/>
      </w:pPr>
      <w:r>
        <w:br w:type="page"/>
      </w:r>
    </w:p>
    <w:p w14:paraId="1DAC62B8" w14:textId="33C864E4" w:rsidR="006C2352" w:rsidRDefault="006C2352" w:rsidP="006C2352">
      <w:pPr>
        <w:pStyle w:val="dotpoint"/>
        <w:numPr>
          <w:ilvl w:val="0"/>
          <w:numId w:val="0"/>
        </w:numPr>
      </w:pP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F45F8F" w:rsidRPr="004666B8" w14:paraId="77946394" w14:textId="77777777" w:rsidTr="006C2352">
        <w:trPr>
          <w:tblHeader/>
        </w:trPr>
        <w:tc>
          <w:tcPr>
            <w:tcW w:w="3275" w:type="dxa"/>
          </w:tcPr>
          <w:p w14:paraId="74FCCEAF" w14:textId="77777777" w:rsidR="00F45F8F" w:rsidRPr="004666B8" w:rsidRDefault="00F45F8F" w:rsidP="00F45F8F">
            <w:pPr>
              <w:pStyle w:val="tableheaderwithintable"/>
              <w:rPr>
                <w:lang w:val="en-US" w:eastAsia="en-US"/>
              </w:rPr>
            </w:pPr>
            <w:r w:rsidRPr="004666B8">
              <w:rPr>
                <w:lang w:val="en-US" w:eastAsia="en-US"/>
              </w:rPr>
              <w:t>New law</w:t>
            </w:r>
          </w:p>
        </w:tc>
        <w:tc>
          <w:tcPr>
            <w:tcW w:w="3276" w:type="dxa"/>
          </w:tcPr>
          <w:p w14:paraId="2191F5EE" w14:textId="77777777" w:rsidR="00F45F8F" w:rsidRPr="004666B8" w:rsidRDefault="00F45F8F" w:rsidP="00F45F8F">
            <w:pPr>
              <w:pStyle w:val="tableheaderwithintable"/>
              <w:rPr>
                <w:lang w:val="en-US" w:eastAsia="en-US"/>
              </w:rPr>
            </w:pPr>
            <w:r w:rsidRPr="004666B8">
              <w:rPr>
                <w:lang w:val="en-US" w:eastAsia="en-US"/>
              </w:rPr>
              <w:t>Current law</w:t>
            </w:r>
          </w:p>
        </w:tc>
      </w:tr>
      <w:tr w:rsidR="00F45F8F" w:rsidRPr="004666B8" w14:paraId="639C8983" w14:textId="77777777" w:rsidTr="00F45F8F">
        <w:tc>
          <w:tcPr>
            <w:tcW w:w="3275" w:type="dxa"/>
          </w:tcPr>
          <w:p w14:paraId="12BD26D8" w14:textId="77777777" w:rsidR="00F45F8F" w:rsidRPr="004666B8" w:rsidRDefault="00F45F8F" w:rsidP="00F45F8F">
            <w:pPr>
              <w:pStyle w:val="tabletext"/>
              <w:rPr>
                <w:lang w:val="en-US" w:eastAsia="en-US"/>
              </w:rPr>
            </w:pPr>
            <w:r w:rsidRPr="006267CF">
              <w:rPr>
                <w:lang w:val="en-US" w:eastAsia="en-US"/>
              </w:rPr>
              <w:t xml:space="preserve">RSEs </w:t>
            </w:r>
            <w:r>
              <w:rPr>
                <w:lang w:val="en-US" w:eastAsia="en-US"/>
              </w:rPr>
              <w:t>will be required to publish</w:t>
            </w:r>
            <w:r w:rsidRPr="006267CF">
              <w:rPr>
                <w:lang w:val="en-US" w:eastAsia="en-US"/>
              </w:rPr>
              <w:t xml:space="preserve">, for each of its investment options, </w:t>
            </w:r>
            <w:r>
              <w:rPr>
                <w:lang w:val="en-US" w:eastAsia="en-US"/>
              </w:rPr>
              <w:t xml:space="preserve">information about </w:t>
            </w:r>
            <w:r w:rsidRPr="006267CF">
              <w:rPr>
                <w:lang w:val="en-US" w:eastAsia="en-US"/>
              </w:rPr>
              <w:t>the nature and value of financial products or other property that it, or an associated entity, has invested in.</w:t>
            </w:r>
          </w:p>
        </w:tc>
        <w:tc>
          <w:tcPr>
            <w:tcW w:w="3276" w:type="dxa"/>
          </w:tcPr>
          <w:p w14:paraId="7D87EC87" w14:textId="2578CABD" w:rsidR="00F45F8F" w:rsidRPr="00E40703" w:rsidRDefault="00F45F8F" w:rsidP="00F45F8F">
            <w:pPr>
              <w:pStyle w:val="tabletext"/>
              <w:rPr>
                <w:lang w:val="en-US" w:eastAsia="en-US"/>
              </w:rPr>
            </w:pPr>
            <w:r w:rsidRPr="00E40703">
              <w:rPr>
                <w:lang w:val="en-US" w:eastAsia="en-US"/>
              </w:rPr>
              <w:t>RSE</w:t>
            </w:r>
            <w:r w:rsidR="006C2352">
              <w:rPr>
                <w:lang w:val="en-US" w:eastAsia="en-US"/>
              </w:rPr>
              <w:t>’</w:t>
            </w:r>
            <w:r>
              <w:rPr>
                <w:lang w:val="en-US" w:eastAsia="en-US"/>
              </w:rPr>
              <w:t xml:space="preserve">s </w:t>
            </w:r>
            <w:r w:rsidRPr="00E40703">
              <w:rPr>
                <w:lang w:val="en-US" w:eastAsia="en-US"/>
              </w:rPr>
              <w:t>are required to disclose information at the entity level to identify the nature and value of assets held directly, through associated entities and non</w:t>
            </w:r>
            <w:r w:rsidR="006C2352">
              <w:rPr>
                <w:lang w:val="en-US" w:eastAsia="en-US"/>
              </w:rPr>
              <w:noBreakHyphen/>
            </w:r>
            <w:r w:rsidRPr="00E40703">
              <w:rPr>
                <w:lang w:val="en-US" w:eastAsia="en-US"/>
              </w:rPr>
              <w:t>associated entities.</w:t>
            </w:r>
          </w:p>
          <w:p w14:paraId="628A02DB" w14:textId="77777777" w:rsidR="00F45F8F" w:rsidRPr="004666B8" w:rsidRDefault="00F45F8F" w:rsidP="00F45F8F">
            <w:pPr>
              <w:pStyle w:val="tabletext"/>
              <w:rPr>
                <w:lang w:val="en-US" w:eastAsia="en-US"/>
              </w:rPr>
            </w:pPr>
            <w:r>
              <w:rPr>
                <w:lang w:val="en-US" w:eastAsia="en-US"/>
              </w:rPr>
              <w:t xml:space="preserve">For </w:t>
            </w:r>
            <w:r w:rsidRPr="00E40703">
              <w:rPr>
                <w:lang w:val="en-US" w:eastAsia="en-US"/>
              </w:rPr>
              <w:t>MySuper products that have a lifecycle option, RSE</w:t>
            </w:r>
            <w:r w:rsidR="006C2352">
              <w:rPr>
                <w:lang w:val="en-US" w:eastAsia="en-US"/>
              </w:rPr>
              <w:t>’</w:t>
            </w:r>
            <w:r w:rsidRPr="00E40703">
              <w:rPr>
                <w:lang w:val="en-US" w:eastAsia="en-US"/>
              </w:rPr>
              <w:t xml:space="preserve">s </w:t>
            </w:r>
            <w:r>
              <w:rPr>
                <w:lang w:val="en-US" w:eastAsia="en-US"/>
              </w:rPr>
              <w:t xml:space="preserve">are </w:t>
            </w:r>
            <w:r w:rsidRPr="00E40703">
              <w:rPr>
                <w:lang w:val="en-US" w:eastAsia="en-US"/>
              </w:rPr>
              <w:t>required to provide assets held at each lifecycle stage.</w:t>
            </w:r>
          </w:p>
        </w:tc>
      </w:tr>
      <w:tr w:rsidR="00F45F8F" w:rsidRPr="004666B8" w14:paraId="0833E854" w14:textId="77777777" w:rsidTr="00F45F8F">
        <w:tc>
          <w:tcPr>
            <w:tcW w:w="3275" w:type="dxa"/>
          </w:tcPr>
          <w:p w14:paraId="07544D65" w14:textId="60297AEE" w:rsidR="00F45F8F" w:rsidRPr="004666B8" w:rsidRDefault="00F45F8F" w:rsidP="00F45F8F">
            <w:pPr>
              <w:pStyle w:val="tabletext"/>
              <w:rPr>
                <w:lang w:val="en-US" w:eastAsia="en-US"/>
              </w:rPr>
            </w:pPr>
            <w:r w:rsidRPr="00E40703">
              <w:rPr>
                <w:lang w:val="en-US" w:eastAsia="en-US"/>
              </w:rPr>
              <w:t>Information relating to the first investment in non</w:t>
            </w:r>
            <w:r w:rsidR="006C2352">
              <w:rPr>
                <w:lang w:val="en-US" w:eastAsia="en-US"/>
              </w:rPr>
              <w:noBreakHyphen/>
            </w:r>
            <w:r w:rsidRPr="00E40703">
              <w:rPr>
                <w:lang w:val="en-US" w:eastAsia="en-US"/>
              </w:rPr>
              <w:t>associated entities will need to be disclosed, assets held through non</w:t>
            </w:r>
            <w:r w:rsidR="006C2352">
              <w:rPr>
                <w:lang w:val="en-US" w:eastAsia="en-US"/>
              </w:rPr>
              <w:noBreakHyphen/>
            </w:r>
            <w:r w:rsidRPr="00E40703">
              <w:rPr>
                <w:lang w:val="en-US" w:eastAsia="en-US"/>
              </w:rPr>
              <w:t>associated entities will not be required to be disclosed.</w:t>
            </w:r>
          </w:p>
        </w:tc>
        <w:tc>
          <w:tcPr>
            <w:tcW w:w="3276" w:type="dxa"/>
          </w:tcPr>
          <w:p w14:paraId="4829D742" w14:textId="55E76EA7" w:rsidR="00F45F8F" w:rsidRPr="004666B8" w:rsidRDefault="00F45F8F" w:rsidP="00F45F8F">
            <w:pPr>
              <w:pStyle w:val="tabletext"/>
              <w:rPr>
                <w:lang w:val="en-US" w:eastAsia="en-US"/>
              </w:rPr>
            </w:pPr>
            <w:r w:rsidRPr="00E40703">
              <w:rPr>
                <w:lang w:val="en-US" w:eastAsia="en-US"/>
              </w:rPr>
              <w:t>Inform</w:t>
            </w:r>
            <w:r>
              <w:rPr>
                <w:lang w:val="en-US" w:eastAsia="en-US"/>
              </w:rPr>
              <w:t>ation on all investments held by</w:t>
            </w:r>
            <w:r w:rsidRPr="00E40703">
              <w:rPr>
                <w:lang w:val="en-US" w:eastAsia="en-US"/>
              </w:rPr>
              <w:t xml:space="preserve"> the RSE, </w:t>
            </w:r>
            <w:r>
              <w:rPr>
                <w:lang w:val="en-US" w:eastAsia="en-US"/>
              </w:rPr>
              <w:t xml:space="preserve">including both </w:t>
            </w:r>
            <w:r w:rsidRPr="00E40703">
              <w:rPr>
                <w:lang w:val="en-US" w:eastAsia="en-US"/>
              </w:rPr>
              <w:t>associated entities and non</w:t>
            </w:r>
            <w:r w:rsidR="006C2352">
              <w:rPr>
                <w:lang w:val="en-US" w:eastAsia="en-US"/>
              </w:rPr>
              <w:noBreakHyphen/>
            </w:r>
            <w:r w:rsidRPr="00E40703">
              <w:rPr>
                <w:lang w:val="en-US" w:eastAsia="en-US"/>
              </w:rPr>
              <w:t xml:space="preserve">associated entities </w:t>
            </w:r>
            <w:r>
              <w:rPr>
                <w:lang w:val="en-US" w:eastAsia="en-US"/>
              </w:rPr>
              <w:t>are</w:t>
            </w:r>
            <w:r w:rsidRPr="00E40703">
              <w:rPr>
                <w:lang w:val="en-US" w:eastAsia="en-US"/>
              </w:rPr>
              <w:t xml:space="preserve"> required to be disclosed</w:t>
            </w:r>
            <w:r>
              <w:rPr>
                <w:lang w:val="en-US" w:eastAsia="en-US"/>
              </w:rPr>
              <w:t>.</w:t>
            </w:r>
          </w:p>
        </w:tc>
      </w:tr>
      <w:tr w:rsidR="00F45F8F" w:rsidRPr="004666B8" w14:paraId="02534421" w14:textId="77777777" w:rsidTr="00F45F8F">
        <w:tc>
          <w:tcPr>
            <w:tcW w:w="3275" w:type="dxa"/>
            <w:vMerge w:val="restart"/>
          </w:tcPr>
          <w:p w14:paraId="117AB558" w14:textId="29FDC0D1" w:rsidR="00F45F8F" w:rsidRPr="004666B8" w:rsidRDefault="00F45F8F" w:rsidP="00F45F8F">
            <w:pPr>
              <w:pStyle w:val="tabletext"/>
              <w:rPr>
                <w:lang w:val="en-US" w:eastAsia="en-US"/>
              </w:rPr>
            </w:pPr>
            <w:r w:rsidRPr="00E40703">
              <w:rPr>
                <w:lang w:val="en-US" w:eastAsia="en-US"/>
              </w:rPr>
              <w:t>RSEs will be required to obtain sufficient information from associated entities in order to comply with their requirements</w:t>
            </w:r>
            <w:r w:rsidR="006C2352">
              <w:rPr>
                <w:lang w:val="en-US" w:eastAsia="en-US"/>
              </w:rPr>
              <w:t xml:space="preserve">. </w:t>
            </w:r>
          </w:p>
          <w:p w14:paraId="2B8B99A8" w14:textId="77777777" w:rsidR="00F45F8F" w:rsidRPr="004666B8" w:rsidRDefault="00F45F8F" w:rsidP="00F45F8F">
            <w:pPr>
              <w:pStyle w:val="tabletext"/>
              <w:rPr>
                <w:lang w:val="en-US" w:eastAsia="en-US"/>
              </w:rPr>
            </w:pPr>
          </w:p>
        </w:tc>
        <w:tc>
          <w:tcPr>
            <w:tcW w:w="3276" w:type="dxa"/>
          </w:tcPr>
          <w:p w14:paraId="25928DB6" w14:textId="77777777" w:rsidR="00F45F8F" w:rsidRPr="004666B8" w:rsidRDefault="00F45F8F" w:rsidP="00F45F8F">
            <w:pPr>
              <w:pStyle w:val="tabletext"/>
              <w:rPr>
                <w:lang w:val="en-US" w:eastAsia="en-US"/>
              </w:rPr>
            </w:pPr>
            <w:r w:rsidRPr="00E40703">
              <w:rPr>
                <w:lang w:val="en-US" w:eastAsia="en-US"/>
              </w:rPr>
              <w:t xml:space="preserve">A party acquiring a financial product from an associated entity using the assets of an RSE must provide notification that the financial product or assets is being acquired </w:t>
            </w:r>
            <w:r>
              <w:rPr>
                <w:lang w:val="en-US" w:eastAsia="en-US"/>
              </w:rPr>
              <w:t>using the funds of the RSE and s</w:t>
            </w:r>
            <w:r w:rsidRPr="00E40703">
              <w:rPr>
                <w:lang w:val="en-US" w:eastAsia="en-US"/>
              </w:rPr>
              <w:t>upply the details of the RSE</w:t>
            </w:r>
            <w:r>
              <w:rPr>
                <w:lang w:val="en-US" w:eastAsia="en-US"/>
              </w:rPr>
              <w:t>.</w:t>
            </w:r>
          </w:p>
        </w:tc>
      </w:tr>
      <w:tr w:rsidR="00F45F8F" w:rsidRPr="004666B8" w14:paraId="385D5F05" w14:textId="77777777" w:rsidTr="00F45F8F">
        <w:tc>
          <w:tcPr>
            <w:tcW w:w="3275" w:type="dxa"/>
            <w:vMerge/>
          </w:tcPr>
          <w:p w14:paraId="4F6964A1" w14:textId="77777777" w:rsidR="00F45F8F" w:rsidRPr="004666B8" w:rsidRDefault="00F45F8F" w:rsidP="00F45F8F">
            <w:pPr>
              <w:pStyle w:val="tabletext"/>
              <w:rPr>
                <w:lang w:val="en-US" w:eastAsia="en-US"/>
              </w:rPr>
            </w:pPr>
          </w:p>
        </w:tc>
        <w:tc>
          <w:tcPr>
            <w:tcW w:w="3276" w:type="dxa"/>
          </w:tcPr>
          <w:p w14:paraId="194648A3" w14:textId="77777777" w:rsidR="00F45F8F" w:rsidRPr="004666B8" w:rsidRDefault="00F45F8F" w:rsidP="00F45F8F">
            <w:pPr>
              <w:pStyle w:val="tabletext"/>
              <w:rPr>
                <w:lang w:val="en-US" w:eastAsia="en-US"/>
              </w:rPr>
            </w:pPr>
            <w:r w:rsidRPr="00E40703">
              <w:rPr>
                <w:lang w:val="en-US" w:eastAsia="en-US"/>
              </w:rPr>
              <w:t>Entities holding financial products acquired using the funds of an RSE are required to provide the RSE with information about the product being acquired and other products /property acquired using the assets of the RSE that are held by associated entities of the RSE. The entity will also have to notify the RSE about any other products/property acquired using the assets of the RSE that are held by associated entities of the RSE. The information has to be sufficient to enable the RSE trustee to satisfy the PHD regime requirements.</w:t>
            </w:r>
          </w:p>
        </w:tc>
      </w:tr>
      <w:tr w:rsidR="00F45F8F" w:rsidRPr="004666B8" w14:paraId="5D824B8E" w14:textId="77777777" w:rsidTr="00F45F8F">
        <w:tc>
          <w:tcPr>
            <w:tcW w:w="3275" w:type="dxa"/>
            <w:vMerge/>
          </w:tcPr>
          <w:p w14:paraId="7113196E" w14:textId="77777777" w:rsidR="00F45F8F" w:rsidRPr="004666B8" w:rsidRDefault="00F45F8F" w:rsidP="00F45F8F">
            <w:pPr>
              <w:pStyle w:val="tabletext"/>
              <w:rPr>
                <w:lang w:val="en-US" w:eastAsia="en-US"/>
              </w:rPr>
            </w:pPr>
          </w:p>
        </w:tc>
        <w:tc>
          <w:tcPr>
            <w:tcW w:w="3276" w:type="dxa"/>
          </w:tcPr>
          <w:p w14:paraId="04C39045" w14:textId="77777777" w:rsidR="00F45F8F" w:rsidRPr="004666B8" w:rsidRDefault="00F45F8F" w:rsidP="00F45F8F">
            <w:pPr>
              <w:pStyle w:val="tabletext"/>
              <w:rPr>
                <w:lang w:val="en-US" w:eastAsia="en-US"/>
              </w:rPr>
            </w:pPr>
            <w:r w:rsidRPr="00E40703">
              <w:rPr>
                <w:lang w:val="en-US" w:eastAsia="en-US"/>
              </w:rPr>
              <w:t xml:space="preserve">If purchased through an agent, the agent must notify the seller that the product being acquired using the funds of an RSE and </w:t>
            </w:r>
            <w:r>
              <w:rPr>
                <w:lang w:val="en-US" w:eastAsia="en-US"/>
              </w:rPr>
              <w:t>s</w:t>
            </w:r>
            <w:r w:rsidRPr="00E40703">
              <w:rPr>
                <w:lang w:val="en-US" w:eastAsia="en-US"/>
              </w:rPr>
              <w:t>upply the details of the RSE.</w:t>
            </w:r>
          </w:p>
        </w:tc>
      </w:tr>
    </w:tbl>
    <w:p w14:paraId="6A997208" w14:textId="77777777" w:rsidR="00F45F8F" w:rsidRDefault="00F45F8F" w:rsidP="00F45F8F">
      <w:pPr>
        <w:pStyle w:val="Heading2"/>
      </w:pPr>
      <w:r>
        <w:t>Detailed explanation of new law</w:t>
      </w:r>
    </w:p>
    <w:p w14:paraId="1BB888E1" w14:textId="77777777" w:rsidR="00F45F8F" w:rsidRPr="00F45F8F" w:rsidRDefault="00F45F8F" w:rsidP="00F45F8F">
      <w:pPr>
        <w:pStyle w:val="base-text-paragraph"/>
        <w:numPr>
          <w:ilvl w:val="0"/>
          <w:numId w:val="0"/>
        </w:numPr>
        <w:ind w:left="1134"/>
        <w:rPr>
          <w:i/>
        </w:rPr>
      </w:pPr>
      <w:r w:rsidRPr="00F45F8F">
        <w:rPr>
          <w:b/>
          <w:i/>
        </w:rPr>
        <w:t>Trustees must publish details of portfolio holdings</w:t>
      </w:r>
    </w:p>
    <w:p w14:paraId="1167EFC4" w14:textId="04C637CC" w:rsidR="00F45F8F" w:rsidRDefault="00F45F8F" w:rsidP="00F45F8F">
      <w:pPr>
        <w:pStyle w:val="base-text-paragraph"/>
      </w:pPr>
      <w:r>
        <w:t xml:space="preserve">RSE licensees will continue to have an obligation to make publicly available the details of their portfolio holdings twice annually </w:t>
      </w:r>
      <w:r w:rsidR="00DB7341">
        <w:t>(</w:t>
      </w:r>
      <w:r>
        <w:t>at each reporting day</w:t>
      </w:r>
      <w:r w:rsidR="00DB7341">
        <w:t>)</w:t>
      </w:r>
      <w:r>
        <w:t>, which will be 30 June and 31 December each year, by publishing this information on the fund</w:t>
      </w:r>
      <w:r w:rsidR="006C2352">
        <w:t>’</w:t>
      </w:r>
      <w:r>
        <w:t xml:space="preserve">s website within 90 days. </w:t>
      </w:r>
    </w:p>
    <w:p w14:paraId="5B65E561" w14:textId="77777777" w:rsidR="00F45F8F" w:rsidRDefault="00F45F8F" w:rsidP="006C2352">
      <w:pPr>
        <w:pStyle w:val="base-text-paragraph"/>
        <w:spacing w:after="0"/>
      </w:pPr>
      <w:r w:rsidRPr="00543D65">
        <w:t xml:space="preserve">The </w:t>
      </w:r>
      <w:r>
        <w:t>details published must cover information sufficient to identify, for each investment option offered by the RSE:</w:t>
      </w:r>
    </w:p>
    <w:p w14:paraId="6F1D9666" w14:textId="77777777" w:rsidR="00F45F8F" w:rsidRDefault="00F45F8F" w:rsidP="006C2352">
      <w:pPr>
        <w:pStyle w:val="dotpoint"/>
        <w:spacing w:after="0"/>
      </w:pPr>
      <w:r>
        <w:t xml:space="preserve">each financial product, or other property in in which the RSE, or an associated entity of the RSE has invested in;  and </w:t>
      </w:r>
    </w:p>
    <w:p w14:paraId="5D1FB0ED" w14:textId="77777777" w:rsidR="00F45F8F" w:rsidRDefault="00F45F8F" w:rsidP="006C2352">
      <w:pPr>
        <w:pStyle w:val="dotpoint"/>
        <w:spacing w:after="0"/>
      </w:pPr>
      <w:r>
        <w:t>the value of the investment in each financial product or other property.</w:t>
      </w:r>
    </w:p>
    <w:p w14:paraId="23D36744" w14:textId="77777777" w:rsidR="00F45F8F" w:rsidRDefault="00F45F8F" w:rsidP="00F45F8F">
      <w:pPr>
        <w:pStyle w:val="dotpoint"/>
        <w:numPr>
          <w:ilvl w:val="0"/>
          <w:numId w:val="0"/>
        </w:numPr>
        <w:ind w:left="1984"/>
        <w:rPr>
          <w:rStyle w:val="Referencingstyle"/>
        </w:rPr>
      </w:pPr>
      <w:r>
        <w:rPr>
          <w:rStyle w:val="Referencingstyle"/>
        </w:rPr>
        <w:t>[</w:t>
      </w:r>
      <w:r w:rsidRPr="003B7EDC">
        <w:rPr>
          <w:rStyle w:val="Referencingstyle"/>
        </w:rPr>
        <w:t>Schedule #, i</w:t>
      </w:r>
      <w:r>
        <w:rPr>
          <w:rStyle w:val="Referencingstyle"/>
        </w:rPr>
        <w:t xml:space="preserve">tem 1, </w:t>
      </w:r>
      <w:r w:rsidRPr="00543D65">
        <w:rPr>
          <w:rStyle w:val="Referencingstyle"/>
        </w:rPr>
        <w:t>paragraph 1017BB(1)(a) and  paragraph 1017BB(1)(b)]</w:t>
      </w:r>
    </w:p>
    <w:p w14:paraId="002D5627" w14:textId="435744EE" w:rsidR="00F45F8F" w:rsidRDefault="00F45F8F" w:rsidP="00F45F8F">
      <w:pPr>
        <w:pStyle w:val="base-text-paragraph"/>
        <w:rPr>
          <w:rStyle w:val="Referencingstyle"/>
          <w:b w:val="0"/>
          <w:i w:val="0"/>
          <w:sz w:val="22"/>
        </w:rPr>
      </w:pPr>
      <w:r>
        <w:rPr>
          <w:rStyle w:val="Referencingstyle"/>
          <w:b w:val="0"/>
          <w:i w:val="0"/>
          <w:sz w:val="22"/>
        </w:rPr>
        <w:t>The disclosure of a fund</w:t>
      </w:r>
      <w:r w:rsidR="006C2352">
        <w:rPr>
          <w:rStyle w:val="Referencingstyle"/>
          <w:b w:val="0"/>
          <w:i w:val="0"/>
          <w:sz w:val="22"/>
        </w:rPr>
        <w:t>’</w:t>
      </w:r>
      <w:r>
        <w:rPr>
          <w:rStyle w:val="Referencingstyle"/>
          <w:b w:val="0"/>
          <w:i w:val="0"/>
          <w:sz w:val="22"/>
        </w:rPr>
        <w:t xml:space="preserve">s portfolio holdings will provide its members with additional information in respect to where their member contributions are being directed. It is expected that given the detailed nature of the information required to be disclosed, financial analysts will disseminate the information to facilitate increased useability of the disclosed information. </w:t>
      </w:r>
    </w:p>
    <w:p w14:paraId="664EBD5A" w14:textId="5E33F9A2" w:rsidR="00F45F8F" w:rsidRPr="00F45F8F" w:rsidRDefault="00F45F8F" w:rsidP="00F45F8F">
      <w:pPr>
        <w:pStyle w:val="base-text-paragraph"/>
      </w:pPr>
      <w:r>
        <w:rPr>
          <w:rStyle w:val="Referencingstyle"/>
          <w:b w:val="0"/>
          <w:i w:val="0"/>
          <w:sz w:val="22"/>
        </w:rPr>
        <w:t xml:space="preserve">Importantly, while the RSE must disclose </w:t>
      </w:r>
      <w:r w:rsidRPr="00E40703">
        <w:rPr>
          <w:lang w:val="en-US" w:eastAsia="en-US"/>
        </w:rPr>
        <w:t xml:space="preserve">information </w:t>
      </w:r>
      <w:r>
        <w:rPr>
          <w:lang w:val="en-US" w:eastAsia="en-US"/>
        </w:rPr>
        <w:t>about an RSE, or an associate of the RSE</w:t>
      </w:r>
      <w:r w:rsidR="006C2352">
        <w:rPr>
          <w:lang w:val="en-US" w:eastAsia="en-US"/>
        </w:rPr>
        <w:t>’</w:t>
      </w:r>
      <w:r>
        <w:rPr>
          <w:lang w:val="en-US" w:eastAsia="en-US"/>
        </w:rPr>
        <w:t xml:space="preserve">s, </w:t>
      </w:r>
      <w:r w:rsidRPr="00E40703">
        <w:rPr>
          <w:lang w:val="en-US" w:eastAsia="en-US"/>
        </w:rPr>
        <w:t xml:space="preserve">investment in </w:t>
      </w:r>
      <w:r>
        <w:rPr>
          <w:lang w:val="en-US" w:eastAsia="en-US"/>
        </w:rPr>
        <w:t xml:space="preserve">a </w:t>
      </w:r>
      <w:r w:rsidRPr="00E40703">
        <w:rPr>
          <w:lang w:val="en-US" w:eastAsia="en-US"/>
        </w:rPr>
        <w:t>non</w:t>
      </w:r>
      <w:r w:rsidR="006C2352">
        <w:rPr>
          <w:lang w:val="en-US" w:eastAsia="en-US"/>
        </w:rPr>
        <w:noBreakHyphen/>
      </w:r>
      <w:r w:rsidRPr="00E40703">
        <w:rPr>
          <w:lang w:val="en-US" w:eastAsia="en-US"/>
        </w:rPr>
        <w:t xml:space="preserve">associated entity, </w:t>
      </w:r>
      <w:r>
        <w:rPr>
          <w:lang w:val="en-US" w:eastAsia="en-US"/>
        </w:rPr>
        <w:t xml:space="preserve">it does not need to disclose information about the investments of </w:t>
      </w:r>
      <w:r w:rsidRPr="00E40703">
        <w:rPr>
          <w:lang w:val="en-US" w:eastAsia="en-US"/>
        </w:rPr>
        <w:t>non</w:t>
      </w:r>
      <w:r w:rsidR="006C2352">
        <w:rPr>
          <w:lang w:val="en-US" w:eastAsia="en-US"/>
        </w:rPr>
        <w:noBreakHyphen/>
      </w:r>
      <w:r w:rsidRPr="00E40703">
        <w:rPr>
          <w:lang w:val="en-US" w:eastAsia="en-US"/>
        </w:rPr>
        <w:t>associated entities.</w:t>
      </w:r>
    </w:p>
    <w:p w14:paraId="75C325D2" w14:textId="77777777" w:rsidR="00F45F8F" w:rsidRDefault="00F45F8F" w:rsidP="00F45F8F">
      <w:pPr>
        <w:pStyle w:val="base-text-paragraph"/>
      </w:pPr>
      <w:r>
        <w:t>As required under the existing law the RSE must ensure that the information:</w:t>
      </w:r>
    </w:p>
    <w:p w14:paraId="5A8EE8BE" w14:textId="7DA792F1" w:rsidR="00F45F8F" w:rsidRDefault="00F45F8F" w:rsidP="00F45F8F">
      <w:pPr>
        <w:pStyle w:val="dotpoint"/>
      </w:pPr>
      <w:r>
        <w:t>continues to be made publicly available on the RSE</w:t>
      </w:r>
      <w:r w:rsidR="006C2352">
        <w:t>’</w:t>
      </w:r>
      <w:r>
        <w:t>s website until it makes the information pertaining to the next reporting period publicly available (subsection 1017BB(2)).</w:t>
      </w:r>
    </w:p>
    <w:p w14:paraId="378399D0" w14:textId="77777777" w:rsidR="00F45F8F" w:rsidRDefault="00F45F8F" w:rsidP="00F45F8F">
      <w:pPr>
        <w:pStyle w:val="dotpoint"/>
      </w:pPr>
      <w:r>
        <w:t>is organised in accordance with the regulations.</w:t>
      </w:r>
      <w:r w:rsidRPr="00633437">
        <w:t xml:space="preserve"> </w:t>
      </w:r>
      <w:r>
        <w:t>(subsection 1017BB(3))</w:t>
      </w:r>
    </w:p>
    <w:p w14:paraId="4EB0A3C4" w14:textId="0197427A" w:rsidR="00F45F8F" w:rsidRDefault="00F45F8F" w:rsidP="00F45F8F">
      <w:pPr>
        <w:pStyle w:val="ExampleHeading"/>
      </w:pPr>
    </w:p>
    <w:p w14:paraId="698782EC" w14:textId="77777777" w:rsidR="00F45F8F" w:rsidRDefault="00F45F8F" w:rsidP="00F45F8F">
      <w:pPr>
        <w:pStyle w:val="ExampleHeading"/>
        <w:numPr>
          <w:ilvl w:val="0"/>
          <w:numId w:val="0"/>
        </w:numPr>
        <w:ind w:left="1134"/>
      </w:pPr>
      <w:r w:rsidRPr="003A02F1">
        <w:t>PHD REGIME REQUIREMENTS FOR TOP SUPER</w:t>
      </w:r>
      <w:r w:rsidR="006C2352">
        <w:t>’</w:t>
      </w:r>
      <w:r w:rsidRPr="003A02F1">
        <w:t>S HIGH GROWTH FUND</w:t>
      </w:r>
    </w:p>
    <w:p w14:paraId="0EB68715" w14:textId="77777777" w:rsidR="00F45F8F" w:rsidRDefault="00F45F8F" w:rsidP="00F45F8F">
      <w:pPr>
        <w:pStyle w:val="Diagram"/>
      </w:pPr>
    </w:p>
    <w:p w14:paraId="0B68E0F6" w14:textId="77777777" w:rsidR="00F45F8F" w:rsidRPr="003A02F1" w:rsidRDefault="00F45F8F" w:rsidP="00F45F8F">
      <w:pPr>
        <w:pStyle w:val="base-text-paragraphnonumbers"/>
      </w:pPr>
      <w:r w:rsidRPr="007765CC">
        <w:rPr>
          <w:noProof/>
        </w:rPr>
        <w:drawing>
          <wp:inline distT="0" distB="0" distL="0" distR="0" wp14:anchorId="5F79CC7C" wp14:editId="622BC635">
            <wp:extent cx="3432680" cy="3886200"/>
            <wp:effectExtent l="0" t="0" r="0" b="0"/>
            <wp:docPr id="150" name="Picture 150" descr="Diagram 2.1 and the text below provide a practical understanding of how the new PHD regime requirements will apply to a typical superannuation product. " title="Diagra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432680" cy="3886200"/>
                    </a:xfrm>
                    <a:prstGeom prst="rect">
                      <a:avLst/>
                    </a:prstGeom>
                    <a:noFill/>
                    <a:ln>
                      <a:noFill/>
                    </a:ln>
                  </pic:spPr>
                </pic:pic>
              </a:graphicData>
            </a:graphic>
          </wp:inline>
        </w:drawing>
      </w:r>
    </w:p>
    <w:p w14:paraId="518AF6E9" w14:textId="77777777" w:rsidR="00F45F8F" w:rsidRDefault="00F45F8F" w:rsidP="00340FDE">
      <w:pPr>
        <w:pStyle w:val="exampletext"/>
        <w:spacing w:after="60"/>
      </w:pPr>
      <w:r>
        <w:t xml:space="preserve">Top super has directed $100 million of its member contributions into its High Growth Fund investment option. </w:t>
      </w:r>
    </w:p>
    <w:p w14:paraId="5B2F35AA" w14:textId="77777777" w:rsidR="00F45F8F" w:rsidRDefault="00F45F8F" w:rsidP="00340FDE">
      <w:pPr>
        <w:pStyle w:val="exampletext"/>
        <w:spacing w:after="40"/>
      </w:pPr>
      <w:r>
        <w:t>High Growth Fund subsequently directed the $100 million as follows:</w:t>
      </w:r>
    </w:p>
    <w:p w14:paraId="3D2A9F9D" w14:textId="77777777" w:rsidR="00F45F8F" w:rsidRDefault="00F45F8F" w:rsidP="00340FDE">
      <w:pPr>
        <w:pStyle w:val="exampledotpoint1"/>
        <w:spacing w:after="40"/>
      </w:pPr>
      <w:r>
        <w:t>$10 million in shares WYE;</w:t>
      </w:r>
    </w:p>
    <w:p w14:paraId="273A103F" w14:textId="77777777" w:rsidR="00F45F8F" w:rsidRDefault="00F45F8F" w:rsidP="00340FDE">
      <w:pPr>
        <w:pStyle w:val="exampledotpoint1"/>
        <w:spacing w:after="40"/>
      </w:pPr>
      <w:r>
        <w:t xml:space="preserve">$20 million in Government bonds; </w:t>
      </w:r>
    </w:p>
    <w:p w14:paraId="798DFBED" w14:textId="77777777" w:rsidR="00F45F8F" w:rsidRDefault="00F45F8F" w:rsidP="00340FDE">
      <w:pPr>
        <w:pStyle w:val="exampledotpoint1"/>
        <w:spacing w:after="40"/>
      </w:pPr>
      <w:r>
        <w:t>$50  million in Eagles Six Corp (an associated managed investment scheme); and</w:t>
      </w:r>
    </w:p>
    <w:p w14:paraId="5706B865" w14:textId="5878EF2F" w:rsidR="00F45F8F" w:rsidRDefault="00F45F8F" w:rsidP="00F45F8F">
      <w:pPr>
        <w:pStyle w:val="exampledotpoint1"/>
      </w:pPr>
      <w:r>
        <w:t>$20 million in Nestar Holdings (a non</w:t>
      </w:r>
      <w:r w:rsidR="006C2352">
        <w:noBreakHyphen/>
      </w:r>
      <w:r>
        <w:t xml:space="preserve">associated managed investment scheme). </w:t>
      </w:r>
    </w:p>
    <w:p w14:paraId="37DCD9ED" w14:textId="77777777" w:rsidR="00F45F8F" w:rsidRDefault="00F45F8F" w:rsidP="00340FDE">
      <w:pPr>
        <w:pStyle w:val="exampletext"/>
        <w:keepNext/>
        <w:spacing w:after="40"/>
      </w:pPr>
      <w:r>
        <w:t>Subsequently:</w:t>
      </w:r>
    </w:p>
    <w:p w14:paraId="2EA12DC5" w14:textId="793794AE" w:rsidR="00F45F8F" w:rsidRDefault="00F45F8F" w:rsidP="00340FDE">
      <w:pPr>
        <w:pStyle w:val="exampledotpoint1"/>
        <w:spacing w:after="40"/>
      </w:pPr>
      <w:r>
        <w:t>Eagles Corporation directed $20 million (of the $50 million) into Atar Limited (an associated entity) and $30 million in Prodime Corporation (a non</w:t>
      </w:r>
      <w:r w:rsidR="006C2352">
        <w:noBreakHyphen/>
      </w:r>
      <w:r>
        <w:t xml:space="preserve">associated entity); and </w:t>
      </w:r>
    </w:p>
    <w:p w14:paraId="78659BC8" w14:textId="77777777" w:rsidR="00F45F8F" w:rsidRDefault="00F45F8F" w:rsidP="00F45F8F">
      <w:pPr>
        <w:pStyle w:val="exampledotpoint1"/>
      </w:pPr>
      <w:r>
        <w:t>Nestar Holdings directed $20 million in shares KPF.</w:t>
      </w:r>
    </w:p>
    <w:p w14:paraId="6D1630DA" w14:textId="77777777" w:rsidR="00F45F8F" w:rsidRDefault="00F45F8F" w:rsidP="00340FDE">
      <w:pPr>
        <w:pStyle w:val="exampletext"/>
        <w:spacing w:after="40"/>
      </w:pPr>
      <w:r>
        <w:t>Finally:</w:t>
      </w:r>
    </w:p>
    <w:p w14:paraId="075D1C4D" w14:textId="77777777" w:rsidR="00F45F8F" w:rsidRDefault="00F45F8F" w:rsidP="00340FDE">
      <w:pPr>
        <w:pStyle w:val="exampledotpoint1"/>
        <w:spacing w:after="40"/>
      </w:pPr>
      <w:r>
        <w:t xml:space="preserve">Atar Limited directed $20 million in shares WJL; and </w:t>
      </w:r>
    </w:p>
    <w:p w14:paraId="1A136841" w14:textId="77777777" w:rsidR="00F45F8F" w:rsidRDefault="00F45F8F" w:rsidP="00340FDE">
      <w:pPr>
        <w:pStyle w:val="exampledotpoint1"/>
        <w:spacing w:after="60"/>
      </w:pPr>
      <w:r>
        <w:t xml:space="preserve">Prodime Corporation directed $30 million into the Westbank Estate commercial property. </w:t>
      </w:r>
    </w:p>
    <w:p w14:paraId="75933484" w14:textId="77777777" w:rsidR="00F45F8F" w:rsidRDefault="00F45F8F" w:rsidP="00340FDE">
      <w:pPr>
        <w:pStyle w:val="Heading4"/>
        <w:spacing w:after="0"/>
      </w:pPr>
      <w:r>
        <w:t>PHD regime requirements</w:t>
      </w:r>
    </w:p>
    <w:p w14:paraId="1BF41FAE" w14:textId="5101B9D3" w:rsidR="00F45F8F" w:rsidRPr="00EE3795" w:rsidRDefault="00F45F8F" w:rsidP="00340FDE">
      <w:pPr>
        <w:pStyle w:val="exampletext"/>
        <w:ind w:left="1134"/>
      </w:pPr>
      <w:r>
        <w:t xml:space="preserve">The table below sets out the disclosure requirements for the financial products and other property that Top Super has allocated to High Growth Fund. </w:t>
      </w:r>
    </w:p>
    <w:tbl>
      <w:tblPr>
        <w:tblStyle w:val="TableGrid"/>
        <w:tblW w:w="6611" w:type="dxa"/>
        <w:tblInd w:w="1101" w:type="dxa"/>
        <w:tblCellMar>
          <w:left w:w="57" w:type="dxa"/>
          <w:right w:w="57" w:type="dxa"/>
        </w:tblCellMar>
        <w:tblLook w:val="04A0" w:firstRow="1" w:lastRow="0" w:firstColumn="1" w:lastColumn="0" w:noHBand="0" w:noVBand="1"/>
      </w:tblPr>
      <w:tblGrid>
        <w:gridCol w:w="2642"/>
        <w:gridCol w:w="992"/>
        <w:gridCol w:w="2977"/>
      </w:tblGrid>
      <w:tr w:rsidR="00F45F8F" w:rsidRPr="00E9400F" w14:paraId="753B394E" w14:textId="77777777" w:rsidTr="00340FDE">
        <w:trPr>
          <w:tblHeader/>
        </w:trPr>
        <w:tc>
          <w:tcPr>
            <w:tcW w:w="2642" w:type="dxa"/>
          </w:tcPr>
          <w:p w14:paraId="7F70148C" w14:textId="120925E2" w:rsidR="00F45F8F" w:rsidRPr="00AC7295" w:rsidRDefault="00F45F8F" w:rsidP="00340FDE">
            <w:pPr>
              <w:pStyle w:val="tableheaderwithintable"/>
              <w:spacing w:before="20" w:after="20"/>
              <w:jc w:val="left"/>
            </w:pPr>
            <w:r w:rsidRPr="00AC7295">
              <w:t xml:space="preserve">Financial </w:t>
            </w:r>
            <w:r w:rsidR="00340FDE">
              <w:t>p</w:t>
            </w:r>
            <w:r w:rsidRPr="00AC7295">
              <w:t>roduct/</w:t>
            </w:r>
            <w:r w:rsidR="00340FDE">
              <w:t>p</w:t>
            </w:r>
            <w:r w:rsidRPr="00AC7295">
              <w:t xml:space="preserve">roperty </w:t>
            </w:r>
          </w:p>
        </w:tc>
        <w:tc>
          <w:tcPr>
            <w:tcW w:w="992" w:type="dxa"/>
          </w:tcPr>
          <w:p w14:paraId="09D143DC" w14:textId="77777777" w:rsidR="00F45F8F" w:rsidRPr="00AC7295" w:rsidRDefault="00F45F8F" w:rsidP="00340FDE">
            <w:pPr>
              <w:pStyle w:val="tableheaderwithintable"/>
              <w:spacing w:before="20" w:after="20"/>
              <w:jc w:val="left"/>
            </w:pPr>
            <w:r w:rsidRPr="00AC7295">
              <w:t>Disclosure required?</w:t>
            </w:r>
          </w:p>
        </w:tc>
        <w:tc>
          <w:tcPr>
            <w:tcW w:w="2977" w:type="dxa"/>
          </w:tcPr>
          <w:p w14:paraId="3C251248" w14:textId="77777777" w:rsidR="00F45F8F" w:rsidRPr="00AC7295" w:rsidRDefault="00F45F8F" w:rsidP="00340FDE">
            <w:pPr>
              <w:pStyle w:val="tableheaderwithintable"/>
              <w:spacing w:before="20" w:after="20"/>
              <w:jc w:val="left"/>
            </w:pPr>
            <w:r w:rsidRPr="00AC7295">
              <w:t xml:space="preserve">Reason </w:t>
            </w:r>
          </w:p>
        </w:tc>
      </w:tr>
      <w:tr w:rsidR="00F45F8F" w:rsidRPr="00E9400F" w14:paraId="0322FF0D" w14:textId="77777777" w:rsidTr="00340FDE">
        <w:tc>
          <w:tcPr>
            <w:tcW w:w="2642" w:type="dxa"/>
          </w:tcPr>
          <w:p w14:paraId="7C126DC7" w14:textId="77777777" w:rsidR="00F45F8F" w:rsidRPr="00340FDE" w:rsidRDefault="00F45F8F" w:rsidP="00340FDE">
            <w:pPr>
              <w:pStyle w:val="tabletext"/>
              <w:spacing w:after="20"/>
              <w:ind w:left="34"/>
              <w:rPr>
                <w:b/>
              </w:rPr>
            </w:pPr>
            <w:r w:rsidRPr="00340FDE">
              <w:rPr>
                <w:b/>
              </w:rPr>
              <w:t>Shares in WYE</w:t>
            </w:r>
          </w:p>
          <w:p w14:paraId="6A0A62A7" w14:textId="77777777" w:rsidR="00F45F8F" w:rsidRPr="00AC7295" w:rsidRDefault="00F45F8F" w:rsidP="00340FDE">
            <w:pPr>
              <w:pStyle w:val="tabletext"/>
              <w:spacing w:after="20"/>
              <w:ind w:left="34"/>
            </w:pPr>
            <w:r w:rsidRPr="00AC7295">
              <w:t xml:space="preserve">$10 million </w:t>
            </w:r>
          </w:p>
        </w:tc>
        <w:tc>
          <w:tcPr>
            <w:tcW w:w="992" w:type="dxa"/>
          </w:tcPr>
          <w:p w14:paraId="2B778825" w14:textId="77777777" w:rsidR="00F45F8F" w:rsidRPr="00AC7295" w:rsidRDefault="00F45F8F" w:rsidP="00340FDE">
            <w:pPr>
              <w:pStyle w:val="tabletext"/>
              <w:spacing w:after="20"/>
              <w:ind w:left="37"/>
            </w:pPr>
            <w:r w:rsidRPr="00AC7295">
              <w:t>Yes</w:t>
            </w:r>
          </w:p>
        </w:tc>
        <w:tc>
          <w:tcPr>
            <w:tcW w:w="2977" w:type="dxa"/>
          </w:tcPr>
          <w:p w14:paraId="23AEC75D" w14:textId="77777777" w:rsidR="00F45F8F" w:rsidRPr="00F454DF" w:rsidRDefault="00F45F8F" w:rsidP="00340FDE">
            <w:pPr>
              <w:pStyle w:val="tabletext"/>
              <w:spacing w:after="20"/>
              <w:ind w:left="119"/>
            </w:pPr>
            <w:r w:rsidRPr="00AC7295">
              <w:t xml:space="preserve">Top Super </w:t>
            </w:r>
            <w:r>
              <w:t>directly invested in</w:t>
            </w:r>
            <w:r w:rsidRPr="008A45DA">
              <w:t xml:space="preserve"> </w:t>
            </w:r>
            <w:r w:rsidRPr="00F454DF">
              <w:t>CBA shares.</w:t>
            </w:r>
          </w:p>
        </w:tc>
      </w:tr>
      <w:tr w:rsidR="00F45F8F" w:rsidRPr="00E9400F" w14:paraId="78214481" w14:textId="77777777" w:rsidTr="00340FDE">
        <w:tc>
          <w:tcPr>
            <w:tcW w:w="2642" w:type="dxa"/>
          </w:tcPr>
          <w:p w14:paraId="709F350A" w14:textId="77777777" w:rsidR="00F45F8F" w:rsidRPr="00340FDE" w:rsidRDefault="00F45F8F" w:rsidP="00340FDE">
            <w:pPr>
              <w:pStyle w:val="tabletext"/>
              <w:spacing w:after="20"/>
              <w:ind w:left="34"/>
              <w:rPr>
                <w:b/>
              </w:rPr>
            </w:pPr>
            <w:r w:rsidRPr="00340FDE">
              <w:rPr>
                <w:b/>
              </w:rPr>
              <w:t>Eagle Six Corp MIS</w:t>
            </w:r>
          </w:p>
          <w:p w14:paraId="26C2BDFE" w14:textId="77777777" w:rsidR="00F45F8F" w:rsidRPr="00AC7295" w:rsidRDefault="00F45F8F" w:rsidP="00340FDE">
            <w:pPr>
              <w:pStyle w:val="tabletext"/>
              <w:spacing w:after="20"/>
              <w:ind w:left="34"/>
            </w:pPr>
            <w:r w:rsidRPr="00AC7295">
              <w:t>$50 million</w:t>
            </w:r>
          </w:p>
        </w:tc>
        <w:tc>
          <w:tcPr>
            <w:tcW w:w="992" w:type="dxa"/>
          </w:tcPr>
          <w:p w14:paraId="17FF7F56" w14:textId="77777777" w:rsidR="00F45F8F" w:rsidRPr="00AC7295" w:rsidRDefault="00F45F8F" w:rsidP="00340FDE">
            <w:pPr>
              <w:pStyle w:val="tabletext"/>
              <w:spacing w:after="20"/>
              <w:ind w:left="37"/>
            </w:pPr>
            <w:r w:rsidRPr="00AC7295">
              <w:t>Yes</w:t>
            </w:r>
          </w:p>
        </w:tc>
        <w:tc>
          <w:tcPr>
            <w:tcW w:w="2977" w:type="dxa"/>
          </w:tcPr>
          <w:p w14:paraId="3FC4B359" w14:textId="77777777" w:rsidR="00F45F8F" w:rsidRPr="00F454DF" w:rsidRDefault="00F45F8F" w:rsidP="00340FDE">
            <w:pPr>
              <w:pStyle w:val="tabletext"/>
              <w:spacing w:after="20"/>
              <w:ind w:left="119"/>
            </w:pPr>
            <w:r w:rsidRPr="00AC7295">
              <w:t>Top Super</w:t>
            </w:r>
            <w:r w:rsidRPr="008A45DA">
              <w:t xml:space="preserve"> </w:t>
            </w:r>
            <w:r>
              <w:t xml:space="preserve">directly </w:t>
            </w:r>
            <w:r w:rsidRPr="00F454DF">
              <w:t xml:space="preserve">invested in Eagle Corporation MIS. </w:t>
            </w:r>
          </w:p>
        </w:tc>
      </w:tr>
      <w:tr w:rsidR="00F45F8F" w:rsidRPr="00E9400F" w14:paraId="3231A6E8" w14:textId="77777777" w:rsidTr="00340FDE">
        <w:tc>
          <w:tcPr>
            <w:tcW w:w="2642" w:type="dxa"/>
          </w:tcPr>
          <w:p w14:paraId="2F4E0DA3" w14:textId="77777777" w:rsidR="00F45F8F" w:rsidRPr="00340FDE" w:rsidRDefault="00F45F8F" w:rsidP="00340FDE">
            <w:pPr>
              <w:pStyle w:val="tabletext"/>
              <w:spacing w:after="20"/>
              <w:ind w:left="34"/>
              <w:rPr>
                <w:b/>
              </w:rPr>
            </w:pPr>
            <w:r w:rsidRPr="00340FDE">
              <w:rPr>
                <w:b/>
              </w:rPr>
              <w:t>Atar Ltd</w:t>
            </w:r>
          </w:p>
          <w:p w14:paraId="606DFAF5" w14:textId="2A94F9C8" w:rsidR="00F45F8F" w:rsidRPr="00AC7295" w:rsidRDefault="00340FDE" w:rsidP="00340FDE">
            <w:pPr>
              <w:pStyle w:val="tabletext"/>
              <w:spacing w:after="20"/>
              <w:ind w:left="34"/>
            </w:pPr>
            <w:r>
              <w:t>$20 million (of the $50 </w:t>
            </w:r>
            <w:r w:rsidR="00F45F8F" w:rsidRPr="00AC7295">
              <w:t>million invested in Eagle Corp MIS)</w:t>
            </w:r>
          </w:p>
        </w:tc>
        <w:tc>
          <w:tcPr>
            <w:tcW w:w="992" w:type="dxa"/>
          </w:tcPr>
          <w:p w14:paraId="7641738D" w14:textId="77777777" w:rsidR="00F45F8F" w:rsidRPr="00AC7295" w:rsidRDefault="00F45F8F" w:rsidP="00340FDE">
            <w:pPr>
              <w:pStyle w:val="tabletext"/>
              <w:spacing w:after="20"/>
              <w:ind w:left="37"/>
            </w:pPr>
            <w:r w:rsidRPr="00AC7295">
              <w:t xml:space="preserve">Yes </w:t>
            </w:r>
          </w:p>
        </w:tc>
        <w:tc>
          <w:tcPr>
            <w:tcW w:w="2977" w:type="dxa"/>
          </w:tcPr>
          <w:p w14:paraId="7BA2DE28" w14:textId="00B3E393" w:rsidR="00F45F8F" w:rsidRPr="00AC7295" w:rsidRDefault="00F45F8F" w:rsidP="00340FDE">
            <w:pPr>
              <w:pStyle w:val="tabletext"/>
              <w:spacing w:after="20"/>
              <w:ind w:left="119"/>
            </w:pPr>
            <w:r w:rsidRPr="00AC7295">
              <w:t xml:space="preserve">Eagle Corp MIS, an associated entity of Top Super </w:t>
            </w:r>
            <w:r>
              <w:t xml:space="preserve">directly </w:t>
            </w:r>
            <w:r w:rsidRPr="00F454DF">
              <w:t xml:space="preserve">invested in Atar Ltd. </w:t>
            </w:r>
          </w:p>
        </w:tc>
      </w:tr>
      <w:tr w:rsidR="00F45F8F" w:rsidRPr="00E9400F" w14:paraId="31ABFB36" w14:textId="77777777" w:rsidTr="00340FDE">
        <w:tc>
          <w:tcPr>
            <w:tcW w:w="2642" w:type="dxa"/>
          </w:tcPr>
          <w:p w14:paraId="35DCEE38" w14:textId="77777777" w:rsidR="00F45F8F" w:rsidRPr="00340FDE" w:rsidRDefault="00F45F8F" w:rsidP="00340FDE">
            <w:pPr>
              <w:pStyle w:val="tabletext"/>
              <w:spacing w:after="20"/>
              <w:ind w:left="34"/>
              <w:rPr>
                <w:b/>
              </w:rPr>
            </w:pPr>
            <w:r w:rsidRPr="00340FDE">
              <w:rPr>
                <w:b/>
              </w:rPr>
              <w:t>Shares in WJL</w:t>
            </w:r>
          </w:p>
          <w:p w14:paraId="77ABAF4F" w14:textId="7C09334D" w:rsidR="00F45F8F" w:rsidRPr="00AC7295" w:rsidRDefault="00340FDE" w:rsidP="00340FDE">
            <w:pPr>
              <w:pStyle w:val="tabletext"/>
              <w:spacing w:after="20"/>
              <w:ind w:left="34"/>
            </w:pPr>
            <w:r>
              <w:t>$20 million (of the $20 </w:t>
            </w:r>
            <w:r w:rsidR="00F45F8F" w:rsidRPr="00AC7295">
              <w:t xml:space="preserve">million invested in Atar Ltd) </w:t>
            </w:r>
          </w:p>
        </w:tc>
        <w:tc>
          <w:tcPr>
            <w:tcW w:w="992" w:type="dxa"/>
          </w:tcPr>
          <w:p w14:paraId="10716928" w14:textId="77777777" w:rsidR="00F45F8F" w:rsidRPr="00AC7295" w:rsidRDefault="00F45F8F" w:rsidP="00340FDE">
            <w:pPr>
              <w:pStyle w:val="tabletext"/>
              <w:spacing w:after="20"/>
              <w:ind w:left="37"/>
            </w:pPr>
            <w:r w:rsidRPr="00AC7295">
              <w:t>Yes</w:t>
            </w:r>
          </w:p>
        </w:tc>
        <w:tc>
          <w:tcPr>
            <w:tcW w:w="2977" w:type="dxa"/>
          </w:tcPr>
          <w:p w14:paraId="69DBD5F5" w14:textId="77777777" w:rsidR="00F45F8F" w:rsidRPr="00F454DF" w:rsidRDefault="00F45F8F" w:rsidP="00340FDE">
            <w:pPr>
              <w:pStyle w:val="tabletext"/>
              <w:spacing w:after="20"/>
              <w:ind w:left="119"/>
            </w:pPr>
            <w:r w:rsidRPr="00AC7295">
              <w:t xml:space="preserve">Atar Ltd, an associated entity of Top Super, </w:t>
            </w:r>
            <w:r>
              <w:t>directly invested in</w:t>
            </w:r>
            <w:r w:rsidRPr="008A45DA">
              <w:t xml:space="preserve"> </w:t>
            </w:r>
            <w:r w:rsidRPr="00F454DF">
              <w:t>ANZ shares.</w:t>
            </w:r>
          </w:p>
        </w:tc>
      </w:tr>
      <w:tr w:rsidR="00F45F8F" w:rsidRPr="00E9400F" w14:paraId="31E42548" w14:textId="77777777" w:rsidTr="00340FDE">
        <w:tc>
          <w:tcPr>
            <w:tcW w:w="2642" w:type="dxa"/>
          </w:tcPr>
          <w:p w14:paraId="2DD10CFA" w14:textId="77777777" w:rsidR="00F45F8F" w:rsidRPr="00340FDE" w:rsidRDefault="00F45F8F" w:rsidP="00340FDE">
            <w:pPr>
              <w:pStyle w:val="tabletext"/>
              <w:spacing w:after="20"/>
              <w:ind w:left="34"/>
              <w:rPr>
                <w:b/>
              </w:rPr>
            </w:pPr>
            <w:r w:rsidRPr="00340FDE">
              <w:rPr>
                <w:b/>
              </w:rPr>
              <w:t>Prodime Corp</w:t>
            </w:r>
          </w:p>
          <w:p w14:paraId="47EB9BCD" w14:textId="0A5D1100" w:rsidR="00F45F8F" w:rsidRPr="00AC7295" w:rsidRDefault="00340FDE" w:rsidP="00340FDE">
            <w:pPr>
              <w:pStyle w:val="tabletext"/>
              <w:spacing w:after="20"/>
              <w:ind w:left="34"/>
            </w:pPr>
            <w:r>
              <w:t>$30 million (of the $50 </w:t>
            </w:r>
            <w:r w:rsidR="00F45F8F" w:rsidRPr="00AC7295">
              <w:t>million invested in Eagle Corp MIS)</w:t>
            </w:r>
          </w:p>
        </w:tc>
        <w:tc>
          <w:tcPr>
            <w:tcW w:w="992" w:type="dxa"/>
          </w:tcPr>
          <w:p w14:paraId="34C4DE2A" w14:textId="77777777" w:rsidR="00F45F8F" w:rsidRPr="00AC7295" w:rsidRDefault="00F45F8F" w:rsidP="00340FDE">
            <w:pPr>
              <w:pStyle w:val="tabletext"/>
              <w:spacing w:after="20"/>
              <w:ind w:left="37"/>
            </w:pPr>
            <w:r w:rsidRPr="00AC7295">
              <w:t>Yes</w:t>
            </w:r>
          </w:p>
        </w:tc>
        <w:tc>
          <w:tcPr>
            <w:tcW w:w="2977" w:type="dxa"/>
          </w:tcPr>
          <w:p w14:paraId="7F8BD12A" w14:textId="77777777" w:rsidR="00F45F8F" w:rsidRPr="00AC7295" w:rsidRDefault="00F45F8F" w:rsidP="00340FDE">
            <w:pPr>
              <w:pStyle w:val="tabletext"/>
              <w:spacing w:after="20"/>
              <w:ind w:left="119"/>
            </w:pPr>
            <w:r w:rsidRPr="00AC7295">
              <w:t xml:space="preserve">Eagle Corp MIS, an associated entity of Top Super </w:t>
            </w:r>
            <w:r>
              <w:t xml:space="preserve">directly </w:t>
            </w:r>
            <w:r w:rsidRPr="00F454DF">
              <w:t xml:space="preserve">invested into </w:t>
            </w:r>
            <w:r w:rsidRPr="00AC7295">
              <w:t>Prodime Corp.</w:t>
            </w:r>
          </w:p>
        </w:tc>
      </w:tr>
      <w:tr w:rsidR="00F45F8F" w:rsidRPr="00E9400F" w14:paraId="1DACD192" w14:textId="77777777" w:rsidTr="00340FDE">
        <w:tc>
          <w:tcPr>
            <w:tcW w:w="2642" w:type="dxa"/>
          </w:tcPr>
          <w:p w14:paraId="1876F9B9" w14:textId="77777777" w:rsidR="00F45F8F" w:rsidRPr="00340FDE" w:rsidRDefault="00F45F8F" w:rsidP="00340FDE">
            <w:pPr>
              <w:pStyle w:val="tabletext"/>
              <w:spacing w:after="20"/>
              <w:ind w:left="34"/>
              <w:rPr>
                <w:b/>
              </w:rPr>
            </w:pPr>
            <w:r w:rsidRPr="00340FDE">
              <w:rPr>
                <w:b/>
              </w:rPr>
              <w:t xml:space="preserve">Westbank Estate </w:t>
            </w:r>
          </w:p>
          <w:p w14:paraId="2756FB63" w14:textId="412DDD9B" w:rsidR="00F45F8F" w:rsidRPr="00AC7295" w:rsidRDefault="00340FDE" w:rsidP="00340FDE">
            <w:pPr>
              <w:pStyle w:val="tabletext"/>
              <w:spacing w:after="20"/>
              <w:ind w:left="34"/>
            </w:pPr>
            <w:r>
              <w:t>$30 million (of the $30 </w:t>
            </w:r>
            <w:r w:rsidR="00F45F8F" w:rsidRPr="00AC7295">
              <w:t>million invested in Prodime Corp)</w:t>
            </w:r>
          </w:p>
        </w:tc>
        <w:tc>
          <w:tcPr>
            <w:tcW w:w="992" w:type="dxa"/>
          </w:tcPr>
          <w:p w14:paraId="4EF6BBE3" w14:textId="77777777" w:rsidR="00F45F8F" w:rsidRPr="00AC7295" w:rsidRDefault="00F45F8F" w:rsidP="00340FDE">
            <w:pPr>
              <w:pStyle w:val="tabletext"/>
              <w:spacing w:after="20"/>
              <w:ind w:left="37"/>
              <w:rPr>
                <w:b/>
              </w:rPr>
            </w:pPr>
            <w:r w:rsidRPr="00AC7295">
              <w:rPr>
                <w:b/>
              </w:rPr>
              <w:t>No</w:t>
            </w:r>
          </w:p>
        </w:tc>
        <w:tc>
          <w:tcPr>
            <w:tcW w:w="2977" w:type="dxa"/>
          </w:tcPr>
          <w:p w14:paraId="6A92D2C5" w14:textId="65A8F372" w:rsidR="00F45F8F" w:rsidRPr="00F454DF" w:rsidRDefault="00F45F8F" w:rsidP="00340FDE">
            <w:pPr>
              <w:pStyle w:val="tabletext"/>
              <w:spacing w:after="20"/>
              <w:ind w:left="119"/>
            </w:pPr>
            <w:r w:rsidRPr="00AC7295">
              <w:t>Prodime Corp, a non</w:t>
            </w:r>
            <w:r w:rsidR="006C2352">
              <w:noBreakHyphen/>
            </w:r>
            <w:r w:rsidRPr="00AC7295">
              <w:t xml:space="preserve">associated entity of Top Super </w:t>
            </w:r>
            <w:r>
              <w:t xml:space="preserve">directly </w:t>
            </w:r>
            <w:r w:rsidRPr="008A45DA">
              <w:t xml:space="preserve">invested </w:t>
            </w:r>
            <w:r w:rsidRPr="00F454DF">
              <w:t>in Westbank Estate.</w:t>
            </w:r>
          </w:p>
        </w:tc>
      </w:tr>
      <w:tr w:rsidR="00F45F8F" w:rsidRPr="00E9400F" w14:paraId="45694023" w14:textId="77777777" w:rsidTr="00340FDE">
        <w:tc>
          <w:tcPr>
            <w:tcW w:w="2642" w:type="dxa"/>
          </w:tcPr>
          <w:p w14:paraId="09F08723" w14:textId="77777777" w:rsidR="00F45F8F" w:rsidRPr="00340FDE" w:rsidRDefault="00F45F8F" w:rsidP="00340FDE">
            <w:pPr>
              <w:pStyle w:val="tabletext"/>
              <w:spacing w:after="20"/>
              <w:ind w:left="34"/>
              <w:rPr>
                <w:b/>
              </w:rPr>
            </w:pPr>
            <w:r w:rsidRPr="00340FDE">
              <w:rPr>
                <w:b/>
              </w:rPr>
              <w:t xml:space="preserve">Government Bonds </w:t>
            </w:r>
          </w:p>
          <w:p w14:paraId="6B7D0CEC" w14:textId="1C89B45E" w:rsidR="00F45F8F" w:rsidRPr="00AC7295" w:rsidRDefault="00F45F8F" w:rsidP="00340FDE">
            <w:pPr>
              <w:pStyle w:val="tabletext"/>
              <w:spacing w:after="20"/>
              <w:ind w:left="34"/>
            </w:pPr>
            <w:r w:rsidRPr="00AC7295">
              <w:t xml:space="preserve">20 </w:t>
            </w:r>
            <w:r w:rsidR="00340FDE">
              <w:t>m</w:t>
            </w:r>
            <w:r w:rsidRPr="00AC7295">
              <w:t xml:space="preserve">illion </w:t>
            </w:r>
          </w:p>
        </w:tc>
        <w:tc>
          <w:tcPr>
            <w:tcW w:w="992" w:type="dxa"/>
          </w:tcPr>
          <w:p w14:paraId="3765B751" w14:textId="77777777" w:rsidR="00F45F8F" w:rsidRPr="00AC7295" w:rsidRDefault="00F45F8F" w:rsidP="00340FDE">
            <w:pPr>
              <w:pStyle w:val="tabletext"/>
              <w:spacing w:after="20"/>
              <w:ind w:left="37"/>
            </w:pPr>
            <w:r w:rsidRPr="00AC7295">
              <w:t>Yes</w:t>
            </w:r>
          </w:p>
        </w:tc>
        <w:tc>
          <w:tcPr>
            <w:tcW w:w="2977" w:type="dxa"/>
          </w:tcPr>
          <w:p w14:paraId="54366263" w14:textId="77777777" w:rsidR="00F45F8F" w:rsidRPr="00AC7295" w:rsidRDefault="00F45F8F" w:rsidP="00340FDE">
            <w:pPr>
              <w:pStyle w:val="tabletext"/>
              <w:spacing w:after="20"/>
              <w:ind w:left="119"/>
            </w:pPr>
            <w:r w:rsidRPr="00AC7295">
              <w:t xml:space="preserve">Top Super </w:t>
            </w:r>
            <w:r>
              <w:t>directly invested</w:t>
            </w:r>
            <w:r w:rsidRPr="008A45DA">
              <w:t xml:space="preserve"> </w:t>
            </w:r>
            <w:r w:rsidRPr="00F454DF">
              <w:t>Gov</w:t>
            </w:r>
            <w:r w:rsidRPr="00AC7295">
              <w:t>ernment Bonds.</w:t>
            </w:r>
          </w:p>
        </w:tc>
      </w:tr>
      <w:tr w:rsidR="00F45F8F" w:rsidRPr="00E9400F" w14:paraId="6E84D9C8" w14:textId="77777777" w:rsidTr="00340FDE">
        <w:tc>
          <w:tcPr>
            <w:tcW w:w="2642" w:type="dxa"/>
          </w:tcPr>
          <w:p w14:paraId="71CE6630" w14:textId="77777777" w:rsidR="00F45F8F" w:rsidRPr="00340FDE" w:rsidRDefault="00F45F8F" w:rsidP="00340FDE">
            <w:pPr>
              <w:pStyle w:val="tabletext"/>
              <w:spacing w:after="20"/>
              <w:ind w:left="34"/>
              <w:rPr>
                <w:b/>
              </w:rPr>
            </w:pPr>
            <w:r w:rsidRPr="00340FDE">
              <w:rPr>
                <w:b/>
              </w:rPr>
              <w:t>Nestar Holdings MIS</w:t>
            </w:r>
          </w:p>
          <w:p w14:paraId="163339B9" w14:textId="1B962C23" w:rsidR="00F45F8F" w:rsidRPr="00AC7295" w:rsidRDefault="00340FDE" w:rsidP="00340FDE">
            <w:pPr>
              <w:pStyle w:val="tabletext"/>
              <w:spacing w:after="20"/>
              <w:ind w:left="34"/>
            </w:pPr>
            <w:r>
              <w:t>$20 m</w:t>
            </w:r>
            <w:r w:rsidR="00F45F8F" w:rsidRPr="00AC7295">
              <w:t>illion</w:t>
            </w:r>
          </w:p>
        </w:tc>
        <w:tc>
          <w:tcPr>
            <w:tcW w:w="992" w:type="dxa"/>
          </w:tcPr>
          <w:p w14:paraId="463A3277" w14:textId="77777777" w:rsidR="00F45F8F" w:rsidRPr="00AC7295" w:rsidRDefault="00F45F8F" w:rsidP="00340FDE">
            <w:pPr>
              <w:pStyle w:val="tabletext"/>
              <w:spacing w:after="20"/>
              <w:ind w:left="37"/>
            </w:pPr>
            <w:r w:rsidRPr="00AC7295">
              <w:t>Yes</w:t>
            </w:r>
          </w:p>
        </w:tc>
        <w:tc>
          <w:tcPr>
            <w:tcW w:w="2977" w:type="dxa"/>
          </w:tcPr>
          <w:p w14:paraId="41AEEB47" w14:textId="00C6D8FE" w:rsidR="00F45F8F" w:rsidRPr="00AC7295" w:rsidRDefault="00F45F8F" w:rsidP="00340FDE">
            <w:pPr>
              <w:pStyle w:val="tabletext"/>
              <w:spacing w:after="20"/>
              <w:ind w:left="119"/>
            </w:pPr>
            <w:r w:rsidRPr="00AC7295">
              <w:t>Top Super invested dire</w:t>
            </w:r>
            <w:r w:rsidR="00340FDE">
              <w:t>ctly into Nestar Holding MIS (a </w:t>
            </w:r>
            <w:r w:rsidRPr="00AC7295">
              <w:t>non</w:t>
            </w:r>
            <w:r w:rsidR="006C2352">
              <w:noBreakHyphen/>
            </w:r>
            <w:r w:rsidRPr="00AC7295">
              <w:t>associated entity).</w:t>
            </w:r>
          </w:p>
        </w:tc>
      </w:tr>
      <w:tr w:rsidR="00F45F8F" w:rsidRPr="00E9400F" w14:paraId="6071FE66" w14:textId="77777777" w:rsidTr="00340FDE">
        <w:tc>
          <w:tcPr>
            <w:tcW w:w="2642" w:type="dxa"/>
          </w:tcPr>
          <w:p w14:paraId="79A3C96F" w14:textId="77777777" w:rsidR="00F45F8F" w:rsidRPr="00340FDE" w:rsidRDefault="00F45F8F" w:rsidP="00340FDE">
            <w:pPr>
              <w:pStyle w:val="tabletext"/>
              <w:spacing w:after="20"/>
              <w:ind w:left="34"/>
              <w:rPr>
                <w:b/>
              </w:rPr>
            </w:pPr>
            <w:r w:rsidRPr="00340FDE">
              <w:rPr>
                <w:b/>
              </w:rPr>
              <w:t>Shares in KPF</w:t>
            </w:r>
          </w:p>
          <w:p w14:paraId="1B73AA3A" w14:textId="133AACF7" w:rsidR="00F45F8F" w:rsidRPr="00AC7295" w:rsidRDefault="00F45F8F" w:rsidP="00340FDE">
            <w:pPr>
              <w:pStyle w:val="tabletext"/>
              <w:spacing w:after="20"/>
              <w:ind w:left="34"/>
            </w:pPr>
            <w:r w:rsidRPr="00AC7295">
              <w:t>$20 million (of the $20</w:t>
            </w:r>
            <w:r w:rsidR="00340FDE">
              <w:t> million invested in BP s</w:t>
            </w:r>
            <w:r w:rsidRPr="00AC7295">
              <w:t>hares)</w:t>
            </w:r>
            <w:r w:rsidR="00340FDE">
              <w:t>.</w:t>
            </w:r>
          </w:p>
        </w:tc>
        <w:tc>
          <w:tcPr>
            <w:tcW w:w="992" w:type="dxa"/>
          </w:tcPr>
          <w:p w14:paraId="3F563322" w14:textId="77777777" w:rsidR="00F45F8F" w:rsidRPr="00AC7295" w:rsidRDefault="00F45F8F" w:rsidP="00340FDE">
            <w:pPr>
              <w:pStyle w:val="tabletext"/>
              <w:spacing w:after="20"/>
              <w:ind w:left="37"/>
              <w:rPr>
                <w:b/>
              </w:rPr>
            </w:pPr>
            <w:r w:rsidRPr="00AC7295">
              <w:rPr>
                <w:b/>
              </w:rPr>
              <w:t>No</w:t>
            </w:r>
          </w:p>
        </w:tc>
        <w:tc>
          <w:tcPr>
            <w:tcW w:w="2977" w:type="dxa"/>
          </w:tcPr>
          <w:p w14:paraId="0797AA6E" w14:textId="4B3FB26A" w:rsidR="00F45F8F" w:rsidRPr="00F454DF" w:rsidRDefault="00F45F8F" w:rsidP="00340FDE">
            <w:pPr>
              <w:pStyle w:val="tabletext"/>
              <w:spacing w:after="20"/>
              <w:ind w:left="119"/>
            </w:pPr>
            <w:r w:rsidRPr="00C333C2">
              <w:t>Nestar Holdings, a non</w:t>
            </w:r>
            <w:r w:rsidR="006C2352">
              <w:noBreakHyphen/>
            </w:r>
            <w:r w:rsidRPr="00C333C2">
              <w:t xml:space="preserve">associated entity of Top Super, </w:t>
            </w:r>
            <w:r>
              <w:t>invested directly in KPF</w:t>
            </w:r>
            <w:r w:rsidRPr="00C333C2">
              <w:t xml:space="preserve"> shares.</w:t>
            </w:r>
          </w:p>
        </w:tc>
      </w:tr>
    </w:tbl>
    <w:p w14:paraId="103970FD" w14:textId="77777777" w:rsidR="00F45F8F" w:rsidRPr="00F45F8F" w:rsidRDefault="00F45F8F" w:rsidP="00340FDE">
      <w:pPr>
        <w:pStyle w:val="Heading4"/>
      </w:pPr>
      <w:r w:rsidRPr="00582EA7">
        <w:t>Exclusions fr</w:t>
      </w:r>
      <w:r>
        <w:t>o</w:t>
      </w:r>
      <w:r w:rsidRPr="00582EA7">
        <w:t xml:space="preserve">m the disclosure requirements </w:t>
      </w:r>
    </w:p>
    <w:p w14:paraId="06B05CE6" w14:textId="77777777" w:rsidR="00F45F8F" w:rsidRDefault="00F45F8F" w:rsidP="00340FDE">
      <w:pPr>
        <w:pStyle w:val="base-text-paragraph"/>
        <w:spacing w:after="60"/>
      </w:pPr>
      <w:r>
        <w:t>There are a number of exclusions from the PHD requirements to reduce the compliance burden on RSE</w:t>
      </w:r>
      <w:r w:rsidR="006C2352">
        <w:t>’</w:t>
      </w:r>
      <w:r>
        <w:t>s where the benefit of disclosure of investment details for members and their employers is limited. The exclusions cover the following circumstances:</w:t>
      </w:r>
    </w:p>
    <w:p w14:paraId="36E8A5DE" w14:textId="5442DA4A" w:rsidR="00F45F8F" w:rsidRDefault="00F45F8F" w:rsidP="00340FDE">
      <w:pPr>
        <w:pStyle w:val="dotpoint"/>
        <w:spacing w:after="60"/>
      </w:pPr>
      <w:r>
        <w:t xml:space="preserve">the RSE is a pooled superannuation trust, single member fund or a small APRA fund. </w:t>
      </w:r>
      <w:r>
        <w:rPr>
          <w:rStyle w:val="Referencingstyle"/>
        </w:rPr>
        <w:t>[</w:t>
      </w:r>
      <w:r w:rsidRPr="003B7EDC">
        <w:rPr>
          <w:rStyle w:val="Referencingstyle"/>
        </w:rPr>
        <w:t>Schedule #, i</w:t>
      </w:r>
      <w:r w:rsidRPr="00686746">
        <w:rPr>
          <w:rStyle w:val="Referencingstyle"/>
        </w:rPr>
        <w:t>tem 2, paragraph 1017BB(4)(a)]</w:t>
      </w:r>
      <w:r>
        <w:t xml:space="preserve">  </w:t>
      </w:r>
    </w:p>
    <w:p w14:paraId="163005F9" w14:textId="23BD2E90" w:rsidR="00F45F8F" w:rsidRDefault="00F45F8F" w:rsidP="00340FDE">
      <w:pPr>
        <w:pStyle w:val="dotpoint"/>
        <w:numPr>
          <w:ilvl w:val="1"/>
          <w:numId w:val="2"/>
        </w:numPr>
        <w:spacing w:after="60"/>
      </w:pPr>
      <w:r>
        <w:t xml:space="preserve">Pooled superannuation trust has the same meaning as in the </w:t>
      </w:r>
      <w:r w:rsidR="005B0DEE" w:rsidRPr="0021560F">
        <w:t>SIS</w:t>
      </w:r>
      <w:r w:rsidR="005B0DEE">
        <w:rPr>
          <w:i/>
        </w:rPr>
        <w:t xml:space="preserve"> </w:t>
      </w:r>
      <w:r w:rsidR="005B0DEE" w:rsidRPr="00DB7341">
        <w:t>Act</w:t>
      </w:r>
      <w:r w:rsidRPr="00DB7341">
        <w:t>.</w:t>
      </w:r>
    </w:p>
    <w:p w14:paraId="4B61F082" w14:textId="1C73BFDB" w:rsidR="00F45F8F" w:rsidRPr="008A45DA" w:rsidRDefault="00F45F8F" w:rsidP="00340FDE">
      <w:pPr>
        <w:pStyle w:val="dotpoint"/>
        <w:numPr>
          <w:ilvl w:val="1"/>
          <w:numId w:val="2"/>
        </w:numPr>
        <w:spacing w:after="60"/>
        <w:rPr>
          <w:rStyle w:val="Referencingstyle"/>
        </w:rPr>
      </w:pPr>
      <w:r>
        <w:t>Small APRA fund has the same meaning as in prudential standards determined under section 34C of the</w:t>
      </w:r>
      <w:r w:rsidR="005B0DEE">
        <w:rPr>
          <w:i/>
        </w:rPr>
        <w:t xml:space="preserve"> </w:t>
      </w:r>
      <w:r w:rsidR="005B0DEE" w:rsidRPr="00DB7341">
        <w:t>SIS Act</w:t>
      </w:r>
      <w:r>
        <w:t xml:space="preserve">. </w:t>
      </w:r>
      <w:r w:rsidRPr="00F45F8F">
        <w:rPr>
          <w:rStyle w:val="Referencingstyle"/>
        </w:rPr>
        <w:t>[</w:t>
      </w:r>
      <w:r w:rsidRPr="003B7EDC">
        <w:rPr>
          <w:rStyle w:val="Referencingstyle"/>
        </w:rPr>
        <w:t>Schedule #, i</w:t>
      </w:r>
      <w:r w:rsidRPr="00582EA7">
        <w:rPr>
          <w:rStyle w:val="Referencingstyle"/>
        </w:rPr>
        <w:t>tem</w:t>
      </w:r>
      <w:r w:rsidRPr="00F45F8F">
        <w:rPr>
          <w:rStyle w:val="Referencingstyle"/>
        </w:rPr>
        <w:t xml:space="preserve"> </w:t>
      </w:r>
      <w:r>
        <w:rPr>
          <w:rStyle w:val="Referencingstyle"/>
        </w:rPr>
        <w:t>3</w:t>
      </w:r>
      <w:r w:rsidRPr="00F45F8F">
        <w:rPr>
          <w:rStyle w:val="Referencingstyle"/>
        </w:rPr>
        <w:t>,</w:t>
      </w:r>
      <w:r>
        <w:rPr>
          <w:rStyle w:val="Referencingstyle"/>
        </w:rPr>
        <w:t xml:space="preserve">section </w:t>
      </w:r>
      <w:r w:rsidRPr="00F45F8F">
        <w:rPr>
          <w:rStyle w:val="Referencingstyle"/>
        </w:rPr>
        <w:t>1017BB(</w:t>
      </w:r>
      <w:r>
        <w:rPr>
          <w:rStyle w:val="Referencingstyle"/>
        </w:rPr>
        <w:t>6</w:t>
      </w:r>
      <w:r w:rsidRPr="00F45F8F">
        <w:rPr>
          <w:rStyle w:val="Referencingstyle"/>
        </w:rPr>
        <w:t xml:space="preserve">)] </w:t>
      </w:r>
    </w:p>
    <w:p w14:paraId="075476E8" w14:textId="77777777" w:rsidR="00F45F8F" w:rsidRDefault="00F45F8F" w:rsidP="00340FDE">
      <w:pPr>
        <w:pStyle w:val="dotpoint"/>
        <w:spacing w:after="60"/>
      </w:pPr>
      <w:r>
        <w:t>an RSE</w:t>
      </w:r>
      <w:r w:rsidR="006C2352">
        <w:t>’</w:t>
      </w:r>
      <w:r>
        <w:t xml:space="preserve">s investment option has been closed to new members for at least 5 years (legacy products). </w:t>
      </w:r>
      <w:r>
        <w:rPr>
          <w:rStyle w:val="Referencingstyle"/>
        </w:rPr>
        <w:t>[</w:t>
      </w:r>
      <w:r w:rsidRPr="003B7EDC">
        <w:rPr>
          <w:rStyle w:val="Referencingstyle"/>
        </w:rPr>
        <w:t>Schedule #, i</w:t>
      </w:r>
      <w:r w:rsidRPr="003A02F1">
        <w:rPr>
          <w:rStyle w:val="Referencingstyle"/>
        </w:rPr>
        <w:t>tem 2, paragraph 1017BB(4)(b</w:t>
      </w:r>
      <w:r>
        <w:rPr>
          <w:rStyle w:val="Referencingstyle"/>
        </w:rPr>
        <w:t>)]</w:t>
      </w:r>
    </w:p>
    <w:p w14:paraId="4E62674A" w14:textId="77777777" w:rsidR="00F45F8F" w:rsidRDefault="00F45F8F" w:rsidP="00340FDE">
      <w:pPr>
        <w:pStyle w:val="dotpoint"/>
        <w:spacing w:after="60"/>
      </w:pPr>
      <w:r>
        <w:t>investments are made in financial products or other property allocated to a defined benefit fund.</w:t>
      </w:r>
      <w:r w:rsidRPr="00B42586">
        <w:rPr>
          <w:rStyle w:val="Referencingstyle"/>
        </w:rPr>
        <w:t xml:space="preserve"> </w:t>
      </w:r>
      <w:r>
        <w:rPr>
          <w:rStyle w:val="Referencingstyle"/>
        </w:rPr>
        <w:t>[</w:t>
      </w:r>
      <w:r w:rsidRPr="003B7EDC">
        <w:rPr>
          <w:rStyle w:val="Referencingstyle"/>
        </w:rPr>
        <w:t>Schedule #, i</w:t>
      </w:r>
      <w:r w:rsidRPr="003A02F1">
        <w:rPr>
          <w:rStyle w:val="Referencingstyle"/>
        </w:rPr>
        <w:t xml:space="preserve">tem 2, paragraph 1017BB(4)(d)]  </w:t>
      </w:r>
    </w:p>
    <w:p w14:paraId="302166E3" w14:textId="1AD0417F" w:rsidR="00F45F8F" w:rsidRPr="003A02F1" w:rsidRDefault="00F45F8F" w:rsidP="00340FDE">
      <w:pPr>
        <w:pStyle w:val="dotpoint"/>
        <w:numPr>
          <w:ilvl w:val="1"/>
          <w:numId w:val="2"/>
        </w:numPr>
        <w:spacing w:after="60"/>
        <w:rPr>
          <w:rStyle w:val="Referencingstyle"/>
        </w:rPr>
      </w:pPr>
      <w:r>
        <w:t>Defined benefit fund has the same meaning as in Division 3A of Part 8 of the</w:t>
      </w:r>
      <w:r w:rsidR="005B0DEE">
        <w:t xml:space="preserve"> SIS Act.</w:t>
      </w:r>
    </w:p>
    <w:p w14:paraId="0C74E69D" w14:textId="7FF086D3" w:rsidR="00F45F8F" w:rsidRPr="00F45F8F" w:rsidRDefault="00F45F8F" w:rsidP="00340FDE">
      <w:pPr>
        <w:pStyle w:val="dotpoint"/>
        <w:spacing w:after="60"/>
      </w:pPr>
      <w:r>
        <w:t>RSE</w:t>
      </w:r>
      <w:r w:rsidR="006C2352">
        <w:t>’</w:t>
      </w:r>
      <w:r>
        <w:t xml:space="preserve">s may determine up to five per cent of the assets attributable to each of their investment options </w:t>
      </w:r>
      <w:r w:rsidR="005B0DEE">
        <w:t>for</w:t>
      </w:r>
      <w:r>
        <w:t xml:space="preserve"> which they are not required to make information publicly available. This provides an RSE with the flexibility to select a limited number of investments, which it considers to be commercially sensitive, to exclude from disclosure. </w:t>
      </w:r>
      <w:r w:rsidRPr="00686746">
        <w:rPr>
          <w:rStyle w:val="Referencingstyle"/>
        </w:rPr>
        <w:t>[</w:t>
      </w:r>
      <w:r w:rsidRPr="003B7EDC">
        <w:rPr>
          <w:rStyle w:val="Referencingstyle"/>
        </w:rPr>
        <w:t>Schedule #, i</w:t>
      </w:r>
      <w:r>
        <w:rPr>
          <w:rStyle w:val="Referencingstyle"/>
        </w:rPr>
        <w:t xml:space="preserve">tem 2, </w:t>
      </w:r>
      <w:r w:rsidRPr="00686746">
        <w:rPr>
          <w:rStyle w:val="Referencingstyle"/>
        </w:rPr>
        <w:t>paragraph 1017BB(4)(c)]</w:t>
      </w:r>
    </w:p>
    <w:p w14:paraId="7BBFC7D5" w14:textId="203BC1CE" w:rsidR="00F45F8F" w:rsidRDefault="005B0DEE" w:rsidP="00F45F8F">
      <w:pPr>
        <w:pStyle w:val="dotpoint"/>
      </w:pPr>
      <w:r>
        <w:t xml:space="preserve">Where </w:t>
      </w:r>
      <w:r w:rsidR="00F45F8F">
        <w:t>regulations determine financial products, or other property</w:t>
      </w:r>
      <w:r>
        <w:t>,</w:t>
      </w:r>
      <w:r w:rsidR="00F45F8F">
        <w:t xml:space="preserve"> that is not a material investment. W</w:t>
      </w:r>
      <w:r w:rsidR="00F45F8F" w:rsidRPr="00F45F8F">
        <w:t>here appropriate</w:t>
      </w:r>
      <w:r>
        <w:t>,</w:t>
      </w:r>
      <w:r w:rsidR="00F45F8F" w:rsidRPr="00F45F8F">
        <w:t xml:space="preserve"> regulations can </w:t>
      </w:r>
      <w:r>
        <w:t xml:space="preserve">be </w:t>
      </w:r>
      <w:r w:rsidR="00F45F8F" w:rsidRPr="00F45F8F">
        <w:t xml:space="preserve">made to </w:t>
      </w:r>
      <w:r w:rsidR="00F45F8F">
        <w:t xml:space="preserve">exempt </w:t>
      </w:r>
      <w:r w:rsidR="00F45F8F" w:rsidRPr="00F45F8F">
        <w:t xml:space="preserve">investments that </w:t>
      </w:r>
      <w:r w:rsidR="00F45F8F">
        <w:t xml:space="preserve">are not considered </w:t>
      </w:r>
      <w:r w:rsidR="00FF246D">
        <w:t>material</w:t>
      </w:r>
      <w:r w:rsidR="00F45F8F">
        <w:t xml:space="preserve"> </w:t>
      </w:r>
      <w:r w:rsidR="00FF246D">
        <w:t>for</w:t>
      </w:r>
      <w:r w:rsidR="00F45F8F">
        <w:t xml:space="preserve"> complying with the </w:t>
      </w:r>
      <w:r w:rsidR="00F45F8F" w:rsidRPr="00F45F8F">
        <w:t xml:space="preserve">PHD </w:t>
      </w:r>
      <w:r w:rsidR="00F45F8F">
        <w:t>obligations</w:t>
      </w:r>
      <w:r w:rsidR="00F45F8F" w:rsidRPr="00582EA7">
        <w:t>.</w:t>
      </w:r>
      <w:r w:rsidR="00F45F8F">
        <w:t xml:space="preserve"> </w:t>
      </w:r>
      <w:r w:rsidR="00F45F8F">
        <w:rPr>
          <w:rStyle w:val="Referencingstyle"/>
        </w:rPr>
        <w:t>[I</w:t>
      </w:r>
      <w:r w:rsidR="00F45F8F" w:rsidRPr="003A02F1">
        <w:rPr>
          <w:rStyle w:val="Referencingstyle"/>
        </w:rPr>
        <w:t>tem 2, paragraph 1017BB(4)(e)]</w:t>
      </w:r>
    </w:p>
    <w:p w14:paraId="07623C6E" w14:textId="77777777" w:rsidR="00F45F8F" w:rsidRDefault="00F45F8F" w:rsidP="00F45F8F">
      <w:pPr>
        <w:pStyle w:val="base-text-paragraph"/>
      </w:pPr>
      <w:r>
        <w:t>The reporting obligations on parties to contracts and arrangements that acquire a financial product using the assets, or assets derived from assets, of an RSE will be repealed. These obligations were primarily designed to enable trustees to obtain information from non</w:t>
      </w:r>
      <w:r w:rsidR="006C2352">
        <w:noBreakHyphen/>
      </w:r>
      <w:r>
        <w:t xml:space="preserve">associated entities. The amended obligations only extend to associated entities. </w:t>
      </w:r>
      <w:r>
        <w:rPr>
          <w:rStyle w:val="Referencingstyle"/>
        </w:rPr>
        <w:t>[</w:t>
      </w:r>
      <w:r w:rsidRPr="003B7EDC">
        <w:rPr>
          <w:rStyle w:val="Referencingstyle"/>
        </w:rPr>
        <w:t>Schedule #, i</w:t>
      </w:r>
      <w:r w:rsidRPr="003A02F1">
        <w:rPr>
          <w:rStyle w:val="Referencingstyle"/>
        </w:rPr>
        <w:t>tem 4, sections 1017BC, 1017BD and 1017BE]</w:t>
      </w:r>
    </w:p>
    <w:p w14:paraId="5EB4F9C9" w14:textId="77777777" w:rsidR="00F45F8F" w:rsidRDefault="00F45F8F" w:rsidP="00F45F8F">
      <w:pPr>
        <w:pStyle w:val="base-text-paragraph"/>
      </w:pPr>
      <w:r>
        <w:t xml:space="preserve">The current offence provisions and the related defences that apply in respect to the PHD regime will continue to have application to the new PHD requirements. </w:t>
      </w:r>
    </w:p>
    <w:p w14:paraId="5FDF8C34" w14:textId="77777777" w:rsidR="00F45F8F" w:rsidRDefault="00F45F8F" w:rsidP="00F45F8F">
      <w:pPr>
        <w:pStyle w:val="Heading2"/>
      </w:pPr>
      <w:r>
        <w:t>Consequential amendments</w:t>
      </w:r>
    </w:p>
    <w:p w14:paraId="1E128E38" w14:textId="77777777" w:rsidR="00F45F8F" w:rsidRDefault="00F45F8F" w:rsidP="00340FDE">
      <w:pPr>
        <w:pStyle w:val="base-text-paragraph"/>
        <w:numPr>
          <w:ilvl w:val="1"/>
          <w:numId w:val="32"/>
        </w:numPr>
        <w:spacing w:after="60"/>
      </w:pPr>
      <w:r>
        <w:t>To remove the reference to the repealed provisions and omissions relating to:</w:t>
      </w:r>
    </w:p>
    <w:p w14:paraId="48E6C054" w14:textId="77777777" w:rsidR="00F45F8F" w:rsidRPr="00B43C2F" w:rsidRDefault="00F45F8F" w:rsidP="00340FDE">
      <w:pPr>
        <w:pStyle w:val="dotpoint"/>
        <w:spacing w:after="60"/>
        <w:rPr>
          <w:rStyle w:val="Referencingstyle"/>
          <w:b w:val="0"/>
          <w:i w:val="0"/>
          <w:sz w:val="22"/>
        </w:rPr>
      </w:pPr>
      <w:r>
        <w:t xml:space="preserve">notifications the reference to subsection 1017BC(3) in paragraph 1020E(11)(c), and the application of paragraph 1022B(1)(h); including the </w:t>
      </w:r>
      <w:r w:rsidR="006C2352">
        <w:t>“</w:t>
      </w:r>
      <w:r>
        <w:t>or</w:t>
      </w:r>
      <w:r w:rsidR="006C2352">
        <w:t>”</w:t>
      </w:r>
      <w:r>
        <w:t xml:space="preserve"> in Subparagraph 1022B(1)(g)(iii) </w:t>
      </w:r>
      <w:r w:rsidRPr="00B43C2F">
        <w:rPr>
          <w:rStyle w:val="Referencingstyle"/>
        </w:rPr>
        <w:t xml:space="preserve"> </w:t>
      </w:r>
      <w:r>
        <w:rPr>
          <w:rStyle w:val="Referencingstyle"/>
        </w:rPr>
        <w:t>[</w:t>
      </w:r>
      <w:r w:rsidRPr="003B7EDC">
        <w:rPr>
          <w:rStyle w:val="Referencingstyle"/>
        </w:rPr>
        <w:t>Schedule #, i</w:t>
      </w:r>
      <w:r w:rsidRPr="00F4471E">
        <w:rPr>
          <w:rStyle w:val="Referencingstyle"/>
        </w:rPr>
        <w:t>tems 5</w:t>
      </w:r>
      <w:r>
        <w:rPr>
          <w:rStyle w:val="Referencingstyle"/>
        </w:rPr>
        <w:t>, 8 and 9</w:t>
      </w:r>
      <w:r w:rsidRPr="00F4471E">
        <w:rPr>
          <w:rStyle w:val="Referencingstyle"/>
        </w:rPr>
        <w:t xml:space="preserve">, </w:t>
      </w:r>
      <w:r>
        <w:rPr>
          <w:rStyle w:val="Referencingstyle"/>
        </w:rPr>
        <w:t>paragraph 1020E(1)(c), subparagraph 1022B(1)(g)(iii) and paragraph 1022b(h)</w:t>
      </w:r>
      <w:r w:rsidRPr="00F4471E">
        <w:rPr>
          <w:rStyle w:val="Referencingstyle"/>
        </w:rPr>
        <w:t>]</w:t>
      </w:r>
      <w:r w:rsidRPr="00B43C2F">
        <w:t>;</w:t>
      </w:r>
    </w:p>
    <w:p w14:paraId="576D2304" w14:textId="77777777" w:rsidR="00F45F8F" w:rsidRDefault="00F45F8F" w:rsidP="00340FDE">
      <w:pPr>
        <w:pStyle w:val="dotpoint"/>
        <w:spacing w:after="60"/>
      </w:pPr>
      <w:r w:rsidRPr="00B43C2F">
        <w:t xml:space="preserve">notifications the reference to </w:t>
      </w:r>
      <w:r>
        <w:t xml:space="preserve">1017BC in subsection 1020E(11) (paragraph (d) of the definition of defective) </w:t>
      </w:r>
      <w:r>
        <w:rPr>
          <w:rStyle w:val="Referencingstyle"/>
        </w:rPr>
        <w:t>[</w:t>
      </w:r>
      <w:r w:rsidRPr="003B7EDC">
        <w:rPr>
          <w:rStyle w:val="Referencingstyle"/>
        </w:rPr>
        <w:t>Schedule #, i</w:t>
      </w:r>
      <w:r w:rsidRPr="00B43C2F">
        <w:rPr>
          <w:rStyle w:val="Referencingstyle"/>
        </w:rPr>
        <w:t>tem</w:t>
      </w:r>
      <w:r>
        <w:rPr>
          <w:rStyle w:val="Referencingstyle"/>
        </w:rPr>
        <w:t xml:space="preserve"> 6</w:t>
      </w:r>
      <w:r w:rsidRPr="00B43C2F">
        <w:rPr>
          <w:rStyle w:val="Referencingstyle"/>
        </w:rPr>
        <w:t>, subsection 1020E(11)]</w:t>
      </w:r>
      <w:r w:rsidRPr="00326080">
        <w:t>;</w:t>
      </w:r>
    </w:p>
    <w:p w14:paraId="10E53BC1" w14:textId="77777777" w:rsidR="00F45F8F" w:rsidRDefault="00F45F8F" w:rsidP="00340FDE">
      <w:pPr>
        <w:pStyle w:val="dotpoint"/>
        <w:spacing w:after="60"/>
      </w:pPr>
      <w:r>
        <w:t xml:space="preserve">the application of section 1021NC </w:t>
      </w:r>
      <w:r>
        <w:rPr>
          <w:rStyle w:val="Referencingstyle"/>
        </w:rPr>
        <w:t>[I</w:t>
      </w:r>
      <w:r w:rsidRPr="00257500">
        <w:rPr>
          <w:rStyle w:val="Referencingstyle"/>
        </w:rPr>
        <w:t>tem 7, subsection 1021NC]</w:t>
      </w:r>
      <w:r>
        <w:t>;</w:t>
      </w:r>
    </w:p>
    <w:p w14:paraId="453212C9" w14:textId="77777777" w:rsidR="00F45F8F" w:rsidRPr="00326080" w:rsidRDefault="00F45F8F" w:rsidP="00340FDE">
      <w:pPr>
        <w:pStyle w:val="dotpoint"/>
        <w:spacing w:after="60"/>
      </w:pPr>
      <w:r>
        <w:t xml:space="preserve">references to 1021NC in subparagraphs 1022H(3)(a)(iii) and </w:t>
      </w:r>
      <w:r w:rsidRPr="00B43C2F">
        <w:t>1022</w:t>
      </w:r>
      <w:r>
        <w:t>K</w:t>
      </w:r>
      <w:r w:rsidRPr="00B43C2F">
        <w:t>(</w:t>
      </w:r>
      <w:r>
        <w:t>1</w:t>
      </w:r>
      <w:r w:rsidRPr="00B43C2F">
        <w:t>)(a)(iii)</w:t>
      </w:r>
      <w:r>
        <w:t xml:space="preserve"> </w:t>
      </w:r>
      <w:r>
        <w:rPr>
          <w:rStyle w:val="Referencingstyle"/>
        </w:rPr>
        <w:t>[</w:t>
      </w:r>
      <w:r w:rsidRPr="003B7EDC">
        <w:rPr>
          <w:rStyle w:val="Referencingstyle"/>
        </w:rPr>
        <w:t>Schedule #, i</w:t>
      </w:r>
      <w:r w:rsidRPr="00257500">
        <w:rPr>
          <w:rStyle w:val="Referencingstyle"/>
        </w:rPr>
        <w:t>tems 10 and 11, subparagraphs 1022H(3)(a)(iii) and 1022K(1)(a)(iii)]</w:t>
      </w:r>
      <w:r w:rsidRPr="00326080">
        <w:t>;</w:t>
      </w:r>
    </w:p>
    <w:p w14:paraId="2D078149" w14:textId="77777777" w:rsidR="00F45F8F" w:rsidRDefault="00F45F8F" w:rsidP="00340FDE">
      <w:pPr>
        <w:pStyle w:val="dotpoint"/>
        <w:spacing w:after="60"/>
      </w:pPr>
      <w:r>
        <w:t xml:space="preserve">the table items 308AG, 308AH and 308AI in Schedule 3 </w:t>
      </w:r>
      <w:r>
        <w:rPr>
          <w:rStyle w:val="Referencingstyle"/>
        </w:rPr>
        <w:t>[</w:t>
      </w:r>
      <w:r w:rsidRPr="003B7EDC">
        <w:rPr>
          <w:rStyle w:val="Referencingstyle"/>
        </w:rPr>
        <w:t>Schedule #, i</w:t>
      </w:r>
      <w:r>
        <w:rPr>
          <w:rStyle w:val="Referencingstyle"/>
        </w:rPr>
        <w:t>tem 12, S</w:t>
      </w:r>
      <w:r w:rsidRPr="00655BE3">
        <w:rPr>
          <w:rStyle w:val="Referencingstyle"/>
        </w:rPr>
        <w:t>chedule 3(table items308AG, 308AH and 308AI )]</w:t>
      </w:r>
      <w:r>
        <w:t xml:space="preserve">  </w:t>
      </w:r>
    </w:p>
    <w:p w14:paraId="13F7A650" w14:textId="77777777" w:rsidR="00F45F8F" w:rsidRDefault="00F45F8F" w:rsidP="00F45F8F">
      <w:pPr>
        <w:pStyle w:val="dotpoint"/>
      </w:pPr>
      <w:r>
        <w:t xml:space="preserve">the application provision relating to 1017BC </w:t>
      </w:r>
      <w:r>
        <w:rPr>
          <w:rStyle w:val="Referencingstyle"/>
        </w:rPr>
        <w:t>[</w:t>
      </w:r>
      <w:r w:rsidRPr="003B7EDC">
        <w:rPr>
          <w:rStyle w:val="Referencingstyle"/>
        </w:rPr>
        <w:t>Schedule #, i</w:t>
      </w:r>
      <w:r w:rsidRPr="00655BE3">
        <w:rPr>
          <w:rStyle w:val="Referencingstyle"/>
        </w:rPr>
        <w:t>tem 14, section 1541]</w:t>
      </w:r>
    </w:p>
    <w:p w14:paraId="1EB407E8" w14:textId="3D65866E" w:rsidR="00F45F8F" w:rsidRDefault="00F45F8F" w:rsidP="00F45F8F">
      <w:pPr>
        <w:pStyle w:val="base-text-paragraph"/>
        <w:numPr>
          <w:ilvl w:val="1"/>
          <w:numId w:val="32"/>
        </w:numPr>
      </w:pPr>
      <w:r>
        <w:t xml:space="preserve">To establish the new application date of the subsection 1017BB(1) to apply to </w:t>
      </w:r>
      <w:r w:rsidR="005B0DEE">
        <w:t xml:space="preserve">a </w:t>
      </w:r>
      <w:r>
        <w:t xml:space="preserve">reporting date of 31 December 2016. </w:t>
      </w:r>
      <w:r>
        <w:rPr>
          <w:rStyle w:val="Referencingstyle"/>
        </w:rPr>
        <w:t>[</w:t>
      </w:r>
      <w:r w:rsidRPr="003B7EDC">
        <w:rPr>
          <w:rStyle w:val="Referencingstyle"/>
        </w:rPr>
        <w:t>Schedule #, i</w:t>
      </w:r>
      <w:r w:rsidRPr="00655BE3">
        <w:rPr>
          <w:rStyle w:val="Referencingstyle"/>
        </w:rPr>
        <w:t>tem 13, section 1540]</w:t>
      </w:r>
      <w:r>
        <w:t xml:space="preserve"> </w:t>
      </w:r>
    </w:p>
    <w:p w14:paraId="7BA015A3" w14:textId="77777777" w:rsidR="00F45F8F" w:rsidRDefault="00F45F8F" w:rsidP="00F45F8F">
      <w:pPr>
        <w:pStyle w:val="Heading2"/>
      </w:pPr>
      <w:r>
        <w:t>Application and transitional provisions</w:t>
      </w:r>
    </w:p>
    <w:p w14:paraId="476AFD8F" w14:textId="77777777" w:rsidR="00F45F8F" w:rsidRDefault="00F45F8F" w:rsidP="00F45F8F">
      <w:pPr>
        <w:pStyle w:val="base-text-paragraph"/>
      </w:pPr>
      <w:r>
        <w:t xml:space="preserve">Part 10.25 has been inserted to provide the location for the Transitional provisions relating to the </w:t>
      </w:r>
      <w:r w:rsidRPr="005B0DEE">
        <w:rPr>
          <w:i/>
        </w:rPr>
        <w:t>Superannuation Legislation Amendment (Governance and Transparency Measures) Act 2015</w:t>
      </w:r>
      <w:r>
        <w:t xml:space="preserve">. </w:t>
      </w:r>
      <w:r>
        <w:rPr>
          <w:rStyle w:val="Referencingstyle"/>
        </w:rPr>
        <w:t>[</w:t>
      </w:r>
      <w:r w:rsidRPr="003B7EDC">
        <w:rPr>
          <w:rStyle w:val="Referencingstyle"/>
        </w:rPr>
        <w:t>Schedule #, i</w:t>
      </w:r>
      <w:r w:rsidRPr="003A02F1">
        <w:rPr>
          <w:rStyle w:val="Referencingstyle"/>
        </w:rPr>
        <w:t>tem 15, Part 10.25]</w:t>
      </w:r>
    </w:p>
    <w:p w14:paraId="0E32626F" w14:textId="286CCBD6" w:rsidR="00D85BEA" w:rsidRPr="00200C32" w:rsidRDefault="00F45F8F" w:rsidP="00005CFC">
      <w:pPr>
        <w:pStyle w:val="base-text-paragraph"/>
      </w:pPr>
      <w:r>
        <w:t xml:space="preserve">The amendments made by this Schedule apply in relation to the reporting </w:t>
      </w:r>
      <w:r w:rsidR="00FF246D">
        <w:t>day that</w:t>
      </w:r>
      <w:r>
        <w:t xml:space="preserve"> is 31 December 2016</w:t>
      </w:r>
      <w:r w:rsidR="0091766F">
        <w:t>,</w:t>
      </w:r>
      <w:r>
        <w:t xml:space="preserve"> and to later reporting days. </w:t>
      </w:r>
      <w:r w:rsidRPr="003A02F1">
        <w:rPr>
          <w:rStyle w:val="Referencingstyle"/>
        </w:rPr>
        <w:t>[section 1550]</w:t>
      </w:r>
    </w:p>
    <w:sectPr w:rsidR="00D85BEA" w:rsidRPr="00200C32" w:rsidSect="006C2352">
      <w:pgSz w:w="11906" w:h="16838" w:code="9"/>
      <w:pgMar w:top="2466" w:right="2098" w:bottom="2466" w:left="2098" w:header="155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D89A8" w14:textId="77777777" w:rsidR="003C227B" w:rsidRDefault="003C227B">
      <w:r>
        <w:separator/>
      </w:r>
    </w:p>
  </w:endnote>
  <w:endnote w:type="continuationSeparator" w:id="0">
    <w:p w14:paraId="0FED9612" w14:textId="77777777" w:rsidR="003C227B" w:rsidRDefault="003C227B">
      <w:r>
        <w:continuationSeparator/>
      </w:r>
    </w:p>
  </w:endnote>
  <w:endnote w:type="continuationNotice" w:id="1">
    <w:p w14:paraId="0B828598" w14:textId="77777777" w:rsidR="003C227B" w:rsidRDefault="003C227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26278" w14:textId="3BE40DD3" w:rsidR="003C227B" w:rsidRDefault="003C227B" w:rsidP="00060A06">
    <w:pPr>
      <w:pStyle w:val="leftfooter"/>
      <w:rPr>
        <w:noProof/>
      </w:rP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26288" w14:textId="24F329E4" w:rsidR="003C227B" w:rsidRDefault="003C227B" w:rsidP="00060A06">
    <w:pPr>
      <w:pStyle w:val="leftfooter"/>
      <w:rPr>
        <w:noProof/>
      </w:rPr>
    </w:pPr>
    <w:r>
      <w:fldChar w:fldCharType="begin"/>
    </w:r>
    <w:r>
      <w:instrText xml:space="preserve"> PAGE   \* MERGEFORMAT </w:instrText>
    </w:r>
    <w:r>
      <w:fldChar w:fldCharType="separate"/>
    </w:r>
    <w:r w:rsidR="00A15CBE">
      <w:rPr>
        <w:noProof/>
      </w:rPr>
      <w:t>4</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26289" w14:textId="44FBD87B" w:rsidR="003C227B" w:rsidRDefault="003C227B" w:rsidP="00060A06">
    <w:pPr>
      <w:pStyle w:val="rightfooter"/>
      <w:rPr>
        <w:noProof/>
      </w:rPr>
    </w:pPr>
    <w:r>
      <w:fldChar w:fldCharType="begin"/>
    </w:r>
    <w:r>
      <w:instrText xml:space="preserve"> PAGE   \* MERGEFORMAT </w:instrText>
    </w:r>
    <w:r>
      <w:fldChar w:fldCharType="separate"/>
    </w:r>
    <w:r>
      <w:rPr>
        <w:noProof/>
      </w:rPr>
      <w:t>3</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2628A" w14:textId="778BBB7C" w:rsidR="003C227B" w:rsidRDefault="003C227B" w:rsidP="00060A06">
    <w:pPr>
      <w:pStyle w:val="rightfooter"/>
      <w:rPr>
        <w:noProof/>
      </w:rPr>
    </w:pPr>
    <w:r>
      <w:fldChar w:fldCharType="begin"/>
    </w:r>
    <w:r>
      <w:instrText xml:space="preserve"> PAGE  \* Arabic  \* MERGEFORMAT </w:instrText>
    </w:r>
    <w:r>
      <w:fldChar w:fldCharType="separate"/>
    </w:r>
    <w:r w:rsidR="00085F57">
      <w:rPr>
        <w:noProof/>
      </w:rPr>
      <w:t>2</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26292" w14:textId="69207724" w:rsidR="003C227B" w:rsidRDefault="003C227B" w:rsidP="005A76CC">
    <w:pPr>
      <w:pStyle w:val="leftfooter"/>
      <w:rPr>
        <w:noProof/>
      </w:rPr>
    </w:pPr>
    <w:r>
      <w:fldChar w:fldCharType="begin"/>
    </w:r>
    <w:r>
      <w:instrText xml:space="preserve"> PAGE   \* MERGEFORMAT </w:instrText>
    </w:r>
    <w:r>
      <w:fldChar w:fldCharType="separate"/>
    </w:r>
    <w:r w:rsidR="00A15CBE">
      <w:rPr>
        <w:noProof/>
      </w:rPr>
      <w:t>20</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26293" w14:textId="5550A3A8" w:rsidR="003C227B" w:rsidRDefault="003C227B" w:rsidP="005A76CC">
    <w:pPr>
      <w:pStyle w:val="rightfooter"/>
      <w:rPr>
        <w:noProof/>
      </w:rPr>
    </w:pPr>
    <w:r>
      <w:fldChar w:fldCharType="begin"/>
    </w:r>
    <w:r>
      <w:instrText xml:space="preserve"> PAGE   \* MERGEFORMAT </w:instrText>
    </w:r>
    <w:r>
      <w:fldChar w:fldCharType="separate"/>
    </w:r>
    <w:r w:rsidR="00A15CBE">
      <w:rPr>
        <w:noProof/>
      </w:rPr>
      <w:t>19</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26294" w14:textId="20938AEE" w:rsidR="003C227B" w:rsidRDefault="003C227B" w:rsidP="005A76CC">
    <w:pPr>
      <w:pStyle w:val="rightfooter"/>
      <w:rPr>
        <w:noProof/>
      </w:rPr>
    </w:pPr>
    <w:r>
      <w:fldChar w:fldCharType="begin"/>
    </w:r>
    <w:r>
      <w:instrText xml:space="preserve"> PAGE  \* Arabic  \* MERGEFORMAT </w:instrText>
    </w:r>
    <w:r>
      <w:fldChar w:fldCharType="separate"/>
    </w:r>
    <w:r w:rsidR="00A15CBE">
      <w:rPr>
        <w:noProof/>
      </w:rPr>
      <w:t>13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26279" w14:textId="321E5B54" w:rsidR="003C227B" w:rsidRDefault="003C227B" w:rsidP="00060A06">
    <w:pPr>
      <w:pStyle w:val="rightfooter"/>
      <w:rPr>
        <w:noProof/>
      </w:rPr>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C59DD" w14:textId="77777777" w:rsidR="003C227B" w:rsidRDefault="003C227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2627D" w14:textId="3AF0D3E0" w:rsidR="003C227B" w:rsidRDefault="003C227B" w:rsidP="00060A06">
    <w:pPr>
      <w:pStyle w:val="leftfooter"/>
      <w:rPr>
        <w:noProof/>
      </w:rPr>
    </w:pPr>
    <w:r>
      <w:fldChar w:fldCharType="begin"/>
    </w:r>
    <w:r>
      <w:instrText xml:space="preserve"> PAGE   \* MERGEFORMAT </w:instrText>
    </w:r>
    <w:r>
      <w:fldChar w:fldCharType="separate"/>
    </w:r>
    <w:r>
      <w:rPr>
        <w:noProof/>
      </w:rPr>
      <w:t>4</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2627E" w14:textId="5CA747A1" w:rsidR="003C227B" w:rsidRDefault="003C227B" w:rsidP="00060A06">
    <w:pPr>
      <w:pStyle w:val="rightfooter"/>
      <w:rPr>
        <w:noProof/>
      </w:rPr>
    </w:pPr>
    <w:r>
      <w:fldChar w:fldCharType="begin"/>
    </w:r>
    <w:r>
      <w:instrText xml:space="preserve"> PAGE   \* MERGEFORMAT </w:instrText>
    </w:r>
    <w:r>
      <w:fldChar w:fldCharType="separate"/>
    </w:r>
    <w:r>
      <w:rPr>
        <w:noProof/>
      </w:rPr>
      <w:t>5</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26280" w14:textId="4F2CB883" w:rsidR="003C227B" w:rsidRDefault="003C227B" w:rsidP="00060A0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26283" w14:textId="638D47B8" w:rsidR="003C227B" w:rsidRDefault="003C227B" w:rsidP="00060A06">
    <w:pPr>
      <w:pStyle w:val="leftfooter"/>
      <w:rPr>
        <w:noProof/>
      </w:rPr>
    </w:pPr>
    <w:r>
      <w:fldChar w:fldCharType="begin"/>
    </w:r>
    <w:r>
      <w:instrText xml:space="preserve"> PAGE   \* MERGEFORMAT </w:instrText>
    </w:r>
    <w:r>
      <w:fldChar w:fldCharType="separate"/>
    </w:r>
    <w:r>
      <w:rPr>
        <w:noProof/>
      </w:rPr>
      <w:t>2</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26284" w14:textId="12F878A4" w:rsidR="003C227B" w:rsidRDefault="003C227B" w:rsidP="00060A06">
    <w:pPr>
      <w:pStyle w:val="rightfooter"/>
      <w:rPr>
        <w:noProof/>
      </w:rPr>
    </w:pPr>
    <w:r>
      <w:fldChar w:fldCharType="begin"/>
    </w:r>
    <w:r>
      <w:instrText xml:space="preserve"> PAGE   \* MERGEFORMAT </w:instrText>
    </w:r>
    <w:r>
      <w:fldChar w:fldCharType="separate"/>
    </w:r>
    <w:r>
      <w:rPr>
        <w:noProof/>
      </w:rPr>
      <w:t>3</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26285" w14:textId="37A22F4C" w:rsidR="003C227B" w:rsidRDefault="003C227B" w:rsidP="00060A06">
    <w:pPr>
      <w:pStyle w:val="rightfooter"/>
      <w:rPr>
        <w:noProof/>
      </w:rPr>
    </w:pPr>
    <w:r>
      <w:fldChar w:fldCharType="begin"/>
    </w:r>
    <w:r>
      <w:instrText xml:space="preserve"> PAGE  \* Arabic  \* MERGEFORMAT </w:instrText>
    </w:r>
    <w:r>
      <w:fldChar w:fldCharType="separate"/>
    </w:r>
    <w:r w:rsidR="00085F5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08769" w14:textId="77777777" w:rsidR="003C227B" w:rsidRDefault="003C227B">
      <w:r>
        <w:separator/>
      </w:r>
    </w:p>
  </w:footnote>
  <w:footnote w:type="continuationSeparator" w:id="0">
    <w:p w14:paraId="5A812E61" w14:textId="77777777" w:rsidR="003C227B" w:rsidRDefault="003C227B">
      <w:r>
        <w:continuationSeparator/>
      </w:r>
    </w:p>
  </w:footnote>
  <w:footnote w:type="continuationNotice" w:id="1">
    <w:p w14:paraId="47C9C6E6" w14:textId="77777777" w:rsidR="003C227B" w:rsidRDefault="003C227B">
      <w:pPr>
        <w:spacing w:before="0" w:after="0"/>
      </w:pPr>
    </w:p>
  </w:footnote>
  <w:footnote w:id="2">
    <w:p w14:paraId="28BB6B67" w14:textId="55F1426A" w:rsidR="003C227B" w:rsidRDefault="003C227B" w:rsidP="00F45F8F">
      <w:pPr>
        <w:pStyle w:val="FootnoteText"/>
      </w:pPr>
      <w:r>
        <w:rPr>
          <w:rStyle w:val="FootnoteReference"/>
        </w:rPr>
        <w:footnoteRef/>
      </w:r>
      <w:r>
        <w:t xml:space="preserve"> </w:t>
      </w:r>
      <w:r>
        <w:tab/>
      </w:r>
      <w:r w:rsidRPr="00FB5C2D">
        <w:t xml:space="preserve">The product dashboard requirements were introduced by the </w:t>
      </w:r>
      <w:r w:rsidRPr="000C3666">
        <w:rPr>
          <w:i/>
        </w:rPr>
        <w:t>Superannuation Legislation Amendment (Further MySuper and Transparency Measures) Act 2012</w:t>
      </w:r>
      <w:r w:rsidRPr="00FB5C2D">
        <w:t xml:space="preserve">, with changes being made by the </w:t>
      </w:r>
      <w:r w:rsidRPr="000C3666">
        <w:rPr>
          <w:i/>
        </w:rPr>
        <w:t>Superannuation Legislation Amendment (Service Providers and Other Governance Measures) Act 2013</w:t>
      </w:r>
      <w:r>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26276" w14:textId="1FA551F7" w:rsidR="003C227B" w:rsidRDefault="003C227B" w:rsidP="00060A06">
    <w:pPr>
      <w:pStyle w:val="leftheader"/>
    </w:pPr>
    <w:r>
      <w:fldChar w:fldCharType="begin"/>
    </w:r>
    <w:r>
      <w:instrText xml:space="preserve"> macrobutton nomacro [Click here and insert the name of the Bill] </w:instrTex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26287" w14:textId="29291B47" w:rsidR="003C227B" w:rsidRDefault="003C227B" w:rsidP="00060A06">
    <w:pPr>
      <w:pStyle w:val="rightheader"/>
    </w:pPr>
    <w:r>
      <w:fldChar w:fldCharType="begin"/>
    </w:r>
    <w:r>
      <w:instrText xml:space="preserve"> macrobutton nomacro [Click here and enter the name of the Chapter </w:instrTex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26290" w14:textId="02F81A0B" w:rsidR="003C227B" w:rsidRDefault="003C227B" w:rsidP="005A76CC">
    <w:pPr>
      <w:pStyle w:val="leftheader"/>
    </w:pPr>
    <w:r>
      <w:fldChar w:fldCharType="begin"/>
    </w:r>
    <w:r>
      <w:instrText xml:space="preserve"> macrobutton nomacro [Click here and insert the name of the Bill] </w:instrTex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26291" w14:textId="218450CD" w:rsidR="003C227B" w:rsidRDefault="003C227B" w:rsidP="005A76CC">
    <w:pPr>
      <w:pStyle w:val="rightheader"/>
    </w:pPr>
    <w:r>
      <w:fldChar w:fldCharType="begin"/>
    </w:r>
    <w:r>
      <w:instrText xml:space="preserve"> macrobutton nomacro [Click here and enter the name of the Chapter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26277" w14:textId="3E37BEAA" w:rsidR="003C227B" w:rsidRDefault="003C227B" w:rsidP="00060A06">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43B68" w14:textId="77777777" w:rsidR="003C227B" w:rsidRDefault="003C227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2627B" w14:textId="245C8536" w:rsidR="003C227B" w:rsidRDefault="003C227B" w:rsidP="00060A06">
    <w:pPr>
      <w:pStyle w:val="leftheader"/>
    </w:pPr>
    <w:r>
      <w:fldChar w:fldCharType="begin"/>
    </w:r>
    <w:r>
      <w:instrText xml:space="preserve"> macrobutton nomacro [Click here and insert the name of the Bill] </w:instrTex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2627C" w14:textId="36F0B5E2" w:rsidR="003C227B" w:rsidRDefault="003C227B" w:rsidP="00060A06">
    <w:pPr>
      <w:pStyle w:val="rightheader"/>
    </w:pPr>
    <w:r>
      <w:fldChar w:fldCharType="begin"/>
    </w:r>
    <w:r>
      <w:instrText xml:space="preserve"> macrobutton nomacro [Click here and enter the name of the Chapter </w:instrTex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2627F" w14:textId="74A15B9D" w:rsidR="003C227B" w:rsidRPr="00D6261F" w:rsidRDefault="003C227B" w:rsidP="00D6261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26281" w14:textId="7EA53805" w:rsidR="003C227B" w:rsidRDefault="003C227B" w:rsidP="00060A06">
    <w:pPr>
      <w:pStyle w:val="leftheader"/>
    </w:pPr>
    <w:r>
      <w:fldChar w:fldCharType="begin"/>
    </w:r>
    <w:r>
      <w:instrText xml:space="preserve"> macrobutton nomacro [Click here and insert the name of the Bill] </w:instrTex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26282" w14:textId="1CE3D015" w:rsidR="003C227B" w:rsidRDefault="003C227B" w:rsidP="00060A06">
    <w:pPr>
      <w:pStyle w:val="rightheader"/>
    </w:pPr>
    <w:r>
      <w:fldChar w:fldCharType="begin"/>
    </w:r>
    <w:r>
      <w:instrText xml:space="preserve"> macrobutton nomacro [Click here and enter the name of the Chapter </w:instrTex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26286" w14:textId="44924BE2" w:rsidR="003C227B" w:rsidRDefault="003C227B" w:rsidP="00060A06">
    <w:pPr>
      <w:pStyle w:val="leftheader"/>
    </w:pPr>
    <w:r>
      <w:fldChar w:fldCharType="begin"/>
    </w:r>
    <w:r>
      <w:instrText xml:space="preserve"> macrobutton nomacro [Click here and insert the name of the Bill]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AD4F63"/>
    <w:multiLevelType w:val="hybridMultilevel"/>
    <w:tmpl w:val="116A803E"/>
    <w:lvl w:ilvl="0" w:tplc="8E4A541A">
      <w:start w:val="1"/>
      <w:numFmt w:val="bullet"/>
      <w:lvlText w:val=""/>
      <w:lvlJc w:val="left"/>
      <w:pPr>
        <w:tabs>
          <w:tab w:val="num" w:pos="539"/>
        </w:tabs>
        <w:ind w:left="539" w:hanging="363"/>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7B019E2"/>
    <w:multiLevelType w:val="multilevel"/>
    <w:tmpl w:val="A316FE50"/>
    <w:numStyleLink w:val="ChapterList"/>
  </w:abstractNum>
  <w:abstractNum w:abstractNumId="12">
    <w:nsid w:val="0F5B5BBF"/>
    <w:multiLevelType w:val="multilevel"/>
    <w:tmpl w:val="A316FE50"/>
    <w:numStyleLink w:val="ChapterList"/>
  </w:abstractNum>
  <w:abstractNum w:abstractNumId="13">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822090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1BEB4EC5"/>
    <w:multiLevelType w:val="multilevel"/>
    <w:tmpl w:val="6D98FC9A"/>
    <w:numStyleLink w:val="TableDotPointList"/>
  </w:abstractNum>
  <w:abstractNum w:abstractNumId="16">
    <w:nsid w:val="1D050AB2"/>
    <w:multiLevelType w:val="multilevel"/>
    <w:tmpl w:val="EE64FF8E"/>
    <w:name w:val="TableDotPointList"/>
    <w:lvl w:ilvl="0">
      <w:start w:val="1"/>
      <w:numFmt w:val="bullet"/>
      <w:lvlRestart w:val="0"/>
      <w:lvlText w:val="•"/>
      <w:lvlJc w:val="left"/>
      <w:pPr>
        <w:tabs>
          <w:tab w:val="num" w:pos="284"/>
        </w:tabs>
        <w:ind w:left="284" w:hanging="284"/>
      </w:pPr>
      <w:rPr>
        <w:b w:val="0"/>
        <w:i w:val="0"/>
        <w:color w:val="000000"/>
      </w:rPr>
    </w:lvl>
    <w:lvl w:ilvl="1">
      <w:start w:val="1"/>
      <w:numFmt w:val="bullet"/>
      <w:lvlText w:val="–"/>
      <w:lvlJc w:val="left"/>
      <w:pPr>
        <w:tabs>
          <w:tab w:val="num" w:pos="567"/>
        </w:tabs>
        <w:ind w:left="567"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nsid w:val="407229D3"/>
    <w:multiLevelType w:val="multilevel"/>
    <w:tmpl w:val="8B7C8C68"/>
    <w:name w:val="ChapterList"/>
    <w:lvl w:ilvl="0">
      <w:start w:val="1"/>
      <w:numFmt w:val="decimal"/>
      <w:lvlRestart w:val="0"/>
      <w:suff w:val="nothing"/>
      <w:lvlText w:val=""/>
      <w:lvlJc w:val="left"/>
      <w:pPr>
        <w:ind w:left="0" w:firstLine="0"/>
      </w:pPr>
      <w:rPr>
        <w:b w:val="0"/>
        <w:i w:val="0"/>
        <w:color w:val="000000"/>
      </w:rPr>
    </w:lvl>
    <w:lvl w:ilvl="1">
      <w:start w:val="1"/>
      <w:numFmt w:val="decimal"/>
      <w:lvlText w:val="%1.%2"/>
      <w:lvlJc w:val="left"/>
      <w:pPr>
        <w:tabs>
          <w:tab w:val="num" w:pos="1984"/>
        </w:tabs>
        <w:ind w:left="1134" w:firstLine="0"/>
      </w:pPr>
      <w:rPr>
        <w:b w:val="0"/>
        <w:i w:val="0"/>
        <w:color w:val="000000"/>
      </w:rPr>
    </w:lvl>
    <w:lvl w:ilvl="2">
      <w:start w:val="1"/>
      <w:numFmt w:val="decimal"/>
      <w:lvlRestart w:val="1"/>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1">
    <w:nsid w:val="43FB3E18"/>
    <w:multiLevelType w:val="multilevel"/>
    <w:tmpl w:val="A316FE50"/>
    <w:numStyleLink w:val="ChapterList"/>
  </w:abstractNum>
  <w:abstractNum w:abstractNumId="22">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54C0B69"/>
    <w:multiLevelType w:val="hybridMultilevel"/>
    <w:tmpl w:val="B63CB1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nsid w:val="58CB286E"/>
    <w:multiLevelType w:val="multilevel"/>
    <w:tmpl w:val="93629C36"/>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FBC7E8D"/>
    <w:multiLevelType w:val="singleLevel"/>
    <w:tmpl w:val="06D22332"/>
    <w:lvl w:ilvl="0">
      <w:start w:val="1"/>
      <w:numFmt w:val="decimal"/>
      <w:lvlRestart w:val="0"/>
      <w:lvlText w:val="%1."/>
      <w:lvlJc w:val="left"/>
      <w:pPr>
        <w:tabs>
          <w:tab w:val="num" w:pos="1984"/>
        </w:tabs>
        <w:ind w:left="1140" w:firstLine="0"/>
      </w:pPr>
      <w:rPr>
        <w:b w:val="0"/>
        <w:i w:val="0"/>
        <w:color w:val="000000"/>
      </w:rPr>
    </w:lvl>
  </w:abstractNum>
  <w:abstractNum w:abstractNumId="27">
    <w:nsid w:val="64281CEB"/>
    <w:multiLevelType w:val="multilevel"/>
    <w:tmpl w:val="A316FE50"/>
    <w:numStyleLink w:val="ChapterList"/>
  </w:abstractNum>
  <w:abstractNum w:abstractNumId="28">
    <w:nsid w:val="65DF6494"/>
    <w:multiLevelType w:val="multilevel"/>
    <w:tmpl w:val="A316FE50"/>
    <w:numStyleLink w:val="ChapterList"/>
  </w:abstractNum>
  <w:abstractNum w:abstractNumId="29">
    <w:nsid w:val="6D302C09"/>
    <w:multiLevelType w:val="multilevel"/>
    <w:tmpl w:val="A316FE50"/>
    <w:numStyleLink w:val="ChapterList"/>
  </w:abstractNum>
  <w:abstractNum w:abstractNumId="3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nsid w:val="7CAC208D"/>
    <w:multiLevelType w:val="multilevel"/>
    <w:tmpl w:val="A316FE50"/>
    <w:numStyleLink w:val="ChapterList"/>
  </w:abstractNum>
  <w:num w:numId="1">
    <w:abstractNumId w:val="20"/>
  </w:num>
  <w:num w:numId="2">
    <w:abstractNumId w:val="19"/>
  </w:num>
  <w:num w:numId="3">
    <w:abstractNumId w:val="16"/>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30"/>
  </w:num>
  <w:num w:numId="17">
    <w:abstractNumId w:val="31"/>
  </w:num>
  <w:num w:numId="18">
    <w:abstractNumId w:val="10"/>
  </w:num>
  <w:num w:numId="19">
    <w:abstractNumId w:val="18"/>
  </w:num>
  <w:num w:numId="20">
    <w:abstractNumId w:val="22"/>
  </w:num>
  <w:num w:numId="21">
    <w:abstractNumId w:val="25"/>
  </w:num>
  <w:num w:numId="22">
    <w:abstractNumId w:val="13"/>
  </w:num>
  <w:num w:numId="23">
    <w:abstractNumId w:val="15"/>
  </w:num>
  <w:num w:numId="24">
    <w:abstractNumId w:val="29"/>
  </w:num>
  <w:num w:numId="25">
    <w:abstractNumId w:val="32"/>
  </w:num>
  <w:num w:numId="26">
    <w:abstractNumId w:val="27"/>
  </w:num>
  <w:num w:numId="27">
    <w:abstractNumId w:val="11"/>
  </w:num>
  <w:num w:numId="28">
    <w:abstractNumId w:val="21"/>
  </w:num>
  <w:num w:numId="29">
    <w:abstractNumId w:val="12"/>
  </w:num>
  <w:num w:numId="30">
    <w:abstractNumId w:val="28"/>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28"/>
  </w:num>
  <w:num w:numId="32">
    <w:abstractNumId w:val="28"/>
    <w:lvlOverride w:ilvl="2">
      <w:lvl w:ilvl="2">
        <w:start w:val="1"/>
        <w:numFmt w:val="decimal"/>
        <w:lvlRestart w:val="1"/>
        <w:pStyle w:val="Diagram"/>
        <w:suff w:val="nothing"/>
        <w:lvlText w:val="Diagram %1.%3"/>
        <w:lvlJc w:val="left"/>
        <w:pPr>
          <w:ind w:left="-426"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426"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3">
    <w:abstractNumId w:val="26"/>
  </w:num>
  <w:num w:numId="34">
    <w:abstractNumId w:val="24"/>
  </w:num>
  <w:num w:numId="35">
    <w:abstractNumId w:val="28"/>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6">
    <w:abstractNumId w:val="23"/>
  </w:num>
  <w:num w:numId="37">
    <w:abstractNumId w:val="28"/>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8">
    <w:abstractNumId w:val="28"/>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9">
    <w:abstractNumId w:val="28"/>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0">
    <w:abstractNumId w:val="28"/>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1">
    <w:abstractNumId w:val="28"/>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2">
    <w:abstractNumId w:val="19"/>
  </w:num>
  <w:num w:numId="43">
    <w:abstractNumId w:val="28"/>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abstractNumId w:val="28"/>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abstractNumId w:val="28"/>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abstractNumId w:val="28"/>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7">
    <w:abstractNumId w:val="28"/>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8">
    <w:abstractNumId w:val="28"/>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9">
    <w:abstractNumId w:val="28"/>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0">
    <w:abstractNumId w:val="28"/>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1">
    <w:abstractNumId w:val="28"/>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2">
    <w:abstractNumId w:val="28"/>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3">
    <w:abstractNumId w:val="28"/>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4">
    <w:abstractNumId w:val="28"/>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5">
    <w:abstractNumId w:val="28"/>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6">
    <w:abstractNumId w:val="28"/>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7">
    <w:abstractNumId w:val="19"/>
  </w:num>
  <w:num w:numId="58">
    <w:abstractNumId w:val="22"/>
  </w:num>
  <w:num w:numId="59">
    <w:abstractNumId w:val="22"/>
  </w:num>
  <w:num w:numId="60">
    <w:abstractNumId w:val="19"/>
  </w:num>
  <w:num w:numId="61">
    <w:abstractNumId w:val="19"/>
  </w:num>
  <w:num w:numId="62">
    <w:abstractNumId w:val="19"/>
  </w:num>
  <w:num w:numId="63">
    <w:abstractNumId w:val="28"/>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evenAndOddHeaders/>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noTabHangInd/>
    <w:noColumnBalance/>
    <w:suppressBottomSpacing/>
    <w:suppressTopSpacing/>
    <w:suppressSpBfAfterPgBrk/>
    <w:noSpaceRaiseLower/>
    <w:doNotUseHTMLParagraphAutoSpacing/>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IClassificationInHeader" w:val="False"/>
    <w:docVar w:name="SecurityClassificationInHeader" w:val="False"/>
    <w:docVar w:name="SecurityDLMInHeader" w:val="False"/>
  </w:docVars>
  <w:rsids>
    <w:rsidRoot w:val="00E40703"/>
    <w:rsid w:val="000020D5"/>
    <w:rsid w:val="00005CFC"/>
    <w:rsid w:val="00011912"/>
    <w:rsid w:val="00012F66"/>
    <w:rsid w:val="0001784B"/>
    <w:rsid w:val="00025CCC"/>
    <w:rsid w:val="000327A2"/>
    <w:rsid w:val="0003305A"/>
    <w:rsid w:val="00034BE8"/>
    <w:rsid w:val="0003609B"/>
    <w:rsid w:val="000407AB"/>
    <w:rsid w:val="000477FB"/>
    <w:rsid w:val="00050170"/>
    <w:rsid w:val="00053897"/>
    <w:rsid w:val="0005600E"/>
    <w:rsid w:val="00057808"/>
    <w:rsid w:val="00060758"/>
    <w:rsid w:val="00060A06"/>
    <w:rsid w:val="0006448A"/>
    <w:rsid w:val="00067E1D"/>
    <w:rsid w:val="000705A5"/>
    <w:rsid w:val="00070FF1"/>
    <w:rsid w:val="000725C0"/>
    <w:rsid w:val="00075250"/>
    <w:rsid w:val="00076543"/>
    <w:rsid w:val="0008302A"/>
    <w:rsid w:val="000835C7"/>
    <w:rsid w:val="00085C5D"/>
    <w:rsid w:val="00085F57"/>
    <w:rsid w:val="0009055D"/>
    <w:rsid w:val="000960B7"/>
    <w:rsid w:val="000A0395"/>
    <w:rsid w:val="000A0AFD"/>
    <w:rsid w:val="000A2094"/>
    <w:rsid w:val="000A341E"/>
    <w:rsid w:val="000A502A"/>
    <w:rsid w:val="000A5B26"/>
    <w:rsid w:val="000A6DBE"/>
    <w:rsid w:val="000B1F5A"/>
    <w:rsid w:val="000B4B4F"/>
    <w:rsid w:val="000B7FBA"/>
    <w:rsid w:val="000C06D9"/>
    <w:rsid w:val="000C50F4"/>
    <w:rsid w:val="000D3240"/>
    <w:rsid w:val="000D35CC"/>
    <w:rsid w:val="000D54A6"/>
    <w:rsid w:val="000D590E"/>
    <w:rsid w:val="000E089D"/>
    <w:rsid w:val="000E5B9A"/>
    <w:rsid w:val="000F01E8"/>
    <w:rsid w:val="001114E6"/>
    <w:rsid w:val="001138E0"/>
    <w:rsid w:val="00113E19"/>
    <w:rsid w:val="00115207"/>
    <w:rsid w:val="00121EB0"/>
    <w:rsid w:val="00123164"/>
    <w:rsid w:val="00123D96"/>
    <w:rsid w:val="0012405D"/>
    <w:rsid w:val="00124E15"/>
    <w:rsid w:val="001308C6"/>
    <w:rsid w:val="00131E0C"/>
    <w:rsid w:val="001328E4"/>
    <w:rsid w:val="00134C86"/>
    <w:rsid w:val="00136AF0"/>
    <w:rsid w:val="0014197C"/>
    <w:rsid w:val="001445C0"/>
    <w:rsid w:val="00145808"/>
    <w:rsid w:val="00145BEB"/>
    <w:rsid w:val="00147843"/>
    <w:rsid w:val="0016246C"/>
    <w:rsid w:val="00174A29"/>
    <w:rsid w:val="001757E2"/>
    <w:rsid w:val="00183A3A"/>
    <w:rsid w:val="001A08E9"/>
    <w:rsid w:val="001A3B7A"/>
    <w:rsid w:val="001A7A18"/>
    <w:rsid w:val="001B776B"/>
    <w:rsid w:val="001D5436"/>
    <w:rsid w:val="001E168E"/>
    <w:rsid w:val="001E6545"/>
    <w:rsid w:val="001F7B19"/>
    <w:rsid w:val="00200C32"/>
    <w:rsid w:val="00200E96"/>
    <w:rsid w:val="00201B36"/>
    <w:rsid w:val="0021560F"/>
    <w:rsid w:val="00220D6C"/>
    <w:rsid w:val="00221656"/>
    <w:rsid w:val="00222CF6"/>
    <w:rsid w:val="00222D57"/>
    <w:rsid w:val="00224A43"/>
    <w:rsid w:val="00231CBA"/>
    <w:rsid w:val="00236A1C"/>
    <w:rsid w:val="00250154"/>
    <w:rsid w:val="00252827"/>
    <w:rsid w:val="00253E01"/>
    <w:rsid w:val="00261B5D"/>
    <w:rsid w:val="00266048"/>
    <w:rsid w:val="00272FD3"/>
    <w:rsid w:val="002748EB"/>
    <w:rsid w:val="0028263B"/>
    <w:rsid w:val="002857E2"/>
    <w:rsid w:val="002A02FD"/>
    <w:rsid w:val="002A4F1C"/>
    <w:rsid w:val="002A64A2"/>
    <w:rsid w:val="002A774A"/>
    <w:rsid w:val="002A77F2"/>
    <w:rsid w:val="002C0234"/>
    <w:rsid w:val="002C43E8"/>
    <w:rsid w:val="002C4696"/>
    <w:rsid w:val="002C7E76"/>
    <w:rsid w:val="002D2436"/>
    <w:rsid w:val="002D6555"/>
    <w:rsid w:val="002D7BDE"/>
    <w:rsid w:val="002E3A4D"/>
    <w:rsid w:val="002E5FD3"/>
    <w:rsid w:val="002F2244"/>
    <w:rsid w:val="002F3991"/>
    <w:rsid w:val="002F44F8"/>
    <w:rsid w:val="002F5E96"/>
    <w:rsid w:val="002F6A99"/>
    <w:rsid w:val="002F75B0"/>
    <w:rsid w:val="0030256C"/>
    <w:rsid w:val="00305E1F"/>
    <w:rsid w:val="00320374"/>
    <w:rsid w:val="00325BF0"/>
    <w:rsid w:val="003354A7"/>
    <w:rsid w:val="00340FDE"/>
    <w:rsid w:val="00345CCB"/>
    <w:rsid w:val="00346BEB"/>
    <w:rsid w:val="003501C2"/>
    <w:rsid w:val="003505E3"/>
    <w:rsid w:val="00353E46"/>
    <w:rsid w:val="0036787F"/>
    <w:rsid w:val="00370AE1"/>
    <w:rsid w:val="00370CF4"/>
    <w:rsid w:val="003719A4"/>
    <w:rsid w:val="00376FAF"/>
    <w:rsid w:val="00377CD4"/>
    <w:rsid w:val="00380401"/>
    <w:rsid w:val="00386A6F"/>
    <w:rsid w:val="00387BAB"/>
    <w:rsid w:val="00390A2D"/>
    <w:rsid w:val="00390E94"/>
    <w:rsid w:val="003912C0"/>
    <w:rsid w:val="0039400F"/>
    <w:rsid w:val="00394AC7"/>
    <w:rsid w:val="003A02F1"/>
    <w:rsid w:val="003A311E"/>
    <w:rsid w:val="003A5A84"/>
    <w:rsid w:val="003A5D7E"/>
    <w:rsid w:val="003B0178"/>
    <w:rsid w:val="003B2C77"/>
    <w:rsid w:val="003B550D"/>
    <w:rsid w:val="003B7EDC"/>
    <w:rsid w:val="003C1301"/>
    <w:rsid w:val="003C227B"/>
    <w:rsid w:val="003C46FA"/>
    <w:rsid w:val="003C5BA3"/>
    <w:rsid w:val="003D6FD9"/>
    <w:rsid w:val="003D734D"/>
    <w:rsid w:val="003D7F02"/>
    <w:rsid w:val="003E0794"/>
    <w:rsid w:val="003E5EE9"/>
    <w:rsid w:val="003E68F7"/>
    <w:rsid w:val="003F096C"/>
    <w:rsid w:val="003F4BD0"/>
    <w:rsid w:val="00411C02"/>
    <w:rsid w:val="00415AAB"/>
    <w:rsid w:val="0042016D"/>
    <w:rsid w:val="00420C03"/>
    <w:rsid w:val="00424057"/>
    <w:rsid w:val="00424EAA"/>
    <w:rsid w:val="0043366C"/>
    <w:rsid w:val="00433B1D"/>
    <w:rsid w:val="00433F22"/>
    <w:rsid w:val="00433FD9"/>
    <w:rsid w:val="00435E0B"/>
    <w:rsid w:val="00436054"/>
    <w:rsid w:val="00441D38"/>
    <w:rsid w:val="00442FB9"/>
    <w:rsid w:val="0044391B"/>
    <w:rsid w:val="00450635"/>
    <w:rsid w:val="00450DB5"/>
    <w:rsid w:val="00451BB3"/>
    <w:rsid w:val="00457BC3"/>
    <w:rsid w:val="00460019"/>
    <w:rsid w:val="00465A34"/>
    <w:rsid w:val="00470181"/>
    <w:rsid w:val="004710EB"/>
    <w:rsid w:val="00475D9F"/>
    <w:rsid w:val="00476FF3"/>
    <w:rsid w:val="00480C91"/>
    <w:rsid w:val="004836A9"/>
    <w:rsid w:val="004836D2"/>
    <w:rsid w:val="00483A94"/>
    <w:rsid w:val="00484A41"/>
    <w:rsid w:val="004B2BFE"/>
    <w:rsid w:val="004B49AA"/>
    <w:rsid w:val="004B4BAE"/>
    <w:rsid w:val="004B755A"/>
    <w:rsid w:val="004C1468"/>
    <w:rsid w:val="004C196A"/>
    <w:rsid w:val="004C4399"/>
    <w:rsid w:val="004C7F48"/>
    <w:rsid w:val="004D171F"/>
    <w:rsid w:val="004D6B85"/>
    <w:rsid w:val="004E161F"/>
    <w:rsid w:val="004E6082"/>
    <w:rsid w:val="00502551"/>
    <w:rsid w:val="00504B33"/>
    <w:rsid w:val="00504D4A"/>
    <w:rsid w:val="005052B0"/>
    <w:rsid w:val="0050652E"/>
    <w:rsid w:val="00515E69"/>
    <w:rsid w:val="005177DF"/>
    <w:rsid w:val="00517B68"/>
    <w:rsid w:val="00523617"/>
    <w:rsid w:val="005255EA"/>
    <w:rsid w:val="00534552"/>
    <w:rsid w:val="005408E6"/>
    <w:rsid w:val="0054284D"/>
    <w:rsid w:val="00555D38"/>
    <w:rsid w:val="00560C14"/>
    <w:rsid w:val="00580C19"/>
    <w:rsid w:val="00582EA7"/>
    <w:rsid w:val="00585AFF"/>
    <w:rsid w:val="00591AFA"/>
    <w:rsid w:val="005A5348"/>
    <w:rsid w:val="005A5BB3"/>
    <w:rsid w:val="005A76CC"/>
    <w:rsid w:val="005B0DEE"/>
    <w:rsid w:val="005B22C7"/>
    <w:rsid w:val="005B546F"/>
    <w:rsid w:val="005C0475"/>
    <w:rsid w:val="005C2B1A"/>
    <w:rsid w:val="005C6FB4"/>
    <w:rsid w:val="005D0F90"/>
    <w:rsid w:val="005D4770"/>
    <w:rsid w:val="005E3E2D"/>
    <w:rsid w:val="005E5FBA"/>
    <w:rsid w:val="005E741D"/>
    <w:rsid w:val="005E77E1"/>
    <w:rsid w:val="006016F2"/>
    <w:rsid w:val="0060211C"/>
    <w:rsid w:val="00604C4F"/>
    <w:rsid w:val="006071CA"/>
    <w:rsid w:val="006071E9"/>
    <w:rsid w:val="00621923"/>
    <w:rsid w:val="006267CF"/>
    <w:rsid w:val="00632871"/>
    <w:rsid w:val="00633064"/>
    <w:rsid w:val="00633437"/>
    <w:rsid w:val="006412C3"/>
    <w:rsid w:val="006432A2"/>
    <w:rsid w:val="006447B6"/>
    <w:rsid w:val="00645081"/>
    <w:rsid w:val="00645FD3"/>
    <w:rsid w:val="0065153E"/>
    <w:rsid w:val="00651D79"/>
    <w:rsid w:val="00653DA2"/>
    <w:rsid w:val="00657D4A"/>
    <w:rsid w:val="006655F9"/>
    <w:rsid w:val="00667EEF"/>
    <w:rsid w:val="006712FD"/>
    <w:rsid w:val="00676AC8"/>
    <w:rsid w:val="006857AE"/>
    <w:rsid w:val="00685DE6"/>
    <w:rsid w:val="00686746"/>
    <w:rsid w:val="006869D8"/>
    <w:rsid w:val="0068772B"/>
    <w:rsid w:val="006916A8"/>
    <w:rsid w:val="006A1A58"/>
    <w:rsid w:val="006A4718"/>
    <w:rsid w:val="006C2022"/>
    <w:rsid w:val="006C2352"/>
    <w:rsid w:val="006C3CEB"/>
    <w:rsid w:val="006D4184"/>
    <w:rsid w:val="006D4CA4"/>
    <w:rsid w:val="006D737B"/>
    <w:rsid w:val="006E01A2"/>
    <w:rsid w:val="006E08FB"/>
    <w:rsid w:val="006E1E76"/>
    <w:rsid w:val="006E60FD"/>
    <w:rsid w:val="006F65A9"/>
    <w:rsid w:val="006F6D79"/>
    <w:rsid w:val="006F7AFB"/>
    <w:rsid w:val="007001D0"/>
    <w:rsid w:val="00703C25"/>
    <w:rsid w:val="00704FE8"/>
    <w:rsid w:val="00707D39"/>
    <w:rsid w:val="00710171"/>
    <w:rsid w:val="00710500"/>
    <w:rsid w:val="007155B4"/>
    <w:rsid w:val="007246A6"/>
    <w:rsid w:val="00725B4F"/>
    <w:rsid w:val="007301ED"/>
    <w:rsid w:val="007329C5"/>
    <w:rsid w:val="00736240"/>
    <w:rsid w:val="007439D0"/>
    <w:rsid w:val="00744250"/>
    <w:rsid w:val="007454F8"/>
    <w:rsid w:val="007501AD"/>
    <w:rsid w:val="00753239"/>
    <w:rsid w:val="007601E2"/>
    <w:rsid w:val="00762AAE"/>
    <w:rsid w:val="00762D28"/>
    <w:rsid w:val="007652BC"/>
    <w:rsid w:val="00766B32"/>
    <w:rsid w:val="00774214"/>
    <w:rsid w:val="007764BB"/>
    <w:rsid w:val="007765CC"/>
    <w:rsid w:val="00783640"/>
    <w:rsid w:val="007871CD"/>
    <w:rsid w:val="00790795"/>
    <w:rsid w:val="00792ECD"/>
    <w:rsid w:val="00793F75"/>
    <w:rsid w:val="007966EF"/>
    <w:rsid w:val="007A1BCB"/>
    <w:rsid w:val="007A3C4E"/>
    <w:rsid w:val="007A4C99"/>
    <w:rsid w:val="007B188B"/>
    <w:rsid w:val="007B23EE"/>
    <w:rsid w:val="007B281B"/>
    <w:rsid w:val="007B5563"/>
    <w:rsid w:val="007C442E"/>
    <w:rsid w:val="007C47E7"/>
    <w:rsid w:val="007C638B"/>
    <w:rsid w:val="007D1821"/>
    <w:rsid w:val="007E2491"/>
    <w:rsid w:val="007E25E0"/>
    <w:rsid w:val="007E3C31"/>
    <w:rsid w:val="007F1A04"/>
    <w:rsid w:val="007F5B1F"/>
    <w:rsid w:val="00801795"/>
    <w:rsid w:val="00813210"/>
    <w:rsid w:val="008147F1"/>
    <w:rsid w:val="008164F4"/>
    <w:rsid w:val="008212B5"/>
    <w:rsid w:val="00821379"/>
    <w:rsid w:val="00827930"/>
    <w:rsid w:val="00830A28"/>
    <w:rsid w:val="00832743"/>
    <w:rsid w:val="0083341E"/>
    <w:rsid w:val="00835001"/>
    <w:rsid w:val="008404EC"/>
    <w:rsid w:val="0084320F"/>
    <w:rsid w:val="00844687"/>
    <w:rsid w:val="00855D57"/>
    <w:rsid w:val="00863CE2"/>
    <w:rsid w:val="0086423D"/>
    <w:rsid w:val="00867F0F"/>
    <w:rsid w:val="00874DD6"/>
    <w:rsid w:val="008752F1"/>
    <w:rsid w:val="00876165"/>
    <w:rsid w:val="00876AE6"/>
    <w:rsid w:val="00884685"/>
    <w:rsid w:val="0088514B"/>
    <w:rsid w:val="00885BE8"/>
    <w:rsid w:val="00890245"/>
    <w:rsid w:val="008923A4"/>
    <w:rsid w:val="008A45DA"/>
    <w:rsid w:val="008A75F9"/>
    <w:rsid w:val="008B0747"/>
    <w:rsid w:val="008B095D"/>
    <w:rsid w:val="008B31CE"/>
    <w:rsid w:val="008B56B5"/>
    <w:rsid w:val="008C359D"/>
    <w:rsid w:val="008C51F4"/>
    <w:rsid w:val="008C68A9"/>
    <w:rsid w:val="008D03DB"/>
    <w:rsid w:val="008D0AE4"/>
    <w:rsid w:val="008D4C40"/>
    <w:rsid w:val="008D75E9"/>
    <w:rsid w:val="008E2767"/>
    <w:rsid w:val="008F1A67"/>
    <w:rsid w:val="008F726E"/>
    <w:rsid w:val="00901ED2"/>
    <w:rsid w:val="009125BB"/>
    <w:rsid w:val="009142FC"/>
    <w:rsid w:val="00915D8C"/>
    <w:rsid w:val="00915FA5"/>
    <w:rsid w:val="0091766F"/>
    <w:rsid w:val="00917DED"/>
    <w:rsid w:val="00922787"/>
    <w:rsid w:val="009228EE"/>
    <w:rsid w:val="00926E36"/>
    <w:rsid w:val="0093177D"/>
    <w:rsid w:val="00935C6B"/>
    <w:rsid w:val="00937B71"/>
    <w:rsid w:val="00940BFD"/>
    <w:rsid w:val="00943479"/>
    <w:rsid w:val="00947AA4"/>
    <w:rsid w:val="0095290C"/>
    <w:rsid w:val="009530DE"/>
    <w:rsid w:val="00953F17"/>
    <w:rsid w:val="00957CAD"/>
    <w:rsid w:val="009615B2"/>
    <w:rsid w:val="0096411E"/>
    <w:rsid w:val="00966B88"/>
    <w:rsid w:val="00973550"/>
    <w:rsid w:val="009759C8"/>
    <w:rsid w:val="00982C45"/>
    <w:rsid w:val="00982EED"/>
    <w:rsid w:val="009973BE"/>
    <w:rsid w:val="009977B4"/>
    <w:rsid w:val="00997812"/>
    <w:rsid w:val="009A2B11"/>
    <w:rsid w:val="009A4908"/>
    <w:rsid w:val="009B00BD"/>
    <w:rsid w:val="009B0AB7"/>
    <w:rsid w:val="009B2AD6"/>
    <w:rsid w:val="009B2B19"/>
    <w:rsid w:val="009B3657"/>
    <w:rsid w:val="009C1D2A"/>
    <w:rsid w:val="009C26C9"/>
    <w:rsid w:val="009C380E"/>
    <w:rsid w:val="009D0EFE"/>
    <w:rsid w:val="009D185A"/>
    <w:rsid w:val="009D7811"/>
    <w:rsid w:val="009E5ACA"/>
    <w:rsid w:val="009E6C76"/>
    <w:rsid w:val="009F0A02"/>
    <w:rsid w:val="009F12F0"/>
    <w:rsid w:val="009F4599"/>
    <w:rsid w:val="00A01492"/>
    <w:rsid w:val="00A03E30"/>
    <w:rsid w:val="00A04A9F"/>
    <w:rsid w:val="00A07DDF"/>
    <w:rsid w:val="00A1128B"/>
    <w:rsid w:val="00A11E04"/>
    <w:rsid w:val="00A15CBE"/>
    <w:rsid w:val="00A22C72"/>
    <w:rsid w:val="00A25527"/>
    <w:rsid w:val="00A27B13"/>
    <w:rsid w:val="00A27B94"/>
    <w:rsid w:val="00A32143"/>
    <w:rsid w:val="00A332EA"/>
    <w:rsid w:val="00A37F77"/>
    <w:rsid w:val="00A44E9C"/>
    <w:rsid w:val="00A45218"/>
    <w:rsid w:val="00A45A38"/>
    <w:rsid w:val="00A46F1E"/>
    <w:rsid w:val="00A516CB"/>
    <w:rsid w:val="00A53EB2"/>
    <w:rsid w:val="00A54CD3"/>
    <w:rsid w:val="00A575AE"/>
    <w:rsid w:val="00A61078"/>
    <w:rsid w:val="00A659E4"/>
    <w:rsid w:val="00A65D09"/>
    <w:rsid w:val="00A66D72"/>
    <w:rsid w:val="00A722B0"/>
    <w:rsid w:val="00A834B8"/>
    <w:rsid w:val="00A86F1A"/>
    <w:rsid w:val="00A9159F"/>
    <w:rsid w:val="00A9275F"/>
    <w:rsid w:val="00A93921"/>
    <w:rsid w:val="00A96322"/>
    <w:rsid w:val="00AA20C9"/>
    <w:rsid w:val="00AA2141"/>
    <w:rsid w:val="00AA50D8"/>
    <w:rsid w:val="00AA5524"/>
    <w:rsid w:val="00AB1230"/>
    <w:rsid w:val="00AC6321"/>
    <w:rsid w:val="00AC7295"/>
    <w:rsid w:val="00AD1AAD"/>
    <w:rsid w:val="00AD4ABE"/>
    <w:rsid w:val="00AD687A"/>
    <w:rsid w:val="00AD6DC4"/>
    <w:rsid w:val="00AD6E17"/>
    <w:rsid w:val="00AE23F9"/>
    <w:rsid w:val="00AE5E15"/>
    <w:rsid w:val="00AF0A9F"/>
    <w:rsid w:val="00AF0EB2"/>
    <w:rsid w:val="00AF3340"/>
    <w:rsid w:val="00B00C37"/>
    <w:rsid w:val="00B064EF"/>
    <w:rsid w:val="00B07898"/>
    <w:rsid w:val="00B206C1"/>
    <w:rsid w:val="00B21673"/>
    <w:rsid w:val="00B21ADE"/>
    <w:rsid w:val="00B31641"/>
    <w:rsid w:val="00B321BE"/>
    <w:rsid w:val="00B3403E"/>
    <w:rsid w:val="00B41486"/>
    <w:rsid w:val="00B42586"/>
    <w:rsid w:val="00B46176"/>
    <w:rsid w:val="00B571CC"/>
    <w:rsid w:val="00B6273D"/>
    <w:rsid w:val="00B64794"/>
    <w:rsid w:val="00B654ED"/>
    <w:rsid w:val="00B67600"/>
    <w:rsid w:val="00B725B1"/>
    <w:rsid w:val="00B72BB5"/>
    <w:rsid w:val="00B7388C"/>
    <w:rsid w:val="00B7408F"/>
    <w:rsid w:val="00B75DB6"/>
    <w:rsid w:val="00B760E4"/>
    <w:rsid w:val="00B830CC"/>
    <w:rsid w:val="00B93631"/>
    <w:rsid w:val="00B944E7"/>
    <w:rsid w:val="00B94871"/>
    <w:rsid w:val="00B94FB4"/>
    <w:rsid w:val="00BA12EF"/>
    <w:rsid w:val="00BA2235"/>
    <w:rsid w:val="00BA2903"/>
    <w:rsid w:val="00BA41B6"/>
    <w:rsid w:val="00BA728F"/>
    <w:rsid w:val="00BC33C9"/>
    <w:rsid w:val="00BC3DB1"/>
    <w:rsid w:val="00BD4513"/>
    <w:rsid w:val="00BD4A98"/>
    <w:rsid w:val="00BD4FDA"/>
    <w:rsid w:val="00BD6FBE"/>
    <w:rsid w:val="00BD7281"/>
    <w:rsid w:val="00BE681A"/>
    <w:rsid w:val="00BE7B65"/>
    <w:rsid w:val="00BF1C59"/>
    <w:rsid w:val="00C03AF3"/>
    <w:rsid w:val="00C05595"/>
    <w:rsid w:val="00C0614A"/>
    <w:rsid w:val="00C07DB9"/>
    <w:rsid w:val="00C15743"/>
    <w:rsid w:val="00C1738A"/>
    <w:rsid w:val="00C17AED"/>
    <w:rsid w:val="00C17E1D"/>
    <w:rsid w:val="00C26CB0"/>
    <w:rsid w:val="00C27414"/>
    <w:rsid w:val="00C301EB"/>
    <w:rsid w:val="00C32240"/>
    <w:rsid w:val="00C333C2"/>
    <w:rsid w:val="00C3553F"/>
    <w:rsid w:val="00C35966"/>
    <w:rsid w:val="00C423DD"/>
    <w:rsid w:val="00C42D5D"/>
    <w:rsid w:val="00C44D85"/>
    <w:rsid w:val="00C47C84"/>
    <w:rsid w:val="00C55D39"/>
    <w:rsid w:val="00C573FB"/>
    <w:rsid w:val="00C643DF"/>
    <w:rsid w:val="00C744BC"/>
    <w:rsid w:val="00C8648B"/>
    <w:rsid w:val="00C9114B"/>
    <w:rsid w:val="00C947E7"/>
    <w:rsid w:val="00C973FB"/>
    <w:rsid w:val="00C978EF"/>
    <w:rsid w:val="00CA5F63"/>
    <w:rsid w:val="00CA7CDA"/>
    <w:rsid w:val="00CB007F"/>
    <w:rsid w:val="00CB51DA"/>
    <w:rsid w:val="00CB5BD0"/>
    <w:rsid w:val="00CB6473"/>
    <w:rsid w:val="00CC09C5"/>
    <w:rsid w:val="00CC5A10"/>
    <w:rsid w:val="00CC7BBE"/>
    <w:rsid w:val="00CD1FA8"/>
    <w:rsid w:val="00CD49ED"/>
    <w:rsid w:val="00CE090E"/>
    <w:rsid w:val="00CE1CB4"/>
    <w:rsid w:val="00CE2CA9"/>
    <w:rsid w:val="00CE4136"/>
    <w:rsid w:val="00CE4D4D"/>
    <w:rsid w:val="00CE5590"/>
    <w:rsid w:val="00CF3913"/>
    <w:rsid w:val="00CF5226"/>
    <w:rsid w:val="00CF5EE9"/>
    <w:rsid w:val="00CF670E"/>
    <w:rsid w:val="00D01826"/>
    <w:rsid w:val="00D01E95"/>
    <w:rsid w:val="00D03045"/>
    <w:rsid w:val="00D11D73"/>
    <w:rsid w:val="00D15430"/>
    <w:rsid w:val="00D22699"/>
    <w:rsid w:val="00D24670"/>
    <w:rsid w:val="00D25ABD"/>
    <w:rsid w:val="00D27DC6"/>
    <w:rsid w:val="00D363E1"/>
    <w:rsid w:val="00D372B4"/>
    <w:rsid w:val="00D4029F"/>
    <w:rsid w:val="00D407E5"/>
    <w:rsid w:val="00D42AEC"/>
    <w:rsid w:val="00D522E9"/>
    <w:rsid w:val="00D6261F"/>
    <w:rsid w:val="00D66F0C"/>
    <w:rsid w:val="00D67ADC"/>
    <w:rsid w:val="00D75FB3"/>
    <w:rsid w:val="00D76E95"/>
    <w:rsid w:val="00D809B9"/>
    <w:rsid w:val="00D82508"/>
    <w:rsid w:val="00D85B38"/>
    <w:rsid w:val="00D85BEA"/>
    <w:rsid w:val="00D90D9C"/>
    <w:rsid w:val="00D93657"/>
    <w:rsid w:val="00D96329"/>
    <w:rsid w:val="00D963F2"/>
    <w:rsid w:val="00DA72C6"/>
    <w:rsid w:val="00DB1F26"/>
    <w:rsid w:val="00DB36FF"/>
    <w:rsid w:val="00DB4106"/>
    <w:rsid w:val="00DB7341"/>
    <w:rsid w:val="00DC0577"/>
    <w:rsid w:val="00DC27DC"/>
    <w:rsid w:val="00DD2EC4"/>
    <w:rsid w:val="00DD4C55"/>
    <w:rsid w:val="00DD6306"/>
    <w:rsid w:val="00DE2E40"/>
    <w:rsid w:val="00DE6A8A"/>
    <w:rsid w:val="00DF6169"/>
    <w:rsid w:val="00E01A29"/>
    <w:rsid w:val="00E02685"/>
    <w:rsid w:val="00E110EE"/>
    <w:rsid w:val="00E2061C"/>
    <w:rsid w:val="00E21682"/>
    <w:rsid w:val="00E246B0"/>
    <w:rsid w:val="00E26E23"/>
    <w:rsid w:val="00E31B34"/>
    <w:rsid w:val="00E33716"/>
    <w:rsid w:val="00E40703"/>
    <w:rsid w:val="00E47DF5"/>
    <w:rsid w:val="00E509B6"/>
    <w:rsid w:val="00E54185"/>
    <w:rsid w:val="00E62E8C"/>
    <w:rsid w:val="00E64E07"/>
    <w:rsid w:val="00E723C5"/>
    <w:rsid w:val="00E7365D"/>
    <w:rsid w:val="00E74BDE"/>
    <w:rsid w:val="00E76041"/>
    <w:rsid w:val="00E80C57"/>
    <w:rsid w:val="00E82398"/>
    <w:rsid w:val="00E85785"/>
    <w:rsid w:val="00E85939"/>
    <w:rsid w:val="00E87729"/>
    <w:rsid w:val="00E91A7C"/>
    <w:rsid w:val="00E934E2"/>
    <w:rsid w:val="00E9400F"/>
    <w:rsid w:val="00E970D6"/>
    <w:rsid w:val="00EB0220"/>
    <w:rsid w:val="00EB33DC"/>
    <w:rsid w:val="00EB5F70"/>
    <w:rsid w:val="00EC5E3E"/>
    <w:rsid w:val="00ED50A3"/>
    <w:rsid w:val="00EE3795"/>
    <w:rsid w:val="00EE7884"/>
    <w:rsid w:val="00EF17AA"/>
    <w:rsid w:val="00EF521D"/>
    <w:rsid w:val="00EF6D77"/>
    <w:rsid w:val="00EF789C"/>
    <w:rsid w:val="00F053A1"/>
    <w:rsid w:val="00F05754"/>
    <w:rsid w:val="00F13E7A"/>
    <w:rsid w:val="00F14312"/>
    <w:rsid w:val="00F1601D"/>
    <w:rsid w:val="00F40852"/>
    <w:rsid w:val="00F446EF"/>
    <w:rsid w:val="00F454DF"/>
    <w:rsid w:val="00F45F8F"/>
    <w:rsid w:val="00F51A71"/>
    <w:rsid w:val="00F51D4B"/>
    <w:rsid w:val="00F605D2"/>
    <w:rsid w:val="00F64F94"/>
    <w:rsid w:val="00F853D1"/>
    <w:rsid w:val="00F86732"/>
    <w:rsid w:val="00F87253"/>
    <w:rsid w:val="00F87F97"/>
    <w:rsid w:val="00F9135B"/>
    <w:rsid w:val="00F918CE"/>
    <w:rsid w:val="00F92FE2"/>
    <w:rsid w:val="00F95B90"/>
    <w:rsid w:val="00FA0D3E"/>
    <w:rsid w:val="00FA129E"/>
    <w:rsid w:val="00FA1D0B"/>
    <w:rsid w:val="00FA27F4"/>
    <w:rsid w:val="00FA3792"/>
    <w:rsid w:val="00FB53AE"/>
    <w:rsid w:val="00FC1516"/>
    <w:rsid w:val="00FC604E"/>
    <w:rsid w:val="00FD4B5C"/>
    <w:rsid w:val="00FD620E"/>
    <w:rsid w:val="00FD720B"/>
    <w:rsid w:val="00FE0765"/>
    <w:rsid w:val="00FE2ED4"/>
    <w:rsid w:val="00FE4340"/>
    <w:rsid w:val="00FE518E"/>
    <w:rsid w:val="00FE5DE2"/>
    <w:rsid w:val="00FE6C2E"/>
    <w:rsid w:val="00FF0747"/>
    <w:rsid w:val="00FF246D"/>
    <w:rsid w:val="00FF33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E32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762D28"/>
    <w:pPr>
      <w:spacing w:before="120" w:after="120"/>
    </w:pPr>
    <w:rPr>
      <w:sz w:val="22"/>
    </w:rPr>
  </w:style>
  <w:style w:type="paragraph" w:styleId="Heading1">
    <w:name w:val="heading 1"/>
    <w:basedOn w:val="Normal"/>
    <w:next w:val="base-text-paragraph"/>
    <w:qFormat/>
    <w:rsid w:val="00832743"/>
    <w:pPr>
      <w:keepNext/>
      <w:spacing w:before="720"/>
      <w:outlineLvl w:val="0"/>
    </w:pPr>
    <w:rPr>
      <w:rFonts w:ascii="Helvetica" w:hAnsi="Helvetica"/>
      <w:b/>
      <w:caps/>
      <w:sz w:val="28"/>
    </w:rPr>
  </w:style>
  <w:style w:type="paragraph" w:styleId="Heading2">
    <w:name w:val="heading 2"/>
    <w:basedOn w:val="Heading1"/>
    <w:next w:val="base-text-paragraph"/>
    <w:qFormat/>
    <w:rsid w:val="008C359D"/>
    <w:pPr>
      <w:spacing w:before="480"/>
      <w:outlineLvl w:val="1"/>
    </w:pPr>
    <w:rPr>
      <w:caps w:val="0"/>
      <w:sz w:val="26"/>
    </w:rPr>
  </w:style>
  <w:style w:type="paragraph" w:styleId="Heading3">
    <w:name w:val="heading 3"/>
    <w:basedOn w:val="Heading2"/>
    <w:next w:val="base-text-paragraph"/>
    <w:qFormat/>
    <w:rsid w:val="00DA72C6"/>
    <w:pPr>
      <w:spacing w:before="240"/>
      <w:outlineLvl w:val="2"/>
    </w:pPr>
    <w:rPr>
      <w:sz w:val="22"/>
    </w:rPr>
  </w:style>
  <w:style w:type="paragraph" w:styleId="Heading4">
    <w:name w:val="heading 4"/>
    <w:basedOn w:val="Heading3"/>
    <w:next w:val="base-text-paragraph"/>
    <w:qFormat/>
    <w:rsid w:val="00231CBA"/>
    <w:pPr>
      <w:spacing w:before="120"/>
      <w:ind w:left="1134"/>
      <w:outlineLvl w:val="3"/>
    </w:pPr>
    <w:rPr>
      <w:rFonts w:ascii="Times New Roman" w:hAnsi="Times New Roman"/>
      <w:i/>
    </w:rPr>
  </w:style>
  <w:style w:type="paragraph" w:styleId="Heading5">
    <w:name w:val="heading 5"/>
    <w:basedOn w:val="Heading4"/>
    <w:next w:val="base-text-paragraph"/>
    <w:qFormat/>
    <w:rsid w:val="00231CBA"/>
    <w:pPr>
      <w:spacing w:after="60"/>
      <w:outlineLvl w:val="4"/>
    </w:pPr>
    <w:rPr>
      <w:b w:val="0"/>
      <w:bCs/>
      <w:iCs/>
      <w:szCs w:val="26"/>
    </w:rPr>
  </w:style>
  <w:style w:type="paragraph" w:styleId="Heading6">
    <w:name w:val="heading 6"/>
    <w:basedOn w:val="Heading5"/>
    <w:next w:val="base-text-paragraph"/>
    <w:qFormat/>
    <w:rsid w:val="00231CBA"/>
    <w:pPr>
      <w:outlineLvl w:val="5"/>
    </w:pPr>
    <w:rPr>
      <w:bCs w:val="0"/>
      <w:i w:val="0"/>
      <w:szCs w:val="22"/>
      <w:u w:val="single"/>
    </w:rPr>
  </w:style>
  <w:style w:type="paragraph" w:styleId="Heading7">
    <w:name w:val="heading 7"/>
    <w:basedOn w:val="Normal"/>
    <w:next w:val="Normal"/>
    <w:qFormat/>
    <w:rsid w:val="003D6FD9"/>
    <w:pPr>
      <w:spacing w:before="240" w:after="60"/>
      <w:outlineLvl w:val="6"/>
    </w:pPr>
    <w:rPr>
      <w:sz w:val="24"/>
      <w:szCs w:val="24"/>
    </w:rPr>
  </w:style>
  <w:style w:type="paragraph" w:styleId="Heading8">
    <w:name w:val="heading 8"/>
    <w:basedOn w:val="Normal"/>
    <w:next w:val="Normal"/>
    <w:qFormat/>
    <w:rsid w:val="003D6FD9"/>
    <w:pPr>
      <w:spacing w:before="240" w:after="60"/>
      <w:outlineLvl w:val="7"/>
    </w:pPr>
    <w:rPr>
      <w:i/>
      <w:iCs/>
      <w:sz w:val="24"/>
      <w:szCs w:val="24"/>
    </w:rPr>
  </w:style>
  <w:style w:type="paragraph" w:styleId="Heading9">
    <w:name w:val="heading 9"/>
    <w:basedOn w:val="Normal"/>
    <w:next w:val="Normal"/>
    <w:qFormat/>
    <w:rsid w:val="003D6FD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pterHeading">
    <w:name w:val="Chapter Heading"/>
    <w:next w:val="Heading2"/>
    <w:rsid w:val="007966EF"/>
    <w:pPr>
      <w:numPr>
        <w:numId w:val="30"/>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9B2AD6"/>
    <w:pPr>
      <w:spacing w:after="360"/>
    </w:pPr>
  </w:style>
  <w:style w:type="paragraph" w:customStyle="1" w:styleId="TableHeadingoutsidetable">
    <w:name w:val="Table Heading (outside table)"/>
    <w:basedOn w:val="Heading4"/>
    <w:rsid w:val="007966EF"/>
    <w:pPr>
      <w:numPr>
        <w:ilvl w:val="4"/>
        <w:numId w:val="30"/>
      </w:numPr>
      <w:tabs>
        <w:tab w:val="num" w:pos="360"/>
      </w:tabs>
    </w:pPr>
    <w:rPr>
      <w:i w:val="0"/>
    </w:rPr>
  </w:style>
  <w:style w:type="paragraph" w:customStyle="1" w:styleId="base-text-paragraph">
    <w:name w:val="base-text-paragraph"/>
    <w:basedOn w:val="Normal"/>
    <w:link w:val="base-text-paragraphChar"/>
    <w:rsid w:val="00D85BEA"/>
    <w:pPr>
      <w:numPr>
        <w:ilvl w:val="1"/>
        <w:numId w:val="30"/>
      </w:numPr>
    </w:pPr>
  </w:style>
  <w:style w:type="paragraph" w:customStyle="1" w:styleId="base-text-paragraphnonumbers">
    <w:name w:val="base-text-paragraph no numbers"/>
    <w:basedOn w:val="Normal"/>
    <w:rsid w:val="002857E2"/>
    <w:pPr>
      <w:ind w:left="1134"/>
    </w:pPr>
  </w:style>
  <w:style w:type="paragraph" w:customStyle="1" w:styleId="exampletext">
    <w:name w:val="example text"/>
    <w:basedOn w:val="Normal"/>
    <w:rsid w:val="008752F1"/>
    <w:pPr>
      <w:ind w:left="1985"/>
    </w:pPr>
    <w:rPr>
      <w:sz w:val="20"/>
    </w:rPr>
  </w:style>
  <w:style w:type="paragraph" w:customStyle="1" w:styleId="ExampleHeading">
    <w:name w:val="Example Heading"/>
    <w:basedOn w:val="Normal"/>
    <w:next w:val="exampletext"/>
    <w:rsid w:val="009B0AB7"/>
    <w:pPr>
      <w:keepNext/>
      <w:numPr>
        <w:ilvl w:val="3"/>
        <w:numId w:val="30"/>
      </w:numPr>
      <w:tabs>
        <w:tab w:val="num" w:pos="360"/>
      </w:tabs>
      <w:ind w:left="0"/>
    </w:pPr>
    <w:rPr>
      <w:b/>
    </w:rPr>
  </w:style>
  <w:style w:type="paragraph" w:customStyle="1" w:styleId="Diagram">
    <w:name w:val="Diagram"/>
    <w:basedOn w:val="Normal"/>
    <w:next w:val="base-text-paragraphnonumbers"/>
    <w:rsid w:val="0036787F"/>
    <w:pPr>
      <w:keepNext/>
      <w:numPr>
        <w:ilvl w:val="2"/>
        <w:numId w:val="30"/>
      </w:numPr>
      <w:tabs>
        <w:tab w:val="num" w:pos="360"/>
      </w:tabs>
      <w:spacing w:before="0" w:after="0"/>
      <w:ind w:left="0"/>
    </w:pPr>
    <w:rPr>
      <w:b/>
    </w:rPr>
  </w:style>
  <w:style w:type="paragraph" w:customStyle="1" w:styleId="dotpoint">
    <w:name w:val="dot point"/>
    <w:basedOn w:val="Normal"/>
    <w:rsid w:val="00D85BEA"/>
    <w:pPr>
      <w:numPr>
        <w:numId w:val="2"/>
      </w:numPr>
    </w:pPr>
  </w:style>
  <w:style w:type="paragraph" w:customStyle="1" w:styleId="dotpoint2">
    <w:name w:val="dot point 2"/>
    <w:basedOn w:val="Normal"/>
    <w:rsid w:val="00E62E8C"/>
    <w:pPr>
      <w:numPr>
        <w:ilvl w:val="1"/>
        <w:numId w:val="20"/>
      </w:numPr>
    </w:pPr>
  </w:style>
  <w:style w:type="paragraph" w:customStyle="1" w:styleId="exampledotpoint1">
    <w:name w:val="example dot point 1"/>
    <w:basedOn w:val="exampletext"/>
    <w:rsid w:val="008C51F4"/>
    <w:pPr>
      <w:numPr>
        <w:numId w:val="21"/>
      </w:numPr>
    </w:pPr>
  </w:style>
  <w:style w:type="paragraph" w:customStyle="1" w:styleId="exampledotpoint2">
    <w:name w:val="example dot point 2"/>
    <w:basedOn w:val="exampletext"/>
    <w:rsid w:val="008C51F4"/>
    <w:pPr>
      <w:numPr>
        <w:ilvl w:val="1"/>
        <w:numId w:val="21"/>
      </w:numPr>
    </w:pPr>
  </w:style>
  <w:style w:type="paragraph" w:customStyle="1" w:styleId="tabletext">
    <w:name w:val="table text"/>
    <w:basedOn w:val="Normal"/>
    <w:link w:val="tabletextChar"/>
    <w:rsid w:val="00832743"/>
    <w:pPr>
      <w:spacing w:before="40" w:after="40"/>
    </w:pPr>
    <w:rPr>
      <w:sz w:val="20"/>
    </w:rPr>
  </w:style>
  <w:style w:type="paragraph" w:customStyle="1" w:styleId="tabledotpoint">
    <w:name w:val="table dot point"/>
    <w:basedOn w:val="tabletext"/>
    <w:rsid w:val="00A37F77"/>
    <w:pPr>
      <w:numPr>
        <w:numId w:val="23"/>
      </w:numPr>
    </w:pPr>
  </w:style>
  <w:style w:type="paragraph" w:customStyle="1" w:styleId="tabledotpoint2">
    <w:name w:val="table dot point 2"/>
    <w:basedOn w:val="tabletext"/>
    <w:rsid w:val="00A37F77"/>
    <w:pPr>
      <w:numPr>
        <w:ilvl w:val="1"/>
        <w:numId w:val="23"/>
      </w:numPr>
    </w:pPr>
  </w:style>
  <w:style w:type="paragraph" w:customStyle="1" w:styleId="Baseparagraphcentred">
    <w:name w:val="Base paragraph centred"/>
    <w:basedOn w:val="Normal"/>
    <w:rsid w:val="00813210"/>
    <w:pPr>
      <w:jc w:val="center"/>
    </w:pPr>
  </w:style>
  <w:style w:type="paragraph" w:customStyle="1" w:styleId="BillName">
    <w:name w:val="Bill Name"/>
    <w:basedOn w:val="Normal"/>
    <w:next w:val="Baseparagraphcentred"/>
    <w:rsid w:val="00C8648B"/>
    <w:pPr>
      <w:pBdr>
        <w:top w:val="single" w:sz="4" w:space="12" w:color="auto"/>
        <w:bottom w:val="single" w:sz="4" w:space="12" w:color="auto"/>
      </w:pBdr>
      <w:jc w:val="center"/>
    </w:pPr>
    <w:rPr>
      <w:caps/>
    </w:rPr>
  </w:style>
  <w:style w:type="paragraph" w:customStyle="1" w:styleId="BTPwithextraspacing">
    <w:name w:val="BTP with extra spacing"/>
    <w:basedOn w:val="Normal"/>
    <w:rsid w:val="00502551"/>
    <w:pPr>
      <w:spacing w:before="360" w:after="360"/>
      <w:ind w:left="1134"/>
    </w:pPr>
  </w:style>
  <w:style w:type="paragraph" w:customStyle="1" w:styleId="Chapterheadingsubdocument">
    <w:name w:val="Chapter heading subdocument"/>
    <w:basedOn w:val="Normal"/>
    <w:next w:val="base-text-paragraphnonumbers"/>
    <w:rsid w:val="00885BE8"/>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8F1A67"/>
    <w:pPr>
      <w:ind w:left="2268"/>
    </w:pPr>
  </w:style>
  <w:style w:type="paragraph" w:customStyle="1" w:styleId="leftfooter">
    <w:name w:val="left footer"/>
    <w:basedOn w:val="Normal"/>
    <w:rsid w:val="00346BEB"/>
    <w:pPr>
      <w:pBdr>
        <w:top w:val="single" w:sz="4" w:space="1" w:color="auto"/>
      </w:pBdr>
      <w:spacing w:before="240" w:after="0"/>
    </w:pPr>
    <w:rPr>
      <w:i/>
      <w:sz w:val="20"/>
    </w:rPr>
  </w:style>
  <w:style w:type="paragraph" w:customStyle="1" w:styleId="Hiddentext">
    <w:name w:val="Hiddentext"/>
    <w:basedOn w:val="Normal"/>
    <w:rsid w:val="00346BEB"/>
    <w:rPr>
      <w:vanish/>
    </w:rPr>
  </w:style>
  <w:style w:type="paragraph" w:customStyle="1" w:styleId="leftheader">
    <w:name w:val="left header"/>
    <w:basedOn w:val="Normal"/>
    <w:rsid w:val="00346BEB"/>
    <w:pPr>
      <w:pBdr>
        <w:bottom w:val="single" w:sz="4" w:space="1" w:color="auto"/>
      </w:pBdr>
    </w:pPr>
    <w:rPr>
      <w:i/>
      <w:sz w:val="20"/>
    </w:rPr>
  </w:style>
  <w:style w:type="character" w:customStyle="1" w:styleId="Referencingstyle">
    <w:name w:val="Referencing style"/>
    <w:basedOn w:val="DefaultParagraphFont"/>
    <w:rsid w:val="007652BC"/>
    <w:rPr>
      <w:b/>
      <w:i/>
      <w:sz w:val="18"/>
    </w:rPr>
  </w:style>
  <w:style w:type="paragraph" w:customStyle="1" w:styleId="rightfooter">
    <w:name w:val="right footer"/>
    <w:basedOn w:val="Normal"/>
    <w:rsid w:val="005A76CC"/>
    <w:pPr>
      <w:pBdr>
        <w:top w:val="single" w:sz="4" w:space="1" w:color="auto"/>
      </w:pBdr>
      <w:spacing w:before="240" w:after="0"/>
      <w:jc w:val="right"/>
    </w:pPr>
    <w:rPr>
      <w:i/>
      <w:sz w:val="20"/>
    </w:rPr>
  </w:style>
  <w:style w:type="paragraph" w:customStyle="1" w:styleId="rightheader">
    <w:name w:val="right header"/>
    <w:basedOn w:val="Normal"/>
    <w:rsid w:val="005A76CC"/>
    <w:pPr>
      <w:pBdr>
        <w:bottom w:val="single" w:sz="4" w:space="1" w:color="auto"/>
      </w:pBdr>
      <w:jc w:val="right"/>
    </w:pPr>
    <w:rPr>
      <w:i/>
      <w:sz w:val="20"/>
    </w:rPr>
  </w:style>
  <w:style w:type="paragraph" w:customStyle="1" w:styleId="tableheaderwithintable">
    <w:name w:val="table header (within table)"/>
    <w:basedOn w:val="Heading4"/>
    <w:rsid w:val="00F92FE2"/>
    <w:pPr>
      <w:spacing w:before="60" w:after="60"/>
      <w:ind w:left="0"/>
      <w:jc w:val="center"/>
    </w:pPr>
    <w:rPr>
      <w:sz w:val="20"/>
    </w:rPr>
  </w:style>
  <w:style w:type="paragraph" w:styleId="TOC1">
    <w:name w:val="toc 1"/>
    <w:basedOn w:val="Heading2"/>
    <w:next w:val="TOC2"/>
    <w:uiPriority w:val="39"/>
    <w:rsid w:val="00460019"/>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B654ED"/>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460019"/>
    <w:pPr>
      <w:tabs>
        <w:tab w:val="clear" w:pos="1701"/>
      </w:tabs>
      <w:ind w:left="0" w:firstLine="0"/>
    </w:pPr>
    <w:rPr>
      <w:noProof/>
    </w:rPr>
  </w:style>
  <w:style w:type="numbering" w:styleId="111111">
    <w:name w:val="Outline List 2"/>
    <w:basedOn w:val="NoList"/>
    <w:semiHidden/>
    <w:rsid w:val="003D6FD9"/>
    <w:pPr>
      <w:numPr>
        <w:numId w:val="15"/>
      </w:numPr>
    </w:pPr>
  </w:style>
  <w:style w:type="numbering" w:styleId="1ai">
    <w:name w:val="Outline List 1"/>
    <w:basedOn w:val="NoList"/>
    <w:semiHidden/>
    <w:rsid w:val="003D6FD9"/>
    <w:pPr>
      <w:numPr>
        <w:numId w:val="16"/>
      </w:numPr>
    </w:pPr>
  </w:style>
  <w:style w:type="numbering" w:styleId="ArticleSection">
    <w:name w:val="Outline List 3"/>
    <w:basedOn w:val="NoList"/>
    <w:semiHidden/>
    <w:rsid w:val="003D6FD9"/>
    <w:pPr>
      <w:numPr>
        <w:numId w:val="17"/>
      </w:numPr>
    </w:pPr>
  </w:style>
  <w:style w:type="paragraph" w:styleId="BlockText">
    <w:name w:val="Block Text"/>
    <w:basedOn w:val="Normal"/>
    <w:semiHidden/>
    <w:rsid w:val="003D6FD9"/>
    <w:pPr>
      <w:ind w:left="1440" w:right="1440"/>
    </w:pPr>
  </w:style>
  <w:style w:type="paragraph" w:styleId="BodyText">
    <w:name w:val="Body Text"/>
    <w:basedOn w:val="Normal"/>
    <w:semiHidden/>
    <w:rsid w:val="003D6FD9"/>
  </w:style>
  <w:style w:type="paragraph" w:styleId="BodyText2">
    <w:name w:val="Body Text 2"/>
    <w:basedOn w:val="Normal"/>
    <w:semiHidden/>
    <w:rsid w:val="003D6FD9"/>
    <w:pPr>
      <w:spacing w:line="480" w:lineRule="auto"/>
    </w:pPr>
  </w:style>
  <w:style w:type="paragraph" w:styleId="BodyText3">
    <w:name w:val="Body Text 3"/>
    <w:basedOn w:val="Normal"/>
    <w:semiHidden/>
    <w:rsid w:val="003D6FD9"/>
    <w:rPr>
      <w:sz w:val="16"/>
      <w:szCs w:val="16"/>
    </w:rPr>
  </w:style>
  <w:style w:type="paragraph" w:styleId="BodyTextFirstIndent">
    <w:name w:val="Body Text First Indent"/>
    <w:basedOn w:val="BodyText"/>
    <w:semiHidden/>
    <w:rsid w:val="003D6FD9"/>
    <w:pPr>
      <w:ind w:firstLine="210"/>
    </w:pPr>
  </w:style>
  <w:style w:type="paragraph" w:styleId="BodyTextIndent">
    <w:name w:val="Body Text Indent"/>
    <w:basedOn w:val="Normal"/>
    <w:semiHidden/>
    <w:rsid w:val="003D6FD9"/>
    <w:pPr>
      <w:ind w:left="283"/>
    </w:pPr>
  </w:style>
  <w:style w:type="paragraph" w:styleId="BodyTextFirstIndent2">
    <w:name w:val="Body Text First Indent 2"/>
    <w:basedOn w:val="BodyTextIndent"/>
    <w:semiHidden/>
    <w:rsid w:val="003D6FD9"/>
    <w:pPr>
      <w:ind w:firstLine="210"/>
    </w:pPr>
  </w:style>
  <w:style w:type="paragraph" w:styleId="BodyTextIndent2">
    <w:name w:val="Body Text Indent 2"/>
    <w:basedOn w:val="Normal"/>
    <w:semiHidden/>
    <w:rsid w:val="003D6FD9"/>
    <w:pPr>
      <w:spacing w:line="480" w:lineRule="auto"/>
      <w:ind w:left="283"/>
    </w:pPr>
  </w:style>
  <w:style w:type="paragraph" w:styleId="BodyTextIndent3">
    <w:name w:val="Body Text Indent 3"/>
    <w:basedOn w:val="Normal"/>
    <w:semiHidden/>
    <w:rsid w:val="003D6FD9"/>
    <w:pPr>
      <w:ind w:left="283"/>
    </w:pPr>
    <w:rPr>
      <w:sz w:val="16"/>
      <w:szCs w:val="16"/>
    </w:rPr>
  </w:style>
  <w:style w:type="paragraph" w:styleId="Closing">
    <w:name w:val="Closing"/>
    <w:basedOn w:val="Normal"/>
    <w:semiHidden/>
    <w:rsid w:val="003D6FD9"/>
    <w:pPr>
      <w:ind w:left="4252"/>
    </w:pPr>
  </w:style>
  <w:style w:type="paragraph" w:styleId="Date">
    <w:name w:val="Date"/>
    <w:basedOn w:val="Normal"/>
    <w:next w:val="Normal"/>
    <w:semiHidden/>
    <w:rsid w:val="003D6FD9"/>
  </w:style>
  <w:style w:type="paragraph" w:styleId="E-mailSignature">
    <w:name w:val="E-mail Signature"/>
    <w:basedOn w:val="Normal"/>
    <w:semiHidden/>
    <w:rsid w:val="003D6FD9"/>
  </w:style>
  <w:style w:type="character" w:styleId="Emphasis">
    <w:name w:val="Emphasis"/>
    <w:basedOn w:val="DefaultParagraphFont"/>
    <w:qFormat/>
    <w:rsid w:val="003D6FD9"/>
    <w:rPr>
      <w:i/>
      <w:iCs/>
    </w:rPr>
  </w:style>
  <w:style w:type="paragraph" w:styleId="EnvelopeAddress">
    <w:name w:val="envelope address"/>
    <w:basedOn w:val="Normal"/>
    <w:semiHidden/>
    <w:rsid w:val="003D6FD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D6FD9"/>
    <w:rPr>
      <w:rFonts w:ascii="Arial" w:hAnsi="Arial" w:cs="Arial"/>
      <w:sz w:val="20"/>
    </w:rPr>
  </w:style>
  <w:style w:type="paragraph" w:styleId="Footer">
    <w:name w:val="footer"/>
    <w:basedOn w:val="Normal"/>
    <w:semiHidden/>
    <w:rsid w:val="003D6FD9"/>
    <w:pPr>
      <w:tabs>
        <w:tab w:val="center" w:pos="4153"/>
        <w:tab w:val="right" w:pos="8306"/>
      </w:tabs>
    </w:pPr>
  </w:style>
  <w:style w:type="paragraph" w:styleId="Header">
    <w:name w:val="header"/>
    <w:basedOn w:val="Normal"/>
    <w:link w:val="HeaderChar"/>
    <w:semiHidden/>
    <w:rsid w:val="003D6FD9"/>
    <w:pPr>
      <w:tabs>
        <w:tab w:val="center" w:pos="4153"/>
        <w:tab w:val="right" w:pos="8306"/>
      </w:tabs>
    </w:pPr>
  </w:style>
  <w:style w:type="character" w:styleId="HTMLAcronym">
    <w:name w:val="HTML Acronym"/>
    <w:basedOn w:val="DefaultParagraphFont"/>
    <w:semiHidden/>
    <w:rsid w:val="003D6FD9"/>
  </w:style>
  <w:style w:type="paragraph" w:styleId="HTMLAddress">
    <w:name w:val="HTML Address"/>
    <w:basedOn w:val="Normal"/>
    <w:semiHidden/>
    <w:rsid w:val="003D6FD9"/>
    <w:rPr>
      <w:i/>
      <w:iCs/>
    </w:rPr>
  </w:style>
  <w:style w:type="character" w:styleId="HTMLCite">
    <w:name w:val="HTML Cite"/>
    <w:basedOn w:val="DefaultParagraphFont"/>
    <w:semiHidden/>
    <w:rsid w:val="003D6FD9"/>
    <w:rPr>
      <w:i/>
      <w:iCs/>
    </w:rPr>
  </w:style>
  <w:style w:type="character" w:styleId="HTMLCode">
    <w:name w:val="HTML Code"/>
    <w:basedOn w:val="DefaultParagraphFont"/>
    <w:semiHidden/>
    <w:rsid w:val="003D6FD9"/>
    <w:rPr>
      <w:rFonts w:ascii="Courier New" w:hAnsi="Courier New" w:cs="Courier New"/>
      <w:sz w:val="20"/>
      <w:szCs w:val="20"/>
    </w:rPr>
  </w:style>
  <w:style w:type="character" w:styleId="HTMLDefinition">
    <w:name w:val="HTML Definition"/>
    <w:basedOn w:val="DefaultParagraphFont"/>
    <w:semiHidden/>
    <w:rsid w:val="003D6FD9"/>
    <w:rPr>
      <w:i/>
      <w:iCs/>
    </w:rPr>
  </w:style>
  <w:style w:type="character" w:styleId="HTMLKeyboard">
    <w:name w:val="HTML Keyboard"/>
    <w:basedOn w:val="DefaultParagraphFont"/>
    <w:semiHidden/>
    <w:rsid w:val="003D6FD9"/>
    <w:rPr>
      <w:rFonts w:ascii="Courier New" w:hAnsi="Courier New" w:cs="Courier New"/>
      <w:sz w:val="20"/>
      <w:szCs w:val="20"/>
    </w:rPr>
  </w:style>
  <w:style w:type="paragraph" w:styleId="HTMLPreformatted">
    <w:name w:val="HTML Preformatted"/>
    <w:basedOn w:val="Normal"/>
    <w:semiHidden/>
    <w:rsid w:val="003D6FD9"/>
    <w:rPr>
      <w:rFonts w:ascii="Courier New" w:hAnsi="Courier New" w:cs="Courier New"/>
      <w:sz w:val="20"/>
    </w:rPr>
  </w:style>
  <w:style w:type="character" w:styleId="HTMLSample">
    <w:name w:val="HTML Sample"/>
    <w:basedOn w:val="DefaultParagraphFont"/>
    <w:semiHidden/>
    <w:rsid w:val="003D6FD9"/>
    <w:rPr>
      <w:rFonts w:ascii="Courier New" w:hAnsi="Courier New" w:cs="Courier New"/>
    </w:rPr>
  </w:style>
  <w:style w:type="character" w:styleId="HTMLTypewriter">
    <w:name w:val="HTML Typewriter"/>
    <w:basedOn w:val="DefaultParagraphFont"/>
    <w:semiHidden/>
    <w:rsid w:val="003D6FD9"/>
    <w:rPr>
      <w:rFonts w:ascii="Courier New" w:hAnsi="Courier New" w:cs="Courier New"/>
      <w:sz w:val="20"/>
      <w:szCs w:val="20"/>
    </w:rPr>
  </w:style>
  <w:style w:type="character" w:styleId="HTMLVariable">
    <w:name w:val="HTML Variable"/>
    <w:basedOn w:val="DefaultParagraphFont"/>
    <w:semiHidden/>
    <w:rsid w:val="003D6FD9"/>
    <w:rPr>
      <w:i/>
      <w:iCs/>
    </w:rPr>
  </w:style>
  <w:style w:type="character" w:styleId="LineNumber">
    <w:name w:val="line number"/>
    <w:basedOn w:val="DefaultParagraphFont"/>
    <w:semiHidden/>
    <w:rsid w:val="003D6FD9"/>
  </w:style>
  <w:style w:type="paragraph" w:styleId="List">
    <w:name w:val="List"/>
    <w:basedOn w:val="Normal"/>
    <w:semiHidden/>
    <w:rsid w:val="003D6FD9"/>
    <w:pPr>
      <w:ind w:left="283" w:hanging="283"/>
    </w:pPr>
  </w:style>
  <w:style w:type="paragraph" w:styleId="List2">
    <w:name w:val="List 2"/>
    <w:basedOn w:val="Normal"/>
    <w:semiHidden/>
    <w:rsid w:val="003D6FD9"/>
    <w:pPr>
      <w:ind w:left="566" w:hanging="283"/>
    </w:pPr>
  </w:style>
  <w:style w:type="paragraph" w:styleId="List3">
    <w:name w:val="List 3"/>
    <w:basedOn w:val="Normal"/>
    <w:semiHidden/>
    <w:rsid w:val="003D6FD9"/>
    <w:pPr>
      <w:ind w:left="849" w:hanging="283"/>
    </w:pPr>
  </w:style>
  <w:style w:type="paragraph" w:styleId="List4">
    <w:name w:val="List 4"/>
    <w:basedOn w:val="Normal"/>
    <w:semiHidden/>
    <w:rsid w:val="003D6FD9"/>
    <w:pPr>
      <w:ind w:left="1132" w:hanging="283"/>
    </w:pPr>
  </w:style>
  <w:style w:type="paragraph" w:styleId="List5">
    <w:name w:val="List 5"/>
    <w:basedOn w:val="Normal"/>
    <w:semiHidden/>
    <w:rsid w:val="003D6FD9"/>
    <w:pPr>
      <w:ind w:left="1415" w:hanging="283"/>
    </w:pPr>
  </w:style>
  <w:style w:type="paragraph" w:styleId="ListBullet">
    <w:name w:val="List Bullet"/>
    <w:basedOn w:val="Normal"/>
    <w:semiHidden/>
    <w:rsid w:val="003D6FD9"/>
    <w:pPr>
      <w:numPr>
        <w:numId w:val="5"/>
      </w:numPr>
    </w:pPr>
  </w:style>
  <w:style w:type="paragraph" w:styleId="ListBullet2">
    <w:name w:val="List Bullet 2"/>
    <w:basedOn w:val="Normal"/>
    <w:semiHidden/>
    <w:rsid w:val="003D6FD9"/>
    <w:pPr>
      <w:numPr>
        <w:numId w:val="6"/>
      </w:numPr>
    </w:pPr>
  </w:style>
  <w:style w:type="paragraph" w:styleId="ListBullet3">
    <w:name w:val="List Bullet 3"/>
    <w:basedOn w:val="Normal"/>
    <w:semiHidden/>
    <w:rsid w:val="003D6FD9"/>
    <w:pPr>
      <w:numPr>
        <w:numId w:val="7"/>
      </w:numPr>
    </w:pPr>
  </w:style>
  <w:style w:type="paragraph" w:styleId="ListBullet4">
    <w:name w:val="List Bullet 4"/>
    <w:basedOn w:val="Normal"/>
    <w:semiHidden/>
    <w:rsid w:val="003D6FD9"/>
    <w:pPr>
      <w:numPr>
        <w:numId w:val="8"/>
      </w:numPr>
    </w:pPr>
  </w:style>
  <w:style w:type="paragraph" w:styleId="ListBullet5">
    <w:name w:val="List Bullet 5"/>
    <w:basedOn w:val="Normal"/>
    <w:semiHidden/>
    <w:rsid w:val="003D6FD9"/>
    <w:pPr>
      <w:numPr>
        <w:numId w:val="9"/>
      </w:numPr>
    </w:pPr>
  </w:style>
  <w:style w:type="paragraph" w:styleId="ListContinue">
    <w:name w:val="List Continue"/>
    <w:basedOn w:val="Normal"/>
    <w:semiHidden/>
    <w:rsid w:val="003D6FD9"/>
    <w:pPr>
      <w:ind w:left="283"/>
    </w:pPr>
  </w:style>
  <w:style w:type="paragraph" w:styleId="ListContinue2">
    <w:name w:val="List Continue 2"/>
    <w:basedOn w:val="Normal"/>
    <w:semiHidden/>
    <w:rsid w:val="003D6FD9"/>
    <w:pPr>
      <w:ind w:left="566"/>
    </w:pPr>
  </w:style>
  <w:style w:type="paragraph" w:styleId="ListContinue3">
    <w:name w:val="List Continue 3"/>
    <w:basedOn w:val="Normal"/>
    <w:semiHidden/>
    <w:rsid w:val="003D6FD9"/>
    <w:pPr>
      <w:ind w:left="849"/>
    </w:pPr>
  </w:style>
  <w:style w:type="paragraph" w:styleId="ListContinue4">
    <w:name w:val="List Continue 4"/>
    <w:basedOn w:val="Normal"/>
    <w:semiHidden/>
    <w:rsid w:val="003D6FD9"/>
    <w:pPr>
      <w:ind w:left="1132"/>
    </w:pPr>
  </w:style>
  <w:style w:type="paragraph" w:styleId="ListContinue5">
    <w:name w:val="List Continue 5"/>
    <w:basedOn w:val="Normal"/>
    <w:semiHidden/>
    <w:rsid w:val="003D6FD9"/>
    <w:pPr>
      <w:ind w:left="1415"/>
    </w:pPr>
  </w:style>
  <w:style w:type="paragraph" w:styleId="ListNumber">
    <w:name w:val="List Number"/>
    <w:basedOn w:val="Normal"/>
    <w:semiHidden/>
    <w:rsid w:val="003D6FD9"/>
    <w:pPr>
      <w:numPr>
        <w:numId w:val="10"/>
      </w:numPr>
    </w:pPr>
  </w:style>
  <w:style w:type="paragraph" w:styleId="ListNumber2">
    <w:name w:val="List Number 2"/>
    <w:basedOn w:val="Normal"/>
    <w:semiHidden/>
    <w:rsid w:val="003D6FD9"/>
    <w:pPr>
      <w:numPr>
        <w:numId w:val="11"/>
      </w:numPr>
    </w:pPr>
  </w:style>
  <w:style w:type="paragraph" w:styleId="ListNumber3">
    <w:name w:val="List Number 3"/>
    <w:basedOn w:val="Normal"/>
    <w:semiHidden/>
    <w:rsid w:val="003D6FD9"/>
    <w:pPr>
      <w:numPr>
        <w:numId w:val="12"/>
      </w:numPr>
    </w:pPr>
  </w:style>
  <w:style w:type="paragraph" w:styleId="ListNumber4">
    <w:name w:val="List Number 4"/>
    <w:basedOn w:val="Normal"/>
    <w:semiHidden/>
    <w:rsid w:val="003D6FD9"/>
    <w:pPr>
      <w:numPr>
        <w:numId w:val="13"/>
      </w:numPr>
    </w:pPr>
  </w:style>
  <w:style w:type="paragraph" w:styleId="ListNumber5">
    <w:name w:val="List Number 5"/>
    <w:basedOn w:val="Normal"/>
    <w:semiHidden/>
    <w:rsid w:val="003D6FD9"/>
    <w:pPr>
      <w:numPr>
        <w:numId w:val="14"/>
      </w:numPr>
    </w:pPr>
  </w:style>
  <w:style w:type="paragraph" w:styleId="MessageHeader">
    <w:name w:val="Message Header"/>
    <w:basedOn w:val="Normal"/>
    <w:semiHidden/>
    <w:rsid w:val="003D6FD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semiHidden/>
    <w:rsid w:val="003D6FD9"/>
    <w:rPr>
      <w:sz w:val="24"/>
      <w:szCs w:val="24"/>
    </w:rPr>
  </w:style>
  <w:style w:type="paragraph" w:styleId="NormalIndent">
    <w:name w:val="Normal Indent"/>
    <w:basedOn w:val="Normal"/>
    <w:semiHidden/>
    <w:rsid w:val="003D6FD9"/>
    <w:pPr>
      <w:ind w:left="720"/>
    </w:pPr>
  </w:style>
  <w:style w:type="paragraph" w:styleId="NoteHeading">
    <w:name w:val="Note Heading"/>
    <w:basedOn w:val="Normal"/>
    <w:next w:val="Normal"/>
    <w:semiHidden/>
    <w:rsid w:val="003D6FD9"/>
  </w:style>
  <w:style w:type="character" w:styleId="PageNumber">
    <w:name w:val="page number"/>
    <w:basedOn w:val="DefaultParagraphFont"/>
    <w:semiHidden/>
    <w:rsid w:val="003D6FD9"/>
  </w:style>
  <w:style w:type="paragraph" w:styleId="PlainText">
    <w:name w:val="Plain Text"/>
    <w:basedOn w:val="Normal"/>
    <w:semiHidden/>
    <w:rsid w:val="003D6FD9"/>
    <w:rPr>
      <w:rFonts w:ascii="Courier New" w:hAnsi="Courier New" w:cs="Courier New"/>
      <w:sz w:val="20"/>
    </w:rPr>
  </w:style>
  <w:style w:type="paragraph" w:styleId="Salutation">
    <w:name w:val="Salutation"/>
    <w:basedOn w:val="Normal"/>
    <w:next w:val="Normal"/>
    <w:semiHidden/>
    <w:rsid w:val="003D6FD9"/>
  </w:style>
  <w:style w:type="paragraph" w:styleId="Signature">
    <w:name w:val="Signature"/>
    <w:basedOn w:val="Normal"/>
    <w:semiHidden/>
    <w:rsid w:val="003D6FD9"/>
    <w:pPr>
      <w:ind w:left="4252"/>
    </w:pPr>
  </w:style>
  <w:style w:type="character" w:styleId="Strong">
    <w:name w:val="Strong"/>
    <w:basedOn w:val="DefaultParagraphFont"/>
    <w:qFormat/>
    <w:rsid w:val="003D6FD9"/>
    <w:rPr>
      <w:b/>
      <w:bCs/>
    </w:rPr>
  </w:style>
  <w:style w:type="paragraph" w:styleId="Subtitle">
    <w:name w:val="Subtitle"/>
    <w:basedOn w:val="Normal"/>
    <w:qFormat/>
    <w:rsid w:val="003D6FD9"/>
    <w:pPr>
      <w:spacing w:after="60"/>
      <w:jc w:val="center"/>
      <w:outlineLvl w:val="1"/>
    </w:pPr>
    <w:rPr>
      <w:rFonts w:ascii="Arial" w:hAnsi="Arial" w:cs="Arial"/>
      <w:sz w:val="24"/>
      <w:szCs w:val="24"/>
    </w:rPr>
  </w:style>
  <w:style w:type="table" w:styleId="Table3Deffects1">
    <w:name w:val="Table 3D effects 1"/>
    <w:basedOn w:val="TableNormal"/>
    <w:semiHidden/>
    <w:rsid w:val="003D6FD9"/>
    <w:pPr>
      <w:spacing w:before="120" w:after="120"/>
      <w:ind w:left="1134"/>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6FD9"/>
    <w:pPr>
      <w:spacing w:before="120" w:after="120"/>
      <w:ind w:left="1134"/>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6FD9"/>
    <w:pPr>
      <w:spacing w:before="120" w:after="120"/>
      <w:ind w:left="1134"/>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6FD9"/>
    <w:pPr>
      <w:spacing w:before="120" w:after="120"/>
      <w:ind w:left="1134"/>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6FD9"/>
    <w:pPr>
      <w:spacing w:before="120" w:after="120"/>
      <w:ind w:left="1134"/>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6FD9"/>
    <w:pPr>
      <w:spacing w:before="120" w:after="120"/>
      <w:ind w:left="1134"/>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6FD9"/>
    <w:pPr>
      <w:spacing w:before="120" w:after="120"/>
      <w:ind w:left="1134"/>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6FD9"/>
    <w:pPr>
      <w:spacing w:before="120" w:after="120"/>
      <w:ind w:left="1134"/>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6FD9"/>
    <w:pPr>
      <w:spacing w:before="120" w:after="120"/>
      <w:ind w:left="1134"/>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6FD9"/>
    <w:pPr>
      <w:spacing w:before="120" w:after="120"/>
      <w:ind w:left="1134"/>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6FD9"/>
    <w:pPr>
      <w:spacing w:before="120" w:after="120"/>
      <w:ind w:left="1134"/>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6FD9"/>
    <w:pPr>
      <w:spacing w:before="120" w:after="120"/>
      <w:ind w:left="1134"/>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6FD9"/>
    <w:pPr>
      <w:spacing w:before="120" w:after="120"/>
      <w:ind w:left="1134"/>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6FD9"/>
    <w:pPr>
      <w:spacing w:before="120" w:after="120"/>
      <w:ind w:left="1134"/>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6FD9"/>
    <w:pPr>
      <w:spacing w:before="120" w:after="120"/>
      <w:ind w:left="1134"/>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6FD9"/>
    <w:pPr>
      <w:spacing w:before="120" w:after="120"/>
      <w:ind w:left="1134"/>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6FD9"/>
    <w:pPr>
      <w:spacing w:before="120" w:after="120"/>
      <w:ind w:left="1134"/>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6FD9"/>
    <w:pPr>
      <w:spacing w:before="120" w:after="120"/>
      <w:ind w:left="1134"/>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6FD9"/>
    <w:pPr>
      <w:spacing w:before="120" w:after="120"/>
      <w:ind w:left="1134"/>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6FD9"/>
    <w:pPr>
      <w:spacing w:before="120" w:after="120"/>
      <w:ind w:left="1134"/>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6FD9"/>
    <w:pPr>
      <w:spacing w:before="120" w:after="120"/>
      <w:ind w:left="1134"/>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6FD9"/>
    <w:pPr>
      <w:spacing w:before="120" w:after="120"/>
      <w:ind w:left="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6FD9"/>
    <w:pPr>
      <w:spacing w:before="120" w:after="120"/>
      <w:ind w:left="1134"/>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6FD9"/>
    <w:pPr>
      <w:spacing w:before="120" w:after="120"/>
      <w:ind w:left="1134"/>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6FD9"/>
    <w:pPr>
      <w:spacing w:before="120" w:after="120"/>
      <w:ind w:left="1134"/>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6FD9"/>
    <w:pPr>
      <w:spacing w:before="120" w:after="120"/>
      <w:ind w:left="1134"/>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D6FD9"/>
    <w:pPr>
      <w:spacing w:before="120" w:after="120"/>
      <w:ind w:left="1134"/>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6FD9"/>
    <w:pPr>
      <w:spacing w:before="120" w:after="120"/>
      <w:ind w:left="1134"/>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6FD9"/>
    <w:pPr>
      <w:spacing w:before="120" w:after="120"/>
      <w:ind w:left="1134"/>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D6FD9"/>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3D6FD9"/>
    <w:rPr>
      <w:b/>
    </w:rPr>
  </w:style>
  <w:style w:type="character" w:customStyle="1" w:styleId="Italic">
    <w:name w:val="Italic"/>
    <w:basedOn w:val="DefaultParagraphFont"/>
    <w:rsid w:val="003D6FD9"/>
    <w:rPr>
      <w:i/>
    </w:rPr>
  </w:style>
  <w:style w:type="character" w:customStyle="1" w:styleId="BoldItalic">
    <w:name w:val="BoldItalic"/>
    <w:basedOn w:val="DefaultParagraphFont"/>
    <w:rsid w:val="003D6FD9"/>
    <w:rPr>
      <w:b/>
      <w:i/>
    </w:rPr>
  </w:style>
  <w:style w:type="paragraph" w:customStyle="1" w:styleId="Glossarytabletext">
    <w:name w:val="Glossary table text"/>
    <w:basedOn w:val="Normal"/>
    <w:rsid w:val="00123D96"/>
    <w:pPr>
      <w:spacing w:before="60" w:after="60"/>
    </w:pPr>
    <w:rPr>
      <w:sz w:val="20"/>
    </w:rPr>
  </w:style>
  <w:style w:type="character" w:customStyle="1" w:styleId="base-text-paragraphChar">
    <w:name w:val="base-text-paragraph Char"/>
    <w:basedOn w:val="DefaultParagraphFont"/>
    <w:link w:val="base-text-paragraph"/>
    <w:rsid w:val="00D85BEA"/>
    <w:rPr>
      <w:sz w:val="22"/>
    </w:rPr>
  </w:style>
  <w:style w:type="paragraph" w:styleId="FootnoteText">
    <w:name w:val="footnote text"/>
    <w:basedOn w:val="Normal"/>
    <w:rsid w:val="00034BE8"/>
    <w:pPr>
      <w:tabs>
        <w:tab w:val="left" w:pos="284"/>
      </w:tabs>
      <w:spacing w:before="0" w:after="0"/>
      <w:ind w:left="284" w:hanging="284"/>
    </w:pPr>
    <w:rPr>
      <w:sz w:val="20"/>
    </w:rPr>
  </w:style>
  <w:style w:type="numbering" w:customStyle="1" w:styleId="ChapterList">
    <w:name w:val="ChapterList"/>
    <w:uiPriority w:val="99"/>
    <w:rsid w:val="007966EF"/>
    <w:pPr>
      <w:numPr>
        <w:numId w:val="19"/>
      </w:numPr>
    </w:pPr>
  </w:style>
  <w:style w:type="paragraph" w:styleId="ListParagraph">
    <w:name w:val="List Paragraph"/>
    <w:basedOn w:val="Normal"/>
    <w:uiPriority w:val="34"/>
    <w:qFormat/>
    <w:rsid w:val="00D963F2"/>
    <w:pPr>
      <w:ind w:left="720"/>
      <w:contextualSpacing/>
    </w:pPr>
  </w:style>
  <w:style w:type="numbering" w:customStyle="1" w:styleId="DotPointList">
    <w:name w:val="Dot Point List"/>
    <w:uiPriority w:val="99"/>
    <w:rsid w:val="008C51F4"/>
    <w:pPr>
      <w:numPr>
        <w:numId w:val="20"/>
      </w:numPr>
    </w:pPr>
  </w:style>
  <w:style w:type="numbering" w:customStyle="1" w:styleId="ExampleDotPointList">
    <w:name w:val="Example Dot Point List"/>
    <w:uiPriority w:val="99"/>
    <w:rsid w:val="008C51F4"/>
    <w:pPr>
      <w:numPr>
        <w:numId w:val="21"/>
      </w:numPr>
    </w:pPr>
  </w:style>
  <w:style w:type="numbering" w:customStyle="1" w:styleId="TableDotPointList">
    <w:name w:val="Table Dot Point List"/>
    <w:uiPriority w:val="99"/>
    <w:rsid w:val="00A37F77"/>
    <w:pPr>
      <w:numPr>
        <w:numId w:val="22"/>
      </w:numPr>
    </w:pPr>
  </w:style>
  <w:style w:type="character" w:customStyle="1" w:styleId="Font30point">
    <w:name w:val="Font 30 point"/>
    <w:basedOn w:val="DefaultParagraphFont"/>
    <w:rsid w:val="003E0794"/>
    <w:rPr>
      <w:sz w:val="60"/>
    </w:rPr>
  </w:style>
  <w:style w:type="character" w:customStyle="1" w:styleId="Font15point">
    <w:name w:val="Font 15 point"/>
    <w:basedOn w:val="DefaultParagraphFont"/>
    <w:rsid w:val="00D67ADC"/>
    <w:rPr>
      <w:sz w:val="30"/>
    </w:rPr>
  </w:style>
  <w:style w:type="character" w:customStyle="1" w:styleId="Font19point">
    <w:name w:val="Font 19 point"/>
    <w:basedOn w:val="DefaultParagraphFont"/>
    <w:rsid w:val="00D67ADC"/>
    <w:rPr>
      <w:sz w:val="38"/>
    </w:rPr>
  </w:style>
  <w:style w:type="character" w:styleId="Hyperlink">
    <w:name w:val="Hyperlink"/>
    <w:basedOn w:val="DefaultParagraphFont"/>
    <w:rsid w:val="005255EA"/>
    <w:rPr>
      <w:color w:val="0000FF" w:themeColor="hyperlink"/>
      <w:u w:val="single"/>
    </w:rPr>
  </w:style>
  <w:style w:type="character" w:styleId="FollowedHyperlink">
    <w:name w:val="FollowedHyperlink"/>
    <w:basedOn w:val="DefaultParagraphFont"/>
    <w:rsid w:val="00F053A1"/>
    <w:rPr>
      <w:color w:val="800080" w:themeColor="followedHyperlink"/>
      <w:u w:val="single"/>
    </w:rPr>
  </w:style>
  <w:style w:type="character" w:customStyle="1" w:styleId="HeaderChar">
    <w:name w:val="Header Char"/>
    <w:basedOn w:val="DefaultParagraphFont"/>
    <w:link w:val="Header"/>
    <w:semiHidden/>
    <w:rsid w:val="00450635"/>
    <w:rPr>
      <w:sz w:val="22"/>
    </w:rPr>
  </w:style>
  <w:style w:type="character" w:customStyle="1" w:styleId="tabletextChar">
    <w:name w:val="table text Char"/>
    <w:basedOn w:val="DefaultParagraphFont"/>
    <w:link w:val="tabletext"/>
    <w:rsid w:val="00E40703"/>
  </w:style>
  <w:style w:type="paragraph" w:styleId="BalloonText">
    <w:name w:val="Balloon Text"/>
    <w:basedOn w:val="Normal"/>
    <w:link w:val="BalloonTextChar"/>
    <w:rsid w:val="003A02F1"/>
    <w:pPr>
      <w:spacing w:before="0" w:after="0"/>
    </w:pPr>
    <w:rPr>
      <w:rFonts w:ascii="Tahoma" w:hAnsi="Tahoma" w:cs="Tahoma"/>
      <w:sz w:val="16"/>
      <w:szCs w:val="16"/>
    </w:rPr>
  </w:style>
  <w:style w:type="character" w:customStyle="1" w:styleId="BalloonTextChar">
    <w:name w:val="Balloon Text Char"/>
    <w:basedOn w:val="DefaultParagraphFont"/>
    <w:link w:val="BalloonText"/>
    <w:rsid w:val="003A02F1"/>
    <w:rPr>
      <w:rFonts w:ascii="Tahoma" w:hAnsi="Tahoma" w:cs="Tahoma"/>
      <w:sz w:val="16"/>
      <w:szCs w:val="16"/>
    </w:rPr>
  </w:style>
  <w:style w:type="paragraph" w:customStyle="1" w:styleId="Bullet">
    <w:name w:val="Bullet"/>
    <w:aliases w:val="b,b + line,b1,Body,level 1"/>
    <w:basedOn w:val="Normal"/>
    <w:rsid w:val="00424EAA"/>
    <w:pPr>
      <w:numPr>
        <w:numId w:val="34"/>
      </w:numPr>
    </w:pPr>
  </w:style>
  <w:style w:type="paragraph" w:customStyle="1" w:styleId="Dash">
    <w:name w:val="Dash"/>
    <w:basedOn w:val="Normal"/>
    <w:rsid w:val="00424EAA"/>
    <w:pPr>
      <w:numPr>
        <w:ilvl w:val="1"/>
        <w:numId w:val="34"/>
      </w:numPr>
    </w:pPr>
  </w:style>
  <w:style w:type="paragraph" w:customStyle="1" w:styleId="DoubleDot">
    <w:name w:val="Double Dot"/>
    <w:basedOn w:val="Normal"/>
    <w:rsid w:val="00424EAA"/>
    <w:pPr>
      <w:numPr>
        <w:ilvl w:val="2"/>
        <w:numId w:val="34"/>
      </w:numPr>
    </w:pPr>
  </w:style>
  <w:style w:type="character" w:styleId="FootnoteReference">
    <w:name w:val="footnote reference"/>
    <w:basedOn w:val="DefaultParagraphFont"/>
    <w:rsid w:val="0001784B"/>
    <w:rPr>
      <w:vertAlign w:val="superscript"/>
    </w:rPr>
  </w:style>
  <w:style w:type="paragraph" w:styleId="Caption">
    <w:name w:val="caption"/>
    <w:basedOn w:val="Normal"/>
    <w:next w:val="Normal"/>
    <w:semiHidden/>
    <w:unhideWhenUsed/>
    <w:qFormat/>
    <w:rsid w:val="00C973FB"/>
    <w:pPr>
      <w:spacing w:before="0" w:after="200"/>
    </w:pPr>
    <w:rPr>
      <w:b/>
      <w:bCs/>
      <w:color w:val="4F81BD" w:themeColor="accent1"/>
      <w:sz w:val="18"/>
      <w:szCs w:val="18"/>
    </w:rPr>
  </w:style>
  <w:style w:type="character" w:styleId="CommentReference">
    <w:name w:val="annotation reference"/>
    <w:basedOn w:val="DefaultParagraphFont"/>
    <w:rsid w:val="00C301EB"/>
    <w:rPr>
      <w:sz w:val="16"/>
      <w:szCs w:val="16"/>
    </w:rPr>
  </w:style>
  <w:style w:type="paragraph" w:styleId="CommentText">
    <w:name w:val="annotation text"/>
    <w:basedOn w:val="Normal"/>
    <w:link w:val="CommentTextChar"/>
    <w:rsid w:val="00C301EB"/>
    <w:rPr>
      <w:sz w:val="20"/>
    </w:rPr>
  </w:style>
  <w:style w:type="character" w:customStyle="1" w:styleId="CommentTextChar">
    <w:name w:val="Comment Text Char"/>
    <w:basedOn w:val="DefaultParagraphFont"/>
    <w:link w:val="CommentText"/>
    <w:rsid w:val="00C301EB"/>
  </w:style>
  <w:style w:type="paragraph" w:styleId="CommentSubject">
    <w:name w:val="annotation subject"/>
    <w:basedOn w:val="CommentText"/>
    <w:next w:val="CommentText"/>
    <w:link w:val="CommentSubjectChar"/>
    <w:rsid w:val="00C301EB"/>
    <w:rPr>
      <w:b/>
      <w:bCs/>
    </w:rPr>
  </w:style>
  <w:style w:type="character" w:customStyle="1" w:styleId="CommentSubjectChar">
    <w:name w:val="Comment Subject Char"/>
    <w:basedOn w:val="CommentTextChar"/>
    <w:link w:val="CommentSubject"/>
    <w:rsid w:val="00C301EB"/>
    <w:rPr>
      <w:b/>
      <w:bCs/>
    </w:rPr>
  </w:style>
  <w:style w:type="paragraph" w:styleId="Revision">
    <w:name w:val="Revision"/>
    <w:hidden/>
    <w:uiPriority w:val="99"/>
    <w:semiHidden/>
    <w:rsid w:val="00EE3795"/>
    <w:rPr>
      <w:sz w:val="22"/>
    </w:rPr>
  </w:style>
  <w:style w:type="paragraph" w:customStyle="1" w:styleId="SecurityClassificationHeader">
    <w:name w:val="Security Classification Header"/>
    <w:link w:val="SecurityClassificationHeaderChar"/>
    <w:rsid w:val="00D6261F"/>
    <w:pPr>
      <w:spacing w:before="240" w:after="60"/>
      <w:jc w:val="center"/>
    </w:pPr>
    <w:rPr>
      <w:b/>
      <w:caps/>
      <w:sz w:val="24"/>
    </w:rPr>
  </w:style>
  <w:style w:type="character" w:customStyle="1" w:styleId="SecurityClassificationHeaderChar">
    <w:name w:val="Security Classification Header Char"/>
    <w:basedOn w:val="HeaderChar"/>
    <w:link w:val="SecurityClassificationHeader"/>
    <w:rsid w:val="00D6261F"/>
    <w:rPr>
      <w:b/>
      <w:caps/>
      <w:sz w:val="24"/>
    </w:rPr>
  </w:style>
  <w:style w:type="paragraph" w:customStyle="1" w:styleId="SecurityClassificationFooter">
    <w:name w:val="Security Classification Footer"/>
    <w:link w:val="SecurityClassificationFooterChar"/>
    <w:rsid w:val="00D6261F"/>
    <w:pPr>
      <w:spacing w:before="60" w:after="240"/>
      <w:jc w:val="center"/>
    </w:pPr>
    <w:rPr>
      <w:b/>
      <w:caps/>
      <w:sz w:val="24"/>
    </w:rPr>
  </w:style>
  <w:style w:type="character" w:customStyle="1" w:styleId="SecurityClassificationFooterChar">
    <w:name w:val="Security Classification Footer Char"/>
    <w:basedOn w:val="HeaderChar"/>
    <w:link w:val="SecurityClassificationFooter"/>
    <w:rsid w:val="00D6261F"/>
    <w:rPr>
      <w:b/>
      <w:caps/>
      <w:sz w:val="24"/>
    </w:rPr>
  </w:style>
  <w:style w:type="paragraph" w:customStyle="1" w:styleId="DLMSecurityHeader">
    <w:name w:val="DLM Security Header"/>
    <w:link w:val="DLMSecurityHeaderChar"/>
    <w:rsid w:val="00D6261F"/>
    <w:pPr>
      <w:spacing w:before="60" w:after="240"/>
      <w:jc w:val="center"/>
    </w:pPr>
    <w:rPr>
      <w:b/>
      <w:caps/>
      <w:sz w:val="24"/>
    </w:rPr>
  </w:style>
  <w:style w:type="character" w:customStyle="1" w:styleId="DLMSecurityHeaderChar">
    <w:name w:val="DLM Security Header Char"/>
    <w:basedOn w:val="HeaderChar"/>
    <w:link w:val="DLMSecurityHeader"/>
    <w:rsid w:val="00D6261F"/>
    <w:rPr>
      <w:b/>
      <w:caps/>
      <w:sz w:val="24"/>
    </w:rPr>
  </w:style>
  <w:style w:type="paragraph" w:customStyle="1" w:styleId="DLMSecurityFooter">
    <w:name w:val="DLM Security Footer"/>
    <w:link w:val="DLMSecurityFooterChar"/>
    <w:rsid w:val="00D6261F"/>
    <w:pPr>
      <w:spacing w:before="240" w:after="60"/>
      <w:jc w:val="center"/>
    </w:pPr>
    <w:rPr>
      <w:b/>
      <w:caps/>
      <w:sz w:val="24"/>
    </w:rPr>
  </w:style>
  <w:style w:type="character" w:customStyle="1" w:styleId="DLMSecurityFooterChar">
    <w:name w:val="DLM Security Footer Char"/>
    <w:basedOn w:val="HeaderChar"/>
    <w:link w:val="DLMSecurityFooter"/>
    <w:rsid w:val="00D6261F"/>
    <w:rPr>
      <w:b/>
      <w:cap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762D28"/>
    <w:pPr>
      <w:spacing w:before="120" w:after="120"/>
    </w:pPr>
    <w:rPr>
      <w:sz w:val="22"/>
    </w:rPr>
  </w:style>
  <w:style w:type="paragraph" w:styleId="Heading1">
    <w:name w:val="heading 1"/>
    <w:basedOn w:val="Normal"/>
    <w:next w:val="base-text-paragraph"/>
    <w:qFormat/>
    <w:rsid w:val="00832743"/>
    <w:pPr>
      <w:keepNext/>
      <w:spacing w:before="720"/>
      <w:outlineLvl w:val="0"/>
    </w:pPr>
    <w:rPr>
      <w:rFonts w:ascii="Helvetica" w:hAnsi="Helvetica"/>
      <w:b/>
      <w:caps/>
      <w:sz w:val="28"/>
    </w:rPr>
  </w:style>
  <w:style w:type="paragraph" w:styleId="Heading2">
    <w:name w:val="heading 2"/>
    <w:basedOn w:val="Heading1"/>
    <w:next w:val="base-text-paragraph"/>
    <w:qFormat/>
    <w:rsid w:val="008C359D"/>
    <w:pPr>
      <w:spacing w:before="480"/>
      <w:outlineLvl w:val="1"/>
    </w:pPr>
    <w:rPr>
      <w:caps w:val="0"/>
      <w:sz w:val="26"/>
    </w:rPr>
  </w:style>
  <w:style w:type="paragraph" w:styleId="Heading3">
    <w:name w:val="heading 3"/>
    <w:basedOn w:val="Heading2"/>
    <w:next w:val="base-text-paragraph"/>
    <w:qFormat/>
    <w:rsid w:val="00DA72C6"/>
    <w:pPr>
      <w:spacing w:before="240"/>
      <w:outlineLvl w:val="2"/>
    </w:pPr>
    <w:rPr>
      <w:sz w:val="22"/>
    </w:rPr>
  </w:style>
  <w:style w:type="paragraph" w:styleId="Heading4">
    <w:name w:val="heading 4"/>
    <w:basedOn w:val="Heading3"/>
    <w:next w:val="base-text-paragraph"/>
    <w:qFormat/>
    <w:rsid w:val="00231CBA"/>
    <w:pPr>
      <w:spacing w:before="120"/>
      <w:ind w:left="1134"/>
      <w:outlineLvl w:val="3"/>
    </w:pPr>
    <w:rPr>
      <w:rFonts w:ascii="Times New Roman" w:hAnsi="Times New Roman"/>
      <w:i/>
    </w:rPr>
  </w:style>
  <w:style w:type="paragraph" w:styleId="Heading5">
    <w:name w:val="heading 5"/>
    <w:basedOn w:val="Heading4"/>
    <w:next w:val="base-text-paragraph"/>
    <w:qFormat/>
    <w:rsid w:val="00231CBA"/>
    <w:pPr>
      <w:spacing w:after="60"/>
      <w:outlineLvl w:val="4"/>
    </w:pPr>
    <w:rPr>
      <w:b w:val="0"/>
      <w:bCs/>
      <w:iCs/>
      <w:szCs w:val="26"/>
    </w:rPr>
  </w:style>
  <w:style w:type="paragraph" w:styleId="Heading6">
    <w:name w:val="heading 6"/>
    <w:basedOn w:val="Heading5"/>
    <w:next w:val="base-text-paragraph"/>
    <w:qFormat/>
    <w:rsid w:val="00231CBA"/>
    <w:pPr>
      <w:outlineLvl w:val="5"/>
    </w:pPr>
    <w:rPr>
      <w:bCs w:val="0"/>
      <w:i w:val="0"/>
      <w:szCs w:val="22"/>
      <w:u w:val="single"/>
    </w:rPr>
  </w:style>
  <w:style w:type="paragraph" w:styleId="Heading7">
    <w:name w:val="heading 7"/>
    <w:basedOn w:val="Normal"/>
    <w:next w:val="Normal"/>
    <w:qFormat/>
    <w:rsid w:val="003D6FD9"/>
    <w:pPr>
      <w:spacing w:before="240" w:after="60"/>
      <w:outlineLvl w:val="6"/>
    </w:pPr>
    <w:rPr>
      <w:sz w:val="24"/>
      <w:szCs w:val="24"/>
    </w:rPr>
  </w:style>
  <w:style w:type="paragraph" w:styleId="Heading8">
    <w:name w:val="heading 8"/>
    <w:basedOn w:val="Normal"/>
    <w:next w:val="Normal"/>
    <w:qFormat/>
    <w:rsid w:val="003D6FD9"/>
    <w:pPr>
      <w:spacing w:before="240" w:after="60"/>
      <w:outlineLvl w:val="7"/>
    </w:pPr>
    <w:rPr>
      <w:i/>
      <w:iCs/>
      <w:sz w:val="24"/>
      <w:szCs w:val="24"/>
    </w:rPr>
  </w:style>
  <w:style w:type="paragraph" w:styleId="Heading9">
    <w:name w:val="heading 9"/>
    <w:basedOn w:val="Normal"/>
    <w:next w:val="Normal"/>
    <w:qFormat/>
    <w:rsid w:val="003D6FD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pterHeading">
    <w:name w:val="Chapter Heading"/>
    <w:next w:val="Heading2"/>
    <w:rsid w:val="007966EF"/>
    <w:pPr>
      <w:numPr>
        <w:numId w:val="30"/>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9B2AD6"/>
    <w:pPr>
      <w:spacing w:after="360"/>
    </w:pPr>
  </w:style>
  <w:style w:type="paragraph" w:customStyle="1" w:styleId="TableHeadingoutsidetable">
    <w:name w:val="Table Heading (outside table)"/>
    <w:basedOn w:val="Heading4"/>
    <w:rsid w:val="007966EF"/>
    <w:pPr>
      <w:numPr>
        <w:ilvl w:val="4"/>
        <w:numId w:val="30"/>
      </w:numPr>
      <w:tabs>
        <w:tab w:val="num" w:pos="360"/>
      </w:tabs>
    </w:pPr>
    <w:rPr>
      <w:i w:val="0"/>
    </w:rPr>
  </w:style>
  <w:style w:type="paragraph" w:customStyle="1" w:styleId="base-text-paragraph">
    <w:name w:val="base-text-paragraph"/>
    <w:basedOn w:val="Normal"/>
    <w:link w:val="base-text-paragraphChar"/>
    <w:rsid w:val="00D85BEA"/>
    <w:pPr>
      <w:numPr>
        <w:ilvl w:val="1"/>
        <w:numId w:val="30"/>
      </w:numPr>
    </w:pPr>
  </w:style>
  <w:style w:type="paragraph" w:customStyle="1" w:styleId="base-text-paragraphnonumbers">
    <w:name w:val="base-text-paragraph no numbers"/>
    <w:basedOn w:val="Normal"/>
    <w:rsid w:val="002857E2"/>
    <w:pPr>
      <w:ind w:left="1134"/>
    </w:pPr>
  </w:style>
  <w:style w:type="paragraph" w:customStyle="1" w:styleId="exampletext">
    <w:name w:val="example text"/>
    <w:basedOn w:val="Normal"/>
    <w:rsid w:val="008752F1"/>
    <w:pPr>
      <w:ind w:left="1985"/>
    </w:pPr>
    <w:rPr>
      <w:sz w:val="20"/>
    </w:rPr>
  </w:style>
  <w:style w:type="paragraph" w:customStyle="1" w:styleId="ExampleHeading">
    <w:name w:val="Example Heading"/>
    <w:basedOn w:val="Normal"/>
    <w:next w:val="exampletext"/>
    <w:rsid w:val="009B0AB7"/>
    <w:pPr>
      <w:keepNext/>
      <w:numPr>
        <w:ilvl w:val="3"/>
        <w:numId w:val="30"/>
      </w:numPr>
      <w:tabs>
        <w:tab w:val="num" w:pos="360"/>
      </w:tabs>
      <w:ind w:left="0"/>
    </w:pPr>
    <w:rPr>
      <w:b/>
    </w:rPr>
  </w:style>
  <w:style w:type="paragraph" w:customStyle="1" w:styleId="Diagram">
    <w:name w:val="Diagram"/>
    <w:basedOn w:val="Normal"/>
    <w:next w:val="base-text-paragraphnonumbers"/>
    <w:rsid w:val="0036787F"/>
    <w:pPr>
      <w:keepNext/>
      <w:numPr>
        <w:ilvl w:val="2"/>
        <w:numId w:val="30"/>
      </w:numPr>
      <w:tabs>
        <w:tab w:val="num" w:pos="360"/>
      </w:tabs>
      <w:spacing w:before="0" w:after="0"/>
      <w:ind w:left="0"/>
    </w:pPr>
    <w:rPr>
      <w:b/>
    </w:rPr>
  </w:style>
  <w:style w:type="paragraph" w:customStyle="1" w:styleId="dotpoint">
    <w:name w:val="dot point"/>
    <w:basedOn w:val="Normal"/>
    <w:rsid w:val="00D85BEA"/>
    <w:pPr>
      <w:numPr>
        <w:numId w:val="2"/>
      </w:numPr>
    </w:pPr>
  </w:style>
  <w:style w:type="paragraph" w:customStyle="1" w:styleId="dotpoint2">
    <w:name w:val="dot point 2"/>
    <w:basedOn w:val="Normal"/>
    <w:rsid w:val="00E62E8C"/>
    <w:pPr>
      <w:numPr>
        <w:ilvl w:val="1"/>
        <w:numId w:val="20"/>
      </w:numPr>
    </w:pPr>
  </w:style>
  <w:style w:type="paragraph" w:customStyle="1" w:styleId="exampledotpoint1">
    <w:name w:val="example dot point 1"/>
    <w:basedOn w:val="exampletext"/>
    <w:rsid w:val="008C51F4"/>
    <w:pPr>
      <w:numPr>
        <w:numId w:val="21"/>
      </w:numPr>
    </w:pPr>
  </w:style>
  <w:style w:type="paragraph" w:customStyle="1" w:styleId="exampledotpoint2">
    <w:name w:val="example dot point 2"/>
    <w:basedOn w:val="exampletext"/>
    <w:rsid w:val="008C51F4"/>
    <w:pPr>
      <w:numPr>
        <w:ilvl w:val="1"/>
        <w:numId w:val="21"/>
      </w:numPr>
    </w:pPr>
  </w:style>
  <w:style w:type="paragraph" w:customStyle="1" w:styleId="tabletext">
    <w:name w:val="table text"/>
    <w:basedOn w:val="Normal"/>
    <w:link w:val="tabletextChar"/>
    <w:rsid w:val="00832743"/>
    <w:pPr>
      <w:spacing w:before="40" w:after="40"/>
    </w:pPr>
    <w:rPr>
      <w:sz w:val="20"/>
    </w:rPr>
  </w:style>
  <w:style w:type="paragraph" w:customStyle="1" w:styleId="tabledotpoint">
    <w:name w:val="table dot point"/>
    <w:basedOn w:val="tabletext"/>
    <w:rsid w:val="00A37F77"/>
    <w:pPr>
      <w:numPr>
        <w:numId w:val="23"/>
      </w:numPr>
    </w:pPr>
  </w:style>
  <w:style w:type="paragraph" w:customStyle="1" w:styleId="tabledotpoint2">
    <w:name w:val="table dot point 2"/>
    <w:basedOn w:val="tabletext"/>
    <w:rsid w:val="00A37F77"/>
    <w:pPr>
      <w:numPr>
        <w:ilvl w:val="1"/>
        <w:numId w:val="23"/>
      </w:numPr>
    </w:pPr>
  </w:style>
  <w:style w:type="paragraph" w:customStyle="1" w:styleId="Baseparagraphcentred">
    <w:name w:val="Base paragraph centred"/>
    <w:basedOn w:val="Normal"/>
    <w:rsid w:val="00813210"/>
    <w:pPr>
      <w:jc w:val="center"/>
    </w:pPr>
  </w:style>
  <w:style w:type="paragraph" w:customStyle="1" w:styleId="BillName">
    <w:name w:val="Bill Name"/>
    <w:basedOn w:val="Normal"/>
    <w:next w:val="Baseparagraphcentred"/>
    <w:rsid w:val="00C8648B"/>
    <w:pPr>
      <w:pBdr>
        <w:top w:val="single" w:sz="4" w:space="12" w:color="auto"/>
        <w:bottom w:val="single" w:sz="4" w:space="12" w:color="auto"/>
      </w:pBdr>
      <w:jc w:val="center"/>
    </w:pPr>
    <w:rPr>
      <w:caps/>
    </w:rPr>
  </w:style>
  <w:style w:type="paragraph" w:customStyle="1" w:styleId="BTPwithextraspacing">
    <w:name w:val="BTP with extra spacing"/>
    <w:basedOn w:val="Normal"/>
    <w:rsid w:val="00502551"/>
    <w:pPr>
      <w:spacing w:before="360" w:after="360"/>
      <w:ind w:left="1134"/>
    </w:pPr>
  </w:style>
  <w:style w:type="paragraph" w:customStyle="1" w:styleId="Chapterheadingsubdocument">
    <w:name w:val="Chapter heading subdocument"/>
    <w:basedOn w:val="Normal"/>
    <w:next w:val="base-text-paragraphnonumbers"/>
    <w:rsid w:val="00885BE8"/>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8F1A67"/>
    <w:pPr>
      <w:ind w:left="2268"/>
    </w:pPr>
  </w:style>
  <w:style w:type="paragraph" w:customStyle="1" w:styleId="leftfooter">
    <w:name w:val="left footer"/>
    <w:basedOn w:val="Normal"/>
    <w:rsid w:val="00346BEB"/>
    <w:pPr>
      <w:pBdr>
        <w:top w:val="single" w:sz="4" w:space="1" w:color="auto"/>
      </w:pBdr>
      <w:spacing w:before="240" w:after="0"/>
    </w:pPr>
    <w:rPr>
      <w:i/>
      <w:sz w:val="20"/>
    </w:rPr>
  </w:style>
  <w:style w:type="paragraph" w:customStyle="1" w:styleId="Hiddentext">
    <w:name w:val="Hiddentext"/>
    <w:basedOn w:val="Normal"/>
    <w:rsid w:val="00346BEB"/>
    <w:rPr>
      <w:vanish/>
    </w:rPr>
  </w:style>
  <w:style w:type="paragraph" w:customStyle="1" w:styleId="leftheader">
    <w:name w:val="left header"/>
    <w:basedOn w:val="Normal"/>
    <w:rsid w:val="00346BEB"/>
    <w:pPr>
      <w:pBdr>
        <w:bottom w:val="single" w:sz="4" w:space="1" w:color="auto"/>
      </w:pBdr>
    </w:pPr>
    <w:rPr>
      <w:i/>
      <w:sz w:val="20"/>
    </w:rPr>
  </w:style>
  <w:style w:type="character" w:customStyle="1" w:styleId="Referencingstyle">
    <w:name w:val="Referencing style"/>
    <w:basedOn w:val="DefaultParagraphFont"/>
    <w:rsid w:val="007652BC"/>
    <w:rPr>
      <w:b/>
      <w:i/>
      <w:sz w:val="18"/>
    </w:rPr>
  </w:style>
  <w:style w:type="paragraph" w:customStyle="1" w:styleId="rightfooter">
    <w:name w:val="right footer"/>
    <w:basedOn w:val="Normal"/>
    <w:rsid w:val="005A76CC"/>
    <w:pPr>
      <w:pBdr>
        <w:top w:val="single" w:sz="4" w:space="1" w:color="auto"/>
      </w:pBdr>
      <w:spacing w:before="240" w:after="0"/>
      <w:jc w:val="right"/>
    </w:pPr>
    <w:rPr>
      <w:i/>
      <w:sz w:val="20"/>
    </w:rPr>
  </w:style>
  <w:style w:type="paragraph" w:customStyle="1" w:styleId="rightheader">
    <w:name w:val="right header"/>
    <w:basedOn w:val="Normal"/>
    <w:rsid w:val="005A76CC"/>
    <w:pPr>
      <w:pBdr>
        <w:bottom w:val="single" w:sz="4" w:space="1" w:color="auto"/>
      </w:pBdr>
      <w:jc w:val="right"/>
    </w:pPr>
    <w:rPr>
      <w:i/>
      <w:sz w:val="20"/>
    </w:rPr>
  </w:style>
  <w:style w:type="paragraph" w:customStyle="1" w:styleId="tableheaderwithintable">
    <w:name w:val="table header (within table)"/>
    <w:basedOn w:val="Heading4"/>
    <w:rsid w:val="00F92FE2"/>
    <w:pPr>
      <w:spacing w:before="60" w:after="60"/>
      <w:ind w:left="0"/>
      <w:jc w:val="center"/>
    </w:pPr>
    <w:rPr>
      <w:sz w:val="20"/>
    </w:rPr>
  </w:style>
  <w:style w:type="paragraph" w:styleId="TOC1">
    <w:name w:val="toc 1"/>
    <w:basedOn w:val="Heading2"/>
    <w:next w:val="TOC2"/>
    <w:uiPriority w:val="39"/>
    <w:rsid w:val="00460019"/>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B654ED"/>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460019"/>
    <w:pPr>
      <w:tabs>
        <w:tab w:val="clear" w:pos="1701"/>
      </w:tabs>
      <w:ind w:left="0" w:firstLine="0"/>
    </w:pPr>
    <w:rPr>
      <w:noProof/>
    </w:rPr>
  </w:style>
  <w:style w:type="numbering" w:styleId="111111">
    <w:name w:val="Outline List 2"/>
    <w:basedOn w:val="NoList"/>
    <w:semiHidden/>
    <w:rsid w:val="003D6FD9"/>
    <w:pPr>
      <w:numPr>
        <w:numId w:val="15"/>
      </w:numPr>
    </w:pPr>
  </w:style>
  <w:style w:type="numbering" w:styleId="1ai">
    <w:name w:val="Outline List 1"/>
    <w:basedOn w:val="NoList"/>
    <w:semiHidden/>
    <w:rsid w:val="003D6FD9"/>
    <w:pPr>
      <w:numPr>
        <w:numId w:val="16"/>
      </w:numPr>
    </w:pPr>
  </w:style>
  <w:style w:type="numbering" w:styleId="ArticleSection">
    <w:name w:val="Outline List 3"/>
    <w:basedOn w:val="NoList"/>
    <w:semiHidden/>
    <w:rsid w:val="003D6FD9"/>
    <w:pPr>
      <w:numPr>
        <w:numId w:val="17"/>
      </w:numPr>
    </w:pPr>
  </w:style>
  <w:style w:type="paragraph" w:styleId="BlockText">
    <w:name w:val="Block Text"/>
    <w:basedOn w:val="Normal"/>
    <w:semiHidden/>
    <w:rsid w:val="003D6FD9"/>
    <w:pPr>
      <w:ind w:left="1440" w:right="1440"/>
    </w:pPr>
  </w:style>
  <w:style w:type="paragraph" w:styleId="BodyText">
    <w:name w:val="Body Text"/>
    <w:basedOn w:val="Normal"/>
    <w:semiHidden/>
    <w:rsid w:val="003D6FD9"/>
  </w:style>
  <w:style w:type="paragraph" w:styleId="BodyText2">
    <w:name w:val="Body Text 2"/>
    <w:basedOn w:val="Normal"/>
    <w:semiHidden/>
    <w:rsid w:val="003D6FD9"/>
    <w:pPr>
      <w:spacing w:line="480" w:lineRule="auto"/>
    </w:pPr>
  </w:style>
  <w:style w:type="paragraph" w:styleId="BodyText3">
    <w:name w:val="Body Text 3"/>
    <w:basedOn w:val="Normal"/>
    <w:semiHidden/>
    <w:rsid w:val="003D6FD9"/>
    <w:rPr>
      <w:sz w:val="16"/>
      <w:szCs w:val="16"/>
    </w:rPr>
  </w:style>
  <w:style w:type="paragraph" w:styleId="BodyTextFirstIndent">
    <w:name w:val="Body Text First Indent"/>
    <w:basedOn w:val="BodyText"/>
    <w:semiHidden/>
    <w:rsid w:val="003D6FD9"/>
    <w:pPr>
      <w:ind w:firstLine="210"/>
    </w:pPr>
  </w:style>
  <w:style w:type="paragraph" w:styleId="BodyTextIndent">
    <w:name w:val="Body Text Indent"/>
    <w:basedOn w:val="Normal"/>
    <w:semiHidden/>
    <w:rsid w:val="003D6FD9"/>
    <w:pPr>
      <w:ind w:left="283"/>
    </w:pPr>
  </w:style>
  <w:style w:type="paragraph" w:styleId="BodyTextFirstIndent2">
    <w:name w:val="Body Text First Indent 2"/>
    <w:basedOn w:val="BodyTextIndent"/>
    <w:semiHidden/>
    <w:rsid w:val="003D6FD9"/>
    <w:pPr>
      <w:ind w:firstLine="210"/>
    </w:pPr>
  </w:style>
  <w:style w:type="paragraph" w:styleId="BodyTextIndent2">
    <w:name w:val="Body Text Indent 2"/>
    <w:basedOn w:val="Normal"/>
    <w:semiHidden/>
    <w:rsid w:val="003D6FD9"/>
    <w:pPr>
      <w:spacing w:line="480" w:lineRule="auto"/>
      <w:ind w:left="283"/>
    </w:pPr>
  </w:style>
  <w:style w:type="paragraph" w:styleId="BodyTextIndent3">
    <w:name w:val="Body Text Indent 3"/>
    <w:basedOn w:val="Normal"/>
    <w:semiHidden/>
    <w:rsid w:val="003D6FD9"/>
    <w:pPr>
      <w:ind w:left="283"/>
    </w:pPr>
    <w:rPr>
      <w:sz w:val="16"/>
      <w:szCs w:val="16"/>
    </w:rPr>
  </w:style>
  <w:style w:type="paragraph" w:styleId="Closing">
    <w:name w:val="Closing"/>
    <w:basedOn w:val="Normal"/>
    <w:semiHidden/>
    <w:rsid w:val="003D6FD9"/>
    <w:pPr>
      <w:ind w:left="4252"/>
    </w:pPr>
  </w:style>
  <w:style w:type="paragraph" w:styleId="Date">
    <w:name w:val="Date"/>
    <w:basedOn w:val="Normal"/>
    <w:next w:val="Normal"/>
    <w:semiHidden/>
    <w:rsid w:val="003D6FD9"/>
  </w:style>
  <w:style w:type="paragraph" w:styleId="E-mailSignature">
    <w:name w:val="E-mail Signature"/>
    <w:basedOn w:val="Normal"/>
    <w:semiHidden/>
    <w:rsid w:val="003D6FD9"/>
  </w:style>
  <w:style w:type="character" w:styleId="Emphasis">
    <w:name w:val="Emphasis"/>
    <w:basedOn w:val="DefaultParagraphFont"/>
    <w:qFormat/>
    <w:rsid w:val="003D6FD9"/>
    <w:rPr>
      <w:i/>
      <w:iCs/>
    </w:rPr>
  </w:style>
  <w:style w:type="paragraph" w:styleId="EnvelopeAddress">
    <w:name w:val="envelope address"/>
    <w:basedOn w:val="Normal"/>
    <w:semiHidden/>
    <w:rsid w:val="003D6FD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D6FD9"/>
    <w:rPr>
      <w:rFonts w:ascii="Arial" w:hAnsi="Arial" w:cs="Arial"/>
      <w:sz w:val="20"/>
    </w:rPr>
  </w:style>
  <w:style w:type="paragraph" w:styleId="Footer">
    <w:name w:val="footer"/>
    <w:basedOn w:val="Normal"/>
    <w:semiHidden/>
    <w:rsid w:val="003D6FD9"/>
    <w:pPr>
      <w:tabs>
        <w:tab w:val="center" w:pos="4153"/>
        <w:tab w:val="right" w:pos="8306"/>
      </w:tabs>
    </w:pPr>
  </w:style>
  <w:style w:type="paragraph" w:styleId="Header">
    <w:name w:val="header"/>
    <w:basedOn w:val="Normal"/>
    <w:link w:val="HeaderChar"/>
    <w:semiHidden/>
    <w:rsid w:val="003D6FD9"/>
    <w:pPr>
      <w:tabs>
        <w:tab w:val="center" w:pos="4153"/>
        <w:tab w:val="right" w:pos="8306"/>
      </w:tabs>
    </w:pPr>
  </w:style>
  <w:style w:type="character" w:styleId="HTMLAcronym">
    <w:name w:val="HTML Acronym"/>
    <w:basedOn w:val="DefaultParagraphFont"/>
    <w:semiHidden/>
    <w:rsid w:val="003D6FD9"/>
  </w:style>
  <w:style w:type="paragraph" w:styleId="HTMLAddress">
    <w:name w:val="HTML Address"/>
    <w:basedOn w:val="Normal"/>
    <w:semiHidden/>
    <w:rsid w:val="003D6FD9"/>
    <w:rPr>
      <w:i/>
      <w:iCs/>
    </w:rPr>
  </w:style>
  <w:style w:type="character" w:styleId="HTMLCite">
    <w:name w:val="HTML Cite"/>
    <w:basedOn w:val="DefaultParagraphFont"/>
    <w:semiHidden/>
    <w:rsid w:val="003D6FD9"/>
    <w:rPr>
      <w:i/>
      <w:iCs/>
    </w:rPr>
  </w:style>
  <w:style w:type="character" w:styleId="HTMLCode">
    <w:name w:val="HTML Code"/>
    <w:basedOn w:val="DefaultParagraphFont"/>
    <w:semiHidden/>
    <w:rsid w:val="003D6FD9"/>
    <w:rPr>
      <w:rFonts w:ascii="Courier New" w:hAnsi="Courier New" w:cs="Courier New"/>
      <w:sz w:val="20"/>
      <w:szCs w:val="20"/>
    </w:rPr>
  </w:style>
  <w:style w:type="character" w:styleId="HTMLDefinition">
    <w:name w:val="HTML Definition"/>
    <w:basedOn w:val="DefaultParagraphFont"/>
    <w:semiHidden/>
    <w:rsid w:val="003D6FD9"/>
    <w:rPr>
      <w:i/>
      <w:iCs/>
    </w:rPr>
  </w:style>
  <w:style w:type="character" w:styleId="HTMLKeyboard">
    <w:name w:val="HTML Keyboard"/>
    <w:basedOn w:val="DefaultParagraphFont"/>
    <w:semiHidden/>
    <w:rsid w:val="003D6FD9"/>
    <w:rPr>
      <w:rFonts w:ascii="Courier New" w:hAnsi="Courier New" w:cs="Courier New"/>
      <w:sz w:val="20"/>
      <w:szCs w:val="20"/>
    </w:rPr>
  </w:style>
  <w:style w:type="paragraph" w:styleId="HTMLPreformatted">
    <w:name w:val="HTML Preformatted"/>
    <w:basedOn w:val="Normal"/>
    <w:semiHidden/>
    <w:rsid w:val="003D6FD9"/>
    <w:rPr>
      <w:rFonts w:ascii="Courier New" w:hAnsi="Courier New" w:cs="Courier New"/>
      <w:sz w:val="20"/>
    </w:rPr>
  </w:style>
  <w:style w:type="character" w:styleId="HTMLSample">
    <w:name w:val="HTML Sample"/>
    <w:basedOn w:val="DefaultParagraphFont"/>
    <w:semiHidden/>
    <w:rsid w:val="003D6FD9"/>
    <w:rPr>
      <w:rFonts w:ascii="Courier New" w:hAnsi="Courier New" w:cs="Courier New"/>
    </w:rPr>
  </w:style>
  <w:style w:type="character" w:styleId="HTMLTypewriter">
    <w:name w:val="HTML Typewriter"/>
    <w:basedOn w:val="DefaultParagraphFont"/>
    <w:semiHidden/>
    <w:rsid w:val="003D6FD9"/>
    <w:rPr>
      <w:rFonts w:ascii="Courier New" w:hAnsi="Courier New" w:cs="Courier New"/>
      <w:sz w:val="20"/>
      <w:szCs w:val="20"/>
    </w:rPr>
  </w:style>
  <w:style w:type="character" w:styleId="HTMLVariable">
    <w:name w:val="HTML Variable"/>
    <w:basedOn w:val="DefaultParagraphFont"/>
    <w:semiHidden/>
    <w:rsid w:val="003D6FD9"/>
    <w:rPr>
      <w:i/>
      <w:iCs/>
    </w:rPr>
  </w:style>
  <w:style w:type="character" w:styleId="LineNumber">
    <w:name w:val="line number"/>
    <w:basedOn w:val="DefaultParagraphFont"/>
    <w:semiHidden/>
    <w:rsid w:val="003D6FD9"/>
  </w:style>
  <w:style w:type="paragraph" w:styleId="List">
    <w:name w:val="List"/>
    <w:basedOn w:val="Normal"/>
    <w:semiHidden/>
    <w:rsid w:val="003D6FD9"/>
    <w:pPr>
      <w:ind w:left="283" w:hanging="283"/>
    </w:pPr>
  </w:style>
  <w:style w:type="paragraph" w:styleId="List2">
    <w:name w:val="List 2"/>
    <w:basedOn w:val="Normal"/>
    <w:semiHidden/>
    <w:rsid w:val="003D6FD9"/>
    <w:pPr>
      <w:ind w:left="566" w:hanging="283"/>
    </w:pPr>
  </w:style>
  <w:style w:type="paragraph" w:styleId="List3">
    <w:name w:val="List 3"/>
    <w:basedOn w:val="Normal"/>
    <w:semiHidden/>
    <w:rsid w:val="003D6FD9"/>
    <w:pPr>
      <w:ind w:left="849" w:hanging="283"/>
    </w:pPr>
  </w:style>
  <w:style w:type="paragraph" w:styleId="List4">
    <w:name w:val="List 4"/>
    <w:basedOn w:val="Normal"/>
    <w:semiHidden/>
    <w:rsid w:val="003D6FD9"/>
    <w:pPr>
      <w:ind w:left="1132" w:hanging="283"/>
    </w:pPr>
  </w:style>
  <w:style w:type="paragraph" w:styleId="List5">
    <w:name w:val="List 5"/>
    <w:basedOn w:val="Normal"/>
    <w:semiHidden/>
    <w:rsid w:val="003D6FD9"/>
    <w:pPr>
      <w:ind w:left="1415" w:hanging="283"/>
    </w:pPr>
  </w:style>
  <w:style w:type="paragraph" w:styleId="ListBullet">
    <w:name w:val="List Bullet"/>
    <w:basedOn w:val="Normal"/>
    <w:semiHidden/>
    <w:rsid w:val="003D6FD9"/>
    <w:pPr>
      <w:numPr>
        <w:numId w:val="5"/>
      </w:numPr>
    </w:pPr>
  </w:style>
  <w:style w:type="paragraph" w:styleId="ListBullet2">
    <w:name w:val="List Bullet 2"/>
    <w:basedOn w:val="Normal"/>
    <w:semiHidden/>
    <w:rsid w:val="003D6FD9"/>
    <w:pPr>
      <w:numPr>
        <w:numId w:val="6"/>
      </w:numPr>
    </w:pPr>
  </w:style>
  <w:style w:type="paragraph" w:styleId="ListBullet3">
    <w:name w:val="List Bullet 3"/>
    <w:basedOn w:val="Normal"/>
    <w:semiHidden/>
    <w:rsid w:val="003D6FD9"/>
    <w:pPr>
      <w:numPr>
        <w:numId w:val="7"/>
      </w:numPr>
    </w:pPr>
  </w:style>
  <w:style w:type="paragraph" w:styleId="ListBullet4">
    <w:name w:val="List Bullet 4"/>
    <w:basedOn w:val="Normal"/>
    <w:semiHidden/>
    <w:rsid w:val="003D6FD9"/>
    <w:pPr>
      <w:numPr>
        <w:numId w:val="8"/>
      </w:numPr>
    </w:pPr>
  </w:style>
  <w:style w:type="paragraph" w:styleId="ListBullet5">
    <w:name w:val="List Bullet 5"/>
    <w:basedOn w:val="Normal"/>
    <w:semiHidden/>
    <w:rsid w:val="003D6FD9"/>
    <w:pPr>
      <w:numPr>
        <w:numId w:val="9"/>
      </w:numPr>
    </w:pPr>
  </w:style>
  <w:style w:type="paragraph" w:styleId="ListContinue">
    <w:name w:val="List Continue"/>
    <w:basedOn w:val="Normal"/>
    <w:semiHidden/>
    <w:rsid w:val="003D6FD9"/>
    <w:pPr>
      <w:ind w:left="283"/>
    </w:pPr>
  </w:style>
  <w:style w:type="paragraph" w:styleId="ListContinue2">
    <w:name w:val="List Continue 2"/>
    <w:basedOn w:val="Normal"/>
    <w:semiHidden/>
    <w:rsid w:val="003D6FD9"/>
    <w:pPr>
      <w:ind w:left="566"/>
    </w:pPr>
  </w:style>
  <w:style w:type="paragraph" w:styleId="ListContinue3">
    <w:name w:val="List Continue 3"/>
    <w:basedOn w:val="Normal"/>
    <w:semiHidden/>
    <w:rsid w:val="003D6FD9"/>
    <w:pPr>
      <w:ind w:left="849"/>
    </w:pPr>
  </w:style>
  <w:style w:type="paragraph" w:styleId="ListContinue4">
    <w:name w:val="List Continue 4"/>
    <w:basedOn w:val="Normal"/>
    <w:semiHidden/>
    <w:rsid w:val="003D6FD9"/>
    <w:pPr>
      <w:ind w:left="1132"/>
    </w:pPr>
  </w:style>
  <w:style w:type="paragraph" w:styleId="ListContinue5">
    <w:name w:val="List Continue 5"/>
    <w:basedOn w:val="Normal"/>
    <w:semiHidden/>
    <w:rsid w:val="003D6FD9"/>
    <w:pPr>
      <w:ind w:left="1415"/>
    </w:pPr>
  </w:style>
  <w:style w:type="paragraph" w:styleId="ListNumber">
    <w:name w:val="List Number"/>
    <w:basedOn w:val="Normal"/>
    <w:semiHidden/>
    <w:rsid w:val="003D6FD9"/>
    <w:pPr>
      <w:numPr>
        <w:numId w:val="10"/>
      </w:numPr>
    </w:pPr>
  </w:style>
  <w:style w:type="paragraph" w:styleId="ListNumber2">
    <w:name w:val="List Number 2"/>
    <w:basedOn w:val="Normal"/>
    <w:semiHidden/>
    <w:rsid w:val="003D6FD9"/>
    <w:pPr>
      <w:numPr>
        <w:numId w:val="11"/>
      </w:numPr>
    </w:pPr>
  </w:style>
  <w:style w:type="paragraph" w:styleId="ListNumber3">
    <w:name w:val="List Number 3"/>
    <w:basedOn w:val="Normal"/>
    <w:semiHidden/>
    <w:rsid w:val="003D6FD9"/>
    <w:pPr>
      <w:numPr>
        <w:numId w:val="12"/>
      </w:numPr>
    </w:pPr>
  </w:style>
  <w:style w:type="paragraph" w:styleId="ListNumber4">
    <w:name w:val="List Number 4"/>
    <w:basedOn w:val="Normal"/>
    <w:semiHidden/>
    <w:rsid w:val="003D6FD9"/>
    <w:pPr>
      <w:numPr>
        <w:numId w:val="13"/>
      </w:numPr>
    </w:pPr>
  </w:style>
  <w:style w:type="paragraph" w:styleId="ListNumber5">
    <w:name w:val="List Number 5"/>
    <w:basedOn w:val="Normal"/>
    <w:semiHidden/>
    <w:rsid w:val="003D6FD9"/>
    <w:pPr>
      <w:numPr>
        <w:numId w:val="14"/>
      </w:numPr>
    </w:pPr>
  </w:style>
  <w:style w:type="paragraph" w:styleId="MessageHeader">
    <w:name w:val="Message Header"/>
    <w:basedOn w:val="Normal"/>
    <w:semiHidden/>
    <w:rsid w:val="003D6FD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semiHidden/>
    <w:rsid w:val="003D6FD9"/>
    <w:rPr>
      <w:sz w:val="24"/>
      <w:szCs w:val="24"/>
    </w:rPr>
  </w:style>
  <w:style w:type="paragraph" w:styleId="NormalIndent">
    <w:name w:val="Normal Indent"/>
    <w:basedOn w:val="Normal"/>
    <w:semiHidden/>
    <w:rsid w:val="003D6FD9"/>
    <w:pPr>
      <w:ind w:left="720"/>
    </w:pPr>
  </w:style>
  <w:style w:type="paragraph" w:styleId="NoteHeading">
    <w:name w:val="Note Heading"/>
    <w:basedOn w:val="Normal"/>
    <w:next w:val="Normal"/>
    <w:semiHidden/>
    <w:rsid w:val="003D6FD9"/>
  </w:style>
  <w:style w:type="character" w:styleId="PageNumber">
    <w:name w:val="page number"/>
    <w:basedOn w:val="DefaultParagraphFont"/>
    <w:semiHidden/>
    <w:rsid w:val="003D6FD9"/>
  </w:style>
  <w:style w:type="paragraph" w:styleId="PlainText">
    <w:name w:val="Plain Text"/>
    <w:basedOn w:val="Normal"/>
    <w:semiHidden/>
    <w:rsid w:val="003D6FD9"/>
    <w:rPr>
      <w:rFonts w:ascii="Courier New" w:hAnsi="Courier New" w:cs="Courier New"/>
      <w:sz w:val="20"/>
    </w:rPr>
  </w:style>
  <w:style w:type="paragraph" w:styleId="Salutation">
    <w:name w:val="Salutation"/>
    <w:basedOn w:val="Normal"/>
    <w:next w:val="Normal"/>
    <w:semiHidden/>
    <w:rsid w:val="003D6FD9"/>
  </w:style>
  <w:style w:type="paragraph" w:styleId="Signature">
    <w:name w:val="Signature"/>
    <w:basedOn w:val="Normal"/>
    <w:semiHidden/>
    <w:rsid w:val="003D6FD9"/>
    <w:pPr>
      <w:ind w:left="4252"/>
    </w:pPr>
  </w:style>
  <w:style w:type="character" w:styleId="Strong">
    <w:name w:val="Strong"/>
    <w:basedOn w:val="DefaultParagraphFont"/>
    <w:qFormat/>
    <w:rsid w:val="003D6FD9"/>
    <w:rPr>
      <w:b/>
      <w:bCs/>
    </w:rPr>
  </w:style>
  <w:style w:type="paragraph" w:styleId="Subtitle">
    <w:name w:val="Subtitle"/>
    <w:basedOn w:val="Normal"/>
    <w:qFormat/>
    <w:rsid w:val="003D6FD9"/>
    <w:pPr>
      <w:spacing w:after="60"/>
      <w:jc w:val="center"/>
      <w:outlineLvl w:val="1"/>
    </w:pPr>
    <w:rPr>
      <w:rFonts w:ascii="Arial" w:hAnsi="Arial" w:cs="Arial"/>
      <w:sz w:val="24"/>
      <w:szCs w:val="24"/>
    </w:rPr>
  </w:style>
  <w:style w:type="table" w:styleId="Table3Deffects1">
    <w:name w:val="Table 3D effects 1"/>
    <w:basedOn w:val="TableNormal"/>
    <w:semiHidden/>
    <w:rsid w:val="003D6FD9"/>
    <w:pPr>
      <w:spacing w:before="120" w:after="120"/>
      <w:ind w:left="1134"/>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6FD9"/>
    <w:pPr>
      <w:spacing w:before="120" w:after="120"/>
      <w:ind w:left="1134"/>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6FD9"/>
    <w:pPr>
      <w:spacing w:before="120" w:after="120"/>
      <w:ind w:left="1134"/>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6FD9"/>
    <w:pPr>
      <w:spacing w:before="120" w:after="120"/>
      <w:ind w:left="1134"/>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6FD9"/>
    <w:pPr>
      <w:spacing w:before="120" w:after="120"/>
      <w:ind w:left="1134"/>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6FD9"/>
    <w:pPr>
      <w:spacing w:before="120" w:after="120"/>
      <w:ind w:left="1134"/>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6FD9"/>
    <w:pPr>
      <w:spacing w:before="120" w:after="120"/>
      <w:ind w:left="1134"/>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6FD9"/>
    <w:pPr>
      <w:spacing w:before="120" w:after="120"/>
      <w:ind w:left="1134"/>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6FD9"/>
    <w:pPr>
      <w:spacing w:before="120" w:after="120"/>
      <w:ind w:left="1134"/>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6FD9"/>
    <w:pPr>
      <w:spacing w:before="120" w:after="120"/>
      <w:ind w:left="1134"/>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6FD9"/>
    <w:pPr>
      <w:spacing w:before="120" w:after="120"/>
      <w:ind w:left="1134"/>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6FD9"/>
    <w:pPr>
      <w:spacing w:before="120" w:after="120"/>
      <w:ind w:left="1134"/>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6FD9"/>
    <w:pPr>
      <w:spacing w:before="120" w:after="120"/>
      <w:ind w:left="1134"/>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6FD9"/>
    <w:pPr>
      <w:spacing w:before="120" w:after="120"/>
      <w:ind w:left="1134"/>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6FD9"/>
    <w:pPr>
      <w:spacing w:before="120" w:after="120"/>
      <w:ind w:left="1134"/>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6FD9"/>
    <w:pPr>
      <w:spacing w:before="120" w:after="120"/>
      <w:ind w:left="1134"/>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6FD9"/>
    <w:pPr>
      <w:spacing w:before="120" w:after="120"/>
      <w:ind w:left="1134"/>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6FD9"/>
    <w:pPr>
      <w:spacing w:before="120" w:after="120"/>
      <w:ind w:left="1134"/>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6FD9"/>
    <w:pPr>
      <w:spacing w:before="120" w:after="120"/>
      <w:ind w:left="1134"/>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6FD9"/>
    <w:pPr>
      <w:spacing w:before="120" w:after="120"/>
      <w:ind w:left="1134"/>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6FD9"/>
    <w:pPr>
      <w:spacing w:before="120" w:after="120"/>
      <w:ind w:left="1134"/>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6FD9"/>
    <w:pPr>
      <w:spacing w:before="120" w:after="120"/>
      <w:ind w:left="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6FD9"/>
    <w:pPr>
      <w:spacing w:before="120" w:after="120"/>
      <w:ind w:left="1134"/>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6FD9"/>
    <w:pPr>
      <w:spacing w:before="120" w:after="120"/>
      <w:ind w:left="1134"/>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6FD9"/>
    <w:pPr>
      <w:spacing w:before="120" w:after="120"/>
      <w:ind w:left="1134"/>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6FD9"/>
    <w:pPr>
      <w:spacing w:before="120" w:after="120"/>
      <w:ind w:left="1134"/>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D6FD9"/>
    <w:pPr>
      <w:spacing w:before="120" w:after="120"/>
      <w:ind w:left="1134"/>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6FD9"/>
    <w:pPr>
      <w:spacing w:before="120" w:after="120"/>
      <w:ind w:left="1134"/>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6FD9"/>
    <w:pPr>
      <w:spacing w:before="120" w:after="120"/>
      <w:ind w:left="1134"/>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D6FD9"/>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3D6FD9"/>
    <w:rPr>
      <w:b/>
    </w:rPr>
  </w:style>
  <w:style w:type="character" w:customStyle="1" w:styleId="Italic">
    <w:name w:val="Italic"/>
    <w:basedOn w:val="DefaultParagraphFont"/>
    <w:rsid w:val="003D6FD9"/>
    <w:rPr>
      <w:i/>
    </w:rPr>
  </w:style>
  <w:style w:type="character" w:customStyle="1" w:styleId="BoldItalic">
    <w:name w:val="BoldItalic"/>
    <w:basedOn w:val="DefaultParagraphFont"/>
    <w:rsid w:val="003D6FD9"/>
    <w:rPr>
      <w:b/>
      <w:i/>
    </w:rPr>
  </w:style>
  <w:style w:type="paragraph" w:customStyle="1" w:styleId="Glossarytabletext">
    <w:name w:val="Glossary table text"/>
    <w:basedOn w:val="Normal"/>
    <w:rsid w:val="00123D96"/>
    <w:pPr>
      <w:spacing w:before="60" w:after="60"/>
    </w:pPr>
    <w:rPr>
      <w:sz w:val="20"/>
    </w:rPr>
  </w:style>
  <w:style w:type="character" w:customStyle="1" w:styleId="base-text-paragraphChar">
    <w:name w:val="base-text-paragraph Char"/>
    <w:basedOn w:val="DefaultParagraphFont"/>
    <w:link w:val="base-text-paragraph"/>
    <w:rsid w:val="00D85BEA"/>
    <w:rPr>
      <w:sz w:val="22"/>
    </w:rPr>
  </w:style>
  <w:style w:type="paragraph" w:styleId="FootnoteText">
    <w:name w:val="footnote text"/>
    <w:basedOn w:val="Normal"/>
    <w:rsid w:val="00034BE8"/>
    <w:pPr>
      <w:tabs>
        <w:tab w:val="left" w:pos="284"/>
      </w:tabs>
      <w:spacing w:before="0" w:after="0"/>
      <w:ind w:left="284" w:hanging="284"/>
    </w:pPr>
    <w:rPr>
      <w:sz w:val="20"/>
    </w:rPr>
  </w:style>
  <w:style w:type="numbering" w:customStyle="1" w:styleId="ChapterList">
    <w:name w:val="ChapterList"/>
    <w:uiPriority w:val="99"/>
    <w:rsid w:val="007966EF"/>
    <w:pPr>
      <w:numPr>
        <w:numId w:val="19"/>
      </w:numPr>
    </w:pPr>
  </w:style>
  <w:style w:type="paragraph" w:styleId="ListParagraph">
    <w:name w:val="List Paragraph"/>
    <w:basedOn w:val="Normal"/>
    <w:uiPriority w:val="34"/>
    <w:qFormat/>
    <w:rsid w:val="00D963F2"/>
    <w:pPr>
      <w:ind w:left="720"/>
      <w:contextualSpacing/>
    </w:pPr>
  </w:style>
  <w:style w:type="numbering" w:customStyle="1" w:styleId="DotPointList">
    <w:name w:val="Dot Point List"/>
    <w:uiPriority w:val="99"/>
    <w:rsid w:val="008C51F4"/>
    <w:pPr>
      <w:numPr>
        <w:numId w:val="20"/>
      </w:numPr>
    </w:pPr>
  </w:style>
  <w:style w:type="numbering" w:customStyle="1" w:styleId="ExampleDotPointList">
    <w:name w:val="Example Dot Point List"/>
    <w:uiPriority w:val="99"/>
    <w:rsid w:val="008C51F4"/>
    <w:pPr>
      <w:numPr>
        <w:numId w:val="21"/>
      </w:numPr>
    </w:pPr>
  </w:style>
  <w:style w:type="numbering" w:customStyle="1" w:styleId="TableDotPointList">
    <w:name w:val="Table Dot Point List"/>
    <w:uiPriority w:val="99"/>
    <w:rsid w:val="00A37F77"/>
    <w:pPr>
      <w:numPr>
        <w:numId w:val="22"/>
      </w:numPr>
    </w:pPr>
  </w:style>
  <w:style w:type="character" w:customStyle="1" w:styleId="Font30point">
    <w:name w:val="Font 30 point"/>
    <w:basedOn w:val="DefaultParagraphFont"/>
    <w:rsid w:val="003E0794"/>
    <w:rPr>
      <w:sz w:val="60"/>
    </w:rPr>
  </w:style>
  <w:style w:type="character" w:customStyle="1" w:styleId="Font15point">
    <w:name w:val="Font 15 point"/>
    <w:basedOn w:val="DefaultParagraphFont"/>
    <w:rsid w:val="00D67ADC"/>
    <w:rPr>
      <w:sz w:val="30"/>
    </w:rPr>
  </w:style>
  <w:style w:type="character" w:customStyle="1" w:styleId="Font19point">
    <w:name w:val="Font 19 point"/>
    <w:basedOn w:val="DefaultParagraphFont"/>
    <w:rsid w:val="00D67ADC"/>
    <w:rPr>
      <w:sz w:val="38"/>
    </w:rPr>
  </w:style>
  <w:style w:type="character" w:styleId="Hyperlink">
    <w:name w:val="Hyperlink"/>
    <w:basedOn w:val="DefaultParagraphFont"/>
    <w:rsid w:val="005255EA"/>
    <w:rPr>
      <w:color w:val="0000FF" w:themeColor="hyperlink"/>
      <w:u w:val="single"/>
    </w:rPr>
  </w:style>
  <w:style w:type="character" w:styleId="FollowedHyperlink">
    <w:name w:val="FollowedHyperlink"/>
    <w:basedOn w:val="DefaultParagraphFont"/>
    <w:rsid w:val="00F053A1"/>
    <w:rPr>
      <w:color w:val="800080" w:themeColor="followedHyperlink"/>
      <w:u w:val="single"/>
    </w:rPr>
  </w:style>
  <w:style w:type="character" w:customStyle="1" w:styleId="HeaderChar">
    <w:name w:val="Header Char"/>
    <w:basedOn w:val="DefaultParagraphFont"/>
    <w:link w:val="Header"/>
    <w:semiHidden/>
    <w:rsid w:val="00450635"/>
    <w:rPr>
      <w:sz w:val="22"/>
    </w:rPr>
  </w:style>
  <w:style w:type="character" w:customStyle="1" w:styleId="tabletextChar">
    <w:name w:val="table text Char"/>
    <w:basedOn w:val="DefaultParagraphFont"/>
    <w:link w:val="tabletext"/>
    <w:rsid w:val="00E40703"/>
  </w:style>
  <w:style w:type="paragraph" w:styleId="BalloonText">
    <w:name w:val="Balloon Text"/>
    <w:basedOn w:val="Normal"/>
    <w:link w:val="BalloonTextChar"/>
    <w:rsid w:val="003A02F1"/>
    <w:pPr>
      <w:spacing w:before="0" w:after="0"/>
    </w:pPr>
    <w:rPr>
      <w:rFonts w:ascii="Tahoma" w:hAnsi="Tahoma" w:cs="Tahoma"/>
      <w:sz w:val="16"/>
      <w:szCs w:val="16"/>
    </w:rPr>
  </w:style>
  <w:style w:type="character" w:customStyle="1" w:styleId="BalloonTextChar">
    <w:name w:val="Balloon Text Char"/>
    <w:basedOn w:val="DefaultParagraphFont"/>
    <w:link w:val="BalloonText"/>
    <w:rsid w:val="003A02F1"/>
    <w:rPr>
      <w:rFonts w:ascii="Tahoma" w:hAnsi="Tahoma" w:cs="Tahoma"/>
      <w:sz w:val="16"/>
      <w:szCs w:val="16"/>
    </w:rPr>
  </w:style>
  <w:style w:type="paragraph" w:customStyle="1" w:styleId="Bullet">
    <w:name w:val="Bullet"/>
    <w:aliases w:val="b,b + line,b1,Body,level 1"/>
    <w:basedOn w:val="Normal"/>
    <w:rsid w:val="00424EAA"/>
    <w:pPr>
      <w:numPr>
        <w:numId w:val="34"/>
      </w:numPr>
    </w:pPr>
  </w:style>
  <w:style w:type="paragraph" w:customStyle="1" w:styleId="Dash">
    <w:name w:val="Dash"/>
    <w:basedOn w:val="Normal"/>
    <w:rsid w:val="00424EAA"/>
    <w:pPr>
      <w:numPr>
        <w:ilvl w:val="1"/>
        <w:numId w:val="34"/>
      </w:numPr>
    </w:pPr>
  </w:style>
  <w:style w:type="paragraph" w:customStyle="1" w:styleId="DoubleDot">
    <w:name w:val="Double Dot"/>
    <w:basedOn w:val="Normal"/>
    <w:rsid w:val="00424EAA"/>
    <w:pPr>
      <w:numPr>
        <w:ilvl w:val="2"/>
        <w:numId w:val="34"/>
      </w:numPr>
    </w:pPr>
  </w:style>
  <w:style w:type="character" w:styleId="FootnoteReference">
    <w:name w:val="footnote reference"/>
    <w:basedOn w:val="DefaultParagraphFont"/>
    <w:rsid w:val="0001784B"/>
    <w:rPr>
      <w:vertAlign w:val="superscript"/>
    </w:rPr>
  </w:style>
  <w:style w:type="paragraph" w:styleId="Caption">
    <w:name w:val="caption"/>
    <w:basedOn w:val="Normal"/>
    <w:next w:val="Normal"/>
    <w:semiHidden/>
    <w:unhideWhenUsed/>
    <w:qFormat/>
    <w:rsid w:val="00C973FB"/>
    <w:pPr>
      <w:spacing w:before="0" w:after="200"/>
    </w:pPr>
    <w:rPr>
      <w:b/>
      <w:bCs/>
      <w:color w:val="4F81BD" w:themeColor="accent1"/>
      <w:sz w:val="18"/>
      <w:szCs w:val="18"/>
    </w:rPr>
  </w:style>
  <w:style w:type="character" w:styleId="CommentReference">
    <w:name w:val="annotation reference"/>
    <w:basedOn w:val="DefaultParagraphFont"/>
    <w:rsid w:val="00C301EB"/>
    <w:rPr>
      <w:sz w:val="16"/>
      <w:szCs w:val="16"/>
    </w:rPr>
  </w:style>
  <w:style w:type="paragraph" w:styleId="CommentText">
    <w:name w:val="annotation text"/>
    <w:basedOn w:val="Normal"/>
    <w:link w:val="CommentTextChar"/>
    <w:rsid w:val="00C301EB"/>
    <w:rPr>
      <w:sz w:val="20"/>
    </w:rPr>
  </w:style>
  <w:style w:type="character" w:customStyle="1" w:styleId="CommentTextChar">
    <w:name w:val="Comment Text Char"/>
    <w:basedOn w:val="DefaultParagraphFont"/>
    <w:link w:val="CommentText"/>
    <w:rsid w:val="00C301EB"/>
  </w:style>
  <w:style w:type="paragraph" w:styleId="CommentSubject">
    <w:name w:val="annotation subject"/>
    <w:basedOn w:val="CommentText"/>
    <w:next w:val="CommentText"/>
    <w:link w:val="CommentSubjectChar"/>
    <w:rsid w:val="00C301EB"/>
    <w:rPr>
      <w:b/>
      <w:bCs/>
    </w:rPr>
  </w:style>
  <w:style w:type="character" w:customStyle="1" w:styleId="CommentSubjectChar">
    <w:name w:val="Comment Subject Char"/>
    <w:basedOn w:val="CommentTextChar"/>
    <w:link w:val="CommentSubject"/>
    <w:rsid w:val="00C301EB"/>
    <w:rPr>
      <w:b/>
      <w:bCs/>
    </w:rPr>
  </w:style>
  <w:style w:type="paragraph" w:styleId="Revision">
    <w:name w:val="Revision"/>
    <w:hidden/>
    <w:uiPriority w:val="99"/>
    <w:semiHidden/>
    <w:rsid w:val="00EE3795"/>
    <w:rPr>
      <w:sz w:val="22"/>
    </w:rPr>
  </w:style>
  <w:style w:type="paragraph" w:customStyle="1" w:styleId="SecurityClassificationHeader">
    <w:name w:val="Security Classification Header"/>
    <w:link w:val="SecurityClassificationHeaderChar"/>
    <w:rsid w:val="00D6261F"/>
    <w:pPr>
      <w:spacing w:before="240" w:after="60"/>
      <w:jc w:val="center"/>
    </w:pPr>
    <w:rPr>
      <w:b/>
      <w:caps/>
      <w:sz w:val="24"/>
    </w:rPr>
  </w:style>
  <w:style w:type="character" w:customStyle="1" w:styleId="SecurityClassificationHeaderChar">
    <w:name w:val="Security Classification Header Char"/>
    <w:basedOn w:val="HeaderChar"/>
    <w:link w:val="SecurityClassificationHeader"/>
    <w:rsid w:val="00D6261F"/>
    <w:rPr>
      <w:b/>
      <w:caps/>
      <w:sz w:val="24"/>
    </w:rPr>
  </w:style>
  <w:style w:type="paragraph" w:customStyle="1" w:styleId="SecurityClassificationFooter">
    <w:name w:val="Security Classification Footer"/>
    <w:link w:val="SecurityClassificationFooterChar"/>
    <w:rsid w:val="00D6261F"/>
    <w:pPr>
      <w:spacing w:before="60" w:after="240"/>
      <w:jc w:val="center"/>
    </w:pPr>
    <w:rPr>
      <w:b/>
      <w:caps/>
      <w:sz w:val="24"/>
    </w:rPr>
  </w:style>
  <w:style w:type="character" w:customStyle="1" w:styleId="SecurityClassificationFooterChar">
    <w:name w:val="Security Classification Footer Char"/>
    <w:basedOn w:val="HeaderChar"/>
    <w:link w:val="SecurityClassificationFooter"/>
    <w:rsid w:val="00D6261F"/>
    <w:rPr>
      <w:b/>
      <w:caps/>
      <w:sz w:val="24"/>
    </w:rPr>
  </w:style>
  <w:style w:type="paragraph" w:customStyle="1" w:styleId="DLMSecurityHeader">
    <w:name w:val="DLM Security Header"/>
    <w:link w:val="DLMSecurityHeaderChar"/>
    <w:rsid w:val="00D6261F"/>
    <w:pPr>
      <w:spacing w:before="60" w:after="240"/>
      <w:jc w:val="center"/>
    </w:pPr>
    <w:rPr>
      <w:b/>
      <w:caps/>
      <w:sz w:val="24"/>
    </w:rPr>
  </w:style>
  <w:style w:type="character" w:customStyle="1" w:styleId="DLMSecurityHeaderChar">
    <w:name w:val="DLM Security Header Char"/>
    <w:basedOn w:val="HeaderChar"/>
    <w:link w:val="DLMSecurityHeader"/>
    <w:rsid w:val="00D6261F"/>
    <w:rPr>
      <w:b/>
      <w:caps/>
      <w:sz w:val="24"/>
    </w:rPr>
  </w:style>
  <w:style w:type="paragraph" w:customStyle="1" w:styleId="DLMSecurityFooter">
    <w:name w:val="DLM Security Footer"/>
    <w:link w:val="DLMSecurityFooterChar"/>
    <w:rsid w:val="00D6261F"/>
    <w:pPr>
      <w:spacing w:before="240" w:after="60"/>
      <w:jc w:val="center"/>
    </w:pPr>
    <w:rPr>
      <w:b/>
      <w:caps/>
      <w:sz w:val="24"/>
    </w:rPr>
  </w:style>
  <w:style w:type="character" w:customStyle="1" w:styleId="DLMSecurityFooterChar">
    <w:name w:val="DLM Security Footer Char"/>
    <w:basedOn w:val="HeaderChar"/>
    <w:link w:val="DLMSecurityFooter"/>
    <w:rsid w:val="00D6261F"/>
    <w:rPr>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image" Target="media/image1.emf"/><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2.xml"/><Relationship Id="rId35"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A9BDE-08FF-4A05-9CF8-F696A5DB3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4986</Words>
  <Characters>27882</Characters>
  <Application>Microsoft Office Word</Application>
  <DocSecurity>0</DocSecurity>
  <Lines>705</Lines>
  <Paragraphs>230</Paragraphs>
  <ScaleCrop>false</ScaleCrop>
  <Company/>
  <LinksUpToDate>false</LinksUpToDate>
  <CharactersWithSpaces>32750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 - Improved Superannuation Transparency</dc:title>
  <dc:subject/>
  <dc:creator/>
  <cp:keywords/>
  <cp:lastModifiedBy/>
  <cp:revision>1</cp:revision>
  <dcterms:created xsi:type="dcterms:W3CDTF">2015-11-02T04:10:00Z</dcterms:created>
  <dcterms:modified xsi:type="dcterms:W3CDTF">2015-11-02T04:10:00Z</dcterms:modified>
  <dc:language>English</dc:language>
</cp:coreProperties>
</file>