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91A77" w14:textId="77777777" w:rsidR="001C77B4" w:rsidRPr="00D67ADC" w:rsidRDefault="001C77B4" w:rsidP="007C367E">
      <w:pPr>
        <w:pStyle w:val="Chapterheadingsubdocument"/>
      </w:pPr>
      <w:bookmarkStart w:id="0" w:name="_GoBack"/>
      <w:bookmarkEnd w:id="0"/>
      <w:r w:rsidRPr="00D67ADC">
        <w:t>Glossary</w:t>
      </w:r>
    </w:p>
    <w:p w14:paraId="3C992F02" w14:textId="77777777" w:rsidR="001C77B4" w:rsidRDefault="001C77B4" w:rsidP="007C367E">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1C77B4" w:rsidRPr="00123D96" w14:paraId="148FA08F" w14:textId="77777777" w:rsidTr="007C367E">
        <w:tc>
          <w:tcPr>
            <w:tcW w:w="2721" w:type="dxa"/>
          </w:tcPr>
          <w:p w14:paraId="5BAD293B" w14:textId="77777777" w:rsidR="001C77B4" w:rsidRPr="00123D96" w:rsidRDefault="001C77B4" w:rsidP="007C367E">
            <w:pPr>
              <w:pStyle w:val="tableheaderwithintable"/>
            </w:pPr>
            <w:r w:rsidRPr="00123D96">
              <w:t>Abbreviation</w:t>
            </w:r>
          </w:p>
        </w:tc>
        <w:tc>
          <w:tcPr>
            <w:tcW w:w="3885" w:type="dxa"/>
          </w:tcPr>
          <w:p w14:paraId="1D139D8B" w14:textId="77777777" w:rsidR="001C77B4" w:rsidRPr="00123D96" w:rsidRDefault="001C77B4" w:rsidP="007C367E">
            <w:pPr>
              <w:pStyle w:val="tableheaderwithintable"/>
            </w:pPr>
            <w:r w:rsidRPr="00123D96">
              <w:t>Definition</w:t>
            </w:r>
          </w:p>
        </w:tc>
      </w:tr>
      <w:tr w:rsidR="001C77B4" w:rsidRPr="002C43E8" w14:paraId="11DBA0B2" w14:textId="77777777" w:rsidTr="007C367E">
        <w:tc>
          <w:tcPr>
            <w:tcW w:w="2721" w:type="dxa"/>
          </w:tcPr>
          <w:p w14:paraId="032CD5BD" w14:textId="16365107" w:rsidR="001C77B4" w:rsidRPr="002C43E8" w:rsidRDefault="00902FBE" w:rsidP="007C367E">
            <w:pPr>
              <w:pStyle w:val="Glossarytabletext"/>
              <w:rPr>
                <w:lang w:val="en-US" w:eastAsia="en-US"/>
              </w:rPr>
            </w:pPr>
            <w:r>
              <w:rPr>
                <w:lang w:val="en-US" w:eastAsia="en-US"/>
              </w:rPr>
              <w:t>CGT</w:t>
            </w:r>
          </w:p>
        </w:tc>
        <w:tc>
          <w:tcPr>
            <w:tcW w:w="3885" w:type="dxa"/>
          </w:tcPr>
          <w:p w14:paraId="6A106410" w14:textId="12034964" w:rsidR="001C77B4" w:rsidRPr="002C43E8" w:rsidRDefault="00902FBE" w:rsidP="007C367E">
            <w:pPr>
              <w:pStyle w:val="Glossarytabletext"/>
              <w:rPr>
                <w:lang w:val="en-US" w:eastAsia="en-US"/>
              </w:rPr>
            </w:pPr>
            <w:r>
              <w:rPr>
                <w:lang w:val="en-US" w:eastAsia="en-US"/>
              </w:rPr>
              <w:t>capital gains tax</w:t>
            </w:r>
          </w:p>
        </w:tc>
      </w:tr>
      <w:tr w:rsidR="001C77B4" w:rsidRPr="002C43E8" w14:paraId="16BBFAC9" w14:textId="77777777" w:rsidTr="007C367E">
        <w:tc>
          <w:tcPr>
            <w:tcW w:w="2721" w:type="dxa"/>
          </w:tcPr>
          <w:p w14:paraId="73369B7D" w14:textId="47BABA9A" w:rsidR="001C77B4" w:rsidRPr="002C43E8" w:rsidRDefault="00902FBE" w:rsidP="007C367E">
            <w:pPr>
              <w:pStyle w:val="Glossarytabletext"/>
              <w:rPr>
                <w:lang w:val="en-US" w:eastAsia="en-US"/>
              </w:rPr>
            </w:pPr>
            <w:r>
              <w:rPr>
                <w:lang w:val="en-US" w:eastAsia="en-US"/>
              </w:rPr>
              <w:t>ITAA 1997</w:t>
            </w:r>
          </w:p>
        </w:tc>
        <w:tc>
          <w:tcPr>
            <w:tcW w:w="3885" w:type="dxa"/>
          </w:tcPr>
          <w:p w14:paraId="10F80A9E" w14:textId="55CA0356" w:rsidR="001C77B4" w:rsidRPr="008653E1" w:rsidRDefault="00902FBE" w:rsidP="007C367E">
            <w:pPr>
              <w:pStyle w:val="Glossarytabletext"/>
              <w:rPr>
                <w:i/>
                <w:lang w:val="en-US" w:eastAsia="en-US"/>
              </w:rPr>
            </w:pPr>
            <w:r>
              <w:rPr>
                <w:i/>
                <w:lang w:val="en-US" w:eastAsia="en-US"/>
              </w:rPr>
              <w:t>Income Tax Assessment Act 1997</w:t>
            </w:r>
          </w:p>
        </w:tc>
      </w:tr>
    </w:tbl>
    <w:p w14:paraId="39475DCA" w14:textId="77777777" w:rsidR="001C77B4" w:rsidRDefault="001C77B4" w:rsidP="007C367E">
      <w:pPr>
        <w:sectPr w:rsidR="001C77B4" w:rsidSect="007C367E">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2466" w:right="2098" w:bottom="2466" w:left="2098" w:header="1559" w:footer="1899" w:gutter="0"/>
          <w:pgNumType w:start="1"/>
          <w:cols w:space="708"/>
          <w:titlePg/>
          <w:docGrid w:linePitch="360"/>
        </w:sectPr>
      </w:pPr>
    </w:p>
    <w:p w14:paraId="67DE694C" w14:textId="77777777" w:rsidR="001C77B4" w:rsidRPr="00D67ADC" w:rsidRDefault="001C77B4" w:rsidP="007C367E">
      <w:pPr>
        <w:pStyle w:val="Chapterheadingsubdocument"/>
      </w:pPr>
      <w:r w:rsidRPr="00D67ADC">
        <w:lastRenderedPageBreak/>
        <w:t>General outline and financial impact</w:t>
      </w:r>
    </w:p>
    <w:p w14:paraId="5A7A84EA" w14:textId="77777777" w:rsidR="001C77B4" w:rsidRDefault="00CF013A" w:rsidP="007C367E">
      <w:pPr>
        <w:pStyle w:val="Heading2"/>
      </w:pPr>
      <w:r>
        <w:t>Roll-over relief for changes to small business structure</w:t>
      </w:r>
    </w:p>
    <w:p w14:paraId="647E96ED" w14:textId="539874E5" w:rsidR="00811D5C" w:rsidRDefault="00CF013A" w:rsidP="007C367E">
      <w:pPr>
        <w:pStyle w:val="base-text-paragraphnonumbers"/>
      </w:pPr>
      <w:r>
        <w:t xml:space="preserve">Schedule # to this </w:t>
      </w:r>
      <w:r w:rsidR="006F0FE8">
        <w:t xml:space="preserve">Exposure Draft Bill </w:t>
      </w:r>
      <w:r>
        <w:t xml:space="preserve">amends the </w:t>
      </w:r>
      <w:r>
        <w:rPr>
          <w:i/>
        </w:rPr>
        <w:t>Income Tax Assessment Act 1997</w:t>
      </w:r>
      <w:r>
        <w:t xml:space="preserve"> to </w:t>
      </w:r>
      <w:r w:rsidR="006F0FE8">
        <w:t>provide greater flexibility for small businesses to change their legal structure.</w:t>
      </w:r>
    </w:p>
    <w:p w14:paraId="7420BD02" w14:textId="1A2E80FD" w:rsidR="00811D5C" w:rsidRDefault="00811D5C" w:rsidP="00811D5C">
      <w:pPr>
        <w:pStyle w:val="base-text-paragraphnonumbers"/>
      </w:pPr>
      <w:r>
        <w:t>The amendments make it easier for small business</w:t>
      </w:r>
      <w:r w:rsidR="006F0FE8">
        <w:t xml:space="preserve"> owners</w:t>
      </w:r>
      <w:r>
        <w:t xml:space="preserve"> to restructure by allowing them to defer gains or losses that would otherwise be made from transferring business assets from one entity to another.</w:t>
      </w:r>
    </w:p>
    <w:p w14:paraId="417C2C36" w14:textId="53BC4FC6" w:rsidR="00FA11CD" w:rsidRDefault="00FA11CD" w:rsidP="00811D5C">
      <w:pPr>
        <w:pStyle w:val="base-text-paragraphnonumbers"/>
      </w:pPr>
      <w:r w:rsidDel="00D60627">
        <w:t>The new small business roll</w:t>
      </w:r>
      <w:r>
        <w:t>-</w:t>
      </w:r>
      <w:r w:rsidDel="00D60627">
        <w:t xml:space="preserve">over is in addition to </w:t>
      </w:r>
      <w:r w:rsidRPr="0086073B" w:rsidDel="00D60627">
        <w:t xml:space="preserve">roll-overs currently available where a </w:t>
      </w:r>
      <w:r>
        <w:t>sole trader or partner in a partnership transfers</w:t>
      </w:r>
      <w:r w:rsidRPr="0086073B" w:rsidDel="00D60627">
        <w:t xml:space="preserve"> assets to, or creates assets in, a company in the course of a business restructure</w:t>
      </w:r>
      <w:r w:rsidDel="00D60627">
        <w:t>.</w:t>
      </w:r>
    </w:p>
    <w:p w14:paraId="1CC1D4AD" w14:textId="55C57943" w:rsidR="00811D5C" w:rsidRDefault="001C77B4" w:rsidP="00811D5C">
      <w:pPr>
        <w:pStyle w:val="base-text-paragraphnonumbers"/>
      </w:pPr>
      <w:r w:rsidRPr="0088195E">
        <w:rPr>
          <w:rStyle w:val="BoldItalic"/>
        </w:rPr>
        <w:t>Date of effect</w:t>
      </w:r>
      <w:r w:rsidRPr="00266048">
        <w:rPr>
          <w:rStyle w:val="base-text-paragraphChar"/>
        </w:rPr>
        <w:t xml:space="preserve">:  </w:t>
      </w:r>
      <w:r w:rsidR="00811D5C">
        <w:rPr>
          <w:rStyle w:val="base-text-paragraphChar"/>
        </w:rPr>
        <w:t xml:space="preserve">The amendments </w:t>
      </w:r>
      <w:r w:rsidR="00902FBE">
        <w:rPr>
          <w:rStyle w:val="base-text-paragraphChar"/>
        </w:rPr>
        <w:t xml:space="preserve">apply to transfers of assets occurring on or </w:t>
      </w:r>
      <w:r w:rsidR="00902FBE" w:rsidRPr="008653E1">
        <w:rPr>
          <w:rStyle w:val="base-text-paragraphChar"/>
        </w:rPr>
        <w:t>after</w:t>
      </w:r>
      <w:r w:rsidR="00811D5C" w:rsidRPr="008653E1">
        <w:rPr>
          <w:rStyle w:val="base-text-paragraphChar"/>
        </w:rPr>
        <w:t xml:space="preserve"> 1 July 2016.</w:t>
      </w:r>
    </w:p>
    <w:p w14:paraId="0C1967B3" w14:textId="18C2A2C6" w:rsidR="00811D5C" w:rsidRDefault="001C77B4" w:rsidP="008653E1">
      <w:pPr>
        <w:pStyle w:val="base-text-paragraphnonumbers"/>
      </w:pPr>
      <w:r w:rsidRPr="0088195E">
        <w:rPr>
          <w:rStyle w:val="BoldItalic"/>
        </w:rPr>
        <w:t>Proposal announced</w:t>
      </w:r>
      <w:r w:rsidRPr="00266048">
        <w:rPr>
          <w:rStyle w:val="base-text-paragraphChar"/>
        </w:rPr>
        <w:t xml:space="preserve">:  </w:t>
      </w:r>
      <w:r w:rsidR="00CF013A">
        <w:t xml:space="preserve">This measure was announced on 12 May 2015 in the 2015-16 Budget. </w:t>
      </w:r>
    </w:p>
    <w:p w14:paraId="2552E8D9" w14:textId="77777777" w:rsidR="001C77B4" w:rsidRDefault="001C77B4" w:rsidP="007C367E">
      <w:pPr>
        <w:pStyle w:val="Hiddentext"/>
      </w:pPr>
      <w:r>
        <w:t>Do not remove section break.</w:t>
      </w:r>
    </w:p>
    <w:p w14:paraId="78BB99A1" w14:textId="77777777" w:rsidR="001C77B4" w:rsidRDefault="001C77B4" w:rsidP="007C367E">
      <w:pPr>
        <w:sectPr w:rsidR="001C77B4" w:rsidSect="007C367E">
          <w:headerReference w:type="even" r:id="rId20"/>
          <w:headerReference w:type="default" r:id="rId21"/>
          <w:footerReference w:type="even" r:id="rId22"/>
          <w:footerReference w:type="default" r:id="rId23"/>
          <w:headerReference w:type="first" r:id="rId24"/>
          <w:footerReference w:type="first" r:id="rId25"/>
          <w:type w:val="oddPage"/>
          <w:pgSz w:w="11906" w:h="16838" w:code="9"/>
          <w:pgMar w:top="2466" w:right="2098" w:bottom="2466" w:left="2098" w:header="1559" w:footer="1899" w:gutter="0"/>
          <w:cols w:space="708"/>
          <w:titlePg/>
          <w:docGrid w:linePitch="360"/>
        </w:sectPr>
      </w:pPr>
    </w:p>
    <w:p w14:paraId="7BC432E9" w14:textId="77777777" w:rsidR="001C77B4" w:rsidRPr="00F51A71" w:rsidRDefault="001C77B4" w:rsidP="007C367E">
      <w:pPr>
        <w:pStyle w:val="ChapterHeading"/>
        <w:tabs>
          <w:tab w:val="clear" w:pos="1134"/>
          <w:tab w:val="num" w:pos="360"/>
        </w:tabs>
      </w:pPr>
      <w:r w:rsidRPr="00F51A71">
        <w:lastRenderedPageBreak/>
        <w:br/>
      </w:r>
      <w:r w:rsidR="00CF013A">
        <w:t>Roll-over relief for changes to small business structure</w:t>
      </w:r>
    </w:p>
    <w:p w14:paraId="30E21898" w14:textId="77777777" w:rsidR="001C77B4" w:rsidRDefault="001C77B4" w:rsidP="007C367E">
      <w:pPr>
        <w:pStyle w:val="Heading2"/>
      </w:pPr>
      <w:r>
        <w:t>Outline of chapter</w:t>
      </w:r>
    </w:p>
    <w:p w14:paraId="6335015A" w14:textId="382442F6" w:rsidR="00111964" w:rsidDel="00D60627" w:rsidRDefault="003B3B0F" w:rsidP="00D60627">
      <w:pPr>
        <w:pStyle w:val="base-text-paragraph"/>
      </w:pPr>
      <w:r>
        <w:t xml:space="preserve">Schedule # to this </w:t>
      </w:r>
      <w:r w:rsidR="00641D8E">
        <w:t xml:space="preserve">Exposure Draft </w:t>
      </w:r>
      <w:r>
        <w:t xml:space="preserve">Bill amends the </w:t>
      </w:r>
      <w:r>
        <w:rPr>
          <w:i/>
        </w:rPr>
        <w:t>Income Tax Assessment Act 1997</w:t>
      </w:r>
      <w:r>
        <w:t xml:space="preserve"> </w:t>
      </w:r>
      <w:r w:rsidR="006F0FE8">
        <w:t xml:space="preserve">(ITAA 1997) </w:t>
      </w:r>
      <w:r>
        <w:t xml:space="preserve">to </w:t>
      </w:r>
      <w:r w:rsidR="00641D8E">
        <w:t xml:space="preserve">provide greater flexibility for </w:t>
      </w:r>
      <w:r>
        <w:t xml:space="preserve">small businesses </w:t>
      </w:r>
      <w:r w:rsidR="00BF12CA">
        <w:t xml:space="preserve">owners </w:t>
      </w:r>
      <w:r w:rsidR="00641D8E">
        <w:t xml:space="preserve">to </w:t>
      </w:r>
      <w:r w:rsidR="00A66FBB">
        <w:t>change</w:t>
      </w:r>
      <w:r w:rsidR="00641D8E">
        <w:t xml:space="preserve"> the legal structure</w:t>
      </w:r>
      <w:r w:rsidR="00D451FE">
        <w:t xml:space="preserve"> of their business</w:t>
      </w:r>
      <w:r w:rsidR="00641D8E" w:rsidDel="00D60627">
        <w:t>.</w:t>
      </w:r>
    </w:p>
    <w:p w14:paraId="3591F73B" w14:textId="6229B51A" w:rsidR="00811D5C" w:rsidRDefault="00811D5C" w:rsidP="00D60627">
      <w:pPr>
        <w:pStyle w:val="base-text-paragraph"/>
      </w:pPr>
      <w:r w:rsidRPr="0078112D" w:rsidDel="00D60627">
        <w:t>The amendments make it easier for small business</w:t>
      </w:r>
      <w:r w:rsidR="006F0FE8">
        <w:t xml:space="preserve"> owners</w:t>
      </w:r>
      <w:r w:rsidRPr="0078112D" w:rsidDel="00D60627">
        <w:t xml:space="preserve"> to restructure</w:t>
      </w:r>
      <w:r w:rsidRPr="0078112D">
        <w:t xml:space="preserve"> by allowing them to defer gains or losses that would otherwise be </w:t>
      </w:r>
      <w:r w:rsidR="00761B96">
        <w:t>realised</w:t>
      </w:r>
      <w:r w:rsidR="0077568D">
        <w:t xml:space="preserve"> </w:t>
      </w:r>
      <w:r w:rsidR="008C1DE9">
        <w:t>when business assets are transferred</w:t>
      </w:r>
      <w:r w:rsidRPr="0078112D">
        <w:t xml:space="preserve"> from one entity to another.</w:t>
      </w:r>
    </w:p>
    <w:p w14:paraId="06ACA4B4" w14:textId="099E6442" w:rsidR="00811D5C" w:rsidRDefault="00811D5C" w:rsidP="00811D5C">
      <w:pPr>
        <w:pStyle w:val="base-text-paragraph"/>
      </w:pPr>
      <w:r w:rsidDel="00D60627">
        <w:t>The new small business roll</w:t>
      </w:r>
      <w:r w:rsidR="001172C8">
        <w:t>-</w:t>
      </w:r>
      <w:r w:rsidDel="00D60627">
        <w:t xml:space="preserve">over is in addition to </w:t>
      </w:r>
      <w:r w:rsidRPr="0086073B" w:rsidDel="00D60627">
        <w:t xml:space="preserve">roll-overs currently available where a </w:t>
      </w:r>
      <w:r w:rsidR="005D3C2D">
        <w:t>sole trader or partner in a partnership transfers</w:t>
      </w:r>
      <w:r w:rsidRPr="0086073B" w:rsidDel="00D60627">
        <w:t xml:space="preserve"> assets to, or creates assets in, a company in the course of a business restructure</w:t>
      </w:r>
      <w:r w:rsidDel="00D60627">
        <w:t>.</w:t>
      </w:r>
    </w:p>
    <w:p w14:paraId="7EE631F2" w14:textId="225B0920" w:rsidR="00431E6D" w:rsidDel="00D60627" w:rsidRDefault="00431E6D" w:rsidP="00811D5C">
      <w:pPr>
        <w:pStyle w:val="base-text-paragraph"/>
      </w:pPr>
      <w:r>
        <w:t xml:space="preserve">All references to legislative provisions in this chapter are references to the </w:t>
      </w:r>
      <w:r w:rsidR="00182AF8">
        <w:t>ITAA 1997 unless otherwise stated.</w:t>
      </w:r>
    </w:p>
    <w:p w14:paraId="4A32EDFB" w14:textId="77777777" w:rsidR="001C77B4" w:rsidRDefault="001C77B4" w:rsidP="007C367E">
      <w:pPr>
        <w:pStyle w:val="Heading2"/>
      </w:pPr>
      <w:r>
        <w:t>Context of amendments</w:t>
      </w:r>
    </w:p>
    <w:p w14:paraId="2DA10396" w14:textId="4A574972" w:rsidR="001C77B4" w:rsidRDefault="007A4667" w:rsidP="007C367E">
      <w:pPr>
        <w:pStyle w:val="base-text-paragraph"/>
      </w:pPr>
      <w:r>
        <w:t xml:space="preserve">In Australia, small businesses </w:t>
      </w:r>
      <w:r w:rsidR="006F0FE8">
        <w:t xml:space="preserve">may </w:t>
      </w:r>
      <w:r>
        <w:t>operate as sole trader</w:t>
      </w:r>
      <w:r w:rsidR="00A61CE5">
        <w:t>s</w:t>
      </w:r>
      <w:r>
        <w:t>, partnership</w:t>
      </w:r>
      <w:r w:rsidR="00A61CE5">
        <w:t>s</w:t>
      </w:r>
      <w:r>
        <w:t>, trust</w:t>
      </w:r>
      <w:r w:rsidR="00A61CE5">
        <w:t>s</w:t>
      </w:r>
      <w:r>
        <w:t>, compan</w:t>
      </w:r>
      <w:r w:rsidR="00A61CE5">
        <w:t>ies</w:t>
      </w:r>
      <w:r>
        <w:t xml:space="preserve"> or </w:t>
      </w:r>
      <w:r w:rsidR="006F0FE8">
        <w:t xml:space="preserve">any </w:t>
      </w:r>
      <w:r>
        <w:t xml:space="preserve">combination of these. </w:t>
      </w:r>
      <w:r w:rsidR="00C336EA">
        <w:t xml:space="preserve">A small business owner may take a number of factors into account in determining which structure is the most appropriate for their business, including </w:t>
      </w:r>
      <w:r>
        <w:t xml:space="preserve">tax </w:t>
      </w:r>
      <w:r w:rsidR="0056324D">
        <w:t>issues</w:t>
      </w:r>
      <w:r>
        <w:t xml:space="preserve">, </w:t>
      </w:r>
      <w:r w:rsidR="00C336EA">
        <w:t xml:space="preserve">personal </w:t>
      </w:r>
      <w:r>
        <w:t>liability, access to equit</w:t>
      </w:r>
      <w:r w:rsidR="00C336EA">
        <w:t>y capital and compliance costs.</w:t>
      </w:r>
    </w:p>
    <w:p w14:paraId="15136677" w14:textId="2E7BA0AA" w:rsidR="009D75F5" w:rsidRDefault="00FD4760" w:rsidP="00BB26CB">
      <w:pPr>
        <w:pStyle w:val="base-text-paragraph"/>
      </w:pPr>
      <w:r>
        <w:t>The most appropriate structure for a small business may change over time</w:t>
      </w:r>
      <w:r w:rsidR="0056324D">
        <w:t>, or</w:t>
      </w:r>
      <w:r w:rsidR="009D75F5">
        <w:t xml:space="preserve"> a new small business may choose an initial legal structure that </w:t>
      </w:r>
      <w:r w:rsidR="00DA4F35">
        <w:t xml:space="preserve">it later finds to </w:t>
      </w:r>
      <w:r w:rsidR="000B093C">
        <w:t>be unnecessarily complex</w:t>
      </w:r>
      <w:r w:rsidR="0020096C">
        <w:t xml:space="preserve">. Restructuring into a more appropriate legal structure </w:t>
      </w:r>
      <w:r w:rsidR="00BB26CB">
        <w:t xml:space="preserve">may </w:t>
      </w:r>
      <w:r w:rsidR="0020096C">
        <w:t xml:space="preserve">help </w:t>
      </w:r>
      <w:r w:rsidR="00BB26CB">
        <w:t xml:space="preserve">a </w:t>
      </w:r>
      <w:r w:rsidR="0020096C">
        <w:t>business</w:t>
      </w:r>
      <w:r w:rsidR="00BB26CB">
        <w:t xml:space="preserve"> to </w:t>
      </w:r>
      <w:r w:rsidR="0020096C">
        <w:t>continue to develop and grow</w:t>
      </w:r>
      <w:r w:rsidR="00BB26CB">
        <w:t xml:space="preserve">, to avoid unnecessary compliance costs resulting from </w:t>
      </w:r>
      <w:r w:rsidR="0056324D">
        <w:t xml:space="preserve">using </w:t>
      </w:r>
      <w:r w:rsidR="003D319C">
        <w:t xml:space="preserve">overly </w:t>
      </w:r>
      <w:r w:rsidR="0056324D">
        <w:t>complex structures</w:t>
      </w:r>
      <w:r w:rsidR="00BB26CB">
        <w:t>, or to adapt to current conditions.</w:t>
      </w:r>
      <w:r w:rsidR="0020096C">
        <w:t xml:space="preserve"> </w:t>
      </w:r>
    </w:p>
    <w:p w14:paraId="244E95F5" w14:textId="674FF3B5" w:rsidR="009D75F5" w:rsidRDefault="0020096C" w:rsidP="007C367E">
      <w:pPr>
        <w:pStyle w:val="base-text-paragraph"/>
      </w:pPr>
      <w:r>
        <w:t xml:space="preserve">However, </w:t>
      </w:r>
      <w:r w:rsidR="003F3A93">
        <w:t>where</w:t>
      </w:r>
      <w:r w:rsidR="009D75F5">
        <w:t xml:space="preserve"> a restructure re</w:t>
      </w:r>
      <w:r w:rsidR="006A082B">
        <w:t>quires</w:t>
      </w:r>
      <w:r w:rsidR="009D75F5">
        <w:t xml:space="preserve"> business assets </w:t>
      </w:r>
      <w:r w:rsidR="006A082B">
        <w:t xml:space="preserve">to </w:t>
      </w:r>
      <w:r w:rsidR="009D75F5">
        <w:t xml:space="preserve">be transferred from one entity to another, such as from a </w:t>
      </w:r>
      <w:r w:rsidR="003D319C">
        <w:t xml:space="preserve">company </w:t>
      </w:r>
      <w:r w:rsidR="004A369E">
        <w:t xml:space="preserve">to a </w:t>
      </w:r>
      <w:r w:rsidR="003D319C">
        <w:t>trust</w:t>
      </w:r>
      <w:r w:rsidR="004A369E">
        <w:t>,</w:t>
      </w:r>
      <w:r w:rsidR="009D75F5">
        <w:t xml:space="preserve"> significant income tax liabilities may arise. The impact of these liabilities </w:t>
      </w:r>
      <w:r w:rsidR="009D75F5">
        <w:lastRenderedPageBreak/>
        <w:t xml:space="preserve">on cash flow and available capital </w:t>
      </w:r>
      <w:r w:rsidR="0056324D">
        <w:t xml:space="preserve">may </w:t>
      </w:r>
      <w:r w:rsidR="009D75F5">
        <w:t>create a</w:t>
      </w:r>
      <w:r w:rsidR="00AC2E42">
        <w:t>n</w:t>
      </w:r>
      <w:r w:rsidR="009D75F5">
        <w:t xml:space="preserve"> impediment to restructuring.</w:t>
      </w:r>
    </w:p>
    <w:p w14:paraId="5A194827" w14:textId="014548D7" w:rsidR="008D7B73" w:rsidRDefault="00FC7822" w:rsidP="008D7B73">
      <w:pPr>
        <w:pStyle w:val="base-text-paragraph"/>
      </w:pPr>
      <w:r>
        <w:t>Currently</w:t>
      </w:r>
      <w:r w:rsidR="007A5313">
        <w:t>,</w:t>
      </w:r>
      <w:r>
        <w:t xml:space="preserve"> roll</w:t>
      </w:r>
      <w:r w:rsidR="0056324D">
        <w:t>-</w:t>
      </w:r>
      <w:r>
        <w:t xml:space="preserve">over relief is available </w:t>
      </w:r>
      <w:r w:rsidR="0056324D">
        <w:t xml:space="preserve">in </w:t>
      </w:r>
      <w:r>
        <w:t>limited circumstances for business restructures.</w:t>
      </w:r>
      <w:r w:rsidR="008D7B73" w:rsidRPr="008D7B73">
        <w:t xml:space="preserve"> </w:t>
      </w:r>
      <w:r w:rsidR="008D7B73">
        <w:t xml:space="preserve">For example, roll-overs are available for restructures involving the transfer of a </w:t>
      </w:r>
      <w:r w:rsidR="00902FBE">
        <w:t>capital gains tax (</w:t>
      </w:r>
      <w:r w:rsidR="008D7B73">
        <w:t>CGT</w:t>
      </w:r>
      <w:r w:rsidR="00902FBE">
        <w:t>)</w:t>
      </w:r>
      <w:r w:rsidR="008D7B73">
        <w:t xml:space="preserve"> asset, or all the assets of a business, from an individual sole trader</w:t>
      </w:r>
      <w:r w:rsidR="00C43A23">
        <w:t xml:space="preserve"> or</w:t>
      </w:r>
      <w:r w:rsidR="008D7B73">
        <w:t xml:space="preserve"> partnership to a wholly owned company (Subdivisions 122-A and 122-B). However, no roll-over is available, for example, for a restructure </w:t>
      </w:r>
      <w:r w:rsidR="0056324D">
        <w:t xml:space="preserve">that transfers business assets </w:t>
      </w:r>
      <w:r w:rsidR="008D7B73">
        <w:t>from a company to a sole trader, partnership</w:t>
      </w:r>
      <w:r w:rsidR="005F3E1D">
        <w:t>,</w:t>
      </w:r>
      <w:r w:rsidR="008D7B73">
        <w:t xml:space="preserve"> or trust.</w:t>
      </w:r>
    </w:p>
    <w:p w14:paraId="543F2738" w14:textId="4B864588" w:rsidR="00FC7822" w:rsidRDefault="003B0948" w:rsidP="00FC7822">
      <w:pPr>
        <w:pStyle w:val="base-text-paragraph"/>
      </w:pPr>
      <w:r>
        <w:t xml:space="preserve">As part of its </w:t>
      </w:r>
      <w:r w:rsidRPr="003B0948">
        <w:t xml:space="preserve">Growing Jobs and Small Business </w:t>
      </w:r>
      <w:r>
        <w:t xml:space="preserve">package in the 2015-16 </w:t>
      </w:r>
      <w:proofErr w:type="gramStart"/>
      <w:r>
        <w:t>Budget</w:t>
      </w:r>
      <w:proofErr w:type="gramEnd"/>
      <w:r>
        <w:t>, the Government announced that it would introduce a roll</w:t>
      </w:r>
      <w:r w:rsidR="001172C8">
        <w:t>-</w:t>
      </w:r>
      <w:r>
        <w:t xml:space="preserve">over </w:t>
      </w:r>
      <w:r w:rsidR="001E69B2">
        <w:t xml:space="preserve">to allow small businesses </w:t>
      </w:r>
      <w:r w:rsidR="001E69B2" w:rsidRPr="001E69B2">
        <w:t xml:space="preserve">to change legal structure without attracting </w:t>
      </w:r>
      <w:r w:rsidR="009C0A8E">
        <w:t>CGT</w:t>
      </w:r>
      <w:r w:rsidR="0056324D">
        <w:t xml:space="preserve"> </w:t>
      </w:r>
      <w:r w:rsidR="001E69B2" w:rsidRPr="001E69B2">
        <w:t>liability at that point</w:t>
      </w:r>
      <w:r w:rsidR="001E69B2">
        <w:t>.</w:t>
      </w:r>
    </w:p>
    <w:p w14:paraId="3D42CE7E" w14:textId="34C5FCA5" w:rsidR="0056324D" w:rsidDel="008D7B73" w:rsidRDefault="0056324D" w:rsidP="00FC7822">
      <w:pPr>
        <w:pStyle w:val="base-text-paragraph"/>
      </w:pPr>
      <w:r>
        <w:t>The Budget announcement referred to CGT roll-over, however</w:t>
      </w:r>
      <w:r w:rsidR="00745E0D">
        <w:t>, this Exposure D</w:t>
      </w:r>
      <w:r>
        <w:t>raft extends the relief to transfer of trading stock, revenue assets and depreciating assets, to provide greater flexibility for small business restructures.</w:t>
      </w:r>
    </w:p>
    <w:p w14:paraId="49FAA1A6" w14:textId="77777777" w:rsidR="001C77B4" w:rsidRDefault="001C77B4" w:rsidP="007C367E">
      <w:pPr>
        <w:pStyle w:val="Heading2"/>
      </w:pPr>
      <w:r>
        <w:t>Summary of new law</w:t>
      </w:r>
    </w:p>
    <w:p w14:paraId="1E8C9DB3" w14:textId="5A080AAA" w:rsidR="00235A31" w:rsidRDefault="002F255C" w:rsidP="005B1E24">
      <w:pPr>
        <w:pStyle w:val="base-text-paragraph"/>
      </w:pPr>
      <w:r>
        <w:t>Schedule # of this Exposure Draft Bill provides small businesses with a new roll</w:t>
      </w:r>
      <w:r w:rsidR="001172C8">
        <w:t>-</w:t>
      </w:r>
      <w:r>
        <w:t xml:space="preserve">over for gains and losses arising from the transfer of </w:t>
      </w:r>
      <w:r w:rsidR="00235A31">
        <w:t xml:space="preserve">business assets that are </w:t>
      </w:r>
      <w:r>
        <w:t>CGT assets, depreciating assets, trading stock or revenue assets as part of the r</w:t>
      </w:r>
      <w:r w:rsidR="00235A31">
        <w:t>estructure of a small business.</w:t>
      </w:r>
      <w:r w:rsidR="000977D0">
        <w:t xml:space="preserve"> This provides small businesses with the flexibility to change their legal structure without realising an income tax liability on the transfer of those assets.</w:t>
      </w:r>
    </w:p>
    <w:p w14:paraId="24E2A2B4" w14:textId="018DFC32" w:rsidR="00EF348D" w:rsidRDefault="00EF348D" w:rsidP="00EF348D">
      <w:pPr>
        <w:pStyle w:val="base-text-paragraph"/>
      </w:pPr>
      <w:r>
        <w:t xml:space="preserve">The tax cost/s of the transferred asset or assets is rolled over from the entity that transferred the asset or assets (the transferor) to the entity to which the asset or assets are transferred (the transferee). </w:t>
      </w:r>
      <w:r w:rsidR="00902FBE">
        <w:t>This is achieved by providing that</w:t>
      </w:r>
      <w:r>
        <w:t>:</w:t>
      </w:r>
    </w:p>
    <w:p w14:paraId="644A187A" w14:textId="3F10C056" w:rsidR="00EF348D" w:rsidRDefault="00EF348D" w:rsidP="008653E1">
      <w:pPr>
        <w:pStyle w:val="dotpoint"/>
      </w:pPr>
      <w:r>
        <w:t xml:space="preserve">the transferor </w:t>
      </w:r>
      <w:r w:rsidR="00902FBE">
        <w:t>is</w:t>
      </w:r>
      <w:r>
        <w:t xml:space="preserve"> taken to have received an amount which would result in them making </w:t>
      </w:r>
      <w:r w:rsidR="00CA20E1">
        <w:t xml:space="preserve">neither </w:t>
      </w:r>
      <w:r>
        <w:t>a gain or loss under the transfer, and</w:t>
      </w:r>
    </w:p>
    <w:p w14:paraId="1915713D" w14:textId="0FFBD953" w:rsidR="000977D0" w:rsidRDefault="00EF348D" w:rsidP="008653E1">
      <w:pPr>
        <w:pStyle w:val="dotpoint"/>
      </w:pPr>
      <w:proofErr w:type="gramStart"/>
      <w:r>
        <w:t>the</w:t>
      </w:r>
      <w:proofErr w:type="gramEnd"/>
      <w:r>
        <w:t xml:space="preserve"> transferee</w:t>
      </w:r>
      <w:r w:rsidR="000977D0" w:rsidRPr="000977D0">
        <w:t xml:space="preserve"> </w:t>
      </w:r>
      <w:r w:rsidR="00902FBE">
        <w:t>is</w:t>
      </w:r>
      <w:r w:rsidR="0034183F">
        <w:t xml:space="preserve"> taken to have acquired </w:t>
      </w:r>
      <w:r w:rsidR="00CA20E1">
        <w:t xml:space="preserve">each </w:t>
      </w:r>
      <w:r w:rsidR="0034183F">
        <w:t xml:space="preserve">asset for the amount that </w:t>
      </w:r>
      <w:r>
        <w:t>equals the transferor’s tax cost for the asset just before the transfer</w:t>
      </w:r>
      <w:r w:rsidR="0034183F">
        <w:t xml:space="preserve">. </w:t>
      </w:r>
    </w:p>
    <w:p w14:paraId="61715CB7" w14:textId="3D6FAC6D" w:rsidR="00182AF8" w:rsidRDefault="00182AF8" w:rsidP="005B1E24">
      <w:pPr>
        <w:pStyle w:val="base-text-paragraph"/>
      </w:pPr>
      <w:r>
        <w:t xml:space="preserve">Generally, the roll-over </w:t>
      </w:r>
      <w:r w:rsidR="00644862">
        <w:t>applies</w:t>
      </w:r>
      <w:r>
        <w:t xml:space="preserve"> to transfers </w:t>
      </w:r>
      <w:r w:rsidR="00644862">
        <w:t xml:space="preserve">of business assets </w:t>
      </w:r>
      <w:r>
        <w:t xml:space="preserve">that do not result in a change in the ultimate economic ownership of the </w:t>
      </w:r>
      <w:r>
        <w:lastRenderedPageBreak/>
        <w:t xml:space="preserve">assets. </w:t>
      </w:r>
      <w:r w:rsidR="00644862">
        <w:t>Discretionary trusts may be able to access the roll-over if the assets continue to be held for the benefit of the same family group.</w:t>
      </w:r>
    </w:p>
    <w:p w14:paraId="1EE0853C" w14:textId="77777777" w:rsidR="001C77B4" w:rsidRDefault="001C77B4" w:rsidP="007C367E">
      <w:pPr>
        <w:pStyle w:val="Heading2with18pointafter"/>
      </w:pPr>
      <w:r>
        <w:t>Comparison of key features of new law and current law</w:t>
      </w:r>
    </w:p>
    <w:tbl>
      <w:tblPr>
        <w:tblpPr w:leftFromText="180" w:rightFromText="180" w:vertAnchor="text" w:tblpX="128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1C77B4" w:rsidRPr="004666B8" w14:paraId="74FF2674" w14:textId="77777777" w:rsidTr="00235716">
        <w:tc>
          <w:tcPr>
            <w:tcW w:w="3275" w:type="dxa"/>
          </w:tcPr>
          <w:p w14:paraId="04687B65" w14:textId="77777777" w:rsidR="001C77B4" w:rsidRPr="004666B8" w:rsidRDefault="001C77B4">
            <w:pPr>
              <w:pStyle w:val="tableheaderwithintable"/>
              <w:rPr>
                <w:lang w:val="en-US" w:eastAsia="en-US"/>
              </w:rPr>
            </w:pPr>
            <w:r w:rsidRPr="004666B8">
              <w:rPr>
                <w:lang w:val="en-US" w:eastAsia="en-US"/>
              </w:rPr>
              <w:t>New law</w:t>
            </w:r>
          </w:p>
        </w:tc>
        <w:tc>
          <w:tcPr>
            <w:tcW w:w="3276" w:type="dxa"/>
          </w:tcPr>
          <w:p w14:paraId="37528D2F" w14:textId="77777777" w:rsidR="001C77B4" w:rsidRPr="004666B8" w:rsidRDefault="001C77B4">
            <w:pPr>
              <w:pStyle w:val="tableheaderwithintable"/>
              <w:rPr>
                <w:lang w:val="en-US" w:eastAsia="en-US"/>
              </w:rPr>
            </w:pPr>
            <w:r w:rsidRPr="004666B8">
              <w:rPr>
                <w:lang w:val="en-US" w:eastAsia="en-US"/>
              </w:rPr>
              <w:t>Current law</w:t>
            </w:r>
          </w:p>
        </w:tc>
      </w:tr>
      <w:tr w:rsidR="001C77B4" w:rsidRPr="004666B8" w14:paraId="0661585D" w14:textId="77777777" w:rsidTr="00235716">
        <w:tc>
          <w:tcPr>
            <w:tcW w:w="3275" w:type="dxa"/>
          </w:tcPr>
          <w:p w14:paraId="7B731CEF" w14:textId="0DBBC1CD" w:rsidR="001C77B4" w:rsidRPr="004666B8" w:rsidRDefault="00FC56D5" w:rsidP="006D1EF9">
            <w:pPr>
              <w:pStyle w:val="tabletext"/>
              <w:rPr>
                <w:lang w:val="en-US" w:eastAsia="en-US"/>
              </w:rPr>
            </w:pPr>
            <w:r>
              <w:rPr>
                <w:lang w:val="en-US" w:eastAsia="en-US"/>
              </w:rPr>
              <w:t>In addition to the existing roll</w:t>
            </w:r>
            <w:r w:rsidR="001172C8">
              <w:rPr>
                <w:lang w:val="en-US" w:eastAsia="en-US"/>
              </w:rPr>
              <w:t>-</w:t>
            </w:r>
            <w:r>
              <w:rPr>
                <w:lang w:val="en-US" w:eastAsia="en-US"/>
              </w:rPr>
              <w:t xml:space="preserve">overs, a roll-over is available for small businesses to transfer assets </w:t>
            </w:r>
            <w:r w:rsidR="00BB67FF">
              <w:rPr>
                <w:lang w:val="en-US" w:eastAsia="en-US"/>
              </w:rPr>
              <w:t xml:space="preserve">to or from different legal entities </w:t>
            </w:r>
            <w:r>
              <w:rPr>
                <w:lang w:val="en-US" w:eastAsia="en-US"/>
              </w:rPr>
              <w:t>as part of a restructure.</w:t>
            </w:r>
          </w:p>
        </w:tc>
        <w:tc>
          <w:tcPr>
            <w:tcW w:w="3276" w:type="dxa"/>
          </w:tcPr>
          <w:p w14:paraId="6A3E2FFA" w14:textId="44D3E096" w:rsidR="00337DCC" w:rsidRDefault="00414053">
            <w:pPr>
              <w:pStyle w:val="tabletext"/>
              <w:rPr>
                <w:lang w:val="en-US" w:eastAsia="en-US"/>
              </w:rPr>
            </w:pPr>
            <w:r>
              <w:rPr>
                <w:lang w:val="en-US" w:eastAsia="en-US"/>
              </w:rPr>
              <w:t>Roll</w:t>
            </w:r>
            <w:r w:rsidR="00FC56D5">
              <w:rPr>
                <w:lang w:val="en-US" w:eastAsia="en-US"/>
              </w:rPr>
              <w:t>-</w:t>
            </w:r>
            <w:r>
              <w:rPr>
                <w:lang w:val="en-US" w:eastAsia="en-US"/>
              </w:rPr>
              <w:t xml:space="preserve">overs are available for businesses </w:t>
            </w:r>
            <w:r w:rsidR="00337DCC">
              <w:rPr>
                <w:lang w:val="en-US" w:eastAsia="en-US"/>
              </w:rPr>
              <w:t xml:space="preserve">to </w:t>
            </w:r>
            <w:r w:rsidR="00FC56D5">
              <w:rPr>
                <w:lang w:val="en-US" w:eastAsia="en-US"/>
              </w:rPr>
              <w:t>transfer</w:t>
            </w:r>
            <w:r w:rsidR="00337DCC">
              <w:rPr>
                <w:lang w:val="en-US" w:eastAsia="en-US"/>
              </w:rPr>
              <w:t xml:space="preserve"> assets</w:t>
            </w:r>
            <w:r w:rsidR="00FC56D5">
              <w:rPr>
                <w:lang w:val="en-US" w:eastAsia="en-US"/>
              </w:rPr>
              <w:t xml:space="preserve"> as part of a restructure</w:t>
            </w:r>
            <w:r w:rsidR="00337DCC">
              <w:rPr>
                <w:lang w:val="en-US" w:eastAsia="en-US"/>
              </w:rPr>
              <w:t>:</w:t>
            </w:r>
          </w:p>
          <w:p w14:paraId="2ECFDBEF" w14:textId="7E4E6E0C" w:rsidR="00337DCC" w:rsidRDefault="00337DCC" w:rsidP="00235716">
            <w:pPr>
              <w:pStyle w:val="tabledotpoint"/>
              <w:rPr>
                <w:lang w:val="en-US" w:eastAsia="en-US"/>
              </w:rPr>
            </w:pPr>
            <w:r>
              <w:rPr>
                <w:lang w:val="en-US" w:eastAsia="en-US"/>
              </w:rPr>
              <w:t>from a sole trader</w:t>
            </w:r>
            <w:r w:rsidR="00C43A23">
              <w:rPr>
                <w:lang w:val="en-US" w:eastAsia="en-US"/>
              </w:rPr>
              <w:t xml:space="preserve"> or</w:t>
            </w:r>
            <w:r>
              <w:rPr>
                <w:lang w:val="en-US" w:eastAsia="en-US"/>
              </w:rPr>
              <w:t xml:space="preserve"> partnership to a wholly owned company (Division 122); or</w:t>
            </w:r>
          </w:p>
          <w:p w14:paraId="7960CAD7" w14:textId="756EF0AC" w:rsidR="00337DCC" w:rsidRDefault="00337DCC" w:rsidP="00235716">
            <w:pPr>
              <w:pStyle w:val="tabledotpoint"/>
              <w:rPr>
                <w:lang w:val="en-US" w:eastAsia="en-US"/>
              </w:rPr>
            </w:pPr>
            <w:proofErr w:type="gramStart"/>
            <w:r>
              <w:rPr>
                <w:lang w:val="en-US" w:eastAsia="en-US"/>
              </w:rPr>
              <w:t>from</w:t>
            </w:r>
            <w:proofErr w:type="gramEnd"/>
            <w:r>
              <w:rPr>
                <w:lang w:val="en-US" w:eastAsia="en-US"/>
              </w:rPr>
              <w:t xml:space="preserve"> a trust to a company</w:t>
            </w:r>
            <w:r w:rsidR="00FC56D5">
              <w:rPr>
                <w:lang w:val="en-US" w:eastAsia="en-US"/>
              </w:rPr>
              <w:t xml:space="preserve"> (Subdivision 124-N)</w:t>
            </w:r>
            <w:r w:rsidR="00902FBE">
              <w:rPr>
                <w:lang w:val="en-US" w:eastAsia="en-US"/>
              </w:rPr>
              <w:t>.</w:t>
            </w:r>
          </w:p>
          <w:p w14:paraId="0A29F324" w14:textId="2AD28017" w:rsidR="001C77B4" w:rsidRPr="004666B8" w:rsidRDefault="00902FBE" w:rsidP="00B34D81">
            <w:pPr>
              <w:pStyle w:val="tabletext"/>
              <w:rPr>
                <w:lang w:val="en-US" w:eastAsia="en-US"/>
              </w:rPr>
            </w:pPr>
            <w:r>
              <w:rPr>
                <w:lang w:val="en-US" w:eastAsia="en-US"/>
              </w:rPr>
              <w:t>A roll-over is also available where a business restructures by changing shares in a company or units in a unit trust for shares in another company (Division 615).</w:t>
            </w:r>
          </w:p>
        </w:tc>
      </w:tr>
    </w:tbl>
    <w:p w14:paraId="3407545E" w14:textId="77777777" w:rsidR="001D164C" w:rsidRPr="008653E1" w:rsidRDefault="00580A42" w:rsidP="008653E1">
      <w:pPr>
        <w:pStyle w:val="base-text-paragraphnonumbers"/>
        <w:spacing w:after="0"/>
        <w:rPr>
          <w:rStyle w:val="Emphasis"/>
        </w:rPr>
      </w:pPr>
      <w:r>
        <w:br w:type="textWrapping" w:clear="all"/>
      </w:r>
    </w:p>
    <w:p w14:paraId="5F87A8AC" w14:textId="183C57D1" w:rsidR="001C77B4" w:rsidRDefault="001C77B4" w:rsidP="00F56B6F">
      <w:pPr>
        <w:pStyle w:val="Heading2"/>
      </w:pPr>
      <w:r>
        <w:t>Detailed explanation of new law</w:t>
      </w:r>
    </w:p>
    <w:p w14:paraId="3DA7DA49" w14:textId="334D65C1" w:rsidR="00D74A89" w:rsidRDefault="00641D8E" w:rsidP="001117FA">
      <w:pPr>
        <w:pStyle w:val="base-text-paragraph"/>
      </w:pPr>
      <w:r>
        <w:t xml:space="preserve">Schedule # to this Exposure Draft Bill amends the ITAA 1997 </w:t>
      </w:r>
      <w:r w:rsidRPr="00641D8E">
        <w:t xml:space="preserve">to allow small businesses to </w:t>
      </w:r>
      <w:r w:rsidR="00560870">
        <w:t>roll-over</w:t>
      </w:r>
      <w:r w:rsidRPr="00641D8E">
        <w:t xml:space="preserve"> </w:t>
      </w:r>
      <w:r w:rsidR="00875129">
        <w:t>gains or losses</w:t>
      </w:r>
      <w:r w:rsidR="006C2833">
        <w:t xml:space="preserve"> that may arise from a </w:t>
      </w:r>
      <w:r w:rsidR="00673C31">
        <w:t xml:space="preserve">transfer of business assets under a </w:t>
      </w:r>
      <w:r w:rsidR="006C2833">
        <w:t xml:space="preserve">restructure of their business. </w:t>
      </w:r>
    </w:p>
    <w:p w14:paraId="6BD0D736" w14:textId="23F12933" w:rsidR="00560870" w:rsidRDefault="001117FA" w:rsidP="001117FA">
      <w:pPr>
        <w:pStyle w:val="base-text-paragraph"/>
      </w:pPr>
      <w:r>
        <w:t xml:space="preserve">This will </w:t>
      </w:r>
      <w:r w:rsidR="00E61A5B">
        <w:t xml:space="preserve">facilitate flexibility by </w:t>
      </w:r>
      <w:r>
        <w:t>reduc</w:t>
      </w:r>
      <w:r w:rsidR="00E61A5B">
        <w:t>ing</w:t>
      </w:r>
      <w:r>
        <w:t xml:space="preserve"> tax impediments that might arise for small business owners wishing to change the legal entity or entities running the business to a more suitable structure</w:t>
      </w:r>
      <w:r w:rsidR="00E61A5B">
        <w:t>.</w:t>
      </w:r>
      <w:r>
        <w:t xml:space="preserve"> </w:t>
      </w:r>
    </w:p>
    <w:p w14:paraId="568BEE6A" w14:textId="4B26375B" w:rsidR="001C6A8A" w:rsidRDefault="000C10B1" w:rsidP="001117FA">
      <w:pPr>
        <w:pStyle w:val="base-text-paragraph"/>
      </w:pPr>
      <w:r>
        <w:t xml:space="preserve">Subdivision </w:t>
      </w:r>
      <w:r w:rsidR="007A49CF">
        <w:t xml:space="preserve">328-G </w:t>
      </w:r>
      <w:r>
        <w:t xml:space="preserve">will provide an optional </w:t>
      </w:r>
      <w:r w:rsidR="00560870">
        <w:t>roll</w:t>
      </w:r>
      <w:r w:rsidR="006761CB">
        <w:t>-</w:t>
      </w:r>
      <w:r w:rsidR="00560870">
        <w:t xml:space="preserve">over </w:t>
      </w:r>
      <w:r w:rsidR="001C6A8A">
        <w:t xml:space="preserve">where a small business entity transfers a business asset to another small business entity </w:t>
      </w:r>
      <w:r w:rsidR="00A049D4">
        <w:t>without changing the ultimate economic ownership of the asset</w:t>
      </w:r>
      <w:r w:rsidR="001C6A8A">
        <w:t xml:space="preserve">. </w:t>
      </w:r>
      <w:r w:rsidR="00E81321">
        <w:t>The roll</w:t>
      </w:r>
      <w:r w:rsidR="001172C8">
        <w:noBreakHyphen/>
      </w:r>
      <w:r w:rsidR="00E81321">
        <w:t xml:space="preserve">over can also apply to </w:t>
      </w:r>
      <w:r w:rsidR="00DE6864">
        <w:t xml:space="preserve">affiliates or entities connected with the small business entity for assets they hold that </w:t>
      </w:r>
      <w:r w:rsidR="00CD69F9">
        <w:t>are</w:t>
      </w:r>
      <w:r w:rsidR="00DE6864">
        <w:t xml:space="preserve"> used by the small business entity.</w:t>
      </w:r>
    </w:p>
    <w:p w14:paraId="72234192" w14:textId="110952DF" w:rsidR="00A1210C" w:rsidRDefault="001C6A8A" w:rsidP="001117FA">
      <w:pPr>
        <w:pStyle w:val="base-text-paragraph"/>
      </w:pPr>
      <w:r>
        <w:t>The roll</w:t>
      </w:r>
      <w:r w:rsidR="001172C8">
        <w:t>-</w:t>
      </w:r>
      <w:r>
        <w:t xml:space="preserve">over will </w:t>
      </w:r>
      <w:r w:rsidR="00CD69F9">
        <w:t>apply to</w:t>
      </w:r>
      <w:r w:rsidR="006C2833">
        <w:t xml:space="preserve"> </w:t>
      </w:r>
      <w:r w:rsidR="00641D8E" w:rsidRPr="00641D8E">
        <w:t xml:space="preserve">gains and losses arising from the transfer of CGT assets, </w:t>
      </w:r>
      <w:r w:rsidR="006761CB" w:rsidRPr="00641D8E">
        <w:t>deprecia</w:t>
      </w:r>
      <w:r w:rsidR="006761CB">
        <w:t>ting</w:t>
      </w:r>
      <w:r w:rsidR="006761CB" w:rsidRPr="00641D8E">
        <w:t xml:space="preserve"> </w:t>
      </w:r>
      <w:r w:rsidR="00641D8E" w:rsidRPr="00641D8E">
        <w:t xml:space="preserve">assets, trading stock or revenue assets </w:t>
      </w:r>
      <w:r w:rsidR="00487CB1">
        <w:t xml:space="preserve">between entities </w:t>
      </w:r>
      <w:r w:rsidR="00641D8E" w:rsidRPr="00641D8E">
        <w:t xml:space="preserve">as part of </w:t>
      </w:r>
      <w:r w:rsidR="00560870">
        <w:t>a small business restructure</w:t>
      </w:r>
      <w:r w:rsidR="00A1210C">
        <w:t>.</w:t>
      </w:r>
    </w:p>
    <w:p w14:paraId="40D14199" w14:textId="6CDDC7D9" w:rsidR="00CD69F9" w:rsidRDefault="00CD69F9">
      <w:pPr>
        <w:pStyle w:val="Heading3"/>
      </w:pPr>
      <w:r>
        <w:lastRenderedPageBreak/>
        <w:t>Eligibility for the roll-over</w:t>
      </w:r>
    </w:p>
    <w:p w14:paraId="71874137" w14:textId="6DA0E6F4" w:rsidR="00CD69F9" w:rsidRDefault="00CD69F9" w:rsidP="008653E1">
      <w:pPr>
        <w:pStyle w:val="base-text-paragraph"/>
      </w:pPr>
      <w:r>
        <w:t>There are two types of entities that may be eligible for the roll</w:t>
      </w:r>
      <w:r w:rsidR="001172C8">
        <w:noBreakHyphen/>
      </w:r>
      <w:r>
        <w:t>over. The first is entities that are small business entities in the income year in which the transfer takes place, and that satisfy the maximum net asset value test.</w:t>
      </w:r>
      <w:r w:rsidR="00B77DD9">
        <w:t xml:space="preserve"> </w:t>
      </w:r>
      <w:r w:rsidR="00B77DD9">
        <w:rPr>
          <w:rStyle w:val="Referencingstyle"/>
        </w:rPr>
        <w:t>[Schedule #, item #, subparagraph 328-430(1)(a)(</w:t>
      </w:r>
      <w:proofErr w:type="spellStart"/>
      <w:r w:rsidR="00B77DD9">
        <w:rPr>
          <w:rStyle w:val="Referencingstyle"/>
        </w:rPr>
        <w:t>i</w:t>
      </w:r>
      <w:proofErr w:type="spellEnd"/>
      <w:r w:rsidR="00B77DD9">
        <w:rPr>
          <w:rStyle w:val="Referencingstyle"/>
        </w:rPr>
        <w:t>)]</w:t>
      </w:r>
    </w:p>
    <w:p w14:paraId="5F2E3D38" w14:textId="3310B584" w:rsidR="00CD69F9" w:rsidRPr="006D1EF9" w:rsidRDefault="00CD69F9" w:rsidP="008653E1">
      <w:pPr>
        <w:pStyle w:val="base-text-paragraph"/>
      </w:pPr>
      <w:r>
        <w:t xml:space="preserve">An entity will be a small business entity if it meets the requirements under Subdivision 328-C. </w:t>
      </w:r>
      <w:proofErr w:type="gramStart"/>
      <w:r>
        <w:t>Broadly</w:t>
      </w:r>
      <w:proofErr w:type="gramEnd"/>
      <w:r>
        <w:t>, this require</w:t>
      </w:r>
      <w:r w:rsidR="00A43540">
        <w:t>s that</w:t>
      </w:r>
      <w:r>
        <w:t xml:space="preserve"> the entity carry on a business and </w:t>
      </w:r>
      <w:r w:rsidR="00A43540">
        <w:t xml:space="preserve">that </w:t>
      </w:r>
      <w:r>
        <w:t xml:space="preserve">the combined annual turnover of the entity, </w:t>
      </w:r>
      <w:r w:rsidR="009C5E6D">
        <w:t>and other entities that are affiliated or</w:t>
      </w:r>
      <w:r>
        <w:t xml:space="preserve"> connected </w:t>
      </w:r>
      <w:r w:rsidR="009C5E6D">
        <w:t>with it,</w:t>
      </w:r>
      <w:r>
        <w:t xml:space="preserve"> </w:t>
      </w:r>
      <w:r w:rsidR="00A43540">
        <w:t>is</w:t>
      </w:r>
      <w:r>
        <w:t xml:space="preserve"> less than $2</w:t>
      </w:r>
      <w:r w:rsidR="009C5E6D">
        <w:t> </w:t>
      </w:r>
      <w:r>
        <w:t>million.</w:t>
      </w:r>
    </w:p>
    <w:p w14:paraId="50B9BC09" w14:textId="23105C5A" w:rsidR="009C5E6D" w:rsidRDefault="009C5E6D" w:rsidP="008653E1">
      <w:pPr>
        <w:pStyle w:val="base-text-paragraph"/>
      </w:pPr>
      <w:r>
        <w:t>An entity will satisfy the maximum net asset value test if it meets the requirements in s</w:t>
      </w:r>
      <w:r w:rsidR="00C96756">
        <w:t>ection</w:t>
      </w:r>
      <w:r>
        <w:t xml:space="preserve"> 152-15. Broadly, this requires the sum of the net values of the entity’s CGT assets, </w:t>
      </w:r>
      <w:r w:rsidR="00C96756">
        <w:t>together with</w:t>
      </w:r>
      <w:r>
        <w:t xml:space="preserve"> the net values of CGT assets of other entities that are affiliated or connected with it, to be less than $6 million.</w:t>
      </w:r>
    </w:p>
    <w:p w14:paraId="15E193F3" w14:textId="752027B9" w:rsidR="009C5E6D" w:rsidRDefault="009C5E6D" w:rsidP="008653E1">
      <w:pPr>
        <w:pStyle w:val="base-text-paragraph"/>
      </w:pPr>
      <w:r>
        <w:t>This first kind of entity may access the roll</w:t>
      </w:r>
      <w:r w:rsidR="001172C8">
        <w:t>-</w:t>
      </w:r>
      <w:r>
        <w:t xml:space="preserve">over in relation to </w:t>
      </w:r>
      <w:r w:rsidR="00985CBA">
        <w:t xml:space="preserve">CGT </w:t>
      </w:r>
      <w:r>
        <w:t>assets that are assets of the business carried on by the small business entity.</w:t>
      </w:r>
      <w:r w:rsidR="00B77DD9" w:rsidRPr="00B77DD9">
        <w:rPr>
          <w:rStyle w:val="Referencingstyle"/>
        </w:rPr>
        <w:t xml:space="preserve"> </w:t>
      </w:r>
      <w:r w:rsidR="00B77DD9">
        <w:rPr>
          <w:rStyle w:val="Referencingstyle"/>
        </w:rPr>
        <w:t>[Schedule #, item #, subparagraph 328-430(1)(c)(</w:t>
      </w:r>
      <w:proofErr w:type="spellStart"/>
      <w:r w:rsidR="00B77DD9">
        <w:rPr>
          <w:rStyle w:val="Referencingstyle"/>
        </w:rPr>
        <w:t>i</w:t>
      </w:r>
      <w:proofErr w:type="spellEnd"/>
      <w:r w:rsidR="00B77DD9">
        <w:rPr>
          <w:rStyle w:val="Referencingstyle"/>
        </w:rPr>
        <w:t>)]</w:t>
      </w:r>
    </w:p>
    <w:p w14:paraId="5714C5E5" w14:textId="273010CA" w:rsidR="009C5E6D" w:rsidRPr="006D1EF9" w:rsidRDefault="009C5E6D" w:rsidP="008653E1">
      <w:pPr>
        <w:pStyle w:val="base-text-paragraph"/>
      </w:pPr>
      <w:r>
        <w:t>The second kind of entity that may be eligible for the roll</w:t>
      </w:r>
      <w:r w:rsidR="001172C8">
        <w:t>-</w:t>
      </w:r>
      <w:r>
        <w:t xml:space="preserve">over is an </w:t>
      </w:r>
      <w:r w:rsidR="00985CBA">
        <w:t>affiliate of, or connected with, a small business entity for the income year that satisfies the maximum net asset value test at the time of the transfer. These entities may access the roll</w:t>
      </w:r>
      <w:r w:rsidR="001172C8">
        <w:t>-</w:t>
      </w:r>
      <w:r w:rsidR="00985CBA">
        <w:t xml:space="preserve">over in relation to CGT assets that satisfy subsection 152-10(1A) or (1B), relating to </w:t>
      </w:r>
      <w:r w:rsidR="00E808E8" w:rsidRPr="00E808E8">
        <w:t xml:space="preserve">passively held assets that are used by the small business entity in </w:t>
      </w:r>
      <w:r w:rsidR="00985CBA">
        <w:t>their business</w:t>
      </w:r>
      <w:r w:rsidR="00011E2A">
        <w:t>.</w:t>
      </w:r>
      <w:r w:rsidR="00B77DD9">
        <w:t xml:space="preserve"> </w:t>
      </w:r>
      <w:r w:rsidR="00B77DD9">
        <w:rPr>
          <w:rStyle w:val="Referencingstyle"/>
        </w:rPr>
        <w:t>[Schedule #, item #, subparagraphs 328-430(1)(a)(ii) and 328-430(1)(c)(ii)]</w:t>
      </w:r>
    </w:p>
    <w:p w14:paraId="14032A1B" w14:textId="2CF862EE" w:rsidR="006761CB" w:rsidRDefault="006761CB" w:rsidP="00837E07">
      <w:pPr>
        <w:pStyle w:val="Heading3"/>
      </w:pPr>
      <w:r>
        <w:t>Effect of the roll-over</w:t>
      </w:r>
    </w:p>
    <w:p w14:paraId="59836036" w14:textId="6E4E4C71" w:rsidR="006761CB" w:rsidRDefault="006761CB" w:rsidP="006761CB">
      <w:pPr>
        <w:pStyle w:val="base-text-paragraph"/>
      </w:pPr>
      <w:r>
        <w:t xml:space="preserve">The income tax law will apply to </w:t>
      </w:r>
      <w:r w:rsidR="00E43D02">
        <w:t xml:space="preserve">the </w:t>
      </w:r>
      <w:r>
        <w:t>transfer</w:t>
      </w:r>
      <w:r w:rsidR="00E43D02">
        <w:t>or</w:t>
      </w:r>
      <w:r>
        <w:t xml:space="preserve"> as i</w:t>
      </w:r>
      <w:r w:rsidR="00E43D02">
        <w:t>f</w:t>
      </w:r>
      <w:r>
        <w:t xml:space="preserve"> the transfer takes place for the asset’s ‘roll-over cost’. </w:t>
      </w:r>
      <w:r w:rsidR="00861D98">
        <w:t xml:space="preserve">The roll-over cost is essentially the transferor’s cost </w:t>
      </w:r>
      <w:r w:rsidR="00CD5DCF">
        <w:t>of</w:t>
      </w:r>
      <w:r w:rsidR="00861D98">
        <w:t xml:space="preserve"> the asset for income tax purposes</w:t>
      </w:r>
      <w:r w:rsidR="00E43D02">
        <w:t xml:space="preserve">, </w:t>
      </w:r>
      <w:r w:rsidR="00011E2A">
        <w:t>such that</w:t>
      </w:r>
      <w:r w:rsidR="00E43D02">
        <w:t xml:space="preserve"> the transfer would result in</w:t>
      </w:r>
      <w:r w:rsidR="00861D98">
        <w:t xml:space="preserve"> no gain or loss for the transferor. </w:t>
      </w:r>
      <w:r w:rsidR="00E43D02">
        <w:t>The</w:t>
      </w:r>
      <w:r w:rsidR="00E43D02" w:rsidRPr="000977D0">
        <w:t xml:space="preserve"> transferee will </w:t>
      </w:r>
      <w:r w:rsidR="00E43D02">
        <w:t xml:space="preserve">be taken to have acquired </w:t>
      </w:r>
      <w:r w:rsidR="00011E2A">
        <w:t>each</w:t>
      </w:r>
      <w:r w:rsidR="00E43D02">
        <w:t xml:space="preserve"> asset</w:t>
      </w:r>
      <w:r w:rsidR="00011E2A">
        <w:t xml:space="preserve"> for an amount that equals</w:t>
      </w:r>
      <w:r w:rsidR="00E43D02">
        <w:t xml:space="preserve"> the transferor’s cost just before the transfer.</w:t>
      </w:r>
      <w:r w:rsidR="00E43D02">
        <w:rPr>
          <w:rStyle w:val="Referencingstyle"/>
        </w:rPr>
        <w:t xml:space="preserve"> </w:t>
      </w:r>
      <w:r w:rsidR="001221FC">
        <w:rPr>
          <w:rStyle w:val="Referencingstyle"/>
        </w:rPr>
        <w:t>[Schedule #, item #, section 328</w:t>
      </w:r>
      <w:r w:rsidR="00006F2B">
        <w:rPr>
          <w:rStyle w:val="Referencingstyle"/>
        </w:rPr>
        <w:noBreakHyphen/>
      </w:r>
      <w:r w:rsidR="001221FC">
        <w:rPr>
          <w:rStyle w:val="Referencingstyle"/>
        </w:rPr>
        <w:t>4</w:t>
      </w:r>
      <w:r w:rsidR="00E43D02">
        <w:rPr>
          <w:rStyle w:val="Referencingstyle"/>
        </w:rPr>
        <w:t>3</w:t>
      </w:r>
      <w:r w:rsidR="001221FC">
        <w:rPr>
          <w:rStyle w:val="Referencingstyle"/>
        </w:rPr>
        <w:t>0]</w:t>
      </w:r>
    </w:p>
    <w:p w14:paraId="2EA476B7" w14:textId="1F4FB679" w:rsidR="00FE72D6" w:rsidRDefault="005F4594" w:rsidP="006761CB">
      <w:pPr>
        <w:pStyle w:val="base-text-paragraph"/>
      </w:pPr>
      <w:r>
        <w:t xml:space="preserve">The income tax law may apply different costs to an asset depending on which rules apply to that asset, and this affects the roll-over cost. </w:t>
      </w:r>
      <w:r w:rsidR="00FE72D6">
        <w:t xml:space="preserve">The roll-over cost for CGT assets, trading stock and revenue assets is discussed below. </w:t>
      </w:r>
      <w:r w:rsidR="00FE72D6" w:rsidDel="00325039">
        <w:t xml:space="preserve">Depreciating assets receive different treatment, discussed at </w:t>
      </w:r>
      <w:r w:rsidR="00FE72D6" w:rsidRPr="008653E1" w:rsidDel="00325039">
        <w:t xml:space="preserve">paragraph </w:t>
      </w:r>
      <w:r w:rsidR="00670631" w:rsidRPr="008653E1">
        <w:t>1.3</w:t>
      </w:r>
      <w:r w:rsidR="007A49CF" w:rsidRPr="008653E1">
        <w:t>1</w:t>
      </w:r>
      <w:r w:rsidR="00FE72D6" w:rsidRPr="008653E1" w:rsidDel="00325039">
        <w:t>.</w:t>
      </w:r>
    </w:p>
    <w:p w14:paraId="0B84156B" w14:textId="4561620D" w:rsidR="001221FC" w:rsidRDefault="001221FC" w:rsidP="00C21EEE">
      <w:pPr>
        <w:pStyle w:val="Heading4"/>
      </w:pPr>
      <w:r>
        <w:lastRenderedPageBreak/>
        <w:t>CGT assets</w:t>
      </w:r>
    </w:p>
    <w:p w14:paraId="522C359C" w14:textId="5D890937" w:rsidR="006761CB" w:rsidRPr="00CA0219" w:rsidRDefault="001221FC" w:rsidP="006761CB">
      <w:pPr>
        <w:pStyle w:val="base-text-paragraph"/>
        <w:rPr>
          <w:rStyle w:val="Referencingstyle"/>
          <w:b w:val="0"/>
          <w:i w:val="0"/>
          <w:sz w:val="22"/>
        </w:rPr>
      </w:pPr>
      <w:r>
        <w:t>T</w:t>
      </w:r>
      <w:r w:rsidR="006761CB">
        <w:t xml:space="preserve">o the extent that </w:t>
      </w:r>
      <w:r w:rsidR="00CD73D3">
        <w:t xml:space="preserve">a gain or loss on </w:t>
      </w:r>
      <w:r w:rsidR="006761CB">
        <w:t xml:space="preserve">the asset is </w:t>
      </w:r>
      <w:r w:rsidR="00CD73D3">
        <w:t xml:space="preserve">calculated </w:t>
      </w:r>
      <w:r>
        <w:t xml:space="preserve">under </w:t>
      </w:r>
      <w:r w:rsidR="00CD73D3">
        <w:t>the CGT provisions (</w:t>
      </w:r>
      <w:r>
        <w:t>Parts 3-1 and 3-3</w:t>
      </w:r>
      <w:r w:rsidR="00CD73D3">
        <w:t>)</w:t>
      </w:r>
      <w:r w:rsidR="006761CB">
        <w:t>, the relevant cost</w:t>
      </w:r>
      <w:r>
        <w:t xml:space="preserve"> for income tax purposes</w:t>
      </w:r>
      <w:r w:rsidR="006761CB">
        <w:t xml:space="preserve"> is the cost base</w:t>
      </w:r>
      <w:r w:rsidR="00647FDE">
        <w:t xml:space="preserve"> of the asset</w:t>
      </w:r>
      <w:r w:rsidR="006761CB">
        <w:t xml:space="preserve">. </w:t>
      </w:r>
      <w:r>
        <w:t>For the transfer of a CGT asset, the income tax law will apply under the roll</w:t>
      </w:r>
      <w:r w:rsidR="001172C8">
        <w:t>-</w:t>
      </w:r>
      <w:r>
        <w:t xml:space="preserve">over as if the asset had been transferred for the amount that would </w:t>
      </w:r>
      <w:r w:rsidR="00B42961">
        <w:t>result in</w:t>
      </w:r>
      <w:r>
        <w:t xml:space="preserve"> the transferor making neither a capital gain or capital loss, that is, as if the asset had been transferred for an amount equal to the cost base of the asset. </w:t>
      </w:r>
      <w:r>
        <w:rPr>
          <w:rStyle w:val="Referencingstyle"/>
        </w:rPr>
        <w:t>[</w:t>
      </w:r>
      <w:r w:rsidR="007F66DB">
        <w:rPr>
          <w:rStyle w:val="Referencingstyle"/>
        </w:rPr>
        <w:t>Schedule </w:t>
      </w:r>
      <w:r>
        <w:rPr>
          <w:rStyle w:val="Referencingstyle"/>
        </w:rPr>
        <w:t>#, item #, paragraph 328</w:t>
      </w:r>
      <w:r w:rsidR="00135B0F">
        <w:rPr>
          <w:rStyle w:val="Referencingstyle"/>
        </w:rPr>
        <w:noBreakHyphen/>
      </w:r>
      <w:r>
        <w:rPr>
          <w:rStyle w:val="Referencingstyle"/>
        </w:rPr>
        <w:t>4</w:t>
      </w:r>
      <w:r w:rsidR="007C0787">
        <w:rPr>
          <w:rStyle w:val="Referencingstyle"/>
        </w:rPr>
        <w:t>3</w:t>
      </w:r>
      <w:r>
        <w:rPr>
          <w:rStyle w:val="Referencingstyle"/>
        </w:rPr>
        <w:t>0(2)(a)]</w:t>
      </w:r>
    </w:p>
    <w:p w14:paraId="65E4ADDC" w14:textId="71B297D3" w:rsidR="008D75DF" w:rsidRDefault="008D75DF" w:rsidP="00CA0219">
      <w:pPr>
        <w:pStyle w:val="Heading5"/>
      </w:pPr>
      <w:r>
        <w:t>Pre-CGT assets</w:t>
      </w:r>
    </w:p>
    <w:p w14:paraId="2FC02A7B" w14:textId="09B380E5" w:rsidR="002E05C6" w:rsidRDefault="002E05C6" w:rsidP="00377BF9">
      <w:pPr>
        <w:pStyle w:val="base-text-paragraph"/>
      </w:pPr>
      <w:r>
        <w:t>Pre-CGT assets transferred under the roll-over will retain their pre-CGT status</w:t>
      </w:r>
      <w:r w:rsidR="00377BF9">
        <w:t xml:space="preserve"> </w:t>
      </w:r>
      <w:r w:rsidR="00377BF9" w:rsidRPr="00377BF9">
        <w:t>in the hands of the transferee</w:t>
      </w:r>
      <w:r w:rsidR="00CD5DCF">
        <w:t xml:space="preserve">. </w:t>
      </w:r>
      <w:r w:rsidR="00CD5DCF">
        <w:rPr>
          <w:rStyle w:val="Referencingstyle"/>
        </w:rPr>
        <w:t>[Schedule #, item #, section 328</w:t>
      </w:r>
      <w:r w:rsidR="00B77DD9">
        <w:rPr>
          <w:rStyle w:val="Referencingstyle"/>
        </w:rPr>
        <w:noBreakHyphen/>
      </w:r>
      <w:r w:rsidR="00CD5DCF">
        <w:rPr>
          <w:rStyle w:val="Referencingstyle"/>
        </w:rPr>
        <w:t>435]</w:t>
      </w:r>
    </w:p>
    <w:p w14:paraId="257D3361" w14:textId="33DD3575" w:rsidR="00497744" w:rsidRDefault="00497744" w:rsidP="00CA0219">
      <w:pPr>
        <w:pStyle w:val="Heading5"/>
      </w:pPr>
      <w:r>
        <w:t>Discount capital gains</w:t>
      </w:r>
    </w:p>
    <w:p w14:paraId="2221B7FC" w14:textId="62DB4364" w:rsidR="00497744" w:rsidRDefault="00497744" w:rsidP="006761CB">
      <w:pPr>
        <w:pStyle w:val="base-text-paragraph"/>
      </w:pPr>
      <w:r>
        <w:t xml:space="preserve">Capital gains made from a CGT asset may be discounted where the entity making the capital gain acquired the asset at least 12 months before the CGT event triggering the capital gain happened (Subdivision 115-A). For the purpose of determining whether a capital gain may be discounted under Subdivision 115-A, </w:t>
      </w:r>
      <w:r w:rsidR="00CA0219">
        <w:t xml:space="preserve">a </w:t>
      </w:r>
      <w:r>
        <w:t xml:space="preserve">transferee </w:t>
      </w:r>
      <w:r w:rsidR="007E0D47">
        <w:t>receiving an asset</w:t>
      </w:r>
      <w:r w:rsidR="00CA0219">
        <w:t xml:space="preserve"> under the roll</w:t>
      </w:r>
      <w:r w:rsidR="001172C8">
        <w:noBreakHyphen/>
      </w:r>
      <w:r w:rsidR="00CA0219">
        <w:t>over</w:t>
      </w:r>
      <w:r>
        <w:t xml:space="preserve"> is treated as having acquired the CGT asset either:</w:t>
      </w:r>
    </w:p>
    <w:p w14:paraId="4AC70400" w14:textId="34A0A2B4" w:rsidR="00497744" w:rsidRDefault="00497744" w:rsidP="00CA0219">
      <w:pPr>
        <w:pStyle w:val="dotpoint"/>
      </w:pPr>
      <w:r>
        <w:t>when the entity that owned the CGT asset before the roll</w:t>
      </w:r>
      <w:r>
        <w:noBreakHyphen/>
        <w:t>over acquired it; or</w:t>
      </w:r>
    </w:p>
    <w:p w14:paraId="07D94109" w14:textId="28C4B5C8" w:rsidR="00497744" w:rsidRDefault="00497744" w:rsidP="00CA0219">
      <w:pPr>
        <w:pStyle w:val="dotpoint"/>
      </w:pPr>
      <w:proofErr w:type="gramStart"/>
      <w:r>
        <w:t>if</w:t>
      </w:r>
      <w:proofErr w:type="gramEnd"/>
      <w:r>
        <w:t xml:space="preserve"> the asset has been involved in an unbroken series of roll-overs – when the entity that owned it before the first roll-over in the series acquired it. </w:t>
      </w:r>
      <w:r>
        <w:rPr>
          <w:rStyle w:val="Referencingstyle"/>
        </w:rPr>
        <w:t>[Schedule #, item #,</w:t>
      </w:r>
      <w:r w:rsidR="005A6077">
        <w:rPr>
          <w:rStyle w:val="Referencingstyle"/>
        </w:rPr>
        <w:t xml:space="preserve"> item </w:t>
      </w:r>
      <w:r w:rsidR="001130B6">
        <w:rPr>
          <w:rStyle w:val="Referencingstyle"/>
        </w:rPr>
        <w:t xml:space="preserve">12 </w:t>
      </w:r>
      <w:r w:rsidR="005A6077">
        <w:rPr>
          <w:rStyle w:val="Referencingstyle"/>
        </w:rPr>
        <w:t>in the table in sub</w:t>
      </w:r>
      <w:r>
        <w:rPr>
          <w:rStyle w:val="Referencingstyle"/>
        </w:rPr>
        <w:t>section 115-30</w:t>
      </w:r>
      <w:r w:rsidR="005A6077">
        <w:rPr>
          <w:rStyle w:val="Referencingstyle"/>
        </w:rPr>
        <w:t>(1)</w:t>
      </w:r>
      <w:r>
        <w:rPr>
          <w:rStyle w:val="Referencingstyle"/>
        </w:rPr>
        <w:t>]</w:t>
      </w:r>
    </w:p>
    <w:p w14:paraId="59191B93" w14:textId="5FC5CBF2" w:rsidR="001221FC" w:rsidRDefault="001221FC" w:rsidP="00C21EEE">
      <w:pPr>
        <w:pStyle w:val="Heading4"/>
      </w:pPr>
      <w:r>
        <w:t>Trading stock</w:t>
      </w:r>
    </w:p>
    <w:p w14:paraId="4E6DA7A9" w14:textId="1B8005BA" w:rsidR="001221FC" w:rsidRDefault="001221FC" w:rsidP="001221FC">
      <w:pPr>
        <w:pStyle w:val="base-text-paragraph"/>
      </w:pPr>
      <w:r>
        <w:t xml:space="preserve">To the extent that the asset is trading stock, </w:t>
      </w:r>
      <w:r w:rsidR="002E05C6">
        <w:t xml:space="preserve">(as </w:t>
      </w:r>
      <w:r>
        <w:t>defined in subsection 70-10(1</w:t>
      </w:r>
      <w:r w:rsidR="002E05C6">
        <w:t>)</w:t>
      </w:r>
      <w:r>
        <w:t xml:space="preserve">), the </w:t>
      </w:r>
      <w:r w:rsidR="00605918">
        <w:t xml:space="preserve">roll-over </w:t>
      </w:r>
      <w:r>
        <w:t>cost for income tax purposes is:</w:t>
      </w:r>
    </w:p>
    <w:p w14:paraId="267A4695" w14:textId="78916F59" w:rsidR="001221FC" w:rsidRDefault="001221FC" w:rsidP="00C21EEE">
      <w:pPr>
        <w:pStyle w:val="dotpoint"/>
      </w:pPr>
      <w:r>
        <w:t>the cost of the item for the transferor at the time of the transfer; or</w:t>
      </w:r>
    </w:p>
    <w:p w14:paraId="3EC20F49" w14:textId="196866BF" w:rsidR="001221FC" w:rsidRPr="008653E1" w:rsidRDefault="001221FC">
      <w:pPr>
        <w:pStyle w:val="dotpoint"/>
        <w:rPr>
          <w:rStyle w:val="Referencingstyle"/>
          <w:b w:val="0"/>
          <w:i w:val="0"/>
          <w:sz w:val="22"/>
        </w:rPr>
      </w:pPr>
      <w:r>
        <w:t>if the transferor held the item as trading stock at the start of the income year, the value of the item for the transferor at that time.</w:t>
      </w:r>
      <w:r w:rsidR="00FA5A5C">
        <w:t xml:space="preserve"> </w:t>
      </w:r>
      <w:r w:rsidR="00FA5A5C">
        <w:rPr>
          <w:rStyle w:val="Referencingstyle"/>
        </w:rPr>
        <w:t>[Schedule #, item #, paragraph 328-4</w:t>
      </w:r>
      <w:r w:rsidR="002E05C6">
        <w:rPr>
          <w:rStyle w:val="Referencingstyle"/>
        </w:rPr>
        <w:t>3</w:t>
      </w:r>
      <w:r w:rsidR="00FA5A5C">
        <w:rPr>
          <w:rStyle w:val="Referencingstyle"/>
        </w:rPr>
        <w:t>0(2)(b)]</w:t>
      </w:r>
    </w:p>
    <w:p w14:paraId="25DFBCA3" w14:textId="28EAAB19" w:rsidR="00B54E0D" w:rsidRPr="001221FC" w:rsidRDefault="00B54E0D" w:rsidP="008653E1">
      <w:pPr>
        <w:pStyle w:val="base-text-paragraphnonumbers"/>
      </w:pPr>
      <w:proofErr w:type="gramStart"/>
      <w:r>
        <w:t>in</w:t>
      </w:r>
      <w:proofErr w:type="gramEnd"/>
      <w:r>
        <w:t xml:space="preserve"> order to ensure that the transferor incurs no tax liability as a result of the transfer</w:t>
      </w:r>
      <w:r w:rsidR="00190A6A">
        <w:t>.</w:t>
      </w:r>
    </w:p>
    <w:p w14:paraId="3B534105" w14:textId="7510CEA3" w:rsidR="006144DC" w:rsidRDefault="006144DC" w:rsidP="006761CB">
      <w:pPr>
        <w:pStyle w:val="base-text-paragraph"/>
      </w:pPr>
      <w:r>
        <w:lastRenderedPageBreak/>
        <w:t>The transferee will inherit the same cost attributes of the asset as the transferor just before the transfer.</w:t>
      </w:r>
      <w:r w:rsidR="00190A6A">
        <w:t xml:space="preserve"> This is to ensure that any deductions claimed by the transferor up to the date of the transfer are taken into account.</w:t>
      </w:r>
    </w:p>
    <w:p w14:paraId="301B06BD" w14:textId="10C789A7" w:rsidR="00FE72D6" w:rsidRPr="00242A5D" w:rsidRDefault="00FE72D6" w:rsidP="0058347C">
      <w:pPr>
        <w:pStyle w:val="Heading4"/>
      </w:pPr>
      <w:r w:rsidRPr="00242A5D">
        <w:t xml:space="preserve">Revenue assets </w:t>
      </w:r>
    </w:p>
    <w:p w14:paraId="66065586" w14:textId="711B09A3" w:rsidR="00242A5D" w:rsidRDefault="00F722F8" w:rsidP="001117FA">
      <w:pPr>
        <w:pStyle w:val="base-text-paragraph"/>
      </w:pPr>
      <w:r>
        <w:t xml:space="preserve">To the extent that an asset is being assessed as a revenue asset, the roll-over cost is the amount that would </w:t>
      </w:r>
      <w:r w:rsidR="009322A4">
        <w:t>result in</w:t>
      </w:r>
      <w:r>
        <w:t xml:space="preserve"> the transferor not making a profit or loss on the transfer. </w:t>
      </w:r>
      <w:r w:rsidR="006144DC">
        <w:t>The transferee will inherit the same cost attributes as the transferor just before the transfer.</w:t>
      </w:r>
    </w:p>
    <w:p w14:paraId="39D18E2D" w14:textId="7425D342" w:rsidR="00242A5D" w:rsidRDefault="00242A5D" w:rsidP="0058347C">
      <w:pPr>
        <w:pStyle w:val="Heading4"/>
      </w:pPr>
      <w:r>
        <w:t>Deprec</w:t>
      </w:r>
      <w:r w:rsidR="00495972">
        <w:t>i</w:t>
      </w:r>
      <w:r>
        <w:t>ating assets</w:t>
      </w:r>
    </w:p>
    <w:p w14:paraId="41A4A10E" w14:textId="256E72AA" w:rsidR="00646178" w:rsidRDefault="00876186" w:rsidP="00495972">
      <w:pPr>
        <w:pStyle w:val="base-text-paragraph"/>
      </w:pPr>
      <w:r>
        <w:t>Where the transferor chooses to apply the small business restructure roll</w:t>
      </w:r>
      <w:r w:rsidR="001172C8">
        <w:t>-</w:t>
      </w:r>
      <w:r>
        <w:t xml:space="preserve">over in relation to a </w:t>
      </w:r>
      <w:r w:rsidR="00211635">
        <w:t>transfer</w:t>
      </w:r>
      <w:r>
        <w:t>, roll</w:t>
      </w:r>
      <w:r w:rsidR="001172C8">
        <w:t>-</w:t>
      </w:r>
      <w:r>
        <w:t>over relief will be available for depreciating assets under</w:t>
      </w:r>
      <w:r w:rsidR="009B2897">
        <w:t xml:space="preserve"> </w:t>
      </w:r>
      <w:r>
        <w:t>section 40</w:t>
      </w:r>
      <w:r w:rsidR="00646178">
        <w:noBreakHyphen/>
      </w:r>
      <w:r>
        <w:t>340</w:t>
      </w:r>
      <w:r w:rsidR="00646178">
        <w:t xml:space="preserve"> </w:t>
      </w:r>
      <w:r w:rsidR="00646178">
        <w:rPr>
          <w:rStyle w:val="Referencingstyle"/>
        </w:rPr>
        <w:t>[Schedule #, item #, item 8 of the table in subsection 40-340(1)</w:t>
      </w:r>
      <w:r w:rsidR="00E9790A">
        <w:rPr>
          <w:rStyle w:val="Referencingstyle"/>
        </w:rPr>
        <w:t>]</w:t>
      </w:r>
      <w:r>
        <w:t xml:space="preserve">. This prevents an amount being included in or deducted from the transferor’s assessable </w:t>
      </w:r>
      <w:r w:rsidR="009B2897">
        <w:t>income because of a balancing adjustment event (subsection 40-345(1)). Instead, the transferee can deduct the decline in value of the depreciating asset of the depreciating asset using the same method and effective life (or remaining effective life</w:t>
      </w:r>
      <w:r w:rsidR="00646178">
        <w:t xml:space="preserve"> if that method is the prime cost method</w:t>
      </w:r>
      <w:r w:rsidR="009B2897">
        <w:t xml:space="preserve">) as the transferor was using (subsection </w:t>
      </w:r>
      <w:r w:rsidR="008B510C">
        <w:t>4</w:t>
      </w:r>
      <w:r w:rsidR="009B2897">
        <w:t>0-345(2)).</w:t>
      </w:r>
    </w:p>
    <w:p w14:paraId="7F7AD886" w14:textId="0C8F8D9C" w:rsidR="001131AE" w:rsidRDefault="00B87884" w:rsidP="00226D47">
      <w:pPr>
        <w:pStyle w:val="Heading3"/>
      </w:pPr>
      <w:r>
        <w:t>Requirements for roll over</w:t>
      </w:r>
    </w:p>
    <w:p w14:paraId="07E3F87E" w14:textId="63C69276" w:rsidR="002B352D" w:rsidRDefault="00821D9E" w:rsidP="001131AE">
      <w:pPr>
        <w:pStyle w:val="base-text-paragraph"/>
      </w:pPr>
      <w:r>
        <w:t>The roll</w:t>
      </w:r>
      <w:r w:rsidR="001172C8">
        <w:t>-</w:t>
      </w:r>
      <w:r>
        <w:t xml:space="preserve">over will be available </w:t>
      </w:r>
      <w:r w:rsidR="002B352D">
        <w:t>where:</w:t>
      </w:r>
    </w:p>
    <w:p w14:paraId="5EB1B69E" w14:textId="5979AF66" w:rsidR="002B352D" w:rsidRDefault="00821D9E" w:rsidP="00FA5844">
      <w:pPr>
        <w:pStyle w:val="dotpoint"/>
      </w:pPr>
      <w:r>
        <w:t>the transfer</w:t>
      </w:r>
      <w:r w:rsidR="002B352D">
        <w:t>or transfers</w:t>
      </w:r>
      <w:r w:rsidDel="002B352D">
        <w:t xml:space="preserve"> </w:t>
      </w:r>
      <w:r w:rsidR="00B87884">
        <w:t>a CGT asset</w:t>
      </w:r>
      <w:r>
        <w:t xml:space="preserve"> or all </w:t>
      </w:r>
      <w:r w:rsidR="008413F2">
        <w:t xml:space="preserve">of </w:t>
      </w:r>
      <w:r w:rsidR="00572B84">
        <w:t xml:space="preserve">its business </w:t>
      </w:r>
      <w:r w:rsidR="00190A6A">
        <w:t xml:space="preserve">assets </w:t>
      </w:r>
      <w:r w:rsidR="00572B84">
        <w:t>that are CGT assets, depreciating assets, trading stock and revenue assets</w:t>
      </w:r>
      <w:r w:rsidR="002B352D">
        <w:t>;</w:t>
      </w:r>
    </w:p>
    <w:p w14:paraId="24A5F783" w14:textId="72DCFAA2" w:rsidR="006A77A1" w:rsidRDefault="002B352D" w:rsidP="005F3E1D">
      <w:pPr>
        <w:pStyle w:val="dotpoint"/>
      </w:pPr>
      <w:r>
        <w:t>the transferor chooses to apply the roll-over;</w:t>
      </w:r>
    </w:p>
    <w:p w14:paraId="3AC0A459" w14:textId="5298124D" w:rsidR="002B352D" w:rsidRDefault="002B352D" w:rsidP="005B1E24">
      <w:pPr>
        <w:pStyle w:val="dotpoint"/>
      </w:pPr>
      <w:r>
        <w:t xml:space="preserve">the transaction </w:t>
      </w:r>
      <w:r w:rsidR="008413F2" w:rsidRPr="008653E1">
        <w:t>is a restructure that</w:t>
      </w:r>
      <w:r w:rsidR="008413F2">
        <w:t xml:space="preserve"> </w:t>
      </w:r>
      <w:r>
        <w:t>has the effect of changing the type of any or all</w:t>
      </w:r>
      <w:r w:rsidR="008413F2">
        <w:t xml:space="preserve"> of</w:t>
      </w:r>
      <w:r>
        <w:t xml:space="preserve"> the entities and/or the number of entities through which all or part of the business is operated;</w:t>
      </w:r>
    </w:p>
    <w:p w14:paraId="7BF42ADD" w14:textId="73289010" w:rsidR="002B352D" w:rsidRDefault="002B352D">
      <w:pPr>
        <w:pStyle w:val="dotpoint"/>
      </w:pPr>
      <w:r>
        <w:t>no consideration is provided for the transfer</w:t>
      </w:r>
      <w:r w:rsidR="008413F2">
        <w:t>;</w:t>
      </w:r>
    </w:p>
    <w:p w14:paraId="6E91227D" w14:textId="78297F8B" w:rsidR="008413F2" w:rsidRDefault="002B352D">
      <w:pPr>
        <w:pStyle w:val="dotpoint"/>
      </w:pPr>
      <w:r>
        <w:t>the transferor, transferee and the ultimate owners</w:t>
      </w:r>
      <w:r w:rsidR="008413F2">
        <w:t xml:space="preserve"> of the assets transferred </w:t>
      </w:r>
      <w:r>
        <w:t>are Australian residents</w:t>
      </w:r>
      <w:r w:rsidR="008413F2">
        <w:t>;</w:t>
      </w:r>
    </w:p>
    <w:p w14:paraId="17FDE890" w14:textId="2625291B" w:rsidR="002B352D" w:rsidRDefault="008413F2">
      <w:pPr>
        <w:pStyle w:val="dotpoint"/>
      </w:pPr>
      <w:r>
        <w:t>the transfer does not have the effect of changing the ultimate economic ownership of the asset or assets transferred;</w:t>
      </w:r>
      <w:r w:rsidR="00AD36BB">
        <w:t xml:space="preserve"> and</w:t>
      </w:r>
    </w:p>
    <w:p w14:paraId="16BFFF6F" w14:textId="3299A7D9" w:rsidR="007F69D4" w:rsidRPr="007F69D4" w:rsidRDefault="00E511AD" w:rsidP="008653E1">
      <w:pPr>
        <w:pStyle w:val="dotpoint"/>
      </w:pPr>
      <w:proofErr w:type="gramStart"/>
      <w:r>
        <w:lastRenderedPageBreak/>
        <w:t>the</w:t>
      </w:r>
      <w:proofErr w:type="gramEnd"/>
      <w:r>
        <w:t xml:space="preserve"> transferee is not an exempt entity</w:t>
      </w:r>
      <w:r w:rsidR="00572B84">
        <w:t xml:space="preserve"> or a </w:t>
      </w:r>
      <w:r w:rsidR="00572B84" w:rsidRPr="00572B84">
        <w:t>complying superannuation entity, or none of the transferees are exempt entities or complying superannuation entities</w:t>
      </w:r>
      <w:r w:rsidR="008413F2">
        <w:t>.</w:t>
      </w:r>
    </w:p>
    <w:p w14:paraId="09B242F9" w14:textId="17C62AFB" w:rsidR="007F69D4" w:rsidRDefault="00292229" w:rsidP="008268EB">
      <w:pPr>
        <w:pStyle w:val="Heading4"/>
      </w:pPr>
      <w:r>
        <w:t>C</w:t>
      </w:r>
      <w:r w:rsidRPr="00292229">
        <w:t>hanging the type o</w:t>
      </w:r>
      <w:r>
        <w:t>r number of</w:t>
      </w:r>
      <w:r w:rsidRPr="00292229">
        <w:t xml:space="preserve"> entities </w:t>
      </w:r>
    </w:p>
    <w:p w14:paraId="56AE38F1" w14:textId="155BD1FB" w:rsidR="00C956B9" w:rsidRDefault="00292229" w:rsidP="008268EB">
      <w:pPr>
        <w:pStyle w:val="base-text-paragraph"/>
      </w:pPr>
      <w:r>
        <w:t>The roll</w:t>
      </w:r>
      <w:r w:rsidR="001172C8">
        <w:t>-</w:t>
      </w:r>
      <w:r>
        <w:t xml:space="preserve">over applies </w:t>
      </w:r>
      <w:r w:rsidR="00C956B9">
        <w:t>where a small business transfers assets as part of a restructure. The restructure must have either or both of the following effects:</w:t>
      </w:r>
    </w:p>
    <w:p w14:paraId="5DF112FA" w14:textId="6DE748CC" w:rsidR="00C956B9" w:rsidRDefault="00C956B9" w:rsidP="00D81B45">
      <w:pPr>
        <w:pStyle w:val="dotpoint"/>
      </w:pPr>
      <w:r>
        <w:t>changing the type of any or all of the entities through which all or part of the business is operated;</w:t>
      </w:r>
    </w:p>
    <w:p w14:paraId="6A31E90B" w14:textId="676F930B" w:rsidR="00292229" w:rsidRPr="00292229" w:rsidRDefault="00C956B9" w:rsidP="00D81B45">
      <w:pPr>
        <w:pStyle w:val="dotpoint"/>
      </w:pPr>
      <w:proofErr w:type="gramStart"/>
      <w:r>
        <w:t>changing</w:t>
      </w:r>
      <w:proofErr w:type="gramEnd"/>
      <w:r>
        <w:t xml:space="preserve"> the number of the entities th</w:t>
      </w:r>
      <w:r w:rsidR="008344CE">
        <w:t>r</w:t>
      </w:r>
      <w:r>
        <w:t xml:space="preserve">ough which all or part of the business is operated. </w:t>
      </w:r>
      <w:r>
        <w:rPr>
          <w:rStyle w:val="Referencingstyle"/>
        </w:rPr>
        <w:t>[Schedule #, item #, paragraph</w:t>
      </w:r>
      <w:r w:rsidR="009E4AB8">
        <w:rPr>
          <w:rStyle w:val="Referencingstyle"/>
        </w:rPr>
        <w:t> </w:t>
      </w:r>
      <w:r>
        <w:rPr>
          <w:rStyle w:val="Referencingstyle"/>
        </w:rPr>
        <w:t>328</w:t>
      </w:r>
      <w:r>
        <w:rPr>
          <w:rStyle w:val="Referencingstyle"/>
        </w:rPr>
        <w:noBreakHyphen/>
        <w:t>440(1)(c)]</w:t>
      </w:r>
    </w:p>
    <w:p w14:paraId="3FB6F9BE" w14:textId="01328202" w:rsidR="00A52F7C" w:rsidRPr="002E2630" w:rsidRDefault="00A52F7C" w:rsidP="008268EB">
      <w:pPr>
        <w:pStyle w:val="Heading4"/>
      </w:pPr>
      <w:r>
        <w:t>No consideration provided by the transferee</w:t>
      </w:r>
    </w:p>
    <w:p w14:paraId="6997C636" w14:textId="444C6DB4" w:rsidR="00A52F7C" w:rsidRDefault="00A52F7C" w:rsidP="00A52F7C">
      <w:pPr>
        <w:pStyle w:val="base-text-paragraph"/>
      </w:pPr>
      <w:r>
        <w:t>It is a condition of the roll</w:t>
      </w:r>
      <w:r w:rsidR="001172C8">
        <w:t>-</w:t>
      </w:r>
      <w:r>
        <w:t>over that no consideration be provided for the transfer</w:t>
      </w:r>
      <w:r w:rsidR="00F24931">
        <w:t xml:space="preserve"> </w:t>
      </w:r>
      <w:r w:rsidR="00F24931">
        <w:rPr>
          <w:rStyle w:val="Referencingstyle"/>
        </w:rPr>
        <w:t>[Schedule #, item #, paragraph 328-440(1</w:t>
      </w:r>
      <w:proofErr w:type="gramStart"/>
      <w:r w:rsidR="00F24931">
        <w:rPr>
          <w:rStyle w:val="Referencingstyle"/>
        </w:rPr>
        <w:t>)(</w:t>
      </w:r>
      <w:proofErr w:type="gramEnd"/>
      <w:r w:rsidR="00F24931">
        <w:rPr>
          <w:rStyle w:val="Referencingstyle"/>
        </w:rPr>
        <w:t>d)]</w:t>
      </w:r>
      <w:r>
        <w:t>. As the ultimate economic ownership of any entity to which assets are transferred under the roll</w:t>
      </w:r>
      <w:r w:rsidR="001172C8">
        <w:t>-</w:t>
      </w:r>
      <w:r>
        <w:t xml:space="preserve">over will not change, there is no need for a small business </w:t>
      </w:r>
      <w:r w:rsidR="0009674A">
        <w:t xml:space="preserve">entity </w:t>
      </w:r>
      <w:r>
        <w:t>to provide consideration</w:t>
      </w:r>
      <w:r w:rsidR="0009674A">
        <w:t xml:space="preserve"> for the transfer</w:t>
      </w:r>
      <w:r>
        <w:t xml:space="preserve">. This </w:t>
      </w:r>
      <w:r w:rsidR="001F281C">
        <w:t xml:space="preserve">removes </w:t>
      </w:r>
      <w:r>
        <w:t xml:space="preserve">the need for complex cost base and integrity rules </w:t>
      </w:r>
      <w:r w:rsidR="00BA1A3A">
        <w:t>in respect of</w:t>
      </w:r>
      <w:r>
        <w:t xml:space="preserve"> new membership interests issued as part of a restructure.</w:t>
      </w:r>
    </w:p>
    <w:p w14:paraId="50130EC0" w14:textId="77777777" w:rsidR="00E6361C" w:rsidRDefault="00E6361C" w:rsidP="008268EB">
      <w:pPr>
        <w:pStyle w:val="Heading4"/>
      </w:pPr>
      <w:r>
        <w:t>Residency requirements</w:t>
      </w:r>
    </w:p>
    <w:p w14:paraId="60D22876" w14:textId="49245C0F" w:rsidR="00475082" w:rsidRDefault="00136D59" w:rsidP="00342541">
      <w:pPr>
        <w:pStyle w:val="base-text-paragraph"/>
      </w:pPr>
      <w:r>
        <w:t xml:space="preserve">Each of the transferor, the transferee and the ultimate economic owners of the assets must be a resident of Australia. </w:t>
      </w:r>
      <w:r w:rsidR="004B4FBF">
        <w:t>T</w:t>
      </w:r>
      <w:r>
        <w:t>he income tax law uses different residency tests f</w:t>
      </w:r>
      <w:r w:rsidR="004B4FBF">
        <w:t xml:space="preserve">or different kinds of entities. </w:t>
      </w:r>
      <w:r w:rsidR="00475082">
        <w:t>Since the ultimate economic owners will be individuals, they must be Australian residents</w:t>
      </w:r>
      <w:r w:rsidR="00B77DD9">
        <w:t xml:space="preserve"> </w:t>
      </w:r>
      <w:r w:rsidR="00B77DD9">
        <w:rPr>
          <w:rStyle w:val="Referencingstyle"/>
        </w:rPr>
        <w:t>[Schedule #, item #, paragraph 328-440(1</w:t>
      </w:r>
      <w:proofErr w:type="gramStart"/>
      <w:r w:rsidR="00B77DD9">
        <w:rPr>
          <w:rStyle w:val="Referencingstyle"/>
        </w:rPr>
        <w:t>)(</w:t>
      </w:r>
      <w:proofErr w:type="gramEnd"/>
      <w:r w:rsidR="00B77DD9">
        <w:rPr>
          <w:rStyle w:val="Referencingstyle"/>
        </w:rPr>
        <w:t>g)]</w:t>
      </w:r>
      <w:r w:rsidR="00475082">
        <w:t>.</w:t>
      </w:r>
    </w:p>
    <w:p w14:paraId="0629B332" w14:textId="028CDB5B" w:rsidR="00E6361C" w:rsidRDefault="004B4FBF" w:rsidP="00E6361C">
      <w:pPr>
        <w:pStyle w:val="base-text-paragraph"/>
      </w:pPr>
      <w:r>
        <w:t xml:space="preserve">The transferor and transferee must meet whichever </w:t>
      </w:r>
      <w:r w:rsidR="00475082">
        <w:t xml:space="preserve">residency </w:t>
      </w:r>
      <w:r>
        <w:t>test applies to them:</w:t>
      </w:r>
    </w:p>
    <w:p w14:paraId="768D84E9" w14:textId="0F9947D5" w:rsidR="00136D59" w:rsidRDefault="004B4FBF" w:rsidP="008268EB">
      <w:pPr>
        <w:pStyle w:val="dotpoint"/>
      </w:pPr>
      <w:r>
        <w:t>If</w:t>
      </w:r>
      <w:r w:rsidR="00136D59">
        <w:t xml:space="preserve"> the entity is an individual or a company</w:t>
      </w:r>
      <w:r>
        <w:t xml:space="preserve"> – the entity </w:t>
      </w:r>
      <w:r w:rsidR="009D4AF6">
        <w:t>is</w:t>
      </w:r>
      <w:r>
        <w:t xml:space="preserve"> an Australian resident.</w:t>
      </w:r>
    </w:p>
    <w:p w14:paraId="7742F566" w14:textId="7ECD5DAC" w:rsidR="004B4FBF" w:rsidRDefault="004B4FBF" w:rsidP="008268EB">
      <w:pPr>
        <w:pStyle w:val="dotpoint"/>
      </w:pPr>
      <w:r>
        <w:t xml:space="preserve">If the entity is a trust – the entity </w:t>
      </w:r>
      <w:r w:rsidR="009D4AF6">
        <w:t>is</w:t>
      </w:r>
      <w:r>
        <w:t xml:space="preserve"> a resident trust for CGT purposes.</w:t>
      </w:r>
    </w:p>
    <w:p w14:paraId="5B973C68" w14:textId="22E871CF" w:rsidR="004B4FBF" w:rsidRDefault="004B4FBF" w:rsidP="008268EB">
      <w:pPr>
        <w:pStyle w:val="dotpoint"/>
      </w:pPr>
      <w:r>
        <w:t>If the entity is a partnership (other than a corporate limited partnership) – at least one of the partners is an Australian resident.</w:t>
      </w:r>
    </w:p>
    <w:p w14:paraId="677587D2" w14:textId="4319796B" w:rsidR="004B4FBF" w:rsidRDefault="004B4FBF" w:rsidP="008268EB">
      <w:pPr>
        <w:pStyle w:val="dotpoint"/>
      </w:pPr>
      <w:r>
        <w:lastRenderedPageBreak/>
        <w:t>If the entity is a corporate limited partnership –</w:t>
      </w:r>
      <w:r w:rsidR="009D4AF6">
        <w:t xml:space="preserve"> the entity</w:t>
      </w:r>
      <w:r>
        <w:t xml:space="preserve"> is, under section 94T of the </w:t>
      </w:r>
      <w:r>
        <w:rPr>
          <w:i/>
        </w:rPr>
        <w:t>Income Tax Assessment Act 1936</w:t>
      </w:r>
      <w:r>
        <w:t>, a resident for the purposes of the income tax law.</w:t>
      </w:r>
      <w:r w:rsidR="005E00F2">
        <w:t xml:space="preserve"> </w:t>
      </w:r>
      <w:r w:rsidR="005E00F2">
        <w:rPr>
          <w:rStyle w:val="Referencingstyle"/>
        </w:rPr>
        <w:t>[Schedule #, item #, subsection 328-440(2) and paragraph 328-440(1)(e)</w:t>
      </w:r>
      <w:r w:rsidR="00B657FA">
        <w:rPr>
          <w:rStyle w:val="Referencingstyle"/>
        </w:rPr>
        <w:t>]</w:t>
      </w:r>
    </w:p>
    <w:p w14:paraId="293C1220" w14:textId="655F44C1" w:rsidR="00C1462C" w:rsidRDefault="00C1462C">
      <w:pPr>
        <w:pStyle w:val="Heading4"/>
      </w:pPr>
      <w:r>
        <w:t>Ultimate economic ownership</w:t>
      </w:r>
    </w:p>
    <w:p w14:paraId="14EBF0F6" w14:textId="6F784634" w:rsidR="00C1462C" w:rsidRDefault="00C1462C" w:rsidP="00E6361C">
      <w:pPr>
        <w:pStyle w:val="base-text-paragraph"/>
      </w:pPr>
      <w:r>
        <w:t>The transaction must not have the effect of changing the ultimate economic ownership of the transferred asset or assets. The ultimate economic owners of an asset are the individuals who, directly or indirectly, beneficial</w:t>
      </w:r>
      <w:r w:rsidR="00A26DCB">
        <w:t>ly</w:t>
      </w:r>
      <w:r>
        <w:t xml:space="preserve"> </w:t>
      </w:r>
      <w:r w:rsidR="00A26DCB">
        <w:t>own</w:t>
      </w:r>
      <w:r>
        <w:t xml:space="preserve"> an asset. </w:t>
      </w:r>
      <w:r w:rsidR="00B02789">
        <w:rPr>
          <w:rStyle w:val="Referencingstyle"/>
        </w:rPr>
        <w:t>[Schedule #, item #, paragraph</w:t>
      </w:r>
      <w:r w:rsidR="009E4AB8">
        <w:rPr>
          <w:rStyle w:val="Referencingstyle"/>
        </w:rPr>
        <w:t> </w:t>
      </w:r>
      <w:r w:rsidR="00B02789">
        <w:rPr>
          <w:rStyle w:val="Referencingstyle"/>
        </w:rPr>
        <w:t>328</w:t>
      </w:r>
      <w:r w:rsidR="00B77DD9">
        <w:rPr>
          <w:rStyle w:val="Referencingstyle"/>
        </w:rPr>
        <w:noBreakHyphen/>
      </w:r>
      <w:r w:rsidR="00B02789">
        <w:rPr>
          <w:rStyle w:val="Referencingstyle"/>
        </w:rPr>
        <w:t>440(1)(f)]</w:t>
      </w:r>
    </w:p>
    <w:p w14:paraId="4826DCBD" w14:textId="1CD1809E" w:rsidR="00B02789" w:rsidRDefault="00B02789" w:rsidP="00E6361C">
      <w:pPr>
        <w:pStyle w:val="base-text-paragraph"/>
      </w:pPr>
      <w:r>
        <w:t>If there is more than one individual who is an ultimate economic owner of an asset, there is an additional requirement that each of those individual</w:t>
      </w:r>
      <w:r w:rsidR="002A5655">
        <w:t>s</w:t>
      </w:r>
      <w:r>
        <w:t xml:space="preserve">’ </w:t>
      </w:r>
      <w:proofErr w:type="gramStart"/>
      <w:r>
        <w:t>share</w:t>
      </w:r>
      <w:proofErr w:type="gramEnd"/>
      <w:r>
        <w:t xml:space="preserve"> of that ultimate economic ownership be </w:t>
      </w:r>
      <w:r w:rsidR="00951CC7">
        <w:t>un</w:t>
      </w:r>
      <w:r>
        <w:t>changed, maintaining proportiona</w:t>
      </w:r>
      <w:r w:rsidR="002B17CB">
        <w:t>te</w:t>
      </w:r>
      <w:r>
        <w:t xml:space="preserve"> ownership in the asset.</w:t>
      </w:r>
      <w:r w:rsidRPr="00266184">
        <w:rPr>
          <w:rStyle w:val="Referencingstyle"/>
        </w:rPr>
        <w:t xml:space="preserve"> </w:t>
      </w:r>
      <w:r>
        <w:rPr>
          <w:rStyle w:val="Referencingstyle"/>
        </w:rPr>
        <w:t>[Schedule #, item #, subparagraph 328-440(1)(f)(i</w:t>
      </w:r>
      <w:r w:rsidR="00B77DD9">
        <w:rPr>
          <w:rStyle w:val="Referencingstyle"/>
        </w:rPr>
        <w:t>i</w:t>
      </w:r>
      <w:r>
        <w:rPr>
          <w:rStyle w:val="Referencingstyle"/>
        </w:rPr>
        <w:t>)]</w:t>
      </w:r>
    </w:p>
    <w:p w14:paraId="61F2CBF2" w14:textId="2C3FDDCE" w:rsidR="00C1462C" w:rsidRDefault="00C1462C" w:rsidP="00E6361C">
      <w:pPr>
        <w:pStyle w:val="base-text-paragraph"/>
      </w:pPr>
      <w:r>
        <w:t xml:space="preserve">Where the transferor </w:t>
      </w:r>
      <w:r w:rsidR="00B02789">
        <w:t>(</w:t>
      </w:r>
      <w:r>
        <w:t>or transferee</w:t>
      </w:r>
      <w:r w:rsidR="00B02789">
        <w:t>)</w:t>
      </w:r>
      <w:r>
        <w:t xml:space="preserve"> is an individual, such as a sole trader, the transferor </w:t>
      </w:r>
      <w:r w:rsidR="00B02789">
        <w:t>(</w:t>
      </w:r>
      <w:r w:rsidR="00266184">
        <w:t>or transferee</w:t>
      </w:r>
      <w:r w:rsidR="00B02789">
        <w:t xml:space="preserve">) </w:t>
      </w:r>
      <w:r>
        <w:t>will also be the ultimate economic owner</w:t>
      </w:r>
      <w:r w:rsidR="00F82C55">
        <w:t xml:space="preserve"> of the asset transferred</w:t>
      </w:r>
      <w:r>
        <w:t xml:space="preserve">. </w:t>
      </w:r>
    </w:p>
    <w:p w14:paraId="265F499B" w14:textId="6C82C7A9" w:rsidR="00EB793F" w:rsidRDefault="00EB793F" w:rsidP="006402CB">
      <w:pPr>
        <w:pStyle w:val="Heading5"/>
      </w:pPr>
      <w:r>
        <w:t>Discretionary trusts</w:t>
      </w:r>
    </w:p>
    <w:p w14:paraId="0D954EB7" w14:textId="0C8D5E4F" w:rsidR="009C08E1" w:rsidRDefault="009C08E1" w:rsidP="009C08E1">
      <w:pPr>
        <w:pStyle w:val="base-text-paragraph"/>
      </w:pPr>
      <w:r>
        <w:t xml:space="preserve">The roll-over is restricted to circumstances where there has </w:t>
      </w:r>
      <w:r w:rsidR="00F82C55">
        <w:t>been no</w:t>
      </w:r>
      <w:r>
        <w:t xml:space="preserve"> change in the ultimate economic ownership of assets resulting from the transfer of the assets be</w:t>
      </w:r>
      <w:r w:rsidR="0009460A">
        <w:t xml:space="preserve">tween small business entities. </w:t>
      </w:r>
      <w:r>
        <w:t>Ultimate economic ownership of an asset can on</w:t>
      </w:r>
      <w:r w:rsidR="0009460A">
        <w:t xml:space="preserve">ly be held by natural persons. </w:t>
      </w:r>
      <w:r>
        <w:t xml:space="preserve">Therefore, where </w:t>
      </w:r>
      <w:r w:rsidR="00C320B5">
        <w:t>a company, partnership</w:t>
      </w:r>
      <w:r>
        <w:t xml:space="preserve"> or trust own</w:t>
      </w:r>
      <w:r w:rsidR="00892BB5">
        <w:t>s</w:t>
      </w:r>
      <w:r>
        <w:t xml:space="preserve"> an asset it will be the </w:t>
      </w:r>
      <w:r w:rsidR="00F82C55">
        <w:t xml:space="preserve">natural person </w:t>
      </w:r>
      <w:r>
        <w:t xml:space="preserve">owners of the interests in these interposed entities that will ultimately benefit economically from that asset.  </w:t>
      </w:r>
    </w:p>
    <w:p w14:paraId="33F96938" w14:textId="06FC14C8" w:rsidR="009C08E1" w:rsidRDefault="009C08E1" w:rsidP="009C08E1">
      <w:pPr>
        <w:pStyle w:val="base-text-paragraph"/>
      </w:pPr>
      <w:r>
        <w:t>Identifying those individuals that will benefit economically from the assets of a company, partnership or fixed (unit) trust is relatively straight forward as the degree to which they will benefit from the asset will be expressly set out</w:t>
      </w:r>
      <w:r w:rsidR="00277D70">
        <w:t xml:space="preserve"> in the documents and agreements that support the business.</w:t>
      </w:r>
      <w:r>
        <w:t xml:space="preserve">  </w:t>
      </w:r>
    </w:p>
    <w:p w14:paraId="19D842A0" w14:textId="4BDF3AA3" w:rsidR="00B20028" w:rsidRDefault="009C08E1" w:rsidP="009C08E1">
      <w:pPr>
        <w:pStyle w:val="base-text-paragraph"/>
      </w:pPr>
      <w:r>
        <w:t>The situation is somewhat more complicated for discretionary trusts as ben</w:t>
      </w:r>
      <w:r w:rsidR="00B66C8A">
        <w:t>eficiaries generally do not have</w:t>
      </w:r>
      <w:r>
        <w:t xml:space="preserve"> an interest in any asset or income of the trust until the trustee exercises their discretion. However, </w:t>
      </w:r>
      <w:r w:rsidR="00AD36BB">
        <w:t>discretionary trusts that have made a family trust election are</w:t>
      </w:r>
      <w:r>
        <w:t xml:space="preserve"> administered for the benefit of a</w:t>
      </w:r>
      <w:r w:rsidR="008665E8">
        <w:t xml:space="preserve"> specified</w:t>
      </w:r>
      <w:r>
        <w:t xml:space="preserve"> family group. For the purposes of the roll</w:t>
      </w:r>
      <w:r w:rsidR="00892BB5">
        <w:noBreakHyphen/>
      </w:r>
      <w:r>
        <w:t xml:space="preserve">over members of this group will be the ultimate economic owners of the business assets. </w:t>
      </w:r>
    </w:p>
    <w:p w14:paraId="5C7AC4A1" w14:textId="79BDA23A" w:rsidR="00B20028" w:rsidRDefault="00B20028" w:rsidP="00B20028">
      <w:pPr>
        <w:pStyle w:val="base-text-paragraph"/>
      </w:pPr>
      <w:r>
        <w:lastRenderedPageBreak/>
        <w:t>Therefore, a transaction will be taken as not having the effect of changing the ultimate economic ownership of assets where:</w:t>
      </w:r>
    </w:p>
    <w:p w14:paraId="6CD641CE" w14:textId="77777777" w:rsidR="00B20028" w:rsidRDefault="00B20028" w:rsidP="00B20028">
      <w:pPr>
        <w:pStyle w:val="dotpoint"/>
      </w:pPr>
      <w:r>
        <w:t>immediately before or after the transaction took effect, the asset was included in the property of a discretionary trust (a ‘non-fixed trust’) that was a family trust; and</w:t>
      </w:r>
    </w:p>
    <w:p w14:paraId="02465FAA" w14:textId="42D631B6" w:rsidR="009C08E1" w:rsidRDefault="00B20028" w:rsidP="008653E1">
      <w:pPr>
        <w:pStyle w:val="dotpoint"/>
      </w:pPr>
      <w:proofErr w:type="gramStart"/>
      <w:r>
        <w:t>every</w:t>
      </w:r>
      <w:proofErr w:type="gramEnd"/>
      <w:r>
        <w:t xml:space="preserve"> individual who, just before or just after the transfer took effect, had ultimate economic ownership of the asset was a member of the family group of that family trust. </w:t>
      </w:r>
      <w:r>
        <w:rPr>
          <w:rStyle w:val="Referencingstyle"/>
        </w:rPr>
        <w:t>[Schedule #, item #, subsection 328-440(3)]</w:t>
      </w:r>
      <w:r w:rsidR="009C08E1">
        <w:t xml:space="preserve"> </w:t>
      </w:r>
    </w:p>
    <w:p w14:paraId="2F49FF6C" w14:textId="77777777" w:rsidR="00E6361C" w:rsidRDefault="00E6361C" w:rsidP="00A838E9">
      <w:pPr>
        <w:pStyle w:val="Heading4"/>
      </w:pPr>
      <w:r>
        <w:t>Exempt entities</w:t>
      </w:r>
      <w:r w:rsidR="00AD36BB">
        <w:t xml:space="preserve"> and complying superannuation entities</w:t>
      </w:r>
    </w:p>
    <w:p w14:paraId="0D2D7490" w14:textId="7E4F0BED" w:rsidR="00E6361C" w:rsidRPr="00E6361C" w:rsidRDefault="009D4AF6" w:rsidP="009D4AF6">
      <w:pPr>
        <w:pStyle w:val="base-text-paragraph"/>
      </w:pPr>
      <w:r>
        <w:t xml:space="preserve">The roll-over will not apply to a transfer to an exempt entity </w:t>
      </w:r>
      <w:r w:rsidR="004515AF">
        <w:t>or complying superannuation entity</w:t>
      </w:r>
      <w:r>
        <w:t xml:space="preserve"> </w:t>
      </w:r>
      <w:r>
        <w:rPr>
          <w:rStyle w:val="Referencingstyle"/>
        </w:rPr>
        <w:t>[Schedule #, item #, paragraph 328</w:t>
      </w:r>
      <w:r w:rsidR="004515AF">
        <w:rPr>
          <w:rStyle w:val="Referencingstyle"/>
        </w:rPr>
        <w:noBreakHyphen/>
      </w:r>
      <w:proofErr w:type="gramStart"/>
      <w:r>
        <w:rPr>
          <w:rStyle w:val="Referencingstyle"/>
        </w:rPr>
        <w:t>440(</w:t>
      </w:r>
      <w:proofErr w:type="gramEnd"/>
      <w:r>
        <w:rPr>
          <w:rStyle w:val="Referencingstyle"/>
        </w:rPr>
        <w:t>1)(</w:t>
      </w:r>
      <w:r w:rsidR="00B77DD9">
        <w:rPr>
          <w:rStyle w:val="Referencingstyle"/>
        </w:rPr>
        <w:t>h</w:t>
      </w:r>
      <w:r>
        <w:rPr>
          <w:rStyle w:val="Referencingstyle"/>
        </w:rPr>
        <w:t>)]</w:t>
      </w:r>
      <w:r w:rsidRPr="00A838E9">
        <w:t xml:space="preserve">. </w:t>
      </w:r>
      <w:r>
        <w:rPr>
          <w:b/>
          <w:i/>
        </w:rPr>
        <w:t>Exempt entity</w:t>
      </w:r>
      <w:r>
        <w:rPr>
          <w:i/>
        </w:rPr>
        <w:t xml:space="preserve"> </w:t>
      </w:r>
      <w:r w:rsidR="004515AF">
        <w:t xml:space="preserve">and </w:t>
      </w:r>
      <w:r w:rsidR="004515AF">
        <w:rPr>
          <w:b/>
          <w:i/>
        </w:rPr>
        <w:t>complying superannuation entity</w:t>
      </w:r>
      <w:r w:rsidR="004515AF">
        <w:rPr>
          <w:i/>
        </w:rPr>
        <w:t xml:space="preserve"> </w:t>
      </w:r>
      <w:r w:rsidR="004515AF">
        <w:t>are</w:t>
      </w:r>
      <w:r w:rsidR="004515AF" w:rsidRPr="00A838E9">
        <w:t xml:space="preserve"> </w:t>
      </w:r>
      <w:r w:rsidRPr="00A838E9">
        <w:t>defined in subsection 995-1(1)</w:t>
      </w:r>
      <w:r>
        <w:t>.</w:t>
      </w:r>
    </w:p>
    <w:p w14:paraId="3BDECFA7" w14:textId="68C94D9C" w:rsidR="009A6927" w:rsidRPr="009A6927" w:rsidRDefault="00A52F7C" w:rsidP="008653E1">
      <w:pPr>
        <w:pStyle w:val="Heading3"/>
      </w:pPr>
      <w:r>
        <w:t xml:space="preserve">Consequences </w:t>
      </w:r>
      <w:r w:rsidR="0072390A">
        <w:t>for membership interests</w:t>
      </w:r>
    </w:p>
    <w:p w14:paraId="416488CD" w14:textId="2EF00449" w:rsidR="00A52F7C" w:rsidRDefault="00A52F7C" w:rsidP="00A52F7C">
      <w:pPr>
        <w:pStyle w:val="base-text-paragraph"/>
      </w:pPr>
      <w:r>
        <w:t>T</w:t>
      </w:r>
      <w:r w:rsidRPr="00F35E82">
        <w:t xml:space="preserve">he cost base of membership interests in the transferor, if any, </w:t>
      </w:r>
      <w:r>
        <w:t>is</w:t>
      </w:r>
      <w:r w:rsidRPr="00F35E82">
        <w:t xml:space="preserve"> reduced to the extent of any transfer of value from the transferor (but not below zero). This ensures that an owner of membership interests </w:t>
      </w:r>
      <w:r w:rsidR="003919F8">
        <w:t xml:space="preserve">in a transferor entity </w:t>
      </w:r>
      <w:r w:rsidRPr="00F35E82">
        <w:t>cannot realise a</w:t>
      </w:r>
      <w:r w:rsidR="00CA5A1A">
        <w:t>n artificial</w:t>
      </w:r>
      <w:r w:rsidRPr="00F35E82">
        <w:t xml:space="preserve"> loss </w:t>
      </w:r>
      <w:r w:rsidR="003919F8">
        <w:t xml:space="preserve">on disposal of those interests, </w:t>
      </w:r>
      <w:r w:rsidR="000445F8">
        <w:t>following</w:t>
      </w:r>
      <w:r w:rsidR="003919F8">
        <w:t xml:space="preserve"> the reduction of value of the entity </w:t>
      </w:r>
      <w:r w:rsidR="000445F8">
        <w:t xml:space="preserve">from </w:t>
      </w:r>
      <w:r w:rsidR="003919F8">
        <w:t>the assets transferred</w:t>
      </w:r>
      <w:r w:rsidR="00CA5A1A">
        <w:t>.</w:t>
      </w:r>
      <w:r w:rsidRPr="00F35E82">
        <w:t xml:space="preserve"> </w:t>
      </w:r>
      <w:r w:rsidR="00801DBD">
        <w:rPr>
          <w:rStyle w:val="Referencingstyle"/>
        </w:rPr>
        <w:t>[Schedule #, item #, section 328-445]</w:t>
      </w:r>
    </w:p>
    <w:p w14:paraId="4E562028" w14:textId="1C62B4B5" w:rsidR="004857D6" w:rsidRDefault="004857D6" w:rsidP="00A52F7C">
      <w:pPr>
        <w:pStyle w:val="base-text-paragraph"/>
      </w:pPr>
      <w:r>
        <w:t>Membership interests are defined in section 960-135, and include shares in a company, units in a unit trust, a beneficiary’s interest in a trust other than a unit trust, and partnership interests in a partnership.</w:t>
      </w:r>
    </w:p>
    <w:p w14:paraId="1EC584DA" w14:textId="0DB335E9" w:rsidR="004857D6" w:rsidRDefault="004857D6" w:rsidP="00A52F7C">
      <w:pPr>
        <w:pStyle w:val="base-text-paragraph"/>
      </w:pPr>
      <w:r>
        <w:t>The transfer of value is worked out by multiplying the ‘asset value’ by the ‘membership interest percentage’</w:t>
      </w:r>
      <w:r w:rsidR="00594C64">
        <w:t xml:space="preserve"> for each asset transferred</w:t>
      </w:r>
      <w:r>
        <w:t xml:space="preserve">. The asset value is the market value of the </w:t>
      </w:r>
      <w:r w:rsidR="007C16C9">
        <w:t>asset</w:t>
      </w:r>
      <w:r>
        <w:t xml:space="preserve"> transferred at the time of the transfer. The membership interest percentage is the proportion of the owner’s membership interests in the transferor, expressed as a percentage of all of the membership interests in the transferor. This ensure</w:t>
      </w:r>
      <w:r w:rsidR="006167BA">
        <w:t>s</w:t>
      </w:r>
      <w:r>
        <w:t xml:space="preserve"> that the cost base of each owner’s membership interests is reduced in proportion to their </w:t>
      </w:r>
      <w:r w:rsidR="00801DBD">
        <w:t>membership interests in the company.</w:t>
      </w:r>
    </w:p>
    <w:p w14:paraId="1D6BF1DF" w14:textId="6CDAF2E9" w:rsidR="0072390A" w:rsidRPr="00F35E82" w:rsidRDefault="0072390A" w:rsidP="00A52F7C">
      <w:pPr>
        <w:pStyle w:val="base-text-paragraph"/>
      </w:pPr>
      <w:r>
        <w:t>This section has no operation where no membership interests in the transferor exist, including where the transferor is a sole trader.</w:t>
      </w:r>
    </w:p>
    <w:p w14:paraId="644C8BBD" w14:textId="77777777" w:rsidR="00371421" w:rsidRDefault="00371421" w:rsidP="00371421">
      <w:pPr>
        <w:pStyle w:val="ExampleHeading"/>
      </w:pPr>
    </w:p>
    <w:p w14:paraId="6799C38D" w14:textId="1DC69F29" w:rsidR="00371421" w:rsidRDefault="00371421" w:rsidP="00371421">
      <w:pPr>
        <w:pStyle w:val="exampletext"/>
      </w:pPr>
      <w:r>
        <w:t>Jack and Jill are husband and wife and are the only shareholders</w:t>
      </w:r>
      <w:r w:rsidR="00793B44">
        <w:t xml:space="preserve"> in Pail Co, with each owning 1</w:t>
      </w:r>
      <w:r>
        <w:t xml:space="preserve"> share</w:t>
      </w:r>
      <w:r w:rsidR="00513C39">
        <w:t xml:space="preserve"> with a cost base of $100</w:t>
      </w:r>
      <w:r>
        <w:t xml:space="preserve">. Since 1995, Pail Co has successfully carried on a water hauling business. </w:t>
      </w:r>
      <w:r w:rsidR="00DD1C8B">
        <w:t xml:space="preserve">The assets of the business are a </w:t>
      </w:r>
      <w:r w:rsidR="00D36435">
        <w:t>hauling truck</w:t>
      </w:r>
      <w:r w:rsidR="00892BB5">
        <w:t xml:space="preserve"> and good</w:t>
      </w:r>
      <w:r w:rsidR="00DD1C8B">
        <w:t>will. All profits have been distributed</w:t>
      </w:r>
      <w:r>
        <w:t>. Pail Co</w:t>
      </w:r>
      <w:r w:rsidR="005C780E">
        <w:t xml:space="preserve"> is a small business entity</w:t>
      </w:r>
      <w:r w:rsidR="005C3761">
        <w:t xml:space="preserve"> for the income year</w:t>
      </w:r>
      <w:r w:rsidR="00D36435">
        <w:t>, and</w:t>
      </w:r>
      <w:r w:rsidR="005C780E">
        <w:t xml:space="preserve"> satisfies the maximum net asset value test.</w:t>
      </w:r>
      <w:r>
        <w:t xml:space="preserve"> </w:t>
      </w:r>
    </w:p>
    <w:p w14:paraId="10EFD5A9" w14:textId="77777777" w:rsidR="00371421" w:rsidRDefault="00371421" w:rsidP="00371421">
      <w:pPr>
        <w:pStyle w:val="exampletext"/>
      </w:pPr>
      <w:r>
        <w:t>However, Jack and Jill have found that the current business structure creates compliance burdens and costs disproportionate to their benefits, and wish to run the hauling operation directly as partners.</w:t>
      </w:r>
    </w:p>
    <w:p w14:paraId="5BE47B46" w14:textId="5707060F" w:rsidR="00371421" w:rsidRDefault="00371421" w:rsidP="00371421">
      <w:pPr>
        <w:pStyle w:val="exampletext"/>
      </w:pPr>
      <w:r>
        <w:t>Using the small business restructure roll</w:t>
      </w:r>
      <w:r w:rsidR="00F53C8B">
        <w:t xml:space="preserve">-over, Pail Co can transfer all of the business assets </w:t>
      </w:r>
      <w:r>
        <w:t>to Jack and Jill</w:t>
      </w:r>
      <w:r w:rsidR="00C31F01">
        <w:t xml:space="preserve"> as partners of the partnership</w:t>
      </w:r>
      <w:r>
        <w:t xml:space="preserve">. </w:t>
      </w:r>
      <w:r w:rsidR="005C3761">
        <w:t xml:space="preserve">The partnership is also a small business entity </w:t>
      </w:r>
      <w:r w:rsidR="00D36435">
        <w:t>for the income year, and</w:t>
      </w:r>
      <w:r w:rsidR="005C3761">
        <w:t xml:space="preserve"> satisfies the maximum net asset value test.</w:t>
      </w:r>
    </w:p>
    <w:p w14:paraId="23450D40" w14:textId="0F624A22" w:rsidR="00493E42" w:rsidRDefault="00493E42" w:rsidP="00C35C3B">
      <w:pPr>
        <w:pStyle w:val="exampletext"/>
      </w:pPr>
      <w:r>
        <w:t xml:space="preserve">The </w:t>
      </w:r>
      <w:r w:rsidR="00892BB5">
        <w:t>good</w:t>
      </w:r>
      <w:r w:rsidR="00D87D22">
        <w:t>will is a CGT asset</w:t>
      </w:r>
      <w:r w:rsidR="00513C39">
        <w:t xml:space="preserve"> with a market value of $3</w:t>
      </w:r>
      <w:r w:rsidR="007266FE">
        <w:t>0,000</w:t>
      </w:r>
      <w:r w:rsidR="00D87D22">
        <w:t xml:space="preserve">. Pail </w:t>
      </w:r>
      <w:proofErr w:type="spellStart"/>
      <w:r w:rsidR="00D87D22">
        <w:t>Co’s</w:t>
      </w:r>
      <w:proofErr w:type="spellEnd"/>
      <w:r w:rsidR="00D87D22">
        <w:t xml:space="preserve"> </w:t>
      </w:r>
      <w:r>
        <w:t>cost base</w:t>
      </w:r>
      <w:r w:rsidR="00D87D22">
        <w:t xml:space="preserve"> for this asset</w:t>
      </w:r>
      <w:r>
        <w:t>, and therefore</w:t>
      </w:r>
      <w:r w:rsidR="00892BB5">
        <w:t xml:space="preserve"> the rollover cost, of the good</w:t>
      </w:r>
      <w:r>
        <w:t>will is zero. Pail Co is tak</w:t>
      </w:r>
      <w:r w:rsidR="00892BB5">
        <w:t>en to have transferred the good</w:t>
      </w:r>
      <w:r>
        <w:t>will to Jack and Jill in equal shares for $0, and Jack and Jill are taken to have acquired their shares for this amount.</w:t>
      </w:r>
    </w:p>
    <w:p w14:paraId="54F7DDD8" w14:textId="5B1CCE6F" w:rsidR="007E2355" w:rsidRDefault="00213E34" w:rsidP="00D36435">
      <w:pPr>
        <w:pStyle w:val="exampletext"/>
      </w:pPr>
      <w:r w:rsidRPr="00213E34">
        <w:t>The hauling truck is a depreciating asset</w:t>
      </w:r>
      <w:r w:rsidR="00513C39">
        <w:t xml:space="preserve"> with a market value of $1</w:t>
      </w:r>
      <w:r w:rsidR="00335A34">
        <w:t>5,000</w:t>
      </w:r>
      <w:r w:rsidRPr="00213E34">
        <w:t xml:space="preserve">. At the time of the transfer, Pail Co had already claimed depreciation deductions of 50% of the original cost of the truck, and the market value of the truck exceeds its adjustable value. </w:t>
      </w:r>
      <w:r>
        <w:t>S</w:t>
      </w:r>
      <w:r w:rsidRPr="00213E34">
        <w:t xml:space="preserve">ince the truck receives roll-over relief under section </w:t>
      </w:r>
      <w:r w:rsidR="00342541">
        <w:t>4</w:t>
      </w:r>
      <w:r w:rsidRPr="00213E34">
        <w:t xml:space="preserve">0-340, no amount will be included in Pail </w:t>
      </w:r>
      <w:proofErr w:type="spellStart"/>
      <w:r w:rsidRPr="00213E34">
        <w:t>Co’s</w:t>
      </w:r>
      <w:proofErr w:type="spellEnd"/>
      <w:r w:rsidRPr="00213E34">
        <w:t xml:space="preserve"> assessable income as a result of </w:t>
      </w:r>
      <w:r>
        <w:t>a balancing adjustment</w:t>
      </w:r>
      <w:r w:rsidRPr="00213E34">
        <w:t>. Jack and Jill will be able to continue to deduct the decline in value of the depreciating asset using the same method and effective life that Pail Co was using, to the extent of their respective interests in the partnership.</w:t>
      </w:r>
      <w:r w:rsidRPr="00213E34" w:rsidDel="00213E34">
        <w:t xml:space="preserve"> </w:t>
      </w:r>
    </w:p>
    <w:p w14:paraId="0877DFA6" w14:textId="375CE131" w:rsidR="00371421" w:rsidRDefault="00371421" w:rsidP="00371421">
      <w:pPr>
        <w:pStyle w:val="exampletext"/>
      </w:pPr>
      <w:r>
        <w:t xml:space="preserve">The cost base of </w:t>
      </w:r>
      <w:r w:rsidR="0059563E">
        <w:t xml:space="preserve">Jack and Jill’s respective shares </w:t>
      </w:r>
      <w:r w:rsidR="00AC12A2">
        <w:t xml:space="preserve">in </w:t>
      </w:r>
      <w:r>
        <w:t xml:space="preserve">Pail Co is reduced to reflect the transfer of value from the </w:t>
      </w:r>
      <w:r w:rsidR="00657942">
        <w:t>company</w:t>
      </w:r>
      <w:r w:rsidR="0059563E">
        <w:t>:</w:t>
      </w:r>
    </w:p>
    <w:p w14:paraId="2CAA289D" w14:textId="394CCF2F" w:rsidR="00793B44" w:rsidRDefault="0059563E" w:rsidP="008653E1">
      <w:pPr>
        <w:pStyle w:val="exampleindent"/>
      </w:pPr>
      <w:r>
        <w:t>Asset value (</w:t>
      </w:r>
      <w:r w:rsidR="00793B44">
        <w:t>$3</w:t>
      </w:r>
      <w:r>
        <w:t xml:space="preserve">0,000 </w:t>
      </w:r>
      <w:r w:rsidR="00793B44">
        <w:t>+ $1</w:t>
      </w:r>
      <w:r>
        <w:t xml:space="preserve">5,000) </w:t>
      </w:r>
      <w:r w:rsidR="00B77DD9">
        <w:t xml:space="preserve">× </w:t>
      </w:r>
      <w:r>
        <w:t>membership interest percentage</w:t>
      </w:r>
      <w:r w:rsidR="00793B44">
        <w:t xml:space="preserve"> </w:t>
      </w:r>
      <w:r w:rsidR="00B77DD9">
        <w:t>(</w:t>
      </w:r>
      <w:r>
        <w:t>0.5</w:t>
      </w:r>
      <w:r w:rsidR="00B77DD9">
        <w:t xml:space="preserve">) </w:t>
      </w:r>
      <w:r w:rsidR="00793B44">
        <w:t>= $</w:t>
      </w:r>
      <w:r w:rsidR="002B7691">
        <w:t>22,500</w:t>
      </w:r>
    </w:p>
    <w:p w14:paraId="39215516" w14:textId="4C698466" w:rsidR="002B7691" w:rsidRDefault="002B7691" w:rsidP="002B7691">
      <w:pPr>
        <w:pStyle w:val="exampletext"/>
      </w:pPr>
      <w:r>
        <w:t>Jack and Jill each reduce the cost base of their shares by $22,500 (but not below zero).</w:t>
      </w:r>
      <w:r w:rsidR="00513C39">
        <w:t xml:space="preserve"> That is, the cost base of each share will be $0. This is appropriate because there is no value left in the company.</w:t>
      </w:r>
    </w:p>
    <w:p w14:paraId="30CFD6C9" w14:textId="4C938605" w:rsidR="00BC5543" w:rsidRDefault="00BC5543" w:rsidP="00BC5543">
      <w:pPr>
        <w:pStyle w:val="ExampleHeading"/>
      </w:pPr>
      <w:r>
        <w:t xml:space="preserve">  </w:t>
      </w:r>
    </w:p>
    <w:p w14:paraId="306FB4E9" w14:textId="066EE284" w:rsidR="00BC5543" w:rsidRDefault="00BC5543" w:rsidP="00BC5543">
      <w:pPr>
        <w:pStyle w:val="exampletext"/>
      </w:pPr>
      <w:r>
        <w:t>Victoria and Chris</w:t>
      </w:r>
      <w:r w:rsidRPr="00BC4F7E">
        <w:t xml:space="preserve"> are husband and wife and are</w:t>
      </w:r>
      <w:r>
        <w:t xml:space="preserve"> the only shareholders in Puppy </w:t>
      </w:r>
      <w:r w:rsidRPr="00BC4F7E">
        <w:t>C</w:t>
      </w:r>
      <w:r>
        <w:t xml:space="preserve">o, with each owning 50 shares. Since 2012, Puppy </w:t>
      </w:r>
      <w:r w:rsidRPr="00BC4F7E">
        <w:t>Co has successfully carrie</w:t>
      </w:r>
      <w:r>
        <w:t>d on a puppy training school</w:t>
      </w:r>
      <w:r w:rsidR="00200593">
        <w:t xml:space="preserve"> and puppy boarding facilities</w:t>
      </w:r>
      <w:r>
        <w:t>. The</w:t>
      </w:r>
      <w:r w:rsidRPr="00BC4F7E">
        <w:t xml:space="preserve"> business has been profitable and</w:t>
      </w:r>
      <w:r>
        <w:t xml:space="preserve"> the company</w:t>
      </w:r>
      <w:r w:rsidRPr="00BC4F7E">
        <w:t xml:space="preserve"> </w:t>
      </w:r>
      <w:r>
        <w:t xml:space="preserve">has </w:t>
      </w:r>
      <w:r>
        <w:lastRenderedPageBreak/>
        <w:t>acquired premises. T</w:t>
      </w:r>
      <w:r w:rsidRPr="00BC4F7E">
        <w:t>he company</w:t>
      </w:r>
      <w:r>
        <w:t>’s assets comprise</w:t>
      </w:r>
      <w:r w:rsidRPr="00BC4F7E">
        <w:t xml:space="preserve"> </w:t>
      </w:r>
      <w:r>
        <w:t>the</w:t>
      </w:r>
      <w:r w:rsidRPr="00BC4F7E">
        <w:t xml:space="preserve"> </w:t>
      </w:r>
      <w:r>
        <w:t>premises, a vehicle, c</w:t>
      </w:r>
      <w:r w:rsidRPr="00BC4F7E">
        <w:t xml:space="preserve">ash, accounts </w:t>
      </w:r>
      <w:r w:rsidR="00F60FB9">
        <w:t>receivable,</w:t>
      </w:r>
      <w:r>
        <w:t xml:space="preserve"> and goodwill. </w:t>
      </w:r>
    </w:p>
    <w:p w14:paraId="487C2AF5" w14:textId="50F2C4AD" w:rsidR="00BC5543" w:rsidRDefault="00BC5543" w:rsidP="00BC5543">
      <w:pPr>
        <w:pStyle w:val="exampletext"/>
      </w:pPr>
      <w:r>
        <w:t xml:space="preserve">Victoria and Chris wish to transfer the premises from Puppy Co to a recently settled discretionary trust, the </w:t>
      </w:r>
      <w:r w:rsidR="00B667BE">
        <w:t>Fluffy</w:t>
      </w:r>
      <w:r>
        <w:t xml:space="preserve"> Trust, which will lease the premises to Puppy Co. Victoria and Chris</w:t>
      </w:r>
      <w:r w:rsidR="00D73649">
        <w:t>, and their family members,</w:t>
      </w:r>
      <w:r>
        <w:t xml:space="preserve"> are the only objects of the </w:t>
      </w:r>
      <w:r w:rsidR="00B667BE">
        <w:t>Fluffy</w:t>
      </w:r>
      <w:r>
        <w:t xml:space="preserve"> Trust, which has made a family trust election. </w:t>
      </w:r>
    </w:p>
    <w:p w14:paraId="3C68F22D" w14:textId="71EE86F4" w:rsidR="00200593" w:rsidRDefault="00200593" w:rsidP="00C90377">
      <w:pPr>
        <w:pStyle w:val="exampletext"/>
      </w:pPr>
      <w:r>
        <w:t xml:space="preserve">Puppy </w:t>
      </w:r>
      <w:r w:rsidRPr="00BC4F7E">
        <w:t xml:space="preserve">Co </w:t>
      </w:r>
      <w:r>
        <w:t>is a small business entity that satisfies the maximum net asset value test, and the premises are an asset of the business carried on by Puppy Co</w:t>
      </w:r>
      <w:r w:rsidR="00C90377">
        <w:t xml:space="preserve">. The </w:t>
      </w:r>
      <w:r>
        <w:t>Fluffy Trust is not a small business entity in the income year, but it is connected with Puppy Co, and the premises satisfy the test in subsection 152-10(1A)</w:t>
      </w:r>
      <w:r w:rsidR="00C90377">
        <w:t>.</w:t>
      </w:r>
    </w:p>
    <w:p w14:paraId="5E88CA73" w14:textId="494256EA" w:rsidR="00BC5543" w:rsidRDefault="00BC5543" w:rsidP="00BC5543">
      <w:pPr>
        <w:pStyle w:val="exampletext"/>
      </w:pPr>
      <w:r>
        <w:t>For the purpose of the roll</w:t>
      </w:r>
      <w:r w:rsidR="001172C8">
        <w:t>-</w:t>
      </w:r>
      <w:r>
        <w:t xml:space="preserve">over, there has not been a change in the ultimate economic ownership of the premises by the transfer of the asset from Puppy Co to the </w:t>
      </w:r>
      <w:r w:rsidR="00B667BE">
        <w:t>Fluffy</w:t>
      </w:r>
      <w:r>
        <w:t xml:space="preserve"> Trust. Therefore, assuming that the other requ</w:t>
      </w:r>
      <w:r w:rsidR="009B131D">
        <w:t>irements are also met, the roll-</w:t>
      </w:r>
      <w:r>
        <w:t>over would be availa</w:t>
      </w:r>
      <w:r w:rsidR="001E4060">
        <w:t>ble in respect of the transfer.</w:t>
      </w:r>
    </w:p>
    <w:p w14:paraId="40CB88A0" w14:textId="4282CBE2" w:rsidR="00BC5543" w:rsidRPr="00142BD7" w:rsidRDefault="00BC5543" w:rsidP="00BC5543">
      <w:pPr>
        <w:pStyle w:val="exampletext"/>
      </w:pPr>
      <w:r w:rsidRPr="00142BD7">
        <w:t>T</w:t>
      </w:r>
      <w:r>
        <w:t xml:space="preserve">he premises are a CGT asset of Puppy </w:t>
      </w:r>
      <w:r w:rsidRPr="00142BD7">
        <w:t>Co</w:t>
      </w:r>
      <w:r>
        <w:t>,</w:t>
      </w:r>
      <w:r w:rsidRPr="00142BD7">
        <w:t xml:space="preserve"> which it acquire</w:t>
      </w:r>
      <w:r>
        <w:t>d on 1</w:t>
      </w:r>
      <w:r w:rsidR="000E0064">
        <w:t> </w:t>
      </w:r>
      <w:r>
        <w:t xml:space="preserve">July 2002 for $300,000. </w:t>
      </w:r>
      <w:r w:rsidRPr="00142BD7">
        <w:t>The current market value of the premises is $600,000.</w:t>
      </w:r>
    </w:p>
    <w:p w14:paraId="5B453CB6" w14:textId="31687FFF" w:rsidR="00BC5543" w:rsidRPr="00142BD7" w:rsidRDefault="00BC5543" w:rsidP="00BC5543">
      <w:pPr>
        <w:pStyle w:val="exampletext"/>
      </w:pPr>
      <w:r>
        <w:t xml:space="preserve">Under the roll-over, Puppy </w:t>
      </w:r>
      <w:r w:rsidRPr="00142BD7">
        <w:t>Co is taken to have disp</w:t>
      </w:r>
      <w:r>
        <w:t xml:space="preserve">osed of the premises </w:t>
      </w:r>
      <w:r w:rsidRPr="00142BD7">
        <w:t xml:space="preserve">for the roll-over cost, </w:t>
      </w:r>
      <w:r w:rsidR="003B0566">
        <w:t xml:space="preserve">and the </w:t>
      </w:r>
      <w:r w:rsidR="001E4060">
        <w:t>Fluffy</w:t>
      </w:r>
      <w:r w:rsidR="003B0566" w:rsidRPr="00142BD7">
        <w:t xml:space="preserve"> Trust is taken to have acquired the premises </w:t>
      </w:r>
      <w:r w:rsidR="003B0566">
        <w:t>for the roll-over cost. This i</w:t>
      </w:r>
      <w:r w:rsidRPr="00142BD7">
        <w:t>s the</w:t>
      </w:r>
      <w:r>
        <w:t xml:space="preserve"> amount necessary so that Pup</w:t>
      </w:r>
      <w:r w:rsidR="003B0566">
        <w:t>py</w:t>
      </w:r>
      <w:r>
        <w:t xml:space="preserve"> </w:t>
      </w:r>
      <w:r w:rsidRPr="00142BD7">
        <w:t>Co makes neither a capital gain nor a capital loss from</w:t>
      </w:r>
      <w:r>
        <w:t xml:space="preserve"> the transfer of the premises. </w:t>
      </w:r>
      <w:r w:rsidRPr="00142BD7">
        <w:t>Therefore the roll</w:t>
      </w:r>
      <w:r w:rsidRPr="00142BD7">
        <w:noBreakHyphen/>
        <w:t>over cost is $300,000.</w:t>
      </w:r>
    </w:p>
    <w:p w14:paraId="56F08173" w14:textId="36FC3EA9" w:rsidR="00BC5543" w:rsidRPr="00902FBE" w:rsidRDefault="00BC5543" w:rsidP="00BC5543">
      <w:pPr>
        <w:pStyle w:val="exampletext"/>
      </w:pPr>
      <w:r w:rsidRPr="00142BD7">
        <w:t>Following the tran</w:t>
      </w:r>
      <w:r>
        <w:t xml:space="preserve">sfer of the premises from Puppy Co to the </w:t>
      </w:r>
      <w:r w:rsidR="001E4060">
        <w:t>Fluffy</w:t>
      </w:r>
      <w:r>
        <w:t xml:space="preserve"> Trust, the value of Puppy </w:t>
      </w:r>
      <w:r w:rsidRPr="00142BD7">
        <w:t xml:space="preserve">Co has been reduced by the market value of </w:t>
      </w:r>
      <w:r>
        <w:t>the premises, namely $600,000.</w:t>
      </w:r>
      <w:r w:rsidR="001633DD" w:rsidRPr="001633DD">
        <w:t xml:space="preserve"> </w:t>
      </w:r>
      <w:r w:rsidR="001633DD">
        <w:t>The cost base of each of Victoria and Chris’s shares in Puppy Co is reduced by $</w:t>
      </w:r>
      <w:r w:rsidR="00916F33">
        <w:t>6</w:t>
      </w:r>
      <w:r w:rsidR="001633DD">
        <w:t>,000 to reflect the transfer of value from the trust.</w:t>
      </w:r>
    </w:p>
    <w:p w14:paraId="3626F5E9" w14:textId="77777777" w:rsidR="001C77B4" w:rsidRDefault="001C77B4" w:rsidP="007C367E">
      <w:pPr>
        <w:pStyle w:val="Heading2"/>
      </w:pPr>
      <w:r>
        <w:t>Consequential amendments</w:t>
      </w:r>
    </w:p>
    <w:p w14:paraId="0FB4B035" w14:textId="4C492738" w:rsidR="001C77B4" w:rsidRPr="008F726E" w:rsidRDefault="0099262C" w:rsidP="007C367E">
      <w:pPr>
        <w:pStyle w:val="base-text-paragraph"/>
      </w:pPr>
      <w:r>
        <w:t xml:space="preserve">The definition of ‘roll-over cost’ is inserted into the Dictionary in Division 995 of the ITAA 1997. </w:t>
      </w:r>
      <w:r>
        <w:rPr>
          <w:rStyle w:val="Referencingstyle"/>
        </w:rPr>
        <w:t>[Schedule #, item #, Division 995]</w:t>
      </w:r>
    </w:p>
    <w:p w14:paraId="21D89C73" w14:textId="77777777" w:rsidR="001C77B4" w:rsidRDefault="001C77B4" w:rsidP="007C367E">
      <w:pPr>
        <w:pStyle w:val="Heading2"/>
      </w:pPr>
      <w:r>
        <w:t>Application and transitional provisions</w:t>
      </w:r>
    </w:p>
    <w:p w14:paraId="0D939F60" w14:textId="32B7ACD2" w:rsidR="00D85BEA" w:rsidRPr="00200C32" w:rsidRDefault="0099262C" w:rsidP="00011B5A">
      <w:pPr>
        <w:pStyle w:val="base-text-paragraph"/>
      </w:pPr>
      <w:r>
        <w:t>The amendments made by this Bill apply to transfers of assets occurring on or after 1 July 2016.</w:t>
      </w:r>
      <w:r w:rsidR="001B3E55">
        <w:t xml:space="preserve"> </w:t>
      </w:r>
      <w:r w:rsidR="001B3E55">
        <w:rPr>
          <w:rStyle w:val="Referencingstyle"/>
        </w:rPr>
        <w:t>[Schedule #, item #]</w:t>
      </w:r>
      <w:r w:rsidR="008653E1" w:rsidRPr="008F726E" w:rsidDel="008653E1">
        <w:t xml:space="preserve"> </w:t>
      </w:r>
    </w:p>
    <w:sectPr w:rsidR="00D85BEA" w:rsidRPr="00200C32" w:rsidSect="00821379">
      <w:headerReference w:type="even" r:id="rId26"/>
      <w:headerReference w:type="default" r:id="rId27"/>
      <w:footerReference w:type="even" r:id="rId28"/>
      <w:footerReference w:type="default" r:id="rId29"/>
      <w:headerReference w:type="first" r:id="rId30"/>
      <w:footerReference w:type="first" r:id="rId31"/>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D3450" w14:textId="77777777" w:rsidR="001736A0" w:rsidRDefault="001736A0">
      <w:r>
        <w:separator/>
      </w:r>
    </w:p>
  </w:endnote>
  <w:endnote w:type="continuationSeparator" w:id="0">
    <w:p w14:paraId="52CE1139" w14:textId="77777777" w:rsidR="001736A0" w:rsidRDefault="001736A0">
      <w:r>
        <w:continuationSeparator/>
      </w:r>
    </w:p>
  </w:endnote>
  <w:endnote w:type="continuationNotice" w:id="1">
    <w:p w14:paraId="730385F2" w14:textId="77777777" w:rsidR="001736A0" w:rsidRDefault="001736A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61A2F" w14:textId="77777777" w:rsidR="001736A0" w:rsidRDefault="001736A0" w:rsidP="007C367E">
    <w:pPr>
      <w:pStyle w:val="leftfoo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6EBCD" w14:textId="77777777" w:rsidR="001736A0" w:rsidRDefault="001736A0" w:rsidP="007C367E">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3CCBB" w14:textId="77777777" w:rsidR="001736A0" w:rsidRDefault="001736A0" w:rsidP="007C367E">
    <w:pPr>
      <w:pStyle w:val="rightfooter"/>
    </w:pPr>
    <w:r>
      <w:fldChar w:fldCharType="begin"/>
    </w:r>
    <w:r>
      <w:instrText xml:space="preserve"> PAGE  \* Arabic  \* MERGEFORMAT </w:instrText>
    </w:r>
    <w:r>
      <w:fldChar w:fldCharType="separate"/>
    </w:r>
    <w:r w:rsidR="00180BA4">
      <w:rPr>
        <w:noProof/>
      </w:rPr>
      <w:t>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E2D30" w14:textId="77777777" w:rsidR="001736A0" w:rsidRDefault="001736A0" w:rsidP="007C367E">
    <w:pPr>
      <w:pStyle w:val="leftfooter"/>
    </w:pPr>
    <w:r>
      <w:fldChar w:fldCharType="begin"/>
    </w:r>
    <w:r>
      <w:instrText xml:space="preserve"> PAGE   \* MERGEFORMAT </w:instrText>
    </w:r>
    <w:r>
      <w:fldChar w:fldCharType="separate"/>
    </w:r>
    <w:r w:rsidR="00C43A23">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1579E" w14:textId="77777777" w:rsidR="001736A0" w:rsidRDefault="001736A0" w:rsidP="007C367E">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B0125" w14:textId="77777777" w:rsidR="001736A0" w:rsidRDefault="001736A0" w:rsidP="007C367E">
    <w:pPr>
      <w:pStyle w:val="rightfooter"/>
    </w:pPr>
    <w:r>
      <w:fldChar w:fldCharType="begin"/>
    </w:r>
    <w:r>
      <w:instrText xml:space="preserve"> PAGE  \* Arabic  \* MERGEFORMAT </w:instrText>
    </w:r>
    <w:r>
      <w:fldChar w:fldCharType="separate"/>
    </w:r>
    <w:r w:rsidR="00180BA4">
      <w:rPr>
        <w:noProof/>
      </w:rPr>
      <w:t>3</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2D92F" w14:textId="77777777" w:rsidR="001736A0" w:rsidRDefault="001736A0" w:rsidP="005A76CC">
    <w:pPr>
      <w:pStyle w:val="leftfooter"/>
    </w:pPr>
    <w:r>
      <w:fldChar w:fldCharType="begin"/>
    </w:r>
    <w:r>
      <w:instrText xml:space="preserve"> PAGE   \* MERGEFORMAT </w:instrText>
    </w:r>
    <w:r>
      <w:fldChar w:fldCharType="separate"/>
    </w:r>
    <w:r w:rsidR="00180BA4">
      <w:rPr>
        <w:noProof/>
      </w:rPr>
      <w:t>14</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0F667" w14:textId="77777777" w:rsidR="001736A0" w:rsidRDefault="001736A0" w:rsidP="005A76CC">
    <w:pPr>
      <w:pStyle w:val="rightfooter"/>
    </w:pPr>
    <w:r>
      <w:fldChar w:fldCharType="begin"/>
    </w:r>
    <w:r>
      <w:instrText xml:space="preserve"> PAGE   \* MERGEFORMAT </w:instrText>
    </w:r>
    <w:r>
      <w:fldChar w:fldCharType="separate"/>
    </w:r>
    <w:r w:rsidR="00180BA4">
      <w:rPr>
        <w:noProof/>
      </w:rPr>
      <w:t>15</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3BAD4" w14:textId="77777777" w:rsidR="001736A0" w:rsidRDefault="001736A0" w:rsidP="005A76CC">
    <w:pPr>
      <w:pStyle w:val="rightfooter"/>
    </w:pPr>
    <w:r>
      <w:fldChar w:fldCharType="begin"/>
    </w:r>
    <w:r>
      <w:instrText xml:space="preserve"> PAGE  \* Arabic  \* MERGEFORMAT </w:instrText>
    </w:r>
    <w:r>
      <w:fldChar w:fldCharType="separate"/>
    </w:r>
    <w:r w:rsidR="00180BA4">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96B62" w14:textId="77777777" w:rsidR="001736A0" w:rsidRDefault="001736A0">
      <w:r>
        <w:separator/>
      </w:r>
    </w:p>
  </w:footnote>
  <w:footnote w:type="continuationSeparator" w:id="0">
    <w:p w14:paraId="7EB24C99" w14:textId="77777777" w:rsidR="001736A0" w:rsidRDefault="001736A0">
      <w:r>
        <w:continuationSeparator/>
      </w:r>
    </w:p>
  </w:footnote>
  <w:footnote w:type="continuationNotice" w:id="1">
    <w:p w14:paraId="1DB627CD" w14:textId="77777777" w:rsidR="001736A0" w:rsidRDefault="001736A0">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FD146" w14:textId="1F75D67F" w:rsidR="001736A0" w:rsidRDefault="00180BA4" w:rsidP="007C367E">
    <w:pPr>
      <w:pStyle w:val="leftheader"/>
    </w:pPr>
    <w:r>
      <w:rPr>
        <w:noProof/>
      </w:rPr>
      <w:pict w14:anchorId="2BD4D8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9909" o:spid="_x0000_s41986" type="#_x0000_t136" style="position:absolute;margin-left:0;margin-top:0;width:475.5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1736A0">
      <w:fldChar w:fldCharType="begin"/>
    </w:r>
    <w:r w:rsidR="001736A0">
      <w:instrText xml:space="preserve"> macrobutton nomacro [Click here and insert the name of the Bill] </w:instrText>
    </w:r>
    <w:r w:rsidR="001736A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831BF" w14:textId="7E384248" w:rsidR="001736A0" w:rsidRDefault="00180BA4" w:rsidP="007C367E">
    <w:pPr>
      <w:pStyle w:val="rightheader"/>
    </w:pPr>
    <w:r>
      <w:rPr>
        <w:noProof/>
      </w:rPr>
      <w:pict w14:anchorId="60783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9910" o:spid="_x0000_s41987" type="#_x0000_t136" style="position:absolute;left:0;text-align:left;margin-left:0;margin-top:0;width:475.5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1736A0">
      <w:fldChar w:fldCharType="begin"/>
    </w:r>
    <w:r w:rsidR="001736A0">
      <w:instrText xml:space="preserve"> macrobutton nomacro [Click here and enter the name of the Chapter </w:instrText>
    </w:r>
    <w:r w:rsidR="001736A0">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F10A" w14:textId="7CF9A004" w:rsidR="008653E1" w:rsidRDefault="00180BA4">
    <w:pPr>
      <w:pStyle w:val="Header"/>
    </w:pPr>
    <w:r>
      <w:rPr>
        <w:noProof/>
      </w:rPr>
      <w:pict w14:anchorId="0E58B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9908" o:spid="_x0000_s41985" type="#_x0000_t136" style="position:absolute;margin-left:0;margin-top:0;width:475.5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CC9AF" w14:textId="44B6D570" w:rsidR="001736A0" w:rsidRDefault="00180BA4" w:rsidP="007C367E">
    <w:pPr>
      <w:pStyle w:val="leftheader"/>
    </w:pPr>
    <w:r>
      <w:rPr>
        <w:noProof/>
      </w:rPr>
      <w:pict w14:anchorId="7F0D8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9912" o:spid="_x0000_s41989" type="#_x0000_t136" style="position:absolute;margin-left:0;margin-top:0;width:475.5pt;height:67.9pt;rotation:315;z-index:-251649024;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1736A0">
      <w:fldChar w:fldCharType="begin"/>
    </w:r>
    <w:r w:rsidR="001736A0">
      <w:instrText xml:space="preserve"> macrobutton nomacro [Click here and insert the name of the Bill] </w:instrText>
    </w:r>
    <w:r w:rsidR="001736A0">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878AE" w14:textId="5A275CC8" w:rsidR="001736A0" w:rsidRDefault="00180BA4" w:rsidP="007C367E">
    <w:pPr>
      <w:pStyle w:val="rightheader"/>
    </w:pPr>
    <w:r>
      <w:rPr>
        <w:noProof/>
      </w:rPr>
      <w:pict w14:anchorId="0B586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9913" o:spid="_x0000_s41990" type="#_x0000_t136" style="position:absolute;left:0;text-align:left;margin-left:0;margin-top:0;width:475.5pt;height:67.9pt;rotation:315;z-index:-25164697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1736A0">
      <w:fldChar w:fldCharType="begin"/>
    </w:r>
    <w:r w:rsidR="001736A0">
      <w:instrText xml:space="preserve"> macrobutton nomacro [Click here and enter the name of the Chapter </w:instrText>
    </w:r>
    <w:r w:rsidR="001736A0">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BC7CB" w14:textId="5EF889B3" w:rsidR="008653E1" w:rsidRDefault="00180BA4">
    <w:pPr>
      <w:pStyle w:val="Header"/>
    </w:pPr>
    <w:r>
      <w:rPr>
        <w:noProof/>
      </w:rPr>
      <w:pict w14:anchorId="40B44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9911" o:spid="_x0000_s41988" type="#_x0000_t136" style="position:absolute;margin-left:0;margin-top:0;width:475.5pt;height:67.9pt;rotation:315;z-index:-251651072;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7AB46" w14:textId="08FCCE51" w:rsidR="001736A0" w:rsidRDefault="00180BA4" w:rsidP="005A76CC">
    <w:pPr>
      <w:pStyle w:val="leftheader"/>
    </w:pPr>
    <w:r>
      <w:rPr>
        <w:noProof/>
      </w:rPr>
      <w:pict w14:anchorId="577038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9918" o:spid="_x0000_s41995" type="#_x0000_t136" style="position:absolute;margin-left:0;margin-top:0;width:475.5pt;height:67.9pt;rotation:315;z-index:-25163673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6C1B08">
      <w:t>Tax and Superannuation Laws Amendment (2015 Measures No. #) Bill 2015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299FD" w14:textId="0D631D47" w:rsidR="001736A0" w:rsidRDefault="00180BA4" w:rsidP="005A76CC">
    <w:pPr>
      <w:pStyle w:val="rightheader"/>
    </w:pPr>
    <w:r>
      <w:rPr>
        <w:noProof/>
      </w:rPr>
      <w:pict w14:anchorId="220F7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9919" o:spid="_x0000_s41996" type="#_x0000_t136" style="position:absolute;left:0;text-align:left;margin-left:0;margin-top:0;width:475.5pt;height:67.9pt;rotation:315;z-index:-25163468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6C1B08">
      <w:t>Small business restructure rollovers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87B18" w14:textId="155CA8D5" w:rsidR="008653E1" w:rsidRDefault="00180BA4">
    <w:pPr>
      <w:pStyle w:val="Header"/>
    </w:pPr>
    <w:r>
      <w:rPr>
        <w:noProof/>
      </w:rPr>
      <w:pict w14:anchorId="43CFC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9917" o:spid="_x0000_s41994" type="#_x0000_t136" style="position:absolute;margin-left:0;margin-top:0;width:475.5pt;height:67.9pt;rotation:315;z-index:-251638784;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EB4EC5"/>
    <w:multiLevelType w:val="multilevel"/>
    <w:tmpl w:val="6D98FC9A"/>
    <w:numStyleLink w:val="TableDotPointList"/>
  </w:abstractNum>
  <w:abstractNum w:abstractNumId="16">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3FB3E18"/>
    <w:multiLevelType w:val="multilevel"/>
    <w:tmpl w:val="A316FE50"/>
    <w:numStyleLink w:val="ChapterList"/>
  </w:abstractNum>
  <w:abstractNum w:abstractNumId="22">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180750A"/>
    <w:multiLevelType w:val="multilevel"/>
    <w:tmpl w:val="6A12CC2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4281CEB"/>
    <w:multiLevelType w:val="multilevel"/>
    <w:tmpl w:val="A316FE50"/>
    <w:numStyleLink w:val="ChapterList"/>
  </w:abstractNum>
  <w:abstractNum w:abstractNumId="26">
    <w:nsid w:val="65DF6494"/>
    <w:multiLevelType w:val="multilevel"/>
    <w:tmpl w:val="A316FE50"/>
    <w:numStyleLink w:val="ChapterList"/>
  </w:abstractNum>
  <w:abstractNum w:abstractNumId="27">
    <w:nsid w:val="6D302C09"/>
    <w:multiLevelType w:val="multilevel"/>
    <w:tmpl w:val="A316FE50"/>
    <w:numStyleLink w:val="ChapterList"/>
  </w:abstractNum>
  <w:abstractNum w:abstractNumId="28">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7CAC208D"/>
    <w:multiLevelType w:val="multilevel"/>
    <w:tmpl w:val="A316FE50"/>
    <w:numStyleLink w:val="ChapterList"/>
  </w:abstractNum>
  <w:num w:numId="1">
    <w:abstractNumId w:val="20"/>
  </w:num>
  <w:num w:numId="2">
    <w:abstractNumId w:val="19"/>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8"/>
  </w:num>
  <w:num w:numId="17">
    <w:abstractNumId w:val="29"/>
  </w:num>
  <w:num w:numId="18">
    <w:abstractNumId w:val="10"/>
  </w:num>
  <w:num w:numId="19">
    <w:abstractNumId w:val="18"/>
  </w:num>
  <w:num w:numId="20">
    <w:abstractNumId w:val="22"/>
  </w:num>
  <w:num w:numId="21">
    <w:abstractNumId w:val="24"/>
  </w:num>
  <w:num w:numId="22">
    <w:abstractNumId w:val="13"/>
  </w:num>
  <w:num w:numId="23">
    <w:abstractNumId w:val="15"/>
  </w:num>
  <w:num w:numId="24">
    <w:abstractNumId w:val="27"/>
  </w:num>
  <w:num w:numId="25">
    <w:abstractNumId w:val="30"/>
  </w:num>
  <w:num w:numId="26">
    <w:abstractNumId w:val="25"/>
  </w:num>
  <w:num w:numId="27">
    <w:abstractNumId w:val="11"/>
  </w:num>
  <w:num w:numId="28">
    <w:abstractNumId w:val="21"/>
  </w:num>
  <w:num w:numId="29">
    <w:abstractNumId w:val="12"/>
  </w:num>
  <w:num w:numId="30">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6"/>
          </w:tabs>
          <w:ind w:left="1135"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5"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6"/>
  </w:num>
  <w:num w:numId="32">
    <w:abstractNumId w:val="23"/>
  </w:num>
  <w:num w:numId="33">
    <w:abstractNumId w:val="26"/>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4">
    <w:abstractNumId w:val="26"/>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5">
    <w:abstractNumId w:val="26"/>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6">
    <w:abstractNumId w:val="26"/>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7">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5"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5"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5"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5"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5"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5"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5"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5"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5"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5"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8">
    <w:abstractNumId w:val="19"/>
  </w:num>
  <w:num w:numId="49">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41997"/>
    <o:shapelayout v:ext="edit">
      <o:idmap v:ext="edit" data="41"/>
    </o:shapelayout>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7B4"/>
    <w:rsid w:val="00000187"/>
    <w:rsid w:val="00001C19"/>
    <w:rsid w:val="00005CFC"/>
    <w:rsid w:val="00006F2B"/>
    <w:rsid w:val="0000784F"/>
    <w:rsid w:val="00011B5A"/>
    <w:rsid w:val="00011E2A"/>
    <w:rsid w:val="00012F66"/>
    <w:rsid w:val="000175F2"/>
    <w:rsid w:val="000226DF"/>
    <w:rsid w:val="00023990"/>
    <w:rsid w:val="0003118B"/>
    <w:rsid w:val="000327A2"/>
    <w:rsid w:val="0003305A"/>
    <w:rsid w:val="00033087"/>
    <w:rsid w:val="00034757"/>
    <w:rsid w:val="00034BE8"/>
    <w:rsid w:val="000354E5"/>
    <w:rsid w:val="000404C5"/>
    <w:rsid w:val="00042D79"/>
    <w:rsid w:val="00043C84"/>
    <w:rsid w:val="000445F8"/>
    <w:rsid w:val="000454F2"/>
    <w:rsid w:val="00050170"/>
    <w:rsid w:val="00051B37"/>
    <w:rsid w:val="00051DA8"/>
    <w:rsid w:val="00052D24"/>
    <w:rsid w:val="000555C6"/>
    <w:rsid w:val="0005600E"/>
    <w:rsid w:val="00060758"/>
    <w:rsid w:val="0006086C"/>
    <w:rsid w:val="00061FEC"/>
    <w:rsid w:val="00067E1D"/>
    <w:rsid w:val="000705A5"/>
    <w:rsid w:val="0007186F"/>
    <w:rsid w:val="00071E62"/>
    <w:rsid w:val="00071F62"/>
    <w:rsid w:val="000725C0"/>
    <w:rsid w:val="0007346D"/>
    <w:rsid w:val="00075250"/>
    <w:rsid w:val="0007604F"/>
    <w:rsid w:val="0007620F"/>
    <w:rsid w:val="00076282"/>
    <w:rsid w:val="00076543"/>
    <w:rsid w:val="00076E5A"/>
    <w:rsid w:val="000823FC"/>
    <w:rsid w:val="000835C7"/>
    <w:rsid w:val="00083E7E"/>
    <w:rsid w:val="00085C5D"/>
    <w:rsid w:val="00087BDC"/>
    <w:rsid w:val="0009055D"/>
    <w:rsid w:val="00090BE5"/>
    <w:rsid w:val="0009460A"/>
    <w:rsid w:val="00094E38"/>
    <w:rsid w:val="000960B7"/>
    <w:rsid w:val="0009674A"/>
    <w:rsid w:val="000976E5"/>
    <w:rsid w:val="000977D0"/>
    <w:rsid w:val="000A0AFD"/>
    <w:rsid w:val="000A2094"/>
    <w:rsid w:val="000A268B"/>
    <w:rsid w:val="000A341E"/>
    <w:rsid w:val="000A5B26"/>
    <w:rsid w:val="000A6D0D"/>
    <w:rsid w:val="000A6DBE"/>
    <w:rsid w:val="000B093C"/>
    <w:rsid w:val="000B3F15"/>
    <w:rsid w:val="000B3FBB"/>
    <w:rsid w:val="000B4BA0"/>
    <w:rsid w:val="000B759B"/>
    <w:rsid w:val="000B7AFB"/>
    <w:rsid w:val="000B7FBA"/>
    <w:rsid w:val="000C06D9"/>
    <w:rsid w:val="000C10B1"/>
    <w:rsid w:val="000C4F12"/>
    <w:rsid w:val="000D07B0"/>
    <w:rsid w:val="000D54A6"/>
    <w:rsid w:val="000D59F8"/>
    <w:rsid w:val="000E0064"/>
    <w:rsid w:val="000E089D"/>
    <w:rsid w:val="000E094C"/>
    <w:rsid w:val="000E1B61"/>
    <w:rsid w:val="000E32F5"/>
    <w:rsid w:val="000E50A9"/>
    <w:rsid w:val="000E5B9A"/>
    <w:rsid w:val="000E6B6C"/>
    <w:rsid w:val="000F0DC1"/>
    <w:rsid w:val="000F27BB"/>
    <w:rsid w:val="000F2D29"/>
    <w:rsid w:val="00100CF8"/>
    <w:rsid w:val="0010790B"/>
    <w:rsid w:val="001114E6"/>
    <w:rsid w:val="001117FA"/>
    <w:rsid w:val="00111964"/>
    <w:rsid w:val="001130B6"/>
    <w:rsid w:val="001131AE"/>
    <w:rsid w:val="00113E19"/>
    <w:rsid w:val="00115117"/>
    <w:rsid w:val="001154E7"/>
    <w:rsid w:val="00115DC6"/>
    <w:rsid w:val="001172C8"/>
    <w:rsid w:val="00121EB0"/>
    <w:rsid w:val="001221FC"/>
    <w:rsid w:val="00123D96"/>
    <w:rsid w:val="0012405D"/>
    <w:rsid w:val="001241E6"/>
    <w:rsid w:val="00124E15"/>
    <w:rsid w:val="0012527A"/>
    <w:rsid w:val="001318E0"/>
    <w:rsid w:val="00131E0C"/>
    <w:rsid w:val="00134F2F"/>
    <w:rsid w:val="00135861"/>
    <w:rsid w:val="00135B0F"/>
    <w:rsid w:val="00136D59"/>
    <w:rsid w:val="00140F76"/>
    <w:rsid w:val="00141807"/>
    <w:rsid w:val="0014197C"/>
    <w:rsid w:val="00142BD7"/>
    <w:rsid w:val="00147076"/>
    <w:rsid w:val="00147843"/>
    <w:rsid w:val="00153861"/>
    <w:rsid w:val="001554CC"/>
    <w:rsid w:val="00162FF8"/>
    <w:rsid w:val="001633DD"/>
    <w:rsid w:val="001736A0"/>
    <w:rsid w:val="00174A29"/>
    <w:rsid w:val="00175094"/>
    <w:rsid w:val="001757E2"/>
    <w:rsid w:val="00180BA4"/>
    <w:rsid w:val="00182AF8"/>
    <w:rsid w:val="00190A6A"/>
    <w:rsid w:val="00190C4F"/>
    <w:rsid w:val="001A7A18"/>
    <w:rsid w:val="001B219B"/>
    <w:rsid w:val="001B3E55"/>
    <w:rsid w:val="001B53B7"/>
    <w:rsid w:val="001C1283"/>
    <w:rsid w:val="001C2FA0"/>
    <w:rsid w:val="001C3FE8"/>
    <w:rsid w:val="001C44E2"/>
    <w:rsid w:val="001C6A8A"/>
    <w:rsid w:val="001C77B4"/>
    <w:rsid w:val="001C7AEE"/>
    <w:rsid w:val="001D164C"/>
    <w:rsid w:val="001D4BE8"/>
    <w:rsid w:val="001D5436"/>
    <w:rsid w:val="001E4060"/>
    <w:rsid w:val="001E4F8A"/>
    <w:rsid w:val="001E6545"/>
    <w:rsid w:val="001E69B2"/>
    <w:rsid w:val="001E7E7C"/>
    <w:rsid w:val="001F20D0"/>
    <w:rsid w:val="001F281C"/>
    <w:rsid w:val="001F46C0"/>
    <w:rsid w:val="001F67B8"/>
    <w:rsid w:val="001F6F1A"/>
    <w:rsid w:val="00200593"/>
    <w:rsid w:val="002005D6"/>
    <w:rsid w:val="0020096C"/>
    <w:rsid w:val="00200C32"/>
    <w:rsid w:val="00200E96"/>
    <w:rsid w:val="00201B36"/>
    <w:rsid w:val="002027A4"/>
    <w:rsid w:val="00206A40"/>
    <w:rsid w:val="00207B38"/>
    <w:rsid w:val="00211635"/>
    <w:rsid w:val="00213E34"/>
    <w:rsid w:val="002157E8"/>
    <w:rsid w:val="0021640F"/>
    <w:rsid w:val="00220D6C"/>
    <w:rsid w:val="00222D57"/>
    <w:rsid w:val="00223DCF"/>
    <w:rsid w:val="00226C42"/>
    <w:rsid w:val="00226D47"/>
    <w:rsid w:val="002316B6"/>
    <w:rsid w:val="00231CBA"/>
    <w:rsid w:val="0023319C"/>
    <w:rsid w:val="00235716"/>
    <w:rsid w:val="00235A31"/>
    <w:rsid w:val="00236181"/>
    <w:rsid w:val="00236A1C"/>
    <w:rsid w:val="00242A5D"/>
    <w:rsid w:val="00243773"/>
    <w:rsid w:val="00250154"/>
    <w:rsid w:val="00250714"/>
    <w:rsid w:val="00253E01"/>
    <w:rsid w:val="0026179B"/>
    <w:rsid w:val="002655AE"/>
    <w:rsid w:val="00266048"/>
    <w:rsid w:val="00266184"/>
    <w:rsid w:val="00272FD3"/>
    <w:rsid w:val="002748EB"/>
    <w:rsid w:val="00277D70"/>
    <w:rsid w:val="00281FF7"/>
    <w:rsid w:val="002857E2"/>
    <w:rsid w:val="00292229"/>
    <w:rsid w:val="002A4534"/>
    <w:rsid w:val="002A4F1C"/>
    <w:rsid w:val="002A5655"/>
    <w:rsid w:val="002A64A2"/>
    <w:rsid w:val="002A716B"/>
    <w:rsid w:val="002B17CB"/>
    <w:rsid w:val="002B315A"/>
    <w:rsid w:val="002B352D"/>
    <w:rsid w:val="002B415B"/>
    <w:rsid w:val="002B7691"/>
    <w:rsid w:val="002C43E8"/>
    <w:rsid w:val="002D0511"/>
    <w:rsid w:val="002D2436"/>
    <w:rsid w:val="002D6555"/>
    <w:rsid w:val="002D6B97"/>
    <w:rsid w:val="002E03A3"/>
    <w:rsid w:val="002E05C6"/>
    <w:rsid w:val="002E2630"/>
    <w:rsid w:val="002E2743"/>
    <w:rsid w:val="002E3553"/>
    <w:rsid w:val="002E3A4D"/>
    <w:rsid w:val="002E5FD3"/>
    <w:rsid w:val="002E645B"/>
    <w:rsid w:val="002F2244"/>
    <w:rsid w:val="002F2248"/>
    <w:rsid w:val="002F255C"/>
    <w:rsid w:val="002F397D"/>
    <w:rsid w:val="002F3991"/>
    <w:rsid w:val="002F75B0"/>
    <w:rsid w:val="0030256C"/>
    <w:rsid w:val="00306829"/>
    <w:rsid w:val="00315CBF"/>
    <w:rsid w:val="00320374"/>
    <w:rsid w:val="00325039"/>
    <w:rsid w:val="00325BF0"/>
    <w:rsid w:val="00333A4D"/>
    <w:rsid w:val="003348D3"/>
    <w:rsid w:val="00335A34"/>
    <w:rsid w:val="00337DCC"/>
    <w:rsid w:val="0034183F"/>
    <w:rsid w:val="00342541"/>
    <w:rsid w:val="00345CCB"/>
    <w:rsid w:val="003460DE"/>
    <w:rsid w:val="00346BEB"/>
    <w:rsid w:val="003501C2"/>
    <w:rsid w:val="003505E3"/>
    <w:rsid w:val="003529C6"/>
    <w:rsid w:val="00363AA0"/>
    <w:rsid w:val="0036787F"/>
    <w:rsid w:val="00370AE1"/>
    <w:rsid w:val="00370CF4"/>
    <w:rsid w:val="00371421"/>
    <w:rsid w:val="003719A4"/>
    <w:rsid w:val="003756D7"/>
    <w:rsid w:val="00376FAF"/>
    <w:rsid w:val="00377BF9"/>
    <w:rsid w:val="00377CD4"/>
    <w:rsid w:val="003800C7"/>
    <w:rsid w:val="00384ACE"/>
    <w:rsid w:val="00386A6F"/>
    <w:rsid w:val="00387BAB"/>
    <w:rsid w:val="00390E94"/>
    <w:rsid w:val="003919F8"/>
    <w:rsid w:val="0039400F"/>
    <w:rsid w:val="003A311E"/>
    <w:rsid w:val="003A5A84"/>
    <w:rsid w:val="003A5D7E"/>
    <w:rsid w:val="003B0566"/>
    <w:rsid w:val="003B0948"/>
    <w:rsid w:val="003B2C77"/>
    <w:rsid w:val="003B3774"/>
    <w:rsid w:val="003B3B0F"/>
    <w:rsid w:val="003B550D"/>
    <w:rsid w:val="003B65DC"/>
    <w:rsid w:val="003C1301"/>
    <w:rsid w:val="003C2620"/>
    <w:rsid w:val="003C5BA3"/>
    <w:rsid w:val="003C5DE2"/>
    <w:rsid w:val="003D319C"/>
    <w:rsid w:val="003D357B"/>
    <w:rsid w:val="003D6D9B"/>
    <w:rsid w:val="003D6FD9"/>
    <w:rsid w:val="003D734D"/>
    <w:rsid w:val="003D7F02"/>
    <w:rsid w:val="003E02C9"/>
    <w:rsid w:val="003E0794"/>
    <w:rsid w:val="003E53D1"/>
    <w:rsid w:val="003E5EE9"/>
    <w:rsid w:val="003E68F7"/>
    <w:rsid w:val="003E72AD"/>
    <w:rsid w:val="003F096C"/>
    <w:rsid w:val="003F1A85"/>
    <w:rsid w:val="003F3999"/>
    <w:rsid w:val="003F3A93"/>
    <w:rsid w:val="003F3B74"/>
    <w:rsid w:val="003F4BD0"/>
    <w:rsid w:val="00411762"/>
    <w:rsid w:val="00411C02"/>
    <w:rsid w:val="00414053"/>
    <w:rsid w:val="00417A9A"/>
    <w:rsid w:val="00425687"/>
    <w:rsid w:val="00431E6D"/>
    <w:rsid w:val="0043366C"/>
    <w:rsid w:val="00433B1D"/>
    <w:rsid w:val="00433FD9"/>
    <w:rsid w:val="004341E8"/>
    <w:rsid w:val="00435BDC"/>
    <w:rsid w:val="00436054"/>
    <w:rsid w:val="004370D6"/>
    <w:rsid w:val="00437DD6"/>
    <w:rsid w:val="00441D38"/>
    <w:rsid w:val="00442FB9"/>
    <w:rsid w:val="0044391B"/>
    <w:rsid w:val="00450635"/>
    <w:rsid w:val="004515AF"/>
    <w:rsid w:val="00451BB3"/>
    <w:rsid w:val="00457BC3"/>
    <w:rsid w:val="00460019"/>
    <w:rsid w:val="0046004D"/>
    <w:rsid w:val="00463D36"/>
    <w:rsid w:val="00465A34"/>
    <w:rsid w:val="00470121"/>
    <w:rsid w:val="00470181"/>
    <w:rsid w:val="004710EB"/>
    <w:rsid w:val="00475082"/>
    <w:rsid w:val="004757B9"/>
    <w:rsid w:val="00475D9F"/>
    <w:rsid w:val="00476743"/>
    <w:rsid w:val="00480C91"/>
    <w:rsid w:val="004828FD"/>
    <w:rsid w:val="004832AC"/>
    <w:rsid w:val="004836D2"/>
    <w:rsid w:val="00483A94"/>
    <w:rsid w:val="004857D6"/>
    <w:rsid w:val="00485E41"/>
    <w:rsid w:val="00487CB1"/>
    <w:rsid w:val="00493E42"/>
    <w:rsid w:val="00495972"/>
    <w:rsid w:val="00496EEB"/>
    <w:rsid w:val="00497744"/>
    <w:rsid w:val="00497CCC"/>
    <w:rsid w:val="004A139D"/>
    <w:rsid w:val="004A369E"/>
    <w:rsid w:val="004A3C8A"/>
    <w:rsid w:val="004A404F"/>
    <w:rsid w:val="004B2772"/>
    <w:rsid w:val="004B2AF7"/>
    <w:rsid w:val="004B3DD1"/>
    <w:rsid w:val="004B4FBF"/>
    <w:rsid w:val="004B755A"/>
    <w:rsid w:val="004C1468"/>
    <w:rsid w:val="004D6B85"/>
    <w:rsid w:val="004E161F"/>
    <w:rsid w:val="004E3D94"/>
    <w:rsid w:val="004E6082"/>
    <w:rsid w:val="004E7BBD"/>
    <w:rsid w:val="004F233F"/>
    <w:rsid w:val="00502551"/>
    <w:rsid w:val="00504D4A"/>
    <w:rsid w:val="005052B0"/>
    <w:rsid w:val="0050652E"/>
    <w:rsid w:val="00507A74"/>
    <w:rsid w:val="00512B67"/>
    <w:rsid w:val="00513524"/>
    <w:rsid w:val="00513C39"/>
    <w:rsid w:val="00515E69"/>
    <w:rsid w:val="005161F2"/>
    <w:rsid w:val="005177DF"/>
    <w:rsid w:val="00517B68"/>
    <w:rsid w:val="00520B6A"/>
    <w:rsid w:val="00523617"/>
    <w:rsid w:val="005255EA"/>
    <w:rsid w:val="00526FF3"/>
    <w:rsid w:val="00535529"/>
    <w:rsid w:val="005408E6"/>
    <w:rsid w:val="0054284D"/>
    <w:rsid w:val="00542A72"/>
    <w:rsid w:val="00547EA9"/>
    <w:rsid w:val="005500A1"/>
    <w:rsid w:val="0055075B"/>
    <w:rsid w:val="00555A4E"/>
    <w:rsid w:val="00555D38"/>
    <w:rsid w:val="00560870"/>
    <w:rsid w:val="00560C14"/>
    <w:rsid w:val="00561D5B"/>
    <w:rsid w:val="0056324D"/>
    <w:rsid w:val="005634C5"/>
    <w:rsid w:val="00564FF8"/>
    <w:rsid w:val="0056622D"/>
    <w:rsid w:val="00567AFF"/>
    <w:rsid w:val="00572B84"/>
    <w:rsid w:val="00574F8B"/>
    <w:rsid w:val="005779C0"/>
    <w:rsid w:val="00580A42"/>
    <w:rsid w:val="00580C19"/>
    <w:rsid w:val="0058347C"/>
    <w:rsid w:val="00585AFF"/>
    <w:rsid w:val="00594C64"/>
    <w:rsid w:val="0059563E"/>
    <w:rsid w:val="005963DE"/>
    <w:rsid w:val="005A5348"/>
    <w:rsid w:val="005A5BB3"/>
    <w:rsid w:val="005A6077"/>
    <w:rsid w:val="005A6119"/>
    <w:rsid w:val="005A76CC"/>
    <w:rsid w:val="005A77CF"/>
    <w:rsid w:val="005B1BC2"/>
    <w:rsid w:val="005B1E24"/>
    <w:rsid w:val="005B22C7"/>
    <w:rsid w:val="005B37CC"/>
    <w:rsid w:val="005B3F62"/>
    <w:rsid w:val="005B47D3"/>
    <w:rsid w:val="005B546F"/>
    <w:rsid w:val="005C0475"/>
    <w:rsid w:val="005C2B1A"/>
    <w:rsid w:val="005C3761"/>
    <w:rsid w:val="005C49F5"/>
    <w:rsid w:val="005C5241"/>
    <w:rsid w:val="005C6FB4"/>
    <w:rsid w:val="005C7804"/>
    <w:rsid w:val="005C780E"/>
    <w:rsid w:val="005D0F90"/>
    <w:rsid w:val="005D23F6"/>
    <w:rsid w:val="005D3C2D"/>
    <w:rsid w:val="005E00F2"/>
    <w:rsid w:val="005E085E"/>
    <w:rsid w:val="005E741D"/>
    <w:rsid w:val="005E77E1"/>
    <w:rsid w:val="005F3D7C"/>
    <w:rsid w:val="005F3E1D"/>
    <w:rsid w:val="005F4594"/>
    <w:rsid w:val="0060211C"/>
    <w:rsid w:val="0060585B"/>
    <w:rsid w:val="00605918"/>
    <w:rsid w:val="006071CA"/>
    <w:rsid w:val="006071E9"/>
    <w:rsid w:val="00613100"/>
    <w:rsid w:val="006144DC"/>
    <w:rsid w:val="006167BA"/>
    <w:rsid w:val="00621923"/>
    <w:rsid w:val="006402CB"/>
    <w:rsid w:val="006412C3"/>
    <w:rsid w:val="00641D8E"/>
    <w:rsid w:val="00644862"/>
    <w:rsid w:val="00646178"/>
    <w:rsid w:val="00646DC7"/>
    <w:rsid w:val="00647FBB"/>
    <w:rsid w:val="00647FDE"/>
    <w:rsid w:val="006509D4"/>
    <w:rsid w:val="006521C8"/>
    <w:rsid w:val="00653DA2"/>
    <w:rsid w:val="00657942"/>
    <w:rsid w:val="006622BA"/>
    <w:rsid w:val="006655F9"/>
    <w:rsid w:val="00670631"/>
    <w:rsid w:val="00670AF2"/>
    <w:rsid w:val="006712FD"/>
    <w:rsid w:val="00673C31"/>
    <w:rsid w:val="00674C23"/>
    <w:rsid w:val="00674E7B"/>
    <w:rsid w:val="00675B5A"/>
    <w:rsid w:val="006761CB"/>
    <w:rsid w:val="00676AC8"/>
    <w:rsid w:val="006857AE"/>
    <w:rsid w:val="006916A8"/>
    <w:rsid w:val="00691B36"/>
    <w:rsid w:val="006960B6"/>
    <w:rsid w:val="006A082B"/>
    <w:rsid w:val="006A3D9C"/>
    <w:rsid w:val="006A4484"/>
    <w:rsid w:val="006A4718"/>
    <w:rsid w:val="006A49A8"/>
    <w:rsid w:val="006A77A1"/>
    <w:rsid w:val="006A7DCB"/>
    <w:rsid w:val="006B1E3F"/>
    <w:rsid w:val="006B2DAB"/>
    <w:rsid w:val="006C01EE"/>
    <w:rsid w:val="006C1825"/>
    <w:rsid w:val="006C1B08"/>
    <w:rsid w:val="006C2833"/>
    <w:rsid w:val="006C3780"/>
    <w:rsid w:val="006C3CEB"/>
    <w:rsid w:val="006C4408"/>
    <w:rsid w:val="006D1EF9"/>
    <w:rsid w:val="006D4184"/>
    <w:rsid w:val="006D4CA4"/>
    <w:rsid w:val="006D5768"/>
    <w:rsid w:val="006D737B"/>
    <w:rsid w:val="006E01A2"/>
    <w:rsid w:val="006E08FB"/>
    <w:rsid w:val="006E60FD"/>
    <w:rsid w:val="006E652B"/>
    <w:rsid w:val="006E6836"/>
    <w:rsid w:val="006F0FE8"/>
    <w:rsid w:val="006F73BC"/>
    <w:rsid w:val="006F7AFB"/>
    <w:rsid w:val="007001D0"/>
    <w:rsid w:val="007008F1"/>
    <w:rsid w:val="00703C25"/>
    <w:rsid w:val="00707D39"/>
    <w:rsid w:val="00710171"/>
    <w:rsid w:val="00711976"/>
    <w:rsid w:val="007145C2"/>
    <w:rsid w:val="007155B4"/>
    <w:rsid w:val="0072390A"/>
    <w:rsid w:val="00725B4F"/>
    <w:rsid w:val="007266FE"/>
    <w:rsid w:val="007329C5"/>
    <w:rsid w:val="0073555D"/>
    <w:rsid w:val="0073575D"/>
    <w:rsid w:val="00736240"/>
    <w:rsid w:val="007439D0"/>
    <w:rsid w:val="007454F8"/>
    <w:rsid w:val="00745E0D"/>
    <w:rsid w:val="00745FCD"/>
    <w:rsid w:val="00746E73"/>
    <w:rsid w:val="007471DB"/>
    <w:rsid w:val="00753239"/>
    <w:rsid w:val="00753C95"/>
    <w:rsid w:val="00761B96"/>
    <w:rsid w:val="0076271C"/>
    <w:rsid w:val="00762AAE"/>
    <w:rsid w:val="00762D28"/>
    <w:rsid w:val="00763CE4"/>
    <w:rsid w:val="007652BC"/>
    <w:rsid w:val="00766B32"/>
    <w:rsid w:val="00774214"/>
    <w:rsid w:val="0077568D"/>
    <w:rsid w:val="00776525"/>
    <w:rsid w:val="00776801"/>
    <w:rsid w:val="00777397"/>
    <w:rsid w:val="007835D2"/>
    <w:rsid w:val="00783D0D"/>
    <w:rsid w:val="00784BC5"/>
    <w:rsid w:val="007871CD"/>
    <w:rsid w:val="00790795"/>
    <w:rsid w:val="00792C64"/>
    <w:rsid w:val="00792ECD"/>
    <w:rsid w:val="00793B44"/>
    <w:rsid w:val="00793F75"/>
    <w:rsid w:val="00794BED"/>
    <w:rsid w:val="007966EF"/>
    <w:rsid w:val="007A1BCB"/>
    <w:rsid w:val="007A4667"/>
    <w:rsid w:val="007A49CF"/>
    <w:rsid w:val="007A4C99"/>
    <w:rsid w:val="007A5313"/>
    <w:rsid w:val="007B188B"/>
    <w:rsid w:val="007B23EE"/>
    <w:rsid w:val="007B527C"/>
    <w:rsid w:val="007B7957"/>
    <w:rsid w:val="007C0787"/>
    <w:rsid w:val="007C116E"/>
    <w:rsid w:val="007C16C9"/>
    <w:rsid w:val="007C367E"/>
    <w:rsid w:val="007C3D9F"/>
    <w:rsid w:val="007C7B7E"/>
    <w:rsid w:val="007D1821"/>
    <w:rsid w:val="007D45DD"/>
    <w:rsid w:val="007E0D47"/>
    <w:rsid w:val="007E2355"/>
    <w:rsid w:val="007E25E0"/>
    <w:rsid w:val="007E3C31"/>
    <w:rsid w:val="007E6C21"/>
    <w:rsid w:val="007F4A07"/>
    <w:rsid w:val="007F5B1F"/>
    <w:rsid w:val="007F66DB"/>
    <w:rsid w:val="007F69D4"/>
    <w:rsid w:val="007F6E1A"/>
    <w:rsid w:val="007F6E6F"/>
    <w:rsid w:val="007F7080"/>
    <w:rsid w:val="00801DBD"/>
    <w:rsid w:val="00802844"/>
    <w:rsid w:val="00811D5C"/>
    <w:rsid w:val="00812BA4"/>
    <w:rsid w:val="00813210"/>
    <w:rsid w:val="008147F1"/>
    <w:rsid w:val="00814AE7"/>
    <w:rsid w:val="008212B5"/>
    <w:rsid w:val="00821379"/>
    <w:rsid w:val="008217A8"/>
    <w:rsid w:val="00821D9E"/>
    <w:rsid w:val="008268EB"/>
    <w:rsid w:val="00826B3B"/>
    <w:rsid w:val="00827930"/>
    <w:rsid w:val="00830A28"/>
    <w:rsid w:val="00832743"/>
    <w:rsid w:val="008344CE"/>
    <w:rsid w:val="00835001"/>
    <w:rsid w:val="008356D6"/>
    <w:rsid w:val="00837E07"/>
    <w:rsid w:val="008413F2"/>
    <w:rsid w:val="00842B57"/>
    <w:rsid w:val="00844098"/>
    <w:rsid w:val="00844687"/>
    <w:rsid w:val="00850EAC"/>
    <w:rsid w:val="00853A63"/>
    <w:rsid w:val="00855D57"/>
    <w:rsid w:val="008569A5"/>
    <w:rsid w:val="00860523"/>
    <w:rsid w:val="00861D98"/>
    <w:rsid w:val="00864736"/>
    <w:rsid w:val="008653E1"/>
    <w:rsid w:val="008665E8"/>
    <w:rsid w:val="00867F0F"/>
    <w:rsid w:val="00870356"/>
    <w:rsid w:val="0087438F"/>
    <w:rsid w:val="00875129"/>
    <w:rsid w:val="008752F1"/>
    <w:rsid w:val="00876186"/>
    <w:rsid w:val="008849A4"/>
    <w:rsid w:val="0088512B"/>
    <w:rsid w:val="00885BE8"/>
    <w:rsid w:val="00885E8E"/>
    <w:rsid w:val="00886ABA"/>
    <w:rsid w:val="00890245"/>
    <w:rsid w:val="008923A4"/>
    <w:rsid w:val="00892BB5"/>
    <w:rsid w:val="008A111E"/>
    <w:rsid w:val="008A2D02"/>
    <w:rsid w:val="008A46DA"/>
    <w:rsid w:val="008B0747"/>
    <w:rsid w:val="008B095D"/>
    <w:rsid w:val="008B0B47"/>
    <w:rsid w:val="008B2181"/>
    <w:rsid w:val="008B31CE"/>
    <w:rsid w:val="008B510C"/>
    <w:rsid w:val="008B56B5"/>
    <w:rsid w:val="008B578F"/>
    <w:rsid w:val="008C1DE9"/>
    <w:rsid w:val="008C359D"/>
    <w:rsid w:val="008C51F4"/>
    <w:rsid w:val="008C68A9"/>
    <w:rsid w:val="008D0AE4"/>
    <w:rsid w:val="008D3A51"/>
    <w:rsid w:val="008D4C40"/>
    <w:rsid w:val="008D6DA9"/>
    <w:rsid w:val="008D75DF"/>
    <w:rsid w:val="008D75E9"/>
    <w:rsid w:val="008D7B73"/>
    <w:rsid w:val="008F0F6E"/>
    <w:rsid w:val="008F1A67"/>
    <w:rsid w:val="008F30B2"/>
    <w:rsid w:val="008F726E"/>
    <w:rsid w:val="00901ED2"/>
    <w:rsid w:val="00902FBE"/>
    <w:rsid w:val="009125BB"/>
    <w:rsid w:val="00915FA5"/>
    <w:rsid w:val="009165A0"/>
    <w:rsid w:val="00916F33"/>
    <w:rsid w:val="00917DED"/>
    <w:rsid w:val="00922787"/>
    <w:rsid w:val="00926E36"/>
    <w:rsid w:val="00926F75"/>
    <w:rsid w:val="00927513"/>
    <w:rsid w:val="009305AE"/>
    <w:rsid w:val="00931347"/>
    <w:rsid w:val="009322A4"/>
    <w:rsid w:val="00935C6B"/>
    <w:rsid w:val="00937B71"/>
    <w:rsid w:val="00937EB3"/>
    <w:rsid w:val="00940BFD"/>
    <w:rsid w:val="009501D8"/>
    <w:rsid w:val="00951CC7"/>
    <w:rsid w:val="0095290C"/>
    <w:rsid w:val="009530DE"/>
    <w:rsid w:val="00953585"/>
    <w:rsid w:val="00953F17"/>
    <w:rsid w:val="009615B2"/>
    <w:rsid w:val="0096411E"/>
    <w:rsid w:val="009656F9"/>
    <w:rsid w:val="00967326"/>
    <w:rsid w:val="00967759"/>
    <w:rsid w:val="00973550"/>
    <w:rsid w:val="00974F01"/>
    <w:rsid w:val="009759C8"/>
    <w:rsid w:val="00980A81"/>
    <w:rsid w:val="00985CBA"/>
    <w:rsid w:val="00987650"/>
    <w:rsid w:val="0099262C"/>
    <w:rsid w:val="009973BE"/>
    <w:rsid w:val="009977B4"/>
    <w:rsid w:val="00997812"/>
    <w:rsid w:val="009A2B11"/>
    <w:rsid w:val="009A45BC"/>
    <w:rsid w:val="009A4908"/>
    <w:rsid w:val="009A6927"/>
    <w:rsid w:val="009A715D"/>
    <w:rsid w:val="009B0AB7"/>
    <w:rsid w:val="009B131D"/>
    <w:rsid w:val="009B2897"/>
    <w:rsid w:val="009B2AD6"/>
    <w:rsid w:val="009B3657"/>
    <w:rsid w:val="009C08E1"/>
    <w:rsid w:val="009C0A8E"/>
    <w:rsid w:val="009C380E"/>
    <w:rsid w:val="009C53AE"/>
    <w:rsid w:val="009C54BD"/>
    <w:rsid w:val="009C5E6D"/>
    <w:rsid w:val="009C7D3B"/>
    <w:rsid w:val="009D0142"/>
    <w:rsid w:val="009D17BC"/>
    <w:rsid w:val="009D4AF6"/>
    <w:rsid w:val="009D5416"/>
    <w:rsid w:val="009D75F5"/>
    <w:rsid w:val="009E246B"/>
    <w:rsid w:val="009E3B22"/>
    <w:rsid w:val="009E4AB8"/>
    <w:rsid w:val="009E5ACA"/>
    <w:rsid w:val="009E6341"/>
    <w:rsid w:val="009E6C76"/>
    <w:rsid w:val="009F0F75"/>
    <w:rsid w:val="00A01492"/>
    <w:rsid w:val="00A03224"/>
    <w:rsid w:val="00A03E30"/>
    <w:rsid w:val="00A049D4"/>
    <w:rsid w:val="00A04A9F"/>
    <w:rsid w:val="00A07DDF"/>
    <w:rsid w:val="00A1128B"/>
    <w:rsid w:val="00A1210C"/>
    <w:rsid w:val="00A22C72"/>
    <w:rsid w:val="00A259BC"/>
    <w:rsid w:val="00A26DCB"/>
    <w:rsid w:val="00A27B13"/>
    <w:rsid w:val="00A27B94"/>
    <w:rsid w:val="00A32143"/>
    <w:rsid w:val="00A332EA"/>
    <w:rsid w:val="00A336D0"/>
    <w:rsid w:val="00A34615"/>
    <w:rsid w:val="00A37F77"/>
    <w:rsid w:val="00A42130"/>
    <w:rsid w:val="00A43540"/>
    <w:rsid w:val="00A44E9C"/>
    <w:rsid w:val="00A516CB"/>
    <w:rsid w:val="00A52F7C"/>
    <w:rsid w:val="00A53C95"/>
    <w:rsid w:val="00A53EB2"/>
    <w:rsid w:val="00A54CD3"/>
    <w:rsid w:val="00A55257"/>
    <w:rsid w:val="00A56396"/>
    <w:rsid w:val="00A575AE"/>
    <w:rsid w:val="00A61078"/>
    <w:rsid w:val="00A61CE5"/>
    <w:rsid w:val="00A63E6D"/>
    <w:rsid w:val="00A65D09"/>
    <w:rsid w:val="00A665F9"/>
    <w:rsid w:val="00A66EA7"/>
    <w:rsid w:val="00A66FBB"/>
    <w:rsid w:val="00A722B0"/>
    <w:rsid w:val="00A811E6"/>
    <w:rsid w:val="00A83418"/>
    <w:rsid w:val="00A834B8"/>
    <w:rsid w:val="00A838E9"/>
    <w:rsid w:val="00A85CDC"/>
    <w:rsid w:val="00A86F1A"/>
    <w:rsid w:val="00A8739B"/>
    <w:rsid w:val="00A9159F"/>
    <w:rsid w:val="00A9275F"/>
    <w:rsid w:val="00A93921"/>
    <w:rsid w:val="00A94E05"/>
    <w:rsid w:val="00A96322"/>
    <w:rsid w:val="00A975B4"/>
    <w:rsid w:val="00AA20C9"/>
    <w:rsid w:val="00AA2141"/>
    <w:rsid w:val="00AA234A"/>
    <w:rsid w:val="00AA50D8"/>
    <w:rsid w:val="00AA5524"/>
    <w:rsid w:val="00AA5F8A"/>
    <w:rsid w:val="00AA75A3"/>
    <w:rsid w:val="00AC042D"/>
    <w:rsid w:val="00AC12A2"/>
    <w:rsid w:val="00AC2E42"/>
    <w:rsid w:val="00AC66BE"/>
    <w:rsid w:val="00AD1AAD"/>
    <w:rsid w:val="00AD36BB"/>
    <w:rsid w:val="00AD388D"/>
    <w:rsid w:val="00AD4ABE"/>
    <w:rsid w:val="00AD4C2C"/>
    <w:rsid w:val="00AD687A"/>
    <w:rsid w:val="00AD6DC4"/>
    <w:rsid w:val="00AD6E17"/>
    <w:rsid w:val="00AE23F9"/>
    <w:rsid w:val="00AE71CC"/>
    <w:rsid w:val="00AF0A9F"/>
    <w:rsid w:val="00AF0EB2"/>
    <w:rsid w:val="00AF3340"/>
    <w:rsid w:val="00AF7973"/>
    <w:rsid w:val="00B00C37"/>
    <w:rsid w:val="00B01637"/>
    <w:rsid w:val="00B0176E"/>
    <w:rsid w:val="00B02789"/>
    <w:rsid w:val="00B05922"/>
    <w:rsid w:val="00B07898"/>
    <w:rsid w:val="00B07E61"/>
    <w:rsid w:val="00B20028"/>
    <w:rsid w:val="00B206C1"/>
    <w:rsid w:val="00B23CE7"/>
    <w:rsid w:val="00B269E3"/>
    <w:rsid w:val="00B272AC"/>
    <w:rsid w:val="00B300AA"/>
    <w:rsid w:val="00B307ED"/>
    <w:rsid w:val="00B31641"/>
    <w:rsid w:val="00B321BE"/>
    <w:rsid w:val="00B3403E"/>
    <w:rsid w:val="00B34D81"/>
    <w:rsid w:val="00B42961"/>
    <w:rsid w:val="00B44E0D"/>
    <w:rsid w:val="00B54D33"/>
    <w:rsid w:val="00B54E0D"/>
    <w:rsid w:val="00B55560"/>
    <w:rsid w:val="00B60733"/>
    <w:rsid w:val="00B6273D"/>
    <w:rsid w:val="00B64794"/>
    <w:rsid w:val="00B64F6F"/>
    <w:rsid w:val="00B654ED"/>
    <w:rsid w:val="00B657FA"/>
    <w:rsid w:val="00B667BE"/>
    <w:rsid w:val="00B66C8A"/>
    <w:rsid w:val="00B67600"/>
    <w:rsid w:val="00B720B8"/>
    <w:rsid w:val="00B725B1"/>
    <w:rsid w:val="00B7388C"/>
    <w:rsid w:val="00B73CE0"/>
    <w:rsid w:val="00B7408F"/>
    <w:rsid w:val="00B7459E"/>
    <w:rsid w:val="00B75DB6"/>
    <w:rsid w:val="00B77DD9"/>
    <w:rsid w:val="00B833DF"/>
    <w:rsid w:val="00B8410F"/>
    <w:rsid w:val="00B87884"/>
    <w:rsid w:val="00B93631"/>
    <w:rsid w:val="00B94871"/>
    <w:rsid w:val="00B94FB4"/>
    <w:rsid w:val="00B96B0F"/>
    <w:rsid w:val="00BA1A3A"/>
    <w:rsid w:val="00BA2235"/>
    <w:rsid w:val="00BA2903"/>
    <w:rsid w:val="00BA29D7"/>
    <w:rsid w:val="00BA5652"/>
    <w:rsid w:val="00BA6F43"/>
    <w:rsid w:val="00BA728F"/>
    <w:rsid w:val="00BB0737"/>
    <w:rsid w:val="00BB26CB"/>
    <w:rsid w:val="00BB38F0"/>
    <w:rsid w:val="00BB621F"/>
    <w:rsid w:val="00BB67FF"/>
    <w:rsid w:val="00BC33C9"/>
    <w:rsid w:val="00BC359F"/>
    <w:rsid w:val="00BC3DB1"/>
    <w:rsid w:val="00BC3DEB"/>
    <w:rsid w:val="00BC4160"/>
    <w:rsid w:val="00BC4F7E"/>
    <w:rsid w:val="00BC5543"/>
    <w:rsid w:val="00BD0978"/>
    <w:rsid w:val="00BD4513"/>
    <w:rsid w:val="00BD75A5"/>
    <w:rsid w:val="00BD784D"/>
    <w:rsid w:val="00BE05EC"/>
    <w:rsid w:val="00BE5A52"/>
    <w:rsid w:val="00BE681A"/>
    <w:rsid w:val="00BE7652"/>
    <w:rsid w:val="00BF12CA"/>
    <w:rsid w:val="00BF1C59"/>
    <w:rsid w:val="00C00548"/>
    <w:rsid w:val="00C02882"/>
    <w:rsid w:val="00C03AF3"/>
    <w:rsid w:val="00C04E9D"/>
    <w:rsid w:val="00C05595"/>
    <w:rsid w:val="00C1462C"/>
    <w:rsid w:val="00C15D8C"/>
    <w:rsid w:val="00C1738A"/>
    <w:rsid w:val="00C20338"/>
    <w:rsid w:val="00C21EEE"/>
    <w:rsid w:val="00C26CB0"/>
    <w:rsid w:val="00C27414"/>
    <w:rsid w:val="00C2784B"/>
    <w:rsid w:val="00C3156F"/>
    <w:rsid w:val="00C31F01"/>
    <w:rsid w:val="00C320B5"/>
    <w:rsid w:val="00C32240"/>
    <w:rsid w:val="00C336EA"/>
    <w:rsid w:val="00C35C3B"/>
    <w:rsid w:val="00C43A23"/>
    <w:rsid w:val="00C44D85"/>
    <w:rsid w:val="00C46D56"/>
    <w:rsid w:val="00C55D39"/>
    <w:rsid w:val="00C643DF"/>
    <w:rsid w:val="00C64C65"/>
    <w:rsid w:val="00C72E94"/>
    <w:rsid w:val="00C744BC"/>
    <w:rsid w:val="00C8648B"/>
    <w:rsid w:val="00C90219"/>
    <w:rsid w:val="00C90377"/>
    <w:rsid w:val="00C947E7"/>
    <w:rsid w:val="00C956B9"/>
    <w:rsid w:val="00C96756"/>
    <w:rsid w:val="00C978EF"/>
    <w:rsid w:val="00CA0219"/>
    <w:rsid w:val="00CA16F3"/>
    <w:rsid w:val="00CA20E1"/>
    <w:rsid w:val="00CA5A1A"/>
    <w:rsid w:val="00CA5F63"/>
    <w:rsid w:val="00CA66AD"/>
    <w:rsid w:val="00CA7CDA"/>
    <w:rsid w:val="00CB007F"/>
    <w:rsid w:val="00CB36F7"/>
    <w:rsid w:val="00CB443A"/>
    <w:rsid w:val="00CB6473"/>
    <w:rsid w:val="00CC09C5"/>
    <w:rsid w:val="00CC1F4E"/>
    <w:rsid w:val="00CC4ED0"/>
    <w:rsid w:val="00CC5A10"/>
    <w:rsid w:val="00CD1FA8"/>
    <w:rsid w:val="00CD3305"/>
    <w:rsid w:val="00CD4C26"/>
    <w:rsid w:val="00CD5DCF"/>
    <w:rsid w:val="00CD69F9"/>
    <w:rsid w:val="00CD73D3"/>
    <w:rsid w:val="00CE0E98"/>
    <w:rsid w:val="00CE14BD"/>
    <w:rsid w:val="00CE1CB4"/>
    <w:rsid w:val="00CE4136"/>
    <w:rsid w:val="00CE4670"/>
    <w:rsid w:val="00CE5590"/>
    <w:rsid w:val="00CE5FB2"/>
    <w:rsid w:val="00CF013A"/>
    <w:rsid w:val="00CF185A"/>
    <w:rsid w:val="00CF2167"/>
    <w:rsid w:val="00CF3913"/>
    <w:rsid w:val="00CF5226"/>
    <w:rsid w:val="00CF5A2C"/>
    <w:rsid w:val="00CF5EE9"/>
    <w:rsid w:val="00CF670E"/>
    <w:rsid w:val="00D00AF6"/>
    <w:rsid w:val="00D01826"/>
    <w:rsid w:val="00D01E95"/>
    <w:rsid w:val="00D04747"/>
    <w:rsid w:val="00D11B0C"/>
    <w:rsid w:val="00D11D73"/>
    <w:rsid w:val="00D15430"/>
    <w:rsid w:val="00D21B0F"/>
    <w:rsid w:val="00D22699"/>
    <w:rsid w:val="00D30B52"/>
    <w:rsid w:val="00D363E1"/>
    <w:rsid w:val="00D36435"/>
    <w:rsid w:val="00D372B4"/>
    <w:rsid w:val="00D4029F"/>
    <w:rsid w:val="00D402D2"/>
    <w:rsid w:val="00D41184"/>
    <w:rsid w:val="00D451FE"/>
    <w:rsid w:val="00D4719B"/>
    <w:rsid w:val="00D51B74"/>
    <w:rsid w:val="00D522E9"/>
    <w:rsid w:val="00D555B9"/>
    <w:rsid w:val="00D60627"/>
    <w:rsid w:val="00D62B5A"/>
    <w:rsid w:val="00D66F0C"/>
    <w:rsid w:val="00D67ADC"/>
    <w:rsid w:val="00D67BEA"/>
    <w:rsid w:val="00D71A39"/>
    <w:rsid w:val="00D730F6"/>
    <w:rsid w:val="00D73649"/>
    <w:rsid w:val="00D74554"/>
    <w:rsid w:val="00D74A89"/>
    <w:rsid w:val="00D75FB3"/>
    <w:rsid w:val="00D81507"/>
    <w:rsid w:val="00D81B45"/>
    <w:rsid w:val="00D81C28"/>
    <w:rsid w:val="00D83652"/>
    <w:rsid w:val="00D83EC2"/>
    <w:rsid w:val="00D85B38"/>
    <w:rsid w:val="00D85BEA"/>
    <w:rsid w:val="00D86F4E"/>
    <w:rsid w:val="00D87D22"/>
    <w:rsid w:val="00D90D9C"/>
    <w:rsid w:val="00D91F72"/>
    <w:rsid w:val="00D925C1"/>
    <w:rsid w:val="00D92DB0"/>
    <w:rsid w:val="00D93657"/>
    <w:rsid w:val="00D96329"/>
    <w:rsid w:val="00D963F2"/>
    <w:rsid w:val="00D96CEF"/>
    <w:rsid w:val="00DA18D5"/>
    <w:rsid w:val="00DA4F35"/>
    <w:rsid w:val="00DA5E8D"/>
    <w:rsid w:val="00DA72C6"/>
    <w:rsid w:val="00DB1F26"/>
    <w:rsid w:val="00DB20AC"/>
    <w:rsid w:val="00DB36FF"/>
    <w:rsid w:val="00DB4106"/>
    <w:rsid w:val="00DB4674"/>
    <w:rsid w:val="00DC3B86"/>
    <w:rsid w:val="00DC5415"/>
    <w:rsid w:val="00DC6C66"/>
    <w:rsid w:val="00DC7258"/>
    <w:rsid w:val="00DC7C89"/>
    <w:rsid w:val="00DD1C8B"/>
    <w:rsid w:val="00DD2EC4"/>
    <w:rsid w:val="00DD3350"/>
    <w:rsid w:val="00DD6306"/>
    <w:rsid w:val="00DE2E40"/>
    <w:rsid w:val="00DE3ECF"/>
    <w:rsid w:val="00DE4B00"/>
    <w:rsid w:val="00DE6864"/>
    <w:rsid w:val="00DE69C0"/>
    <w:rsid w:val="00E00F4D"/>
    <w:rsid w:val="00E01A29"/>
    <w:rsid w:val="00E05CA6"/>
    <w:rsid w:val="00E110EE"/>
    <w:rsid w:val="00E13498"/>
    <w:rsid w:val="00E2061C"/>
    <w:rsid w:val="00E31B34"/>
    <w:rsid w:val="00E32B05"/>
    <w:rsid w:val="00E331C8"/>
    <w:rsid w:val="00E33716"/>
    <w:rsid w:val="00E375A5"/>
    <w:rsid w:val="00E43D02"/>
    <w:rsid w:val="00E47DF5"/>
    <w:rsid w:val="00E50378"/>
    <w:rsid w:val="00E509B6"/>
    <w:rsid w:val="00E511AD"/>
    <w:rsid w:val="00E5273A"/>
    <w:rsid w:val="00E52B14"/>
    <w:rsid w:val="00E54185"/>
    <w:rsid w:val="00E61A5B"/>
    <w:rsid w:val="00E62E8C"/>
    <w:rsid w:val="00E6361C"/>
    <w:rsid w:val="00E672E5"/>
    <w:rsid w:val="00E70554"/>
    <w:rsid w:val="00E7338F"/>
    <w:rsid w:val="00E7365D"/>
    <w:rsid w:val="00E74BDE"/>
    <w:rsid w:val="00E770A0"/>
    <w:rsid w:val="00E808E8"/>
    <w:rsid w:val="00E80C57"/>
    <w:rsid w:val="00E81321"/>
    <w:rsid w:val="00E82788"/>
    <w:rsid w:val="00E85785"/>
    <w:rsid w:val="00E87686"/>
    <w:rsid w:val="00E87729"/>
    <w:rsid w:val="00E90979"/>
    <w:rsid w:val="00E91A7C"/>
    <w:rsid w:val="00E9790A"/>
    <w:rsid w:val="00EA19F9"/>
    <w:rsid w:val="00EA363E"/>
    <w:rsid w:val="00EB425B"/>
    <w:rsid w:val="00EB74D6"/>
    <w:rsid w:val="00EB793F"/>
    <w:rsid w:val="00EC3935"/>
    <w:rsid w:val="00ED0B1D"/>
    <w:rsid w:val="00ED50A3"/>
    <w:rsid w:val="00EE0486"/>
    <w:rsid w:val="00EE361E"/>
    <w:rsid w:val="00EE38E0"/>
    <w:rsid w:val="00EE50F1"/>
    <w:rsid w:val="00EE7884"/>
    <w:rsid w:val="00EF348D"/>
    <w:rsid w:val="00EF3C48"/>
    <w:rsid w:val="00EF521D"/>
    <w:rsid w:val="00EF789C"/>
    <w:rsid w:val="00F053A1"/>
    <w:rsid w:val="00F05754"/>
    <w:rsid w:val="00F065CB"/>
    <w:rsid w:val="00F13CCF"/>
    <w:rsid w:val="00F14312"/>
    <w:rsid w:val="00F1601D"/>
    <w:rsid w:val="00F22ECF"/>
    <w:rsid w:val="00F24931"/>
    <w:rsid w:val="00F3062E"/>
    <w:rsid w:val="00F35E82"/>
    <w:rsid w:val="00F40FE9"/>
    <w:rsid w:val="00F51A71"/>
    <w:rsid w:val="00F5342A"/>
    <w:rsid w:val="00F53C8B"/>
    <w:rsid w:val="00F558F8"/>
    <w:rsid w:val="00F56B6F"/>
    <w:rsid w:val="00F605D2"/>
    <w:rsid w:val="00F60FB9"/>
    <w:rsid w:val="00F63117"/>
    <w:rsid w:val="00F64C52"/>
    <w:rsid w:val="00F722F8"/>
    <w:rsid w:val="00F736F3"/>
    <w:rsid w:val="00F82C55"/>
    <w:rsid w:val="00F853D1"/>
    <w:rsid w:val="00F86732"/>
    <w:rsid w:val="00F87253"/>
    <w:rsid w:val="00F87F97"/>
    <w:rsid w:val="00F918CE"/>
    <w:rsid w:val="00F925B8"/>
    <w:rsid w:val="00F92FE2"/>
    <w:rsid w:val="00F95708"/>
    <w:rsid w:val="00F95B90"/>
    <w:rsid w:val="00F973FD"/>
    <w:rsid w:val="00FA00DD"/>
    <w:rsid w:val="00FA11CD"/>
    <w:rsid w:val="00FA129E"/>
    <w:rsid w:val="00FA3792"/>
    <w:rsid w:val="00FA5844"/>
    <w:rsid w:val="00FA5A5C"/>
    <w:rsid w:val="00FB182B"/>
    <w:rsid w:val="00FB53AE"/>
    <w:rsid w:val="00FB5FFF"/>
    <w:rsid w:val="00FC1516"/>
    <w:rsid w:val="00FC56D5"/>
    <w:rsid w:val="00FC5C54"/>
    <w:rsid w:val="00FC604E"/>
    <w:rsid w:val="00FC7822"/>
    <w:rsid w:val="00FD474C"/>
    <w:rsid w:val="00FD4760"/>
    <w:rsid w:val="00FD4B5C"/>
    <w:rsid w:val="00FE2890"/>
    <w:rsid w:val="00FE2ED4"/>
    <w:rsid w:val="00FE33D5"/>
    <w:rsid w:val="00FE4340"/>
    <w:rsid w:val="00FE72D6"/>
    <w:rsid w:val="00FF0747"/>
    <w:rsid w:val="00FF2B72"/>
    <w:rsid w:val="00FF478E"/>
    <w:rsid w:val="00FF79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97"/>
    <o:shapelayout v:ext="edit">
      <o:idmap v:ext="edit" data="1"/>
    </o:shapelayout>
  </w:shapeDefaults>
  <w:decimalSymbol w:val="."/>
  <w:listSeparator w:val=","/>
  <w14:docId w14:val="10960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47"/>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47"/>
      </w:numPr>
      <w:tabs>
        <w:tab w:val="num" w:pos="360"/>
      </w:tabs>
    </w:pPr>
    <w:rPr>
      <w:i w:val="0"/>
    </w:rPr>
  </w:style>
  <w:style w:type="paragraph" w:customStyle="1" w:styleId="base-text-paragraph">
    <w:name w:val="base-text-paragraph"/>
    <w:basedOn w:val="Normal"/>
    <w:link w:val="base-text-paragraphChar"/>
    <w:rsid w:val="00D85BEA"/>
    <w:pPr>
      <w:numPr>
        <w:ilvl w:val="1"/>
        <w:numId w:val="47"/>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47"/>
      </w:numPr>
    </w:pPr>
    <w:rPr>
      <w:b/>
    </w:rPr>
  </w:style>
  <w:style w:type="paragraph" w:customStyle="1" w:styleId="Diagram">
    <w:name w:val="Diagram"/>
    <w:basedOn w:val="Normal"/>
    <w:next w:val="base-text-paragraphnonumbers"/>
    <w:rsid w:val="0036787F"/>
    <w:pPr>
      <w:keepNext/>
      <w:numPr>
        <w:ilvl w:val="2"/>
        <w:numId w:val="47"/>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link w:val="tabletextChar"/>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customStyle="1" w:styleId="Bullet">
    <w:name w:val="Bullet"/>
    <w:basedOn w:val="Normal"/>
    <w:link w:val="BulletChar"/>
    <w:rsid w:val="00CE4670"/>
    <w:pPr>
      <w:numPr>
        <w:numId w:val="32"/>
      </w:numPr>
    </w:pPr>
    <w:rPr>
      <w:lang w:val="en-US" w:eastAsia="en-US"/>
    </w:rPr>
  </w:style>
  <w:style w:type="character" w:customStyle="1" w:styleId="tabletextChar">
    <w:name w:val="table text Char"/>
    <w:basedOn w:val="DefaultParagraphFont"/>
    <w:link w:val="tabletext"/>
    <w:rsid w:val="00CE4670"/>
  </w:style>
  <w:style w:type="character" w:customStyle="1" w:styleId="BulletChar">
    <w:name w:val="Bullet Char"/>
    <w:basedOn w:val="tabletextChar"/>
    <w:link w:val="Bullet"/>
    <w:rsid w:val="00CE4670"/>
    <w:rPr>
      <w:sz w:val="22"/>
      <w:lang w:val="en-US" w:eastAsia="en-US"/>
    </w:rPr>
  </w:style>
  <w:style w:type="paragraph" w:customStyle="1" w:styleId="Dash">
    <w:name w:val="Dash"/>
    <w:basedOn w:val="Normal"/>
    <w:link w:val="DashChar"/>
    <w:rsid w:val="00CE4670"/>
    <w:pPr>
      <w:numPr>
        <w:ilvl w:val="1"/>
        <w:numId w:val="32"/>
      </w:numPr>
    </w:pPr>
    <w:rPr>
      <w:lang w:val="en-US" w:eastAsia="en-US"/>
    </w:rPr>
  </w:style>
  <w:style w:type="character" w:customStyle="1" w:styleId="DashChar">
    <w:name w:val="Dash Char"/>
    <w:basedOn w:val="tabletextChar"/>
    <w:link w:val="Dash"/>
    <w:rsid w:val="00CE4670"/>
    <w:rPr>
      <w:sz w:val="22"/>
      <w:lang w:val="en-US" w:eastAsia="en-US"/>
    </w:rPr>
  </w:style>
  <w:style w:type="paragraph" w:customStyle="1" w:styleId="DoubleDot">
    <w:name w:val="Double Dot"/>
    <w:basedOn w:val="Normal"/>
    <w:link w:val="DoubleDotChar"/>
    <w:rsid w:val="00CE4670"/>
    <w:pPr>
      <w:numPr>
        <w:ilvl w:val="2"/>
        <w:numId w:val="32"/>
      </w:numPr>
    </w:pPr>
    <w:rPr>
      <w:lang w:val="en-US" w:eastAsia="en-US"/>
    </w:rPr>
  </w:style>
  <w:style w:type="character" w:customStyle="1" w:styleId="DoubleDotChar">
    <w:name w:val="Double Dot Char"/>
    <w:basedOn w:val="tabletextChar"/>
    <w:link w:val="DoubleDot"/>
    <w:rsid w:val="00CE4670"/>
    <w:rPr>
      <w:sz w:val="22"/>
      <w:lang w:val="en-US" w:eastAsia="en-US"/>
    </w:rPr>
  </w:style>
  <w:style w:type="paragraph" w:styleId="BalloonText">
    <w:name w:val="Balloon Text"/>
    <w:basedOn w:val="Normal"/>
    <w:link w:val="BalloonTextChar"/>
    <w:rsid w:val="00083E7E"/>
    <w:pPr>
      <w:spacing w:before="0" w:after="0"/>
    </w:pPr>
    <w:rPr>
      <w:rFonts w:ascii="Tahoma" w:hAnsi="Tahoma" w:cs="Tahoma"/>
      <w:sz w:val="16"/>
      <w:szCs w:val="16"/>
    </w:rPr>
  </w:style>
  <w:style w:type="character" w:customStyle="1" w:styleId="BalloonTextChar">
    <w:name w:val="Balloon Text Char"/>
    <w:basedOn w:val="DefaultParagraphFont"/>
    <w:link w:val="BalloonText"/>
    <w:rsid w:val="00083E7E"/>
    <w:rPr>
      <w:rFonts w:ascii="Tahoma" w:hAnsi="Tahoma" w:cs="Tahoma"/>
      <w:sz w:val="16"/>
      <w:szCs w:val="16"/>
    </w:rPr>
  </w:style>
  <w:style w:type="character" w:styleId="CommentReference">
    <w:name w:val="annotation reference"/>
    <w:basedOn w:val="DefaultParagraphFont"/>
    <w:rsid w:val="00487CB1"/>
    <w:rPr>
      <w:sz w:val="16"/>
      <w:szCs w:val="16"/>
    </w:rPr>
  </w:style>
  <w:style w:type="paragraph" w:styleId="CommentText">
    <w:name w:val="annotation text"/>
    <w:basedOn w:val="Normal"/>
    <w:link w:val="CommentTextChar"/>
    <w:rsid w:val="00487CB1"/>
    <w:rPr>
      <w:sz w:val="20"/>
    </w:rPr>
  </w:style>
  <w:style w:type="character" w:customStyle="1" w:styleId="CommentTextChar">
    <w:name w:val="Comment Text Char"/>
    <w:basedOn w:val="DefaultParagraphFont"/>
    <w:link w:val="CommentText"/>
    <w:rsid w:val="00487CB1"/>
  </w:style>
  <w:style w:type="paragraph" w:styleId="CommentSubject">
    <w:name w:val="annotation subject"/>
    <w:basedOn w:val="CommentText"/>
    <w:next w:val="CommentText"/>
    <w:link w:val="CommentSubjectChar"/>
    <w:rsid w:val="00487CB1"/>
    <w:rPr>
      <w:b/>
      <w:bCs/>
    </w:rPr>
  </w:style>
  <w:style w:type="character" w:customStyle="1" w:styleId="CommentSubjectChar">
    <w:name w:val="Comment Subject Char"/>
    <w:basedOn w:val="CommentTextChar"/>
    <w:link w:val="CommentSubject"/>
    <w:rsid w:val="00487CB1"/>
    <w:rPr>
      <w:b/>
      <w:bCs/>
    </w:rPr>
  </w:style>
  <w:style w:type="paragraph" w:styleId="Revision">
    <w:name w:val="Revision"/>
    <w:hidden/>
    <w:uiPriority w:val="99"/>
    <w:semiHidden/>
    <w:rsid w:val="002E263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47"/>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47"/>
      </w:numPr>
      <w:tabs>
        <w:tab w:val="num" w:pos="360"/>
      </w:tabs>
    </w:pPr>
    <w:rPr>
      <w:i w:val="0"/>
    </w:rPr>
  </w:style>
  <w:style w:type="paragraph" w:customStyle="1" w:styleId="base-text-paragraph">
    <w:name w:val="base-text-paragraph"/>
    <w:basedOn w:val="Normal"/>
    <w:link w:val="base-text-paragraphChar"/>
    <w:rsid w:val="00D85BEA"/>
    <w:pPr>
      <w:numPr>
        <w:ilvl w:val="1"/>
        <w:numId w:val="47"/>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47"/>
      </w:numPr>
    </w:pPr>
    <w:rPr>
      <w:b/>
    </w:rPr>
  </w:style>
  <w:style w:type="paragraph" w:customStyle="1" w:styleId="Diagram">
    <w:name w:val="Diagram"/>
    <w:basedOn w:val="Normal"/>
    <w:next w:val="base-text-paragraphnonumbers"/>
    <w:rsid w:val="0036787F"/>
    <w:pPr>
      <w:keepNext/>
      <w:numPr>
        <w:ilvl w:val="2"/>
        <w:numId w:val="47"/>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link w:val="tabletextChar"/>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customStyle="1" w:styleId="Bullet">
    <w:name w:val="Bullet"/>
    <w:basedOn w:val="Normal"/>
    <w:link w:val="BulletChar"/>
    <w:rsid w:val="00CE4670"/>
    <w:pPr>
      <w:numPr>
        <w:numId w:val="32"/>
      </w:numPr>
    </w:pPr>
    <w:rPr>
      <w:lang w:val="en-US" w:eastAsia="en-US"/>
    </w:rPr>
  </w:style>
  <w:style w:type="character" w:customStyle="1" w:styleId="tabletextChar">
    <w:name w:val="table text Char"/>
    <w:basedOn w:val="DefaultParagraphFont"/>
    <w:link w:val="tabletext"/>
    <w:rsid w:val="00CE4670"/>
  </w:style>
  <w:style w:type="character" w:customStyle="1" w:styleId="BulletChar">
    <w:name w:val="Bullet Char"/>
    <w:basedOn w:val="tabletextChar"/>
    <w:link w:val="Bullet"/>
    <w:rsid w:val="00CE4670"/>
    <w:rPr>
      <w:sz w:val="22"/>
      <w:lang w:val="en-US" w:eastAsia="en-US"/>
    </w:rPr>
  </w:style>
  <w:style w:type="paragraph" w:customStyle="1" w:styleId="Dash">
    <w:name w:val="Dash"/>
    <w:basedOn w:val="Normal"/>
    <w:link w:val="DashChar"/>
    <w:rsid w:val="00CE4670"/>
    <w:pPr>
      <w:numPr>
        <w:ilvl w:val="1"/>
        <w:numId w:val="32"/>
      </w:numPr>
    </w:pPr>
    <w:rPr>
      <w:lang w:val="en-US" w:eastAsia="en-US"/>
    </w:rPr>
  </w:style>
  <w:style w:type="character" w:customStyle="1" w:styleId="DashChar">
    <w:name w:val="Dash Char"/>
    <w:basedOn w:val="tabletextChar"/>
    <w:link w:val="Dash"/>
    <w:rsid w:val="00CE4670"/>
    <w:rPr>
      <w:sz w:val="22"/>
      <w:lang w:val="en-US" w:eastAsia="en-US"/>
    </w:rPr>
  </w:style>
  <w:style w:type="paragraph" w:customStyle="1" w:styleId="DoubleDot">
    <w:name w:val="Double Dot"/>
    <w:basedOn w:val="Normal"/>
    <w:link w:val="DoubleDotChar"/>
    <w:rsid w:val="00CE4670"/>
    <w:pPr>
      <w:numPr>
        <w:ilvl w:val="2"/>
        <w:numId w:val="32"/>
      </w:numPr>
    </w:pPr>
    <w:rPr>
      <w:lang w:val="en-US" w:eastAsia="en-US"/>
    </w:rPr>
  </w:style>
  <w:style w:type="character" w:customStyle="1" w:styleId="DoubleDotChar">
    <w:name w:val="Double Dot Char"/>
    <w:basedOn w:val="tabletextChar"/>
    <w:link w:val="DoubleDot"/>
    <w:rsid w:val="00CE4670"/>
    <w:rPr>
      <w:sz w:val="22"/>
      <w:lang w:val="en-US" w:eastAsia="en-US"/>
    </w:rPr>
  </w:style>
  <w:style w:type="paragraph" w:styleId="BalloonText">
    <w:name w:val="Balloon Text"/>
    <w:basedOn w:val="Normal"/>
    <w:link w:val="BalloonTextChar"/>
    <w:rsid w:val="00083E7E"/>
    <w:pPr>
      <w:spacing w:before="0" w:after="0"/>
    </w:pPr>
    <w:rPr>
      <w:rFonts w:ascii="Tahoma" w:hAnsi="Tahoma" w:cs="Tahoma"/>
      <w:sz w:val="16"/>
      <w:szCs w:val="16"/>
    </w:rPr>
  </w:style>
  <w:style w:type="character" w:customStyle="1" w:styleId="BalloonTextChar">
    <w:name w:val="Balloon Text Char"/>
    <w:basedOn w:val="DefaultParagraphFont"/>
    <w:link w:val="BalloonText"/>
    <w:rsid w:val="00083E7E"/>
    <w:rPr>
      <w:rFonts w:ascii="Tahoma" w:hAnsi="Tahoma" w:cs="Tahoma"/>
      <w:sz w:val="16"/>
      <w:szCs w:val="16"/>
    </w:rPr>
  </w:style>
  <w:style w:type="character" w:styleId="CommentReference">
    <w:name w:val="annotation reference"/>
    <w:basedOn w:val="DefaultParagraphFont"/>
    <w:rsid w:val="00487CB1"/>
    <w:rPr>
      <w:sz w:val="16"/>
      <w:szCs w:val="16"/>
    </w:rPr>
  </w:style>
  <w:style w:type="paragraph" w:styleId="CommentText">
    <w:name w:val="annotation text"/>
    <w:basedOn w:val="Normal"/>
    <w:link w:val="CommentTextChar"/>
    <w:rsid w:val="00487CB1"/>
    <w:rPr>
      <w:sz w:val="20"/>
    </w:rPr>
  </w:style>
  <w:style w:type="character" w:customStyle="1" w:styleId="CommentTextChar">
    <w:name w:val="Comment Text Char"/>
    <w:basedOn w:val="DefaultParagraphFont"/>
    <w:link w:val="CommentText"/>
    <w:rsid w:val="00487CB1"/>
  </w:style>
  <w:style w:type="paragraph" w:styleId="CommentSubject">
    <w:name w:val="annotation subject"/>
    <w:basedOn w:val="CommentText"/>
    <w:next w:val="CommentText"/>
    <w:link w:val="CommentSubjectChar"/>
    <w:rsid w:val="00487CB1"/>
    <w:rPr>
      <w:b/>
      <w:bCs/>
    </w:rPr>
  </w:style>
  <w:style w:type="character" w:customStyle="1" w:styleId="CommentSubjectChar">
    <w:name w:val="Comment Subject Char"/>
    <w:basedOn w:val="CommentTextChar"/>
    <w:link w:val="CommentSubject"/>
    <w:rsid w:val="00487CB1"/>
    <w:rPr>
      <w:b/>
      <w:bCs/>
    </w:rPr>
  </w:style>
  <w:style w:type="paragraph" w:styleId="Revision">
    <w:name w:val="Revision"/>
    <w:hidden/>
    <w:uiPriority w:val="99"/>
    <w:semiHidden/>
    <w:rsid w:val="002E263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0293">
      <w:bodyDiv w:val="1"/>
      <w:marLeft w:val="0"/>
      <w:marRight w:val="0"/>
      <w:marTop w:val="0"/>
      <w:marBottom w:val="0"/>
      <w:divBdr>
        <w:top w:val="none" w:sz="0" w:space="0" w:color="auto"/>
        <w:left w:val="none" w:sz="0" w:space="0" w:color="auto"/>
        <w:bottom w:val="none" w:sz="0" w:space="0" w:color="auto"/>
        <w:right w:val="none" w:sz="0" w:space="0" w:color="auto"/>
      </w:divBdr>
    </w:div>
    <w:div w:id="1290280133">
      <w:bodyDiv w:val="1"/>
      <w:marLeft w:val="0"/>
      <w:marRight w:val="0"/>
      <w:marTop w:val="0"/>
      <w:marBottom w:val="0"/>
      <w:divBdr>
        <w:top w:val="none" w:sz="0" w:space="0" w:color="auto"/>
        <w:left w:val="none" w:sz="0" w:space="0" w:color="auto"/>
        <w:bottom w:val="none" w:sz="0" w:space="0" w:color="auto"/>
        <w:right w:val="none" w:sz="0" w:space="0" w:color="auto"/>
      </w:divBdr>
      <w:divsChild>
        <w:div w:id="410198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05472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Bill-Explanatory%20Memorandu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16" ma:contentTypeDescription="" ma:contentTypeScope="" ma:versionID="081a623aa094a7be4eac4473e1bd2714">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95319e108a71e4615c79f816d8dbf5ab"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9f7bc583-7cbe-45b9-a2bd-8bbb6543b37e">
      <Value>7</Value>
    </TaxCatchAll>
    <_dlc_DocId xmlns="9f7bc583-7cbe-45b9-a2bd-8bbb6543b37e">2015RG-136-21623</_dlc_DocId>
    <_dlc_DocIdUrl xmlns="9f7bc583-7cbe-45b9-a2bd-8bbb6543b37e">
      <Url>http://tweb13/sites/rg/ldp/_layouts/15/DocIdRedir.aspx?ID=2015RG-136-21623</Url>
      <Description>2015RG-136-21623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CB773-A9F2-410C-BB73-DEDD0F911B93}">
  <ds:schemaRefs>
    <ds:schemaRef ds:uri="office.server.policy"/>
  </ds:schemaRefs>
</ds:datastoreItem>
</file>

<file path=customXml/itemProps2.xml><?xml version="1.0" encoding="utf-8"?>
<ds:datastoreItem xmlns:ds="http://schemas.openxmlformats.org/officeDocument/2006/customXml" ds:itemID="{A1A3164B-DFB6-47B2-BD42-EBB4A3034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6BC295-0683-4C08-A69B-4D12A314513C}">
  <ds:schemaRefs>
    <ds:schemaRef ds:uri="http://schemas.microsoft.com/sharepoint/events"/>
  </ds:schemaRefs>
</ds:datastoreItem>
</file>

<file path=customXml/itemProps4.xml><?xml version="1.0" encoding="utf-8"?>
<ds:datastoreItem xmlns:ds="http://schemas.openxmlformats.org/officeDocument/2006/customXml" ds:itemID="{9EA79EEA-955E-43B9-A08A-881675826383}">
  <ds:schemaRefs>
    <ds:schemaRef ds:uri="http://schemas.microsoft.com/sharepoint/v3/contenttype/forms"/>
  </ds:schemaRefs>
</ds:datastoreItem>
</file>

<file path=customXml/itemProps5.xml><?xml version="1.0" encoding="utf-8"?>
<ds:datastoreItem xmlns:ds="http://schemas.openxmlformats.org/officeDocument/2006/customXml" ds:itemID="{69FEE3F8-8FD1-477C-B06D-E5FB047E3F49}">
  <ds:schemaRefs>
    <ds:schemaRef ds:uri="9f7bc583-7cbe-45b9-a2bd-8bbb6543b37e"/>
    <ds:schemaRef ds:uri="http://schemas.microsoft.com/sharepoint/v4"/>
    <ds:schemaRef ds:uri="http://www.w3.org/XML/1998/namespace"/>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sharepoint/v3"/>
    <ds:schemaRef ds:uri="http://schemas.microsoft.com/office/2006/metadata/properties"/>
    <ds:schemaRef ds:uri="http://purl.org/dc/elements/1.1/"/>
  </ds:schemaRefs>
</ds:datastoreItem>
</file>

<file path=customXml/itemProps6.xml><?xml version="1.0" encoding="utf-8"?>
<ds:datastoreItem xmlns:ds="http://schemas.openxmlformats.org/officeDocument/2006/customXml" ds:itemID="{77642B08-DE2B-4962-9466-C75F6240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Bill-Explanatory Memorandum.dotm</Template>
  <TotalTime>0</TotalTime>
  <Pages>15</Pages>
  <Words>3997</Words>
  <Characters>20109</Characters>
  <Application>Microsoft Office Word</Application>
  <DocSecurity>0</DocSecurity>
  <Lines>167</Lines>
  <Paragraphs>48</Paragraphs>
  <ScaleCrop>false</ScaleCrop>
  <HeadingPairs>
    <vt:vector size="2" baseType="variant">
      <vt:variant>
        <vt:lpstr>Title</vt:lpstr>
      </vt:variant>
      <vt:variant>
        <vt:i4>1</vt:i4>
      </vt:variant>
    </vt:vector>
  </HeadingPairs>
  <TitlesOfParts>
    <vt:vector size="1" baseType="lpstr">
      <vt:lpstr>Explanatory Materials - Small Business Restructure Rollover</vt:lpstr>
    </vt:vector>
  </TitlesOfParts>
  <Company/>
  <LinksUpToDate>false</LinksUpToDate>
  <CharactersWithSpaces>24058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 Small Business Restructure Rollover</dc:title>
  <dc:creator/>
  <cp:lastModifiedBy/>
  <cp:revision>1</cp:revision>
  <dcterms:created xsi:type="dcterms:W3CDTF">2015-11-03T22:29:00Z</dcterms:created>
  <dcterms:modified xsi:type="dcterms:W3CDTF">2015-11-03T22:30:00Z</dcterms:modified>
  <dc:language>English</dc:language>
</cp:coreProperties>
</file>