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3973F" w14:textId="77777777" w:rsidR="00DF204C" w:rsidRDefault="00DF204C" w:rsidP="00F50A0C">
      <w:pPr>
        <w:pStyle w:val="Heading2"/>
        <w:spacing w:after="120"/>
      </w:pPr>
      <w:bookmarkStart w:id="0" w:name="_GoBack"/>
      <w:bookmarkEnd w:id="0"/>
      <w:r w:rsidRPr="00EE5F5B">
        <w:t>Modernising work-related car expenses</w:t>
      </w:r>
    </w:p>
    <w:p w14:paraId="20EE39BC" w14:textId="77777777" w:rsidR="00DF204C" w:rsidRDefault="00DF204C" w:rsidP="00F50A0C">
      <w:pPr>
        <w:pStyle w:val="Heading2"/>
        <w:spacing w:after="120"/>
      </w:pPr>
      <w:r w:rsidRPr="002F4AEF">
        <w:t>SUMMARY OF CONSULTATION PROCESS</w:t>
      </w:r>
    </w:p>
    <w:p w14:paraId="6E299FB6" w14:textId="77777777" w:rsidR="00DF204C" w:rsidRDefault="00DF204C" w:rsidP="00DF204C">
      <w:pPr>
        <w:pStyle w:val="Heading2"/>
        <w:jc w:val="left"/>
      </w:pPr>
      <w:r w:rsidRPr="00852470">
        <w:rPr>
          <w:b w:val="0"/>
          <w:caps w:val="0"/>
        </w:rPr>
        <w:t xml:space="preserve">The Government announced in the 2015-16 </w:t>
      </w:r>
      <w:proofErr w:type="gramStart"/>
      <w:r w:rsidRPr="00852470">
        <w:rPr>
          <w:b w:val="0"/>
          <w:caps w:val="0"/>
        </w:rPr>
        <w:t>Budget</w:t>
      </w:r>
      <w:proofErr w:type="gramEnd"/>
      <w:r w:rsidRPr="00852470">
        <w:rPr>
          <w:b w:val="0"/>
          <w:caps w:val="0"/>
        </w:rPr>
        <w:t xml:space="preserve"> that the methods used for calculating work</w:t>
      </w:r>
      <w:r w:rsidRPr="00852470">
        <w:rPr>
          <w:b w:val="0"/>
          <w:caps w:val="0"/>
        </w:rPr>
        <w:noBreakHyphen/>
        <w:t>related car expense deductions would be modernised.</w:t>
      </w:r>
    </w:p>
    <w:p w14:paraId="4DE0EEB8" w14:textId="547AE3A6" w:rsidR="00DF204C" w:rsidRDefault="00DF204C" w:rsidP="00DF204C">
      <w:pPr>
        <w:spacing w:after="120"/>
      </w:pPr>
      <w:r>
        <w:t xml:space="preserve">This measure was included in Tax and Superannuation Laws Amendment (2015 Measures No.5) Bill 2015, which was introduced into Parliament on </w:t>
      </w:r>
      <w:r w:rsidR="00136A37" w:rsidRPr="006474B6">
        <w:t>1</w:t>
      </w:r>
      <w:r w:rsidR="00AD7AC5">
        <w:t>5</w:t>
      </w:r>
      <w:r w:rsidR="00873CA4" w:rsidRPr="006474B6">
        <w:t xml:space="preserve"> October </w:t>
      </w:r>
      <w:r w:rsidR="00136A37" w:rsidRPr="006474B6">
        <w:t>2015</w:t>
      </w:r>
      <w:r w:rsidR="00873CA4" w:rsidRPr="006474B6">
        <w:t>.</w:t>
      </w:r>
    </w:p>
    <w:p w14:paraId="4932EE5F" w14:textId="77777777" w:rsidR="00DF204C" w:rsidRPr="001C5D63" w:rsidRDefault="00DF204C" w:rsidP="00D43707">
      <w:pPr>
        <w:pStyle w:val="Heading3"/>
        <w:spacing w:after="120"/>
      </w:pPr>
      <w:r>
        <w:t>Consultation p</w:t>
      </w:r>
      <w:r w:rsidRPr="001C5D63">
        <w:t>rocess</w:t>
      </w:r>
    </w:p>
    <w:p w14:paraId="41EF9112" w14:textId="2952A350" w:rsidR="00DF204C" w:rsidRDefault="00DF204C" w:rsidP="00DF204C">
      <w:pPr>
        <w:spacing w:after="120"/>
      </w:pPr>
      <w:r>
        <w:t>Consultation on the exposure draft and explanatory material was conducted between 16 July 2015 and 5 August 2015. Six formal submissions were received</w:t>
      </w:r>
      <w:r w:rsidR="00D43707">
        <w:t xml:space="preserve"> (five not confidential, one confidential)</w:t>
      </w:r>
      <w:r>
        <w:t>, and one</w:t>
      </w:r>
      <w:r w:rsidR="00390284">
        <w:t xml:space="preserve"> informal discussion was held.</w:t>
      </w:r>
    </w:p>
    <w:p w14:paraId="1E9D4239" w14:textId="77777777" w:rsidR="00DF204C" w:rsidRPr="00294D00" w:rsidRDefault="00DF204C" w:rsidP="00F50A0C">
      <w:pPr>
        <w:pStyle w:val="Heading3"/>
        <w:spacing w:after="120"/>
      </w:pPr>
      <w:r>
        <w:t>Summary of key</w:t>
      </w:r>
      <w:r w:rsidRPr="00294D00">
        <w:t xml:space="preserve"> issues </w:t>
      </w:r>
    </w:p>
    <w:tbl>
      <w:tblPr>
        <w:tblStyle w:val="TableGrid"/>
        <w:tblW w:w="0" w:type="auto"/>
        <w:tblBorders>
          <w:insideH w:val="none" w:sz="0" w:space="0" w:color="auto"/>
        </w:tblBorders>
        <w:tblLook w:val="04A0" w:firstRow="1" w:lastRow="0" w:firstColumn="1" w:lastColumn="0" w:noHBand="0" w:noVBand="1"/>
      </w:tblPr>
      <w:tblGrid>
        <w:gridCol w:w="9854"/>
      </w:tblGrid>
      <w:tr w:rsidR="00DF204C" w:rsidRPr="00DF204C" w14:paraId="2EBE0DB5" w14:textId="77777777" w:rsidTr="00DF204C">
        <w:tc>
          <w:tcPr>
            <w:tcW w:w="9854" w:type="dxa"/>
          </w:tcPr>
          <w:p w14:paraId="0E0D4934" w14:textId="77777777" w:rsidR="00DF204C" w:rsidRPr="00DF204C" w:rsidRDefault="00DF204C" w:rsidP="00D43707">
            <w:pPr>
              <w:spacing w:after="120"/>
            </w:pPr>
            <w:r w:rsidRPr="00DF204C">
              <w:t>The submissions included the following views:</w:t>
            </w:r>
          </w:p>
        </w:tc>
      </w:tr>
      <w:tr w:rsidR="00DF204C" w:rsidRPr="00DF204C" w14:paraId="1C98AC98" w14:textId="77777777" w:rsidTr="00DF204C">
        <w:tc>
          <w:tcPr>
            <w:tcW w:w="9854" w:type="dxa"/>
          </w:tcPr>
          <w:p w14:paraId="4C20ACF9" w14:textId="77777777" w:rsidR="00DF204C" w:rsidRPr="00DF204C" w:rsidRDefault="00DF204C" w:rsidP="00686DB5">
            <w:pPr>
              <w:pStyle w:val="Dash"/>
              <w:numPr>
                <w:ilvl w:val="1"/>
                <w:numId w:val="3"/>
              </w:numPr>
              <w:spacing w:after="0"/>
            </w:pPr>
            <w:r w:rsidRPr="00DF204C">
              <w:t>Support for reducing the number of methods;</w:t>
            </w:r>
          </w:p>
        </w:tc>
      </w:tr>
      <w:tr w:rsidR="00DF204C" w:rsidRPr="00DF204C" w14:paraId="3A43F95D" w14:textId="77777777" w:rsidTr="00DF204C">
        <w:tc>
          <w:tcPr>
            <w:tcW w:w="9854" w:type="dxa"/>
          </w:tcPr>
          <w:p w14:paraId="2821F86B" w14:textId="77777777" w:rsidR="00DF204C" w:rsidRPr="00DF204C" w:rsidRDefault="00DF204C" w:rsidP="00686DB5">
            <w:pPr>
              <w:pStyle w:val="Dash"/>
              <w:numPr>
                <w:ilvl w:val="1"/>
                <w:numId w:val="3"/>
              </w:numPr>
              <w:spacing w:after="0"/>
            </w:pPr>
            <w:r w:rsidRPr="00DF204C">
              <w:t>Concern that the rate of cents per kilometre should not be reduced to 66 cents (with an alternative suggestion of 75 cents).</w:t>
            </w:r>
          </w:p>
        </w:tc>
      </w:tr>
      <w:tr w:rsidR="00DF204C" w:rsidRPr="00DF204C" w14:paraId="202351BE" w14:textId="77777777" w:rsidTr="00DF204C">
        <w:tc>
          <w:tcPr>
            <w:tcW w:w="9854" w:type="dxa"/>
          </w:tcPr>
          <w:p w14:paraId="5CC22C1E" w14:textId="77777777" w:rsidR="00DF204C" w:rsidRPr="00DF204C" w:rsidRDefault="00DF204C" w:rsidP="00686DB5">
            <w:pPr>
              <w:pStyle w:val="Dash"/>
              <w:numPr>
                <w:ilvl w:val="1"/>
                <w:numId w:val="3"/>
              </w:numPr>
              <w:spacing w:after="0"/>
            </w:pPr>
            <w:r w:rsidRPr="00DF204C">
              <w:t>Concern that lower-paid professions such as aged care workers and teachers would be impacted.</w:t>
            </w:r>
          </w:p>
        </w:tc>
      </w:tr>
      <w:tr w:rsidR="00DF204C" w:rsidRPr="00DF204C" w14:paraId="562412A4" w14:textId="77777777" w:rsidTr="00DF204C">
        <w:tc>
          <w:tcPr>
            <w:tcW w:w="9854" w:type="dxa"/>
          </w:tcPr>
          <w:p w14:paraId="0603AD82" w14:textId="77777777" w:rsidR="00DF204C" w:rsidRPr="00DF204C" w:rsidRDefault="00DF204C" w:rsidP="00686DB5">
            <w:pPr>
              <w:pStyle w:val="Dash"/>
              <w:numPr>
                <w:ilvl w:val="1"/>
                <w:numId w:val="3"/>
              </w:numPr>
              <w:spacing w:after="0"/>
            </w:pPr>
            <w:r w:rsidRPr="00DF204C">
              <w:t>Concern that compliance costs would increase due to using the log book method, however one submission noted that modern technology is making it easier to use the logbook method.</w:t>
            </w:r>
          </w:p>
        </w:tc>
      </w:tr>
      <w:tr w:rsidR="00DF204C" w:rsidRPr="00DF204C" w14:paraId="3942E13D" w14:textId="77777777" w:rsidTr="00DF204C">
        <w:tc>
          <w:tcPr>
            <w:tcW w:w="9854" w:type="dxa"/>
          </w:tcPr>
          <w:p w14:paraId="40EC032E" w14:textId="77777777" w:rsidR="00DF204C" w:rsidRPr="00DF204C" w:rsidRDefault="00DF204C" w:rsidP="00686DB5">
            <w:pPr>
              <w:pStyle w:val="Dash"/>
              <w:numPr>
                <w:ilvl w:val="1"/>
                <w:numId w:val="3"/>
              </w:numPr>
              <w:spacing w:after="0"/>
            </w:pPr>
            <w:r w:rsidRPr="00DF204C">
              <w:t xml:space="preserve">Questions over whether a variety of cars were used to calculate the 66 cents rate; and  </w:t>
            </w:r>
          </w:p>
        </w:tc>
      </w:tr>
      <w:tr w:rsidR="00DF204C" w:rsidRPr="00DF204C" w14:paraId="6B12D886" w14:textId="77777777" w:rsidTr="00DF204C">
        <w:tc>
          <w:tcPr>
            <w:tcW w:w="9854" w:type="dxa"/>
          </w:tcPr>
          <w:p w14:paraId="55C7BFB8" w14:textId="77777777" w:rsidR="00DF204C" w:rsidRPr="00DF204C" w:rsidRDefault="00DF204C" w:rsidP="00686DB5">
            <w:pPr>
              <w:pStyle w:val="Dash"/>
              <w:numPr>
                <w:ilvl w:val="1"/>
                <w:numId w:val="3"/>
              </w:numPr>
              <w:spacing w:after="0"/>
            </w:pPr>
            <w:r w:rsidRPr="00DF204C">
              <w:t>Uncertainty with the changes having already taken effect but not yet having been legislated.</w:t>
            </w:r>
          </w:p>
        </w:tc>
      </w:tr>
      <w:tr w:rsidR="00DF204C" w:rsidRPr="00DF204C" w14:paraId="7DF39F5F" w14:textId="77777777" w:rsidTr="00DF204C">
        <w:tc>
          <w:tcPr>
            <w:tcW w:w="9854" w:type="dxa"/>
          </w:tcPr>
          <w:p w14:paraId="4D096EFC" w14:textId="77777777" w:rsidR="00DF204C" w:rsidRPr="00DF204C" w:rsidRDefault="00DF204C" w:rsidP="00686DB5">
            <w:pPr>
              <w:pStyle w:val="Dash"/>
              <w:numPr>
                <w:ilvl w:val="0"/>
                <w:numId w:val="0"/>
              </w:numPr>
              <w:spacing w:after="0"/>
            </w:pPr>
          </w:p>
        </w:tc>
      </w:tr>
      <w:tr w:rsidR="00DF204C" w:rsidRPr="00DF204C" w14:paraId="5FC28B1C" w14:textId="77777777" w:rsidTr="00DF204C">
        <w:tc>
          <w:tcPr>
            <w:tcW w:w="9854" w:type="dxa"/>
          </w:tcPr>
          <w:p w14:paraId="0635F9F3" w14:textId="77777777" w:rsidR="00DF204C" w:rsidRPr="00DF204C" w:rsidRDefault="00DF204C" w:rsidP="00686DB5">
            <w:pPr>
              <w:pStyle w:val="Dash"/>
              <w:numPr>
                <w:ilvl w:val="0"/>
                <w:numId w:val="0"/>
              </w:numPr>
              <w:spacing w:after="0"/>
            </w:pPr>
            <w:r w:rsidRPr="00DF204C">
              <w:t>As a result of the submissions received, no changes were made to the legislation. The rate of 66 cents per kilometre for the cents per kilometre method was appropriately calculated based on industry data. The rate is calculated based on the average running costs in New South Wales and Queensland of the five most popular selling cars in Australia – including a small Toyota Camry and a large Toyota Hilux. Those users who feel that the new rate is less than they have previously utilised are able to switch to the logbook method.</w:t>
            </w:r>
          </w:p>
        </w:tc>
      </w:tr>
      <w:tr w:rsidR="00DF204C" w:rsidRPr="00F50A0C" w14:paraId="7EE3128F" w14:textId="77777777" w:rsidTr="00DF204C">
        <w:tc>
          <w:tcPr>
            <w:tcW w:w="9854" w:type="dxa"/>
          </w:tcPr>
          <w:p w14:paraId="455F94FA" w14:textId="77777777" w:rsidR="00DF204C" w:rsidRPr="00F50A0C" w:rsidRDefault="00DF204C" w:rsidP="00686DB5">
            <w:pPr>
              <w:pStyle w:val="Dash"/>
              <w:numPr>
                <w:ilvl w:val="0"/>
                <w:numId w:val="0"/>
              </w:numPr>
              <w:spacing w:after="0"/>
              <w:rPr>
                <w:sz w:val="20"/>
              </w:rPr>
            </w:pPr>
          </w:p>
        </w:tc>
      </w:tr>
      <w:tr w:rsidR="00DF204C" w:rsidRPr="00DF204C" w14:paraId="43C3F5A0" w14:textId="77777777" w:rsidTr="00DF204C">
        <w:tc>
          <w:tcPr>
            <w:tcW w:w="9854" w:type="dxa"/>
          </w:tcPr>
          <w:p w14:paraId="684BECAF" w14:textId="77777777" w:rsidR="00DF204C" w:rsidRPr="00DF204C" w:rsidRDefault="00DF204C" w:rsidP="00686DB5">
            <w:pPr>
              <w:pStyle w:val="Dash"/>
              <w:numPr>
                <w:ilvl w:val="0"/>
                <w:numId w:val="0"/>
              </w:numPr>
              <w:spacing w:after="0"/>
            </w:pPr>
            <w:r w:rsidRPr="00DF204C">
              <w:t>While those users who switch to the logbook method may initially face additional compliance costs, modern technology ensures that keeping records of work-related travel is much easier. Furthermore, a logbook need only be kept for a consecutive period of 12 weeks, and this is then able to be used for a period of up to five income years.</w:t>
            </w:r>
          </w:p>
        </w:tc>
      </w:tr>
      <w:tr w:rsidR="00DF204C" w:rsidRPr="00F50A0C" w14:paraId="1D109D57" w14:textId="77777777" w:rsidTr="00DF204C">
        <w:tc>
          <w:tcPr>
            <w:tcW w:w="9854" w:type="dxa"/>
          </w:tcPr>
          <w:p w14:paraId="4FB2E539" w14:textId="77777777" w:rsidR="00DF204C" w:rsidRPr="00F50A0C" w:rsidRDefault="00DF204C" w:rsidP="00686DB5">
            <w:pPr>
              <w:pStyle w:val="Dash"/>
              <w:numPr>
                <w:ilvl w:val="0"/>
                <w:numId w:val="0"/>
              </w:numPr>
              <w:spacing w:after="0"/>
              <w:rPr>
                <w:sz w:val="20"/>
              </w:rPr>
            </w:pPr>
          </w:p>
        </w:tc>
      </w:tr>
      <w:tr w:rsidR="00DF204C" w:rsidRPr="00DF204C" w14:paraId="0251586E" w14:textId="77777777" w:rsidTr="00DF204C">
        <w:tc>
          <w:tcPr>
            <w:tcW w:w="9854" w:type="dxa"/>
          </w:tcPr>
          <w:p w14:paraId="2170E015" w14:textId="77777777" w:rsidR="00DF204C" w:rsidRPr="00DF204C" w:rsidRDefault="00DF204C" w:rsidP="00686DB5">
            <w:pPr>
              <w:pStyle w:val="Dash"/>
              <w:numPr>
                <w:ilvl w:val="0"/>
                <w:numId w:val="0"/>
              </w:numPr>
              <w:spacing w:after="0"/>
            </w:pPr>
            <w:r w:rsidRPr="00DF204C">
              <w:t>Other concerns expressed during the consultation period related to the uncertainty that arises as a result of delays in introducing an announced Budget measure, and did not relate directly to the proposed draft legislation.</w:t>
            </w:r>
          </w:p>
        </w:tc>
      </w:tr>
    </w:tbl>
    <w:p w14:paraId="5E9FB1D6" w14:textId="0E41F7B4" w:rsidR="00852470" w:rsidRPr="00DF204C" w:rsidRDefault="00852470" w:rsidP="00F50A0C">
      <w:pPr>
        <w:pStyle w:val="Heading2"/>
        <w:jc w:val="left"/>
      </w:pPr>
    </w:p>
    <w:sectPr w:rsidR="00852470" w:rsidRPr="00DF204C" w:rsidSect="00E5418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99AB0" w14:textId="77777777" w:rsidR="007373DB" w:rsidRDefault="007373DB">
      <w:r>
        <w:separator/>
      </w:r>
    </w:p>
  </w:endnote>
  <w:endnote w:type="continuationSeparator" w:id="0">
    <w:p w14:paraId="34D1CCCB" w14:textId="77777777" w:rsidR="007373DB" w:rsidRDefault="0073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B5D73" w14:textId="77777777" w:rsidR="00D31F21" w:rsidRDefault="00D31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2FDA4" w14:textId="77777777" w:rsidR="00D31F21" w:rsidRDefault="00D31F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7E29" w14:textId="77777777" w:rsidR="00D31F21" w:rsidRDefault="00D31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93FBF" w14:textId="77777777" w:rsidR="007373DB" w:rsidRDefault="007373DB">
      <w:r>
        <w:separator/>
      </w:r>
    </w:p>
  </w:footnote>
  <w:footnote w:type="continuationSeparator" w:id="0">
    <w:p w14:paraId="2B37EECD" w14:textId="77777777" w:rsidR="007373DB" w:rsidRDefault="00737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D614" w14:textId="77777777" w:rsidR="00C6717E" w:rsidRDefault="002131FD">
    <w:pPr>
      <w:pStyle w:val="Header"/>
    </w:pPr>
    <w:r>
      <w:rPr>
        <w:noProof/>
      </w:rPr>
      <w:pict w14:anchorId="10B75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49FB9" w14:textId="77777777" w:rsidR="00C6717E" w:rsidRDefault="00C6717E" w:rsidP="006C3478">
    <w:pPr>
      <w:pStyle w:val="FooterAddress"/>
    </w:pPr>
  </w:p>
  <w:p w14:paraId="4D406AF3" w14:textId="77777777" w:rsidR="00C6717E" w:rsidRDefault="00F707D8" w:rsidP="006C3478">
    <w:pPr>
      <w:jc w:val="center"/>
    </w:pPr>
    <w:r>
      <w:rPr>
        <w:noProof/>
      </w:rPr>
      <w:drawing>
        <wp:inline distT="0" distB="0" distL="0" distR="0" wp14:anchorId="64DE9A82" wp14:editId="41B31FBC">
          <wp:extent cx="1924050" cy="1193800"/>
          <wp:effectExtent l="19050" t="0" r="0"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srcRect/>
                  <a:stretch>
                    <a:fillRect/>
                  </a:stretch>
                </pic:blipFill>
                <pic:spPr bwMode="auto">
                  <a:xfrm>
                    <a:off x="0" y="0"/>
                    <a:ext cx="1924050" cy="1193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5FCB" w14:textId="77777777" w:rsidR="00C6717E" w:rsidRDefault="002131FD">
    <w:pPr>
      <w:pStyle w:val="Header"/>
    </w:pPr>
    <w:r>
      <w:rPr>
        <w:noProof/>
      </w:rPr>
      <w:pict w14:anchorId="37857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52EAC"/>
    <w:multiLevelType w:val="multilevel"/>
    <w:tmpl w:val="2AFEB88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8E566F9"/>
    <w:multiLevelType w:val="multilevel"/>
    <w:tmpl w:val="08A026E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29F1D87"/>
    <w:multiLevelType w:val="multilevel"/>
    <w:tmpl w:val="46F45C4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3DB"/>
    <w:rsid w:val="0000717F"/>
    <w:rsid w:val="00013BA1"/>
    <w:rsid w:val="00014300"/>
    <w:rsid w:val="000150A1"/>
    <w:rsid w:val="00035168"/>
    <w:rsid w:val="000359E6"/>
    <w:rsid w:val="00041FE1"/>
    <w:rsid w:val="000551F5"/>
    <w:rsid w:val="0005600E"/>
    <w:rsid w:val="000609D8"/>
    <w:rsid w:val="00065F85"/>
    <w:rsid w:val="00067E1D"/>
    <w:rsid w:val="0007086E"/>
    <w:rsid w:val="0007133B"/>
    <w:rsid w:val="000725C0"/>
    <w:rsid w:val="0007370B"/>
    <w:rsid w:val="00073CF1"/>
    <w:rsid w:val="00077478"/>
    <w:rsid w:val="00081148"/>
    <w:rsid w:val="00081E45"/>
    <w:rsid w:val="00090587"/>
    <w:rsid w:val="00094E5A"/>
    <w:rsid w:val="000A59B5"/>
    <w:rsid w:val="000A6DBE"/>
    <w:rsid w:val="000B20B0"/>
    <w:rsid w:val="000B66EF"/>
    <w:rsid w:val="000C4082"/>
    <w:rsid w:val="000C4743"/>
    <w:rsid w:val="000C784D"/>
    <w:rsid w:val="000D2BCE"/>
    <w:rsid w:val="000D71B6"/>
    <w:rsid w:val="000E752F"/>
    <w:rsid w:val="000F3AC3"/>
    <w:rsid w:val="000F58F3"/>
    <w:rsid w:val="000F7250"/>
    <w:rsid w:val="0010374A"/>
    <w:rsid w:val="0011262E"/>
    <w:rsid w:val="00121EB0"/>
    <w:rsid w:val="00125111"/>
    <w:rsid w:val="001261D4"/>
    <w:rsid w:val="00127624"/>
    <w:rsid w:val="001307F9"/>
    <w:rsid w:val="00136A37"/>
    <w:rsid w:val="00142EB8"/>
    <w:rsid w:val="0014413A"/>
    <w:rsid w:val="001444E7"/>
    <w:rsid w:val="00144EF0"/>
    <w:rsid w:val="00146907"/>
    <w:rsid w:val="00147496"/>
    <w:rsid w:val="0015170E"/>
    <w:rsid w:val="001521F8"/>
    <w:rsid w:val="00152F1C"/>
    <w:rsid w:val="00153B7D"/>
    <w:rsid w:val="00157E9A"/>
    <w:rsid w:val="0016017F"/>
    <w:rsid w:val="001660FC"/>
    <w:rsid w:val="00166896"/>
    <w:rsid w:val="001674B6"/>
    <w:rsid w:val="00184D83"/>
    <w:rsid w:val="001860D7"/>
    <w:rsid w:val="001865A4"/>
    <w:rsid w:val="001928ED"/>
    <w:rsid w:val="001939D9"/>
    <w:rsid w:val="001953C8"/>
    <w:rsid w:val="0019587A"/>
    <w:rsid w:val="001A0832"/>
    <w:rsid w:val="001A7CD5"/>
    <w:rsid w:val="001B3841"/>
    <w:rsid w:val="001C07BC"/>
    <w:rsid w:val="001C0DF8"/>
    <w:rsid w:val="001C270C"/>
    <w:rsid w:val="001C5415"/>
    <w:rsid w:val="001C5D63"/>
    <w:rsid w:val="001D13C5"/>
    <w:rsid w:val="001D54F7"/>
    <w:rsid w:val="001E465C"/>
    <w:rsid w:val="001E53E9"/>
    <w:rsid w:val="001E55D6"/>
    <w:rsid w:val="001E612B"/>
    <w:rsid w:val="001F15C6"/>
    <w:rsid w:val="001F50ED"/>
    <w:rsid w:val="001F5126"/>
    <w:rsid w:val="001F514F"/>
    <w:rsid w:val="00200339"/>
    <w:rsid w:val="0020159D"/>
    <w:rsid w:val="00202554"/>
    <w:rsid w:val="002117D8"/>
    <w:rsid w:val="002131FD"/>
    <w:rsid w:val="002216C2"/>
    <w:rsid w:val="00221EEA"/>
    <w:rsid w:val="002230F5"/>
    <w:rsid w:val="00226AB9"/>
    <w:rsid w:val="002331B0"/>
    <w:rsid w:val="002403BE"/>
    <w:rsid w:val="00241915"/>
    <w:rsid w:val="0024777D"/>
    <w:rsid w:val="0025317A"/>
    <w:rsid w:val="00256DDF"/>
    <w:rsid w:val="00264766"/>
    <w:rsid w:val="00271205"/>
    <w:rsid w:val="002723D3"/>
    <w:rsid w:val="00273048"/>
    <w:rsid w:val="00280815"/>
    <w:rsid w:val="00283D6D"/>
    <w:rsid w:val="00284332"/>
    <w:rsid w:val="00284A47"/>
    <w:rsid w:val="00286CA8"/>
    <w:rsid w:val="00290D00"/>
    <w:rsid w:val="00294D00"/>
    <w:rsid w:val="002A2015"/>
    <w:rsid w:val="002B10C8"/>
    <w:rsid w:val="002B3E42"/>
    <w:rsid w:val="002B778B"/>
    <w:rsid w:val="002B7CA2"/>
    <w:rsid w:val="002C06E0"/>
    <w:rsid w:val="002C2AB8"/>
    <w:rsid w:val="002C3264"/>
    <w:rsid w:val="002C357B"/>
    <w:rsid w:val="002C672A"/>
    <w:rsid w:val="002C6DB3"/>
    <w:rsid w:val="002D3EBC"/>
    <w:rsid w:val="002D7A27"/>
    <w:rsid w:val="002E1F3D"/>
    <w:rsid w:val="002F3DBF"/>
    <w:rsid w:val="002F4AEF"/>
    <w:rsid w:val="0030221A"/>
    <w:rsid w:val="0030513B"/>
    <w:rsid w:val="00317178"/>
    <w:rsid w:val="00320C27"/>
    <w:rsid w:val="00332453"/>
    <w:rsid w:val="003353D0"/>
    <w:rsid w:val="003409F8"/>
    <w:rsid w:val="003459E9"/>
    <w:rsid w:val="00355A78"/>
    <w:rsid w:val="0035634F"/>
    <w:rsid w:val="003605ED"/>
    <w:rsid w:val="00360797"/>
    <w:rsid w:val="003609E3"/>
    <w:rsid w:val="00364612"/>
    <w:rsid w:val="00364A88"/>
    <w:rsid w:val="00364D2B"/>
    <w:rsid w:val="003756E3"/>
    <w:rsid w:val="003758D2"/>
    <w:rsid w:val="00377484"/>
    <w:rsid w:val="00381663"/>
    <w:rsid w:val="003823E0"/>
    <w:rsid w:val="00390284"/>
    <w:rsid w:val="00396032"/>
    <w:rsid w:val="003A626C"/>
    <w:rsid w:val="003A6278"/>
    <w:rsid w:val="003B210E"/>
    <w:rsid w:val="003B3DEF"/>
    <w:rsid w:val="003C182F"/>
    <w:rsid w:val="003C44DD"/>
    <w:rsid w:val="003C720F"/>
    <w:rsid w:val="003D3F89"/>
    <w:rsid w:val="003F30DB"/>
    <w:rsid w:val="00400004"/>
    <w:rsid w:val="004000BB"/>
    <w:rsid w:val="00400CAF"/>
    <w:rsid w:val="00404E6C"/>
    <w:rsid w:val="00410649"/>
    <w:rsid w:val="00410A4F"/>
    <w:rsid w:val="004144BC"/>
    <w:rsid w:val="00416663"/>
    <w:rsid w:val="00416B24"/>
    <w:rsid w:val="004217AA"/>
    <w:rsid w:val="00422EC6"/>
    <w:rsid w:val="004273E1"/>
    <w:rsid w:val="00431B52"/>
    <w:rsid w:val="00435AEF"/>
    <w:rsid w:val="0044334B"/>
    <w:rsid w:val="004469DE"/>
    <w:rsid w:val="004470AD"/>
    <w:rsid w:val="004478FE"/>
    <w:rsid w:val="00451760"/>
    <w:rsid w:val="00451FC3"/>
    <w:rsid w:val="00457BC3"/>
    <w:rsid w:val="00462452"/>
    <w:rsid w:val="004663BE"/>
    <w:rsid w:val="004801C6"/>
    <w:rsid w:val="004820B4"/>
    <w:rsid w:val="00492E2C"/>
    <w:rsid w:val="004934A1"/>
    <w:rsid w:val="004A52DC"/>
    <w:rsid w:val="004A5992"/>
    <w:rsid w:val="004B37D4"/>
    <w:rsid w:val="004B5725"/>
    <w:rsid w:val="004B5D2A"/>
    <w:rsid w:val="004C10BF"/>
    <w:rsid w:val="004C3007"/>
    <w:rsid w:val="004C4392"/>
    <w:rsid w:val="004C477C"/>
    <w:rsid w:val="004D05B3"/>
    <w:rsid w:val="004D0E48"/>
    <w:rsid w:val="004D3105"/>
    <w:rsid w:val="004D31E8"/>
    <w:rsid w:val="004D3B64"/>
    <w:rsid w:val="004E4E48"/>
    <w:rsid w:val="004E50CC"/>
    <w:rsid w:val="004E534A"/>
    <w:rsid w:val="004F55C0"/>
    <w:rsid w:val="004F713D"/>
    <w:rsid w:val="00513BA4"/>
    <w:rsid w:val="00520D98"/>
    <w:rsid w:val="00521949"/>
    <w:rsid w:val="00522AC9"/>
    <w:rsid w:val="00525FD5"/>
    <w:rsid w:val="005317C6"/>
    <w:rsid w:val="00541324"/>
    <w:rsid w:val="005430E6"/>
    <w:rsid w:val="00545891"/>
    <w:rsid w:val="005502B4"/>
    <w:rsid w:val="005509F2"/>
    <w:rsid w:val="0055111B"/>
    <w:rsid w:val="00551C6B"/>
    <w:rsid w:val="00552685"/>
    <w:rsid w:val="00560E1B"/>
    <w:rsid w:val="005809D1"/>
    <w:rsid w:val="00584A28"/>
    <w:rsid w:val="00590F6B"/>
    <w:rsid w:val="005938F3"/>
    <w:rsid w:val="00595120"/>
    <w:rsid w:val="005957C6"/>
    <w:rsid w:val="00595FA5"/>
    <w:rsid w:val="005973F7"/>
    <w:rsid w:val="005A21BA"/>
    <w:rsid w:val="005A4B80"/>
    <w:rsid w:val="005A7641"/>
    <w:rsid w:val="005B441A"/>
    <w:rsid w:val="005B69B2"/>
    <w:rsid w:val="005C0475"/>
    <w:rsid w:val="005C0E91"/>
    <w:rsid w:val="005C3556"/>
    <w:rsid w:val="005C5CC1"/>
    <w:rsid w:val="005D243B"/>
    <w:rsid w:val="005D4011"/>
    <w:rsid w:val="005D4B6D"/>
    <w:rsid w:val="005D6D69"/>
    <w:rsid w:val="005E05A7"/>
    <w:rsid w:val="005E3584"/>
    <w:rsid w:val="005E3FA8"/>
    <w:rsid w:val="005E612B"/>
    <w:rsid w:val="005E66D5"/>
    <w:rsid w:val="005F1B84"/>
    <w:rsid w:val="005F5915"/>
    <w:rsid w:val="006032DA"/>
    <w:rsid w:val="0060364F"/>
    <w:rsid w:val="00606AB6"/>
    <w:rsid w:val="00615E31"/>
    <w:rsid w:val="00617843"/>
    <w:rsid w:val="006221AC"/>
    <w:rsid w:val="006242B4"/>
    <w:rsid w:val="00625C9F"/>
    <w:rsid w:val="00627642"/>
    <w:rsid w:val="0063458C"/>
    <w:rsid w:val="00634DC4"/>
    <w:rsid w:val="00644A8E"/>
    <w:rsid w:val="006474B6"/>
    <w:rsid w:val="00647874"/>
    <w:rsid w:val="006555F3"/>
    <w:rsid w:val="0065681B"/>
    <w:rsid w:val="0067088A"/>
    <w:rsid w:val="00671047"/>
    <w:rsid w:val="00675E33"/>
    <w:rsid w:val="00676591"/>
    <w:rsid w:val="00677645"/>
    <w:rsid w:val="00680731"/>
    <w:rsid w:val="00684954"/>
    <w:rsid w:val="00685354"/>
    <w:rsid w:val="0069589E"/>
    <w:rsid w:val="00696159"/>
    <w:rsid w:val="006A0A12"/>
    <w:rsid w:val="006B1697"/>
    <w:rsid w:val="006B1B2F"/>
    <w:rsid w:val="006B2091"/>
    <w:rsid w:val="006B29EB"/>
    <w:rsid w:val="006B309E"/>
    <w:rsid w:val="006B5E38"/>
    <w:rsid w:val="006C3478"/>
    <w:rsid w:val="006E039F"/>
    <w:rsid w:val="006E03CB"/>
    <w:rsid w:val="006E266F"/>
    <w:rsid w:val="006E3228"/>
    <w:rsid w:val="006F016E"/>
    <w:rsid w:val="006F03B0"/>
    <w:rsid w:val="006F17AD"/>
    <w:rsid w:val="006F3EAC"/>
    <w:rsid w:val="007001D0"/>
    <w:rsid w:val="007033C9"/>
    <w:rsid w:val="007114AF"/>
    <w:rsid w:val="00720D1E"/>
    <w:rsid w:val="007212F4"/>
    <w:rsid w:val="00727A40"/>
    <w:rsid w:val="007373DB"/>
    <w:rsid w:val="007405F4"/>
    <w:rsid w:val="007408F0"/>
    <w:rsid w:val="00742785"/>
    <w:rsid w:val="00752656"/>
    <w:rsid w:val="00753B6F"/>
    <w:rsid w:val="007569CB"/>
    <w:rsid w:val="007576D9"/>
    <w:rsid w:val="0076650A"/>
    <w:rsid w:val="00766D6F"/>
    <w:rsid w:val="007673A9"/>
    <w:rsid w:val="007763AC"/>
    <w:rsid w:val="0077689E"/>
    <w:rsid w:val="00782AF4"/>
    <w:rsid w:val="007929B6"/>
    <w:rsid w:val="00797703"/>
    <w:rsid w:val="007A059C"/>
    <w:rsid w:val="007A377E"/>
    <w:rsid w:val="007A59C1"/>
    <w:rsid w:val="007B41BB"/>
    <w:rsid w:val="007B5214"/>
    <w:rsid w:val="007B5613"/>
    <w:rsid w:val="007D0936"/>
    <w:rsid w:val="007E3D27"/>
    <w:rsid w:val="007E59C2"/>
    <w:rsid w:val="007E699E"/>
    <w:rsid w:val="007F2ACC"/>
    <w:rsid w:val="007F2BA7"/>
    <w:rsid w:val="007F656B"/>
    <w:rsid w:val="007F6580"/>
    <w:rsid w:val="007F7CAB"/>
    <w:rsid w:val="0080001B"/>
    <w:rsid w:val="00803FA2"/>
    <w:rsid w:val="00806E40"/>
    <w:rsid w:val="00810A80"/>
    <w:rsid w:val="008265E2"/>
    <w:rsid w:val="00826C72"/>
    <w:rsid w:val="00826FA7"/>
    <w:rsid w:val="00834D5B"/>
    <w:rsid w:val="0083557F"/>
    <w:rsid w:val="00835974"/>
    <w:rsid w:val="008366A4"/>
    <w:rsid w:val="00840870"/>
    <w:rsid w:val="00842A6B"/>
    <w:rsid w:val="00842F82"/>
    <w:rsid w:val="00843EEB"/>
    <w:rsid w:val="00844B85"/>
    <w:rsid w:val="00846CC4"/>
    <w:rsid w:val="00852470"/>
    <w:rsid w:val="008636CE"/>
    <w:rsid w:val="00871006"/>
    <w:rsid w:val="00873CA4"/>
    <w:rsid w:val="0088712E"/>
    <w:rsid w:val="00891A52"/>
    <w:rsid w:val="00891C95"/>
    <w:rsid w:val="00894703"/>
    <w:rsid w:val="008A350E"/>
    <w:rsid w:val="008A38AC"/>
    <w:rsid w:val="008A561B"/>
    <w:rsid w:val="008B1501"/>
    <w:rsid w:val="008C0912"/>
    <w:rsid w:val="008C0A3C"/>
    <w:rsid w:val="008C3C84"/>
    <w:rsid w:val="008D0AE4"/>
    <w:rsid w:val="008D23A2"/>
    <w:rsid w:val="008D4A22"/>
    <w:rsid w:val="008D67DA"/>
    <w:rsid w:val="008E280A"/>
    <w:rsid w:val="008E388C"/>
    <w:rsid w:val="008E4FE1"/>
    <w:rsid w:val="008E576A"/>
    <w:rsid w:val="008E71D3"/>
    <w:rsid w:val="008E7475"/>
    <w:rsid w:val="008F0543"/>
    <w:rsid w:val="008F35A0"/>
    <w:rsid w:val="008F6D50"/>
    <w:rsid w:val="008F7332"/>
    <w:rsid w:val="00901679"/>
    <w:rsid w:val="00902FCE"/>
    <w:rsid w:val="00903A03"/>
    <w:rsid w:val="00905FC5"/>
    <w:rsid w:val="009073C3"/>
    <w:rsid w:val="00910077"/>
    <w:rsid w:val="0091264E"/>
    <w:rsid w:val="00914B0E"/>
    <w:rsid w:val="00915838"/>
    <w:rsid w:val="00924006"/>
    <w:rsid w:val="009268F0"/>
    <w:rsid w:val="00926F41"/>
    <w:rsid w:val="00935362"/>
    <w:rsid w:val="00942343"/>
    <w:rsid w:val="00944066"/>
    <w:rsid w:val="00950BFC"/>
    <w:rsid w:val="009522AE"/>
    <w:rsid w:val="009562D2"/>
    <w:rsid w:val="0096362F"/>
    <w:rsid w:val="00965AC7"/>
    <w:rsid w:val="00974400"/>
    <w:rsid w:val="00976987"/>
    <w:rsid w:val="009814A8"/>
    <w:rsid w:val="00983E3D"/>
    <w:rsid w:val="00986825"/>
    <w:rsid w:val="009944C2"/>
    <w:rsid w:val="00997BDF"/>
    <w:rsid w:val="009A0978"/>
    <w:rsid w:val="009A2431"/>
    <w:rsid w:val="009A2D62"/>
    <w:rsid w:val="009A3E25"/>
    <w:rsid w:val="009B0B79"/>
    <w:rsid w:val="009B52A9"/>
    <w:rsid w:val="009C3B82"/>
    <w:rsid w:val="009D3737"/>
    <w:rsid w:val="009D488C"/>
    <w:rsid w:val="009E1966"/>
    <w:rsid w:val="009E2398"/>
    <w:rsid w:val="009E4B71"/>
    <w:rsid w:val="009F0D50"/>
    <w:rsid w:val="009F20D8"/>
    <w:rsid w:val="009F6DF6"/>
    <w:rsid w:val="00A01A0F"/>
    <w:rsid w:val="00A01DB0"/>
    <w:rsid w:val="00A02FA1"/>
    <w:rsid w:val="00A03B11"/>
    <w:rsid w:val="00A043CF"/>
    <w:rsid w:val="00A10A75"/>
    <w:rsid w:val="00A1695E"/>
    <w:rsid w:val="00A21D6F"/>
    <w:rsid w:val="00A26141"/>
    <w:rsid w:val="00A275C9"/>
    <w:rsid w:val="00A31ADE"/>
    <w:rsid w:val="00A321BA"/>
    <w:rsid w:val="00A3393B"/>
    <w:rsid w:val="00A353A3"/>
    <w:rsid w:val="00A42560"/>
    <w:rsid w:val="00A4412B"/>
    <w:rsid w:val="00A45D9B"/>
    <w:rsid w:val="00A54858"/>
    <w:rsid w:val="00A62B14"/>
    <w:rsid w:val="00A62F90"/>
    <w:rsid w:val="00A63033"/>
    <w:rsid w:val="00A656C3"/>
    <w:rsid w:val="00A6667F"/>
    <w:rsid w:val="00A707A2"/>
    <w:rsid w:val="00A7316B"/>
    <w:rsid w:val="00A742E7"/>
    <w:rsid w:val="00A774D9"/>
    <w:rsid w:val="00A77A9A"/>
    <w:rsid w:val="00A77FC9"/>
    <w:rsid w:val="00A8469A"/>
    <w:rsid w:val="00A84780"/>
    <w:rsid w:val="00A84D30"/>
    <w:rsid w:val="00A860B8"/>
    <w:rsid w:val="00A86EE2"/>
    <w:rsid w:val="00A870B0"/>
    <w:rsid w:val="00A90669"/>
    <w:rsid w:val="00A934D8"/>
    <w:rsid w:val="00A94508"/>
    <w:rsid w:val="00AA6DE7"/>
    <w:rsid w:val="00AA719A"/>
    <w:rsid w:val="00AB65FE"/>
    <w:rsid w:val="00AC4037"/>
    <w:rsid w:val="00AD5CC7"/>
    <w:rsid w:val="00AD6DE2"/>
    <w:rsid w:val="00AD7AC5"/>
    <w:rsid w:val="00AE1341"/>
    <w:rsid w:val="00AE4A54"/>
    <w:rsid w:val="00AF0EB2"/>
    <w:rsid w:val="00AF1412"/>
    <w:rsid w:val="00AF6E91"/>
    <w:rsid w:val="00B02EEC"/>
    <w:rsid w:val="00B07F32"/>
    <w:rsid w:val="00B116E7"/>
    <w:rsid w:val="00B11BB0"/>
    <w:rsid w:val="00B1515B"/>
    <w:rsid w:val="00B261E5"/>
    <w:rsid w:val="00B26AEF"/>
    <w:rsid w:val="00B41C61"/>
    <w:rsid w:val="00B424DD"/>
    <w:rsid w:val="00B44EB2"/>
    <w:rsid w:val="00B47997"/>
    <w:rsid w:val="00B51592"/>
    <w:rsid w:val="00B56304"/>
    <w:rsid w:val="00B57D38"/>
    <w:rsid w:val="00B62D90"/>
    <w:rsid w:val="00B6613F"/>
    <w:rsid w:val="00B67B8A"/>
    <w:rsid w:val="00B71E56"/>
    <w:rsid w:val="00B7388C"/>
    <w:rsid w:val="00B81855"/>
    <w:rsid w:val="00B84BB3"/>
    <w:rsid w:val="00B84E3F"/>
    <w:rsid w:val="00B85320"/>
    <w:rsid w:val="00B90456"/>
    <w:rsid w:val="00B92516"/>
    <w:rsid w:val="00B9260E"/>
    <w:rsid w:val="00B92D9C"/>
    <w:rsid w:val="00B942A7"/>
    <w:rsid w:val="00B94FB4"/>
    <w:rsid w:val="00BA0AEE"/>
    <w:rsid w:val="00BA5932"/>
    <w:rsid w:val="00BA7EA2"/>
    <w:rsid w:val="00BB48B7"/>
    <w:rsid w:val="00BE0B2D"/>
    <w:rsid w:val="00BE0B82"/>
    <w:rsid w:val="00BE1B0A"/>
    <w:rsid w:val="00BF1976"/>
    <w:rsid w:val="00BF2E83"/>
    <w:rsid w:val="00BF37C3"/>
    <w:rsid w:val="00C1452C"/>
    <w:rsid w:val="00C17DD8"/>
    <w:rsid w:val="00C241DA"/>
    <w:rsid w:val="00C26A08"/>
    <w:rsid w:val="00C325F2"/>
    <w:rsid w:val="00C32BC7"/>
    <w:rsid w:val="00C335BB"/>
    <w:rsid w:val="00C344A5"/>
    <w:rsid w:val="00C418B7"/>
    <w:rsid w:val="00C451EF"/>
    <w:rsid w:val="00C50461"/>
    <w:rsid w:val="00C524F9"/>
    <w:rsid w:val="00C531C3"/>
    <w:rsid w:val="00C55C9B"/>
    <w:rsid w:val="00C5636D"/>
    <w:rsid w:val="00C57D07"/>
    <w:rsid w:val="00C61063"/>
    <w:rsid w:val="00C6717E"/>
    <w:rsid w:val="00C72DCC"/>
    <w:rsid w:val="00C84208"/>
    <w:rsid w:val="00C92B3C"/>
    <w:rsid w:val="00C9627F"/>
    <w:rsid w:val="00C972DD"/>
    <w:rsid w:val="00C97D59"/>
    <w:rsid w:val="00CA0432"/>
    <w:rsid w:val="00CA5796"/>
    <w:rsid w:val="00CB2E16"/>
    <w:rsid w:val="00CB4ABC"/>
    <w:rsid w:val="00CC1509"/>
    <w:rsid w:val="00CC2466"/>
    <w:rsid w:val="00CC4A3B"/>
    <w:rsid w:val="00CC5628"/>
    <w:rsid w:val="00CD522D"/>
    <w:rsid w:val="00CE216D"/>
    <w:rsid w:val="00CE703F"/>
    <w:rsid w:val="00D01580"/>
    <w:rsid w:val="00D03FD5"/>
    <w:rsid w:val="00D05730"/>
    <w:rsid w:val="00D06D38"/>
    <w:rsid w:val="00D071F5"/>
    <w:rsid w:val="00D1185F"/>
    <w:rsid w:val="00D1247D"/>
    <w:rsid w:val="00D1394E"/>
    <w:rsid w:val="00D218A5"/>
    <w:rsid w:val="00D22699"/>
    <w:rsid w:val="00D31D59"/>
    <w:rsid w:val="00D31F21"/>
    <w:rsid w:val="00D365E4"/>
    <w:rsid w:val="00D36AE7"/>
    <w:rsid w:val="00D36D2F"/>
    <w:rsid w:val="00D3725B"/>
    <w:rsid w:val="00D43707"/>
    <w:rsid w:val="00D457AE"/>
    <w:rsid w:val="00D55EDF"/>
    <w:rsid w:val="00D56C01"/>
    <w:rsid w:val="00D56E6D"/>
    <w:rsid w:val="00D573F8"/>
    <w:rsid w:val="00D624EF"/>
    <w:rsid w:val="00D65FE6"/>
    <w:rsid w:val="00D7007A"/>
    <w:rsid w:val="00D71D07"/>
    <w:rsid w:val="00D72BEE"/>
    <w:rsid w:val="00D773BD"/>
    <w:rsid w:val="00D91473"/>
    <w:rsid w:val="00D955B6"/>
    <w:rsid w:val="00DA5198"/>
    <w:rsid w:val="00DA6169"/>
    <w:rsid w:val="00DB4CAC"/>
    <w:rsid w:val="00DB72E0"/>
    <w:rsid w:val="00DC5205"/>
    <w:rsid w:val="00DC7EFF"/>
    <w:rsid w:val="00DD3D5C"/>
    <w:rsid w:val="00DD4FBF"/>
    <w:rsid w:val="00DD5234"/>
    <w:rsid w:val="00DE7271"/>
    <w:rsid w:val="00DF07AE"/>
    <w:rsid w:val="00DF204C"/>
    <w:rsid w:val="00E001A1"/>
    <w:rsid w:val="00E03308"/>
    <w:rsid w:val="00E1629B"/>
    <w:rsid w:val="00E17967"/>
    <w:rsid w:val="00E25FE5"/>
    <w:rsid w:val="00E26A3A"/>
    <w:rsid w:val="00E31D30"/>
    <w:rsid w:val="00E32548"/>
    <w:rsid w:val="00E35646"/>
    <w:rsid w:val="00E36500"/>
    <w:rsid w:val="00E40505"/>
    <w:rsid w:val="00E44444"/>
    <w:rsid w:val="00E44867"/>
    <w:rsid w:val="00E45F70"/>
    <w:rsid w:val="00E509EB"/>
    <w:rsid w:val="00E54185"/>
    <w:rsid w:val="00E57D67"/>
    <w:rsid w:val="00E64171"/>
    <w:rsid w:val="00E64B82"/>
    <w:rsid w:val="00E6642C"/>
    <w:rsid w:val="00E71228"/>
    <w:rsid w:val="00E71941"/>
    <w:rsid w:val="00E7338E"/>
    <w:rsid w:val="00E73A7C"/>
    <w:rsid w:val="00E835DE"/>
    <w:rsid w:val="00E844D3"/>
    <w:rsid w:val="00E91176"/>
    <w:rsid w:val="00E925AB"/>
    <w:rsid w:val="00E9280C"/>
    <w:rsid w:val="00E92951"/>
    <w:rsid w:val="00E930E5"/>
    <w:rsid w:val="00E95ABC"/>
    <w:rsid w:val="00E9703E"/>
    <w:rsid w:val="00EA5C28"/>
    <w:rsid w:val="00EB0B10"/>
    <w:rsid w:val="00EB5B73"/>
    <w:rsid w:val="00EC01AE"/>
    <w:rsid w:val="00EC063B"/>
    <w:rsid w:val="00EC5D7B"/>
    <w:rsid w:val="00EC65B7"/>
    <w:rsid w:val="00ED1CA2"/>
    <w:rsid w:val="00ED43FA"/>
    <w:rsid w:val="00ED5FEF"/>
    <w:rsid w:val="00ED65FB"/>
    <w:rsid w:val="00EE282C"/>
    <w:rsid w:val="00EE63E2"/>
    <w:rsid w:val="00EF338D"/>
    <w:rsid w:val="00F02250"/>
    <w:rsid w:val="00F055EF"/>
    <w:rsid w:val="00F0721C"/>
    <w:rsid w:val="00F16AE4"/>
    <w:rsid w:val="00F22D98"/>
    <w:rsid w:val="00F272B0"/>
    <w:rsid w:val="00F34D1F"/>
    <w:rsid w:val="00F41E2F"/>
    <w:rsid w:val="00F43AE4"/>
    <w:rsid w:val="00F4432C"/>
    <w:rsid w:val="00F44D70"/>
    <w:rsid w:val="00F50A0C"/>
    <w:rsid w:val="00F523E7"/>
    <w:rsid w:val="00F5387B"/>
    <w:rsid w:val="00F548B8"/>
    <w:rsid w:val="00F62CA3"/>
    <w:rsid w:val="00F66D10"/>
    <w:rsid w:val="00F66FF3"/>
    <w:rsid w:val="00F707D8"/>
    <w:rsid w:val="00F71DEA"/>
    <w:rsid w:val="00F73908"/>
    <w:rsid w:val="00F75C8A"/>
    <w:rsid w:val="00F76181"/>
    <w:rsid w:val="00F7731A"/>
    <w:rsid w:val="00F81BED"/>
    <w:rsid w:val="00F824F8"/>
    <w:rsid w:val="00F85056"/>
    <w:rsid w:val="00F92343"/>
    <w:rsid w:val="00F94655"/>
    <w:rsid w:val="00F94B5F"/>
    <w:rsid w:val="00F96209"/>
    <w:rsid w:val="00FA33F7"/>
    <w:rsid w:val="00FA38AB"/>
    <w:rsid w:val="00FA62B2"/>
    <w:rsid w:val="00FA6C0D"/>
    <w:rsid w:val="00FA7724"/>
    <w:rsid w:val="00FB04A7"/>
    <w:rsid w:val="00FB1EB3"/>
    <w:rsid w:val="00FD06CB"/>
    <w:rsid w:val="00FD13B7"/>
    <w:rsid w:val="00FD1563"/>
    <w:rsid w:val="00FD2956"/>
    <w:rsid w:val="00FD3F59"/>
    <w:rsid w:val="00FD787B"/>
    <w:rsid w:val="00FE223B"/>
    <w:rsid w:val="00FE2CBD"/>
    <w:rsid w:val="00FE7B90"/>
    <w:rsid w:val="00FF2661"/>
    <w:rsid w:val="00FF2747"/>
    <w:rsid w:val="00FF2E09"/>
    <w:rsid w:val="00FF4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1C9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04C"/>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rsid w:val="00843EEB"/>
    <w:pPr>
      <w:numPr>
        <w:numId w:val="1"/>
      </w:numPr>
    </w:pPr>
  </w:style>
  <w:style w:type="paragraph" w:customStyle="1" w:styleId="Dash">
    <w:name w:val="Dash"/>
    <w:basedOn w:val="Normal"/>
    <w:link w:val="DashChar"/>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customStyle="1" w:styleId="DashChar">
    <w:name w:val="Dash Char"/>
    <w:basedOn w:val="DefaultParagraphFont"/>
    <w:link w:val="Dash"/>
    <w:rsid w:val="00852470"/>
    <w:rPr>
      <w:sz w:val="24"/>
    </w:rPr>
  </w:style>
  <w:style w:type="character" w:styleId="CommentReference">
    <w:name w:val="annotation reference"/>
    <w:basedOn w:val="DefaultParagraphFont"/>
    <w:rsid w:val="00625C9F"/>
    <w:rPr>
      <w:sz w:val="16"/>
      <w:szCs w:val="16"/>
    </w:rPr>
  </w:style>
  <w:style w:type="paragraph" w:styleId="CommentText">
    <w:name w:val="annotation text"/>
    <w:basedOn w:val="Normal"/>
    <w:link w:val="CommentTextChar"/>
    <w:rsid w:val="00625C9F"/>
    <w:rPr>
      <w:sz w:val="20"/>
    </w:rPr>
  </w:style>
  <w:style w:type="character" w:customStyle="1" w:styleId="CommentTextChar">
    <w:name w:val="Comment Text Char"/>
    <w:basedOn w:val="DefaultParagraphFont"/>
    <w:link w:val="CommentText"/>
    <w:rsid w:val="00625C9F"/>
  </w:style>
  <w:style w:type="paragraph" w:styleId="CommentSubject">
    <w:name w:val="annotation subject"/>
    <w:basedOn w:val="CommentText"/>
    <w:next w:val="CommentText"/>
    <w:link w:val="CommentSubjectChar"/>
    <w:rsid w:val="00625C9F"/>
    <w:rPr>
      <w:b/>
      <w:bCs/>
    </w:rPr>
  </w:style>
  <w:style w:type="character" w:customStyle="1" w:styleId="CommentSubjectChar">
    <w:name w:val="Comment Subject Char"/>
    <w:basedOn w:val="CommentTextChar"/>
    <w:link w:val="CommentSubject"/>
    <w:rsid w:val="00625C9F"/>
    <w:rPr>
      <w:b/>
      <w:bCs/>
    </w:rPr>
  </w:style>
  <w:style w:type="table" w:styleId="TableGrid">
    <w:name w:val="Table Grid"/>
    <w:basedOn w:val="TableNormal"/>
    <w:rsid w:val="00DF20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04C"/>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rsid w:val="00843EEB"/>
    <w:pPr>
      <w:numPr>
        <w:numId w:val="1"/>
      </w:numPr>
    </w:pPr>
  </w:style>
  <w:style w:type="paragraph" w:customStyle="1" w:styleId="Dash">
    <w:name w:val="Dash"/>
    <w:basedOn w:val="Normal"/>
    <w:link w:val="DashChar"/>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customStyle="1" w:styleId="DashChar">
    <w:name w:val="Dash Char"/>
    <w:basedOn w:val="DefaultParagraphFont"/>
    <w:link w:val="Dash"/>
    <w:rsid w:val="00852470"/>
    <w:rPr>
      <w:sz w:val="24"/>
    </w:rPr>
  </w:style>
  <w:style w:type="character" w:styleId="CommentReference">
    <w:name w:val="annotation reference"/>
    <w:basedOn w:val="DefaultParagraphFont"/>
    <w:rsid w:val="00625C9F"/>
    <w:rPr>
      <w:sz w:val="16"/>
      <w:szCs w:val="16"/>
    </w:rPr>
  </w:style>
  <w:style w:type="paragraph" w:styleId="CommentText">
    <w:name w:val="annotation text"/>
    <w:basedOn w:val="Normal"/>
    <w:link w:val="CommentTextChar"/>
    <w:rsid w:val="00625C9F"/>
    <w:rPr>
      <w:sz w:val="20"/>
    </w:rPr>
  </w:style>
  <w:style w:type="character" w:customStyle="1" w:styleId="CommentTextChar">
    <w:name w:val="Comment Text Char"/>
    <w:basedOn w:val="DefaultParagraphFont"/>
    <w:link w:val="CommentText"/>
    <w:rsid w:val="00625C9F"/>
  </w:style>
  <w:style w:type="paragraph" w:styleId="CommentSubject">
    <w:name w:val="annotation subject"/>
    <w:basedOn w:val="CommentText"/>
    <w:next w:val="CommentText"/>
    <w:link w:val="CommentSubjectChar"/>
    <w:rsid w:val="00625C9F"/>
    <w:rPr>
      <w:b/>
      <w:bCs/>
    </w:rPr>
  </w:style>
  <w:style w:type="character" w:customStyle="1" w:styleId="CommentSubjectChar">
    <w:name w:val="Comment Subject Char"/>
    <w:basedOn w:val="CommentTextChar"/>
    <w:link w:val="CommentSubject"/>
    <w:rsid w:val="00625C9F"/>
    <w:rPr>
      <w:b/>
      <w:bCs/>
    </w:rPr>
  </w:style>
  <w:style w:type="table" w:styleId="TableGrid">
    <w:name w:val="Table Grid"/>
    <w:basedOn w:val="TableNormal"/>
    <w:rsid w:val="00DF20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Consultation Summary: Modernising Australia's foreign investment framework</vt:lpstr>
    </vt:vector>
  </TitlesOfParts>
  <Company/>
  <LinksUpToDate>false</LinksUpToDate>
  <CharactersWithSpaces>2419</CharactersWithSpaces>
  <SharedDoc>false</SharedDoc>
  <HLinks>
    <vt:vector size="6" baseType="variant">
      <vt:variant>
        <vt:i4>5898275</vt:i4>
      </vt:variant>
      <vt:variant>
        <vt:i4>36</vt:i4>
      </vt:variant>
      <vt:variant>
        <vt:i4>0</vt:i4>
      </vt:variant>
      <vt:variant>
        <vt:i4>5</vt:i4>
      </vt:variant>
      <vt:variant>
        <vt:lpwstr>mailto:consultation@treasury.gov.au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Summary: Modernising Australia's foreign investment framework</dc:title>
  <dc:subject/>
  <dc:creator/>
  <cp:keywords/>
  <cp:lastModifiedBy>Fedenko, Serge</cp:lastModifiedBy>
  <cp:revision>2</cp:revision>
  <dcterms:created xsi:type="dcterms:W3CDTF">2015-10-13T22:29:00Z</dcterms:created>
  <dcterms:modified xsi:type="dcterms:W3CDTF">2015-10-13T22:41:00Z</dcterms:modified>
</cp:coreProperties>
</file>