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5ACF2" w14:textId="77777777" w:rsidR="000548F2" w:rsidRDefault="00E84AFE">
      <w:bookmarkStart w:id="0" w:name="_GoBack"/>
      <w:bookmarkEnd w:id="0"/>
      <w:r>
        <w:t>26 June 2015</w:t>
      </w:r>
    </w:p>
    <w:p w14:paraId="0AE8A944" w14:textId="77777777" w:rsidR="000548F2" w:rsidRDefault="000548F2"/>
    <w:p w14:paraId="1AB25804" w14:textId="77777777" w:rsidR="000548F2" w:rsidRDefault="00E84AFE">
      <w:r>
        <w:t>Manager</w:t>
      </w:r>
      <w:r>
        <w:br/>
        <w:t>Banking and Capital Markets Regulation Unit</w:t>
      </w:r>
      <w:r>
        <w:br/>
        <w:t>Financial Systems and Services Division</w:t>
      </w:r>
      <w:r>
        <w:br/>
        <w:t>The Treasury</w:t>
      </w:r>
      <w:r>
        <w:br/>
        <w:t>Langton Crescent</w:t>
      </w:r>
      <w:r>
        <w:br/>
        <w:t xml:space="preserve">PARKES  ACT  2600 </w:t>
      </w:r>
    </w:p>
    <w:p w14:paraId="46E761C7" w14:textId="77777777" w:rsidR="000548F2" w:rsidRDefault="000548F2"/>
    <w:p w14:paraId="359EDE58" w14:textId="77777777" w:rsidR="000548F2" w:rsidRDefault="000548F2"/>
    <w:p w14:paraId="2AC4A1A6" w14:textId="77777777" w:rsidR="000548F2" w:rsidRDefault="00E84AFE">
      <w:r>
        <w:t>Dear Manager</w:t>
      </w:r>
    </w:p>
    <w:p w14:paraId="547A2250" w14:textId="77777777" w:rsidR="000548F2" w:rsidRDefault="00E84AFE">
      <w:pPr>
        <w:jc w:val="center"/>
        <w:rPr>
          <w:b/>
          <w:caps/>
        </w:rPr>
      </w:pPr>
      <w:r>
        <w:rPr>
          <w:b/>
          <w:caps/>
        </w:rPr>
        <w:t>OTC derivatives central clearing and single-sided trade reporting</w:t>
      </w:r>
      <w:r>
        <w:rPr>
          <w:b/>
          <w:caps/>
        </w:rPr>
        <w:br/>
        <w:t>Australian Securitisation Forum submission</w:t>
      </w:r>
    </w:p>
    <w:p w14:paraId="6C833C10" w14:textId="77777777" w:rsidR="000548F2" w:rsidRDefault="00E84AFE">
      <w:r>
        <w:t>The Australian Securitisation Forum (</w:t>
      </w:r>
      <w:r>
        <w:rPr>
          <w:b/>
        </w:rPr>
        <w:t>ASF</w:t>
      </w:r>
      <w:r>
        <w:t xml:space="preserve">) welcomes the opportunity to comment on the </w:t>
      </w:r>
      <w:r>
        <w:rPr>
          <w:i/>
        </w:rPr>
        <w:t>Corporations (Derivatives) Amendment Determination 2015 (No. 1)</w:t>
      </w:r>
      <w:r>
        <w:t xml:space="preserve"> and the </w:t>
      </w:r>
      <w:r>
        <w:rPr>
          <w:i/>
        </w:rPr>
        <w:t>Corporations Amendment (Central Clearing and Single-Sided Reporting) Regulation 2015</w:t>
      </w:r>
      <w:r>
        <w:t>, both released by the Treasury on 28 May 2015.</w:t>
      </w:r>
    </w:p>
    <w:p w14:paraId="01A42C53" w14:textId="77777777" w:rsidR="000548F2" w:rsidRDefault="00E84AFE">
      <w:r>
        <w:t>The ASF is supportive of the move to a one-sided reporting regime in respect of phase 3 reporting entities.</w:t>
      </w:r>
    </w:p>
    <w:p w14:paraId="12451F08" w14:textId="77777777" w:rsidR="000548F2" w:rsidRDefault="00E84AFE">
      <w:r>
        <w:t xml:space="preserve">However, the ASF is concerned as to the operation of the proposed single-sided exemption insofar as it relates to derivatives entered into with </w:t>
      </w:r>
      <w:r>
        <w:rPr>
          <w:u w:val="single"/>
        </w:rPr>
        <w:t>foreign entities</w:t>
      </w:r>
      <w:r>
        <w:t xml:space="preserve"> – as contemplated in proposed regulations 7.5A.71(3) and 7.5A.72(3).</w:t>
      </w:r>
    </w:p>
    <w:p w14:paraId="00C43633" w14:textId="77777777" w:rsidR="000548F2" w:rsidRDefault="00E84AFE">
      <w:r>
        <w:t xml:space="preserve">The ASF's concern is that the exemption only applies where the foreign entity </w:t>
      </w:r>
      <w:r>
        <w:rPr>
          <w:u w:val="single"/>
        </w:rPr>
        <w:t>actually</w:t>
      </w:r>
      <w:r>
        <w:t xml:space="preserve"> reports the information and tags the relevant derivative. </w:t>
      </w:r>
    </w:p>
    <w:p w14:paraId="025FFBAA" w14:textId="77777777" w:rsidR="000548F2" w:rsidRDefault="00E84AFE">
      <w:r>
        <w:t xml:space="preserve">The Australian entity cannot ensure compliance by the foreign entity, nor can it monitor the foreign entity's reporting. </w:t>
      </w:r>
    </w:p>
    <w:p w14:paraId="37465C46" w14:textId="77777777" w:rsidR="000548F2" w:rsidRDefault="00E84AFE">
      <w:r>
        <w:lastRenderedPageBreak/>
        <w:t xml:space="preserve">To the extent that the foreign entity does not so report and tag, the counterparty would immediately be in breach of the regulations (as the one-sided exemption would not apply). It would not have any time to remedy a breach. </w:t>
      </w:r>
    </w:p>
    <w:p w14:paraId="214EB6E8" w14:textId="77777777" w:rsidR="000548F2" w:rsidRDefault="00E84AFE">
      <w:r>
        <w:t xml:space="preserve">These characteristics substantially detract from the proposed single-sided regime and mean that the Australian entity is still on risk for reporting, rendering the exemption of limited value.  </w:t>
      </w:r>
    </w:p>
    <w:p w14:paraId="63CB9E12" w14:textId="77777777" w:rsidR="000548F2" w:rsidRDefault="00E84AFE">
      <w:r>
        <w:t>We suggest that the exemption be re-drafted as a safe harbour that is to apply in the event that certain requirements are met – similar to the delegation regime previously introduced.</w:t>
      </w:r>
    </w:p>
    <w:p w14:paraId="157C16CC" w14:textId="77777777" w:rsidR="000548F2" w:rsidRDefault="00E84AFE">
      <w:r>
        <w:t>Our suggested drafting amendments are attached.</w:t>
      </w:r>
    </w:p>
    <w:p w14:paraId="5483460F" w14:textId="77777777" w:rsidR="000548F2" w:rsidRDefault="00E84AFE">
      <w:r>
        <w:t>We would be pleased to discuss this further.</w:t>
      </w:r>
    </w:p>
    <w:p w14:paraId="4B237EE5" w14:textId="77777777" w:rsidR="000548F2" w:rsidRDefault="000548F2"/>
    <w:p w14:paraId="2BC8020A" w14:textId="77777777" w:rsidR="000548F2" w:rsidRDefault="00E84AFE">
      <w:r>
        <w:t xml:space="preserve">Yours sincerely </w:t>
      </w:r>
    </w:p>
    <w:p w14:paraId="33031439" w14:textId="77777777" w:rsidR="000548F2" w:rsidRDefault="000548F2">
      <w:pPr>
        <w:rPr>
          <w:rFonts w:ascii="Tahoma" w:hAnsi="Tahoma" w:cs="Tahoma"/>
          <w:noProof/>
          <w:sz w:val="20"/>
          <w:szCs w:val="20"/>
        </w:rPr>
      </w:pPr>
    </w:p>
    <w:p w14:paraId="182B9957" w14:textId="77777777" w:rsidR="000548F2" w:rsidRDefault="000548F2"/>
    <w:p w14:paraId="5BA64EC8" w14:textId="77777777" w:rsidR="000548F2" w:rsidRDefault="00E84AFE">
      <w:pPr>
        <w:rPr>
          <w:b/>
          <w:caps/>
        </w:rPr>
      </w:pPr>
      <w:r>
        <w:rPr>
          <w:b/>
          <w:caps/>
        </w:rPr>
        <w:t>Chris Dalton</w:t>
      </w:r>
    </w:p>
    <w:p w14:paraId="162946FE" w14:textId="77777777" w:rsidR="000548F2" w:rsidRDefault="000548F2"/>
    <w:p w14:paraId="48954D2C" w14:textId="77777777" w:rsidR="000548F2" w:rsidRDefault="00E84AFE">
      <w:pPr>
        <w:spacing w:after="0" w:line="240" w:lineRule="auto"/>
      </w:pPr>
      <w:r>
        <w:br w:type="page"/>
      </w:r>
    </w:p>
    <w:p w14:paraId="22BE7517" w14:textId="77777777" w:rsidR="000548F2" w:rsidRDefault="00E84AFE">
      <w:pPr>
        <w:jc w:val="center"/>
        <w:rPr>
          <w:b/>
          <w:u w:val="single"/>
        </w:rPr>
      </w:pPr>
      <w:r>
        <w:rPr>
          <w:b/>
          <w:u w:val="single"/>
        </w:rPr>
        <w:lastRenderedPageBreak/>
        <w:t>Transactions involving foreign entities</w:t>
      </w:r>
    </w:p>
    <w:p w14:paraId="7F9EC09A" w14:textId="77777777" w:rsidR="000548F2" w:rsidRDefault="00E84AFE">
      <w:pPr>
        <w:jc w:val="center"/>
        <w:rPr>
          <w:b/>
          <w:u w:val="single"/>
        </w:rPr>
      </w:pPr>
      <w:r>
        <w:rPr>
          <w:b/>
          <w:u w:val="single"/>
        </w:rPr>
        <w:t>Suggested amendments to one-sided reporting regime</w:t>
      </w:r>
    </w:p>
    <w:p w14:paraId="084FDE91" w14:textId="77777777" w:rsidR="000548F2" w:rsidRDefault="000548F2"/>
    <w:p w14:paraId="7B1A157F" w14:textId="77777777" w:rsidR="000548F2" w:rsidRDefault="00E84AFE">
      <w:pPr>
        <w:rPr>
          <w:u w:val="single"/>
        </w:rPr>
      </w:pPr>
      <w:r>
        <w:rPr>
          <w:u w:val="single"/>
        </w:rPr>
        <w:t>Regulation 7.5A.71(3)</w:t>
      </w:r>
    </w:p>
    <w:p w14:paraId="32B7AB83" w14:textId="77777777" w:rsidR="000548F2" w:rsidRDefault="00E84AFE">
      <w:r>
        <w:t>A phase 3 reporting entity is also exempt from a provision of the Derivative Transaction Rules (Reporting) requiring the entity, at a particular time, to report information about an OTC derivative transaction to which the entity is a party if:</w:t>
      </w:r>
    </w:p>
    <w:p w14:paraId="4B3B9C87" w14:textId="77777777" w:rsidR="000548F2" w:rsidRDefault="00E84AFE">
      <w:pPr>
        <w:ind w:left="709" w:hanging="709"/>
      </w:pPr>
      <w:r>
        <w:t>(a)</w:t>
      </w:r>
      <w:r>
        <w:tab/>
        <w:t>regulation 7.5A.73 applies to the entity at that time; and</w:t>
      </w:r>
    </w:p>
    <w:p w14:paraId="48F0BC03" w14:textId="77777777" w:rsidR="000548F2" w:rsidRDefault="00E84AFE">
      <w:pPr>
        <w:ind w:left="709" w:hanging="709"/>
      </w:pPr>
      <w:r>
        <w:t>(b)</w:t>
      </w:r>
      <w:r>
        <w:tab/>
        <w:t>the other party to the transaction is a foreign entity that:</w:t>
      </w:r>
    </w:p>
    <w:p w14:paraId="5669982E" w14:textId="77777777" w:rsidR="000548F2" w:rsidRDefault="00E84AFE">
      <w:pPr>
        <w:ind w:left="1418" w:hanging="709"/>
      </w:pPr>
      <w:r>
        <w:t>(</w:t>
      </w:r>
      <w:proofErr w:type="spellStart"/>
      <w:r>
        <w:t>i</w:t>
      </w:r>
      <w:proofErr w:type="spellEnd"/>
      <w:r>
        <w:t>)</w:t>
      </w:r>
      <w:r>
        <w:tab/>
        <w:t>is subject to reporting requirements in one or more foreign jurisdictions that are substantially equivalent to requirements under the Derivative Transaction Rules (Reporting); and</w:t>
      </w:r>
    </w:p>
    <w:p w14:paraId="2BFFF56D" w14:textId="77777777" w:rsidR="000548F2" w:rsidRDefault="00E84AFE">
      <w:pPr>
        <w:ind w:left="1418" w:hanging="709"/>
      </w:pPr>
      <w:r>
        <w:t>(ii)</w:t>
      </w:r>
      <w:r>
        <w:tab/>
        <w:t>has agreed with the phase 3 reporting entity in writing that the foreign entity will:</w:t>
      </w:r>
    </w:p>
    <w:p w14:paraId="157732D6" w14:textId="19655056" w:rsidR="000548F2" w:rsidRDefault="00E84AFE" w:rsidP="00ED2536">
      <w:pPr>
        <w:ind w:left="2127" w:hanging="709"/>
      </w:pPr>
      <w:r>
        <w:t>(A)</w:t>
      </w:r>
      <w:r>
        <w:tab/>
        <w:t>report information about the transaction, in accordance with the requirements that apply in one or more of those foreign jurisdictions, to a facility prescribed by or under subregulation 7.5A.30(2); and</w:t>
      </w:r>
    </w:p>
    <w:p w14:paraId="18E60639" w14:textId="66F3BFB7" w:rsidR="000548F2" w:rsidRDefault="00E84AFE" w:rsidP="00ED2536">
      <w:pPr>
        <w:ind w:left="2127" w:hanging="709"/>
      </w:pPr>
      <w:r>
        <w:t>(B)</w:t>
      </w:r>
      <w:r>
        <w:tab/>
        <w:t>designate the information reported to that facility as information that has been reported to ASIC under the Derivative Transaction Rules (Reporting); and</w:t>
      </w:r>
    </w:p>
    <w:p w14:paraId="4B898150" w14:textId="77777777" w:rsidR="000548F2" w:rsidRDefault="00E84AFE">
      <w:pPr>
        <w:ind w:left="709" w:hanging="709"/>
      </w:pPr>
      <w:r>
        <w:t>(c)</w:t>
      </w:r>
      <w:r>
        <w:tab/>
        <w:t>the phase 3 reporting entity makes regular enquiries reasonably designed to determine whether the foreign entity is discharging its obligations under the terms of its appointment referred to in paragraph (ii).</w:t>
      </w:r>
    </w:p>
    <w:p w14:paraId="7532B446" w14:textId="77777777" w:rsidR="000548F2" w:rsidRDefault="000548F2"/>
    <w:p w14:paraId="353AD5F2" w14:textId="77777777" w:rsidR="000548F2" w:rsidRDefault="00E84AFE">
      <w:pPr>
        <w:rPr>
          <w:u w:val="single"/>
        </w:rPr>
      </w:pPr>
      <w:r>
        <w:rPr>
          <w:u w:val="single"/>
        </w:rPr>
        <w:t>Regulation 7.5A.72(3)</w:t>
      </w:r>
    </w:p>
    <w:p w14:paraId="2D2E69C6" w14:textId="77777777" w:rsidR="000548F2" w:rsidRDefault="00E84AFE">
      <w:r>
        <w:t>A phase 3 reporting entity is also exempt from a provision of the Derivative Transaction Rules (Reporting) requiring the entity, at a particular time, to report OTC derivative position information in relation to a position if:</w:t>
      </w:r>
    </w:p>
    <w:p w14:paraId="689CA7FF" w14:textId="77777777" w:rsidR="000548F2" w:rsidRDefault="00E84AFE">
      <w:pPr>
        <w:ind w:left="709" w:hanging="709"/>
      </w:pPr>
      <w:r>
        <w:t>(a)</w:t>
      </w:r>
      <w:r>
        <w:tab/>
        <w:t>regulation 7.5A.73 applies to the entity at that time; and</w:t>
      </w:r>
    </w:p>
    <w:p w14:paraId="5CE5BE06" w14:textId="77777777" w:rsidR="000548F2" w:rsidRDefault="00E84AFE">
      <w:pPr>
        <w:ind w:left="709" w:hanging="709"/>
      </w:pPr>
      <w:r>
        <w:t>(b)</w:t>
      </w:r>
      <w:r>
        <w:tab/>
        <w:t>a foreign entity that is subject to reporting requirements in one or more foreign jurisdictions that are substantially equivalent to requirements under the Derivative Transaction Rules (Reporting) has agreed with the phase 3 reporting entity in writing that the foreign entity will:</w:t>
      </w:r>
    </w:p>
    <w:p w14:paraId="74B7C498" w14:textId="300EB516" w:rsidR="000548F2" w:rsidRDefault="00E84AFE">
      <w:pPr>
        <w:ind w:left="1418" w:hanging="709"/>
      </w:pPr>
      <w:r>
        <w:t>(</w:t>
      </w:r>
      <w:proofErr w:type="spellStart"/>
      <w:r>
        <w:t>i</w:t>
      </w:r>
      <w:proofErr w:type="spellEnd"/>
      <w:r>
        <w:t>)</w:t>
      </w:r>
      <w:r>
        <w:tab/>
        <w:t>report information about the position, in accordance with the requirements that apply in one or more of those foreign jurisdictions, to a facility prescribed by or under subregulation 7.5A.30(2); and</w:t>
      </w:r>
    </w:p>
    <w:p w14:paraId="48FDE1F2" w14:textId="73B5F917" w:rsidR="000548F2" w:rsidRDefault="00E84AFE">
      <w:pPr>
        <w:ind w:left="1418" w:hanging="709"/>
      </w:pPr>
      <w:r>
        <w:t>(ii)</w:t>
      </w:r>
      <w:r>
        <w:tab/>
        <w:t>designate the information reported to that facility as information that has been reported to ASIC under the Derivative Transaction Rules (Reporting); and</w:t>
      </w:r>
    </w:p>
    <w:p w14:paraId="4ED1DBF4" w14:textId="77777777" w:rsidR="000548F2" w:rsidRDefault="00E84AFE">
      <w:pPr>
        <w:ind w:left="709" w:hanging="709"/>
      </w:pPr>
      <w:r>
        <w:t>(c)</w:t>
      </w:r>
      <w:r>
        <w:tab/>
        <w:t>the phase 3 reporting entity makes regular enquiries reasonably designed to determine whether the foreign entity is discharging its obligations under the terms of its appointment referred to in paragraph (ii).</w:t>
      </w:r>
    </w:p>
    <w:p w14:paraId="63EFEDB7" w14:textId="77777777" w:rsidR="000548F2" w:rsidRDefault="000548F2"/>
    <w:p w14:paraId="067F69AA" w14:textId="77777777" w:rsidR="000548F2" w:rsidRDefault="000548F2"/>
    <w:sectPr w:rsidR="000548F2">
      <w:headerReference w:type="default" r:id="rId13"/>
      <w:footerReference w:type="even" r:id="rId14"/>
      <w:footerReference w:type="default" r:id="rId15"/>
      <w:headerReference w:type="first" r:id="rId16"/>
      <w:footerReference w:type="first" r:id="rId17"/>
      <w:pgSz w:w="11906" w:h="16838"/>
      <w:pgMar w:top="1276" w:right="1701" w:bottom="1701" w:left="1701" w:header="71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AE054" w14:textId="77777777" w:rsidR="000548F2" w:rsidRDefault="00E84AFE">
      <w:r>
        <w:separator/>
      </w:r>
    </w:p>
    <w:p w14:paraId="4A2CAC9D" w14:textId="77777777" w:rsidR="000548F2" w:rsidRDefault="000548F2"/>
    <w:p w14:paraId="2EE6E26C" w14:textId="77777777" w:rsidR="000548F2" w:rsidRDefault="000548F2"/>
  </w:endnote>
  <w:endnote w:type="continuationSeparator" w:id="0">
    <w:p w14:paraId="25A3F4A9" w14:textId="77777777" w:rsidR="000548F2" w:rsidRDefault="00E84AFE">
      <w:r>
        <w:continuationSeparator/>
      </w:r>
    </w:p>
    <w:p w14:paraId="1DEDBAFB" w14:textId="77777777" w:rsidR="000548F2" w:rsidRDefault="000548F2"/>
    <w:p w14:paraId="442B02E1" w14:textId="77777777" w:rsidR="000548F2" w:rsidRDefault="00054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6494F" w14:textId="77777777" w:rsidR="000548F2" w:rsidRDefault="00E84AFE">
    <w:pPr>
      <w:pStyle w:val="Footer"/>
    </w:pPr>
    <w:r>
      <w:fldChar w:fldCharType="begin"/>
    </w:r>
    <w:r>
      <w:instrText xml:space="preserve"> DOCPROPERTY DocumentID \* MERGEFORMAT </w:instrText>
    </w:r>
    <w:r>
      <w:fldChar w:fldCharType="separate"/>
    </w:r>
    <w:r>
      <w:rPr>
        <w:color w:val="191919"/>
        <w:sz w:val="13"/>
      </w:rPr>
      <w:t>ME_122375381_1 (W2007)</w:t>
    </w:r>
    <w:r>
      <w:rPr>
        <w:color w:val="191919"/>
        <w:sz w:val="1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19248"/>
      <w:docPartObj>
        <w:docPartGallery w:val="Page Numbers (Bottom of Page)"/>
        <w:docPartUnique/>
      </w:docPartObj>
    </w:sdtPr>
    <w:sdtEndPr>
      <w:rPr>
        <w:noProof/>
        <w:sz w:val="18"/>
      </w:rPr>
    </w:sdtEndPr>
    <w:sdtContent>
      <w:p w14:paraId="1581CB19" w14:textId="77777777" w:rsidR="000548F2" w:rsidRDefault="00E84AFE">
        <w:pPr>
          <w:pStyle w:val="Footer"/>
          <w:jc w:val="right"/>
          <w:rPr>
            <w:sz w:val="18"/>
          </w:rPr>
        </w:pPr>
        <w:r>
          <w:rPr>
            <w:sz w:val="18"/>
          </w:rPr>
          <w:fldChar w:fldCharType="begin"/>
        </w:r>
        <w:r>
          <w:rPr>
            <w:sz w:val="18"/>
          </w:rPr>
          <w:instrText xml:space="preserve"> PAGE   \* MERGEFORMAT </w:instrText>
        </w:r>
        <w:r>
          <w:rPr>
            <w:sz w:val="18"/>
          </w:rPr>
          <w:fldChar w:fldCharType="separate"/>
        </w:r>
        <w:r w:rsidR="00406B31">
          <w:rPr>
            <w:noProof/>
            <w:sz w:val="18"/>
          </w:rPr>
          <w:t>2</w:t>
        </w:r>
        <w:r>
          <w:rPr>
            <w:noProof/>
            <w:sz w:val="18"/>
          </w:rPr>
          <w:fldChar w:fldCharType="end"/>
        </w:r>
      </w:p>
    </w:sdtContent>
  </w:sdt>
  <w:p w14:paraId="2F5935FB" w14:textId="77777777" w:rsidR="000548F2" w:rsidRDefault="00E84AFE">
    <w:r>
      <w:fldChar w:fldCharType="begin"/>
    </w:r>
    <w:r>
      <w:instrText xml:space="preserve"> DOCPROPERTY DocumentID \* MERGEFORMAT </w:instrText>
    </w:r>
    <w:r>
      <w:fldChar w:fldCharType="separate"/>
    </w:r>
    <w:r>
      <w:rPr>
        <w:color w:val="191919"/>
        <w:sz w:val="13"/>
      </w:rPr>
      <w:t>ME_122375381_1 (W2007)</w:t>
    </w:r>
    <w:r>
      <w:rPr>
        <w:color w:val="191919"/>
        <w:sz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896830"/>
      <w:docPartObj>
        <w:docPartGallery w:val="Page Numbers (Bottom of Page)"/>
        <w:docPartUnique/>
      </w:docPartObj>
    </w:sdtPr>
    <w:sdtEndPr>
      <w:rPr>
        <w:noProof/>
        <w:sz w:val="18"/>
      </w:rPr>
    </w:sdtEndPr>
    <w:sdtContent>
      <w:p w14:paraId="7A5451ED" w14:textId="77777777" w:rsidR="000548F2" w:rsidRDefault="00E84AFE">
        <w:pPr>
          <w:pStyle w:val="Footer"/>
          <w:jc w:val="right"/>
          <w:rPr>
            <w:noProof/>
            <w:sz w:val="18"/>
          </w:rPr>
        </w:pPr>
        <w:r>
          <w:rPr>
            <w:noProof/>
            <w:sz w:val="18"/>
          </w:rPr>
          <w:fldChar w:fldCharType="begin"/>
        </w:r>
        <w:r>
          <w:rPr>
            <w:noProof/>
            <w:sz w:val="18"/>
          </w:rPr>
          <w:instrText xml:space="preserve"> PAGE   \* MERGEFORMAT </w:instrText>
        </w:r>
        <w:r>
          <w:rPr>
            <w:noProof/>
            <w:sz w:val="18"/>
          </w:rPr>
          <w:fldChar w:fldCharType="separate"/>
        </w:r>
        <w:r w:rsidR="00ED2536">
          <w:rPr>
            <w:noProof/>
            <w:sz w:val="18"/>
          </w:rPr>
          <w:t>1</w:t>
        </w:r>
        <w:r>
          <w:rPr>
            <w:noProof/>
            <w:sz w:val="18"/>
          </w:rPr>
          <w:fldChar w:fldCharType="end"/>
        </w:r>
      </w:p>
    </w:sdtContent>
  </w:sdt>
  <w:p w14:paraId="0FD7EBAF" w14:textId="77777777" w:rsidR="000548F2" w:rsidRDefault="00E84AFE">
    <w:r>
      <w:fldChar w:fldCharType="begin"/>
    </w:r>
    <w:r>
      <w:instrText xml:space="preserve"> DOCPROPERTY DocumentID \* MERGEFORMAT </w:instrText>
    </w:r>
    <w:r>
      <w:fldChar w:fldCharType="separate"/>
    </w:r>
    <w:r>
      <w:rPr>
        <w:color w:val="191919"/>
        <w:sz w:val="13"/>
      </w:rPr>
      <w:t>ME_122375381_1 (W2007)</w:t>
    </w:r>
    <w:r>
      <w:rPr>
        <w:color w:val="191919"/>
        <w:sz w:val="1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54C9D" w14:textId="77777777" w:rsidR="000548F2" w:rsidRDefault="00E84AFE">
      <w:r>
        <w:separator/>
      </w:r>
    </w:p>
    <w:p w14:paraId="2359032C" w14:textId="77777777" w:rsidR="000548F2" w:rsidRDefault="000548F2"/>
    <w:p w14:paraId="28DB642F" w14:textId="77777777" w:rsidR="000548F2" w:rsidRDefault="000548F2"/>
  </w:footnote>
  <w:footnote w:type="continuationSeparator" w:id="0">
    <w:p w14:paraId="0E237D03" w14:textId="77777777" w:rsidR="000548F2" w:rsidRDefault="00E84AFE">
      <w:r>
        <w:continuationSeparator/>
      </w:r>
    </w:p>
    <w:p w14:paraId="027F8C93" w14:textId="77777777" w:rsidR="000548F2" w:rsidRDefault="000548F2"/>
    <w:p w14:paraId="72408485" w14:textId="77777777" w:rsidR="000548F2" w:rsidRDefault="000548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4258D" w14:textId="77777777" w:rsidR="000548F2" w:rsidRDefault="000548F2">
    <w:pPr>
      <w:pStyle w:val="Header"/>
      <w:spacing w:after="0"/>
    </w:pPr>
  </w:p>
  <w:p w14:paraId="73916816" w14:textId="77777777" w:rsidR="000548F2" w:rsidRDefault="000548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E70B4" w14:textId="77777777" w:rsidR="000548F2" w:rsidRDefault="000548F2"/>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tblBorders>
      <w:tblLook w:val="04A0" w:firstRow="1" w:lastRow="0" w:firstColumn="1" w:lastColumn="0" w:noHBand="0" w:noVBand="1"/>
    </w:tblPr>
    <w:tblGrid>
      <w:gridCol w:w="5164"/>
      <w:gridCol w:w="3556"/>
    </w:tblGrid>
    <w:tr w:rsidR="000548F2" w14:paraId="2100DEDA" w14:textId="77777777">
      <w:tc>
        <w:tcPr>
          <w:tcW w:w="5164" w:type="dxa"/>
          <w:vAlign w:val="center"/>
        </w:tcPr>
        <w:p w14:paraId="4116675B" w14:textId="77777777" w:rsidR="000548F2" w:rsidRDefault="00E84AFE">
          <w:pPr>
            <w:pStyle w:val="Header"/>
            <w:spacing w:after="0" w:line="240" w:lineRule="auto"/>
          </w:pPr>
          <w:r>
            <w:rPr>
              <w:noProof/>
            </w:rPr>
            <w:drawing>
              <wp:inline distT="0" distB="0" distL="0" distR="0" wp14:anchorId="61049AE5" wp14:editId="08B730F7">
                <wp:extent cx="1600200" cy="1177290"/>
                <wp:effectExtent l="0" t="0" r="0" b="3810"/>
                <wp:docPr id="10" name="Picture 10" descr="A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F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0" cy="1177290"/>
                        </a:xfrm>
                        <a:prstGeom prst="rect">
                          <a:avLst/>
                        </a:prstGeom>
                        <a:noFill/>
                        <a:ln>
                          <a:noFill/>
                        </a:ln>
                      </pic:spPr>
                    </pic:pic>
                  </a:graphicData>
                </a:graphic>
              </wp:inline>
            </w:drawing>
          </w:r>
        </w:p>
      </w:tc>
      <w:tc>
        <w:tcPr>
          <w:tcW w:w="3556" w:type="dxa"/>
          <w:vAlign w:val="center"/>
        </w:tcPr>
        <w:p w14:paraId="1387F038" w14:textId="77777777" w:rsidR="000548F2" w:rsidRDefault="00E84AFE">
          <w:pPr>
            <w:spacing w:after="160" w:line="240" w:lineRule="auto"/>
            <w:ind w:left="227"/>
            <w:rPr>
              <w:rFonts w:ascii="Calibri" w:hAnsi="Calibri" w:cs="Calibri"/>
              <w:b/>
              <w:sz w:val="20"/>
              <w:szCs w:val="20"/>
            </w:rPr>
          </w:pPr>
          <w:r>
            <w:rPr>
              <w:rFonts w:ascii="Calibri" w:hAnsi="Calibri" w:cs="Calibri"/>
              <w:b/>
              <w:sz w:val="20"/>
              <w:szCs w:val="20"/>
            </w:rPr>
            <w:t>Australian Securitisation Forum</w:t>
          </w:r>
        </w:p>
        <w:p w14:paraId="611745DF" w14:textId="77777777" w:rsidR="000548F2" w:rsidRDefault="00E84AFE">
          <w:pPr>
            <w:tabs>
              <w:tab w:val="left" w:pos="709"/>
            </w:tabs>
            <w:spacing w:after="160" w:line="240" w:lineRule="auto"/>
            <w:ind w:left="227"/>
            <w:rPr>
              <w:rFonts w:ascii="Calibri" w:hAnsi="Calibri" w:cs="Calibri"/>
              <w:sz w:val="18"/>
              <w:szCs w:val="20"/>
            </w:rPr>
          </w:pPr>
          <w:r>
            <w:rPr>
              <w:rFonts w:ascii="Calibri" w:hAnsi="Calibri" w:cs="Calibri"/>
              <w:sz w:val="18"/>
              <w:szCs w:val="20"/>
            </w:rPr>
            <w:t>3 Spring Street, Sydney NSW 2000</w:t>
          </w:r>
        </w:p>
        <w:p w14:paraId="54E05853" w14:textId="77777777" w:rsidR="000548F2" w:rsidRDefault="00E84AFE">
          <w:pPr>
            <w:tabs>
              <w:tab w:val="left" w:pos="709"/>
            </w:tabs>
            <w:spacing w:after="40" w:line="240" w:lineRule="auto"/>
            <w:ind w:left="227"/>
            <w:rPr>
              <w:rFonts w:ascii="Calibri" w:hAnsi="Calibri" w:cs="Calibri"/>
              <w:sz w:val="18"/>
              <w:szCs w:val="20"/>
            </w:rPr>
          </w:pPr>
          <w:r>
            <w:rPr>
              <w:rFonts w:ascii="Calibri" w:hAnsi="Calibri" w:cs="Calibri"/>
              <w:b/>
              <w:sz w:val="18"/>
              <w:szCs w:val="20"/>
            </w:rPr>
            <w:t xml:space="preserve">T </w:t>
          </w:r>
          <w:r>
            <w:rPr>
              <w:rFonts w:ascii="Calibri" w:hAnsi="Calibri" w:cs="Calibri"/>
              <w:b/>
              <w:sz w:val="18"/>
              <w:szCs w:val="20"/>
            </w:rPr>
            <w:tab/>
          </w:r>
          <w:r>
            <w:rPr>
              <w:rFonts w:ascii="Calibri" w:hAnsi="Calibri" w:cs="Calibri"/>
              <w:sz w:val="18"/>
              <w:szCs w:val="20"/>
            </w:rPr>
            <w:t>+61 (0)2 8243 3900</w:t>
          </w:r>
        </w:p>
        <w:p w14:paraId="3DA9399A" w14:textId="77777777" w:rsidR="000548F2" w:rsidRDefault="00E84AFE">
          <w:pPr>
            <w:tabs>
              <w:tab w:val="left" w:pos="709"/>
            </w:tabs>
            <w:spacing w:after="40" w:line="240" w:lineRule="auto"/>
            <w:ind w:left="227"/>
            <w:rPr>
              <w:rFonts w:ascii="Calibri" w:hAnsi="Calibri" w:cs="Calibri"/>
              <w:b/>
              <w:sz w:val="18"/>
              <w:szCs w:val="20"/>
            </w:rPr>
          </w:pPr>
          <w:r>
            <w:rPr>
              <w:rFonts w:ascii="Calibri" w:hAnsi="Calibri" w:cs="Calibri"/>
              <w:b/>
              <w:sz w:val="18"/>
              <w:szCs w:val="20"/>
            </w:rPr>
            <w:t xml:space="preserve">F </w:t>
          </w:r>
          <w:r>
            <w:rPr>
              <w:rFonts w:ascii="Calibri" w:hAnsi="Calibri" w:cs="Calibri"/>
              <w:b/>
              <w:sz w:val="18"/>
              <w:szCs w:val="20"/>
            </w:rPr>
            <w:tab/>
          </w:r>
          <w:r>
            <w:rPr>
              <w:rFonts w:ascii="Calibri" w:hAnsi="Calibri" w:cs="Calibri"/>
              <w:sz w:val="18"/>
              <w:szCs w:val="20"/>
            </w:rPr>
            <w:t>+61 (0)2 8243 3939</w:t>
          </w:r>
        </w:p>
        <w:p w14:paraId="20138D6F" w14:textId="77777777" w:rsidR="000548F2" w:rsidRDefault="00E84AFE">
          <w:pPr>
            <w:tabs>
              <w:tab w:val="left" w:pos="709"/>
            </w:tabs>
            <w:spacing w:after="160" w:line="240" w:lineRule="auto"/>
            <w:ind w:left="227"/>
            <w:rPr>
              <w:rFonts w:ascii="Calibri" w:hAnsi="Calibri" w:cs="Calibri"/>
              <w:b/>
              <w:sz w:val="18"/>
              <w:szCs w:val="20"/>
            </w:rPr>
          </w:pPr>
          <w:r>
            <w:rPr>
              <w:rFonts w:ascii="Calibri" w:hAnsi="Calibri" w:cs="Calibri"/>
              <w:b/>
              <w:sz w:val="18"/>
              <w:szCs w:val="20"/>
            </w:rPr>
            <w:t xml:space="preserve">E </w:t>
          </w:r>
          <w:r>
            <w:rPr>
              <w:rFonts w:ascii="Calibri" w:hAnsi="Calibri" w:cs="Calibri"/>
              <w:b/>
              <w:sz w:val="18"/>
              <w:szCs w:val="20"/>
            </w:rPr>
            <w:tab/>
          </w:r>
          <w:r>
            <w:rPr>
              <w:rFonts w:ascii="Calibri" w:hAnsi="Calibri" w:cs="Calibri"/>
              <w:sz w:val="18"/>
              <w:szCs w:val="20"/>
            </w:rPr>
            <w:t>asf@securitisation.com.au</w:t>
          </w:r>
          <w:r>
            <w:rPr>
              <w:rFonts w:ascii="Calibri" w:hAnsi="Calibri" w:cs="Calibri"/>
              <w:b/>
              <w:sz w:val="18"/>
              <w:szCs w:val="20"/>
            </w:rPr>
            <w:t xml:space="preserve"> </w:t>
          </w:r>
        </w:p>
        <w:p w14:paraId="29258F8D" w14:textId="77777777" w:rsidR="000548F2" w:rsidRDefault="00E84AFE">
          <w:pPr>
            <w:spacing w:after="0" w:line="240" w:lineRule="auto"/>
            <w:ind w:left="227"/>
          </w:pPr>
          <w:r>
            <w:rPr>
              <w:rFonts w:ascii="Calibri" w:hAnsi="Calibri" w:cs="Calibri"/>
              <w:b/>
              <w:sz w:val="18"/>
              <w:szCs w:val="20"/>
            </w:rPr>
            <w:t>www.securitisation.com.au</w:t>
          </w:r>
        </w:p>
      </w:tc>
    </w:tr>
  </w:tbl>
  <w:p w14:paraId="397227BD" w14:textId="77777777" w:rsidR="000548F2" w:rsidRDefault="000548F2">
    <w:pPr>
      <w:rPr>
        <w:i/>
      </w:rPr>
    </w:pPr>
  </w:p>
  <w:p w14:paraId="6B6B4FA1" w14:textId="77777777" w:rsidR="000548F2" w:rsidRDefault="000548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4036"/>
    <w:multiLevelType w:val="hybridMultilevel"/>
    <w:tmpl w:val="F9C0ECB6"/>
    <w:lvl w:ilvl="0" w:tplc="DDCA4AF6">
      <w:numFmt w:val="bullet"/>
      <w:lvlText w:val=""/>
      <w:lvlJc w:val="left"/>
      <w:pPr>
        <w:ind w:left="720" w:hanging="360"/>
      </w:pPr>
      <w:rPr>
        <w:rFonts w:ascii="Symbol" w:eastAsia="Times New Roman" w:hAnsi="Symbol" w:cs="Times New Roman" w:hint="default"/>
      </w:rPr>
    </w:lvl>
    <w:lvl w:ilvl="1" w:tplc="9808DCB0">
      <w:numFmt w:val="bullet"/>
      <w:lvlText w:val=""/>
      <w:lvlJc w:val="left"/>
      <w:pPr>
        <w:ind w:left="1440" w:hanging="360"/>
      </w:pPr>
      <w:rPr>
        <w:rFonts w:ascii="Symbol" w:eastAsia="Times New Roman"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431FCA"/>
    <w:multiLevelType w:val="hybridMultilevel"/>
    <w:tmpl w:val="9048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D9F06E4"/>
    <w:multiLevelType w:val="singleLevel"/>
    <w:tmpl w:val="3146A2FC"/>
    <w:lvl w:ilvl="0">
      <w:start w:val="1"/>
      <w:numFmt w:val="bullet"/>
      <w:lvlText w:val=""/>
      <w:lvlJc w:val="left"/>
      <w:pPr>
        <w:tabs>
          <w:tab w:val="num" w:pos="737"/>
        </w:tabs>
        <w:ind w:left="737" w:hanging="737"/>
      </w:pPr>
      <w:rPr>
        <w:rFonts w:ascii="Symbol" w:hAnsi="Symbol" w:hint="default"/>
      </w:rPr>
    </w:lvl>
  </w:abstractNum>
  <w:abstractNum w:abstractNumId="3">
    <w:nsid w:val="200521C9"/>
    <w:multiLevelType w:val="hybridMultilevel"/>
    <w:tmpl w:val="49E42B16"/>
    <w:lvl w:ilvl="0" w:tplc="0C090001">
      <w:start w:val="1"/>
      <w:numFmt w:val="bullet"/>
      <w:lvlText w:val=""/>
      <w:lvlJc w:val="left"/>
      <w:pPr>
        <w:ind w:left="720" w:hanging="360"/>
      </w:pPr>
      <w:rPr>
        <w:rFonts w:ascii="Symbol" w:hAnsi="Symbol" w:hint="default"/>
      </w:rPr>
    </w:lvl>
    <w:lvl w:ilvl="1" w:tplc="6426A2FE">
      <w:start w:val="1"/>
      <w:numFmt w:val="bullet"/>
      <w:pStyle w:val="Bulletlevel2"/>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BB753B4"/>
    <w:multiLevelType w:val="hybridMultilevel"/>
    <w:tmpl w:val="27822F82"/>
    <w:lvl w:ilvl="0" w:tplc="1C64B1A2">
      <w:start w:val="1"/>
      <w:numFmt w:val="bullet"/>
      <w:pStyle w:val="Bulletlevel1"/>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DAC5F29"/>
    <w:multiLevelType w:val="singleLevel"/>
    <w:tmpl w:val="319208A0"/>
    <w:lvl w:ilvl="0">
      <w:start w:val="1"/>
      <w:numFmt w:val="bullet"/>
      <w:lvlText w:val=""/>
      <w:lvlJc w:val="left"/>
      <w:pPr>
        <w:tabs>
          <w:tab w:val="num" w:pos="737"/>
        </w:tabs>
        <w:ind w:left="737" w:hanging="737"/>
      </w:pPr>
      <w:rPr>
        <w:rFonts w:ascii="Symbol" w:hAnsi="Symbol" w:hint="default"/>
      </w:rPr>
    </w:lvl>
  </w:abstractNum>
  <w:abstractNum w:abstractNumId="6">
    <w:nsid w:val="2EB46F01"/>
    <w:multiLevelType w:val="hybridMultilevel"/>
    <w:tmpl w:val="9438A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2C107D"/>
    <w:multiLevelType w:val="singleLevel"/>
    <w:tmpl w:val="093825F4"/>
    <w:lvl w:ilvl="0">
      <w:start w:val="1"/>
      <w:numFmt w:val="bullet"/>
      <w:lvlText w:val=""/>
      <w:lvlJc w:val="left"/>
      <w:pPr>
        <w:tabs>
          <w:tab w:val="num" w:pos="737"/>
        </w:tabs>
        <w:ind w:left="737" w:hanging="737"/>
      </w:pPr>
      <w:rPr>
        <w:rFonts w:ascii="Symbol" w:hAnsi="Symbol" w:hint="default"/>
      </w:rPr>
    </w:lvl>
  </w:abstractNum>
  <w:abstractNum w:abstractNumId="8">
    <w:nsid w:val="3FF13740"/>
    <w:multiLevelType w:val="singleLevel"/>
    <w:tmpl w:val="0D80665E"/>
    <w:lvl w:ilvl="0">
      <w:start w:val="1"/>
      <w:numFmt w:val="bullet"/>
      <w:lvlText w:val=""/>
      <w:lvlJc w:val="left"/>
      <w:pPr>
        <w:tabs>
          <w:tab w:val="num" w:pos="737"/>
        </w:tabs>
        <w:ind w:left="737" w:hanging="737"/>
      </w:pPr>
      <w:rPr>
        <w:rFonts w:ascii="Symbol" w:hAnsi="Symbol" w:hint="default"/>
      </w:rPr>
    </w:lvl>
  </w:abstractNum>
  <w:abstractNum w:abstractNumId="9">
    <w:nsid w:val="53907CF4"/>
    <w:multiLevelType w:val="singleLevel"/>
    <w:tmpl w:val="A32A35BA"/>
    <w:lvl w:ilvl="0">
      <w:start w:val="1"/>
      <w:numFmt w:val="bullet"/>
      <w:lvlText w:val=""/>
      <w:lvlJc w:val="left"/>
      <w:pPr>
        <w:tabs>
          <w:tab w:val="num" w:pos="737"/>
        </w:tabs>
        <w:ind w:left="737" w:hanging="737"/>
      </w:pPr>
      <w:rPr>
        <w:rFonts w:ascii="Symbol" w:hAnsi="Symbol" w:hint="default"/>
      </w:rPr>
    </w:lvl>
  </w:abstractNum>
  <w:abstractNum w:abstractNumId="10">
    <w:nsid w:val="603C3334"/>
    <w:multiLevelType w:val="singleLevel"/>
    <w:tmpl w:val="4B4E7CA8"/>
    <w:lvl w:ilvl="0">
      <w:start w:val="1"/>
      <w:numFmt w:val="bullet"/>
      <w:lvlText w:val=""/>
      <w:lvlJc w:val="left"/>
      <w:pPr>
        <w:tabs>
          <w:tab w:val="num" w:pos="737"/>
        </w:tabs>
        <w:ind w:left="737" w:hanging="737"/>
      </w:pPr>
      <w:rPr>
        <w:rFonts w:ascii="Symbol" w:hAnsi="Symbol" w:hint="default"/>
      </w:rPr>
    </w:lvl>
  </w:abstractNum>
  <w:abstractNum w:abstractNumId="11">
    <w:nsid w:val="68AD7B3A"/>
    <w:multiLevelType w:val="singleLevel"/>
    <w:tmpl w:val="C01A1DE8"/>
    <w:lvl w:ilvl="0">
      <w:start w:val="1"/>
      <w:numFmt w:val="bullet"/>
      <w:lvlText w:val=""/>
      <w:lvlJc w:val="left"/>
      <w:pPr>
        <w:tabs>
          <w:tab w:val="num" w:pos="737"/>
        </w:tabs>
        <w:ind w:left="737" w:hanging="737"/>
      </w:pPr>
      <w:rPr>
        <w:rFonts w:ascii="Symbol" w:hAnsi="Symbol" w:hint="default"/>
      </w:rPr>
    </w:lvl>
  </w:abstractNum>
  <w:abstractNum w:abstractNumId="12">
    <w:nsid w:val="6E225E58"/>
    <w:multiLevelType w:val="singleLevel"/>
    <w:tmpl w:val="464A100C"/>
    <w:lvl w:ilvl="0">
      <w:start w:val="1"/>
      <w:numFmt w:val="bullet"/>
      <w:lvlText w:val=""/>
      <w:lvlJc w:val="left"/>
      <w:pPr>
        <w:tabs>
          <w:tab w:val="num" w:pos="737"/>
        </w:tabs>
        <w:ind w:left="737" w:hanging="737"/>
      </w:pPr>
      <w:rPr>
        <w:rFonts w:ascii="Symbol" w:hAnsi="Symbol" w:hint="default"/>
      </w:rPr>
    </w:lvl>
  </w:abstractNum>
  <w:abstractNum w:abstractNumId="13">
    <w:nsid w:val="78E65F21"/>
    <w:multiLevelType w:val="singleLevel"/>
    <w:tmpl w:val="43928716"/>
    <w:lvl w:ilvl="0">
      <w:start w:val="1"/>
      <w:numFmt w:val="bullet"/>
      <w:lvlText w:val=""/>
      <w:lvlJc w:val="left"/>
      <w:pPr>
        <w:tabs>
          <w:tab w:val="num" w:pos="737"/>
        </w:tabs>
        <w:ind w:left="737" w:hanging="737"/>
      </w:pPr>
      <w:rPr>
        <w:rFonts w:ascii="Symbol" w:hAnsi="Symbol" w:hint="default"/>
      </w:rPr>
    </w:lvl>
  </w:abstractNum>
  <w:abstractNum w:abstractNumId="14">
    <w:nsid w:val="7A8C12FB"/>
    <w:multiLevelType w:val="singleLevel"/>
    <w:tmpl w:val="FC54AA54"/>
    <w:lvl w:ilvl="0">
      <w:start w:val="1"/>
      <w:numFmt w:val="bullet"/>
      <w:lvlText w:val=""/>
      <w:lvlJc w:val="left"/>
      <w:pPr>
        <w:tabs>
          <w:tab w:val="num" w:pos="737"/>
        </w:tabs>
        <w:ind w:left="737" w:hanging="737"/>
      </w:pPr>
      <w:rPr>
        <w:rFonts w:ascii="Symbol" w:hAnsi="Symbol" w:hint="default"/>
      </w:rPr>
    </w:lvl>
  </w:abstractNum>
  <w:num w:numId="1">
    <w:abstractNumId w:val="7"/>
  </w:num>
  <w:num w:numId="2">
    <w:abstractNumId w:val="13"/>
  </w:num>
  <w:num w:numId="3">
    <w:abstractNumId w:val="10"/>
  </w:num>
  <w:num w:numId="4">
    <w:abstractNumId w:val="2"/>
  </w:num>
  <w:num w:numId="5">
    <w:abstractNumId w:val="5"/>
  </w:num>
  <w:num w:numId="6">
    <w:abstractNumId w:val="14"/>
  </w:num>
  <w:num w:numId="7">
    <w:abstractNumId w:val="9"/>
  </w:num>
  <w:num w:numId="8">
    <w:abstractNumId w:val="11"/>
  </w:num>
  <w:num w:numId="9">
    <w:abstractNumId w:val="8"/>
  </w:num>
  <w:num w:numId="10">
    <w:abstractNumId w:val="12"/>
  </w:num>
  <w:num w:numId="11">
    <w:abstractNumId w:val="1"/>
  </w:num>
  <w:num w:numId="12">
    <w:abstractNumId w:val="0"/>
  </w:num>
  <w:num w:numId="13">
    <w:abstractNumId w:val="6"/>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 w:val="10109176"/>
  </w:docVars>
  <w:rsids>
    <w:rsidRoot w:val="000548F2"/>
    <w:rsid w:val="000548F2"/>
    <w:rsid w:val="00406B31"/>
    <w:rsid w:val="00E84AFE"/>
    <w:rsid w:val="00ED25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42B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22F"/>
    <w:pPr>
      <w:spacing w:after="200" w:line="288" w:lineRule="auto"/>
    </w:pPr>
    <w:rPr>
      <w:rFonts w:asciiTheme="minorHAnsi" w:hAnsiTheme="minorHAns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690B"/>
    <w:pPr>
      <w:tabs>
        <w:tab w:val="center" w:pos="4153"/>
        <w:tab w:val="right" w:pos="8306"/>
      </w:tabs>
    </w:pPr>
  </w:style>
  <w:style w:type="character" w:styleId="Hyperlink">
    <w:name w:val="Hyperlink"/>
    <w:rsid w:val="00B2690B"/>
    <w:rPr>
      <w:color w:val="0000FF"/>
      <w:u w:val="single"/>
    </w:rPr>
  </w:style>
  <w:style w:type="paragraph" w:styleId="Header">
    <w:name w:val="header"/>
    <w:basedOn w:val="Normal"/>
    <w:rsid w:val="00D36D3B"/>
    <w:pPr>
      <w:tabs>
        <w:tab w:val="center" w:pos="4153"/>
        <w:tab w:val="right" w:pos="8306"/>
      </w:tabs>
    </w:pPr>
  </w:style>
  <w:style w:type="paragraph" w:customStyle="1" w:styleId="Text">
    <w:name w:val="Text"/>
    <w:basedOn w:val="Normal"/>
    <w:rsid w:val="000C327F"/>
    <w:pPr>
      <w:tabs>
        <w:tab w:val="left" w:pos="283"/>
      </w:tabs>
      <w:spacing w:after="113" w:line="280" w:lineRule="exact"/>
      <w:ind w:left="567"/>
    </w:pPr>
    <w:rPr>
      <w:rFonts w:ascii="New York" w:hAnsi="New York"/>
      <w:sz w:val="20"/>
      <w:szCs w:val="20"/>
    </w:rPr>
  </w:style>
  <w:style w:type="paragraph" w:customStyle="1" w:styleId="SubHeads">
    <w:name w:val="Sub Heads"/>
    <w:basedOn w:val="Normal"/>
    <w:rsid w:val="000C327F"/>
    <w:pPr>
      <w:spacing w:after="170" w:line="280" w:lineRule="exact"/>
    </w:pPr>
    <w:rPr>
      <w:rFonts w:ascii="New York" w:hAnsi="New York"/>
      <w:spacing w:val="5"/>
      <w:szCs w:val="20"/>
    </w:rPr>
  </w:style>
  <w:style w:type="paragraph" w:styleId="BalloonText">
    <w:name w:val="Balloon Text"/>
    <w:basedOn w:val="Normal"/>
    <w:link w:val="BalloonTextChar"/>
    <w:rsid w:val="00C74364"/>
    <w:rPr>
      <w:rFonts w:ascii="Tahoma" w:hAnsi="Tahoma" w:cs="Tahoma"/>
      <w:sz w:val="16"/>
      <w:szCs w:val="16"/>
    </w:rPr>
  </w:style>
  <w:style w:type="character" w:customStyle="1" w:styleId="BalloonTextChar">
    <w:name w:val="Balloon Text Char"/>
    <w:basedOn w:val="DefaultParagraphFont"/>
    <w:link w:val="BalloonText"/>
    <w:rsid w:val="00C74364"/>
    <w:rPr>
      <w:rFonts w:ascii="Tahoma" w:hAnsi="Tahoma" w:cs="Tahoma"/>
      <w:sz w:val="16"/>
      <w:szCs w:val="16"/>
    </w:rPr>
  </w:style>
  <w:style w:type="table" w:styleId="TableGrid">
    <w:name w:val="Table Grid"/>
    <w:basedOn w:val="TableNormal"/>
    <w:rsid w:val="00C743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65558E"/>
    <w:rPr>
      <w:sz w:val="24"/>
      <w:szCs w:val="24"/>
    </w:rPr>
  </w:style>
  <w:style w:type="paragraph" w:styleId="ListParagraph">
    <w:name w:val="List Paragraph"/>
    <w:basedOn w:val="Normal"/>
    <w:link w:val="ListParagraphChar"/>
    <w:uiPriority w:val="34"/>
    <w:qFormat/>
    <w:rsid w:val="008C3DEF"/>
    <w:pPr>
      <w:ind w:left="720"/>
      <w:contextualSpacing/>
    </w:pPr>
  </w:style>
  <w:style w:type="paragraph" w:customStyle="1" w:styleId="Bulletlevel1">
    <w:name w:val="Bullet level 1"/>
    <w:basedOn w:val="ListParagraph"/>
    <w:link w:val="Bulletlevel1Char"/>
    <w:qFormat/>
    <w:rsid w:val="004644D8"/>
    <w:pPr>
      <w:numPr>
        <w:numId w:val="14"/>
      </w:numPr>
      <w:spacing w:after="80"/>
      <w:ind w:left="357" w:hanging="357"/>
      <w:contextualSpacing w:val="0"/>
    </w:pPr>
  </w:style>
  <w:style w:type="paragraph" w:customStyle="1" w:styleId="Bulletlevel2">
    <w:name w:val="Bullet level 2"/>
    <w:basedOn w:val="ListParagraph"/>
    <w:link w:val="Bulletlevel2Char"/>
    <w:qFormat/>
    <w:rsid w:val="004644D8"/>
    <w:pPr>
      <w:numPr>
        <w:ilvl w:val="1"/>
        <w:numId w:val="15"/>
      </w:numPr>
      <w:spacing w:after="80"/>
      <w:ind w:left="714" w:hanging="357"/>
      <w:contextualSpacing w:val="0"/>
    </w:pPr>
  </w:style>
  <w:style w:type="character" w:customStyle="1" w:styleId="ListParagraphChar">
    <w:name w:val="List Paragraph Char"/>
    <w:basedOn w:val="DefaultParagraphFont"/>
    <w:link w:val="ListParagraph"/>
    <w:uiPriority w:val="34"/>
    <w:rsid w:val="004644D8"/>
    <w:rPr>
      <w:rFonts w:asciiTheme="minorHAnsi" w:hAnsiTheme="minorHAnsi"/>
      <w:sz w:val="22"/>
      <w:szCs w:val="24"/>
    </w:rPr>
  </w:style>
  <w:style w:type="character" w:customStyle="1" w:styleId="Bulletlevel1Char">
    <w:name w:val="Bullet level 1 Char"/>
    <w:basedOn w:val="ListParagraphChar"/>
    <w:link w:val="Bulletlevel1"/>
    <w:rsid w:val="004644D8"/>
    <w:rPr>
      <w:rFonts w:asciiTheme="minorHAnsi" w:hAnsiTheme="minorHAnsi"/>
      <w:sz w:val="22"/>
      <w:szCs w:val="24"/>
    </w:rPr>
  </w:style>
  <w:style w:type="character" w:customStyle="1" w:styleId="Bulletlevel2Char">
    <w:name w:val="Bullet level 2 Char"/>
    <w:basedOn w:val="ListParagraphChar"/>
    <w:link w:val="Bulletlevel2"/>
    <w:rsid w:val="004644D8"/>
    <w:rPr>
      <w:rFonts w:asciiTheme="minorHAnsi" w:hAnsiTheme="minorHAns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22F"/>
    <w:pPr>
      <w:spacing w:after="200" w:line="288" w:lineRule="auto"/>
    </w:pPr>
    <w:rPr>
      <w:rFonts w:asciiTheme="minorHAnsi" w:hAnsiTheme="minorHAns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690B"/>
    <w:pPr>
      <w:tabs>
        <w:tab w:val="center" w:pos="4153"/>
        <w:tab w:val="right" w:pos="8306"/>
      </w:tabs>
    </w:pPr>
  </w:style>
  <w:style w:type="character" w:styleId="Hyperlink">
    <w:name w:val="Hyperlink"/>
    <w:rsid w:val="00B2690B"/>
    <w:rPr>
      <w:color w:val="0000FF"/>
      <w:u w:val="single"/>
    </w:rPr>
  </w:style>
  <w:style w:type="paragraph" w:styleId="Header">
    <w:name w:val="header"/>
    <w:basedOn w:val="Normal"/>
    <w:rsid w:val="00D36D3B"/>
    <w:pPr>
      <w:tabs>
        <w:tab w:val="center" w:pos="4153"/>
        <w:tab w:val="right" w:pos="8306"/>
      </w:tabs>
    </w:pPr>
  </w:style>
  <w:style w:type="paragraph" w:customStyle="1" w:styleId="Text">
    <w:name w:val="Text"/>
    <w:basedOn w:val="Normal"/>
    <w:rsid w:val="000C327F"/>
    <w:pPr>
      <w:tabs>
        <w:tab w:val="left" w:pos="283"/>
      </w:tabs>
      <w:spacing w:after="113" w:line="280" w:lineRule="exact"/>
      <w:ind w:left="567"/>
    </w:pPr>
    <w:rPr>
      <w:rFonts w:ascii="New York" w:hAnsi="New York"/>
      <w:sz w:val="20"/>
      <w:szCs w:val="20"/>
    </w:rPr>
  </w:style>
  <w:style w:type="paragraph" w:customStyle="1" w:styleId="SubHeads">
    <w:name w:val="Sub Heads"/>
    <w:basedOn w:val="Normal"/>
    <w:rsid w:val="000C327F"/>
    <w:pPr>
      <w:spacing w:after="170" w:line="280" w:lineRule="exact"/>
    </w:pPr>
    <w:rPr>
      <w:rFonts w:ascii="New York" w:hAnsi="New York"/>
      <w:spacing w:val="5"/>
      <w:szCs w:val="20"/>
    </w:rPr>
  </w:style>
  <w:style w:type="paragraph" w:styleId="BalloonText">
    <w:name w:val="Balloon Text"/>
    <w:basedOn w:val="Normal"/>
    <w:link w:val="BalloonTextChar"/>
    <w:rsid w:val="00C74364"/>
    <w:rPr>
      <w:rFonts w:ascii="Tahoma" w:hAnsi="Tahoma" w:cs="Tahoma"/>
      <w:sz w:val="16"/>
      <w:szCs w:val="16"/>
    </w:rPr>
  </w:style>
  <w:style w:type="character" w:customStyle="1" w:styleId="BalloonTextChar">
    <w:name w:val="Balloon Text Char"/>
    <w:basedOn w:val="DefaultParagraphFont"/>
    <w:link w:val="BalloonText"/>
    <w:rsid w:val="00C74364"/>
    <w:rPr>
      <w:rFonts w:ascii="Tahoma" w:hAnsi="Tahoma" w:cs="Tahoma"/>
      <w:sz w:val="16"/>
      <w:szCs w:val="16"/>
    </w:rPr>
  </w:style>
  <w:style w:type="table" w:styleId="TableGrid">
    <w:name w:val="Table Grid"/>
    <w:basedOn w:val="TableNormal"/>
    <w:rsid w:val="00C743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65558E"/>
    <w:rPr>
      <w:sz w:val="24"/>
      <w:szCs w:val="24"/>
    </w:rPr>
  </w:style>
  <w:style w:type="paragraph" w:styleId="ListParagraph">
    <w:name w:val="List Paragraph"/>
    <w:basedOn w:val="Normal"/>
    <w:link w:val="ListParagraphChar"/>
    <w:uiPriority w:val="34"/>
    <w:qFormat/>
    <w:rsid w:val="008C3DEF"/>
    <w:pPr>
      <w:ind w:left="720"/>
      <w:contextualSpacing/>
    </w:pPr>
  </w:style>
  <w:style w:type="paragraph" w:customStyle="1" w:styleId="Bulletlevel1">
    <w:name w:val="Bullet level 1"/>
    <w:basedOn w:val="ListParagraph"/>
    <w:link w:val="Bulletlevel1Char"/>
    <w:qFormat/>
    <w:rsid w:val="004644D8"/>
    <w:pPr>
      <w:numPr>
        <w:numId w:val="14"/>
      </w:numPr>
      <w:spacing w:after="80"/>
      <w:ind w:left="357" w:hanging="357"/>
      <w:contextualSpacing w:val="0"/>
    </w:pPr>
  </w:style>
  <w:style w:type="paragraph" w:customStyle="1" w:styleId="Bulletlevel2">
    <w:name w:val="Bullet level 2"/>
    <w:basedOn w:val="ListParagraph"/>
    <w:link w:val="Bulletlevel2Char"/>
    <w:qFormat/>
    <w:rsid w:val="004644D8"/>
    <w:pPr>
      <w:numPr>
        <w:ilvl w:val="1"/>
        <w:numId w:val="15"/>
      </w:numPr>
      <w:spacing w:after="80"/>
      <w:ind w:left="714" w:hanging="357"/>
      <w:contextualSpacing w:val="0"/>
    </w:pPr>
  </w:style>
  <w:style w:type="character" w:customStyle="1" w:styleId="ListParagraphChar">
    <w:name w:val="List Paragraph Char"/>
    <w:basedOn w:val="DefaultParagraphFont"/>
    <w:link w:val="ListParagraph"/>
    <w:uiPriority w:val="34"/>
    <w:rsid w:val="004644D8"/>
    <w:rPr>
      <w:rFonts w:asciiTheme="minorHAnsi" w:hAnsiTheme="minorHAnsi"/>
      <w:sz w:val="22"/>
      <w:szCs w:val="24"/>
    </w:rPr>
  </w:style>
  <w:style w:type="character" w:customStyle="1" w:styleId="Bulletlevel1Char">
    <w:name w:val="Bullet level 1 Char"/>
    <w:basedOn w:val="ListParagraphChar"/>
    <w:link w:val="Bulletlevel1"/>
    <w:rsid w:val="004644D8"/>
    <w:rPr>
      <w:rFonts w:asciiTheme="minorHAnsi" w:hAnsiTheme="minorHAnsi"/>
      <w:sz w:val="22"/>
      <w:szCs w:val="24"/>
    </w:rPr>
  </w:style>
  <w:style w:type="character" w:customStyle="1" w:styleId="Bulletlevel2Char">
    <w:name w:val="Bullet level 2 Char"/>
    <w:basedOn w:val="ListParagraphChar"/>
    <w:link w:val="Bulletlevel2"/>
    <w:rsid w:val="004644D8"/>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9D48B736A86D74A9C587EE59E4B132B" ma:contentTypeVersion="19" ma:contentTypeDescription=" " ma:contentTypeScope="" ma:versionID="414c0f03d4fb3c042765bd9ff023c538">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07d07b15be81c57bcffa7af6caa82bd"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0;#TSY RA-9049 - Retain as national archives|c7a196f8-aab8-4135-b264-b5edf868478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20</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RA-9049 - Retain as national archives</TermName>
          <TermId xmlns="http://schemas.microsoft.com/office/infopath/2007/PartnerControls">c7a196f8-aab8-4135-b264-b5edf8684786</TermId>
        </TermInfo>
      </Terms>
    </lb508a4dc5e84436a0fe496b536466aa>
    <_dlc_DocId xmlns="d4dd4adf-ddb3-46a3-8d7c-fab3fb2a6bc7">2014MG-96-11138</_dlc_DocId>
    <_dlc_DocIdUrl xmlns="d4dd4adf-ddb3-46a3-8d7c-fab3fb2a6bc7">
      <Url>http://tweb13/sites/mg/fsd/_layouts/15/DocIdRedir.aspx?ID=2014MG-96-11138</Url>
      <Description>2014MG-96-11138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B6977-79ED-4788-ADF0-A281B8C2D622}">
  <ds:schemaRefs>
    <ds:schemaRef ds:uri="http://schemas.microsoft.com/sharepoint/v3/contenttype/forms"/>
  </ds:schemaRefs>
</ds:datastoreItem>
</file>

<file path=customXml/itemProps2.xml><?xml version="1.0" encoding="utf-8"?>
<ds:datastoreItem xmlns:ds="http://schemas.openxmlformats.org/officeDocument/2006/customXml" ds:itemID="{C6C577FF-7C54-4C40-BCFC-40AA46ABB8BE}">
  <ds:schemaRefs>
    <ds:schemaRef ds:uri="http://schemas.microsoft.com/sharepoint/events"/>
  </ds:schemaRefs>
</ds:datastoreItem>
</file>

<file path=customXml/itemProps3.xml><?xml version="1.0" encoding="utf-8"?>
<ds:datastoreItem xmlns:ds="http://schemas.openxmlformats.org/officeDocument/2006/customXml" ds:itemID="{DB242011-AEF2-4604-B432-FB021E1E5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B8D33-9B6D-4C93-AF0D-E7DE72D5D38B}">
  <ds:schemaRefs>
    <ds:schemaRef ds:uri="http://schemas.microsoft.com/office/2006/metadata/properties"/>
    <ds:schemaRef ds:uri="http://schemas.microsoft.com/office/infopath/2007/PartnerControls"/>
    <ds:schemaRef ds:uri="http://schemas.microsoft.com/sharepoint/v4"/>
    <ds:schemaRef ds:uri="d4dd4adf-ddb3-46a3-8d7c-fab3fb2a6bc7"/>
  </ds:schemaRefs>
</ds:datastoreItem>
</file>

<file path=customXml/itemProps5.xml><?xml version="1.0" encoding="utf-8"?>
<ds:datastoreItem xmlns:ds="http://schemas.openxmlformats.org/officeDocument/2006/customXml" ds:itemID="{1A88528B-A70A-41B9-B66A-A6C5C496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3741</Characters>
  <Application>Microsoft Office Word</Application>
  <DocSecurity>0</DocSecurity>
  <Lines>84</Lines>
  <Paragraphs>34</Paragraphs>
  <ScaleCrop>false</ScaleCrop>
  <Company/>
  <LinksUpToDate>false</LinksUpToDate>
  <CharactersWithSpaces>4380</CharactersWithSpaces>
  <SharedDoc>false</SharedDoc>
  <HyperlinkBase/>
  <HLinks>
    <vt:vector size="6" baseType="variant">
      <vt:variant>
        <vt:i4>1966196</vt:i4>
      </vt:variant>
      <vt:variant>
        <vt:i4>0</vt:i4>
      </vt:variant>
      <vt:variant>
        <vt:i4>0</vt:i4>
      </vt:variant>
      <vt:variant>
        <vt:i4>5</vt:i4>
      </vt:variant>
      <vt:variant>
        <vt:lpwstr>mailto:cdalton@securitisation.com.au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Securitisation Forum - OTC derivatives central clearing and single-sided trade reporting</dc:title>
  <dc:creator/>
  <cp:lastModifiedBy/>
  <cp:revision>1</cp:revision>
  <dcterms:created xsi:type="dcterms:W3CDTF">2015-09-14T02:47:00Z</dcterms:created>
  <dcterms:modified xsi:type="dcterms:W3CDTF">2015-09-14T02:47:00Z</dcterms:modified>
  <dc:language>English</dc:language>
</cp:coreProperties>
</file>