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7FAD7" w14:textId="77777777" w:rsidR="00C04F1A" w:rsidRPr="00C04F1A" w:rsidRDefault="00C04F1A" w:rsidP="00C04F1A">
      <w:pPr>
        <w:rPr>
          <w:sz w:val="20"/>
        </w:rPr>
      </w:pPr>
      <w:bookmarkStart w:id="0" w:name="_GoBack"/>
      <w:bookmarkEnd w:id="0"/>
      <w:r w:rsidRPr="00C04F1A">
        <w:rPr>
          <w:sz w:val="20"/>
        </w:rPr>
        <w:t>Manager</w:t>
      </w:r>
      <w:r w:rsidRPr="00C04F1A">
        <w:rPr>
          <w:sz w:val="20"/>
        </w:rPr>
        <w:br/>
        <w:t>Banking and Capital Markets Regulation Unit</w:t>
      </w:r>
      <w:r w:rsidRPr="00C04F1A">
        <w:rPr>
          <w:sz w:val="20"/>
        </w:rPr>
        <w:br/>
        <w:t>Financial Systems and Services Division</w:t>
      </w:r>
      <w:r w:rsidRPr="00C04F1A">
        <w:rPr>
          <w:sz w:val="20"/>
        </w:rPr>
        <w:br/>
        <w:t>The Treasury</w:t>
      </w:r>
      <w:r w:rsidRPr="00C04F1A">
        <w:rPr>
          <w:sz w:val="20"/>
        </w:rPr>
        <w:br/>
        <w:t>Langton Crescent</w:t>
      </w:r>
      <w:r w:rsidRPr="00C04F1A">
        <w:rPr>
          <w:sz w:val="20"/>
        </w:rPr>
        <w:br/>
        <w:t>PARKES ACT 2600</w:t>
      </w:r>
    </w:p>
    <w:p w14:paraId="20AF0A89" w14:textId="77777777" w:rsidR="00C04F1A" w:rsidRPr="005E2E64" w:rsidRDefault="00C04F1A" w:rsidP="00C04F1A">
      <w:pPr>
        <w:rPr>
          <w:i/>
          <w:sz w:val="20"/>
        </w:rPr>
      </w:pPr>
      <w:r w:rsidRPr="005E2E64">
        <w:rPr>
          <w:i/>
          <w:sz w:val="20"/>
        </w:rPr>
        <w:t xml:space="preserve">via email: </w:t>
      </w:r>
      <w:hyperlink r:id="rId14" w:history="1">
        <w:r w:rsidRPr="00C04F1A">
          <w:rPr>
            <w:rStyle w:val="Hyperlink"/>
            <w:i/>
            <w:sz w:val="20"/>
          </w:rPr>
          <w:t>financialmarkets@treasury.gov.au</w:t>
        </w:r>
      </w:hyperlink>
    </w:p>
    <w:p w14:paraId="7633E9FB" w14:textId="77777777" w:rsidR="00C947A4" w:rsidRPr="005E2E64" w:rsidRDefault="00C947A4" w:rsidP="00E86BA0">
      <w:pPr>
        <w:pStyle w:val="RecipientDetails"/>
        <w:jc w:val="right"/>
        <w:rPr>
          <w:sz w:val="20"/>
        </w:rPr>
      </w:pPr>
    </w:p>
    <w:p w14:paraId="40A43593" w14:textId="77777777" w:rsidR="00B5318B" w:rsidRPr="005E2E64" w:rsidRDefault="00B5318B" w:rsidP="00E86BA0">
      <w:pPr>
        <w:pStyle w:val="RecipientDetails"/>
        <w:jc w:val="right"/>
        <w:rPr>
          <w:b w:val="0"/>
          <w:sz w:val="20"/>
        </w:rPr>
      </w:pPr>
      <w:r w:rsidRPr="005E2E64">
        <w:rPr>
          <w:b w:val="0"/>
          <w:sz w:val="20"/>
        </w:rPr>
        <w:fldChar w:fldCharType="begin"/>
      </w:r>
      <w:r w:rsidRPr="005E2E64">
        <w:rPr>
          <w:b w:val="0"/>
          <w:sz w:val="20"/>
        </w:rPr>
        <w:instrText xml:space="preserve"> DATE \@ "d MMMM yyyy" </w:instrText>
      </w:r>
      <w:r w:rsidRPr="005E2E64">
        <w:rPr>
          <w:b w:val="0"/>
          <w:sz w:val="20"/>
        </w:rPr>
        <w:fldChar w:fldCharType="separate"/>
      </w:r>
      <w:r w:rsidR="0066791B">
        <w:rPr>
          <w:b w:val="0"/>
          <w:noProof/>
          <w:sz w:val="20"/>
        </w:rPr>
        <w:t>14 September 2015</w:t>
      </w:r>
      <w:r w:rsidRPr="005E2E64">
        <w:rPr>
          <w:b w:val="0"/>
          <w:sz w:val="20"/>
        </w:rPr>
        <w:fldChar w:fldCharType="end"/>
      </w:r>
    </w:p>
    <w:p w14:paraId="76A817C0" w14:textId="77777777" w:rsidR="00B5318B" w:rsidRPr="005E2E64" w:rsidRDefault="00B5318B" w:rsidP="00B5318B">
      <w:pPr>
        <w:tabs>
          <w:tab w:val="left" w:pos="2340"/>
        </w:tabs>
        <w:rPr>
          <w:sz w:val="20"/>
        </w:rPr>
      </w:pPr>
    </w:p>
    <w:p w14:paraId="29A4084D" w14:textId="77777777" w:rsidR="00B5318B" w:rsidRPr="005E2E64" w:rsidRDefault="00B5318B" w:rsidP="00B5318B">
      <w:pPr>
        <w:rPr>
          <w:sz w:val="20"/>
        </w:rPr>
      </w:pPr>
    </w:p>
    <w:p w14:paraId="14DF4D03" w14:textId="77777777" w:rsidR="00B5318B" w:rsidRPr="005E2E64" w:rsidRDefault="00E86BA0" w:rsidP="00B5318B">
      <w:pPr>
        <w:rPr>
          <w:sz w:val="20"/>
        </w:rPr>
      </w:pPr>
      <w:r w:rsidRPr="005E2E64">
        <w:rPr>
          <w:sz w:val="20"/>
        </w:rPr>
        <w:t>Dear Mr</w:t>
      </w:r>
      <w:r w:rsidR="00AA0768">
        <w:rPr>
          <w:sz w:val="20"/>
        </w:rPr>
        <w:t xml:space="preserve"> </w:t>
      </w:r>
      <w:r w:rsidR="00C04F1A">
        <w:rPr>
          <w:sz w:val="20"/>
        </w:rPr>
        <w:t>McAuliffe</w:t>
      </w:r>
      <w:r w:rsidR="00B5318B" w:rsidRPr="005E2E64">
        <w:rPr>
          <w:sz w:val="20"/>
        </w:rPr>
        <w:t>,</w:t>
      </w:r>
    </w:p>
    <w:p w14:paraId="559A3A2A" w14:textId="77777777" w:rsidR="005636D9" w:rsidRDefault="00C04F1A" w:rsidP="00883225">
      <w:pPr>
        <w:spacing w:before="240" w:after="240"/>
        <w:rPr>
          <w:b/>
          <w:sz w:val="20"/>
        </w:rPr>
      </w:pPr>
      <w:r>
        <w:rPr>
          <w:b/>
          <w:sz w:val="20"/>
        </w:rPr>
        <w:t>OTC Derivatives Central Clearing and Single-Sided Trade Reporting</w:t>
      </w:r>
    </w:p>
    <w:p w14:paraId="18B64171" w14:textId="77777777" w:rsidR="00F24470" w:rsidRDefault="00F640D7" w:rsidP="00F640D7">
      <w:pPr>
        <w:spacing w:before="0" w:after="0"/>
        <w:rPr>
          <w:rFonts w:cs="Arial"/>
          <w:color w:val="000000"/>
          <w:sz w:val="20"/>
        </w:rPr>
      </w:pPr>
      <w:r w:rsidRPr="00411595">
        <w:rPr>
          <w:rFonts w:cs="Arial"/>
          <w:color w:val="000000"/>
          <w:sz w:val="20"/>
        </w:rPr>
        <w:t>AGL welcomes</w:t>
      </w:r>
      <w:r>
        <w:rPr>
          <w:rFonts w:cs="Arial"/>
          <w:color w:val="000000"/>
          <w:sz w:val="20"/>
        </w:rPr>
        <w:t xml:space="preserve"> </w:t>
      </w:r>
      <w:r w:rsidRPr="00411595">
        <w:rPr>
          <w:rFonts w:cs="Arial"/>
          <w:color w:val="000000"/>
          <w:sz w:val="20"/>
        </w:rPr>
        <w:t xml:space="preserve">the opportunity to </w:t>
      </w:r>
      <w:r>
        <w:rPr>
          <w:rFonts w:cs="Arial"/>
          <w:color w:val="000000"/>
          <w:sz w:val="20"/>
        </w:rPr>
        <w:t xml:space="preserve">respond </w:t>
      </w:r>
      <w:r w:rsidRPr="00411595">
        <w:rPr>
          <w:rFonts w:cs="Arial"/>
          <w:color w:val="000000"/>
          <w:sz w:val="20"/>
        </w:rPr>
        <w:t xml:space="preserve">to </w:t>
      </w:r>
      <w:r w:rsidR="008529AE">
        <w:rPr>
          <w:rFonts w:cs="Arial"/>
          <w:color w:val="000000"/>
          <w:sz w:val="20"/>
        </w:rPr>
        <w:t xml:space="preserve">draft amendments to the </w:t>
      </w:r>
      <w:r w:rsidR="008529AE" w:rsidRPr="00186616">
        <w:rPr>
          <w:rFonts w:cs="Arial"/>
          <w:i/>
          <w:color w:val="000000"/>
          <w:sz w:val="20"/>
        </w:rPr>
        <w:t>Corporations Regulations 2001</w:t>
      </w:r>
      <w:r w:rsidR="008529AE">
        <w:rPr>
          <w:rFonts w:cs="Arial"/>
          <w:color w:val="000000"/>
          <w:sz w:val="20"/>
        </w:rPr>
        <w:t xml:space="preserve"> relating to reporting requirements for over the counter (OTC) derivative transactions</w:t>
      </w:r>
      <w:r>
        <w:rPr>
          <w:rFonts w:cs="Arial"/>
          <w:color w:val="000000"/>
          <w:sz w:val="20"/>
        </w:rPr>
        <w:t xml:space="preserve">. </w:t>
      </w:r>
    </w:p>
    <w:p w14:paraId="22F939E9" w14:textId="77777777" w:rsidR="00F24470" w:rsidRDefault="00F24470" w:rsidP="00F640D7">
      <w:pPr>
        <w:spacing w:before="0" w:after="0"/>
        <w:rPr>
          <w:rFonts w:cs="Arial"/>
          <w:color w:val="000000"/>
          <w:sz w:val="20"/>
        </w:rPr>
      </w:pPr>
    </w:p>
    <w:p w14:paraId="2D2D959F" w14:textId="77777777" w:rsidR="00D743DA" w:rsidRDefault="00D743DA" w:rsidP="00D743DA">
      <w:pPr>
        <w:spacing w:before="0" w:after="0"/>
        <w:rPr>
          <w:rFonts w:cs="Arial"/>
          <w:color w:val="000000"/>
          <w:sz w:val="20"/>
        </w:rPr>
      </w:pPr>
      <w:r w:rsidRPr="00AA6401">
        <w:rPr>
          <w:rFonts w:cs="Arial"/>
          <w:color w:val="000000"/>
          <w:sz w:val="20"/>
        </w:rPr>
        <w:t xml:space="preserve">AGL is one of Australia’s largest vertically integrated electricity </w:t>
      </w:r>
      <w:r>
        <w:rPr>
          <w:rFonts w:cs="Arial"/>
          <w:color w:val="000000"/>
          <w:sz w:val="20"/>
        </w:rPr>
        <w:t xml:space="preserve">and gas </w:t>
      </w:r>
      <w:r w:rsidRPr="00AA6401">
        <w:rPr>
          <w:rFonts w:cs="Arial"/>
          <w:color w:val="000000"/>
          <w:sz w:val="20"/>
        </w:rPr>
        <w:t>retailers</w:t>
      </w:r>
      <w:r>
        <w:rPr>
          <w:rFonts w:cs="Arial"/>
          <w:color w:val="000000"/>
          <w:sz w:val="20"/>
        </w:rPr>
        <w:t>,</w:t>
      </w:r>
      <w:r w:rsidRPr="00AA6401">
        <w:rPr>
          <w:rFonts w:cs="Arial"/>
          <w:color w:val="000000"/>
          <w:sz w:val="20"/>
        </w:rPr>
        <w:t xml:space="preserve"> with </w:t>
      </w:r>
      <w:r>
        <w:rPr>
          <w:rFonts w:cs="Arial"/>
          <w:color w:val="000000"/>
          <w:sz w:val="20"/>
        </w:rPr>
        <w:t>3.8</w:t>
      </w:r>
      <w:r w:rsidRPr="00AA6401">
        <w:rPr>
          <w:rFonts w:cs="Arial"/>
          <w:color w:val="000000"/>
          <w:sz w:val="20"/>
        </w:rPr>
        <w:t xml:space="preserve"> million customers and </w:t>
      </w:r>
      <w:r>
        <w:rPr>
          <w:rFonts w:cs="Arial"/>
          <w:color w:val="000000"/>
          <w:sz w:val="20"/>
        </w:rPr>
        <w:t xml:space="preserve">over 10,500 MW of generation capacity. AGL, like many non-financial entities in the energy sector, enters into OTC derivatives to hedge its commercial risks. </w:t>
      </w:r>
    </w:p>
    <w:p w14:paraId="349953FD" w14:textId="77777777" w:rsidR="00D743DA" w:rsidRDefault="00D743DA" w:rsidP="00F640D7">
      <w:pPr>
        <w:spacing w:before="0" w:after="0"/>
        <w:rPr>
          <w:rFonts w:cs="Arial"/>
          <w:color w:val="000000"/>
          <w:sz w:val="20"/>
        </w:rPr>
      </w:pPr>
    </w:p>
    <w:p w14:paraId="4E2F596A" w14:textId="69231887" w:rsidR="00F640D7" w:rsidRDefault="00F640D7" w:rsidP="00F640D7">
      <w:pPr>
        <w:spacing w:before="0" w:after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AGL has been </w:t>
      </w:r>
      <w:r w:rsidR="00D743DA">
        <w:rPr>
          <w:rFonts w:cs="Arial"/>
          <w:color w:val="000000"/>
          <w:sz w:val="20"/>
        </w:rPr>
        <w:t xml:space="preserve">supportive </w:t>
      </w:r>
      <w:r>
        <w:rPr>
          <w:rFonts w:cs="Arial"/>
          <w:color w:val="000000"/>
          <w:sz w:val="20"/>
        </w:rPr>
        <w:t xml:space="preserve">of </w:t>
      </w:r>
      <w:r w:rsidRPr="00DD4653">
        <w:rPr>
          <w:rFonts w:cs="Arial"/>
          <w:color w:val="000000"/>
          <w:sz w:val="20"/>
        </w:rPr>
        <w:t>Treasury’s approach to the G20 OTC proposals in general.</w:t>
      </w:r>
      <w:r w:rsidR="008529AE">
        <w:rPr>
          <w:rFonts w:cs="Arial"/>
          <w:color w:val="000000"/>
          <w:sz w:val="20"/>
        </w:rPr>
        <w:t xml:space="preserve"> However</w:t>
      </w:r>
      <w:r w:rsidR="00303FFE">
        <w:rPr>
          <w:rFonts w:cs="Arial"/>
          <w:color w:val="000000"/>
          <w:sz w:val="20"/>
        </w:rPr>
        <w:t>,</w:t>
      </w:r>
      <w:r w:rsidR="00346E97">
        <w:rPr>
          <w:rFonts w:cs="Arial"/>
          <w:color w:val="000000"/>
          <w:sz w:val="20"/>
        </w:rPr>
        <w:t xml:space="preserve"> AGL wishes to highlight that</w:t>
      </w:r>
      <w:r w:rsidR="008529AE">
        <w:rPr>
          <w:rFonts w:cs="Arial"/>
          <w:color w:val="000000"/>
          <w:sz w:val="20"/>
        </w:rPr>
        <w:t xml:space="preserve"> due </w:t>
      </w:r>
      <w:r w:rsidR="00303FFE">
        <w:rPr>
          <w:rFonts w:cs="Arial"/>
          <w:color w:val="000000"/>
          <w:sz w:val="20"/>
        </w:rPr>
        <w:t>the detail of</w:t>
      </w:r>
      <w:r w:rsidR="008529AE">
        <w:rPr>
          <w:rFonts w:cs="Arial"/>
          <w:color w:val="000000"/>
          <w:sz w:val="20"/>
        </w:rPr>
        <w:t xml:space="preserve"> the </w:t>
      </w:r>
      <w:r w:rsidR="00FF2D69">
        <w:rPr>
          <w:rFonts w:cs="Arial"/>
          <w:color w:val="000000"/>
          <w:sz w:val="20"/>
        </w:rPr>
        <w:t xml:space="preserve">proposed </w:t>
      </w:r>
      <w:r w:rsidR="008529AE">
        <w:rPr>
          <w:rFonts w:cs="Arial"/>
          <w:color w:val="000000"/>
          <w:sz w:val="20"/>
        </w:rPr>
        <w:t>regulation and supporting rules,</w:t>
      </w:r>
      <w:r w:rsidR="00FA277F">
        <w:rPr>
          <w:rFonts w:cs="Arial"/>
          <w:color w:val="000000"/>
          <w:sz w:val="20"/>
        </w:rPr>
        <w:t xml:space="preserve"> </w:t>
      </w:r>
      <w:r w:rsidR="00795CE9">
        <w:rPr>
          <w:rFonts w:cs="Arial"/>
          <w:color w:val="000000"/>
          <w:sz w:val="20"/>
        </w:rPr>
        <w:t>many energy companies will be required to report on OTC derivative transaction</w:t>
      </w:r>
      <w:r w:rsidR="004D2242">
        <w:rPr>
          <w:rFonts w:cs="Arial"/>
          <w:color w:val="000000"/>
          <w:sz w:val="20"/>
        </w:rPr>
        <w:t>s</w:t>
      </w:r>
      <w:r w:rsidR="00795CE9">
        <w:rPr>
          <w:rFonts w:cs="Arial"/>
          <w:color w:val="000000"/>
          <w:sz w:val="20"/>
        </w:rPr>
        <w:t xml:space="preserve"> in some capacity</w:t>
      </w:r>
      <w:r w:rsidR="00303FFE">
        <w:rPr>
          <w:rFonts w:cs="Arial"/>
          <w:color w:val="000000"/>
          <w:sz w:val="20"/>
        </w:rPr>
        <w:t>,</w:t>
      </w:r>
      <w:r w:rsidR="00795CE9">
        <w:rPr>
          <w:rFonts w:cs="Arial"/>
          <w:color w:val="000000"/>
          <w:sz w:val="20"/>
        </w:rPr>
        <w:t xml:space="preserve"> and it is likely that the </w:t>
      </w:r>
      <w:r w:rsidR="00D743DA">
        <w:rPr>
          <w:rFonts w:cs="Arial"/>
          <w:color w:val="000000"/>
          <w:sz w:val="20"/>
        </w:rPr>
        <w:t>costs of reporting will outweigh the benefits</w:t>
      </w:r>
      <w:r w:rsidR="008529AE">
        <w:rPr>
          <w:rFonts w:cs="Arial"/>
          <w:color w:val="000000"/>
          <w:sz w:val="20"/>
        </w:rPr>
        <w:t xml:space="preserve">. </w:t>
      </w:r>
    </w:p>
    <w:p w14:paraId="3449640A" w14:textId="34F5CB16" w:rsidR="00925D9D" w:rsidRDefault="00D6636F" w:rsidP="00925D9D">
      <w:pPr>
        <w:spacing w:before="240" w:after="24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AGL understands that it was the</w:t>
      </w:r>
      <w:r w:rsidR="00496BFB">
        <w:rPr>
          <w:rFonts w:cs="Arial"/>
          <w:color w:val="000000"/>
          <w:sz w:val="20"/>
        </w:rPr>
        <w:t xml:space="preserve"> clear</w:t>
      </w:r>
      <w:r>
        <w:rPr>
          <w:rFonts w:cs="Arial"/>
          <w:color w:val="000000"/>
          <w:sz w:val="20"/>
        </w:rPr>
        <w:t xml:space="preserve"> intention of the Commonwealth Government to </w:t>
      </w:r>
      <w:r w:rsidR="00D743DA">
        <w:rPr>
          <w:rFonts w:cs="Arial"/>
          <w:color w:val="000000"/>
          <w:sz w:val="20"/>
        </w:rPr>
        <w:t xml:space="preserve">provide reporting </w:t>
      </w:r>
      <w:r>
        <w:rPr>
          <w:rFonts w:cs="Arial"/>
          <w:color w:val="000000"/>
          <w:sz w:val="20"/>
        </w:rPr>
        <w:t>exempt</w:t>
      </w:r>
      <w:r w:rsidR="00D743DA">
        <w:rPr>
          <w:rFonts w:cs="Arial"/>
          <w:color w:val="000000"/>
          <w:sz w:val="20"/>
        </w:rPr>
        <w:t>ions for</w:t>
      </w:r>
      <w:r>
        <w:rPr>
          <w:rFonts w:cs="Arial"/>
          <w:color w:val="000000"/>
          <w:sz w:val="20"/>
        </w:rPr>
        <w:t xml:space="preserve"> non-financial corporate entities</w:t>
      </w:r>
      <w:r w:rsidR="00F24470">
        <w:rPr>
          <w:rFonts w:cs="Arial"/>
          <w:color w:val="000000"/>
          <w:sz w:val="20"/>
        </w:rPr>
        <w:t>, such as AGL,</w:t>
      </w:r>
      <w:r>
        <w:rPr>
          <w:rFonts w:cs="Arial"/>
          <w:color w:val="000000"/>
          <w:sz w:val="20"/>
        </w:rPr>
        <w:t xml:space="preserve"> through the </w:t>
      </w:r>
      <w:r w:rsidR="00303FFE">
        <w:rPr>
          <w:rFonts w:cs="Arial"/>
          <w:color w:val="000000"/>
          <w:sz w:val="20"/>
        </w:rPr>
        <w:t>end-</w:t>
      </w:r>
      <w:r>
        <w:rPr>
          <w:rFonts w:cs="Arial"/>
          <w:color w:val="000000"/>
          <w:sz w:val="20"/>
        </w:rPr>
        <w:t>user exemption. However,</w:t>
      </w:r>
      <w:r w:rsidR="001E2852">
        <w:rPr>
          <w:rFonts w:cs="Arial"/>
          <w:color w:val="000000"/>
          <w:sz w:val="20"/>
        </w:rPr>
        <w:t xml:space="preserve"> </w:t>
      </w:r>
      <w:r w:rsidR="00186616">
        <w:rPr>
          <w:rFonts w:cs="Arial"/>
          <w:color w:val="000000"/>
          <w:sz w:val="20"/>
        </w:rPr>
        <w:t xml:space="preserve">the </w:t>
      </w:r>
      <w:r w:rsidR="00270115">
        <w:rPr>
          <w:rFonts w:cs="Arial"/>
          <w:color w:val="000000"/>
          <w:sz w:val="20"/>
        </w:rPr>
        <w:t>requirement</w:t>
      </w:r>
      <w:r w:rsidR="00186616">
        <w:rPr>
          <w:rFonts w:cs="Arial"/>
          <w:color w:val="000000"/>
          <w:sz w:val="20"/>
        </w:rPr>
        <w:t xml:space="preserve"> that an </w:t>
      </w:r>
      <w:r w:rsidR="00E21222">
        <w:rPr>
          <w:rFonts w:cs="Arial"/>
          <w:color w:val="000000"/>
          <w:sz w:val="20"/>
        </w:rPr>
        <w:t>Australian Financial Services Licence (</w:t>
      </w:r>
      <w:r w:rsidR="00186616">
        <w:rPr>
          <w:rFonts w:cs="Arial"/>
          <w:color w:val="000000"/>
          <w:sz w:val="20"/>
        </w:rPr>
        <w:t>AFSL</w:t>
      </w:r>
      <w:r w:rsidR="00E21222">
        <w:rPr>
          <w:rFonts w:cs="Arial"/>
          <w:color w:val="000000"/>
          <w:sz w:val="20"/>
        </w:rPr>
        <w:t>)</w:t>
      </w:r>
      <w:r w:rsidR="00186616">
        <w:rPr>
          <w:rFonts w:cs="Arial"/>
          <w:color w:val="000000"/>
          <w:sz w:val="20"/>
        </w:rPr>
        <w:t xml:space="preserve"> holder cannot be considered an end</w:t>
      </w:r>
      <w:r w:rsidR="00736656">
        <w:rPr>
          <w:rFonts w:cs="Arial"/>
          <w:color w:val="000000"/>
          <w:sz w:val="20"/>
        </w:rPr>
        <w:noBreakHyphen/>
      </w:r>
      <w:r w:rsidR="00186616">
        <w:rPr>
          <w:rFonts w:cs="Arial"/>
          <w:color w:val="000000"/>
          <w:sz w:val="20"/>
        </w:rPr>
        <w:t xml:space="preserve">user is likely to capture a broader </w:t>
      </w:r>
      <w:r w:rsidR="00E21222">
        <w:rPr>
          <w:rFonts w:cs="Arial"/>
          <w:color w:val="000000"/>
          <w:sz w:val="20"/>
        </w:rPr>
        <w:t>group</w:t>
      </w:r>
      <w:r w:rsidR="00186616">
        <w:rPr>
          <w:rFonts w:cs="Arial"/>
          <w:color w:val="000000"/>
          <w:sz w:val="20"/>
        </w:rPr>
        <w:t xml:space="preserve"> of non-financial </w:t>
      </w:r>
      <w:r w:rsidR="00874CBC">
        <w:rPr>
          <w:rFonts w:cs="Arial"/>
          <w:color w:val="000000"/>
          <w:sz w:val="20"/>
        </w:rPr>
        <w:t>corporations</w:t>
      </w:r>
      <w:r w:rsidR="00130DDF">
        <w:rPr>
          <w:rFonts w:cs="Arial"/>
          <w:color w:val="000000"/>
          <w:sz w:val="20"/>
        </w:rPr>
        <w:t xml:space="preserve"> in the reporting obligations</w:t>
      </w:r>
      <w:r w:rsidR="00186616">
        <w:rPr>
          <w:rFonts w:cs="Arial"/>
          <w:color w:val="000000"/>
          <w:sz w:val="20"/>
        </w:rPr>
        <w:t xml:space="preserve"> than </w:t>
      </w:r>
      <w:r w:rsidR="00874CBC">
        <w:rPr>
          <w:rFonts w:cs="Arial"/>
          <w:color w:val="000000"/>
          <w:sz w:val="20"/>
        </w:rPr>
        <w:t xml:space="preserve">originally </w:t>
      </w:r>
      <w:r w:rsidR="00186616">
        <w:rPr>
          <w:rFonts w:cs="Arial"/>
          <w:color w:val="000000"/>
          <w:sz w:val="20"/>
        </w:rPr>
        <w:t>intended</w:t>
      </w:r>
      <w:r w:rsidR="00FF2D69">
        <w:rPr>
          <w:rFonts w:cs="Arial"/>
          <w:color w:val="000000"/>
          <w:sz w:val="20"/>
        </w:rPr>
        <w:t>. AGL notes th</w:t>
      </w:r>
      <w:r w:rsidR="00130DDF">
        <w:rPr>
          <w:rFonts w:cs="Arial"/>
          <w:color w:val="000000"/>
          <w:sz w:val="20"/>
        </w:rPr>
        <w:t xml:space="preserve">at Treasury </w:t>
      </w:r>
      <w:r w:rsidR="00270115">
        <w:rPr>
          <w:rFonts w:cs="Arial"/>
          <w:color w:val="000000"/>
          <w:sz w:val="20"/>
        </w:rPr>
        <w:t>is proposing</w:t>
      </w:r>
      <w:r w:rsidR="00130DDF">
        <w:rPr>
          <w:rFonts w:cs="Arial"/>
          <w:color w:val="000000"/>
          <w:sz w:val="20"/>
        </w:rPr>
        <w:t xml:space="preserve"> </w:t>
      </w:r>
      <w:r w:rsidR="00130DDF" w:rsidRPr="00130DDF">
        <w:rPr>
          <w:rFonts w:cs="Arial"/>
          <w:color w:val="000000"/>
          <w:sz w:val="20"/>
        </w:rPr>
        <w:t>to limit reporting requirements for AFSL holders to the types of derivatives for which they are explicitly authorised</w:t>
      </w:r>
      <w:r w:rsidR="00E31C2C">
        <w:rPr>
          <w:rFonts w:cs="Arial"/>
          <w:color w:val="000000"/>
          <w:sz w:val="20"/>
        </w:rPr>
        <w:t xml:space="preserve"> to trade</w:t>
      </w:r>
      <w:r w:rsidR="00FF2D69">
        <w:rPr>
          <w:rFonts w:cs="Arial"/>
          <w:color w:val="000000"/>
          <w:sz w:val="20"/>
        </w:rPr>
        <w:t>.</w:t>
      </w:r>
      <w:r w:rsidR="00186616">
        <w:rPr>
          <w:rFonts w:cs="Arial"/>
          <w:color w:val="000000"/>
          <w:sz w:val="20"/>
        </w:rPr>
        <w:t xml:space="preserve"> </w:t>
      </w:r>
      <w:r w:rsidR="00130DDF">
        <w:rPr>
          <w:rFonts w:cs="Arial"/>
          <w:color w:val="000000"/>
          <w:sz w:val="20"/>
        </w:rPr>
        <w:t xml:space="preserve">However, AGL </w:t>
      </w:r>
      <w:r w:rsidR="005167D2">
        <w:rPr>
          <w:rFonts w:cs="Arial"/>
          <w:color w:val="000000"/>
          <w:sz w:val="20"/>
        </w:rPr>
        <w:t>highlights</w:t>
      </w:r>
      <w:r w:rsidR="00130DDF">
        <w:rPr>
          <w:rFonts w:cs="Arial"/>
          <w:color w:val="000000"/>
          <w:sz w:val="20"/>
        </w:rPr>
        <w:t xml:space="preserve"> that this will not have the intended effect</w:t>
      </w:r>
      <w:r w:rsidR="00303FFE">
        <w:rPr>
          <w:rFonts w:cs="Arial"/>
          <w:color w:val="000000"/>
          <w:sz w:val="20"/>
        </w:rPr>
        <w:t xml:space="preserve"> of limiting reporting requirements</w:t>
      </w:r>
      <w:r w:rsidR="00130DDF">
        <w:rPr>
          <w:rFonts w:cs="Arial"/>
          <w:color w:val="000000"/>
          <w:sz w:val="20"/>
        </w:rPr>
        <w:t>, as many AFSLs</w:t>
      </w:r>
      <w:r w:rsidR="00303FFE">
        <w:rPr>
          <w:rFonts w:cs="Arial"/>
          <w:color w:val="000000"/>
          <w:sz w:val="20"/>
        </w:rPr>
        <w:t xml:space="preserve"> held by energy companies</w:t>
      </w:r>
      <w:r w:rsidR="00130DDF">
        <w:rPr>
          <w:rFonts w:cs="Arial"/>
          <w:color w:val="000000"/>
          <w:sz w:val="20"/>
        </w:rPr>
        <w:t xml:space="preserve"> allow a broad range of </w:t>
      </w:r>
      <w:r w:rsidR="00D743DA">
        <w:rPr>
          <w:rFonts w:cs="Arial"/>
          <w:color w:val="000000"/>
          <w:sz w:val="20"/>
        </w:rPr>
        <w:t>derivatives</w:t>
      </w:r>
      <w:r w:rsidR="00130DDF">
        <w:rPr>
          <w:rFonts w:cs="Arial"/>
          <w:color w:val="000000"/>
          <w:sz w:val="20"/>
        </w:rPr>
        <w:t xml:space="preserve"> to be traded.</w:t>
      </w:r>
      <w:r w:rsidR="00E31C2C">
        <w:rPr>
          <w:rFonts w:cs="Arial"/>
          <w:color w:val="000000"/>
          <w:sz w:val="20"/>
        </w:rPr>
        <w:t xml:space="preserve"> Instead,</w:t>
      </w:r>
      <w:r w:rsidR="00130DDF">
        <w:rPr>
          <w:rFonts w:cs="Arial"/>
          <w:color w:val="000000"/>
          <w:sz w:val="20"/>
        </w:rPr>
        <w:t xml:space="preserve"> </w:t>
      </w:r>
      <w:r w:rsidR="00874CBC">
        <w:rPr>
          <w:rFonts w:cs="Arial"/>
          <w:color w:val="000000"/>
          <w:sz w:val="20"/>
        </w:rPr>
        <w:t xml:space="preserve">AGL </w:t>
      </w:r>
      <w:r w:rsidR="00925D9D" w:rsidRPr="00736656">
        <w:rPr>
          <w:rFonts w:cs="Arial"/>
          <w:color w:val="000000"/>
          <w:sz w:val="20"/>
        </w:rPr>
        <w:t xml:space="preserve">suggests that consideration be given to exempting reporting for OTC derivatives where these are used </w:t>
      </w:r>
      <w:r w:rsidR="00736656">
        <w:rPr>
          <w:rFonts w:cs="Arial"/>
          <w:color w:val="000000"/>
          <w:sz w:val="20"/>
        </w:rPr>
        <w:t xml:space="preserve">for </w:t>
      </w:r>
      <w:r w:rsidR="00736656" w:rsidRPr="00736656">
        <w:rPr>
          <w:rFonts w:cs="Arial"/>
          <w:color w:val="000000"/>
          <w:sz w:val="20"/>
        </w:rPr>
        <w:t>risk mitigation purposes</w:t>
      </w:r>
      <w:r w:rsidR="00925D9D" w:rsidRPr="00736656">
        <w:rPr>
          <w:rFonts w:cs="Arial"/>
          <w:color w:val="000000"/>
          <w:sz w:val="20"/>
        </w:rPr>
        <w:t xml:space="preserve"> even if they are covered, non-specifically, by an AFSL.</w:t>
      </w:r>
    </w:p>
    <w:p w14:paraId="61A1643C" w14:textId="77FCB219" w:rsidR="008F58A9" w:rsidRDefault="008F58A9" w:rsidP="00883225">
      <w:pPr>
        <w:spacing w:before="240" w:after="240"/>
        <w:rPr>
          <w:rFonts w:cs="Arial"/>
          <w:color w:val="000000"/>
          <w:sz w:val="20"/>
        </w:rPr>
      </w:pPr>
    </w:p>
    <w:p w14:paraId="00259436" w14:textId="77777777" w:rsidR="00D743DA" w:rsidRDefault="00D743DA">
      <w:pPr>
        <w:spacing w:before="240" w:after="240"/>
        <w:rPr>
          <w:rFonts w:cs="Arial"/>
          <w:color w:val="000000"/>
          <w:sz w:val="20"/>
        </w:rPr>
      </w:pPr>
    </w:p>
    <w:p w14:paraId="078F4F01" w14:textId="493C3FE2" w:rsidR="00542D37" w:rsidRDefault="00542D37">
      <w:pPr>
        <w:spacing w:before="240" w:after="24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lastRenderedPageBreak/>
        <w:t xml:space="preserve">If extending the end-user exemption is not palatable, AGL suggests that a </w:t>
      </w:r>
      <w:r w:rsidR="00736656">
        <w:rPr>
          <w:rFonts w:cs="Arial"/>
          <w:color w:val="000000"/>
          <w:sz w:val="20"/>
        </w:rPr>
        <w:t>general</w:t>
      </w:r>
      <w:r>
        <w:rPr>
          <w:rFonts w:cs="Arial"/>
          <w:color w:val="000000"/>
          <w:sz w:val="20"/>
        </w:rPr>
        <w:t xml:space="preserve"> group of OTC commodity derivatives, such as gas, oil, carbon and green schemes</w:t>
      </w:r>
      <w:r w:rsidR="00D743DA">
        <w:rPr>
          <w:rFonts w:cs="Arial"/>
          <w:color w:val="000000"/>
          <w:sz w:val="20"/>
        </w:rPr>
        <w:t>, could</w:t>
      </w:r>
      <w:r>
        <w:rPr>
          <w:rFonts w:cs="Arial"/>
          <w:color w:val="000000"/>
          <w:sz w:val="20"/>
        </w:rPr>
        <w:t xml:space="preserve"> be made exempt from reporting requirements. This would achieve the same outcome of ensuring that low risk corporations do not endure an overly </w:t>
      </w:r>
      <w:r w:rsidR="00D743DA">
        <w:rPr>
          <w:rFonts w:cs="Arial"/>
          <w:color w:val="000000"/>
          <w:sz w:val="20"/>
        </w:rPr>
        <w:t>burdensome</w:t>
      </w:r>
      <w:r>
        <w:rPr>
          <w:rFonts w:cs="Arial"/>
          <w:color w:val="000000"/>
          <w:sz w:val="20"/>
        </w:rPr>
        <w:t xml:space="preserve"> reporting obligation</w:t>
      </w:r>
      <w:r w:rsidR="006A03C5">
        <w:rPr>
          <w:rFonts w:cs="Arial"/>
          <w:color w:val="000000"/>
          <w:sz w:val="20"/>
        </w:rPr>
        <w:t xml:space="preserve"> arising from the new measures</w:t>
      </w:r>
      <w:r>
        <w:rPr>
          <w:rFonts w:cs="Arial"/>
          <w:color w:val="000000"/>
          <w:sz w:val="20"/>
        </w:rPr>
        <w:t>.</w:t>
      </w:r>
    </w:p>
    <w:p w14:paraId="1FD6A0D9" w14:textId="7F11AC08" w:rsidR="004D2242" w:rsidRDefault="00B80745" w:rsidP="004D2242">
      <w:pPr>
        <w:spacing w:before="240" w:after="24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AGL notes that </w:t>
      </w:r>
      <w:r w:rsidR="00542D37">
        <w:rPr>
          <w:rFonts w:cs="Arial"/>
          <w:color w:val="000000"/>
          <w:sz w:val="20"/>
        </w:rPr>
        <w:t>electricity derivatives are exempt from reporting requirements due</w:t>
      </w:r>
      <w:r w:rsidR="00270115">
        <w:rPr>
          <w:rFonts w:cs="Arial"/>
          <w:color w:val="000000"/>
          <w:sz w:val="20"/>
        </w:rPr>
        <w:t>, in part,</w:t>
      </w:r>
      <w:r w:rsidR="00542D37">
        <w:rPr>
          <w:rFonts w:cs="Arial"/>
          <w:color w:val="000000"/>
          <w:sz w:val="20"/>
        </w:rPr>
        <w:t xml:space="preserve"> to the </w:t>
      </w:r>
      <w:r w:rsidR="00F24470">
        <w:rPr>
          <w:rFonts w:cs="Arial"/>
          <w:color w:val="000000"/>
          <w:sz w:val="20"/>
        </w:rPr>
        <w:t>significant existing</w:t>
      </w:r>
      <w:r>
        <w:rPr>
          <w:rFonts w:cs="Arial"/>
          <w:color w:val="000000"/>
          <w:sz w:val="20"/>
        </w:rPr>
        <w:t xml:space="preserve"> checks and balances in the electricity market</w:t>
      </w:r>
      <w:r w:rsidR="005C5980">
        <w:rPr>
          <w:rFonts w:cs="Arial"/>
          <w:color w:val="000000"/>
          <w:sz w:val="20"/>
        </w:rPr>
        <w:t xml:space="preserve"> that limit</w:t>
      </w:r>
      <w:r w:rsidR="00726097">
        <w:rPr>
          <w:rFonts w:cs="Arial"/>
          <w:color w:val="000000"/>
          <w:sz w:val="20"/>
        </w:rPr>
        <w:t xml:space="preserve"> </w:t>
      </w:r>
      <w:r w:rsidR="00F24470">
        <w:rPr>
          <w:rFonts w:cs="Arial"/>
          <w:color w:val="000000"/>
          <w:sz w:val="20"/>
        </w:rPr>
        <w:t xml:space="preserve">sectoral </w:t>
      </w:r>
      <w:r w:rsidR="005C5980">
        <w:rPr>
          <w:rFonts w:cs="Arial"/>
          <w:color w:val="000000"/>
          <w:sz w:val="20"/>
        </w:rPr>
        <w:t>financial risk</w:t>
      </w:r>
      <w:r>
        <w:rPr>
          <w:rFonts w:cs="Arial"/>
          <w:color w:val="000000"/>
          <w:sz w:val="20"/>
        </w:rPr>
        <w:t xml:space="preserve">. </w:t>
      </w:r>
      <w:r w:rsidR="00542D37">
        <w:rPr>
          <w:rFonts w:cs="Arial"/>
          <w:color w:val="000000"/>
          <w:sz w:val="20"/>
        </w:rPr>
        <w:t>These i</w:t>
      </w:r>
      <w:r w:rsidR="00F24470">
        <w:rPr>
          <w:rFonts w:cs="Arial"/>
          <w:color w:val="000000"/>
          <w:sz w:val="20"/>
        </w:rPr>
        <w:t>nclud</w:t>
      </w:r>
      <w:r w:rsidR="00542D37">
        <w:rPr>
          <w:rFonts w:cs="Arial"/>
          <w:color w:val="000000"/>
          <w:sz w:val="20"/>
        </w:rPr>
        <w:t>e</w:t>
      </w:r>
      <w:r w:rsidR="00F24470">
        <w:rPr>
          <w:rFonts w:cs="Arial"/>
          <w:color w:val="000000"/>
          <w:sz w:val="20"/>
        </w:rPr>
        <w:t xml:space="preserve">, the Australian Energy Market Operator’s prudential requirements, </w:t>
      </w:r>
      <w:r>
        <w:rPr>
          <w:rFonts w:cs="Arial"/>
          <w:color w:val="000000"/>
          <w:sz w:val="20"/>
        </w:rPr>
        <w:t xml:space="preserve">the retailer of last resort </w:t>
      </w:r>
      <w:r w:rsidR="005E1EE8">
        <w:rPr>
          <w:rFonts w:cs="Arial"/>
          <w:color w:val="000000"/>
          <w:sz w:val="20"/>
        </w:rPr>
        <w:t>regime</w:t>
      </w:r>
      <w:r w:rsidR="00270115">
        <w:rPr>
          <w:rFonts w:cs="Arial"/>
          <w:color w:val="000000"/>
          <w:sz w:val="20"/>
        </w:rPr>
        <w:t>s</w:t>
      </w:r>
      <w:r w:rsidR="005E1EE8">
        <w:rPr>
          <w:rFonts w:cs="Arial"/>
          <w:color w:val="000000"/>
          <w:sz w:val="20"/>
        </w:rPr>
        <w:t xml:space="preserve"> </w:t>
      </w:r>
      <w:r w:rsidR="005C5980">
        <w:rPr>
          <w:rFonts w:cs="Arial"/>
          <w:color w:val="000000"/>
          <w:sz w:val="20"/>
        </w:rPr>
        <w:t xml:space="preserve">and </w:t>
      </w:r>
      <w:r w:rsidR="00F24470">
        <w:rPr>
          <w:rFonts w:cs="Arial"/>
          <w:color w:val="000000"/>
          <w:sz w:val="20"/>
        </w:rPr>
        <w:t xml:space="preserve">individual business risk management strategies. </w:t>
      </w:r>
      <w:r w:rsidR="007A1984">
        <w:rPr>
          <w:rFonts w:cs="Arial"/>
          <w:color w:val="000000"/>
          <w:sz w:val="20"/>
        </w:rPr>
        <w:t xml:space="preserve">Similar </w:t>
      </w:r>
      <w:r w:rsidR="005167D2">
        <w:rPr>
          <w:rFonts w:cs="Arial"/>
          <w:color w:val="000000"/>
          <w:sz w:val="20"/>
        </w:rPr>
        <w:t>degree</w:t>
      </w:r>
      <w:r w:rsidR="00B55006">
        <w:rPr>
          <w:rFonts w:cs="Arial"/>
          <w:color w:val="000000"/>
          <w:sz w:val="20"/>
        </w:rPr>
        <w:t xml:space="preserve">s of risk management </w:t>
      </w:r>
      <w:r w:rsidR="00270115">
        <w:rPr>
          <w:rFonts w:cs="Arial"/>
          <w:color w:val="000000"/>
          <w:sz w:val="20"/>
        </w:rPr>
        <w:t xml:space="preserve">measures </w:t>
      </w:r>
      <w:r w:rsidR="00311B03">
        <w:rPr>
          <w:rFonts w:cs="Arial"/>
          <w:color w:val="000000"/>
          <w:sz w:val="20"/>
        </w:rPr>
        <w:t xml:space="preserve">apply </w:t>
      </w:r>
      <w:r>
        <w:rPr>
          <w:rFonts w:cs="Arial"/>
          <w:color w:val="000000"/>
          <w:sz w:val="20"/>
        </w:rPr>
        <w:t xml:space="preserve">to </w:t>
      </w:r>
      <w:r w:rsidR="00270115">
        <w:rPr>
          <w:rFonts w:cs="Arial"/>
          <w:color w:val="000000"/>
          <w:sz w:val="20"/>
        </w:rPr>
        <w:t xml:space="preserve">energy companies’ </w:t>
      </w:r>
      <w:r w:rsidR="005167D2">
        <w:rPr>
          <w:rFonts w:cs="Arial"/>
          <w:color w:val="000000"/>
          <w:sz w:val="20"/>
        </w:rPr>
        <w:t xml:space="preserve">other </w:t>
      </w:r>
      <w:r w:rsidR="006A03C5">
        <w:rPr>
          <w:rFonts w:cs="Arial"/>
          <w:color w:val="000000"/>
          <w:sz w:val="20"/>
        </w:rPr>
        <w:t>commodity derivatives</w:t>
      </w:r>
      <w:r>
        <w:rPr>
          <w:rFonts w:cs="Arial"/>
          <w:color w:val="000000"/>
          <w:sz w:val="20"/>
        </w:rPr>
        <w:t xml:space="preserve">. </w:t>
      </w:r>
      <w:r w:rsidR="00913726">
        <w:rPr>
          <w:rFonts w:cs="Arial"/>
          <w:color w:val="000000"/>
          <w:sz w:val="20"/>
        </w:rPr>
        <w:t>G</w:t>
      </w:r>
      <w:r w:rsidR="00913726" w:rsidRPr="00E038E7">
        <w:rPr>
          <w:rFonts w:cs="Arial"/>
          <w:color w:val="000000"/>
          <w:sz w:val="20"/>
        </w:rPr>
        <w:t xml:space="preserve">iven it </w:t>
      </w:r>
      <w:r w:rsidR="00913726">
        <w:rPr>
          <w:rFonts w:cs="Arial"/>
          <w:color w:val="000000"/>
          <w:sz w:val="20"/>
        </w:rPr>
        <w:t>has been</w:t>
      </w:r>
      <w:r w:rsidR="00F24470">
        <w:rPr>
          <w:rFonts w:cs="Arial"/>
          <w:color w:val="000000"/>
          <w:sz w:val="20"/>
        </w:rPr>
        <w:t xml:space="preserve"> </w:t>
      </w:r>
      <w:r w:rsidR="00913726" w:rsidRPr="00E038E7">
        <w:rPr>
          <w:rFonts w:cs="Arial"/>
          <w:color w:val="000000"/>
          <w:sz w:val="20"/>
        </w:rPr>
        <w:t>accepted that electri</w:t>
      </w:r>
      <w:r w:rsidR="00913726">
        <w:rPr>
          <w:rFonts w:cs="Arial"/>
          <w:color w:val="000000"/>
          <w:sz w:val="20"/>
        </w:rPr>
        <w:t>city OTC</w:t>
      </w:r>
      <w:r w:rsidR="00D743DA">
        <w:rPr>
          <w:rFonts w:cs="Arial"/>
          <w:color w:val="000000"/>
          <w:sz w:val="20"/>
        </w:rPr>
        <w:t xml:space="preserve"> derivatives</w:t>
      </w:r>
      <w:r w:rsidR="00913726">
        <w:rPr>
          <w:rFonts w:cs="Arial"/>
          <w:color w:val="000000"/>
          <w:sz w:val="20"/>
        </w:rPr>
        <w:t xml:space="preserve"> should be exempt from </w:t>
      </w:r>
      <w:r w:rsidR="00913726" w:rsidRPr="00E038E7">
        <w:rPr>
          <w:rFonts w:cs="Arial"/>
          <w:color w:val="000000"/>
          <w:sz w:val="20"/>
        </w:rPr>
        <w:t>reporting</w:t>
      </w:r>
      <w:r w:rsidR="00913726">
        <w:rPr>
          <w:rFonts w:cs="Arial"/>
          <w:color w:val="000000"/>
          <w:sz w:val="20"/>
        </w:rPr>
        <w:t xml:space="preserve"> requirements</w:t>
      </w:r>
      <w:r w:rsidR="00913726" w:rsidRPr="00E038E7">
        <w:rPr>
          <w:rFonts w:cs="Arial"/>
          <w:color w:val="000000"/>
          <w:sz w:val="20"/>
        </w:rPr>
        <w:t xml:space="preserve">, </w:t>
      </w:r>
      <w:r w:rsidR="00913726">
        <w:rPr>
          <w:rFonts w:cs="Arial"/>
          <w:color w:val="000000"/>
          <w:sz w:val="20"/>
        </w:rPr>
        <w:t>it appears counterint</w:t>
      </w:r>
      <w:r w:rsidR="00913726" w:rsidRPr="00E038E7">
        <w:rPr>
          <w:rFonts w:cs="Arial"/>
          <w:color w:val="000000"/>
          <w:sz w:val="20"/>
        </w:rPr>
        <w:t>u</w:t>
      </w:r>
      <w:r w:rsidR="00913726">
        <w:rPr>
          <w:rFonts w:cs="Arial"/>
          <w:color w:val="000000"/>
          <w:sz w:val="20"/>
        </w:rPr>
        <w:t>i</w:t>
      </w:r>
      <w:r w:rsidR="00913726" w:rsidRPr="00E038E7">
        <w:rPr>
          <w:rFonts w:cs="Arial"/>
          <w:color w:val="000000"/>
          <w:sz w:val="20"/>
        </w:rPr>
        <w:t xml:space="preserve">tive to apply </w:t>
      </w:r>
      <w:r w:rsidR="00913726">
        <w:rPr>
          <w:rFonts w:cs="Arial"/>
          <w:color w:val="000000"/>
          <w:sz w:val="20"/>
        </w:rPr>
        <w:t xml:space="preserve">these same </w:t>
      </w:r>
      <w:r w:rsidR="00913726" w:rsidRPr="00E038E7">
        <w:rPr>
          <w:rFonts w:cs="Arial"/>
          <w:color w:val="000000"/>
          <w:sz w:val="20"/>
        </w:rPr>
        <w:t xml:space="preserve">requirements to </w:t>
      </w:r>
      <w:r w:rsidR="00913726">
        <w:rPr>
          <w:rFonts w:cs="Arial"/>
          <w:color w:val="000000"/>
          <w:sz w:val="20"/>
        </w:rPr>
        <w:t xml:space="preserve">transactions </w:t>
      </w:r>
      <w:r w:rsidR="00303FFE">
        <w:rPr>
          <w:rFonts w:cs="Arial"/>
          <w:color w:val="000000"/>
          <w:sz w:val="20"/>
        </w:rPr>
        <w:t xml:space="preserve">that </w:t>
      </w:r>
      <w:r w:rsidR="00913726">
        <w:rPr>
          <w:rFonts w:cs="Arial"/>
          <w:color w:val="000000"/>
          <w:sz w:val="20"/>
        </w:rPr>
        <w:t xml:space="preserve">represent a much smaller component of </w:t>
      </w:r>
      <w:r w:rsidR="005167D2">
        <w:rPr>
          <w:rFonts w:cs="Arial"/>
          <w:color w:val="000000"/>
          <w:sz w:val="20"/>
        </w:rPr>
        <w:t xml:space="preserve">an entity’s </w:t>
      </w:r>
      <w:r w:rsidR="00913726">
        <w:rPr>
          <w:rFonts w:cs="Arial"/>
          <w:color w:val="000000"/>
          <w:sz w:val="20"/>
        </w:rPr>
        <w:t xml:space="preserve">OTC </w:t>
      </w:r>
      <w:r w:rsidR="00D743DA">
        <w:rPr>
          <w:rFonts w:cs="Arial"/>
          <w:color w:val="000000"/>
          <w:sz w:val="20"/>
        </w:rPr>
        <w:t xml:space="preserve">derivative </w:t>
      </w:r>
      <w:r w:rsidR="00913726">
        <w:rPr>
          <w:rFonts w:cs="Arial"/>
          <w:color w:val="000000"/>
          <w:sz w:val="20"/>
        </w:rPr>
        <w:t>position</w:t>
      </w:r>
      <w:r w:rsidR="00913726" w:rsidRPr="00E038E7">
        <w:rPr>
          <w:rFonts w:cs="Arial"/>
          <w:color w:val="000000"/>
          <w:sz w:val="20"/>
        </w:rPr>
        <w:t>.</w:t>
      </w:r>
      <w:r w:rsidR="004D2242" w:rsidRPr="004D2242">
        <w:rPr>
          <w:rFonts w:cs="Arial"/>
          <w:color w:val="000000"/>
          <w:sz w:val="20"/>
        </w:rPr>
        <w:t xml:space="preserve"> </w:t>
      </w:r>
      <w:r w:rsidR="004D2242">
        <w:rPr>
          <w:rFonts w:cs="Arial"/>
          <w:color w:val="000000"/>
          <w:sz w:val="20"/>
        </w:rPr>
        <w:t xml:space="preserve">AGL considers that the benefits of reporting this information is limited, as commodity derivatives traded by </w:t>
      </w:r>
      <w:r w:rsidR="005167D2">
        <w:rPr>
          <w:rFonts w:cs="Arial"/>
          <w:color w:val="000000"/>
          <w:sz w:val="20"/>
        </w:rPr>
        <w:t>energy</w:t>
      </w:r>
      <w:r w:rsidR="004D2242">
        <w:rPr>
          <w:rFonts w:cs="Arial"/>
          <w:color w:val="000000"/>
          <w:sz w:val="20"/>
        </w:rPr>
        <w:t xml:space="preserve"> companies are not systemically important to Australia’s financial transactions and, for the most part, will be reported on by our financial counterparties. </w:t>
      </w:r>
    </w:p>
    <w:p w14:paraId="07E56340" w14:textId="1A40E829" w:rsidR="007E70BD" w:rsidRDefault="00311B03" w:rsidP="00883225">
      <w:pPr>
        <w:spacing w:before="240" w:after="24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In summary, </w:t>
      </w:r>
      <w:r w:rsidR="007E70BD">
        <w:rPr>
          <w:rFonts w:cs="Arial"/>
          <w:color w:val="000000"/>
          <w:sz w:val="20"/>
        </w:rPr>
        <w:t>AGL proposes the following option</w:t>
      </w:r>
      <w:r w:rsidR="00E96F31">
        <w:rPr>
          <w:rFonts w:cs="Arial"/>
          <w:color w:val="000000"/>
          <w:sz w:val="20"/>
        </w:rPr>
        <w:t>s</w:t>
      </w:r>
      <w:r w:rsidR="007E70BD">
        <w:rPr>
          <w:rFonts w:cs="Arial"/>
          <w:color w:val="000000"/>
          <w:sz w:val="20"/>
        </w:rPr>
        <w:t xml:space="preserve"> to ensure that the original government intention of only requiring OTC </w:t>
      </w:r>
      <w:r w:rsidR="00D743DA">
        <w:rPr>
          <w:rFonts w:cs="Arial"/>
          <w:color w:val="000000"/>
          <w:sz w:val="20"/>
        </w:rPr>
        <w:t xml:space="preserve">derivative </w:t>
      </w:r>
      <w:r w:rsidR="007E70BD">
        <w:rPr>
          <w:rFonts w:cs="Arial"/>
          <w:color w:val="000000"/>
          <w:sz w:val="20"/>
        </w:rPr>
        <w:t>reporting</w:t>
      </w:r>
      <w:r w:rsidR="00F24470">
        <w:rPr>
          <w:rFonts w:cs="Arial"/>
          <w:color w:val="000000"/>
          <w:sz w:val="20"/>
        </w:rPr>
        <w:t>,</w:t>
      </w:r>
      <w:r w:rsidR="007E70BD">
        <w:rPr>
          <w:rFonts w:cs="Arial"/>
          <w:color w:val="000000"/>
          <w:sz w:val="20"/>
        </w:rPr>
        <w:t xml:space="preserve"> where benefits outweigh costs</w:t>
      </w:r>
      <w:r w:rsidR="00F24470">
        <w:rPr>
          <w:rFonts w:cs="Arial"/>
          <w:color w:val="000000"/>
          <w:sz w:val="20"/>
        </w:rPr>
        <w:t>,</w:t>
      </w:r>
      <w:r w:rsidR="00352666">
        <w:rPr>
          <w:rFonts w:cs="Arial"/>
          <w:color w:val="000000"/>
          <w:sz w:val="20"/>
        </w:rPr>
        <w:t xml:space="preserve"> is carried out</w:t>
      </w:r>
      <w:r w:rsidR="007E70BD">
        <w:rPr>
          <w:rFonts w:cs="Arial"/>
          <w:color w:val="000000"/>
          <w:sz w:val="20"/>
        </w:rPr>
        <w:t>.</w:t>
      </w:r>
    </w:p>
    <w:p w14:paraId="694FAEAB" w14:textId="547CC86F" w:rsidR="00925D9D" w:rsidRDefault="00017F18" w:rsidP="00925D9D">
      <w:pPr>
        <w:spacing w:before="240" w:after="240"/>
        <w:rPr>
          <w:i/>
          <w:sz w:val="20"/>
        </w:rPr>
      </w:pPr>
      <w:r>
        <w:rPr>
          <w:i/>
          <w:sz w:val="20"/>
        </w:rPr>
        <w:t xml:space="preserve">Option One: </w:t>
      </w:r>
      <w:r w:rsidR="00925D9D">
        <w:rPr>
          <w:i/>
          <w:sz w:val="20"/>
        </w:rPr>
        <w:t xml:space="preserve">Where an entity holds an AFSL that does not specify the types of commodity that can be traded under the AFSL, an exemption should be provided for </w:t>
      </w:r>
      <w:r w:rsidR="00925D9D" w:rsidRPr="007A30B8">
        <w:rPr>
          <w:i/>
          <w:sz w:val="20"/>
        </w:rPr>
        <w:t>OTC derivatives</w:t>
      </w:r>
      <w:r w:rsidR="00925D9D">
        <w:rPr>
          <w:i/>
          <w:sz w:val="20"/>
        </w:rPr>
        <w:t xml:space="preserve"> which are used for risk mitigation purposes.</w:t>
      </w:r>
    </w:p>
    <w:p w14:paraId="2D3299F1" w14:textId="77777777" w:rsidR="00A93295" w:rsidRDefault="00A93295" w:rsidP="00B80745">
      <w:pPr>
        <w:spacing w:before="240" w:after="240"/>
        <w:rPr>
          <w:i/>
          <w:sz w:val="20"/>
        </w:rPr>
      </w:pPr>
      <w:r>
        <w:rPr>
          <w:i/>
          <w:sz w:val="20"/>
        </w:rPr>
        <w:t>OR</w:t>
      </w:r>
    </w:p>
    <w:p w14:paraId="09486AC0" w14:textId="26F37C38" w:rsidR="00B80745" w:rsidRPr="00B80745" w:rsidRDefault="00017F18" w:rsidP="00B80745">
      <w:pPr>
        <w:spacing w:before="240" w:after="240"/>
        <w:rPr>
          <w:i/>
          <w:sz w:val="20"/>
        </w:rPr>
      </w:pPr>
      <w:r>
        <w:rPr>
          <w:i/>
          <w:sz w:val="20"/>
        </w:rPr>
        <w:t xml:space="preserve">Option Two: </w:t>
      </w:r>
      <w:r w:rsidR="00B80745" w:rsidRPr="00B80745">
        <w:rPr>
          <w:i/>
          <w:sz w:val="20"/>
        </w:rPr>
        <w:t>E</w:t>
      </w:r>
      <w:r w:rsidR="004E37FA" w:rsidRPr="00B80745">
        <w:rPr>
          <w:i/>
          <w:sz w:val="20"/>
        </w:rPr>
        <w:t xml:space="preserve">xempt OTC </w:t>
      </w:r>
      <w:r w:rsidR="00FD65BA">
        <w:rPr>
          <w:i/>
          <w:sz w:val="20"/>
        </w:rPr>
        <w:t xml:space="preserve">derivative </w:t>
      </w:r>
      <w:r w:rsidR="004E37FA" w:rsidRPr="00B80745">
        <w:rPr>
          <w:i/>
          <w:sz w:val="20"/>
        </w:rPr>
        <w:t xml:space="preserve">reporting </w:t>
      </w:r>
      <w:r w:rsidR="005167D2">
        <w:rPr>
          <w:i/>
          <w:sz w:val="20"/>
        </w:rPr>
        <w:t>by non-financial corporations</w:t>
      </w:r>
      <w:r w:rsidR="005167D2" w:rsidRPr="00B80745">
        <w:rPr>
          <w:i/>
          <w:sz w:val="20"/>
        </w:rPr>
        <w:t xml:space="preserve"> </w:t>
      </w:r>
      <w:r w:rsidR="004E37FA" w:rsidRPr="00B80745">
        <w:rPr>
          <w:i/>
          <w:sz w:val="20"/>
        </w:rPr>
        <w:t xml:space="preserve">for </w:t>
      </w:r>
      <w:r w:rsidR="00736656">
        <w:rPr>
          <w:i/>
          <w:sz w:val="20"/>
        </w:rPr>
        <w:t xml:space="preserve">the following group of </w:t>
      </w:r>
      <w:r w:rsidR="004E37FA" w:rsidRPr="00B80745">
        <w:rPr>
          <w:i/>
          <w:sz w:val="20"/>
        </w:rPr>
        <w:t>commodities</w:t>
      </w:r>
      <w:r w:rsidR="00736656">
        <w:rPr>
          <w:i/>
          <w:sz w:val="20"/>
        </w:rPr>
        <w:t>:</w:t>
      </w:r>
      <w:r w:rsidR="004E37FA" w:rsidRPr="00B80745">
        <w:rPr>
          <w:i/>
          <w:sz w:val="20"/>
        </w:rPr>
        <w:t xml:space="preserve"> oil, gas, carbon and green schemes</w:t>
      </w:r>
      <w:r w:rsidR="00B80745" w:rsidRPr="00B80745">
        <w:rPr>
          <w:i/>
          <w:sz w:val="20"/>
        </w:rPr>
        <w:t>.</w:t>
      </w:r>
    </w:p>
    <w:p w14:paraId="3A340411" w14:textId="77777777" w:rsidR="00E038E7" w:rsidRDefault="00586B26" w:rsidP="00B80745">
      <w:pPr>
        <w:spacing w:before="240" w:after="240"/>
        <w:rPr>
          <w:sz w:val="20"/>
        </w:rPr>
      </w:pPr>
      <w:r>
        <w:rPr>
          <w:rFonts w:cs="Arial"/>
          <w:color w:val="000000"/>
          <w:sz w:val="20"/>
        </w:rPr>
        <w:t xml:space="preserve">AGL trusts that this information and </w:t>
      </w:r>
      <w:r w:rsidR="00322E93">
        <w:rPr>
          <w:rFonts w:cs="Arial"/>
          <w:color w:val="000000"/>
          <w:sz w:val="20"/>
        </w:rPr>
        <w:t xml:space="preserve">the </w:t>
      </w:r>
      <w:r>
        <w:rPr>
          <w:rFonts w:cs="Arial"/>
          <w:color w:val="000000"/>
          <w:sz w:val="20"/>
        </w:rPr>
        <w:t>proposed options are of assistance.</w:t>
      </w:r>
      <w:r w:rsidR="00913726">
        <w:rPr>
          <w:rFonts w:cs="Arial"/>
          <w:color w:val="000000"/>
          <w:sz w:val="20"/>
        </w:rPr>
        <w:t xml:space="preserve"> </w:t>
      </w:r>
      <w:r w:rsidR="00017F18">
        <w:rPr>
          <w:rFonts w:cs="Arial"/>
          <w:color w:val="000000"/>
          <w:sz w:val="20"/>
        </w:rPr>
        <w:t>AGL would be happy to provide further information</w:t>
      </w:r>
      <w:r w:rsidR="00913726">
        <w:rPr>
          <w:rFonts w:cs="Arial"/>
          <w:color w:val="000000"/>
          <w:sz w:val="20"/>
        </w:rPr>
        <w:t xml:space="preserve"> or meet to discuss these proposals in more detail</w:t>
      </w:r>
      <w:r w:rsidR="00017F18">
        <w:rPr>
          <w:rFonts w:cs="Arial"/>
          <w:color w:val="000000"/>
          <w:sz w:val="20"/>
        </w:rPr>
        <w:t>.</w:t>
      </w:r>
    </w:p>
    <w:p w14:paraId="788CE27B" w14:textId="77777777" w:rsidR="002028B7" w:rsidRDefault="002028B7" w:rsidP="00883225">
      <w:pPr>
        <w:spacing w:before="240" w:after="240"/>
        <w:rPr>
          <w:sz w:val="20"/>
        </w:rPr>
      </w:pPr>
      <w:r w:rsidRPr="002028B7">
        <w:rPr>
          <w:sz w:val="20"/>
        </w:rPr>
        <w:t xml:space="preserve">Should you have any questions in relation to this submission please contact </w:t>
      </w:r>
      <w:r>
        <w:rPr>
          <w:sz w:val="20"/>
        </w:rPr>
        <w:t>Kirsten Hall</w:t>
      </w:r>
      <w:r w:rsidRPr="002028B7">
        <w:rPr>
          <w:sz w:val="20"/>
        </w:rPr>
        <w:t>, Wholesale Market Advis</w:t>
      </w:r>
      <w:r w:rsidR="00787953">
        <w:rPr>
          <w:sz w:val="20"/>
        </w:rPr>
        <w:t>e</w:t>
      </w:r>
      <w:r w:rsidRPr="002028B7">
        <w:rPr>
          <w:sz w:val="20"/>
        </w:rPr>
        <w:t xml:space="preserve">r, on (03) 8633 </w:t>
      </w:r>
      <w:r w:rsidR="008D3D4C">
        <w:rPr>
          <w:sz w:val="20"/>
        </w:rPr>
        <w:t>6688</w:t>
      </w:r>
      <w:r w:rsidRPr="002028B7">
        <w:rPr>
          <w:sz w:val="20"/>
        </w:rPr>
        <w:t xml:space="preserve"> or at </w:t>
      </w:r>
      <w:r>
        <w:rPr>
          <w:sz w:val="20"/>
        </w:rPr>
        <w:t>khall</w:t>
      </w:r>
      <w:r w:rsidRPr="002028B7">
        <w:rPr>
          <w:sz w:val="20"/>
        </w:rPr>
        <w:t>@agl.com.au</w:t>
      </w:r>
      <w:r>
        <w:rPr>
          <w:sz w:val="20"/>
        </w:rPr>
        <w:t>.</w:t>
      </w:r>
    </w:p>
    <w:p w14:paraId="4FD96E83" w14:textId="77777777" w:rsidR="00B5318B" w:rsidRDefault="00B5318B" w:rsidP="00B5318B">
      <w:pPr>
        <w:rPr>
          <w:sz w:val="20"/>
        </w:rPr>
      </w:pPr>
      <w:r w:rsidRPr="005E2E64">
        <w:rPr>
          <w:sz w:val="20"/>
        </w:rPr>
        <w:t>Yours sincerely,</w:t>
      </w:r>
    </w:p>
    <w:p w14:paraId="63716BBC" w14:textId="77777777" w:rsidR="004B5083" w:rsidRDefault="00513B7D" w:rsidP="00B5318B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5C1B1F8" wp14:editId="62D55341">
            <wp:simplePos x="0" y="0"/>
            <wp:positionH relativeFrom="margin">
              <wp:align>left</wp:align>
            </wp:positionH>
            <wp:positionV relativeFrom="paragraph">
              <wp:posOffset>31308</wp:posOffset>
            </wp:positionV>
            <wp:extent cx="1358900" cy="691515"/>
            <wp:effectExtent l="0" t="0" r="0" b="0"/>
            <wp:wrapTight wrapText="bothSides">
              <wp:wrapPolygon edited="0">
                <wp:start x="0" y="0"/>
                <wp:lineTo x="0" y="20826"/>
                <wp:lineTo x="21196" y="20826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53" cy="69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EE477" w14:textId="77777777" w:rsidR="00513B7D" w:rsidRDefault="00513B7D" w:rsidP="00B5318B">
      <w:pPr>
        <w:rPr>
          <w:noProof/>
        </w:rPr>
      </w:pPr>
    </w:p>
    <w:p w14:paraId="34CF628D" w14:textId="77777777" w:rsidR="003B06EC" w:rsidRDefault="003B06EC" w:rsidP="00AE0203">
      <w:pPr>
        <w:spacing w:before="0" w:after="0"/>
        <w:rPr>
          <w:sz w:val="20"/>
        </w:rPr>
      </w:pPr>
    </w:p>
    <w:p w14:paraId="13049357" w14:textId="77777777" w:rsidR="003B06EC" w:rsidRDefault="003B06EC" w:rsidP="00AE0203">
      <w:pPr>
        <w:spacing w:before="0" w:after="0"/>
        <w:rPr>
          <w:sz w:val="20"/>
        </w:rPr>
      </w:pPr>
    </w:p>
    <w:p w14:paraId="31953B76" w14:textId="77777777" w:rsidR="00B5318B" w:rsidRPr="005E2E64" w:rsidRDefault="00F87A3A" w:rsidP="00AE0203">
      <w:pPr>
        <w:spacing w:before="0" w:after="0"/>
        <w:rPr>
          <w:sz w:val="20"/>
        </w:rPr>
      </w:pPr>
      <w:r>
        <w:rPr>
          <w:sz w:val="20"/>
        </w:rPr>
        <w:t>Simon Camroux</w:t>
      </w:r>
    </w:p>
    <w:p w14:paraId="4516E2F3" w14:textId="77777777" w:rsidR="00A90DE3" w:rsidRDefault="00E86BA0" w:rsidP="00177896">
      <w:pPr>
        <w:spacing w:before="0" w:after="0"/>
        <w:rPr>
          <w:b/>
          <w:sz w:val="20"/>
        </w:rPr>
      </w:pPr>
      <w:r w:rsidRPr="004E165E">
        <w:rPr>
          <w:b/>
          <w:sz w:val="20"/>
        </w:rPr>
        <w:t>Manager, Wholesale Regulation</w:t>
      </w:r>
    </w:p>
    <w:p w14:paraId="1A0D7040" w14:textId="77777777" w:rsidR="006B36EC" w:rsidRDefault="006B36EC" w:rsidP="00177896">
      <w:pPr>
        <w:spacing w:before="0" w:after="0"/>
        <w:rPr>
          <w:b/>
          <w:sz w:val="20"/>
        </w:rPr>
      </w:pPr>
    </w:p>
    <w:p w14:paraId="10981747" w14:textId="77777777" w:rsidR="006B36EC" w:rsidRDefault="006B36EC" w:rsidP="00177896">
      <w:pPr>
        <w:spacing w:before="0" w:after="0"/>
        <w:rPr>
          <w:b/>
          <w:sz w:val="20"/>
        </w:rPr>
      </w:pPr>
    </w:p>
    <w:sectPr w:rsidR="006B36EC" w:rsidSect="00CE4E5A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276" w:right="1797" w:bottom="1276" w:left="1797" w:header="454" w:footer="61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F3313" w14:textId="77777777" w:rsidR="00063B34" w:rsidRDefault="00063B34">
      <w:r>
        <w:separator/>
      </w:r>
    </w:p>
  </w:endnote>
  <w:endnote w:type="continuationSeparator" w:id="0">
    <w:p w14:paraId="5D091A98" w14:textId="77777777" w:rsidR="00063B34" w:rsidRDefault="000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576" w:tblpYSpec="bottom"/>
      <w:tblOverlap w:val="never"/>
      <w:tblW w:w="27414" w:type="dxa"/>
      <w:tblLayout w:type="fixed"/>
      <w:tblLook w:val="01E0" w:firstRow="1" w:lastRow="1" w:firstColumn="1" w:lastColumn="1" w:noHBand="0" w:noVBand="0"/>
    </w:tblPr>
    <w:tblGrid>
      <w:gridCol w:w="8208"/>
      <w:gridCol w:w="8208"/>
      <w:gridCol w:w="8208"/>
      <w:gridCol w:w="2790"/>
    </w:tblGrid>
    <w:tr w:rsidR="00DD5B35" w14:paraId="1E0F5B37" w14:textId="77777777" w:rsidTr="00DD5B35">
      <w:tc>
        <w:tcPr>
          <w:tcW w:w="8208" w:type="dxa"/>
          <w:tcBorders>
            <w:top w:val="single" w:sz="4" w:space="0" w:color="auto"/>
          </w:tcBorders>
        </w:tcPr>
        <w:p w14:paraId="35A19570" w14:textId="77777777" w:rsidR="00DD5B35" w:rsidRPr="00A0124D" w:rsidRDefault="00DD5B35" w:rsidP="00DD5B35">
          <w:pPr>
            <w:pStyle w:val="Footer"/>
            <w:tabs>
              <w:tab w:val="clear" w:pos="4153"/>
              <w:tab w:val="clear" w:pos="8306"/>
            </w:tabs>
          </w:pPr>
          <w:r>
            <w:t xml:space="preserve">AGL submission to Treasury’s consultation on </w:t>
          </w:r>
          <w:r w:rsidRPr="00DD5B35">
            <w:rPr>
              <w:i/>
            </w:rPr>
            <w:t>Corporations Regulations 2001</w:t>
          </w:r>
          <w:r>
            <w:t xml:space="preserve"> – OTC Reporting</w:t>
          </w:r>
        </w:p>
      </w:tc>
      <w:tc>
        <w:tcPr>
          <w:tcW w:w="8208" w:type="dxa"/>
          <w:tcBorders>
            <w:top w:val="single" w:sz="4" w:space="0" w:color="auto"/>
          </w:tcBorders>
        </w:tcPr>
        <w:p w14:paraId="12EECB9F" w14:textId="77777777" w:rsidR="00DD5B35" w:rsidRPr="00A0124D" w:rsidRDefault="00DD5B35" w:rsidP="00DD5B35">
          <w:pPr>
            <w:pStyle w:val="Footer"/>
            <w:tabs>
              <w:tab w:val="clear" w:pos="4153"/>
              <w:tab w:val="clear" w:pos="8306"/>
            </w:tabs>
          </w:pPr>
        </w:p>
      </w:tc>
      <w:tc>
        <w:tcPr>
          <w:tcW w:w="8208" w:type="dxa"/>
          <w:tcBorders>
            <w:top w:val="single" w:sz="4" w:space="0" w:color="auto"/>
          </w:tcBorders>
        </w:tcPr>
        <w:p w14:paraId="6E0655BF" w14:textId="77777777" w:rsidR="00DD5B35" w:rsidRPr="00A0124D" w:rsidRDefault="00DD5B35" w:rsidP="00DD5B35">
          <w:pPr>
            <w:pStyle w:val="Footer"/>
            <w:tabs>
              <w:tab w:val="clear" w:pos="4153"/>
              <w:tab w:val="clear" w:pos="8306"/>
            </w:tabs>
          </w:pPr>
        </w:p>
      </w:tc>
      <w:tc>
        <w:tcPr>
          <w:tcW w:w="2790" w:type="dxa"/>
          <w:tcBorders>
            <w:top w:val="single" w:sz="4" w:space="0" w:color="auto"/>
          </w:tcBorders>
        </w:tcPr>
        <w:p w14:paraId="04146911" w14:textId="77777777" w:rsidR="00DD5B35" w:rsidRPr="00A0124D" w:rsidRDefault="00DD5B35" w:rsidP="00DD5B35">
          <w:pPr>
            <w:pStyle w:val="Footer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36A5C">
            <w:rPr>
              <w:noProof/>
            </w:rPr>
            <w:t>2</w:t>
          </w:r>
          <w:r>
            <w:fldChar w:fldCharType="end"/>
          </w:r>
        </w:p>
      </w:tc>
    </w:tr>
  </w:tbl>
  <w:p w14:paraId="4E2AFCA2" w14:textId="77777777" w:rsidR="00A14AC9" w:rsidRPr="006E06E2" w:rsidRDefault="00A14AC9" w:rsidP="003F7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page" w:horzAnchor="page" w:tblpX="540" w:tblpYSpec="bottom"/>
      <w:tblOverlap w:val="never"/>
      <w:tblW w:w="11088" w:type="dxa"/>
      <w:tblLayout w:type="fixed"/>
      <w:tblLook w:val="01E0" w:firstRow="1" w:lastRow="1" w:firstColumn="1" w:lastColumn="1" w:noHBand="0" w:noVBand="0"/>
    </w:tblPr>
    <w:tblGrid>
      <w:gridCol w:w="8208"/>
      <w:gridCol w:w="2880"/>
    </w:tblGrid>
    <w:tr w:rsidR="00A14AC9" w14:paraId="3B50A089" w14:textId="77777777">
      <w:trPr>
        <w:trHeight w:val="272"/>
      </w:trPr>
      <w:tc>
        <w:tcPr>
          <w:tcW w:w="8208" w:type="dxa"/>
          <w:tcBorders>
            <w:top w:val="single" w:sz="4" w:space="0" w:color="auto"/>
          </w:tcBorders>
        </w:tcPr>
        <w:p w14:paraId="5BC4B2EC" w14:textId="77777777" w:rsidR="00A14AC9" w:rsidRPr="00A0124D" w:rsidRDefault="00DD5B35" w:rsidP="002C25A7">
          <w:pPr>
            <w:pStyle w:val="Footer"/>
            <w:tabs>
              <w:tab w:val="clear" w:pos="4153"/>
              <w:tab w:val="clear" w:pos="8306"/>
            </w:tabs>
          </w:pPr>
          <w:r>
            <w:t xml:space="preserve">AGL submission to Treasury’s consultation on </w:t>
          </w:r>
          <w:r w:rsidRPr="00DD5B35">
            <w:rPr>
              <w:i/>
            </w:rPr>
            <w:t>Corporations Regulations 2001</w:t>
          </w:r>
          <w:r>
            <w:t xml:space="preserve"> – OTC Reporting</w:t>
          </w:r>
        </w:p>
      </w:tc>
      <w:tc>
        <w:tcPr>
          <w:tcW w:w="2880" w:type="dxa"/>
          <w:tcBorders>
            <w:top w:val="single" w:sz="4" w:space="0" w:color="auto"/>
          </w:tcBorders>
        </w:tcPr>
        <w:p w14:paraId="24110099" w14:textId="77777777" w:rsidR="00A14AC9" w:rsidRPr="00A0124D" w:rsidRDefault="00A14AC9" w:rsidP="00B5318B">
          <w:pPr>
            <w:pStyle w:val="Footer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36A5C">
            <w:rPr>
              <w:noProof/>
            </w:rPr>
            <w:t>1</w:t>
          </w:r>
          <w:r>
            <w:fldChar w:fldCharType="end"/>
          </w:r>
        </w:p>
      </w:tc>
    </w:tr>
  </w:tbl>
  <w:p w14:paraId="1F2B6F07" w14:textId="77777777" w:rsidR="00A14AC9" w:rsidRPr="00FB2F86" w:rsidRDefault="00A14AC9" w:rsidP="00B53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C703B" w14:textId="77777777" w:rsidR="00063B34" w:rsidRDefault="00063B34">
      <w:r>
        <w:separator/>
      </w:r>
    </w:p>
  </w:footnote>
  <w:footnote w:type="continuationSeparator" w:id="0">
    <w:p w14:paraId="120148A1" w14:textId="77777777" w:rsidR="00063B34" w:rsidRDefault="0006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A222" w14:textId="77777777" w:rsidR="00A14AC9" w:rsidRDefault="00A14AC9" w:rsidP="00B5318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EEF15C" wp14:editId="49AE3F8C">
          <wp:simplePos x="0" y="0"/>
          <wp:positionH relativeFrom="column">
            <wp:posOffset>5009515</wp:posOffset>
          </wp:positionH>
          <wp:positionV relativeFrom="paragraph">
            <wp:posOffset>-46990</wp:posOffset>
          </wp:positionV>
          <wp:extent cx="1123315" cy="1142365"/>
          <wp:effectExtent l="0" t="0" r="635" b="635"/>
          <wp:wrapSquare wrapText="bothSides"/>
          <wp:docPr id="6" name="Picture 6" descr="lt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rhea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83" t="56381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50" w:type="dxa"/>
      <w:tblLayout w:type="fixed"/>
      <w:tblLook w:val="0000" w:firstRow="0" w:lastRow="0" w:firstColumn="0" w:lastColumn="0" w:noHBand="0" w:noVBand="0"/>
    </w:tblPr>
    <w:tblGrid>
      <w:gridCol w:w="2011"/>
      <w:gridCol w:w="2012"/>
      <w:gridCol w:w="2011"/>
      <w:gridCol w:w="2012"/>
    </w:tblGrid>
    <w:tr w:rsidR="00A14AC9" w:rsidRPr="00FB2F86" w14:paraId="3BE95015" w14:textId="77777777">
      <w:tc>
        <w:tcPr>
          <w:tcW w:w="2011" w:type="dxa"/>
        </w:tcPr>
        <w:p w14:paraId="1D323151" w14:textId="77777777" w:rsidR="00A14AC9" w:rsidRDefault="00936A5C" w:rsidP="00B5318B">
          <w:pPr>
            <w:pStyle w:val="Header"/>
          </w:pPr>
          <w:r>
            <w:fldChar w:fldCharType="begin"/>
          </w:r>
          <w:r>
            <w:instrText xml:space="preserve"> DOCPROPERTY "SCompany"  \* MERGEFORMAT </w:instrText>
          </w:r>
          <w:r>
            <w:fldChar w:fldCharType="separate"/>
          </w:r>
          <w:r w:rsidR="00217CB1">
            <w:t>AGL Energy Limited</w:t>
          </w:r>
          <w:r>
            <w:fldChar w:fldCharType="end"/>
          </w:r>
        </w:p>
        <w:p w14:paraId="299AAB8C" w14:textId="77777777" w:rsidR="00A14AC9" w:rsidRPr="00E239EC" w:rsidRDefault="00936A5C" w:rsidP="00B5318B">
          <w:pPr>
            <w:pStyle w:val="Header"/>
          </w:pPr>
          <w:r>
            <w:fldChar w:fldCharType="begin"/>
          </w:r>
          <w:r>
            <w:instrText xml:space="preserve"> DOCPROPERTY "ABN"  \* MERGEFORMAT </w:instrText>
          </w:r>
          <w:r>
            <w:fldChar w:fldCharType="separate"/>
          </w:r>
          <w:r w:rsidR="00217CB1">
            <w:t>ABN: 74 115 061 375</w:t>
          </w:r>
          <w:r>
            <w:fldChar w:fldCharType="end"/>
          </w:r>
        </w:p>
      </w:tc>
      <w:tc>
        <w:tcPr>
          <w:tcW w:w="2012" w:type="dxa"/>
        </w:tcPr>
        <w:p w14:paraId="2DB3D966" w14:textId="77777777" w:rsidR="00A14AC9" w:rsidRDefault="00936A5C" w:rsidP="00B5318B">
          <w:pPr>
            <w:pStyle w:val="Header"/>
          </w:pPr>
          <w:r>
            <w:fldChar w:fldCharType="begin"/>
          </w:r>
          <w:r>
            <w:instrText xml:space="preserve"> DOCPROPERTY  SAddress2  \* MERGEFORMAT </w:instrText>
          </w:r>
          <w:r>
            <w:fldChar w:fldCharType="separate"/>
          </w:r>
          <w:r w:rsidR="00217CB1">
            <w:t>Level 22, 101 Miller St</w:t>
          </w:r>
          <w:r>
            <w:fldChar w:fldCharType="end"/>
          </w:r>
        </w:p>
        <w:p w14:paraId="67A7F917" w14:textId="77777777" w:rsidR="00A14AC9" w:rsidRDefault="00936A5C" w:rsidP="00B5318B">
          <w:pPr>
            <w:pStyle w:val="Header"/>
          </w:pPr>
          <w:r>
            <w:fldChar w:fldCharType="begin"/>
          </w:r>
          <w:r>
            <w:instrText xml:space="preserve"> DOCPROPERTY "SAddressSub"  \* MERGEFORMAT </w:instrText>
          </w:r>
          <w:r>
            <w:fldChar w:fldCharType="separate"/>
          </w:r>
          <w:r w:rsidR="00217CB1">
            <w:t>North Sydney NSW 2060</w:t>
          </w:r>
          <w:r>
            <w:fldChar w:fldCharType="end"/>
          </w:r>
        </w:p>
      </w:tc>
      <w:tc>
        <w:tcPr>
          <w:tcW w:w="2011" w:type="dxa"/>
        </w:tcPr>
        <w:p w14:paraId="320BDBCC" w14:textId="77777777" w:rsidR="00A14AC9" w:rsidRDefault="00936A5C" w:rsidP="00B5318B">
          <w:pPr>
            <w:pStyle w:val="Header"/>
          </w:pPr>
          <w:r>
            <w:fldChar w:fldCharType="begin"/>
          </w:r>
          <w:r>
            <w:instrText xml:space="preserve"> DOCPROPERTY "SPostal"  \* MERGEFORMAT </w:instrText>
          </w:r>
          <w:r>
            <w:fldChar w:fldCharType="separate"/>
          </w:r>
          <w:r w:rsidR="00217CB1">
            <w:t>Locked Bag 1837</w:t>
          </w:r>
          <w:r>
            <w:fldChar w:fldCharType="end"/>
          </w:r>
        </w:p>
        <w:p w14:paraId="0BFBDEEE" w14:textId="77777777" w:rsidR="00A14AC9" w:rsidRDefault="00936A5C" w:rsidP="00B5318B">
          <w:pPr>
            <w:pStyle w:val="Header"/>
          </w:pPr>
          <w:r>
            <w:fldChar w:fldCharType="begin"/>
          </w:r>
          <w:r>
            <w:instrText xml:space="preserve"> DOCPROPERTY "PaddressSub"  \* MERGEFORMAT </w:instrText>
          </w:r>
          <w:r>
            <w:fldChar w:fldCharType="separate"/>
          </w:r>
          <w:r w:rsidR="00217CB1">
            <w:t>St Leonards  NSW  2065</w:t>
          </w:r>
          <w:r>
            <w:fldChar w:fldCharType="end"/>
          </w:r>
        </w:p>
      </w:tc>
      <w:tc>
        <w:tcPr>
          <w:tcW w:w="2012" w:type="dxa"/>
        </w:tcPr>
        <w:p w14:paraId="58A3FE51" w14:textId="77777777" w:rsidR="00A14AC9" w:rsidRPr="00FB2F86" w:rsidRDefault="00A14AC9" w:rsidP="00B5318B">
          <w:pPr>
            <w:pStyle w:val="Header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CC8B1A1" wp14:editId="7A534A2C">
                <wp:simplePos x="0" y="0"/>
                <wp:positionH relativeFrom="column">
                  <wp:posOffset>1452245</wp:posOffset>
                </wp:positionH>
                <wp:positionV relativeFrom="paragraph">
                  <wp:posOffset>-67945</wp:posOffset>
                </wp:positionV>
                <wp:extent cx="1759585" cy="3037840"/>
                <wp:effectExtent l="0" t="0" r="0" b="0"/>
                <wp:wrapNone/>
                <wp:docPr id="7" name="Picture 7" descr="120328-Kaleidoscope_Template-Letterhead_lat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120328-Kaleidoscope_Template-Letterhead_lat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303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2F86">
            <w:rPr>
              <w:lang w:val="de-DE"/>
            </w:rPr>
            <w:t xml:space="preserve">T: </w:t>
          </w:r>
          <w:r w:rsidR="00936A5C">
            <w:fldChar w:fldCharType="begin"/>
          </w:r>
          <w:r w:rsidR="00936A5C">
            <w:instrText xml:space="preserve"> DOCPROPERTY  STel  \* MERGEFORMAT </w:instrText>
          </w:r>
          <w:r w:rsidR="00936A5C">
            <w:fldChar w:fldCharType="separate"/>
          </w:r>
          <w:r w:rsidR="00217CB1" w:rsidRPr="00217CB1">
            <w:rPr>
              <w:lang w:val="de-DE"/>
            </w:rPr>
            <w:t>02 9921 2999</w:t>
          </w:r>
          <w:r w:rsidR="00936A5C">
            <w:rPr>
              <w:lang w:val="de-DE"/>
            </w:rPr>
            <w:fldChar w:fldCharType="end"/>
          </w:r>
        </w:p>
        <w:p w14:paraId="26604990" w14:textId="77777777" w:rsidR="00A14AC9" w:rsidRPr="00FB2F86" w:rsidRDefault="00A14AC9" w:rsidP="00B5318B">
          <w:pPr>
            <w:pStyle w:val="Header"/>
            <w:rPr>
              <w:lang w:val="de-DE"/>
            </w:rPr>
          </w:pPr>
          <w:r w:rsidRPr="00FB2F86">
            <w:rPr>
              <w:lang w:val="de-DE"/>
            </w:rPr>
            <w:t xml:space="preserve">F: </w:t>
          </w:r>
          <w:r w:rsidR="00936A5C">
            <w:fldChar w:fldCharType="begin"/>
          </w:r>
          <w:r w:rsidR="00936A5C">
            <w:instrText xml:space="preserve"> DOCPROPERTY  SFax  \* MERGEFORMAT </w:instrText>
          </w:r>
          <w:r w:rsidR="00936A5C">
            <w:fldChar w:fldCharType="separate"/>
          </w:r>
          <w:r w:rsidR="00217CB1" w:rsidRPr="00217CB1">
            <w:rPr>
              <w:lang w:val="de-DE"/>
            </w:rPr>
            <w:t>02 9921 2552</w:t>
          </w:r>
          <w:r w:rsidR="00936A5C">
            <w:rPr>
              <w:lang w:val="de-DE"/>
            </w:rPr>
            <w:fldChar w:fldCharType="end"/>
          </w:r>
        </w:p>
        <w:p w14:paraId="56F2CE83" w14:textId="77777777" w:rsidR="00A14AC9" w:rsidRPr="00FB2F86" w:rsidRDefault="00A14AC9" w:rsidP="00B5318B">
          <w:pPr>
            <w:pStyle w:val="Header"/>
            <w:rPr>
              <w:lang w:val="de-DE"/>
            </w:rPr>
          </w:pPr>
          <w:r w:rsidRPr="00FB2F86">
            <w:rPr>
              <w:lang w:val="de-DE"/>
            </w:rPr>
            <w:t>agl.com.au</w:t>
          </w:r>
        </w:p>
      </w:tc>
    </w:tr>
  </w:tbl>
  <w:p w14:paraId="00B1FCF7" w14:textId="77777777" w:rsidR="00A14AC9" w:rsidRPr="00FB2F86" w:rsidRDefault="00A14AC9" w:rsidP="00B5318B">
    <w:pPr>
      <w:pStyle w:val="Header"/>
      <w:rPr>
        <w:lang w:val="de-DE"/>
      </w:rPr>
    </w:pPr>
  </w:p>
  <w:p w14:paraId="47424035" w14:textId="77777777" w:rsidR="00A14AC9" w:rsidRPr="00FB2F86" w:rsidRDefault="00A14AC9" w:rsidP="00B5318B">
    <w:pPr>
      <w:pStyle w:val="Header"/>
      <w:rPr>
        <w:lang w:val="de-DE"/>
      </w:rPr>
    </w:pPr>
  </w:p>
  <w:p w14:paraId="53A61F19" w14:textId="77777777" w:rsidR="00A14AC9" w:rsidRPr="00FB2F86" w:rsidRDefault="00A14AC9" w:rsidP="00B5318B">
    <w:pPr>
      <w:pStyle w:val="Header"/>
      <w:rPr>
        <w:lang w:val="de-DE"/>
      </w:rPr>
    </w:pPr>
  </w:p>
  <w:p w14:paraId="2703F254" w14:textId="77777777" w:rsidR="00A14AC9" w:rsidRPr="00FB2F86" w:rsidRDefault="00A14AC9" w:rsidP="00B5318B">
    <w:pPr>
      <w:pStyle w:val="Header"/>
      <w:rPr>
        <w:lang w:val="de-DE"/>
      </w:rPr>
    </w:pPr>
  </w:p>
  <w:p w14:paraId="5D7437BC" w14:textId="77777777" w:rsidR="00A14AC9" w:rsidRPr="00FB2F86" w:rsidRDefault="00A14AC9" w:rsidP="00B5318B">
    <w:pPr>
      <w:pStyle w:val="Header"/>
      <w:rPr>
        <w:lang w:val="de-DE"/>
      </w:rPr>
    </w:pPr>
  </w:p>
  <w:p w14:paraId="4E8B227A" w14:textId="77777777" w:rsidR="00A14AC9" w:rsidRPr="00FB2F86" w:rsidRDefault="00A14AC9" w:rsidP="00B5318B">
    <w:pPr>
      <w:pStyle w:val="Header"/>
      <w:rPr>
        <w:lang w:val="de-DE"/>
      </w:rPr>
    </w:pPr>
  </w:p>
  <w:p w14:paraId="4AB693D6" w14:textId="77777777" w:rsidR="00A14AC9" w:rsidRPr="00FB2F86" w:rsidRDefault="00A14AC9" w:rsidP="00B5318B">
    <w:pPr>
      <w:pStyle w:val="Header"/>
      <w:rPr>
        <w:lang w:val="de-DE"/>
      </w:rPr>
    </w:pPr>
  </w:p>
  <w:p w14:paraId="595259B3" w14:textId="77777777" w:rsidR="00A14AC9" w:rsidRPr="00FB2F86" w:rsidRDefault="00A14AC9" w:rsidP="00B5318B">
    <w:pPr>
      <w:pStyle w:val="Header"/>
      <w:rPr>
        <w:lang w:val="de-DE"/>
      </w:rPr>
    </w:pPr>
  </w:p>
  <w:p w14:paraId="47480384" w14:textId="77777777" w:rsidR="00A14AC9" w:rsidRPr="00FB2F86" w:rsidRDefault="00A14AC9" w:rsidP="00B5318B">
    <w:pPr>
      <w:pStyle w:val="Header"/>
      <w:rPr>
        <w:lang w:val="de-DE"/>
      </w:rPr>
    </w:pPr>
  </w:p>
  <w:p w14:paraId="30BBB07A" w14:textId="77777777" w:rsidR="00A14AC9" w:rsidRPr="00FB2F86" w:rsidRDefault="00A14AC9" w:rsidP="00B5318B">
    <w:pPr>
      <w:pStyle w:val="Header"/>
      <w:rPr>
        <w:lang w:val="de-DE"/>
      </w:rPr>
    </w:pPr>
  </w:p>
  <w:p w14:paraId="2B6E03C6" w14:textId="77777777" w:rsidR="00A14AC9" w:rsidRPr="00FB2F86" w:rsidRDefault="00A14AC9" w:rsidP="00B5318B">
    <w:pPr>
      <w:pStyle w:val="Header"/>
      <w:rPr>
        <w:lang w:val="de-DE"/>
      </w:rPr>
    </w:pPr>
  </w:p>
  <w:p w14:paraId="36939966" w14:textId="77777777" w:rsidR="00A14AC9" w:rsidRPr="00FB2F86" w:rsidRDefault="00A14AC9" w:rsidP="00B5318B">
    <w:pPr>
      <w:pStyle w:val="Header"/>
      <w:rPr>
        <w:lang w:val="de-DE"/>
      </w:rPr>
    </w:pPr>
  </w:p>
  <w:p w14:paraId="5770A90F" w14:textId="77777777" w:rsidR="00A14AC9" w:rsidRPr="00FB2F86" w:rsidRDefault="00A14AC9" w:rsidP="00B5318B">
    <w:pPr>
      <w:pStyle w:val="Header"/>
      <w:rPr>
        <w:lang w:val="de-DE"/>
      </w:rPr>
    </w:pPr>
  </w:p>
  <w:p w14:paraId="18127779" w14:textId="77777777" w:rsidR="00A14AC9" w:rsidRPr="00FB2F86" w:rsidRDefault="00A14AC9" w:rsidP="00B5318B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5E0"/>
    <w:multiLevelType w:val="hybridMultilevel"/>
    <w:tmpl w:val="1BC267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33F29"/>
    <w:multiLevelType w:val="hybridMultilevel"/>
    <w:tmpl w:val="6AEC3FBA"/>
    <w:lvl w:ilvl="0" w:tplc="EF58AC82">
      <w:start w:val="1"/>
      <w:numFmt w:val="bullet"/>
      <w:pStyle w:val="Footerbullets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74F50"/>
    <w:multiLevelType w:val="hybridMultilevel"/>
    <w:tmpl w:val="DB5029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35419"/>
    <w:multiLevelType w:val="hybridMultilevel"/>
    <w:tmpl w:val="FA38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32540"/>
    <w:multiLevelType w:val="singleLevel"/>
    <w:tmpl w:val="301E4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8E77FA"/>
    <w:multiLevelType w:val="hybridMultilevel"/>
    <w:tmpl w:val="0E6227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D800B7"/>
    <w:multiLevelType w:val="hybridMultilevel"/>
    <w:tmpl w:val="2AEE6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95C46"/>
    <w:multiLevelType w:val="hybridMultilevel"/>
    <w:tmpl w:val="4FB09B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3E006B"/>
    <w:multiLevelType w:val="hybridMultilevel"/>
    <w:tmpl w:val="6562F8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542735"/>
    <w:multiLevelType w:val="hybridMultilevel"/>
    <w:tmpl w:val="223251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775318"/>
    <w:multiLevelType w:val="hybridMultilevel"/>
    <w:tmpl w:val="223251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F32903"/>
    <w:multiLevelType w:val="hybridMultilevel"/>
    <w:tmpl w:val="36B66A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35631A"/>
    <w:multiLevelType w:val="hybridMultilevel"/>
    <w:tmpl w:val="5CF0C3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activeWritingStyle w:appName="MSWord" w:lang="en-GB" w:vendorID="8" w:dllVersion="513" w:checkStyle="1"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BB"/>
    <w:rsid w:val="0001162C"/>
    <w:rsid w:val="00013C56"/>
    <w:rsid w:val="00014E8E"/>
    <w:rsid w:val="00016EAF"/>
    <w:rsid w:val="00017F18"/>
    <w:rsid w:val="0002254D"/>
    <w:rsid w:val="0002680A"/>
    <w:rsid w:val="00026B6D"/>
    <w:rsid w:val="000405A5"/>
    <w:rsid w:val="00040D21"/>
    <w:rsid w:val="000415A5"/>
    <w:rsid w:val="000505B0"/>
    <w:rsid w:val="00055E40"/>
    <w:rsid w:val="0005732C"/>
    <w:rsid w:val="00061F19"/>
    <w:rsid w:val="0006302A"/>
    <w:rsid w:val="00063B34"/>
    <w:rsid w:val="00065D3A"/>
    <w:rsid w:val="00065E73"/>
    <w:rsid w:val="00070576"/>
    <w:rsid w:val="00072A21"/>
    <w:rsid w:val="00075ED8"/>
    <w:rsid w:val="00090EF9"/>
    <w:rsid w:val="00093C40"/>
    <w:rsid w:val="000A3B13"/>
    <w:rsid w:val="000A3F36"/>
    <w:rsid w:val="000A5E21"/>
    <w:rsid w:val="000B1A3E"/>
    <w:rsid w:val="000B612F"/>
    <w:rsid w:val="000B6476"/>
    <w:rsid w:val="000C3C3B"/>
    <w:rsid w:val="000C5CE3"/>
    <w:rsid w:val="000C6C7F"/>
    <w:rsid w:val="000E014F"/>
    <w:rsid w:val="000E14A7"/>
    <w:rsid w:val="000E5C10"/>
    <w:rsid w:val="000F632C"/>
    <w:rsid w:val="00100B24"/>
    <w:rsid w:val="00100D52"/>
    <w:rsid w:val="00103167"/>
    <w:rsid w:val="00110EC2"/>
    <w:rsid w:val="001154BB"/>
    <w:rsid w:val="00116FE8"/>
    <w:rsid w:val="00121E56"/>
    <w:rsid w:val="0012283F"/>
    <w:rsid w:val="0012453F"/>
    <w:rsid w:val="00124E17"/>
    <w:rsid w:val="001271D9"/>
    <w:rsid w:val="00127241"/>
    <w:rsid w:val="00130DDF"/>
    <w:rsid w:val="001338D5"/>
    <w:rsid w:val="00133B53"/>
    <w:rsid w:val="00136A02"/>
    <w:rsid w:val="001429F5"/>
    <w:rsid w:val="001431B0"/>
    <w:rsid w:val="001452CA"/>
    <w:rsid w:val="0016190A"/>
    <w:rsid w:val="00170E72"/>
    <w:rsid w:val="00173B55"/>
    <w:rsid w:val="001758DB"/>
    <w:rsid w:val="00176886"/>
    <w:rsid w:val="00177896"/>
    <w:rsid w:val="00183174"/>
    <w:rsid w:val="0018529A"/>
    <w:rsid w:val="00185FED"/>
    <w:rsid w:val="001863B4"/>
    <w:rsid w:val="00186616"/>
    <w:rsid w:val="00186DD3"/>
    <w:rsid w:val="001934F4"/>
    <w:rsid w:val="00193A44"/>
    <w:rsid w:val="00195D0D"/>
    <w:rsid w:val="00196636"/>
    <w:rsid w:val="001A182D"/>
    <w:rsid w:val="001A4760"/>
    <w:rsid w:val="001A64B4"/>
    <w:rsid w:val="001A76A7"/>
    <w:rsid w:val="001B018F"/>
    <w:rsid w:val="001B338A"/>
    <w:rsid w:val="001B386A"/>
    <w:rsid w:val="001B4701"/>
    <w:rsid w:val="001C267D"/>
    <w:rsid w:val="001C421C"/>
    <w:rsid w:val="001D1130"/>
    <w:rsid w:val="001D7A16"/>
    <w:rsid w:val="001E2852"/>
    <w:rsid w:val="001E58BF"/>
    <w:rsid w:val="001F3D9C"/>
    <w:rsid w:val="001F5C2D"/>
    <w:rsid w:val="001F7894"/>
    <w:rsid w:val="00202420"/>
    <w:rsid w:val="002028B7"/>
    <w:rsid w:val="00203E86"/>
    <w:rsid w:val="00204E76"/>
    <w:rsid w:val="002069E0"/>
    <w:rsid w:val="00207675"/>
    <w:rsid w:val="00207F85"/>
    <w:rsid w:val="00216779"/>
    <w:rsid w:val="00217CB1"/>
    <w:rsid w:val="00225299"/>
    <w:rsid w:val="00230CBA"/>
    <w:rsid w:val="00235904"/>
    <w:rsid w:val="0024033F"/>
    <w:rsid w:val="00240DF4"/>
    <w:rsid w:val="00254189"/>
    <w:rsid w:val="00255684"/>
    <w:rsid w:val="00261747"/>
    <w:rsid w:val="00270115"/>
    <w:rsid w:val="00270FA3"/>
    <w:rsid w:val="00277AA1"/>
    <w:rsid w:val="0028110E"/>
    <w:rsid w:val="002819EA"/>
    <w:rsid w:val="00283E08"/>
    <w:rsid w:val="0029348A"/>
    <w:rsid w:val="002A0B79"/>
    <w:rsid w:val="002B0FE1"/>
    <w:rsid w:val="002C0853"/>
    <w:rsid w:val="002C25A7"/>
    <w:rsid w:val="002C356C"/>
    <w:rsid w:val="002C492A"/>
    <w:rsid w:val="002C4CC8"/>
    <w:rsid w:val="002D05DC"/>
    <w:rsid w:val="002D0CEF"/>
    <w:rsid w:val="002D4CFF"/>
    <w:rsid w:val="002D6911"/>
    <w:rsid w:val="002D7ECD"/>
    <w:rsid w:val="002E3EA0"/>
    <w:rsid w:val="002F29B0"/>
    <w:rsid w:val="0030040C"/>
    <w:rsid w:val="00303444"/>
    <w:rsid w:val="00303FFE"/>
    <w:rsid w:val="00311B03"/>
    <w:rsid w:val="003135DD"/>
    <w:rsid w:val="00316936"/>
    <w:rsid w:val="00316B64"/>
    <w:rsid w:val="00322E93"/>
    <w:rsid w:val="00324AAA"/>
    <w:rsid w:val="003267D8"/>
    <w:rsid w:val="00327111"/>
    <w:rsid w:val="00327217"/>
    <w:rsid w:val="00327289"/>
    <w:rsid w:val="00333D57"/>
    <w:rsid w:val="0033410E"/>
    <w:rsid w:val="00337C46"/>
    <w:rsid w:val="00342AE8"/>
    <w:rsid w:val="00346E97"/>
    <w:rsid w:val="00350C99"/>
    <w:rsid w:val="0035260F"/>
    <w:rsid w:val="00352666"/>
    <w:rsid w:val="00364B27"/>
    <w:rsid w:val="00370B7F"/>
    <w:rsid w:val="00370EA4"/>
    <w:rsid w:val="00373928"/>
    <w:rsid w:val="003742A8"/>
    <w:rsid w:val="00392E37"/>
    <w:rsid w:val="0039330C"/>
    <w:rsid w:val="00396116"/>
    <w:rsid w:val="0039614F"/>
    <w:rsid w:val="003A202E"/>
    <w:rsid w:val="003A4220"/>
    <w:rsid w:val="003A6AE0"/>
    <w:rsid w:val="003A7D77"/>
    <w:rsid w:val="003B06EC"/>
    <w:rsid w:val="003B2A14"/>
    <w:rsid w:val="003B2DC4"/>
    <w:rsid w:val="003B6C9D"/>
    <w:rsid w:val="003C38BB"/>
    <w:rsid w:val="003C70F0"/>
    <w:rsid w:val="003C7671"/>
    <w:rsid w:val="003D6FF8"/>
    <w:rsid w:val="003D7DC9"/>
    <w:rsid w:val="003E0AE3"/>
    <w:rsid w:val="003E5CE9"/>
    <w:rsid w:val="003E68E3"/>
    <w:rsid w:val="003F0B38"/>
    <w:rsid w:val="003F1A6B"/>
    <w:rsid w:val="003F266F"/>
    <w:rsid w:val="003F321A"/>
    <w:rsid w:val="003F78D2"/>
    <w:rsid w:val="00402741"/>
    <w:rsid w:val="00404DDC"/>
    <w:rsid w:val="004056FD"/>
    <w:rsid w:val="00406118"/>
    <w:rsid w:val="004114DF"/>
    <w:rsid w:val="00412165"/>
    <w:rsid w:val="00413DAA"/>
    <w:rsid w:val="00415C79"/>
    <w:rsid w:val="00422090"/>
    <w:rsid w:val="004242EE"/>
    <w:rsid w:val="004275CD"/>
    <w:rsid w:val="004326E7"/>
    <w:rsid w:val="00432AE2"/>
    <w:rsid w:val="00440682"/>
    <w:rsid w:val="00442B7C"/>
    <w:rsid w:val="00443ABF"/>
    <w:rsid w:val="0045378E"/>
    <w:rsid w:val="004573D7"/>
    <w:rsid w:val="00465217"/>
    <w:rsid w:val="00473599"/>
    <w:rsid w:val="00473ACE"/>
    <w:rsid w:val="00490EEA"/>
    <w:rsid w:val="00492287"/>
    <w:rsid w:val="00494A56"/>
    <w:rsid w:val="00495E45"/>
    <w:rsid w:val="00496BFB"/>
    <w:rsid w:val="00496C40"/>
    <w:rsid w:val="004A4BB8"/>
    <w:rsid w:val="004A5C2A"/>
    <w:rsid w:val="004B0A7D"/>
    <w:rsid w:val="004B492B"/>
    <w:rsid w:val="004B5083"/>
    <w:rsid w:val="004B71A7"/>
    <w:rsid w:val="004C3FB4"/>
    <w:rsid w:val="004C687F"/>
    <w:rsid w:val="004D2242"/>
    <w:rsid w:val="004D4B25"/>
    <w:rsid w:val="004D515F"/>
    <w:rsid w:val="004D76ED"/>
    <w:rsid w:val="004E165E"/>
    <w:rsid w:val="004E1A6D"/>
    <w:rsid w:val="004E2194"/>
    <w:rsid w:val="004E37FA"/>
    <w:rsid w:val="004E3B73"/>
    <w:rsid w:val="004E40EC"/>
    <w:rsid w:val="004F44FC"/>
    <w:rsid w:val="00500A7B"/>
    <w:rsid w:val="00504C19"/>
    <w:rsid w:val="0051043B"/>
    <w:rsid w:val="00511276"/>
    <w:rsid w:val="00511807"/>
    <w:rsid w:val="00511F28"/>
    <w:rsid w:val="00512B40"/>
    <w:rsid w:val="00513B7D"/>
    <w:rsid w:val="00514514"/>
    <w:rsid w:val="00514A53"/>
    <w:rsid w:val="005167D2"/>
    <w:rsid w:val="00517FEF"/>
    <w:rsid w:val="00522270"/>
    <w:rsid w:val="005244EF"/>
    <w:rsid w:val="0053472D"/>
    <w:rsid w:val="00534DAA"/>
    <w:rsid w:val="0054080D"/>
    <w:rsid w:val="0054129C"/>
    <w:rsid w:val="0054216F"/>
    <w:rsid w:val="00542D37"/>
    <w:rsid w:val="00547EA2"/>
    <w:rsid w:val="00552259"/>
    <w:rsid w:val="00556CBC"/>
    <w:rsid w:val="0055728E"/>
    <w:rsid w:val="0055795E"/>
    <w:rsid w:val="00561293"/>
    <w:rsid w:val="00561924"/>
    <w:rsid w:val="0056359A"/>
    <w:rsid w:val="005636D9"/>
    <w:rsid w:val="00564651"/>
    <w:rsid w:val="00574EFD"/>
    <w:rsid w:val="00575679"/>
    <w:rsid w:val="00575D98"/>
    <w:rsid w:val="005807B8"/>
    <w:rsid w:val="005855B7"/>
    <w:rsid w:val="00586B26"/>
    <w:rsid w:val="005870E3"/>
    <w:rsid w:val="0059072B"/>
    <w:rsid w:val="005913D2"/>
    <w:rsid w:val="005A09AC"/>
    <w:rsid w:val="005A22A0"/>
    <w:rsid w:val="005A5282"/>
    <w:rsid w:val="005A6442"/>
    <w:rsid w:val="005A7305"/>
    <w:rsid w:val="005B56B7"/>
    <w:rsid w:val="005C01BD"/>
    <w:rsid w:val="005C5114"/>
    <w:rsid w:val="005C5980"/>
    <w:rsid w:val="005C5A04"/>
    <w:rsid w:val="005D5DA9"/>
    <w:rsid w:val="005D73D7"/>
    <w:rsid w:val="005E1EE8"/>
    <w:rsid w:val="005E2A8F"/>
    <w:rsid w:val="005E2E64"/>
    <w:rsid w:val="005E594D"/>
    <w:rsid w:val="005E7239"/>
    <w:rsid w:val="005F4A3A"/>
    <w:rsid w:val="005F5ED3"/>
    <w:rsid w:val="005F67EF"/>
    <w:rsid w:val="00626AF7"/>
    <w:rsid w:val="0063243C"/>
    <w:rsid w:val="006352C1"/>
    <w:rsid w:val="00641BE0"/>
    <w:rsid w:val="006468F3"/>
    <w:rsid w:val="006530B9"/>
    <w:rsid w:val="006568C6"/>
    <w:rsid w:val="006579D4"/>
    <w:rsid w:val="00660D69"/>
    <w:rsid w:val="0066791B"/>
    <w:rsid w:val="00671B8A"/>
    <w:rsid w:val="00672FFB"/>
    <w:rsid w:val="006745A2"/>
    <w:rsid w:val="006746BB"/>
    <w:rsid w:val="00674868"/>
    <w:rsid w:val="0068340C"/>
    <w:rsid w:val="00685054"/>
    <w:rsid w:val="006859EF"/>
    <w:rsid w:val="006879DC"/>
    <w:rsid w:val="0069339C"/>
    <w:rsid w:val="006933DF"/>
    <w:rsid w:val="006A0254"/>
    <w:rsid w:val="006A03C5"/>
    <w:rsid w:val="006A1F5D"/>
    <w:rsid w:val="006A6AE8"/>
    <w:rsid w:val="006A6B34"/>
    <w:rsid w:val="006B1BB1"/>
    <w:rsid w:val="006B2E22"/>
    <w:rsid w:val="006B36EC"/>
    <w:rsid w:val="006B3F71"/>
    <w:rsid w:val="006C395E"/>
    <w:rsid w:val="006C6B44"/>
    <w:rsid w:val="006D1CAF"/>
    <w:rsid w:val="006D2C25"/>
    <w:rsid w:val="006D5AA5"/>
    <w:rsid w:val="006D7825"/>
    <w:rsid w:val="006E2A42"/>
    <w:rsid w:val="006E4623"/>
    <w:rsid w:val="006F157F"/>
    <w:rsid w:val="006F3E1A"/>
    <w:rsid w:val="006F4F0D"/>
    <w:rsid w:val="00700152"/>
    <w:rsid w:val="00707CA6"/>
    <w:rsid w:val="007107AA"/>
    <w:rsid w:val="007221D7"/>
    <w:rsid w:val="00723425"/>
    <w:rsid w:val="0072471D"/>
    <w:rsid w:val="00726097"/>
    <w:rsid w:val="00726247"/>
    <w:rsid w:val="00727E6F"/>
    <w:rsid w:val="00727FBB"/>
    <w:rsid w:val="00733751"/>
    <w:rsid w:val="00735895"/>
    <w:rsid w:val="00736656"/>
    <w:rsid w:val="00737696"/>
    <w:rsid w:val="007434B3"/>
    <w:rsid w:val="00743508"/>
    <w:rsid w:val="00746067"/>
    <w:rsid w:val="0075213D"/>
    <w:rsid w:val="00755236"/>
    <w:rsid w:val="00756B25"/>
    <w:rsid w:val="00756C06"/>
    <w:rsid w:val="00763F92"/>
    <w:rsid w:val="00764CF3"/>
    <w:rsid w:val="00766FEF"/>
    <w:rsid w:val="00767E6E"/>
    <w:rsid w:val="0077355F"/>
    <w:rsid w:val="00775497"/>
    <w:rsid w:val="00777503"/>
    <w:rsid w:val="00782AA3"/>
    <w:rsid w:val="00786FE4"/>
    <w:rsid w:val="00787953"/>
    <w:rsid w:val="0079141A"/>
    <w:rsid w:val="007950F3"/>
    <w:rsid w:val="00795CE9"/>
    <w:rsid w:val="0079739B"/>
    <w:rsid w:val="007A03A1"/>
    <w:rsid w:val="007A100F"/>
    <w:rsid w:val="007A1984"/>
    <w:rsid w:val="007A1F23"/>
    <w:rsid w:val="007A3732"/>
    <w:rsid w:val="007A387B"/>
    <w:rsid w:val="007B07CD"/>
    <w:rsid w:val="007B239A"/>
    <w:rsid w:val="007B3980"/>
    <w:rsid w:val="007B6BBA"/>
    <w:rsid w:val="007B6DBC"/>
    <w:rsid w:val="007C04D3"/>
    <w:rsid w:val="007C1ED1"/>
    <w:rsid w:val="007C3BDD"/>
    <w:rsid w:val="007C4E22"/>
    <w:rsid w:val="007D0AB6"/>
    <w:rsid w:val="007D42B9"/>
    <w:rsid w:val="007D59D4"/>
    <w:rsid w:val="007D5F9E"/>
    <w:rsid w:val="007E1AA3"/>
    <w:rsid w:val="007E22CF"/>
    <w:rsid w:val="007E70BD"/>
    <w:rsid w:val="007F0DF6"/>
    <w:rsid w:val="008030B0"/>
    <w:rsid w:val="008042A6"/>
    <w:rsid w:val="00810B55"/>
    <w:rsid w:val="008119E7"/>
    <w:rsid w:val="008163FF"/>
    <w:rsid w:val="00816B39"/>
    <w:rsid w:val="0082389B"/>
    <w:rsid w:val="0082753F"/>
    <w:rsid w:val="0083026E"/>
    <w:rsid w:val="00833335"/>
    <w:rsid w:val="00837CB3"/>
    <w:rsid w:val="00837DD5"/>
    <w:rsid w:val="008529AE"/>
    <w:rsid w:val="0085531C"/>
    <w:rsid w:val="00855877"/>
    <w:rsid w:val="00856ECA"/>
    <w:rsid w:val="008574BC"/>
    <w:rsid w:val="008624DF"/>
    <w:rsid w:val="0086450B"/>
    <w:rsid w:val="0086760C"/>
    <w:rsid w:val="00872FE2"/>
    <w:rsid w:val="00873C73"/>
    <w:rsid w:val="0087457B"/>
    <w:rsid w:val="00874CBC"/>
    <w:rsid w:val="0087612C"/>
    <w:rsid w:val="00876A18"/>
    <w:rsid w:val="00883225"/>
    <w:rsid w:val="00885CA8"/>
    <w:rsid w:val="00891208"/>
    <w:rsid w:val="008A1C9F"/>
    <w:rsid w:val="008A7E5A"/>
    <w:rsid w:val="008B1490"/>
    <w:rsid w:val="008B5B13"/>
    <w:rsid w:val="008C2693"/>
    <w:rsid w:val="008C2DD8"/>
    <w:rsid w:val="008D0DC1"/>
    <w:rsid w:val="008D32C8"/>
    <w:rsid w:val="008D3C1B"/>
    <w:rsid w:val="008D3D4C"/>
    <w:rsid w:val="008D7D2C"/>
    <w:rsid w:val="008E2CD5"/>
    <w:rsid w:val="008F06E1"/>
    <w:rsid w:val="008F55FE"/>
    <w:rsid w:val="008F58A9"/>
    <w:rsid w:val="008F6773"/>
    <w:rsid w:val="0090161F"/>
    <w:rsid w:val="00907E42"/>
    <w:rsid w:val="00913726"/>
    <w:rsid w:val="00915949"/>
    <w:rsid w:val="00920B6E"/>
    <w:rsid w:val="009251D3"/>
    <w:rsid w:val="00925D9D"/>
    <w:rsid w:val="00934925"/>
    <w:rsid w:val="0093533B"/>
    <w:rsid w:val="00936A5C"/>
    <w:rsid w:val="00937DBD"/>
    <w:rsid w:val="00943D92"/>
    <w:rsid w:val="00950037"/>
    <w:rsid w:val="00950854"/>
    <w:rsid w:val="0095397A"/>
    <w:rsid w:val="00957C08"/>
    <w:rsid w:val="0096128A"/>
    <w:rsid w:val="00961619"/>
    <w:rsid w:val="009637DF"/>
    <w:rsid w:val="0096503A"/>
    <w:rsid w:val="009700DE"/>
    <w:rsid w:val="0097111F"/>
    <w:rsid w:val="0097481E"/>
    <w:rsid w:val="009816BE"/>
    <w:rsid w:val="00981DC1"/>
    <w:rsid w:val="00985419"/>
    <w:rsid w:val="00987900"/>
    <w:rsid w:val="009879B7"/>
    <w:rsid w:val="0099288B"/>
    <w:rsid w:val="00994BD5"/>
    <w:rsid w:val="009A3C51"/>
    <w:rsid w:val="009A3D1F"/>
    <w:rsid w:val="009A6EBA"/>
    <w:rsid w:val="009A7F49"/>
    <w:rsid w:val="009B2DEA"/>
    <w:rsid w:val="009B6BAB"/>
    <w:rsid w:val="009B777C"/>
    <w:rsid w:val="009B7982"/>
    <w:rsid w:val="009C44A9"/>
    <w:rsid w:val="009C4F7F"/>
    <w:rsid w:val="009C6CE4"/>
    <w:rsid w:val="009D3885"/>
    <w:rsid w:val="009D739C"/>
    <w:rsid w:val="009E1A86"/>
    <w:rsid w:val="009E7C52"/>
    <w:rsid w:val="009F007E"/>
    <w:rsid w:val="009F05DE"/>
    <w:rsid w:val="009F23D8"/>
    <w:rsid w:val="009F50C7"/>
    <w:rsid w:val="00A00123"/>
    <w:rsid w:val="00A00F21"/>
    <w:rsid w:val="00A01C1F"/>
    <w:rsid w:val="00A05D41"/>
    <w:rsid w:val="00A0698D"/>
    <w:rsid w:val="00A14AC9"/>
    <w:rsid w:val="00A159A8"/>
    <w:rsid w:val="00A20320"/>
    <w:rsid w:val="00A24481"/>
    <w:rsid w:val="00A26B9F"/>
    <w:rsid w:val="00A35FC5"/>
    <w:rsid w:val="00A41C63"/>
    <w:rsid w:val="00A43992"/>
    <w:rsid w:val="00A44385"/>
    <w:rsid w:val="00A5037D"/>
    <w:rsid w:val="00A50869"/>
    <w:rsid w:val="00A52A3C"/>
    <w:rsid w:val="00A55BBE"/>
    <w:rsid w:val="00A56BEF"/>
    <w:rsid w:val="00A577D8"/>
    <w:rsid w:val="00A64BC7"/>
    <w:rsid w:val="00A66004"/>
    <w:rsid w:val="00A66F11"/>
    <w:rsid w:val="00A71598"/>
    <w:rsid w:val="00A73798"/>
    <w:rsid w:val="00A75DB9"/>
    <w:rsid w:val="00A75E4A"/>
    <w:rsid w:val="00A75FA3"/>
    <w:rsid w:val="00A8022A"/>
    <w:rsid w:val="00A80741"/>
    <w:rsid w:val="00A80C8D"/>
    <w:rsid w:val="00A85F47"/>
    <w:rsid w:val="00A87FAB"/>
    <w:rsid w:val="00A90C3A"/>
    <w:rsid w:val="00A90DE3"/>
    <w:rsid w:val="00A93295"/>
    <w:rsid w:val="00A96575"/>
    <w:rsid w:val="00AA0768"/>
    <w:rsid w:val="00AC17C8"/>
    <w:rsid w:val="00AC39C8"/>
    <w:rsid w:val="00AC592B"/>
    <w:rsid w:val="00AD02F8"/>
    <w:rsid w:val="00AD0938"/>
    <w:rsid w:val="00AD13DF"/>
    <w:rsid w:val="00AD1A5C"/>
    <w:rsid w:val="00AD2D07"/>
    <w:rsid w:val="00AD2D92"/>
    <w:rsid w:val="00AD37F1"/>
    <w:rsid w:val="00AD67A6"/>
    <w:rsid w:val="00AE0203"/>
    <w:rsid w:val="00AE3D19"/>
    <w:rsid w:val="00AF1C04"/>
    <w:rsid w:val="00AF4EC6"/>
    <w:rsid w:val="00AF57EB"/>
    <w:rsid w:val="00B0032B"/>
    <w:rsid w:val="00B0497F"/>
    <w:rsid w:val="00B05F1A"/>
    <w:rsid w:val="00B1288F"/>
    <w:rsid w:val="00B2090D"/>
    <w:rsid w:val="00B2334D"/>
    <w:rsid w:val="00B3417D"/>
    <w:rsid w:val="00B35E3A"/>
    <w:rsid w:val="00B36501"/>
    <w:rsid w:val="00B37982"/>
    <w:rsid w:val="00B37E5A"/>
    <w:rsid w:val="00B40554"/>
    <w:rsid w:val="00B408AC"/>
    <w:rsid w:val="00B41AAD"/>
    <w:rsid w:val="00B524B7"/>
    <w:rsid w:val="00B52687"/>
    <w:rsid w:val="00B5318B"/>
    <w:rsid w:val="00B55006"/>
    <w:rsid w:val="00B676FA"/>
    <w:rsid w:val="00B73E57"/>
    <w:rsid w:val="00B74787"/>
    <w:rsid w:val="00B80745"/>
    <w:rsid w:val="00B832AD"/>
    <w:rsid w:val="00B83EC8"/>
    <w:rsid w:val="00B84E73"/>
    <w:rsid w:val="00B863B2"/>
    <w:rsid w:val="00B9152D"/>
    <w:rsid w:val="00B9321D"/>
    <w:rsid w:val="00B970AA"/>
    <w:rsid w:val="00B97368"/>
    <w:rsid w:val="00B97AE5"/>
    <w:rsid w:val="00BA0732"/>
    <w:rsid w:val="00BB1545"/>
    <w:rsid w:val="00BB5958"/>
    <w:rsid w:val="00BB7CBA"/>
    <w:rsid w:val="00BC0D40"/>
    <w:rsid w:val="00BC437C"/>
    <w:rsid w:val="00BD1F1A"/>
    <w:rsid w:val="00BD4466"/>
    <w:rsid w:val="00BD5DF8"/>
    <w:rsid w:val="00BE055D"/>
    <w:rsid w:val="00BF249F"/>
    <w:rsid w:val="00BF47B3"/>
    <w:rsid w:val="00BF6433"/>
    <w:rsid w:val="00C01214"/>
    <w:rsid w:val="00C01A6A"/>
    <w:rsid w:val="00C01C94"/>
    <w:rsid w:val="00C04621"/>
    <w:rsid w:val="00C04AF5"/>
    <w:rsid w:val="00C04F1A"/>
    <w:rsid w:val="00C06F3F"/>
    <w:rsid w:val="00C13917"/>
    <w:rsid w:val="00C159B8"/>
    <w:rsid w:val="00C1645E"/>
    <w:rsid w:val="00C174AD"/>
    <w:rsid w:val="00C222D3"/>
    <w:rsid w:val="00C22D3E"/>
    <w:rsid w:val="00C23950"/>
    <w:rsid w:val="00C23C2D"/>
    <w:rsid w:val="00C23CB1"/>
    <w:rsid w:val="00C30401"/>
    <w:rsid w:val="00C36706"/>
    <w:rsid w:val="00C402A0"/>
    <w:rsid w:val="00C42689"/>
    <w:rsid w:val="00C44927"/>
    <w:rsid w:val="00C52ED7"/>
    <w:rsid w:val="00C54DF1"/>
    <w:rsid w:val="00C567D2"/>
    <w:rsid w:val="00C619A8"/>
    <w:rsid w:val="00C6211D"/>
    <w:rsid w:val="00C63D52"/>
    <w:rsid w:val="00C67692"/>
    <w:rsid w:val="00C7060A"/>
    <w:rsid w:val="00C71489"/>
    <w:rsid w:val="00C742CC"/>
    <w:rsid w:val="00C750A0"/>
    <w:rsid w:val="00C765E7"/>
    <w:rsid w:val="00C76B17"/>
    <w:rsid w:val="00C77ED7"/>
    <w:rsid w:val="00C91CB6"/>
    <w:rsid w:val="00C947A4"/>
    <w:rsid w:val="00C9655D"/>
    <w:rsid w:val="00CA02DD"/>
    <w:rsid w:val="00CA703A"/>
    <w:rsid w:val="00CB5294"/>
    <w:rsid w:val="00CC0283"/>
    <w:rsid w:val="00CC1FC2"/>
    <w:rsid w:val="00CD1174"/>
    <w:rsid w:val="00CD69DF"/>
    <w:rsid w:val="00CE4E5A"/>
    <w:rsid w:val="00CF247B"/>
    <w:rsid w:val="00CF25FD"/>
    <w:rsid w:val="00CF27C7"/>
    <w:rsid w:val="00CF5FC6"/>
    <w:rsid w:val="00CF752D"/>
    <w:rsid w:val="00D01E8E"/>
    <w:rsid w:val="00D035F5"/>
    <w:rsid w:val="00D06017"/>
    <w:rsid w:val="00D16EAA"/>
    <w:rsid w:val="00D17889"/>
    <w:rsid w:val="00D31BA5"/>
    <w:rsid w:val="00D32C8A"/>
    <w:rsid w:val="00D36027"/>
    <w:rsid w:val="00D3604A"/>
    <w:rsid w:val="00D63DAF"/>
    <w:rsid w:val="00D645C6"/>
    <w:rsid w:val="00D65A83"/>
    <w:rsid w:val="00D6636F"/>
    <w:rsid w:val="00D701BB"/>
    <w:rsid w:val="00D70AFB"/>
    <w:rsid w:val="00D73F2E"/>
    <w:rsid w:val="00D743DA"/>
    <w:rsid w:val="00D74525"/>
    <w:rsid w:val="00D74F35"/>
    <w:rsid w:val="00D763BA"/>
    <w:rsid w:val="00D82C24"/>
    <w:rsid w:val="00D86B42"/>
    <w:rsid w:val="00D92CBB"/>
    <w:rsid w:val="00D96311"/>
    <w:rsid w:val="00DA2C1A"/>
    <w:rsid w:val="00DA708E"/>
    <w:rsid w:val="00DA7B59"/>
    <w:rsid w:val="00DB4A63"/>
    <w:rsid w:val="00DB4B85"/>
    <w:rsid w:val="00DC780D"/>
    <w:rsid w:val="00DD2378"/>
    <w:rsid w:val="00DD2ED3"/>
    <w:rsid w:val="00DD5B35"/>
    <w:rsid w:val="00DD7D57"/>
    <w:rsid w:val="00DE0FB9"/>
    <w:rsid w:val="00DE1933"/>
    <w:rsid w:val="00DE45E5"/>
    <w:rsid w:val="00DE48D9"/>
    <w:rsid w:val="00DE57FE"/>
    <w:rsid w:val="00E0334A"/>
    <w:rsid w:val="00E038E7"/>
    <w:rsid w:val="00E043E6"/>
    <w:rsid w:val="00E06464"/>
    <w:rsid w:val="00E10087"/>
    <w:rsid w:val="00E12734"/>
    <w:rsid w:val="00E1332C"/>
    <w:rsid w:val="00E144A2"/>
    <w:rsid w:val="00E21222"/>
    <w:rsid w:val="00E2423F"/>
    <w:rsid w:val="00E25B31"/>
    <w:rsid w:val="00E27C20"/>
    <w:rsid w:val="00E31C2C"/>
    <w:rsid w:val="00E31D5C"/>
    <w:rsid w:val="00E350BF"/>
    <w:rsid w:val="00E37801"/>
    <w:rsid w:val="00E40F75"/>
    <w:rsid w:val="00E43005"/>
    <w:rsid w:val="00E51D8E"/>
    <w:rsid w:val="00E53389"/>
    <w:rsid w:val="00E535A6"/>
    <w:rsid w:val="00E56211"/>
    <w:rsid w:val="00E563AF"/>
    <w:rsid w:val="00E620E6"/>
    <w:rsid w:val="00E630A1"/>
    <w:rsid w:val="00E636E9"/>
    <w:rsid w:val="00E65F53"/>
    <w:rsid w:val="00E66692"/>
    <w:rsid w:val="00E86BA0"/>
    <w:rsid w:val="00E96F31"/>
    <w:rsid w:val="00EA0A78"/>
    <w:rsid w:val="00EB10A6"/>
    <w:rsid w:val="00EB19B4"/>
    <w:rsid w:val="00EB3245"/>
    <w:rsid w:val="00EB3FE1"/>
    <w:rsid w:val="00EB4C52"/>
    <w:rsid w:val="00EB7433"/>
    <w:rsid w:val="00EC03C7"/>
    <w:rsid w:val="00EC107C"/>
    <w:rsid w:val="00EC3A38"/>
    <w:rsid w:val="00EC5A94"/>
    <w:rsid w:val="00ED6B2E"/>
    <w:rsid w:val="00EF1127"/>
    <w:rsid w:val="00EF123E"/>
    <w:rsid w:val="00F00BA1"/>
    <w:rsid w:val="00F16DC8"/>
    <w:rsid w:val="00F24470"/>
    <w:rsid w:val="00F24C92"/>
    <w:rsid w:val="00F25867"/>
    <w:rsid w:val="00F2676C"/>
    <w:rsid w:val="00F27AAF"/>
    <w:rsid w:val="00F308F2"/>
    <w:rsid w:val="00F3237C"/>
    <w:rsid w:val="00F3474B"/>
    <w:rsid w:val="00F424E0"/>
    <w:rsid w:val="00F44F5B"/>
    <w:rsid w:val="00F4722B"/>
    <w:rsid w:val="00F55533"/>
    <w:rsid w:val="00F55B8E"/>
    <w:rsid w:val="00F63607"/>
    <w:rsid w:val="00F640D7"/>
    <w:rsid w:val="00F7075D"/>
    <w:rsid w:val="00F730AE"/>
    <w:rsid w:val="00F73482"/>
    <w:rsid w:val="00F7441E"/>
    <w:rsid w:val="00F760B4"/>
    <w:rsid w:val="00F83ECD"/>
    <w:rsid w:val="00F87A3A"/>
    <w:rsid w:val="00F976DB"/>
    <w:rsid w:val="00F97956"/>
    <w:rsid w:val="00FA277F"/>
    <w:rsid w:val="00FB7100"/>
    <w:rsid w:val="00FC6F0B"/>
    <w:rsid w:val="00FC7914"/>
    <w:rsid w:val="00FC7B9E"/>
    <w:rsid w:val="00FC7C8C"/>
    <w:rsid w:val="00FD0C97"/>
    <w:rsid w:val="00FD56EE"/>
    <w:rsid w:val="00FD58C0"/>
    <w:rsid w:val="00FD65BA"/>
    <w:rsid w:val="00FD770E"/>
    <w:rsid w:val="00FD7E19"/>
    <w:rsid w:val="00FE1CEF"/>
    <w:rsid w:val="00FE3A41"/>
    <w:rsid w:val="00FE443F"/>
    <w:rsid w:val="00FE4FCC"/>
    <w:rsid w:val="00FF1471"/>
    <w:rsid w:val="00FF2D69"/>
    <w:rsid w:val="00FF307A"/>
    <w:rsid w:val="00FF3573"/>
    <w:rsid w:val="00FF5965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7004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EC"/>
    <w:pPr>
      <w:spacing w:before="120" w:after="120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166800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66800"/>
    <w:pPr>
      <w:keepNext/>
      <w:spacing w:before="240" w:after="60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Normal"/>
    <w:next w:val="Normal"/>
    <w:qFormat/>
    <w:rsid w:val="00166800"/>
    <w:pPr>
      <w:keepNext/>
      <w:spacing w:before="240" w:after="60"/>
      <w:ind w:left="567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66800"/>
    <w:pPr>
      <w:keepNext/>
      <w:spacing w:before="240" w:after="60"/>
      <w:ind w:left="567"/>
      <w:outlineLvl w:val="3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qFormat/>
    <w:rsid w:val="00166800"/>
    <w:pPr>
      <w:spacing w:before="240" w:after="60"/>
      <w:ind w:left="567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E239EC"/>
    <w:pPr>
      <w:tabs>
        <w:tab w:val="center" w:pos="4153"/>
        <w:tab w:val="right" w:pos="8306"/>
      </w:tabs>
      <w:spacing w:before="20" w:after="20"/>
    </w:pPr>
    <w:rPr>
      <w:rFonts w:ascii="Verdana" w:hAnsi="Verdana"/>
      <w:sz w:val="12"/>
    </w:rPr>
  </w:style>
  <w:style w:type="paragraph" w:styleId="Footer">
    <w:name w:val="footer"/>
    <w:basedOn w:val="Normal"/>
    <w:rsid w:val="00E239EC"/>
    <w:pPr>
      <w:tabs>
        <w:tab w:val="center" w:pos="4153"/>
        <w:tab w:val="right" w:pos="8306"/>
      </w:tabs>
    </w:pPr>
    <w:rPr>
      <w:b/>
      <w:sz w:val="14"/>
    </w:rPr>
  </w:style>
  <w:style w:type="paragraph" w:customStyle="1" w:styleId="RecipientDetails">
    <w:name w:val="Recipient Details"/>
    <w:next w:val="Normal"/>
    <w:rsid w:val="00E239EC"/>
    <w:pPr>
      <w:spacing w:before="120" w:after="120"/>
    </w:pPr>
    <w:rPr>
      <w:rFonts w:ascii="Verdana" w:hAnsi="Verdana"/>
      <w:b/>
      <w:sz w:val="18"/>
    </w:rPr>
  </w:style>
  <w:style w:type="table" w:styleId="TableGrid">
    <w:name w:val="Table Grid"/>
    <w:basedOn w:val="TableNormal"/>
    <w:semiHidden/>
    <w:rsid w:val="00E2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bullets">
    <w:name w:val="Footer bullets"/>
    <w:rsid w:val="00E239EC"/>
    <w:pPr>
      <w:numPr>
        <w:numId w:val="3"/>
      </w:numPr>
      <w:spacing w:before="20" w:after="20"/>
      <w:ind w:left="714" w:hanging="357"/>
    </w:pPr>
    <w:rPr>
      <w:rFonts w:ascii="Verdana" w:hAnsi="Verdana"/>
      <w:sz w:val="10"/>
      <w:szCs w:val="24"/>
      <w:lang w:val="en-GB" w:eastAsia="en-GB"/>
    </w:rPr>
  </w:style>
  <w:style w:type="paragraph" w:customStyle="1" w:styleId="Agendacol1">
    <w:name w:val="Agenda col 1"/>
    <w:rsid w:val="009F38EE"/>
    <w:pPr>
      <w:spacing w:before="160" w:after="160"/>
    </w:pPr>
    <w:rPr>
      <w:rFonts w:ascii="Verdana" w:hAnsi="Verdana"/>
      <w:b/>
      <w:sz w:val="18"/>
      <w:szCs w:val="24"/>
      <w:lang w:val="en-GB" w:eastAsia="en-GB"/>
    </w:rPr>
  </w:style>
  <w:style w:type="paragraph" w:styleId="TOC1">
    <w:name w:val="toc 1"/>
    <w:basedOn w:val="Normal"/>
    <w:next w:val="Normal"/>
    <w:autoRedefine/>
    <w:semiHidden/>
    <w:rsid w:val="00166800"/>
    <w:rPr>
      <w:rFonts w:ascii="Arial Bold" w:hAnsi="Arial Bold"/>
      <w:b/>
      <w:sz w:val="24"/>
    </w:rPr>
  </w:style>
  <w:style w:type="paragraph" w:styleId="TOC2">
    <w:name w:val="toc 2"/>
    <w:basedOn w:val="Normal"/>
    <w:next w:val="Normal"/>
    <w:autoRedefine/>
    <w:semiHidden/>
    <w:rsid w:val="00166800"/>
  </w:style>
  <w:style w:type="paragraph" w:styleId="TOC3">
    <w:name w:val="toc 3"/>
    <w:basedOn w:val="Normal"/>
    <w:next w:val="Normal"/>
    <w:autoRedefine/>
    <w:semiHidden/>
    <w:rsid w:val="00166800"/>
    <w:pPr>
      <w:ind w:left="567"/>
    </w:pPr>
  </w:style>
  <w:style w:type="paragraph" w:styleId="BalloonText">
    <w:name w:val="Balloon Text"/>
    <w:basedOn w:val="Normal"/>
    <w:link w:val="BalloonTextChar"/>
    <w:rsid w:val="00727F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7FBB"/>
    <w:rPr>
      <w:rFonts w:ascii="Tahoma" w:hAnsi="Tahoma" w:cs="Tahoma"/>
      <w:sz w:val="16"/>
      <w:szCs w:val="16"/>
    </w:rPr>
  </w:style>
  <w:style w:type="character" w:styleId="Hyperlink">
    <w:name w:val="Hyperlink"/>
    <w:rsid w:val="002028B7"/>
    <w:rPr>
      <w:color w:val="0563C1"/>
      <w:u w:val="single"/>
    </w:rPr>
  </w:style>
  <w:style w:type="character" w:styleId="CommentReference">
    <w:name w:val="annotation reference"/>
    <w:basedOn w:val="DefaultParagraphFont"/>
    <w:rsid w:val="00DE48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8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48D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E4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8D9"/>
    <w:rPr>
      <w:rFonts w:ascii="Verdana" w:hAnsi="Verdana"/>
      <w:b/>
      <w:bCs/>
    </w:rPr>
  </w:style>
  <w:style w:type="paragraph" w:styleId="ListParagraph">
    <w:name w:val="List Paragraph"/>
    <w:basedOn w:val="Normal"/>
    <w:uiPriority w:val="34"/>
    <w:qFormat/>
    <w:rsid w:val="005A730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27AAF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7AAF"/>
    <w:rPr>
      <w:rFonts w:ascii="Verdana" w:hAnsi="Verdana"/>
    </w:rPr>
  </w:style>
  <w:style w:type="character" w:styleId="FootnoteReference">
    <w:name w:val="footnote reference"/>
    <w:basedOn w:val="DefaultParagraphFont"/>
    <w:rsid w:val="00F27AAF"/>
    <w:rPr>
      <w:vertAlign w:val="superscript"/>
    </w:rPr>
  </w:style>
  <w:style w:type="paragraph" w:customStyle="1" w:styleId="NormalHeadings">
    <w:name w:val="Normal Headings"/>
    <w:uiPriority w:val="99"/>
    <w:semiHidden/>
    <w:rsid w:val="006B36EC"/>
    <w:pPr>
      <w:widowControl w:val="0"/>
      <w:jc w:val="both"/>
    </w:pPr>
    <w:rPr>
      <w:rFonts w:eastAsia="Batang"/>
      <w:b/>
      <w:sz w:val="24"/>
      <w:lang w:eastAsia="en-US"/>
    </w:rPr>
  </w:style>
  <w:style w:type="paragraph" w:customStyle="1" w:styleId="MediaNeutralStyle">
    <w:name w:val="Media Neutral Style"/>
    <w:basedOn w:val="Normal"/>
    <w:next w:val="Normal1linespace"/>
    <w:uiPriority w:val="99"/>
    <w:semiHidden/>
    <w:rsid w:val="006B36EC"/>
    <w:pPr>
      <w:spacing w:before="20" w:after="20" w:line="360" w:lineRule="auto"/>
      <w:jc w:val="center"/>
    </w:pPr>
    <w:rPr>
      <w:rFonts w:ascii="Times New Roman" w:eastAsia="Batang" w:hAnsi="Times New Roman"/>
      <w:b/>
      <w:sz w:val="26"/>
      <w:lang w:eastAsia="en-US"/>
    </w:rPr>
  </w:style>
  <w:style w:type="paragraph" w:customStyle="1" w:styleId="Normal1linespace">
    <w:name w:val="Normal1linespace"/>
    <w:basedOn w:val="Normal"/>
    <w:rsid w:val="006B36EC"/>
    <w:pPr>
      <w:spacing w:before="0" w:after="0"/>
      <w:jc w:val="both"/>
    </w:pPr>
    <w:rPr>
      <w:rFonts w:ascii="Times New Roman" w:eastAsia="Batang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DA708E"/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EC"/>
    <w:pPr>
      <w:spacing w:before="120" w:after="120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166800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66800"/>
    <w:pPr>
      <w:keepNext/>
      <w:spacing w:before="240" w:after="60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Normal"/>
    <w:next w:val="Normal"/>
    <w:qFormat/>
    <w:rsid w:val="00166800"/>
    <w:pPr>
      <w:keepNext/>
      <w:spacing w:before="240" w:after="60"/>
      <w:ind w:left="567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66800"/>
    <w:pPr>
      <w:keepNext/>
      <w:spacing w:before="240" w:after="60"/>
      <w:ind w:left="567"/>
      <w:outlineLvl w:val="3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qFormat/>
    <w:rsid w:val="00166800"/>
    <w:pPr>
      <w:spacing w:before="240" w:after="60"/>
      <w:ind w:left="567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E239EC"/>
    <w:pPr>
      <w:tabs>
        <w:tab w:val="center" w:pos="4153"/>
        <w:tab w:val="right" w:pos="8306"/>
      </w:tabs>
      <w:spacing w:before="20" w:after="20"/>
    </w:pPr>
    <w:rPr>
      <w:rFonts w:ascii="Verdana" w:hAnsi="Verdana"/>
      <w:sz w:val="12"/>
    </w:rPr>
  </w:style>
  <w:style w:type="paragraph" w:styleId="Footer">
    <w:name w:val="footer"/>
    <w:basedOn w:val="Normal"/>
    <w:rsid w:val="00E239EC"/>
    <w:pPr>
      <w:tabs>
        <w:tab w:val="center" w:pos="4153"/>
        <w:tab w:val="right" w:pos="8306"/>
      </w:tabs>
    </w:pPr>
    <w:rPr>
      <w:b/>
      <w:sz w:val="14"/>
    </w:rPr>
  </w:style>
  <w:style w:type="paragraph" w:customStyle="1" w:styleId="RecipientDetails">
    <w:name w:val="Recipient Details"/>
    <w:next w:val="Normal"/>
    <w:rsid w:val="00E239EC"/>
    <w:pPr>
      <w:spacing w:before="120" w:after="120"/>
    </w:pPr>
    <w:rPr>
      <w:rFonts w:ascii="Verdana" w:hAnsi="Verdana"/>
      <w:b/>
      <w:sz w:val="18"/>
    </w:rPr>
  </w:style>
  <w:style w:type="table" w:styleId="TableGrid">
    <w:name w:val="Table Grid"/>
    <w:basedOn w:val="TableNormal"/>
    <w:semiHidden/>
    <w:rsid w:val="00E2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bullets">
    <w:name w:val="Footer bullets"/>
    <w:rsid w:val="00E239EC"/>
    <w:pPr>
      <w:numPr>
        <w:numId w:val="3"/>
      </w:numPr>
      <w:spacing w:before="20" w:after="20"/>
      <w:ind w:left="714" w:hanging="357"/>
    </w:pPr>
    <w:rPr>
      <w:rFonts w:ascii="Verdana" w:hAnsi="Verdana"/>
      <w:sz w:val="10"/>
      <w:szCs w:val="24"/>
      <w:lang w:val="en-GB" w:eastAsia="en-GB"/>
    </w:rPr>
  </w:style>
  <w:style w:type="paragraph" w:customStyle="1" w:styleId="Agendacol1">
    <w:name w:val="Agenda col 1"/>
    <w:rsid w:val="009F38EE"/>
    <w:pPr>
      <w:spacing w:before="160" w:after="160"/>
    </w:pPr>
    <w:rPr>
      <w:rFonts w:ascii="Verdana" w:hAnsi="Verdana"/>
      <w:b/>
      <w:sz w:val="18"/>
      <w:szCs w:val="24"/>
      <w:lang w:val="en-GB" w:eastAsia="en-GB"/>
    </w:rPr>
  </w:style>
  <w:style w:type="paragraph" w:styleId="TOC1">
    <w:name w:val="toc 1"/>
    <w:basedOn w:val="Normal"/>
    <w:next w:val="Normal"/>
    <w:autoRedefine/>
    <w:semiHidden/>
    <w:rsid w:val="00166800"/>
    <w:rPr>
      <w:rFonts w:ascii="Arial Bold" w:hAnsi="Arial Bold"/>
      <w:b/>
      <w:sz w:val="24"/>
    </w:rPr>
  </w:style>
  <w:style w:type="paragraph" w:styleId="TOC2">
    <w:name w:val="toc 2"/>
    <w:basedOn w:val="Normal"/>
    <w:next w:val="Normal"/>
    <w:autoRedefine/>
    <w:semiHidden/>
    <w:rsid w:val="00166800"/>
  </w:style>
  <w:style w:type="paragraph" w:styleId="TOC3">
    <w:name w:val="toc 3"/>
    <w:basedOn w:val="Normal"/>
    <w:next w:val="Normal"/>
    <w:autoRedefine/>
    <w:semiHidden/>
    <w:rsid w:val="00166800"/>
    <w:pPr>
      <w:ind w:left="567"/>
    </w:pPr>
  </w:style>
  <w:style w:type="paragraph" w:styleId="BalloonText">
    <w:name w:val="Balloon Text"/>
    <w:basedOn w:val="Normal"/>
    <w:link w:val="BalloonTextChar"/>
    <w:rsid w:val="00727F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7FBB"/>
    <w:rPr>
      <w:rFonts w:ascii="Tahoma" w:hAnsi="Tahoma" w:cs="Tahoma"/>
      <w:sz w:val="16"/>
      <w:szCs w:val="16"/>
    </w:rPr>
  </w:style>
  <w:style w:type="character" w:styleId="Hyperlink">
    <w:name w:val="Hyperlink"/>
    <w:rsid w:val="002028B7"/>
    <w:rPr>
      <w:color w:val="0563C1"/>
      <w:u w:val="single"/>
    </w:rPr>
  </w:style>
  <w:style w:type="character" w:styleId="CommentReference">
    <w:name w:val="annotation reference"/>
    <w:basedOn w:val="DefaultParagraphFont"/>
    <w:rsid w:val="00DE48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8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48D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E4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8D9"/>
    <w:rPr>
      <w:rFonts w:ascii="Verdana" w:hAnsi="Verdana"/>
      <w:b/>
      <w:bCs/>
    </w:rPr>
  </w:style>
  <w:style w:type="paragraph" w:styleId="ListParagraph">
    <w:name w:val="List Paragraph"/>
    <w:basedOn w:val="Normal"/>
    <w:uiPriority w:val="34"/>
    <w:qFormat/>
    <w:rsid w:val="005A730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27AAF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7AAF"/>
    <w:rPr>
      <w:rFonts w:ascii="Verdana" w:hAnsi="Verdana"/>
    </w:rPr>
  </w:style>
  <w:style w:type="character" w:styleId="FootnoteReference">
    <w:name w:val="footnote reference"/>
    <w:basedOn w:val="DefaultParagraphFont"/>
    <w:rsid w:val="00F27AAF"/>
    <w:rPr>
      <w:vertAlign w:val="superscript"/>
    </w:rPr>
  </w:style>
  <w:style w:type="paragraph" w:customStyle="1" w:styleId="NormalHeadings">
    <w:name w:val="Normal Headings"/>
    <w:uiPriority w:val="99"/>
    <w:semiHidden/>
    <w:rsid w:val="006B36EC"/>
    <w:pPr>
      <w:widowControl w:val="0"/>
      <w:jc w:val="both"/>
    </w:pPr>
    <w:rPr>
      <w:rFonts w:eastAsia="Batang"/>
      <w:b/>
      <w:sz w:val="24"/>
      <w:lang w:eastAsia="en-US"/>
    </w:rPr>
  </w:style>
  <w:style w:type="paragraph" w:customStyle="1" w:styleId="MediaNeutralStyle">
    <w:name w:val="Media Neutral Style"/>
    <w:basedOn w:val="Normal"/>
    <w:next w:val="Normal1linespace"/>
    <w:uiPriority w:val="99"/>
    <w:semiHidden/>
    <w:rsid w:val="006B36EC"/>
    <w:pPr>
      <w:spacing w:before="20" w:after="20" w:line="360" w:lineRule="auto"/>
      <w:jc w:val="center"/>
    </w:pPr>
    <w:rPr>
      <w:rFonts w:ascii="Times New Roman" w:eastAsia="Batang" w:hAnsi="Times New Roman"/>
      <w:b/>
      <w:sz w:val="26"/>
      <w:lang w:eastAsia="en-US"/>
    </w:rPr>
  </w:style>
  <w:style w:type="paragraph" w:customStyle="1" w:styleId="Normal1linespace">
    <w:name w:val="Normal1linespace"/>
    <w:basedOn w:val="Normal"/>
    <w:rsid w:val="006B36EC"/>
    <w:pPr>
      <w:spacing w:before="0" w:after="0"/>
      <w:jc w:val="both"/>
    </w:pPr>
    <w:rPr>
      <w:rFonts w:ascii="Times New Roman" w:eastAsia="Batang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DA708E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financialmarkets@treasury.gov.au?subject=Submission%20to%20the%20consultation%20on%20OTC%20derivatives%20central%20clearing%20and%20single-sided%20trade%20report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4dd4adf-ddb3-46a3-8d7c-fab3fb2a6bc7">
      <Value>20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RA-9049 - Retain as national archives</TermName>
          <TermId xmlns="http://schemas.microsoft.com/office/infopath/2007/PartnerControls">c7a196f8-aab8-4135-b264-b5edf8684786</TermId>
        </TermInfo>
      </Terms>
    </lb508a4dc5e84436a0fe496b536466aa>
    <_dlc_DocId xmlns="d4dd4adf-ddb3-46a3-8d7c-fab3fb2a6bc7">2014MG-96-11218</_dlc_DocId>
    <_dlc_DocIdUrl xmlns="d4dd4adf-ddb3-46a3-8d7c-fab3fb2a6bc7">
      <Url>http://tweb13/sites/mg/fsd/_layouts/15/DocIdRedir.aspx?ID=2014MG-96-11218</Url>
      <Description>2014MG-96-11218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99D48B736A86D74A9C587EE59E4B132B" ma:contentTypeVersion="19" ma:contentTypeDescription=" " ma:contentTypeScope="" ma:versionID="414c0f03d4fb3c042765bd9ff023c538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f07d07b15be81c57bcffa7af6caa82bd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20;#TSY RA-9049 - Retain as national archives|c7a196f8-aab8-4135-b264-b5edf868478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C5AD-C109-4A78-9E07-F1BA2026276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4dd4adf-ddb3-46a3-8d7c-fab3fb2a6bc7"/>
  </ds:schemaRefs>
</ds:datastoreItem>
</file>

<file path=customXml/itemProps2.xml><?xml version="1.0" encoding="utf-8"?>
<ds:datastoreItem xmlns:ds="http://schemas.openxmlformats.org/officeDocument/2006/customXml" ds:itemID="{46BF3680-FDE9-45B0-BC63-3AA78F6A27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38A111-3A56-4BD7-A2AA-C054F6B83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FE4C9-6F0A-4776-8D46-1E202F559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3AACFD-6B09-4A7A-A1BF-8EB29605D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B46DF4B-B320-41CC-A774-7B373DCF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3776</Characters>
  <Application>Microsoft Office Word</Application>
  <DocSecurity>0</DocSecurity>
  <Lines>83</Lines>
  <Paragraphs>20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 Energy Limited - OTC derivatives central clearing and single-sided trade reporting</dc:title>
  <dc:creator/>
  <dc:description/>
  <cp:lastModifiedBy/>
  <cp:revision>1</cp:revision>
  <dcterms:created xsi:type="dcterms:W3CDTF">2015-09-14T02:47:00Z</dcterms:created>
  <dcterms:modified xsi:type="dcterms:W3CDTF">2015-09-14T02:47:00Z</dcterms:modified>
  <dc:language>English</dc:language>
</cp:coreProperties>
</file>