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A6BA3E" w14:textId="77777777" w:rsidR="0043572A" w:rsidRPr="009E5D63" w:rsidRDefault="005C537A" w:rsidP="009E5D63">
      <w:pPr>
        <w:jc w:val="both"/>
        <w:rPr>
          <w:b/>
        </w:rPr>
      </w:pPr>
      <w:bookmarkStart w:id="0" w:name="_GoBack"/>
      <w:bookmarkEnd w:id="0"/>
      <w:r w:rsidRPr="009E5D63">
        <w:rPr>
          <w:b/>
        </w:rPr>
        <w:t>SUBMISSION</w:t>
      </w:r>
      <w:r w:rsidR="003E5A34" w:rsidRPr="009E5D63">
        <w:rPr>
          <w:b/>
        </w:rPr>
        <w:t xml:space="preserve"> BY TFS CORPORATION (TFS) IN REL</w:t>
      </w:r>
      <w:r w:rsidRPr="009E5D63">
        <w:rPr>
          <w:b/>
        </w:rPr>
        <w:t>ATION TO “STRENGTHENING AUSTRALIA’S FOREIGN INVESTMENT FRAMEWORK” OPTIONS PAPER, FEBRUARY 2015 (“the Options Paper”)</w:t>
      </w:r>
    </w:p>
    <w:p w14:paraId="0243CB46" w14:textId="77777777" w:rsidR="005C537A" w:rsidRPr="009E5D63" w:rsidRDefault="005C537A" w:rsidP="009E5D63">
      <w:pPr>
        <w:jc w:val="both"/>
      </w:pPr>
    </w:p>
    <w:p w14:paraId="7DD9DB5F" w14:textId="5F9DD9E3" w:rsidR="005C537A" w:rsidRPr="009E5D63" w:rsidRDefault="005C537A" w:rsidP="009E5D63">
      <w:pPr>
        <w:jc w:val="both"/>
      </w:pPr>
      <w:r w:rsidRPr="009E5D63">
        <w:t>This submission addresses the Options Paper in so far as it relates to agriculture</w:t>
      </w:r>
      <w:r w:rsidR="00DE0EB5" w:rsidRPr="009E5D63">
        <w:t xml:space="preserve"> and other matters of general application</w:t>
      </w:r>
      <w:r w:rsidRPr="009E5D63">
        <w:t>.</w:t>
      </w:r>
    </w:p>
    <w:p w14:paraId="29C1CC64" w14:textId="77777777" w:rsidR="005C537A" w:rsidRPr="009E5D63" w:rsidRDefault="005C537A" w:rsidP="009E5D63">
      <w:pPr>
        <w:jc w:val="both"/>
      </w:pPr>
    </w:p>
    <w:p w14:paraId="0ACAF312" w14:textId="77777777" w:rsidR="005C537A" w:rsidRPr="009E5D63" w:rsidRDefault="005C537A" w:rsidP="009E5D63">
      <w:pPr>
        <w:jc w:val="both"/>
        <w:rPr>
          <w:u w:val="single"/>
        </w:rPr>
      </w:pPr>
      <w:r w:rsidRPr="009E5D63">
        <w:rPr>
          <w:u w:val="single"/>
        </w:rPr>
        <w:t>TFS BACKGROUND</w:t>
      </w:r>
    </w:p>
    <w:p w14:paraId="26DBABBE" w14:textId="77777777" w:rsidR="005C537A" w:rsidRPr="009E5D63" w:rsidRDefault="005C537A" w:rsidP="009E5D63">
      <w:pPr>
        <w:jc w:val="both"/>
      </w:pPr>
    </w:p>
    <w:p w14:paraId="54586653" w14:textId="77777777" w:rsidR="005C537A" w:rsidRPr="009E5D63" w:rsidRDefault="005C537A" w:rsidP="009E5D63">
      <w:pPr>
        <w:jc w:val="both"/>
      </w:pPr>
      <w:r w:rsidRPr="009E5D63">
        <w:t>TFS Corporation (TFS) is a grower, processor and producer of Ind</w:t>
      </w:r>
      <w:r w:rsidR="003E5A34" w:rsidRPr="009E5D63">
        <w:t>ian sandalwood (Santalum Album</w:t>
      </w:r>
      <w:r w:rsidRPr="009E5D63">
        <w:t>) products, one of the World’s most valuable tropic</w:t>
      </w:r>
      <w:r w:rsidR="003E5A34" w:rsidRPr="009E5D63">
        <w:t>a</w:t>
      </w:r>
      <w:r w:rsidRPr="009E5D63">
        <w:t>l hardwoods that is nearing extinction in the wild.</w:t>
      </w:r>
    </w:p>
    <w:p w14:paraId="5E5A50DF" w14:textId="77777777" w:rsidR="005C537A" w:rsidRPr="009E5D63" w:rsidRDefault="005C537A" w:rsidP="009E5D63">
      <w:pPr>
        <w:jc w:val="both"/>
      </w:pPr>
    </w:p>
    <w:p w14:paraId="2CE80069" w14:textId="6BCEA9FD" w:rsidR="00DE0EB5" w:rsidRPr="009E5D63" w:rsidRDefault="005C537A" w:rsidP="009E5D63">
      <w:pPr>
        <w:jc w:val="both"/>
      </w:pPr>
      <w:r w:rsidRPr="009E5D63">
        <w:t>The company manages the largest areas of Indian sandalwood in the Wor</w:t>
      </w:r>
      <w:r w:rsidR="00DE0EB5" w:rsidRPr="009E5D63">
        <w:t xml:space="preserve">ld.  It has </w:t>
      </w:r>
      <w:r w:rsidR="009E5D63" w:rsidRPr="009E5D63">
        <w:t>established in</w:t>
      </w:r>
      <w:r w:rsidR="003E5A34" w:rsidRPr="009E5D63">
        <w:t xml:space="preserve"> the Kimberley, N</w:t>
      </w:r>
      <w:r w:rsidR="00DE0EB5" w:rsidRPr="009E5D63">
        <w:t xml:space="preserve">orthern </w:t>
      </w:r>
      <w:r w:rsidR="003E5A34" w:rsidRPr="009E5D63">
        <w:t>T</w:t>
      </w:r>
      <w:r w:rsidR="00DE0EB5" w:rsidRPr="009E5D63">
        <w:t>erritory</w:t>
      </w:r>
      <w:r w:rsidR="003E5A34" w:rsidRPr="009E5D63">
        <w:t xml:space="preserve"> and N</w:t>
      </w:r>
      <w:r w:rsidR="00DE0EB5" w:rsidRPr="009E5D63">
        <w:t xml:space="preserve">orth </w:t>
      </w:r>
      <w:r w:rsidR="009E5D63" w:rsidRPr="009E5D63">
        <w:t>Queensland 9,085</w:t>
      </w:r>
      <w:r w:rsidRPr="009E5D63">
        <w:t xml:space="preserve"> ha of </w:t>
      </w:r>
      <w:r w:rsidR="009E5D63" w:rsidRPr="009E5D63">
        <w:t>plantations (</w:t>
      </w:r>
      <w:r w:rsidR="002441CB" w:rsidRPr="009E5D63">
        <w:t>TFS</w:t>
      </w:r>
      <w:r w:rsidR="00DE0EB5" w:rsidRPr="009E5D63">
        <w:t xml:space="preserve"> Annual Report</w:t>
      </w:r>
      <w:r w:rsidR="002441CB" w:rsidRPr="009E5D63">
        <w:t xml:space="preserve"> 2014</w:t>
      </w:r>
      <w:r w:rsidR="00DE0EB5" w:rsidRPr="009E5D63">
        <w:t>)</w:t>
      </w:r>
      <w:r w:rsidRPr="009E5D63">
        <w:t xml:space="preserve">. </w:t>
      </w:r>
    </w:p>
    <w:p w14:paraId="3D844E97" w14:textId="77777777" w:rsidR="00DE0EB5" w:rsidRPr="009E5D63" w:rsidRDefault="00DE0EB5" w:rsidP="009E5D63">
      <w:pPr>
        <w:jc w:val="both"/>
      </w:pPr>
    </w:p>
    <w:p w14:paraId="49DD693B" w14:textId="20AED63F" w:rsidR="005C537A" w:rsidRPr="009E5D63" w:rsidRDefault="005C537A" w:rsidP="009E5D63">
      <w:pPr>
        <w:jc w:val="both"/>
      </w:pPr>
      <w:r w:rsidRPr="009E5D63">
        <w:t xml:space="preserve"> Of that TFS has </w:t>
      </w:r>
      <w:r w:rsidR="00C714E2" w:rsidRPr="009E5D63">
        <w:t xml:space="preserve">direct ownership of 2,309 ha whilst </w:t>
      </w:r>
      <w:r w:rsidR="0063352E" w:rsidRPr="009E5D63">
        <w:t>Institutional (almost exclusively</w:t>
      </w:r>
      <w:r w:rsidR="00C714E2" w:rsidRPr="009E5D63">
        <w:t xml:space="preserve"> foreign investment) has 3,188 ha and MIS and High Net Worth investors have 3,588 ha.</w:t>
      </w:r>
      <w:r w:rsidR="00DE0EB5" w:rsidRPr="009E5D63">
        <w:t xml:space="preserve"> </w:t>
      </w:r>
      <w:r w:rsidR="009E5D63" w:rsidRPr="009E5D63">
        <w:t>(TFS</w:t>
      </w:r>
      <w:r w:rsidR="002441CB" w:rsidRPr="009E5D63">
        <w:t xml:space="preserve"> </w:t>
      </w:r>
      <w:r w:rsidR="003E5A34" w:rsidRPr="009E5D63">
        <w:t>Annual Report 2014)</w:t>
      </w:r>
    </w:p>
    <w:p w14:paraId="4E1ADDB1" w14:textId="77777777" w:rsidR="00C714E2" w:rsidRPr="009E5D63" w:rsidRDefault="00C714E2" w:rsidP="009E5D63">
      <w:pPr>
        <w:jc w:val="both"/>
      </w:pPr>
    </w:p>
    <w:p w14:paraId="27AE0298" w14:textId="79B6B1FE" w:rsidR="00DE0EB5" w:rsidRPr="009E5D63" w:rsidRDefault="00C714E2" w:rsidP="009E5D63">
      <w:pPr>
        <w:jc w:val="both"/>
      </w:pPr>
      <w:r w:rsidRPr="009E5D63">
        <w:t xml:space="preserve">Foreign </w:t>
      </w:r>
      <w:r w:rsidR="009E5D63" w:rsidRPr="009E5D63">
        <w:t>investment totaling</w:t>
      </w:r>
      <w:r w:rsidR="00DE0EB5" w:rsidRPr="009E5D63">
        <w:t xml:space="preserve"> several hundred million dollars </w:t>
      </w:r>
      <w:r w:rsidRPr="009E5D63">
        <w:t>has therefor</w:t>
      </w:r>
      <w:r w:rsidR="003E5A34" w:rsidRPr="009E5D63">
        <w:t>e</w:t>
      </w:r>
      <w:r w:rsidRPr="009E5D63">
        <w:t xml:space="preserve"> been a major dr</w:t>
      </w:r>
      <w:r w:rsidR="0063352E" w:rsidRPr="009E5D63">
        <w:t>iver in the company’s growth as</w:t>
      </w:r>
      <w:r w:rsidRPr="009E5D63">
        <w:t xml:space="preserve"> unfortunately such sources of funding are not readily available in Australia. </w:t>
      </w:r>
    </w:p>
    <w:p w14:paraId="5D427FA8" w14:textId="77777777" w:rsidR="00DE0EB5" w:rsidRPr="009E5D63" w:rsidRDefault="00DE0EB5" w:rsidP="009E5D63">
      <w:pPr>
        <w:jc w:val="both"/>
      </w:pPr>
    </w:p>
    <w:p w14:paraId="7E4F1F0A" w14:textId="0702DBE8" w:rsidR="00C714E2" w:rsidRPr="009E5D63" w:rsidRDefault="00DE0EB5" w:rsidP="009E5D63">
      <w:pPr>
        <w:jc w:val="both"/>
      </w:pPr>
      <w:r w:rsidRPr="009E5D63">
        <w:t>This overseas investment does not</w:t>
      </w:r>
      <w:r w:rsidR="003E5A34" w:rsidRPr="009E5D63">
        <w:t xml:space="preserve"> involve </w:t>
      </w:r>
      <w:r w:rsidR="00C714E2" w:rsidRPr="009E5D63">
        <w:t xml:space="preserve">any control of TFS, direction </w:t>
      </w:r>
      <w:r w:rsidR="009E5D63" w:rsidRPr="009E5D63">
        <w:t>of TFS</w:t>
      </w:r>
      <w:r w:rsidRPr="009E5D63">
        <w:t xml:space="preserve"> </w:t>
      </w:r>
      <w:r w:rsidR="00C714E2" w:rsidRPr="009E5D63">
        <w:t>management or choice of market.</w:t>
      </w:r>
    </w:p>
    <w:p w14:paraId="3C66B161" w14:textId="77777777" w:rsidR="00C714E2" w:rsidRPr="009E5D63" w:rsidRDefault="00C714E2" w:rsidP="009E5D63">
      <w:pPr>
        <w:jc w:val="both"/>
      </w:pPr>
    </w:p>
    <w:p w14:paraId="4AAF9BB2" w14:textId="7D3C6A1E" w:rsidR="00C714E2" w:rsidRPr="009E5D63" w:rsidRDefault="00C714E2" w:rsidP="009E5D63">
      <w:pPr>
        <w:jc w:val="both"/>
      </w:pPr>
      <w:r w:rsidRPr="009E5D63">
        <w:t>Any acquisition of land by overseas funds is the subject of a</w:t>
      </w:r>
      <w:r w:rsidR="003E5A34" w:rsidRPr="009E5D63">
        <w:t xml:space="preserve">greement with TFS to manage that </w:t>
      </w:r>
      <w:r w:rsidRPr="009E5D63">
        <w:t xml:space="preserve">investment.  This includes plantation of trees, management of the plantation and harvesting.  To this extent there is not only local content with labour and management but also a degree of </w:t>
      </w:r>
      <w:r w:rsidR="009E5D63" w:rsidRPr="009E5D63">
        <w:t>control of</w:t>
      </w:r>
      <w:r w:rsidR="00DE0EB5" w:rsidRPr="009E5D63">
        <w:t xml:space="preserve"> the investment </w:t>
      </w:r>
      <w:r w:rsidRPr="009E5D63">
        <w:t>retained by an Australian company.</w:t>
      </w:r>
    </w:p>
    <w:p w14:paraId="4DF4E41D" w14:textId="77777777" w:rsidR="00C714E2" w:rsidRPr="009E5D63" w:rsidRDefault="00C714E2" w:rsidP="009E5D63">
      <w:pPr>
        <w:jc w:val="both"/>
      </w:pPr>
    </w:p>
    <w:p w14:paraId="46E00E51" w14:textId="56732670" w:rsidR="00C714E2" w:rsidRPr="009E5D63" w:rsidRDefault="00C714E2" w:rsidP="009E5D63">
      <w:pPr>
        <w:jc w:val="both"/>
      </w:pPr>
      <w:r w:rsidRPr="009E5D63">
        <w:t>TFS continues to be a significant re</w:t>
      </w:r>
      <w:r w:rsidR="00DE0EB5" w:rsidRPr="009E5D63">
        <w:t>gional employer in the areas where it operates</w:t>
      </w:r>
      <w:r w:rsidRPr="009E5D63">
        <w:t xml:space="preserve"> in the </w:t>
      </w:r>
      <w:r w:rsidR="003E5A34" w:rsidRPr="009E5D63">
        <w:t>North</w:t>
      </w:r>
      <w:r w:rsidRPr="009E5D63">
        <w:t xml:space="preserve"> and also at Albany</w:t>
      </w:r>
      <w:r w:rsidR="00DE0EB5" w:rsidRPr="009E5D63">
        <w:t>,</w:t>
      </w:r>
      <w:r w:rsidRPr="009E5D63">
        <w:t xml:space="preserve"> W</w:t>
      </w:r>
      <w:r w:rsidR="00DE0EB5" w:rsidRPr="009E5D63">
        <w:t xml:space="preserve">estern </w:t>
      </w:r>
      <w:r w:rsidRPr="009E5D63">
        <w:t>A</w:t>
      </w:r>
      <w:r w:rsidR="00DE0EB5" w:rsidRPr="009E5D63">
        <w:t>ustralia</w:t>
      </w:r>
      <w:r w:rsidRPr="009E5D63">
        <w:t xml:space="preserve"> where it has a processing plant at Mount Romance.</w:t>
      </w:r>
    </w:p>
    <w:p w14:paraId="1C9214D7" w14:textId="77777777" w:rsidR="00C714E2" w:rsidRPr="009E5D63" w:rsidRDefault="00C714E2" w:rsidP="009E5D63">
      <w:pPr>
        <w:jc w:val="both"/>
      </w:pPr>
    </w:p>
    <w:p w14:paraId="2B3646A9" w14:textId="19DA8C09" w:rsidR="00C714E2" w:rsidRPr="009E5D63" w:rsidRDefault="00DE0EB5" w:rsidP="009E5D63">
      <w:pPr>
        <w:jc w:val="both"/>
      </w:pPr>
      <w:r w:rsidRPr="009E5D63">
        <w:t>I</w:t>
      </w:r>
      <w:r w:rsidR="003E5A34" w:rsidRPr="009E5D63">
        <w:t>n its FY15 Half Y</w:t>
      </w:r>
      <w:r w:rsidR="00C714E2" w:rsidRPr="009E5D63">
        <w:t>ear results</w:t>
      </w:r>
      <w:r w:rsidR="003E5A34" w:rsidRPr="009E5D63">
        <w:t>,</w:t>
      </w:r>
      <w:r w:rsidR="00C714E2" w:rsidRPr="009E5D63">
        <w:t xml:space="preserve"> TF</w:t>
      </w:r>
      <w:r w:rsidR="003E5A34" w:rsidRPr="009E5D63">
        <w:t>S recorded a strong start to</w:t>
      </w:r>
      <w:r w:rsidR="00C714E2" w:rsidRPr="009E5D63">
        <w:t xml:space="preserve"> FY15 with a                  NPAT of $55 million (a year on year increase of 174%)</w:t>
      </w:r>
    </w:p>
    <w:p w14:paraId="5C4190F8" w14:textId="77777777" w:rsidR="00C714E2" w:rsidRPr="009E5D63" w:rsidRDefault="00C714E2" w:rsidP="009E5D63">
      <w:pPr>
        <w:jc w:val="both"/>
      </w:pPr>
    </w:p>
    <w:p w14:paraId="5A63502F" w14:textId="1FC05065" w:rsidR="00C714E2" w:rsidRPr="009E5D63" w:rsidRDefault="00C714E2" w:rsidP="009E5D63">
      <w:pPr>
        <w:jc w:val="both"/>
      </w:pPr>
      <w:r w:rsidRPr="009E5D63">
        <w:t>In addition</w:t>
      </w:r>
      <w:r w:rsidR="003E5A34" w:rsidRPr="009E5D63">
        <w:t>,</w:t>
      </w:r>
      <w:r w:rsidR="00DE0EB5" w:rsidRPr="009E5D63">
        <w:t xml:space="preserve"> good progress has</w:t>
      </w:r>
      <w:r w:rsidRPr="009E5D63">
        <w:t xml:space="preserve"> been achieved on institutional and retail pl</w:t>
      </w:r>
      <w:r w:rsidR="003E5A34" w:rsidRPr="009E5D63">
        <w:t>antation</w:t>
      </w:r>
      <w:r w:rsidRPr="009E5D63">
        <w:t xml:space="preserve"> sales, both well ahead of prior years.</w:t>
      </w:r>
    </w:p>
    <w:p w14:paraId="2F080FF7" w14:textId="77777777" w:rsidR="00C714E2" w:rsidRPr="009E5D63" w:rsidRDefault="00C714E2" w:rsidP="009E5D63">
      <w:pPr>
        <w:jc w:val="both"/>
      </w:pPr>
    </w:p>
    <w:p w14:paraId="635937FE" w14:textId="7BBEFA23" w:rsidR="00C714E2" w:rsidRPr="009E5D63" w:rsidRDefault="00C714E2" w:rsidP="009E5D63">
      <w:pPr>
        <w:jc w:val="both"/>
      </w:pPr>
      <w:r w:rsidRPr="009E5D63">
        <w:t>In the USA</w:t>
      </w:r>
      <w:r w:rsidR="003E5A34" w:rsidRPr="009E5D63">
        <w:t>,</w:t>
      </w:r>
      <w:r w:rsidR="00496E37" w:rsidRPr="009E5D63">
        <w:t xml:space="preserve"> Nestle</w:t>
      </w:r>
      <w:r w:rsidRPr="009E5D63">
        <w:t xml:space="preserve">’s </w:t>
      </w:r>
      <w:r w:rsidR="009E5D63" w:rsidRPr="009E5D63">
        <w:t>Benzac acne</w:t>
      </w:r>
      <w:r w:rsidR="003E5A34" w:rsidRPr="009E5D63">
        <w:t xml:space="preserve"> products</w:t>
      </w:r>
      <w:r w:rsidR="00496E37" w:rsidRPr="009E5D63">
        <w:t xml:space="preserve">, containing TFS’s sandalwood oil </w:t>
      </w:r>
      <w:r w:rsidR="003E5A34" w:rsidRPr="009E5D63">
        <w:t xml:space="preserve"> were launched across </w:t>
      </w:r>
      <w:r w:rsidRPr="009E5D63">
        <w:t>the country in December 2014 with oil orders running ahead of expectations.</w:t>
      </w:r>
    </w:p>
    <w:p w14:paraId="70C5ED21" w14:textId="77777777" w:rsidR="00C714E2" w:rsidRPr="009E5D63" w:rsidRDefault="00C714E2" w:rsidP="009E5D63">
      <w:pPr>
        <w:jc w:val="both"/>
      </w:pPr>
    </w:p>
    <w:p w14:paraId="7426ED5E" w14:textId="5DB0B1F1" w:rsidR="00C714E2" w:rsidRPr="009E5D63" w:rsidRDefault="00C714E2" w:rsidP="009E5D63">
      <w:pPr>
        <w:jc w:val="both"/>
      </w:pPr>
      <w:r w:rsidRPr="009E5D63">
        <w:lastRenderedPageBreak/>
        <w:t>Important</w:t>
      </w:r>
      <w:r w:rsidR="0063352E" w:rsidRPr="009E5D63">
        <w:t>ly in February, 2015</w:t>
      </w:r>
      <w:r w:rsidR="003E5A34" w:rsidRPr="009E5D63">
        <w:t xml:space="preserve"> </w:t>
      </w:r>
      <w:r w:rsidR="009E5D63" w:rsidRPr="009E5D63">
        <w:t>Commissioners for</w:t>
      </w:r>
      <w:r w:rsidR="0063352E" w:rsidRPr="009E5D63">
        <w:t xml:space="preserve"> the Church </w:t>
      </w:r>
      <w:r w:rsidR="00496E37" w:rsidRPr="009E5D63">
        <w:t>of England exercised</w:t>
      </w:r>
      <w:r w:rsidRPr="009E5D63">
        <w:t xml:space="preserve"> an option over 119 ha </w:t>
      </w:r>
      <w:r w:rsidR="003E5A34" w:rsidRPr="009E5D63">
        <w:t xml:space="preserve">of land </w:t>
      </w:r>
      <w:r w:rsidRPr="009E5D63">
        <w:t>with the sale subject to due diligence and to be recognized in the second half of this financial year.</w:t>
      </w:r>
    </w:p>
    <w:p w14:paraId="146D1C06" w14:textId="77777777" w:rsidR="00C714E2" w:rsidRPr="009E5D63" w:rsidRDefault="00C714E2" w:rsidP="009E5D63">
      <w:pPr>
        <w:jc w:val="both"/>
      </w:pPr>
    </w:p>
    <w:p w14:paraId="38D8C2CF" w14:textId="7C3F2B06" w:rsidR="00C714E2" w:rsidRPr="009E5D63" w:rsidRDefault="00982F37" w:rsidP="009E5D63">
      <w:pPr>
        <w:jc w:val="both"/>
      </w:pPr>
      <w:r w:rsidRPr="009E5D63">
        <w:t xml:space="preserve">This </w:t>
      </w:r>
      <w:r w:rsidR="009E5D63" w:rsidRPr="009E5D63">
        <w:t>follows a</w:t>
      </w:r>
      <w:r w:rsidRPr="009E5D63">
        <w:t xml:space="preserve"> sales to a US institutional investor of 399 </w:t>
      </w:r>
      <w:r w:rsidR="009E5D63" w:rsidRPr="009E5D63">
        <w:t>ha of</w:t>
      </w:r>
      <w:r w:rsidR="00DE0EB5" w:rsidRPr="009E5D63">
        <w:t xml:space="preserve"> </w:t>
      </w:r>
      <w:r w:rsidR="009E5D63" w:rsidRPr="009E5D63">
        <w:t>land (</w:t>
      </w:r>
      <w:r w:rsidRPr="009E5D63">
        <w:t>the fourth investment in six</w:t>
      </w:r>
      <w:r w:rsidR="0063352E" w:rsidRPr="009E5D63">
        <w:t xml:space="preserve"> years) signed in December 2014 an</w:t>
      </w:r>
      <w:r w:rsidR="00496E37" w:rsidRPr="009E5D63">
        <w:t xml:space="preserve">d the settlement of a sale of 400 </w:t>
      </w:r>
      <w:r w:rsidR="0063352E" w:rsidRPr="009E5D63">
        <w:t>ha to a Hong Kong based investor in January 2015.</w:t>
      </w:r>
    </w:p>
    <w:p w14:paraId="6EB6549D" w14:textId="77777777" w:rsidR="00982F37" w:rsidRPr="009E5D63" w:rsidRDefault="00982F37" w:rsidP="009E5D63">
      <w:pPr>
        <w:jc w:val="both"/>
      </w:pPr>
    </w:p>
    <w:p w14:paraId="63D90DEF" w14:textId="5A2C0E80" w:rsidR="00982F37" w:rsidRPr="009E5D63" w:rsidRDefault="00982F37" w:rsidP="009E5D63">
      <w:pPr>
        <w:jc w:val="both"/>
      </w:pPr>
      <w:r w:rsidRPr="009E5D63">
        <w:t xml:space="preserve">The second harvest is on track for the final </w:t>
      </w:r>
      <w:r w:rsidR="003E5A34" w:rsidRPr="009E5D63">
        <w:t>quarter</w:t>
      </w:r>
      <w:r w:rsidRPr="009E5D63">
        <w:t xml:space="preserve"> of FY15, aft</w:t>
      </w:r>
      <w:r w:rsidR="00DE0EB5" w:rsidRPr="009E5D63">
        <w:t>er the wet season has concluded and the outlook for growth is strong.</w:t>
      </w:r>
    </w:p>
    <w:p w14:paraId="18F87041" w14:textId="77777777" w:rsidR="00982F37" w:rsidRPr="009E5D63" w:rsidRDefault="00982F37" w:rsidP="009E5D63">
      <w:pPr>
        <w:jc w:val="both"/>
      </w:pPr>
    </w:p>
    <w:p w14:paraId="0DF72CB5" w14:textId="77777777" w:rsidR="00982F37" w:rsidRPr="00BF1B05" w:rsidRDefault="00982F37" w:rsidP="009E5D63">
      <w:pPr>
        <w:jc w:val="both"/>
        <w:rPr>
          <w:u w:val="single"/>
        </w:rPr>
      </w:pPr>
      <w:r w:rsidRPr="00BF1B05">
        <w:rPr>
          <w:u w:val="single"/>
        </w:rPr>
        <w:t>THE OPTIONS PAPER</w:t>
      </w:r>
    </w:p>
    <w:p w14:paraId="5E7ACCFB" w14:textId="77777777" w:rsidR="00982F37" w:rsidRPr="009E5D63" w:rsidRDefault="00982F37" w:rsidP="009E5D63">
      <w:pPr>
        <w:jc w:val="both"/>
      </w:pPr>
    </w:p>
    <w:p w14:paraId="28169FFD" w14:textId="46D62FCF" w:rsidR="00982F37" w:rsidRPr="009E5D63" w:rsidRDefault="003E5A34" w:rsidP="009E5D63">
      <w:pPr>
        <w:jc w:val="both"/>
      </w:pPr>
      <w:r w:rsidRPr="009E5D63">
        <w:t xml:space="preserve">At the outset </w:t>
      </w:r>
      <w:r w:rsidR="00982F37" w:rsidRPr="009E5D63">
        <w:t xml:space="preserve">TFS agrees with the comments in paragraphs 1 and 2 </w:t>
      </w:r>
      <w:r w:rsidRPr="009E5D63">
        <w:t xml:space="preserve">of the Options </w:t>
      </w:r>
      <w:r w:rsidR="009E5D63" w:rsidRPr="009E5D63">
        <w:t>Paper which</w:t>
      </w:r>
      <w:r w:rsidRPr="009E5D63">
        <w:t xml:space="preserve"> outline the importance of</w:t>
      </w:r>
      <w:r w:rsidR="00982F37" w:rsidRPr="009E5D63">
        <w:t xml:space="preserve"> foreign investment </w:t>
      </w:r>
      <w:r w:rsidRPr="009E5D63">
        <w:t xml:space="preserve">to Australia </w:t>
      </w:r>
      <w:r w:rsidR="00982F37" w:rsidRPr="009E5D63">
        <w:t>and the application of a national interest test.</w:t>
      </w:r>
      <w:r w:rsidRPr="009E5D63">
        <w:t xml:space="preserve">  In 2013 TFS submitted to the Senate Inquiry into “Foreign Investment and the National Interest Test”, </w:t>
      </w:r>
      <w:r w:rsidR="009E5D63" w:rsidRPr="009E5D63">
        <w:t>that the</w:t>
      </w:r>
      <w:r w:rsidR="00DE0EB5" w:rsidRPr="009E5D63">
        <w:t xml:space="preserve"> </w:t>
      </w:r>
      <w:r w:rsidRPr="009E5D63">
        <w:t>test worked wel</w:t>
      </w:r>
      <w:r w:rsidR="002441CB" w:rsidRPr="009E5D63">
        <w:t>l and that the Foreign Investment Review Board (FIRB)</w:t>
      </w:r>
      <w:r w:rsidRPr="009E5D63">
        <w:t xml:space="preserve"> process is a good </w:t>
      </w:r>
      <w:r w:rsidR="009E5D63" w:rsidRPr="009E5D63">
        <w:t>one. TFS</w:t>
      </w:r>
      <w:r w:rsidR="00496E37" w:rsidRPr="009E5D63">
        <w:t xml:space="preserve"> also endorsed the professionalism and competence of FIRB staff with whom it d</w:t>
      </w:r>
      <w:r w:rsidR="0081311C" w:rsidRPr="009E5D63">
        <w:t xml:space="preserve">ealt. All this remains true today. </w:t>
      </w:r>
    </w:p>
    <w:p w14:paraId="0704687B" w14:textId="77777777" w:rsidR="00982F37" w:rsidRPr="009E5D63" w:rsidRDefault="00982F37" w:rsidP="009E5D63">
      <w:pPr>
        <w:jc w:val="both"/>
      </w:pPr>
    </w:p>
    <w:p w14:paraId="5E5B4B6E" w14:textId="77777777" w:rsidR="00982F37" w:rsidRPr="009E5D63" w:rsidRDefault="00982F37" w:rsidP="009E5D63">
      <w:pPr>
        <w:jc w:val="both"/>
      </w:pPr>
      <w:r w:rsidRPr="009E5D63">
        <w:t xml:space="preserve">A number of </w:t>
      </w:r>
      <w:r w:rsidR="003E5A34" w:rsidRPr="009E5D63">
        <w:t xml:space="preserve">other </w:t>
      </w:r>
      <w:r w:rsidRPr="009E5D63">
        <w:t>issues are raised by the Options Paper and are dealt with as follows:</w:t>
      </w:r>
    </w:p>
    <w:p w14:paraId="6F69B05F" w14:textId="77777777" w:rsidR="00982F37" w:rsidRPr="009E5D63" w:rsidRDefault="00982F37" w:rsidP="009E5D63">
      <w:pPr>
        <w:jc w:val="both"/>
      </w:pPr>
    </w:p>
    <w:p w14:paraId="44A01E8D" w14:textId="1ABD4485" w:rsidR="00982F37" w:rsidRPr="009E5D63" w:rsidRDefault="0063352E" w:rsidP="009E5D63">
      <w:pPr>
        <w:jc w:val="both"/>
        <w:rPr>
          <w:u w:val="single"/>
        </w:rPr>
      </w:pPr>
      <w:r w:rsidRPr="009E5D63">
        <w:rPr>
          <w:u w:val="single"/>
        </w:rPr>
        <w:t>Application</w:t>
      </w:r>
      <w:r w:rsidR="00982F37" w:rsidRPr="009E5D63">
        <w:rPr>
          <w:u w:val="single"/>
        </w:rPr>
        <w:t xml:space="preserve"> Fee</w:t>
      </w:r>
    </w:p>
    <w:p w14:paraId="4DC0F2BF" w14:textId="77777777" w:rsidR="00982F37" w:rsidRPr="009E5D63" w:rsidRDefault="00982F37" w:rsidP="009E5D63">
      <w:pPr>
        <w:jc w:val="both"/>
      </w:pPr>
    </w:p>
    <w:p w14:paraId="7E2D55F6" w14:textId="77777777" w:rsidR="00982F37" w:rsidRPr="009E5D63" w:rsidRDefault="003E5A34" w:rsidP="009E5D63">
      <w:pPr>
        <w:jc w:val="both"/>
      </w:pPr>
      <w:r w:rsidRPr="009E5D63">
        <w:t xml:space="preserve">It is noted in paragraph 5 </w:t>
      </w:r>
      <w:r w:rsidR="00982F37" w:rsidRPr="009E5D63">
        <w:t>that the Government is cons</w:t>
      </w:r>
      <w:r w:rsidRPr="009E5D63">
        <w:t>idering</w:t>
      </w:r>
      <w:r w:rsidR="00982F37" w:rsidRPr="009E5D63">
        <w:t xml:space="preserve"> “application fees for all foreign investment proposals in line with a user pays system”.</w:t>
      </w:r>
    </w:p>
    <w:p w14:paraId="2C47B0A2" w14:textId="77777777" w:rsidR="00982F37" w:rsidRPr="009E5D63" w:rsidRDefault="00982F37" w:rsidP="009E5D63">
      <w:pPr>
        <w:jc w:val="both"/>
      </w:pPr>
    </w:p>
    <w:p w14:paraId="555010D7" w14:textId="69EA4609" w:rsidR="00982F37" w:rsidRPr="009E5D63" w:rsidRDefault="00982F37" w:rsidP="009E5D63">
      <w:pPr>
        <w:jc w:val="both"/>
      </w:pPr>
      <w:r w:rsidRPr="009E5D63">
        <w:t>TFS notes that the US, Canada and Japan do not have an applicat</w:t>
      </w:r>
      <w:r w:rsidR="00DE0EB5" w:rsidRPr="009E5D63">
        <w:t xml:space="preserve">ion fee.  New Zealand, however, has a fee </w:t>
      </w:r>
      <w:r w:rsidRPr="009E5D63">
        <w:t>b</w:t>
      </w:r>
      <w:r w:rsidR="00DE0EB5" w:rsidRPr="009E5D63">
        <w:t>ut much lower than that proposed</w:t>
      </w:r>
      <w:r w:rsidRPr="009E5D63">
        <w:t xml:space="preserve"> in the Options Paper.  At paragraph 46 it is proposed that for </w:t>
      </w:r>
      <w:r w:rsidR="003E5A34" w:rsidRPr="009E5D63">
        <w:t xml:space="preserve">a purchase of </w:t>
      </w:r>
      <w:r w:rsidRPr="009E5D63">
        <w:t>rural land equal or greater than $1 milli</w:t>
      </w:r>
      <w:r w:rsidR="003E5A34" w:rsidRPr="009E5D63">
        <w:t xml:space="preserve">on there be a “$10,000 </w:t>
      </w:r>
      <w:r w:rsidRPr="009E5D63">
        <w:t>incremental fee per $1 million in rural land value.”</w:t>
      </w:r>
    </w:p>
    <w:p w14:paraId="7BA2E7B6" w14:textId="77777777" w:rsidR="00982F37" w:rsidRPr="009E5D63" w:rsidRDefault="00982F37" w:rsidP="009E5D63">
      <w:pPr>
        <w:jc w:val="both"/>
      </w:pPr>
    </w:p>
    <w:p w14:paraId="33A028A1" w14:textId="654733C9" w:rsidR="00982F37" w:rsidRPr="009E5D63" w:rsidRDefault="003E5A34" w:rsidP="009E5D63">
      <w:pPr>
        <w:jc w:val="both"/>
      </w:pPr>
      <w:r w:rsidRPr="009E5D63">
        <w:t>In the event of</w:t>
      </w:r>
      <w:r w:rsidR="00982F37" w:rsidRPr="009E5D63">
        <w:t xml:space="preserve"> a $15 million purchase</w:t>
      </w:r>
      <w:r w:rsidRPr="009E5D63">
        <w:t>,</w:t>
      </w:r>
      <w:r w:rsidR="0063352E" w:rsidRPr="009E5D63">
        <w:t xml:space="preserve"> the fee coul</w:t>
      </w:r>
      <w:r w:rsidR="00982F37" w:rsidRPr="009E5D63">
        <w:t>d be as high as $145,000.  This would be excessiv</w:t>
      </w:r>
      <w:r w:rsidR="0063352E" w:rsidRPr="009E5D63">
        <w:t>e and beyond what is required for</w:t>
      </w:r>
      <w:r w:rsidR="00982F37" w:rsidRPr="009E5D63">
        <w:t xml:space="preserve"> the user pays system.  If a fee is to be imposed then the New Zealand system is to be preferred.</w:t>
      </w:r>
    </w:p>
    <w:p w14:paraId="114DB4D0" w14:textId="66A65B99" w:rsidR="001370F5" w:rsidRPr="009E5D63" w:rsidRDefault="001370F5" w:rsidP="009E5D63">
      <w:pPr>
        <w:jc w:val="both"/>
      </w:pPr>
    </w:p>
    <w:p w14:paraId="6D1E5492" w14:textId="77777777" w:rsidR="001370F5" w:rsidRPr="009E5D63" w:rsidRDefault="001370F5" w:rsidP="009E5D63">
      <w:pPr>
        <w:jc w:val="both"/>
      </w:pPr>
    </w:p>
    <w:p w14:paraId="3F9F4A0B" w14:textId="77777777" w:rsidR="00982F37" w:rsidRPr="009E5D63" w:rsidRDefault="003E5A34" w:rsidP="009E5D63">
      <w:pPr>
        <w:jc w:val="both"/>
        <w:rPr>
          <w:u w:val="single"/>
        </w:rPr>
      </w:pPr>
      <w:r w:rsidRPr="009E5D63">
        <w:rPr>
          <w:u w:val="single"/>
        </w:rPr>
        <w:t>Thresholds of $15 million for Rural Land and $55 million for Investment in A</w:t>
      </w:r>
      <w:r w:rsidR="00982F37" w:rsidRPr="009E5D63">
        <w:rPr>
          <w:u w:val="single"/>
        </w:rPr>
        <w:t xml:space="preserve">gribusiness.                 </w:t>
      </w:r>
    </w:p>
    <w:p w14:paraId="5CE85C24" w14:textId="77777777" w:rsidR="00982F37" w:rsidRPr="009E5D63" w:rsidRDefault="00982F37" w:rsidP="009E5D63">
      <w:pPr>
        <w:jc w:val="both"/>
      </w:pPr>
    </w:p>
    <w:p w14:paraId="5923AA3E" w14:textId="6C3906D6" w:rsidR="00982F37" w:rsidRPr="009E5D63" w:rsidRDefault="00982F37" w:rsidP="009E5D63">
      <w:pPr>
        <w:jc w:val="both"/>
      </w:pPr>
      <w:r w:rsidRPr="009E5D63">
        <w:t>Two discrete thr</w:t>
      </w:r>
      <w:r w:rsidR="003E5A34" w:rsidRPr="009E5D63">
        <w:t xml:space="preserve">esholds </w:t>
      </w:r>
      <w:r w:rsidR="002441CB" w:rsidRPr="009E5D63">
        <w:t xml:space="preserve">for foreign investment </w:t>
      </w:r>
      <w:r w:rsidR="003E5A34" w:rsidRPr="009E5D63">
        <w:t xml:space="preserve">are anticipated for </w:t>
      </w:r>
      <w:r w:rsidR="00DE0EB5" w:rsidRPr="009E5D63">
        <w:t xml:space="preserve">rural </w:t>
      </w:r>
      <w:r w:rsidRPr="009E5D63">
        <w:t xml:space="preserve">land and </w:t>
      </w:r>
      <w:r w:rsidR="00DE0EB5" w:rsidRPr="009E5D63">
        <w:t>“</w:t>
      </w:r>
      <w:r w:rsidRPr="009E5D63">
        <w:t>ag</w:t>
      </w:r>
      <w:r w:rsidR="003E5A34" w:rsidRPr="009E5D63">
        <w:t>ribusiness</w:t>
      </w:r>
      <w:r w:rsidR="00DE0EB5" w:rsidRPr="009E5D63">
        <w:t>”</w:t>
      </w:r>
      <w:r w:rsidR="003E5A34" w:rsidRPr="009E5D63">
        <w:t xml:space="preserve">.  Whilst TFS has no </w:t>
      </w:r>
      <w:r w:rsidRPr="009E5D63">
        <w:t>issue with the amounts</w:t>
      </w:r>
      <w:r w:rsidR="003E5A34" w:rsidRPr="009E5D63">
        <w:t>,</w:t>
      </w:r>
      <w:r w:rsidRPr="009E5D63">
        <w:t xml:space="preserve"> it does seek clarification on how they are </w:t>
      </w:r>
      <w:r w:rsidR="003E5A34" w:rsidRPr="009E5D63">
        <w:t xml:space="preserve">to be </w:t>
      </w:r>
      <w:r w:rsidRPr="009E5D63">
        <w:t>applied.</w:t>
      </w:r>
    </w:p>
    <w:p w14:paraId="5C010D54" w14:textId="77777777" w:rsidR="009122EF" w:rsidRPr="009E5D63" w:rsidRDefault="009122EF" w:rsidP="009E5D63">
      <w:pPr>
        <w:jc w:val="both"/>
      </w:pPr>
    </w:p>
    <w:p w14:paraId="2F6939D7" w14:textId="4CDE5E0E" w:rsidR="009122EF" w:rsidRPr="009E5D63" w:rsidRDefault="009122EF" w:rsidP="009E5D63">
      <w:pPr>
        <w:jc w:val="both"/>
      </w:pPr>
      <w:r w:rsidRPr="009E5D63">
        <w:t xml:space="preserve">In the first </w:t>
      </w:r>
      <w:r w:rsidR="009E5D63" w:rsidRPr="009E5D63">
        <w:t>instance,</w:t>
      </w:r>
      <w:r w:rsidRPr="009E5D63">
        <w:t xml:space="preserve"> paragraph 6 </w:t>
      </w:r>
      <w:r w:rsidR="009E5D63" w:rsidRPr="009E5D63">
        <w:t>includes in</w:t>
      </w:r>
      <w:r w:rsidRPr="009E5D63">
        <w:t xml:space="preserve"> the assessment of the threshold any purchases made prior to the application. TFS believes that assessment should </w:t>
      </w:r>
      <w:r w:rsidRPr="009E5D63">
        <w:lastRenderedPageBreak/>
        <w:t xml:space="preserve">relate solely to the purchase which is the subject of the application. Assessing accumulated interests previously acquired could complicate applications further than is necessary and could result in more time required. </w:t>
      </w:r>
    </w:p>
    <w:p w14:paraId="4846EC35" w14:textId="77777777" w:rsidR="00982F37" w:rsidRPr="009E5D63" w:rsidRDefault="00982F37" w:rsidP="009E5D63">
      <w:pPr>
        <w:jc w:val="both"/>
      </w:pPr>
    </w:p>
    <w:p w14:paraId="63E0855E" w14:textId="60B8B94C" w:rsidR="00982F37" w:rsidRPr="009E5D63" w:rsidRDefault="009122EF" w:rsidP="009E5D63">
      <w:pPr>
        <w:jc w:val="both"/>
      </w:pPr>
      <w:r w:rsidRPr="009E5D63">
        <w:t xml:space="preserve">Furthermore </w:t>
      </w:r>
      <w:r w:rsidR="009E5D63" w:rsidRPr="009E5D63">
        <w:t>any assessment</w:t>
      </w:r>
      <w:r w:rsidR="00982F37" w:rsidRPr="009E5D63">
        <w:t xml:space="preserve"> of a rural land purchase should be for the land only and not</w:t>
      </w:r>
      <w:r w:rsidR="00DE0EB5" w:rsidRPr="009E5D63">
        <w:t xml:space="preserve"> include</w:t>
      </w:r>
      <w:r w:rsidR="00982F37" w:rsidRPr="009E5D63">
        <w:t xml:space="preserve"> any </w:t>
      </w:r>
      <w:r w:rsidRPr="009E5D63">
        <w:t xml:space="preserve">value for </w:t>
      </w:r>
      <w:r w:rsidR="00982F37" w:rsidRPr="009E5D63">
        <w:t>trees on it.</w:t>
      </w:r>
    </w:p>
    <w:p w14:paraId="3769585E" w14:textId="77777777" w:rsidR="00982F37" w:rsidRPr="009E5D63" w:rsidRDefault="00982F37" w:rsidP="009E5D63">
      <w:pPr>
        <w:jc w:val="both"/>
      </w:pPr>
    </w:p>
    <w:p w14:paraId="5F6FD33B" w14:textId="2479E9BD" w:rsidR="00982F37" w:rsidRPr="009E5D63" w:rsidRDefault="009122EF" w:rsidP="009E5D63">
      <w:pPr>
        <w:jc w:val="both"/>
      </w:pPr>
      <w:r w:rsidRPr="009E5D63">
        <w:t xml:space="preserve">It </w:t>
      </w:r>
      <w:r w:rsidR="00982F37" w:rsidRPr="009E5D63">
        <w:t>should</w:t>
      </w:r>
      <w:r w:rsidRPr="009E5D63">
        <w:t xml:space="preserve"> also</w:t>
      </w:r>
      <w:r w:rsidR="00982F37" w:rsidRPr="009E5D63">
        <w:t xml:space="preserve"> not include any value </w:t>
      </w:r>
      <w:r w:rsidR="009E5D63" w:rsidRPr="009E5D63">
        <w:t>adding such</w:t>
      </w:r>
      <w:r w:rsidR="00DE0EB5" w:rsidRPr="009E5D63">
        <w:t xml:space="preserve"> as distillation </w:t>
      </w:r>
      <w:r w:rsidR="00982F37" w:rsidRPr="009E5D63">
        <w:t xml:space="preserve">which should be included in the definition of </w:t>
      </w:r>
      <w:r w:rsidR="00DE0EB5" w:rsidRPr="009E5D63">
        <w:t>“</w:t>
      </w:r>
      <w:r w:rsidR="00982F37" w:rsidRPr="009E5D63">
        <w:t>agribusiness</w:t>
      </w:r>
      <w:r w:rsidR="00DE0EB5" w:rsidRPr="009E5D63">
        <w:t>”</w:t>
      </w:r>
      <w:r w:rsidR="00982F37" w:rsidRPr="009E5D63">
        <w:t>.</w:t>
      </w:r>
    </w:p>
    <w:p w14:paraId="60076A67" w14:textId="77777777" w:rsidR="00982F37" w:rsidRPr="009E5D63" w:rsidRDefault="00982F37" w:rsidP="009E5D63">
      <w:pPr>
        <w:jc w:val="both"/>
      </w:pPr>
    </w:p>
    <w:p w14:paraId="5F3B552B" w14:textId="2C28EB39" w:rsidR="001370F5" w:rsidRPr="009E5D63" w:rsidRDefault="00982F37" w:rsidP="009E5D63">
      <w:pPr>
        <w:jc w:val="both"/>
      </w:pPr>
      <w:r w:rsidRPr="009E5D63">
        <w:t xml:space="preserve">TFS notes </w:t>
      </w:r>
      <w:r w:rsidR="009E5D63" w:rsidRPr="009E5D63">
        <w:t>that the</w:t>
      </w:r>
      <w:r w:rsidR="00803645" w:rsidRPr="009E5D63">
        <w:t xml:space="preserve"> Options Paper favours the approach of </w:t>
      </w:r>
      <w:r w:rsidRPr="009E5D63">
        <w:t xml:space="preserve">ANZIC (2006) Revision </w:t>
      </w:r>
      <w:r w:rsidR="009E5D63" w:rsidRPr="009E5D63">
        <w:t>2.0 which</w:t>
      </w:r>
      <w:r w:rsidR="00803645" w:rsidRPr="009E5D63">
        <w:t xml:space="preserve"> </w:t>
      </w:r>
      <w:r w:rsidRPr="009E5D63">
        <w:t xml:space="preserve">includes Forestry </w:t>
      </w:r>
      <w:r w:rsidR="009E5D63" w:rsidRPr="009E5D63">
        <w:t>as a</w:t>
      </w:r>
      <w:r w:rsidR="003E5A34" w:rsidRPr="009E5D63">
        <w:t xml:space="preserve"> </w:t>
      </w:r>
      <w:r w:rsidRPr="009E5D63">
        <w:t>subdiv</w:t>
      </w:r>
      <w:r w:rsidR="00803645" w:rsidRPr="009E5D63">
        <w:t>ision of agriculture and that forestry</w:t>
      </w:r>
      <w:r w:rsidRPr="009E5D63">
        <w:t xml:space="preserve"> relates to </w:t>
      </w:r>
      <w:r w:rsidR="00DE0EB5" w:rsidRPr="009E5D63">
        <w:t>“</w:t>
      </w:r>
      <w:r w:rsidRPr="009E5D63">
        <w:t xml:space="preserve">mainly growing standing timber in </w:t>
      </w:r>
      <w:r w:rsidR="003E5A34" w:rsidRPr="009E5D63">
        <w:t xml:space="preserve">native or </w:t>
      </w:r>
      <w:r w:rsidR="009E5D63" w:rsidRPr="009E5D63">
        <w:t>plantation forests</w:t>
      </w:r>
      <w:r w:rsidR="003E5A34" w:rsidRPr="009E5D63">
        <w:t xml:space="preserve"> or timber track</w:t>
      </w:r>
      <w:r w:rsidRPr="009E5D63">
        <w:t>s for commercial benefit</w:t>
      </w:r>
      <w:r w:rsidR="00DE0EB5" w:rsidRPr="009E5D63">
        <w:t>”</w:t>
      </w:r>
      <w:r w:rsidRPr="009E5D63">
        <w:t>.</w:t>
      </w:r>
      <w:r w:rsidR="00803645" w:rsidRPr="009E5D63">
        <w:t xml:space="preserve"> </w:t>
      </w:r>
      <w:r w:rsidRPr="009E5D63">
        <w:t>Similarly logging is also included.</w:t>
      </w:r>
      <w:r w:rsidR="00803645" w:rsidRPr="009E5D63">
        <w:t xml:space="preserve"> </w:t>
      </w:r>
    </w:p>
    <w:p w14:paraId="023F2C77" w14:textId="77777777" w:rsidR="001370F5" w:rsidRPr="009E5D63" w:rsidRDefault="001370F5" w:rsidP="009E5D63">
      <w:pPr>
        <w:jc w:val="both"/>
      </w:pPr>
    </w:p>
    <w:p w14:paraId="4C997C8A" w14:textId="24B3E96C" w:rsidR="003E5A34" w:rsidRPr="009E5D63" w:rsidRDefault="003E5A34" w:rsidP="009E5D63">
      <w:pPr>
        <w:jc w:val="both"/>
      </w:pPr>
      <w:r w:rsidRPr="009E5D63">
        <w:t>TFS does not have any issue with either forestry or logging being included</w:t>
      </w:r>
      <w:r w:rsidR="00803645" w:rsidRPr="009E5D63">
        <w:t xml:space="preserve"> under agriculture and thereby deemed</w:t>
      </w:r>
      <w:r w:rsidRPr="009E5D63">
        <w:t xml:space="preserve"> an </w:t>
      </w:r>
      <w:r w:rsidR="00803645" w:rsidRPr="009E5D63">
        <w:t>“</w:t>
      </w:r>
      <w:r w:rsidRPr="009E5D63">
        <w:t>agribusiness</w:t>
      </w:r>
      <w:r w:rsidR="00803645" w:rsidRPr="009E5D63">
        <w:t>”</w:t>
      </w:r>
      <w:r w:rsidRPr="009E5D63">
        <w:t xml:space="preserve">.  As a vertically integrated business however it would be difficult to see how processing </w:t>
      </w:r>
      <w:r w:rsidR="001370F5" w:rsidRPr="009E5D63">
        <w:t>oil, making cosmetics or producing pharmaceuticals could be seen as part of that agribusiness.</w:t>
      </w:r>
    </w:p>
    <w:p w14:paraId="374B9387" w14:textId="77777777" w:rsidR="001370F5" w:rsidRPr="009E5D63" w:rsidRDefault="001370F5" w:rsidP="009E5D63">
      <w:pPr>
        <w:jc w:val="both"/>
      </w:pPr>
    </w:p>
    <w:p w14:paraId="3DFD8D55" w14:textId="1FAE172D" w:rsidR="001370F5" w:rsidRPr="009E5D63" w:rsidRDefault="001370F5" w:rsidP="009E5D63">
      <w:pPr>
        <w:jc w:val="both"/>
      </w:pPr>
      <w:r w:rsidRPr="009E5D63">
        <w:rPr>
          <w:u w:val="single"/>
        </w:rPr>
        <w:t>Register of Interests for Foreign Ownership</w:t>
      </w:r>
      <w:r w:rsidR="00803645" w:rsidRPr="009E5D63">
        <w:rPr>
          <w:u w:val="single"/>
        </w:rPr>
        <w:t xml:space="preserve"> of Agricultural Land.</w:t>
      </w:r>
    </w:p>
    <w:p w14:paraId="4323C2AE" w14:textId="77777777" w:rsidR="001370F5" w:rsidRPr="009E5D63" w:rsidRDefault="001370F5" w:rsidP="009E5D63">
      <w:pPr>
        <w:jc w:val="both"/>
      </w:pPr>
    </w:p>
    <w:p w14:paraId="4DF06E05" w14:textId="3CAC421F" w:rsidR="003E5A34" w:rsidRPr="009E5D63" w:rsidRDefault="001370F5" w:rsidP="009E5D63">
      <w:pPr>
        <w:jc w:val="both"/>
      </w:pPr>
      <w:r w:rsidRPr="009E5D63">
        <w:t>TFS has supported su</w:t>
      </w:r>
      <w:r w:rsidR="002441CB" w:rsidRPr="009E5D63">
        <w:t xml:space="preserve">ch a register for some time </w:t>
      </w:r>
      <w:r w:rsidR="009E5D63" w:rsidRPr="009E5D63">
        <w:t>(TFS</w:t>
      </w:r>
      <w:r w:rsidRPr="009E5D63">
        <w:t xml:space="preserve"> submission</w:t>
      </w:r>
      <w:r w:rsidR="002441CB" w:rsidRPr="009E5D63">
        <w:t xml:space="preserve"> 2013</w:t>
      </w:r>
      <w:r w:rsidRPr="009E5D63">
        <w:t xml:space="preserve"> to Senate Inquiry into “Foreign Investment and the National Interest Test”).  It does however reiterate that any applications for approval should not be publicized due to commercially sensitive considerations.  In any event it is noted that this is not part of the Governments proposal.</w:t>
      </w:r>
    </w:p>
    <w:p w14:paraId="1BB9835F" w14:textId="77777777" w:rsidR="001370F5" w:rsidRPr="009E5D63" w:rsidRDefault="001370F5" w:rsidP="009E5D63">
      <w:pPr>
        <w:jc w:val="both"/>
      </w:pPr>
    </w:p>
    <w:p w14:paraId="36F186EA" w14:textId="77777777" w:rsidR="001370F5" w:rsidRPr="009E5D63" w:rsidRDefault="001370F5" w:rsidP="009E5D63">
      <w:pPr>
        <w:jc w:val="both"/>
        <w:rPr>
          <w:u w:val="single"/>
        </w:rPr>
      </w:pPr>
      <w:r w:rsidRPr="009E5D63">
        <w:rPr>
          <w:u w:val="single"/>
        </w:rPr>
        <w:t>Australia’s Foreign Investment Framework</w:t>
      </w:r>
    </w:p>
    <w:p w14:paraId="2C55E83F" w14:textId="77777777" w:rsidR="009122EF" w:rsidRPr="00BF1B05" w:rsidRDefault="009122EF" w:rsidP="009E5D63">
      <w:pPr>
        <w:jc w:val="both"/>
      </w:pPr>
    </w:p>
    <w:p w14:paraId="76BB7C78" w14:textId="13E712A9" w:rsidR="009122EF" w:rsidRPr="00BF1B05" w:rsidRDefault="009122EF" w:rsidP="009E5D63">
      <w:pPr>
        <w:jc w:val="both"/>
      </w:pPr>
      <w:r w:rsidRPr="00BF1B05">
        <w:t>TFS notes that free</w:t>
      </w:r>
      <w:r w:rsidR="00496E37" w:rsidRPr="00BF1B05">
        <w:t xml:space="preserve"> </w:t>
      </w:r>
      <w:r w:rsidRPr="00BF1B05">
        <w:t xml:space="preserve">trade agreements should exempt from the </w:t>
      </w:r>
      <w:r w:rsidR="009E5D63" w:rsidRPr="00BF1B05">
        <w:t>FIR those</w:t>
      </w:r>
      <w:r w:rsidRPr="00BF1B05">
        <w:t xml:space="preserve"> countries who are a party to such agreements.</w:t>
      </w:r>
      <w:r w:rsidR="00496E37" w:rsidRPr="00BF1B05">
        <w:t xml:space="preserve"> </w:t>
      </w:r>
      <w:r w:rsidRPr="00BF1B05">
        <w:t>This is supported.</w:t>
      </w:r>
    </w:p>
    <w:p w14:paraId="6AD189B6" w14:textId="77777777" w:rsidR="001370F5" w:rsidRPr="009E5D63" w:rsidRDefault="001370F5" w:rsidP="009E5D63">
      <w:pPr>
        <w:jc w:val="both"/>
      </w:pPr>
    </w:p>
    <w:p w14:paraId="5D512791" w14:textId="77777777" w:rsidR="002441CB" w:rsidRPr="009E5D63" w:rsidRDefault="001370F5" w:rsidP="009E5D63">
      <w:pPr>
        <w:jc w:val="both"/>
      </w:pPr>
      <w:r w:rsidRPr="009E5D63">
        <w:t>As stated previously, TFS has had a good experience with the FIRB process and the 30 day turn around requirement has largely been met.</w:t>
      </w:r>
      <w:r w:rsidR="002441CB" w:rsidRPr="009E5D63">
        <w:t xml:space="preserve"> </w:t>
      </w:r>
    </w:p>
    <w:p w14:paraId="62D9FDB7" w14:textId="77777777" w:rsidR="002441CB" w:rsidRPr="009E5D63" w:rsidRDefault="002441CB" w:rsidP="009E5D63">
      <w:pPr>
        <w:jc w:val="both"/>
      </w:pPr>
    </w:p>
    <w:p w14:paraId="385276E1" w14:textId="43998CAF" w:rsidR="001370F5" w:rsidRPr="009E5D63" w:rsidRDefault="002441CB" w:rsidP="009E5D63">
      <w:pPr>
        <w:jc w:val="both"/>
      </w:pPr>
      <w:r w:rsidRPr="009E5D63">
        <w:t xml:space="preserve">The introduction of the proposed thresholds would no doubt see an increase in applications and therefore workload for FIRB. TFS would not want to see any extension of this timeline as any extension would make it more difficult to accommodate any announcement of the investment and </w:t>
      </w:r>
      <w:r w:rsidR="009E5D63" w:rsidRPr="009E5D63">
        <w:t>the implementation</w:t>
      </w:r>
      <w:r w:rsidRPr="009E5D63">
        <w:t xml:space="preserve"> of it.</w:t>
      </w:r>
      <w:r w:rsidR="00803645" w:rsidRPr="009E5D63">
        <w:t xml:space="preserve"> This timeline should be preserved.</w:t>
      </w:r>
    </w:p>
    <w:p w14:paraId="4EA77652" w14:textId="77777777" w:rsidR="001370F5" w:rsidRPr="009E5D63" w:rsidRDefault="001370F5" w:rsidP="009E5D63">
      <w:pPr>
        <w:jc w:val="both"/>
      </w:pPr>
    </w:p>
    <w:p w14:paraId="24A74DC2" w14:textId="77777777" w:rsidR="009E5D63" w:rsidRDefault="009E5D63" w:rsidP="009E5D63">
      <w:pPr>
        <w:jc w:val="both"/>
      </w:pPr>
    </w:p>
    <w:p w14:paraId="415ED774" w14:textId="77777777" w:rsidR="009E5D63" w:rsidRDefault="009E5D63" w:rsidP="009E5D63">
      <w:pPr>
        <w:jc w:val="both"/>
      </w:pPr>
    </w:p>
    <w:p w14:paraId="6E7C5E05" w14:textId="77777777" w:rsidR="009E5D63" w:rsidRDefault="009E5D63" w:rsidP="009E5D63">
      <w:pPr>
        <w:jc w:val="both"/>
      </w:pPr>
    </w:p>
    <w:p w14:paraId="342FE0B3" w14:textId="77777777" w:rsidR="009E5D63" w:rsidRDefault="009E5D63" w:rsidP="009E5D63">
      <w:pPr>
        <w:jc w:val="both"/>
      </w:pPr>
    </w:p>
    <w:p w14:paraId="2BCC08AC" w14:textId="77777777" w:rsidR="009E5D63" w:rsidRDefault="009E5D63" w:rsidP="009E5D63">
      <w:pPr>
        <w:jc w:val="both"/>
      </w:pPr>
    </w:p>
    <w:p w14:paraId="26977EB8" w14:textId="77777777" w:rsidR="00B71B0B" w:rsidRDefault="00B71B0B" w:rsidP="009E5D63">
      <w:pPr>
        <w:jc w:val="both"/>
      </w:pPr>
    </w:p>
    <w:p w14:paraId="097306CD" w14:textId="77777777" w:rsidR="001370F5" w:rsidRPr="009E5D63" w:rsidRDefault="001370F5" w:rsidP="009E5D63">
      <w:pPr>
        <w:jc w:val="both"/>
      </w:pPr>
      <w:r w:rsidRPr="009E5D63">
        <w:t>The format is not widely onerous and it is appreciated that each application should be dealt with on a case by case basis.</w:t>
      </w:r>
    </w:p>
    <w:p w14:paraId="22102905" w14:textId="77777777" w:rsidR="00803645" w:rsidRPr="009E5D63" w:rsidRDefault="00803645" w:rsidP="009E5D63">
      <w:pPr>
        <w:jc w:val="both"/>
      </w:pPr>
    </w:p>
    <w:p w14:paraId="61027955" w14:textId="77777777" w:rsidR="00803645" w:rsidRPr="009E5D63" w:rsidRDefault="00803645" w:rsidP="009E5D63">
      <w:pPr>
        <w:jc w:val="both"/>
      </w:pPr>
    </w:p>
    <w:p w14:paraId="36F5ADE3" w14:textId="087AB67D" w:rsidR="00803645" w:rsidRPr="009E5D63" w:rsidRDefault="00803645" w:rsidP="009E5D63">
      <w:pPr>
        <w:jc w:val="both"/>
      </w:pPr>
      <w:r w:rsidRPr="009E5D63">
        <w:t>TFS Corporation Pty.Ltd.</w:t>
      </w:r>
    </w:p>
    <w:p w14:paraId="1CD8A63D" w14:textId="28FA47F5" w:rsidR="001370F5" w:rsidRDefault="009E5D63" w:rsidP="009E5D63">
      <w:pPr>
        <w:jc w:val="both"/>
      </w:pPr>
      <w:r>
        <w:t>20</w:t>
      </w:r>
      <w:r w:rsidRPr="009E5D63">
        <w:rPr>
          <w:vertAlign w:val="superscript"/>
        </w:rPr>
        <w:t>th</w:t>
      </w:r>
      <w:r>
        <w:t xml:space="preserve"> </w:t>
      </w:r>
      <w:r w:rsidR="00803645" w:rsidRPr="009E5D63">
        <w:t>March 2015</w:t>
      </w:r>
    </w:p>
    <w:p w14:paraId="4D757990" w14:textId="77777777" w:rsidR="009E5D63" w:rsidRDefault="009E5D63" w:rsidP="009E5D63">
      <w:pPr>
        <w:jc w:val="both"/>
      </w:pPr>
    </w:p>
    <w:p w14:paraId="2EC5634E" w14:textId="62A90546" w:rsidR="009E5D63" w:rsidRDefault="009E5D63" w:rsidP="009E5D63">
      <w:pPr>
        <w:jc w:val="both"/>
      </w:pPr>
      <w:r>
        <w:t>Contact at TFS:</w:t>
      </w:r>
    </w:p>
    <w:p w14:paraId="657F6094" w14:textId="6800A146" w:rsidR="009E5D63" w:rsidRDefault="009E5D63" w:rsidP="009E5D63">
      <w:pPr>
        <w:jc w:val="both"/>
      </w:pPr>
      <w:r>
        <w:t>Cris Italiano</w:t>
      </w:r>
    </w:p>
    <w:p w14:paraId="093C43C5" w14:textId="2B15E75D" w:rsidR="009E5D63" w:rsidRDefault="009E5D63" w:rsidP="009E5D63">
      <w:pPr>
        <w:jc w:val="both"/>
      </w:pPr>
      <w:r>
        <w:t>EA TO CEO</w:t>
      </w:r>
    </w:p>
    <w:p w14:paraId="7B37E9EB" w14:textId="4622B36B" w:rsidR="009E5D63" w:rsidRDefault="009E5D63" w:rsidP="009E5D63">
      <w:pPr>
        <w:jc w:val="both"/>
      </w:pPr>
      <w:r>
        <w:t>08 9386 3299</w:t>
      </w:r>
    </w:p>
    <w:p w14:paraId="0259B288" w14:textId="409236E0" w:rsidR="009E5D63" w:rsidRDefault="00254841" w:rsidP="009E5D63">
      <w:pPr>
        <w:jc w:val="both"/>
      </w:pPr>
      <w:hyperlink r:id="rId13" w:history="1">
        <w:r w:rsidR="009E5D63" w:rsidRPr="0017230F">
          <w:rPr>
            <w:rStyle w:val="Hyperlink"/>
          </w:rPr>
          <w:t>cris@tfsltd.com.au</w:t>
        </w:r>
      </w:hyperlink>
    </w:p>
    <w:p w14:paraId="3C49E990" w14:textId="77777777" w:rsidR="009E5D63" w:rsidRDefault="009E5D63" w:rsidP="009E5D63">
      <w:pPr>
        <w:jc w:val="both"/>
      </w:pPr>
    </w:p>
    <w:p w14:paraId="44500133" w14:textId="77777777" w:rsidR="009E5D63" w:rsidRPr="009E5D63" w:rsidRDefault="009E5D63" w:rsidP="009E5D63">
      <w:pPr>
        <w:jc w:val="both"/>
      </w:pPr>
    </w:p>
    <w:sectPr w:rsidR="009E5D63" w:rsidRPr="009E5D63" w:rsidSect="00496E37">
      <w:footerReference w:type="default" r:id="rId14"/>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A51AC" w14:textId="77777777" w:rsidR="0029235B" w:rsidRDefault="0029235B" w:rsidP="0029235B">
      <w:r>
        <w:separator/>
      </w:r>
    </w:p>
  </w:endnote>
  <w:endnote w:type="continuationSeparator" w:id="0">
    <w:p w14:paraId="6ACBBE09" w14:textId="77777777" w:rsidR="0029235B" w:rsidRDefault="0029235B" w:rsidP="0029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218914"/>
      <w:docPartObj>
        <w:docPartGallery w:val="Page Numbers (Bottom of Page)"/>
        <w:docPartUnique/>
      </w:docPartObj>
    </w:sdtPr>
    <w:sdtEndPr/>
    <w:sdtContent>
      <w:sdt>
        <w:sdtPr>
          <w:id w:val="-1705238520"/>
          <w:docPartObj>
            <w:docPartGallery w:val="Page Numbers (Top of Page)"/>
            <w:docPartUnique/>
          </w:docPartObj>
        </w:sdtPr>
        <w:sdtEndPr/>
        <w:sdtContent>
          <w:p w14:paraId="5B382C2D" w14:textId="4A01B170" w:rsidR="0029235B" w:rsidRDefault="0029235B">
            <w:pPr>
              <w:pStyle w:val="Footer"/>
            </w:pPr>
            <w:r>
              <w:t xml:space="preserve">Page </w:t>
            </w:r>
            <w:r>
              <w:rPr>
                <w:b/>
                <w:bCs/>
              </w:rPr>
              <w:fldChar w:fldCharType="begin"/>
            </w:r>
            <w:r>
              <w:rPr>
                <w:b/>
                <w:bCs/>
              </w:rPr>
              <w:instrText xml:space="preserve"> PAGE </w:instrText>
            </w:r>
            <w:r>
              <w:rPr>
                <w:b/>
                <w:bCs/>
              </w:rPr>
              <w:fldChar w:fldCharType="separate"/>
            </w:r>
            <w:r w:rsidR="0025484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54841">
              <w:rPr>
                <w:b/>
                <w:bCs/>
                <w:noProof/>
              </w:rPr>
              <w:t>3</w:t>
            </w:r>
            <w:r>
              <w:rPr>
                <w:b/>
                <w:bCs/>
              </w:rPr>
              <w:fldChar w:fldCharType="end"/>
            </w:r>
          </w:p>
        </w:sdtContent>
      </w:sdt>
    </w:sdtContent>
  </w:sdt>
  <w:p w14:paraId="193E1BF2" w14:textId="77777777" w:rsidR="0029235B" w:rsidRDefault="00292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83C8A0" w14:textId="77777777" w:rsidR="0029235B" w:rsidRDefault="0029235B" w:rsidP="0029235B">
      <w:r>
        <w:separator/>
      </w:r>
    </w:p>
  </w:footnote>
  <w:footnote w:type="continuationSeparator" w:id="0">
    <w:p w14:paraId="4A235EB0" w14:textId="77777777" w:rsidR="0029235B" w:rsidRDefault="0029235B" w:rsidP="0029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37A"/>
    <w:rsid w:val="001370F5"/>
    <w:rsid w:val="002441CB"/>
    <w:rsid w:val="00254841"/>
    <w:rsid w:val="0029235B"/>
    <w:rsid w:val="003701BB"/>
    <w:rsid w:val="003E5A34"/>
    <w:rsid w:val="0043572A"/>
    <w:rsid w:val="00496E37"/>
    <w:rsid w:val="005C537A"/>
    <w:rsid w:val="0063352E"/>
    <w:rsid w:val="00803645"/>
    <w:rsid w:val="0081311C"/>
    <w:rsid w:val="009122EF"/>
    <w:rsid w:val="00982F37"/>
    <w:rsid w:val="009E5D63"/>
    <w:rsid w:val="00B71B0B"/>
    <w:rsid w:val="00BF1B05"/>
    <w:rsid w:val="00C714E2"/>
    <w:rsid w:val="00DE0E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F6A9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D63"/>
    <w:rPr>
      <w:color w:val="0000FF" w:themeColor="hyperlink"/>
      <w:u w:val="single"/>
    </w:rPr>
  </w:style>
  <w:style w:type="paragraph" w:styleId="BalloonText">
    <w:name w:val="Balloon Text"/>
    <w:basedOn w:val="Normal"/>
    <w:link w:val="BalloonTextChar"/>
    <w:uiPriority w:val="99"/>
    <w:semiHidden/>
    <w:unhideWhenUsed/>
    <w:rsid w:val="00B71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B0B"/>
    <w:rPr>
      <w:rFonts w:ascii="Segoe UI" w:hAnsi="Segoe UI" w:cs="Segoe UI"/>
      <w:sz w:val="18"/>
      <w:szCs w:val="18"/>
    </w:rPr>
  </w:style>
  <w:style w:type="paragraph" w:styleId="Header">
    <w:name w:val="header"/>
    <w:basedOn w:val="Normal"/>
    <w:link w:val="HeaderChar"/>
    <w:uiPriority w:val="99"/>
    <w:unhideWhenUsed/>
    <w:rsid w:val="0029235B"/>
    <w:pPr>
      <w:tabs>
        <w:tab w:val="center" w:pos="4513"/>
        <w:tab w:val="right" w:pos="9026"/>
      </w:tabs>
    </w:pPr>
  </w:style>
  <w:style w:type="character" w:customStyle="1" w:styleId="HeaderChar">
    <w:name w:val="Header Char"/>
    <w:basedOn w:val="DefaultParagraphFont"/>
    <w:link w:val="Header"/>
    <w:uiPriority w:val="99"/>
    <w:rsid w:val="0029235B"/>
  </w:style>
  <w:style w:type="paragraph" w:styleId="Footer">
    <w:name w:val="footer"/>
    <w:basedOn w:val="Normal"/>
    <w:link w:val="FooterChar"/>
    <w:uiPriority w:val="99"/>
    <w:unhideWhenUsed/>
    <w:rsid w:val="0029235B"/>
    <w:pPr>
      <w:tabs>
        <w:tab w:val="center" w:pos="4513"/>
        <w:tab w:val="right" w:pos="9026"/>
      </w:tabs>
    </w:pPr>
  </w:style>
  <w:style w:type="character" w:customStyle="1" w:styleId="FooterChar">
    <w:name w:val="Footer Char"/>
    <w:basedOn w:val="DefaultParagraphFont"/>
    <w:link w:val="Footer"/>
    <w:uiPriority w:val="99"/>
    <w:rsid w:val="002923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D63"/>
    <w:rPr>
      <w:color w:val="0000FF" w:themeColor="hyperlink"/>
      <w:u w:val="single"/>
    </w:rPr>
  </w:style>
  <w:style w:type="paragraph" w:styleId="BalloonText">
    <w:name w:val="Balloon Text"/>
    <w:basedOn w:val="Normal"/>
    <w:link w:val="BalloonTextChar"/>
    <w:uiPriority w:val="99"/>
    <w:semiHidden/>
    <w:unhideWhenUsed/>
    <w:rsid w:val="00B71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B0B"/>
    <w:rPr>
      <w:rFonts w:ascii="Segoe UI" w:hAnsi="Segoe UI" w:cs="Segoe UI"/>
      <w:sz w:val="18"/>
      <w:szCs w:val="18"/>
    </w:rPr>
  </w:style>
  <w:style w:type="paragraph" w:styleId="Header">
    <w:name w:val="header"/>
    <w:basedOn w:val="Normal"/>
    <w:link w:val="HeaderChar"/>
    <w:uiPriority w:val="99"/>
    <w:unhideWhenUsed/>
    <w:rsid w:val="0029235B"/>
    <w:pPr>
      <w:tabs>
        <w:tab w:val="center" w:pos="4513"/>
        <w:tab w:val="right" w:pos="9026"/>
      </w:tabs>
    </w:pPr>
  </w:style>
  <w:style w:type="character" w:customStyle="1" w:styleId="HeaderChar">
    <w:name w:val="Header Char"/>
    <w:basedOn w:val="DefaultParagraphFont"/>
    <w:link w:val="Header"/>
    <w:uiPriority w:val="99"/>
    <w:rsid w:val="0029235B"/>
  </w:style>
  <w:style w:type="paragraph" w:styleId="Footer">
    <w:name w:val="footer"/>
    <w:basedOn w:val="Normal"/>
    <w:link w:val="FooterChar"/>
    <w:uiPriority w:val="99"/>
    <w:unhideWhenUsed/>
    <w:rsid w:val="0029235B"/>
    <w:pPr>
      <w:tabs>
        <w:tab w:val="center" w:pos="4513"/>
        <w:tab w:val="right" w:pos="9026"/>
      </w:tabs>
    </w:pPr>
  </w:style>
  <w:style w:type="character" w:customStyle="1" w:styleId="FooterChar">
    <w:name w:val="Footer Char"/>
    <w:basedOn w:val="DefaultParagraphFont"/>
    <w:link w:val="Footer"/>
    <w:uiPriority w:val="99"/>
    <w:rsid w:val="0029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cris@tfsltd.com.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B296F03498E9448202E36B7829D846" ma:contentTypeVersion="21" ma:contentTypeDescription=" " ma:contentTypeScope="" ma:versionID="c9a495f01aa4a57c43e1e66c2fd0252b">
  <xsd:schema xmlns:xsd="http://www.w3.org/2001/XMLSchema" xmlns:xs="http://www.w3.org/2001/XMLSchema" xmlns:p="http://schemas.microsoft.com/office/2006/metadata/properties" xmlns:ns1="http://schemas.microsoft.com/sharepoint/v3" xmlns:ns2="d4dd4adf-ddb3-46a3-8d7c-fab3fb2a6bc7" targetNamespace="http://schemas.microsoft.com/office/2006/metadata/properties" ma:root="true" ma:fieldsID="4a26caab978035338a309ce0cc790fd0" ns1:_="" ns2:_="">
    <xsd:import namespace="http://schemas.microsoft.com/sharepoint/v3"/>
    <xsd:import namespace="d4dd4adf-ddb3-46a3-8d7c-fab3fb2a6bc7"/>
    <xsd:element name="properties">
      <xsd:complexType>
        <xsd:sequence>
          <xsd:element name="documentManagement">
            <xsd:complexType>
              <xsd:all>
                <xsd:element ref="ns2:_dlc_DocId" minOccurs="0"/>
                <xsd:element ref="ns2:_dlc_DocIdPersistId" minOccurs="0"/>
                <xsd:element ref="ns2:_dlc_DocIdUrl" minOccurs="0"/>
                <xsd:element ref="ns1:_dlc_Exempt" minOccurs="0"/>
                <xsd:element ref="ns2:lb508a4dc5e84436a0fe496b536466aa"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lb508a4dc5e84436a0fe496b536466aa" ma:index="12" nillable="true" ma:taxonomy="true" ma:internalName="lb508a4dc5e84436a0fe496b536466aa" ma:taxonomyFieldName="TSYRecordClass" ma:displayName="Record Class" ma:readOnly="false" ma:default="16;#TSY RA-8909 - Retain as national archives|783df9f6-6a3b-4626-95aa-7d6467e087f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 Audit Policy</p:Name>
  <p:Description/>
  <p:Statement/>
  <p:PolicyItems>
    <p:PolicyItem featureId="Microsoft.Office.RecordsManagement.PolicyFeatures.PolicyAudit" staticId="0x010100E726210826AA43828690450C811EB923|1757814118" UniqueId="48442e76-5f29-486d-b54e-d02aac7f2701">
      <p:Name>Auditing</p:Name>
      <p:Description>Audits user actions on documents and list items to the Audit Log.</p:Description>
      <p:CustomData>
        <Audit>
          <Update/>
          <CheckInOut/>
          <MoveCopy/>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RA-8909 - Retain as national archives</TermName>
          <TermId xmlns="http://schemas.microsoft.com/office/infopath/2007/PartnerControls">783df9f6-6a3b-4626-95aa-7d6467e087f0</TermId>
        </TermInfo>
      </Terms>
    </lb508a4dc5e84436a0fe496b536466aa>
    <_dlc_DocId xmlns="d4dd4adf-ddb3-46a3-8d7c-fab3fb2a6bc7">2014MG-107-4559</_dlc_DocId>
    <TaxCatchAll xmlns="d4dd4adf-ddb3-46a3-8d7c-fab3fb2a6bc7">
      <Value>16</Value>
    </TaxCatchAll>
    <_dlc_DocIdUrl xmlns="d4dd4adf-ddb3-46a3-8d7c-fab3fb2a6bc7">
      <Url>http://tweb/sites/mg/fitpd/_layouts/15/DocIdRedir.aspx?ID=2014MG-107-4559</Url>
      <Description>2014MG-107-4559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EB48-FB08-4EAA-9C86-3125CD76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0BB09-34A3-4861-9BAE-2C00E844C45E}">
  <ds:schemaRefs>
    <ds:schemaRef ds:uri="http://schemas.microsoft.com/sharepoint/events"/>
  </ds:schemaRefs>
</ds:datastoreItem>
</file>

<file path=customXml/itemProps3.xml><?xml version="1.0" encoding="utf-8"?>
<ds:datastoreItem xmlns:ds="http://schemas.openxmlformats.org/officeDocument/2006/customXml" ds:itemID="{75B9E6F9-A421-4EDC-B590-C5A033DAB05A}">
  <ds:schemaRefs>
    <ds:schemaRef ds:uri="office.server.policy"/>
  </ds:schemaRefs>
</ds:datastoreItem>
</file>

<file path=customXml/itemProps4.xml><?xml version="1.0" encoding="utf-8"?>
<ds:datastoreItem xmlns:ds="http://schemas.openxmlformats.org/officeDocument/2006/customXml" ds:itemID="{8F64C280-7E39-4B57-847E-3FBAC114B11B}">
  <ds:schemaRefs>
    <ds:schemaRef ds:uri="http://schemas.microsoft.com/office/2006/metadata/properties"/>
    <ds:schemaRef ds:uri="http://schemas.microsoft.com/office/infopath/2007/PartnerControls"/>
    <ds:schemaRef ds:uri="d4dd4adf-ddb3-46a3-8d7c-fab3fb2a6bc7"/>
  </ds:schemaRefs>
</ds:datastoreItem>
</file>

<file path=customXml/itemProps5.xml><?xml version="1.0" encoding="utf-8"?>
<ds:datastoreItem xmlns:ds="http://schemas.openxmlformats.org/officeDocument/2006/customXml" ds:itemID="{771916DC-EAD2-461F-B841-612C2438AA6D}">
  <ds:schemaRefs>
    <ds:schemaRef ds:uri="http://schemas.microsoft.com/sharepoint/v3/contenttype/forms"/>
  </ds:schemaRefs>
</ds:datastoreItem>
</file>

<file path=customXml/itemProps6.xml><?xml version="1.0" encoding="utf-8"?>
<ds:datastoreItem xmlns:ds="http://schemas.openxmlformats.org/officeDocument/2006/customXml" ds:itemID="{A8F4311B-C348-430E-BD9C-AD91A982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5885</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Ellison</dc:creator>
  <cp:keywords/>
  <dc:description/>
  <cp:lastModifiedBy>Hill, Christine</cp:lastModifiedBy>
  <cp:revision>2</cp:revision>
  <cp:lastPrinted>2015-03-20T02:48:00Z</cp:lastPrinted>
  <dcterms:created xsi:type="dcterms:W3CDTF">2015-04-29T02:04:00Z</dcterms:created>
  <dcterms:modified xsi:type="dcterms:W3CDTF">2015-04-29T02:04:00Z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4dca4f51-89a1-40cc-b90a-7f327f9ed454</vt:lpwstr>
  </property>
  <property fmtid="{D5CDD505-2E9C-101B-9397-08002B2CF9AE}" pid="3" name="ContentTypeId">
    <vt:lpwstr>0x010100E95D40E5DFEA714B90E88DB5CE07A6B500DDB296F03498E9448202E36B7829D846</vt:lpwstr>
  </property>
  <property fmtid="{D5CDD505-2E9C-101B-9397-08002B2CF9AE}" pid="4" name="TSYRecordClass">
    <vt:lpwstr>16</vt:lpwstr>
  </property>
</Properties>
</file>