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A9342" w14:textId="77777777" w:rsidR="005506E2" w:rsidRPr="00F73908" w:rsidRDefault="005506E2" w:rsidP="005506E2">
      <w:pPr>
        <w:pStyle w:val="Heading2"/>
        <w:rPr>
          <w:i/>
        </w:rPr>
      </w:pPr>
      <w:bookmarkStart w:id="0" w:name="_GoBack"/>
      <w:bookmarkEnd w:id="0"/>
      <w:r>
        <w:br/>
        <w:t>Income tax look-through TREATMENT FOR INSTALMENT WARRANTS AND similar arrangements</w:t>
      </w:r>
    </w:p>
    <w:p w14:paraId="5D903440" w14:textId="77777777" w:rsidR="005506E2" w:rsidRPr="002F4AEF" w:rsidRDefault="005506E2" w:rsidP="005506E2">
      <w:pPr>
        <w:pStyle w:val="Heading2"/>
      </w:pPr>
      <w:r w:rsidRPr="002F4AEF">
        <w:t>SUMMARY OF CONSULTATION PROCESS</w:t>
      </w:r>
      <w:r>
        <w:br/>
      </w:r>
    </w:p>
    <w:p w14:paraId="00315D09" w14:textId="77777777" w:rsidR="005506E2" w:rsidRDefault="005506E2" w:rsidP="005506E2">
      <w:r>
        <w:t xml:space="preserve">The Government announced on 14 December 2013 that it would proceed with this measure in a Media Release titled </w:t>
      </w:r>
      <w:r>
        <w:rPr>
          <w:i/>
        </w:rPr>
        <w:t xml:space="preserve">Integrity restored to Australia’s taxation system. </w:t>
      </w:r>
      <w:r>
        <w:t xml:space="preserve">The measure was included in the 2010-11 Budget and further extensions were reported in the 2011-12 Budget.  </w:t>
      </w:r>
    </w:p>
    <w:p w14:paraId="00CAD753" w14:textId="77777777" w:rsidR="005506E2" w:rsidRDefault="005506E2" w:rsidP="005506E2">
      <w:r>
        <w:t>This measure</w:t>
      </w:r>
      <w:r w:rsidRPr="007D6053">
        <w:t xml:space="preserve"> </w:t>
      </w:r>
      <w:r>
        <w:t>p</w:t>
      </w:r>
      <w:r w:rsidRPr="007D6053">
        <w:t>rovide</w:t>
      </w:r>
      <w:r>
        <w:t>s</w:t>
      </w:r>
      <w:r w:rsidRPr="007D6053">
        <w:t xml:space="preserve"> </w:t>
      </w:r>
      <w:r>
        <w:t xml:space="preserve">income tax </w:t>
      </w:r>
      <w:r w:rsidRPr="007D6053">
        <w:t>look</w:t>
      </w:r>
      <w:r>
        <w:t>-</w:t>
      </w:r>
      <w:r w:rsidRPr="007D6053">
        <w:t>through treatment for instalment warrant</w:t>
      </w:r>
      <w:r>
        <w:t xml:space="preserve">s and </w:t>
      </w:r>
      <w:r w:rsidRPr="007D6053">
        <w:t xml:space="preserve">instalment </w:t>
      </w:r>
      <w:r>
        <w:t xml:space="preserve">receipts over certain assets </w:t>
      </w:r>
      <w:r w:rsidRPr="007D6053">
        <w:t>and</w:t>
      </w:r>
      <w:r>
        <w:t>,</w:t>
      </w:r>
      <w:r w:rsidRPr="007D6053">
        <w:t xml:space="preserve"> </w:t>
      </w:r>
      <w:r>
        <w:t xml:space="preserve">for regulated superannuation funds, certain </w:t>
      </w:r>
      <w:r w:rsidRPr="007D6053">
        <w:t xml:space="preserve">limited recourse borrowing </w:t>
      </w:r>
      <w:r>
        <w:t xml:space="preserve">arrangements. </w:t>
      </w:r>
      <w:r w:rsidRPr="00307540">
        <w:t>This means that</w:t>
      </w:r>
      <w:r>
        <w:t xml:space="preserve"> the income tax consequences of these arrangements flow through to the </w:t>
      </w:r>
      <w:r w:rsidRPr="00307540">
        <w:t>investor and not the trustee</w:t>
      </w:r>
      <w:r w:rsidRPr="00DB52AD">
        <w:t>.</w:t>
      </w:r>
    </w:p>
    <w:p w14:paraId="00B32F59" w14:textId="4A14645A" w:rsidR="005506E2" w:rsidRDefault="005506E2" w:rsidP="005506E2">
      <w:r>
        <w:t xml:space="preserve">This measure was included in </w:t>
      </w:r>
      <w:r w:rsidRPr="001A71B9">
        <w:t>Tax and Superannuation Laws Amendment (2015 Measures No. 2) Bill 2015</w:t>
      </w:r>
      <w:r>
        <w:t xml:space="preserve">, which was introduced into Parliament on </w:t>
      </w:r>
      <w:r w:rsidR="00C67372">
        <w:t>24 June 2015</w:t>
      </w:r>
      <w:r>
        <w:t xml:space="preserve">. </w:t>
      </w:r>
    </w:p>
    <w:p w14:paraId="752C20EA" w14:textId="77777777" w:rsidR="005506E2" w:rsidRPr="001C5D63" w:rsidRDefault="005506E2" w:rsidP="005506E2">
      <w:pPr>
        <w:pStyle w:val="Heading3"/>
      </w:pPr>
      <w:r>
        <w:t>Consultation p</w:t>
      </w:r>
      <w:r w:rsidRPr="001C5D63">
        <w:t>rocess</w:t>
      </w:r>
    </w:p>
    <w:p w14:paraId="38F7A308" w14:textId="77777777" w:rsidR="005506E2" w:rsidRDefault="005506E2" w:rsidP="005506E2">
      <w:r>
        <w:t xml:space="preserve">Consultation on policy design was conducted between 10 March 2010 and 9 April 2010. A consultation meeting was also held with industry to discuss the policy design. Nine submissions were received.  </w:t>
      </w:r>
    </w:p>
    <w:p w14:paraId="0F363C8E" w14:textId="77777777" w:rsidR="005506E2" w:rsidRPr="00335EA0" w:rsidRDefault="005506E2" w:rsidP="005506E2">
      <w:pPr>
        <w:pStyle w:val="Default"/>
        <w:rPr>
          <w:color w:val="auto"/>
          <w:szCs w:val="20"/>
        </w:rPr>
      </w:pPr>
      <w:r w:rsidRPr="00335EA0">
        <w:rPr>
          <w:color w:val="auto"/>
          <w:szCs w:val="20"/>
        </w:rPr>
        <w:t>Consultation on the draft legislation was conducted between 19 January 2015 and 13 February 2015. A consultation meeting to discuss the draft legislation was held with industry on 9 February 2015. Twelve submissions were received, including one which was requested to be confidential.</w:t>
      </w:r>
    </w:p>
    <w:p w14:paraId="2EBDD47A" w14:textId="77777777" w:rsidR="005506E2" w:rsidRDefault="005506E2" w:rsidP="005506E2">
      <w:pPr>
        <w:pStyle w:val="Default"/>
      </w:pPr>
    </w:p>
    <w:p w14:paraId="438D0B56" w14:textId="77777777" w:rsidR="005506E2" w:rsidRDefault="005506E2" w:rsidP="005506E2">
      <w:pPr>
        <w:pStyle w:val="Default"/>
      </w:pPr>
      <w:r w:rsidRPr="003437EA">
        <w:t>Submissions can be viewed by clicking on the following links.</w:t>
      </w:r>
    </w:p>
    <w:p w14:paraId="14F8B2DE" w14:textId="77777777" w:rsidR="005506E2" w:rsidRDefault="005506E2" w:rsidP="005506E2">
      <w:pPr>
        <w:spacing w:after="0"/>
      </w:pPr>
    </w:p>
    <w:p w14:paraId="23F2B336" w14:textId="77777777" w:rsidR="005506E2" w:rsidRDefault="007C478A" w:rsidP="005506E2">
      <w:pPr>
        <w:spacing w:after="0"/>
      </w:pPr>
      <w:hyperlink r:id="rId8" w:history="1">
        <w:r w:rsidR="005506E2" w:rsidRPr="00E16217">
          <w:rPr>
            <w:rStyle w:val="Hyperlink"/>
          </w:rPr>
          <w:t>Policy design</w:t>
        </w:r>
      </w:hyperlink>
    </w:p>
    <w:p w14:paraId="30D1D9D0" w14:textId="2C84C4AC" w:rsidR="005506E2" w:rsidRPr="003437EA" w:rsidRDefault="007C478A" w:rsidP="005506E2">
      <w:hyperlink r:id="rId9" w:history="1">
        <w:r w:rsidR="005506E2" w:rsidRPr="000C4243">
          <w:rPr>
            <w:rStyle w:val="Hyperlink"/>
          </w:rPr>
          <w:t>Draft legislation</w:t>
        </w:r>
      </w:hyperlink>
    </w:p>
    <w:p w14:paraId="7D9DC711" w14:textId="77777777" w:rsidR="005506E2" w:rsidRPr="00294D00" w:rsidRDefault="005506E2" w:rsidP="005506E2">
      <w:pPr>
        <w:pStyle w:val="Heading3"/>
        <w:keepLines/>
      </w:pPr>
      <w:r>
        <w:lastRenderedPageBreak/>
        <w:t>Summary of key</w:t>
      </w:r>
      <w:r w:rsidRPr="00294D00">
        <w:t xml:space="preserve"> issues </w:t>
      </w:r>
    </w:p>
    <w:p w14:paraId="28EAD475" w14:textId="77777777" w:rsidR="005506E2" w:rsidRPr="0032452E" w:rsidRDefault="005506E2" w:rsidP="005506E2">
      <w:pPr>
        <w:keepNext/>
        <w:keepLines/>
        <w:pBdr>
          <w:top w:val="single" w:sz="4" w:space="1" w:color="auto"/>
          <w:left w:val="single" w:sz="4" w:space="4" w:color="auto"/>
          <w:bottom w:val="single" w:sz="4" w:space="1" w:color="auto"/>
          <w:right w:val="single" w:sz="4" w:space="4" w:color="auto"/>
        </w:pBdr>
      </w:pPr>
      <w:r w:rsidRPr="0032452E">
        <w:t>This income tax look-through treatment is designed to remove uncertainty about how the income tax law applies in respect of these types of secured financing arrangements, in order to avoid any disruption to the current market.</w:t>
      </w:r>
    </w:p>
    <w:p w14:paraId="53E55AF4" w14:textId="77777777" w:rsidR="005506E2" w:rsidRPr="0032452E" w:rsidRDefault="005506E2" w:rsidP="005506E2">
      <w:pPr>
        <w:keepNext/>
        <w:keepLines/>
        <w:pBdr>
          <w:top w:val="single" w:sz="4" w:space="1" w:color="auto"/>
          <w:left w:val="single" w:sz="4" w:space="4" w:color="auto"/>
          <w:bottom w:val="single" w:sz="4" w:space="1" w:color="auto"/>
          <w:right w:val="single" w:sz="4" w:space="4" w:color="auto"/>
        </w:pBdr>
      </w:pPr>
      <w:r w:rsidRPr="0032452E">
        <w:t xml:space="preserve">The Australian financial services industry welcomed the certainty that this approach would provide for the industry but was primarily concerned about the scope of the measure being too restrictive to cover the diverse range of arrangements that existed and too inflexible to accommodate changes over the life of such arrangements.  </w:t>
      </w:r>
    </w:p>
    <w:p w14:paraId="20DF234D" w14:textId="77777777" w:rsidR="005506E2" w:rsidRPr="0032452E" w:rsidRDefault="005506E2" w:rsidP="005506E2">
      <w:pPr>
        <w:pBdr>
          <w:top w:val="single" w:sz="4" w:space="1" w:color="auto"/>
          <w:left w:val="single" w:sz="4" w:space="4" w:color="auto"/>
          <w:bottom w:val="single" w:sz="4" w:space="1" w:color="auto"/>
          <w:right w:val="single" w:sz="4" w:space="4" w:color="auto"/>
        </w:pBdr>
      </w:pPr>
      <w:r w:rsidRPr="0032452E">
        <w:t xml:space="preserve">The policy objective to avoid disruptions to this particular market prevented substantive deviations from the specified scope of the measure. However, a number of significant issues raised by industry were addressed. </w:t>
      </w:r>
    </w:p>
    <w:p w14:paraId="2B5A0097" w14:textId="77777777" w:rsidR="005506E2" w:rsidRPr="00422C49" w:rsidRDefault="005506E2" w:rsidP="005506E2">
      <w:pPr>
        <w:pBdr>
          <w:top w:val="single" w:sz="4" w:space="1" w:color="auto"/>
          <w:left w:val="single" w:sz="4" w:space="4" w:color="auto"/>
          <w:bottom w:val="single" w:sz="4" w:space="1" w:color="auto"/>
          <w:right w:val="single" w:sz="4" w:space="4" w:color="auto"/>
        </w:pBdr>
        <w:rPr>
          <w:i/>
        </w:rPr>
      </w:pPr>
      <w:r>
        <w:rPr>
          <w:i/>
        </w:rPr>
        <w:t>Scope of the measure</w:t>
      </w:r>
    </w:p>
    <w:p w14:paraId="36D55C80" w14:textId="77777777" w:rsidR="005506E2" w:rsidRDefault="005506E2" w:rsidP="005506E2">
      <w:pPr>
        <w:pBdr>
          <w:top w:val="single" w:sz="4" w:space="1" w:color="auto"/>
          <w:left w:val="single" w:sz="4" w:space="4" w:color="auto"/>
          <w:bottom w:val="single" w:sz="4" w:space="1" w:color="auto"/>
          <w:right w:val="single" w:sz="4" w:space="4" w:color="auto"/>
        </w:pBdr>
      </w:pPr>
      <w:r>
        <w:t xml:space="preserve">Instalment warrants and instalment receipts are commonly understood terms in commercial practice, however these arrangements have evolved over time. Other secured financing arrangements also exist that are structured in the same way as instalment warrants but are not labelled as such. In response to industry concerns about adequately covering the field of these types of arrangements, the eligibility criteria set out in this measure is based on a set of generic principles, rather than a label, allowing products with similar features to be covered by this measure. In addition, to ensure that all applicable arrangements are covered, the requirement for instalment warrants to be limited recourse in nature was removed, noting that this requirement is still imposed on regulated superannuation funds by the </w:t>
      </w:r>
      <w:r w:rsidRPr="00335A59">
        <w:rPr>
          <w:i/>
        </w:rPr>
        <w:t>Superannuation Industry (Supervision) Act 1993</w:t>
      </w:r>
      <w:r>
        <w:rPr>
          <w:i/>
        </w:rPr>
        <w:t xml:space="preserve"> </w:t>
      </w:r>
      <w:r w:rsidRPr="00611B51">
        <w:t>(SIS Act)</w:t>
      </w:r>
      <w:r>
        <w:t xml:space="preserve">. </w:t>
      </w:r>
    </w:p>
    <w:p w14:paraId="324A6475" w14:textId="77777777" w:rsidR="005506E2" w:rsidRPr="00B6799D" w:rsidRDefault="005506E2" w:rsidP="005506E2">
      <w:pPr>
        <w:pBdr>
          <w:top w:val="single" w:sz="4" w:space="1" w:color="auto"/>
          <w:left w:val="single" w:sz="4" w:space="4" w:color="auto"/>
          <w:bottom w:val="single" w:sz="4" w:space="1" w:color="auto"/>
          <w:right w:val="single" w:sz="4" w:space="4" w:color="auto"/>
        </w:pBdr>
        <w:rPr>
          <w:i/>
        </w:rPr>
      </w:pPr>
      <w:r w:rsidRPr="00B6799D">
        <w:rPr>
          <w:i/>
        </w:rPr>
        <w:t>Flexibility</w:t>
      </w:r>
      <w:r>
        <w:rPr>
          <w:i/>
        </w:rPr>
        <w:t xml:space="preserve"> of the measure</w:t>
      </w:r>
    </w:p>
    <w:p w14:paraId="6AFC9AB1" w14:textId="77777777" w:rsidR="005506E2" w:rsidRDefault="005506E2" w:rsidP="005506E2">
      <w:pPr>
        <w:pBdr>
          <w:top w:val="single" w:sz="4" w:space="1" w:color="auto"/>
          <w:left w:val="single" w:sz="4" w:space="4" w:color="auto"/>
          <w:bottom w:val="single" w:sz="4" w:space="1" w:color="auto"/>
          <w:right w:val="single" w:sz="4" w:space="4" w:color="auto"/>
        </w:pBdr>
      </w:pPr>
      <w:r>
        <w:t>Income tax look-through treatment is provided under this measure where an investor makes particular types of investments in entities that are either listed on an approved stock exchange or, if unlisted, are w</w:t>
      </w:r>
      <w:r w:rsidRPr="0032452E">
        <w:t>idely held</w:t>
      </w:r>
      <w:r>
        <w:t>. Given the lack of control an investor typically has over such entities, industry raised concerns about events occurring outside the investor’s control that would cause the arrangement to fail these requirements. To address these concerns, this measure ensures that temporary breaches of the widely held test beyond the control of the investor and additional assets received by the investor in respect of their investment are ignored. This ensures the regime is sufficiently flexible and prevents an arrangement losing income tax look</w:t>
      </w:r>
      <w:r>
        <w:noBreakHyphen/>
        <w:t>through treatment mid</w:t>
      </w:r>
      <w:r>
        <w:noBreakHyphen/>
        <w:t>term, where appropriate. This provides a high</w:t>
      </w:r>
      <w:r>
        <w:noBreakHyphen/>
        <w:t xml:space="preserve">level of certainty for taxpayers investing in these types of arrangement. </w:t>
      </w:r>
    </w:p>
    <w:p w14:paraId="76E935C7" w14:textId="77777777" w:rsidR="005506E2" w:rsidRPr="00611B51" w:rsidRDefault="005506E2" w:rsidP="005506E2">
      <w:pPr>
        <w:keepNext/>
        <w:keepLines/>
        <w:pBdr>
          <w:top w:val="single" w:sz="4" w:space="1" w:color="auto"/>
          <w:left w:val="single" w:sz="4" w:space="4" w:color="auto"/>
          <w:bottom w:val="single" w:sz="4" w:space="1" w:color="auto"/>
          <w:right w:val="single" w:sz="4" w:space="4" w:color="auto"/>
        </w:pBdr>
        <w:rPr>
          <w:i/>
        </w:rPr>
      </w:pPr>
      <w:r w:rsidRPr="00611B51">
        <w:rPr>
          <w:i/>
        </w:rPr>
        <w:lastRenderedPageBreak/>
        <w:t>Type of assets</w:t>
      </w:r>
    </w:p>
    <w:p w14:paraId="6BC10675" w14:textId="77777777" w:rsidR="005506E2" w:rsidRPr="0032452E" w:rsidRDefault="005506E2" w:rsidP="005506E2">
      <w:pPr>
        <w:keepNext/>
        <w:keepLines/>
        <w:pBdr>
          <w:top w:val="single" w:sz="4" w:space="1" w:color="auto"/>
          <w:left w:val="single" w:sz="4" w:space="4" w:color="auto"/>
          <w:bottom w:val="single" w:sz="4" w:space="1" w:color="auto"/>
          <w:right w:val="single" w:sz="4" w:space="4" w:color="auto"/>
        </w:pBdr>
      </w:pPr>
      <w:r>
        <w:t xml:space="preserve">This income tax look-through treatment is applied only in respect of shares, units in unit trusts and stapled securities held directly or indirectly by the trustee of the instalment warrant or receipt trust.  The policy objective for covering these types of assets was to align this measure with those assets covered by the capital protected borrowing rules, as the significant market that had developed at the time of announcement of this measure covered arrangements involving these types of assets.  Therefore, industry requests to expand the types of assets covered were considered to be outside of the policy objective of this measure. Furthermore, expanding the types of assets covered by this measure would cause misalignment with the capital protected borrowing regime, which was considered to be undesirable.  </w:t>
      </w:r>
    </w:p>
    <w:p w14:paraId="67219762" w14:textId="77777777" w:rsidR="005506E2" w:rsidRPr="00435AEF" w:rsidRDefault="005506E2" w:rsidP="005506E2">
      <w:pPr>
        <w:pStyle w:val="Heading3"/>
        <w:keepLines/>
      </w:pPr>
      <w:r w:rsidRPr="00435AEF">
        <w:t>Feedback</w:t>
      </w:r>
    </w:p>
    <w:p w14:paraId="0EB98590" w14:textId="77777777" w:rsidR="005506E2" w:rsidRDefault="005506E2" w:rsidP="005506E2">
      <w:pPr>
        <w:keepNext/>
        <w:keepLines/>
      </w:pPr>
      <w:r>
        <w:t xml:space="preserve">Feedback on the consultation process for this measure can be forwarded to </w:t>
      </w:r>
      <w:hyperlink r:id="rId10" w:history="1">
        <w:r w:rsidRPr="005523B7">
          <w:rPr>
            <w:rStyle w:val="Hyperlink"/>
          </w:rPr>
          <w:t>consultation@treasury.gov.au</w:t>
        </w:r>
      </w:hyperlink>
      <w:r>
        <w:t xml:space="preserve"> . Alternatively, you can contact Tania Koit on (</w:t>
      </w:r>
      <w:r w:rsidRPr="00E16217">
        <w:t>02</w:t>
      </w:r>
      <w:r>
        <w:t>)</w:t>
      </w:r>
      <w:r w:rsidRPr="00E16217">
        <w:t xml:space="preserve"> 9374 2434</w:t>
      </w:r>
      <w:r>
        <w:t>.</w:t>
      </w:r>
    </w:p>
    <w:p w14:paraId="7E459B8F" w14:textId="77777777" w:rsidR="005506E2" w:rsidRDefault="005506E2" w:rsidP="005506E2">
      <w:r>
        <w:t xml:space="preserve">Thank you to all participants in the consultation process. </w:t>
      </w:r>
    </w:p>
    <w:p w14:paraId="4F6DAA45" w14:textId="77777777" w:rsidR="005506E2" w:rsidRPr="00067E1D" w:rsidRDefault="005506E2" w:rsidP="005506E2"/>
    <w:p w14:paraId="22FF7982" w14:textId="77777777" w:rsidR="005506E2" w:rsidRPr="00067E1D" w:rsidRDefault="005506E2" w:rsidP="005506E2"/>
    <w:p w14:paraId="53526DF9" w14:textId="77777777" w:rsidR="00B92516" w:rsidRPr="00067E1D" w:rsidRDefault="00B92516" w:rsidP="007001D0"/>
    <w:sectPr w:rsidR="00B92516" w:rsidRPr="00067E1D" w:rsidSect="00E54185">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3F5B9" w14:textId="77777777" w:rsidR="00191C8B" w:rsidRDefault="00191C8B">
      <w:r>
        <w:separator/>
      </w:r>
    </w:p>
  </w:endnote>
  <w:endnote w:type="continuationSeparator" w:id="0">
    <w:p w14:paraId="27C9FA89" w14:textId="77777777" w:rsidR="00191C8B" w:rsidRDefault="0019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D8ED2" w14:textId="77777777" w:rsidR="007464D6" w:rsidRDefault="00746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EB3AA" w14:textId="77777777" w:rsidR="007464D6" w:rsidRDefault="007464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E340B" w14:textId="77777777" w:rsidR="007464D6" w:rsidRDefault="00746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28C82" w14:textId="77777777" w:rsidR="00191C8B" w:rsidRDefault="00191C8B">
      <w:r>
        <w:separator/>
      </w:r>
    </w:p>
  </w:footnote>
  <w:footnote w:type="continuationSeparator" w:id="0">
    <w:p w14:paraId="4520587C" w14:textId="77777777" w:rsidR="00191C8B" w:rsidRDefault="00191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47E92" w14:textId="77777777" w:rsidR="00C6717E" w:rsidRDefault="007C478A">
    <w:pPr>
      <w:pStyle w:val="Header"/>
    </w:pPr>
    <w:r>
      <w:rPr>
        <w:noProof/>
      </w:rPr>
      <w:pict w14:anchorId="7B60E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7B986" w14:textId="77777777" w:rsidR="00C6717E" w:rsidRDefault="00C6717E" w:rsidP="006C3478">
    <w:pPr>
      <w:pStyle w:val="FooterAddress"/>
    </w:pPr>
  </w:p>
  <w:p w14:paraId="6D74FB34" w14:textId="77777777" w:rsidR="00C6717E" w:rsidRDefault="00F707D8" w:rsidP="006C3478">
    <w:pPr>
      <w:jc w:val="center"/>
    </w:pPr>
    <w:r>
      <w:rPr>
        <w:noProof/>
      </w:rPr>
      <w:drawing>
        <wp:inline distT="0" distB="0" distL="0" distR="0" wp14:anchorId="4F9CBD23" wp14:editId="4B10B9C3">
          <wp:extent cx="1924050" cy="1193800"/>
          <wp:effectExtent l="19050" t="0" r="0" b="0"/>
          <wp:docPr id="1" name="Picture 1"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treasury_stacked"/>
                  <pic:cNvPicPr>
                    <a:picLocks noChangeAspect="1" noChangeArrowheads="1"/>
                  </pic:cNvPicPr>
                </pic:nvPicPr>
                <pic:blipFill>
                  <a:blip r:embed="rId1"/>
                  <a:srcRect/>
                  <a:stretch>
                    <a:fillRect/>
                  </a:stretch>
                </pic:blipFill>
                <pic:spPr bwMode="auto">
                  <a:xfrm>
                    <a:off x="0" y="0"/>
                    <a:ext cx="1924050" cy="11938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71820" w14:textId="77777777" w:rsidR="00C6717E" w:rsidRDefault="007C478A">
    <w:pPr>
      <w:pStyle w:val="Header"/>
    </w:pPr>
    <w:r>
      <w:rPr>
        <w:noProof/>
      </w:rPr>
      <w:pict w14:anchorId="5BB34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66907152"/>
    <w:multiLevelType w:val="multilevel"/>
    <w:tmpl w:val="9138A66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29F1D87"/>
    <w:multiLevelType w:val="multilevel"/>
    <w:tmpl w:val="FB96641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843"/>
    <w:rsid w:val="0000717F"/>
    <w:rsid w:val="00013BA1"/>
    <w:rsid w:val="00014300"/>
    <w:rsid w:val="000150A1"/>
    <w:rsid w:val="00035168"/>
    <w:rsid w:val="000359E6"/>
    <w:rsid w:val="00041FE1"/>
    <w:rsid w:val="00045002"/>
    <w:rsid w:val="000551F5"/>
    <w:rsid w:val="0005600E"/>
    <w:rsid w:val="000609D8"/>
    <w:rsid w:val="00065F85"/>
    <w:rsid w:val="00067E1D"/>
    <w:rsid w:val="0007086E"/>
    <w:rsid w:val="0007133B"/>
    <w:rsid w:val="000725C0"/>
    <w:rsid w:val="0007370B"/>
    <w:rsid w:val="00073CF1"/>
    <w:rsid w:val="00077478"/>
    <w:rsid w:val="00081148"/>
    <w:rsid w:val="00081E45"/>
    <w:rsid w:val="00090587"/>
    <w:rsid w:val="00094E5A"/>
    <w:rsid w:val="000A59B5"/>
    <w:rsid w:val="000A6DBE"/>
    <w:rsid w:val="000B20B0"/>
    <w:rsid w:val="000B66EF"/>
    <w:rsid w:val="000C4082"/>
    <w:rsid w:val="000C4243"/>
    <w:rsid w:val="000C784D"/>
    <w:rsid w:val="000D2BCE"/>
    <w:rsid w:val="000D71B6"/>
    <w:rsid w:val="000E4F68"/>
    <w:rsid w:val="000E752F"/>
    <w:rsid w:val="000F3AC3"/>
    <w:rsid w:val="000F58F3"/>
    <w:rsid w:val="000F7250"/>
    <w:rsid w:val="0010043D"/>
    <w:rsid w:val="0010374A"/>
    <w:rsid w:val="0011262E"/>
    <w:rsid w:val="00121EB0"/>
    <w:rsid w:val="00122B47"/>
    <w:rsid w:val="00124A72"/>
    <w:rsid w:val="00125111"/>
    <w:rsid w:val="001261D4"/>
    <w:rsid w:val="00127624"/>
    <w:rsid w:val="001307F9"/>
    <w:rsid w:val="00133D96"/>
    <w:rsid w:val="00142EB8"/>
    <w:rsid w:val="0014413A"/>
    <w:rsid w:val="001444E7"/>
    <w:rsid w:val="00144EF0"/>
    <w:rsid w:val="00146907"/>
    <w:rsid w:val="00147496"/>
    <w:rsid w:val="0015170E"/>
    <w:rsid w:val="001521F8"/>
    <w:rsid w:val="00152F1C"/>
    <w:rsid w:val="00153B7D"/>
    <w:rsid w:val="0016017F"/>
    <w:rsid w:val="00166383"/>
    <w:rsid w:val="00166896"/>
    <w:rsid w:val="001674B6"/>
    <w:rsid w:val="00184D83"/>
    <w:rsid w:val="001860D7"/>
    <w:rsid w:val="00187A3C"/>
    <w:rsid w:val="00191C8B"/>
    <w:rsid w:val="001928ED"/>
    <w:rsid w:val="001939D9"/>
    <w:rsid w:val="001953C8"/>
    <w:rsid w:val="0019587A"/>
    <w:rsid w:val="001A0832"/>
    <w:rsid w:val="001A7CD5"/>
    <w:rsid w:val="001B3841"/>
    <w:rsid w:val="001C0383"/>
    <w:rsid w:val="001C07BC"/>
    <w:rsid w:val="001C0DF8"/>
    <w:rsid w:val="001C270C"/>
    <w:rsid w:val="001C5415"/>
    <w:rsid w:val="001C5D63"/>
    <w:rsid w:val="001D13C5"/>
    <w:rsid w:val="001D54F7"/>
    <w:rsid w:val="001E465C"/>
    <w:rsid w:val="001E53E9"/>
    <w:rsid w:val="001E55D6"/>
    <w:rsid w:val="001E612B"/>
    <w:rsid w:val="001F15C6"/>
    <w:rsid w:val="001F50ED"/>
    <w:rsid w:val="001F5126"/>
    <w:rsid w:val="001F514F"/>
    <w:rsid w:val="00200339"/>
    <w:rsid w:val="0020159D"/>
    <w:rsid w:val="00202554"/>
    <w:rsid w:val="002063D3"/>
    <w:rsid w:val="002117D8"/>
    <w:rsid w:val="002216C2"/>
    <w:rsid w:val="00221EEA"/>
    <w:rsid w:val="002230F5"/>
    <w:rsid w:val="00226AB9"/>
    <w:rsid w:val="00230DEA"/>
    <w:rsid w:val="002331B0"/>
    <w:rsid w:val="002403BE"/>
    <w:rsid w:val="00241915"/>
    <w:rsid w:val="0024777D"/>
    <w:rsid w:val="0025317A"/>
    <w:rsid w:val="00255583"/>
    <w:rsid w:val="00256DDF"/>
    <w:rsid w:val="00264766"/>
    <w:rsid w:val="00271205"/>
    <w:rsid w:val="002723D3"/>
    <w:rsid w:val="00273048"/>
    <w:rsid w:val="00280815"/>
    <w:rsid w:val="00283D6D"/>
    <w:rsid w:val="00284332"/>
    <w:rsid w:val="00284A47"/>
    <w:rsid w:val="00286CA8"/>
    <w:rsid w:val="00290D00"/>
    <w:rsid w:val="00294D00"/>
    <w:rsid w:val="002A2015"/>
    <w:rsid w:val="002B029F"/>
    <w:rsid w:val="002B10C8"/>
    <w:rsid w:val="002B1699"/>
    <w:rsid w:val="002B3E42"/>
    <w:rsid w:val="002B3FE7"/>
    <w:rsid w:val="002B778B"/>
    <w:rsid w:val="002B7CA2"/>
    <w:rsid w:val="002C3264"/>
    <w:rsid w:val="002C357B"/>
    <w:rsid w:val="002C371D"/>
    <w:rsid w:val="002C672A"/>
    <w:rsid w:val="002C6DB3"/>
    <w:rsid w:val="002D3EBC"/>
    <w:rsid w:val="002D7A27"/>
    <w:rsid w:val="002E1F3D"/>
    <w:rsid w:val="002F3DBF"/>
    <w:rsid w:val="002F4AEF"/>
    <w:rsid w:val="0030221A"/>
    <w:rsid w:val="0030513B"/>
    <w:rsid w:val="00314E94"/>
    <w:rsid w:val="00317178"/>
    <w:rsid w:val="00320C27"/>
    <w:rsid w:val="00332453"/>
    <w:rsid w:val="0033344A"/>
    <w:rsid w:val="003353D0"/>
    <w:rsid w:val="00335EA0"/>
    <w:rsid w:val="003409F8"/>
    <w:rsid w:val="003459E9"/>
    <w:rsid w:val="00355A78"/>
    <w:rsid w:val="0035634F"/>
    <w:rsid w:val="003605ED"/>
    <w:rsid w:val="00360797"/>
    <w:rsid w:val="003609E3"/>
    <w:rsid w:val="003642F5"/>
    <w:rsid w:val="00364612"/>
    <w:rsid w:val="00364A88"/>
    <w:rsid w:val="00364D2B"/>
    <w:rsid w:val="003756E3"/>
    <w:rsid w:val="003758D2"/>
    <w:rsid w:val="00377484"/>
    <w:rsid w:val="00381663"/>
    <w:rsid w:val="003823E0"/>
    <w:rsid w:val="00396032"/>
    <w:rsid w:val="003A626C"/>
    <w:rsid w:val="003A6278"/>
    <w:rsid w:val="003B210E"/>
    <w:rsid w:val="003B3DEF"/>
    <w:rsid w:val="003C182F"/>
    <w:rsid w:val="003C44DD"/>
    <w:rsid w:val="003C720F"/>
    <w:rsid w:val="003D3F89"/>
    <w:rsid w:val="003F30DB"/>
    <w:rsid w:val="00400004"/>
    <w:rsid w:val="004000BB"/>
    <w:rsid w:val="00400CAF"/>
    <w:rsid w:val="00404E6C"/>
    <w:rsid w:val="00410649"/>
    <w:rsid w:val="00410A4F"/>
    <w:rsid w:val="004144BC"/>
    <w:rsid w:val="00415884"/>
    <w:rsid w:val="00416663"/>
    <w:rsid w:val="00416B24"/>
    <w:rsid w:val="004217AA"/>
    <w:rsid w:val="00422EC6"/>
    <w:rsid w:val="00425955"/>
    <w:rsid w:val="004273E1"/>
    <w:rsid w:val="00431B52"/>
    <w:rsid w:val="00435AEF"/>
    <w:rsid w:val="0044334B"/>
    <w:rsid w:val="004469DE"/>
    <w:rsid w:val="004470AD"/>
    <w:rsid w:val="004478FE"/>
    <w:rsid w:val="00451760"/>
    <w:rsid w:val="00451FC3"/>
    <w:rsid w:val="00457BC3"/>
    <w:rsid w:val="00461344"/>
    <w:rsid w:val="00462452"/>
    <w:rsid w:val="004663BE"/>
    <w:rsid w:val="004801C6"/>
    <w:rsid w:val="004820B4"/>
    <w:rsid w:val="00492E2C"/>
    <w:rsid w:val="004934A1"/>
    <w:rsid w:val="00494005"/>
    <w:rsid w:val="004A52DC"/>
    <w:rsid w:val="004A5992"/>
    <w:rsid w:val="004B2037"/>
    <w:rsid w:val="004B37D4"/>
    <w:rsid w:val="004B5725"/>
    <w:rsid w:val="004B5D2A"/>
    <w:rsid w:val="004C10BF"/>
    <w:rsid w:val="004C1F06"/>
    <w:rsid w:val="004C3007"/>
    <w:rsid w:val="004C4392"/>
    <w:rsid w:val="004C477C"/>
    <w:rsid w:val="004D05B3"/>
    <w:rsid w:val="004D0E48"/>
    <w:rsid w:val="004D3105"/>
    <w:rsid w:val="004D31E8"/>
    <w:rsid w:val="004D3B64"/>
    <w:rsid w:val="004E4E48"/>
    <w:rsid w:val="004E50CC"/>
    <w:rsid w:val="004E534A"/>
    <w:rsid w:val="004F55C0"/>
    <w:rsid w:val="004F713D"/>
    <w:rsid w:val="00513BA4"/>
    <w:rsid w:val="00520D98"/>
    <w:rsid w:val="00521949"/>
    <w:rsid w:val="00522AC9"/>
    <w:rsid w:val="00525FD5"/>
    <w:rsid w:val="005317C6"/>
    <w:rsid w:val="00541324"/>
    <w:rsid w:val="005430E6"/>
    <w:rsid w:val="00545891"/>
    <w:rsid w:val="00547C47"/>
    <w:rsid w:val="005502B4"/>
    <w:rsid w:val="005506E2"/>
    <w:rsid w:val="005509F2"/>
    <w:rsid w:val="0055111B"/>
    <w:rsid w:val="00551C6B"/>
    <w:rsid w:val="00552685"/>
    <w:rsid w:val="00560E1B"/>
    <w:rsid w:val="00566FDF"/>
    <w:rsid w:val="00567F23"/>
    <w:rsid w:val="005809D1"/>
    <w:rsid w:val="00584A28"/>
    <w:rsid w:val="00590F6B"/>
    <w:rsid w:val="005938F3"/>
    <w:rsid w:val="005957C6"/>
    <w:rsid w:val="00595FA5"/>
    <w:rsid w:val="005973F7"/>
    <w:rsid w:val="005A21BA"/>
    <w:rsid w:val="005A4B80"/>
    <w:rsid w:val="005A7641"/>
    <w:rsid w:val="005B441A"/>
    <w:rsid w:val="005B69B2"/>
    <w:rsid w:val="005C0475"/>
    <w:rsid w:val="005C0E91"/>
    <w:rsid w:val="005C3556"/>
    <w:rsid w:val="005C5CC1"/>
    <w:rsid w:val="005D243B"/>
    <w:rsid w:val="005D4B6D"/>
    <w:rsid w:val="005D6D69"/>
    <w:rsid w:val="005E05A7"/>
    <w:rsid w:val="005E3584"/>
    <w:rsid w:val="005E3FA8"/>
    <w:rsid w:val="005E612B"/>
    <w:rsid w:val="005E66D5"/>
    <w:rsid w:val="005F1B84"/>
    <w:rsid w:val="005F33BA"/>
    <w:rsid w:val="005F5915"/>
    <w:rsid w:val="00600749"/>
    <w:rsid w:val="006032DA"/>
    <w:rsid w:val="0060364F"/>
    <w:rsid w:val="00606AB6"/>
    <w:rsid w:val="00615E31"/>
    <w:rsid w:val="00617843"/>
    <w:rsid w:val="006221AC"/>
    <w:rsid w:val="00623160"/>
    <w:rsid w:val="006242B4"/>
    <w:rsid w:val="00627642"/>
    <w:rsid w:val="0063458C"/>
    <w:rsid w:val="00634DC4"/>
    <w:rsid w:val="00644A8E"/>
    <w:rsid w:val="00647874"/>
    <w:rsid w:val="006555F3"/>
    <w:rsid w:val="0065681B"/>
    <w:rsid w:val="0067088A"/>
    <w:rsid w:val="00671047"/>
    <w:rsid w:val="00675E33"/>
    <w:rsid w:val="00676591"/>
    <w:rsid w:val="00677017"/>
    <w:rsid w:val="00677645"/>
    <w:rsid w:val="00680731"/>
    <w:rsid w:val="00684954"/>
    <w:rsid w:val="00685354"/>
    <w:rsid w:val="0069589E"/>
    <w:rsid w:val="00696159"/>
    <w:rsid w:val="006A0A12"/>
    <w:rsid w:val="006B1697"/>
    <w:rsid w:val="006B1B2F"/>
    <w:rsid w:val="006B2091"/>
    <w:rsid w:val="006B29EB"/>
    <w:rsid w:val="006B309E"/>
    <w:rsid w:val="006B5E38"/>
    <w:rsid w:val="006C2FEE"/>
    <w:rsid w:val="006C3478"/>
    <w:rsid w:val="006E039F"/>
    <w:rsid w:val="006E03CB"/>
    <w:rsid w:val="006E266F"/>
    <w:rsid w:val="006E3228"/>
    <w:rsid w:val="006F016E"/>
    <w:rsid w:val="006F03B0"/>
    <w:rsid w:val="006F17AD"/>
    <w:rsid w:val="006F3EAC"/>
    <w:rsid w:val="007001D0"/>
    <w:rsid w:val="007033C9"/>
    <w:rsid w:val="007114AF"/>
    <w:rsid w:val="00720D1E"/>
    <w:rsid w:val="007212F4"/>
    <w:rsid w:val="00727A40"/>
    <w:rsid w:val="007405F4"/>
    <w:rsid w:val="007408F0"/>
    <w:rsid w:val="00742785"/>
    <w:rsid w:val="007464D6"/>
    <w:rsid w:val="007464DB"/>
    <w:rsid w:val="00753B6F"/>
    <w:rsid w:val="007569CB"/>
    <w:rsid w:val="007576D9"/>
    <w:rsid w:val="0076650A"/>
    <w:rsid w:val="00766D6F"/>
    <w:rsid w:val="007673A9"/>
    <w:rsid w:val="007763AC"/>
    <w:rsid w:val="0077689E"/>
    <w:rsid w:val="00782AF4"/>
    <w:rsid w:val="007929B6"/>
    <w:rsid w:val="00797703"/>
    <w:rsid w:val="007A059C"/>
    <w:rsid w:val="007A377E"/>
    <w:rsid w:val="007A59C1"/>
    <w:rsid w:val="007B41BB"/>
    <w:rsid w:val="007B5214"/>
    <w:rsid w:val="007B5613"/>
    <w:rsid w:val="007B797C"/>
    <w:rsid w:val="007C478A"/>
    <w:rsid w:val="007D0936"/>
    <w:rsid w:val="007E3D27"/>
    <w:rsid w:val="007E59C2"/>
    <w:rsid w:val="007E699E"/>
    <w:rsid w:val="007F2ACC"/>
    <w:rsid w:val="007F2BA7"/>
    <w:rsid w:val="007F656B"/>
    <w:rsid w:val="007F6580"/>
    <w:rsid w:val="007F7CAB"/>
    <w:rsid w:val="0080001B"/>
    <w:rsid w:val="00803FA2"/>
    <w:rsid w:val="00806E40"/>
    <w:rsid w:val="00810A80"/>
    <w:rsid w:val="008265E2"/>
    <w:rsid w:val="00826C72"/>
    <w:rsid w:val="00826FA7"/>
    <w:rsid w:val="00834D5B"/>
    <w:rsid w:val="0083557F"/>
    <w:rsid w:val="00835974"/>
    <w:rsid w:val="008366A4"/>
    <w:rsid w:val="00840870"/>
    <w:rsid w:val="00842A6B"/>
    <w:rsid w:val="00842F82"/>
    <w:rsid w:val="00843EEB"/>
    <w:rsid w:val="00844B85"/>
    <w:rsid w:val="00846CC4"/>
    <w:rsid w:val="00851754"/>
    <w:rsid w:val="008636CE"/>
    <w:rsid w:val="00871006"/>
    <w:rsid w:val="0088712E"/>
    <w:rsid w:val="00891A52"/>
    <w:rsid w:val="00891C95"/>
    <w:rsid w:val="0089375E"/>
    <w:rsid w:val="00894703"/>
    <w:rsid w:val="00894901"/>
    <w:rsid w:val="008A350E"/>
    <w:rsid w:val="008A38AC"/>
    <w:rsid w:val="008A561B"/>
    <w:rsid w:val="008B1501"/>
    <w:rsid w:val="008C0912"/>
    <w:rsid w:val="008C0A3C"/>
    <w:rsid w:val="008C3C84"/>
    <w:rsid w:val="008D0AE4"/>
    <w:rsid w:val="008D23A2"/>
    <w:rsid w:val="008D4A22"/>
    <w:rsid w:val="008D67DA"/>
    <w:rsid w:val="008E280A"/>
    <w:rsid w:val="008E388C"/>
    <w:rsid w:val="008E4FE1"/>
    <w:rsid w:val="008E576A"/>
    <w:rsid w:val="008E71D3"/>
    <w:rsid w:val="008E7475"/>
    <w:rsid w:val="008F0543"/>
    <w:rsid w:val="008F0AD4"/>
    <w:rsid w:val="008F35A0"/>
    <w:rsid w:val="008F5862"/>
    <w:rsid w:val="008F6D50"/>
    <w:rsid w:val="008F7332"/>
    <w:rsid w:val="00901679"/>
    <w:rsid w:val="00902FCE"/>
    <w:rsid w:val="00903A03"/>
    <w:rsid w:val="00905FC5"/>
    <w:rsid w:val="009073C3"/>
    <w:rsid w:val="00910077"/>
    <w:rsid w:val="0091264E"/>
    <w:rsid w:val="00914B0E"/>
    <w:rsid w:val="00915838"/>
    <w:rsid w:val="00924006"/>
    <w:rsid w:val="009268F0"/>
    <w:rsid w:val="00926F41"/>
    <w:rsid w:val="00942343"/>
    <w:rsid w:val="00944066"/>
    <w:rsid w:val="00950BFC"/>
    <w:rsid w:val="009522AE"/>
    <w:rsid w:val="0095274B"/>
    <w:rsid w:val="009562D2"/>
    <w:rsid w:val="0096362F"/>
    <w:rsid w:val="00965AC7"/>
    <w:rsid w:val="0097111C"/>
    <w:rsid w:val="00974400"/>
    <w:rsid w:val="00976987"/>
    <w:rsid w:val="009814A8"/>
    <w:rsid w:val="009829E4"/>
    <w:rsid w:val="00983E3D"/>
    <w:rsid w:val="00986825"/>
    <w:rsid w:val="009944C2"/>
    <w:rsid w:val="00997BDF"/>
    <w:rsid w:val="009A0978"/>
    <w:rsid w:val="009A2431"/>
    <w:rsid w:val="009A2D62"/>
    <w:rsid w:val="009A3E25"/>
    <w:rsid w:val="009B0B79"/>
    <w:rsid w:val="009B52A9"/>
    <w:rsid w:val="009C3B82"/>
    <w:rsid w:val="009D3737"/>
    <w:rsid w:val="009D488C"/>
    <w:rsid w:val="009D50C2"/>
    <w:rsid w:val="009D731C"/>
    <w:rsid w:val="009E1966"/>
    <w:rsid w:val="009E2398"/>
    <w:rsid w:val="009E4B71"/>
    <w:rsid w:val="009E7CD6"/>
    <w:rsid w:val="009F0D50"/>
    <w:rsid w:val="009F20D8"/>
    <w:rsid w:val="009F6DF6"/>
    <w:rsid w:val="00A01A0F"/>
    <w:rsid w:val="00A01DB0"/>
    <w:rsid w:val="00A02B10"/>
    <w:rsid w:val="00A02FA1"/>
    <w:rsid w:val="00A03B11"/>
    <w:rsid w:val="00A043CF"/>
    <w:rsid w:val="00A04EFF"/>
    <w:rsid w:val="00A10A75"/>
    <w:rsid w:val="00A1695E"/>
    <w:rsid w:val="00A21D6F"/>
    <w:rsid w:val="00A25B7B"/>
    <w:rsid w:val="00A26141"/>
    <w:rsid w:val="00A275C9"/>
    <w:rsid w:val="00A31ADE"/>
    <w:rsid w:val="00A321BA"/>
    <w:rsid w:val="00A3393B"/>
    <w:rsid w:val="00A353A3"/>
    <w:rsid w:val="00A42560"/>
    <w:rsid w:val="00A4412B"/>
    <w:rsid w:val="00A45D9B"/>
    <w:rsid w:val="00A54858"/>
    <w:rsid w:val="00A571AD"/>
    <w:rsid w:val="00A62B14"/>
    <w:rsid w:val="00A62F90"/>
    <w:rsid w:val="00A63033"/>
    <w:rsid w:val="00A656C3"/>
    <w:rsid w:val="00A6667F"/>
    <w:rsid w:val="00A707A2"/>
    <w:rsid w:val="00A7316B"/>
    <w:rsid w:val="00A742E7"/>
    <w:rsid w:val="00A774D9"/>
    <w:rsid w:val="00A77A9A"/>
    <w:rsid w:val="00A77FC9"/>
    <w:rsid w:val="00A827A7"/>
    <w:rsid w:val="00A8469A"/>
    <w:rsid w:val="00A84780"/>
    <w:rsid w:val="00A84D30"/>
    <w:rsid w:val="00A860B8"/>
    <w:rsid w:val="00A86EE2"/>
    <w:rsid w:val="00A870B0"/>
    <w:rsid w:val="00A90669"/>
    <w:rsid w:val="00A90808"/>
    <w:rsid w:val="00A934D8"/>
    <w:rsid w:val="00A94508"/>
    <w:rsid w:val="00AA6DE7"/>
    <w:rsid w:val="00AA719A"/>
    <w:rsid w:val="00AB65FE"/>
    <w:rsid w:val="00AC4037"/>
    <w:rsid w:val="00AD5CC7"/>
    <w:rsid w:val="00AD6DE2"/>
    <w:rsid w:val="00AE1341"/>
    <w:rsid w:val="00AE462F"/>
    <w:rsid w:val="00AE4A54"/>
    <w:rsid w:val="00AF0EB2"/>
    <w:rsid w:val="00AF1412"/>
    <w:rsid w:val="00AF6E91"/>
    <w:rsid w:val="00B01308"/>
    <w:rsid w:val="00B02EEC"/>
    <w:rsid w:val="00B116E7"/>
    <w:rsid w:val="00B11BB0"/>
    <w:rsid w:val="00B1515B"/>
    <w:rsid w:val="00B261E5"/>
    <w:rsid w:val="00B26AEF"/>
    <w:rsid w:val="00B316E9"/>
    <w:rsid w:val="00B367F1"/>
    <w:rsid w:val="00B424DD"/>
    <w:rsid w:val="00B44EB2"/>
    <w:rsid w:val="00B47997"/>
    <w:rsid w:val="00B51592"/>
    <w:rsid w:val="00B56304"/>
    <w:rsid w:val="00B57D38"/>
    <w:rsid w:val="00B62D90"/>
    <w:rsid w:val="00B6613F"/>
    <w:rsid w:val="00B67B8A"/>
    <w:rsid w:val="00B71E56"/>
    <w:rsid w:val="00B7388C"/>
    <w:rsid w:val="00B81855"/>
    <w:rsid w:val="00B84BB3"/>
    <w:rsid w:val="00B84E3F"/>
    <w:rsid w:val="00B85320"/>
    <w:rsid w:val="00B90456"/>
    <w:rsid w:val="00B92516"/>
    <w:rsid w:val="00B9260E"/>
    <w:rsid w:val="00B92D9C"/>
    <w:rsid w:val="00B942A7"/>
    <w:rsid w:val="00B94FB4"/>
    <w:rsid w:val="00B95AE4"/>
    <w:rsid w:val="00BA0AEE"/>
    <w:rsid w:val="00BA5932"/>
    <w:rsid w:val="00BA7EA2"/>
    <w:rsid w:val="00BB48B7"/>
    <w:rsid w:val="00BE0B2D"/>
    <w:rsid w:val="00BE0B82"/>
    <w:rsid w:val="00BE1B0A"/>
    <w:rsid w:val="00BF1976"/>
    <w:rsid w:val="00BF2E83"/>
    <w:rsid w:val="00BF37C3"/>
    <w:rsid w:val="00C1452C"/>
    <w:rsid w:val="00C17DD8"/>
    <w:rsid w:val="00C241DA"/>
    <w:rsid w:val="00C26A08"/>
    <w:rsid w:val="00C325F2"/>
    <w:rsid w:val="00C32BC7"/>
    <w:rsid w:val="00C335BB"/>
    <w:rsid w:val="00C344A5"/>
    <w:rsid w:val="00C418B7"/>
    <w:rsid w:val="00C451EF"/>
    <w:rsid w:val="00C50461"/>
    <w:rsid w:val="00C524F9"/>
    <w:rsid w:val="00C531C3"/>
    <w:rsid w:val="00C55C9B"/>
    <w:rsid w:val="00C5636D"/>
    <w:rsid w:val="00C57D07"/>
    <w:rsid w:val="00C61063"/>
    <w:rsid w:val="00C6717E"/>
    <w:rsid w:val="00C67372"/>
    <w:rsid w:val="00C72DCC"/>
    <w:rsid w:val="00C84208"/>
    <w:rsid w:val="00C92B3C"/>
    <w:rsid w:val="00C9627F"/>
    <w:rsid w:val="00C972DD"/>
    <w:rsid w:val="00C97D59"/>
    <w:rsid w:val="00CA0432"/>
    <w:rsid w:val="00CA5796"/>
    <w:rsid w:val="00CB0C0A"/>
    <w:rsid w:val="00CB2E16"/>
    <w:rsid w:val="00CB4ABC"/>
    <w:rsid w:val="00CC025C"/>
    <w:rsid w:val="00CC1509"/>
    <w:rsid w:val="00CC2466"/>
    <w:rsid w:val="00CC4A3B"/>
    <w:rsid w:val="00CC5628"/>
    <w:rsid w:val="00CD1B82"/>
    <w:rsid w:val="00CD3208"/>
    <w:rsid w:val="00CD522D"/>
    <w:rsid w:val="00CE216D"/>
    <w:rsid w:val="00CE703F"/>
    <w:rsid w:val="00D01580"/>
    <w:rsid w:val="00D03FD5"/>
    <w:rsid w:val="00D05730"/>
    <w:rsid w:val="00D06D38"/>
    <w:rsid w:val="00D071F5"/>
    <w:rsid w:val="00D1185F"/>
    <w:rsid w:val="00D1247D"/>
    <w:rsid w:val="00D1394E"/>
    <w:rsid w:val="00D13C88"/>
    <w:rsid w:val="00D218A5"/>
    <w:rsid w:val="00D22699"/>
    <w:rsid w:val="00D31D59"/>
    <w:rsid w:val="00D365E4"/>
    <w:rsid w:val="00D36AE7"/>
    <w:rsid w:val="00D36D2F"/>
    <w:rsid w:val="00D3725B"/>
    <w:rsid w:val="00D457AE"/>
    <w:rsid w:val="00D55EDF"/>
    <w:rsid w:val="00D56C01"/>
    <w:rsid w:val="00D56E6D"/>
    <w:rsid w:val="00D573F8"/>
    <w:rsid w:val="00D624EF"/>
    <w:rsid w:val="00D65FE6"/>
    <w:rsid w:val="00D7007A"/>
    <w:rsid w:val="00D71D07"/>
    <w:rsid w:val="00D72BEE"/>
    <w:rsid w:val="00D773BD"/>
    <w:rsid w:val="00D83530"/>
    <w:rsid w:val="00D91473"/>
    <w:rsid w:val="00D955B6"/>
    <w:rsid w:val="00DA5198"/>
    <w:rsid w:val="00DA6169"/>
    <w:rsid w:val="00DB4CAC"/>
    <w:rsid w:val="00DB72E0"/>
    <w:rsid w:val="00DC5205"/>
    <w:rsid w:val="00DC7EFF"/>
    <w:rsid w:val="00DD3D5C"/>
    <w:rsid w:val="00DD4FBF"/>
    <w:rsid w:val="00DD5234"/>
    <w:rsid w:val="00DD6509"/>
    <w:rsid w:val="00DE7271"/>
    <w:rsid w:val="00DF07AE"/>
    <w:rsid w:val="00E001A1"/>
    <w:rsid w:val="00E03308"/>
    <w:rsid w:val="00E1629B"/>
    <w:rsid w:val="00E17967"/>
    <w:rsid w:val="00E25FE5"/>
    <w:rsid w:val="00E26A3A"/>
    <w:rsid w:val="00E31D30"/>
    <w:rsid w:val="00E32548"/>
    <w:rsid w:val="00E35646"/>
    <w:rsid w:val="00E36500"/>
    <w:rsid w:val="00E40505"/>
    <w:rsid w:val="00E44444"/>
    <w:rsid w:val="00E44867"/>
    <w:rsid w:val="00E45F70"/>
    <w:rsid w:val="00E509EB"/>
    <w:rsid w:val="00E54185"/>
    <w:rsid w:val="00E57D67"/>
    <w:rsid w:val="00E64171"/>
    <w:rsid w:val="00E64B82"/>
    <w:rsid w:val="00E6642C"/>
    <w:rsid w:val="00E71228"/>
    <w:rsid w:val="00E71941"/>
    <w:rsid w:val="00E71F15"/>
    <w:rsid w:val="00E7338E"/>
    <w:rsid w:val="00E73A7C"/>
    <w:rsid w:val="00E835DE"/>
    <w:rsid w:val="00E844D3"/>
    <w:rsid w:val="00E91176"/>
    <w:rsid w:val="00E925AB"/>
    <w:rsid w:val="00E9280C"/>
    <w:rsid w:val="00E92951"/>
    <w:rsid w:val="00E930E5"/>
    <w:rsid w:val="00E9477F"/>
    <w:rsid w:val="00E9703E"/>
    <w:rsid w:val="00EA5C28"/>
    <w:rsid w:val="00EA5D7D"/>
    <w:rsid w:val="00EB0B10"/>
    <w:rsid w:val="00EB5B73"/>
    <w:rsid w:val="00EC01AE"/>
    <w:rsid w:val="00EC063B"/>
    <w:rsid w:val="00EC5D7B"/>
    <w:rsid w:val="00EC65B7"/>
    <w:rsid w:val="00ED1CA2"/>
    <w:rsid w:val="00ED43FA"/>
    <w:rsid w:val="00ED5FEF"/>
    <w:rsid w:val="00ED65FB"/>
    <w:rsid w:val="00EE282C"/>
    <w:rsid w:val="00EE63E2"/>
    <w:rsid w:val="00EF338D"/>
    <w:rsid w:val="00EF5CAE"/>
    <w:rsid w:val="00F02250"/>
    <w:rsid w:val="00F04824"/>
    <w:rsid w:val="00F055EF"/>
    <w:rsid w:val="00F0721C"/>
    <w:rsid w:val="00F16AE4"/>
    <w:rsid w:val="00F22D98"/>
    <w:rsid w:val="00F23B09"/>
    <w:rsid w:val="00F272B0"/>
    <w:rsid w:val="00F34D1F"/>
    <w:rsid w:val="00F41E2F"/>
    <w:rsid w:val="00F43AE4"/>
    <w:rsid w:val="00F4432C"/>
    <w:rsid w:val="00F44D70"/>
    <w:rsid w:val="00F523E7"/>
    <w:rsid w:val="00F5387B"/>
    <w:rsid w:val="00F548B8"/>
    <w:rsid w:val="00F62CA3"/>
    <w:rsid w:val="00F66D10"/>
    <w:rsid w:val="00F66FF3"/>
    <w:rsid w:val="00F707D8"/>
    <w:rsid w:val="00F71DEA"/>
    <w:rsid w:val="00F7374D"/>
    <w:rsid w:val="00F73908"/>
    <w:rsid w:val="00F75C8A"/>
    <w:rsid w:val="00F76181"/>
    <w:rsid w:val="00F7731A"/>
    <w:rsid w:val="00F81BED"/>
    <w:rsid w:val="00F824F8"/>
    <w:rsid w:val="00F85056"/>
    <w:rsid w:val="00F92343"/>
    <w:rsid w:val="00F94655"/>
    <w:rsid w:val="00F94B5F"/>
    <w:rsid w:val="00F95BD2"/>
    <w:rsid w:val="00F96209"/>
    <w:rsid w:val="00FA38AB"/>
    <w:rsid w:val="00FA5042"/>
    <w:rsid w:val="00FA62B2"/>
    <w:rsid w:val="00FA6C0D"/>
    <w:rsid w:val="00FA7724"/>
    <w:rsid w:val="00FB04A7"/>
    <w:rsid w:val="00FB1EB3"/>
    <w:rsid w:val="00FC7129"/>
    <w:rsid w:val="00FD06CB"/>
    <w:rsid w:val="00FD13B7"/>
    <w:rsid w:val="00FD2956"/>
    <w:rsid w:val="00FD3F59"/>
    <w:rsid w:val="00FD787B"/>
    <w:rsid w:val="00FE223B"/>
    <w:rsid w:val="00FE2CBD"/>
    <w:rsid w:val="00FE4843"/>
    <w:rsid w:val="00FE7B90"/>
    <w:rsid w:val="00FF2661"/>
    <w:rsid w:val="00FF2747"/>
    <w:rsid w:val="00FF2E09"/>
    <w:rsid w:val="00FF4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DC1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EBC"/>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basedOn w:val="Normal"/>
    <w:link w:val="BulletChar"/>
    <w:rsid w:val="00843EEB"/>
    <w:pPr>
      <w:numPr>
        <w:numId w:val="1"/>
      </w:numPr>
    </w:pPr>
  </w:style>
  <w:style w:type="paragraph" w:customStyle="1" w:styleId="Dash">
    <w:name w:val="Dash"/>
    <w:basedOn w:val="Normal"/>
    <w:rsid w:val="00843EEB"/>
    <w:pPr>
      <w:numPr>
        <w:ilvl w:val="1"/>
        <w:numId w:val="1"/>
      </w:numPr>
    </w:pPr>
  </w:style>
  <w:style w:type="paragraph" w:customStyle="1" w:styleId="DoubleDot">
    <w:name w:val="Double Dot"/>
    <w:basedOn w:val="Normal"/>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styleId="CommentReference">
    <w:name w:val="annotation reference"/>
    <w:basedOn w:val="DefaultParagraphFont"/>
    <w:rsid w:val="00851754"/>
    <w:rPr>
      <w:sz w:val="16"/>
      <w:szCs w:val="16"/>
    </w:rPr>
  </w:style>
  <w:style w:type="paragraph" w:styleId="CommentText">
    <w:name w:val="annotation text"/>
    <w:basedOn w:val="Normal"/>
    <w:link w:val="CommentTextChar"/>
    <w:rsid w:val="00851754"/>
    <w:rPr>
      <w:sz w:val="20"/>
    </w:rPr>
  </w:style>
  <w:style w:type="character" w:customStyle="1" w:styleId="CommentTextChar">
    <w:name w:val="Comment Text Char"/>
    <w:basedOn w:val="DefaultParagraphFont"/>
    <w:link w:val="CommentText"/>
    <w:rsid w:val="00851754"/>
  </w:style>
  <w:style w:type="paragraph" w:styleId="CommentSubject">
    <w:name w:val="annotation subject"/>
    <w:basedOn w:val="CommentText"/>
    <w:next w:val="CommentText"/>
    <w:link w:val="CommentSubjectChar"/>
    <w:rsid w:val="00851754"/>
    <w:rPr>
      <w:b/>
      <w:bCs/>
    </w:rPr>
  </w:style>
  <w:style w:type="character" w:customStyle="1" w:styleId="CommentSubjectChar">
    <w:name w:val="Comment Subject Char"/>
    <w:basedOn w:val="CommentTextChar"/>
    <w:link w:val="CommentSubject"/>
    <w:rsid w:val="00851754"/>
    <w:rPr>
      <w:b/>
      <w:bCs/>
    </w:rPr>
  </w:style>
  <w:style w:type="character" w:customStyle="1" w:styleId="BulletChar">
    <w:name w:val="Bullet Char"/>
    <w:basedOn w:val="DefaultParagraphFont"/>
    <w:link w:val="Bullet"/>
    <w:rsid w:val="00677017"/>
    <w:rPr>
      <w:sz w:val="24"/>
    </w:rPr>
  </w:style>
  <w:style w:type="paragraph" w:customStyle="1" w:styleId="Default">
    <w:name w:val="Default"/>
    <w:rsid w:val="005506E2"/>
    <w:pPr>
      <w:autoSpaceDE w:val="0"/>
      <w:autoSpaceDN w:val="0"/>
      <w:adjustRightInd w:val="0"/>
    </w:pPr>
    <w:rPr>
      <w:color w:val="000000"/>
      <w:sz w:val="24"/>
      <w:szCs w:val="24"/>
    </w:rPr>
  </w:style>
  <w:style w:type="character" w:styleId="FollowedHyperlink">
    <w:name w:val="FollowedHyperlink"/>
    <w:basedOn w:val="DefaultParagraphFont"/>
    <w:rsid w:val="00335E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EBC"/>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basedOn w:val="Normal"/>
    <w:link w:val="BulletChar"/>
    <w:rsid w:val="00843EEB"/>
    <w:pPr>
      <w:numPr>
        <w:numId w:val="1"/>
      </w:numPr>
    </w:pPr>
  </w:style>
  <w:style w:type="paragraph" w:customStyle="1" w:styleId="Dash">
    <w:name w:val="Dash"/>
    <w:basedOn w:val="Normal"/>
    <w:rsid w:val="00843EEB"/>
    <w:pPr>
      <w:numPr>
        <w:ilvl w:val="1"/>
        <w:numId w:val="1"/>
      </w:numPr>
    </w:pPr>
  </w:style>
  <w:style w:type="paragraph" w:customStyle="1" w:styleId="DoubleDot">
    <w:name w:val="Double Dot"/>
    <w:basedOn w:val="Normal"/>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styleId="CommentReference">
    <w:name w:val="annotation reference"/>
    <w:basedOn w:val="DefaultParagraphFont"/>
    <w:rsid w:val="00851754"/>
    <w:rPr>
      <w:sz w:val="16"/>
      <w:szCs w:val="16"/>
    </w:rPr>
  </w:style>
  <w:style w:type="paragraph" w:styleId="CommentText">
    <w:name w:val="annotation text"/>
    <w:basedOn w:val="Normal"/>
    <w:link w:val="CommentTextChar"/>
    <w:rsid w:val="00851754"/>
    <w:rPr>
      <w:sz w:val="20"/>
    </w:rPr>
  </w:style>
  <w:style w:type="character" w:customStyle="1" w:styleId="CommentTextChar">
    <w:name w:val="Comment Text Char"/>
    <w:basedOn w:val="DefaultParagraphFont"/>
    <w:link w:val="CommentText"/>
    <w:rsid w:val="00851754"/>
  </w:style>
  <w:style w:type="paragraph" w:styleId="CommentSubject">
    <w:name w:val="annotation subject"/>
    <w:basedOn w:val="CommentText"/>
    <w:next w:val="CommentText"/>
    <w:link w:val="CommentSubjectChar"/>
    <w:rsid w:val="00851754"/>
    <w:rPr>
      <w:b/>
      <w:bCs/>
    </w:rPr>
  </w:style>
  <w:style w:type="character" w:customStyle="1" w:styleId="CommentSubjectChar">
    <w:name w:val="Comment Subject Char"/>
    <w:basedOn w:val="CommentTextChar"/>
    <w:link w:val="CommentSubject"/>
    <w:rsid w:val="00851754"/>
    <w:rPr>
      <w:b/>
      <w:bCs/>
    </w:rPr>
  </w:style>
  <w:style w:type="character" w:customStyle="1" w:styleId="BulletChar">
    <w:name w:val="Bullet Char"/>
    <w:basedOn w:val="DefaultParagraphFont"/>
    <w:link w:val="Bullet"/>
    <w:rsid w:val="00677017"/>
    <w:rPr>
      <w:sz w:val="24"/>
    </w:rPr>
  </w:style>
  <w:style w:type="paragraph" w:customStyle="1" w:styleId="Default">
    <w:name w:val="Default"/>
    <w:rsid w:val="005506E2"/>
    <w:pPr>
      <w:autoSpaceDE w:val="0"/>
      <w:autoSpaceDN w:val="0"/>
      <w:adjustRightInd w:val="0"/>
    </w:pPr>
    <w:rPr>
      <w:color w:val="000000"/>
      <w:sz w:val="24"/>
      <w:szCs w:val="24"/>
    </w:rPr>
  </w:style>
  <w:style w:type="character" w:styleId="FollowedHyperlink">
    <w:name w:val="FollowedHyperlink"/>
    <w:basedOn w:val="DefaultParagraphFont"/>
    <w:rsid w:val="00335E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0299">
      <w:bodyDiv w:val="1"/>
      <w:marLeft w:val="0"/>
      <w:marRight w:val="0"/>
      <w:marTop w:val="0"/>
      <w:marBottom w:val="0"/>
      <w:divBdr>
        <w:top w:val="none" w:sz="0" w:space="0" w:color="auto"/>
        <w:left w:val="none" w:sz="0" w:space="0" w:color="auto"/>
        <w:bottom w:val="none" w:sz="0" w:space="0" w:color="auto"/>
        <w:right w:val="none" w:sz="0" w:space="0" w:color="auto"/>
      </w:divBdr>
    </w:div>
    <w:div w:id="628323570">
      <w:bodyDiv w:val="1"/>
      <w:marLeft w:val="0"/>
      <w:marRight w:val="0"/>
      <w:marTop w:val="0"/>
      <w:marBottom w:val="0"/>
      <w:divBdr>
        <w:top w:val="none" w:sz="0" w:space="0" w:color="auto"/>
        <w:left w:val="none" w:sz="0" w:space="0" w:color="auto"/>
        <w:bottom w:val="none" w:sz="0" w:space="0" w:color="auto"/>
        <w:right w:val="none" w:sz="0" w:space="0" w:color="auto"/>
      </w:divBdr>
    </w:div>
    <w:div w:id="866984222">
      <w:bodyDiv w:val="1"/>
      <w:marLeft w:val="0"/>
      <w:marRight w:val="0"/>
      <w:marTop w:val="0"/>
      <w:marBottom w:val="0"/>
      <w:divBdr>
        <w:top w:val="none" w:sz="0" w:space="0" w:color="auto"/>
        <w:left w:val="none" w:sz="0" w:space="0" w:color="auto"/>
        <w:bottom w:val="none" w:sz="0" w:space="0" w:color="auto"/>
        <w:right w:val="none" w:sz="0" w:space="0" w:color="auto"/>
      </w:divBdr>
    </w:div>
    <w:div w:id="199101008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archive.treasury.gov.au/contentitem.asp?ContentID=1803&amp;NavID="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nsultation@treasury.gov.au" TargetMode="External"/><Relationship Id="rId4" Type="http://schemas.openxmlformats.org/officeDocument/2006/relationships/settings" Target="settings.xml"/><Relationship Id="rId9" Type="http://schemas.openxmlformats.org/officeDocument/2006/relationships/hyperlink" Target="http://treasury.gov.au/ConsultationsandReviews/Consultations/2015/Look-through-treatment-for-instalment-warrant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771</Words>
  <Characters>4658</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Consultation Summary: Look through treatment for instalment warrants</vt:lpstr>
    </vt:vector>
  </TitlesOfParts>
  <Company/>
  <LinksUpToDate>false</LinksUpToDate>
  <CharactersWithSpaces>5400</CharactersWithSpaces>
  <SharedDoc>false</SharedDoc>
  <HLinks>
    <vt:vector size="6" baseType="variant">
      <vt:variant>
        <vt:i4>5898275</vt:i4>
      </vt:variant>
      <vt:variant>
        <vt:i4>36</vt:i4>
      </vt:variant>
      <vt:variant>
        <vt:i4>0</vt:i4>
      </vt:variant>
      <vt:variant>
        <vt:i4>5</vt:i4>
      </vt:variant>
      <vt:variant>
        <vt:lpwstr>mailto:consultation@treasury.gov.au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Summary: Look through treatment for instalment warrants</dc:title>
  <dc:subject/>
  <dc:creator/>
  <cp:keywords/>
  <cp:lastModifiedBy>Fedenko, Serge</cp:lastModifiedBy>
  <cp:revision>3</cp:revision>
  <dcterms:created xsi:type="dcterms:W3CDTF">2015-09-21T00:17:00Z</dcterms:created>
  <dcterms:modified xsi:type="dcterms:W3CDTF">2015-09-21T00:21:00Z</dcterms:modified>
</cp:coreProperties>
</file>