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BCB00" w14:textId="77777777" w:rsidR="00F56AF5" w:rsidRDefault="00AD5034" w:rsidP="006B05E2">
      <w:pPr>
        <w:ind w:left="6720"/>
        <w:rPr>
          <w:rFonts w:ascii="Arial Narrow" w:hAnsi="Arial Narrow"/>
          <w:sz w:val="14"/>
        </w:rPr>
      </w:pPr>
      <w:bookmarkStart w:id="0" w:name="_GoBack"/>
      <w:bookmarkEnd w:id="0"/>
      <w:proofErr w:type="spellStart"/>
      <w:r>
        <w:rPr>
          <w:rFonts w:ascii="Arial Narrow" w:hAnsi="Arial Narrow"/>
          <w:sz w:val="14"/>
        </w:rPr>
        <w:t>Dr.</w:t>
      </w:r>
      <w:proofErr w:type="spellEnd"/>
      <w:r>
        <w:rPr>
          <w:rFonts w:ascii="Arial Narrow" w:hAnsi="Arial Narrow"/>
          <w:sz w:val="14"/>
        </w:rPr>
        <w:t xml:space="preserve"> </w:t>
      </w:r>
      <w:proofErr w:type="spellStart"/>
      <w:r>
        <w:rPr>
          <w:rFonts w:ascii="Arial Narrow" w:hAnsi="Arial Narrow"/>
          <w:sz w:val="14"/>
        </w:rPr>
        <w:t>Yongqiang</w:t>
      </w:r>
      <w:proofErr w:type="spellEnd"/>
      <w:r>
        <w:rPr>
          <w:rFonts w:ascii="Arial Narrow" w:hAnsi="Arial Narrow"/>
          <w:sz w:val="14"/>
        </w:rPr>
        <w:t xml:space="preserve"> Li</w:t>
      </w:r>
    </w:p>
    <w:p w14:paraId="0EC7A1AF" w14:textId="77777777" w:rsidR="00AD5034" w:rsidRDefault="00AD5034" w:rsidP="006B05E2">
      <w:pPr>
        <w:ind w:left="6720"/>
        <w:rPr>
          <w:rFonts w:ascii="Arial Narrow" w:hAnsi="Arial Narrow"/>
          <w:sz w:val="14"/>
        </w:rPr>
      </w:pPr>
      <w:r>
        <w:rPr>
          <w:rFonts w:ascii="Arial Narrow" w:hAnsi="Arial Narrow"/>
          <w:sz w:val="14"/>
        </w:rPr>
        <w:t>Research Fellow</w:t>
      </w:r>
    </w:p>
    <w:p w14:paraId="1B927285" w14:textId="77777777" w:rsidR="00AD5034" w:rsidRDefault="00AD5034" w:rsidP="006B05E2">
      <w:pPr>
        <w:ind w:left="6720"/>
        <w:rPr>
          <w:rFonts w:ascii="Arial Narrow" w:hAnsi="Arial Narrow"/>
          <w:sz w:val="14"/>
        </w:rPr>
      </w:pPr>
      <w:r>
        <w:rPr>
          <w:rFonts w:ascii="Arial Narrow" w:hAnsi="Arial Narrow"/>
          <w:sz w:val="14"/>
        </w:rPr>
        <w:t>Governance Research Program</w:t>
      </w:r>
    </w:p>
    <w:p w14:paraId="5C4017C7" w14:textId="77777777" w:rsidR="006B05E2" w:rsidRPr="00187776" w:rsidRDefault="00254857" w:rsidP="006B05E2">
      <w:pPr>
        <w:ind w:left="6720"/>
        <w:rPr>
          <w:rFonts w:ascii="Arial Narrow" w:hAnsi="Arial Narrow"/>
          <w:sz w:val="14"/>
        </w:rPr>
      </w:pPr>
      <w:r>
        <w:rPr>
          <w:rFonts w:ascii="Arial Narrow" w:hAnsi="Arial Narrow"/>
          <w:sz w:val="14"/>
        </w:rPr>
        <w:t xml:space="preserve">College of Law &amp; Justice </w:t>
      </w:r>
    </w:p>
    <w:p w14:paraId="21DD27BA" w14:textId="77777777" w:rsidR="00287040" w:rsidRDefault="00287040" w:rsidP="00287040">
      <w:pPr>
        <w:tabs>
          <w:tab w:val="left" w:pos="1701"/>
        </w:tabs>
        <w:ind w:left="6720"/>
        <w:rPr>
          <w:rFonts w:ascii="Arial Narrow" w:hAnsi="Arial Narrow"/>
          <w:sz w:val="14"/>
          <w:szCs w:val="14"/>
        </w:rPr>
      </w:pPr>
      <w:r>
        <w:rPr>
          <w:rFonts w:ascii="Arial Narrow" w:hAnsi="Arial Narrow"/>
          <w:sz w:val="14"/>
          <w:szCs w:val="14"/>
        </w:rPr>
        <w:t>City Queen Campus</w:t>
      </w:r>
    </w:p>
    <w:p w14:paraId="3C49DCC4" w14:textId="77777777" w:rsidR="006B05E2" w:rsidRPr="00187776" w:rsidRDefault="006B05E2" w:rsidP="006B05E2">
      <w:pPr>
        <w:tabs>
          <w:tab w:val="left" w:pos="1701"/>
        </w:tabs>
        <w:ind w:left="6720"/>
        <w:rPr>
          <w:rFonts w:ascii="Arial Narrow" w:hAnsi="Arial Narrow"/>
          <w:sz w:val="14"/>
        </w:rPr>
      </w:pPr>
      <w:r w:rsidRPr="00187776">
        <w:rPr>
          <w:rFonts w:ascii="Arial Narrow" w:hAnsi="Arial Narrow"/>
          <w:sz w:val="14"/>
        </w:rPr>
        <w:t>PO BOX 14428 MELBOURNE</w:t>
      </w:r>
    </w:p>
    <w:p w14:paraId="78A72F01" w14:textId="77777777" w:rsidR="006B05E2" w:rsidRPr="00187776" w:rsidRDefault="006B05E2" w:rsidP="006B05E2">
      <w:pPr>
        <w:tabs>
          <w:tab w:val="left" w:pos="1701"/>
        </w:tabs>
        <w:ind w:left="6720"/>
        <w:rPr>
          <w:rFonts w:ascii="Arial Narrow" w:hAnsi="Arial Narrow"/>
          <w:sz w:val="14"/>
        </w:rPr>
      </w:pPr>
      <w:r w:rsidRPr="00187776">
        <w:rPr>
          <w:rFonts w:ascii="Arial Narrow" w:hAnsi="Arial Narrow"/>
          <w:sz w:val="14"/>
        </w:rPr>
        <w:t>VICTORIA 8001 AUSTRALIA</w:t>
      </w:r>
    </w:p>
    <w:p w14:paraId="40C33778" w14:textId="77777777" w:rsidR="006B05E2" w:rsidRPr="00187776" w:rsidRDefault="006B05E2" w:rsidP="006B05E2">
      <w:pPr>
        <w:tabs>
          <w:tab w:val="left" w:pos="1701"/>
        </w:tabs>
        <w:ind w:left="6720"/>
        <w:rPr>
          <w:rFonts w:ascii="Arial Narrow" w:hAnsi="Arial Narrow"/>
          <w:sz w:val="14"/>
        </w:rPr>
      </w:pPr>
      <w:r w:rsidRPr="00187776">
        <w:rPr>
          <w:rFonts w:ascii="Arial Narrow" w:hAnsi="Arial Narrow"/>
          <w:sz w:val="14"/>
        </w:rPr>
        <w:t>PHONE +61</w:t>
      </w:r>
      <w:r w:rsidR="00F56AF5">
        <w:rPr>
          <w:rFonts w:ascii="Arial Narrow" w:hAnsi="Arial Narrow"/>
          <w:sz w:val="14"/>
        </w:rPr>
        <w:t xml:space="preserve"> 9919 6155</w:t>
      </w:r>
    </w:p>
    <w:p w14:paraId="1C33C50C" w14:textId="77777777" w:rsidR="006B05E2" w:rsidRPr="00187776" w:rsidRDefault="006B05E2" w:rsidP="006B05E2">
      <w:pPr>
        <w:tabs>
          <w:tab w:val="left" w:pos="1701"/>
        </w:tabs>
        <w:ind w:left="6720"/>
        <w:rPr>
          <w:rFonts w:ascii="Arial Narrow" w:hAnsi="Arial Narrow"/>
          <w:sz w:val="14"/>
        </w:rPr>
      </w:pPr>
      <w:r w:rsidRPr="00187776">
        <w:rPr>
          <w:rFonts w:ascii="Arial Narrow" w:hAnsi="Arial Narrow"/>
          <w:sz w:val="14"/>
        </w:rPr>
        <w:t xml:space="preserve">FAX +61 3 </w:t>
      </w:r>
      <w:r w:rsidR="00287040">
        <w:rPr>
          <w:rFonts w:ascii="Arial Narrow" w:hAnsi="Arial Narrow"/>
          <w:sz w:val="14"/>
        </w:rPr>
        <w:t>9919 1840</w:t>
      </w:r>
    </w:p>
    <w:p w14:paraId="091B17A8" w14:textId="77777777" w:rsidR="006B05E2" w:rsidRPr="00187776" w:rsidRDefault="00441BD3" w:rsidP="006B05E2">
      <w:pPr>
        <w:tabs>
          <w:tab w:val="left" w:pos="1701"/>
        </w:tabs>
        <w:ind w:left="6720"/>
        <w:rPr>
          <w:rFonts w:ascii="Arial Narrow" w:hAnsi="Arial Narrow"/>
          <w:sz w:val="14"/>
        </w:rPr>
      </w:pPr>
      <w:hyperlink r:id="rId13" w:history="1">
        <w:r w:rsidR="00F56AF5" w:rsidRPr="00F56AF5">
          <w:rPr>
            <w:rFonts w:ascii="Arial Narrow" w:hAnsi="Arial Narrow"/>
            <w:sz w:val="14"/>
          </w:rPr>
          <w:t>Anona.Armstrong@vu.edu.au</w:t>
        </w:r>
      </w:hyperlink>
      <w:r w:rsidR="00F56AF5" w:rsidRPr="00F56AF5">
        <w:rPr>
          <w:rFonts w:ascii="Arial Narrow" w:hAnsi="Arial Narrow"/>
          <w:sz w:val="14"/>
        </w:rPr>
        <w:t xml:space="preserve"> </w:t>
      </w:r>
    </w:p>
    <w:p w14:paraId="6F6747A5" w14:textId="77777777" w:rsidR="006B05E2" w:rsidRPr="00187776" w:rsidRDefault="006B05E2" w:rsidP="006B05E2">
      <w:pPr>
        <w:tabs>
          <w:tab w:val="left" w:pos="1701"/>
        </w:tabs>
        <w:ind w:left="6720"/>
        <w:rPr>
          <w:rFonts w:ascii="Arial Narrow" w:hAnsi="Arial Narrow"/>
          <w:sz w:val="14"/>
        </w:rPr>
      </w:pPr>
      <w:r w:rsidRPr="00187776">
        <w:rPr>
          <w:rFonts w:ascii="Arial Narrow" w:hAnsi="Arial Narrow"/>
          <w:sz w:val="14"/>
        </w:rPr>
        <w:t>vu.edu.au</w:t>
      </w:r>
    </w:p>
    <w:p w14:paraId="683466F2" w14:textId="77777777" w:rsidR="006B05E2" w:rsidRPr="00397520" w:rsidRDefault="006B05E2" w:rsidP="006B05E2">
      <w:pPr>
        <w:ind w:left="6720"/>
        <w:rPr>
          <w:rFonts w:ascii="Arial Narrow" w:hAnsi="Arial Narrow"/>
        </w:rPr>
      </w:pPr>
    </w:p>
    <w:p w14:paraId="3D5E423B" w14:textId="77777777" w:rsidR="006B05E2" w:rsidRPr="00310ADD" w:rsidRDefault="006E7765" w:rsidP="006B05E2">
      <w:pPr>
        <w:tabs>
          <w:tab w:val="left" w:pos="3119"/>
        </w:tabs>
        <w:rPr>
          <w:rFonts w:ascii="Arial Narrow" w:hAnsi="Arial Narrow"/>
          <w:sz w:val="20"/>
        </w:rPr>
      </w:pPr>
      <w:r>
        <w:rPr>
          <w:rFonts w:ascii="Arial Narrow" w:hAnsi="Arial Narrow"/>
          <w:sz w:val="20"/>
        </w:rPr>
        <w:t>2</w:t>
      </w:r>
      <w:r w:rsidR="00F56AF5">
        <w:rPr>
          <w:rFonts w:ascii="Arial Narrow" w:hAnsi="Arial Narrow"/>
          <w:sz w:val="20"/>
        </w:rPr>
        <w:t xml:space="preserve"> </w:t>
      </w:r>
      <w:r>
        <w:rPr>
          <w:rFonts w:ascii="Arial Narrow" w:hAnsi="Arial Narrow"/>
          <w:sz w:val="20"/>
        </w:rPr>
        <w:t>May</w:t>
      </w:r>
      <w:r w:rsidR="00F56AF5">
        <w:rPr>
          <w:rFonts w:ascii="Arial Narrow" w:hAnsi="Arial Narrow"/>
          <w:sz w:val="20"/>
        </w:rPr>
        <w:t xml:space="preserve"> 2015</w:t>
      </w:r>
    </w:p>
    <w:p w14:paraId="641FB5FC" w14:textId="77777777" w:rsidR="006B05E2" w:rsidRPr="00187776" w:rsidRDefault="006B05E2" w:rsidP="006B05E2">
      <w:pPr>
        <w:tabs>
          <w:tab w:val="left" w:pos="3119"/>
        </w:tabs>
        <w:rPr>
          <w:rFonts w:ascii="Arial Narrow" w:hAnsi="Arial Narrow"/>
          <w:sz w:val="20"/>
        </w:rPr>
      </w:pPr>
    </w:p>
    <w:p w14:paraId="2F957B9C" w14:textId="77777777" w:rsidR="006E7765" w:rsidRPr="006E7765" w:rsidRDefault="006E7765" w:rsidP="006E7765">
      <w:pPr>
        <w:tabs>
          <w:tab w:val="left" w:pos="3119"/>
        </w:tabs>
        <w:jc w:val="both"/>
        <w:rPr>
          <w:rFonts w:ascii="Arial Narrow" w:hAnsi="Arial Narrow"/>
          <w:sz w:val="20"/>
          <w:szCs w:val="20"/>
        </w:rPr>
      </w:pPr>
      <w:r w:rsidRPr="006E7765">
        <w:rPr>
          <w:rFonts w:ascii="Arial Narrow" w:hAnsi="Arial Narrow"/>
          <w:sz w:val="20"/>
          <w:szCs w:val="20"/>
        </w:rPr>
        <w:t>Manager</w:t>
      </w:r>
    </w:p>
    <w:p w14:paraId="14B3DB34" w14:textId="77777777" w:rsidR="006E7765" w:rsidRPr="006E7765" w:rsidRDefault="006E7765" w:rsidP="006E7765">
      <w:pPr>
        <w:tabs>
          <w:tab w:val="left" w:pos="3119"/>
        </w:tabs>
        <w:jc w:val="both"/>
        <w:rPr>
          <w:rFonts w:ascii="Arial Narrow" w:hAnsi="Arial Narrow"/>
          <w:sz w:val="20"/>
          <w:szCs w:val="20"/>
        </w:rPr>
      </w:pPr>
      <w:r w:rsidRPr="006E7765">
        <w:rPr>
          <w:rFonts w:ascii="Arial Narrow" w:hAnsi="Arial Narrow"/>
          <w:sz w:val="20"/>
          <w:szCs w:val="20"/>
        </w:rPr>
        <w:t>Financial System Assessment Unit</w:t>
      </w:r>
    </w:p>
    <w:p w14:paraId="52ED10F6" w14:textId="77777777" w:rsidR="006E7765" w:rsidRPr="006E7765" w:rsidRDefault="006E7765" w:rsidP="006E7765">
      <w:pPr>
        <w:tabs>
          <w:tab w:val="left" w:pos="3119"/>
        </w:tabs>
        <w:jc w:val="both"/>
        <w:rPr>
          <w:rFonts w:ascii="Arial Narrow" w:hAnsi="Arial Narrow"/>
          <w:sz w:val="20"/>
          <w:szCs w:val="20"/>
        </w:rPr>
      </w:pPr>
      <w:r w:rsidRPr="006E7765">
        <w:rPr>
          <w:rFonts w:ascii="Arial Narrow" w:hAnsi="Arial Narrow"/>
          <w:sz w:val="20"/>
          <w:szCs w:val="20"/>
        </w:rPr>
        <w:t>Financial System and Services Division</w:t>
      </w:r>
    </w:p>
    <w:p w14:paraId="6BB09A9C" w14:textId="77777777" w:rsidR="006E7765" w:rsidRPr="006E7765" w:rsidRDefault="006E7765" w:rsidP="006E7765">
      <w:pPr>
        <w:tabs>
          <w:tab w:val="left" w:pos="3119"/>
        </w:tabs>
        <w:jc w:val="both"/>
        <w:rPr>
          <w:rFonts w:ascii="Arial Narrow" w:hAnsi="Arial Narrow"/>
          <w:sz w:val="20"/>
          <w:szCs w:val="20"/>
        </w:rPr>
      </w:pPr>
      <w:r w:rsidRPr="006E7765">
        <w:rPr>
          <w:rFonts w:ascii="Arial Narrow" w:hAnsi="Arial Narrow"/>
          <w:sz w:val="20"/>
          <w:szCs w:val="20"/>
        </w:rPr>
        <w:t>The Treasury</w:t>
      </w:r>
    </w:p>
    <w:p w14:paraId="71284C6D" w14:textId="77777777" w:rsidR="006E7765" w:rsidRPr="006E7765" w:rsidRDefault="006E7765" w:rsidP="006E7765">
      <w:pPr>
        <w:tabs>
          <w:tab w:val="left" w:pos="3119"/>
        </w:tabs>
        <w:jc w:val="both"/>
        <w:rPr>
          <w:rFonts w:ascii="Arial Narrow" w:hAnsi="Arial Narrow"/>
          <w:sz w:val="20"/>
          <w:szCs w:val="20"/>
        </w:rPr>
      </w:pPr>
      <w:r w:rsidRPr="006E7765">
        <w:rPr>
          <w:rFonts w:ascii="Arial Narrow" w:hAnsi="Arial Narrow"/>
          <w:sz w:val="20"/>
          <w:szCs w:val="20"/>
        </w:rPr>
        <w:t>Langton Crescent</w:t>
      </w:r>
    </w:p>
    <w:p w14:paraId="3208F83F" w14:textId="77777777" w:rsidR="00F56AF5" w:rsidRDefault="006E7765" w:rsidP="006E7765">
      <w:pPr>
        <w:tabs>
          <w:tab w:val="left" w:pos="3119"/>
        </w:tabs>
        <w:jc w:val="both"/>
        <w:rPr>
          <w:rFonts w:ascii="Arial Narrow" w:hAnsi="Arial Narrow"/>
          <w:sz w:val="20"/>
          <w:szCs w:val="20"/>
        </w:rPr>
      </w:pPr>
      <w:r w:rsidRPr="006E7765">
        <w:rPr>
          <w:rFonts w:ascii="Arial Narrow" w:hAnsi="Arial Narrow"/>
          <w:sz w:val="20"/>
          <w:szCs w:val="20"/>
        </w:rPr>
        <w:t>PARKES ACT 2600</w:t>
      </w:r>
    </w:p>
    <w:p w14:paraId="1D284C1A" w14:textId="77777777" w:rsidR="006E7765" w:rsidRDefault="006E7765" w:rsidP="006E7765">
      <w:pPr>
        <w:tabs>
          <w:tab w:val="left" w:pos="3119"/>
        </w:tabs>
        <w:jc w:val="both"/>
        <w:rPr>
          <w:rFonts w:ascii="Arial Narrow" w:hAnsi="Arial Narrow"/>
          <w:sz w:val="20"/>
          <w:szCs w:val="20"/>
        </w:rPr>
      </w:pPr>
    </w:p>
    <w:p w14:paraId="2DFC324D" w14:textId="77777777" w:rsidR="00F56AF5" w:rsidRDefault="00B73C13" w:rsidP="00F56AF5">
      <w:pPr>
        <w:tabs>
          <w:tab w:val="left" w:pos="3119"/>
        </w:tabs>
        <w:jc w:val="both"/>
        <w:rPr>
          <w:rFonts w:ascii="Arial Narrow" w:hAnsi="Arial Narrow"/>
          <w:sz w:val="20"/>
          <w:szCs w:val="20"/>
        </w:rPr>
      </w:pPr>
      <w:r>
        <w:rPr>
          <w:rFonts w:ascii="Arial Narrow" w:hAnsi="Arial Narrow"/>
          <w:sz w:val="20"/>
          <w:szCs w:val="20"/>
        </w:rPr>
        <w:t xml:space="preserve">Dear Minister </w:t>
      </w:r>
      <w:proofErr w:type="spellStart"/>
      <w:r>
        <w:rPr>
          <w:rFonts w:ascii="Arial Narrow" w:hAnsi="Arial Narrow"/>
          <w:sz w:val="20"/>
          <w:szCs w:val="20"/>
        </w:rPr>
        <w:t>Cormann</w:t>
      </w:r>
      <w:proofErr w:type="spellEnd"/>
      <w:r>
        <w:rPr>
          <w:rFonts w:ascii="Arial Narrow" w:hAnsi="Arial Narrow"/>
          <w:sz w:val="20"/>
          <w:szCs w:val="20"/>
        </w:rPr>
        <w:t xml:space="preserve"> and Minister Billson</w:t>
      </w:r>
      <w:r w:rsidR="00F56AF5">
        <w:rPr>
          <w:rFonts w:ascii="Arial Narrow" w:hAnsi="Arial Narrow"/>
          <w:sz w:val="20"/>
          <w:szCs w:val="20"/>
        </w:rPr>
        <w:t xml:space="preserve">, </w:t>
      </w:r>
    </w:p>
    <w:p w14:paraId="3F2277EF" w14:textId="77777777" w:rsidR="00F56AF5" w:rsidRDefault="00F56AF5" w:rsidP="00F56AF5">
      <w:pPr>
        <w:tabs>
          <w:tab w:val="left" w:pos="3119"/>
        </w:tabs>
        <w:jc w:val="both"/>
        <w:rPr>
          <w:rFonts w:ascii="Arial Narrow" w:hAnsi="Arial Narrow"/>
          <w:sz w:val="20"/>
          <w:szCs w:val="20"/>
        </w:rPr>
      </w:pPr>
    </w:p>
    <w:p w14:paraId="285FDC00" w14:textId="77777777" w:rsidR="00E65C71" w:rsidRDefault="00B73C13" w:rsidP="00B73C13">
      <w:pPr>
        <w:tabs>
          <w:tab w:val="left" w:pos="3119"/>
        </w:tabs>
        <w:jc w:val="center"/>
        <w:rPr>
          <w:rFonts w:ascii="Arial Narrow" w:hAnsi="Arial Narrow"/>
          <w:sz w:val="20"/>
          <w:szCs w:val="20"/>
        </w:rPr>
      </w:pPr>
      <w:r>
        <w:rPr>
          <w:rFonts w:ascii="Arial Narrow" w:hAnsi="Arial Narrow"/>
          <w:sz w:val="20"/>
          <w:szCs w:val="20"/>
        </w:rPr>
        <w:t>Re: Crowd-sourced Equity Funding Discussion Paper</w:t>
      </w:r>
    </w:p>
    <w:p w14:paraId="0087AD1E" w14:textId="77777777" w:rsidR="00E65C71" w:rsidRDefault="00E65C71" w:rsidP="00F56AF5">
      <w:pPr>
        <w:tabs>
          <w:tab w:val="left" w:pos="3119"/>
        </w:tabs>
        <w:jc w:val="both"/>
        <w:rPr>
          <w:rFonts w:ascii="Arial Narrow" w:hAnsi="Arial Narrow"/>
          <w:sz w:val="20"/>
          <w:szCs w:val="20"/>
        </w:rPr>
      </w:pPr>
    </w:p>
    <w:p w14:paraId="70090574" w14:textId="77777777" w:rsidR="00B73C13" w:rsidRDefault="00B73C13" w:rsidP="00F56AF5">
      <w:pPr>
        <w:tabs>
          <w:tab w:val="left" w:pos="3119"/>
        </w:tabs>
        <w:jc w:val="both"/>
        <w:rPr>
          <w:rFonts w:ascii="Arial Narrow" w:hAnsi="Arial Narrow"/>
          <w:sz w:val="20"/>
          <w:szCs w:val="20"/>
        </w:rPr>
      </w:pPr>
      <w:r>
        <w:rPr>
          <w:rFonts w:ascii="Arial Narrow" w:hAnsi="Arial Narrow"/>
          <w:sz w:val="20"/>
          <w:szCs w:val="20"/>
        </w:rPr>
        <w:t>The Governance Research Program a</w:t>
      </w:r>
      <w:r w:rsidR="00B0605C">
        <w:rPr>
          <w:rFonts w:ascii="Arial Narrow" w:hAnsi="Arial Narrow"/>
          <w:sz w:val="20"/>
          <w:szCs w:val="20"/>
        </w:rPr>
        <w:t>t Victoria University has been committed</w:t>
      </w:r>
      <w:r>
        <w:rPr>
          <w:rFonts w:ascii="Arial Narrow" w:hAnsi="Arial Narrow"/>
          <w:sz w:val="20"/>
          <w:szCs w:val="20"/>
        </w:rPr>
        <w:t xml:space="preserve"> to research into small business governance, regulation, financing and innovation in Australia. Our previous work has been mainly sponsored by the Australian Federal Department of Treasury (Treasury), Australian Research Council, Council of Small Businesses of Australia (COSBOA), Federal Department of Education (in the form of Endeavour Fellowships) and Australia-China Council of Department of Foreign Affairs and Trade (DFAT) to look into the regulation, governance and performance of small business in China as well in the other Asian partner economies. We hereby add our contribution to the discussion paper by </w:t>
      </w:r>
      <w:r w:rsidR="00B0605C">
        <w:rPr>
          <w:rFonts w:ascii="Arial Narrow" w:hAnsi="Arial Narrow"/>
          <w:sz w:val="20"/>
          <w:szCs w:val="20"/>
        </w:rPr>
        <w:t xml:space="preserve">contributing to </w:t>
      </w:r>
      <w:r w:rsidR="0081537D">
        <w:rPr>
          <w:rFonts w:ascii="Arial Narrow" w:hAnsi="Arial Narrow"/>
          <w:sz w:val="20"/>
          <w:szCs w:val="20"/>
        </w:rPr>
        <w:t>the relevant</w:t>
      </w:r>
      <w:r>
        <w:rPr>
          <w:rFonts w:ascii="Arial Narrow" w:hAnsi="Arial Narrow"/>
          <w:sz w:val="20"/>
          <w:szCs w:val="20"/>
        </w:rPr>
        <w:t xml:space="preserve"> evidence base for decision making pertinent to Crowd-funding as follows: </w:t>
      </w:r>
    </w:p>
    <w:p w14:paraId="25231DC4" w14:textId="77777777" w:rsidR="0081537D" w:rsidRDefault="0081537D" w:rsidP="00F56AF5">
      <w:pPr>
        <w:tabs>
          <w:tab w:val="left" w:pos="3119"/>
        </w:tabs>
        <w:jc w:val="both"/>
        <w:rPr>
          <w:rFonts w:ascii="Arial Narrow" w:hAnsi="Arial Narrow"/>
          <w:sz w:val="20"/>
          <w:szCs w:val="20"/>
        </w:rPr>
      </w:pPr>
    </w:p>
    <w:p w14:paraId="4F39B95A" w14:textId="77777777" w:rsidR="00B73C13" w:rsidRDefault="00B73C13" w:rsidP="00F56AF5">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 Is</w:t>
      </w:r>
      <w:r>
        <w:t xml:space="preserve"> </w:t>
      </w:r>
      <w:r w:rsidRPr="00B73C13">
        <w:rPr>
          <w:rFonts w:ascii="Arial Narrow" w:hAnsi="Arial Narrow"/>
          <w:sz w:val="20"/>
          <w:szCs w:val="20"/>
        </w:rPr>
        <w:t xml:space="preserve">the main barrier to the use of CSEF in Australia a lack of a CSEF regulatory structure, or are there other barriers, such as a lack of sustainable investor demand? </w:t>
      </w:r>
    </w:p>
    <w:p w14:paraId="748880AB" w14:textId="77777777" w:rsidR="0081537D" w:rsidRDefault="0081537D" w:rsidP="00B73C13">
      <w:pPr>
        <w:tabs>
          <w:tab w:val="left" w:pos="3119"/>
        </w:tabs>
        <w:jc w:val="both"/>
        <w:rPr>
          <w:rFonts w:ascii="Arial Narrow" w:hAnsi="Arial Narrow"/>
          <w:sz w:val="20"/>
          <w:szCs w:val="20"/>
        </w:rPr>
      </w:pPr>
    </w:p>
    <w:p w14:paraId="33BD0B32" w14:textId="77777777" w:rsidR="0081537D" w:rsidRDefault="0081537D" w:rsidP="00B73C13">
      <w:pPr>
        <w:tabs>
          <w:tab w:val="left" w:pos="3119"/>
        </w:tabs>
        <w:jc w:val="both"/>
        <w:rPr>
          <w:rFonts w:ascii="Arial Narrow" w:hAnsi="Arial Narrow"/>
          <w:sz w:val="20"/>
          <w:szCs w:val="20"/>
        </w:rPr>
      </w:pPr>
      <w:r>
        <w:rPr>
          <w:rFonts w:ascii="Arial Narrow" w:hAnsi="Arial Narrow"/>
          <w:sz w:val="20"/>
          <w:szCs w:val="20"/>
        </w:rPr>
        <w:t>According to the Victoria University’s Small Business Regulation Survey (2012)</w:t>
      </w:r>
      <w:r>
        <w:rPr>
          <w:rStyle w:val="FootnoteReference"/>
          <w:rFonts w:ascii="Arial Narrow" w:hAnsi="Arial Narrow"/>
          <w:sz w:val="20"/>
          <w:szCs w:val="20"/>
        </w:rPr>
        <w:footnoteReference w:id="1"/>
      </w:r>
      <w:r>
        <w:rPr>
          <w:rFonts w:ascii="Arial Narrow" w:hAnsi="Arial Narrow"/>
          <w:sz w:val="20"/>
          <w:szCs w:val="20"/>
        </w:rPr>
        <w:t>, small businesses lack the capacity to catch up with the regulatory reforms, which is a critical barrier that policy makers have to acknowledge during the design and implementation of the CSEF model. Our study finds that any sound regulation pertinent to small businesses has to possess properties such as simple, easy to comply with, not too expensiv</w:t>
      </w:r>
      <w:r w:rsidR="00B63C0D">
        <w:rPr>
          <w:rFonts w:ascii="Arial Narrow" w:hAnsi="Arial Narrow"/>
          <w:sz w:val="20"/>
          <w:szCs w:val="20"/>
        </w:rPr>
        <w:t xml:space="preserve">e, in plain English, and not too IT intensive. </w:t>
      </w:r>
      <w:r>
        <w:rPr>
          <w:rFonts w:ascii="Arial Narrow" w:hAnsi="Arial Narrow"/>
          <w:sz w:val="20"/>
          <w:szCs w:val="20"/>
        </w:rPr>
        <w:t xml:space="preserve">  </w:t>
      </w:r>
    </w:p>
    <w:p w14:paraId="7663465E" w14:textId="77777777" w:rsidR="0081537D" w:rsidRDefault="0081537D" w:rsidP="00B73C13">
      <w:pPr>
        <w:tabs>
          <w:tab w:val="left" w:pos="3119"/>
        </w:tabs>
        <w:jc w:val="both"/>
        <w:rPr>
          <w:rFonts w:ascii="Arial Narrow" w:hAnsi="Arial Narrow"/>
          <w:sz w:val="20"/>
          <w:szCs w:val="20"/>
        </w:rPr>
      </w:pPr>
    </w:p>
    <w:p w14:paraId="598F6FBF" w14:textId="77777777" w:rsidR="00D84C94" w:rsidRDefault="0081537D" w:rsidP="00B73C13">
      <w:pPr>
        <w:tabs>
          <w:tab w:val="left" w:pos="3119"/>
        </w:tabs>
        <w:jc w:val="both"/>
        <w:rPr>
          <w:rFonts w:ascii="Arial Narrow" w:hAnsi="Arial Narrow"/>
          <w:sz w:val="20"/>
          <w:szCs w:val="20"/>
        </w:rPr>
      </w:pPr>
      <w:r>
        <w:rPr>
          <w:rFonts w:ascii="Arial Narrow" w:hAnsi="Arial Narrow"/>
          <w:sz w:val="20"/>
          <w:szCs w:val="20"/>
        </w:rPr>
        <w:t>S</w:t>
      </w:r>
      <w:r w:rsidR="00D84C94">
        <w:rPr>
          <w:rFonts w:ascii="Arial Narrow" w:hAnsi="Arial Narrow"/>
          <w:sz w:val="20"/>
          <w:szCs w:val="20"/>
        </w:rPr>
        <w:t xml:space="preserve">mall businesses are </w:t>
      </w:r>
      <w:r w:rsidR="00B63C0D">
        <w:rPr>
          <w:rFonts w:ascii="Arial Narrow" w:hAnsi="Arial Narrow"/>
          <w:sz w:val="20"/>
          <w:szCs w:val="20"/>
        </w:rPr>
        <w:t>slower</w:t>
      </w:r>
      <w:r w:rsidR="00D84C94">
        <w:rPr>
          <w:rFonts w:ascii="Arial Narrow" w:hAnsi="Arial Narrow"/>
          <w:sz w:val="20"/>
          <w:szCs w:val="20"/>
        </w:rPr>
        <w:t xml:space="preserve"> in catching up with the idea of Crowd-funding </w:t>
      </w:r>
      <w:r w:rsidR="00B63C0D">
        <w:rPr>
          <w:rFonts w:ascii="Arial Narrow" w:hAnsi="Arial Narrow"/>
          <w:sz w:val="20"/>
          <w:szCs w:val="20"/>
        </w:rPr>
        <w:t>comparing with</w:t>
      </w:r>
      <w:r w:rsidR="00D84C94">
        <w:rPr>
          <w:rFonts w:ascii="Arial Narrow" w:hAnsi="Arial Narrow"/>
          <w:sz w:val="20"/>
          <w:szCs w:val="20"/>
        </w:rPr>
        <w:t xml:space="preserve"> their larger counterparts. Hence, one major barrier perceived by the researchers from the Governance Research Program at Victoria University, based on our extensive previous research projects, is </w:t>
      </w:r>
      <w:r w:rsidR="00B0605C">
        <w:rPr>
          <w:rFonts w:ascii="Arial Narrow" w:hAnsi="Arial Narrow"/>
          <w:sz w:val="20"/>
          <w:szCs w:val="20"/>
        </w:rPr>
        <w:t xml:space="preserve">that </w:t>
      </w:r>
      <w:r w:rsidR="00D84C94">
        <w:rPr>
          <w:rFonts w:ascii="Arial Narrow" w:hAnsi="Arial Narrow"/>
          <w:sz w:val="20"/>
          <w:szCs w:val="20"/>
        </w:rPr>
        <w:t xml:space="preserve">the perception of small businesses </w:t>
      </w:r>
      <w:r w:rsidR="00B0605C">
        <w:rPr>
          <w:rFonts w:ascii="Arial Narrow" w:hAnsi="Arial Narrow"/>
          <w:sz w:val="20"/>
          <w:szCs w:val="20"/>
        </w:rPr>
        <w:t xml:space="preserve">is </w:t>
      </w:r>
      <w:r w:rsidR="00D84C94">
        <w:rPr>
          <w:rFonts w:ascii="Arial Narrow" w:hAnsi="Arial Narrow"/>
          <w:sz w:val="20"/>
          <w:szCs w:val="20"/>
        </w:rPr>
        <w:t xml:space="preserve">against the use of CSEF as a complement to their existing funding channels. </w:t>
      </w:r>
    </w:p>
    <w:p w14:paraId="6EBEC5EE" w14:textId="77777777" w:rsidR="00D84C94" w:rsidRDefault="00D84C94" w:rsidP="00B73C13">
      <w:pPr>
        <w:tabs>
          <w:tab w:val="left" w:pos="3119"/>
        </w:tabs>
        <w:jc w:val="both"/>
        <w:rPr>
          <w:rFonts w:ascii="Arial Narrow" w:hAnsi="Arial Narrow"/>
          <w:sz w:val="20"/>
          <w:szCs w:val="20"/>
        </w:rPr>
      </w:pPr>
    </w:p>
    <w:p w14:paraId="27BC299B" w14:textId="77777777" w:rsidR="00B73C13" w:rsidRDefault="00D84C94" w:rsidP="00B73C13">
      <w:pPr>
        <w:tabs>
          <w:tab w:val="left" w:pos="3119"/>
        </w:tabs>
        <w:jc w:val="both"/>
        <w:rPr>
          <w:rFonts w:ascii="Arial Narrow" w:hAnsi="Arial Narrow"/>
          <w:sz w:val="20"/>
          <w:szCs w:val="20"/>
        </w:rPr>
      </w:pPr>
      <w:r>
        <w:rPr>
          <w:rFonts w:ascii="Arial Narrow" w:hAnsi="Arial Narrow"/>
          <w:sz w:val="20"/>
          <w:szCs w:val="20"/>
        </w:rPr>
        <w:t xml:space="preserve">Consequently, the research team proposes that the Australian governments provide more education and real world examples on how CSEF works for each single small businesses and how can they be engaged in the CSEF opportunities initiated by the Federal Ministry of Finance and Ministry of Small Business. </w:t>
      </w:r>
    </w:p>
    <w:p w14:paraId="7894F998" w14:textId="77777777" w:rsidR="00B63C0D" w:rsidRDefault="00B63C0D" w:rsidP="00B73C13">
      <w:pPr>
        <w:tabs>
          <w:tab w:val="left" w:pos="3119"/>
        </w:tabs>
        <w:jc w:val="both"/>
        <w:rPr>
          <w:rFonts w:ascii="Arial Narrow" w:hAnsi="Arial Narrow"/>
          <w:sz w:val="20"/>
          <w:szCs w:val="20"/>
        </w:rPr>
      </w:pPr>
    </w:p>
    <w:p w14:paraId="063837B4" w14:textId="77777777" w:rsidR="00B63C0D" w:rsidRDefault="00B63C0D" w:rsidP="00B73C13">
      <w:pPr>
        <w:tabs>
          <w:tab w:val="left" w:pos="3119"/>
        </w:tabs>
        <w:jc w:val="both"/>
        <w:rPr>
          <w:rFonts w:ascii="Arial Narrow" w:hAnsi="Arial Narrow"/>
          <w:sz w:val="20"/>
          <w:szCs w:val="20"/>
        </w:rPr>
      </w:pPr>
      <w:r>
        <w:rPr>
          <w:rFonts w:ascii="Arial Narrow" w:hAnsi="Arial Narrow"/>
          <w:sz w:val="20"/>
          <w:szCs w:val="20"/>
        </w:rPr>
        <w:t xml:space="preserve">Moreover, the investor demand may be a barrier given that ordinary investors may need further education to understand the risks inherent in the CSEF. It also takes time for the investors to accept the CSEF as an alternative investment option. </w:t>
      </w:r>
    </w:p>
    <w:p w14:paraId="35BDB50E" w14:textId="77777777" w:rsidR="00D84C94" w:rsidRPr="00B73C13" w:rsidRDefault="00D84C94" w:rsidP="00B73C13">
      <w:pPr>
        <w:tabs>
          <w:tab w:val="left" w:pos="3119"/>
        </w:tabs>
        <w:jc w:val="both"/>
        <w:rPr>
          <w:rFonts w:ascii="Arial Narrow" w:hAnsi="Arial Narrow"/>
          <w:sz w:val="20"/>
          <w:szCs w:val="20"/>
        </w:rPr>
      </w:pPr>
    </w:p>
    <w:p w14:paraId="49D7AA8F" w14:textId="77777777" w:rsidR="00B73C13" w:rsidRDefault="00B73C13" w:rsidP="00F56AF5">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Do the existing mechanisms of the managed investment scheme regime and the small scale personal offer exemption sufficiently facilitate online offers of equity in small companies?</w:t>
      </w:r>
    </w:p>
    <w:p w14:paraId="71B70CEF" w14:textId="77777777" w:rsidR="00D84C94" w:rsidRDefault="00D84C94" w:rsidP="00D84C94">
      <w:pPr>
        <w:tabs>
          <w:tab w:val="left" w:pos="3119"/>
        </w:tabs>
        <w:jc w:val="both"/>
        <w:rPr>
          <w:rFonts w:ascii="Arial Narrow" w:hAnsi="Arial Narrow"/>
          <w:sz w:val="20"/>
          <w:szCs w:val="20"/>
        </w:rPr>
      </w:pPr>
    </w:p>
    <w:p w14:paraId="167816A0" w14:textId="77777777" w:rsidR="00D84C94" w:rsidRDefault="00D84C94" w:rsidP="00D84C94">
      <w:pPr>
        <w:tabs>
          <w:tab w:val="left" w:pos="3119"/>
        </w:tabs>
        <w:jc w:val="both"/>
        <w:rPr>
          <w:rFonts w:ascii="Arial Narrow" w:hAnsi="Arial Narrow"/>
          <w:sz w:val="20"/>
          <w:szCs w:val="20"/>
        </w:rPr>
      </w:pPr>
      <w:r>
        <w:rPr>
          <w:rFonts w:ascii="Arial Narrow" w:hAnsi="Arial Narrow"/>
          <w:sz w:val="20"/>
          <w:szCs w:val="20"/>
        </w:rPr>
        <w:t xml:space="preserve">No. The Governance Research Team at VU firmly believe, based on the evidence aggregated from our previous research, </w:t>
      </w:r>
      <w:r w:rsidR="00B0605C">
        <w:rPr>
          <w:rFonts w:ascii="Arial Narrow" w:hAnsi="Arial Narrow"/>
          <w:sz w:val="20"/>
          <w:szCs w:val="20"/>
        </w:rPr>
        <w:t xml:space="preserve">that </w:t>
      </w:r>
      <w:r>
        <w:rPr>
          <w:rFonts w:ascii="Arial Narrow" w:hAnsi="Arial Narrow"/>
          <w:sz w:val="20"/>
          <w:szCs w:val="20"/>
        </w:rPr>
        <w:t xml:space="preserve">due to resource constraints and lack of expertise in modern management decision making, </w:t>
      </w:r>
      <w:r w:rsidR="00B0605C">
        <w:rPr>
          <w:rFonts w:ascii="Arial Narrow" w:hAnsi="Arial Narrow"/>
          <w:sz w:val="20"/>
          <w:szCs w:val="20"/>
        </w:rPr>
        <w:t xml:space="preserve"> </w:t>
      </w:r>
      <w:r>
        <w:rPr>
          <w:rFonts w:ascii="Arial Narrow" w:hAnsi="Arial Narrow"/>
          <w:sz w:val="20"/>
          <w:szCs w:val="20"/>
        </w:rPr>
        <w:t xml:space="preserve">small business access to the </w:t>
      </w:r>
      <w:bookmarkStart w:id="1" w:name="OLE_LINK2"/>
      <w:bookmarkStart w:id="2" w:name="OLE_LINK3"/>
      <w:r>
        <w:rPr>
          <w:rFonts w:ascii="Arial Narrow" w:hAnsi="Arial Narrow"/>
          <w:sz w:val="20"/>
          <w:szCs w:val="20"/>
        </w:rPr>
        <w:t xml:space="preserve">managed investment scheme and small scale personal offer exemption </w:t>
      </w:r>
      <w:bookmarkEnd w:id="1"/>
      <w:bookmarkEnd w:id="2"/>
      <w:r>
        <w:rPr>
          <w:rFonts w:ascii="Arial Narrow" w:hAnsi="Arial Narrow"/>
          <w:sz w:val="20"/>
          <w:szCs w:val="20"/>
        </w:rPr>
        <w:t>ha</w:t>
      </w:r>
      <w:r w:rsidR="00B0605C">
        <w:rPr>
          <w:rFonts w:ascii="Arial Narrow" w:hAnsi="Arial Narrow"/>
          <w:sz w:val="20"/>
          <w:szCs w:val="20"/>
        </w:rPr>
        <w:t>s</w:t>
      </w:r>
      <w:r>
        <w:rPr>
          <w:rFonts w:ascii="Arial Narrow" w:hAnsi="Arial Narrow"/>
          <w:sz w:val="20"/>
          <w:szCs w:val="20"/>
        </w:rPr>
        <w:t xml:space="preserve"> been constrained. </w:t>
      </w:r>
    </w:p>
    <w:p w14:paraId="1808BDE3" w14:textId="77777777" w:rsidR="00D84C94" w:rsidRDefault="00D84C94" w:rsidP="00D84C94">
      <w:pPr>
        <w:tabs>
          <w:tab w:val="left" w:pos="3119"/>
        </w:tabs>
        <w:jc w:val="both"/>
        <w:rPr>
          <w:rFonts w:ascii="Arial Narrow" w:hAnsi="Arial Narrow"/>
          <w:sz w:val="20"/>
          <w:szCs w:val="20"/>
        </w:rPr>
      </w:pPr>
    </w:p>
    <w:p w14:paraId="22696510" w14:textId="77777777" w:rsidR="00D84C94" w:rsidRDefault="00D84C94" w:rsidP="00D84C94">
      <w:pPr>
        <w:tabs>
          <w:tab w:val="left" w:pos="3119"/>
        </w:tabs>
        <w:jc w:val="both"/>
        <w:rPr>
          <w:rFonts w:ascii="Arial Narrow" w:hAnsi="Arial Narrow"/>
          <w:sz w:val="20"/>
          <w:szCs w:val="20"/>
        </w:rPr>
      </w:pPr>
      <w:r>
        <w:rPr>
          <w:rFonts w:ascii="Arial Narrow" w:hAnsi="Arial Narrow"/>
          <w:sz w:val="20"/>
          <w:szCs w:val="20"/>
        </w:rPr>
        <w:lastRenderedPageBreak/>
        <w:t>From the Resource-dependency Theory perspective, small business</w:t>
      </w:r>
      <w:r w:rsidR="00B0605C">
        <w:rPr>
          <w:rFonts w:ascii="Arial Narrow" w:hAnsi="Arial Narrow"/>
          <w:sz w:val="20"/>
          <w:szCs w:val="20"/>
        </w:rPr>
        <w:t>es</w:t>
      </w:r>
      <w:r>
        <w:rPr>
          <w:rFonts w:ascii="Arial Narrow" w:hAnsi="Arial Narrow"/>
          <w:sz w:val="20"/>
          <w:szCs w:val="20"/>
        </w:rPr>
        <w:t xml:space="preserve"> lack finance, strategic planning and marketing expertise, which excludes them from accessing the alternative funding venues such as the managed investment scheme and small scale personal offer exemption. Moreover, the small corpora</w:t>
      </w:r>
      <w:r w:rsidR="00B0605C">
        <w:rPr>
          <w:rFonts w:ascii="Arial Narrow" w:hAnsi="Arial Narrow"/>
          <w:sz w:val="20"/>
          <w:szCs w:val="20"/>
        </w:rPr>
        <w:t>tions lack the capacity to deal</w:t>
      </w:r>
      <w:r>
        <w:rPr>
          <w:rFonts w:ascii="Arial Narrow" w:hAnsi="Arial Narrow"/>
          <w:sz w:val="20"/>
          <w:szCs w:val="20"/>
        </w:rPr>
        <w:t xml:space="preserve"> with regulatory compliance requirements associated with </w:t>
      </w:r>
      <w:r w:rsidR="00B0605C">
        <w:rPr>
          <w:rFonts w:ascii="Arial Narrow" w:hAnsi="Arial Narrow"/>
          <w:sz w:val="20"/>
          <w:szCs w:val="20"/>
        </w:rPr>
        <w:t xml:space="preserve">a </w:t>
      </w:r>
      <w:r>
        <w:rPr>
          <w:rFonts w:ascii="Arial Narrow" w:hAnsi="Arial Narrow"/>
          <w:sz w:val="20"/>
          <w:szCs w:val="20"/>
        </w:rPr>
        <w:t>managed investment scheme and small scale personal offer exemption. We estimated that that the extra compliance costs in terms of the internal human capital to be allocated</w:t>
      </w:r>
      <w:r w:rsidR="00821A1F">
        <w:rPr>
          <w:rFonts w:ascii="Arial Narrow" w:hAnsi="Arial Narrow"/>
          <w:sz w:val="20"/>
          <w:szCs w:val="20"/>
        </w:rPr>
        <w:t xml:space="preserve"> $3,000-$5,000 on average</w:t>
      </w:r>
      <w:r>
        <w:rPr>
          <w:rFonts w:ascii="Arial Narrow" w:hAnsi="Arial Narrow"/>
          <w:sz w:val="20"/>
          <w:szCs w:val="20"/>
        </w:rPr>
        <w:t xml:space="preserve"> to </w:t>
      </w:r>
      <w:r w:rsidR="00821A1F">
        <w:rPr>
          <w:rFonts w:ascii="Arial Narrow" w:hAnsi="Arial Narrow"/>
          <w:sz w:val="20"/>
          <w:szCs w:val="20"/>
        </w:rPr>
        <w:t xml:space="preserve">meet </w:t>
      </w:r>
      <w:r>
        <w:rPr>
          <w:rFonts w:ascii="Arial Narrow" w:hAnsi="Arial Narrow"/>
          <w:sz w:val="20"/>
          <w:szCs w:val="20"/>
        </w:rPr>
        <w:t>the com</w:t>
      </w:r>
      <w:r w:rsidR="00821A1F">
        <w:rPr>
          <w:rFonts w:ascii="Arial Narrow" w:hAnsi="Arial Narrow"/>
          <w:sz w:val="20"/>
          <w:szCs w:val="20"/>
        </w:rPr>
        <w:t xml:space="preserve">pliance of regulatory requirements. Furthermore, the small corporations who responded to our small business survey claimed that they are really poor in dealing with new regulatory reforms. Hence, the existing mechanisms fail to meet the requirement of small corporations.  </w:t>
      </w:r>
    </w:p>
    <w:p w14:paraId="4056E81C" w14:textId="77777777" w:rsidR="00D84C94" w:rsidRDefault="00D84C94" w:rsidP="00D84C94">
      <w:pPr>
        <w:tabs>
          <w:tab w:val="left" w:pos="3119"/>
        </w:tabs>
        <w:jc w:val="both"/>
        <w:rPr>
          <w:rFonts w:ascii="Arial Narrow" w:hAnsi="Arial Narrow"/>
          <w:sz w:val="20"/>
          <w:szCs w:val="20"/>
        </w:rPr>
      </w:pPr>
    </w:p>
    <w:p w14:paraId="61135715" w14:textId="77777777" w:rsidR="00D84C94" w:rsidRPr="00D84C94" w:rsidRDefault="00D84C94" w:rsidP="00D84C94">
      <w:pPr>
        <w:tabs>
          <w:tab w:val="left" w:pos="3119"/>
        </w:tabs>
        <w:jc w:val="both"/>
        <w:rPr>
          <w:rFonts w:ascii="Arial Narrow" w:hAnsi="Arial Narrow"/>
          <w:sz w:val="20"/>
          <w:szCs w:val="20"/>
        </w:rPr>
      </w:pPr>
    </w:p>
    <w:p w14:paraId="3E00A376" w14:textId="77777777" w:rsidR="00821A1F" w:rsidRDefault="00B73C13" w:rsidP="00821A1F">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Other than the restrictions identified above in relation to limitations on proprietary companies, public company compliance requirements and disclosure, are there any other barriers to the use of CSEF in Australia? </w:t>
      </w:r>
    </w:p>
    <w:p w14:paraId="398BAFBF" w14:textId="77777777" w:rsidR="00821A1F" w:rsidRDefault="00821A1F" w:rsidP="00821A1F">
      <w:pPr>
        <w:tabs>
          <w:tab w:val="left" w:pos="3119"/>
        </w:tabs>
        <w:jc w:val="both"/>
        <w:rPr>
          <w:rFonts w:ascii="Arial Narrow" w:hAnsi="Arial Narrow"/>
          <w:sz w:val="20"/>
          <w:szCs w:val="20"/>
        </w:rPr>
      </w:pPr>
      <w:r>
        <w:rPr>
          <w:rFonts w:ascii="Arial Narrow" w:hAnsi="Arial Narrow"/>
          <w:sz w:val="20"/>
          <w:szCs w:val="20"/>
        </w:rPr>
        <w:t xml:space="preserve">We perceived that it is the awareness of CSEF amongst the small business community as well as their limited understanding of the regulatory changes that restricts the small businesses from accessing the advanced CSEF options. </w:t>
      </w:r>
    </w:p>
    <w:p w14:paraId="3EE20FF9" w14:textId="77777777" w:rsidR="00821A1F" w:rsidRDefault="00821A1F" w:rsidP="00821A1F">
      <w:pPr>
        <w:tabs>
          <w:tab w:val="left" w:pos="3119"/>
        </w:tabs>
        <w:jc w:val="both"/>
        <w:rPr>
          <w:rFonts w:ascii="Arial Narrow" w:hAnsi="Arial Narrow"/>
          <w:sz w:val="20"/>
          <w:szCs w:val="20"/>
        </w:rPr>
      </w:pPr>
    </w:p>
    <w:p w14:paraId="018B9848" w14:textId="77777777" w:rsidR="00821A1F" w:rsidRPr="00821A1F" w:rsidRDefault="00821A1F" w:rsidP="00821A1F">
      <w:pPr>
        <w:tabs>
          <w:tab w:val="left" w:pos="3119"/>
        </w:tabs>
        <w:jc w:val="both"/>
        <w:rPr>
          <w:rFonts w:ascii="Arial Narrow" w:hAnsi="Arial Narrow"/>
          <w:sz w:val="20"/>
          <w:szCs w:val="20"/>
        </w:rPr>
      </w:pPr>
    </w:p>
    <w:p w14:paraId="635DA6F2" w14:textId="77777777" w:rsid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Should any CSEF regime focus on the financing needs of small businesses and start-ups only, or is there a broader fundraising role? </w:t>
      </w:r>
    </w:p>
    <w:p w14:paraId="1ADA72E0" w14:textId="77777777" w:rsidR="00821A1F" w:rsidRPr="00821A1F" w:rsidRDefault="00821A1F" w:rsidP="00821A1F">
      <w:pPr>
        <w:tabs>
          <w:tab w:val="left" w:pos="3119"/>
        </w:tabs>
        <w:jc w:val="both"/>
        <w:rPr>
          <w:rFonts w:ascii="Arial Narrow" w:hAnsi="Arial Narrow"/>
          <w:sz w:val="20"/>
          <w:szCs w:val="20"/>
        </w:rPr>
      </w:pPr>
    </w:p>
    <w:p w14:paraId="4975BBF7" w14:textId="77777777" w:rsidR="00821A1F" w:rsidRDefault="00821A1F" w:rsidP="00821A1F">
      <w:pPr>
        <w:tabs>
          <w:tab w:val="left" w:pos="3119"/>
        </w:tabs>
        <w:jc w:val="both"/>
        <w:rPr>
          <w:rFonts w:ascii="Arial Narrow" w:hAnsi="Arial Narrow"/>
          <w:sz w:val="20"/>
          <w:szCs w:val="20"/>
        </w:rPr>
      </w:pPr>
      <w:r>
        <w:rPr>
          <w:rFonts w:ascii="Arial Narrow" w:hAnsi="Arial Narrow"/>
          <w:sz w:val="20"/>
          <w:szCs w:val="20"/>
        </w:rPr>
        <w:t>The Small businesses in general suffer from limited access to finance, due to the fact that they do not have eligible collateral, credit history (as individuals, a lot of them tend to not borrowing anything), and the ability to pay back the interests.  The CSEF will significant expand their access to finance, though the scope of the CSEF may have to be broaden</w:t>
      </w:r>
      <w:r w:rsidR="00B0605C">
        <w:rPr>
          <w:rFonts w:ascii="Arial Narrow" w:hAnsi="Arial Narrow"/>
          <w:sz w:val="20"/>
          <w:szCs w:val="20"/>
        </w:rPr>
        <w:t xml:space="preserve">ed </w:t>
      </w:r>
      <w:r>
        <w:rPr>
          <w:rFonts w:ascii="Arial Narrow" w:hAnsi="Arial Narrow"/>
          <w:sz w:val="20"/>
          <w:szCs w:val="20"/>
        </w:rPr>
        <w:t xml:space="preserve">to </w:t>
      </w:r>
      <w:r w:rsidR="00B0605C">
        <w:rPr>
          <w:rFonts w:ascii="Arial Narrow" w:hAnsi="Arial Narrow"/>
          <w:sz w:val="20"/>
          <w:szCs w:val="20"/>
        </w:rPr>
        <w:t xml:space="preserve">suit </w:t>
      </w:r>
      <w:r>
        <w:rPr>
          <w:rFonts w:ascii="Arial Narrow" w:hAnsi="Arial Narrow"/>
          <w:sz w:val="20"/>
          <w:szCs w:val="20"/>
        </w:rPr>
        <w:t>small businesses</w:t>
      </w:r>
      <w:r w:rsidR="0095584E">
        <w:rPr>
          <w:rFonts w:ascii="Arial Narrow" w:hAnsi="Arial Narrow"/>
          <w:sz w:val="20"/>
          <w:szCs w:val="20"/>
        </w:rPr>
        <w:t xml:space="preserve"> in general</w:t>
      </w:r>
      <w:r>
        <w:rPr>
          <w:rFonts w:ascii="Arial Narrow" w:hAnsi="Arial Narrow"/>
          <w:sz w:val="20"/>
          <w:szCs w:val="20"/>
        </w:rPr>
        <w:t xml:space="preserve"> (small and medium-sized enterprises according to the Australian Bureau of Statistics definition</w:t>
      </w:r>
      <w:r w:rsidR="0095584E">
        <w:rPr>
          <w:rFonts w:ascii="Arial Narrow" w:hAnsi="Arial Narrow"/>
          <w:sz w:val="20"/>
          <w:szCs w:val="20"/>
        </w:rPr>
        <w:t>, which employ less than 99 employees</w:t>
      </w:r>
      <w:r>
        <w:rPr>
          <w:rFonts w:ascii="Arial Narrow" w:hAnsi="Arial Narrow"/>
          <w:sz w:val="20"/>
          <w:szCs w:val="20"/>
        </w:rPr>
        <w:t>).</w:t>
      </w:r>
    </w:p>
    <w:p w14:paraId="44B8BC3C" w14:textId="77777777" w:rsidR="00821A1F" w:rsidRDefault="00821A1F" w:rsidP="00821A1F">
      <w:pPr>
        <w:tabs>
          <w:tab w:val="left" w:pos="3119"/>
        </w:tabs>
        <w:jc w:val="both"/>
        <w:rPr>
          <w:rFonts w:ascii="Arial Narrow" w:hAnsi="Arial Narrow"/>
          <w:sz w:val="20"/>
          <w:szCs w:val="20"/>
        </w:rPr>
      </w:pPr>
    </w:p>
    <w:p w14:paraId="7E1A2AE7" w14:textId="77777777" w:rsidR="00821A1F" w:rsidRDefault="00821A1F" w:rsidP="00821A1F">
      <w:pPr>
        <w:tabs>
          <w:tab w:val="left" w:pos="3119"/>
        </w:tabs>
        <w:jc w:val="both"/>
        <w:rPr>
          <w:rFonts w:ascii="Arial Narrow" w:hAnsi="Arial Narrow"/>
          <w:sz w:val="20"/>
          <w:szCs w:val="20"/>
        </w:rPr>
      </w:pPr>
    </w:p>
    <w:p w14:paraId="4CECC957" w14:textId="77777777" w:rsid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Do you consider that, compared to existing public company compliance costs, the exempt public company structure is necessary to facilitate CSEF in Australia? </w:t>
      </w:r>
    </w:p>
    <w:p w14:paraId="32F4FE53" w14:textId="77777777" w:rsidR="0095584E" w:rsidRDefault="0095584E" w:rsidP="0095584E">
      <w:pPr>
        <w:tabs>
          <w:tab w:val="left" w:pos="3119"/>
        </w:tabs>
        <w:jc w:val="both"/>
        <w:rPr>
          <w:rFonts w:ascii="Arial Narrow" w:hAnsi="Arial Narrow"/>
          <w:sz w:val="20"/>
          <w:szCs w:val="20"/>
        </w:rPr>
      </w:pPr>
    </w:p>
    <w:p w14:paraId="7BCD8952" w14:textId="77777777" w:rsidR="0095584E" w:rsidRDefault="00FC0B20" w:rsidP="0095584E">
      <w:pPr>
        <w:tabs>
          <w:tab w:val="left" w:pos="3119"/>
        </w:tabs>
        <w:jc w:val="both"/>
        <w:rPr>
          <w:rFonts w:ascii="Arial Narrow" w:hAnsi="Arial Narrow"/>
          <w:sz w:val="20"/>
          <w:szCs w:val="20"/>
        </w:rPr>
      </w:pPr>
      <w:r>
        <w:rPr>
          <w:rFonts w:ascii="Arial Narrow" w:hAnsi="Arial Narrow"/>
          <w:sz w:val="20"/>
          <w:szCs w:val="20"/>
        </w:rPr>
        <w:t xml:space="preserve">Based on the evidence established from our extant projects, we are confident to argue that the small businesses bear disproportionate compliance costs, albeit that they have to meet numerous regulatory compliance requirements as their larger counterparts. </w:t>
      </w:r>
    </w:p>
    <w:p w14:paraId="171A0075" w14:textId="77777777" w:rsidR="00FC0B20" w:rsidRDefault="00FC0B20" w:rsidP="0095584E">
      <w:pPr>
        <w:tabs>
          <w:tab w:val="left" w:pos="3119"/>
        </w:tabs>
        <w:jc w:val="both"/>
        <w:rPr>
          <w:rFonts w:ascii="Arial Narrow" w:hAnsi="Arial Narrow"/>
          <w:sz w:val="20"/>
          <w:szCs w:val="20"/>
        </w:rPr>
      </w:pPr>
    </w:p>
    <w:p w14:paraId="5B90511C" w14:textId="77777777" w:rsidR="00FC0B20" w:rsidRDefault="00FC0B20" w:rsidP="0095584E">
      <w:pPr>
        <w:tabs>
          <w:tab w:val="left" w:pos="3119"/>
        </w:tabs>
        <w:jc w:val="both"/>
        <w:rPr>
          <w:rFonts w:ascii="Arial Narrow" w:hAnsi="Arial Narrow"/>
          <w:sz w:val="20"/>
          <w:szCs w:val="20"/>
        </w:rPr>
      </w:pPr>
      <w:r>
        <w:rPr>
          <w:rFonts w:ascii="Arial Narrow" w:hAnsi="Arial Narrow"/>
          <w:sz w:val="20"/>
          <w:szCs w:val="20"/>
        </w:rPr>
        <w:t xml:space="preserve">We believe that the exemption of public company structure will facilitate the CSEF in Australia. Moreover, we would propose the adoption of partnership with limited liability as a complement to the existing legal forms. </w:t>
      </w:r>
    </w:p>
    <w:p w14:paraId="4A847963" w14:textId="77777777" w:rsidR="00FC0B20" w:rsidRPr="0095584E" w:rsidRDefault="00FC0B20" w:rsidP="0095584E">
      <w:pPr>
        <w:tabs>
          <w:tab w:val="left" w:pos="3119"/>
        </w:tabs>
        <w:jc w:val="both"/>
        <w:rPr>
          <w:rFonts w:ascii="Arial Narrow" w:hAnsi="Arial Narrow"/>
          <w:sz w:val="20"/>
          <w:szCs w:val="20"/>
        </w:rPr>
      </w:pPr>
    </w:p>
    <w:p w14:paraId="5731991D" w14:textId="77777777" w:rsid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To what extent would the requirement for CSEF issuers to be a public company, including an exempt public company, and the associated compliance costs limit the attractiveness of CSEF for small businesses and start-ups? </w:t>
      </w:r>
    </w:p>
    <w:p w14:paraId="24CBD8AF" w14:textId="77777777" w:rsidR="00B63C0D" w:rsidRPr="00B63C0D" w:rsidRDefault="00B63C0D" w:rsidP="00B63C0D">
      <w:pPr>
        <w:tabs>
          <w:tab w:val="left" w:pos="3119"/>
        </w:tabs>
        <w:ind w:left="360"/>
        <w:jc w:val="both"/>
        <w:rPr>
          <w:rFonts w:ascii="Arial Narrow" w:hAnsi="Arial Narrow"/>
          <w:sz w:val="20"/>
          <w:szCs w:val="20"/>
        </w:rPr>
      </w:pPr>
    </w:p>
    <w:p w14:paraId="3B4481AC" w14:textId="77777777" w:rsidR="00FC0B20" w:rsidRDefault="00FC0B20" w:rsidP="00FC0B20">
      <w:pPr>
        <w:tabs>
          <w:tab w:val="left" w:pos="3119"/>
        </w:tabs>
        <w:jc w:val="both"/>
        <w:rPr>
          <w:rFonts w:ascii="Arial Narrow" w:hAnsi="Arial Narrow"/>
          <w:sz w:val="20"/>
          <w:szCs w:val="20"/>
        </w:rPr>
      </w:pPr>
      <w:r>
        <w:rPr>
          <w:rFonts w:ascii="Arial Narrow" w:hAnsi="Arial Narrow"/>
          <w:sz w:val="20"/>
          <w:szCs w:val="20"/>
        </w:rPr>
        <w:t xml:space="preserve">The risk-based regulatory approach should be adopted with regards to the </w:t>
      </w:r>
      <w:r w:rsidR="00B0605C">
        <w:rPr>
          <w:rFonts w:ascii="Arial Narrow" w:hAnsi="Arial Narrow"/>
          <w:sz w:val="20"/>
          <w:szCs w:val="20"/>
        </w:rPr>
        <w:t xml:space="preserve">issuing of </w:t>
      </w:r>
      <w:r>
        <w:rPr>
          <w:rFonts w:ascii="Arial Narrow" w:hAnsi="Arial Narrow"/>
          <w:sz w:val="20"/>
          <w:szCs w:val="20"/>
        </w:rPr>
        <w:t>CSEF. In other words, as long as the risk for the CSEF is not substantial, the small businesses should be left alon</w:t>
      </w:r>
      <w:r w:rsidR="00B0605C">
        <w:rPr>
          <w:rFonts w:ascii="Arial Narrow" w:hAnsi="Arial Narrow"/>
          <w:sz w:val="20"/>
          <w:szCs w:val="20"/>
        </w:rPr>
        <w:t>e</w:t>
      </w:r>
      <w:r>
        <w:rPr>
          <w:rFonts w:ascii="Arial Narrow" w:hAnsi="Arial Narrow"/>
          <w:sz w:val="20"/>
          <w:szCs w:val="20"/>
        </w:rPr>
        <w:t>. When it goes beyond certain cutting off point, in the JOBS legislation</w:t>
      </w:r>
      <w:r w:rsidR="00B0605C">
        <w:rPr>
          <w:rFonts w:ascii="Arial Narrow" w:hAnsi="Arial Narrow"/>
          <w:sz w:val="20"/>
          <w:szCs w:val="20"/>
        </w:rPr>
        <w:t xml:space="preserve"> this</w:t>
      </w:r>
      <w:r>
        <w:rPr>
          <w:rFonts w:ascii="Arial Narrow" w:hAnsi="Arial Narrow"/>
          <w:sz w:val="20"/>
          <w:szCs w:val="20"/>
        </w:rPr>
        <w:t xml:space="preserve"> is $10 million, then the public company </w:t>
      </w:r>
      <w:r w:rsidR="00B0605C">
        <w:rPr>
          <w:rFonts w:ascii="Arial Narrow" w:hAnsi="Arial Narrow"/>
          <w:sz w:val="20"/>
          <w:szCs w:val="20"/>
        </w:rPr>
        <w:t xml:space="preserve">structure </w:t>
      </w:r>
      <w:r>
        <w:rPr>
          <w:rFonts w:ascii="Arial Narrow" w:hAnsi="Arial Narrow"/>
          <w:sz w:val="20"/>
          <w:szCs w:val="20"/>
        </w:rPr>
        <w:t xml:space="preserve">should be introduced.  </w:t>
      </w:r>
    </w:p>
    <w:p w14:paraId="4E2F83FE" w14:textId="77777777" w:rsidR="00FC0B20" w:rsidRPr="00FC0B20" w:rsidRDefault="00FC0B20" w:rsidP="00FC0B20">
      <w:pPr>
        <w:tabs>
          <w:tab w:val="left" w:pos="3119"/>
        </w:tabs>
        <w:jc w:val="both"/>
        <w:rPr>
          <w:rFonts w:ascii="Arial Narrow" w:hAnsi="Arial Narrow"/>
          <w:sz w:val="20"/>
          <w:szCs w:val="20"/>
        </w:rPr>
      </w:pPr>
    </w:p>
    <w:p w14:paraId="0FE77F51" w14:textId="77777777" w:rsid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Compared to the status quo, are there risks that companies will use the exempt public company structure for regulatory arbitrage, and do these risks outweigh the benefits of the structure in facilitating CSEF? </w:t>
      </w:r>
    </w:p>
    <w:p w14:paraId="3F0C0A50" w14:textId="77777777" w:rsidR="00FC0B20" w:rsidRDefault="00FC0B20" w:rsidP="00FC0B20">
      <w:pPr>
        <w:tabs>
          <w:tab w:val="left" w:pos="3119"/>
        </w:tabs>
        <w:jc w:val="both"/>
        <w:rPr>
          <w:rFonts w:ascii="Arial Narrow" w:hAnsi="Arial Narrow"/>
          <w:sz w:val="20"/>
          <w:szCs w:val="20"/>
        </w:rPr>
      </w:pPr>
    </w:p>
    <w:p w14:paraId="4BF46844" w14:textId="77777777" w:rsidR="00FC0B20" w:rsidRDefault="00FC0B20" w:rsidP="00FC0B20">
      <w:pPr>
        <w:tabs>
          <w:tab w:val="left" w:pos="3119"/>
        </w:tabs>
        <w:jc w:val="both"/>
        <w:rPr>
          <w:rFonts w:ascii="Arial Narrow" w:hAnsi="Arial Narrow"/>
          <w:sz w:val="20"/>
          <w:szCs w:val="20"/>
        </w:rPr>
      </w:pPr>
      <w:r>
        <w:rPr>
          <w:rFonts w:ascii="Arial Narrow" w:hAnsi="Arial Narrow"/>
          <w:sz w:val="20"/>
          <w:szCs w:val="20"/>
        </w:rPr>
        <w:t xml:space="preserve">Given that the failure rate is reasonable high according to the historical data, it is suggested a risk-based regulatory approach should be taken to deal with such issues. As long as the risks are beyond control, it is a must that the </w:t>
      </w:r>
      <w:r w:rsidR="000B6C76">
        <w:rPr>
          <w:rFonts w:ascii="Arial Narrow" w:hAnsi="Arial Narrow"/>
          <w:sz w:val="20"/>
          <w:szCs w:val="20"/>
        </w:rPr>
        <w:t>state steps</w:t>
      </w:r>
      <w:r>
        <w:rPr>
          <w:rFonts w:ascii="Arial Narrow" w:hAnsi="Arial Narrow"/>
          <w:sz w:val="20"/>
          <w:szCs w:val="20"/>
        </w:rPr>
        <w:t xml:space="preserve"> in to intervene, which should be imbedded in the regulatory design.</w:t>
      </w:r>
    </w:p>
    <w:p w14:paraId="7A50E44C" w14:textId="77777777" w:rsidR="00FC0B20" w:rsidRPr="00FC0B20" w:rsidRDefault="00FC0B20" w:rsidP="00FC0B20">
      <w:pPr>
        <w:tabs>
          <w:tab w:val="left" w:pos="3119"/>
        </w:tabs>
        <w:jc w:val="both"/>
        <w:rPr>
          <w:rFonts w:ascii="Arial Narrow" w:hAnsi="Arial Narrow"/>
          <w:sz w:val="20"/>
          <w:szCs w:val="20"/>
        </w:rPr>
      </w:pPr>
    </w:p>
    <w:p w14:paraId="0C533185" w14:textId="77777777" w:rsid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Do you consider that the proposed caps and thresholds related to issuers are set at an appropriate level? Should any of the caps be aligned to be consistent with each other, and if so, which ones and at what level? </w:t>
      </w:r>
    </w:p>
    <w:p w14:paraId="6E9F832C" w14:textId="77777777" w:rsidR="00FC0B20" w:rsidRDefault="00FC0B20" w:rsidP="00FC0B20">
      <w:pPr>
        <w:tabs>
          <w:tab w:val="left" w:pos="3119"/>
        </w:tabs>
        <w:jc w:val="both"/>
        <w:rPr>
          <w:rFonts w:ascii="Arial Narrow" w:hAnsi="Arial Narrow"/>
          <w:sz w:val="20"/>
          <w:szCs w:val="20"/>
        </w:rPr>
      </w:pPr>
    </w:p>
    <w:p w14:paraId="7878103D" w14:textId="77777777" w:rsidR="00FC0B20" w:rsidRDefault="00FC0B20" w:rsidP="00FC0B20">
      <w:pPr>
        <w:tabs>
          <w:tab w:val="left" w:pos="3119"/>
        </w:tabs>
        <w:jc w:val="both"/>
        <w:rPr>
          <w:rFonts w:ascii="Arial Narrow" w:hAnsi="Arial Narrow"/>
          <w:sz w:val="20"/>
          <w:szCs w:val="20"/>
        </w:rPr>
      </w:pPr>
      <w:r>
        <w:rPr>
          <w:rFonts w:ascii="Arial Narrow" w:hAnsi="Arial Narrow"/>
          <w:sz w:val="20"/>
          <w:szCs w:val="20"/>
        </w:rPr>
        <w:t xml:space="preserve">We believe that the threshold of $2 million within any 12-month period is appropriate and reasonable, based on the practice in the US. </w:t>
      </w:r>
    </w:p>
    <w:p w14:paraId="3113EB86" w14:textId="77777777" w:rsidR="00FC0B20" w:rsidRPr="00FC0B20" w:rsidRDefault="00FC0B20" w:rsidP="00FC0B20">
      <w:pPr>
        <w:tabs>
          <w:tab w:val="left" w:pos="3119"/>
        </w:tabs>
        <w:jc w:val="both"/>
        <w:rPr>
          <w:rFonts w:ascii="Arial Narrow" w:hAnsi="Arial Narrow"/>
          <w:sz w:val="20"/>
          <w:szCs w:val="20"/>
        </w:rPr>
      </w:pPr>
    </w:p>
    <w:p w14:paraId="643F34CA" w14:textId="77777777" w:rsid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Do CAMAC’s recommendations in relation to intermediary remuneration and investing in issuers present a significant barrier to intermediaries entering the CSEF market, or to companies seeking to raise relatively small amounts of funds using CSEF? </w:t>
      </w:r>
    </w:p>
    <w:p w14:paraId="67D923AA" w14:textId="77777777" w:rsidR="00FC0B20" w:rsidRDefault="00FC0B20" w:rsidP="00FC0B20">
      <w:pPr>
        <w:tabs>
          <w:tab w:val="left" w:pos="3119"/>
        </w:tabs>
        <w:jc w:val="both"/>
        <w:rPr>
          <w:rFonts w:ascii="Arial Narrow" w:hAnsi="Arial Narrow"/>
          <w:sz w:val="20"/>
          <w:szCs w:val="20"/>
        </w:rPr>
      </w:pPr>
    </w:p>
    <w:p w14:paraId="103A1B62" w14:textId="77777777" w:rsidR="00FC0B20" w:rsidRDefault="000B6C76" w:rsidP="00FC0B20">
      <w:pPr>
        <w:tabs>
          <w:tab w:val="left" w:pos="3119"/>
        </w:tabs>
        <w:jc w:val="both"/>
        <w:rPr>
          <w:rFonts w:ascii="Arial Narrow" w:hAnsi="Arial Narrow"/>
          <w:sz w:val="20"/>
          <w:szCs w:val="20"/>
        </w:rPr>
      </w:pPr>
      <w:r>
        <w:rPr>
          <w:rFonts w:ascii="Arial Narrow" w:hAnsi="Arial Narrow"/>
          <w:sz w:val="20"/>
          <w:szCs w:val="20"/>
        </w:rPr>
        <w:t>The independence of the intermediary is a requirement for the CSEF to function properly. Hence we see the recommendations related to the intermediary remuneration and investing in issues</w:t>
      </w:r>
      <w:r w:rsidR="00B0605C">
        <w:rPr>
          <w:rFonts w:ascii="Arial Narrow" w:hAnsi="Arial Narrow"/>
          <w:sz w:val="20"/>
          <w:szCs w:val="20"/>
        </w:rPr>
        <w:t xml:space="preserve"> as</w:t>
      </w:r>
      <w:r>
        <w:rPr>
          <w:rFonts w:ascii="Arial Narrow" w:hAnsi="Arial Narrow"/>
          <w:sz w:val="20"/>
          <w:szCs w:val="20"/>
        </w:rPr>
        <w:t xml:space="preserve"> appropriate. </w:t>
      </w:r>
    </w:p>
    <w:p w14:paraId="2039444A" w14:textId="77777777" w:rsidR="000B6C76" w:rsidRPr="00FC0B20" w:rsidRDefault="000B6C76" w:rsidP="00FC0B20">
      <w:pPr>
        <w:tabs>
          <w:tab w:val="left" w:pos="3119"/>
        </w:tabs>
        <w:jc w:val="both"/>
        <w:rPr>
          <w:rFonts w:ascii="Arial Narrow" w:hAnsi="Arial Narrow"/>
          <w:sz w:val="20"/>
          <w:szCs w:val="20"/>
        </w:rPr>
      </w:pPr>
    </w:p>
    <w:p w14:paraId="4FFD7B83" w14:textId="77777777" w:rsid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Do the proposed investor caps adequately balance protecting investors and limiting investor choice, including maintaining investor confidence in CSEF and therefore its sustainability as a fundraising model? </w:t>
      </w:r>
    </w:p>
    <w:p w14:paraId="4A782602" w14:textId="77777777" w:rsidR="000B6C76" w:rsidRDefault="000B6C76" w:rsidP="000B6C76">
      <w:pPr>
        <w:tabs>
          <w:tab w:val="left" w:pos="3119"/>
        </w:tabs>
        <w:jc w:val="both"/>
        <w:rPr>
          <w:rFonts w:ascii="Arial Narrow" w:hAnsi="Arial Narrow"/>
          <w:sz w:val="20"/>
          <w:szCs w:val="20"/>
        </w:rPr>
      </w:pPr>
    </w:p>
    <w:p w14:paraId="7E56F742" w14:textId="77777777" w:rsidR="000B6C76" w:rsidRDefault="000B6C76" w:rsidP="000B6C76">
      <w:pPr>
        <w:tabs>
          <w:tab w:val="left" w:pos="3119"/>
        </w:tabs>
        <w:jc w:val="both"/>
        <w:rPr>
          <w:rFonts w:ascii="Arial Narrow" w:hAnsi="Arial Narrow"/>
          <w:sz w:val="20"/>
          <w:szCs w:val="20"/>
        </w:rPr>
      </w:pPr>
      <w:r>
        <w:rPr>
          <w:rFonts w:ascii="Arial Narrow" w:hAnsi="Arial Narrow"/>
          <w:sz w:val="20"/>
          <w:szCs w:val="20"/>
        </w:rPr>
        <w:t xml:space="preserve">Yes. It is a fair way to balance the risks, return and investor protection. </w:t>
      </w:r>
    </w:p>
    <w:p w14:paraId="6958ABB1" w14:textId="77777777" w:rsidR="000B6C76" w:rsidRDefault="000B6C76" w:rsidP="000B6C76">
      <w:pPr>
        <w:tabs>
          <w:tab w:val="left" w:pos="3119"/>
        </w:tabs>
        <w:jc w:val="both"/>
        <w:rPr>
          <w:rFonts w:ascii="Arial Narrow" w:hAnsi="Arial Narrow"/>
          <w:sz w:val="20"/>
          <w:szCs w:val="20"/>
        </w:rPr>
      </w:pPr>
    </w:p>
    <w:p w14:paraId="09BF83CA" w14:textId="77777777" w:rsidR="000B6C76" w:rsidRPr="000B6C76" w:rsidRDefault="000B6C76" w:rsidP="000B6C76">
      <w:pPr>
        <w:tabs>
          <w:tab w:val="left" w:pos="3119"/>
        </w:tabs>
        <w:jc w:val="both"/>
        <w:rPr>
          <w:rFonts w:ascii="Arial Narrow" w:hAnsi="Arial Narrow"/>
          <w:sz w:val="20"/>
          <w:szCs w:val="20"/>
        </w:rPr>
      </w:pPr>
      <w:r>
        <w:rPr>
          <w:rFonts w:ascii="Arial Narrow" w:hAnsi="Arial Narrow"/>
          <w:sz w:val="20"/>
          <w:szCs w:val="20"/>
        </w:rPr>
        <w:t xml:space="preserve">However, we do not believe that it limits the investor’s choice as they are able to invest in other companies may such opportunities exist. </w:t>
      </w:r>
    </w:p>
    <w:p w14:paraId="132F91BC" w14:textId="77777777" w:rsidR="00B73C13" w:rsidRDefault="00B73C13" w:rsidP="00F56AF5">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Are there any other elements of CAMAC’s proposed model that result in an imbalance between facilitating the use of CSEF by issuers and maintaining an appropriate level of investor protection, or any other elements that should be included?</w:t>
      </w:r>
    </w:p>
    <w:p w14:paraId="22F6995D" w14:textId="77777777" w:rsidR="00351A01" w:rsidRDefault="00351A01" w:rsidP="00351A01">
      <w:pPr>
        <w:tabs>
          <w:tab w:val="left" w:pos="3119"/>
        </w:tabs>
        <w:jc w:val="both"/>
        <w:rPr>
          <w:rFonts w:ascii="Arial Narrow" w:hAnsi="Arial Narrow"/>
          <w:sz w:val="20"/>
          <w:szCs w:val="20"/>
        </w:rPr>
      </w:pPr>
    </w:p>
    <w:p w14:paraId="696643DF" w14:textId="77777777" w:rsidR="00351A01" w:rsidRDefault="00351A01" w:rsidP="00351A01">
      <w:pPr>
        <w:tabs>
          <w:tab w:val="left" w:pos="3119"/>
        </w:tabs>
        <w:jc w:val="both"/>
        <w:rPr>
          <w:rFonts w:ascii="Arial Narrow" w:hAnsi="Arial Narrow"/>
          <w:sz w:val="20"/>
          <w:szCs w:val="20"/>
        </w:rPr>
      </w:pPr>
      <w:r>
        <w:rPr>
          <w:rFonts w:ascii="Arial Narrow" w:hAnsi="Arial Narrow"/>
          <w:sz w:val="20"/>
          <w:szCs w:val="20"/>
        </w:rPr>
        <w:t>The disclosure requirements ha</w:t>
      </w:r>
      <w:r w:rsidR="00B0605C">
        <w:rPr>
          <w:rFonts w:ascii="Arial Narrow" w:hAnsi="Arial Narrow"/>
          <w:sz w:val="20"/>
          <w:szCs w:val="20"/>
        </w:rPr>
        <w:t>ve</w:t>
      </w:r>
      <w:r>
        <w:rPr>
          <w:rFonts w:ascii="Arial Narrow" w:hAnsi="Arial Narrow"/>
          <w:sz w:val="20"/>
          <w:szCs w:val="20"/>
        </w:rPr>
        <w:t xml:space="preserve"> been under—played in the CAMAC model. We firmly believe that disclosure, as a feasible way for stakeholder participation and minority shareholder activism, should be encouraged. Though it is a burdensome requirement for the small businesses that use the CSEF to report, it is of substantial benefit in the long run, i.e. to maintain the confidence of the market and to boost the transparency. </w:t>
      </w:r>
    </w:p>
    <w:p w14:paraId="1346BFF8" w14:textId="77777777" w:rsidR="00351A01" w:rsidRPr="00351A01" w:rsidRDefault="00351A01" w:rsidP="00351A01">
      <w:pPr>
        <w:tabs>
          <w:tab w:val="left" w:pos="3119"/>
        </w:tabs>
        <w:jc w:val="both"/>
        <w:rPr>
          <w:rFonts w:ascii="Arial Narrow" w:hAnsi="Arial Narrow"/>
          <w:sz w:val="20"/>
          <w:szCs w:val="20"/>
        </w:rPr>
      </w:pPr>
    </w:p>
    <w:p w14:paraId="1C3F4D89" w14:textId="77777777" w:rsidR="00351A01" w:rsidRDefault="00B73C13" w:rsidP="00351A01">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Do you consider it is important that the Australian and New Zealand CSEF models are aligned? If so, is it necessary for this to be achieved through the implementation of similar CSEF frameworks, or would it be more appropriate for CSEF to be considered under the Trans-Tasman mutual recognition framework? </w:t>
      </w:r>
    </w:p>
    <w:p w14:paraId="438E3C56" w14:textId="77777777" w:rsidR="00351A01" w:rsidRDefault="00351A01" w:rsidP="00351A01">
      <w:pPr>
        <w:tabs>
          <w:tab w:val="left" w:pos="3119"/>
        </w:tabs>
        <w:jc w:val="both"/>
        <w:rPr>
          <w:rFonts w:ascii="Arial Narrow" w:hAnsi="Arial Narrow"/>
          <w:sz w:val="20"/>
          <w:szCs w:val="20"/>
        </w:rPr>
      </w:pPr>
    </w:p>
    <w:p w14:paraId="42AD9897" w14:textId="77777777" w:rsidR="00351A01" w:rsidRDefault="00351A01" w:rsidP="00351A01">
      <w:pPr>
        <w:tabs>
          <w:tab w:val="left" w:pos="3119"/>
        </w:tabs>
        <w:jc w:val="both"/>
        <w:rPr>
          <w:rFonts w:ascii="Arial Narrow" w:hAnsi="Arial Narrow"/>
          <w:sz w:val="20"/>
          <w:szCs w:val="20"/>
        </w:rPr>
      </w:pPr>
      <w:r>
        <w:rPr>
          <w:rFonts w:ascii="Arial Narrow" w:hAnsi="Arial Narrow"/>
          <w:sz w:val="20"/>
          <w:szCs w:val="20"/>
        </w:rPr>
        <w:t xml:space="preserve">No. The industry structure in Australia may be different from that in New Zealand. In particular, the small businesses may face a different landscape in Australia, </w:t>
      </w:r>
      <w:r w:rsidR="00B0605C">
        <w:rPr>
          <w:rFonts w:ascii="Arial Narrow" w:hAnsi="Arial Narrow"/>
          <w:sz w:val="20"/>
          <w:szCs w:val="20"/>
        </w:rPr>
        <w:t>i.e.</w:t>
      </w:r>
      <w:r>
        <w:rPr>
          <w:rFonts w:ascii="Arial Narrow" w:hAnsi="Arial Narrow"/>
          <w:sz w:val="20"/>
          <w:szCs w:val="20"/>
        </w:rPr>
        <w:t xml:space="preserve"> </w:t>
      </w:r>
      <w:r w:rsidR="00B0605C">
        <w:rPr>
          <w:rFonts w:ascii="Arial Narrow" w:hAnsi="Arial Narrow"/>
          <w:sz w:val="20"/>
          <w:szCs w:val="20"/>
        </w:rPr>
        <w:t>t</w:t>
      </w:r>
      <w:r>
        <w:rPr>
          <w:rFonts w:ascii="Arial Narrow" w:hAnsi="Arial Narrow"/>
          <w:sz w:val="20"/>
          <w:szCs w:val="20"/>
        </w:rPr>
        <w:t>he</w:t>
      </w:r>
      <w:r w:rsidR="00B0605C">
        <w:rPr>
          <w:rFonts w:ascii="Arial Narrow" w:hAnsi="Arial Narrow"/>
          <w:sz w:val="20"/>
          <w:szCs w:val="20"/>
        </w:rPr>
        <w:t>ir</w:t>
      </w:r>
      <w:r>
        <w:rPr>
          <w:rFonts w:ascii="Arial Narrow" w:hAnsi="Arial Narrow"/>
          <w:sz w:val="20"/>
          <w:szCs w:val="20"/>
        </w:rPr>
        <w:t xml:space="preserve"> political presence and their voice, compar</w:t>
      </w:r>
      <w:r w:rsidR="00B0605C">
        <w:rPr>
          <w:rFonts w:ascii="Arial Narrow" w:hAnsi="Arial Narrow"/>
          <w:sz w:val="20"/>
          <w:szCs w:val="20"/>
        </w:rPr>
        <w:t>ed</w:t>
      </w:r>
      <w:r>
        <w:rPr>
          <w:rFonts w:ascii="Arial Narrow" w:hAnsi="Arial Narrow"/>
          <w:sz w:val="20"/>
          <w:szCs w:val="20"/>
        </w:rPr>
        <w:t xml:space="preserve"> to that in New Zealand. In addition, it is far more manageable for the Australians to control the process of regulatory reform for the CSEF. In addition, the business demographics in Australia may be different from that in New Zealand as well.</w:t>
      </w:r>
    </w:p>
    <w:p w14:paraId="18C3C188" w14:textId="77777777" w:rsidR="00351A01" w:rsidRPr="00351A01" w:rsidRDefault="00351A01" w:rsidP="00351A01">
      <w:pPr>
        <w:tabs>
          <w:tab w:val="left" w:pos="3119"/>
        </w:tabs>
        <w:jc w:val="both"/>
        <w:rPr>
          <w:rFonts w:ascii="Arial Narrow" w:hAnsi="Arial Narrow"/>
          <w:sz w:val="20"/>
          <w:szCs w:val="20"/>
        </w:rPr>
      </w:pPr>
    </w:p>
    <w:p w14:paraId="28E44EBB" w14:textId="77777777" w:rsidR="00B73C13" w:rsidRDefault="00B73C13" w:rsidP="00F56AF5">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Do you consider that voluntary investor caps and requiring increased disclosure where investors contribute larger amounts of funds appropriately balances investor protection against investor choice and flexibility for issuers? </w:t>
      </w:r>
    </w:p>
    <w:p w14:paraId="59AD2AFB" w14:textId="77777777" w:rsidR="00351A01" w:rsidRDefault="00351A01" w:rsidP="00351A01">
      <w:pPr>
        <w:tabs>
          <w:tab w:val="left" w:pos="3119"/>
        </w:tabs>
        <w:jc w:val="both"/>
        <w:rPr>
          <w:rFonts w:ascii="Arial Narrow" w:hAnsi="Arial Narrow"/>
          <w:sz w:val="20"/>
          <w:szCs w:val="20"/>
        </w:rPr>
      </w:pPr>
    </w:p>
    <w:p w14:paraId="6356D139" w14:textId="77777777" w:rsidR="00351A01" w:rsidRDefault="00351A01" w:rsidP="00351A01">
      <w:pPr>
        <w:tabs>
          <w:tab w:val="left" w:pos="3119"/>
        </w:tabs>
        <w:jc w:val="both"/>
        <w:rPr>
          <w:rFonts w:ascii="Arial Narrow" w:hAnsi="Arial Narrow"/>
          <w:sz w:val="20"/>
          <w:szCs w:val="20"/>
        </w:rPr>
      </w:pPr>
      <w:r>
        <w:rPr>
          <w:rFonts w:ascii="Arial Narrow" w:hAnsi="Arial Narrow"/>
          <w:sz w:val="20"/>
          <w:szCs w:val="20"/>
        </w:rPr>
        <w:t>We believe that th</w:t>
      </w:r>
      <w:r w:rsidR="009E4123">
        <w:rPr>
          <w:rFonts w:ascii="Arial Narrow" w:hAnsi="Arial Narrow"/>
          <w:sz w:val="20"/>
          <w:szCs w:val="20"/>
        </w:rPr>
        <w:t xml:space="preserve">e voluntary investor caps have severely underestimated the market capacity to respond to the CSEF. </w:t>
      </w:r>
      <w:r w:rsidR="00BA1D4D">
        <w:rPr>
          <w:rFonts w:ascii="Arial Narrow" w:hAnsi="Arial Narrow"/>
          <w:sz w:val="20"/>
          <w:szCs w:val="20"/>
        </w:rPr>
        <w:t xml:space="preserve">However, we would like to propose </w:t>
      </w:r>
      <w:r w:rsidR="009E4123">
        <w:rPr>
          <w:rFonts w:ascii="Arial Narrow" w:hAnsi="Arial Narrow"/>
          <w:sz w:val="20"/>
          <w:szCs w:val="20"/>
        </w:rPr>
        <w:t>the US model</w:t>
      </w:r>
      <w:r w:rsidR="00BA1D4D">
        <w:rPr>
          <w:rFonts w:ascii="Arial Narrow" w:hAnsi="Arial Narrow"/>
          <w:sz w:val="20"/>
          <w:szCs w:val="20"/>
        </w:rPr>
        <w:t xml:space="preserve"> (invest less than $10,000 or less than 5% of the annual income) as a benchmark. </w:t>
      </w:r>
    </w:p>
    <w:p w14:paraId="14A56315" w14:textId="77777777" w:rsidR="00351A01" w:rsidRPr="00351A01" w:rsidRDefault="00351A01" w:rsidP="00351A01">
      <w:pPr>
        <w:tabs>
          <w:tab w:val="left" w:pos="3119"/>
        </w:tabs>
        <w:jc w:val="both"/>
        <w:rPr>
          <w:rFonts w:ascii="Arial Narrow" w:hAnsi="Arial Narrow"/>
          <w:sz w:val="20"/>
          <w:szCs w:val="20"/>
        </w:rPr>
      </w:pPr>
    </w:p>
    <w:p w14:paraId="27D6DB45" w14:textId="77777777" w:rsidR="00BA1D4D" w:rsidRDefault="00B73C13" w:rsidP="00BA1D4D">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What level of direction should there be on the amount of disclosure required for different voluntary investor caps?</w:t>
      </w:r>
    </w:p>
    <w:p w14:paraId="78A6BA35" w14:textId="77777777" w:rsidR="00BA1D4D" w:rsidRDefault="00BA1D4D" w:rsidP="00BA1D4D">
      <w:pPr>
        <w:tabs>
          <w:tab w:val="left" w:pos="3119"/>
        </w:tabs>
        <w:jc w:val="both"/>
        <w:rPr>
          <w:rFonts w:ascii="Arial Narrow" w:hAnsi="Arial Narrow"/>
          <w:sz w:val="20"/>
          <w:szCs w:val="20"/>
        </w:rPr>
      </w:pPr>
    </w:p>
    <w:p w14:paraId="2F4282C8" w14:textId="77777777" w:rsidR="00BA1D4D" w:rsidRDefault="00BA1D4D" w:rsidP="00BA1D4D">
      <w:pPr>
        <w:tabs>
          <w:tab w:val="left" w:pos="3119"/>
        </w:tabs>
        <w:jc w:val="both"/>
        <w:rPr>
          <w:rFonts w:ascii="Arial Narrow" w:hAnsi="Arial Narrow"/>
          <w:sz w:val="20"/>
          <w:szCs w:val="20"/>
        </w:rPr>
      </w:pPr>
      <w:r>
        <w:rPr>
          <w:rFonts w:ascii="Arial Narrow" w:hAnsi="Arial Narrow"/>
          <w:sz w:val="20"/>
          <w:szCs w:val="20"/>
        </w:rPr>
        <w:t xml:space="preserve">As long as external money is used, disclosure is required. However, we would also propose a flexible arrangement (Based on the Responsive Regulatory Model proposed by Professor John Braithwaite from ANU), that the disclosure to be designed around the risks associated with investors. </w:t>
      </w:r>
    </w:p>
    <w:p w14:paraId="25A01257" w14:textId="77777777" w:rsidR="00BA1D4D" w:rsidRPr="00BA1D4D" w:rsidRDefault="00BA1D4D" w:rsidP="00BA1D4D">
      <w:pPr>
        <w:tabs>
          <w:tab w:val="left" w:pos="3119"/>
        </w:tabs>
        <w:jc w:val="both"/>
        <w:rPr>
          <w:rFonts w:ascii="Arial Narrow" w:hAnsi="Arial Narrow"/>
          <w:sz w:val="20"/>
          <w:szCs w:val="20"/>
        </w:rPr>
      </w:pPr>
      <w:r>
        <w:rPr>
          <w:rFonts w:ascii="Arial Narrow" w:hAnsi="Arial Narrow"/>
          <w:sz w:val="20"/>
          <w:szCs w:val="20"/>
        </w:rPr>
        <w:t xml:space="preserve"> </w:t>
      </w:r>
    </w:p>
    <w:p w14:paraId="08EC6BBA" w14:textId="77777777" w:rsid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How likely is it that the obstacles to CSEF that exist under the status quo would drive potential issuers, intermediaries and investors to move to jurisdictions that have implemented CSEF regimes?  </w:t>
      </w:r>
    </w:p>
    <w:p w14:paraId="70ED630F" w14:textId="77777777" w:rsidR="00BA1D4D" w:rsidRDefault="00BA1D4D" w:rsidP="00BA1D4D">
      <w:pPr>
        <w:tabs>
          <w:tab w:val="left" w:pos="3119"/>
        </w:tabs>
        <w:jc w:val="both"/>
        <w:rPr>
          <w:rFonts w:ascii="Arial Narrow" w:hAnsi="Arial Narrow"/>
          <w:sz w:val="20"/>
          <w:szCs w:val="20"/>
        </w:rPr>
      </w:pPr>
    </w:p>
    <w:p w14:paraId="5DFE21E5" w14:textId="77777777" w:rsidR="00BA1D4D" w:rsidRDefault="00BA1D4D" w:rsidP="00BA1D4D">
      <w:pPr>
        <w:tabs>
          <w:tab w:val="left" w:pos="3119"/>
        </w:tabs>
        <w:jc w:val="both"/>
        <w:rPr>
          <w:rFonts w:ascii="Arial Narrow" w:hAnsi="Arial Narrow"/>
          <w:sz w:val="20"/>
          <w:szCs w:val="20"/>
        </w:rPr>
      </w:pPr>
      <w:r>
        <w:rPr>
          <w:rFonts w:ascii="Arial Narrow" w:hAnsi="Arial Narrow"/>
          <w:sz w:val="20"/>
          <w:szCs w:val="20"/>
        </w:rPr>
        <w:t xml:space="preserve">Very unlikely. </w:t>
      </w:r>
    </w:p>
    <w:p w14:paraId="79673A29" w14:textId="77777777" w:rsidR="00BA1D4D" w:rsidRDefault="00BA1D4D" w:rsidP="00BA1D4D">
      <w:pPr>
        <w:tabs>
          <w:tab w:val="left" w:pos="3119"/>
        </w:tabs>
        <w:jc w:val="both"/>
        <w:rPr>
          <w:rFonts w:ascii="Arial Narrow" w:hAnsi="Arial Narrow"/>
          <w:sz w:val="20"/>
          <w:szCs w:val="20"/>
        </w:rPr>
      </w:pPr>
    </w:p>
    <w:p w14:paraId="082F2D49" w14:textId="77777777" w:rsidR="00BA1D4D" w:rsidRDefault="00BA1D4D" w:rsidP="00BA1D4D">
      <w:pPr>
        <w:tabs>
          <w:tab w:val="left" w:pos="3119"/>
        </w:tabs>
        <w:jc w:val="both"/>
        <w:rPr>
          <w:rFonts w:ascii="Arial Narrow" w:hAnsi="Arial Narrow"/>
          <w:sz w:val="20"/>
          <w:szCs w:val="20"/>
        </w:rPr>
      </w:pPr>
      <w:r>
        <w:rPr>
          <w:rFonts w:ascii="Arial Narrow" w:hAnsi="Arial Narrow"/>
          <w:sz w:val="20"/>
          <w:szCs w:val="20"/>
        </w:rPr>
        <w:t xml:space="preserve">Our previous Australia-China Council grant found that the decision of accessing a foreign regime is not that straightforward, but it is contingent on the factors beyond economic calculations, such as culture, consumer behaviour, the legislations, and the human resourcing. It is not easy for a company to move to the other jurisdiction. </w:t>
      </w:r>
    </w:p>
    <w:p w14:paraId="14E8FCB3" w14:textId="77777777" w:rsidR="00BA1D4D" w:rsidRDefault="00BA1D4D" w:rsidP="00BA1D4D">
      <w:pPr>
        <w:tabs>
          <w:tab w:val="left" w:pos="3119"/>
        </w:tabs>
        <w:jc w:val="both"/>
        <w:rPr>
          <w:rFonts w:ascii="Arial Narrow" w:hAnsi="Arial Narrow"/>
          <w:sz w:val="20"/>
          <w:szCs w:val="20"/>
        </w:rPr>
      </w:pPr>
    </w:p>
    <w:p w14:paraId="493314D3" w14:textId="77777777" w:rsidR="00BA1D4D" w:rsidRDefault="00B0605C" w:rsidP="00BA1D4D">
      <w:pPr>
        <w:tabs>
          <w:tab w:val="left" w:pos="3119"/>
        </w:tabs>
        <w:jc w:val="both"/>
        <w:rPr>
          <w:rFonts w:ascii="Arial Narrow" w:hAnsi="Arial Narrow"/>
          <w:sz w:val="20"/>
          <w:szCs w:val="20"/>
        </w:rPr>
      </w:pPr>
      <w:r>
        <w:rPr>
          <w:rFonts w:ascii="Arial Narrow" w:hAnsi="Arial Narrow"/>
          <w:sz w:val="20"/>
          <w:szCs w:val="20"/>
        </w:rPr>
        <w:t>Having</w:t>
      </w:r>
      <w:r w:rsidR="00BA1D4D">
        <w:rPr>
          <w:rFonts w:ascii="Arial Narrow" w:hAnsi="Arial Narrow"/>
          <w:sz w:val="20"/>
          <w:szCs w:val="20"/>
        </w:rPr>
        <w:t xml:space="preserve"> said that, Australia houses a large proportion of financial </w:t>
      </w:r>
      <w:r w:rsidR="0081537D">
        <w:rPr>
          <w:rFonts w:ascii="Arial Narrow" w:hAnsi="Arial Narrow"/>
          <w:sz w:val="20"/>
          <w:szCs w:val="20"/>
        </w:rPr>
        <w:t>assets, it</w:t>
      </w:r>
      <w:r w:rsidR="00BA1D4D">
        <w:rPr>
          <w:rFonts w:ascii="Arial Narrow" w:hAnsi="Arial Narrow"/>
          <w:sz w:val="20"/>
          <w:szCs w:val="20"/>
        </w:rPr>
        <w:t xml:space="preserve"> is the ideal place for the CSEF to prosper. Hence, there is no point that the businesses should</w:t>
      </w:r>
      <w:r>
        <w:rPr>
          <w:rFonts w:ascii="Arial Narrow" w:hAnsi="Arial Narrow"/>
          <w:sz w:val="20"/>
          <w:szCs w:val="20"/>
        </w:rPr>
        <w:t xml:space="preserve"> be </w:t>
      </w:r>
      <w:r w:rsidR="0081537D">
        <w:rPr>
          <w:rFonts w:ascii="Arial Narrow" w:hAnsi="Arial Narrow"/>
          <w:sz w:val="20"/>
          <w:szCs w:val="20"/>
        </w:rPr>
        <w:t>diverted</w:t>
      </w:r>
      <w:r w:rsidR="00BA1D4D">
        <w:rPr>
          <w:rFonts w:ascii="Arial Narrow" w:hAnsi="Arial Narrow"/>
          <w:sz w:val="20"/>
          <w:szCs w:val="20"/>
        </w:rPr>
        <w:t xml:space="preserve"> to a foreign regime simply because of the CSEF regimes. </w:t>
      </w:r>
    </w:p>
    <w:p w14:paraId="47B2CC87" w14:textId="77777777" w:rsidR="00BA1D4D" w:rsidRPr="00BA1D4D" w:rsidRDefault="00BA1D4D" w:rsidP="00BA1D4D">
      <w:pPr>
        <w:tabs>
          <w:tab w:val="left" w:pos="3119"/>
        </w:tabs>
        <w:jc w:val="both"/>
        <w:rPr>
          <w:rFonts w:ascii="Arial Narrow" w:hAnsi="Arial Narrow"/>
          <w:sz w:val="20"/>
          <w:szCs w:val="20"/>
        </w:rPr>
      </w:pPr>
    </w:p>
    <w:p w14:paraId="315D23C5" w14:textId="77777777" w:rsid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What are the costs and benefits of each of the three options discussed in this consultation paper? </w:t>
      </w:r>
    </w:p>
    <w:p w14:paraId="5D321667" w14:textId="77777777" w:rsidR="00BA1D4D" w:rsidRDefault="00BA1D4D" w:rsidP="00BA1D4D">
      <w:pPr>
        <w:tabs>
          <w:tab w:val="left" w:pos="3119"/>
        </w:tabs>
        <w:jc w:val="both"/>
        <w:rPr>
          <w:rFonts w:ascii="Arial Narrow" w:hAnsi="Arial Narrow"/>
          <w:sz w:val="20"/>
          <w:szCs w:val="20"/>
        </w:rPr>
      </w:pPr>
    </w:p>
    <w:p w14:paraId="65926573" w14:textId="77777777" w:rsidR="00BA1D4D" w:rsidRDefault="00BA1D4D" w:rsidP="00BA1D4D">
      <w:pPr>
        <w:tabs>
          <w:tab w:val="left" w:pos="3119"/>
        </w:tabs>
        <w:jc w:val="both"/>
        <w:rPr>
          <w:rFonts w:ascii="Arial Narrow" w:hAnsi="Arial Narrow"/>
          <w:sz w:val="20"/>
          <w:szCs w:val="20"/>
        </w:rPr>
      </w:pPr>
      <w:r>
        <w:rPr>
          <w:rFonts w:ascii="Arial Narrow" w:hAnsi="Arial Narrow"/>
          <w:sz w:val="20"/>
          <w:szCs w:val="20"/>
        </w:rPr>
        <w:t>The costs are mainly associated with the risks inherent in the small business operations. In addition, there will be</w:t>
      </w:r>
      <w:r w:rsidR="00B0605C">
        <w:rPr>
          <w:rFonts w:ascii="Arial Narrow" w:hAnsi="Arial Narrow"/>
          <w:sz w:val="20"/>
          <w:szCs w:val="20"/>
        </w:rPr>
        <w:t xml:space="preserve"> a</w:t>
      </w:r>
      <w:r>
        <w:rPr>
          <w:rFonts w:ascii="Arial Narrow" w:hAnsi="Arial Narrow"/>
          <w:sz w:val="20"/>
          <w:szCs w:val="20"/>
        </w:rPr>
        <w:t xml:space="preserve"> learning curve</w:t>
      </w:r>
      <w:r w:rsidR="00B0605C">
        <w:rPr>
          <w:rFonts w:ascii="Arial Narrow" w:hAnsi="Arial Narrow"/>
          <w:sz w:val="20"/>
          <w:szCs w:val="20"/>
        </w:rPr>
        <w:t>. O</w:t>
      </w:r>
      <w:r>
        <w:rPr>
          <w:rFonts w:ascii="Arial Narrow" w:hAnsi="Arial Narrow"/>
          <w:sz w:val="20"/>
          <w:szCs w:val="20"/>
        </w:rPr>
        <w:t xml:space="preserve">f course </w:t>
      </w:r>
      <w:r w:rsidR="00B0605C">
        <w:rPr>
          <w:rFonts w:ascii="Arial Narrow" w:hAnsi="Arial Narrow"/>
          <w:sz w:val="20"/>
          <w:szCs w:val="20"/>
        </w:rPr>
        <w:t xml:space="preserve">this </w:t>
      </w:r>
      <w:r>
        <w:rPr>
          <w:rFonts w:ascii="Arial Narrow" w:hAnsi="Arial Narrow"/>
          <w:sz w:val="20"/>
          <w:szCs w:val="20"/>
        </w:rPr>
        <w:t xml:space="preserve">involves cost, for the regulators to understand the market as well as the unmet financing needs of the small businesses. The major benefit is to offer an alternative for the small businesses to access finance. </w:t>
      </w:r>
      <w:r w:rsidR="00B76474">
        <w:rPr>
          <w:rFonts w:ascii="Arial Narrow" w:hAnsi="Arial Narrow"/>
          <w:sz w:val="20"/>
          <w:szCs w:val="20"/>
        </w:rPr>
        <w:t xml:space="preserve">However, further studies have to forecast the costs and benefits of each option. </w:t>
      </w:r>
    </w:p>
    <w:p w14:paraId="3C4AEC88" w14:textId="77777777" w:rsidR="00B76474" w:rsidRDefault="00B76474" w:rsidP="00BA1D4D">
      <w:pPr>
        <w:tabs>
          <w:tab w:val="left" w:pos="3119"/>
        </w:tabs>
        <w:jc w:val="both"/>
        <w:rPr>
          <w:rFonts w:ascii="Arial Narrow" w:hAnsi="Arial Narrow"/>
          <w:sz w:val="20"/>
          <w:szCs w:val="20"/>
        </w:rPr>
      </w:pPr>
    </w:p>
    <w:p w14:paraId="2160EBA2" w14:textId="77777777" w:rsidR="00B76474" w:rsidRDefault="00B76474" w:rsidP="00BA1D4D">
      <w:pPr>
        <w:tabs>
          <w:tab w:val="left" w:pos="3119"/>
        </w:tabs>
        <w:jc w:val="both"/>
        <w:rPr>
          <w:rFonts w:ascii="Arial Narrow" w:hAnsi="Arial Narrow"/>
          <w:sz w:val="20"/>
          <w:szCs w:val="20"/>
        </w:rPr>
      </w:pPr>
      <w:r>
        <w:rPr>
          <w:rFonts w:ascii="Arial Narrow" w:hAnsi="Arial Narrow"/>
          <w:sz w:val="20"/>
          <w:szCs w:val="20"/>
        </w:rPr>
        <w:t xml:space="preserve">From the international business operations perspective, Australian has fallen far behind in dealing with the crowdfunding related issues. It is imperative that we have to understand the pros and cons of crowdfunding, in order to maintain our competitive advantage in the global market in financial services provision. </w:t>
      </w:r>
    </w:p>
    <w:p w14:paraId="1E3C719B" w14:textId="77777777" w:rsidR="00BA1D4D" w:rsidRPr="00BA1D4D" w:rsidRDefault="00BA1D4D" w:rsidP="00BA1D4D">
      <w:pPr>
        <w:tabs>
          <w:tab w:val="left" w:pos="3119"/>
        </w:tabs>
        <w:jc w:val="both"/>
        <w:rPr>
          <w:rFonts w:ascii="Arial Narrow" w:hAnsi="Arial Narrow"/>
          <w:sz w:val="20"/>
          <w:szCs w:val="20"/>
        </w:rPr>
      </w:pPr>
    </w:p>
    <w:p w14:paraId="0FDF134A" w14:textId="77777777" w:rsidR="00B76474" w:rsidRDefault="00B73C13" w:rsidP="00B76474">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Are the estimated compliance costs for the CAMAC and New Zealand models presented in the appendix accurate? </w:t>
      </w:r>
    </w:p>
    <w:p w14:paraId="7BF3B866" w14:textId="77777777" w:rsidR="00B76474" w:rsidRDefault="00B76474" w:rsidP="00B76474">
      <w:pPr>
        <w:tabs>
          <w:tab w:val="left" w:pos="3119"/>
        </w:tabs>
        <w:jc w:val="both"/>
        <w:rPr>
          <w:rFonts w:ascii="Arial Narrow" w:hAnsi="Arial Narrow"/>
          <w:sz w:val="20"/>
          <w:szCs w:val="20"/>
        </w:rPr>
      </w:pPr>
    </w:p>
    <w:p w14:paraId="4FF61BF0" w14:textId="77777777" w:rsidR="00B76474" w:rsidRPr="00B76474" w:rsidRDefault="00B76474" w:rsidP="00B76474">
      <w:pPr>
        <w:tabs>
          <w:tab w:val="left" w:pos="3119"/>
        </w:tabs>
        <w:jc w:val="both"/>
        <w:rPr>
          <w:rFonts w:ascii="Arial Narrow" w:hAnsi="Arial Narrow"/>
          <w:sz w:val="20"/>
          <w:szCs w:val="20"/>
        </w:rPr>
      </w:pPr>
      <w:r>
        <w:rPr>
          <w:rFonts w:ascii="Arial Narrow" w:hAnsi="Arial Narrow"/>
          <w:sz w:val="20"/>
          <w:szCs w:val="20"/>
        </w:rPr>
        <w:t xml:space="preserve">We believe that the estimated compliance costs for </w:t>
      </w:r>
      <w:r w:rsidR="0081537D">
        <w:rPr>
          <w:rFonts w:ascii="Arial Narrow" w:hAnsi="Arial Narrow"/>
          <w:sz w:val="20"/>
          <w:szCs w:val="20"/>
        </w:rPr>
        <w:t xml:space="preserve">both </w:t>
      </w:r>
      <w:r>
        <w:rPr>
          <w:rFonts w:ascii="Arial Narrow" w:hAnsi="Arial Narrow"/>
          <w:sz w:val="20"/>
          <w:szCs w:val="20"/>
        </w:rPr>
        <w:t>the CAMAC and the New Zealand models have</w:t>
      </w:r>
      <w:r w:rsidR="0081537D">
        <w:rPr>
          <w:rFonts w:ascii="Arial Narrow" w:hAnsi="Arial Narrow"/>
          <w:sz w:val="20"/>
          <w:szCs w:val="20"/>
        </w:rPr>
        <w:t xml:space="preserve"> been</w:t>
      </w:r>
      <w:r>
        <w:rPr>
          <w:rFonts w:ascii="Arial Narrow" w:hAnsi="Arial Narrow"/>
          <w:sz w:val="20"/>
          <w:szCs w:val="20"/>
        </w:rPr>
        <w:t xml:space="preserve"> underestimated. More precise models such as the Dutch Model and the Regulatory Cost Reduction Model should be introduced instead. </w:t>
      </w:r>
    </w:p>
    <w:p w14:paraId="2F9A9BD5" w14:textId="77777777" w:rsidR="00BA1D4D" w:rsidRPr="00BA1D4D" w:rsidRDefault="00BA1D4D" w:rsidP="00BA1D4D">
      <w:pPr>
        <w:tabs>
          <w:tab w:val="left" w:pos="3119"/>
        </w:tabs>
        <w:jc w:val="both"/>
        <w:rPr>
          <w:rFonts w:ascii="Arial Narrow" w:hAnsi="Arial Narrow"/>
          <w:sz w:val="20"/>
          <w:szCs w:val="20"/>
        </w:rPr>
      </w:pPr>
    </w:p>
    <w:p w14:paraId="59590575" w14:textId="77777777" w:rsid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How many issuers, intermediaries and investors would be the expected take up online equity fundraising in Australia under the status quo, the CAMAC model and the New Zealand model?</w:t>
      </w:r>
    </w:p>
    <w:p w14:paraId="4733337E" w14:textId="77777777" w:rsidR="00436846" w:rsidRDefault="00436846" w:rsidP="00436846">
      <w:pPr>
        <w:tabs>
          <w:tab w:val="left" w:pos="3119"/>
        </w:tabs>
        <w:jc w:val="both"/>
        <w:rPr>
          <w:rFonts w:ascii="Arial Narrow" w:hAnsi="Arial Narrow"/>
          <w:sz w:val="20"/>
          <w:szCs w:val="20"/>
        </w:rPr>
      </w:pPr>
    </w:p>
    <w:p w14:paraId="124B4863" w14:textId="77777777" w:rsidR="00436846" w:rsidRDefault="00436846" w:rsidP="00436846">
      <w:pPr>
        <w:tabs>
          <w:tab w:val="left" w:pos="3119"/>
        </w:tabs>
        <w:jc w:val="both"/>
        <w:rPr>
          <w:rFonts w:ascii="Arial Narrow" w:hAnsi="Arial Narrow"/>
          <w:sz w:val="20"/>
          <w:szCs w:val="20"/>
        </w:rPr>
      </w:pPr>
      <w:r>
        <w:rPr>
          <w:rFonts w:ascii="Arial Narrow" w:hAnsi="Arial Narrow"/>
          <w:sz w:val="20"/>
          <w:szCs w:val="20"/>
        </w:rPr>
        <w:t xml:space="preserve">the status quo: not many. </w:t>
      </w:r>
    </w:p>
    <w:p w14:paraId="6D24A8BF" w14:textId="77777777" w:rsidR="00436846" w:rsidRDefault="00436846" w:rsidP="00436846">
      <w:pPr>
        <w:tabs>
          <w:tab w:val="left" w:pos="3119"/>
        </w:tabs>
        <w:jc w:val="both"/>
        <w:rPr>
          <w:rFonts w:ascii="Arial Narrow" w:hAnsi="Arial Narrow"/>
          <w:sz w:val="20"/>
          <w:szCs w:val="20"/>
        </w:rPr>
      </w:pPr>
    </w:p>
    <w:p w14:paraId="326A9CBA" w14:textId="77777777" w:rsidR="00436846" w:rsidRDefault="00436846" w:rsidP="00436846">
      <w:pPr>
        <w:tabs>
          <w:tab w:val="left" w:pos="3119"/>
        </w:tabs>
        <w:jc w:val="both"/>
        <w:rPr>
          <w:rFonts w:ascii="Arial Narrow" w:hAnsi="Arial Narrow"/>
          <w:sz w:val="20"/>
          <w:szCs w:val="20"/>
        </w:rPr>
      </w:pPr>
      <w:r>
        <w:rPr>
          <w:rFonts w:ascii="Arial Narrow" w:hAnsi="Arial Narrow"/>
          <w:sz w:val="20"/>
          <w:szCs w:val="20"/>
        </w:rPr>
        <w:t xml:space="preserve">the CAMAC model: not many unless it comes into legislation and the small businesses are well aware of CSEF as an option. </w:t>
      </w:r>
    </w:p>
    <w:p w14:paraId="3F0B5048" w14:textId="77777777" w:rsidR="00436846" w:rsidRDefault="00436846" w:rsidP="00436846">
      <w:pPr>
        <w:tabs>
          <w:tab w:val="left" w:pos="3119"/>
        </w:tabs>
        <w:jc w:val="both"/>
        <w:rPr>
          <w:rFonts w:ascii="Arial Narrow" w:hAnsi="Arial Narrow"/>
          <w:sz w:val="20"/>
          <w:szCs w:val="20"/>
        </w:rPr>
      </w:pPr>
    </w:p>
    <w:p w14:paraId="3013A34A" w14:textId="77777777" w:rsidR="00436846" w:rsidRDefault="00436846" w:rsidP="00436846">
      <w:pPr>
        <w:tabs>
          <w:tab w:val="left" w:pos="3119"/>
        </w:tabs>
        <w:jc w:val="both"/>
        <w:rPr>
          <w:rFonts w:ascii="Arial Narrow" w:hAnsi="Arial Narrow"/>
          <w:sz w:val="20"/>
          <w:szCs w:val="20"/>
        </w:rPr>
      </w:pPr>
      <w:r w:rsidRPr="00B73C13">
        <w:rPr>
          <w:rFonts w:ascii="Arial Narrow" w:hAnsi="Arial Narrow"/>
          <w:sz w:val="20"/>
          <w:szCs w:val="20"/>
        </w:rPr>
        <w:t>the New Zealand model</w:t>
      </w:r>
      <w:r>
        <w:rPr>
          <w:rFonts w:ascii="Arial Narrow" w:hAnsi="Arial Narrow"/>
          <w:sz w:val="20"/>
          <w:szCs w:val="20"/>
        </w:rPr>
        <w:t xml:space="preserve">: not many unless the model relaxes the number of shareholders/stakeholders involved in the process. Following the US, the number of shareholder requirement should be exempted for small businesses as well as the intermediaries. </w:t>
      </w:r>
    </w:p>
    <w:p w14:paraId="7C6C0C25" w14:textId="77777777" w:rsidR="00436846" w:rsidRDefault="00436846" w:rsidP="00436846">
      <w:pPr>
        <w:tabs>
          <w:tab w:val="left" w:pos="3119"/>
        </w:tabs>
        <w:jc w:val="both"/>
        <w:rPr>
          <w:rFonts w:ascii="Arial Narrow" w:hAnsi="Arial Narrow"/>
          <w:sz w:val="20"/>
          <w:szCs w:val="20"/>
        </w:rPr>
      </w:pPr>
    </w:p>
    <w:p w14:paraId="581AE578" w14:textId="77777777" w:rsidR="00436846" w:rsidRDefault="00436846" w:rsidP="00436846">
      <w:pPr>
        <w:tabs>
          <w:tab w:val="left" w:pos="3119"/>
        </w:tabs>
        <w:jc w:val="both"/>
        <w:rPr>
          <w:rFonts w:ascii="Arial Narrow" w:hAnsi="Arial Narrow"/>
          <w:sz w:val="20"/>
          <w:szCs w:val="20"/>
        </w:rPr>
      </w:pPr>
      <w:r>
        <w:rPr>
          <w:rFonts w:ascii="Arial Narrow" w:hAnsi="Arial Narrow"/>
          <w:sz w:val="20"/>
          <w:szCs w:val="20"/>
        </w:rPr>
        <w:t xml:space="preserve">However, we would propose two additional mechanisms to facilitate the financing of small businesses, one is that the Federal government should engage and empower business associations, such as COSBOA, to better utilise its networks and resource to boost the use of CSEF; the other is that the professionals such as the lawyers and accountants should be regulated to the extent that they understand the benefits and costs of CSEF for their small business clients. </w:t>
      </w:r>
    </w:p>
    <w:p w14:paraId="1AE21A5E" w14:textId="77777777" w:rsidR="00436846" w:rsidRPr="00436846" w:rsidRDefault="00436846" w:rsidP="00436846">
      <w:pPr>
        <w:tabs>
          <w:tab w:val="left" w:pos="3119"/>
        </w:tabs>
        <w:jc w:val="both"/>
        <w:rPr>
          <w:rFonts w:ascii="Arial Narrow" w:hAnsi="Arial Narrow"/>
          <w:sz w:val="20"/>
          <w:szCs w:val="20"/>
        </w:rPr>
      </w:pPr>
    </w:p>
    <w:p w14:paraId="6F1A3F98" w14:textId="77777777" w:rsid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 xml:space="preserve">Are there particular elements of the New Zealand model that should be incorporated into the CAMAC model, or vice versa? </w:t>
      </w:r>
    </w:p>
    <w:p w14:paraId="5D0693F1" w14:textId="77777777" w:rsidR="00436846" w:rsidRDefault="00436846" w:rsidP="00436846">
      <w:pPr>
        <w:tabs>
          <w:tab w:val="left" w:pos="3119"/>
        </w:tabs>
        <w:jc w:val="both"/>
        <w:rPr>
          <w:rFonts w:ascii="Arial Narrow" w:hAnsi="Arial Narrow"/>
          <w:sz w:val="20"/>
          <w:szCs w:val="20"/>
        </w:rPr>
      </w:pPr>
    </w:p>
    <w:p w14:paraId="606669C7" w14:textId="77777777" w:rsidR="00436846" w:rsidRDefault="00436846" w:rsidP="00436846">
      <w:pPr>
        <w:tabs>
          <w:tab w:val="left" w:pos="3119"/>
        </w:tabs>
        <w:jc w:val="both"/>
        <w:rPr>
          <w:rFonts w:ascii="Arial Narrow" w:hAnsi="Arial Narrow"/>
          <w:sz w:val="20"/>
          <w:szCs w:val="20"/>
        </w:rPr>
      </w:pPr>
      <w:r>
        <w:rPr>
          <w:rFonts w:ascii="Arial Narrow" w:hAnsi="Arial Narrow"/>
          <w:sz w:val="20"/>
          <w:szCs w:val="20"/>
        </w:rPr>
        <w:t xml:space="preserve">Though the cutting off points for the level of financing as well as the number of shareholders has to be reviewed, it is clear that the New Zealand model offers a good alternative comparing to the Status Quo. </w:t>
      </w:r>
    </w:p>
    <w:p w14:paraId="53F4E057" w14:textId="77777777" w:rsidR="00436846" w:rsidRPr="00436846" w:rsidRDefault="00436846" w:rsidP="00436846">
      <w:pPr>
        <w:tabs>
          <w:tab w:val="left" w:pos="3119"/>
        </w:tabs>
        <w:jc w:val="both"/>
        <w:rPr>
          <w:rFonts w:ascii="Arial Narrow" w:hAnsi="Arial Narrow"/>
          <w:sz w:val="20"/>
          <w:szCs w:val="20"/>
        </w:rPr>
      </w:pPr>
    </w:p>
    <w:p w14:paraId="744F5CC4" w14:textId="77777777" w:rsid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Are there particular elements of models implemented in other jurisdictions that would be desirable to incorporate into any final CSEF framework?</w:t>
      </w:r>
    </w:p>
    <w:p w14:paraId="23A6D260" w14:textId="77777777" w:rsidR="00436846" w:rsidRDefault="00436846" w:rsidP="00436846">
      <w:pPr>
        <w:tabs>
          <w:tab w:val="left" w:pos="3119"/>
        </w:tabs>
        <w:jc w:val="both"/>
        <w:rPr>
          <w:rFonts w:ascii="Arial Narrow" w:hAnsi="Arial Narrow"/>
          <w:sz w:val="20"/>
          <w:szCs w:val="20"/>
        </w:rPr>
      </w:pPr>
    </w:p>
    <w:p w14:paraId="51E17A6D" w14:textId="77777777" w:rsidR="00436846" w:rsidRDefault="00436846" w:rsidP="00436846">
      <w:pPr>
        <w:tabs>
          <w:tab w:val="left" w:pos="3119"/>
        </w:tabs>
        <w:jc w:val="both"/>
        <w:rPr>
          <w:rFonts w:ascii="Arial Narrow" w:hAnsi="Arial Narrow"/>
          <w:sz w:val="20"/>
          <w:szCs w:val="20"/>
        </w:rPr>
      </w:pPr>
      <w:r>
        <w:rPr>
          <w:rFonts w:ascii="Arial Narrow" w:hAnsi="Arial Narrow"/>
          <w:sz w:val="20"/>
          <w:szCs w:val="20"/>
        </w:rPr>
        <w:t xml:space="preserve">Proper corporate governance and risk mitigation mechanisms should be introduced, </w:t>
      </w:r>
      <w:proofErr w:type="spellStart"/>
      <w:r>
        <w:rPr>
          <w:rFonts w:ascii="Arial Narrow" w:hAnsi="Arial Narrow"/>
          <w:sz w:val="20"/>
          <w:szCs w:val="20"/>
        </w:rPr>
        <w:t>eg</w:t>
      </w:r>
      <w:proofErr w:type="spellEnd"/>
      <w:r>
        <w:rPr>
          <w:rFonts w:ascii="Arial Narrow" w:hAnsi="Arial Narrow"/>
          <w:sz w:val="20"/>
          <w:szCs w:val="20"/>
        </w:rPr>
        <w:t xml:space="preserve">. the Hong Kong Corporate Governance Guidelines. </w:t>
      </w:r>
    </w:p>
    <w:p w14:paraId="5222815C" w14:textId="77777777" w:rsidR="00436846" w:rsidRPr="00436846" w:rsidRDefault="00436846" w:rsidP="00436846">
      <w:pPr>
        <w:tabs>
          <w:tab w:val="left" w:pos="3119"/>
        </w:tabs>
        <w:jc w:val="both"/>
        <w:rPr>
          <w:rFonts w:ascii="Arial Narrow" w:hAnsi="Arial Narrow"/>
          <w:sz w:val="20"/>
          <w:szCs w:val="20"/>
        </w:rPr>
      </w:pPr>
    </w:p>
    <w:p w14:paraId="10C9977E" w14:textId="77777777" w:rsid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Do the issues outlined in this consultation paper also apply to crowd-sourced debt funding? Is there value in extending a CSEF regime to debt products?</w:t>
      </w:r>
    </w:p>
    <w:p w14:paraId="20C573EC" w14:textId="77777777" w:rsidR="00436846" w:rsidRDefault="00436846" w:rsidP="00436846">
      <w:pPr>
        <w:tabs>
          <w:tab w:val="left" w:pos="3119"/>
        </w:tabs>
        <w:jc w:val="both"/>
        <w:rPr>
          <w:rFonts w:ascii="Arial Narrow" w:hAnsi="Arial Narrow"/>
          <w:sz w:val="20"/>
          <w:szCs w:val="20"/>
        </w:rPr>
      </w:pPr>
    </w:p>
    <w:p w14:paraId="51FCF296" w14:textId="77777777" w:rsidR="00436846" w:rsidRDefault="00436846" w:rsidP="00436846">
      <w:pPr>
        <w:tabs>
          <w:tab w:val="left" w:pos="3119"/>
        </w:tabs>
        <w:jc w:val="both"/>
        <w:rPr>
          <w:rFonts w:ascii="Arial Narrow" w:hAnsi="Arial Narrow"/>
          <w:sz w:val="20"/>
          <w:szCs w:val="20"/>
        </w:rPr>
      </w:pPr>
      <w:r>
        <w:rPr>
          <w:rFonts w:ascii="Arial Narrow" w:hAnsi="Arial Narrow"/>
          <w:sz w:val="20"/>
          <w:szCs w:val="20"/>
        </w:rPr>
        <w:t xml:space="preserve">No. The debt funding follows a different mechanism, in which trust and collateral may be critical. </w:t>
      </w:r>
    </w:p>
    <w:p w14:paraId="6FF333C4" w14:textId="77777777" w:rsidR="00436846" w:rsidRDefault="00436846" w:rsidP="00436846">
      <w:pPr>
        <w:tabs>
          <w:tab w:val="left" w:pos="3119"/>
        </w:tabs>
        <w:jc w:val="both"/>
        <w:rPr>
          <w:rFonts w:ascii="Arial Narrow" w:hAnsi="Arial Narrow"/>
          <w:sz w:val="20"/>
          <w:szCs w:val="20"/>
        </w:rPr>
      </w:pPr>
    </w:p>
    <w:p w14:paraId="6015C6C9" w14:textId="77777777" w:rsidR="00436846" w:rsidRDefault="00436846" w:rsidP="00436846">
      <w:pPr>
        <w:tabs>
          <w:tab w:val="left" w:pos="3119"/>
        </w:tabs>
        <w:jc w:val="both"/>
        <w:rPr>
          <w:rFonts w:ascii="Arial Narrow" w:hAnsi="Arial Narrow"/>
          <w:sz w:val="20"/>
          <w:szCs w:val="20"/>
        </w:rPr>
      </w:pPr>
      <w:r>
        <w:rPr>
          <w:rFonts w:ascii="Arial Narrow" w:hAnsi="Arial Narrow"/>
          <w:sz w:val="20"/>
          <w:szCs w:val="20"/>
        </w:rPr>
        <w:t xml:space="preserve">The disclosure may compensate to the special requirement of debt products, however, the small business owners and intermediaries should bear in mind that the trust is a major issue in obtaining debts. In addition, collaterals of flexible forms should be accepted. </w:t>
      </w:r>
    </w:p>
    <w:p w14:paraId="3E77EC1B" w14:textId="77777777" w:rsidR="00436846" w:rsidRPr="00436846" w:rsidRDefault="00436846" w:rsidP="00436846">
      <w:pPr>
        <w:tabs>
          <w:tab w:val="left" w:pos="3119"/>
        </w:tabs>
        <w:jc w:val="both"/>
        <w:rPr>
          <w:rFonts w:ascii="Arial Narrow" w:hAnsi="Arial Narrow"/>
          <w:sz w:val="20"/>
          <w:szCs w:val="20"/>
        </w:rPr>
      </w:pPr>
    </w:p>
    <w:p w14:paraId="19A98E8B" w14:textId="77777777" w:rsid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To what extent would the frameworks for equity proposed in this discussion paper be consistent with debt products?</w:t>
      </w:r>
    </w:p>
    <w:p w14:paraId="18CE2FF5" w14:textId="77777777" w:rsidR="00436846" w:rsidRDefault="00436846" w:rsidP="00436846">
      <w:pPr>
        <w:tabs>
          <w:tab w:val="left" w:pos="3119"/>
        </w:tabs>
        <w:jc w:val="both"/>
        <w:rPr>
          <w:rFonts w:ascii="Arial Narrow" w:hAnsi="Arial Narrow"/>
          <w:sz w:val="20"/>
          <w:szCs w:val="20"/>
        </w:rPr>
      </w:pPr>
    </w:p>
    <w:p w14:paraId="39128C17" w14:textId="77777777" w:rsidR="00436846" w:rsidRDefault="00436846" w:rsidP="00436846">
      <w:pPr>
        <w:tabs>
          <w:tab w:val="left" w:pos="3119"/>
        </w:tabs>
        <w:jc w:val="both"/>
        <w:rPr>
          <w:rFonts w:ascii="Arial Narrow" w:hAnsi="Arial Narrow"/>
          <w:sz w:val="20"/>
          <w:szCs w:val="20"/>
        </w:rPr>
      </w:pPr>
      <w:r>
        <w:rPr>
          <w:rFonts w:ascii="Arial Narrow" w:hAnsi="Arial Narrow"/>
          <w:sz w:val="20"/>
          <w:szCs w:val="20"/>
        </w:rPr>
        <w:t>The mechanisms for equity and debt financing are different. The debt financing may need more safeguards toward investor protection. Media may play an important role</w:t>
      </w:r>
      <w:r w:rsidR="00B63C0D">
        <w:rPr>
          <w:rFonts w:ascii="Arial Narrow" w:hAnsi="Arial Narrow"/>
          <w:sz w:val="20"/>
          <w:szCs w:val="20"/>
        </w:rPr>
        <w:t xml:space="preserve"> as a monitoring mechanism</w:t>
      </w:r>
      <w:r>
        <w:rPr>
          <w:rFonts w:ascii="Arial Narrow" w:hAnsi="Arial Narrow"/>
          <w:sz w:val="20"/>
          <w:szCs w:val="20"/>
        </w:rPr>
        <w:t xml:space="preserve"> as well. </w:t>
      </w:r>
    </w:p>
    <w:p w14:paraId="17953024" w14:textId="77777777" w:rsidR="00436846" w:rsidRDefault="00436846" w:rsidP="00436846">
      <w:pPr>
        <w:tabs>
          <w:tab w:val="left" w:pos="3119"/>
        </w:tabs>
        <w:jc w:val="both"/>
        <w:rPr>
          <w:rFonts w:ascii="Arial Narrow" w:hAnsi="Arial Narrow"/>
          <w:sz w:val="20"/>
          <w:szCs w:val="20"/>
        </w:rPr>
      </w:pPr>
    </w:p>
    <w:p w14:paraId="51648A20" w14:textId="77777777" w:rsidR="00436846" w:rsidRPr="00436846" w:rsidRDefault="00436846" w:rsidP="00436846">
      <w:pPr>
        <w:tabs>
          <w:tab w:val="left" w:pos="3119"/>
        </w:tabs>
        <w:jc w:val="both"/>
        <w:rPr>
          <w:rFonts w:ascii="Arial Narrow" w:hAnsi="Arial Narrow"/>
          <w:sz w:val="20"/>
          <w:szCs w:val="20"/>
        </w:rPr>
      </w:pPr>
    </w:p>
    <w:p w14:paraId="1913DE8B" w14:textId="77777777" w:rsidR="00B73C13" w:rsidRPr="00B73C13" w:rsidRDefault="00B73C13" w:rsidP="00B73C13">
      <w:pPr>
        <w:pStyle w:val="ListParagraph"/>
        <w:numPr>
          <w:ilvl w:val="0"/>
          <w:numId w:val="1"/>
        </w:numPr>
        <w:tabs>
          <w:tab w:val="left" w:pos="3119"/>
        </w:tabs>
        <w:jc w:val="both"/>
        <w:rPr>
          <w:rFonts w:ascii="Arial Narrow" w:hAnsi="Arial Narrow"/>
          <w:sz w:val="20"/>
          <w:szCs w:val="20"/>
        </w:rPr>
      </w:pPr>
      <w:r w:rsidRPr="00B73C13">
        <w:rPr>
          <w:rFonts w:ascii="Arial Narrow" w:hAnsi="Arial Narrow"/>
          <w:sz w:val="20"/>
          <w:szCs w:val="20"/>
        </w:rPr>
        <w:t>Would any of the options discussed in this paper, or any other issues, impede the development of a secondary market for CSEF securities?</w:t>
      </w:r>
    </w:p>
    <w:p w14:paraId="2A4D4A12" w14:textId="77777777" w:rsidR="00B73C13" w:rsidRDefault="00B73C13" w:rsidP="00B73C13">
      <w:pPr>
        <w:tabs>
          <w:tab w:val="left" w:pos="3119"/>
        </w:tabs>
        <w:jc w:val="both"/>
        <w:rPr>
          <w:rFonts w:ascii="Arial Narrow" w:hAnsi="Arial Narrow"/>
          <w:sz w:val="20"/>
          <w:szCs w:val="20"/>
        </w:rPr>
      </w:pPr>
    </w:p>
    <w:p w14:paraId="721F6AA1" w14:textId="77777777" w:rsidR="00436846" w:rsidRDefault="00436846" w:rsidP="00B73C13">
      <w:pPr>
        <w:tabs>
          <w:tab w:val="left" w:pos="3119"/>
        </w:tabs>
        <w:jc w:val="both"/>
        <w:rPr>
          <w:rFonts w:ascii="Arial Narrow" w:hAnsi="Arial Narrow"/>
          <w:sz w:val="20"/>
          <w:szCs w:val="20"/>
        </w:rPr>
      </w:pPr>
      <w:r>
        <w:rPr>
          <w:rFonts w:ascii="Arial Narrow" w:hAnsi="Arial Narrow"/>
          <w:sz w:val="20"/>
          <w:szCs w:val="20"/>
        </w:rPr>
        <w:lastRenderedPageBreak/>
        <w:t>It is too early to talk about the secondary market</w:t>
      </w:r>
      <w:r w:rsidR="00B63C0D">
        <w:rPr>
          <w:rFonts w:ascii="Arial Narrow" w:hAnsi="Arial Narrow"/>
          <w:sz w:val="20"/>
          <w:szCs w:val="20"/>
        </w:rPr>
        <w:t>, as markets can be formed by needs rather than central planning</w:t>
      </w:r>
      <w:r>
        <w:rPr>
          <w:rFonts w:ascii="Arial Narrow" w:hAnsi="Arial Narrow"/>
          <w:sz w:val="20"/>
          <w:szCs w:val="20"/>
        </w:rPr>
        <w:t xml:space="preserve">; however the credit certificates and other financial derivatives may serve as flexible options for CSEF. </w:t>
      </w:r>
    </w:p>
    <w:p w14:paraId="3A4A9761" w14:textId="77777777" w:rsidR="00B73C13" w:rsidRPr="00B73C13" w:rsidRDefault="00B73C13" w:rsidP="00B73C13">
      <w:pPr>
        <w:tabs>
          <w:tab w:val="left" w:pos="3119"/>
        </w:tabs>
        <w:jc w:val="both"/>
        <w:rPr>
          <w:rFonts w:ascii="Arial Narrow" w:hAnsi="Arial Narrow"/>
          <w:sz w:val="20"/>
          <w:szCs w:val="20"/>
        </w:rPr>
      </w:pPr>
    </w:p>
    <w:p w14:paraId="5A9E2580" w14:textId="77777777" w:rsidR="00E65C71" w:rsidRDefault="00E65C71" w:rsidP="00F56AF5">
      <w:pPr>
        <w:tabs>
          <w:tab w:val="left" w:pos="3119"/>
        </w:tabs>
        <w:jc w:val="both"/>
        <w:rPr>
          <w:rFonts w:ascii="Arial Narrow" w:hAnsi="Arial Narrow"/>
          <w:sz w:val="20"/>
          <w:szCs w:val="20"/>
        </w:rPr>
      </w:pPr>
      <w:r>
        <w:rPr>
          <w:rFonts w:ascii="Arial Narrow" w:hAnsi="Arial Narrow"/>
          <w:sz w:val="20"/>
          <w:szCs w:val="20"/>
        </w:rPr>
        <w:t xml:space="preserve">Yours sincerely, </w:t>
      </w:r>
    </w:p>
    <w:p w14:paraId="0011815C" w14:textId="77777777" w:rsidR="00AD5034" w:rsidRDefault="00AD5034" w:rsidP="00B0605C">
      <w:pPr>
        <w:tabs>
          <w:tab w:val="left" w:pos="3119"/>
        </w:tabs>
        <w:jc w:val="both"/>
        <w:rPr>
          <w:rFonts w:ascii="Arial Narrow" w:hAnsi="Arial Narrow"/>
          <w:sz w:val="20"/>
          <w:szCs w:val="20"/>
        </w:rPr>
      </w:pPr>
    </w:p>
    <w:p w14:paraId="3A9C6271" w14:textId="77777777" w:rsidR="00B0605C" w:rsidRDefault="00B0605C" w:rsidP="00B0605C">
      <w:pPr>
        <w:tabs>
          <w:tab w:val="left" w:pos="3119"/>
        </w:tabs>
        <w:jc w:val="both"/>
        <w:rPr>
          <w:rFonts w:ascii="Arial Narrow" w:hAnsi="Arial Narrow"/>
          <w:sz w:val="20"/>
          <w:szCs w:val="20"/>
        </w:rPr>
      </w:pPr>
      <w:proofErr w:type="spellStart"/>
      <w:r>
        <w:rPr>
          <w:rFonts w:ascii="Arial Narrow" w:hAnsi="Arial Narrow"/>
          <w:sz w:val="20"/>
          <w:szCs w:val="20"/>
        </w:rPr>
        <w:t>Dr.</w:t>
      </w:r>
      <w:proofErr w:type="spellEnd"/>
      <w:r>
        <w:rPr>
          <w:rFonts w:ascii="Arial Narrow" w:hAnsi="Arial Narrow"/>
          <w:sz w:val="20"/>
          <w:szCs w:val="20"/>
        </w:rPr>
        <w:t xml:space="preserve"> </w:t>
      </w:r>
      <w:proofErr w:type="spellStart"/>
      <w:r>
        <w:rPr>
          <w:rFonts w:ascii="Arial Narrow" w:hAnsi="Arial Narrow"/>
          <w:sz w:val="20"/>
          <w:szCs w:val="20"/>
        </w:rPr>
        <w:t>Yongqiang</w:t>
      </w:r>
      <w:proofErr w:type="spellEnd"/>
      <w:r>
        <w:rPr>
          <w:rFonts w:ascii="Arial Narrow" w:hAnsi="Arial Narrow"/>
          <w:sz w:val="20"/>
          <w:szCs w:val="20"/>
        </w:rPr>
        <w:t xml:space="preserve"> Li</w:t>
      </w:r>
      <w:r w:rsidR="00954FFA">
        <w:rPr>
          <w:rFonts w:ascii="Arial Narrow" w:hAnsi="Arial Narrow"/>
          <w:sz w:val="20"/>
          <w:szCs w:val="20"/>
        </w:rPr>
        <w:t xml:space="preserve"> </w:t>
      </w:r>
    </w:p>
    <w:p w14:paraId="1C794F7D" w14:textId="77777777" w:rsidR="00E65C71" w:rsidRDefault="00E65C71" w:rsidP="00F56AF5">
      <w:pPr>
        <w:tabs>
          <w:tab w:val="left" w:pos="3119"/>
        </w:tabs>
        <w:jc w:val="both"/>
        <w:rPr>
          <w:rFonts w:ascii="Arial Narrow" w:hAnsi="Arial Narrow"/>
          <w:sz w:val="20"/>
          <w:szCs w:val="20"/>
        </w:rPr>
      </w:pPr>
      <w:r>
        <w:rPr>
          <w:rFonts w:ascii="Arial Narrow" w:hAnsi="Arial Narrow"/>
          <w:sz w:val="20"/>
          <w:szCs w:val="20"/>
        </w:rPr>
        <w:t xml:space="preserve">Professor </w:t>
      </w:r>
      <w:proofErr w:type="spellStart"/>
      <w:r>
        <w:rPr>
          <w:rFonts w:ascii="Arial Narrow" w:hAnsi="Arial Narrow"/>
          <w:sz w:val="20"/>
          <w:szCs w:val="20"/>
        </w:rPr>
        <w:t>Anona</w:t>
      </w:r>
      <w:proofErr w:type="spellEnd"/>
      <w:r>
        <w:rPr>
          <w:rFonts w:ascii="Arial Narrow" w:hAnsi="Arial Narrow"/>
          <w:sz w:val="20"/>
          <w:szCs w:val="20"/>
        </w:rPr>
        <w:t xml:space="preserve"> Armstrong AM</w:t>
      </w:r>
    </w:p>
    <w:p w14:paraId="74EB25A1" w14:textId="77777777" w:rsidR="00B73C13" w:rsidRDefault="00B73C13" w:rsidP="00F56AF5">
      <w:pPr>
        <w:tabs>
          <w:tab w:val="left" w:pos="3119"/>
        </w:tabs>
        <w:jc w:val="both"/>
        <w:rPr>
          <w:rFonts w:ascii="Arial Narrow" w:hAnsi="Arial Narrow"/>
          <w:sz w:val="20"/>
          <w:szCs w:val="20"/>
        </w:rPr>
      </w:pPr>
      <w:r>
        <w:rPr>
          <w:rFonts w:ascii="Arial Narrow" w:hAnsi="Arial Narrow"/>
          <w:sz w:val="20"/>
          <w:szCs w:val="20"/>
        </w:rPr>
        <w:t>Professor Andrew Clarke</w:t>
      </w:r>
    </w:p>
    <w:p w14:paraId="7C0F8CAB" w14:textId="77777777" w:rsidR="00F56AF5" w:rsidRDefault="00E65C71" w:rsidP="00F56AF5">
      <w:pPr>
        <w:tabs>
          <w:tab w:val="left" w:pos="3119"/>
        </w:tabs>
        <w:jc w:val="both"/>
        <w:rPr>
          <w:rFonts w:ascii="Arial Narrow" w:hAnsi="Arial Narrow"/>
          <w:sz w:val="20"/>
          <w:szCs w:val="20"/>
        </w:rPr>
      </w:pPr>
      <w:r>
        <w:rPr>
          <w:rFonts w:ascii="Arial Narrow" w:hAnsi="Arial Narrow"/>
          <w:sz w:val="20"/>
          <w:szCs w:val="20"/>
        </w:rPr>
        <w:t>College of Law &amp; Justice</w:t>
      </w:r>
    </w:p>
    <w:p w14:paraId="7B946DA2" w14:textId="77777777" w:rsidR="00954FFA" w:rsidRDefault="00954FFA" w:rsidP="00F56AF5">
      <w:pPr>
        <w:tabs>
          <w:tab w:val="left" w:pos="3119"/>
        </w:tabs>
        <w:jc w:val="both"/>
        <w:rPr>
          <w:rFonts w:ascii="Arial Narrow" w:hAnsi="Arial Narrow"/>
          <w:sz w:val="20"/>
          <w:szCs w:val="20"/>
        </w:rPr>
      </w:pPr>
    </w:p>
    <w:p w14:paraId="083EE740" w14:textId="77777777" w:rsidR="00954FFA" w:rsidRPr="00F56AF5" w:rsidRDefault="00954FFA" w:rsidP="00F56AF5">
      <w:pPr>
        <w:tabs>
          <w:tab w:val="left" w:pos="3119"/>
        </w:tabs>
        <w:jc w:val="both"/>
        <w:rPr>
          <w:rFonts w:ascii="Arial Narrow" w:hAnsi="Arial Narrow"/>
          <w:sz w:val="20"/>
          <w:szCs w:val="20"/>
        </w:rPr>
      </w:pPr>
      <w:r>
        <w:rPr>
          <w:rFonts w:ascii="Arial Narrow" w:hAnsi="Arial Narrow"/>
          <w:sz w:val="20"/>
          <w:szCs w:val="20"/>
        </w:rPr>
        <w:t xml:space="preserve">Contact: </w:t>
      </w:r>
      <w:proofErr w:type="spellStart"/>
      <w:r>
        <w:rPr>
          <w:rFonts w:ascii="Arial Narrow" w:hAnsi="Arial Narrow"/>
          <w:sz w:val="20"/>
          <w:szCs w:val="20"/>
        </w:rPr>
        <w:t>Dr.</w:t>
      </w:r>
      <w:proofErr w:type="spellEnd"/>
      <w:r>
        <w:rPr>
          <w:rFonts w:ascii="Arial Narrow" w:hAnsi="Arial Narrow"/>
          <w:sz w:val="20"/>
          <w:szCs w:val="20"/>
        </w:rPr>
        <w:t xml:space="preserve"> </w:t>
      </w:r>
      <w:proofErr w:type="spellStart"/>
      <w:r>
        <w:rPr>
          <w:rFonts w:ascii="Arial Narrow" w:hAnsi="Arial Narrow"/>
          <w:sz w:val="20"/>
          <w:szCs w:val="20"/>
        </w:rPr>
        <w:t>Yongqiang</w:t>
      </w:r>
      <w:proofErr w:type="spellEnd"/>
      <w:r>
        <w:rPr>
          <w:rFonts w:ascii="Arial Narrow" w:hAnsi="Arial Narrow"/>
          <w:sz w:val="20"/>
          <w:szCs w:val="20"/>
        </w:rPr>
        <w:t xml:space="preserve"> Li </w:t>
      </w:r>
      <w:r w:rsidR="00AD5034">
        <w:rPr>
          <w:rFonts w:ascii="Arial Narrow" w:hAnsi="Arial Narrow"/>
          <w:sz w:val="20"/>
          <w:szCs w:val="20"/>
        </w:rPr>
        <w:t xml:space="preserve"> Email: </w:t>
      </w:r>
      <w:hyperlink r:id="rId14" w:history="1">
        <w:r w:rsidR="00AD5034" w:rsidRPr="007E0A21">
          <w:rPr>
            <w:rStyle w:val="Hyperlink"/>
            <w:rFonts w:ascii="Arial Narrow" w:hAnsi="Arial Narrow"/>
            <w:sz w:val="20"/>
            <w:szCs w:val="20"/>
          </w:rPr>
          <w:t>Yongqiang.li@vu.edu.au</w:t>
        </w:r>
      </w:hyperlink>
      <w:r w:rsidR="00AD5034">
        <w:rPr>
          <w:rFonts w:ascii="Arial Narrow" w:hAnsi="Arial Narrow"/>
          <w:sz w:val="20"/>
          <w:szCs w:val="20"/>
        </w:rPr>
        <w:t xml:space="preserve">  Phone: +61 433 138 668</w:t>
      </w:r>
    </w:p>
    <w:sectPr w:rsidR="00954FFA" w:rsidRPr="00F56AF5" w:rsidSect="00BF190F">
      <w:headerReference w:type="default" r:id="rId15"/>
      <w:footerReference w:type="default" r:id="rId16"/>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9985B" w14:textId="77777777" w:rsidR="00B113A2" w:rsidRDefault="00B113A2" w:rsidP="006B05E2">
      <w:r>
        <w:separator/>
      </w:r>
    </w:p>
  </w:endnote>
  <w:endnote w:type="continuationSeparator" w:id="0">
    <w:p w14:paraId="543287B6" w14:textId="77777777" w:rsidR="00B113A2" w:rsidRDefault="00B113A2" w:rsidP="006B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E313F" w14:textId="77777777" w:rsidR="006B05E2" w:rsidRDefault="006B05E2" w:rsidP="006B05E2">
    <w:pPr>
      <w:pStyle w:val="Footer"/>
      <w:jc w:val="center"/>
      <w:rPr>
        <w:rFonts w:ascii="Arial Narrow" w:hAnsi="Arial Narrow"/>
        <w:sz w:val="16"/>
      </w:rPr>
    </w:pPr>
  </w:p>
  <w:p w14:paraId="60C4340C" w14:textId="77777777" w:rsidR="006B05E2" w:rsidRPr="006B05E2" w:rsidRDefault="006B05E2" w:rsidP="006B05E2">
    <w:pPr>
      <w:pStyle w:val="Footer"/>
      <w:jc w:val="center"/>
      <w:rPr>
        <w:rFonts w:ascii="Arial Narrow" w:hAnsi="Arial Narrow"/>
        <w:sz w:val="16"/>
      </w:rPr>
    </w:pPr>
    <w:r w:rsidRPr="006B05E2">
      <w:rPr>
        <w:rFonts w:ascii="Arial Narrow" w:hAnsi="Arial Narrow"/>
        <w:sz w:val="16"/>
      </w:rPr>
      <w:t>VICTORIA UNIVERSITY ABN 837769</w:t>
    </w:r>
    <w:r w:rsidR="000155CF">
      <w:rPr>
        <w:rFonts w:ascii="Arial Narrow" w:hAnsi="Arial Narrow"/>
        <w:sz w:val="16"/>
      </w:rPr>
      <w:t>5</w:t>
    </w:r>
    <w:r w:rsidRPr="006B05E2">
      <w:rPr>
        <w:rFonts w:ascii="Arial Narrow" w:hAnsi="Arial Narrow"/>
        <w:sz w:val="16"/>
      </w:rPr>
      <w:t>4731 CRICOS Provider No. 00124K</w:t>
    </w:r>
  </w:p>
  <w:p w14:paraId="620D9B5B" w14:textId="77777777" w:rsidR="006B05E2" w:rsidRDefault="006B0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A3E6A" w14:textId="77777777" w:rsidR="00B113A2" w:rsidRDefault="00B113A2" w:rsidP="006B05E2">
      <w:r>
        <w:separator/>
      </w:r>
    </w:p>
  </w:footnote>
  <w:footnote w:type="continuationSeparator" w:id="0">
    <w:p w14:paraId="1CE1093B" w14:textId="77777777" w:rsidR="00B113A2" w:rsidRDefault="00B113A2" w:rsidP="006B05E2">
      <w:r>
        <w:continuationSeparator/>
      </w:r>
    </w:p>
  </w:footnote>
  <w:footnote w:id="1">
    <w:p w14:paraId="3A8633CC" w14:textId="77777777" w:rsidR="0081537D" w:rsidRDefault="0081537D">
      <w:pPr>
        <w:pStyle w:val="FootnoteText"/>
      </w:pPr>
      <w:r>
        <w:rPr>
          <w:rStyle w:val="FootnoteReference"/>
        </w:rPr>
        <w:footnoteRef/>
      </w:r>
      <w:r>
        <w:t xml:space="preserve"> </w:t>
      </w:r>
      <w:r w:rsidRPr="0081537D">
        <w:rPr>
          <w:rFonts w:ascii="Arial Narrow" w:hAnsi="Arial Narrow"/>
        </w:rPr>
        <w:t>The survey is part of an Australian Research Council Linkage Grant on “Developing a Responsive Regulatory System for Small Corporations in Australia”</w:t>
      </w:r>
      <w:r w:rsidR="00B63C0D">
        <w:rPr>
          <w:rFonts w:ascii="Arial Narrow" w:hAnsi="Arial Narrow"/>
        </w:rPr>
        <w:t xml:space="preserve"> (2009-2013)</w:t>
      </w:r>
      <w:r w:rsidRPr="0081537D">
        <w:rPr>
          <w:rFonts w:ascii="Arial Narrow" w:hAnsi="Arial Narrow"/>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D09F6" w14:textId="77777777" w:rsidR="002E09DA" w:rsidRDefault="007C2137">
    <w:pPr>
      <w:pStyle w:val="Header"/>
    </w:pPr>
    <w:r>
      <w:rPr>
        <w:noProof/>
      </w:rPr>
      <mc:AlternateContent>
        <mc:Choice Requires="wps">
          <w:drawing>
            <wp:anchor distT="0" distB="0" distL="114300" distR="114300" simplePos="0" relativeHeight="251658240" behindDoc="0" locked="0" layoutInCell="1" allowOverlap="1" wp14:anchorId="13B58508" wp14:editId="35BD4ED6">
              <wp:simplePos x="0" y="0"/>
              <wp:positionH relativeFrom="column">
                <wp:posOffset>3810000</wp:posOffset>
              </wp:positionH>
              <wp:positionV relativeFrom="paragraph">
                <wp:posOffset>114300</wp:posOffset>
              </wp:positionV>
              <wp:extent cx="2895600" cy="8001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7EFFA" w14:textId="77777777" w:rsidR="004915DF" w:rsidRDefault="00E83B25" w:rsidP="00B206A9">
                          <w:pPr>
                            <w:ind w:firstLine="567"/>
                          </w:pPr>
                          <w:r>
                            <w:rPr>
                              <w:noProof/>
                            </w:rPr>
                            <w:drawing>
                              <wp:inline distT="0" distB="0" distL="0" distR="0" wp14:anchorId="0296012A" wp14:editId="4FB76360">
                                <wp:extent cx="1428750" cy="505504"/>
                                <wp:effectExtent l="25400" t="0" r="0" b="0"/>
                                <wp:docPr id="2" name="Picture 1" descr="VU_Logo_Melb_Aust_Stacke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_Logo_Melb_Aust_Stacked_CMYK.jpg"/>
                                        <pic:cNvPicPr/>
                                      </pic:nvPicPr>
                                      <pic:blipFill>
                                        <a:blip r:embed="rId1"/>
                                        <a:stretch>
                                          <a:fillRect/>
                                        </a:stretch>
                                      </pic:blipFill>
                                      <pic:spPr>
                                        <a:xfrm>
                                          <a:off x="0" y="0"/>
                                          <a:ext cx="1435395" cy="50785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00pt;margin-top:9pt;width:228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" filled="f" stroked="f">
              <v:textbox inset=",7.2pt,,7.2pt">
                <w:txbxContent>
                  <w:p w14:paraId="7C37EFFA" w14:textId="77777777" w:rsidR="004915DF" w:rsidRDefault="00E83B25" w:rsidP="00B206A9">
                    <w:pPr>
                      <w:ind w:firstLine="567"/>
                    </w:pPr>
                    <w:r>
                      <w:rPr>
                        <w:noProof/>
                      </w:rPr>
                      <w:drawing>
                        <wp:inline distT="0" distB="0" distL="0" distR="0" wp14:anchorId="0296012A" wp14:editId="4FB76360">
                          <wp:extent cx="1428750" cy="505504"/>
                          <wp:effectExtent l="25400" t="0" r="0" b="0"/>
                          <wp:docPr id="2" name="Picture 1" descr="VU_Logo_Melb_Aust_Stacke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_Logo_Melb_Aust_Stacked_CMYK.jpg"/>
                                  <pic:cNvPicPr/>
                                </pic:nvPicPr>
                                <pic:blipFill>
                                  <a:blip r:embed="rId2"/>
                                  <a:stretch>
                                    <a:fillRect/>
                                  </a:stretch>
                                </pic:blipFill>
                                <pic:spPr>
                                  <a:xfrm>
                                    <a:off x="0" y="0"/>
                                    <a:ext cx="1435395" cy="507855"/>
                                  </a:xfrm>
                                  <a:prstGeom prst="rect">
                                    <a:avLst/>
                                  </a:prstGeom>
                                </pic:spPr>
                              </pic:pic>
                            </a:graphicData>
                          </a:graphic>
                        </wp:inline>
                      </w:drawing>
                    </w:r>
                  </w:p>
                </w:txbxContent>
              </v:textbox>
            </v:shape>
          </w:pict>
        </mc:Fallback>
      </mc:AlternateContent>
    </w:r>
  </w:p>
  <w:p w14:paraId="47C3CE93" w14:textId="77777777" w:rsidR="002E09DA" w:rsidRDefault="002E09DA">
    <w:pPr>
      <w:pStyle w:val="Header"/>
    </w:pPr>
  </w:p>
  <w:p w14:paraId="3DD8BDB0" w14:textId="77777777" w:rsidR="00BF190F" w:rsidRDefault="00BF190F">
    <w:pPr>
      <w:pStyle w:val="Header"/>
    </w:pPr>
  </w:p>
  <w:p w14:paraId="3EF1CC13" w14:textId="77777777" w:rsidR="00BF190F" w:rsidRDefault="00BF19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6450D"/>
    <w:multiLevelType w:val="hybridMultilevel"/>
    <w:tmpl w:val="5DA888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5E"/>
    <w:rsid w:val="0001291B"/>
    <w:rsid w:val="000155CF"/>
    <w:rsid w:val="000262DB"/>
    <w:rsid w:val="0002705E"/>
    <w:rsid w:val="000B227A"/>
    <w:rsid w:val="000B6C76"/>
    <w:rsid w:val="000F5B51"/>
    <w:rsid w:val="00187776"/>
    <w:rsid w:val="00254857"/>
    <w:rsid w:val="00286E51"/>
    <w:rsid w:val="00287040"/>
    <w:rsid w:val="00295399"/>
    <w:rsid w:val="002E09DA"/>
    <w:rsid w:val="00310ADD"/>
    <w:rsid w:val="0031221A"/>
    <w:rsid w:val="003138F9"/>
    <w:rsid w:val="00351A01"/>
    <w:rsid w:val="00386A4B"/>
    <w:rsid w:val="00397520"/>
    <w:rsid w:val="00436846"/>
    <w:rsid w:val="00441BD3"/>
    <w:rsid w:val="00491128"/>
    <w:rsid w:val="004915DF"/>
    <w:rsid w:val="005410D2"/>
    <w:rsid w:val="005540C1"/>
    <w:rsid w:val="005B06E3"/>
    <w:rsid w:val="00617ED5"/>
    <w:rsid w:val="006A07EA"/>
    <w:rsid w:val="006B05E2"/>
    <w:rsid w:val="006E7765"/>
    <w:rsid w:val="00716AAD"/>
    <w:rsid w:val="007625CB"/>
    <w:rsid w:val="00772EF6"/>
    <w:rsid w:val="007C2137"/>
    <w:rsid w:val="0081537D"/>
    <w:rsid w:val="00821A1F"/>
    <w:rsid w:val="00830CA4"/>
    <w:rsid w:val="00954FFA"/>
    <w:rsid w:val="0095584E"/>
    <w:rsid w:val="009E12A8"/>
    <w:rsid w:val="009E169F"/>
    <w:rsid w:val="009E23D4"/>
    <w:rsid w:val="009E4123"/>
    <w:rsid w:val="00AB17F9"/>
    <w:rsid w:val="00AD5034"/>
    <w:rsid w:val="00AE3E18"/>
    <w:rsid w:val="00AE5313"/>
    <w:rsid w:val="00B0605C"/>
    <w:rsid w:val="00B113A2"/>
    <w:rsid w:val="00B14424"/>
    <w:rsid w:val="00B206A9"/>
    <w:rsid w:val="00B44205"/>
    <w:rsid w:val="00B63C0D"/>
    <w:rsid w:val="00B73C13"/>
    <w:rsid w:val="00B76474"/>
    <w:rsid w:val="00B77D17"/>
    <w:rsid w:val="00BA1D4D"/>
    <w:rsid w:val="00BF190F"/>
    <w:rsid w:val="00C356B5"/>
    <w:rsid w:val="00CA5F79"/>
    <w:rsid w:val="00D004B4"/>
    <w:rsid w:val="00D164ED"/>
    <w:rsid w:val="00D55A1A"/>
    <w:rsid w:val="00D65D98"/>
    <w:rsid w:val="00D84C94"/>
    <w:rsid w:val="00DF6A58"/>
    <w:rsid w:val="00E03107"/>
    <w:rsid w:val="00E5327B"/>
    <w:rsid w:val="00E65C71"/>
    <w:rsid w:val="00E83B25"/>
    <w:rsid w:val="00ED0010"/>
    <w:rsid w:val="00EE216B"/>
    <w:rsid w:val="00F21B69"/>
    <w:rsid w:val="00F56AF5"/>
    <w:rsid w:val="00F742B1"/>
    <w:rsid w:val="00F83243"/>
    <w:rsid w:val="00FC0B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D7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5E2"/>
    <w:rPr>
      <w:rFonts w:ascii="Times New Roman" w:eastAsia="Times New Roman" w:hAnsi="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5E2"/>
    <w:rPr>
      <w:rFonts w:ascii="Tahoma" w:hAnsi="Tahoma" w:cs="Tahoma"/>
      <w:sz w:val="16"/>
      <w:szCs w:val="16"/>
    </w:rPr>
  </w:style>
  <w:style w:type="character" w:customStyle="1" w:styleId="BalloonTextChar">
    <w:name w:val="Balloon Text Char"/>
    <w:basedOn w:val="DefaultParagraphFont"/>
    <w:link w:val="BalloonText"/>
    <w:uiPriority w:val="99"/>
    <w:semiHidden/>
    <w:rsid w:val="006B05E2"/>
    <w:rPr>
      <w:rFonts w:ascii="Tahoma" w:eastAsia="Times New Roman" w:hAnsi="Tahoma" w:cs="Tahoma"/>
      <w:sz w:val="16"/>
      <w:szCs w:val="16"/>
      <w:lang w:eastAsia="en-AU"/>
    </w:rPr>
  </w:style>
  <w:style w:type="paragraph" w:styleId="Header">
    <w:name w:val="header"/>
    <w:basedOn w:val="Normal"/>
    <w:link w:val="HeaderChar"/>
    <w:uiPriority w:val="99"/>
    <w:unhideWhenUsed/>
    <w:rsid w:val="006B05E2"/>
    <w:pPr>
      <w:tabs>
        <w:tab w:val="center" w:pos="4513"/>
        <w:tab w:val="right" w:pos="9026"/>
      </w:tabs>
    </w:pPr>
  </w:style>
  <w:style w:type="character" w:customStyle="1" w:styleId="HeaderChar">
    <w:name w:val="Header Char"/>
    <w:basedOn w:val="DefaultParagraphFont"/>
    <w:link w:val="Header"/>
    <w:uiPriority w:val="99"/>
    <w:rsid w:val="006B05E2"/>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6B05E2"/>
    <w:pPr>
      <w:tabs>
        <w:tab w:val="center" w:pos="4513"/>
        <w:tab w:val="right" w:pos="9026"/>
      </w:tabs>
    </w:pPr>
  </w:style>
  <w:style w:type="character" w:customStyle="1" w:styleId="FooterChar">
    <w:name w:val="Footer Char"/>
    <w:basedOn w:val="DefaultParagraphFont"/>
    <w:link w:val="Footer"/>
    <w:uiPriority w:val="99"/>
    <w:rsid w:val="006B05E2"/>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87040"/>
    <w:rPr>
      <w:color w:val="0000FF" w:themeColor="hyperlink"/>
      <w:u w:val="single"/>
    </w:rPr>
  </w:style>
  <w:style w:type="paragraph" w:styleId="ListParagraph">
    <w:name w:val="List Paragraph"/>
    <w:basedOn w:val="Normal"/>
    <w:uiPriority w:val="72"/>
    <w:rsid w:val="00B73C13"/>
    <w:pPr>
      <w:ind w:left="720"/>
      <w:contextualSpacing/>
    </w:pPr>
  </w:style>
  <w:style w:type="paragraph" w:styleId="FootnoteText">
    <w:name w:val="footnote text"/>
    <w:basedOn w:val="Normal"/>
    <w:link w:val="FootnoteTextChar"/>
    <w:uiPriority w:val="99"/>
    <w:semiHidden/>
    <w:unhideWhenUsed/>
    <w:rsid w:val="0081537D"/>
    <w:rPr>
      <w:sz w:val="20"/>
      <w:szCs w:val="20"/>
    </w:rPr>
  </w:style>
  <w:style w:type="character" w:customStyle="1" w:styleId="FootnoteTextChar">
    <w:name w:val="Footnote Text Char"/>
    <w:basedOn w:val="DefaultParagraphFont"/>
    <w:link w:val="FootnoteText"/>
    <w:uiPriority w:val="99"/>
    <w:semiHidden/>
    <w:rsid w:val="0081537D"/>
    <w:rPr>
      <w:rFonts w:ascii="Times New Roman" w:eastAsia="Times New Roman" w:hAnsi="Times New Roman"/>
      <w:lang w:eastAsia="en-AU"/>
    </w:rPr>
  </w:style>
  <w:style w:type="character" w:styleId="FootnoteReference">
    <w:name w:val="footnote reference"/>
    <w:basedOn w:val="DefaultParagraphFont"/>
    <w:uiPriority w:val="99"/>
    <w:semiHidden/>
    <w:unhideWhenUsed/>
    <w:rsid w:val="008153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5E2"/>
    <w:rPr>
      <w:rFonts w:ascii="Times New Roman" w:eastAsia="Times New Roman" w:hAnsi="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5E2"/>
    <w:rPr>
      <w:rFonts w:ascii="Tahoma" w:hAnsi="Tahoma" w:cs="Tahoma"/>
      <w:sz w:val="16"/>
      <w:szCs w:val="16"/>
    </w:rPr>
  </w:style>
  <w:style w:type="character" w:customStyle="1" w:styleId="BalloonTextChar">
    <w:name w:val="Balloon Text Char"/>
    <w:basedOn w:val="DefaultParagraphFont"/>
    <w:link w:val="BalloonText"/>
    <w:uiPriority w:val="99"/>
    <w:semiHidden/>
    <w:rsid w:val="006B05E2"/>
    <w:rPr>
      <w:rFonts w:ascii="Tahoma" w:eastAsia="Times New Roman" w:hAnsi="Tahoma" w:cs="Tahoma"/>
      <w:sz w:val="16"/>
      <w:szCs w:val="16"/>
      <w:lang w:eastAsia="en-AU"/>
    </w:rPr>
  </w:style>
  <w:style w:type="paragraph" w:styleId="Header">
    <w:name w:val="header"/>
    <w:basedOn w:val="Normal"/>
    <w:link w:val="HeaderChar"/>
    <w:uiPriority w:val="99"/>
    <w:unhideWhenUsed/>
    <w:rsid w:val="006B05E2"/>
    <w:pPr>
      <w:tabs>
        <w:tab w:val="center" w:pos="4513"/>
        <w:tab w:val="right" w:pos="9026"/>
      </w:tabs>
    </w:pPr>
  </w:style>
  <w:style w:type="character" w:customStyle="1" w:styleId="HeaderChar">
    <w:name w:val="Header Char"/>
    <w:basedOn w:val="DefaultParagraphFont"/>
    <w:link w:val="Header"/>
    <w:uiPriority w:val="99"/>
    <w:rsid w:val="006B05E2"/>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6B05E2"/>
    <w:pPr>
      <w:tabs>
        <w:tab w:val="center" w:pos="4513"/>
        <w:tab w:val="right" w:pos="9026"/>
      </w:tabs>
    </w:pPr>
  </w:style>
  <w:style w:type="character" w:customStyle="1" w:styleId="FooterChar">
    <w:name w:val="Footer Char"/>
    <w:basedOn w:val="DefaultParagraphFont"/>
    <w:link w:val="Footer"/>
    <w:uiPriority w:val="99"/>
    <w:rsid w:val="006B05E2"/>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87040"/>
    <w:rPr>
      <w:color w:val="0000FF" w:themeColor="hyperlink"/>
      <w:u w:val="single"/>
    </w:rPr>
  </w:style>
  <w:style w:type="paragraph" w:styleId="ListParagraph">
    <w:name w:val="List Paragraph"/>
    <w:basedOn w:val="Normal"/>
    <w:uiPriority w:val="72"/>
    <w:rsid w:val="00B73C13"/>
    <w:pPr>
      <w:ind w:left="720"/>
      <w:contextualSpacing/>
    </w:pPr>
  </w:style>
  <w:style w:type="paragraph" w:styleId="FootnoteText">
    <w:name w:val="footnote text"/>
    <w:basedOn w:val="Normal"/>
    <w:link w:val="FootnoteTextChar"/>
    <w:uiPriority w:val="99"/>
    <w:semiHidden/>
    <w:unhideWhenUsed/>
    <w:rsid w:val="0081537D"/>
    <w:rPr>
      <w:sz w:val="20"/>
      <w:szCs w:val="20"/>
    </w:rPr>
  </w:style>
  <w:style w:type="character" w:customStyle="1" w:styleId="FootnoteTextChar">
    <w:name w:val="Footnote Text Char"/>
    <w:basedOn w:val="DefaultParagraphFont"/>
    <w:link w:val="FootnoteText"/>
    <w:uiPriority w:val="99"/>
    <w:semiHidden/>
    <w:rsid w:val="0081537D"/>
    <w:rPr>
      <w:rFonts w:ascii="Times New Roman" w:eastAsia="Times New Roman" w:hAnsi="Times New Roman"/>
      <w:lang w:eastAsia="en-AU"/>
    </w:rPr>
  </w:style>
  <w:style w:type="character" w:styleId="FootnoteReference">
    <w:name w:val="footnote reference"/>
    <w:basedOn w:val="DefaultParagraphFont"/>
    <w:uiPriority w:val="99"/>
    <w:semiHidden/>
    <w:unhideWhenUsed/>
    <w:rsid w:val="008153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nona.Armstrong@vu.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Yongqiang.li@vu.edu.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2014MG-93-11484</_dlc_DocId>
    <_dlc_DocIdUrl xmlns="d4dd4adf-ddb3-46a3-8d7c-fab3fb2a6bc7">
      <Url>http://tweb/sites/mg/fsd/_layouts/15/DocIdRedir.aspx?ID=2014MG-93-11484</Url>
      <Description>2014MG-93-11484</Description>
    </_dlc_DocIdUrl>
  </documentManagement>
</p:properti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17" ma:contentTypeDescription=" " ma:contentTypeScope="" ma:versionID="05e352d8acc251fe0bdd3962f7e88859">
  <xsd:schema xmlns:xsd="http://www.w3.org/2001/XMLSchema" xmlns:xs="http://www.w3.org/2001/XMLSchema" xmlns:p="http://schemas.microsoft.com/office/2006/metadata/properties" xmlns:ns1="http://schemas.microsoft.com/sharepoint/v3" xmlns:ns2="d4dd4adf-ddb3-46a3-8d7c-fab3fb2a6bc7" targetNamespace="http://schemas.microsoft.com/office/2006/metadata/properties" ma:root="true" ma:fieldsID="86a65ed0b00e7401c108b4db23034070" ns1:_="" ns2:_="">
    <xsd:import namespace="http://schemas.microsoft.com/sharepoint/v3"/>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771C2-C7AC-451C-9C8C-C60B7D3E2F72}">
  <ds:schemaRefs>
    <ds:schemaRef ds:uri="http://schemas.microsoft.com/sharepoint/v3"/>
    <ds:schemaRef ds:uri="http://schemas.microsoft.com/office/infopath/2007/PartnerControls"/>
    <ds:schemaRef ds:uri="http://purl.org/dc/dcmitype/"/>
    <ds:schemaRef ds:uri="d4dd4adf-ddb3-46a3-8d7c-fab3fb2a6bc7"/>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86D7C8FF-B2C3-4502-BCED-E42202E55D94}">
  <ds:schemaRefs>
    <ds:schemaRef ds:uri="http://schemas.microsoft.com/sharepoint/events"/>
  </ds:schemaRefs>
</ds:datastoreItem>
</file>

<file path=customXml/itemProps3.xml><?xml version="1.0" encoding="utf-8"?>
<ds:datastoreItem xmlns:ds="http://schemas.openxmlformats.org/officeDocument/2006/customXml" ds:itemID="{410FAA93-706A-4990-ACD4-E6D9C1F2FD17}">
  <ds:schemaRefs>
    <ds:schemaRef ds:uri="http://schemas.microsoft.com/sharepoint/v3/contenttype/forms"/>
  </ds:schemaRefs>
</ds:datastoreItem>
</file>

<file path=customXml/itemProps4.xml><?xml version="1.0" encoding="utf-8"?>
<ds:datastoreItem xmlns:ds="http://schemas.openxmlformats.org/officeDocument/2006/customXml" ds:itemID="{D81402EE-16C2-4FC1-8832-0DA55BDEA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F49447-E2D2-4739-A74A-9E7A6109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2460</Words>
  <Characters>13226</Characters>
  <Application>Microsoft Office Word</Application>
  <DocSecurity>0</DocSecurity>
  <Lines>250</Lines>
  <Paragraphs>86</Paragraphs>
  <ScaleCrop>false</ScaleCrop>
  <HeadingPairs>
    <vt:vector size="2" baseType="variant">
      <vt:variant>
        <vt:lpstr>Title</vt:lpstr>
      </vt:variant>
      <vt:variant>
        <vt:i4>1</vt:i4>
      </vt:variant>
    </vt:vector>
  </HeadingPairs>
  <TitlesOfParts>
    <vt:vector size="1" baseType="lpstr">
      <vt:lpstr>Victoria University - Crowd-sourced Equity Funding</vt:lpstr>
    </vt:vector>
  </TitlesOfParts>
  <Company/>
  <LinksUpToDate>false</LinksUpToDate>
  <CharactersWithSpaces>15663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University - Crowd-sourced Equity Funding</dc:title>
  <dc:subject>Victoria University</dc:subject>
  <dc:creator/>
  <cp:lastModifiedBy/>
  <cp:revision>1</cp:revision>
  <dcterms:created xsi:type="dcterms:W3CDTF">2015-04-14T04:37:00Z</dcterms:created>
  <dcterms:modified xsi:type="dcterms:W3CDTF">2015-04-15T03:55:00Z</dcterms:modified>
  <dc:language>English</dc:language>
</cp:coreProperties>
</file>