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281" w:rsidRDefault="00E3331C">
      <w:r>
        <w:rPr>
          <w:noProof/>
          <w:lang w:eastAsia="en-AU"/>
        </w:rPr>
        <w:pict>
          <v:shapetype id="_x0000_t202" coordsize="21600,21600" o:spt="202" path="m,l,21600r21600,l21600,xe">
            <v:stroke joinstyle="miter"/>
            <v:path gradientshapeok="t" o:connecttype="rect"/>
          </v:shapetype>
          <v:shape id="Text Box 2" o:spid="_x0000_s1026" type="#_x0000_t202" style="position:absolute;margin-left:-3.3pt;margin-top:1.3pt;width:472pt;height:493.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" filled="f" stroked="f">
            <v:textbox>
              <w:txbxContent>
                <w:p w:rsidR="0061071A" w:rsidRPr="00264784" w:rsidRDefault="0061071A">
                  <w:pPr>
                    <w:rPr>
                      <w:rFonts w:ascii="Arial" w:eastAsia="Arial" w:hAnsi="Arial" w:cs="Arial"/>
                      <w:color w:val="FFFFFF"/>
                      <w:sz w:val="96"/>
                      <w:szCs w:val="96"/>
                    </w:rPr>
                  </w:pPr>
                  <w:r w:rsidRPr="00264784">
                    <w:rPr>
                      <w:rFonts w:ascii="Arial" w:eastAsia="Arial" w:hAnsi="Arial" w:cs="Arial"/>
                      <w:color w:val="FFFFFF"/>
                      <w:spacing w:val="-13"/>
                      <w:sz w:val="96"/>
                      <w:szCs w:val="96"/>
                    </w:rPr>
                    <w:t>Submission to Treasury</w:t>
                  </w:r>
                  <w:bookmarkStart w:id="0" w:name="_GoBack"/>
                  <w:bookmarkEnd w:id="0"/>
                </w:p>
                <w:p w:rsidR="0061071A" w:rsidRDefault="0061071A">
                  <w:pPr>
                    <w:rPr>
                      <w:rFonts w:ascii="Arial" w:eastAsia="Arial" w:hAnsi="Arial" w:cs="Arial"/>
                      <w:color w:val="FFFFFF"/>
                      <w:sz w:val="112"/>
                      <w:szCs w:val="112"/>
                    </w:rPr>
                  </w:pPr>
                </w:p>
                <w:p w:rsidR="0061071A" w:rsidRPr="00CD524F" w:rsidRDefault="0061071A">
                  <w:pPr>
                    <w:rPr>
                      <w:rFonts w:ascii="Arial" w:eastAsia="Arial" w:hAnsi="Arial" w:cs="Arial"/>
                      <w:color w:val="EAF6FE"/>
                      <w:w w:val="82"/>
                      <w:sz w:val="36"/>
                      <w:szCs w:val="36"/>
                    </w:rPr>
                  </w:pPr>
                  <w:r w:rsidRPr="00CD524F">
                    <w:rPr>
                      <w:rFonts w:ascii="Arial" w:eastAsia="Arial" w:hAnsi="Arial" w:cs="Arial"/>
                      <w:color w:val="EAF6FE"/>
                      <w:spacing w:val="-6"/>
                      <w:sz w:val="36"/>
                      <w:szCs w:val="36"/>
                    </w:rPr>
                    <w:t>This submission is provided in response to the Australian Government’s Crowd Sourced Equity Funding Discussion Paper of 8 December 2014</w:t>
                  </w:r>
                </w:p>
                <w:p w:rsidR="0061071A" w:rsidRDefault="0061071A">
                  <w:pPr>
                    <w:rPr>
                      <w:rFonts w:ascii="Arial" w:eastAsia="Arial" w:hAnsi="Arial" w:cs="Arial"/>
                      <w:color w:val="EAF6FE"/>
                      <w:w w:val="82"/>
                      <w:sz w:val="52"/>
                      <w:szCs w:val="52"/>
                    </w:rPr>
                  </w:pPr>
                </w:p>
                <w:p w:rsidR="0061071A" w:rsidRDefault="0061071A">
                  <w:pPr>
                    <w:rPr>
                      <w:rFonts w:ascii="Arial" w:eastAsia="Arial" w:hAnsi="Arial" w:cs="Arial"/>
                      <w:color w:val="EAF6FE"/>
                      <w:w w:val="82"/>
                      <w:sz w:val="52"/>
                      <w:szCs w:val="52"/>
                    </w:rPr>
                  </w:pPr>
                </w:p>
                <w:p w:rsidR="0061071A" w:rsidRDefault="0061071A">
                  <w:pPr>
                    <w:rPr>
                      <w:rFonts w:ascii="Arial" w:eastAsia="Arial" w:hAnsi="Arial" w:cs="Arial"/>
                      <w:color w:val="C9E9FB"/>
                      <w:spacing w:val="-3"/>
                      <w:w w:val="93"/>
                      <w:sz w:val="20"/>
                      <w:szCs w:val="20"/>
                    </w:rPr>
                  </w:pPr>
                  <w:r>
                    <w:rPr>
                      <w:rFonts w:ascii="Arial" w:eastAsia="Arial" w:hAnsi="Arial" w:cs="Arial"/>
                      <w:color w:val="C9E9FB"/>
                      <w:spacing w:val="-3"/>
                      <w:w w:val="93"/>
                      <w:sz w:val="20"/>
                      <w:szCs w:val="20"/>
                    </w:rPr>
                    <w:t xml:space="preserve">Submission by </w:t>
                  </w:r>
                  <w:r w:rsidRPr="0022110E">
                    <w:rPr>
                      <w:rFonts w:ascii="Arial" w:eastAsia="Arial" w:hAnsi="Arial" w:cs="Arial"/>
                      <w:b/>
                      <w:color w:val="C9E9FB"/>
                      <w:spacing w:val="-3"/>
                      <w:w w:val="93"/>
                      <w:sz w:val="20"/>
                      <w:szCs w:val="20"/>
                    </w:rPr>
                    <w:t>Fat Hen Ventures Ltd</w:t>
                  </w:r>
                </w:p>
                <w:p w:rsidR="0061071A" w:rsidRDefault="0061071A">
                  <w:pPr>
                    <w:rPr>
                      <w:rFonts w:ascii="Arial" w:eastAsia="Arial" w:hAnsi="Arial" w:cs="Arial"/>
                      <w:color w:val="C9E9FB"/>
                      <w:spacing w:val="-3"/>
                      <w:w w:val="93"/>
                      <w:sz w:val="20"/>
                      <w:szCs w:val="20"/>
                    </w:rPr>
                  </w:pPr>
                  <w:r>
                    <w:rPr>
                      <w:rFonts w:ascii="Arial" w:eastAsia="Arial" w:hAnsi="Arial" w:cs="Arial"/>
                      <w:color w:val="C9E9FB"/>
                      <w:spacing w:val="-3"/>
                      <w:w w:val="93"/>
                      <w:sz w:val="20"/>
                      <w:szCs w:val="20"/>
                    </w:rPr>
                    <w:t xml:space="preserve">ACN </w:t>
                  </w:r>
                  <w:r w:rsidRPr="0022110E">
                    <w:rPr>
                      <w:rFonts w:ascii="Arial" w:eastAsia="Arial" w:hAnsi="Arial" w:cs="Arial"/>
                      <w:color w:val="C9E9FB"/>
                      <w:spacing w:val="-3"/>
                      <w:w w:val="93"/>
                      <w:sz w:val="20"/>
                      <w:szCs w:val="20"/>
                    </w:rPr>
                    <w:t>167</w:t>
                  </w:r>
                  <w:r>
                    <w:rPr>
                      <w:rFonts w:ascii="Arial" w:eastAsia="Arial" w:hAnsi="Arial" w:cs="Arial"/>
                      <w:color w:val="C9E9FB"/>
                      <w:spacing w:val="-3"/>
                      <w:w w:val="93"/>
                      <w:sz w:val="20"/>
                      <w:szCs w:val="20"/>
                    </w:rPr>
                    <w:t xml:space="preserve"> </w:t>
                  </w:r>
                  <w:r w:rsidRPr="0022110E">
                    <w:rPr>
                      <w:rFonts w:ascii="Arial" w:eastAsia="Arial" w:hAnsi="Arial" w:cs="Arial"/>
                      <w:color w:val="C9E9FB"/>
                      <w:spacing w:val="-3"/>
                      <w:w w:val="93"/>
                      <w:sz w:val="20"/>
                      <w:szCs w:val="20"/>
                    </w:rPr>
                    <w:t>713</w:t>
                  </w:r>
                  <w:r>
                    <w:rPr>
                      <w:rFonts w:ascii="Arial" w:eastAsia="Arial" w:hAnsi="Arial" w:cs="Arial"/>
                      <w:color w:val="C9E9FB"/>
                      <w:spacing w:val="-3"/>
                      <w:w w:val="93"/>
                      <w:sz w:val="20"/>
                      <w:szCs w:val="20"/>
                    </w:rPr>
                    <w:t xml:space="preserve"> </w:t>
                  </w:r>
                  <w:r w:rsidRPr="0022110E">
                    <w:rPr>
                      <w:rFonts w:ascii="Arial" w:eastAsia="Arial" w:hAnsi="Arial" w:cs="Arial"/>
                      <w:color w:val="C9E9FB"/>
                      <w:spacing w:val="-3"/>
                      <w:w w:val="93"/>
                      <w:sz w:val="20"/>
                      <w:szCs w:val="20"/>
                    </w:rPr>
                    <w:t>984,</w:t>
                  </w:r>
                  <w:r>
                    <w:rPr>
                      <w:rFonts w:ascii="Arial" w:eastAsia="Arial" w:hAnsi="Arial" w:cs="Arial"/>
                      <w:color w:val="C9E9FB"/>
                      <w:spacing w:val="-3"/>
                      <w:w w:val="93"/>
                      <w:sz w:val="20"/>
                      <w:szCs w:val="20"/>
                    </w:rPr>
                    <w:t xml:space="preserve"> </w:t>
                  </w:r>
                  <w:hyperlink r:id="rId13" w:history="1">
                    <w:r w:rsidRPr="00A7736C">
                      <w:rPr>
                        <w:rStyle w:val="Hyperlink"/>
                        <w:rFonts w:ascii="Arial" w:eastAsia="Arial" w:hAnsi="Arial" w:cs="Arial"/>
                        <w:spacing w:val="-3"/>
                        <w:w w:val="93"/>
                        <w:sz w:val="20"/>
                        <w:szCs w:val="20"/>
                      </w:rPr>
                      <w:t>www.fathen.vc</w:t>
                    </w:r>
                  </w:hyperlink>
                  <w:r>
                    <w:rPr>
                      <w:rFonts w:ascii="Arial" w:eastAsia="Arial" w:hAnsi="Arial" w:cs="Arial"/>
                      <w:color w:val="C9E9FB"/>
                      <w:spacing w:val="-3"/>
                      <w:w w:val="93"/>
                      <w:sz w:val="20"/>
                      <w:szCs w:val="20"/>
                    </w:rPr>
                    <w:t xml:space="preserve"> </w:t>
                  </w:r>
                </w:p>
                <w:p w:rsidR="0061071A" w:rsidRDefault="0061071A">
                  <w:pPr>
                    <w:rPr>
                      <w:rFonts w:ascii="Arial" w:eastAsia="Arial" w:hAnsi="Arial" w:cs="Arial"/>
                      <w:color w:val="C9E9FB"/>
                      <w:sz w:val="20"/>
                      <w:szCs w:val="20"/>
                    </w:rPr>
                  </w:pPr>
                </w:p>
                <w:p w:rsidR="0061071A" w:rsidRDefault="0061071A">
                  <w:pPr>
                    <w:rPr>
                      <w:rFonts w:ascii="Arial" w:eastAsia="Arial" w:hAnsi="Arial" w:cs="Arial"/>
                      <w:color w:val="EAF6FE"/>
                      <w:w w:val="82"/>
                      <w:sz w:val="52"/>
                      <w:szCs w:val="52"/>
                    </w:rPr>
                  </w:pPr>
                </w:p>
                <w:p w:rsidR="0061071A" w:rsidRDefault="0061071A"/>
              </w:txbxContent>
            </v:textbox>
          </v:shape>
        </w:pict>
      </w:r>
      <w:r w:rsidR="00B6591A">
        <w:rPr>
          <w:noProof/>
          <w:lang w:eastAsia="en-AU"/>
        </w:rPr>
        <w:drawing>
          <wp:anchor distT="0" distB="0" distL="114300" distR="114300" simplePos="0" relativeHeight="251658240" behindDoc="1" locked="0" layoutInCell="1" allowOverlap="1">
            <wp:simplePos x="0" y="0"/>
            <wp:positionH relativeFrom="column">
              <wp:posOffset>-1009291</wp:posOffset>
            </wp:positionH>
            <wp:positionV relativeFrom="paragraph">
              <wp:posOffset>-1216325</wp:posOffset>
            </wp:positionV>
            <wp:extent cx="10903789" cy="110159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ry_blue_background_i-wallpaper-2048x15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03585" cy="11015727"/>
                    </a:xfrm>
                    <a:prstGeom prst="rect">
                      <a:avLst/>
                    </a:prstGeom>
                  </pic:spPr>
                </pic:pic>
              </a:graphicData>
            </a:graphic>
          </wp:anchor>
        </w:drawing>
      </w:r>
    </w:p>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E3331C">
      <w:r>
        <w:rPr>
          <w:noProof/>
          <w:lang w:eastAsia="en-AU"/>
        </w:rPr>
        <w:pict>
          <v:line id="Straight Connector 12" o:spid="_x0000_s1125" style="position:absolute;z-index:251661312;visibility:visible;mso-width-relative:margin;mso-height-relative:margin" from="5.65pt,8.8pt" to="464.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" strokecolor="white [3212]"/>
        </w:pict>
      </w:r>
    </w:p>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B6591A">
      <w:r>
        <w:rPr>
          <w:noProof/>
          <w:lang w:eastAsia="en-AU"/>
        </w:rPr>
        <w:drawing>
          <wp:anchor distT="0" distB="0" distL="114300" distR="114300" simplePos="0" relativeHeight="251662336" behindDoc="0" locked="0" layoutInCell="1" allowOverlap="1">
            <wp:simplePos x="0" y="0"/>
            <wp:positionH relativeFrom="column">
              <wp:posOffset>2163445</wp:posOffset>
            </wp:positionH>
            <wp:positionV relativeFrom="paragraph">
              <wp:posOffset>32121</wp:posOffset>
            </wp:positionV>
            <wp:extent cx="1560830" cy="12788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hen_orange 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1278890"/>
                    </a:xfrm>
                    <a:prstGeom prst="rect">
                      <a:avLst/>
                    </a:prstGeom>
                  </pic:spPr>
                </pic:pic>
              </a:graphicData>
            </a:graphic>
          </wp:anchor>
        </w:drawing>
      </w:r>
    </w:p>
    <w:p w:rsidR="008141BB" w:rsidRDefault="008141BB"/>
    <w:p w:rsidR="008141BB" w:rsidRDefault="008141BB"/>
    <w:p w:rsidR="008141BB" w:rsidRDefault="008141BB"/>
    <w:p w:rsidR="008141BB" w:rsidRDefault="008141BB"/>
    <w:p w:rsidR="008141BB" w:rsidRDefault="00E3331C">
      <w:r>
        <w:rPr>
          <w:noProof/>
          <w:lang w:eastAsia="en-AU"/>
        </w:rPr>
        <w:lastRenderedPageBreak/>
        <w:pict>
          <v:shape id="_x0000_s1027" type="#_x0000_t202" style="position:absolute;margin-left:-18pt;margin-top:-33.3pt;width:524.7pt;height:192.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" filled="f" stroked="f">
            <v:textbox>
              <w:txbxContent>
                <w:p w:rsidR="0061071A" w:rsidRPr="001E3724" w:rsidRDefault="0061071A" w:rsidP="00185844">
                  <w:pPr>
                    <w:rPr>
                      <w:rFonts w:ascii="Tahoma" w:eastAsia="Arial" w:hAnsi="Tahoma" w:cs="Tahoma"/>
                      <w:color w:val="FFFFFF" w:themeColor="background1"/>
                      <w:spacing w:val="-13"/>
                      <w:sz w:val="56"/>
                      <w:szCs w:val="56"/>
                    </w:rPr>
                  </w:pPr>
                  <w:r w:rsidRPr="001E3724">
                    <w:rPr>
                      <w:rFonts w:ascii="Tahoma" w:eastAsia="Arial" w:hAnsi="Tahoma" w:cs="Tahoma"/>
                      <w:color w:val="FFFFFF" w:themeColor="background1"/>
                      <w:spacing w:val="-13"/>
                      <w:sz w:val="56"/>
                      <w:szCs w:val="56"/>
                    </w:rPr>
                    <w:t>“Crowd Sourced Equity Funding has the ability to create a more efficient capital market in the unlisted company sector.”</w:t>
                  </w:r>
                </w:p>
                <w:p w:rsidR="0061071A" w:rsidRPr="00B6591A" w:rsidRDefault="0061071A" w:rsidP="00185844">
                  <w:pPr>
                    <w:rPr>
                      <w:rFonts w:ascii="Arial" w:eastAsia="Arial" w:hAnsi="Arial" w:cs="Arial"/>
                      <w:color w:val="FFFFFF" w:themeColor="background1"/>
                      <w:spacing w:val="-13"/>
                      <w:sz w:val="24"/>
                      <w:szCs w:val="24"/>
                    </w:rPr>
                  </w:pPr>
                </w:p>
                <w:p w:rsidR="0061071A" w:rsidRPr="00D143D4" w:rsidRDefault="0061071A" w:rsidP="00185844">
                  <w:pPr>
                    <w:rPr>
                      <w:rFonts w:ascii="Arial" w:eastAsia="Arial" w:hAnsi="Arial" w:cs="Arial"/>
                      <w:color w:val="595959" w:themeColor="text1" w:themeTint="A6"/>
                    </w:rPr>
                  </w:pPr>
                  <w:r>
                    <w:rPr>
                      <w:rFonts w:ascii="Arial" w:eastAsia="Arial" w:hAnsi="Arial" w:cs="Arial"/>
                      <w:color w:val="FFFFFF" w:themeColor="background1"/>
                      <w:spacing w:val="-13"/>
                      <w:sz w:val="56"/>
                      <w:szCs w:val="56"/>
                    </w:rPr>
                    <w:tab/>
                  </w:r>
                  <w:r>
                    <w:rPr>
                      <w:rFonts w:ascii="Arial" w:eastAsia="Arial" w:hAnsi="Arial" w:cs="Arial"/>
                      <w:color w:val="FFFFFF" w:themeColor="background1"/>
                      <w:spacing w:val="-13"/>
                      <w:sz w:val="56"/>
                      <w:szCs w:val="56"/>
                    </w:rPr>
                    <w:tab/>
                  </w:r>
                  <w:r>
                    <w:rPr>
                      <w:rFonts w:ascii="Arial" w:eastAsia="Arial" w:hAnsi="Arial" w:cs="Arial"/>
                      <w:color w:val="FFFFFF" w:themeColor="background1"/>
                      <w:spacing w:val="-13"/>
                      <w:sz w:val="56"/>
                      <w:szCs w:val="56"/>
                    </w:rPr>
                    <w:tab/>
                  </w:r>
                  <w:r>
                    <w:rPr>
                      <w:rFonts w:ascii="Arial" w:eastAsia="Arial" w:hAnsi="Arial" w:cs="Arial"/>
                      <w:color w:val="FFFFFF" w:themeColor="background1"/>
                      <w:spacing w:val="-13"/>
                      <w:sz w:val="56"/>
                      <w:szCs w:val="56"/>
                    </w:rPr>
                    <w:tab/>
                  </w:r>
                  <w:r>
                    <w:rPr>
                      <w:rFonts w:ascii="Arial" w:eastAsia="Arial" w:hAnsi="Arial" w:cs="Arial"/>
                      <w:color w:val="FFFFFF" w:themeColor="background1"/>
                      <w:spacing w:val="-13"/>
                      <w:sz w:val="56"/>
                      <w:szCs w:val="56"/>
                    </w:rPr>
                    <w:tab/>
                  </w:r>
                  <w:r>
                    <w:rPr>
                      <w:rFonts w:ascii="Arial" w:eastAsia="Arial" w:hAnsi="Arial" w:cs="Arial"/>
                      <w:color w:val="FFFFFF" w:themeColor="background1"/>
                      <w:spacing w:val="-13"/>
                      <w:sz w:val="56"/>
                      <w:szCs w:val="56"/>
                    </w:rPr>
                    <w:tab/>
                  </w:r>
                  <w:r>
                    <w:rPr>
                      <w:rFonts w:ascii="Arial" w:eastAsia="Arial" w:hAnsi="Arial" w:cs="Arial"/>
                      <w:color w:val="FFFFFF" w:themeColor="background1"/>
                      <w:spacing w:val="-13"/>
                      <w:sz w:val="56"/>
                      <w:szCs w:val="56"/>
                    </w:rPr>
                    <w:tab/>
                  </w:r>
                  <w:r>
                    <w:rPr>
                      <w:rFonts w:ascii="Arial" w:eastAsia="Arial" w:hAnsi="Arial" w:cs="Arial"/>
                      <w:color w:val="FFFFFF" w:themeColor="background1"/>
                      <w:spacing w:val="-13"/>
                      <w:sz w:val="56"/>
                      <w:szCs w:val="56"/>
                    </w:rPr>
                    <w:tab/>
                  </w:r>
                  <w:r w:rsidRPr="00D143D4">
                    <w:rPr>
                      <w:rFonts w:ascii="Arial" w:eastAsia="Arial" w:hAnsi="Arial" w:cs="Arial"/>
                      <w:color w:val="595959" w:themeColor="text1" w:themeTint="A6"/>
                    </w:rPr>
                    <w:t>Jeffrey Broun, CEO Fat Hen Ventures Ltd</w:t>
                  </w:r>
                </w:p>
                <w:p w:rsidR="0061071A" w:rsidRDefault="0061071A" w:rsidP="00185844">
                  <w:pPr>
                    <w:rPr>
                      <w:rFonts w:ascii="Arial" w:eastAsia="Arial" w:hAnsi="Arial" w:cs="Arial"/>
                      <w:color w:val="C9E9FB"/>
                      <w:sz w:val="20"/>
                      <w:szCs w:val="20"/>
                    </w:rPr>
                  </w:pPr>
                </w:p>
                <w:p w:rsidR="0061071A" w:rsidRDefault="0061071A" w:rsidP="00185844">
                  <w:pPr>
                    <w:rPr>
                      <w:rFonts w:ascii="Arial" w:eastAsia="Arial" w:hAnsi="Arial" w:cs="Arial"/>
                      <w:color w:val="EAF6FE"/>
                      <w:w w:val="82"/>
                      <w:sz w:val="52"/>
                      <w:szCs w:val="52"/>
                    </w:rPr>
                  </w:pPr>
                </w:p>
                <w:p w:rsidR="0061071A" w:rsidRDefault="0061071A" w:rsidP="00185844"/>
              </w:txbxContent>
            </v:textbox>
          </v:shape>
        </w:pict>
      </w:r>
      <w:r w:rsidR="006E5652">
        <w:rPr>
          <w:noProof/>
          <w:lang w:eastAsia="en-AU"/>
        </w:rPr>
        <w:drawing>
          <wp:anchor distT="0" distB="0" distL="114300" distR="114300" simplePos="0" relativeHeight="251663360" behindDoc="1" locked="0" layoutInCell="1" allowOverlap="1">
            <wp:simplePos x="0" y="0"/>
            <wp:positionH relativeFrom="column">
              <wp:posOffset>-4114800</wp:posOffset>
            </wp:positionH>
            <wp:positionV relativeFrom="paragraph">
              <wp:posOffset>-1233578</wp:posOffset>
            </wp:positionV>
            <wp:extent cx="13379265" cy="111280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photoclub_41800044.jpg"/>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379266" cy="11128076"/>
                    </a:xfrm>
                    <a:prstGeom prst="rect">
                      <a:avLst/>
                    </a:prstGeom>
                  </pic:spPr>
                </pic:pic>
              </a:graphicData>
            </a:graphic>
          </wp:anchor>
        </w:drawing>
      </w:r>
    </w:p>
    <w:p w:rsidR="008141BB" w:rsidRDefault="008141BB"/>
    <w:p w:rsidR="008141BB" w:rsidRDefault="008141BB"/>
    <w:p w:rsidR="008141BB" w:rsidRDefault="008141BB"/>
    <w:p w:rsidR="008141BB" w:rsidRDefault="008141BB"/>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085BDF"/>
    <w:p w:rsidR="00085BDF" w:rsidRDefault="003A502F">
      <w:r>
        <w:rPr>
          <w:noProof/>
          <w:lang w:eastAsia="en-AU"/>
        </w:rPr>
        <w:drawing>
          <wp:anchor distT="0" distB="0" distL="114300" distR="114300" simplePos="0" relativeHeight="251689984" behindDoc="0" locked="0" layoutInCell="1" allowOverlap="1">
            <wp:simplePos x="0" y="0"/>
            <wp:positionH relativeFrom="column">
              <wp:posOffset>5687695</wp:posOffset>
            </wp:positionH>
            <wp:positionV relativeFrom="paragraph">
              <wp:posOffset>512445</wp:posOffset>
            </wp:positionV>
            <wp:extent cx="749935" cy="615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hen_orange transparent.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9935" cy="615315"/>
                    </a:xfrm>
                    <a:prstGeom prst="rect">
                      <a:avLst/>
                    </a:prstGeom>
                  </pic:spPr>
                </pic:pic>
              </a:graphicData>
            </a:graphic>
          </wp:anchor>
        </w:drawing>
      </w:r>
    </w:p>
    <w:p w:rsidR="008141BB" w:rsidRDefault="00E3331C">
      <w:r>
        <w:rPr>
          <w:noProof/>
          <w:lang w:eastAsia="en-AU"/>
        </w:rPr>
        <w:lastRenderedPageBreak/>
        <w:pict>
          <v:shape id="Text Box 19" o:spid="_x0000_s1028" type="#_x0000_t202" style="position:absolute;margin-left:-63.25pt;margin-top:-52.5pt;width:186.05pt;height:81.3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OuQ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" filled="f" stroked="f">
            <v:textbox style="mso-next-textbox:#Text Box 19">
              <w:txbxContent>
                <w:p w:rsidR="0061071A" w:rsidRDefault="0061071A" w:rsidP="006E5652">
                  <w:pPr>
                    <w:spacing w:after="0"/>
                    <w:rPr>
                      <w:rFonts w:ascii="Adobe Gothic Std B" w:eastAsia="Adobe Gothic Std B" w:hAnsi="Adobe Gothic Std B" w:cs="Arial"/>
                      <w:b/>
                      <w:bCs/>
                      <w:color w:val="FFFFFF" w:themeColor="background1"/>
                      <w:sz w:val="24"/>
                      <w:szCs w:val="24"/>
                    </w:rPr>
                  </w:pPr>
                </w:p>
                <w:p w:rsidR="0061071A" w:rsidRPr="002E68BC" w:rsidRDefault="0061071A" w:rsidP="00E2231B">
                  <w:pPr>
                    <w:spacing w:after="0"/>
                    <w:ind w:firstLine="720"/>
                    <w:rPr>
                      <w:rFonts w:ascii="Utsaah" w:hAnsi="Utsaah" w:cs="Utsaah"/>
                      <w:color w:val="FFFFFF" w:themeColor="background1"/>
                      <w:sz w:val="36"/>
                      <w:szCs w:val="36"/>
                    </w:rPr>
                  </w:pPr>
                  <w:r w:rsidRPr="002E68BC">
                    <w:rPr>
                      <w:rFonts w:ascii="Adobe Gothic Std B" w:eastAsia="Adobe Gothic Std B" w:hAnsi="Adobe Gothic Std B" w:cs="Arial"/>
                      <w:b/>
                      <w:bCs/>
                      <w:color w:val="FFFFFF" w:themeColor="background1"/>
                      <w:sz w:val="36"/>
                      <w:szCs w:val="36"/>
                    </w:rPr>
                    <w:t>SUBMISSION</w:t>
                  </w:r>
                </w:p>
                <w:p w:rsidR="0061071A" w:rsidRPr="001C7CF3" w:rsidRDefault="0061071A" w:rsidP="006E5652">
                  <w:pPr>
                    <w:spacing w:after="0"/>
                    <w:rPr>
                      <w:rFonts w:ascii="Utsaah" w:hAnsi="Utsaah" w:cs="Utsaah"/>
                      <w:color w:val="4A442A" w:themeColor="background2" w:themeShade="40"/>
                      <w:sz w:val="16"/>
                      <w:szCs w:val="16"/>
                    </w:rPr>
                  </w:pPr>
                </w:p>
              </w:txbxContent>
            </v:textbox>
          </v:shape>
        </w:pict>
      </w:r>
      <w:r w:rsidR="00FA7DC6">
        <w:rPr>
          <w:noProof/>
          <w:lang w:eastAsia="en-AU"/>
        </w:rPr>
        <w:drawing>
          <wp:anchor distT="0" distB="0" distL="114300" distR="114300" simplePos="0" relativeHeight="251816960"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97" o:spid="_x0000_s1123" style="position:absolute;margin-left:0;margin-top:-46pt;width:202.5pt;height:76.55pt;z-index:-251649024;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">
            <v:shape id="Freeform 756" o:spid="_x0000_s1124"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4IcQA&#10;AADcAAAADwAAAGRycy9kb3ducmV2LnhtbERPz2vCMBS+D/wfwhN2GTNVNnHVKEWQDQ9D7Q47Pppn&#10;2615KUlqq3+9OQx2/Ph+rzaDacSFnK8tK5hOEhDEhdU1lwq+8t3zAoQPyBoby6TgSh4269HDClNt&#10;ez7S5RRKEUPYp6igCqFNpfRFRQb9xLbEkTtbZzBE6EqpHfYx3DRyliRzabDm2FBhS9uKit9TZxT8&#10;dH2WH97xmHx3W7d/uT1Ns/xTqcfxkC1BBBrCv/jP/aEVvL7FtfF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uCHEAAAA3A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8141BB" w:rsidRDefault="008141BB"/>
    <w:p w:rsidR="008141BB" w:rsidRDefault="00012E22">
      <w:r>
        <w:rPr>
          <w:noProof/>
          <w:lang w:eastAsia="en-AU"/>
        </w:rPr>
        <w:drawing>
          <wp:anchor distT="0" distB="0" distL="114300" distR="114300" simplePos="0" relativeHeight="251665408" behindDoc="0" locked="0" layoutInCell="1" allowOverlap="1">
            <wp:simplePos x="0" y="0"/>
            <wp:positionH relativeFrom="column">
              <wp:posOffset>8298180</wp:posOffset>
            </wp:positionH>
            <wp:positionV relativeFrom="paragraph">
              <wp:posOffset>280670</wp:posOffset>
            </wp:positionV>
            <wp:extent cx="1064260" cy="8724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hen_orange transparent.png"/>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4260" cy="872490"/>
                    </a:xfrm>
                    <a:prstGeom prst="rect">
                      <a:avLst/>
                    </a:prstGeom>
                  </pic:spPr>
                </pic:pic>
              </a:graphicData>
            </a:graphic>
          </wp:anchor>
        </w:drawing>
      </w:r>
    </w:p>
    <w:p w:rsidR="008141BB" w:rsidRDefault="00E3331C">
      <w:r>
        <w:rPr>
          <w:noProof/>
          <w:lang w:eastAsia="en-AU"/>
        </w:rPr>
        <w:pict>
          <v:shape id="Text Box 29" o:spid="_x0000_s1029" type="#_x0000_t202" style="position:absolute;margin-left:247.45pt;margin-top:8.5pt;width:213.25pt;height:409.4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" filled="f" stroked="f">
            <v:textbox>
              <w:txbxContent>
                <w:p w:rsidR="0061071A" w:rsidRDefault="0061071A" w:rsidP="00A43431">
                  <w:pPr>
                    <w:pStyle w:val="NoSpacing"/>
                    <w:jc w:val="both"/>
                    <w:rPr>
                      <w:rFonts w:ascii="Utsaah" w:hAnsi="Utsaah" w:cs="Utsaah"/>
                      <w:color w:val="4A442A" w:themeColor="background2" w:themeShade="40"/>
                      <w:lang w:val="en-AU"/>
                    </w:rPr>
                  </w:pPr>
                  <w:r w:rsidRPr="002E68BC">
                    <w:rPr>
                      <w:rFonts w:ascii="Utsaah" w:hAnsi="Utsaah" w:cs="Utsaah"/>
                      <w:color w:val="4A442A" w:themeColor="background2" w:themeShade="40"/>
                      <w:lang w:val="en-AU"/>
                    </w:rPr>
                    <w:t>As a crowd backed investment</w:t>
                  </w:r>
                  <w:r>
                    <w:rPr>
                      <w:rFonts w:ascii="Utsaah" w:hAnsi="Utsaah" w:cs="Utsaah"/>
                      <w:color w:val="4A442A" w:themeColor="background2" w:themeShade="40"/>
                      <w:lang w:val="en-AU"/>
                    </w:rPr>
                    <w:t xml:space="preserve"> </w:t>
                  </w:r>
                  <w:r w:rsidRPr="002E68BC">
                    <w:rPr>
                      <w:rFonts w:ascii="Utsaah" w:hAnsi="Utsaah" w:cs="Utsaah"/>
                      <w:color w:val="4A442A" w:themeColor="background2" w:themeShade="40"/>
                      <w:lang w:val="en-AU"/>
                    </w:rPr>
                    <w:t xml:space="preserve">company we are keen to see the best CSEF model deployed in Australia. We have spent a great deal of time evaluating all CSEF platforms around the world, </w:t>
                  </w:r>
                  <w:r>
                    <w:rPr>
                      <w:rFonts w:ascii="Utsaah" w:hAnsi="Utsaah" w:cs="Utsaah"/>
                      <w:color w:val="4A442A" w:themeColor="background2" w:themeShade="40"/>
                      <w:lang w:val="en-AU"/>
                    </w:rPr>
                    <w:t>c</w:t>
                  </w:r>
                  <w:r w:rsidRPr="002E68BC">
                    <w:rPr>
                      <w:rFonts w:ascii="Utsaah" w:hAnsi="Utsaah" w:cs="Utsaah"/>
                      <w:color w:val="4A442A" w:themeColor="background2" w:themeShade="40"/>
                      <w:lang w:val="en-AU"/>
                    </w:rPr>
                    <w:t>onsidered the CAMAC paper, t</w:t>
                  </w:r>
                  <w:r>
                    <w:rPr>
                      <w:rFonts w:ascii="Utsaah" w:hAnsi="Utsaah" w:cs="Utsaah"/>
                      <w:color w:val="4A442A" w:themeColor="background2" w:themeShade="40"/>
                      <w:lang w:val="en-AU"/>
                    </w:rPr>
                    <w:t xml:space="preserve">he Treasury paper and </w:t>
                  </w:r>
                  <w:r w:rsidRPr="002E68BC">
                    <w:rPr>
                      <w:rFonts w:ascii="Utsaah" w:hAnsi="Utsaah" w:cs="Utsaah"/>
                      <w:color w:val="4A442A" w:themeColor="background2" w:themeShade="40"/>
                      <w:lang w:val="en-AU"/>
                    </w:rPr>
                    <w:t>recommendation 18 from the Financial System Inquiry Final Report released 28th November 2014</w:t>
                  </w:r>
                  <w:r>
                    <w:rPr>
                      <w:rFonts w:ascii="Utsaah" w:hAnsi="Utsaah" w:cs="Utsaah"/>
                      <w:color w:val="4A442A" w:themeColor="background2" w:themeShade="40"/>
                      <w:lang w:val="en-AU"/>
                    </w:rPr>
                    <w:t>.</w:t>
                  </w:r>
                  <w:r w:rsidRPr="002E68BC">
                    <w:rPr>
                      <w:rFonts w:ascii="Utsaah" w:hAnsi="Utsaah" w:cs="Utsaah"/>
                      <w:color w:val="4A442A" w:themeColor="background2" w:themeShade="40"/>
                      <w:lang w:val="en-AU"/>
                    </w:rPr>
                    <w:t xml:space="preserve"> </w:t>
                  </w:r>
                  <w:r>
                    <w:rPr>
                      <w:rFonts w:ascii="Utsaah" w:hAnsi="Utsaah" w:cs="Utsaah"/>
                      <w:color w:val="4A442A" w:themeColor="background2" w:themeShade="40"/>
                      <w:lang w:val="en-AU"/>
                    </w:rPr>
                    <w:t>W</w:t>
                  </w:r>
                  <w:r w:rsidRPr="002E68BC">
                    <w:rPr>
                      <w:rFonts w:ascii="Utsaah" w:hAnsi="Utsaah" w:cs="Utsaah"/>
                      <w:color w:val="4A442A" w:themeColor="background2" w:themeShade="40"/>
                      <w:lang w:val="en-AU"/>
                    </w:rPr>
                    <w:t>e believe our key recommendations herein, if adopted, will enable easier access to the equity markets by SME’s whilst providing sufficient investor protection and appropriate disclosure regimes</w:t>
                  </w:r>
                  <w:r>
                    <w:rPr>
                      <w:rFonts w:ascii="Utsaah" w:hAnsi="Utsaah" w:cs="Utsaah"/>
                      <w:color w:val="4A442A" w:themeColor="background2" w:themeShade="40"/>
                      <w:lang w:val="en-AU"/>
                    </w:rPr>
                    <w:t>,</w:t>
                  </w:r>
                  <w:r w:rsidRPr="002E68BC">
                    <w:rPr>
                      <w:rFonts w:ascii="Utsaah" w:hAnsi="Utsaah" w:cs="Utsaah"/>
                      <w:color w:val="4A442A" w:themeColor="background2" w:themeShade="40"/>
                      <w:lang w:val="en-AU"/>
                    </w:rPr>
                    <w:t xml:space="preserve"> to enable investors to make an informed decision.</w:t>
                  </w:r>
                </w:p>
                <w:p w:rsidR="0061071A" w:rsidRDefault="0061071A" w:rsidP="00A43431">
                  <w:pPr>
                    <w:pStyle w:val="NoSpacing"/>
                    <w:jc w:val="both"/>
                    <w:rPr>
                      <w:rFonts w:ascii="Utsaah" w:hAnsi="Utsaah" w:cs="Utsaah"/>
                      <w:color w:val="4A442A" w:themeColor="background2" w:themeShade="40"/>
                      <w:lang w:val="en-AU"/>
                    </w:rPr>
                  </w:pPr>
                </w:p>
                <w:p w:rsidR="0061071A" w:rsidRPr="00A43431" w:rsidRDefault="0061071A" w:rsidP="00A43431">
                  <w:pPr>
                    <w:pStyle w:val="NoSpacing"/>
                    <w:jc w:val="both"/>
                    <w:rPr>
                      <w:rFonts w:ascii="Utsaah" w:hAnsi="Utsaah" w:cs="Utsaah"/>
                      <w:color w:val="4A442A" w:themeColor="background2" w:themeShade="40"/>
                      <w:lang w:val="en-AU"/>
                    </w:rPr>
                  </w:pPr>
                  <w:r w:rsidRPr="00A43431">
                    <w:rPr>
                      <w:rFonts w:ascii="Utsaah" w:hAnsi="Utsaah" w:cs="Utsaah"/>
                      <w:color w:val="4A442A" w:themeColor="background2" w:themeShade="40"/>
                      <w:lang w:val="en-AU"/>
                    </w:rPr>
                    <w:t>We trust this submission is useful in the Government’s deliberations on CSEF in Australia.</w:t>
                  </w:r>
                </w:p>
                <w:p w:rsidR="0061071A" w:rsidRPr="00A43431" w:rsidRDefault="0061071A" w:rsidP="00A43431">
                  <w:pPr>
                    <w:pStyle w:val="NoSpacing"/>
                    <w:jc w:val="both"/>
                    <w:rPr>
                      <w:rFonts w:ascii="Utsaah" w:hAnsi="Utsaah" w:cs="Utsaah"/>
                      <w:color w:val="4A442A" w:themeColor="background2" w:themeShade="40"/>
                      <w:lang w:val="en-AU"/>
                    </w:rPr>
                  </w:pPr>
                </w:p>
                <w:p w:rsidR="0061071A" w:rsidRPr="00A43431" w:rsidRDefault="0061071A" w:rsidP="00A43431">
                  <w:pPr>
                    <w:pStyle w:val="NoSpacing"/>
                    <w:jc w:val="both"/>
                    <w:rPr>
                      <w:rFonts w:ascii="Utsaah" w:hAnsi="Utsaah" w:cs="Utsaah"/>
                      <w:color w:val="4A442A" w:themeColor="background2" w:themeShade="40"/>
                      <w:lang w:val="en-AU"/>
                    </w:rPr>
                  </w:pPr>
                  <w:r w:rsidRPr="00A43431">
                    <w:rPr>
                      <w:rFonts w:ascii="Utsaah" w:hAnsi="Utsaah" w:cs="Utsaah"/>
                      <w:color w:val="4A442A" w:themeColor="background2" w:themeShade="40"/>
                      <w:lang w:val="en-AU"/>
                    </w:rPr>
                    <w:t xml:space="preserve">We acknowledge the input to this submission from our strategic alliance partners, </w:t>
                  </w:r>
                  <w:r>
                    <w:rPr>
                      <w:rFonts w:ascii="Utsaah" w:hAnsi="Utsaah" w:cs="Utsaah"/>
                      <w:color w:val="4A442A" w:themeColor="background2" w:themeShade="40"/>
                      <w:lang w:val="en-AU"/>
                    </w:rPr>
                    <w:t xml:space="preserve">board, investment committee, </w:t>
                  </w:r>
                  <w:r w:rsidRPr="00A43431">
                    <w:rPr>
                      <w:rFonts w:ascii="Utsaah" w:hAnsi="Utsaah" w:cs="Utsaah"/>
                      <w:color w:val="4A442A" w:themeColor="background2" w:themeShade="40"/>
                      <w:lang w:val="en-AU"/>
                    </w:rPr>
                    <w:t>retail investors and SME’s we are assisting,</w:t>
                  </w:r>
                </w:p>
                <w:p w:rsidR="0061071A" w:rsidRPr="00A43431" w:rsidRDefault="0061071A" w:rsidP="00A43431">
                  <w:pPr>
                    <w:pStyle w:val="NoSpacing"/>
                    <w:jc w:val="both"/>
                    <w:rPr>
                      <w:rFonts w:ascii="Utsaah" w:hAnsi="Utsaah" w:cs="Utsaah"/>
                      <w:color w:val="4A442A" w:themeColor="background2" w:themeShade="40"/>
                      <w:lang w:val="en-AU"/>
                    </w:rPr>
                  </w:pPr>
                </w:p>
                <w:p w:rsidR="0061071A" w:rsidRDefault="0061071A" w:rsidP="00A43431">
                  <w:pPr>
                    <w:pStyle w:val="NoSpacing"/>
                    <w:jc w:val="both"/>
                    <w:rPr>
                      <w:rFonts w:ascii="Utsaah" w:hAnsi="Utsaah" w:cs="Utsaah"/>
                      <w:color w:val="4A442A" w:themeColor="background2" w:themeShade="40"/>
                      <w:lang w:val="en-AU"/>
                    </w:rPr>
                  </w:pPr>
                  <w:r w:rsidRPr="00A43431">
                    <w:rPr>
                      <w:rFonts w:ascii="Utsaah" w:hAnsi="Utsaah" w:cs="Utsaah"/>
                      <w:color w:val="4A442A" w:themeColor="background2" w:themeShade="40"/>
                      <w:lang w:val="en-AU"/>
                    </w:rPr>
                    <w:t>Signed on behalf of the board of Directors of Fat Hen Ventures Ltd as an authorised release,</w:t>
                  </w:r>
                </w:p>
                <w:p w:rsidR="0061071A" w:rsidRDefault="0061071A" w:rsidP="00A43431">
                  <w:pPr>
                    <w:pStyle w:val="NoSpacing"/>
                    <w:jc w:val="both"/>
                    <w:rPr>
                      <w:rFonts w:ascii="Utsaah" w:hAnsi="Utsaah" w:cs="Utsaah"/>
                      <w:color w:val="4A442A" w:themeColor="background2" w:themeShade="40"/>
                      <w:lang w:val="en-AU"/>
                    </w:rPr>
                  </w:pPr>
                </w:p>
                <w:p w:rsidR="0061071A" w:rsidRDefault="0061071A" w:rsidP="00A43431">
                  <w:pPr>
                    <w:pStyle w:val="NoSpacing"/>
                    <w:jc w:val="both"/>
                    <w:rPr>
                      <w:rFonts w:ascii="Utsaah" w:hAnsi="Utsaah" w:cs="Utsaah"/>
                      <w:color w:val="4A442A" w:themeColor="background2" w:themeShade="40"/>
                      <w:lang w:val="en-AU"/>
                    </w:rPr>
                  </w:pPr>
                </w:p>
                <w:p w:rsidR="0061071A" w:rsidRDefault="0061071A" w:rsidP="00A43431">
                  <w:pPr>
                    <w:pStyle w:val="NoSpacing"/>
                    <w:jc w:val="both"/>
                    <w:rPr>
                      <w:rFonts w:ascii="Utsaah" w:hAnsi="Utsaah" w:cs="Utsaah"/>
                      <w:color w:val="4A442A" w:themeColor="background2" w:themeShade="40"/>
                      <w:lang w:val="en-AU"/>
                    </w:rPr>
                  </w:pPr>
                </w:p>
                <w:p w:rsidR="0061071A" w:rsidRDefault="0061071A" w:rsidP="00A43431">
                  <w:pPr>
                    <w:pStyle w:val="NoSpacing"/>
                    <w:jc w:val="both"/>
                    <w:rPr>
                      <w:rFonts w:ascii="Utsaah" w:hAnsi="Utsaah" w:cs="Utsaah"/>
                      <w:color w:val="4A442A" w:themeColor="background2" w:themeShade="40"/>
                      <w:lang w:val="en-AU"/>
                    </w:rPr>
                  </w:pPr>
                </w:p>
                <w:p w:rsidR="0061071A" w:rsidRDefault="0061071A" w:rsidP="002E68BC">
                  <w:pPr>
                    <w:pStyle w:val="NoSpacing"/>
                    <w:jc w:val="both"/>
                    <w:rPr>
                      <w:rFonts w:ascii="Utsaah" w:hAnsi="Utsaah" w:cs="Utsaah"/>
                      <w:color w:val="4A442A" w:themeColor="background2" w:themeShade="40"/>
                      <w:lang w:val="en-AU"/>
                    </w:rPr>
                  </w:pPr>
                </w:p>
                <w:p w:rsidR="0061071A" w:rsidRDefault="0061071A" w:rsidP="002E68BC">
                  <w:pPr>
                    <w:pStyle w:val="NoSpacing"/>
                    <w:jc w:val="both"/>
                    <w:rPr>
                      <w:rFonts w:ascii="Utsaah" w:hAnsi="Utsaah" w:cs="Utsaah"/>
                      <w:color w:val="4A442A" w:themeColor="background2" w:themeShade="40"/>
                      <w:lang w:val="en-AU"/>
                    </w:rPr>
                  </w:pPr>
                </w:p>
                <w:p w:rsidR="0061071A" w:rsidRPr="002E68BC" w:rsidRDefault="0061071A" w:rsidP="00A43431">
                  <w:pPr>
                    <w:pStyle w:val="NoSpacing"/>
                    <w:jc w:val="both"/>
                    <w:rPr>
                      <w:rFonts w:ascii="Utsaah" w:hAnsi="Utsaah" w:cs="Utsaah"/>
                      <w:color w:val="4A442A" w:themeColor="background2" w:themeShade="40"/>
                      <w:lang w:val="en-AU"/>
                    </w:rPr>
                  </w:pPr>
                  <w:r w:rsidRPr="00A43431">
                    <w:rPr>
                      <w:rFonts w:ascii="Utsaah" w:hAnsi="Utsaah" w:cs="Utsaah"/>
                      <w:color w:val="4A442A" w:themeColor="background2" w:themeShade="40"/>
                      <w:lang w:val="en-AU"/>
                    </w:rPr>
                    <w:t>Jeffrey Broun FCA</w:t>
                  </w:r>
                  <w:r w:rsidRPr="00A43431">
                    <w:rPr>
                      <w:rFonts w:ascii="Utsaah" w:hAnsi="Utsaah" w:cs="Utsaah"/>
                      <w:color w:val="4A442A" w:themeColor="background2" w:themeShade="40"/>
                      <w:lang w:val="en-AU"/>
                    </w:rPr>
                    <w:tab/>
                  </w:r>
                  <w:r w:rsidRPr="00A43431">
                    <w:rPr>
                      <w:rFonts w:ascii="Utsaah" w:hAnsi="Utsaah" w:cs="Utsaah"/>
                      <w:color w:val="4A442A" w:themeColor="background2" w:themeShade="40"/>
                      <w:lang w:val="en-AU"/>
                    </w:rPr>
                    <w:tab/>
                  </w:r>
                  <w:r>
                    <w:rPr>
                      <w:rFonts w:ascii="Utsaah" w:hAnsi="Utsaah" w:cs="Utsaah"/>
                      <w:color w:val="4A442A" w:themeColor="background2" w:themeShade="40"/>
                      <w:lang w:val="en-AU"/>
                    </w:rPr>
                    <w:tab/>
                  </w:r>
                  <w:r w:rsidRPr="00A43431">
                    <w:rPr>
                      <w:rFonts w:ascii="Utsaah" w:hAnsi="Utsaah" w:cs="Utsaah"/>
                      <w:color w:val="4A442A" w:themeColor="background2" w:themeShade="40"/>
                      <w:lang w:val="en-AU"/>
                    </w:rPr>
                    <w:t xml:space="preserve">Rajab </w:t>
                  </w:r>
                  <w:proofErr w:type="spellStart"/>
                  <w:r w:rsidRPr="00A43431">
                    <w:rPr>
                      <w:rFonts w:ascii="Utsaah" w:hAnsi="Utsaah" w:cs="Utsaah"/>
                      <w:color w:val="4A442A" w:themeColor="background2" w:themeShade="40"/>
                      <w:lang w:val="en-AU"/>
                    </w:rPr>
                    <w:t>Karume</w:t>
                  </w:r>
                  <w:proofErr w:type="spellEnd"/>
                  <w:r>
                    <w:rPr>
                      <w:rFonts w:ascii="Utsaah" w:hAnsi="Utsaah" w:cs="Utsaah"/>
                      <w:color w:val="4A442A" w:themeColor="background2" w:themeShade="40"/>
                      <w:lang w:val="en-AU"/>
                    </w:rPr>
                    <w:t xml:space="preserve"> </w:t>
                  </w:r>
                  <w:r w:rsidRPr="00A43431">
                    <w:rPr>
                      <w:rFonts w:ascii="Utsaah" w:hAnsi="Utsaah" w:cs="Utsaah"/>
                      <w:color w:val="4A442A" w:themeColor="background2" w:themeShade="40"/>
                      <w:lang w:val="en-AU"/>
                    </w:rPr>
                    <w:t xml:space="preserve">Director / CEO </w:t>
                  </w:r>
                  <w:r w:rsidRPr="00A43431">
                    <w:rPr>
                      <w:rFonts w:ascii="Utsaah" w:hAnsi="Utsaah" w:cs="Utsaah"/>
                      <w:color w:val="4A442A" w:themeColor="background2" w:themeShade="40"/>
                      <w:lang w:val="en-AU"/>
                    </w:rPr>
                    <w:tab/>
                  </w:r>
                  <w:r w:rsidRPr="00A43431">
                    <w:rPr>
                      <w:rFonts w:ascii="Utsaah" w:hAnsi="Utsaah" w:cs="Utsaah"/>
                      <w:color w:val="4A442A" w:themeColor="background2" w:themeShade="40"/>
                      <w:lang w:val="en-AU"/>
                    </w:rPr>
                    <w:tab/>
                  </w:r>
                  <w:r>
                    <w:rPr>
                      <w:rFonts w:ascii="Utsaah" w:hAnsi="Utsaah" w:cs="Utsaah"/>
                      <w:color w:val="4A442A" w:themeColor="background2" w:themeShade="40"/>
                      <w:lang w:val="en-AU"/>
                    </w:rPr>
                    <w:tab/>
                  </w:r>
                  <w:r w:rsidRPr="00A43431">
                    <w:rPr>
                      <w:rFonts w:ascii="Utsaah" w:hAnsi="Utsaah" w:cs="Utsaah"/>
                      <w:color w:val="4A442A" w:themeColor="background2" w:themeShade="40"/>
                      <w:lang w:val="en-AU"/>
                    </w:rPr>
                    <w:t>Director / CMO</w:t>
                  </w:r>
                  <w:r w:rsidRPr="00A43431">
                    <w:rPr>
                      <w:rFonts w:ascii="Utsaah" w:hAnsi="Utsaah" w:cs="Utsaah"/>
                      <w:color w:val="4A442A" w:themeColor="background2" w:themeShade="40"/>
                      <w:lang w:val="en-AU"/>
                    </w:rPr>
                    <w:tab/>
                  </w:r>
                  <w:r w:rsidRPr="00A43431">
                    <w:rPr>
                      <w:rFonts w:ascii="Utsaah" w:hAnsi="Utsaah" w:cs="Utsaah"/>
                      <w:color w:val="4A442A" w:themeColor="background2" w:themeShade="40"/>
                      <w:lang w:val="en-AU"/>
                    </w:rPr>
                    <w:tab/>
                  </w:r>
                  <w:r w:rsidRPr="00A43431">
                    <w:rPr>
                      <w:rFonts w:ascii="Utsaah" w:hAnsi="Utsaah" w:cs="Utsaah"/>
                      <w:color w:val="4A442A" w:themeColor="background2" w:themeShade="40"/>
                      <w:lang w:val="en-AU"/>
                    </w:rPr>
                    <w:tab/>
                  </w:r>
                </w:p>
                <w:p w:rsidR="0061071A" w:rsidRPr="00B54B26" w:rsidRDefault="0061071A" w:rsidP="002E68BC">
                  <w:pPr>
                    <w:pStyle w:val="NoSpacing"/>
                    <w:jc w:val="both"/>
                    <w:rPr>
                      <w:rFonts w:ascii="Utsaah" w:hAnsi="Utsaah" w:cs="Utsaah"/>
                      <w:color w:val="4A442A" w:themeColor="background2" w:themeShade="40"/>
                      <w:sz w:val="18"/>
                      <w:szCs w:val="18"/>
                      <w:lang w:val="en-AU"/>
                    </w:rPr>
                  </w:pPr>
                </w:p>
              </w:txbxContent>
            </v:textbox>
          </v:shape>
        </w:pict>
      </w:r>
      <w:r>
        <w:rPr>
          <w:noProof/>
          <w:lang w:eastAsia="en-AU"/>
        </w:rPr>
        <w:pict>
          <v:shape id="Text Box 614" o:spid="_x0000_s1030" type="#_x0000_t202" style="position:absolute;margin-left:4.2pt;margin-top:8.5pt;width:196.95pt;height:29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0BvAIAAMU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" filled="f" stroked="f">
            <v:textbox>
              <w:txbxContent>
                <w:p w:rsidR="0061071A" w:rsidRPr="00C23713" w:rsidRDefault="0061071A" w:rsidP="002E68BC">
                  <w:pPr>
                    <w:pStyle w:val="NoSpacing"/>
                    <w:jc w:val="both"/>
                    <w:rPr>
                      <w:rFonts w:ascii="Utsaah" w:hAnsi="Utsaah" w:cs="Utsaah"/>
                      <w:b/>
                      <w:color w:val="4A442A" w:themeColor="background2" w:themeShade="40"/>
                      <w:lang w:val="en-AU"/>
                    </w:rPr>
                  </w:pPr>
                  <w:r w:rsidRPr="00C23713">
                    <w:rPr>
                      <w:rFonts w:ascii="Utsaah" w:hAnsi="Utsaah" w:cs="Utsaah"/>
                      <w:b/>
                      <w:color w:val="4A442A" w:themeColor="background2" w:themeShade="40"/>
                      <w:lang w:val="en-AU"/>
                    </w:rPr>
                    <w:t>Objective: stakeholder feedback to the public consultation process is designed to assist the Government’s consideration of a future regulatory framework for crowd-sourced equity funding (CSEF) in Australia.</w:t>
                  </w:r>
                </w:p>
                <w:p w:rsidR="0061071A" w:rsidRPr="00C23713" w:rsidRDefault="0061071A" w:rsidP="006E5652">
                  <w:pPr>
                    <w:pStyle w:val="NoSpacing"/>
                    <w:jc w:val="both"/>
                    <w:rPr>
                      <w:rFonts w:ascii="Utsaah" w:hAnsi="Utsaah" w:cs="Utsaah"/>
                      <w:b/>
                      <w:color w:val="4A442A" w:themeColor="background2" w:themeShade="40"/>
                      <w:lang w:val="en-AU"/>
                    </w:rPr>
                  </w:pPr>
                </w:p>
                <w:p w:rsidR="0061071A" w:rsidRPr="00C23713" w:rsidRDefault="0061071A" w:rsidP="006E621C">
                  <w:pPr>
                    <w:rPr>
                      <w:rFonts w:ascii="Utsaah" w:eastAsia="Adobe Gothic Std B" w:hAnsi="Utsaah" w:cs="Utsaah"/>
                      <w:color w:val="E56F25"/>
                    </w:rPr>
                  </w:pPr>
                  <w:r w:rsidRPr="00C23713">
                    <w:rPr>
                      <w:rFonts w:ascii="Utsaah" w:eastAsia="Adobe Gothic Std B" w:hAnsi="Utsaah" w:cs="Utsaah"/>
                      <w:color w:val="E56F25"/>
                      <w:spacing w:val="-13"/>
                    </w:rPr>
                    <w:t xml:space="preserve">This submission by </w:t>
                  </w:r>
                  <w:r>
                    <w:rPr>
                      <w:rFonts w:ascii="Utsaah" w:eastAsia="Adobe Gothic Std B" w:hAnsi="Utsaah" w:cs="Utsaah"/>
                      <w:color w:val="E56F25"/>
                      <w:spacing w:val="-13"/>
                    </w:rPr>
                    <w:t>F</w:t>
                  </w:r>
                  <w:r w:rsidRPr="00C23713">
                    <w:rPr>
                      <w:rFonts w:ascii="Utsaah" w:eastAsia="Adobe Gothic Std B" w:hAnsi="Utsaah" w:cs="Utsaah"/>
                      <w:color w:val="E56F25"/>
                      <w:spacing w:val="-13"/>
                    </w:rPr>
                    <w:t>at Hen Ventures Ltd is dated 3</w:t>
                  </w:r>
                  <w:r>
                    <w:rPr>
                      <w:rFonts w:ascii="Utsaah" w:eastAsia="Adobe Gothic Std B" w:hAnsi="Utsaah" w:cs="Utsaah"/>
                      <w:color w:val="E56F25"/>
                      <w:spacing w:val="-13"/>
                    </w:rPr>
                    <w:t>1</w:t>
                  </w:r>
                  <w:r w:rsidRPr="00C23713">
                    <w:rPr>
                      <w:rFonts w:ascii="Utsaah" w:eastAsia="Adobe Gothic Std B" w:hAnsi="Utsaah" w:cs="Utsaah"/>
                      <w:color w:val="E56F25"/>
                      <w:spacing w:val="-13"/>
                    </w:rPr>
                    <w:t xml:space="preserve"> January 2015 and was lodged on that date via email to </w:t>
                  </w:r>
                  <w:hyperlink r:id="rId20" w:history="1">
                    <w:r w:rsidRPr="00C23713">
                      <w:rPr>
                        <w:rStyle w:val="Hyperlink"/>
                        <w:rFonts w:ascii="Utsaah" w:eastAsia="Adobe Gothic Std B" w:hAnsi="Utsaah" w:cs="Utsaah"/>
                        <w:spacing w:val="-13"/>
                      </w:rPr>
                      <w:t>csef@treasury.gov.au</w:t>
                    </w:r>
                  </w:hyperlink>
                  <w:r w:rsidRPr="00C23713">
                    <w:rPr>
                      <w:rFonts w:ascii="Utsaah" w:eastAsia="Adobe Gothic Std B" w:hAnsi="Utsaah" w:cs="Utsaah"/>
                      <w:color w:val="E56F25"/>
                      <w:spacing w:val="-13"/>
                    </w:rPr>
                    <w:t>.</w:t>
                  </w:r>
                </w:p>
                <w:p w:rsidR="0061071A" w:rsidRPr="00C23713" w:rsidRDefault="0061071A" w:rsidP="00E2231B">
                  <w:pPr>
                    <w:pStyle w:val="NoSpacing"/>
                    <w:jc w:val="both"/>
                    <w:rPr>
                      <w:rFonts w:ascii="Utsaah" w:hAnsi="Utsaah" w:cs="Utsaah"/>
                      <w:color w:val="4A442A" w:themeColor="background2" w:themeShade="40"/>
                      <w:lang w:val="en-AU"/>
                    </w:rPr>
                  </w:pPr>
                </w:p>
                <w:p w:rsidR="0061071A" w:rsidRPr="00C23713" w:rsidRDefault="0061071A" w:rsidP="002E68BC">
                  <w:pPr>
                    <w:pStyle w:val="NoSpacing"/>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 xml:space="preserve">A hard copy </w:t>
                  </w:r>
                  <w:r>
                    <w:rPr>
                      <w:rFonts w:ascii="Utsaah" w:hAnsi="Utsaah" w:cs="Utsaah"/>
                      <w:color w:val="4A442A" w:themeColor="background2" w:themeShade="40"/>
                      <w:lang w:val="en-AU"/>
                    </w:rPr>
                    <w:t xml:space="preserve">of this submission was sent </w:t>
                  </w:r>
                  <w:r w:rsidRPr="00C23713">
                    <w:rPr>
                      <w:rFonts w:ascii="Utsaah" w:hAnsi="Utsaah" w:cs="Utsaah"/>
                      <w:color w:val="4A442A" w:themeColor="background2" w:themeShade="40"/>
                      <w:lang w:val="en-AU"/>
                    </w:rPr>
                    <w:t>to:</w:t>
                  </w:r>
                </w:p>
                <w:p w:rsidR="0061071A" w:rsidRPr="00C23713" w:rsidRDefault="0061071A" w:rsidP="002E68BC">
                  <w:pPr>
                    <w:pStyle w:val="NoSpacing"/>
                    <w:jc w:val="both"/>
                    <w:rPr>
                      <w:rFonts w:ascii="Utsaah" w:hAnsi="Utsaah" w:cs="Utsaah"/>
                      <w:color w:val="4A442A" w:themeColor="background2" w:themeShade="40"/>
                      <w:lang w:val="en-AU"/>
                    </w:rPr>
                  </w:pPr>
                </w:p>
                <w:p w:rsidR="0061071A" w:rsidRPr="00C23713" w:rsidRDefault="0061071A" w:rsidP="002E68BC">
                  <w:pPr>
                    <w:pStyle w:val="NoSpacing"/>
                    <w:jc w:val="both"/>
                    <w:rPr>
                      <w:rFonts w:ascii="Utsaah" w:hAnsi="Utsaah" w:cs="Utsaah"/>
                      <w:color w:val="E56F25"/>
                      <w:lang w:val="en-AU"/>
                    </w:rPr>
                  </w:pPr>
                  <w:r w:rsidRPr="00C23713">
                    <w:rPr>
                      <w:rFonts w:ascii="Utsaah" w:hAnsi="Utsaah" w:cs="Utsaah"/>
                      <w:color w:val="E56F25"/>
                      <w:lang w:val="en-AU"/>
                    </w:rPr>
                    <w:t>Manager Financial System Assessment Unit</w:t>
                  </w:r>
                </w:p>
                <w:p w:rsidR="0061071A" w:rsidRPr="00C23713" w:rsidRDefault="0061071A" w:rsidP="002E68BC">
                  <w:pPr>
                    <w:pStyle w:val="NoSpacing"/>
                    <w:jc w:val="both"/>
                    <w:rPr>
                      <w:rFonts w:ascii="Utsaah" w:hAnsi="Utsaah" w:cs="Utsaah"/>
                      <w:color w:val="E56F25"/>
                      <w:lang w:val="en-AU"/>
                    </w:rPr>
                  </w:pPr>
                  <w:r w:rsidRPr="00C23713">
                    <w:rPr>
                      <w:rFonts w:ascii="Utsaah" w:hAnsi="Utsaah" w:cs="Utsaah"/>
                      <w:color w:val="E56F25"/>
                      <w:lang w:val="en-AU"/>
                    </w:rPr>
                    <w:t>Financial System and Services Division</w:t>
                  </w:r>
                </w:p>
                <w:p w:rsidR="0061071A" w:rsidRPr="00C23713" w:rsidRDefault="0061071A" w:rsidP="002E68BC">
                  <w:pPr>
                    <w:pStyle w:val="NoSpacing"/>
                    <w:jc w:val="both"/>
                    <w:rPr>
                      <w:rFonts w:ascii="Utsaah" w:hAnsi="Utsaah" w:cs="Utsaah"/>
                      <w:b/>
                      <w:color w:val="E56F25"/>
                      <w:lang w:val="en-AU"/>
                    </w:rPr>
                  </w:pPr>
                  <w:r w:rsidRPr="00C23713">
                    <w:rPr>
                      <w:rFonts w:ascii="Utsaah" w:hAnsi="Utsaah" w:cs="Utsaah"/>
                      <w:b/>
                      <w:color w:val="E56F25"/>
                      <w:lang w:val="en-AU"/>
                    </w:rPr>
                    <w:t xml:space="preserve">The Treasury </w:t>
                  </w:r>
                </w:p>
                <w:p w:rsidR="0061071A" w:rsidRPr="00C23713" w:rsidRDefault="0061071A" w:rsidP="002E68BC">
                  <w:pPr>
                    <w:pStyle w:val="NoSpacing"/>
                    <w:jc w:val="both"/>
                    <w:rPr>
                      <w:rFonts w:ascii="Utsaah" w:hAnsi="Utsaah" w:cs="Utsaah"/>
                      <w:color w:val="E56F25"/>
                      <w:lang w:val="en-AU"/>
                    </w:rPr>
                  </w:pPr>
                  <w:r w:rsidRPr="00C23713">
                    <w:rPr>
                      <w:rFonts w:ascii="Utsaah" w:hAnsi="Utsaah" w:cs="Utsaah"/>
                      <w:color w:val="E56F25"/>
                      <w:lang w:val="en-AU"/>
                    </w:rPr>
                    <w:t xml:space="preserve">Langton Crescent PARKES ACT 2600 </w:t>
                  </w:r>
                </w:p>
                <w:p w:rsidR="0061071A" w:rsidRPr="00B54B26" w:rsidRDefault="0061071A" w:rsidP="006E5652">
                  <w:pPr>
                    <w:pStyle w:val="NoSpacing"/>
                    <w:jc w:val="both"/>
                    <w:rPr>
                      <w:rFonts w:ascii="Utsaah" w:hAnsi="Utsaah" w:cs="Utsaah"/>
                      <w:color w:val="4A442A" w:themeColor="background2" w:themeShade="40"/>
                      <w:sz w:val="18"/>
                      <w:szCs w:val="18"/>
                      <w:lang w:val="en-AU"/>
                    </w:rPr>
                  </w:pPr>
                </w:p>
              </w:txbxContent>
            </v:textbox>
          </v:shape>
        </w:pict>
      </w:r>
    </w:p>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49105D">
      <w:r>
        <w:rPr>
          <w:noProof/>
          <w:lang w:eastAsia="en-AU"/>
        </w:rPr>
        <w:drawing>
          <wp:anchor distT="0" distB="0" distL="114300" distR="114300" simplePos="0" relativeHeight="251813888" behindDoc="0" locked="0" layoutInCell="1" allowOverlap="1">
            <wp:simplePos x="0" y="0"/>
            <wp:positionH relativeFrom="column">
              <wp:posOffset>4600575</wp:posOffset>
            </wp:positionH>
            <wp:positionV relativeFrom="paragraph">
              <wp:posOffset>210185</wp:posOffset>
            </wp:positionV>
            <wp:extent cx="1238250" cy="53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ab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533400"/>
                    </a:xfrm>
                    <a:prstGeom prst="rect">
                      <a:avLst/>
                    </a:prstGeom>
                  </pic:spPr>
                </pic:pic>
              </a:graphicData>
            </a:graphic>
          </wp:anchor>
        </w:drawing>
      </w:r>
      <w:r w:rsidR="00CF63F7">
        <w:rPr>
          <w:noProof/>
          <w:lang w:eastAsia="en-AU"/>
        </w:rPr>
        <w:drawing>
          <wp:anchor distT="0" distB="0" distL="114300" distR="114300" simplePos="0" relativeHeight="251680768" behindDoc="0" locked="0" layoutInCell="1" allowOverlap="1">
            <wp:simplePos x="0" y="0"/>
            <wp:positionH relativeFrom="column">
              <wp:posOffset>3089910</wp:posOffset>
            </wp:positionH>
            <wp:positionV relativeFrom="paragraph">
              <wp:posOffset>88265</wp:posOffset>
            </wp:positionV>
            <wp:extent cx="875665" cy="678180"/>
            <wp:effectExtent l="0" t="0" r="0" b="0"/>
            <wp:wrapNone/>
            <wp:docPr id="6" name="Picture 2" descr="jbroun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roun_si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Lst>
                    </a:blip>
                    <a:srcRect/>
                    <a:stretch>
                      <a:fillRect/>
                    </a:stretch>
                  </pic:blipFill>
                  <pic:spPr bwMode="auto">
                    <a:xfrm>
                      <a:off x="0" y="0"/>
                      <a:ext cx="875665" cy="678180"/>
                    </a:xfrm>
                    <a:prstGeom prst="rect">
                      <a:avLst/>
                    </a:prstGeom>
                    <a:noFill/>
                    <a:ln w="9525">
                      <a:noFill/>
                      <a:miter lim="800000"/>
                      <a:headEnd/>
                      <a:tailEnd/>
                    </a:ln>
                  </pic:spPr>
                </pic:pic>
              </a:graphicData>
            </a:graphic>
          </wp:anchor>
        </w:drawing>
      </w:r>
    </w:p>
    <w:p w:rsidR="008141BB" w:rsidRDefault="008141BB"/>
    <w:p w:rsidR="00B6591A" w:rsidRDefault="00B6591A"/>
    <w:p w:rsidR="00B6591A" w:rsidRDefault="00B6591A"/>
    <w:p w:rsidR="00B6591A" w:rsidRDefault="00B6591A"/>
    <w:p w:rsidR="00B6591A" w:rsidRDefault="00B6591A"/>
    <w:p w:rsidR="00B6591A" w:rsidRDefault="00B6591A"/>
    <w:p w:rsidR="00B6591A" w:rsidRDefault="00B6591A"/>
    <w:p w:rsidR="008141BB" w:rsidRDefault="008141BB"/>
    <w:p w:rsidR="008141BB" w:rsidRDefault="008141BB"/>
    <w:p w:rsidR="008141BB" w:rsidRDefault="008141BB"/>
    <w:p w:rsidR="008141BB" w:rsidRDefault="008141BB"/>
    <w:p w:rsidR="008141BB" w:rsidRDefault="008141BB"/>
    <w:p w:rsidR="008141BB" w:rsidRDefault="00E3331C">
      <w:r>
        <w:rPr>
          <w:noProof/>
          <w:lang w:eastAsia="en-AU"/>
        </w:rPr>
        <w:lastRenderedPageBreak/>
        <w:pict>
          <v:shape id="Text Box 26" o:spid="_x0000_s1032" type="#_x0000_t202" style="position:absolute;margin-left:-72.6pt;margin-top:-53.25pt;width:186.05pt;height:85.9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" filled="f" stroked="f">
            <v:textbox>
              <w:txbxContent>
                <w:p w:rsidR="0061071A" w:rsidRDefault="0061071A" w:rsidP="00CD524F">
                  <w:pPr>
                    <w:spacing w:after="0"/>
                    <w:rPr>
                      <w:rFonts w:ascii="Adobe Gothic Std B" w:eastAsia="Adobe Gothic Std B" w:hAnsi="Adobe Gothic Std B" w:cs="Arial"/>
                      <w:b/>
                      <w:bCs/>
                      <w:color w:val="FFFFFF" w:themeColor="background1"/>
                      <w:sz w:val="24"/>
                      <w:szCs w:val="24"/>
                    </w:rPr>
                  </w:pPr>
                </w:p>
                <w:p w:rsidR="0061071A" w:rsidRPr="002E68BC" w:rsidRDefault="0061071A" w:rsidP="00E2231B">
                  <w:pPr>
                    <w:spacing w:after="0"/>
                    <w:ind w:firstLine="72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BACKGROUND</w:t>
                  </w:r>
                </w:p>
                <w:p w:rsidR="0061071A" w:rsidRPr="001C7CF3" w:rsidRDefault="0061071A" w:rsidP="00CD524F">
                  <w:pPr>
                    <w:spacing w:after="0"/>
                    <w:rPr>
                      <w:rFonts w:ascii="Utsaah" w:hAnsi="Utsaah" w:cs="Utsaah"/>
                      <w:color w:val="4A442A" w:themeColor="background2" w:themeShade="40"/>
                      <w:sz w:val="16"/>
                      <w:szCs w:val="16"/>
                    </w:rPr>
                  </w:pPr>
                </w:p>
              </w:txbxContent>
            </v:textbox>
          </v:shape>
        </w:pict>
      </w:r>
      <w:r w:rsidR="0061071A">
        <w:rPr>
          <w:noProof/>
          <w:lang w:eastAsia="en-AU"/>
        </w:rPr>
        <w:drawing>
          <wp:anchor distT="0" distB="0" distL="114300" distR="114300" simplePos="0" relativeHeight="251819008"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shape id="Text Box 31" o:spid="_x0000_s1031" type="#_x0000_t202" style="position:absolute;margin-left:234.35pt;margin-top:-2.7pt;width:194.25pt;height:614.7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c8uwIAAMM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" filled="f" stroked="f">
            <v:textbox>
              <w:txbxContent>
                <w:p w:rsidR="0061071A" w:rsidRPr="00971E8C" w:rsidRDefault="0061071A" w:rsidP="001D3279">
                  <w:pPr>
                    <w:pStyle w:val="NoSpacing"/>
                    <w:jc w:val="both"/>
                    <w:rPr>
                      <w:rFonts w:ascii="Utsaah" w:hAnsi="Utsaah" w:cs="Utsaah"/>
                      <w:i/>
                      <w:color w:val="4A442A" w:themeColor="background2" w:themeShade="40"/>
                      <w:lang w:val="en-AU"/>
                    </w:rPr>
                  </w:pPr>
                  <w:r w:rsidRPr="00971E8C">
                    <w:rPr>
                      <w:rFonts w:ascii="Utsaah" w:hAnsi="Utsaah" w:cs="Utsaah"/>
                      <w:i/>
                      <w:color w:val="4A442A" w:themeColor="background2" w:themeShade="40"/>
                      <w:lang w:val="en-AU"/>
                    </w:rPr>
                    <w:t>Note: this paper is structured to highlight our key recommendations upfront thereby making it easier for the reader to focus on the key</w:t>
                  </w:r>
                  <w:r>
                    <w:rPr>
                      <w:rFonts w:ascii="Utsaah" w:hAnsi="Utsaah" w:cs="Utsaah"/>
                      <w:i/>
                      <w:color w:val="4A442A" w:themeColor="background2" w:themeShade="40"/>
                      <w:lang w:val="en-AU"/>
                    </w:rPr>
                    <w:t xml:space="preserve"> matters we believe are vital for</w:t>
                  </w:r>
                  <w:r w:rsidRPr="00971E8C">
                    <w:rPr>
                      <w:rFonts w:ascii="Utsaah" w:hAnsi="Utsaah" w:cs="Utsaah"/>
                      <w:i/>
                      <w:color w:val="4A442A" w:themeColor="background2" w:themeShade="40"/>
                      <w:lang w:val="en-AU"/>
                    </w:rPr>
                    <w:t xml:space="preserve"> a successful CSEF regime. </w:t>
                  </w:r>
                </w:p>
                <w:p w:rsidR="0061071A" w:rsidRPr="00971E8C" w:rsidRDefault="0061071A" w:rsidP="001D3279">
                  <w:pPr>
                    <w:pStyle w:val="NoSpacing"/>
                    <w:jc w:val="both"/>
                    <w:rPr>
                      <w:rFonts w:ascii="Utsaah" w:hAnsi="Utsaah" w:cs="Utsaah"/>
                      <w:i/>
                      <w:color w:val="4A442A" w:themeColor="background2" w:themeShade="40"/>
                      <w:lang w:val="en-AU"/>
                    </w:rPr>
                  </w:pPr>
                </w:p>
                <w:p w:rsidR="0061071A" w:rsidRPr="00971E8C" w:rsidRDefault="0061071A" w:rsidP="001D3279">
                  <w:pPr>
                    <w:pStyle w:val="NoSpacing"/>
                    <w:jc w:val="both"/>
                    <w:rPr>
                      <w:rFonts w:ascii="Utsaah" w:hAnsi="Utsaah" w:cs="Utsaah"/>
                      <w:i/>
                      <w:color w:val="4A442A" w:themeColor="background2" w:themeShade="40"/>
                      <w:lang w:val="en-AU"/>
                    </w:rPr>
                  </w:pPr>
                  <w:r>
                    <w:rPr>
                      <w:rFonts w:ascii="Utsaah" w:hAnsi="Utsaah" w:cs="Utsaah"/>
                      <w:i/>
                      <w:color w:val="4A442A" w:themeColor="background2" w:themeShade="40"/>
                      <w:lang w:val="en-AU"/>
                    </w:rPr>
                    <w:t>In</w:t>
                  </w:r>
                  <w:r w:rsidRPr="00971E8C">
                    <w:rPr>
                      <w:rFonts w:ascii="Utsaah" w:hAnsi="Utsaah" w:cs="Utsaah"/>
                      <w:i/>
                      <w:color w:val="4A442A" w:themeColor="background2" w:themeShade="40"/>
                      <w:lang w:val="en-AU"/>
                    </w:rPr>
                    <w:t xml:space="preserve"> Part Four we provide answers to the 24 questions raised in the Crowd Sourced Equity Funding Discussion Paper.</w:t>
                  </w:r>
                </w:p>
                <w:p w:rsidR="0061071A" w:rsidRPr="00971E8C" w:rsidRDefault="0061071A" w:rsidP="001D3279">
                  <w:pPr>
                    <w:pStyle w:val="NoSpacing"/>
                    <w:jc w:val="both"/>
                    <w:rPr>
                      <w:rFonts w:ascii="Utsaah" w:hAnsi="Utsaah" w:cs="Utsaah"/>
                      <w:i/>
                      <w:color w:val="4A442A" w:themeColor="background2" w:themeShade="40"/>
                      <w:lang w:val="en-AU"/>
                    </w:rPr>
                  </w:pPr>
                </w:p>
                <w:p w:rsidR="0061071A" w:rsidRPr="00971E8C" w:rsidRDefault="0061071A" w:rsidP="001D3279">
                  <w:pPr>
                    <w:pStyle w:val="NoSpacing"/>
                    <w:jc w:val="both"/>
                    <w:rPr>
                      <w:rFonts w:ascii="Utsaah" w:hAnsi="Utsaah" w:cs="Utsaah"/>
                      <w:i/>
                      <w:color w:val="4A442A" w:themeColor="background2" w:themeShade="40"/>
                      <w:lang w:val="en-AU"/>
                    </w:rPr>
                  </w:pPr>
                  <w:r>
                    <w:rPr>
                      <w:rFonts w:ascii="Utsaah" w:hAnsi="Utsaah" w:cs="Utsaah"/>
                      <w:i/>
                      <w:color w:val="4A442A" w:themeColor="background2" w:themeShade="40"/>
                      <w:lang w:val="en-AU"/>
                    </w:rPr>
                    <w:t xml:space="preserve">Our </w:t>
                  </w:r>
                  <w:r w:rsidRPr="00971E8C">
                    <w:rPr>
                      <w:rFonts w:ascii="Utsaah" w:hAnsi="Utsaah" w:cs="Utsaah"/>
                      <w:i/>
                      <w:color w:val="4A442A" w:themeColor="background2" w:themeShade="40"/>
                      <w:lang w:val="en-AU"/>
                    </w:rPr>
                    <w:t>key recommendations need to be read in conjunction with the Notes supporting our Key Recommendations (Part Three) to better understand the</w:t>
                  </w:r>
                  <w:r>
                    <w:rPr>
                      <w:rFonts w:ascii="Utsaah" w:hAnsi="Utsaah" w:cs="Utsaah"/>
                      <w:i/>
                      <w:color w:val="4A442A" w:themeColor="background2" w:themeShade="40"/>
                      <w:lang w:val="en-AU"/>
                    </w:rPr>
                    <w:t>ir</w:t>
                  </w:r>
                  <w:r w:rsidRPr="00971E8C">
                    <w:rPr>
                      <w:rFonts w:ascii="Utsaah" w:hAnsi="Utsaah" w:cs="Utsaah"/>
                      <w:i/>
                      <w:color w:val="4A442A" w:themeColor="background2" w:themeShade="40"/>
                      <w:lang w:val="en-AU"/>
                    </w:rPr>
                    <w:t xml:space="preserve"> context</w:t>
                  </w:r>
                  <w:r>
                    <w:rPr>
                      <w:rFonts w:ascii="Utsaah" w:hAnsi="Utsaah" w:cs="Utsaah"/>
                      <w:i/>
                      <w:color w:val="4A442A" w:themeColor="background2" w:themeShade="40"/>
                      <w:lang w:val="en-AU"/>
                    </w:rPr>
                    <w:t>.</w:t>
                  </w:r>
                </w:p>
                <w:p w:rsidR="0061071A" w:rsidRPr="00971E8C" w:rsidRDefault="0061071A" w:rsidP="001D3279">
                  <w:pPr>
                    <w:pStyle w:val="NoSpacing"/>
                    <w:jc w:val="both"/>
                    <w:rPr>
                      <w:rFonts w:ascii="Utsaah" w:hAnsi="Utsaah" w:cs="Utsaah"/>
                      <w:i/>
                      <w:color w:val="4A442A" w:themeColor="background2" w:themeShade="40"/>
                      <w:lang w:val="en-AU"/>
                    </w:rPr>
                  </w:pPr>
                </w:p>
                <w:p w:rsidR="0061071A" w:rsidRPr="00971E8C" w:rsidRDefault="0061071A" w:rsidP="001D3279">
                  <w:pPr>
                    <w:pStyle w:val="NoSpacing"/>
                    <w:jc w:val="both"/>
                    <w:rPr>
                      <w:rFonts w:ascii="Utsaah" w:hAnsi="Utsaah" w:cs="Utsaah"/>
                      <w:i/>
                      <w:color w:val="4A442A" w:themeColor="background2" w:themeShade="40"/>
                      <w:lang w:val="en-AU"/>
                    </w:rPr>
                  </w:pPr>
                  <w:r w:rsidRPr="00971E8C">
                    <w:rPr>
                      <w:rFonts w:ascii="Utsaah" w:hAnsi="Utsaah" w:cs="Utsaah"/>
                      <w:i/>
                      <w:color w:val="4A442A" w:themeColor="background2" w:themeShade="40"/>
                      <w:lang w:val="en-AU"/>
                    </w:rPr>
                    <w:t>We have focused on the key issues and have not delved into other aspects comprehensively covered in the 253 page CAMAC report on crowd sourced equity funding (CSEF).</w:t>
                  </w:r>
                  <w:r>
                    <w:rPr>
                      <w:rFonts w:ascii="Utsaah" w:hAnsi="Utsaah" w:cs="Utsaah"/>
                      <w:i/>
                      <w:color w:val="4A442A" w:themeColor="background2" w:themeShade="40"/>
                      <w:lang w:val="en-AU"/>
                    </w:rPr>
                    <w:t xml:space="preserve"> </w:t>
                  </w:r>
                  <w:r w:rsidRPr="00971E8C">
                    <w:rPr>
                      <w:rFonts w:ascii="Utsaah" w:hAnsi="Utsaah" w:cs="Utsaah"/>
                      <w:i/>
                      <w:color w:val="4A442A" w:themeColor="background2" w:themeShade="40"/>
                      <w:lang w:val="en-AU"/>
                    </w:rPr>
                    <w:t>We would be happy to provide further detailed information on any area.</w:t>
                  </w:r>
                </w:p>
                <w:p w:rsidR="0061071A" w:rsidRPr="00185844" w:rsidRDefault="0061071A" w:rsidP="001D3279">
                  <w:pPr>
                    <w:pStyle w:val="NoSpacing"/>
                    <w:jc w:val="both"/>
                    <w:rPr>
                      <w:rFonts w:ascii="Utsaah" w:hAnsi="Utsaah" w:cs="Utsaah"/>
                      <w:color w:val="4A442A" w:themeColor="background2" w:themeShade="40"/>
                      <w:lang w:val="en-AU"/>
                    </w:rPr>
                  </w:pPr>
                </w:p>
                <w:p w:rsidR="0061071A" w:rsidRPr="00185844" w:rsidRDefault="0061071A" w:rsidP="00C24972">
                  <w:pPr>
                    <w:pStyle w:val="NoSpacing"/>
                    <w:jc w:val="both"/>
                    <w:rPr>
                      <w:rFonts w:ascii="Utsaah" w:hAnsi="Utsaah" w:cs="Utsaah"/>
                      <w:color w:val="4A442A" w:themeColor="background2" w:themeShade="40"/>
                      <w:lang w:val="en-AU"/>
                    </w:rPr>
                  </w:pPr>
                  <w:r w:rsidRPr="00185844">
                    <w:rPr>
                      <w:rFonts w:ascii="Utsaah" w:hAnsi="Utsaah" w:cs="Utsaah"/>
                      <w:color w:val="4A442A" w:themeColor="background2" w:themeShade="40"/>
                      <w:lang w:val="en-AU"/>
                    </w:rPr>
                    <w:t>Fat Hen Ventures Ltd is a public unlisted company sourcing wholesale and retail funds via ASIC lodged disclosure documents to invest into private Australia</w:t>
                  </w:r>
                  <w:r>
                    <w:rPr>
                      <w:rFonts w:ascii="Utsaah" w:hAnsi="Utsaah" w:cs="Utsaah"/>
                      <w:color w:val="4A442A" w:themeColor="background2" w:themeShade="40"/>
                      <w:lang w:val="en-AU"/>
                    </w:rPr>
                    <w:t>n</w:t>
                  </w:r>
                  <w:r w:rsidRPr="00185844">
                    <w:rPr>
                      <w:rFonts w:ascii="Utsaah" w:hAnsi="Utsaah" w:cs="Utsaah"/>
                      <w:color w:val="4A442A" w:themeColor="background2" w:themeShade="40"/>
                      <w:lang w:val="en-AU"/>
                    </w:rPr>
                    <w:t xml:space="preserve"> businesses / SME’s covering early stage, business expansion capital and succession planning / MBO funding.</w:t>
                  </w:r>
                </w:p>
                <w:p w:rsidR="0061071A" w:rsidRPr="00185844" w:rsidRDefault="0061071A" w:rsidP="00C24972">
                  <w:pPr>
                    <w:pStyle w:val="NoSpacing"/>
                    <w:jc w:val="both"/>
                    <w:rPr>
                      <w:rFonts w:ascii="Utsaah" w:hAnsi="Utsaah" w:cs="Utsaah"/>
                      <w:color w:val="4A442A" w:themeColor="background2" w:themeShade="40"/>
                      <w:lang w:val="en-AU"/>
                    </w:rPr>
                  </w:pPr>
                </w:p>
                <w:p w:rsidR="0061071A" w:rsidRPr="00185844" w:rsidRDefault="0061071A" w:rsidP="00C24972">
                  <w:pPr>
                    <w:pStyle w:val="NoSpacing"/>
                    <w:jc w:val="both"/>
                    <w:rPr>
                      <w:rFonts w:ascii="Utsaah" w:hAnsi="Utsaah" w:cs="Utsaah"/>
                      <w:color w:val="4A442A" w:themeColor="background2" w:themeShade="40"/>
                      <w:lang w:val="en-AU"/>
                    </w:rPr>
                  </w:pPr>
                  <w:r w:rsidRPr="00185844">
                    <w:rPr>
                      <w:rFonts w:ascii="Utsaah" w:hAnsi="Utsaah" w:cs="Utsaah"/>
                      <w:color w:val="4A442A" w:themeColor="background2" w:themeShade="40"/>
                      <w:lang w:val="en-AU"/>
                    </w:rPr>
                    <w:t>Fat Hen aims to operate a CSEF platform as an approved platform operator per legislation to be enacted hopefully this calendar year. We are essentially bringing the retail (crowd) sector to SME’s via Fat Hen Ventures Ltd and whilst it is costly</w:t>
                  </w:r>
                  <w:r>
                    <w:rPr>
                      <w:rFonts w:ascii="Utsaah" w:hAnsi="Utsaah" w:cs="Utsaah"/>
                      <w:color w:val="4A442A" w:themeColor="background2" w:themeShade="40"/>
                      <w:lang w:val="en-AU"/>
                    </w:rPr>
                    <w:t>,</w:t>
                  </w:r>
                  <w:r w:rsidRPr="00185844">
                    <w:rPr>
                      <w:rFonts w:ascii="Utsaah" w:hAnsi="Utsaah" w:cs="Utsaah"/>
                      <w:color w:val="4A442A" w:themeColor="background2" w:themeShade="40"/>
                      <w:lang w:val="en-AU"/>
                    </w:rPr>
                    <w:t xml:space="preserve"> and somewhat cumbersome administratively we are proud to be a full service crowd backed private equity funder investing between $250,000 and $5m into early stage and growth orientated organisations in Australia. </w:t>
                  </w:r>
                </w:p>
                <w:p w:rsidR="0061071A" w:rsidRPr="00185844" w:rsidRDefault="0061071A" w:rsidP="00C24972">
                  <w:pPr>
                    <w:pStyle w:val="NoSpacing"/>
                    <w:jc w:val="both"/>
                    <w:rPr>
                      <w:rFonts w:ascii="Utsaah" w:hAnsi="Utsaah" w:cs="Utsaah"/>
                      <w:color w:val="4A442A" w:themeColor="background2" w:themeShade="40"/>
                      <w:lang w:val="en-AU"/>
                    </w:rPr>
                  </w:pPr>
                </w:p>
                <w:p w:rsidR="0061071A" w:rsidRDefault="0061071A" w:rsidP="00C24972">
                  <w:pPr>
                    <w:pStyle w:val="NoSpacing"/>
                    <w:jc w:val="both"/>
                    <w:rPr>
                      <w:rFonts w:ascii="Utsaah" w:hAnsi="Utsaah" w:cs="Utsaah"/>
                      <w:color w:val="4A442A" w:themeColor="background2" w:themeShade="40"/>
                      <w:lang w:val="en-AU"/>
                    </w:rPr>
                  </w:pPr>
                  <w:r w:rsidRPr="00185844">
                    <w:rPr>
                      <w:rFonts w:ascii="Utsaah" w:hAnsi="Utsaah" w:cs="Utsaah"/>
                      <w:color w:val="4A442A" w:themeColor="background2" w:themeShade="40"/>
                      <w:lang w:val="en-AU"/>
                    </w:rPr>
                    <w:t>We look forward to playing an essential role in mobilising capital from a large audience of small investors into great ideas</w:t>
                  </w:r>
                  <w:r>
                    <w:rPr>
                      <w:rFonts w:ascii="Utsaah" w:hAnsi="Utsaah" w:cs="Utsaah"/>
                      <w:color w:val="4A442A" w:themeColor="background2" w:themeShade="40"/>
                      <w:lang w:val="en-AU"/>
                    </w:rPr>
                    <w:t>,</w:t>
                  </w:r>
                  <w:r w:rsidRPr="00185844">
                    <w:rPr>
                      <w:rFonts w:ascii="Utsaah" w:hAnsi="Utsaah" w:cs="Utsaah"/>
                      <w:color w:val="4A442A" w:themeColor="background2" w:themeShade="40"/>
                      <w:lang w:val="en-AU"/>
                    </w:rPr>
                    <w:t xml:space="preserve"> and businesses</w:t>
                  </w:r>
                  <w:r>
                    <w:rPr>
                      <w:rFonts w:ascii="Utsaah" w:hAnsi="Utsaah" w:cs="Utsaah"/>
                      <w:color w:val="4A442A" w:themeColor="background2" w:themeShade="40"/>
                      <w:lang w:val="en-AU"/>
                    </w:rPr>
                    <w:t>,</w:t>
                  </w:r>
                  <w:r w:rsidRPr="00185844">
                    <w:rPr>
                      <w:rFonts w:ascii="Utsaah" w:hAnsi="Utsaah" w:cs="Utsaah"/>
                      <w:color w:val="4A442A" w:themeColor="background2" w:themeShade="40"/>
                      <w:lang w:val="en-AU"/>
                    </w:rPr>
                    <w:t xml:space="preserve"> to derive economic gains for all stakeholders</w:t>
                  </w:r>
                  <w:r>
                    <w:rPr>
                      <w:rFonts w:ascii="Utsaah" w:hAnsi="Utsaah" w:cs="Utsaah"/>
                      <w:color w:val="4A442A" w:themeColor="background2" w:themeShade="40"/>
                      <w:lang w:val="en-AU"/>
                    </w:rPr>
                    <w:t>,</w:t>
                  </w:r>
                  <w:r w:rsidRPr="00185844">
                    <w:rPr>
                      <w:rFonts w:ascii="Utsaah" w:hAnsi="Utsaah" w:cs="Utsaah"/>
                      <w:color w:val="4A442A" w:themeColor="background2" w:themeShade="40"/>
                      <w:lang w:val="en-AU"/>
                    </w:rPr>
                    <w:t xml:space="preserve"> </w:t>
                  </w:r>
                  <w:r>
                    <w:rPr>
                      <w:rFonts w:ascii="Utsaah" w:hAnsi="Utsaah" w:cs="Utsaah"/>
                      <w:color w:val="4A442A" w:themeColor="background2" w:themeShade="40"/>
                      <w:lang w:val="en-AU"/>
                    </w:rPr>
                    <w:t>provide</w:t>
                  </w:r>
                  <w:r w:rsidRPr="00185844">
                    <w:rPr>
                      <w:rFonts w:ascii="Utsaah" w:hAnsi="Utsaah" w:cs="Utsaah"/>
                      <w:color w:val="4A442A" w:themeColor="background2" w:themeShade="40"/>
                      <w:lang w:val="en-AU"/>
                    </w:rPr>
                    <w:t xml:space="preserve"> broader economic stimulation, employment enhancement and enabling of technology in this country. </w:t>
                  </w:r>
                </w:p>
                <w:p w:rsidR="0061071A" w:rsidRPr="00185844" w:rsidRDefault="0061071A" w:rsidP="00C24972">
                  <w:pPr>
                    <w:pStyle w:val="NoSpacing"/>
                    <w:jc w:val="both"/>
                    <w:rPr>
                      <w:rFonts w:ascii="Utsaah" w:hAnsi="Utsaah" w:cs="Utsaah"/>
                      <w:color w:val="4A442A" w:themeColor="background2" w:themeShade="40"/>
                      <w:lang w:val="en-AU"/>
                    </w:rPr>
                  </w:pPr>
                </w:p>
                <w:p w:rsidR="0061071A" w:rsidRPr="00185844" w:rsidRDefault="0061071A" w:rsidP="00C24972">
                  <w:pPr>
                    <w:pStyle w:val="NoSpacing"/>
                    <w:jc w:val="both"/>
                    <w:rPr>
                      <w:rFonts w:ascii="Utsaah" w:hAnsi="Utsaah" w:cs="Utsaah"/>
                      <w:color w:val="4A442A" w:themeColor="background2" w:themeShade="40"/>
                      <w:lang w:val="en-AU"/>
                    </w:rPr>
                  </w:pPr>
                  <w:r w:rsidRPr="00185844">
                    <w:rPr>
                      <w:rFonts w:ascii="Utsaah" w:hAnsi="Utsaah" w:cs="Utsaah"/>
                      <w:color w:val="4A442A" w:themeColor="background2" w:themeShade="40"/>
                      <w:lang w:val="en-AU"/>
                    </w:rPr>
                    <w:t xml:space="preserve">Further information on our company is available at </w:t>
                  </w:r>
                  <w:hyperlink r:id="rId24" w:history="1">
                    <w:r w:rsidRPr="00A7736C">
                      <w:rPr>
                        <w:rStyle w:val="Hyperlink"/>
                        <w:rFonts w:ascii="Utsaah" w:hAnsi="Utsaah" w:cs="Utsaah"/>
                        <w:lang w:val="en-AU"/>
                      </w:rPr>
                      <w:t>www.fathen.vc</w:t>
                    </w:r>
                  </w:hyperlink>
                  <w:r>
                    <w:rPr>
                      <w:rFonts w:ascii="Utsaah" w:hAnsi="Utsaah" w:cs="Utsaah"/>
                      <w:color w:val="4A442A" w:themeColor="background2" w:themeShade="40"/>
                      <w:lang w:val="en-AU"/>
                    </w:rPr>
                    <w:t xml:space="preserve">. </w:t>
                  </w:r>
                  <w:r w:rsidRPr="00185844">
                    <w:rPr>
                      <w:rFonts w:ascii="Utsaah" w:hAnsi="Utsaah" w:cs="Utsaah"/>
                      <w:color w:val="4A442A" w:themeColor="background2" w:themeShade="40"/>
                      <w:lang w:val="en-AU"/>
                    </w:rPr>
                    <w:t xml:space="preserve">  </w:t>
                  </w:r>
                </w:p>
              </w:txbxContent>
            </v:textbox>
          </v:shape>
        </w:pict>
      </w:r>
      <w:r>
        <w:rPr>
          <w:noProof/>
          <w:lang w:eastAsia="en-AU"/>
        </w:rPr>
        <w:pict>
          <v:group id="Group 24" o:spid="_x0000_s1121" style="position:absolute;margin-left:.05pt;margin-top:-46.5pt;width:202.5pt;height:76.55pt;z-index:-251640832;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">
            <v:shape id="Freeform 756" o:spid="_x0000_s1122"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cYA&#10;AADbAAAADwAAAGRycy9kb3ducmV2LnhtbESPQWvCQBSE7wX/w/KEXopuFFtKdJUgiKUHqaYHj4/s&#10;M0mbfRt2Nyb117uFQo/DzHzDrDaDacSVnK8tK5hNExDEhdU1lwo+893kFYQPyBoby6Tghzxs1qOH&#10;Faba9nyk6ymUIkLYp6igCqFNpfRFRQb91LbE0btYZzBE6UqpHfYRbho5T5IXabDmuFBhS9uKiu9T&#10;ZxR8dX2Wf+zxmJy7rXtf3J5mWX5Q6nE8ZEsQgYbwH/5rv2kF82f4/RJ/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cYAAADbAAAADwAAAAAAAAAAAAAAAACYAgAAZHJz&#10;L2Rvd25yZXYueG1sUEsFBgAAAAAEAAQA9QAAAIsDA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8141BB" w:rsidRDefault="008141BB"/>
    <w:p w:rsidR="008141BB" w:rsidRDefault="00E3331C">
      <w:r>
        <w:rPr>
          <w:noProof/>
          <w:lang w:eastAsia="en-AU"/>
        </w:rPr>
        <w:pict>
          <v:shape id="Text Box 288" o:spid="_x0000_s1033" type="#_x0000_t202" style="position:absolute;margin-left:-36.8pt;margin-top:22.7pt;width:226.9pt;height:321.7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FFvQ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" filled="f" stroked="f">
            <v:textbox>
              <w:txbxContent>
                <w:p w:rsidR="0061071A" w:rsidRPr="00971E8C" w:rsidRDefault="0061071A" w:rsidP="00C24972">
                  <w:pPr>
                    <w:pStyle w:val="NoSpacing"/>
                    <w:jc w:val="both"/>
                    <w:rPr>
                      <w:rFonts w:ascii="Utsaah" w:hAnsi="Utsaah" w:cs="Utsaah"/>
                      <w:b/>
                      <w:color w:val="4A442A" w:themeColor="background2" w:themeShade="40"/>
                      <w:lang w:val="en-AU"/>
                    </w:rPr>
                  </w:pPr>
                  <w:r w:rsidRPr="00971E8C">
                    <w:rPr>
                      <w:rFonts w:ascii="Utsaah" w:hAnsi="Utsaah" w:cs="Utsaah"/>
                      <w:b/>
                      <w:color w:val="4A442A" w:themeColor="background2" w:themeShade="40"/>
                      <w:lang w:val="en-AU"/>
                    </w:rPr>
                    <w:t>INDEX</w:t>
                  </w:r>
                  <w:r w:rsidRPr="00971E8C">
                    <w:rPr>
                      <w:rFonts w:ascii="Utsaah" w:hAnsi="Utsaah" w:cs="Utsaah"/>
                      <w:b/>
                      <w:color w:val="4A442A" w:themeColor="background2" w:themeShade="40"/>
                      <w:lang w:val="en-AU"/>
                    </w:rPr>
                    <w:tab/>
                  </w:r>
                  <w:r w:rsidRPr="00971E8C">
                    <w:rPr>
                      <w:rFonts w:ascii="Utsaah" w:hAnsi="Utsaah" w:cs="Utsaah"/>
                      <w:b/>
                      <w:color w:val="4A442A" w:themeColor="background2" w:themeShade="40"/>
                      <w:lang w:val="en-AU"/>
                    </w:rPr>
                    <w:tab/>
                  </w:r>
                  <w:r w:rsidRPr="00971E8C">
                    <w:rPr>
                      <w:rFonts w:ascii="Utsaah" w:hAnsi="Utsaah" w:cs="Utsaah"/>
                      <w:b/>
                      <w:color w:val="4A442A" w:themeColor="background2" w:themeShade="40"/>
                      <w:lang w:val="en-AU"/>
                    </w:rPr>
                    <w:tab/>
                  </w:r>
                  <w:r w:rsidRPr="00971E8C">
                    <w:rPr>
                      <w:rFonts w:ascii="Utsaah" w:hAnsi="Utsaah" w:cs="Utsaah"/>
                      <w:b/>
                      <w:color w:val="4A442A" w:themeColor="background2" w:themeShade="40"/>
                      <w:lang w:val="en-AU"/>
                    </w:rPr>
                    <w:tab/>
                  </w:r>
                  <w:r>
                    <w:rPr>
                      <w:rFonts w:ascii="Utsaah" w:hAnsi="Utsaah" w:cs="Utsaah"/>
                      <w:b/>
                      <w:color w:val="4A442A" w:themeColor="background2" w:themeShade="40"/>
                      <w:lang w:val="en-AU"/>
                    </w:rPr>
                    <w:tab/>
                  </w:r>
                  <w:r w:rsidRPr="00971E8C">
                    <w:rPr>
                      <w:rFonts w:ascii="Utsaah" w:hAnsi="Utsaah" w:cs="Utsaah"/>
                      <w:b/>
                      <w:color w:val="4A442A" w:themeColor="background2" w:themeShade="40"/>
                      <w:lang w:val="en-AU"/>
                    </w:rPr>
                    <w:t>PAGE</w:t>
                  </w:r>
                </w:p>
                <w:p w:rsidR="0061071A" w:rsidRPr="001D3279" w:rsidRDefault="0061071A" w:rsidP="00C24972">
                  <w:pPr>
                    <w:pStyle w:val="NoSpacing"/>
                    <w:jc w:val="both"/>
                    <w:rPr>
                      <w:rFonts w:ascii="Utsaah" w:hAnsi="Utsaah" w:cs="Utsaah"/>
                      <w:color w:val="4A442A" w:themeColor="background2" w:themeShade="40"/>
                      <w:lang w:val="en-AU"/>
                    </w:rPr>
                  </w:pPr>
                </w:p>
                <w:p w:rsidR="0061071A" w:rsidRDefault="0061071A" w:rsidP="00C24972">
                  <w:pPr>
                    <w:pStyle w:val="NoSpacing"/>
                    <w:jc w:val="both"/>
                    <w:rPr>
                      <w:rFonts w:ascii="Utsaah" w:hAnsi="Utsaah" w:cs="Utsaah"/>
                      <w:color w:val="4A442A" w:themeColor="background2" w:themeShade="40"/>
                      <w:lang w:val="en-AU"/>
                    </w:rPr>
                  </w:pPr>
                </w:p>
                <w:p w:rsidR="0061071A" w:rsidRDefault="0061071A" w:rsidP="00B03260">
                  <w:pPr>
                    <w:pStyle w:val="NoSpacing"/>
                    <w:rPr>
                      <w:rFonts w:ascii="Utsaah" w:hAnsi="Utsaah" w:cs="Utsaah"/>
                      <w:color w:val="4A442A" w:themeColor="background2" w:themeShade="40"/>
                      <w:lang w:val="en-AU"/>
                    </w:rPr>
                  </w:pPr>
                  <w:r w:rsidRPr="001D3279">
                    <w:rPr>
                      <w:rFonts w:ascii="Utsaah" w:hAnsi="Utsaah" w:cs="Utsaah"/>
                      <w:color w:val="4A442A" w:themeColor="background2" w:themeShade="40"/>
                      <w:lang w:val="en-AU"/>
                    </w:rPr>
                    <w:t>Part</w:t>
                  </w:r>
                  <w:r>
                    <w:rPr>
                      <w:rFonts w:ascii="Utsaah" w:hAnsi="Utsaah" w:cs="Utsaah"/>
                      <w:color w:val="4A442A" w:themeColor="background2" w:themeShade="40"/>
                      <w:lang w:val="en-AU"/>
                    </w:rPr>
                    <w:t xml:space="preserve"> One: Key Recommendations </w:t>
                  </w:r>
                  <w:r>
                    <w:rPr>
                      <w:rFonts w:ascii="Utsaah" w:hAnsi="Utsaah" w:cs="Utsaah"/>
                      <w:color w:val="4A442A" w:themeColor="background2" w:themeShade="40"/>
                      <w:lang w:val="en-AU"/>
                    </w:rPr>
                    <w:tab/>
                  </w:r>
                  <w:r>
                    <w:rPr>
                      <w:rFonts w:ascii="Utsaah" w:hAnsi="Utsaah" w:cs="Utsaah"/>
                      <w:color w:val="4A442A" w:themeColor="background2" w:themeShade="40"/>
                      <w:lang w:val="en-AU"/>
                    </w:rPr>
                    <w:tab/>
                  </w:r>
                  <w:r w:rsidR="00B03260">
                    <w:rPr>
                      <w:rFonts w:ascii="Utsaah" w:hAnsi="Utsaah" w:cs="Utsaah"/>
                      <w:color w:val="4A442A" w:themeColor="background2" w:themeShade="40"/>
                      <w:lang w:val="en-AU"/>
                    </w:rPr>
                    <w:t>5</w:t>
                  </w:r>
                </w:p>
                <w:p w:rsidR="0061071A" w:rsidRPr="001D3279" w:rsidRDefault="0061071A" w:rsidP="00C24972">
                  <w:pPr>
                    <w:pStyle w:val="NoSpacing"/>
                    <w:jc w:val="both"/>
                    <w:rPr>
                      <w:rFonts w:ascii="Utsaah" w:hAnsi="Utsaah" w:cs="Utsaah"/>
                      <w:color w:val="4A442A" w:themeColor="background2" w:themeShade="40"/>
                      <w:lang w:val="en-AU"/>
                    </w:rPr>
                  </w:pP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 xml:space="preserve">Part Two: </w:t>
                  </w:r>
                  <w:r>
                    <w:rPr>
                      <w:rFonts w:ascii="Utsaah" w:hAnsi="Utsaah" w:cs="Utsaah"/>
                      <w:color w:val="4A442A" w:themeColor="background2" w:themeShade="40"/>
                      <w:lang w:val="en-AU"/>
                    </w:rPr>
                    <w:t xml:space="preserve">Equity </w:t>
                  </w:r>
                  <w:r w:rsidRPr="001D3279">
                    <w:rPr>
                      <w:rFonts w:ascii="Utsaah" w:hAnsi="Utsaah" w:cs="Utsaah"/>
                      <w:color w:val="4A442A" w:themeColor="background2" w:themeShade="40"/>
                      <w:lang w:val="en-AU"/>
                    </w:rPr>
                    <w:t xml:space="preserve">Capital Markets in Australia </w:t>
                  </w:r>
                </w:p>
                <w:p w:rsidR="0061071A" w:rsidRPr="001D3279" w:rsidRDefault="0061071A" w:rsidP="00C24972">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with a focus on CSEF</w:t>
                  </w:r>
                  <w:r>
                    <w:rPr>
                      <w:rFonts w:ascii="Utsaah" w:hAnsi="Utsaah" w:cs="Utsaah"/>
                      <w:color w:val="4A442A" w:themeColor="background2" w:themeShade="40"/>
                      <w:lang w:val="en-AU"/>
                    </w:rPr>
                    <w:tab/>
                  </w:r>
                  <w:r>
                    <w:rPr>
                      <w:rFonts w:ascii="Utsaah" w:hAnsi="Utsaah" w:cs="Utsaah"/>
                      <w:color w:val="4A442A" w:themeColor="background2" w:themeShade="40"/>
                      <w:lang w:val="en-AU"/>
                    </w:rPr>
                    <w:tab/>
                  </w:r>
                  <w:r>
                    <w:rPr>
                      <w:rFonts w:ascii="Utsaah" w:hAnsi="Utsaah" w:cs="Utsaah"/>
                      <w:color w:val="4A442A" w:themeColor="background2" w:themeShade="40"/>
                      <w:lang w:val="en-AU"/>
                    </w:rPr>
                    <w:tab/>
                  </w:r>
                  <w:r w:rsidR="00B03260">
                    <w:rPr>
                      <w:rFonts w:ascii="Utsaah" w:hAnsi="Utsaah" w:cs="Utsaah"/>
                      <w:color w:val="4A442A" w:themeColor="background2" w:themeShade="40"/>
                      <w:lang w:val="en-AU"/>
                    </w:rPr>
                    <w:t>7</w:t>
                  </w:r>
                </w:p>
                <w:p w:rsidR="0061071A" w:rsidRPr="001D3279" w:rsidRDefault="0061071A" w:rsidP="00C24972">
                  <w:pPr>
                    <w:pStyle w:val="NoSpacing"/>
                    <w:jc w:val="both"/>
                    <w:rPr>
                      <w:rFonts w:ascii="Utsaah" w:hAnsi="Utsaah" w:cs="Utsaah"/>
                      <w:color w:val="4A442A" w:themeColor="background2" w:themeShade="40"/>
                      <w:lang w:val="en-AU"/>
                    </w:rPr>
                  </w:pP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 xml:space="preserve">Part Three: Notes supporting our </w:t>
                  </w:r>
                </w:p>
                <w:p w:rsidR="0061071A" w:rsidRPr="001D3279" w:rsidRDefault="0061071A" w:rsidP="00C24972">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Key Recommendations</w:t>
                  </w:r>
                  <w:r>
                    <w:rPr>
                      <w:rFonts w:ascii="Utsaah" w:hAnsi="Utsaah" w:cs="Utsaah"/>
                      <w:color w:val="4A442A" w:themeColor="background2" w:themeShade="40"/>
                      <w:lang w:val="en-AU"/>
                    </w:rPr>
                    <w:tab/>
                  </w:r>
                  <w:r>
                    <w:rPr>
                      <w:rFonts w:ascii="Utsaah" w:hAnsi="Utsaah" w:cs="Utsaah"/>
                      <w:color w:val="4A442A" w:themeColor="background2" w:themeShade="40"/>
                      <w:lang w:val="en-AU"/>
                    </w:rPr>
                    <w:tab/>
                  </w:r>
                  <w:r>
                    <w:rPr>
                      <w:rFonts w:ascii="Utsaah" w:hAnsi="Utsaah" w:cs="Utsaah"/>
                      <w:color w:val="4A442A" w:themeColor="background2" w:themeShade="40"/>
                      <w:lang w:val="en-AU"/>
                    </w:rPr>
                    <w:tab/>
                  </w:r>
                  <w:r w:rsidR="00B03260">
                    <w:rPr>
                      <w:rFonts w:ascii="Utsaah" w:hAnsi="Utsaah" w:cs="Utsaah"/>
                      <w:color w:val="4A442A" w:themeColor="background2" w:themeShade="40"/>
                      <w:lang w:val="en-AU"/>
                    </w:rPr>
                    <w:t>10</w:t>
                  </w:r>
                </w:p>
                <w:p w:rsidR="0061071A" w:rsidRPr="001D3279" w:rsidRDefault="0061071A" w:rsidP="00C24972">
                  <w:pPr>
                    <w:pStyle w:val="NoSpacing"/>
                    <w:jc w:val="both"/>
                    <w:rPr>
                      <w:rFonts w:ascii="Utsaah" w:hAnsi="Utsaah" w:cs="Utsaah"/>
                      <w:color w:val="4A442A" w:themeColor="background2" w:themeShade="40"/>
                      <w:lang w:val="en-AU"/>
                    </w:rPr>
                  </w:pP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Part Four: Q&amp;A on the 24 questions asked</w:t>
                  </w:r>
                </w:p>
                <w:p w:rsidR="0061071A" w:rsidRPr="001D3279"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 xml:space="preserve">in the Australian Government’s </w:t>
                  </w: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 xml:space="preserve">Crowd Sourced Equity Funding </w:t>
                  </w:r>
                </w:p>
                <w:p w:rsidR="0061071A" w:rsidRPr="001D3279" w:rsidRDefault="0061071A" w:rsidP="00C24972">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 xml:space="preserve">Discussion Paper </w:t>
                  </w:r>
                  <w:r>
                    <w:rPr>
                      <w:rFonts w:ascii="Utsaah" w:hAnsi="Utsaah" w:cs="Utsaah"/>
                      <w:color w:val="4A442A" w:themeColor="background2" w:themeShade="40"/>
                      <w:lang w:val="en-AU"/>
                    </w:rPr>
                    <w:tab/>
                  </w:r>
                  <w:r>
                    <w:rPr>
                      <w:rFonts w:ascii="Utsaah" w:hAnsi="Utsaah" w:cs="Utsaah"/>
                      <w:color w:val="4A442A" w:themeColor="background2" w:themeShade="40"/>
                      <w:lang w:val="en-AU"/>
                    </w:rPr>
                    <w:tab/>
                  </w:r>
                  <w:r>
                    <w:rPr>
                      <w:rFonts w:ascii="Utsaah" w:hAnsi="Utsaah" w:cs="Utsaah"/>
                      <w:color w:val="4A442A" w:themeColor="background2" w:themeShade="40"/>
                      <w:lang w:val="en-AU"/>
                    </w:rPr>
                    <w:tab/>
                  </w:r>
                  <w:r>
                    <w:rPr>
                      <w:rFonts w:ascii="Utsaah" w:hAnsi="Utsaah" w:cs="Utsaah"/>
                      <w:color w:val="4A442A" w:themeColor="background2" w:themeShade="40"/>
                      <w:lang w:val="en-AU"/>
                    </w:rPr>
                    <w:tab/>
                  </w:r>
                  <w:r w:rsidR="00B03260">
                    <w:rPr>
                      <w:rFonts w:ascii="Utsaah" w:hAnsi="Utsaah" w:cs="Utsaah"/>
                      <w:color w:val="4A442A" w:themeColor="background2" w:themeShade="40"/>
                      <w:lang w:val="en-AU"/>
                    </w:rPr>
                    <w:t>16</w:t>
                  </w:r>
                </w:p>
                <w:p w:rsidR="0061071A" w:rsidRDefault="0061071A" w:rsidP="00C24972">
                  <w:pPr>
                    <w:pStyle w:val="NoSpacing"/>
                    <w:jc w:val="both"/>
                    <w:rPr>
                      <w:rFonts w:ascii="Utsaah" w:hAnsi="Utsaah" w:cs="Utsaah"/>
                      <w:color w:val="4A442A" w:themeColor="background2" w:themeShade="40"/>
                      <w:lang w:val="en-AU"/>
                    </w:rPr>
                  </w:pPr>
                </w:p>
                <w:p w:rsidR="001F53D1" w:rsidRPr="001D3279" w:rsidRDefault="001F53D1" w:rsidP="00C24972">
                  <w:pPr>
                    <w:pStyle w:val="NoSpacing"/>
                    <w:jc w:val="both"/>
                    <w:rPr>
                      <w:rFonts w:ascii="Utsaah" w:hAnsi="Utsaah" w:cs="Utsaah"/>
                      <w:color w:val="4A442A" w:themeColor="background2" w:themeShade="40"/>
                      <w:lang w:val="en-AU"/>
                    </w:rPr>
                  </w:pPr>
                </w:p>
                <w:p w:rsidR="0061071A" w:rsidRPr="00971E8C" w:rsidRDefault="0061071A" w:rsidP="00C24972">
                  <w:pPr>
                    <w:pStyle w:val="NoSpacing"/>
                    <w:jc w:val="both"/>
                    <w:rPr>
                      <w:rFonts w:ascii="Utsaah" w:hAnsi="Utsaah" w:cs="Utsaah"/>
                      <w:b/>
                      <w:color w:val="4A442A" w:themeColor="background2" w:themeShade="40"/>
                      <w:lang w:val="en-AU"/>
                    </w:rPr>
                  </w:pPr>
                  <w:r w:rsidRPr="00971E8C">
                    <w:rPr>
                      <w:rFonts w:ascii="Utsaah" w:hAnsi="Utsaah" w:cs="Utsaah"/>
                      <w:b/>
                      <w:color w:val="4A442A" w:themeColor="background2" w:themeShade="40"/>
                      <w:lang w:val="en-AU"/>
                    </w:rPr>
                    <w:t>Included as annexures:</w:t>
                  </w:r>
                </w:p>
                <w:p w:rsidR="0061071A" w:rsidRPr="001D3279" w:rsidRDefault="0061071A" w:rsidP="00C24972">
                  <w:pPr>
                    <w:pStyle w:val="NoSpacing"/>
                    <w:jc w:val="both"/>
                    <w:rPr>
                      <w:rFonts w:ascii="Utsaah" w:hAnsi="Utsaah" w:cs="Utsaah"/>
                      <w:color w:val="4A442A" w:themeColor="background2" w:themeShade="40"/>
                      <w:lang w:val="en-AU"/>
                    </w:rPr>
                  </w:pP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Table 1: CAMAC &amp; NZ &amp; Fat Hen comparisons</w:t>
                  </w:r>
                  <w:r w:rsidR="00B03260">
                    <w:rPr>
                      <w:rFonts w:ascii="Utsaah" w:hAnsi="Utsaah" w:cs="Utsaah"/>
                      <w:color w:val="4A442A" w:themeColor="background2" w:themeShade="40"/>
                      <w:lang w:val="en-AU"/>
                    </w:rPr>
                    <w:t xml:space="preserve">    </w:t>
                  </w:r>
                  <w:r w:rsidR="00B03260">
                    <w:rPr>
                      <w:rFonts w:ascii="Utsaah" w:hAnsi="Utsaah" w:cs="Utsaah"/>
                      <w:color w:val="4A442A" w:themeColor="background2" w:themeShade="40"/>
                      <w:lang w:val="en-AU"/>
                    </w:rPr>
                    <w:tab/>
                  </w:r>
                  <w:r>
                    <w:rPr>
                      <w:rFonts w:ascii="Utsaah" w:hAnsi="Utsaah" w:cs="Utsaah"/>
                      <w:color w:val="4A442A" w:themeColor="background2" w:themeShade="40"/>
                      <w:lang w:val="en-AU"/>
                    </w:rPr>
                    <w:t>26</w:t>
                  </w:r>
                </w:p>
                <w:p w:rsidR="0061071A" w:rsidRPr="001D3279" w:rsidRDefault="0061071A" w:rsidP="00C24972">
                  <w:pPr>
                    <w:pStyle w:val="NoSpacing"/>
                    <w:jc w:val="both"/>
                    <w:rPr>
                      <w:rFonts w:ascii="Utsaah" w:hAnsi="Utsaah" w:cs="Utsaah"/>
                      <w:color w:val="4A442A" w:themeColor="background2" w:themeShade="40"/>
                      <w:lang w:val="en-AU"/>
                    </w:rPr>
                  </w:pP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 xml:space="preserve">Table </w:t>
                  </w:r>
                  <w:r>
                    <w:rPr>
                      <w:rFonts w:ascii="Utsaah" w:hAnsi="Utsaah" w:cs="Utsaah"/>
                      <w:color w:val="4A442A" w:themeColor="background2" w:themeShade="40"/>
                      <w:lang w:val="en-AU"/>
                    </w:rPr>
                    <w:t>2: Key Information Page (KIP):</w:t>
                  </w: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key checklist of items for the APO to authorise</w:t>
                  </w:r>
                </w:p>
                <w:p w:rsidR="00B03260"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release as a preface to a CSEF</w:t>
                  </w:r>
                </w:p>
                <w:p w:rsidR="0061071A" w:rsidRDefault="0061071A" w:rsidP="00C24972">
                  <w:pPr>
                    <w:pStyle w:val="NoSpacing"/>
                    <w:jc w:val="both"/>
                    <w:rPr>
                      <w:rFonts w:ascii="Utsaah" w:hAnsi="Utsaah" w:cs="Utsaah"/>
                      <w:color w:val="4A442A" w:themeColor="background2" w:themeShade="40"/>
                      <w:lang w:val="en-AU"/>
                    </w:rPr>
                  </w:pPr>
                  <w:r w:rsidRPr="001D3279">
                    <w:rPr>
                      <w:rFonts w:ascii="Utsaah" w:hAnsi="Utsaah" w:cs="Utsaah"/>
                      <w:color w:val="4A442A" w:themeColor="background2" w:themeShade="40"/>
                      <w:lang w:val="en-AU"/>
                    </w:rPr>
                    <w:t>offering document</w:t>
                  </w:r>
                  <w:r>
                    <w:rPr>
                      <w:rFonts w:ascii="Utsaah" w:hAnsi="Utsaah" w:cs="Utsaah"/>
                      <w:color w:val="4A442A" w:themeColor="background2" w:themeShade="40"/>
                      <w:lang w:val="en-AU"/>
                    </w:rPr>
                    <w:t xml:space="preserve">   </w:t>
                  </w:r>
                  <w:r w:rsidR="00B03260">
                    <w:rPr>
                      <w:rFonts w:ascii="Utsaah" w:hAnsi="Utsaah" w:cs="Utsaah"/>
                      <w:color w:val="4A442A" w:themeColor="background2" w:themeShade="40"/>
                      <w:lang w:val="en-AU"/>
                    </w:rPr>
                    <w:tab/>
                  </w:r>
                  <w:r>
                    <w:rPr>
                      <w:rFonts w:ascii="Utsaah" w:hAnsi="Utsaah" w:cs="Utsaah"/>
                      <w:color w:val="4A442A" w:themeColor="background2" w:themeShade="40"/>
                      <w:lang w:val="en-AU"/>
                    </w:rPr>
                    <w:t xml:space="preserve"> </w:t>
                  </w:r>
                  <w:r w:rsidR="00B03260">
                    <w:rPr>
                      <w:rFonts w:ascii="Utsaah" w:hAnsi="Utsaah" w:cs="Utsaah"/>
                      <w:color w:val="4A442A" w:themeColor="background2" w:themeShade="40"/>
                      <w:lang w:val="en-AU"/>
                    </w:rPr>
                    <w:tab/>
                  </w:r>
                  <w:r w:rsidR="00B03260">
                    <w:rPr>
                      <w:rFonts w:ascii="Utsaah" w:hAnsi="Utsaah" w:cs="Utsaah"/>
                      <w:color w:val="4A442A" w:themeColor="background2" w:themeShade="40"/>
                      <w:lang w:val="en-AU"/>
                    </w:rPr>
                    <w:tab/>
                  </w:r>
                  <w:r w:rsidR="00B03260">
                    <w:rPr>
                      <w:rFonts w:ascii="Utsaah" w:hAnsi="Utsaah" w:cs="Utsaah"/>
                      <w:color w:val="4A442A" w:themeColor="background2" w:themeShade="40"/>
                      <w:lang w:val="en-AU"/>
                    </w:rPr>
                    <w:tab/>
                  </w:r>
                  <w:r>
                    <w:rPr>
                      <w:rFonts w:ascii="Utsaah" w:hAnsi="Utsaah" w:cs="Utsaah"/>
                      <w:color w:val="4A442A" w:themeColor="background2" w:themeShade="40"/>
                      <w:lang w:val="en-AU"/>
                    </w:rPr>
                    <w:t>28</w:t>
                  </w:r>
                </w:p>
                <w:p w:rsidR="0061071A" w:rsidRPr="00B54B26" w:rsidRDefault="0061071A" w:rsidP="00C24972">
                  <w:pPr>
                    <w:pStyle w:val="NoSpacing"/>
                    <w:jc w:val="both"/>
                    <w:rPr>
                      <w:rFonts w:ascii="Utsaah" w:hAnsi="Utsaah" w:cs="Utsaah"/>
                      <w:color w:val="4A442A" w:themeColor="background2" w:themeShade="40"/>
                      <w:sz w:val="18"/>
                      <w:szCs w:val="18"/>
                      <w:lang w:val="en-AU"/>
                    </w:rPr>
                  </w:pPr>
                </w:p>
              </w:txbxContent>
            </v:textbox>
          </v:shape>
        </w:pict>
      </w:r>
    </w:p>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8141BB" w:rsidRDefault="008141BB"/>
    <w:p w:rsidR="00012E22" w:rsidRDefault="00012E22"/>
    <w:p w:rsidR="00012E22" w:rsidRDefault="00012E22"/>
    <w:p w:rsidR="00012E22" w:rsidRDefault="00012E22"/>
    <w:p w:rsidR="00012E22" w:rsidRDefault="00012E22"/>
    <w:p w:rsidR="00012E22" w:rsidRDefault="00012E22"/>
    <w:p w:rsidR="00012E22" w:rsidRDefault="00E3331C">
      <w:r>
        <w:rPr>
          <w:noProof/>
          <w:lang w:eastAsia="en-AU"/>
        </w:rPr>
        <w:lastRenderedPageBreak/>
        <w:pict>
          <v:shape id="Text Box 5" o:spid="_x0000_s1034" type="#_x0000_t202" style="position:absolute;margin-left:-59.3pt;margin-top:-51.2pt;width:186.05pt;height:76.7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" filled="f" stroked="f">
            <v:textbox>
              <w:txbxContent>
                <w:p w:rsidR="0061071A" w:rsidRDefault="0061071A" w:rsidP="00E037DF">
                  <w:pPr>
                    <w:spacing w:after="0"/>
                    <w:rPr>
                      <w:rFonts w:ascii="Adobe Gothic Std B" w:eastAsia="Adobe Gothic Std B" w:hAnsi="Adobe Gothic Std B" w:cs="Arial"/>
                      <w:b/>
                      <w:bCs/>
                      <w:color w:val="FFFFFF" w:themeColor="background1"/>
                      <w:sz w:val="24"/>
                      <w:szCs w:val="24"/>
                    </w:rPr>
                  </w:pPr>
                </w:p>
                <w:p w:rsidR="0061071A" w:rsidRPr="002E68BC" w:rsidRDefault="0061071A" w:rsidP="00E037DF">
                  <w:pPr>
                    <w:spacing w:after="0"/>
                    <w:ind w:firstLine="72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PART ONE</w:t>
                  </w:r>
                </w:p>
                <w:p w:rsidR="0061071A" w:rsidRPr="001C7CF3" w:rsidRDefault="0061071A" w:rsidP="00E037DF">
                  <w:pPr>
                    <w:spacing w:after="0"/>
                    <w:rPr>
                      <w:rFonts w:ascii="Utsaah" w:hAnsi="Utsaah" w:cs="Utsaah"/>
                      <w:color w:val="4A442A" w:themeColor="background2" w:themeShade="40"/>
                      <w:sz w:val="16"/>
                      <w:szCs w:val="16"/>
                    </w:rPr>
                  </w:pPr>
                </w:p>
              </w:txbxContent>
            </v:textbox>
          </v:shape>
        </w:pict>
      </w:r>
      <w:r w:rsidR="00B03260">
        <w:rPr>
          <w:noProof/>
          <w:lang w:eastAsia="en-AU"/>
        </w:rPr>
        <w:drawing>
          <wp:anchor distT="0" distB="0" distL="114300" distR="114300" simplePos="0" relativeHeight="251821056"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3" o:spid="_x0000_s1119" style="position:absolute;margin-left:-.3pt;margin-top:-45.95pt;width:202.5pt;height:76.55pt;z-index:-251624448;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">
            <v:shape id="Freeform 756" o:spid="_x0000_s1120"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y4cUA&#10;AADaAAAADwAAAGRycy9kb3ducmV2LnhtbESPQWvCQBSE7wX/w/KEXopuLFIkdZUgiKWHosaDx0f2&#10;NUmbfRt2Nyb667tCweMwM98wy/VgGnEh52vLCmbTBARxYXXNpYJTvp0sQPiArLGxTAqu5GG9Gj0t&#10;MdW25wNdjqEUEcI+RQVVCG0qpS8qMuintiWO3rd1BkOUrpTaYR/hppGvSfImDdYcFypsaVNR8Xvs&#10;jIKfrs/y/Q4PybnbuM/57WWW5V9KPY+H7B1EoCE8wv/tD61gDvcr8Qb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LhxQAAANoAAAAPAAAAAAAAAAAAAAAAAJgCAABkcnMv&#10;ZG93bnJldi54bWxQSwUGAAAAAAQABAD1AAAAigM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tbl>
      <w:tblPr>
        <w:tblStyle w:val="TableGrid"/>
        <w:tblpPr w:leftFromText="180" w:rightFromText="180" w:vertAnchor="page" w:horzAnchor="margin" w:tblpY="2555"/>
        <w:tblW w:w="9191" w:type="dxa"/>
        <w:tblLayout w:type="fixed"/>
        <w:tblLook w:val="04A0" w:firstRow="1" w:lastRow="0" w:firstColumn="1" w:lastColumn="0" w:noHBand="0" w:noVBand="1"/>
      </w:tblPr>
      <w:tblGrid>
        <w:gridCol w:w="1741"/>
        <w:gridCol w:w="6174"/>
        <w:gridCol w:w="1276"/>
      </w:tblGrid>
      <w:tr w:rsidR="003B55C8" w:rsidTr="003B55C8">
        <w:trPr>
          <w:trHeight w:val="144"/>
        </w:trPr>
        <w:tc>
          <w:tcPr>
            <w:tcW w:w="1741" w:type="dxa"/>
          </w:tcPr>
          <w:p w:rsidR="003B55C8" w:rsidRPr="000F7294" w:rsidRDefault="003B55C8" w:rsidP="003B55C8">
            <w:pPr>
              <w:rPr>
                <w:rFonts w:ascii="Utsaah" w:hAnsi="Utsaah" w:cs="Utsaah"/>
                <w:b/>
                <w:color w:val="00B0F0"/>
                <w:sz w:val="22"/>
                <w:szCs w:val="22"/>
              </w:rPr>
            </w:pPr>
            <w:r w:rsidRPr="000F7294">
              <w:rPr>
                <w:rFonts w:ascii="Utsaah" w:hAnsi="Utsaah" w:cs="Utsaah"/>
                <w:b/>
                <w:color w:val="00B0F0"/>
                <w:sz w:val="22"/>
                <w:szCs w:val="22"/>
              </w:rPr>
              <w:t>Recommendation</w:t>
            </w:r>
          </w:p>
        </w:tc>
        <w:tc>
          <w:tcPr>
            <w:tcW w:w="6174" w:type="dxa"/>
          </w:tcPr>
          <w:p w:rsidR="003B55C8" w:rsidRPr="003B55C8" w:rsidRDefault="003B55C8" w:rsidP="003B55C8">
            <w:pPr>
              <w:jc w:val="center"/>
              <w:rPr>
                <w:rFonts w:ascii="Adobe Gothic Std B" w:eastAsia="Adobe Gothic Std B" w:hAnsi="Adobe Gothic Std B"/>
                <w:b/>
                <w:color w:val="00B0F0"/>
                <w:sz w:val="36"/>
                <w:szCs w:val="36"/>
              </w:rPr>
            </w:pPr>
            <w:r>
              <w:rPr>
                <w:rFonts w:ascii="Adobe Gothic Std B" w:eastAsia="Adobe Gothic Std B" w:hAnsi="Adobe Gothic Std B"/>
                <w:b/>
                <w:color w:val="00B0F0"/>
                <w:sz w:val="36"/>
                <w:szCs w:val="36"/>
              </w:rPr>
              <w:t>Key Recommendations</w:t>
            </w:r>
          </w:p>
        </w:tc>
        <w:tc>
          <w:tcPr>
            <w:tcW w:w="1276" w:type="dxa"/>
          </w:tcPr>
          <w:p w:rsidR="003B55C8" w:rsidRPr="000F7294" w:rsidRDefault="003B55C8" w:rsidP="003B55C8">
            <w:pPr>
              <w:rPr>
                <w:rFonts w:ascii="Utsaah" w:hAnsi="Utsaah" w:cs="Utsaah"/>
                <w:color w:val="00B0F0"/>
                <w:sz w:val="22"/>
                <w:szCs w:val="22"/>
              </w:rPr>
            </w:pPr>
            <w:r w:rsidRPr="000F7294">
              <w:rPr>
                <w:rFonts w:ascii="Utsaah" w:hAnsi="Utsaah" w:cs="Utsaah"/>
                <w:color w:val="00B0F0"/>
                <w:sz w:val="22"/>
                <w:szCs w:val="22"/>
              </w:rPr>
              <w:t xml:space="preserve">Refer </w:t>
            </w:r>
            <w:r>
              <w:rPr>
                <w:rFonts w:ascii="Utsaah" w:hAnsi="Utsaah" w:cs="Utsaah"/>
                <w:color w:val="00B0F0"/>
                <w:sz w:val="22"/>
                <w:szCs w:val="22"/>
              </w:rPr>
              <w:t xml:space="preserve">to </w:t>
            </w:r>
            <w:r w:rsidRPr="000F7294">
              <w:rPr>
                <w:rFonts w:ascii="Utsaah" w:hAnsi="Utsaah" w:cs="Utsaah"/>
                <w:color w:val="00B0F0"/>
                <w:sz w:val="22"/>
                <w:szCs w:val="22"/>
              </w:rPr>
              <w:t>note  in Part Three of this report on page</w:t>
            </w:r>
            <w:r>
              <w:rPr>
                <w:rFonts w:ascii="Utsaah" w:hAnsi="Utsaah" w:cs="Utsaah"/>
                <w:color w:val="00B0F0"/>
                <w:sz w:val="22"/>
                <w:szCs w:val="22"/>
              </w:rPr>
              <w:t>:</w:t>
            </w: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p>
        </w:tc>
        <w:tc>
          <w:tcPr>
            <w:tcW w:w="6174" w:type="dxa"/>
          </w:tcPr>
          <w:p w:rsidR="003B55C8" w:rsidRDefault="003B55C8" w:rsidP="003B55C8">
            <w:pPr>
              <w:rPr>
                <w:rFonts w:ascii="Utsaah" w:hAnsi="Utsaah" w:cs="Utsaah"/>
                <w:b/>
                <w:color w:val="4A442A" w:themeColor="background2" w:themeShade="40"/>
                <w:sz w:val="22"/>
                <w:szCs w:val="22"/>
              </w:rPr>
            </w:pPr>
            <w:r w:rsidRPr="00012E22">
              <w:rPr>
                <w:rFonts w:ascii="Utsaah" w:hAnsi="Utsaah" w:cs="Utsaah"/>
                <w:b/>
                <w:color w:val="4A442A" w:themeColor="background2" w:themeShade="40"/>
                <w:sz w:val="22"/>
                <w:szCs w:val="22"/>
              </w:rPr>
              <w:t>Recommended variations to existing Companies Act 2001 (“CA”)</w:t>
            </w:r>
            <w:r w:rsidR="00742A50">
              <w:rPr>
                <w:rFonts w:ascii="Utsaah" w:hAnsi="Utsaah" w:cs="Utsaah"/>
                <w:b/>
                <w:color w:val="4A442A" w:themeColor="background2" w:themeShade="40"/>
                <w:sz w:val="22"/>
                <w:szCs w:val="22"/>
              </w:rPr>
              <w:t>.</w:t>
            </w:r>
          </w:p>
          <w:p w:rsidR="003B55C8" w:rsidRPr="00012E22" w:rsidRDefault="003B55C8" w:rsidP="003B55C8">
            <w:pPr>
              <w:rPr>
                <w:rFonts w:ascii="Utsaah" w:hAnsi="Utsaah" w:cs="Utsaah"/>
                <w:b/>
                <w:color w:val="4A442A" w:themeColor="background2" w:themeShade="40"/>
                <w:sz w:val="22"/>
                <w:szCs w:val="22"/>
              </w:rPr>
            </w:pPr>
          </w:p>
        </w:tc>
        <w:tc>
          <w:tcPr>
            <w:tcW w:w="1276" w:type="dxa"/>
          </w:tcPr>
          <w:p w:rsidR="003B55C8" w:rsidRPr="00012E22" w:rsidRDefault="003B55C8" w:rsidP="003B55C8">
            <w:pPr>
              <w:rPr>
                <w:rFonts w:ascii="Utsaah" w:hAnsi="Utsaah" w:cs="Utsaah"/>
                <w:color w:val="4A442A" w:themeColor="background2" w:themeShade="40"/>
                <w:sz w:val="22"/>
                <w:szCs w:val="22"/>
              </w:rPr>
            </w:pP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w:t>
            </w:r>
          </w:p>
        </w:tc>
        <w:tc>
          <w:tcPr>
            <w:tcW w:w="6174" w:type="dxa"/>
          </w:tcPr>
          <w:p w:rsidR="003B55C8" w:rsidRDefault="003B55C8"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Amend s113 of the CA to enable Pty Ltd companies to have 100 non-employee shareholders</w:t>
            </w:r>
            <w:r w:rsidR="00742A50">
              <w:rPr>
                <w:rFonts w:ascii="Utsaah" w:hAnsi="Utsaah" w:cs="Utsaah"/>
                <w:color w:val="4A442A" w:themeColor="background2" w:themeShade="40"/>
                <w:sz w:val="22"/>
                <w:szCs w:val="22"/>
              </w:rPr>
              <w:t>.</w:t>
            </w:r>
            <w:r w:rsidRPr="00012E22">
              <w:rPr>
                <w:rFonts w:ascii="Utsaah" w:hAnsi="Utsaah" w:cs="Utsaah"/>
                <w:color w:val="4A442A" w:themeColor="background2" w:themeShade="40"/>
                <w:sz w:val="22"/>
                <w:szCs w:val="22"/>
              </w:rPr>
              <w:t xml:space="preserve"> </w:t>
            </w:r>
          </w:p>
          <w:p w:rsidR="003B55C8" w:rsidRPr="00012E22" w:rsidRDefault="003B55C8" w:rsidP="001B0D13">
            <w:pPr>
              <w:jc w:val="both"/>
              <w:rPr>
                <w:rFonts w:ascii="Utsaah" w:hAnsi="Utsaah" w:cs="Utsaah"/>
                <w:color w:val="4A442A" w:themeColor="background2" w:themeShade="40"/>
                <w:sz w:val="22"/>
                <w:szCs w:val="22"/>
              </w:rPr>
            </w:pPr>
          </w:p>
        </w:tc>
        <w:tc>
          <w:tcPr>
            <w:tcW w:w="1276" w:type="dxa"/>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Ten</w:t>
            </w: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2</w:t>
            </w:r>
          </w:p>
        </w:tc>
        <w:tc>
          <w:tcPr>
            <w:tcW w:w="6174" w:type="dxa"/>
          </w:tcPr>
          <w:p w:rsidR="003B55C8" w:rsidRDefault="003B55C8"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Amend S708 of the CA to c</w:t>
            </w:r>
            <w:r w:rsidR="00742A50">
              <w:rPr>
                <w:rFonts w:ascii="Utsaah" w:hAnsi="Utsaah" w:cs="Utsaah"/>
                <w:color w:val="4A442A" w:themeColor="background2" w:themeShade="40"/>
                <w:sz w:val="22"/>
                <w:szCs w:val="22"/>
              </w:rPr>
              <w:t>hange the 20/12 “rule” to 50/12.</w:t>
            </w:r>
          </w:p>
          <w:p w:rsidR="003B55C8" w:rsidRPr="00012E22" w:rsidRDefault="003B55C8" w:rsidP="001B0D13">
            <w:pPr>
              <w:jc w:val="both"/>
              <w:rPr>
                <w:rFonts w:ascii="Utsaah" w:hAnsi="Utsaah" w:cs="Utsaah"/>
                <w:color w:val="4A442A" w:themeColor="background2" w:themeShade="40"/>
                <w:sz w:val="22"/>
                <w:szCs w:val="22"/>
              </w:rPr>
            </w:pPr>
          </w:p>
        </w:tc>
        <w:tc>
          <w:tcPr>
            <w:tcW w:w="1276" w:type="dxa"/>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Ten</w:t>
            </w: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3</w:t>
            </w:r>
          </w:p>
        </w:tc>
        <w:tc>
          <w:tcPr>
            <w:tcW w:w="6174" w:type="dxa"/>
          </w:tcPr>
          <w:p w:rsidR="003B55C8" w:rsidRDefault="003B55C8"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Amend s708 in tandem with the above from  $2m to $3m (“Emerging Companies”) and up to $5m for “Established” companies</w:t>
            </w:r>
            <w:r w:rsidR="00742A50">
              <w:rPr>
                <w:rFonts w:ascii="Utsaah" w:hAnsi="Utsaah" w:cs="Utsaah"/>
                <w:color w:val="4A442A" w:themeColor="background2" w:themeShade="40"/>
                <w:sz w:val="22"/>
                <w:szCs w:val="22"/>
              </w:rPr>
              <w:t>.</w:t>
            </w:r>
          </w:p>
          <w:p w:rsidR="003B55C8" w:rsidRPr="00012E22" w:rsidRDefault="003B55C8" w:rsidP="001B0D13">
            <w:pPr>
              <w:jc w:val="both"/>
              <w:rPr>
                <w:rFonts w:ascii="Utsaah" w:hAnsi="Utsaah" w:cs="Utsaah"/>
                <w:color w:val="4A442A" w:themeColor="background2" w:themeShade="40"/>
                <w:sz w:val="22"/>
                <w:szCs w:val="22"/>
              </w:rPr>
            </w:pPr>
          </w:p>
        </w:tc>
        <w:tc>
          <w:tcPr>
            <w:tcW w:w="1276" w:type="dxa"/>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Ten</w:t>
            </w: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4</w:t>
            </w:r>
          </w:p>
        </w:tc>
        <w:tc>
          <w:tcPr>
            <w:tcW w:w="6174" w:type="dxa"/>
          </w:tcPr>
          <w:p w:rsidR="003B55C8" w:rsidRDefault="003B55C8"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Amend s45A (3) of CA to also deem a Pty Ltd company to be a large Pty Ltd IF  the company and the entities it controls (if any) have 50 shareholders, or any other number prescribed by the regulations for the purposes of paragraph 45(2)(c), or more whether employees or non-employees at the end of the financial year.</w:t>
            </w:r>
          </w:p>
          <w:p w:rsidR="003B55C8" w:rsidRPr="00012E22" w:rsidRDefault="003B55C8" w:rsidP="001B0D13">
            <w:pPr>
              <w:jc w:val="both"/>
              <w:rPr>
                <w:rFonts w:ascii="Utsaah" w:hAnsi="Utsaah" w:cs="Utsaah"/>
                <w:color w:val="4A442A" w:themeColor="background2" w:themeShade="40"/>
                <w:sz w:val="22"/>
                <w:szCs w:val="22"/>
              </w:rPr>
            </w:pPr>
          </w:p>
        </w:tc>
        <w:tc>
          <w:tcPr>
            <w:tcW w:w="1276" w:type="dxa"/>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Eleven</w:t>
            </w:r>
          </w:p>
        </w:tc>
      </w:tr>
      <w:tr w:rsidR="003B55C8" w:rsidTr="003B55C8">
        <w:trPr>
          <w:trHeight w:val="144"/>
        </w:trPr>
        <w:tc>
          <w:tcPr>
            <w:tcW w:w="1741" w:type="dxa"/>
            <w:tcBorders>
              <w:bottom w:val="single" w:sz="4" w:space="0" w:color="auto"/>
            </w:tcBorders>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5</w:t>
            </w:r>
          </w:p>
        </w:tc>
        <w:tc>
          <w:tcPr>
            <w:tcW w:w="6174" w:type="dxa"/>
            <w:tcBorders>
              <w:bottom w:val="single" w:sz="4" w:space="0" w:color="auto"/>
            </w:tcBorders>
          </w:tcPr>
          <w:p w:rsidR="003B55C8" w:rsidRDefault="003B55C8"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Consequential changes to be made to Chapter 6D of CA to cater for above</w:t>
            </w:r>
            <w:r w:rsidR="00742A50">
              <w:rPr>
                <w:rFonts w:ascii="Utsaah" w:hAnsi="Utsaah" w:cs="Utsaah"/>
                <w:color w:val="4A442A" w:themeColor="background2" w:themeShade="40"/>
                <w:sz w:val="22"/>
                <w:szCs w:val="22"/>
              </w:rPr>
              <w:t>.</w:t>
            </w:r>
          </w:p>
          <w:p w:rsidR="003B55C8" w:rsidRPr="00012E22" w:rsidRDefault="003B55C8" w:rsidP="001B0D13">
            <w:pPr>
              <w:jc w:val="both"/>
              <w:rPr>
                <w:rFonts w:ascii="Utsaah" w:hAnsi="Utsaah" w:cs="Utsaah"/>
                <w:color w:val="4A442A" w:themeColor="background2" w:themeShade="40"/>
                <w:sz w:val="22"/>
                <w:szCs w:val="22"/>
              </w:rPr>
            </w:pPr>
          </w:p>
        </w:tc>
        <w:tc>
          <w:tcPr>
            <w:tcW w:w="1276" w:type="dxa"/>
            <w:tcBorders>
              <w:bottom w:val="single" w:sz="4" w:space="0" w:color="auto"/>
            </w:tcBorders>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Eleven</w:t>
            </w:r>
          </w:p>
        </w:tc>
      </w:tr>
      <w:tr w:rsidR="003B55C8" w:rsidTr="003B55C8">
        <w:trPr>
          <w:trHeight w:val="180"/>
        </w:trPr>
        <w:tc>
          <w:tcPr>
            <w:tcW w:w="1741" w:type="dxa"/>
            <w:shd w:val="clear" w:color="auto" w:fill="00B0F0"/>
          </w:tcPr>
          <w:p w:rsidR="003B55C8" w:rsidRPr="00012E22" w:rsidRDefault="003B55C8" w:rsidP="003B55C8">
            <w:pPr>
              <w:jc w:val="center"/>
              <w:rPr>
                <w:rFonts w:ascii="Utsaah" w:hAnsi="Utsaah" w:cs="Utsaah"/>
                <w:color w:val="4A442A" w:themeColor="background2" w:themeShade="40"/>
                <w:sz w:val="22"/>
                <w:szCs w:val="22"/>
              </w:rPr>
            </w:pPr>
          </w:p>
        </w:tc>
        <w:tc>
          <w:tcPr>
            <w:tcW w:w="6174" w:type="dxa"/>
            <w:shd w:val="clear" w:color="auto" w:fill="00B0F0"/>
          </w:tcPr>
          <w:p w:rsidR="003B55C8" w:rsidRPr="00012E22" w:rsidRDefault="003B55C8" w:rsidP="003B55C8">
            <w:pPr>
              <w:rPr>
                <w:rFonts w:ascii="Utsaah" w:hAnsi="Utsaah" w:cs="Utsaah"/>
                <w:color w:val="4A442A" w:themeColor="background2" w:themeShade="40"/>
                <w:sz w:val="22"/>
                <w:szCs w:val="22"/>
              </w:rPr>
            </w:pPr>
          </w:p>
        </w:tc>
        <w:tc>
          <w:tcPr>
            <w:tcW w:w="1276" w:type="dxa"/>
            <w:shd w:val="clear" w:color="auto" w:fill="00B0F0"/>
          </w:tcPr>
          <w:p w:rsidR="003B55C8" w:rsidRPr="00012E22" w:rsidRDefault="003B55C8" w:rsidP="003B55C8">
            <w:pPr>
              <w:rPr>
                <w:rFonts w:ascii="Utsaah" w:hAnsi="Utsaah" w:cs="Utsaah"/>
                <w:color w:val="4A442A" w:themeColor="background2" w:themeShade="40"/>
                <w:sz w:val="22"/>
                <w:szCs w:val="22"/>
              </w:rPr>
            </w:pP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p>
        </w:tc>
        <w:tc>
          <w:tcPr>
            <w:tcW w:w="6174" w:type="dxa"/>
          </w:tcPr>
          <w:p w:rsidR="003B55C8" w:rsidRPr="00012E22" w:rsidRDefault="003B55C8" w:rsidP="001B0D13">
            <w:pPr>
              <w:jc w:val="both"/>
              <w:rPr>
                <w:rFonts w:ascii="Utsaah" w:hAnsi="Utsaah" w:cs="Utsaah"/>
                <w:color w:val="4A442A" w:themeColor="background2" w:themeShade="40"/>
                <w:sz w:val="22"/>
                <w:szCs w:val="22"/>
              </w:rPr>
            </w:pPr>
            <w:r w:rsidRPr="00012E22">
              <w:rPr>
                <w:rFonts w:ascii="Utsaah" w:hAnsi="Utsaah" w:cs="Utsaah"/>
                <w:b/>
                <w:color w:val="4A442A" w:themeColor="background2" w:themeShade="40"/>
                <w:sz w:val="22"/>
                <w:szCs w:val="22"/>
              </w:rPr>
              <w:t>Recommendations specific to CSEF establishment</w:t>
            </w:r>
            <w:r w:rsidRPr="00012E22">
              <w:rPr>
                <w:rFonts w:ascii="Utsaah" w:hAnsi="Utsaah" w:cs="Utsaah"/>
                <w:color w:val="4A442A" w:themeColor="background2" w:themeShade="40"/>
                <w:sz w:val="22"/>
                <w:szCs w:val="22"/>
              </w:rPr>
              <w:t xml:space="preserve"> </w:t>
            </w:r>
          </w:p>
          <w:p w:rsidR="003B55C8" w:rsidRDefault="003B55C8"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 xml:space="preserve"> (to be read in conjunction with Table 1 attached as an appendix)</w:t>
            </w:r>
          </w:p>
          <w:p w:rsidR="003B55C8" w:rsidRPr="00012E22" w:rsidRDefault="003B55C8" w:rsidP="001B0D13">
            <w:pPr>
              <w:jc w:val="both"/>
              <w:rPr>
                <w:rFonts w:ascii="Utsaah" w:hAnsi="Utsaah" w:cs="Utsaah"/>
                <w:b/>
                <w:color w:val="4A442A" w:themeColor="background2" w:themeShade="40"/>
                <w:sz w:val="22"/>
                <w:szCs w:val="22"/>
              </w:rPr>
            </w:pPr>
          </w:p>
        </w:tc>
        <w:tc>
          <w:tcPr>
            <w:tcW w:w="1276" w:type="dxa"/>
          </w:tcPr>
          <w:p w:rsidR="003B55C8" w:rsidRPr="00012E22" w:rsidRDefault="003B55C8" w:rsidP="003B55C8">
            <w:pPr>
              <w:jc w:val="center"/>
              <w:rPr>
                <w:rFonts w:ascii="Utsaah" w:hAnsi="Utsaah" w:cs="Utsaah"/>
                <w:color w:val="4A442A" w:themeColor="background2" w:themeShade="40"/>
                <w:sz w:val="22"/>
                <w:szCs w:val="22"/>
              </w:rPr>
            </w:pP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6</w:t>
            </w:r>
          </w:p>
        </w:tc>
        <w:tc>
          <w:tcPr>
            <w:tcW w:w="6174" w:type="dxa"/>
          </w:tcPr>
          <w:p w:rsidR="003B55C8" w:rsidRPr="00012E22" w:rsidRDefault="003B55C8" w:rsidP="001B0D13">
            <w:pPr>
              <w:pStyle w:val="Default"/>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Eligible Issuers defined as two categories of Eligible Issuer:</w:t>
            </w:r>
          </w:p>
          <w:p w:rsidR="003B55C8" w:rsidRDefault="003B55C8" w:rsidP="001B0D13">
            <w:pPr>
              <w:pStyle w:val="Default"/>
              <w:jc w:val="both"/>
              <w:rPr>
                <w:rFonts w:ascii="Utsaah" w:hAnsi="Utsaah" w:cs="Utsaah"/>
                <w:color w:val="4A442A" w:themeColor="background2" w:themeShade="40"/>
                <w:sz w:val="22"/>
                <w:szCs w:val="22"/>
              </w:rPr>
            </w:pPr>
            <w:r w:rsidRPr="00012E22">
              <w:rPr>
                <w:rFonts w:ascii="Utsaah" w:hAnsi="Utsaah" w:cs="Utsaah"/>
                <w:b/>
                <w:color w:val="4A442A" w:themeColor="background2" w:themeShade="40"/>
                <w:sz w:val="22"/>
                <w:szCs w:val="22"/>
              </w:rPr>
              <w:t>Emerging companies</w:t>
            </w:r>
            <w:r w:rsidRPr="00012E22">
              <w:rPr>
                <w:rFonts w:ascii="Utsaah" w:hAnsi="Utsaah" w:cs="Utsaah"/>
                <w:color w:val="4A442A" w:themeColor="background2" w:themeShade="40"/>
                <w:sz w:val="22"/>
                <w:szCs w:val="22"/>
              </w:rPr>
              <w:t xml:space="preserve"> defined as revenue in preceding 12 month period being &lt;$1m OR net profit bef</w:t>
            </w:r>
            <w:r w:rsidR="00817765">
              <w:rPr>
                <w:rFonts w:ascii="Utsaah" w:hAnsi="Utsaah" w:cs="Utsaah"/>
                <w:color w:val="4A442A" w:themeColor="background2" w:themeShade="40"/>
                <w:sz w:val="22"/>
                <w:szCs w:val="22"/>
              </w:rPr>
              <w:t>.</w:t>
            </w:r>
            <w:r w:rsidRPr="00012E22">
              <w:rPr>
                <w:rFonts w:ascii="Utsaah" w:hAnsi="Utsaah" w:cs="Utsaah"/>
                <w:color w:val="4A442A" w:themeColor="background2" w:themeShade="40"/>
                <w:sz w:val="22"/>
                <w:szCs w:val="22"/>
              </w:rPr>
              <w:t xml:space="preserve"> tax of &lt; $250k</w:t>
            </w:r>
            <w:r w:rsidR="00742A50">
              <w:rPr>
                <w:rFonts w:ascii="Utsaah" w:hAnsi="Utsaah" w:cs="Utsaah"/>
                <w:color w:val="4A442A" w:themeColor="background2" w:themeShade="40"/>
                <w:sz w:val="22"/>
                <w:szCs w:val="22"/>
              </w:rPr>
              <w:t>.</w:t>
            </w:r>
          </w:p>
          <w:p w:rsidR="003B55C8" w:rsidRDefault="003B55C8" w:rsidP="001B0D13">
            <w:pPr>
              <w:pStyle w:val="Default"/>
              <w:jc w:val="both"/>
              <w:rPr>
                <w:rFonts w:ascii="Utsaah" w:hAnsi="Utsaah" w:cs="Utsaah"/>
                <w:color w:val="4A442A" w:themeColor="background2" w:themeShade="40"/>
                <w:sz w:val="22"/>
                <w:szCs w:val="22"/>
              </w:rPr>
            </w:pPr>
          </w:p>
          <w:p w:rsidR="003B55C8" w:rsidRPr="00012E22" w:rsidRDefault="003B55C8" w:rsidP="001B0D13">
            <w:pPr>
              <w:pStyle w:val="Default"/>
              <w:rPr>
                <w:rFonts w:ascii="Utsaah" w:hAnsi="Utsaah" w:cs="Utsaah"/>
                <w:color w:val="4A442A" w:themeColor="background2" w:themeShade="40"/>
                <w:sz w:val="22"/>
                <w:szCs w:val="22"/>
              </w:rPr>
            </w:pPr>
            <w:r w:rsidRPr="00012E22">
              <w:rPr>
                <w:rFonts w:ascii="Utsaah" w:hAnsi="Utsaah" w:cs="Utsaah"/>
                <w:b/>
                <w:color w:val="4A442A" w:themeColor="background2" w:themeShade="40"/>
                <w:sz w:val="22"/>
                <w:szCs w:val="22"/>
              </w:rPr>
              <w:t>Established companies</w:t>
            </w:r>
            <w:r w:rsidRPr="00012E22">
              <w:rPr>
                <w:rFonts w:ascii="Utsaah" w:hAnsi="Utsaah" w:cs="Utsaah"/>
                <w:color w:val="4A442A" w:themeColor="background2" w:themeShade="40"/>
                <w:sz w:val="22"/>
                <w:szCs w:val="22"/>
              </w:rPr>
              <w:t xml:space="preserve"> defined as revenue in preceding 12 month period being &gt;$1m AND net profit bef</w:t>
            </w:r>
            <w:r w:rsidR="00817765">
              <w:rPr>
                <w:rFonts w:ascii="Utsaah" w:hAnsi="Utsaah" w:cs="Utsaah"/>
                <w:color w:val="4A442A" w:themeColor="background2" w:themeShade="40"/>
                <w:sz w:val="22"/>
                <w:szCs w:val="22"/>
              </w:rPr>
              <w:t>.</w:t>
            </w:r>
            <w:r w:rsidRPr="00012E22">
              <w:rPr>
                <w:rFonts w:ascii="Utsaah" w:hAnsi="Utsaah" w:cs="Utsaah"/>
                <w:color w:val="4A442A" w:themeColor="background2" w:themeShade="40"/>
                <w:sz w:val="22"/>
                <w:szCs w:val="22"/>
              </w:rPr>
              <w:t xml:space="preserve"> tax of &gt; $250k</w:t>
            </w:r>
            <w:r w:rsidR="00742A50">
              <w:rPr>
                <w:rFonts w:ascii="Utsaah" w:hAnsi="Utsaah" w:cs="Utsaah"/>
                <w:color w:val="4A442A" w:themeColor="background2" w:themeShade="40"/>
                <w:sz w:val="22"/>
                <w:szCs w:val="22"/>
              </w:rPr>
              <w:t>.</w:t>
            </w:r>
            <w:r>
              <w:rPr>
                <w:rFonts w:ascii="Utsaah" w:hAnsi="Utsaah" w:cs="Utsaah"/>
                <w:color w:val="4A442A" w:themeColor="background2" w:themeShade="40"/>
                <w:sz w:val="22"/>
                <w:szCs w:val="22"/>
              </w:rPr>
              <w:br/>
            </w:r>
          </w:p>
        </w:tc>
        <w:tc>
          <w:tcPr>
            <w:tcW w:w="1276" w:type="dxa"/>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Eleven</w:t>
            </w: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7</w:t>
            </w:r>
          </w:p>
        </w:tc>
        <w:tc>
          <w:tcPr>
            <w:tcW w:w="6174" w:type="dxa"/>
          </w:tcPr>
          <w:p w:rsidR="003B55C8" w:rsidRDefault="003B55C8" w:rsidP="001B0D13">
            <w:pPr>
              <w:pStyle w:val="Default"/>
              <w:jc w:val="both"/>
              <w:rPr>
                <w:rFonts w:ascii="Utsaah" w:hAnsi="Utsaah" w:cs="Utsaah"/>
                <w:color w:val="4A442A" w:themeColor="background2" w:themeShade="40"/>
                <w:sz w:val="22"/>
                <w:szCs w:val="22"/>
              </w:rPr>
            </w:pPr>
            <w:r w:rsidRPr="00012E22">
              <w:rPr>
                <w:rFonts w:ascii="Utsaah" w:hAnsi="Utsaah" w:cs="Utsaah"/>
                <w:b/>
                <w:color w:val="4A442A" w:themeColor="background2" w:themeShade="40"/>
                <w:sz w:val="22"/>
                <w:szCs w:val="22"/>
              </w:rPr>
              <w:t>Emerging companies</w:t>
            </w:r>
            <w:r w:rsidRPr="00012E22">
              <w:rPr>
                <w:rFonts w:ascii="Utsaah" w:hAnsi="Utsaah" w:cs="Utsaah"/>
                <w:color w:val="4A442A" w:themeColor="background2" w:themeShade="40"/>
                <w:sz w:val="22"/>
                <w:szCs w:val="22"/>
              </w:rPr>
              <w:t xml:space="preserve"> have certain relief from public company compliance / reporting / audit requirement (as per CAMAC) but once an emerging company becomes an “established company” then they need to adopt normal public company reporting protocols. </w:t>
            </w:r>
          </w:p>
          <w:p w:rsidR="003B55C8" w:rsidRDefault="003B55C8" w:rsidP="001B0D13">
            <w:pPr>
              <w:pStyle w:val="Default"/>
              <w:jc w:val="both"/>
              <w:rPr>
                <w:rFonts w:ascii="Utsaah" w:hAnsi="Utsaah" w:cs="Utsaah"/>
                <w:color w:val="4A442A" w:themeColor="background2" w:themeShade="40"/>
                <w:sz w:val="22"/>
                <w:szCs w:val="22"/>
              </w:rPr>
            </w:pPr>
          </w:p>
          <w:p w:rsidR="003B55C8" w:rsidRDefault="003B55C8" w:rsidP="001B0D13">
            <w:pPr>
              <w:pStyle w:val="Default"/>
              <w:jc w:val="both"/>
              <w:rPr>
                <w:rFonts w:ascii="Utsaah" w:hAnsi="Utsaah" w:cs="Utsaah"/>
                <w:color w:val="4A442A" w:themeColor="background2" w:themeShade="40"/>
                <w:sz w:val="22"/>
                <w:szCs w:val="22"/>
              </w:rPr>
            </w:pPr>
            <w:r w:rsidRPr="00012E22">
              <w:rPr>
                <w:rFonts w:ascii="Utsaah" w:hAnsi="Utsaah" w:cs="Utsaah"/>
                <w:b/>
                <w:color w:val="4A442A" w:themeColor="background2" w:themeShade="40"/>
                <w:sz w:val="22"/>
                <w:szCs w:val="22"/>
              </w:rPr>
              <w:t>Established companies</w:t>
            </w:r>
            <w:r w:rsidRPr="00012E22">
              <w:rPr>
                <w:rFonts w:ascii="Utsaah" w:hAnsi="Utsaah" w:cs="Utsaah"/>
                <w:color w:val="4A442A" w:themeColor="background2" w:themeShade="40"/>
                <w:sz w:val="22"/>
                <w:szCs w:val="22"/>
              </w:rPr>
              <w:t xml:space="preserve"> need to comply with normal public company requirements including auditor appointment</w:t>
            </w:r>
            <w:r w:rsidR="00742A50">
              <w:rPr>
                <w:rFonts w:ascii="Utsaah" w:hAnsi="Utsaah" w:cs="Utsaah"/>
                <w:color w:val="4A442A" w:themeColor="background2" w:themeShade="40"/>
                <w:sz w:val="22"/>
                <w:szCs w:val="22"/>
              </w:rPr>
              <w:t>.</w:t>
            </w:r>
          </w:p>
          <w:p w:rsidR="003B55C8" w:rsidRPr="00012E22" w:rsidRDefault="003B55C8" w:rsidP="001B0D13">
            <w:pPr>
              <w:pStyle w:val="Default"/>
              <w:jc w:val="both"/>
              <w:rPr>
                <w:rFonts w:ascii="Utsaah" w:hAnsi="Utsaah" w:cs="Utsaah"/>
                <w:color w:val="4A442A" w:themeColor="background2" w:themeShade="40"/>
                <w:sz w:val="22"/>
                <w:szCs w:val="22"/>
              </w:rPr>
            </w:pPr>
          </w:p>
        </w:tc>
        <w:tc>
          <w:tcPr>
            <w:tcW w:w="1276" w:type="dxa"/>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Twelve</w:t>
            </w: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8</w:t>
            </w:r>
          </w:p>
        </w:tc>
        <w:tc>
          <w:tcPr>
            <w:tcW w:w="6174" w:type="dxa"/>
          </w:tcPr>
          <w:p w:rsidR="003B55C8" w:rsidRPr="00012E22" w:rsidRDefault="003B55C8" w:rsidP="001B0D13">
            <w:pPr>
              <w:pStyle w:val="Default"/>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 xml:space="preserve">Maximum funds an Issuer may raise - </w:t>
            </w:r>
            <w:r w:rsidRPr="00012E22">
              <w:rPr>
                <w:rFonts w:ascii="Utsaah" w:hAnsi="Utsaah" w:cs="Utsaah"/>
                <w:b/>
                <w:color w:val="4A442A" w:themeColor="background2" w:themeShade="40"/>
                <w:sz w:val="22"/>
                <w:szCs w:val="22"/>
              </w:rPr>
              <w:t>Emerging companies</w:t>
            </w:r>
            <w:r w:rsidRPr="00012E22">
              <w:rPr>
                <w:rFonts w:ascii="Utsaah" w:hAnsi="Utsaah" w:cs="Utsaah"/>
                <w:color w:val="4A442A" w:themeColor="background2" w:themeShade="40"/>
                <w:sz w:val="22"/>
                <w:szCs w:val="22"/>
              </w:rPr>
              <w:t xml:space="preserve"> - cap of $3 million in any 12-month period, </w:t>
            </w:r>
            <w:r w:rsidRPr="00012E22">
              <w:rPr>
                <w:rFonts w:ascii="Utsaah" w:hAnsi="Utsaah" w:cs="Utsaah"/>
                <w:color w:val="4A442A" w:themeColor="background2" w:themeShade="40"/>
                <w:sz w:val="22"/>
                <w:szCs w:val="22"/>
                <w:u w:val="single"/>
              </w:rPr>
              <w:t xml:space="preserve">excluding </w:t>
            </w:r>
            <w:r w:rsidRPr="00012E22">
              <w:rPr>
                <w:rFonts w:ascii="Utsaah" w:hAnsi="Utsaah" w:cs="Utsaah"/>
                <w:color w:val="4A442A" w:themeColor="background2" w:themeShade="40"/>
                <w:sz w:val="22"/>
                <w:szCs w:val="22"/>
              </w:rPr>
              <w:t>funds raised under existing prospectus exemptions for wholesale investors to a max of $5m in total.</w:t>
            </w:r>
          </w:p>
          <w:p w:rsidR="003B55C8" w:rsidRDefault="003B55C8" w:rsidP="001B0D13">
            <w:pPr>
              <w:pStyle w:val="Default"/>
              <w:jc w:val="both"/>
              <w:rPr>
                <w:rFonts w:ascii="Utsaah" w:hAnsi="Utsaah" w:cs="Utsaah"/>
                <w:color w:val="4A442A" w:themeColor="background2" w:themeShade="40"/>
                <w:sz w:val="22"/>
                <w:szCs w:val="22"/>
              </w:rPr>
            </w:pPr>
            <w:r w:rsidRPr="00012E22">
              <w:rPr>
                <w:rFonts w:ascii="Utsaah" w:hAnsi="Utsaah" w:cs="Utsaah"/>
                <w:b/>
                <w:color w:val="4A442A" w:themeColor="background2" w:themeShade="40"/>
                <w:sz w:val="22"/>
                <w:szCs w:val="22"/>
              </w:rPr>
              <w:t>Established companies</w:t>
            </w:r>
            <w:r w:rsidRPr="00012E22">
              <w:rPr>
                <w:rFonts w:ascii="Utsaah" w:hAnsi="Utsaah" w:cs="Utsaah"/>
                <w:color w:val="4A442A" w:themeColor="background2" w:themeShade="40"/>
                <w:sz w:val="22"/>
                <w:szCs w:val="22"/>
              </w:rPr>
              <w:t xml:space="preserve"> - Cap of $5 million in any 12-month period</w:t>
            </w:r>
            <w:r w:rsidRPr="00012E22">
              <w:rPr>
                <w:rFonts w:ascii="Utsaah" w:hAnsi="Utsaah" w:cs="Utsaah"/>
                <w:color w:val="4A442A" w:themeColor="background2" w:themeShade="40"/>
                <w:sz w:val="22"/>
                <w:szCs w:val="22"/>
                <w:u w:val="single"/>
              </w:rPr>
              <w:t>, including</w:t>
            </w:r>
            <w:r w:rsidRPr="00012E22">
              <w:rPr>
                <w:rFonts w:ascii="Utsaah" w:hAnsi="Utsaah" w:cs="Utsaah"/>
                <w:color w:val="4A442A" w:themeColor="background2" w:themeShade="40"/>
                <w:sz w:val="22"/>
                <w:szCs w:val="22"/>
              </w:rPr>
              <w:t xml:space="preserve"> funds raised under existing prospectus exemptions for wholesale investors.</w:t>
            </w:r>
          </w:p>
          <w:p w:rsidR="003B55C8" w:rsidRPr="00012E22" w:rsidRDefault="003B55C8" w:rsidP="001B0D13">
            <w:pPr>
              <w:pStyle w:val="Default"/>
              <w:jc w:val="both"/>
              <w:rPr>
                <w:rFonts w:ascii="Utsaah" w:hAnsi="Utsaah" w:cs="Utsaah"/>
                <w:color w:val="4A442A" w:themeColor="background2" w:themeShade="40"/>
                <w:sz w:val="22"/>
                <w:szCs w:val="22"/>
              </w:rPr>
            </w:pPr>
          </w:p>
        </w:tc>
        <w:tc>
          <w:tcPr>
            <w:tcW w:w="1276" w:type="dxa"/>
          </w:tcPr>
          <w:p w:rsidR="003B55C8" w:rsidRPr="00012E22" w:rsidRDefault="00F43F17"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Twelve</w:t>
            </w:r>
          </w:p>
        </w:tc>
      </w:tr>
      <w:tr w:rsidR="003B55C8" w:rsidTr="003B55C8">
        <w:trPr>
          <w:trHeight w:val="144"/>
        </w:trPr>
        <w:tc>
          <w:tcPr>
            <w:tcW w:w="1741" w:type="dxa"/>
          </w:tcPr>
          <w:p w:rsidR="003B55C8" w:rsidRPr="00012E22" w:rsidRDefault="003B55C8" w:rsidP="003B55C8">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9</w:t>
            </w:r>
          </w:p>
        </w:tc>
        <w:tc>
          <w:tcPr>
            <w:tcW w:w="6174" w:type="dxa"/>
          </w:tcPr>
          <w:p w:rsidR="003B55C8" w:rsidRDefault="003B55C8"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Disclosure requirements - Issuers to have Prescribed (but reduced) disclosure requirements, including a template disclosure document and an Approved Platform Operator (</w:t>
            </w:r>
            <w:r w:rsidRPr="00012E22">
              <w:rPr>
                <w:rFonts w:ascii="Utsaah" w:hAnsi="Utsaah" w:cs="Utsaah"/>
                <w:b/>
                <w:color w:val="4A442A" w:themeColor="background2" w:themeShade="40"/>
                <w:sz w:val="22"/>
                <w:szCs w:val="22"/>
              </w:rPr>
              <w:t>APO</w:t>
            </w:r>
            <w:r w:rsidRPr="00012E22">
              <w:rPr>
                <w:rFonts w:ascii="Utsaah" w:hAnsi="Utsaah" w:cs="Utsaah"/>
                <w:color w:val="4A442A" w:themeColor="background2" w:themeShade="40"/>
                <w:sz w:val="22"/>
                <w:szCs w:val="22"/>
              </w:rPr>
              <w:t>) prefacing Issuer’s offer document with Key Information Page (</w:t>
            </w:r>
            <w:r w:rsidRPr="00012E22">
              <w:rPr>
                <w:rFonts w:ascii="Utsaah" w:hAnsi="Utsaah" w:cs="Utsaah"/>
                <w:b/>
                <w:color w:val="4A442A" w:themeColor="background2" w:themeShade="40"/>
                <w:sz w:val="22"/>
                <w:szCs w:val="22"/>
              </w:rPr>
              <w:t>KIP</w:t>
            </w:r>
            <w:r w:rsidRPr="00012E22">
              <w:rPr>
                <w:rFonts w:ascii="Utsaah" w:hAnsi="Utsaah" w:cs="Utsaah"/>
                <w:color w:val="4A442A" w:themeColor="background2" w:themeShade="40"/>
                <w:sz w:val="22"/>
                <w:szCs w:val="22"/>
              </w:rPr>
              <w:t>) with mandatory matters to be included in KIP by APO as prescribed by APO licensing authority / ASIC.</w:t>
            </w:r>
          </w:p>
          <w:p w:rsidR="003B55C8" w:rsidRPr="00012E22" w:rsidRDefault="003B55C8" w:rsidP="001B0D13">
            <w:pPr>
              <w:jc w:val="both"/>
              <w:rPr>
                <w:rFonts w:ascii="Utsaah" w:hAnsi="Utsaah" w:cs="Utsaah"/>
                <w:color w:val="4A442A" w:themeColor="background2" w:themeShade="40"/>
                <w:sz w:val="22"/>
                <w:szCs w:val="22"/>
              </w:rPr>
            </w:pPr>
          </w:p>
        </w:tc>
        <w:tc>
          <w:tcPr>
            <w:tcW w:w="1276" w:type="dxa"/>
          </w:tcPr>
          <w:p w:rsidR="003B55C8" w:rsidRPr="00012E22" w:rsidRDefault="00746D72" w:rsidP="003B55C8">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T</w:t>
            </w:r>
            <w:r w:rsidR="00F43F17">
              <w:rPr>
                <w:rFonts w:ascii="Utsaah" w:hAnsi="Utsaah" w:cs="Utsaah"/>
                <w:color w:val="4A442A" w:themeColor="background2" w:themeShade="40"/>
                <w:sz w:val="22"/>
                <w:szCs w:val="22"/>
              </w:rPr>
              <w:t>welve</w:t>
            </w:r>
          </w:p>
        </w:tc>
      </w:tr>
    </w:tbl>
    <w:p w:rsidR="00E037DF" w:rsidRDefault="00E037DF"/>
    <w:p w:rsidR="00E037DF" w:rsidRDefault="00E3331C">
      <w:r>
        <w:rPr>
          <w:noProof/>
          <w:lang w:eastAsia="en-AU"/>
        </w:rPr>
        <w:lastRenderedPageBreak/>
        <w:pict>
          <v:shape id="Text Box 10" o:spid="_x0000_s1035" type="#_x0000_t202" style="position:absolute;margin-left:-63.35pt;margin-top:-50.8pt;width:186.05pt;height:76.7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1uQ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" filled="f" stroked="f">
            <v:textbox>
              <w:txbxContent>
                <w:p w:rsidR="0061071A" w:rsidRDefault="0061071A" w:rsidP="00774DF2">
                  <w:pPr>
                    <w:spacing w:after="0"/>
                    <w:rPr>
                      <w:rFonts w:ascii="Adobe Gothic Std B" w:eastAsia="Adobe Gothic Std B" w:hAnsi="Adobe Gothic Std B" w:cs="Arial"/>
                      <w:b/>
                      <w:bCs/>
                      <w:color w:val="FFFFFF" w:themeColor="background1"/>
                      <w:sz w:val="24"/>
                      <w:szCs w:val="24"/>
                    </w:rPr>
                  </w:pPr>
                </w:p>
                <w:p w:rsidR="0061071A" w:rsidRPr="002E68BC" w:rsidRDefault="0061071A" w:rsidP="00774DF2">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ONE (CONT.)</w:t>
                  </w:r>
                </w:p>
                <w:p w:rsidR="0061071A" w:rsidRPr="001C7CF3" w:rsidRDefault="0061071A" w:rsidP="00774DF2">
                  <w:pPr>
                    <w:spacing w:after="0"/>
                    <w:rPr>
                      <w:rFonts w:ascii="Utsaah" w:hAnsi="Utsaah" w:cs="Utsaah"/>
                      <w:color w:val="4A442A" w:themeColor="background2" w:themeShade="40"/>
                      <w:sz w:val="16"/>
                      <w:szCs w:val="16"/>
                    </w:rPr>
                  </w:pPr>
                </w:p>
              </w:txbxContent>
            </v:textbox>
          </v:shape>
        </w:pict>
      </w:r>
      <w:r w:rsidR="00B03260">
        <w:rPr>
          <w:noProof/>
          <w:lang w:eastAsia="en-AU"/>
        </w:rPr>
        <w:drawing>
          <wp:anchor distT="0" distB="0" distL="114300" distR="114300" simplePos="0" relativeHeight="251823104"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7" o:spid="_x0000_s1117" style="position:absolute;margin-left:-.3pt;margin-top:-46.05pt;width:202.5pt;height:76.55pt;z-index:-25162137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">
            <v:shape id="Freeform 756" o:spid="_x0000_s1118"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45MEA&#10;AADaAAAADwAAAGRycy9kb3ducmV2LnhtbERPz2vCMBS+D/wfwhO8DE2VMaQapQiy4WFM68Hjo3m2&#10;1ealJKmt++uXw2DHj+/3ejuYRjzI+dqygvksAUFcWF1zqeCc76dLED4ga2wsk4InedhuRi9rTLXt&#10;+UiPUyhFDGGfooIqhDaV0hcVGfQz2xJH7mqdwRChK6V22Mdw08hFkrxLgzXHhgpb2lVU3E+dUXDr&#10;+iz//sBjcul27vD28zrP8i+lJuMhW4EINIR/8Z/7UyuIW+OVe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OOTBAAAA2gAAAA8AAAAAAAAAAAAAAAAAmAIAAGRycy9kb3du&#10;cmV2LnhtbFBLBQYAAAAABAAEAPUAAACG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tbl>
      <w:tblPr>
        <w:tblStyle w:val="TableGrid"/>
        <w:tblpPr w:leftFromText="180" w:rightFromText="180" w:vertAnchor="page" w:horzAnchor="margin" w:tblpY="2637"/>
        <w:tblW w:w="9191" w:type="dxa"/>
        <w:tblLayout w:type="fixed"/>
        <w:tblLook w:val="04A0" w:firstRow="1" w:lastRow="0" w:firstColumn="1" w:lastColumn="0" w:noHBand="0" w:noVBand="1"/>
      </w:tblPr>
      <w:tblGrid>
        <w:gridCol w:w="1741"/>
        <w:gridCol w:w="6174"/>
        <w:gridCol w:w="1276"/>
      </w:tblGrid>
      <w:tr w:rsidR="00774DF2" w:rsidRPr="00012E22" w:rsidTr="00774DF2">
        <w:trPr>
          <w:trHeight w:val="144"/>
        </w:trPr>
        <w:tc>
          <w:tcPr>
            <w:tcW w:w="1741"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10</w:t>
            </w:r>
          </w:p>
        </w:tc>
        <w:tc>
          <w:tcPr>
            <w:tcW w:w="6174" w:type="dxa"/>
          </w:tcPr>
          <w:p w:rsidR="00774DF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 xml:space="preserve">Intermediaries to be defined as </w:t>
            </w:r>
            <w:r w:rsidRPr="00012E22">
              <w:rPr>
                <w:rFonts w:ascii="Utsaah" w:hAnsi="Utsaah" w:cs="Utsaah"/>
                <w:b/>
                <w:color w:val="4A442A" w:themeColor="background2" w:themeShade="40"/>
                <w:sz w:val="22"/>
                <w:szCs w:val="22"/>
              </w:rPr>
              <w:t xml:space="preserve">Approved Platform Operator (APO) </w:t>
            </w:r>
            <w:r w:rsidRPr="00012E22">
              <w:rPr>
                <w:rFonts w:ascii="Utsaah" w:hAnsi="Utsaah" w:cs="Utsaah"/>
                <w:color w:val="4A442A" w:themeColor="background2" w:themeShade="40"/>
                <w:sz w:val="22"/>
                <w:szCs w:val="22"/>
              </w:rPr>
              <w:t xml:space="preserve">and hold a new class of license issued by ASIC – Approved Platform Operator license and comply with licensing requirements, including membership of an external dispute resolution scheme, and KIP statement responsibility  and post investment reporting channel for CSEF invested companies. </w:t>
            </w:r>
          </w:p>
          <w:p w:rsidR="00774DF2" w:rsidRDefault="00774DF2" w:rsidP="001B0D13">
            <w:pPr>
              <w:jc w:val="both"/>
              <w:rPr>
                <w:rFonts w:ascii="Utsaah" w:hAnsi="Utsaah" w:cs="Utsaah"/>
                <w:color w:val="4A442A" w:themeColor="background2" w:themeShade="40"/>
                <w:sz w:val="22"/>
                <w:szCs w:val="22"/>
              </w:rPr>
            </w:pPr>
          </w:p>
          <w:p w:rsidR="00774DF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An APO license similar to an AFSL i.e. demonstrating  corporate finance expertise, business skills, capital market skills, investment skills, due diligence experien</w:t>
            </w:r>
            <w:r w:rsidR="00994127">
              <w:rPr>
                <w:rFonts w:ascii="Utsaah" w:hAnsi="Utsaah" w:cs="Utsaah"/>
                <w:color w:val="4A442A" w:themeColor="background2" w:themeShade="40"/>
                <w:sz w:val="22"/>
                <w:szCs w:val="22"/>
              </w:rPr>
              <w:t xml:space="preserve">ce, technology advisory skills and </w:t>
            </w:r>
            <w:r w:rsidRPr="00012E22">
              <w:rPr>
                <w:rFonts w:ascii="Utsaah" w:hAnsi="Utsaah" w:cs="Utsaah"/>
                <w:color w:val="4A442A" w:themeColor="background2" w:themeShade="40"/>
                <w:sz w:val="22"/>
                <w:szCs w:val="22"/>
              </w:rPr>
              <w:t>corporations law skills</w:t>
            </w:r>
            <w:r w:rsidR="00994127">
              <w:rPr>
                <w:rFonts w:ascii="Utsaah" w:hAnsi="Utsaah" w:cs="Utsaah"/>
                <w:color w:val="4A442A" w:themeColor="background2" w:themeShade="40"/>
                <w:sz w:val="22"/>
                <w:szCs w:val="22"/>
              </w:rPr>
              <w:t>,</w:t>
            </w:r>
            <w:r w:rsidRPr="00012E22">
              <w:rPr>
                <w:rFonts w:ascii="Utsaah" w:hAnsi="Utsaah" w:cs="Utsaah"/>
                <w:color w:val="4A442A" w:themeColor="background2" w:themeShade="40"/>
                <w:sz w:val="22"/>
                <w:szCs w:val="22"/>
              </w:rPr>
              <w:t xml:space="preserve"> with an ASIC bond of $50k – can be via a bank guarantee and requires PI to be in place within 4 months of being granted an APO license</w:t>
            </w:r>
            <w:r w:rsidR="00757371">
              <w:rPr>
                <w:rFonts w:ascii="Utsaah" w:hAnsi="Utsaah" w:cs="Utsaah"/>
                <w:color w:val="4A442A" w:themeColor="background2" w:themeShade="40"/>
                <w:sz w:val="22"/>
                <w:szCs w:val="22"/>
              </w:rPr>
              <w:t>.</w:t>
            </w:r>
            <w:r w:rsidRPr="00012E22">
              <w:rPr>
                <w:rFonts w:ascii="Utsaah" w:hAnsi="Utsaah" w:cs="Utsaah"/>
                <w:color w:val="4A442A" w:themeColor="background2" w:themeShade="40"/>
                <w:sz w:val="22"/>
                <w:szCs w:val="22"/>
              </w:rPr>
              <w:t xml:space="preserve"> </w:t>
            </w:r>
          </w:p>
          <w:p w:rsidR="00774DF2" w:rsidRPr="00012E22" w:rsidRDefault="00774DF2" w:rsidP="001B0D13">
            <w:pPr>
              <w:jc w:val="both"/>
              <w:rPr>
                <w:rFonts w:ascii="Utsaah" w:hAnsi="Utsaah" w:cs="Utsaah"/>
                <w:color w:val="4A442A" w:themeColor="background2" w:themeShade="40"/>
                <w:sz w:val="22"/>
                <w:szCs w:val="22"/>
              </w:rPr>
            </w:pPr>
          </w:p>
        </w:tc>
        <w:tc>
          <w:tcPr>
            <w:tcW w:w="1276" w:type="dxa"/>
          </w:tcPr>
          <w:p w:rsidR="00774DF2" w:rsidRPr="00012E22" w:rsidRDefault="00774DF2" w:rsidP="00746D7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T</w:t>
            </w:r>
            <w:r w:rsidR="00746D72">
              <w:rPr>
                <w:rFonts w:ascii="Utsaah" w:hAnsi="Utsaah" w:cs="Utsaah"/>
                <w:color w:val="4A442A" w:themeColor="background2" w:themeShade="40"/>
                <w:sz w:val="22"/>
                <w:szCs w:val="22"/>
              </w:rPr>
              <w:t>hirteen</w:t>
            </w:r>
          </w:p>
        </w:tc>
      </w:tr>
      <w:tr w:rsidR="00774DF2" w:rsidRPr="00012E22" w:rsidTr="00774DF2">
        <w:trPr>
          <w:trHeight w:val="144"/>
        </w:trPr>
        <w:tc>
          <w:tcPr>
            <w:tcW w:w="1741"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11</w:t>
            </w:r>
          </w:p>
        </w:tc>
        <w:tc>
          <w:tcPr>
            <w:tcW w:w="6174" w:type="dxa"/>
          </w:tcPr>
          <w:p w:rsidR="00774DF2" w:rsidRPr="00012E2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APOs to undertake certain due diligence checks on the issuer to produce the KIP at front of any issue document. Refer Table 2 for matters needing to be in the KIP.</w:t>
            </w:r>
          </w:p>
          <w:p w:rsidR="00774DF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APO must exercise due care and diligence in signing off a KIP.</w:t>
            </w:r>
          </w:p>
          <w:p w:rsidR="00742A50" w:rsidRPr="00012E22" w:rsidRDefault="00742A50" w:rsidP="001B0D13">
            <w:pPr>
              <w:jc w:val="both"/>
              <w:rPr>
                <w:rFonts w:ascii="Utsaah" w:hAnsi="Utsaah" w:cs="Utsaah"/>
                <w:color w:val="4A442A" w:themeColor="background2" w:themeShade="40"/>
                <w:sz w:val="22"/>
                <w:szCs w:val="22"/>
              </w:rPr>
            </w:pPr>
          </w:p>
        </w:tc>
        <w:tc>
          <w:tcPr>
            <w:tcW w:w="1276"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T</w:t>
            </w:r>
            <w:r w:rsidR="00746D72">
              <w:rPr>
                <w:rFonts w:ascii="Utsaah" w:hAnsi="Utsaah" w:cs="Utsaah"/>
                <w:color w:val="4A442A" w:themeColor="background2" w:themeShade="40"/>
                <w:sz w:val="22"/>
                <w:szCs w:val="22"/>
              </w:rPr>
              <w:t>hirteen</w:t>
            </w:r>
          </w:p>
        </w:tc>
      </w:tr>
      <w:tr w:rsidR="00774DF2" w:rsidRPr="00012E22" w:rsidTr="00774DF2">
        <w:trPr>
          <w:trHeight w:val="144"/>
        </w:trPr>
        <w:tc>
          <w:tcPr>
            <w:tcW w:w="1741"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12</w:t>
            </w:r>
          </w:p>
        </w:tc>
        <w:tc>
          <w:tcPr>
            <w:tcW w:w="6174" w:type="dxa"/>
          </w:tcPr>
          <w:p w:rsidR="00774DF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APO’s are not restricted re fee structures other than an APO cannot hold shares in the Issuer pre-CSEF raising and all fee arrangements must be disclosed</w:t>
            </w:r>
            <w:r w:rsidR="00757371">
              <w:rPr>
                <w:rFonts w:ascii="Utsaah" w:hAnsi="Utsaah" w:cs="Utsaah"/>
                <w:color w:val="4A442A" w:themeColor="background2" w:themeShade="40"/>
                <w:sz w:val="22"/>
                <w:szCs w:val="22"/>
              </w:rPr>
              <w:t>.</w:t>
            </w:r>
          </w:p>
          <w:p w:rsidR="00742A50" w:rsidRPr="00012E22" w:rsidRDefault="00742A50" w:rsidP="001B0D13">
            <w:pPr>
              <w:jc w:val="both"/>
              <w:rPr>
                <w:rFonts w:ascii="Utsaah" w:hAnsi="Utsaah" w:cs="Utsaah"/>
                <w:color w:val="4A442A" w:themeColor="background2" w:themeShade="40"/>
                <w:sz w:val="22"/>
                <w:szCs w:val="22"/>
              </w:rPr>
            </w:pPr>
          </w:p>
        </w:tc>
        <w:tc>
          <w:tcPr>
            <w:tcW w:w="1276"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T</w:t>
            </w:r>
            <w:r w:rsidR="00746D72">
              <w:rPr>
                <w:rFonts w:ascii="Utsaah" w:hAnsi="Utsaah" w:cs="Utsaah"/>
                <w:color w:val="4A442A" w:themeColor="background2" w:themeShade="40"/>
                <w:sz w:val="22"/>
                <w:szCs w:val="22"/>
              </w:rPr>
              <w:t>hirteen</w:t>
            </w:r>
          </w:p>
        </w:tc>
      </w:tr>
      <w:tr w:rsidR="00774DF2" w:rsidRPr="00012E22" w:rsidTr="00774DF2">
        <w:trPr>
          <w:trHeight w:val="144"/>
        </w:trPr>
        <w:tc>
          <w:tcPr>
            <w:tcW w:w="1741"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13</w:t>
            </w:r>
          </w:p>
        </w:tc>
        <w:tc>
          <w:tcPr>
            <w:tcW w:w="6174" w:type="dxa"/>
          </w:tcPr>
          <w:p w:rsidR="00757371"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APO’s are permitted to answer general queries about an Issuer and related document (e.g. clarification of factual matter re a patent status specified in the Issuer document) but not to give investment advice. Facts only</w:t>
            </w:r>
            <w:r w:rsidR="00757371">
              <w:rPr>
                <w:rFonts w:ascii="Utsaah" w:hAnsi="Utsaah" w:cs="Utsaah"/>
                <w:color w:val="4A442A" w:themeColor="background2" w:themeShade="40"/>
                <w:sz w:val="22"/>
                <w:szCs w:val="22"/>
              </w:rPr>
              <w:t>.</w:t>
            </w:r>
          </w:p>
          <w:p w:rsidR="00774DF2" w:rsidRPr="00012E2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 xml:space="preserve"> </w:t>
            </w:r>
          </w:p>
        </w:tc>
        <w:tc>
          <w:tcPr>
            <w:tcW w:w="1276" w:type="dxa"/>
          </w:tcPr>
          <w:p w:rsidR="00774DF2" w:rsidRPr="00012E22" w:rsidRDefault="00746D72" w:rsidP="00774DF2">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Fourteen</w:t>
            </w:r>
          </w:p>
        </w:tc>
      </w:tr>
      <w:tr w:rsidR="00774DF2" w:rsidRPr="00012E22" w:rsidTr="00774DF2">
        <w:trPr>
          <w:trHeight w:val="144"/>
        </w:trPr>
        <w:tc>
          <w:tcPr>
            <w:tcW w:w="1741"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14</w:t>
            </w:r>
          </w:p>
        </w:tc>
        <w:tc>
          <w:tcPr>
            <w:tcW w:w="6174" w:type="dxa"/>
          </w:tcPr>
          <w:p w:rsidR="00774DF2" w:rsidRPr="00012E22" w:rsidRDefault="00774DF2" w:rsidP="001B0D13">
            <w:pPr>
              <w:pStyle w:val="Default"/>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For companies classified as emerging companies then for a retail investor no more than $5,000 per Issuer in any 12 month period and $20,000 in total per 12 month period for emerging CSEF investments.</w:t>
            </w:r>
          </w:p>
          <w:p w:rsidR="00757371" w:rsidRDefault="00757371" w:rsidP="001B0D13">
            <w:pPr>
              <w:pStyle w:val="Default"/>
              <w:jc w:val="both"/>
              <w:rPr>
                <w:rFonts w:ascii="Utsaah" w:hAnsi="Utsaah" w:cs="Utsaah"/>
                <w:color w:val="4A442A" w:themeColor="background2" w:themeShade="40"/>
                <w:sz w:val="22"/>
                <w:szCs w:val="22"/>
              </w:rPr>
            </w:pPr>
          </w:p>
          <w:p w:rsidR="00774DF2" w:rsidRDefault="00774DF2" w:rsidP="001B0D13">
            <w:pPr>
              <w:pStyle w:val="Default"/>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For companies classified as established companies then for a retail investor no more than $20,000 per Issuer in any 12 month period and $50,000 in total per 12 month period for established CSEF investments. Wholesale / s708 / professional investors not covered by any cap – i.e. current s708 applies.</w:t>
            </w:r>
          </w:p>
          <w:p w:rsidR="00757371" w:rsidRPr="00012E22" w:rsidRDefault="00757371" w:rsidP="001B0D13">
            <w:pPr>
              <w:pStyle w:val="Default"/>
              <w:jc w:val="both"/>
              <w:rPr>
                <w:rFonts w:ascii="Utsaah" w:hAnsi="Utsaah" w:cs="Utsaah"/>
                <w:color w:val="4A442A" w:themeColor="background2" w:themeShade="40"/>
                <w:sz w:val="22"/>
                <w:szCs w:val="22"/>
              </w:rPr>
            </w:pPr>
          </w:p>
        </w:tc>
        <w:tc>
          <w:tcPr>
            <w:tcW w:w="1276" w:type="dxa"/>
          </w:tcPr>
          <w:p w:rsidR="00774DF2" w:rsidRPr="00012E22" w:rsidRDefault="00746D72" w:rsidP="00774DF2">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Fourteen</w:t>
            </w:r>
          </w:p>
        </w:tc>
      </w:tr>
      <w:tr w:rsidR="00774DF2" w:rsidRPr="00012E22" w:rsidTr="00774DF2">
        <w:trPr>
          <w:trHeight w:val="1708"/>
        </w:trPr>
        <w:tc>
          <w:tcPr>
            <w:tcW w:w="1741"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15</w:t>
            </w:r>
          </w:p>
        </w:tc>
        <w:tc>
          <w:tcPr>
            <w:tcW w:w="6174" w:type="dxa"/>
          </w:tcPr>
          <w:p w:rsidR="00774DF2" w:rsidRPr="00012E2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Reporting by Issuers to investors (shareholders) post fund raising</w:t>
            </w:r>
          </w:p>
          <w:p w:rsidR="00774DF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 xml:space="preserve">Emerging companies and Established companies to provide investors / all shareholders with regular reports (minimum – quarterly) on status of company, material events (good and bad), new issues, quarterly cash flow report, annual report, change of directors </w:t>
            </w:r>
            <w:r w:rsidR="00994127" w:rsidRPr="00012E22">
              <w:rPr>
                <w:rFonts w:ascii="Utsaah" w:hAnsi="Utsaah" w:cs="Utsaah"/>
                <w:color w:val="4A442A" w:themeColor="background2" w:themeShade="40"/>
                <w:sz w:val="22"/>
                <w:szCs w:val="22"/>
              </w:rPr>
              <w:t>etc.</w:t>
            </w:r>
            <w:r w:rsidRPr="00012E22">
              <w:rPr>
                <w:rFonts w:ascii="Utsaah" w:hAnsi="Utsaah" w:cs="Utsaah"/>
                <w:color w:val="4A442A" w:themeColor="background2" w:themeShade="40"/>
                <w:sz w:val="22"/>
                <w:szCs w:val="22"/>
              </w:rPr>
              <w:t xml:space="preserve"> – similar to ASX listed companies – APO to use best endeavours to ensure the Issuer complies – any non-compliance, APO to inform ASIC or CSEF license authority.  </w:t>
            </w:r>
          </w:p>
          <w:p w:rsidR="00757371" w:rsidRPr="00012E22" w:rsidRDefault="00757371" w:rsidP="001B0D13">
            <w:pPr>
              <w:jc w:val="both"/>
              <w:rPr>
                <w:rFonts w:ascii="Utsaah" w:hAnsi="Utsaah" w:cs="Utsaah"/>
                <w:color w:val="4A442A" w:themeColor="background2" w:themeShade="40"/>
                <w:sz w:val="22"/>
                <w:szCs w:val="22"/>
              </w:rPr>
            </w:pPr>
          </w:p>
        </w:tc>
        <w:tc>
          <w:tcPr>
            <w:tcW w:w="1276" w:type="dxa"/>
          </w:tcPr>
          <w:p w:rsidR="00774DF2" w:rsidRPr="00012E22" w:rsidRDefault="00746D72" w:rsidP="00774DF2">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Fifteen</w:t>
            </w:r>
          </w:p>
        </w:tc>
      </w:tr>
      <w:tr w:rsidR="00774DF2" w:rsidRPr="00012E22" w:rsidTr="00774DF2">
        <w:trPr>
          <w:trHeight w:val="490"/>
        </w:trPr>
        <w:tc>
          <w:tcPr>
            <w:tcW w:w="1741" w:type="dxa"/>
          </w:tcPr>
          <w:p w:rsidR="00774DF2" w:rsidRPr="00012E22" w:rsidRDefault="00774DF2" w:rsidP="00774DF2">
            <w:pPr>
              <w:jc w:val="center"/>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16</w:t>
            </w:r>
          </w:p>
        </w:tc>
        <w:tc>
          <w:tcPr>
            <w:tcW w:w="6174" w:type="dxa"/>
          </w:tcPr>
          <w:p w:rsidR="00774DF2" w:rsidRDefault="00774DF2" w:rsidP="001B0D13">
            <w:pPr>
              <w:jc w:val="both"/>
              <w:rPr>
                <w:rFonts w:ascii="Utsaah" w:hAnsi="Utsaah" w:cs="Utsaah"/>
                <w:color w:val="4A442A" w:themeColor="background2" w:themeShade="40"/>
                <w:sz w:val="22"/>
                <w:szCs w:val="22"/>
              </w:rPr>
            </w:pPr>
            <w:r w:rsidRPr="00012E22">
              <w:rPr>
                <w:rFonts w:ascii="Utsaah" w:hAnsi="Utsaah" w:cs="Utsaah"/>
                <w:color w:val="4A442A" w:themeColor="background2" w:themeShade="40"/>
                <w:sz w:val="22"/>
                <w:szCs w:val="22"/>
              </w:rPr>
              <w:t>ASIC oversight of CSEF via a distinct CSEF cell and APO ongoing licensing, APO reporting requirements monitored by CSEF cell.</w:t>
            </w:r>
          </w:p>
          <w:p w:rsidR="00757371" w:rsidRPr="00012E22" w:rsidRDefault="00757371" w:rsidP="001B0D13">
            <w:pPr>
              <w:jc w:val="both"/>
              <w:rPr>
                <w:rFonts w:ascii="Utsaah" w:hAnsi="Utsaah" w:cs="Utsaah"/>
                <w:color w:val="4A442A" w:themeColor="background2" w:themeShade="40"/>
                <w:sz w:val="22"/>
                <w:szCs w:val="22"/>
              </w:rPr>
            </w:pPr>
          </w:p>
        </w:tc>
        <w:tc>
          <w:tcPr>
            <w:tcW w:w="1276" w:type="dxa"/>
          </w:tcPr>
          <w:p w:rsidR="00774DF2" w:rsidRPr="00012E22" w:rsidRDefault="00746D72" w:rsidP="00774DF2">
            <w:pPr>
              <w:jc w:val="center"/>
              <w:rPr>
                <w:rFonts w:ascii="Utsaah" w:hAnsi="Utsaah" w:cs="Utsaah"/>
                <w:color w:val="4A442A" w:themeColor="background2" w:themeShade="40"/>
                <w:sz w:val="22"/>
                <w:szCs w:val="22"/>
              </w:rPr>
            </w:pPr>
            <w:r>
              <w:rPr>
                <w:rFonts w:ascii="Utsaah" w:hAnsi="Utsaah" w:cs="Utsaah"/>
                <w:color w:val="4A442A" w:themeColor="background2" w:themeShade="40"/>
                <w:sz w:val="22"/>
                <w:szCs w:val="22"/>
              </w:rPr>
              <w:t>Fifteen</w:t>
            </w:r>
          </w:p>
        </w:tc>
      </w:tr>
    </w:tbl>
    <w:p w:rsidR="00E037DF" w:rsidRDefault="00E037DF"/>
    <w:p w:rsidR="00E037DF" w:rsidRDefault="00E037DF"/>
    <w:p w:rsidR="00E037DF" w:rsidRDefault="00E037DF"/>
    <w:p w:rsidR="00E037DF" w:rsidRDefault="00E3331C">
      <w:r>
        <w:rPr>
          <w:noProof/>
          <w:lang w:eastAsia="en-AU"/>
        </w:rPr>
        <w:pict>
          <v:shape id="Text Box 11" o:spid="_x0000_s1036" type="#_x0000_t202" style="position:absolute;margin-left:-4.75pt;margin-top:-.15pt;width:457.8pt;height:56.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MGuA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" filled="f" stroked="f">
            <v:textbox>
              <w:txbxContent>
                <w:p w:rsidR="0061071A" w:rsidRPr="00B56DF4" w:rsidRDefault="0061071A" w:rsidP="00B56DF4">
                  <w:pPr>
                    <w:jc w:val="center"/>
                    <w:rPr>
                      <w:rFonts w:ascii="Utsaah" w:hAnsi="Utsaah" w:cs="Utsaah"/>
                      <w:color w:val="4A442A" w:themeColor="background2" w:themeShade="40"/>
                    </w:rPr>
                  </w:pPr>
                  <w:r w:rsidRPr="00B56DF4">
                    <w:rPr>
                      <w:rFonts w:ascii="Utsaah" w:hAnsi="Utsaah" w:cs="Utsaah"/>
                      <w:color w:val="4A442A" w:themeColor="background2" w:themeShade="40"/>
                    </w:rPr>
                    <w:t>Please refer to Part Three of this Report for more details on each recommendation.</w:t>
                  </w:r>
                </w:p>
              </w:txbxContent>
            </v:textbox>
          </v:shape>
        </w:pict>
      </w:r>
    </w:p>
    <w:p w:rsidR="00E037DF" w:rsidRDefault="00E037DF"/>
    <w:p w:rsidR="00E037DF" w:rsidRDefault="00E3331C">
      <w:r>
        <w:rPr>
          <w:noProof/>
          <w:lang w:eastAsia="en-AU"/>
        </w:rPr>
        <w:lastRenderedPageBreak/>
        <w:pict>
          <v:shape id="Text Box 18" o:spid="_x0000_s1037" type="#_x0000_t202" style="position:absolute;margin-left:-63.75pt;margin-top:-50.95pt;width:195.8pt;height:76.7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" filled="f" stroked="f">
            <v:textbox>
              <w:txbxContent>
                <w:p w:rsidR="0061071A" w:rsidRDefault="0061071A" w:rsidP="00B56DF4">
                  <w:pPr>
                    <w:spacing w:after="0"/>
                    <w:rPr>
                      <w:rFonts w:ascii="Adobe Gothic Std B" w:eastAsia="Adobe Gothic Std B" w:hAnsi="Adobe Gothic Std B" w:cs="Arial"/>
                      <w:b/>
                      <w:bCs/>
                      <w:color w:val="FFFFFF" w:themeColor="background1"/>
                      <w:sz w:val="24"/>
                      <w:szCs w:val="24"/>
                    </w:rPr>
                  </w:pPr>
                </w:p>
                <w:p w:rsidR="0061071A" w:rsidRPr="002E68BC" w:rsidRDefault="0061071A" w:rsidP="00B56DF4">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w:t>
                  </w:r>
                  <w:r>
                    <w:rPr>
                      <w:rFonts w:ascii="Adobe Gothic Std B" w:eastAsia="Adobe Gothic Std B" w:hAnsi="Adobe Gothic Std B" w:cs="Arial"/>
                      <w:b/>
                      <w:bCs/>
                      <w:color w:val="FFFFFF" w:themeColor="background1"/>
                      <w:sz w:val="36"/>
                      <w:szCs w:val="36"/>
                    </w:rPr>
                    <w:tab/>
                    <w:t>PART TWO</w:t>
                  </w:r>
                </w:p>
                <w:p w:rsidR="0061071A" w:rsidRPr="001C7CF3" w:rsidRDefault="0061071A" w:rsidP="00B56DF4">
                  <w:pPr>
                    <w:spacing w:after="0"/>
                    <w:rPr>
                      <w:rFonts w:ascii="Utsaah" w:hAnsi="Utsaah" w:cs="Utsaah"/>
                      <w:color w:val="4A442A" w:themeColor="background2" w:themeShade="40"/>
                      <w:sz w:val="16"/>
                      <w:szCs w:val="16"/>
                    </w:rPr>
                  </w:pPr>
                </w:p>
              </w:txbxContent>
            </v:textbox>
          </v:shape>
        </w:pict>
      </w:r>
      <w:r w:rsidR="001F53D1">
        <w:rPr>
          <w:noProof/>
          <w:lang w:eastAsia="en-AU"/>
        </w:rPr>
        <w:drawing>
          <wp:anchor distT="0" distB="0" distL="114300" distR="114300" simplePos="0" relativeHeight="251825152"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13" o:spid="_x0000_s1115" style="position:absolute;margin-left:0;margin-top:-46.35pt;width:202.5pt;height:76.55pt;z-index:-25161625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">
            <v:shape id="Freeform 756" o:spid="_x0000_s1116"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kQMQA&#10;AADbAAAADwAAAGRycy9kb3ducmV2LnhtbERPTWvCQBC9C/6HZQq9SN0oVUrqKkEQSw9FjYceh+w0&#10;SZudDbsbk/bXdwXB2zze56w2g2nEhZyvLSuYTRMQxIXVNZcKzvnu6QWED8gaG8uk4Jc8bNbj0QpT&#10;bXs+0uUUShFD2KeooAqhTaX0RUUG/dS2xJH7ss5giNCVUjvsY7hp5DxJltJgzbGhwpa2FRU/p84o&#10;+O76LD/s8Zh8dlv3/vw3mWX5h1KPD0P2CiLQEO7im/tNx/kLuP4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h5EDEAAAA2w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E037DF" w:rsidRDefault="00E037DF"/>
    <w:p w:rsidR="00E037DF" w:rsidRDefault="00E3331C">
      <w:r>
        <w:rPr>
          <w:noProof/>
          <w:lang w:eastAsia="en-AU"/>
        </w:rPr>
        <w:pict>
          <v:shape id="Text Box 21" o:spid="_x0000_s1038" type="#_x0000_t202" style="position:absolute;margin-left:10.15pt;margin-top:6.5pt;width:6in;height:659.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tI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" filled="f" stroked="f">
            <v:textbox>
              <w:txbxContent>
                <w:p w:rsidR="0061071A" w:rsidRPr="00C23713" w:rsidRDefault="0061071A" w:rsidP="00C23713">
                  <w:pPr>
                    <w:pStyle w:val="NoSpacing"/>
                    <w:jc w:val="center"/>
                    <w:rPr>
                      <w:rFonts w:ascii="Adobe Gothic Std B" w:eastAsia="Adobe Gothic Std B" w:hAnsi="Adobe Gothic Std B" w:cs="Utsaah"/>
                      <w:color w:val="00B0F0"/>
                      <w:lang w:val="en-AU"/>
                    </w:rPr>
                  </w:pPr>
                  <w:r>
                    <w:rPr>
                      <w:rFonts w:ascii="Adobe Gothic Std B" w:eastAsia="Adobe Gothic Std B" w:hAnsi="Adobe Gothic Std B" w:cs="Utsaah"/>
                      <w:color w:val="00B0F0"/>
                      <w:lang w:val="en-AU"/>
                    </w:rPr>
                    <w:t xml:space="preserve">Part Two - </w:t>
                  </w:r>
                  <w:r w:rsidRPr="00C23713">
                    <w:rPr>
                      <w:rFonts w:ascii="Adobe Gothic Std B" w:eastAsia="Adobe Gothic Std B" w:hAnsi="Adobe Gothic Std B" w:cs="Utsaah"/>
                      <w:color w:val="00B0F0"/>
                      <w:lang w:val="en-AU"/>
                    </w:rPr>
                    <w:t>Equity Capital Markets in Australia with a focus on CSEF</w:t>
                  </w:r>
                </w:p>
                <w:p w:rsidR="0061071A" w:rsidRDefault="0061071A" w:rsidP="00C23713">
                  <w:pPr>
                    <w:pStyle w:val="NoSpacing"/>
                    <w:jc w:val="both"/>
                    <w:rPr>
                      <w:rFonts w:ascii="Utsaah" w:hAnsi="Utsaah" w:cs="Utsaah"/>
                      <w:color w:val="4A442A" w:themeColor="background2" w:themeShade="40"/>
                      <w:lang w:val="en-AU"/>
                    </w:rPr>
                  </w:pPr>
                </w:p>
                <w:p w:rsidR="0061071A" w:rsidRPr="00185844" w:rsidRDefault="0061071A" w:rsidP="00C23713">
                  <w:pPr>
                    <w:pStyle w:val="NoSpacing"/>
                    <w:jc w:val="both"/>
                    <w:rPr>
                      <w:rFonts w:ascii="Utsaah" w:hAnsi="Utsaah" w:cs="Utsaah"/>
                      <w:color w:val="4A442A" w:themeColor="background2" w:themeShade="40"/>
                      <w:lang w:val="en-AU"/>
                    </w:rPr>
                  </w:pPr>
                </w:p>
                <w:p w:rsidR="0061071A" w:rsidRDefault="0061071A" w:rsidP="00C23713">
                  <w:pPr>
                    <w:pStyle w:val="NoSpacing"/>
                    <w:jc w:val="both"/>
                    <w:rPr>
                      <w:rFonts w:ascii="Utsaah" w:hAnsi="Utsaah" w:cs="Utsaah"/>
                      <w:b/>
                      <w:color w:val="00B0F0"/>
                      <w:lang w:val="en-AU"/>
                    </w:rPr>
                  </w:pPr>
                  <w:r w:rsidRPr="00C23713">
                    <w:rPr>
                      <w:rFonts w:ascii="Utsaah" w:hAnsi="Utsaah" w:cs="Utsaah"/>
                      <w:b/>
                      <w:color w:val="00B0F0"/>
                      <w:lang w:val="en-AU"/>
                    </w:rPr>
                    <w:t>Background</w:t>
                  </w:r>
                </w:p>
                <w:p w:rsidR="001F53D1" w:rsidRPr="00C23713" w:rsidRDefault="001F53D1" w:rsidP="00C23713">
                  <w:pPr>
                    <w:pStyle w:val="NoSpacing"/>
                    <w:jc w:val="both"/>
                    <w:rPr>
                      <w:rFonts w:ascii="Utsaah" w:hAnsi="Utsaah" w:cs="Utsaah"/>
                      <w:b/>
                      <w:color w:val="00B0F0"/>
                      <w:lang w:val="en-AU"/>
                    </w:rPr>
                  </w:pPr>
                </w:p>
                <w:p w:rsidR="0061071A" w:rsidRPr="00C23713" w:rsidRDefault="0061071A" w:rsidP="00C23713">
                  <w:pPr>
                    <w:pStyle w:val="NoSpacing"/>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 xml:space="preserve">The senior equity markets, and, principally companies on the ASX platform, are generally considered to operate satisfactorily with good oversight by the ASIC, ASX and related participants (brokers, auditors, proxy groups, research houses, news services </w:t>
                  </w:r>
                  <w:proofErr w:type="spellStart"/>
                  <w:r w:rsidRPr="00C23713">
                    <w:rPr>
                      <w:rFonts w:ascii="Utsaah" w:hAnsi="Utsaah" w:cs="Utsaah"/>
                      <w:color w:val="4A442A" w:themeColor="background2" w:themeShade="40"/>
                      <w:lang w:val="en-AU"/>
                    </w:rPr>
                    <w:t>etc</w:t>
                  </w:r>
                  <w:proofErr w:type="spellEnd"/>
                  <w:r w:rsidRPr="00C23713">
                    <w:rPr>
                      <w:rFonts w:ascii="Utsaah" w:hAnsi="Utsaah" w:cs="Utsaah"/>
                      <w:color w:val="4A442A" w:themeColor="background2" w:themeShade="40"/>
                      <w:lang w:val="en-AU"/>
                    </w:rPr>
                    <w:t xml:space="preserve">). </w:t>
                  </w:r>
                </w:p>
                <w:p w:rsidR="0061071A" w:rsidRPr="00C23713" w:rsidRDefault="0061071A" w:rsidP="00C23713">
                  <w:pPr>
                    <w:pStyle w:val="NoSpacing"/>
                    <w:jc w:val="both"/>
                    <w:rPr>
                      <w:rFonts w:ascii="Utsaah" w:hAnsi="Utsaah" w:cs="Utsaah"/>
                      <w:color w:val="4A442A" w:themeColor="background2" w:themeShade="40"/>
                      <w:lang w:val="en-AU"/>
                    </w:rPr>
                  </w:pPr>
                </w:p>
                <w:p w:rsidR="0061071A" w:rsidRDefault="0061071A" w:rsidP="00C23713">
                  <w:pPr>
                    <w:pStyle w:val="NoSpacing"/>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 xml:space="preserve">There is a formalised and structured market and approach to listing, raising capital, reporting, trading securities etc. Companies are audited, there is usually satisfactory board composition (consistent with the ASX Governance Principles) and investors have a level of confidence in the conduct of the market, ASIC’s oversight, reasonable accuracy on market pricing and the level of liquidity generally in the market notwithstanding ASX is a relatively small market in global terms. </w:t>
                  </w:r>
                </w:p>
                <w:p w:rsidR="0061071A" w:rsidRDefault="0061071A" w:rsidP="00C23713">
                  <w:pPr>
                    <w:pStyle w:val="NoSpacing"/>
                    <w:jc w:val="both"/>
                    <w:rPr>
                      <w:rFonts w:ascii="Utsaah" w:hAnsi="Utsaah" w:cs="Utsaah"/>
                      <w:color w:val="4A442A" w:themeColor="background2" w:themeShade="40"/>
                      <w:lang w:val="en-AU"/>
                    </w:rPr>
                  </w:pPr>
                </w:p>
                <w:p w:rsidR="0061071A" w:rsidRDefault="0061071A" w:rsidP="00C23713">
                  <w:pPr>
                    <w:pStyle w:val="NoSpacing"/>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Nevertheless</w:t>
                  </w:r>
                  <w:r>
                    <w:rPr>
                      <w:rFonts w:ascii="Utsaah" w:hAnsi="Utsaah" w:cs="Utsaah"/>
                      <w:color w:val="4A442A" w:themeColor="background2" w:themeShade="40"/>
                      <w:lang w:val="en-AU"/>
                    </w:rPr>
                    <w:t>,</w:t>
                  </w:r>
                  <w:r w:rsidRPr="00C23713">
                    <w:rPr>
                      <w:rFonts w:ascii="Utsaah" w:hAnsi="Utsaah" w:cs="Utsaah"/>
                      <w:color w:val="4A442A" w:themeColor="background2" w:themeShade="40"/>
                      <w:lang w:val="en-AU"/>
                    </w:rPr>
                    <w:t xml:space="preserve"> of </w:t>
                  </w:r>
                  <w:r>
                    <w:rPr>
                      <w:rFonts w:ascii="Utsaah" w:hAnsi="Utsaah" w:cs="Utsaah"/>
                      <w:color w:val="4A442A" w:themeColor="background2" w:themeShade="40"/>
                      <w:lang w:val="en-AU"/>
                    </w:rPr>
                    <w:t xml:space="preserve">the </w:t>
                  </w:r>
                  <w:r w:rsidRPr="00C23713">
                    <w:rPr>
                      <w:rFonts w:ascii="Utsaah" w:hAnsi="Utsaah" w:cs="Utsaah"/>
                      <w:color w:val="4A442A" w:themeColor="background2" w:themeShade="40"/>
                      <w:lang w:val="en-AU"/>
                    </w:rPr>
                    <w:t xml:space="preserve">2,200 listed companies </w:t>
                  </w:r>
                  <w:r>
                    <w:rPr>
                      <w:rFonts w:ascii="Utsaah" w:hAnsi="Utsaah" w:cs="Utsaah"/>
                      <w:color w:val="4A442A" w:themeColor="background2" w:themeShade="40"/>
                      <w:lang w:val="en-AU"/>
                    </w:rPr>
                    <w:t xml:space="preserve">only </w:t>
                  </w:r>
                  <w:r w:rsidRPr="00C23713">
                    <w:rPr>
                      <w:rFonts w:ascii="Utsaah" w:hAnsi="Utsaah" w:cs="Utsaah"/>
                      <w:color w:val="4A442A" w:themeColor="background2" w:themeShade="40"/>
                      <w:lang w:val="en-AU"/>
                    </w:rPr>
                    <w:t>the S&amp;P/ASX 200 is recognized as the institutional investable benchmark in Australia. The index covers approximately 80% of Australian equity market capitalization leaving approx. 2</w:t>
                  </w:r>
                  <w:r>
                    <w:rPr>
                      <w:rFonts w:ascii="Utsaah" w:hAnsi="Utsaah" w:cs="Utsaah"/>
                      <w:color w:val="4A442A" w:themeColor="background2" w:themeShade="40"/>
                      <w:lang w:val="en-AU"/>
                    </w:rPr>
                    <w:t>,</w:t>
                  </w:r>
                  <w:r w:rsidRPr="00C23713">
                    <w:rPr>
                      <w:rFonts w:ascii="Utsaah" w:hAnsi="Utsaah" w:cs="Utsaah"/>
                      <w:color w:val="4A442A" w:themeColor="background2" w:themeShade="40"/>
                      <w:lang w:val="en-AU"/>
                    </w:rPr>
                    <w:t>000 listed companies often struggling with liquidity</w:t>
                  </w:r>
                  <w:r>
                    <w:rPr>
                      <w:rFonts w:ascii="Utsaah" w:hAnsi="Utsaah" w:cs="Utsaah"/>
                      <w:color w:val="4A442A" w:themeColor="background2" w:themeShade="40"/>
                      <w:lang w:val="en-AU"/>
                    </w:rPr>
                    <w:t>, and further capital raising issues</w:t>
                  </w:r>
                  <w:r w:rsidRPr="00C23713">
                    <w:rPr>
                      <w:rFonts w:ascii="Utsaah" w:hAnsi="Utsaah" w:cs="Utsaah"/>
                      <w:color w:val="4A442A" w:themeColor="background2" w:themeShade="40"/>
                      <w:lang w:val="en-AU"/>
                    </w:rPr>
                    <w:t xml:space="preserve">. Fundamentally if one meets the listing test broadly $3m NTA (Asset Test) or $1m net profit over past 3 years+ $400k net profit over past 12 months (Profit Test) and can attain spread of up to 400 investors @ $2k each then you can list on ASX.  </w:t>
                  </w:r>
                </w:p>
                <w:p w:rsidR="0061071A" w:rsidRDefault="0061071A" w:rsidP="00C23713">
                  <w:pPr>
                    <w:pStyle w:val="NoSpacing"/>
                    <w:jc w:val="both"/>
                    <w:rPr>
                      <w:rFonts w:ascii="Utsaah" w:hAnsi="Utsaah" w:cs="Utsaah"/>
                      <w:color w:val="4A442A" w:themeColor="background2" w:themeShade="40"/>
                      <w:lang w:val="en-AU"/>
                    </w:rPr>
                  </w:pPr>
                </w:p>
                <w:p w:rsidR="0061071A" w:rsidRDefault="0061071A" w:rsidP="00C23713">
                  <w:pPr>
                    <w:pStyle w:val="NoSpacing"/>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Whilst some commentators would</w:t>
                  </w:r>
                  <w:r>
                    <w:rPr>
                      <w:rFonts w:ascii="Utsaah" w:hAnsi="Utsaah" w:cs="Utsaah"/>
                      <w:color w:val="4A442A" w:themeColor="background2" w:themeShade="40"/>
                      <w:lang w:val="en-AU"/>
                    </w:rPr>
                    <w:t xml:space="preserve"> argue this leads to many micro-</w:t>
                  </w:r>
                  <w:r w:rsidRPr="00C23713">
                    <w:rPr>
                      <w:rFonts w:ascii="Utsaah" w:hAnsi="Utsaah" w:cs="Utsaah"/>
                      <w:color w:val="4A442A" w:themeColor="background2" w:themeShade="40"/>
                      <w:lang w:val="en-AU"/>
                    </w:rPr>
                    <w:t>cap “</w:t>
                  </w:r>
                  <w:proofErr w:type="spellStart"/>
                  <w:r w:rsidRPr="00C23713">
                    <w:rPr>
                      <w:rFonts w:ascii="Utsaah" w:hAnsi="Utsaah" w:cs="Utsaah"/>
                      <w:color w:val="4A442A" w:themeColor="background2" w:themeShade="40"/>
                      <w:lang w:val="en-AU"/>
                    </w:rPr>
                    <w:t>cray</w:t>
                  </w:r>
                  <w:proofErr w:type="spellEnd"/>
                  <w:r w:rsidRPr="00C23713">
                    <w:rPr>
                      <w:rFonts w:ascii="Utsaah" w:hAnsi="Utsaah" w:cs="Utsaah"/>
                      <w:color w:val="4A442A" w:themeColor="background2" w:themeShade="40"/>
                      <w:lang w:val="en-AU"/>
                    </w:rPr>
                    <w:t xml:space="preserve"> pot” companies (easy to get into hard to get out) it has been seen as somewhat of a venture capital platform for such small (ASX listed) companies given the low entry hurdles. Other countries have junior exchanges / technology boards etc. specifically to separate and stratify such companies and ASX did try a Second Board Market in 1999 with the reason for its demise being mainly lack of liquidity.</w:t>
                  </w:r>
                  <w:r w:rsidRPr="00185844">
                    <w:rPr>
                      <w:rFonts w:ascii="Utsaah" w:hAnsi="Utsaah" w:cs="Utsaah"/>
                      <w:color w:val="4A442A" w:themeColor="background2" w:themeShade="40"/>
                      <w:lang w:val="en-AU"/>
                    </w:rPr>
                    <w:t xml:space="preserve"> </w:t>
                  </w:r>
                </w:p>
                <w:p w:rsidR="0061071A" w:rsidRDefault="0061071A" w:rsidP="00C23713">
                  <w:pPr>
                    <w:pStyle w:val="NoSpacing"/>
                    <w:jc w:val="both"/>
                    <w:rPr>
                      <w:rFonts w:ascii="Utsaah" w:hAnsi="Utsaah" w:cs="Utsaah"/>
                      <w:color w:val="4A442A" w:themeColor="background2" w:themeShade="40"/>
                      <w:lang w:val="en-AU"/>
                    </w:rPr>
                  </w:pPr>
                </w:p>
                <w:p w:rsidR="0061071A" w:rsidRDefault="0061071A" w:rsidP="00C23713">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By contrast, i</w:t>
                  </w:r>
                  <w:r w:rsidRPr="00C23713">
                    <w:rPr>
                      <w:rFonts w:ascii="Utsaah" w:hAnsi="Utsaah" w:cs="Utsaah"/>
                      <w:color w:val="4A442A" w:themeColor="background2" w:themeShade="40"/>
                      <w:lang w:val="en-AU"/>
                    </w:rPr>
                    <w:t>f one looks at the unlisted (private/SME) sector, it is a less capital efficient environment mainly due to:</w:t>
                  </w:r>
                </w:p>
                <w:p w:rsidR="0061071A" w:rsidRPr="00C23713" w:rsidRDefault="0061071A" w:rsidP="00C23713">
                  <w:pPr>
                    <w:pStyle w:val="NoSpacing"/>
                    <w:jc w:val="both"/>
                    <w:rPr>
                      <w:rFonts w:ascii="Utsaah" w:hAnsi="Utsaah" w:cs="Utsaah"/>
                      <w:color w:val="4A442A" w:themeColor="background2" w:themeShade="40"/>
                      <w:lang w:val="en-AU"/>
                    </w:rPr>
                  </w:pPr>
                </w:p>
                <w:p w:rsidR="0061071A" w:rsidRDefault="0061071A" w:rsidP="00C16ED9">
                  <w:pPr>
                    <w:pStyle w:val="NoSpacing"/>
                    <w:numPr>
                      <w:ilvl w:val="0"/>
                      <w:numId w:val="1"/>
                    </w:numPr>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 xml:space="preserve">Many </w:t>
                  </w:r>
                  <w:proofErr w:type="spellStart"/>
                  <w:r>
                    <w:rPr>
                      <w:rFonts w:ascii="Utsaah" w:hAnsi="Utsaah" w:cs="Utsaah"/>
                      <w:color w:val="4A442A" w:themeColor="background2" w:themeShade="40"/>
                      <w:lang w:val="en-AU"/>
                    </w:rPr>
                    <w:t>start</w:t>
                  </w:r>
                  <w:r w:rsidRPr="00C23713">
                    <w:rPr>
                      <w:rFonts w:ascii="Utsaah" w:hAnsi="Utsaah" w:cs="Utsaah"/>
                      <w:color w:val="4A442A" w:themeColor="background2" w:themeShade="40"/>
                      <w:lang w:val="en-AU"/>
                    </w:rPr>
                    <w:t>ups</w:t>
                  </w:r>
                  <w:proofErr w:type="spellEnd"/>
                  <w:r w:rsidRPr="00C23713">
                    <w:rPr>
                      <w:rFonts w:ascii="Utsaah" w:hAnsi="Utsaah" w:cs="Utsaah"/>
                      <w:color w:val="4A442A" w:themeColor="background2" w:themeShade="40"/>
                      <w:lang w:val="en-AU"/>
                    </w:rPr>
                    <w:t xml:space="preserve"> or small businesses choose to operate in structures such as sole traders, partnerships, trusts</w:t>
                  </w:r>
                  <w:r>
                    <w:rPr>
                      <w:rFonts w:ascii="Utsaah" w:hAnsi="Utsaah" w:cs="Utsaah"/>
                      <w:color w:val="4A442A" w:themeColor="background2" w:themeShade="40"/>
                      <w:lang w:val="en-AU"/>
                    </w:rPr>
                    <w:t xml:space="preserve"> </w:t>
                  </w:r>
                </w:p>
                <w:p w:rsidR="0061071A" w:rsidRDefault="0061071A" w:rsidP="00C16ED9">
                  <w:pPr>
                    <w:pStyle w:val="NoSpacing"/>
                    <w:ind w:left="720"/>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(family / unit), Pty Ltd companies etc. and often rely on family and friends to establish and grow the business</w:t>
                  </w:r>
                  <w:r>
                    <w:rPr>
                      <w:rFonts w:ascii="Utsaah" w:hAnsi="Utsaah" w:cs="Utsaah"/>
                      <w:color w:val="4A442A" w:themeColor="background2" w:themeShade="40"/>
                      <w:lang w:val="en-AU"/>
                    </w:rPr>
                    <w:t>.</w:t>
                  </w:r>
                </w:p>
                <w:p w:rsidR="0061071A" w:rsidRDefault="0061071A" w:rsidP="00C16ED9">
                  <w:pPr>
                    <w:pStyle w:val="NoSpacing"/>
                    <w:ind w:left="720"/>
                    <w:jc w:val="both"/>
                    <w:rPr>
                      <w:rFonts w:ascii="Utsaah" w:hAnsi="Utsaah" w:cs="Utsaah"/>
                      <w:color w:val="4A442A" w:themeColor="background2" w:themeShade="40"/>
                      <w:lang w:val="en-AU"/>
                    </w:rPr>
                  </w:pPr>
                </w:p>
                <w:p w:rsidR="0061071A" w:rsidRDefault="0061071A" w:rsidP="00C16ED9">
                  <w:pPr>
                    <w:pStyle w:val="NoSpacing"/>
                    <w:numPr>
                      <w:ilvl w:val="0"/>
                      <w:numId w:val="1"/>
                    </w:numPr>
                    <w:jc w:val="both"/>
                    <w:rPr>
                      <w:rFonts w:ascii="Utsaah" w:hAnsi="Utsaah" w:cs="Utsaah"/>
                      <w:color w:val="4A442A" w:themeColor="background2" w:themeShade="40"/>
                      <w:lang w:val="en-AU"/>
                    </w:rPr>
                  </w:pPr>
                  <w:r w:rsidRPr="00C23713">
                    <w:rPr>
                      <w:rFonts w:ascii="Utsaah" w:hAnsi="Utsaah" w:cs="Utsaah"/>
                      <w:color w:val="4A442A" w:themeColor="background2" w:themeShade="40"/>
                      <w:lang w:val="en-AU"/>
                    </w:rPr>
                    <w:t>The above entities often source bank debt via personal security (mortgage on their personal residence), personal guarantees, invoice financing etc. and there is no real separation between the management of the business and the ownership – which is often because the owner/s and the management team are the same</w:t>
                  </w:r>
                  <w:r>
                    <w:rPr>
                      <w:rFonts w:ascii="Utsaah" w:hAnsi="Utsaah" w:cs="Utsaah"/>
                      <w:color w:val="4A442A" w:themeColor="background2" w:themeShade="40"/>
                      <w:lang w:val="en-AU"/>
                    </w:rPr>
                    <w:t>.</w:t>
                  </w:r>
                </w:p>
                <w:p w:rsidR="0061071A" w:rsidRDefault="0061071A" w:rsidP="00C16ED9">
                  <w:pPr>
                    <w:pStyle w:val="NoSpacing"/>
                    <w:ind w:left="720"/>
                    <w:jc w:val="both"/>
                    <w:rPr>
                      <w:rFonts w:ascii="Utsaah" w:hAnsi="Utsaah" w:cs="Utsaah"/>
                      <w:color w:val="4A442A" w:themeColor="background2" w:themeShade="40"/>
                      <w:lang w:val="en-AU"/>
                    </w:rPr>
                  </w:pPr>
                </w:p>
                <w:p w:rsidR="0061071A" w:rsidRDefault="0061071A" w:rsidP="00C23713">
                  <w:pPr>
                    <w:pStyle w:val="NoSpacing"/>
                    <w:numPr>
                      <w:ilvl w:val="0"/>
                      <w:numId w:val="1"/>
                    </w:numPr>
                    <w:jc w:val="both"/>
                    <w:rPr>
                      <w:rFonts w:ascii="Utsaah" w:hAnsi="Utsaah" w:cs="Utsaah"/>
                      <w:color w:val="4A442A" w:themeColor="background2" w:themeShade="40"/>
                      <w:lang w:val="en-AU"/>
                    </w:rPr>
                  </w:pPr>
                  <w:r w:rsidRPr="00C16ED9">
                    <w:rPr>
                      <w:rFonts w:ascii="Utsaah" w:hAnsi="Utsaah" w:cs="Utsaah"/>
                      <w:color w:val="4A442A" w:themeColor="background2" w:themeShade="40"/>
                      <w:lang w:val="en-AU"/>
                    </w:rPr>
                    <w:t xml:space="preserve">For a </w:t>
                  </w:r>
                  <w:proofErr w:type="spellStart"/>
                  <w:r w:rsidRPr="00C16ED9">
                    <w:rPr>
                      <w:rFonts w:ascii="Utsaah" w:hAnsi="Utsaah" w:cs="Utsaah"/>
                      <w:color w:val="4A442A" w:themeColor="background2" w:themeShade="40"/>
                      <w:lang w:val="en-AU"/>
                    </w:rPr>
                    <w:t>startup</w:t>
                  </w:r>
                  <w:proofErr w:type="spellEnd"/>
                  <w:r w:rsidRPr="00C16ED9">
                    <w:rPr>
                      <w:rFonts w:ascii="Utsaah" w:hAnsi="Utsaah" w:cs="Utsaah"/>
                      <w:color w:val="4A442A" w:themeColor="background2" w:themeShade="40"/>
                      <w:lang w:val="en-AU"/>
                    </w:rPr>
                    <w:t xml:space="preserve"> or early stage business, there may be people willing to back the venture by contributing small amounts of capital but the current Companies Act environment makes it difficult to facilitate / capturing this type of funding</w:t>
                  </w:r>
                  <w:r>
                    <w:rPr>
                      <w:rFonts w:ascii="Utsaah" w:hAnsi="Utsaah" w:cs="Utsaah"/>
                      <w:color w:val="4A442A" w:themeColor="background2" w:themeShade="40"/>
                      <w:lang w:val="en-AU"/>
                    </w:rPr>
                    <w:t>.</w:t>
                  </w:r>
                </w:p>
                <w:p w:rsidR="0061071A" w:rsidRDefault="0061071A" w:rsidP="00C16ED9">
                  <w:pPr>
                    <w:pStyle w:val="NoSpacing"/>
                    <w:ind w:left="720"/>
                    <w:jc w:val="both"/>
                    <w:rPr>
                      <w:rFonts w:ascii="Utsaah" w:hAnsi="Utsaah" w:cs="Utsaah"/>
                      <w:color w:val="4A442A" w:themeColor="background2" w:themeShade="40"/>
                      <w:lang w:val="en-AU"/>
                    </w:rPr>
                  </w:pPr>
                </w:p>
                <w:p w:rsidR="0061071A" w:rsidRDefault="0061071A" w:rsidP="00C16ED9">
                  <w:pPr>
                    <w:pStyle w:val="NoSpacing"/>
                    <w:numPr>
                      <w:ilvl w:val="0"/>
                      <w:numId w:val="1"/>
                    </w:numPr>
                    <w:jc w:val="both"/>
                    <w:rPr>
                      <w:rFonts w:ascii="Utsaah" w:hAnsi="Utsaah" w:cs="Utsaah"/>
                      <w:color w:val="4A442A" w:themeColor="background2" w:themeShade="40"/>
                      <w:lang w:val="en-AU"/>
                    </w:rPr>
                  </w:pPr>
                  <w:r w:rsidRPr="00C16ED9">
                    <w:rPr>
                      <w:rFonts w:ascii="Utsaah" w:hAnsi="Utsaah" w:cs="Utsaah"/>
                      <w:color w:val="4A442A" w:themeColor="background2" w:themeShade="40"/>
                      <w:lang w:val="en-AU"/>
                    </w:rPr>
                    <w:t>For a</w:t>
                  </w:r>
                  <w:r>
                    <w:rPr>
                      <w:rFonts w:ascii="Utsaah" w:hAnsi="Utsaah" w:cs="Utsaah"/>
                      <w:color w:val="4A442A" w:themeColor="background2" w:themeShade="40"/>
                      <w:lang w:val="en-AU"/>
                    </w:rPr>
                    <w:t>n</w:t>
                  </w:r>
                  <w:r w:rsidRPr="00C16ED9">
                    <w:rPr>
                      <w:rFonts w:ascii="Utsaah" w:hAnsi="Utsaah" w:cs="Utsaah"/>
                      <w:color w:val="4A442A" w:themeColor="background2" w:themeShade="40"/>
                      <w:lang w:val="en-AU"/>
                    </w:rPr>
                    <w:t xml:space="preserve"> SME </w:t>
                  </w:r>
                  <w:r>
                    <w:rPr>
                      <w:rFonts w:ascii="Utsaah" w:hAnsi="Utsaah" w:cs="Utsaah"/>
                      <w:color w:val="4A442A" w:themeColor="background2" w:themeShade="40"/>
                      <w:lang w:val="en-AU"/>
                    </w:rPr>
                    <w:t xml:space="preserve">that </w:t>
                  </w:r>
                  <w:r w:rsidRPr="00C16ED9">
                    <w:rPr>
                      <w:rFonts w:ascii="Utsaah" w:hAnsi="Utsaah" w:cs="Utsaah"/>
                      <w:color w:val="4A442A" w:themeColor="background2" w:themeShade="40"/>
                      <w:lang w:val="en-AU"/>
                    </w:rPr>
                    <w:t>needs expansion capital, or capital to sit alongside a bank finance approval or a matching requirement for an Entrepreneur Infrastructure Program grant of up to $1m, it is difficult to attract such funding given their structure may be Pty Ltd and Companies Act restrictions on sour</w:t>
                  </w:r>
                  <w:r>
                    <w:rPr>
                      <w:rFonts w:ascii="Utsaah" w:hAnsi="Utsaah" w:cs="Utsaah"/>
                      <w:color w:val="4A442A" w:themeColor="background2" w:themeShade="40"/>
                      <w:lang w:val="en-AU"/>
                    </w:rPr>
                    <w:t>c</w:t>
                  </w:r>
                  <w:r w:rsidRPr="00C16ED9">
                    <w:rPr>
                      <w:rFonts w:ascii="Utsaah" w:hAnsi="Utsaah" w:cs="Utsaah"/>
                      <w:color w:val="4A442A" w:themeColor="background2" w:themeShade="40"/>
                      <w:lang w:val="en-AU"/>
                    </w:rPr>
                    <w:t>ing equity from a wide audience is problematic</w:t>
                  </w:r>
                  <w:r>
                    <w:rPr>
                      <w:rFonts w:ascii="Utsaah" w:hAnsi="Utsaah" w:cs="Utsaah"/>
                      <w:color w:val="4A442A" w:themeColor="background2" w:themeShade="40"/>
                      <w:lang w:val="en-AU"/>
                    </w:rPr>
                    <w:t>.</w:t>
                  </w:r>
                </w:p>
                <w:p w:rsidR="0061071A" w:rsidRDefault="0061071A" w:rsidP="00C16ED9">
                  <w:pPr>
                    <w:pStyle w:val="NoSpacing"/>
                    <w:ind w:left="360"/>
                    <w:jc w:val="both"/>
                    <w:rPr>
                      <w:rFonts w:ascii="Utsaah" w:hAnsi="Utsaah" w:cs="Utsaah"/>
                      <w:color w:val="4A442A" w:themeColor="background2" w:themeShade="40"/>
                      <w:lang w:val="en-AU"/>
                    </w:rPr>
                  </w:pPr>
                </w:p>
                <w:p w:rsidR="0061071A" w:rsidRDefault="0061071A" w:rsidP="00C16ED9">
                  <w:pPr>
                    <w:pStyle w:val="NoSpacing"/>
                    <w:numPr>
                      <w:ilvl w:val="0"/>
                      <w:numId w:val="1"/>
                    </w:numPr>
                    <w:jc w:val="both"/>
                    <w:rPr>
                      <w:rFonts w:ascii="Utsaah" w:hAnsi="Utsaah" w:cs="Utsaah"/>
                      <w:color w:val="4A442A" w:themeColor="background2" w:themeShade="40"/>
                      <w:lang w:val="en-AU"/>
                    </w:rPr>
                  </w:pPr>
                  <w:r w:rsidRPr="00C16ED9">
                    <w:rPr>
                      <w:rFonts w:ascii="Utsaah" w:hAnsi="Utsaah" w:cs="Utsaah"/>
                      <w:color w:val="4A442A" w:themeColor="background2" w:themeShade="40"/>
                      <w:lang w:val="en-AU"/>
                    </w:rPr>
                    <w:t xml:space="preserve">Additionally, many </w:t>
                  </w:r>
                  <w:proofErr w:type="spellStart"/>
                  <w:r w:rsidRPr="00C16ED9">
                    <w:rPr>
                      <w:rFonts w:ascii="Utsaah" w:hAnsi="Utsaah" w:cs="Utsaah"/>
                      <w:color w:val="4A442A" w:themeColor="background2" w:themeShade="40"/>
                      <w:lang w:val="en-AU"/>
                    </w:rPr>
                    <w:t>startups</w:t>
                  </w:r>
                  <w:proofErr w:type="spellEnd"/>
                  <w:r w:rsidRPr="00C16ED9">
                    <w:rPr>
                      <w:rFonts w:ascii="Utsaah" w:hAnsi="Utsaah" w:cs="Utsaah"/>
                      <w:color w:val="4A442A" w:themeColor="background2" w:themeShade="40"/>
                      <w:lang w:val="en-AU"/>
                    </w:rPr>
                    <w:t xml:space="preserve"> and SME’s do not have the experience in preparing a blueprint for their business, a business plan, detailed forecast, reporting regime to external investors, valuation expertise, documentation production, access to patent attorneys, lawyers, tax experts etc. to become investment ready. </w:t>
                  </w:r>
                </w:p>
                <w:p w:rsidR="0061071A" w:rsidRDefault="0061071A" w:rsidP="00C16ED9">
                  <w:pPr>
                    <w:pStyle w:val="NoSpacing"/>
                    <w:ind w:left="720"/>
                    <w:jc w:val="both"/>
                    <w:rPr>
                      <w:rFonts w:ascii="Utsaah" w:hAnsi="Utsaah" w:cs="Utsaah"/>
                      <w:color w:val="4A442A" w:themeColor="background2" w:themeShade="40"/>
                      <w:lang w:val="en-AU"/>
                    </w:rPr>
                  </w:pPr>
                </w:p>
                <w:p w:rsidR="0061071A" w:rsidRPr="00185844" w:rsidRDefault="0061071A" w:rsidP="00C16ED9">
                  <w:pPr>
                    <w:pStyle w:val="NoSpacing"/>
                    <w:ind w:left="720"/>
                    <w:jc w:val="both"/>
                    <w:rPr>
                      <w:rFonts w:ascii="Utsaah" w:hAnsi="Utsaah" w:cs="Utsaah"/>
                      <w:color w:val="4A442A" w:themeColor="background2" w:themeShade="40"/>
                      <w:lang w:val="en-AU"/>
                    </w:rPr>
                  </w:pPr>
                  <w:r w:rsidRPr="00C16ED9">
                    <w:rPr>
                      <w:rFonts w:ascii="Utsaah" w:hAnsi="Utsaah" w:cs="Utsaah"/>
                      <w:color w:val="4A442A" w:themeColor="background2" w:themeShade="40"/>
                      <w:lang w:val="en-AU"/>
                    </w:rPr>
                    <w:t xml:space="preserve">Whilst business advisers can assist often for a fee, it does not help the </w:t>
                  </w:r>
                  <w:proofErr w:type="spellStart"/>
                  <w:r w:rsidRPr="00C16ED9">
                    <w:rPr>
                      <w:rFonts w:ascii="Utsaah" w:hAnsi="Utsaah" w:cs="Utsaah"/>
                      <w:color w:val="4A442A" w:themeColor="background2" w:themeShade="40"/>
                      <w:lang w:val="en-AU"/>
                    </w:rPr>
                    <w:t>startup</w:t>
                  </w:r>
                  <w:proofErr w:type="spellEnd"/>
                  <w:r w:rsidRPr="00C16ED9">
                    <w:rPr>
                      <w:rFonts w:ascii="Utsaah" w:hAnsi="Utsaah" w:cs="Utsaah"/>
                      <w:color w:val="4A442A" w:themeColor="background2" w:themeShade="40"/>
                      <w:lang w:val="en-AU"/>
                    </w:rPr>
                    <w:t xml:space="preserve"> / SME in mobilising the equity capital and dealing with the new investors overlaid with a strong governance platform.</w:t>
                  </w:r>
                </w:p>
              </w:txbxContent>
            </v:textbox>
          </v:shape>
        </w:pict>
      </w:r>
    </w:p>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3331C">
      <w:r>
        <w:rPr>
          <w:noProof/>
          <w:lang w:eastAsia="en-AU"/>
        </w:rPr>
        <w:lastRenderedPageBreak/>
        <w:pict>
          <v:shape id="Text Box 22" o:spid="_x0000_s1039" type="#_x0000_t202" style="position:absolute;margin-left:10.85pt;margin-top:-26.5pt;width:6in;height:729.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a4vAIAAMQ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" filled="f" stroked="f">
            <v:textbox>
              <w:txbxContent>
                <w:p w:rsidR="0061071A" w:rsidRDefault="0061071A" w:rsidP="000D11AC">
                  <w:pPr>
                    <w:pStyle w:val="NoSpacing"/>
                    <w:ind w:left="360"/>
                    <w:jc w:val="both"/>
                    <w:rPr>
                      <w:rFonts w:ascii="Utsaah" w:hAnsi="Utsaah" w:cs="Utsaah"/>
                      <w:color w:val="4A442A" w:themeColor="background2" w:themeShade="40"/>
                      <w:lang w:val="en-AU"/>
                    </w:rPr>
                  </w:pPr>
                </w:p>
                <w:p w:rsidR="0061071A" w:rsidRDefault="0061071A" w:rsidP="000D11AC">
                  <w:pPr>
                    <w:pStyle w:val="NoSpacing"/>
                    <w:numPr>
                      <w:ilvl w:val="0"/>
                      <w:numId w:val="1"/>
                    </w:numPr>
                    <w:jc w:val="both"/>
                    <w:rPr>
                      <w:rFonts w:ascii="Utsaah" w:hAnsi="Utsaah" w:cs="Utsaah"/>
                      <w:color w:val="4A442A" w:themeColor="background2" w:themeShade="40"/>
                      <w:lang w:val="en-AU"/>
                    </w:rPr>
                  </w:pPr>
                  <w:r w:rsidRPr="000D11AC">
                    <w:rPr>
                      <w:rFonts w:ascii="Utsaah" w:hAnsi="Utsaah" w:cs="Utsaah"/>
                      <w:color w:val="4A442A" w:themeColor="background2" w:themeShade="40"/>
                      <w:lang w:val="en-AU"/>
                    </w:rPr>
                    <w:t>Investors are locked in – with no structured secondary market and lack of an Australian Market License (AML) custodian on board, investors are mostly locked into an entity often as a minority shareholder with little reporting requirements and no regular member meetings, meaning their only real exit is when the investee company is sold and shareholders’ funds returned</w:t>
                  </w:r>
                  <w:r>
                    <w:rPr>
                      <w:rFonts w:ascii="Utsaah" w:hAnsi="Utsaah" w:cs="Utsaah"/>
                      <w:color w:val="4A442A" w:themeColor="background2" w:themeShade="40"/>
                      <w:lang w:val="en-AU"/>
                    </w:rPr>
                    <w:t>.</w:t>
                  </w:r>
                </w:p>
                <w:p w:rsidR="0061071A" w:rsidRPr="000D11AC" w:rsidRDefault="0061071A" w:rsidP="000D11AC">
                  <w:pPr>
                    <w:pStyle w:val="NoSpacing"/>
                    <w:ind w:left="720"/>
                    <w:jc w:val="both"/>
                    <w:rPr>
                      <w:rFonts w:ascii="Utsaah" w:hAnsi="Utsaah" w:cs="Utsaah"/>
                      <w:color w:val="4A442A" w:themeColor="background2" w:themeShade="40"/>
                      <w:lang w:val="en-AU"/>
                    </w:rPr>
                  </w:pPr>
                </w:p>
                <w:p w:rsidR="0061071A" w:rsidRDefault="0061071A" w:rsidP="000D11AC">
                  <w:pPr>
                    <w:pStyle w:val="NoSpacing"/>
                    <w:numPr>
                      <w:ilvl w:val="0"/>
                      <w:numId w:val="1"/>
                    </w:numPr>
                    <w:jc w:val="both"/>
                    <w:rPr>
                      <w:rFonts w:ascii="Utsaah" w:hAnsi="Utsaah" w:cs="Utsaah"/>
                      <w:color w:val="4A442A" w:themeColor="background2" w:themeShade="40"/>
                      <w:lang w:val="en-AU"/>
                    </w:rPr>
                  </w:pPr>
                  <w:r w:rsidRPr="000D11AC">
                    <w:rPr>
                      <w:rFonts w:ascii="Utsaah" w:hAnsi="Utsaah" w:cs="Utsaah"/>
                      <w:color w:val="4A442A" w:themeColor="background2" w:themeShade="40"/>
                      <w:lang w:val="en-AU"/>
                    </w:rPr>
                    <w:t>The majority of Venture Capital (VC) firms and Private Equity (PE) funds have a minimum investment threshold of $5m and often</w:t>
                  </w:r>
                  <w:r>
                    <w:rPr>
                      <w:rFonts w:ascii="Utsaah" w:hAnsi="Utsaah" w:cs="Utsaah"/>
                      <w:color w:val="4A442A" w:themeColor="background2" w:themeShade="40"/>
                      <w:lang w:val="en-AU"/>
                    </w:rPr>
                    <w:t>,</w:t>
                  </w:r>
                  <w:r w:rsidRPr="000D11AC">
                    <w:rPr>
                      <w:rFonts w:ascii="Utsaah" w:hAnsi="Utsaah" w:cs="Utsaah"/>
                      <w:color w:val="4A442A" w:themeColor="background2" w:themeShade="40"/>
                      <w:lang w:val="en-AU"/>
                    </w:rPr>
                    <w:t xml:space="preserve"> for established profitable companies</w:t>
                  </w:r>
                  <w:r>
                    <w:rPr>
                      <w:rFonts w:ascii="Utsaah" w:hAnsi="Utsaah" w:cs="Utsaah"/>
                      <w:color w:val="4A442A" w:themeColor="background2" w:themeShade="40"/>
                      <w:lang w:val="en-AU"/>
                    </w:rPr>
                    <w:t>,</w:t>
                  </w:r>
                  <w:r w:rsidRPr="000D11AC">
                    <w:rPr>
                      <w:rFonts w:ascii="Utsaah" w:hAnsi="Utsaah" w:cs="Utsaah"/>
                      <w:color w:val="4A442A" w:themeColor="background2" w:themeShade="40"/>
                      <w:lang w:val="en-AU"/>
                    </w:rPr>
                    <w:t xml:space="preserve"> this threshold takes the</w:t>
                  </w:r>
                  <w:r>
                    <w:rPr>
                      <w:rFonts w:ascii="Utsaah" w:hAnsi="Utsaah" w:cs="Utsaah"/>
                      <w:color w:val="4A442A" w:themeColor="background2" w:themeShade="40"/>
                      <w:lang w:val="en-AU"/>
                    </w:rPr>
                    <w:t xml:space="preserve">m out of the equation for </w:t>
                  </w:r>
                  <w:proofErr w:type="spellStart"/>
                  <w:r>
                    <w:rPr>
                      <w:rFonts w:ascii="Utsaah" w:hAnsi="Utsaah" w:cs="Utsaah"/>
                      <w:color w:val="4A442A" w:themeColor="background2" w:themeShade="40"/>
                      <w:lang w:val="en-AU"/>
                    </w:rPr>
                    <w:t>start</w:t>
                  </w:r>
                  <w:r w:rsidRPr="000D11AC">
                    <w:rPr>
                      <w:rFonts w:ascii="Utsaah" w:hAnsi="Utsaah" w:cs="Utsaah"/>
                      <w:color w:val="4A442A" w:themeColor="background2" w:themeShade="40"/>
                      <w:lang w:val="en-AU"/>
                    </w:rPr>
                    <w:t>up</w:t>
                  </w:r>
                  <w:proofErr w:type="spellEnd"/>
                  <w:r w:rsidRPr="000D11AC">
                    <w:rPr>
                      <w:rFonts w:ascii="Utsaah" w:hAnsi="Utsaah" w:cs="Utsaah"/>
                      <w:color w:val="4A442A" w:themeColor="background2" w:themeShade="40"/>
                      <w:lang w:val="en-AU"/>
                    </w:rPr>
                    <w:t xml:space="preserve"> funding and business expansion capital for a large number of SME’s. Many VC’s and PE’s are funded via superannuation funds, staffed by ex-bankers and are risk averse and hence don’t cover the real need in Australia – i.e. backing junior companies requiring up to $5m for value adding to a technology or a growth orientated business solution.</w:t>
                  </w:r>
                </w:p>
                <w:p w:rsidR="0061071A" w:rsidRPr="000D11AC" w:rsidRDefault="0061071A" w:rsidP="000D11AC">
                  <w:pPr>
                    <w:pStyle w:val="NoSpacing"/>
                    <w:ind w:left="720"/>
                    <w:jc w:val="both"/>
                    <w:rPr>
                      <w:rFonts w:ascii="Utsaah" w:hAnsi="Utsaah" w:cs="Utsaah"/>
                      <w:color w:val="4A442A" w:themeColor="background2" w:themeShade="40"/>
                      <w:lang w:val="en-AU"/>
                    </w:rPr>
                  </w:pPr>
                </w:p>
                <w:p w:rsidR="0061071A" w:rsidRDefault="0061071A" w:rsidP="000D11AC">
                  <w:pPr>
                    <w:pStyle w:val="NoSpacing"/>
                    <w:numPr>
                      <w:ilvl w:val="0"/>
                      <w:numId w:val="1"/>
                    </w:numPr>
                    <w:jc w:val="both"/>
                    <w:rPr>
                      <w:rFonts w:ascii="Utsaah" w:hAnsi="Utsaah" w:cs="Utsaah"/>
                      <w:color w:val="4A442A" w:themeColor="background2" w:themeShade="40"/>
                      <w:lang w:val="en-AU"/>
                    </w:rPr>
                  </w:pPr>
                  <w:r w:rsidRPr="000D11AC">
                    <w:rPr>
                      <w:rFonts w:ascii="Utsaah" w:hAnsi="Utsaah" w:cs="Utsaah"/>
                      <w:color w:val="4A442A" w:themeColor="background2" w:themeShade="40"/>
                      <w:lang w:val="en-AU"/>
                    </w:rPr>
                    <w:t>Many accelerators / incubators are structured as ESVCLP’s and rely on S708 Sophisticated Investors and cannot bring the retail (crowd) into projects</w:t>
                  </w:r>
                  <w:r>
                    <w:rPr>
                      <w:rFonts w:ascii="Utsaah" w:hAnsi="Utsaah" w:cs="Utsaah"/>
                      <w:color w:val="4A442A" w:themeColor="background2" w:themeShade="40"/>
                      <w:lang w:val="en-AU"/>
                    </w:rPr>
                    <w:t>.</w:t>
                  </w:r>
                </w:p>
                <w:p w:rsidR="0061071A" w:rsidRPr="000D11AC" w:rsidRDefault="0061071A" w:rsidP="000D11AC">
                  <w:pPr>
                    <w:pStyle w:val="NoSpacing"/>
                    <w:ind w:left="720"/>
                    <w:jc w:val="both"/>
                    <w:rPr>
                      <w:rFonts w:ascii="Utsaah" w:hAnsi="Utsaah" w:cs="Utsaah"/>
                      <w:color w:val="4A442A" w:themeColor="background2" w:themeShade="40"/>
                      <w:lang w:val="en-AU"/>
                    </w:rPr>
                  </w:pPr>
                </w:p>
                <w:p w:rsidR="0061071A" w:rsidRDefault="0061071A" w:rsidP="000D11AC">
                  <w:pPr>
                    <w:pStyle w:val="NoSpacing"/>
                    <w:numPr>
                      <w:ilvl w:val="0"/>
                      <w:numId w:val="1"/>
                    </w:numPr>
                    <w:jc w:val="both"/>
                    <w:rPr>
                      <w:rFonts w:ascii="Utsaah" w:hAnsi="Utsaah" w:cs="Utsaah"/>
                      <w:color w:val="4A442A" w:themeColor="background2" w:themeShade="40"/>
                      <w:lang w:val="en-AU"/>
                    </w:rPr>
                  </w:pPr>
                  <w:r w:rsidRPr="000D11AC">
                    <w:rPr>
                      <w:rFonts w:ascii="Utsaah" w:hAnsi="Utsaah" w:cs="Utsaah"/>
                      <w:color w:val="4A442A" w:themeColor="background2" w:themeShade="40"/>
                      <w:lang w:val="en-AU"/>
                    </w:rPr>
                    <w:t xml:space="preserve">Many current matching service operators per the prescriptive requirements of ASIC Class Order 02/273 (Business Introduction or Matching Services) are limited in their ability to mobilise capital for early stage businesses as they cannot give or loan companies business capital, take an equity share in companies, publicly market investment opportunities outside of the subscription service and cannot provide financial advice to anyone about companies profiled on the platform. </w:t>
                  </w:r>
                </w:p>
                <w:p w:rsidR="0061071A" w:rsidRDefault="0061071A" w:rsidP="000D11AC">
                  <w:pPr>
                    <w:pStyle w:val="NoSpacing"/>
                    <w:ind w:left="720"/>
                    <w:jc w:val="both"/>
                    <w:rPr>
                      <w:rFonts w:ascii="Utsaah" w:hAnsi="Utsaah" w:cs="Utsaah"/>
                      <w:color w:val="4A442A" w:themeColor="background2" w:themeShade="40"/>
                      <w:lang w:val="en-AU"/>
                    </w:rPr>
                  </w:pPr>
                </w:p>
                <w:p w:rsidR="0061071A" w:rsidRDefault="0061071A" w:rsidP="00CE1CD5">
                  <w:pPr>
                    <w:pStyle w:val="NoSpacing"/>
                    <w:ind w:left="720"/>
                    <w:jc w:val="both"/>
                    <w:rPr>
                      <w:rFonts w:ascii="Utsaah" w:hAnsi="Utsaah" w:cs="Utsaah"/>
                      <w:color w:val="4A442A" w:themeColor="background2" w:themeShade="40"/>
                      <w:lang w:val="en-AU"/>
                    </w:rPr>
                  </w:pPr>
                  <w:r w:rsidRPr="000D11AC">
                    <w:rPr>
                      <w:rFonts w:ascii="Utsaah" w:hAnsi="Utsaah" w:cs="Utsaah"/>
                      <w:color w:val="4A442A" w:themeColor="background2" w:themeShade="40"/>
                      <w:lang w:val="en-AU"/>
                    </w:rPr>
                    <w:t>We believe a well-structured CSEF regime has the potential to leapfrog the Australian small scale personal offers exemption in s 708 of the Corporations Act rather than the two trying to co-exist with potential c</w:t>
                  </w:r>
                  <w:r>
                    <w:rPr>
                      <w:rFonts w:ascii="Utsaah" w:hAnsi="Utsaah" w:cs="Utsaah"/>
                      <w:color w:val="4A442A" w:themeColor="background2" w:themeShade="40"/>
                      <w:lang w:val="en-AU"/>
                    </w:rPr>
                    <w:t>onfusion around funding limits, i.e. d</w:t>
                  </w:r>
                  <w:r w:rsidRPr="000D11AC">
                    <w:rPr>
                      <w:rFonts w:ascii="Utsaah" w:hAnsi="Utsaah" w:cs="Utsaah"/>
                      <w:color w:val="4A442A" w:themeColor="background2" w:themeShade="40"/>
                      <w:lang w:val="en-AU"/>
                    </w:rPr>
                    <w:t xml:space="preserve">uplication </w:t>
                  </w:r>
                  <w:r>
                    <w:rPr>
                      <w:rFonts w:ascii="Utsaah" w:hAnsi="Utsaah" w:cs="Utsaah"/>
                      <w:color w:val="4A442A" w:themeColor="background2" w:themeShade="40"/>
                      <w:lang w:val="en-AU"/>
                    </w:rPr>
                    <w:t xml:space="preserve">with </w:t>
                  </w:r>
                  <w:r w:rsidRPr="000D11AC">
                    <w:rPr>
                      <w:rFonts w:ascii="Utsaah" w:hAnsi="Utsaah" w:cs="Utsaah"/>
                      <w:color w:val="4A442A" w:themeColor="background2" w:themeShade="40"/>
                      <w:lang w:val="en-AU"/>
                    </w:rPr>
                    <w:t>d</w:t>
                  </w:r>
                  <w:r>
                    <w:rPr>
                      <w:rFonts w:ascii="Utsaah" w:hAnsi="Utsaah" w:cs="Utsaah"/>
                      <w:color w:val="4A442A" w:themeColor="background2" w:themeShade="40"/>
                      <w:lang w:val="en-AU"/>
                    </w:rPr>
                    <w:t>iffering licensing authorities.</w:t>
                  </w:r>
                </w:p>
                <w:p w:rsidR="0061071A" w:rsidRDefault="0061071A" w:rsidP="000D11AC">
                  <w:pPr>
                    <w:pStyle w:val="NoSpacing"/>
                    <w:jc w:val="both"/>
                    <w:rPr>
                      <w:rFonts w:ascii="Utsaah" w:hAnsi="Utsaah" w:cs="Utsaah"/>
                      <w:color w:val="4A442A" w:themeColor="background2" w:themeShade="40"/>
                      <w:lang w:val="en-AU"/>
                    </w:rPr>
                  </w:pPr>
                </w:p>
                <w:p w:rsidR="0061071A" w:rsidRDefault="0061071A" w:rsidP="000D11AC">
                  <w:pPr>
                    <w:pStyle w:val="NoSpacing"/>
                    <w:jc w:val="both"/>
                    <w:rPr>
                      <w:rFonts w:ascii="Utsaah" w:hAnsi="Utsaah" w:cs="Utsaah"/>
                      <w:color w:val="4A442A" w:themeColor="background2" w:themeShade="40"/>
                      <w:lang w:val="en-AU"/>
                    </w:rPr>
                  </w:pPr>
                </w:p>
                <w:p w:rsidR="0061071A" w:rsidRDefault="0061071A" w:rsidP="00B424FB">
                  <w:pPr>
                    <w:pStyle w:val="NoSpacing"/>
                    <w:jc w:val="both"/>
                    <w:rPr>
                      <w:rFonts w:ascii="Utsaah" w:hAnsi="Utsaah" w:cs="Utsaah"/>
                      <w:color w:val="4A442A" w:themeColor="background2" w:themeShade="40"/>
                      <w:lang w:val="en-AU"/>
                    </w:rPr>
                  </w:pPr>
                </w:p>
                <w:p w:rsidR="0061071A" w:rsidRPr="009323CD" w:rsidRDefault="0061071A" w:rsidP="00B424FB">
                  <w:pPr>
                    <w:pStyle w:val="NoSpacing"/>
                    <w:jc w:val="both"/>
                    <w:rPr>
                      <w:rFonts w:ascii="Adobe Gothic Std B" w:eastAsia="Adobe Gothic Std B" w:hAnsi="Adobe Gothic Std B" w:cs="Utsaah"/>
                      <w:color w:val="4A442A" w:themeColor="background2" w:themeShade="40"/>
                      <w:sz w:val="30"/>
                      <w:szCs w:val="30"/>
                      <w:lang w:val="en-AU"/>
                    </w:rPr>
                  </w:pPr>
                  <w:r w:rsidRPr="009323CD">
                    <w:rPr>
                      <w:rFonts w:ascii="Adobe Gothic Std B" w:eastAsia="Adobe Gothic Std B" w:hAnsi="Adobe Gothic Std B" w:cs="Utsaah"/>
                      <w:color w:val="4A442A" w:themeColor="background2" w:themeShade="40"/>
                      <w:sz w:val="30"/>
                      <w:szCs w:val="30"/>
                      <w:lang w:val="en-AU"/>
                    </w:rPr>
                    <w:t>"</w:t>
                  </w:r>
                  <w:r w:rsidRPr="009323CD">
                    <w:rPr>
                      <w:rFonts w:ascii="Adobe Gothic Std B" w:eastAsia="Adobe Gothic Std B" w:hAnsi="Adobe Gothic Std B" w:cs="Utsaah"/>
                      <w:i/>
                      <w:color w:val="4A442A" w:themeColor="background2" w:themeShade="40"/>
                      <w:sz w:val="30"/>
                      <w:szCs w:val="30"/>
                      <w:lang w:val="en-AU"/>
                    </w:rPr>
                    <w:t>The CSEF regime has the ability to create an efficient capital market in the unlisted company sector."</w:t>
                  </w:r>
                </w:p>
                <w:p w:rsidR="0061071A" w:rsidRDefault="0061071A" w:rsidP="00B424FB">
                  <w:pPr>
                    <w:pStyle w:val="NoSpacing"/>
                    <w:jc w:val="both"/>
                    <w:rPr>
                      <w:rFonts w:ascii="Utsaah" w:hAnsi="Utsaah" w:cs="Utsaah"/>
                      <w:color w:val="4A442A" w:themeColor="background2" w:themeShade="40"/>
                      <w:lang w:val="en-AU"/>
                    </w:rPr>
                  </w:pPr>
                </w:p>
                <w:p w:rsidR="0061071A" w:rsidRDefault="0061071A" w:rsidP="00B424FB">
                  <w:pPr>
                    <w:pStyle w:val="NoSpacing"/>
                    <w:jc w:val="both"/>
                    <w:rPr>
                      <w:rFonts w:ascii="Utsaah" w:hAnsi="Utsaah" w:cs="Utsaah"/>
                      <w:color w:val="4A442A" w:themeColor="background2" w:themeShade="40"/>
                      <w:lang w:val="en-AU"/>
                    </w:rPr>
                  </w:pPr>
                </w:p>
                <w:p w:rsidR="0061071A" w:rsidRPr="00B424FB" w:rsidRDefault="0061071A" w:rsidP="00B424FB">
                  <w:pPr>
                    <w:pStyle w:val="NoSpacing"/>
                    <w:jc w:val="both"/>
                    <w:rPr>
                      <w:rFonts w:ascii="Utsaah" w:hAnsi="Utsaah" w:cs="Utsaah"/>
                      <w:color w:val="4A442A" w:themeColor="background2" w:themeShade="40"/>
                      <w:lang w:val="en-AU"/>
                    </w:rPr>
                  </w:pPr>
                </w:p>
                <w:p w:rsidR="0061071A" w:rsidRPr="009323CD" w:rsidRDefault="0061071A" w:rsidP="00B424FB">
                  <w:pPr>
                    <w:pStyle w:val="NoSpacing"/>
                    <w:jc w:val="both"/>
                    <w:rPr>
                      <w:rFonts w:ascii="Utsaah" w:hAnsi="Utsaah" w:cs="Utsaah"/>
                      <w:b/>
                      <w:color w:val="00B0F0"/>
                      <w:lang w:val="en-AU"/>
                    </w:rPr>
                  </w:pPr>
                  <w:r w:rsidRPr="009323CD">
                    <w:rPr>
                      <w:rFonts w:ascii="Utsaah" w:hAnsi="Utsaah" w:cs="Utsaah"/>
                      <w:b/>
                      <w:color w:val="00B0F0"/>
                      <w:lang w:val="en-AU"/>
                    </w:rPr>
                    <w:t>Issuers should be broadly defin</w:t>
                  </w:r>
                  <w:r>
                    <w:rPr>
                      <w:rFonts w:ascii="Utsaah" w:hAnsi="Utsaah" w:cs="Utsaah"/>
                      <w:b/>
                      <w:color w:val="00B0F0"/>
                      <w:lang w:val="en-AU"/>
                    </w:rPr>
                    <w:t>ed</w:t>
                  </w:r>
                </w:p>
                <w:p w:rsidR="0061071A" w:rsidRPr="00B424FB" w:rsidRDefault="0061071A" w:rsidP="00B424FB">
                  <w:pPr>
                    <w:pStyle w:val="NoSpacing"/>
                    <w:jc w:val="both"/>
                    <w:rPr>
                      <w:rFonts w:ascii="Utsaah" w:hAnsi="Utsaah" w:cs="Utsaah"/>
                      <w:color w:val="4A442A" w:themeColor="background2" w:themeShade="40"/>
                      <w:lang w:val="en-AU"/>
                    </w:rPr>
                  </w:pPr>
                </w:p>
                <w:p w:rsidR="0061071A" w:rsidRPr="00B424FB" w:rsidRDefault="0061071A" w:rsidP="00B424FB">
                  <w:pPr>
                    <w:pStyle w:val="NoSpacing"/>
                    <w:jc w:val="both"/>
                    <w:rPr>
                      <w:rFonts w:ascii="Utsaah" w:hAnsi="Utsaah" w:cs="Utsaah"/>
                      <w:color w:val="4A442A" w:themeColor="background2" w:themeShade="40"/>
                      <w:lang w:val="en-AU"/>
                    </w:rPr>
                  </w:pPr>
                  <w:r w:rsidRPr="00B424FB">
                    <w:rPr>
                      <w:rFonts w:ascii="Utsaah" w:hAnsi="Utsaah" w:cs="Utsaah"/>
                      <w:color w:val="4A442A" w:themeColor="background2" w:themeShade="40"/>
                      <w:lang w:val="en-AU"/>
                    </w:rPr>
                    <w:t>The CAMA</w:t>
                  </w:r>
                  <w:r>
                    <w:rPr>
                      <w:rFonts w:ascii="Utsaah" w:hAnsi="Utsaah" w:cs="Utsaah"/>
                      <w:color w:val="4A442A" w:themeColor="background2" w:themeShade="40"/>
                      <w:lang w:val="en-AU"/>
                    </w:rPr>
                    <w:t>C</w:t>
                  </w:r>
                  <w:r w:rsidRPr="00B424FB">
                    <w:rPr>
                      <w:rFonts w:ascii="Utsaah" w:hAnsi="Utsaah" w:cs="Utsaah"/>
                      <w:color w:val="4A442A" w:themeColor="background2" w:themeShade="40"/>
                      <w:lang w:val="en-AU"/>
                    </w:rPr>
                    <w:t xml:space="preserve"> report noted that “In essence, the concept of CSEF involves the sale of typically small capital interests (‘equity’) in companies (‘issuers’) through online websites (‘intermediaries’), to potentially numerous individuals or entities (‘investors’). CSEF is aimed principally at early stage capital-raising (sometimes referred to as ‘seed capita</w:t>
                  </w:r>
                  <w:r>
                    <w:rPr>
                      <w:rFonts w:ascii="Utsaah" w:hAnsi="Utsaah" w:cs="Utsaah"/>
                      <w:color w:val="4A442A" w:themeColor="background2" w:themeShade="40"/>
                      <w:lang w:val="en-AU"/>
                    </w:rPr>
                    <w:t xml:space="preserve">l’) by </w:t>
                  </w:r>
                  <w:proofErr w:type="spellStart"/>
                  <w:r>
                    <w:rPr>
                      <w:rFonts w:ascii="Utsaah" w:hAnsi="Utsaah" w:cs="Utsaah"/>
                      <w:color w:val="4A442A" w:themeColor="background2" w:themeShade="40"/>
                      <w:lang w:val="en-AU"/>
                    </w:rPr>
                    <w:t>start</w:t>
                  </w:r>
                  <w:r w:rsidRPr="00B424FB">
                    <w:rPr>
                      <w:rFonts w:ascii="Utsaah" w:hAnsi="Utsaah" w:cs="Utsaah"/>
                      <w:color w:val="4A442A" w:themeColor="background2" w:themeShade="40"/>
                      <w:lang w:val="en-AU"/>
                    </w:rPr>
                    <w:t>up</w:t>
                  </w:r>
                  <w:proofErr w:type="spellEnd"/>
                  <w:r w:rsidRPr="00B424FB">
                    <w:rPr>
                      <w:rFonts w:ascii="Utsaah" w:hAnsi="Utsaah" w:cs="Utsaah"/>
                      <w:color w:val="4A442A" w:themeColor="background2" w:themeShade="40"/>
                      <w:lang w:val="en-AU"/>
                    </w:rPr>
                    <w:t xml:space="preserve"> companies. However, there are no commercial restrictions on established businesses using CSEF to raise additional funds.”</w:t>
                  </w:r>
                </w:p>
                <w:p w:rsidR="0061071A" w:rsidRPr="00B424FB" w:rsidRDefault="0061071A" w:rsidP="00B424FB">
                  <w:pPr>
                    <w:pStyle w:val="NoSpacing"/>
                    <w:jc w:val="both"/>
                    <w:rPr>
                      <w:rFonts w:ascii="Utsaah" w:hAnsi="Utsaah" w:cs="Utsaah"/>
                      <w:color w:val="4A442A" w:themeColor="background2" w:themeShade="40"/>
                      <w:lang w:val="en-AU"/>
                    </w:rPr>
                  </w:pPr>
                </w:p>
                <w:p w:rsidR="0061071A" w:rsidRPr="00B424FB" w:rsidRDefault="0061071A" w:rsidP="00B424FB">
                  <w:pPr>
                    <w:pStyle w:val="NoSpacing"/>
                    <w:jc w:val="both"/>
                    <w:rPr>
                      <w:rFonts w:ascii="Utsaah" w:hAnsi="Utsaah" w:cs="Utsaah"/>
                      <w:color w:val="4A442A" w:themeColor="background2" w:themeShade="40"/>
                      <w:lang w:val="en-AU"/>
                    </w:rPr>
                  </w:pPr>
                  <w:r w:rsidRPr="00B424FB">
                    <w:rPr>
                      <w:rFonts w:ascii="Utsaah" w:hAnsi="Utsaah" w:cs="Utsaah"/>
                      <w:color w:val="4A442A" w:themeColor="background2" w:themeShade="40"/>
                      <w:lang w:val="en-AU"/>
                    </w:rPr>
                    <w:t>We strongly support the concept of a b</w:t>
                  </w:r>
                  <w:r>
                    <w:rPr>
                      <w:rFonts w:ascii="Utsaah" w:hAnsi="Utsaah" w:cs="Utsaah"/>
                      <w:color w:val="4A442A" w:themeColor="background2" w:themeShade="40"/>
                      <w:lang w:val="en-AU"/>
                    </w:rPr>
                    <w:t>road definition of an approved i</w:t>
                  </w:r>
                  <w:r w:rsidRPr="00B424FB">
                    <w:rPr>
                      <w:rFonts w:ascii="Utsaah" w:hAnsi="Utsaah" w:cs="Utsaah"/>
                      <w:color w:val="4A442A" w:themeColor="background2" w:themeShade="40"/>
                      <w:lang w:val="en-AU"/>
                    </w:rPr>
                    <w:t>ssuer accessing CSEF – why?</w:t>
                  </w:r>
                </w:p>
                <w:p w:rsidR="0061071A" w:rsidRDefault="0061071A" w:rsidP="00B424FB">
                  <w:pPr>
                    <w:pStyle w:val="NoSpacing"/>
                    <w:jc w:val="both"/>
                    <w:rPr>
                      <w:rFonts w:ascii="Utsaah" w:hAnsi="Utsaah" w:cs="Utsaah"/>
                      <w:color w:val="4A442A" w:themeColor="background2" w:themeShade="40"/>
                      <w:lang w:val="en-AU"/>
                    </w:rPr>
                  </w:pPr>
                </w:p>
                <w:p w:rsidR="0061071A" w:rsidRDefault="0061071A" w:rsidP="00B424FB">
                  <w:pPr>
                    <w:pStyle w:val="NoSpacing"/>
                    <w:jc w:val="both"/>
                    <w:rPr>
                      <w:rFonts w:ascii="Utsaah" w:hAnsi="Utsaah" w:cs="Utsaah"/>
                      <w:color w:val="4A442A" w:themeColor="background2" w:themeShade="40"/>
                      <w:lang w:val="en-AU"/>
                    </w:rPr>
                  </w:pPr>
                  <w:r w:rsidRPr="00B424FB">
                    <w:rPr>
                      <w:rFonts w:ascii="Utsaah" w:hAnsi="Utsaah" w:cs="Utsaah"/>
                      <w:color w:val="4A442A" w:themeColor="background2" w:themeShade="40"/>
                      <w:lang w:val="en-AU"/>
                    </w:rPr>
                    <w:t>We have worked with several private companies who are expanding their markets to overseas, have a new IP project that needs funding, have a large supporter base and lack hard assets to borrow from the bank or are unable to access the funding requirements from Sophisticated Investors or VC’s.</w:t>
                  </w:r>
                  <w:r>
                    <w:rPr>
                      <w:rFonts w:ascii="Utsaah" w:hAnsi="Utsaah" w:cs="Utsaah"/>
                      <w:color w:val="4A442A" w:themeColor="background2" w:themeShade="40"/>
                      <w:lang w:val="en-AU"/>
                    </w:rPr>
                    <w:t xml:space="preserve"> </w:t>
                  </w:r>
                  <w:r w:rsidRPr="002018A9">
                    <w:rPr>
                      <w:rFonts w:ascii="Utsaah" w:hAnsi="Utsaah" w:cs="Utsaah"/>
                      <w:color w:val="4A442A" w:themeColor="background2" w:themeShade="40"/>
                      <w:lang w:val="en-AU"/>
                    </w:rPr>
                    <w:t>A true CSEF platform is their only viable path to secure funding, grow the business and create jobs.</w:t>
                  </w:r>
                </w:p>
                <w:p w:rsidR="0061071A" w:rsidRDefault="0061071A" w:rsidP="000D11AC">
                  <w:pPr>
                    <w:pStyle w:val="NoSpacing"/>
                    <w:jc w:val="both"/>
                    <w:rPr>
                      <w:rFonts w:ascii="Utsaah" w:hAnsi="Utsaah" w:cs="Utsaah"/>
                      <w:color w:val="4A442A" w:themeColor="background2" w:themeShade="40"/>
                      <w:lang w:val="en-AU"/>
                    </w:rPr>
                  </w:pPr>
                </w:p>
                <w:p w:rsidR="0061071A" w:rsidRPr="005539FB" w:rsidRDefault="0061071A" w:rsidP="005539FB">
                  <w:pPr>
                    <w:pStyle w:val="NoSpacing"/>
                    <w:jc w:val="both"/>
                    <w:rPr>
                      <w:rFonts w:ascii="Utsaah" w:hAnsi="Utsaah" w:cs="Utsaah"/>
                      <w:b/>
                      <w:color w:val="00B0F0"/>
                      <w:lang w:val="en-AU"/>
                    </w:rPr>
                  </w:pPr>
                  <w:r w:rsidRPr="005539FB">
                    <w:rPr>
                      <w:rFonts w:ascii="Utsaah" w:hAnsi="Utsaah" w:cs="Utsaah"/>
                      <w:b/>
                      <w:color w:val="00B0F0"/>
                      <w:lang w:val="en-AU"/>
                    </w:rPr>
                    <w:t xml:space="preserve">CSEF should </w:t>
                  </w:r>
                  <w:r>
                    <w:rPr>
                      <w:rFonts w:ascii="Utsaah" w:hAnsi="Utsaah" w:cs="Utsaah"/>
                      <w:b/>
                      <w:color w:val="00B0F0"/>
                      <w:lang w:val="en-AU"/>
                    </w:rPr>
                    <w:t xml:space="preserve">not be only for high risk </w:t>
                  </w:r>
                  <w:proofErr w:type="spellStart"/>
                  <w:r>
                    <w:rPr>
                      <w:rFonts w:ascii="Utsaah" w:hAnsi="Utsaah" w:cs="Utsaah"/>
                      <w:b/>
                      <w:color w:val="00B0F0"/>
                      <w:lang w:val="en-AU"/>
                    </w:rPr>
                    <w:t>start</w:t>
                  </w:r>
                  <w:r w:rsidRPr="005539FB">
                    <w:rPr>
                      <w:rFonts w:ascii="Utsaah" w:hAnsi="Utsaah" w:cs="Utsaah"/>
                      <w:b/>
                      <w:color w:val="00B0F0"/>
                      <w:lang w:val="en-AU"/>
                    </w:rPr>
                    <w:t>ups</w:t>
                  </w:r>
                  <w:proofErr w:type="spellEnd"/>
                  <w:r w:rsidRPr="005539FB">
                    <w:rPr>
                      <w:rFonts w:ascii="Utsaah" w:hAnsi="Utsaah" w:cs="Utsaah"/>
                      <w:b/>
                      <w:color w:val="00B0F0"/>
                      <w:lang w:val="en-AU"/>
                    </w:rPr>
                    <w:t>.</w:t>
                  </w:r>
                </w:p>
                <w:p w:rsidR="0061071A" w:rsidRPr="005539FB" w:rsidRDefault="0061071A" w:rsidP="005539FB">
                  <w:pPr>
                    <w:pStyle w:val="NoSpacing"/>
                    <w:jc w:val="both"/>
                    <w:rPr>
                      <w:rFonts w:ascii="Utsaah" w:hAnsi="Utsaah" w:cs="Utsaah"/>
                      <w:color w:val="4A442A" w:themeColor="background2" w:themeShade="40"/>
                      <w:lang w:val="en-AU"/>
                    </w:rPr>
                  </w:pPr>
                </w:p>
                <w:p w:rsidR="0061071A" w:rsidRDefault="0061071A" w:rsidP="005539FB">
                  <w:pPr>
                    <w:pStyle w:val="NoSpacing"/>
                    <w:jc w:val="both"/>
                    <w:rPr>
                      <w:rFonts w:ascii="Utsaah" w:hAnsi="Utsaah" w:cs="Utsaah"/>
                      <w:color w:val="4A442A" w:themeColor="background2" w:themeShade="40"/>
                      <w:lang w:val="en-AU"/>
                    </w:rPr>
                  </w:pPr>
                  <w:r w:rsidRPr="005539FB">
                    <w:rPr>
                      <w:rFonts w:ascii="Utsaah" w:hAnsi="Utsaah" w:cs="Utsaah"/>
                      <w:color w:val="4A442A" w:themeColor="background2" w:themeShade="40"/>
                      <w:lang w:val="en-AU"/>
                    </w:rPr>
                    <w:t>We know many investors who may not qualify as S708 Sophisticated i.e. they don’t meet the $250k pa income or the $2.5m net asset test but who may have an investment portfolio of $500,000 and would like to allocate say $100,000 to low to mid risk investments in private companies who may have profits, good management</w:t>
                  </w:r>
                  <w:r>
                    <w:rPr>
                      <w:rFonts w:ascii="Utsaah" w:hAnsi="Utsaah" w:cs="Utsaah"/>
                      <w:color w:val="4A442A" w:themeColor="background2" w:themeShade="40"/>
                      <w:lang w:val="en-AU"/>
                    </w:rPr>
                    <w:t>,</w:t>
                  </w:r>
                  <w:r w:rsidRPr="005539FB">
                    <w:rPr>
                      <w:rFonts w:ascii="Utsaah" w:hAnsi="Utsaah" w:cs="Utsaah"/>
                      <w:color w:val="4A442A" w:themeColor="background2" w:themeShade="40"/>
                      <w:lang w:val="en-AU"/>
                    </w:rPr>
                    <w:t xml:space="preserve"> and a sound plan for business expansion.</w:t>
                  </w:r>
                </w:p>
                <w:p w:rsidR="0061071A" w:rsidRDefault="0061071A" w:rsidP="000D11AC">
                  <w:pPr>
                    <w:pStyle w:val="NoSpacing"/>
                    <w:jc w:val="both"/>
                    <w:rPr>
                      <w:rFonts w:ascii="Utsaah" w:hAnsi="Utsaah" w:cs="Utsaah"/>
                      <w:color w:val="4A442A" w:themeColor="background2" w:themeShade="40"/>
                      <w:lang w:val="en-AU"/>
                    </w:rPr>
                  </w:pPr>
                </w:p>
                <w:p w:rsidR="0061071A" w:rsidRPr="00185844" w:rsidRDefault="0061071A" w:rsidP="000D11AC">
                  <w:pPr>
                    <w:pStyle w:val="NoSpacing"/>
                    <w:jc w:val="both"/>
                    <w:rPr>
                      <w:rFonts w:ascii="Utsaah" w:hAnsi="Utsaah" w:cs="Utsaah"/>
                      <w:color w:val="4A442A" w:themeColor="background2" w:themeShade="40"/>
                      <w:lang w:val="en-AU"/>
                    </w:rPr>
                  </w:pPr>
                </w:p>
              </w:txbxContent>
            </v:textbox>
          </v:shape>
        </w:pict>
      </w:r>
    </w:p>
    <w:p w:rsidR="00E037DF" w:rsidRDefault="00E037DF"/>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E3331C">
      <w:r>
        <w:rPr>
          <w:noProof/>
          <w:lang w:eastAsia="en-AU"/>
        </w:rPr>
        <w:lastRenderedPageBreak/>
        <w:pict>
          <v:shape id="Text Box 30" o:spid="_x0000_s1040" type="#_x0000_t202" style="position:absolute;margin-left:-63.95pt;margin-top:-51.25pt;width:186.05pt;height:76.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q3ugIAAMM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" filled="f" stroked="f">
            <v:textbox style="mso-next-textbox:#Text Box 30">
              <w:txbxContent>
                <w:p w:rsidR="0061071A" w:rsidRDefault="0061071A" w:rsidP="00C808E3">
                  <w:pPr>
                    <w:spacing w:after="0"/>
                    <w:rPr>
                      <w:rFonts w:ascii="Adobe Gothic Std B" w:eastAsia="Adobe Gothic Std B" w:hAnsi="Adobe Gothic Std B" w:cs="Arial"/>
                      <w:b/>
                      <w:bCs/>
                      <w:color w:val="FFFFFF" w:themeColor="background1"/>
                      <w:sz w:val="24"/>
                      <w:szCs w:val="24"/>
                    </w:rPr>
                  </w:pPr>
                </w:p>
                <w:p w:rsidR="0061071A" w:rsidRPr="002E68BC" w:rsidRDefault="0061071A" w:rsidP="00C808E3">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TWO (CONT.)</w:t>
                  </w:r>
                </w:p>
                <w:p w:rsidR="0061071A" w:rsidRPr="001C7CF3" w:rsidRDefault="0061071A" w:rsidP="00C808E3">
                  <w:pPr>
                    <w:spacing w:after="0"/>
                    <w:rPr>
                      <w:rFonts w:ascii="Utsaah" w:hAnsi="Utsaah" w:cs="Utsaah"/>
                      <w:color w:val="4A442A" w:themeColor="background2" w:themeShade="40"/>
                      <w:sz w:val="16"/>
                      <w:szCs w:val="16"/>
                    </w:rPr>
                  </w:pPr>
                </w:p>
              </w:txbxContent>
            </v:textbox>
          </v:shape>
        </w:pict>
      </w:r>
      <w:r w:rsidR="001F53D1">
        <w:rPr>
          <w:noProof/>
          <w:lang w:eastAsia="en-AU"/>
        </w:rPr>
        <w:drawing>
          <wp:anchor distT="0" distB="0" distL="114300" distR="114300" simplePos="0" relativeHeight="251827200"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27" o:spid="_x0000_s1113" style="position:absolute;margin-left:-.25pt;margin-top:-45.85pt;width:202.5pt;height:76.55pt;z-index:-251607040;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">
            <v:shape id="Freeform 756" o:spid="_x0000_s1114"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BY8IA&#10;AADbAAAADwAAAGRycy9kb3ducmV2LnhtbERPz2vCMBS+D/wfwhO8DE2VMUY1ShFE8TCm3cHjo3m2&#10;1ealJKmt++uXw2DHj+/3ajOYRjzI+dqygvksAUFcWF1zqeA7300/QPiArLGxTAqe5GGzHr2sMNW2&#10;5xM9zqEUMYR9igqqENpUSl9UZNDPbEscuat1BkOErpTaYR/DTSMXSfIuDdYcGypsaVtRcT93RsGt&#10;67P8a4+n5NJt3fHt53We5Z9KTcZDtgQRaAj/4j/3QStYxLHx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IFjwgAAANsAAAAPAAAAAAAAAAAAAAAAAJgCAABkcnMvZG93&#10;bnJldi54bWxQSwUGAAAAAAQABAD1AAAAhwM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0D11AC" w:rsidRDefault="000D11AC"/>
    <w:p w:rsidR="000D11AC" w:rsidRDefault="000D11AC"/>
    <w:p w:rsidR="000D11AC" w:rsidRDefault="00E3331C">
      <w:r>
        <w:rPr>
          <w:noProof/>
          <w:lang w:eastAsia="en-AU"/>
        </w:rPr>
        <w:pict>
          <v:shape id="Text Box 23" o:spid="_x0000_s1041" type="#_x0000_t202" style="position:absolute;margin-left:12.25pt;margin-top:12.65pt;width:6in;height:539.8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MwuQIAAMQ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" filled="f" stroked="f">
            <v:textbox>
              <w:txbxContent>
                <w:p w:rsidR="0061071A" w:rsidRPr="00590E19" w:rsidRDefault="0061071A" w:rsidP="00590E19">
                  <w:pPr>
                    <w:pStyle w:val="NoSpacing"/>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Australia needs to allow investors to take positions in promising private companies and NOT restrict the public in which company qualifies for CSEF and which ones do not. If you look at the ASX, there are companies listed with no profits or positive net cash flo</w:t>
                  </w:r>
                  <w:r>
                    <w:rPr>
                      <w:rFonts w:ascii="Utsaah" w:hAnsi="Utsaah" w:cs="Utsaah"/>
                      <w:color w:val="4A442A" w:themeColor="background2" w:themeShade="40"/>
                      <w:lang w:val="en-AU"/>
                    </w:rPr>
                    <w:t>ws but there is no restriction</w:t>
                  </w:r>
                  <w:r w:rsidRPr="00590E19">
                    <w:rPr>
                      <w:rFonts w:ascii="Utsaah" w:hAnsi="Utsaah" w:cs="Utsaah"/>
                      <w:color w:val="4A442A" w:themeColor="background2" w:themeShade="40"/>
                      <w:lang w:val="en-AU"/>
                    </w:rPr>
                    <w:t xml:space="preserve"> on any member of the public buying shares in such companies. Ditto with large profitable lower risk companies – with the ASX there are formal reporting structures, audits pe</w:t>
                  </w:r>
                  <w:r>
                    <w:rPr>
                      <w:rFonts w:ascii="Utsaah" w:hAnsi="Utsaah" w:cs="Utsaah"/>
                      <w:color w:val="4A442A" w:themeColor="background2" w:themeShade="40"/>
                      <w:lang w:val="en-AU"/>
                    </w:rPr>
                    <w:t xml:space="preserve">rformed and oversight by the ASX &amp; </w:t>
                  </w:r>
                  <w:r w:rsidRPr="00590E19">
                    <w:rPr>
                      <w:rFonts w:ascii="Utsaah" w:hAnsi="Utsaah" w:cs="Utsaah"/>
                      <w:color w:val="4A442A" w:themeColor="background2" w:themeShade="40"/>
                      <w:lang w:val="en-AU"/>
                    </w:rPr>
                    <w:t>ASIC.</w:t>
                  </w:r>
                </w:p>
                <w:p w:rsidR="0061071A" w:rsidRPr="00590E19" w:rsidRDefault="0061071A" w:rsidP="00590E19">
                  <w:pPr>
                    <w:pStyle w:val="NoSpacing"/>
                    <w:jc w:val="both"/>
                    <w:rPr>
                      <w:rFonts w:ascii="Utsaah" w:hAnsi="Utsaah" w:cs="Utsaah"/>
                      <w:color w:val="4A442A" w:themeColor="background2" w:themeShade="40"/>
                      <w:lang w:val="en-AU"/>
                    </w:rPr>
                  </w:pPr>
                </w:p>
                <w:p w:rsidR="0061071A" w:rsidRPr="00590E19" w:rsidRDefault="0061071A" w:rsidP="00590E19">
                  <w:pPr>
                    <w:pStyle w:val="NoSpacing"/>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 xml:space="preserve">It would be perverse if the general public were unable to invest into healthy profitable private companies and were only offered higher risk start up entities </w:t>
                  </w:r>
                  <w:r>
                    <w:rPr>
                      <w:rFonts w:ascii="Utsaah" w:hAnsi="Utsaah" w:cs="Utsaah"/>
                      <w:color w:val="4A442A" w:themeColor="background2" w:themeShade="40"/>
                      <w:lang w:val="en-AU"/>
                    </w:rPr>
                    <w:t>in which to invest</w:t>
                  </w:r>
                  <w:r w:rsidRPr="00590E19">
                    <w:rPr>
                      <w:rFonts w:ascii="Utsaah" w:hAnsi="Utsaah" w:cs="Utsaah"/>
                      <w:color w:val="4A442A" w:themeColor="background2" w:themeShade="40"/>
                      <w:lang w:val="en-AU"/>
                    </w:rPr>
                    <w:t>.</w:t>
                  </w:r>
                </w:p>
                <w:p w:rsidR="0061071A" w:rsidRPr="00590E19" w:rsidRDefault="0061071A" w:rsidP="00590E19">
                  <w:pPr>
                    <w:pStyle w:val="NoSpacing"/>
                    <w:jc w:val="both"/>
                    <w:rPr>
                      <w:rFonts w:ascii="Utsaah" w:hAnsi="Utsaah" w:cs="Utsaah"/>
                      <w:color w:val="4A442A" w:themeColor="background2" w:themeShade="40"/>
                      <w:lang w:val="en-AU"/>
                    </w:rPr>
                  </w:pPr>
                </w:p>
                <w:p w:rsidR="0061071A" w:rsidRPr="00994127" w:rsidRDefault="0061071A" w:rsidP="00590E19">
                  <w:pPr>
                    <w:pStyle w:val="NoSpacing"/>
                    <w:jc w:val="both"/>
                    <w:rPr>
                      <w:rFonts w:ascii="Utsaah" w:hAnsi="Utsaah" w:cs="Utsaah"/>
                      <w:i/>
                      <w:color w:val="4A442A" w:themeColor="background2" w:themeShade="40"/>
                      <w:lang w:val="en-AU"/>
                    </w:rPr>
                  </w:pPr>
                  <w:r w:rsidRPr="00994127">
                    <w:rPr>
                      <w:rFonts w:ascii="Utsaah" w:hAnsi="Utsaah" w:cs="Utsaah"/>
                      <w:i/>
                      <w:color w:val="4A442A" w:themeColor="background2" w:themeShade="40"/>
                      <w:lang w:val="en-AU"/>
                    </w:rPr>
                    <w:t xml:space="preserve">Refer to our recommendations 6 to 8 re the stratification of companies seeking to attract CSEF. </w:t>
                  </w:r>
                </w:p>
                <w:p w:rsidR="0061071A" w:rsidRPr="00590E19" w:rsidRDefault="0061071A" w:rsidP="00590E19">
                  <w:pPr>
                    <w:pStyle w:val="NoSpacing"/>
                    <w:jc w:val="both"/>
                    <w:rPr>
                      <w:rFonts w:ascii="Utsaah" w:hAnsi="Utsaah" w:cs="Utsaah"/>
                      <w:color w:val="4A442A" w:themeColor="background2" w:themeShade="40"/>
                      <w:lang w:val="en-AU"/>
                    </w:rPr>
                  </w:pPr>
                </w:p>
                <w:p w:rsidR="0061071A" w:rsidRPr="00994127" w:rsidRDefault="0061071A" w:rsidP="00590E19">
                  <w:pPr>
                    <w:pStyle w:val="NoSpacing"/>
                    <w:jc w:val="both"/>
                    <w:rPr>
                      <w:rFonts w:ascii="Utsaah" w:hAnsi="Utsaah" w:cs="Utsaah"/>
                      <w:b/>
                      <w:color w:val="00B0F0"/>
                      <w:lang w:val="en-AU"/>
                    </w:rPr>
                  </w:pPr>
                  <w:r w:rsidRPr="00994127">
                    <w:rPr>
                      <w:rFonts w:ascii="Utsaah" w:hAnsi="Utsaah" w:cs="Utsaah"/>
                      <w:b/>
                      <w:color w:val="00B0F0"/>
                      <w:lang w:val="en-AU"/>
                    </w:rPr>
                    <w:t>Building confidence in the CSEF market – an emerging asset class</w:t>
                  </w:r>
                </w:p>
                <w:p w:rsidR="0061071A" w:rsidRDefault="0061071A" w:rsidP="00590E19">
                  <w:pPr>
                    <w:pStyle w:val="NoSpacing"/>
                    <w:jc w:val="both"/>
                    <w:rPr>
                      <w:rFonts w:ascii="Utsaah" w:hAnsi="Utsaah" w:cs="Utsaah"/>
                      <w:color w:val="4A442A" w:themeColor="background2" w:themeShade="40"/>
                      <w:lang w:val="en-AU"/>
                    </w:rPr>
                  </w:pPr>
                </w:p>
                <w:p w:rsidR="0061071A" w:rsidRDefault="0061071A" w:rsidP="00590E19">
                  <w:pPr>
                    <w:pStyle w:val="NoSpacing"/>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Like the ASX, investors need confidence around:</w:t>
                  </w:r>
                </w:p>
                <w:p w:rsidR="0061071A" w:rsidRPr="00590E19" w:rsidRDefault="0061071A" w:rsidP="00590E19">
                  <w:pPr>
                    <w:pStyle w:val="NoSpacing"/>
                    <w:jc w:val="both"/>
                    <w:rPr>
                      <w:rFonts w:ascii="Utsaah" w:hAnsi="Utsaah" w:cs="Utsaah"/>
                      <w:color w:val="4A442A" w:themeColor="background2" w:themeShade="40"/>
                      <w:lang w:val="en-AU"/>
                    </w:rPr>
                  </w:pPr>
                </w:p>
                <w:p w:rsidR="0061071A" w:rsidRPr="00590E19" w:rsidRDefault="0061071A" w:rsidP="00994127">
                  <w:pPr>
                    <w:pStyle w:val="NoSpacing"/>
                    <w:ind w:firstLine="720"/>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a)</w:t>
                  </w:r>
                  <w:r w:rsidRPr="00590E19">
                    <w:rPr>
                      <w:rFonts w:ascii="Utsaah" w:hAnsi="Utsaah" w:cs="Utsaah"/>
                      <w:color w:val="4A442A" w:themeColor="background2" w:themeShade="40"/>
                      <w:lang w:val="en-AU"/>
                    </w:rPr>
                    <w:tab/>
                    <w:t>The platform operator</w:t>
                  </w:r>
                </w:p>
                <w:p w:rsidR="0061071A" w:rsidRPr="00590E19" w:rsidRDefault="0061071A" w:rsidP="00994127">
                  <w:pPr>
                    <w:pStyle w:val="NoSpacing"/>
                    <w:ind w:firstLine="720"/>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b)</w:t>
                  </w:r>
                  <w:r w:rsidRPr="00590E19">
                    <w:rPr>
                      <w:rFonts w:ascii="Utsaah" w:hAnsi="Utsaah" w:cs="Utsaah"/>
                      <w:color w:val="4A442A" w:themeColor="background2" w:themeShade="40"/>
                      <w:lang w:val="en-AU"/>
                    </w:rPr>
                    <w:tab/>
                    <w:t>Rules to ensure good disclosure and enforcement</w:t>
                  </w:r>
                </w:p>
                <w:p w:rsidR="0061071A" w:rsidRPr="00590E19" w:rsidRDefault="0061071A" w:rsidP="00994127">
                  <w:pPr>
                    <w:pStyle w:val="NoSpacing"/>
                    <w:ind w:firstLine="720"/>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c)</w:t>
                  </w:r>
                  <w:r w:rsidRPr="00590E19">
                    <w:rPr>
                      <w:rFonts w:ascii="Utsaah" w:hAnsi="Utsaah" w:cs="Utsaah"/>
                      <w:color w:val="4A442A" w:themeColor="background2" w:themeShade="40"/>
                      <w:lang w:val="en-AU"/>
                    </w:rPr>
                    <w:tab/>
                    <w:t>Informed decision making</w:t>
                  </w:r>
                </w:p>
                <w:p w:rsidR="0061071A" w:rsidRDefault="0061071A" w:rsidP="00994127">
                  <w:pPr>
                    <w:pStyle w:val="NoSpacing"/>
                    <w:ind w:firstLine="720"/>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d)</w:t>
                  </w:r>
                  <w:r w:rsidRPr="00590E19">
                    <w:rPr>
                      <w:rFonts w:ascii="Utsaah" w:hAnsi="Utsaah" w:cs="Utsaah"/>
                      <w:color w:val="4A442A" w:themeColor="background2" w:themeShade="40"/>
                      <w:lang w:val="en-AU"/>
                    </w:rPr>
                    <w:tab/>
                    <w:t>Trading</w:t>
                  </w:r>
                </w:p>
                <w:p w:rsidR="0061071A" w:rsidRDefault="0061071A" w:rsidP="00590E19">
                  <w:pPr>
                    <w:pStyle w:val="NoSpacing"/>
                    <w:jc w:val="both"/>
                    <w:rPr>
                      <w:rFonts w:ascii="Utsaah" w:hAnsi="Utsaah" w:cs="Utsaah"/>
                      <w:color w:val="4A442A" w:themeColor="background2" w:themeShade="40"/>
                      <w:lang w:val="en-AU"/>
                    </w:rPr>
                  </w:pPr>
                </w:p>
                <w:p w:rsidR="0061071A" w:rsidRPr="00994127" w:rsidRDefault="0061071A" w:rsidP="00590E19">
                  <w:pPr>
                    <w:pStyle w:val="NoSpacing"/>
                    <w:jc w:val="both"/>
                    <w:rPr>
                      <w:rFonts w:ascii="Utsaah" w:hAnsi="Utsaah" w:cs="Utsaah"/>
                      <w:b/>
                      <w:color w:val="00B0F0"/>
                      <w:lang w:val="en-AU"/>
                    </w:rPr>
                  </w:pPr>
                  <w:r w:rsidRPr="00994127">
                    <w:rPr>
                      <w:rFonts w:ascii="Utsaah" w:hAnsi="Utsaah" w:cs="Utsaah"/>
                      <w:b/>
                      <w:color w:val="00B0F0"/>
                      <w:lang w:val="en-AU"/>
                    </w:rPr>
                    <w:t>Our 16 key recommendations encompass several in relation to:</w:t>
                  </w:r>
                </w:p>
                <w:p w:rsidR="0061071A" w:rsidRPr="00590E19" w:rsidRDefault="0061071A" w:rsidP="00590E19">
                  <w:pPr>
                    <w:pStyle w:val="NoSpacing"/>
                    <w:jc w:val="both"/>
                    <w:rPr>
                      <w:rFonts w:ascii="Utsaah" w:hAnsi="Utsaah" w:cs="Utsaah"/>
                      <w:color w:val="4A442A" w:themeColor="background2" w:themeShade="40"/>
                      <w:lang w:val="en-AU"/>
                    </w:rPr>
                  </w:pPr>
                </w:p>
                <w:p w:rsidR="0061071A" w:rsidRDefault="0061071A" w:rsidP="000133CA">
                  <w:pPr>
                    <w:pStyle w:val="NoSpacing"/>
                    <w:numPr>
                      <w:ilvl w:val="0"/>
                      <w:numId w:val="2"/>
                    </w:numPr>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Approved Platform Operators, licensed by ASIC and who are the gatekeepers ensuring the CSEF aspirants pass first stage DD filters and Issuers report to the members;</w:t>
                  </w:r>
                </w:p>
                <w:p w:rsidR="0061071A" w:rsidRDefault="0061071A" w:rsidP="000133CA">
                  <w:pPr>
                    <w:pStyle w:val="NoSpacing"/>
                    <w:ind w:left="720"/>
                    <w:jc w:val="both"/>
                    <w:rPr>
                      <w:rFonts w:ascii="Utsaah" w:hAnsi="Utsaah" w:cs="Utsaah"/>
                      <w:color w:val="4A442A" w:themeColor="background2" w:themeShade="40"/>
                      <w:lang w:val="en-AU"/>
                    </w:rPr>
                  </w:pPr>
                </w:p>
                <w:p w:rsidR="0061071A" w:rsidRDefault="0061071A" w:rsidP="00590E19">
                  <w:pPr>
                    <w:pStyle w:val="NoSpacing"/>
                    <w:numPr>
                      <w:ilvl w:val="0"/>
                      <w:numId w:val="2"/>
                    </w:numPr>
                    <w:jc w:val="both"/>
                    <w:rPr>
                      <w:rFonts w:ascii="Utsaah" w:hAnsi="Utsaah" w:cs="Utsaah"/>
                      <w:color w:val="4A442A" w:themeColor="background2" w:themeShade="40"/>
                      <w:lang w:val="en-AU"/>
                    </w:rPr>
                  </w:pPr>
                  <w:r w:rsidRPr="000133CA">
                    <w:rPr>
                      <w:rFonts w:ascii="Utsaah" w:hAnsi="Utsaah" w:cs="Utsaah"/>
                      <w:color w:val="4A442A" w:themeColor="background2" w:themeShade="40"/>
                      <w:lang w:val="en-AU"/>
                    </w:rPr>
                    <w:t>Comprehensive offering document with a Key Information Page at the front of every offering document;</w:t>
                  </w:r>
                </w:p>
                <w:p w:rsidR="0061071A" w:rsidRDefault="0061071A" w:rsidP="000133CA">
                  <w:pPr>
                    <w:pStyle w:val="NoSpacing"/>
                    <w:ind w:left="720"/>
                    <w:jc w:val="both"/>
                    <w:rPr>
                      <w:rFonts w:ascii="Utsaah" w:hAnsi="Utsaah" w:cs="Utsaah"/>
                      <w:color w:val="4A442A" w:themeColor="background2" w:themeShade="40"/>
                      <w:lang w:val="en-AU"/>
                    </w:rPr>
                  </w:pPr>
                </w:p>
                <w:p w:rsidR="0061071A" w:rsidRDefault="0061071A" w:rsidP="00590E19">
                  <w:pPr>
                    <w:pStyle w:val="NoSpacing"/>
                    <w:numPr>
                      <w:ilvl w:val="0"/>
                      <w:numId w:val="2"/>
                    </w:numPr>
                    <w:jc w:val="both"/>
                    <w:rPr>
                      <w:rFonts w:ascii="Utsaah" w:hAnsi="Utsaah" w:cs="Utsaah"/>
                      <w:color w:val="4A442A" w:themeColor="background2" w:themeShade="40"/>
                      <w:lang w:val="en-AU"/>
                    </w:rPr>
                  </w:pPr>
                  <w:r w:rsidRPr="000133CA">
                    <w:rPr>
                      <w:rFonts w:ascii="Utsaah" w:hAnsi="Utsaah" w:cs="Utsaah"/>
                      <w:color w:val="4A442A" w:themeColor="background2" w:themeShade="40"/>
                      <w:lang w:val="en-AU"/>
                    </w:rPr>
                    <w:t>A CSEF funded company must provide regular reporting to shareholders and the APO for public consumption; and</w:t>
                  </w:r>
                </w:p>
                <w:p w:rsidR="0061071A" w:rsidRDefault="0061071A" w:rsidP="000133CA">
                  <w:pPr>
                    <w:pStyle w:val="NoSpacing"/>
                    <w:ind w:left="720"/>
                    <w:jc w:val="both"/>
                    <w:rPr>
                      <w:rFonts w:ascii="Utsaah" w:hAnsi="Utsaah" w:cs="Utsaah"/>
                      <w:color w:val="4A442A" w:themeColor="background2" w:themeShade="40"/>
                      <w:lang w:val="en-AU"/>
                    </w:rPr>
                  </w:pPr>
                </w:p>
                <w:p w:rsidR="0061071A" w:rsidRPr="000133CA" w:rsidRDefault="0061071A" w:rsidP="00590E19">
                  <w:pPr>
                    <w:pStyle w:val="NoSpacing"/>
                    <w:numPr>
                      <w:ilvl w:val="0"/>
                      <w:numId w:val="2"/>
                    </w:numPr>
                    <w:jc w:val="both"/>
                    <w:rPr>
                      <w:rFonts w:ascii="Utsaah" w:hAnsi="Utsaah" w:cs="Utsaah"/>
                      <w:color w:val="4A442A" w:themeColor="background2" w:themeShade="40"/>
                      <w:lang w:val="en-AU"/>
                    </w:rPr>
                  </w:pPr>
                  <w:r w:rsidRPr="000133CA">
                    <w:rPr>
                      <w:rFonts w:ascii="Utsaah" w:hAnsi="Utsaah" w:cs="Utsaah"/>
                      <w:color w:val="4A442A" w:themeColor="background2" w:themeShade="40"/>
                      <w:lang w:val="en-AU"/>
                    </w:rPr>
                    <w:t>Longer term approving AML’s for secondary trading in what would become a junior board/s</w:t>
                  </w:r>
                  <w:r>
                    <w:rPr>
                      <w:rFonts w:ascii="Utsaah" w:hAnsi="Utsaah" w:cs="Utsaah"/>
                      <w:color w:val="4A442A" w:themeColor="background2" w:themeShade="40"/>
                      <w:lang w:val="en-AU"/>
                    </w:rPr>
                    <w:t>.</w:t>
                  </w:r>
                  <w:r w:rsidRPr="000133CA">
                    <w:rPr>
                      <w:rFonts w:ascii="Utsaah" w:hAnsi="Utsaah" w:cs="Utsaah"/>
                      <w:color w:val="4A442A" w:themeColor="background2" w:themeShade="40"/>
                      <w:lang w:val="en-AU"/>
                    </w:rPr>
                    <w:t xml:space="preserve"> </w:t>
                  </w:r>
                </w:p>
                <w:p w:rsidR="0061071A" w:rsidRPr="00590E19" w:rsidRDefault="0061071A" w:rsidP="00590E19">
                  <w:pPr>
                    <w:pStyle w:val="NoSpacing"/>
                    <w:jc w:val="both"/>
                    <w:rPr>
                      <w:rFonts w:ascii="Utsaah" w:hAnsi="Utsaah" w:cs="Utsaah"/>
                      <w:color w:val="4A442A" w:themeColor="background2" w:themeShade="40"/>
                      <w:lang w:val="en-AU"/>
                    </w:rPr>
                  </w:pPr>
                </w:p>
                <w:p w:rsidR="0061071A" w:rsidRPr="00590E19" w:rsidRDefault="0061071A" w:rsidP="00590E19">
                  <w:pPr>
                    <w:pStyle w:val="NoSpacing"/>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To us, CSEF is not all centred on the funding – far from it – once the funds are raised and invested, there should be rigour around the reporting channels by CSEF funded companies to their shareholders and to the market generally.</w:t>
                  </w:r>
                </w:p>
                <w:p w:rsidR="0061071A" w:rsidRPr="00590E19" w:rsidRDefault="0061071A" w:rsidP="00590E19">
                  <w:pPr>
                    <w:pStyle w:val="NoSpacing"/>
                    <w:jc w:val="both"/>
                    <w:rPr>
                      <w:rFonts w:ascii="Utsaah" w:hAnsi="Utsaah" w:cs="Utsaah"/>
                      <w:color w:val="4A442A" w:themeColor="background2" w:themeShade="40"/>
                      <w:lang w:val="en-AU"/>
                    </w:rPr>
                  </w:pPr>
                </w:p>
                <w:p w:rsidR="0061071A" w:rsidRPr="00590E19" w:rsidRDefault="0061071A" w:rsidP="00590E19">
                  <w:pPr>
                    <w:pStyle w:val="NoSpacing"/>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This in an environment needing close surveillance and oversight by ASIC and hopefully a dedicated CSEF market surveillance authority established by the federal government.</w:t>
                  </w:r>
                </w:p>
                <w:p w:rsidR="0061071A" w:rsidRPr="00590E19" w:rsidRDefault="0061071A" w:rsidP="00590E19">
                  <w:pPr>
                    <w:pStyle w:val="NoSpacing"/>
                    <w:jc w:val="both"/>
                    <w:rPr>
                      <w:rFonts w:ascii="Utsaah" w:hAnsi="Utsaah" w:cs="Utsaah"/>
                      <w:color w:val="4A442A" w:themeColor="background2" w:themeShade="40"/>
                      <w:lang w:val="en-AU"/>
                    </w:rPr>
                  </w:pPr>
                </w:p>
                <w:p w:rsidR="0061071A" w:rsidRDefault="0061071A" w:rsidP="00590E19">
                  <w:pPr>
                    <w:pStyle w:val="NoSpacing"/>
                    <w:jc w:val="both"/>
                    <w:rPr>
                      <w:rFonts w:ascii="Utsaah" w:hAnsi="Utsaah" w:cs="Utsaah"/>
                      <w:color w:val="4A442A" w:themeColor="background2" w:themeShade="40"/>
                      <w:lang w:val="en-AU"/>
                    </w:rPr>
                  </w:pPr>
                  <w:r w:rsidRPr="00590E19">
                    <w:rPr>
                      <w:rFonts w:ascii="Utsaah" w:hAnsi="Utsaah" w:cs="Utsaah"/>
                      <w:color w:val="4A442A" w:themeColor="background2" w:themeShade="40"/>
                      <w:lang w:val="en-AU"/>
                    </w:rPr>
                    <w:t>We believe by building such robustness around the unlisted sector, it will develop into an approved asset class for superannuation funds and other pools of capital that currently are unable to be deployed in this vital sector of the Australian capital markets.</w:t>
                  </w:r>
                </w:p>
                <w:p w:rsidR="0061071A" w:rsidRDefault="0061071A" w:rsidP="00C808E3">
                  <w:pPr>
                    <w:pStyle w:val="NoSpacing"/>
                    <w:jc w:val="both"/>
                    <w:rPr>
                      <w:rFonts w:ascii="Utsaah" w:hAnsi="Utsaah" w:cs="Utsaah"/>
                      <w:color w:val="4A442A" w:themeColor="background2" w:themeShade="40"/>
                      <w:lang w:val="en-AU"/>
                    </w:rPr>
                  </w:pPr>
                </w:p>
                <w:p w:rsidR="0061071A" w:rsidRPr="00185844" w:rsidRDefault="0061071A" w:rsidP="00C808E3">
                  <w:pPr>
                    <w:pStyle w:val="NoSpacing"/>
                    <w:jc w:val="both"/>
                    <w:rPr>
                      <w:rFonts w:ascii="Utsaah" w:hAnsi="Utsaah" w:cs="Utsaah"/>
                      <w:color w:val="4A442A" w:themeColor="background2" w:themeShade="40"/>
                      <w:lang w:val="en-AU"/>
                    </w:rPr>
                  </w:pPr>
                </w:p>
              </w:txbxContent>
            </v:textbox>
          </v:shape>
        </w:pict>
      </w:r>
    </w:p>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E3331C">
      <w:r>
        <w:rPr>
          <w:noProof/>
          <w:lang w:eastAsia="en-AU"/>
        </w:rPr>
        <w:lastRenderedPageBreak/>
        <w:pict>
          <v:shape id="Text Box 292" o:spid="_x0000_s1042" type="#_x0000_t202" style="position:absolute;margin-left:-59.5pt;margin-top:-50.5pt;width:186.05pt;height:76.7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Uw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" filled="f" stroked="f">
            <v:textbox>
              <w:txbxContent>
                <w:p w:rsidR="0061071A" w:rsidRDefault="0061071A" w:rsidP="00590E19">
                  <w:pPr>
                    <w:spacing w:after="0"/>
                    <w:rPr>
                      <w:rFonts w:ascii="Adobe Gothic Std B" w:eastAsia="Adobe Gothic Std B" w:hAnsi="Adobe Gothic Std B" w:cs="Arial"/>
                      <w:b/>
                      <w:bCs/>
                      <w:color w:val="FFFFFF" w:themeColor="background1"/>
                      <w:sz w:val="24"/>
                      <w:szCs w:val="24"/>
                    </w:rPr>
                  </w:pPr>
                </w:p>
                <w:p w:rsidR="0061071A" w:rsidRPr="002E68BC" w:rsidRDefault="0061071A" w:rsidP="00590E19">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THREE</w:t>
                  </w:r>
                </w:p>
                <w:p w:rsidR="0061071A" w:rsidRPr="001C7CF3" w:rsidRDefault="0061071A" w:rsidP="00590E19">
                  <w:pPr>
                    <w:spacing w:after="0"/>
                    <w:rPr>
                      <w:rFonts w:ascii="Utsaah" w:hAnsi="Utsaah" w:cs="Utsaah"/>
                      <w:color w:val="4A442A" w:themeColor="background2" w:themeShade="40"/>
                      <w:sz w:val="16"/>
                      <w:szCs w:val="16"/>
                    </w:rPr>
                  </w:pPr>
                </w:p>
              </w:txbxContent>
            </v:textbox>
          </v:shape>
        </w:pict>
      </w:r>
      <w:r w:rsidR="001F53D1">
        <w:rPr>
          <w:noProof/>
          <w:lang w:eastAsia="en-AU"/>
        </w:rPr>
        <w:drawing>
          <wp:anchor distT="0" distB="0" distL="114300" distR="114300" simplePos="0" relativeHeight="251829248"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290" o:spid="_x0000_s1111" style="position:absolute;margin-left:-.25pt;margin-top:-45.95pt;width:202.5pt;height:76.55pt;z-index:-251603968;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">
            <v:shape id="Freeform 756" o:spid="_x0000_s1112"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c2cYA&#10;AADcAAAADwAAAGRycy9kb3ducmV2LnhtbESPQUvEMBSE74L/ITzBi+ymXUTWumkpC6J4ELf1sMdH&#10;82yrzUtJ0m311xtB2OMwM98wu2IxgziR871lBek6AUHcWN1zq+C9flxtQfiArHGwTAq+yUORX17s&#10;MNN25gOdqtCKCGGfoYIuhDGT0jcdGfRrOxJH78M6gyFK10rtcI5wM8hNktxJgz3HhQ5H2nfUfFWT&#10;UfA5zWX99oSH5Djt3cvtz01a1q9KXV8t5QOIQEs4h//bz1rB5j6F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zc2cYAAADcAAAADwAAAAAAAAAAAAAAAACYAgAAZHJz&#10;L2Rvd25yZXYueG1sUEsFBgAAAAAEAAQA9QAAAIsDA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0D11AC" w:rsidRDefault="000D11AC"/>
    <w:p w:rsidR="000D11AC" w:rsidRDefault="00E3331C">
      <w:r>
        <w:rPr>
          <w:noProof/>
          <w:lang w:eastAsia="en-AU"/>
        </w:rPr>
        <w:pict>
          <v:shape id="Text Box 293" o:spid="_x0000_s1043" type="#_x0000_t202" style="position:absolute;margin-left:10.2pt;margin-top:1.4pt;width:6in;height:38.0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vI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" filled="f" stroked="f">
            <v:textbox>
              <w:txbxContent>
                <w:p w:rsidR="0061071A" w:rsidRPr="00C23713" w:rsidRDefault="0061071A" w:rsidP="00063D72">
                  <w:pPr>
                    <w:pStyle w:val="NoSpacing"/>
                    <w:jc w:val="center"/>
                    <w:rPr>
                      <w:rFonts w:ascii="Adobe Gothic Std B" w:eastAsia="Adobe Gothic Std B" w:hAnsi="Adobe Gothic Std B" w:cs="Utsaah"/>
                      <w:color w:val="00B0F0"/>
                      <w:lang w:val="en-AU"/>
                    </w:rPr>
                  </w:pPr>
                  <w:r>
                    <w:rPr>
                      <w:rFonts w:ascii="Adobe Gothic Std B" w:eastAsia="Adobe Gothic Std B" w:hAnsi="Adobe Gothic Std B" w:cs="Utsaah"/>
                      <w:color w:val="00B0F0"/>
                      <w:lang w:val="en-AU"/>
                    </w:rPr>
                    <w:t xml:space="preserve">Part Three - </w:t>
                  </w:r>
                  <w:r w:rsidRPr="001B0D13">
                    <w:rPr>
                      <w:rFonts w:ascii="Adobe Gothic Std B" w:eastAsia="Adobe Gothic Std B" w:hAnsi="Adobe Gothic Std B" w:cs="Utsaah"/>
                      <w:color w:val="00B0F0"/>
                      <w:lang w:val="en-AU"/>
                    </w:rPr>
                    <w:t xml:space="preserve">Notes supporting </w:t>
                  </w:r>
                  <w:r>
                    <w:rPr>
                      <w:rFonts w:ascii="Adobe Gothic Std B" w:eastAsia="Adobe Gothic Std B" w:hAnsi="Adobe Gothic Std B" w:cs="Utsaah"/>
                      <w:color w:val="00B0F0"/>
                      <w:lang w:val="en-AU"/>
                    </w:rPr>
                    <w:t xml:space="preserve">Our </w:t>
                  </w:r>
                  <w:r w:rsidRPr="001B0D13">
                    <w:rPr>
                      <w:rFonts w:ascii="Adobe Gothic Std B" w:eastAsia="Adobe Gothic Std B" w:hAnsi="Adobe Gothic Std B" w:cs="Utsaah"/>
                      <w:color w:val="00B0F0"/>
                      <w:lang w:val="en-AU"/>
                    </w:rPr>
                    <w:t>Key Recommendations</w:t>
                  </w:r>
                </w:p>
              </w:txbxContent>
            </v:textbox>
          </v:shape>
        </w:pict>
      </w:r>
    </w:p>
    <w:tbl>
      <w:tblPr>
        <w:tblStyle w:val="TableGrid"/>
        <w:tblpPr w:leftFromText="180" w:rightFromText="180" w:vertAnchor="page" w:horzAnchor="margin" w:tblpXSpec="center" w:tblpY="3669"/>
        <w:tblW w:w="9039" w:type="dxa"/>
        <w:tblLayout w:type="fixed"/>
        <w:tblLook w:val="04A0" w:firstRow="1" w:lastRow="0" w:firstColumn="1" w:lastColumn="0" w:noHBand="0" w:noVBand="1"/>
      </w:tblPr>
      <w:tblGrid>
        <w:gridCol w:w="1418"/>
        <w:gridCol w:w="7621"/>
      </w:tblGrid>
      <w:tr w:rsidR="001B0D13" w:rsidRPr="00012E22" w:rsidTr="00264784">
        <w:trPr>
          <w:trHeight w:val="144"/>
        </w:trPr>
        <w:tc>
          <w:tcPr>
            <w:tcW w:w="1418" w:type="dxa"/>
          </w:tcPr>
          <w:p w:rsidR="001B0D13" w:rsidRPr="001B0D13" w:rsidRDefault="001B0D13" w:rsidP="001B0D13">
            <w:pPr>
              <w:jc w:val="both"/>
              <w:rPr>
                <w:rFonts w:ascii="Utsaah" w:hAnsi="Utsaah" w:cs="Utsaah"/>
                <w:b/>
                <w:color w:val="4A442A" w:themeColor="background2" w:themeShade="40"/>
                <w:sz w:val="72"/>
                <w:szCs w:val="72"/>
              </w:rPr>
            </w:pPr>
            <w:r w:rsidRPr="001B0D13">
              <w:rPr>
                <w:rFonts w:ascii="Utsaah" w:hAnsi="Utsaah" w:cs="Utsaah"/>
                <w:b/>
                <w:color w:val="00B0F0"/>
                <w:sz w:val="72"/>
                <w:szCs w:val="72"/>
              </w:rPr>
              <w:t>1</w:t>
            </w:r>
          </w:p>
        </w:tc>
        <w:tc>
          <w:tcPr>
            <w:tcW w:w="7621" w:type="dxa"/>
          </w:tcPr>
          <w:p w:rsidR="001B0D13" w:rsidRPr="001B0D13" w:rsidRDefault="001B0D13" w:rsidP="001B0D13">
            <w:pPr>
              <w:jc w:val="both"/>
              <w:rPr>
                <w:rFonts w:ascii="Utsaah" w:hAnsi="Utsaah" w:cs="Utsaah"/>
                <w:b/>
                <w:color w:val="00B0F0"/>
                <w:sz w:val="22"/>
                <w:szCs w:val="22"/>
              </w:rPr>
            </w:pPr>
            <w:r w:rsidRPr="001B0D13">
              <w:rPr>
                <w:rFonts w:ascii="Utsaah" w:hAnsi="Utsaah" w:cs="Utsaah"/>
                <w:b/>
                <w:color w:val="00B0F0"/>
                <w:sz w:val="22"/>
                <w:szCs w:val="22"/>
              </w:rPr>
              <w:t>Amend s113 of the CA to enable Pty Ltd companies to have 100 non-employee shareholders</w:t>
            </w:r>
          </w:p>
          <w:p w:rsidR="001B0D13" w:rsidRPr="001B0D13" w:rsidRDefault="001B0D13" w:rsidP="001B0D13">
            <w:pPr>
              <w:jc w:val="both"/>
              <w:rPr>
                <w:rFonts w:ascii="Utsaah" w:hAnsi="Utsaah" w:cs="Utsaah"/>
                <w:color w:val="4A442A" w:themeColor="background2" w:themeShade="40"/>
                <w:sz w:val="22"/>
                <w:szCs w:val="22"/>
              </w:rPr>
            </w:pPr>
          </w:p>
          <w:p w:rsid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 xml:space="preserve">In today’s increasingly active market places with increased pace of business, online environments and geographically spread offices and branch offices (Australia and overseas) for SME’s there needs to be recognition that the long standing 50 non-employee shareholder threshold should be lifted – we recommend up to 100 non-employee shareholders to keep up to date with contemporary corporate structures. Any Pty Ltd with over 50 shareholders would as a trade-off need to report similar to large Pty Ltd companies. </w:t>
            </w:r>
          </w:p>
          <w:p w:rsidR="001B0D13" w:rsidRDefault="001B0D13" w:rsidP="001B0D13">
            <w:pPr>
              <w:jc w:val="both"/>
              <w:rPr>
                <w:rFonts w:ascii="Utsaah" w:hAnsi="Utsaah" w:cs="Utsaah"/>
                <w:color w:val="4A442A" w:themeColor="background2" w:themeShade="40"/>
                <w:sz w:val="22"/>
                <w:szCs w:val="22"/>
              </w:rPr>
            </w:pPr>
          </w:p>
          <w:p w:rsid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Also they would need to maintain comprehensive members registers and ensure they had a complying constitution (or replaceable rules) to ensure shareholder rights reflected latest corporate practices and covered pre-emptive rights and possibly tag and drag provisions given there may (or may not be) shareholder agreements in place given the extra numbers. Any company with greater than 50 non-employee shareholders would be required to send out an annual report to all shareholders (or electronically) and convene a members meeting if requisitioned by greater than 10% of the number of shareholders or those holding greater than 10% of the shares.</w:t>
            </w:r>
          </w:p>
          <w:p w:rsidR="001B0D13" w:rsidRPr="001B0D13" w:rsidRDefault="001B0D13" w:rsidP="001B0D13">
            <w:pPr>
              <w:jc w:val="both"/>
              <w:rPr>
                <w:rFonts w:ascii="Utsaah" w:hAnsi="Utsaah" w:cs="Utsaah"/>
                <w:color w:val="4A442A" w:themeColor="background2" w:themeShade="40"/>
                <w:sz w:val="22"/>
                <w:szCs w:val="22"/>
              </w:rPr>
            </w:pPr>
          </w:p>
          <w:p w:rsidR="001B0D13" w:rsidRP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 xml:space="preserve">All shares would need to be of the one class – ordinary. </w:t>
            </w:r>
          </w:p>
          <w:p w:rsidR="001B0D13" w:rsidRDefault="001B0D13" w:rsidP="001B0D13">
            <w:pPr>
              <w:jc w:val="both"/>
              <w:rPr>
                <w:rFonts w:ascii="Utsaah" w:hAnsi="Utsaah" w:cs="Utsaah"/>
                <w:color w:val="4A442A" w:themeColor="background2" w:themeShade="40"/>
                <w:sz w:val="22"/>
                <w:szCs w:val="22"/>
              </w:rPr>
            </w:pPr>
          </w:p>
          <w:p w:rsidR="001B0D13" w:rsidRP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We believe that companies with non-employee shareholders between 50 and 100 members should if looking to raise further capital do so by a rights issue to existing members before seeking any further equity or convertible hybrid equity instruments. We do not see this increased limit as unwieldy or exposing ordinary investors to any more risk than the present regime.</w:t>
            </w:r>
          </w:p>
          <w:p w:rsidR="001B0D13" w:rsidRPr="001B0D13" w:rsidRDefault="001B0D13" w:rsidP="001B0D13">
            <w:pPr>
              <w:jc w:val="both"/>
              <w:rPr>
                <w:rFonts w:ascii="Utsaah" w:hAnsi="Utsaah" w:cs="Utsaah"/>
                <w:color w:val="4A442A" w:themeColor="background2" w:themeShade="40"/>
                <w:sz w:val="22"/>
                <w:szCs w:val="22"/>
              </w:rPr>
            </w:pPr>
          </w:p>
        </w:tc>
      </w:tr>
      <w:tr w:rsidR="001B0D13" w:rsidRPr="00012E22" w:rsidTr="00264784">
        <w:trPr>
          <w:trHeight w:val="144"/>
        </w:trPr>
        <w:tc>
          <w:tcPr>
            <w:tcW w:w="1418" w:type="dxa"/>
          </w:tcPr>
          <w:p w:rsidR="001B0D13" w:rsidRPr="001B0D13" w:rsidRDefault="001B0D13" w:rsidP="001B0D13">
            <w:pPr>
              <w:jc w:val="both"/>
              <w:rPr>
                <w:rFonts w:ascii="Utsaah" w:hAnsi="Utsaah" w:cs="Utsaah"/>
                <w:b/>
                <w:color w:val="4A442A" w:themeColor="background2" w:themeShade="40"/>
                <w:sz w:val="72"/>
                <w:szCs w:val="72"/>
              </w:rPr>
            </w:pPr>
            <w:r w:rsidRPr="001B0D13">
              <w:rPr>
                <w:rFonts w:ascii="Utsaah" w:hAnsi="Utsaah" w:cs="Utsaah"/>
                <w:b/>
                <w:color w:val="00B0F0"/>
                <w:sz w:val="72"/>
                <w:szCs w:val="72"/>
              </w:rPr>
              <w:t>2</w:t>
            </w:r>
          </w:p>
        </w:tc>
        <w:tc>
          <w:tcPr>
            <w:tcW w:w="7621" w:type="dxa"/>
          </w:tcPr>
          <w:p w:rsidR="001B0D13" w:rsidRPr="001B0D13" w:rsidRDefault="001B0D13" w:rsidP="001B0D13">
            <w:pPr>
              <w:jc w:val="both"/>
              <w:rPr>
                <w:rFonts w:ascii="Utsaah" w:hAnsi="Utsaah" w:cs="Utsaah"/>
                <w:b/>
                <w:color w:val="00B0F0"/>
                <w:sz w:val="22"/>
                <w:szCs w:val="22"/>
              </w:rPr>
            </w:pPr>
            <w:r w:rsidRPr="001B0D13">
              <w:rPr>
                <w:rFonts w:ascii="Utsaah" w:hAnsi="Utsaah" w:cs="Utsaah"/>
                <w:b/>
                <w:color w:val="00B0F0"/>
                <w:sz w:val="22"/>
                <w:szCs w:val="22"/>
              </w:rPr>
              <w:t>Amend S708 of the CA to change the 20/12 “rule” to 50/12</w:t>
            </w:r>
          </w:p>
          <w:p w:rsidR="001B0D13" w:rsidRPr="001B0D13" w:rsidRDefault="001B0D13" w:rsidP="001B0D13">
            <w:pPr>
              <w:jc w:val="both"/>
              <w:rPr>
                <w:rFonts w:ascii="Utsaah" w:hAnsi="Utsaah" w:cs="Utsaah"/>
                <w:color w:val="4A442A" w:themeColor="background2" w:themeShade="40"/>
                <w:sz w:val="22"/>
                <w:szCs w:val="22"/>
              </w:rPr>
            </w:pPr>
          </w:p>
          <w:p w:rsid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Similar to the above, we recommend the 20/12 rule become 50/12 and this would dovetail into our recommendation #1. The 20/12 rule is restrictive in today’s more hectic corporate life and it would greatly help private companies to access the capital within current Companies Act frameworks.</w:t>
            </w:r>
          </w:p>
          <w:p w:rsidR="001B0D13" w:rsidRPr="001B0D13" w:rsidRDefault="001B0D13" w:rsidP="001B0D13">
            <w:pPr>
              <w:jc w:val="both"/>
              <w:rPr>
                <w:rFonts w:ascii="Utsaah" w:hAnsi="Utsaah" w:cs="Utsaah"/>
                <w:color w:val="4A442A" w:themeColor="background2" w:themeShade="40"/>
                <w:sz w:val="22"/>
                <w:szCs w:val="22"/>
              </w:rPr>
            </w:pPr>
          </w:p>
          <w:p w:rsidR="001B0D13" w:rsidRP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Whether it is 20 / 40 or 50 the dynamics and responsibilities do not change - it simply makes it more capital efficient for growth orientated companies. Same provisions would apply as above for companies with 50 + shareholders on board.</w:t>
            </w:r>
          </w:p>
          <w:p w:rsidR="001B0D13" w:rsidRPr="001B0D13" w:rsidRDefault="001B0D13" w:rsidP="001B0D13">
            <w:pPr>
              <w:jc w:val="both"/>
              <w:rPr>
                <w:rFonts w:ascii="Utsaah" w:hAnsi="Utsaah" w:cs="Utsaah"/>
                <w:color w:val="4A442A" w:themeColor="background2" w:themeShade="40"/>
                <w:sz w:val="22"/>
                <w:szCs w:val="22"/>
              </w:rPr>
            </w:pPr>
          </w:p>
        </w:tc>
      </w:tr>
      <w:tr w:rsidR="001B0D13" w:rsidRPr="00012E22" w:rsidTr="00264784">
        <w:trPr>
          <w:trHeight w:val="144"/>
        </w:trPr>
        <w:tc>
          <w:tcPr>
            <w:tcW w:w="1418" w:type="dxa"/>
          </w:tcPr>
          <w:p w:rsidR="001B0D13" w:rsidRPr="001B0D13" w:rsidRDefault="001B0D13" w:rsidP="001B0D13">
            <w:pPr>
              <w:jc w:val="both"/>
              <w:rPr>
                <w:rFonts w:ascii="Utsaah" w:hAnsi="Utsaah" w:cs="Utsaah"/>
                <w:b/>
                <w:color w:val="4A442A" w:themeColor="background2" w:themeShade="40"/>
                <w:sz w:val="72"/>
                <w:szCs w:val="72"/>
              </w:rPr>
            </w:pPr>
            <w:r w:rsidRPr="001B0D13">
              <w:rPr>
                <w:rFonts w:ascii="Utsaah" w:hAnsi="Utsaah" w:cs="Utsaah"/>
                <w:b/>
                <w:color w:val="00B0F0"/>
                <w:sz w:val="72"/>
                <w:szCs w:val="72"/>
              </w:rPr>
              <w:t>3</w:t>
            </w:r>
          </w:p>
        </w:tc>
        <w:tc>
          <w:tcPr>
            <w:tcW w:w="7621" w:type="dxa"/>
          </w:tcPr>
          <w:p w:rsidR="001B0D13" w:rsidRPr="001B0D13" w:rsidRDefault="001B0D13" w:rsidP="001B0D13">
            <w:pPr>
              <w:jc w:val="both"/>
              <w:rPr>
                <w:rFonts w:ascii="Utsaah" w:hAnsi="Utsaah" w:cs="Utsaah"/>
                <w:b/>
                <w:color w:val="00B0F0"/>
                <w:sz w:val="22"/>
                <w:szCs w:val="22"/>
              </w:rPr>
            </w:pPr>
            <w:r w:rsidRPr="001B0D13">
              <w:rPr>
                <w:rFonts w:ascii="Utsaah" w:hAnsi="Utsaah" w:cs="Utsaah"/>
                <w:b/>
                <w:color w:val="00B0F0"/>
                <w:sz w:val="22"/>
                <w:szCs w:val="22"/>
              </w:rPr>
              <w:t>Amend s708 in tandem with the above from  $2m to $3m and up to $5m for qualifying Pty Ltd companies</w:t>
            </w:r>
          </w:p>
          <w:p w:rsidR="001B0D13" w:rsidRPr="001B0D13" w:rsidRDefault="001B0D13" w:rsidP="001B0D13">
            <w:pPr>
              <w:jc w:val="both"/>
              <w:rPr>
                <w:rFonts w:ascii="Utsaah" w:hAnsi="Utsaah" w:cs="Utsaah"/>
                <w:color w:val="4A442A" w:themeColor="background2" w:themeShade="40"/>
                <w:sz w:val="22"/>
                <w:szCs w:val="22"/>
              </w:rPr>
            </w:pPr>
          </w:p>
          <w:p w:rsid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We recommend a slight relaxation of the small scale raising threshold from $2m to $3m in any 12 month period for “emerging companies” (refer recommendation #3 below) and to $5m for “established companies” (refer recommendation #3 below).</w:t>
            </w:r>
          </w:p>
          <w:p w:rsidR="001B0D13" w:rsidRPr="001B0D13" w:rsidRDefault="001B0D13" w:rsidP="001B0D13">
            <w:pPr>
              <w:jc w:val="both"/>
              <w:rPr>
                <w:rFonts w:ascii="Utsaah" w:hAnsi="Utsaah" w:cs="Utsaah"/>
                <w:color w:val="4A442A" w:themeColor="background2" w:themeShade="40"/>
                <w:sz w:val="22"/>
                <w:szCs w:val="22"/>
              </w:rPr>
            </w:pPr>
          </w:p>
          <w:p w:rsidR="001B0D13" w:rsidRPr="001B0D13" w:rsidRDefault="001B0D13" w:rsidP="001B0D13">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Again in contemporary corporate environments such thresholds are a responsible increase to address the increasingly complex corporate and business operational environments faced by companies today.</w:t>
            </w:r>
          </w:p>
          <w:p w:rsidR="001B0D13" w:rsidRPr="001B0D13" w:rsidRDefault="001B0D13" w:rsidP="001B0D13">
            <w:pPr>
              <w:jc w:val="both"/>
              <w:rPr>
                <w:rFonts w:ascii="Utsaah" w:hAnsi="Utsaah" w:cs="Utsaah"/>
                <w:color w:val="4A442A" w:themeColor="background2" w:themeShade="40"/>
                <w:sz w:val="22"/>
                <w:szCs w:val="22"/>
              </w:rPr>
            </w:pPr>
          </w:p>
        </w:tc>
      </w:tr>
    </w:tbl>
    <w:p w:rsidR="000D11AC" w:rsidRDefault="000D11AC"/>
    <w:p w:rsidR="000D11AC" w:rsidRDefault="000D11AC"/>
    <w:p w:rsidR="000D11AC" w:rsidRDefault="000D11AC"/>
    <w:p w:rsidR="000D11AC" w:rsidRDefault="00E3331C">
      <w:r>
        <w:rPr>
          <w:noProof/>
          <w:lang w:eastAsia="en-AU"/>
        </w:rPr>
        <w:lastRenderedPageBreak/>
        <w:pict>
          <v:shape id="Text Box 296" o:spid="_x0000_s1044" type="#_x0000_t202" style="position:absolute;margin-left:-64.1pt;margin-top:-50.75pt;width:186.05pt;height:76.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o8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" filled="f" stroked="f">
            <v:textbox>
              <w:txbxContent>
                <w:p w:rsidR="0061071A" w:rsidRDefault="0061071A" w:rsidP="001B0D13">
                  <w:pPr>
                    <w:spacing w:after="0"/>
                    <w:rPr>
                      <w:rFonts w:ascii="Adobe Gothic Std B" w:eastAsia="Adobe Gothic Std B" w:hAnsi="Adobe Gothic Std B" w:cs="Arial"/>
                      <w:b/>
                      <w:bCs/>
                      <w:color w:val="FFFFFF" w:themeColor="background1"/>
                      <w:sz w:val="24"/>
                      <w:szCs w:val="24"/>
                    </w:rPr>
                  </w:pPr>
                </w:p>
                <w:p w:rsidR="0061071A" w:rsidRPr="002E68BC" w:rsidRDefault="0061071A" w:rsidP="001B0D13">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PART THREE (CONT.)</w:t>
                  </w:r>
                </w:p>
                <w:p w:rsidR="0061071A" w:rsidRPr="001C7CF3" w:rsidRDefault="0061071A" w:rsidP="001B0D13">
                  <w:pPr>
                    <w:spacing w:after="0"/>
                    <w:rPr>
                      <w:rFonts w:ascii="Utsaah" w:hAnsi="Utsaah" w:cs="Utsaah"/>
                      <w:color w:val="4A442A" w:themeColor="background2" w:themeShade="40"/>
                      <w:sz w:val="16"/>
                      <w:szCs w:val="16"/>
                    </w:rPr>
                  </w:pPr>
                </w:p>
              </w:txbxContent>
            </v:textbox>
          </v:shape>
        </w:pict>
      </w:r>
      <w:r w:rsidR="001F53D1">
        <w:rPr>
          <w:noProof/>
          <w:lang w:eastAsia="en-AU"/>
        </w:rPr>
        <w:drawing>
          <wp:anchor distT="0" distB="0" distL="114300" distR="114300" simplePos="0" relativeHeight="251831296"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294" o:spid="_x0000_s1109" style="position:absolute;margin-left:-.1pt;margin-top:-46pt;width:202.5pt;height:76.55pt;z-index:-251598848;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">
            <v:shape id="Freeform 756" o:spid="_x0000_s1110"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a2scA&#10;AADcAAAADwAAAGRycy9kb3ducmV2LnhtbESPQWvCQBSE74X+h+UVeim6UbRodJUglEoPRY0Hj4/s&#10;a5I2+zbsbkzaX98tCD0OM/MNs94OphFXcr62rGAyTkAQF1bXXCo45y+jBQgfkDU2lknBN3nYbu7v&#10;1phq2/ORrqdQighhn6KCKoQ2ldIXFRn0Y9sSR+/DOoMhSldK7bCPcNPIaZI8S4M1x4UKW9pVVHyd&#10;OqPgs+uz/PCKx+TS7dzb7OdpkuXvSj0+DNkKRKAh/Idv7b1WMF3O4e9M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n2tr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0D11AC" w:rsidRDefault="000D11AC"/>
    <w:p w:rsidR="000D11AC" w:rsidRDefault="000D11AC"/>
    <w:tbl>
      <w:tblPr>
        <w:tblStyle w:val="TableGrid"/>
        <w:tblpPr w:leftFromText="180" w:rightFromText="180" w:vertAnchor="page" w:horzAnchor="margin" w:tblpXSpec="center" w:tblpY="3669"/>
        <w:tblW w:w="9073" w:type="dxa"/>
        <w:tblLayout w:type="fixed"/>
        <w:tblLook w:val="04A0" w:firstRow="1" w:lastRow="0" w:firstColumn="1" w:lastColumn="0" w:noHBand="0" w:noVBand="1"/>
      </w:tblPr>
      <w:tblGrid>
        <w:gridCol w:w="1418"/>
        <w:gridCol w:w="7655"/>
      </w:tblGrid>
      <w:tr w:rsidR="001B0D13" w:rsidRPr="00012E22" w:rsidTr="00264784">
        <w:trPr>
          <w:trHeight w:val="144"/>
        </w:trPr>
        <w:tc>
          <w:tcPr>
            <w:tcW w:w="1418" w:type="dxa"/>
          </w:tcPr>
          <w:p w:rsidR="001B0D13" w:rsidRDefault="007C759E" w:rsidP="00FE07BD">
            <w:pPr>
              <w:jc w:val="both"/>
              <w:rPr>
                <w:rFonts w:ascii="Utsaah" w:hAnsi="Utsaah" w:cs="Utsaah"/>
                <w:b/>
                <w:color w:val="00B0F0"/>
                <w:sz w:val="72"/>
                <w:szCs w:val="72"/>
              </w:rPr>
            </w:pPr>
            <w:r>
              <w:rPr>
                <w:rFonts w:ascii="Utsaah" w:hAnsi="Utsaah" w:cs="Utsaah"/>
                <w:b/>
                <w:color w:val="00B0F0"/>
                <w:sz w:val="72"/>
                <w:szCs w:val="72"/>
              </w:rPr>
              <w:t>4</w:t>
            </w:r>
          </w:p>
          <w:p w:rsidR="007C759E" w:rsidRPr="001B0D13" w:rsidRDefault="007C759E" w:rsidP="00FE07BD">
            <w:pPr>
              <w:jc w:val="both"/>
              <w:rPr>
                <w:rFonts w:ascii="Utsaah" w:hAnsi="Utsaah" w:cs="Utsaah"/>
                <w:b/>
                <w:color w:val="4A442A" w:themeColor="background2" w:themeShade="40"/>
                <w:sz w:val="72"/>
                <w:szCs w:val="72"/>
              </w:rPr>
            </w:pPr>
            <w:r>
              <w:rPr>
                <w:rFonts w:ascii="Utsaah" w:hAnsi="Utsaah" w:cs="Utsaah"/>
                <w:b/>
                <w:color w:val="00B0F0"/>
                <w:sz w:val="72"/>
                <w:szCs w:val="72"/>
              </w:rPr>
              <w:t>5</w:t>
            </w:r>
          </w:p>
        </w:tc>
        <w:tc>
          <w:tcPr>
            <w:tcW w:w="7655" w:type="dxa"/>
          </w:tcPr>
          <w:p w:rsidR="001B0D13" w:rsidRPr="00FC5D46" w:rsidRDefault="001B0D13" w:rsidP="00FE07BD">
            <w:pPr>
              <w:jc w:val="both"/>
              <w:rPr>
                <w:rFonts w:ascii="Utsaah" w:hAnsi="Utsaah" w:cs="Utsaah"/>
                <w:b/>
                <w:color w:val="4A442A" w:themeColor="background2" w:themeShade="40"/>
                <w:sz w:val="22"/>
                <w:szCs w:val="22"/>
              </w:rPr>
            </w:pPr>
            <w:r w:rsidRPr="00817765">
              <w:rPr>
                <w:rFonts w:ascii="Utsaah" w:hAnsi="Utsaah" w:cs="Utsaah"/>
                <w:b/>
                <w:color w:val="00B0F0"/>
                <w:sz w:val="22"/>
                <w:szCs w:val="22"/>
              </w:rPr>
              <w:t xml:space="preserve">Amend s45A (3) of CA to also deem a Pty Ltd company </w:t>
            </w:r>
            <w:r w:rsidRPr="00FC5D46">
              <w:rPr>
                <w:rFonts w:ascii="Utsaah" w:hAnsi="Utsaah" w:cs="Utsaah"/>
                <w:b/>
                <w:color w:val="4A442A" w:themeColor="background2" w:themeShade="40"/>
                <w:sz w:val="22"/>
                <w:szCs w:val="22"/>
              </w:rPr>
              <w:t>to be a large Pty Ltd IF the  company and the entities it controls (if any) have 50 shareholders, or any other number prescribed by the regulations for the purposes of paragraph 45(2)(c), or more whether employees or non-employees at the end of the financial year.</w:t>
            </w:r>
          </w:p>
          <w:p w:rsidR="001B0D13" w:rsidRDefault="001B0D13" w:rsidP="00FE07BD">
            <w:pPr>
              <w:jc w:val="both"/>
              <w:rPr>
                <w:rFonts w:ascii="Utsaah" w:hAnsi="Utsaah" w:cs="Utsaah"/>
                <w:color w:val="4A442A" w:themeColor="background2" w:themeShade="40"/>
                <w:sz w:val="22"/>
                <w:szCs w:val="22"/>
              </w:rPr>
            </w:pPr>
          </w:p>
          <w:p w:rsidR="001B0D13" w:rsidRPr="00817765" w:rsidRDefault="001B0D13" w:rsidP="00FE07BD">
            <w:pPr>
              <w:jc w:val="both"/>
              <w:rPr>
                <w:rFonts w:ascii="Utsaah" w:hAnsi="Utsaah" w:cs="Utsaah"/>
                <w:b/>
                <w:color w:val="00B0F0"/>
                <w:sz w:val="22"/>
                <w:szCs w:val="22"/>
              </w:rPr>
            </w:pPr>
            <w:r w:rsidRPr="00817765">
              <w:rPr>
                <w:rFonts w:ascii="Utsaah" w:hAnsi="Utsaah" w:cs="Utsaah"/>
                <w:b/>
                <w:color w:val="00B0F0"/>
                <w:sz w:val="22"/>
                <w:szCs w:val="22"/>
              </w:rPr>
              <w:t>Consequential changes to be made to Chapter 6D of CA to cater for above.</w:t>
            </w:r>
          </w:p>
          <w:p w:rsidR="001B0D13" w:rsidRDefault="001B0D13" w:rsidP="00FE07BD">
            <w:pPr>
              <w:jc w:val="both"/>
              <w:rPr>
                <w:rFonts w:ascii="Utsaah" w:hAnsi="Utsaah" w:cs="Utsaah"/>
                <w:color w:val="4A442A" w:themeColor="background2" w:themeShade="40"/>
                <w:sz w:val="22"/>
                <w:szCs w:val="22"/>
              </w:rPr>
            </w:pPr>
          </w:p>
          <w:p w:rsidR="001B0D13" w:rsidRDefault="001B0D13" w:rsidP="00FE07BD">
            <w:pPr>
              <w:jc w:val="both"/>
              <w:rPr>
                <w:rFonts w:ascii="Utsaah" w:hAnsi="Utsaah" w:cs="Utsaah"/>
                <w:color w:val="4A442A" w:themeColor="background2" w:themeShade="40"/>
                <w:sz w:val="22"/>
                <w:szCs w:val="22"/>
              </w:rPr>
            </w:pPr>
            <w:r w:rsidRPr="001B0D13">
              <w:rPr>
                <w:rFonts w:ascii="Utsaah" w:hAnsi="Utsaah" w:cs="Utsaah"/>
                <w:color w:val="4A442A" w:themeColor="background2" w:themeShade="40"/>
                <w:sz w:val="22"/>
                <w:szCs w:val="22"/>
              </w:rPr>
              <w:t>Recommendations 4</w:t>
            </w:r>
            <w:r w:rsidR="00817765">
              <w:rPr>
                <w:rFonts w:ascii="Utsaah" w:hAnsi="Utsaah" w:cs="Utsaah"/>
                <w:color w:val="4A442A" w:themeColor="background2" w:themeShade="40"/>
                <w:sz w:val="22"/>
                <w:szCs w:val="22"/>
              </w:rPr>
              <w:t xml:space="preserve"> </w:t>
            </w:r>
            <w:r w:rsidRPr="001B0D13">
              <w:rPr>
                <w:rFonts w:ascii="Utsaah" w:hAnsi="Utsaah" w:cs="Utsaah"/>
                <w:color w:val="4A442A" w:themeColor="background2" w:themeShade="40"/>
                <w:sz w:val="22"/>
                <w:szCs w:val="22"/>
              </w:rPr>
              <w:t>&amp; 5 are simply consequential amendments and add a new test at S45A(3) to 50+ shareholders re becoming deemed to be a large Pty Ltd for reporting purposes.</w:t>
            </w:r>
          </w:p>
          <w:p w:rsidR="00817765" w:rsidRPr="001B0D13" w:rsidRDefault="00817765" w:rsidP="00FE07BD">
            <w:pPr>
              <w:jc w:val="both"/>
              <w:rPr>
                <w:rFonts w:ascii="Utsaah" w:hAnsi="Utsaah" w:cs="Utsaah"/>
                <w:color w:val="4A442A" w:themeColor="background2" w:themeShade="40"/>
                <w:sz w:val="22"/>
                <w:szCs w:val="22"/>
              </w:rPr>
            </w:pPr>
          </w:p>
        </w:tc>
      </w:tr>
      <w:tr w:rsidR="001B0D13" w:rsidRPr="00012E22" w:rsidTr="00264784">
        <w:trPr>
          <w:trHeight w:val="144"/>
        </w:trPr>
        <w:tc>
          <w:tcPr>
            <w:tcW w:w="1418" w:type="dxa"/>
          </w:tcPr>
          <w:p w:rsidR="001B0D13" w:rsidRPr="001B0D13" w:rsidRDefault="007C759E" w:rsidP="00FE07BD">
            <w:pPr>
              <w:jc w:val="both"/>
              <w:rPr>
                <w:rFonts w:ascii="Utsaah" w:hAnsi="Utsaah" w:cs="Utsaah"/>
                <w:b/>
                <w:color w:val="4A442A" w:themeColor="background2" w:themeShade="40"/>
                <w:sz w:val="72"/>
                <w:szCs w:val="72"/>
              </w:rPr>
            </w:pPr>
            <w:r>
              <w:rPr>
                <w:rFonts w:ascii="Utsaah" w:hAnsi="Utsaah" w:cs="Utsaah"/>
                <w:b/>
                <w:color w:val="00B0F0"/>
                <w:sz w:val="72"/>
                <w:szCs w:val="72"/>
              </w:rPr>
              <w:t>6</w:t>
            </w:r>
          </w:p>
        </w:tc>
        <w:tc>
          <w:tcPr>
            <w:tcW w:w="7655" w:type="dxa"/>
          </w:tcPr>
          <w:p w:rsidR="00817765" w:rsidRDefault="00817765" w:rsidP="00817765">
            <w:pPr>
              <w:jc w:val="both"/>
              <w:rPr>
                <w:rFonts w:ascii="Utsaah" w:hAnsi="Utsaah" w:cs="Utsaah"/>
                <w:b/>
                <w:color w:val="00B0F0"/>
                <w:sz w:val="22"/>
                <w:szCs w:val="22"/>
              </w:rPr>
            </w:pPr>
            <w:r w:rsidRPr="00817765">
              <w:rPr>
                <w:rFonts w:ascii="Utsaah" w:hAnsi="Utsaah" w:cs="Utsaah"/>
                <w:b/>
                <w:color w:val="00B0F0"/>
                <w:sz w:val="22"/>
                <w:szCs w:val="22"/>
              </w:rPr>
              <w:t>Eligible Issuers defined as two categories of Eligible Issuer:</w:t>
            </w:r>
          </w:p>
          <w:p w:rsidR="00817765" w:rsidRPr="00817765" w:rsidRDefault="00817765" w:rsidP="00817765">
            <w:pPr>
              <w:jc w:val="both"/>
              <w:rPr>
                <w:rFonts w:ascii="Utsaah" w:hAnsi="Utsaah" w:cs="Utsaah"/>
                <w:b/>
                <w:color w:val="00B0F0"/>
                <w:sz w:val="22"/>
                <w:szCs w:val="22"/>
              </w:rPr>
            </w:pPr>
          </w:p>
          <w:p w:rsidR="00817765" w:rsidRPr="00FC5D46" w:rsidRDefault="00817765" w:rsidP="00817765">
            <w:pPr>
              <w:jc w:val="both"/>
              <w:rPr>
                <w:rFonts w:ascii="Utsaah" w:hAnsi="Utsaah" w:cs="Utsaah"/>
                <w:b/>
                <w:color w:val="4A442A" w:themeColor="background2" w:themeShade="40"/>
                <w:sz w:val="22"/>
                <w:szCs w:val="22"/>
              </w:rPr>
            </w:pPr>
            <w:r w:rsidRPr="00FC5D46">
              <w:rPr>
                <w:rFonts w:ascii="Utsaah" w:hAnsi="Utsaah" w:cs="Utsaah"/>
                <w:b/>
                <w:color w:val="4A442A" w:themeColor="background2" w:themeShade="40"/>
                <w:sz w:val="22"/>
                <w:szCs w:val="22"/>
              </w:rPr>
              <w:t>Emerging companies defined as revenue in preceding 12 month period being &lt;$1m OR net profit bef. tax of &lt; $250k; and</w:t>
            </w:r>
          </w:p>
          <w:p w:rsidR="001B0D13" w:rsidRPr="00FC5D46" w:rsidRDefault="00817765" w:rsidP="00817765">
            <w:pPr>
              <w:jc w:val="both"/>
              <w:rPr>
                <w:rFonts w:ascii="Utsaah" w:hAnsi="Utsaah" w:cs="Utsaah"/>
                <w:b/>
                <w:color w:val="4A442A" w:themeColor="background2" w:themeShade="40"/>
                <w:sz w:val="22"/>
                <w:szCs w:val="22"/>
              </w:rPr>
            </w:pPr>
            <w:r w:rsidRPr="00FC5D46">
              <w:rPr>
                <w:rFonts w:ascii="Utsaah" w:hAnsi="Utsaah" w:cs="Utsaah"/>
                <w:b/>
                <w:color w:val="4A442A" w:themeColor="background2" w:themeShade="40"/>
                <w:sz w:val="22"/>
                <w:szCs w:val="22"/>
              </w:rPr>
              <w:t>Established companies defined as revenue in preceding 12 month period being &gt;$1m AND net profit bef. tax of &gt; $250k.</w:t>
            </w:r>
          </w:p>
          <w:p w:rsidR="00817765" w:rsidRDefault="00817765" w:rsidP="00817765">
            <w:pPr>
              <w:jc w:val="both"/>
              <w:rPr>
                <w:rFonts w:ascii="Utsaah" w:hAnsi="Utsaah" w:cs="Utsaah"/>
                <w:color w:val="4A442A" w:themeColor="background2" w:themeShade="40"/>
                <w:sz w:val="22"/>
                <w:szCs w:val="22"/>
              </w:rPr>
            </w:pPr>
          </w:p>
          <w:p w:rsidR="00817765" w:rsidRDefault="00817765" w:rsidP="00817765">
            <w:pPr>
              <w:jc w:val="both"/>
              <w:rPr>
                <w:rFonts w:ascii="Utsaah" w:hAnsi="Utsaah" w:cs="Utsaah"/>
                <w:color w:val="4A442A" w:themeColor="background2" w:themeShade="40"/>
                <w:sz w:val="22"/>
                <w:szCs w:val="22"/>
              </w:rPr>
            </w:pPr>
            <w:r w:rsidRPr="00817765">
              <w:rPr>
                <w:rFonts w:ascii="Utsaah" w:hAnsi="Utsaah" w:cs="Utsaah"/>
                <w:color w:val="4A442A" w:themeColor="background2" w:themeShade="40"/>
                <w:sz w:val="22"/>
                <w:szCs w:val="22"/>
              </w:rPr>
              <w:t>We believe CSEF must be relevant to investors wishing to assist private c</w:t>
            </w:r>
            <w:r>
              <w:rPr>
                <w:rFonts w:ascii="Utsaah" w:hAnsi="Utsaah" w:cs="Utsaah"/>
                <w:color w:val="4A442A" w:themeColor="background2" w:themeShade="40"/>
                <w:sz w:val="22"/>
                <w:szCs w:val="22"/>
              </w:rPr>
              <w:t xml:space="preserve">ompanies whether they are </w:t>
            </w:r>
            <w:proofErr w:type="spellStart"/>
            <w:r>
              <w:rPr>
                <w:rFonts w:ascii="Utsaah" w:hAnsi="Utsaah" w:cs="Utsaah"/>
                <w:color w:val="4A442A" w:themeColor="background2" w:themeShade="40"/>
                <w:sz w:val="22"/>
                <w:szCs w:val="22"/>
              </w:rPr>
              <w:t>start</w:t>
            </w:r>
            <w:r w:rsidRPr="00817765">
              <w:rPr>
                <w:rFonts w:ascii="Utsaah" w:hAnsi="Utsaah" w:cs="Utsaah"/>
                <w:color w:val="4A442A" w:themeColor="background2" w:themeShade="40"/>
                <w:sz w:val="22"/>
                <w:szCs w:val="22"/>
              </w:rPr>
              <w:t>up</w:t>
            </w:r>
            <w:proofErr w:type="spellEnd"/>
            <w:r w:rsidRPr="00817765">
              <w:rPr>
                <w:rFonts w:ascii="Utsaah" w:hAnsi="Utsaah" w:cs="Utsaah"/>
                <w:color w:val="4A442A" w:themeColor="background2" w:themeShade="40"/>
                <w:sz w:val="22"/>
                <w:szCs w:val="22"/>
              </w:rPr>
              <w:t>: early stage: business ex</w:t>
            </w:r>
            <w:r>
              <w:rPr>
                <w:rFonts w:ascii="Utsaah" w:hAnsi="Utsaah" w:cs="Utsaah"/>
                <w:color w:val="4A442A" w:themeColor="background2" w:themeShade="40"/>
                <w:sz w:val="22"/>
                <w:szCs w:val="22"/>
              </w:rPr>
              <w:t>pansion capital: management buy-</w:t>
            </w:r>
            <w:r w:rsidRPr="00817765">
              <w:rPr>
                <w:rFonts w:ascii="Utsaah" w:hAnsi="Utsaah" w:cs="Utsaah"/>
                <w:color w:val="4A442A" w:themeColor="background2" w:themeShade="40"/>
                <w:sz w:val="22"/>
                <w:szCs w:val="22"/>
              </w:rPr>
              <w:t>out of a baby boomer founder or other worthwhile cause.</w:t>
            </w:r>
          </w:p>
          <w:p w:rsidR="00817765" w:rsidRPr="00817765" w:rsidRDefault="00817765" w:rsidP="00817765">
            <w:pPr>
              <w:jc w:val="both"/>
              <w:rPr>
                <w:rFonts w:ascii="Utsaah" w:hAnsi="Utsaah" w:cs="Utsaah"/>
                <w:color w:val="4A442A" w:themeColor="background2" w:themeShade="40"/>
                <w:sz w:val="22"/>
                <w:szCs w:val="22"/>
              </w:rPr>
            </w:pPr>
          </w:p>
          <w:p w:rsidR="00817765" w:rsidRDefault="00817765" w:rsidP="00817765">
            <w:pPr>
              <w:jc w:val="both"/>
              <w:rPr>
                <w:rFonts w:ascii="Utsaah" w:hAnsi="Utsaah" w:cs="Utsaah"/>
                <w:color w:val="4A442A" w:themeColor="background2" w:themeShade="40"/>
                <w:sz w:val="22"/>
                <w:szCs w:val="22"/>
              </w:rPr>
            </w:pPr>
            <w:r w:rsidRPr="00817765">
              <w:rPr>
                <w:rFonts w:ascii="Utsaah" w:hAnsi="Utsaah" w:cs="Utsaah"/>
                <w:color w:val="4A442A" w:themeColor="background2" w:themeShade="40"/>
                <w:sz w:val="22"/>
                <w:szCs w:val="22"/>
              </w:rPr>
              <w:t>It would be a mistake in our opinion to restrict private companies (becoming exempt public) from CSEF simply because they are a good profitable company needing expansion capital.</w:t>
            </w:r>
          </w:p>
          <w:p w:rsidR="00817765" w:rsidRPr="00817765" w:rsidRDefault="00817765" w:rsidP="00817765">
            <w:pPr>
              <w:jc w:val="both"/>
              <w:rPr>
                <w:rFonts w:ascii="Utsaah" w:hAnsi="Utsaah" w:cs="Utsaah"/>
                <w:color w:val="4A442A" w:themeColor="background2" w:themeShade="40"/>
                <w:sz w:val="22"/>
                <w:szCs w:val="22"/>
              </w:rPr>
            </w:pPr>
          </w:p>
          <w:p w:rsidR="00817765" w:rsidRDefault="00817765" w:rsidP="00817765">
            <w:pPr>
              <w:jc w:val="both"/>
              <w:rPr>
                <w:rFonts w:ascii="Utsaah" w:hAnsi="Utsaah" w:cs="Utsaah"/>
                <w:color w:val="4A442A" w:themeColor="background2" w:themeShade="40"/>
                <w:sz w:val="22"/>
                <w:szCs w:val="22"/>
              </w:rPr>
            </w:pPr>
            <w:r w:rsidRPr="00817765">
              <w:rPr>
                <w:rFonts w:ascii="Utsaah" w:hAnsi="Utsaah" w:cs="Utsaah"/>
                <w:color w:val="4A442A" w:themeColor="background2" w:themeShade="40"/>
                <w:sz w:val="22"/>
                <w:szCs w:val="22"/>
              </w:rPr>
              <w:t>Today, many SME’s are IP strong but hard asset (NTA) lacking – the clever technology companies or on line services business etc</w:t>
            </w:r>
            <w:r>
              <w:rPr>
                <w:rFonts w:ascii="Utsaah" w:hAnsi="Utsaah" w:cs="Utsaah"/>
                <w:color w:val="4A442A" w:themeColor="background2" w:themeShade="40"/>
                <w:sz w:val="22"/>
                <w:szCs w:val="22"/>
              </w:rPr>
              <w:t>.</w:t>
            </w:r>
            <w:r w:rsidRPr="00817765">
              <w:rPr>
                <w:rFonts w:ascii="Utsaah" w:hAnsi="Utsaah" w:cs="Utsaah"/>
                <w:color w:val="4A442A" w:themeColor="background2" w:themeShade="40"/>
                <w:sz w:val="22"/>
                <w:szCs w:val="22"/>
              </w:rPr>
              <w:t xml:space="preserve"> do not have strong net tangible asset balance sheets and whilst a good profitable business, may not be able to attract bank finance for their expansion. Also some SME’s have a good following from an expanded network of friends, customers and supporters but cannot reach out to them as a Pty Ltd company to mobilise the much needed funds.</w:t>
            </w:r>
          </w:p>
          <w:p w:rsidR="00817765" w:rsidRPr="00817765" w:rsidRDefault="00817765" w:rsidP="00817765">
            <w:pPr>
              <w:jc w:val="both"/>
              <w:rPr>
                <w:rFonts w:ascii="Utsaah" w:hAnsi="Utsaah" w:cs="Utsaah"/>
                <w:color w:val="4A442A" w:themeColor="background2" w:themeShade="40"/>
                <w:sz w:val="22"/>
                <w:szCs w:val="22"/>
              </w:rPr>
            </w:pPr>
          </w:p>
          <w:p w:rsidR="00817765" w:rsidRDefault="00817765" w:rsidP="00817765">
            <w:pPr>
              <w:jc w:val="both"/>
              <w:rPr>
                <w:rFonts w:ascii="Utsaah" w:hAnsi="Utsaah" w:cs="Utsaah"/>
                <w:color w:val="4A442A" w:themeColor="background2" w:themeShade="40"/>
                <w:sz w:val="22"/>
                <w:szCs w:val="22"/>
              </w:rPr>
            </w:pPr>
            <w:r w:rsidRPr="00817765">
              <w:rPr>
                <w:rFonts w:ascii="Utsaah" w:hAnsi="Utsaah" w:cs="Utsaah"/>
                <w:color w:val="4A442A" w:themeColor="background2" w:themeShade="40"/>
                <w:sz w:val="22"/>
                <w:szCs w:val="22"/>
              </w:rPr>
              <w:t>Also today with the growth of Accelerators / Incubators / grant funding for pre-reve</w:t>
            </w:r>
            <w:r>
              <w:rPr>
                <w:rFonts w:ascii="Utsaah" w:hAnsi="Utsaah" w:cs="Utsaah"/>
                <w:color w:val="4A442A" w:themeColor="background2" w:themeShade="40"/>
                <w:sz w:val="22"/>
                <w:szCs w:val="22"/>
              </w:rPr>
              <w:t xml:space="preserve">nue SME’s via EIP etc. the </w:t>
            </w:r>
            <w:proofErr w:type="spellStart"/>
            <w:r>
              <w:rPr>
                <w:rFonts w:ascii="Utsaah" w:hAnsi="Utsaah" w:cs="Utsaah"/>
                <w:color w:val="4A442A" w:themeColor="background2" w:themeShade="40"/>
                <w:sz w:val="22"/>
                <w:szCs w:val="22"/>
              </w:rPr>
              <w:t>start</w:t>
            </w:r>
            <w:r w:rsidRPr="00817765">
              <w:rPr>
                <w:rFonts w:ascii="Utsaah" w:hAnsi="Utsaah" w:cs="Utsaah"/>
                <w:color w:val="4A442A" w:themeColor="background2" w:themeShade="40"/>
                <w:sz w:val="22"/>
                <w:szCs w:val="22"/>
              </w:rPr>
              <w:t>up</w:t>
            </w:r>
            <w:proofErr w:type="spellEnd"/>
            <w:r w:rsidRPr="00817765">
              <w:rPr>
                <w:rFonts w:ascii="Utsaah" w:hAnsi="Utsaah" w:cs="Utsaah"/>
                <w:color w:val="4A442A" w:themeColor="background2" w:themeShade="40"/>
                <w:sz w:val="22"/>
                <w:szCs w:val="22"/>
              </w:rPr>
              <w:t xml:space="preserve"> sector is becoming more serviced by such funders. However the emerging businesses with genuine expansion needs that don’t have the hard assets for bank finance are a section of the market that CSEF MUST cover in an effort to get small business Australia back on track again.</w:t>
            </w:r>
          </w:p>
          <w:p w:rsidR="00817765" w:rsidRPr="00817765" w:rsidRDefault="00817765" w:rsidP="00817765">
            <w:pPr>
              <w:jc w:val="both"/>
              <w:rPr>
                <w:rFonts w:ascii="Utsaah" w:hAnsi="Utsaah" w:cs="Utsaah"/>
                <w:color w:val="4A442A" w:themeColor="background2" w:themeShade="40"/>
                <w:sz w:val="22"/>
                <w:szCs w:val="22"/>
              </w:rPr>
            </w:pPr>
          </w:p>
          <w:p w:rsidR="00817765" w:rsidRDefault="00817765" w:rsidP="00817765">
            <w:pPr>
              <w:jc w:val="both"/>
              <w:rPr>
                <w:rFonts w:ascii="Utsaah" w:hAnsi="Utsaah" w:cs="Utsaah"/>
                <w:color w:val="4A442A" w:themeColor="background2" w:themeShade="40"/>
                <w:sz w:val="22"/>
                <w:szCs w:val="22"/>
              </w:rPr>
            </w:pPr>
            <w:r w:rsidRPr="00817765">
              <w:rPr>
                <w:rFonts w:ascii="Utsaah" w:hAnsi="Utsaah" w:cs="Utsaah"/>
                <w:color w:val="4A442A" w:themeColor="background2" w:themeShade="40"/>
                <w:sz w:val="22"/>
                <w:szCs w:val="22"/>
              </w:rPr>
              <w:t>To recognise risk ratings and reporting regimes between emerging and established companies, we strongly recommend a clear distinction be drawn for market and CSEF purposes and allow CSEF to do its job across emerging and established businesses.</w:t>
            </w:r>
          </w:p>
          <w:p w:rsidR="00817765" w:rsidRPr="00817765" w:rsidRDefault="00817765" w:rsidP="00817765">
            <w:pPr>
              <w:jc w:val="both"/>
              <w:rPr>
                <w:rFonts w:ascii="Utsaah" w:hAnsi="Utsaah" w:cs="Utsaah"/>
                <w:color w:val="4A442A" w:themeColor="background2" w:themeShade="40"/>
                <w:sz w:val="22"/>
                <w:szCs w:val="22"/>
              </w:rPr>
            </w:pPr>
          </w:p>
          <w:p w:rsidR="00817765" w:rsidRPr="001B0D13" w:rsidRDefault="00817765" w:rsidP="00817765">
            <w:pPr>
              <w:jc w:val="both"/>
              <w:rPr>
                <w:rFonts w:ascii="Utsaah" w:hAnsi="Utsaah" w:cs="Utsaah"/>
                <w:color w:val="4A442A" w:themeColor="background2" w:themeShade="40"/>
                <w:sz w:val="22"/>
                <w:szCs w:val="22"/>
              </w:rPr>
            </w:pPr>
            <w:r w:rsidRPr="00817765">
              <w:rPr>
                <w:rFonts w:ascii="Utsaah" w:hAnsi="Utsaah" w:cs="Utsaah"/>
                <w:color w:val="4A442A" w:themeColor="background2" w:themeShade="40"/>
                <w:sz w:val="22"/>
                <w:szCs w:val="22"/>
              </w:rPr>
              <w:t>From such classification, other dynamics re</w:t>
            </w:r>
            <w:r>
              <w:rPr>
                <w:rFonts w:ascii="Utsaah" w:hAnsi="Utsaah" w:cs="Utsaah"/>
                <w:color w:val="4A442A" w:themeColor="background2" w:themeShade="40"/>
                <w:sz w:val="22"/>
                <w:szCs w:val="22"/>
              </w:rPr>
              <w:t>garding</w:t>
            </w:r>
            <w:r w:rsidRPr="00817765">
              <w:rPr>
                <w:rFonts w:ascii="Utsaah" w:hAnsi="Utsaah" w:cs="Utsaah"/>
                <w:color w:val="4A442A" w:themeColor="background2" w:themeShade="40"/>
                <w:sz w:val="22"/>
                <w:szCs w:val="22"/>
              </w:rPr>
              <w:t xml:space="preserve"> funding and </w:t>
            </w:r>
            <w:r>
              <w:rPr>
                <w:rFonts w:ascii="Utsaah" w:hAnsi="Utsaah" w:cs="Utsaah"/>
                <w:color w:val="4A442A" w:themeColor="background2" w:themeShade="40"/>
                <w:sz w:val="22"/>
                <w:szCs w:val="22"/>
              </w:rPr>
              <w:t xml:space="preserve">reporting can be deployed. </w:t>
            </w:r>
            <w:r w:rsidRPr="00817765">
              <w:rPr>
                <w:rFonts w:ascii="Utsaah" w:hAnsi="Utsaah" w:cs="Utsaah"/>
                <w:color w:val="4A442A" w:themeColor="background2" w:themeShade="40"/>
                <w:sz w:val="22"/>
                <w:szCs w:val="22"/>
              </w:rPr>
              <w:t>It is relatively easy for a clear distinction to be drawn between emerging and established as noted above. Also it is easy for entities to transition from emerging to established</w:t>
            </w:r>
            <w:r w:rsidR="00856DA7">
              <w:rPr>
                <w:rFonts w:ascii="Utsaah" w:hAnsi="Utsaah" w:cs="Utsaah"/>
                <w:color w:val="4A442A" w:themeColor="background2" w:themeShade="40"/>
                <w:sz w:val="22"/>
                <w:szCs w:val="22"/>
              </w:rPr>
              <w:t>,</w:t>
            </w:r>
            <w:r w:rsidRPr="00817765">
              <w:rPr>
                <w:rFonts w:ascii="Utsaah" w:hAnsi="Utsaah" w:cs="Utsaah"/>
                <w:color w:val="4A442A" w:themeColor="background2" w:themeShade="40"/>
                <w:sz w:val="22"/>
                <w:szCs w:val="22"/>
              </w:rPr>
              <w:t xml:space="preserve"> and vice-versa.</w:t>
            </w:r>
          </w:p>
        </w:tc>
      </w:tr>
    </w:tbl>
    <w:p w:rsidR="000D11AC" w:rsidRDefault="000D11AC"/>
    <w:p w:rsidR="000D11AC" w:rsidRDefault="000D11AC"/>
    <w:p w:rsidR="000D11AC" w:rsidRDefault="000D11AC"/>
    <w:p w:rsidR="000D11AC" w:rsidRDefault="000D11AC"/>
    <w:tbl>
      <w:tblPr>
        <w:tblStyle w:val="TableGrid"/>
        <w:tblpPr w:leftFromText="180" w:rightFromText="180" w:vertAnchor="page" w:horzAnchor="margin" w:tblpY="2147"/>
        <w:tblW w:w="9180" w:type="dxa"/>
        <w:tblLayout w:type="fixed"/>
        <w:tblLook w:val="04A0" w:firstRow="1" w:lastRow="0" w:firstColumn="1" w:lastColumn="0" w:noHBand="0" w:noVBand="1"/>
      </w:tblPr>
      <w:tblGrid>
        <w:gridCol w:w="1384"/>
        <w:gridCol w:w="7796"/>
      </w:tblGrid>
      <w:tr w:rsidR="008F64C9" w:rsidRPr="00012E22" w:rsidTr="00E550C0">
        <w:trPr>
          <w:trHeight w:val="144"/>
        </w:trPr>
        <w:tc>
          <w:tcPr>
            <w:tcW w:w="1384" w:type="dxa"/>
          </w:tcPr>
          <w:p w:rsidR="008F64C9" w:rsidRDefault="008F64C9" w:rsidP="008F64C9">
            <w:pPr>
              <w:jc w:val="both"/>
              <w:rPr>
                <w:rFonts w:ascii="Utsaah" w:hAnsi="Utsaah" w:cs="Utsaah"/>
                <w:b/>
                <w:color w:val="00B0F0"/>
                <w:sz w:val="72"/>
                <w:szCs w:val="72"/>
              </w:rPr>
            </w:pPr>
            <w:r>
              <w:rPr>
                <w:rFonts w:ascii="Utsaah" w:hAnsi="Utsaah" w:cs="Utsaah"/>
                <w:b/>
                <w:color w:val="00B0F0"/>
                <w:sz w:val="72"/>
                <w:szCs w:val="72"/>
              </w:rPr>
              <w:lastRenderedPageBreak/>
              <w:t>7</w:t>
            </w:r>
          </w:p>
          <w:p w:rsidR="008F64C9" w:rsidRPr="001B0D13" w:rsidRDefault="008F64C9" w:rsidP="008F64C9">
            <w:pPr>
              <w:jc w:val="both"/>
              <w:rPr>
                <w:rFonts w:ascii="Utsaah" w:hAnsi="Utsaah" w:cs="Utsaah"/>
                <w:b/>
                <w:color w:val="4A442A" w:themeColor="background2" w:themeShade="40"/>
                <w:sz w:val="72"/>
                <w:szCs w:val="72"/>
              </w:rPr>
            </w:pPr>
          </w:p>
        </w:tc>
        <w:tc>
          <w:tcPr>
            <w:tcW w:w="7796" w:type="dxa"/>
          </w:tcPr>
          <w:p w:rsidR="008F64C9" w:rsidRDefault="008F64C9" w:rsidP="008F64C9">
            <w:pPr>
              <w:jc w:val="both"/>
              <w:rPr>
                <w:rFonts w:ascii="Utsaah" w:hAnsi="Utsaah" w:cs="Utsaah"/>
                <w:b/>
                <w:color w:val="4A442A" w:themeColor="background2" w:themeShade="40"/>
                <w:sz w:val="22"/>
                <w:szCs w:val="22"/>
              </w:rPr>
            </w:pPr>
            <w:r w:rsidRPr="00FC5D46">
              <w:rPr>
                <w:rFonts w:ascii="Utsaah" w:hAnsi="Utsaah" w:cs="Utsaah"/>
                <w:b/>
                <w:color w:val="00B0F0"/>
                <w:sz w:val="22"/>
                <w:szCs w:val="22"/>
              </w:rPr>
              <w:t xml:space="preserve">Emerging companies </w:t>
            </w:r>
            <w:r w:rsidRPr="00FC5D46">
              <w:rPr>
                <w:rFonts w:ascii="Utsaah" w:hAnsi="Utsaah" w:cs="Utsaah"/>
                <w:b/>
                <w:color w:val="4A442A" w:themeColor="background2" w:themeShade="40"/>
                <w:sz w:val="22"/>
                <w:szCs w:val="22"/>
              </w:rPr>
              <w:t xml:space="preserve">have certain relief from public company compliance </w:t>
            </w:r>
            <w:r>
              <w:rPr>
                <w:rFonts w:ascii="Utsaah" w:hAnsi="Utsaah" w:cs="Utsaah"/>
                <w:b/>
                <w:color w:val="4A442A" w:themeColor="background2" w:themeShade="40"/>
                <w:sz w:val="22"/>
                <w:szCs w:val="22"/>
              </w:rPr>
              <w:t xml:space="preserve">/ reporting / audit requirement (as per CAMAC) but </w:t>
            </w:r>
            <w:r w:rsidRPr="00FC5D46">
              <w:rPr>
                <w:rFonts w:ascii="Utsaah" w:hAnsi="Utsaah" w:cs="Utsaah"/>
                <w:b/>
                <w:color w:val="4A442A" w:themeColor="background2" w:themeShade="40"/>
                <w:sz w:val="22"/>
                <w:szCs w:val="22"/>
              </w:rPr>
              <w:t xml:space="preserve">once an emerging company becomes an “established company” then they need to adopt normal public company reporting protocols. </w:t>
            </w:r>
          </w:p>
          <w:p w:rsidR="008F64C9" w:rsidRPr="00FC5D46" w:rsidRDefault="008F64C9" w:rsidP="008F64C9">
            <w:pPr>
              <w:jc w:val="both"/>
              <w:rPr>
                <w:rFonts w:ascii="Utsaah" w:hAnsi="Utsaah" w:cs="Utsaah"/>
                <w:b/>
                <w:color w:val="4A442A" w:themeColor="background2" w:themeShade="40"/>
                <w:sz w:val="22"/>
                <w:szCs w:val="22"/>
              </w:rPr>
            </w:pPr>
          </w:p>
          <w:p w:rsidR="008F64C9" w:rsidRDefault="008F64C9" w:rsidP="008F64C9">
            <w:pPr>
              <w:jc w:val="both"/>
              <w:rPr>
                <w:rFonts w:ascii="Utsaah" w:hAnsi="Utsaah" w:cs="Utsaah"/>
                <w:color w:val="4A442A" w:themeColor="background2" w:themeShade="40"/>
                <w:sz w:val="22"/>
                <w:szCs w:val="22"/>
              </w:rPr>
            </w:pPr>
            <w:r w:rsidRPr="00FC5D46">
              <w:rPr>
                <w:rFonts w:ascii="Utsaah" w:hAnsi="Utsaah" w:cs="Utsaah"/>
                <w:b/>
                <w:color w:val="00B0F0"/>
                <w:sz w:val="22"/>
                <w:szCs w:val="22"/>
              </w:rPr>
              <w:t xml:space="preserve">Established companies </w:t>
            </w:r>
            <w:r w:rsidRPr="00FC5D46">
              <w:rPr>
                <w:rFonts w:ascii="Utsaah" w:hAnsi="Utsaah" w:cs="Utsaah"/>
                <w:b/>
                <w:color w:val="4A442A" w:themeColor="background2" w:themeShade="40"/>
                <w:sz w:val="22"/>
                <w:szCs w:val="22"/>
              </w:rPr>
              <w:t>need to comply with normal public company requirements including auditor appointment.</w:t>
            </w:r>
          </w:p>
          <w:p w:rsidR="008F64C9" w:rsidRDefault="008F64C9" w:rsidP="008F64C9">
            <w:pPr>
              <w:jc w:val="both"/>
              <w:rPr>
                <w:rFonts w:ascii="Utsaah" w:hAnsi="Utsaah" w:cs="Utsaah"/>
                <w:color w:val="4A442A" w:themeColor="background2" w:themeShade="40"/>
                <w:sz w:val="22"/>
                <w:szCs w:val="22"/>
              </w:rPr>
            </w:pPr>
          </w:p>
          <w:p w:rsidR="008F64C9" w:rsidRPr="00FC5D46" w:rsidRDefault="008F64C9" w:rsidP="008F64C9">
            <w:pPr>
              <w:jc w:val="both"/>
              <w:rPr>
                <w:rFonts w:ascii="Utsaah" w:hAnsi="Utsaah" w:cs="Utsaah"/>
                <w:color w:val="4A442A" w:themeColor="background2" w:themeShade="40"/>
                <w:sz w:val="22"/>
                <w:szCs w:val="22"/>
              </w:rPr>
            </w:pPr>
            <w:r w:rsidRPr="00FC5D46">
              <w:rPr>
                <w:rFonts w:ascii="Utsaah" w:hAnsi="Utsaah" w:cs="Utsaah"/>
                <w:color w:val="4A442A" w:themeColor="background2" w:themeShade="40"/>
                <w:sz w:val="22"/>
                <w:szCs w:val="22"/>
              </w:rPr>
              <w:t>As mentioned at Recommendation #6, emerging companies have different reporting regimes to established companies. We support such differing reporting and audit requirement as companies mature and generate threshold revenue and profits. Established companies with such added reporting requirement become more experienced in corporate governance, corporate frameworks etc. which assists them as they grow and transition to non-exempt public companies and possibly on to ASX.</w:t>
            </w:r>
          </w:p>
          <w:p w:rsidR="008F64C9" w:rsidRDefault="008F64C9" w:rsidP="008F64C9">
            <w:pPr>
              <w:jc w:val="both"/>
              <w:rPr>
                <w:rFonts w:ascii="Utsaah" w:hAnsi="Utsaah" w:cs="Utsaah"/>
                <w:color w:val="4A442A" w:themeColor="background2" w:themeShade="40"/>
                <w:sz w:val="22"/>
                <w:szCs w:val="22"/>
              </w:rPr>
            </w:pPr>
          </w:p>
          <w:p w:rsidR="008F64C9" w:rsidRDefault="008F64C9" w:rsidP="008F64C9">
            <w:pPr>
              <w:jc w:val="both"/>
              <w:rPr>
                <w:rFonts w:ascii="Utsaah" w:hAnsi="Utsaah" w:cs="Utsaah"/>
                <w:color w:val="4A442A" w:themeColor="background2" w:themeShade="40"/>
                <w:sz w:val="22"/>
                <w:szCs w:val="22"/>
              </w:rPr>
            </w:pPr>
            <w:r w:rsidRPr="00FC5D46">
              <w:rPr>
                <w:rFonts w:ascii="Utsaah" w:hAnsi="Utsaah" w:cs="Utsaah"/>
                <w:color w:val="4A442A" w:themeColor="background2" w:themeShade="40"/>
                <w:sz w:val="22"/>
                <w:szCs w:val="22"/>
              </w:rPr>
              <w:t>Such regime will encourage established companies to better transition to listed public companies or have the frameworks, policies and record keeping making it easier for a sale or M&amp;S transaction to add value to all shareholders. Adding corporate maturity to Australia’s corporate backbone is a good outcome from this recommendation.</w:t>
            </w:r>
          </w:p>
          <w:p w:rsidR="008F64C9" w:rsidRPr="001B0D13" w:rsidRDefault="008F64C9" w:rsidP="008F64C9">
            <w:pPr>
              <w:jc w:val="both"/>
              <w:rPr>
                <w:rFonts w:ascii="Utsaah" w:hAnsi="Utsaah" w:cs="Utsaah"/>
                <w:color w:val="4A442A" w:themeColor="background2" w:themeShade="40"/>
                <w:sz w:val="22"/>
                <w:szCs w:val="22"/>
              </w:rPr>
            </w:pPr>
          </w:p>
        </w:tc>
      </w:tr>
      <w:tr w:rsidR="008F64C9" w:rsidRPr="00012E22" w:rsidTr="00E550C0">
        <w:trPr>
          <w:trHeight w:val="144"/>
        </w:trPr>
        <w:tc>
          <w:tcPr>
            <w:tcW w:w="1384" w:type="dxa"/>
          </w:tcPr>
          <w:p w:rsidR="008F64C9" w:rsidRPr="001B0D13" w:rsidRDefault="008F64C9" w:rsidP="008F64C9">
            <w:pPr>
              <w:jc w:val="both"/>
              <w:rPr>
                <w:rFonts w:ascii="Utsaah" w:hAnsi="Utsaah" w:cs="Utsaah"/>
                <w:b/>
                <w:color w:val="4A442A" w:themeColor="background2" w:themeShade="40"/>
                <w:sz w:val="72"/>
                <w:szCs w:val="72"/>
              </w:rPr>
            </w:pPr>
            <w:r>
              <w:rPr>
                <w:rFonts w:ascii="Utsaah" w:hAnsi="Utsaah" w:cs="Utsaah"/>
                <w:b/>
                <w:color w:val="00B0F0"/>
                <w:sz w:val="72"/>
                <w:szCs w:val="72"/>
              </w:rPr>
              <w:t>8</w:t>
            </w:r>
          </w:p>
        </w:tc>
        <w:tc>
          <w:tcPr>
            <w:tcW w:w="7796" w:type="dxa"/>
          </w:tcPr>
          <w:p w:rsidR="008F64C9" w:rsidRPr="008F64C9" w:rsidRDefault="008F64C9" w:rsidP="008F64C9">
            <w:pPr>
              <w:jc w:val="both"/>
              <w:rPr>
                <w:rFonts w:ascii="Utsaah" w:hAnsi="Utsaah" w:cs="Utsaah"/>
                <w:b/>
                <w:color w:val="4A442A" w:themeColor="background2" w:themeShade="40"/>
                <w:sz w:val="22"/>
                <w:szCs w:val="22"/>
              </w:rPr>
            </w:pPr>
            <w:r w:rsidRPr="008F64C9">
              <w:rPr>
                <w:rFonts w:ascii="Utsaah" w:hAnsi="Utsaah" w:cs="Utsaah"/>
                <w:b/>
                <w:color w:val="4A442A" w:themeColor="background2" w:themeShade="40"/>
                <w:sz w:val="22"/>
                <w:szCs w:val="22"/>
              </w:rPr>
              <w:t xml:space="preserve">Maximum funds an Issuer may raise </w:t>
            </w:r>
            <w:r w:rsidRPr="008F64C9">
              <w:rPr>
                <w:rFonts w:ascii="Utsaah" w:hAnsi="Utsaah" w:cs="Utsaah"/>
                <w:b/>
                <w:color w:val="00B0F0"/>
                <w:sz w:val="22"/>
                <w:szCs w:val="22"/>
              </w:rPr>
              <w:t xml:space="preserve">- Emerging companies </w:t>
            </w:r>
            <w:r w:rsidRPr="008F64C9">
              <w:rPr>
                <w:rFonts w:ascii="Utsaah" w:hAnsi="Utsaah" w:cs="Utsaah"/>
                <w:b/>
                <w:color w:val="4A442A" w:themeColor="background2" w:themeShade="40"/>
                <w:sz w:val="22"/>
                <w:szCs w:val="22"/>
              </w:rPr>
              <w:t>- cap of $3 million in any 12-month period, excluding funds raised under existing prospectus exemptions for wholesale investors to a max of $5m in total.</w:t>
            </w:r>
          </w:p>
          <w:p w:rsidR="008F64C9" w:rsidRPr="008F64C9" w:rsidRDefault="008F64C9" w:rsidP="008F64C9">
            <w:pPr>
              <w:jc w:val="both"/>
              <w:rPr>
                <w:rFonts w:ascii="Utsaah" w:hAnsi="Utsaah" w:cs="Utsaah"/>
                <w:b/>
                <w:color w:val="4A442A" w:themeColor="background2" w:themeShade="40"/>
                <w:sz w:val="22"/>
                <w:szCs w:val="22"/>
              </w:rPr>
            </w:pPr>
            <w:r w:rsidRPr="008F64C9">
              <w:rPr>
                <w:rFonts w:ascii="Utsaah" w:hAnsi="Utsaah" w:cs="Utsaah"/>
                <w:b/>
                <w:color w:val="00B0F0"/>
                <w:sz w:val="22"/>
                <w:szCs w:val="22"/>
              </w:rPr>
              <w:t xml:space="preserve">Established companies </w:t>
            </w:r>
            <w:r w:rsidRPr="008F64C9">
              <w:rPr>
                <w:rFonts w:ascii="Utsaah" w:hAnsi="Utsaah" w:cs="Utsaah"/>
                <w:b/>
                <w:color w:val="4A442A" w:themeColor="background2" w:themeShade="40"/>
                <w:sz w:val="22"/>
                <w:szCs w:val="22"/>
              </w:rPr>
              <w:t>- Cap of $5 million in any 12-month period, including funds raised under existing prospectus exemptions for wholesale investors.</w:t>
            </w:r>
          </w:p>
          <w:p w:rsidR="008F64C9" w:rsidRDefault="008F64C9" w:rsidP="008F64C9">
            <w:pPr>
              <w:jc w:val="both"/>
              <w:rPr>
                <w:rFonts w:ascii="Utsaah" w:hAnsi="Utsaah" w:cs="Utsaah"/>
                <w:color w:val="4A442A" w:themeColor="background2" w:themeShade="40"/>
                <w:sz w:val="22"/>
                <w:szCs w:val="22"/>
              </w:rPr>
            </w:pPr>
          </w:p>
          <w:p w:rsidR="008F64C9" w:rsidRDefault="008F64C9" w:rsidP="008F64C9">
            <w:pPr>
              <w:jc w:val="both"/>
              <w:rPr>
                <w:rFonts w:ascii="Utsaah" w:hAnsi="Utsaah" w:cs="Utsaah"/>
                <w:color w:val="4A442A" w:themeColor="background2" w:themeShade="40"/>
                <w:sz w:val="22"/>
                <w:szCs w:val="22"/>
              </w:rPr>
            </w:pPr>
            <w:r w:rsidRPr="00FC5D46">
              <w:rPr>
                <w:rFonts w:ascii="Utsaah" w:hAnsi="Utsaah" w:cs="Utsaah"/>
                <w:color w:val="4A442A" w:themeColor="background2" w:themeShade="40"/>
                <w:sz w:val="22"/>
                <w:szCs w:val="22"/>
              </w:rPr>
              <w:t>This accords with Recommendation #3 above and simply provides an increased ability over the long standing $2m cap. We realise CAMAC &amp; the NZ recommendations were $2m / 12 months and worst case IF the $2m / 12 month cap was kept we would strongly advocate that for “established companies” a cap of up to $5m / 12 months including funds raised under existing prospectus exemptions for wholesale investors should be instituted.</w:t>
            </w:r>
          </w:p>
          <w:p w:rsidR="008F64C9" w:rsidRPr="001B0D13" w:rsidRDefault="008F64C9" w:rsidP="008F64C9">
            <w:pPr>
              <w:jc w:val="both"/>
              <w:rPr>
                <w:rFonts w:ascii="Utsaah" w:hAnsi="Utsaah" w:cs="Utsaah"/>
                <w:color w:val="4A442A" w:themeColor="background2" w:themeShade="40"/>
                <w:sz w:val="22"/>
                <w:szCs w:val="22"/>
              </w:rPr>
            </w:pPr>
          </w:p>
        </w:tc>
      </w:tr>
      <w:tr w:rsidR="008F64C9" w:rsidRPr="00012E22" w:rsidTr="00E550C0">
        <w:trPr>
          <w:trHeight w:val="144"/>
        </w:trPr>
        <w:tc>
          <w:tcPr>
            <w:tcW w:w="1384" w:type="dxa"/>
          </w:tcPr>
          <w:p w:rsidR="008F64C9" w:rsidRDefault="008F64C9" w:rsidP="008F64C9">
            <w:pPr>
              <w:jc w:val="both"/>
              <w:rPr>
                <w:rFonts w:ascii="Utsaah" w:hAnsi="Utsaah" w:cs="Utsaah"/>
                <w:b/>
                <w:color w:val="00B0F0"/>
                <w:sz w:val="72"/>
                <w:szCs w:val="72"/>
              </w:rPr>
            </w:pPr>
            <w:r>
              <w:rPr>
                <w:rFonts w:ascii="Utsaah" w:hAnsi="Utsaah" w:cs="Utsaah"/>
                <w:b/>
                <w:color w:val="00B0F0"/>
                <w:sz w:val="72"/>
                <w:szCs w:val="72"/>
              </w:rPr>
              <w:t>9</w:t>
            </w:r>
          </w:p>
        </w:tc>
        <w:tc>
          <w:tcPr>
            <w:tcW w:w="7796" w:type="dxa"/>
          </w:tcPr>
          <w:p w:rsidR="008F64C9" w:rsidRPr="008F64C9" w:rsidRDefault="008F64C9" w:rsidP="008F64C9">
            <w:pPr>
              <w:jc w:val="both"/>
              <w:rPr>
                <w:rFonts w:ascii="Utsaah" w:hAnsi="Utsaah" w:cs="Utsaah"/>
                <w:b/>
                <w:color w:val="4A442A" w:themeColor="background2" w:themeShade="40"/>
                <w:sz w:val="22"/>
                <w:szCs w:val="22"/>
              </w:rPr>
            </w:pPr>
            <w:r w:rsidRPr="008F64C9">
              <w:rPr>
                <w:rFonts w:ascii="Utsaah" w:hAnsi="Utsaah" w:cs="Utsaah"/>
                <w:b/>
                <w:color w:val="00B0F0"/>
                <w:sz w:val="22"/>
                <w:szCs w:val="22"/>
              </w:rPr>
              <w:t xml:space="preserve">Disclosure requirements </w:t>
            </w:r>
            <w:r w:rsidRPr="008F64C9">
              <w:rPr>
                <w:rFonts w:ascii="Utsaah" w:hAnsi="Utsaah" w:cs="Utsaah"/>
                <w:b/>
                <w:color w:val="4A442A" w:themeColor="background2" w:themeShade="40"/>
                <w:sz w:val="22"/>
                <w:szCs w:val="22"/>
              </w:rPr>
              <w:t>- Issuers to have Prescribed (but reduced) disclosure requirements, including a template disclosure document and an Approved Platform Operator (APO) prefacing Issuer’s offer document with Key Information Page (KIP) with mandatory matters to be included in KIP by APO as prescribed by APO licensing authority / ASIC.</w:t>
            </w:r>
          </w:p>
          <w:p w:rsidR="008F64C9" w:rsidRDefault="008F64C9" w:rsidP="008F64C9">
            <w:pPr>
              <w:jc w:val="both"/>
              <w:rPr>
                <w:rFonts w:ascii="Utsaah" w:hAnsi="Utsaah" w:cs="Utsaah"/>
                <w:color w:val="4A442A" w:themeColor="background2" w:themeShade="40"/>
                <w:sz w:val="22"/>
                <w:szCs w:val="22"/>
              </w:rPr>
            </w:pPr>
            <w:r w:rsidRPr="00FC5D46">
              <w:rPr>
                <w:rFonts w:ascii="Utsaah" w:hAnsi="Utsaah" w:cs="Utsaah"/>
                <w:color w:val="4A442A" w:themeColor="background2" w:themeShade="40"/>
                <w:sz w:val="22"/>
                <w:szCs w:val="22"/>
              </w:rPr>
              <w:t>We believe it is imperative for investors to be able to make an informed decision by being presented with a Key Information Page /s vetted / prepared by the Approved Platform Operator (APO), being the licensed intermediary.</w:t>
            </w:r>
          </w:p>
          <w:p w:rsidR="008F64C9" w:rsidRPr="00FC5D46" w:rsidRDefault="008F64C9" w:rsidP="008F64C9">
            <w:pPr>
              <w:jc w:val="both"/>
              <w:rPr>
                <w:rFonts w:ascii="Utsaah" w:hAnsi="Utsaah" w:cs="Utsaah"/>
                <w:color w:val="4A442A" w:themeColor="background2" w:themeShade="40"/>
                <w:sz w:val="22"/>
                <w:szCs w:val="22"/>
              </w:rPr>
            </w:pPr>
          </w:p>
          <w:p w:rsidR="008F64C9" w:rsidRDefault="008F64C9" w:rsidP="008F64C9">
            <w:pPr>
              <w:jc w:val="both"/>
              <w:rPr>
                <w:rFonts w:ascii="Utsaah" w:hAnsi="Utsaah" w:cs="Utsaah"/>
                <w:color w:val="4A442A" w:themeColor="background2" w:themeShade="40"/>
                <w:sz w:val="22"/>
                <w:szCs w:val="22"/>
              </w:rPr>
            </w:pPr>
            <w:r w:rsidRPr="00FC5D46">
              <w:rPr>
                <w:rFonts w:ascii="Utsaah" w:hAnsi="Utsaah" w:cs="Utsaah"/>
                <w:color w:val="4A442A" w:themeColor="background2" w:themeShade="40"/>
                <w:sz w:val="22"/>
                <w:szCs w:val="22"/>
              </w:rPr>
              <w:t xml:space="preserve">In today’s world of things being overhyped, over promised and under delivered, with offering documents that have increased focus on irrelevant glossy photos and scant detail on critical areas, the KIP is an essential part of any disclosure document. </w:t>
            </w:r>
            <w:r w:rsidRPr="00FC5D46">
              <w:rPr>
                <w:sz w:val="22"/>
                <w:szCs w:val="22"/>
              </w:rPr>
              <w:t xml:space="preserve"> </w:t>
            </w:r>
            <w:r w:rsidRPr="00FC5D46">
              <w:rPr>
                <w:rFonts w:ascii="Utsaah" w:hAnsi="Utsaah" w:cs="Utsaah"/>
                <w:color w:val="4A442A" w:themeColor="background2" w:themeShade="40"/>
                <w:sz w:val="22"/>
                <w:szCs w:val="22"/>
              </w:rPr>
              <w:t>We set out at Table 2, a list of key information that would need to be at the front of the offer document. We also agree with CAMAC and Canada that an  “approved template” should be issued as guidance in producing the offer document. The APO would need to ensure all the prescribed questions / boxes are completed (or n/a) as appropriate on the KIP.</w:t>
            </w:r>
          </w:p>
          <w:p w:rsidR="002E7155" w:rsidRPr="00FC5D46" w:rsidRDefault="002E7155" w:rsidP="008F64C9">
            <w:pPr>
              <w:jc w:val="both"/>
              <w:rPr>
                <w:rFonts w:ascii="Utsaah" w:hAnsi="Utsaah" w:cs="Utsaah"/>
                <w:color w:val="4A442A" w:themeColor="background2" w:themeShade="40"/>
                <w:sz w:val="22"/>
                <w:szCs w:val="22"/>
              </w:rPr>
            </w:pPr>
          </w:p>
          <w:p w:rsidR="008F64C9" w:rsidRDefault="008F64C9" w:rsidP="008F64C9">
            <w:pPr>
              <w:jc w:val="both"/>
              <w:rPr>
                <w:rFonts w:ascii="Utsaah" w:hAnsi="Utsaah" w:cs="Utsaah"/>
                <w:color w:val="4A442A" w:themeColor="background2" w:themeShade="40"/>
                <w:sz w:val="22"/>
                <w:szCs w:val="22"/>
              </w:rPr>
            </w:pPr>
            <w:r w:rsidRPr="00FC5D46">
              <w:rPr>
                <w:rFonts w:ascii="Utsaah" w:hAnsi="Utsaah" w:cs="Utsaah"/>
                <w:color w:val="4A442A" w:themeColor="background2" w:themeShade="40"/>
                <w:sz w:val="22"/>
                <w:szCs w:val="22"/>
              </w:rPr>
              <w:t xml:space="preserve">Too many times for instance you see “the company has a patent on the xyz.” That sounds good BUT what patents, what countries, when do they expire, have there been any objections lodged, who holds the patent/s etc. These are critical things required by the reader to make a decision. </w:t>
            </w:r>
            <w:r w:rsidRPr="00FC5D46">
              <w:rPr>
                <w:sz w:val="22"/>
                <w:szCs w:val="22"/>
              </w:rPr>
              <w:t xml:space="preserve"> </w:t>
            </w:r>
            <w:r w:rsidRPr="00FC5D46">
              <w:rPr>
                <w:rFonts w:ascii="Utsaah" w:hAnsi="Utsaah" w:cs="Utsaah"/>
                <w:color w:val="4A442A" w:themeColor="background2" w:themeShade="40"/>
                <w:sz w:val="22"/>
                <w:szCs w:val="22"/>
              </w:rPr>
              <w:t xml:space="preserve">Same for “we expect by FY18 to be making $10m EBIT” …. Yes </w:t>
            </w:r>
            <w:r w:rsidR="005D4891">
              <w:rPr>
                <w:rFonts w:ascii="Utsaah" w:hAnsi="Utsaah" w:cs="Utsaah"/>
                <w:color w:val="4A442A" w:themeColor="background2" w:themeShade="40"/>
                <w:sz w:val="22"/>
                <w:szCs w:val="22"/>
              </w:rPr>
              <w:t>but</w:t>
            </w:r>
            <w:r w:rsidRPr="00FC5D46">
              <w:rPr>
                <w:rFonts w:ascii="Utsaah" w:hAnsi="Utsaah" w:cs="Utsaah"/>
                <w:color w:val="4A442A" w:themeColor="background2" w:themeShade="40"/>
                <w:sz w:val="22"/>
                <w:szCs w:val="22"/>
              </w:rPr>
              <w:t xml:space="preserve"> what they do not say is that to get that profit level we will need to raise a further $10m in equity!</w:t>
            </w:r>
          </w:p>
          <w:p w:rsidR="008F64C9" w:rsidRPr="00FC5D46" w:rsidRDefault="008F64C9" w:rsidP="008F64C9">
            <w:pPr>
              <w:jc w:val="both"/>
              <w:rPr>
                <w:rFonts w:ascii="Utsaah" w:hAnsi="Utsaah" w:cs="Utsaah"/>
                <w:color w:val="4A442A" w:themeColor="background2" w:themeShade="40"/>
                <w:sz w:val="22"/>
                <w:szCs w:val="22"/>
              </w:rPr>
            </w:pPr>
          </w:p>
          <w:p w:rsidR="008F64C9" w:rsidRPr="00FC5D46" w:rsidRDefault="008F64C9" w:rsidP="008F64C9">
            <w:pPr>
              <w:jc w:val="both"/>
              <w:rPr>
                <w:rFonts w:ascii="Utsaah" w:hAnsi="Utsaah" w:cs="Utsaah"/>
                <w:color w:val="4A442A" w:themeColor="background2" w:themeShade="40"/>
                <w:sz w:val="22"/>
                <w:szCs w:val="22"/>
              </w:rPr>
            </w:pPr>
            <w:r w:rsidRPr="00FC5D46">
              <w:rPr>
                <w:rFonts w:ascii="Utsaah" w:hAnsi="Utsaah" w:cs="Utsaah"/>
                <w:color w:val="4A442A" w:themeColor="background2" w:themeShade="40"/>
                <w:sz w:val="22"/>
                <w:szCs w:val="22"/>
              </w:rPr>
              <w:t>It is essential that the APO have a KIP at the front of any disclosure document. The KIP is a black and white no nonsense factual page/s setting out the fact</w:t>
            </w:r>
            <w:r>
              <w:rPr>
                <w:rFonts w:ascii="Utsaah" w:hAnsi="Utsaah" w:cs="Utsaah"/>
                <w:color w:val="4A442A" w:themeColor="background2" w:themeShade="40"/>
                <w:sz w:val="22"/>
                <w:szCs w:val="22"/>
              </w:rPr>
              <w:t xml:space="preserve">s without any hype or omission. </w:t>
            </w:r>
            <w:r w:rsidRPr="00FC5D46">
              <w:rPr>
                <w:rFonts w:ascii="Utsaah" w:hAnsi="Utsaah" w:cs="Utsaah"/>
                <w:color w:val="4A442A" w:themeColor="background2" w:themeShade="40"/>
                <w:sz w:val="22"/>
                <w:szCs w:val="22"/>
              </w:rPr>
              <w:t>We would advocate such KIP be at the front of ALL disclosur</w:t>
            </w:r>
            <w:r>
              <w:rPr>
                <w:rFonts w:ascii="Utsaah" w:hAnsi="Utsaah" w:cs="Utsaah"/>
                <w:color w:val="4A442A" w:themeColor="background2" w:themeShade="40"/>
                <w:sz w:val="22"/>
                <w:szCs w:val="22"/>
              </w:rPr>
              <w:t xml:space="preserve">e documents and even extend to </w:t>
            </w:r>
            <w:r w:rsidRPr="00FC5D46">
              <w:rPr>
                <w:rFonts w:ascii="Utsaah" w:hAnsi="Utsaah" w:cs="Utsaah"/>
                <w:color w:val="4A442A" w:themeColor="background2" w:themeShade="40"/>
                <w:sz w:val="22"/>
                <w:szCs w:val="22"/>
              </w:rPr>
              <w:t>prospectuses, OIS etc.</w:t>
            </w:r>
          </w:p>
          <w:p w:rsidR="008F64C9" w:rsidRPr="001B0D13" w:rsidRDefault="008F64C9" w:rsidP="008F64C9">
            <w:pPr>
              <w:jc w:val="both"/>
              <w:rPr>
                <w:rFonts w:ascii="Utsaah" w:hAnsi="Utsaah" w:cs="Utsaah"/>
                <w:color w:val="4A442A" w:themeColor="background2" w:themeShade="40"/>
              </w:rPr>
            </w:pPr>
          </w:p>
        </w:tc>
      </w:tr>
    </w:tbl>
    <w:p w:rsidR="000D11AC" w:rsidRDefault="00E3331C">
      <w:r>
        <w:rPr>
          <w:noProof/>
          <w:lang w:eastAsia="en-AU"/>
        </w:rPr>
        <w:pict>
          <v:shape id="Text Box 299" o:spid="_x0000_s1045" type="#_x0000_t202" style="position:absolute;margin-left:-62.2pt;margin-top:-49.5pt;width:186.05pt;height:76.75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" filled="f" stroked="f">
            <v:textbox>
              <w:txbxContent>
                <w:p w:rsidR="0061071A" w:rsidRDefault="0061071A" w:rsidP="00FC5D46">
                  <w:pPr>
                    <w:spacing w:after="0"/>
                    <w:rPr>
                      <w:rFonts w:ascii="Adobe Gothic Std B" w:eastAsia="Adobe Gothic Std B" w:hAnsi="Adobe Gothic Std B" w:cs="Arial"/>
                      <w:b/>
                      <w:bCs/>
                      <w:color w:val="FFFFFF" w:themeColor="background1"/>
                      <w:sz w:val="24"/>
                      <w:szCs w:val="24"/>
                    </w:rPr>
                  </w:pPr>
                </w:p>
                <w:p w:rsidR="0061071A" w:rsidRPr="002E68BC" w:rsidRDefault="0061071A" w:rsidP="00FC5D46">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PART THREE (CONT.)</w:t>
                  </w:r>
                </w:p>
                <w:p w:rsidR="0061071A" w:rsidRPr="001C7CF3" w:rsidRDefault="0061071A" w:rsidP="00FC5D46">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33344"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297" o:spid="_x0000_s1107" style="position:absolute;margin-left:.25pt;margin-top:-46.3pt;width:202.5pt;height:76.55pt;z-index:-25159577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">
            <v:shape id="Freeform 756" o:spid="_x0000_s1108"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1RMQA&#10;AADcAAAADwAAAGRycy9kb3ducmV2LnhtbERPz2vCMBS+C/4P4Q12EU2VMbQapQiyscOY1oPHR/PW&#10;dmteSpLazr/eHAYeP77fm91gGnEl52vLCuazBARxYXXNpYJzfpguQfiArLGxTAr+yMNuOx5tMNW2&#10;5yNdT6EUMYR9igqqENpUSl9UZNDPbEscuW/rDIYIXSm1wz6Gm0YukuRVGqw5NlTY0r6i4vfUGQU/&#10;XZ/lX294TC7d3n283CbzLP9U6vlpyNYgAg3hIf53v2sFi1VcG8/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dUTEAAAA3A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0D11AC" w:rsidRDefault="00E3331C">
      <w:r>
        <w:rPr>
          <w:noProof/>
          <w:lang w:eastAsia="en-AU"/>
        </w:rPr>
        <w:lastRenderedPageBreak/>
        <w:pict>
          <v:shape id="Text Box 302" o:spid="_x0000_s1046" type="#_x0000_t202" style="position:absolute;margin-left:-64.7pt;margin-top:-50.6pt;width:186.05pt;height:76.7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gL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" filled="f" stroked="f">
            <v:textbox>
              <w:txbxContent>
                <w:p w:rsidR="0061071A" w:rsidRDefault="0061071A" w:rsidP="00E550C0">
                  <w:pPr>
                    <w:spacing w:after="0"/>
                    <w:rPr>
                      <w:rFonts w:ascii="Adobe Gothic Std B" w:eastAsia="Adobe Gothic Std B" w:hAnsi="Adobe Gothic Std B" w:cs="Arial"/>
                      <w:b/>
                      <w:bCs/>
                      <w:color w:val="FFFFFF" w:themeColor="background1"/>
                      <w:sz w:val="24"/>
                      <w:szCs w:val="24"/>
                    </w:rPr>
                  </w:pPr>
                </w:p>
                <w:p w:rsidR="0061071A" w:rsidRPr="002E68BC" w:rsidRDefault="0061071A" w:rsidP="00E550C0">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PART THREE (CONT.)</w:t>
                  </w:r>
                </w:p>
                <w:p w:rsidR="0061071A" w:rsidRPr="001C7CF3" w:rsidRDefault="0061071A" w:rsidP="00E550C0">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35392"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300" o:spid="_x0000_s1105" style="position:absolute;margin-left:-.1pt;margin-top:-46pt;width:202.5pt;height:76.55pt;z-index:-251592704;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">
            <v:shape id="Freeform 756" o:spid="_x0000_s1106"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Gw8cA&#10;AADcAAAADwAAAGRycy9kb3ducmV2LnhtbESPQUvDQBSE70L/w/IKXsTuRkUk7baEQlE8iG089PjI&#10;PpPY7Nuwu2miv94VhB6HmfmGWW0m24kz+dA61pAtFAjiypmWaw0f5e72CUSIyAY7x6ThmwJs1rOr&#10;FebGjbyn8yHWIkE45KihibHPpQxVQxbDwvXEyft03mJM0tfSeBwT3HbyTqlHabHltNBgT9uGqtNh&#10;sBq+hrEo359xr47D1r8+/NxkRfmm9fV8KpYgIk3xEv5vvxgN9yqD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3RsP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tbl>
      <w:tblPr>
        <w:tblStyle w:val="TableGrid"/>
        <w:tblpPr w:leftFromText="180" w:rightFromText="180" w:vertAnchor="page" w:horzAnchor="margin" w:tblpY="2229"/>
        <w:tblW w:w="9180" w:type="dxa"/>
        <w:tblLayout w:type="fixed"/>
        <w:tblLook w:val="04A0" w:firstRow="1" w:lastRow="0" w:firstColumn="1" w:lastColumn="0" w:noHBand="0" w:noVBand="1"/>
      </w:tblPr>
      <w:tblGrid>
        <w:gridCol w:w="1384"/>
        <w:gridCol w:w="7796"/>
      </w:tblGrid>
      <w:tr w:rsidR="00264784" w:rsidRPr="00012E22" w:rsidTr="00264784">
        <w:trPr>
          <w:trHeight w:val="144"/>
        </w:trPr>
        <w:tc>
          <w:tcPr>
            <w:tcW w:w="1384" w:type="dxa"/>
          </w:tcPr>
          <w:p w:rsidR="00264784" w:rsidRPr="001163A0" w:rsidRDefault="00264784" w:rsidP="00264784">
            <w:pPr>
              <w:jc w:val="both"/>
              <w:rPr>
                <w:rFonts w:ascii="Utsaah" w:hAnsi="Utsaah" w:cs="Utsaah"/>
                <w:b/>
                <w:color w:val="00B0F0"/>
                <w:sz w:val="72"/>
                <w:szCs w:val="72"/>
              </w:rPr>
            </w:pPr>
            <w:r>
              <w:rPr>
                <w:rFonts w:ascii="Utsaah" w:hAnsi="Utsaah" w:cs="Utsaah"/>
                <w:b/>
                <w:color w:val="00B0F0"/>
                <w:sz w:val="72"/>
                <w:szCs w:val="72"/>
              </w:rPr>
              <w:t>10</w:t>
            </w:r>
          </w:p>
        </w:tc>
        <w:tc>
          <w:tcPr>
            <w:tcW w:w="7796" w:type="dxa"/>
          </w:tcPr>
          <w:p w:rsidR="00264784" w:rsidRDefault="00264784" w:rsidP="00264784">
            <w:pPr>
              <w:jc w:val="both"/>
              <w:rPr>
                <w:rFonts w:ascii="Utsaah" w:hAnsi="Utsaah" w:cs="Utsaah"/>
                <w:b/>
                <w:color w:val="4A442A" w:themeColor="background2" w:themeShade="40"/>
                <w:sz w:val="22"/>
                <w:szCs w:val="22"/>
              </w:rPr>
            </w:pPr>
            <w:r w:rsidRPr="00264784">
              <w:rPr>
                <w:rFonts w:ascii="Utsaah" w:hAnsi="Utsaah" w:cs="Utsaah"/>
                <w:b/>
                <w:color w:val="00B0F0"/>
                <w:sz w:val="22"/>
                <w:szCs w:val="22"/>
              </w:rPr>
              <w:t>Intermediaries to be defined as Approved Platform Operator (APO) and hold a new class of license issued by ASIC</w:t>
            </w:r>
            <w:r w:rsidRPr="00264784">
              <w:rPr>
                <w:rFonts w:ascii="Utsaah" w:hAnsi="Utsaah" w:cs="Utsaah"/>
                <w:b/>
                <w:color w:val="4A442A" w:themeColor="background2" w:themeShade="40"/>
                <w:sz w:val="22"/>
                <w:szCs w:val="22"/>
              </w:rPr>
              <w:t xml:space="preserve"> – Approved Platform Operator license and comply with licensing requirements, including membership of an external dispute resolution scheme, and KIP statement responsibility  and post investment reporting channel for CSEF invested companies. </w:t>
            </w:r>
          </w:p>
          <w:p w:rsidR="00264784" w:rsidRDefault="00264784" w:rsidP="00264784">
            <w:pPr>
              <w:jc w:val="both"/>
              <w:rPr>
                <w:rFonts w:ascii="Utsaah" w:hAnsi="Utsaah" w:cs="Utsaah"/>
                <w:b/>
                <w:color w:val="4A442A" w:themeColor="background2" w:themeShade="40"/>
                <w:sz w:val="22"/>
                <w:szCs w:val="22"/>
              </w:rPr>
            </w:pPr>
          </w:p>
          <w:p w:rsidR="00264784" w:rsidRPr="00264784" w:rsidRDefault="00264784" w:rsidP="00264784">
            <w:pPr>
              <w:jc w:val="both"/>
              <w:rPr>
                <w:rFonts w:ascii="Utsaah" w:hAnsi="Utsaah" w:cs="Utsaah"/>
                <w:b/>
                <w:color w:val="4A442A" w:themeColor="background2" w:themeShade="40"/>
                <w:sz w:val="22"/>
                <w:szCs w:val="22"/>
              </w:rPr>
            </w:pPr>
            <w:r w:rsidRPr="00264784">
              <w:rPr>
                <w:rFonts w:ascii="Utsaah" w:hAnsi="Utsaah" w:cs="Utsaah"/>
                <w:b/>
                <w:color w:val="4A442A" w:themeColor="background2" w:themeShade="40"/>
                <w:sz w:val="22"/>
                <w:szCs w:val="22"/>
              </w:rPr>
              <w:t xml:space="preserve">An APO license similar to an AFSL i.e. demonstrating  corporate finance expertise, business skills, capital market skills, investment skills, due diligence experience, technology advisory skills, corporations law skills </w:t>
            </w:r>
            <w:proofErr w:type="spellStart"/>
            <w:r w:rsidRPr="00264784">
              <w:rPr>
                <w:rFonts w:ascii="Utsaah" w:hAnsi="Utsaah" w:cs="Utsaah"/>
                <w:b/>
                <w:color w:val="4A442A" w:themeColor="background2" w:themeShade="40"/>
                <w:sz w:val="22"/>
                <w:szCs w:val="22"/>
              </w:rPr>
              <w:t>etc</w:t>
            </w:r>
            <w:proofErr w:type="spellEnd"/>
            <w:r w:rsidRPr="00264784">
              <w:rPr>
                <w:rFonts w:ascii="Utsaah" w:hAnsi="Utsaah" w:cs="Utsaah"/>
                <w:b/>
                <w:color w:val="4A442A" w:themeColor="background2" w:themeShade="40"/>
                <w:sz w:val="22"/>
                <w:szCs w:val="22"/>
              </w:rPr>
              <w:t xml:space="preserve"> with an ASIC bond of $50k – can be via a bank guarantee and requires PI to be in place within 4 months of being granted an APO license.</w:t>
            </w:r>
          </w:p>
          <w:p w:rsidR="00264784" w:rsidRDefault="00264784" w:rsidP="00264784">
            <w:pPr>
              <w:jc w:val="both"/>
              <w:rPr>
                <w:rFonts w:ascii="Utsaah" w:hAnsi="Utsaah" w:cs="Utsaah"/>
                <w:color w:val="4A442A" w:themeColor="background2" w:themeShade="40"/>
                <w:sz w:val="22"/>
                <w:szCs w:val="22"/>
              </w:rPr>
            </w:pPr>
          </w:p>
          <w:p w:rsidR="00264784" w:rsidRDefault="00264784" w:rsidP="00264784">
            <w:pPr>
              <w:jc w:val="both"/>
              <w:rPr>
                <w:rFonts w:ascii="Utsaah" w:hAnsi="Utsaah" w:cs="Utsaah"/>
                <w:color w:val="4A442A" w:themeColor="background2" w:themeShade="40"/>
                <w:sz w:val="22"/>
                <w:szCs w:val="22"/>
              </w:rPr>
            </w:pPr>
            <w:r w:rsidRPr="00264784">
              <w:rPr>
                <w:rFonts w:ascii="Utsaah" w:hAnsi="Utsaah" w:cs="Utsaah"/>
                <w:color w:val="4A442A" w:themeColor="background2" w:themeShade="40"/>
                <w:sz w:val="22"/>
                <w:szCs w:val="22"/>
              </w:rPr>
              <w:t xml:space="preserve">It is critical in our opinion that there is a separate and distinct licensing regime for the new class of APO license. An APO license similar to an AFSL i.e. demonstrating  corporate finance expertise, business skills, capital market skills, investment skills, due diligence experience, technology advisory skills, corporations law skills </w:t>
            </w:r>
            <w:proofErr w:type="spellStart"/>
            <w:r w:rsidRPr="00264784">
              <w:rPr>
                <w:rFonts w:ascii="Utsaah" w:hAnsi="Utsaah" w:cs="Utsaah"/>
                <w:color w:val="4A442A" w:themeColor="background2" w:themeShade="40"/>
                <w:sz w:val="22"/>
                <w:szCs w:val="22"/>
              </w:rPr>
              <w:t>etc</w:t>
            </w:r>
            <w:proofErr w:type="spellEnd"/>
            <w:r w:rsidRPr="00264784">
              <w:rPr>
                <w:rFonts w:ascii="Utsaah" w:hAnsi="Utsaah" w:cs="Utsaah"/>
                <w:color w:val="4A442A" w:themeColor="background2" w:themeShade="40"/>
                <w:sz w:val="22"/>
                <w:szCs w:val="22"/>
              </w:rPr>
              <w:t xml:space="preserve"> with an ASIC bond of $50k – can be via a bank guarantee and requires PI to be in place within 4 months of being granted an APO.</w:t>
            </w:r>
          </w:p>
          <w:p w:rsidR="00264784" w:rsidRPr="00264784" w:rsidRDefault="00264784" w:rsidP="00264784">
            <w:pPr>
              <w:jc w:val="both"/>
              <w:rPr>
                <w:rFonts w:ascii="Utsaah" w:hAnsi="Utsaah" w:cs="Utsaah"/>
                <w:color w:val="4A442A" w:themeColor="background2" w:themeShade="40"/>
                <w:sz w:val="22"/>
                <w:szCs w:val="22"/>
              </w:rPr>
            </w:pPr>
          </w:p>
          <w:p w:rsidR="00264784" w:rsidRDefault="00264784" w:rsidP="00264784">
            <w:pPr>
              <w:jc w:val="both"/>
              <w:rPr>
                <w:rFonts w:ascii="Utsaah" w:hAnsi="Utsaah" w:cs="Utsaah"/>
                <w:color w:val="4A442A" w:themeColor="background2" w:themeShade="40"/>
                <w:sz w:val="22"/>
                <w:szCs w:val="22"/>
              </w:rPr>
            </w:pPr>
            <w:r w:rsidRPr="00264784">
              <w:rPr>
                <w:rFonts w:ascii="Utsaah" w:hAnsi="Utsaah" w:cs="Utsaah"/>
                <w:color w:val="4A442A" w:themeColor="background2" w:themeShade="40"/>
                <w:sz w:val="22"/>
                <w:szCs w:val="22"/>
              </w:rPr>
              <w:t>APO’s are the gatekeepers and assist the public to provide confi</w:t>
            </w:r>
            <w:r>
              <w:rPr>
                <w:rFonts w:ascii="Utsaah" w:hAnsi="Utsaah" w:cs="Utsaah"/>
                <w:color w:val="4A442A" w:themeColor="background2" w:themeShade="40"/>
                <w:sz w:val="22"/>
                <w:szCs w:val="22"/>
              </w:rPr>
              <w:t xml:space="preserve">dence in the CSEF market place. </w:t>
            </w:r>
            <w:r w:rsidRPr="00264784">
              <w:rPr>
                <w:rFonts w:ascii="Utsaah" w:hAnsi="Utsaah" w:cs="Utsaah"/>
                <w:color w:val="4A442A" w:themeColor="background2" w:themeShade="40"/>
                <w:sz w:val="22"/>
                <w:szCs w:val="22"/>
              </w:rPr>
              <w:t>APO’s need to be alert to shams and scams – a CSEF must not be simply a listing platform like we have seen with ASIC Class Order 02/273 platform operators who don’t vet applicants and receive a “listing fee” from the applicant and don’t have a duty of care to investors directly and don’t ensure ongoing reporting on their platform post investment.</w:t>
            </w:r>
            <w:r>
              <w:rPr>
                <w:rFonts w:ascii="Utsaah" w:hAnsi="Utsaah" w:cs="Utsaah"/>
                <w:color w:val="4A442A" w:themeColor="background2" w:themeShade="40"/>
                <w:sz w:val="22"/>
                <w:szCs w:val="22"/>
              </w:rPr>
              <w:t xml:space="preserve"> </w:t>
            </w:r>
          </w:p>
          <w:p w:rsidR="00264784" w:rsidRDefault="00264784" w:rsidP="00264784">
            <w:pPr>
              <w:jc w:val="both"/>
              <w:rPr>
                <w:rFonts w:ascii="Utsaah" w:hAnsi="Utsaah" w:cs="Utsaah"/>
                <w:color w:val="4A442A" w:themeColor="background2" w:themeShade="40"/>
                <w:sz w:val="22"/>
                <w:szCs w:val="22"/>
              </w:rPr>
            </w:pPr>
          </w:p>
          <w:p w:rsidR="00264784" w:rsidRDefault="00264784" w:rsidP="00264784">
            <w:pPr>
              <w:jc w:val="both"/>
              <w:rPr>
                <w:rFonts w:ascii="Utsaah" w:hAnsi="Utsaah" w:cs="Utsaah"/>
                <w:color w:val="4A442A" w:themeColor="background2" w:themeShade="40"/>
                <w:sz w:val="22"/>
                <w:szCs w:val="22"/>
              </w:rPr>
            </w:pPr>
            <w:r w:rsidRPr="00264784">
              <w:rPr>
                <w:rFonts w:ascii="Utsaah" w:hAnsi="Utsaah" w:cs="Utsaah"/>
                <w:color w:val="4A442A" w:themeColor="background2" w:themeShade="40"/>
                <w:sz w:val="22"/>
                <w:szCs w:val="22"/>
              </w:rPr>
              <w:t>APO’s must be proactive and participate in warning notifications to the APO license authority, be prepared to recommend stop orders if something comes to light and strive to mitig</w:t>
            </w:r>
            <w:r>
              <w:rPr>
                <w:rFonts w:ascii="Utsaah" w:hAnsi="Utsaah" w:cs="Utsaah"/>
                <w:color w:val="4A442A" w:themeColor="background2" w:themeShade="40"/>
                <w:sz w:val="22"/>
                <w:szCs w:val="22"/>
              </w:rPr>
              <w:t xml:space="preserve">ate loss of the public’s money. </w:t>
            </w:r>
            <w:r w:rsidRPr="00264784">
              <w:rPr>
                <w:rFonts w:ascii="Utsaah" w:hAnsi="Utsaah" w:cs="Utsaah"/>
                <w:color w:val="4A442A" w:themeColor="background2" w:themeShade="40"/>
                <w:sz w:val="22"/>
                <w:szCs w:val="22"/>
              </w:rPr>
              <w:t xml:space="preserve">That is why the KIP is vital and the ability to ensure the facts to the best of their knowledge per the KIP template approach is professionally performed. Fat Hen Ventures Ltd is well set up to be an APO with all draft precedent documents around </w:t>
            </w:r>
            <w:r>
              <w:rPr>
                <w:rFonts w:ascii="Utsaah" w:hAnsi="Utsaah" w:cs="Utsaah"/>
                <w:color w:val="4A442A" w:themeColor="background2" w:themeShade="40"/>
                <w:sz w:val="22"/>
                <w:szCs w:val="22"/>
              </w:rPr>
              <w:t xml:space="preserve">the KIP and platform operation </w:t>
            </w:r>
            <w:r w:rsidRPr="00264784">
              <w:rPr>
                <w:rFonts w:ascii="Utsaah" w:hAnsi="Utsaah" w:cs="Utsaah"/>
                <w:color w:val="4A442A" w:themeColor="background2" w:themeShade="40"/>
                <w:sz w:val="22"/>
                <w:szCs w:val="22"/>
              </w:rPr>
              <w:t>already drafted.</w:t>
            </w:r>
          </w:p>
          <w:p w:rsidR="00264784" w:rsidRPr="001B0D13" w:rsidRDefault="00264784" w:rsidP="00264784">
            <w:pPr>
              <w:jc w:val="both"/>
              <w:rPr>
                <w:rFonts w:ascii="Utsaah" w:hAnsi="Utsaah" w:cs="Utsaah"/>
                <w:color w:val="4A442A" w:themeColor="background2" w:themeShade="40"/>
                <w:sz w:val="22"/>
                <w:szCs w:val="22"/>
              </w:rPr>
            </w:pPr>
          </w:p>
        </w:tc>
      </w:tr>
      <w:tr w:rsidR="00264784" w:rsidRPr="00012E22" w:rsidTr="00264784">
        <w:trPr>
          <w:trHeight w:val="144"/>
        </w:trPr>
        <w:tc>
          <w:tcPr>
            <w:tcW w:w="1384" w:type="dxa"/>
          </w:tcPr>
          <w:p w:rsidR="00264784" w:rsidRPr="001B0D13" w:rsidRDefault="00264784" w:rsidP="00264784">
            <w:pPr>
              <w:jc w:val="both"/>
              <w:rPr>
                <w:rFonts w:ascii="Utsaah" w:hAnsi="Utsaah" w:cs="Utsaah"/>
                <w:b/>
                <w:color w:val="4A442A" w:themeColor="background2" w:themeShade="40"/>
                <w:sz w:val="72"/>
                <w:szCs w:val="72"/>
              </w:rPr>
            </w:pPr>
            <w:r>
              <w:rPr>
                <w:rFonts w:ascii="Utsaah" w:hAnsi="Utsaah" w:cs="Utsaah"/>
                <w:b/>
                <w:color w:val="00B0F0"/>
                <w:sz w:val="72"/>
                <w:szCs w:val="72"/>
              </w:rPr>
              <w:t>11</w:t>
            </w:r>
          </w:p>
        </w:tc>
        <w:tc>
          <w:tcPr>
            <w:tcW w:w="7796" w:type="dxa"/>
          </w:tcPr>
          <w:p w:rsidR="00264784" w:rsidRPr="00264784" w:rsidRDefault="00264784" w:rsidP="00264784">
            <w:pPr>
              <w:jc w:val="both"/>
              <w:rPr>
                <w:rFonts w:ascii="Utsaah" w:hAnsi="Utsaah" w:cs="Utsaah"/>
                <w:b/>
                <w:color w:val="4A442A" w:themeColor="background2" w:themeShade="40"/>
                <w:sz w:val="22"/>
                <w:szCs w:val="22"/>
              </w:rPr>
            </w:pPr>
            <w:r w:rsidRPr="00264784">
              <w:rPr>
                <w:rFonts w:ascii="Utsaah" w:hAnsi="Utsaah" w:cs="Utsaah"/>
                <w:b/>
                <w:color w:val="00B0F0"/>
                <w:sz w:val="22"/>
                <w:szCs w:val="22"/>
              </w:rPr>
              <w:t>APOs to undertake limited due diligence checks on the issuer to produce the KIP at front of any issue document.</w:t>
            </w:r>
            <w:r w:rsidRPr="00264784">
              <w:rPr>
                <w:rFonts w:ascii="Utsaah" w:hAnsi="Utsaah" w:cs="Utsaah"/>
                <w:b/>
                <w:color w:val="4A442A" w:themeColor="background2" w:themeShade="40"/>
                <w:sz w:val="22"/>
                <w:szCs w:val="22"/>
              </w:rPr>
              <w:t xml:space="preserve"> Refer Table 2 for matters needing to be in the KIP.</w:t>
            </w:r>
          </w:p>
          <w:p w:rsidR="00264784" w:rsidRDefault="00264784" w:rsidP="00264784">
            <w:pPr>
              <w:jc w:val="both"/>
              <w:rPr>
                <w:rFonts w:ascii="Utsaah" w:hAnsi="Utsaah" w:cs="Utsaah"/>
                <w:b/>
                <w:color w:val="4A442A" w:themeColor="background2" w:themeShade="40"/>
                <w:sz w:val="22"/>
                <w:szCs w:val="22"/>
              </w:rPr>
            </w:pPr>
          </w:p>
          <w:p w:rsidR="00264784" w:rsidRPr="00264784" w:rsidRDefault="00264784" w:rsidP="00264784">
            <w:pPr>
              <w:jc w:val="both"/>
              <w:rPr>
                <w:rFonts w:ascii="Utsaah" w:hAnsi="Utsaah" w:cs="Utsaah"/>
                <w:b/>
                <w:color w:val="4A442A" w:themeColor="background2" w:themeShade="40"/>
                <w:sz w:val="22"/>
                <w:szCs w:val="22"/>
              </w:rPr>
            </w:pPr>
            <w:r w:rsidRPr="00264784">
              <w:rPr>
                <w:rFonts w:ascii="Utsaah" w:hAnsi="Utsaah" w:cs="Utsaah"/>
                <w:b/>
                <w:color w:val="4A442A" w:themeColor="background2" w:themeShade="40"/>
                <w:sz w:val="22"/>
                <w:szCs w:val="22"/>
              </w:rPr>
              <w:t>APO must exercise due care and diligence in signing off a KIP.</w:t>
            </w:r>
          </w:p>
          <w:p w:rsidR="00264784" w:rsidRDefault="00264784" w:rsidP="00264784">
            <w:pPr>
              <w:jc w:val="both"/>
              <w:rPr>
                <w:rFonts w:ascii="Utsaah" w:hAnsi="Utsaah" w:cs="Utsaah"/>
                <w:color w:val="4A442A" w:themeColor="background2" w:themeShade="40"/>
                <w:sz w:val="22"/>
                <w:szCs w:val="22"/>
              </w:rPr>
            </w:pPr>
          </w:p>
          <w:p w:rsidR="00264784" w:rsidRDefault="00264784" w:rsidP="00264784">
            <w:pPr>
              <w:jc w:val="both"/>
              <w:rPr>
                <w:rFonts w:ascii="Utsaah" w:hAnsi="Utsaah" w:cs="Utsaah"/>
                <w:color w:val="4A442A" w:themeColor="background2" w:themeShade="40"/>
                <w:sz w:val="22"/>
                <w:szCs w:val="22"/>
              </w:rPr>
            </w:pPr>
            <w:r w:rsidRPr="00264784">
              <w:rPr>
                <w:rFonts w:ascii="Utsaah" w:hAnsi="Utsaah" w:cs="Utsaah"/>
                <w:color w:val="4A442A" w:themeColor="background2" w:themeShade="40"/>
                <w:sz w:val="22"/>
                <w:szCs w:val="22"/>
              </w:rPr>
              <w:t>This follows on from Recommendation #10 and emphasises the important role played by the APO. APO’s business model should NOT be one of quantity of listings on the platform but fostering a cluster of fully compliant companies and help such CSEF aspirants if required in getting investor ready so they approach the market in a well-coordinated and complete manner. Here they are a little like a stock broker looking to list companies on ASX – they must know the rules, assist the company in the pre-listing stage, review the Issuer disclosure document properly and ensure the KIP is complete. Also the APO needs to post reports of the Issuer post fundin</w:t>
            </w:r>
            <w:r>
              <w:rPr>
                <w:rFonts w:ascii="Utsaah" w:hAnsi="Utsaah" w:cs="Utsaah"/>
                <w:color w:val="4A442A" w:themeColor="background2" w:themeShade="40"/>
                <w:sz w:val="22"/>
                <w:szCs w:val="22"/>
              </w:rPr>
              <w:t xml:space="preserve">g on their platform / website </w:t>
            </w:r>
            <w:r w:rsidRPr="00264784">
              <w:rPr>
                <w:rFonts w:ascii="Utsaah" w:hAnsi="Utsaah" w:cs="Utsaah"/>
                <w:color w:val="4A442A" w:themeColor="background2" w:themeShade="40"/>
                <w:sz w:val="22"/>
                <w:szCs w:val="22"/>
              </w:rPr>
              <w:t>if they are still acting for the company.</w:t>
            </w:r>
          </w:p>
          <w:p w:rsidR="00264784" w:rsidRPr="00264784" w:rsidRDefault="00264784" w:rsidP="00264784">
            <w:pPr>
              <w:jc w:val="both"/>
              <w:rPr>
                <w:rFonts w:ascii="Utsaah" w:hAnsi="Utsaah" w:cs="Utsaah"/>
                <w:color w:val="4A442A" w:themeColor="background2" w:themeShade="40"/>
                <w:sz w:val="22"/>
                <w:szCs w:val="22"/>
              </w:rPr>
            </w:pPr>
          </w:p>
          <w:p w:rsidR="00264784" w:rsidRDefault="00264784" w:rsidP="00264784">
            <w:pPr>
              <w:jc w:val="both"/>
              <w:rPr>
                <w:rFonts w:ascii="Utsaah" w:hAnsi="Utsaah" w:cs="Utsaah"/>
                <w:color w:val="4A442A" w:themeColor="background2" w:themeShade="40"/>
                <w:sz w:val="22"/>
                <w:szCs w:val="22"/>
              </w:rPr>
            </w:pPr>
            <w:r w:rsidRPr="00264784">
              <w:rPr>
                <w:rFonts w:ascii="Utsaah" w:hAnsi="Utsaah" w:cs="Utsaah"/>
                <w:color w:val="4A442A" w:themeColor="background2" w:themeShade="40"/>
                <w:sz w:val="22"/>
                <w:szCs w:val="22"/>
              </w:rPr>
              <w:t>Post issue, a CSEF funded entity must report to shareholders as noted in recommendation #15 either on their web site or an APO’s platform. It is recommended that an Issuer always has an APO somewhat like a broker to ASX having a continuing relationship with a listed company re research reports etc.</w:t>
            </w:r>
          </w:p>
          <w:p w:rsidR="00264784" w:rsidRPr="001B0D13" w:rsidRDefault="00264784" w:rsidP="00264784">
            <w:pPr>
              <w:jc w:val="both"/>
              <w:rPr>
                <w:rFonts w:ascii="Utsaah" w:hAnsi="Utsaah" w:cs="Utsaah"/>
                <w:color w:val="4A442A" w:themeColor="background2" w:themeShade="40"/>
                <w:sz w:val="22"/>
                <w:szCs w:val="22"/>
              </w:rPr>
            </w:pPr>
          </w:p>
        </w:tc>
      </w:tr>
      <w:tr w:rsidR="00264784" w:rsidRPr="00012E22" w:rsidTr="00264784">
        <w:trPr>
          <w:trHeight w:val="144"/>
        </w:trPr>
        <w:tc>
          <w:tcPr>
            <w:tcW w:w="1384" w:type="dxa"/>
          </w:tcPr>
          <w:p w:rsidR="00264784" w:rsidRDefault="00264784" w:rsidP="00264784">
            <w:pPr>
              <w:jc w:val="both"/>
              <w:rPr>
                <w:rFonts w:ascii="Utsaah" w:hAnsi="Utsaah" w:cs="Utsaah"/>
                <w:b/>
                <w:color w:val="00B0F0"/>
                <w:sz w:val="72"/>
                <w:szCs w:val="72"/>
              </w:rPr>
            </w:pPr>
            <w:r>
              <w:rPr>
                <w:rFonts w:ascii="Utsaah" w:hAnsi="Utsaah" w:cs="Utsaah"/>
                <w:b/>
                <w:color w:val="00B0F0"/>
                <w:sz w:val="72"/>
                <w:szCs w:val="72"/>
              </w:rPr>
              <w:t>12</w:t>
            </w:r>
          </w:p>
        </w:tc>
        <w:tc>
          <w:tcPr>
            <w:tcW w:w="7796" w:type="dxa"/>
          </w:tcPr>
          <w:p w:rsidR="00264784" w:rsidRPr="00264784" w:rsidRDefault="00264784" w:rsidP="00264784">
            <w:pPr>
              <w:jc w:val="both"/>
              <w:rPr>
                <w:rFonts w:ascii="Utsaah" w:hAnsi="Utsaah" w:cs="Utsaah"/>
                <w:b/>
                <w:color w:val="4A442A" w:themeColor="background2" w:themeShade="40"/>
                <w:sz w:val="22"/>
                <w:szCs w:val="22"/>
              </w:rPr>
            </w:pPr>
            <w:r w:rsidRPr="00264784">
              <w:rPr>
                <w:rFonts w:ascii="Utsaah" w:hAnsi="Utsaah" w:cs="Utsaah"/>
                <w:b/>
                <w:color w:val="00B0F0"/>
                <w:sz w:val="22"/>
                <w:szCs w:val="22"/>
              </w:rPr>
              <w:t xml:space="preserve">APO’s are not restricted regarding fee structures </w:t>
            </w:r>
            <w:r w:rsidRPr="00264784">
              <w:rPr>
                <w:rFonts w:ascii="Utsaah" w:hAnsi="Utsaah" w:cs="Utsaah"/>
                <w:b/>
                <w:color w:val="4A442A" w:themeColor="background2" w:themeShade="40"/>
                <w:sz w:val="22"/>
                <w:szCs w:val="22"/>
              </w:rPr>
              <w:t>other than an APO cannot hold shares in the Issuer pre-CSEF capital raising and all fee arrangements must be disclosed.</w:t>
            </w:r>
          </w:p>
          <w:p w:rsidR="00264784" w:rsidRPr="00264784" w:rsidRDefault="00264784" w:rsidP="00264784">
            <w:pPr>
              <w:jc w:val="both"/>
              <w:rPr>
                <w:rFonts w:ascii="Utsaah" w:hAnsi="Utsaah" w:cs="Utsaah"/>
                <w:color w:val="4A442A" w:themeColor="background2" w:themeShade="40"/>
                <w:sz w:val="22"/>
                <w:szCs w:val="22"/>
              </w:rPr>
            </w:pPr>
          </w:p>
          <w:p w:rsidR="00264784" w:rsidRPr="00264784" w:rsidRDefault="00264784" w:rsidP="00264784">
            <w:pPr>
              <w:jc w:val="both"/>
              <w:rPr>
                <w:rFonts w:ascii="Utsaah" w:hAnsi="Utsaah" w:cs="Utsaah"/>
                <w:color w:val="4A442A" w:themeColor="background2" w:themeShade="40"/>
              </w:rPr>
            </w:pPr>
            <w:r w:rsidRPr="00264784">
              <w:rPr>
                <w:rFonts w:ascii="Utsaah" w:hAnsi="Utsaah" w:cs="Utsaah"/>
                <w:color w:val="4A442A" w:themeColor="background2" w:themeShade="40"/>
                <w:sz w:val="22"/>
                <w:szCs w:val="22"/>
              </w:rPr>
              <w:t>To avoid APO’s having conflicts of interest pre the CSEF raising we recommend the APO does not have a shareholding in the Issuer pre-issue. The APO can charge an “investment readiness” fee to work with the client to help get the disclosure document in a sui</w:t>
            </w:r>
            <w:r>
              <w:rPr>
                <w:rFonts w:ascii="Utsaah" w:hAnsi="Utsaah" w:cs="Utsaah"/>
                <w:color w:val="4A442A" w:themeColor="background2" w:themeShade="40"/>
                <w:sz w:val="22"/>
                <w:szCs w:val="22"/>
              </w:rPr>
              <w:t xml:space="preserve">table form and prepare the KIP. </w:t>
            </w:r>
            <w:r w:rsidRPr="00264784">
              <w:rPr>
                <w:rFonts w:ascii="Utsaah" w:hAnsi="Utsaah" w:cs="Utsaah"/>
                <w:color w:val="4A442A" w:themeColor="background2" w:themeShade="40"/>
                <w:sz w:val="22"/>
                <w:szCs w:val="22"/>
              </w:rPr>
              <w:t>We are comfortable wit</w:t>
            </w:r>
            <w:r>
              <w:rPr>
                <w:rFonts w:ascii="Utsaah" w:hAnsi="Utsaah" w:cs="Utsaah"/>
                <w:color w:val="4A442A" w:themeColor="background2" w:themeShade="40"/>
                <w:sz w:val="22"/>
                <w:szCs w:val="22"/>
              </w:rPr>
              <w:t xml:space="preserve">h the Issuer paying some or </w:t>
            </w:r>
            <w:r w:rsidR="00907FC7">
              <w:rPr>
                <w:rFonts w:ascii="Utsaah" w:hAnsi="Utsaah" w:cs="Utsaah"/>
                <w:color w:val="4A442A" w:themeColor="background2" w:themeShade="40"/>
                <w:sz w:val="22"/>
                <w:szCs w:val="22"/>
              </w:rPr>
              <w:t>the entire</w:t>
            </w:r>
            <w:r w:rsidRPr="00264784">
              <w:rPr>
                <w:rFonts w:ascii="Utsaah" w:hAnsi="Utsaah" w:cs="Utsaah"/>
                <w:color w:val="4A442A" w:themeColor="background2" w:themeShade="40"/>
                <w:sz w:val="22"/>
                <w:szCs w:val="22"/>
              </w:rPr>
              <w:t xml:space="preserve"> platform fee to the APO in Issuer shares – this is not dissimilar to brokers now taking sha</w:t>
            </w:r>
            <w:r>
              <w:rPr>
                <w:rFonts w:ascii="Utsaah" w:hAnsi="Utsaah" w:cs="Utsaah"/>
                <w:color w:val="4A442A" w:themeColor="background2" w:themeShade="40"/>
                <w:sz w:val="22"/>
                <w:szCs w:val="22"/>
              </w:rPr>
              <w:t xml:space="preserve">res as part of the ASX listing. </w:t>
            </w:r>
            <w:r w:rsidRPr="00264784">
              <w:rPr>
                <w:rFonts w:ascii="Utsaah" w:hAnsi="Utsaah" w:cs="Utsaah"/>
                <w:color w:val="4A442A" w:themeColor="background2" w:themeShade="40"/>
                <w:sz w:val="22"/>
                <w:szCs w:val="22"/>
              </w:rPr>
              <w:t>The APO license from ASIC should enable this fee to take place or a commission based fee.</w:t>
            </w:r>
          </w:p>
        </w:tc>
      </w:tr>
    </w:tbl>
    <w:p w:rsidR="000D11AC" w:rsidRDefault="00E3331C">
      <w:r>
        <w:rPr>
          <w:noProof/>
          <w:lang w:eastAsia="en-AU"/>
        </w:rPr>
        <w:lastRenderedPageBreak/>
        <w:pict>
          <v:shape id="Text Box 305" o:spid="_x0000_s1047" type="#_x0000_t202" style="position:absolute;margin-left:-63pt;margin-top:-50.65pt;width:186.05pt;height:76.75pt;z-index:251727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mQv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" filled="f" stroked="f">
            <v:textbox>
              <w:txbxContent>
                <w:p w:rsidR="0061071A" w:rsidRDefault="0061071A" w:rsidP="007E58AA">
                  <w:pPr>
                    <w:spacing w:after="0"/>
                    <w:rPr>
                      <w:rFonts w:ascii="Adobe Gothic Std B" w:eastAsia="Adobe Gothic Std B" w:hAnsi="Adobe Gothic Std B" w:cs="Arial"/>
                      <w:b/>
                      <w:bCs/>
                      <w:color w:val="FFFFFF" w:themeColor="background1"/>
                      <w:sz w:val="24"/>
                      <w:szCs w:val="24"/>
                    </w:rPr>
                  </w:pPr>
                </w:p>
                <w:p w:rsidR="0061071A" w:rsidRPr="002E68BC" w:rsidRDefault="0061071A" w:rsidP="007E58AA">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PART THREE (CONT.)</w:t>
                  </w:r>
                </w:p>
                <w:p w:rsidR="0061071A" w:rsidRPr="001C7CF3" w:rsidRDefault="0061071A" w:rsidP="007E58AA">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37440"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303" o:spid="_x0000_s1103" style="position:absolute;margin-left:-.05pt;margin-top:-46.4pt;width:202.5pt;height:76.55pt;z-index:-251589632;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">
            <v:shape id="Freeform 756" o:spid="_x0000_s1104"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lW8cA&#10;AADcAAAADwAAAGRycy9kb3ducmV2LnhtbESPQUvDQBSE74L/YXmCF2l3a0uRtNsSCqL0ILbx0OMj&#10;+5pEs2/D7qaJ/npXEHocZuYbZr0dbSsu5EPjWMNsqkAQl840XGn4KJ4nTyBCRDbYOiYN3xRgu7m9&#10;WWNm3MAHuhxjJRKEQ4Ya6hi7TMpQ1mQxTF1HnLyz8xZjkr6SxuOQ4LaVj0otpcWG00KNHe1qKr+O&#10;vdXw2Q958f6CB3Xqd36/+HmY5cWb1vd3Y74CEWmM1/B/+9VomKsF/J1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A5Vv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tbl>
      <w:tblPr>
        <w:tblStyle w:val="TableGrid"/>
        <w:tblpPr w:leftFromText="180" w:rightFromText="180" w:vertAnchor="page" w:horzAnchor="margin" w:tblpY="3221"/>
        <w:tblW w:w="9180" w:type="dxa"/>
        <w:tblLayout w:type="fixed"/>
        <w:tblLook w:val="04A0" w:firstRow="1" w:lastRow="0" w:firstColumn="1" w:lastColumn="0" w:noHBand="0" w:noVBand="1"/>
      </w:tblPr>
      <w:tblGrid>
        <w:gridCol w:w="1418"/>
        <w:gridCol w:w="7762"/>
      </w:tblGrid>
      <w:tr w:rsidR="007E58AA" w:rsidRPr="00012E22" w:rsidTr="004E13CA">
        <w:trPr>
          <w:trHeight w:val="144"/>
        </w:trPr>
        <w:tc>
          <w:tcPr>
            <w:tcW w:w="1418" w:type="dxa"/>
          </w:tcPr>
          <w:p w:rsidR="007E58AA" w:rsidRDefault="007E58AA" w:rsidP="004E13CA">
            <w:pPr>
              <w:jc w:val="both"/>
              <w:rPr>
                <w:rFonts w:ascii="Utsaah" w:hAnsi="Utsaah" w:cs="Utsaah"/>
                <w:b/>
                <w:color w:val="00B0F0"/>
                <w:sz w:val="72"/>
                <w:szCs w:val="72"/>
              </w:rPr>
            </w:pPr>
            <w:r>
              <w:rPr>
                <w:rFonts w:ascii="Utsaah" w:hAnsi="Utsaah" w:cs="Utsaah"/>
                <w:b/>
                <w:color w:val="00B0F0"/>
                <w:sz w:val="72"/>
                <w:szCs w:val="72"/>
              </w:rPr>
              <w:t>13</w:t>
            </w:r>
          </w:p>
          <w:p w:rsidR="007E58AA" w:rsidRPr="001B0D13" w:rsidRDefault="007E58AA" w:rsidP="004E13CA">
            <w:pPr>
              <w:jc w:val="both"/>
              <w:rPr>
                <w:rFonts w:ascii="Utsaah" w:hAnsi="Utsaah" w:cs="Utsaah"/>
                <w:b/>
                <w:color w:val="4A442A" w:themeColor="background2" w:themeShade="40"/>
                <w:sz w:val="72"/>
                <w:szCs w:val="72"/>
              </w:rPr>
            </w:pPr>
          </w:p>
        </w:tc>
        <w:tc>
          <w:tcPr>
            <w:tcW w:w="7762" w:type="dxa"/>
          </w:tcPr>
          <w:p w:rsidR="007E58AA" w:rsidRPr="004E13CA" w:rsidRDefault="007E58AA" w:rsidP="004E13CA">
            <w:pPr>
              <w:jc w:val="both"/>
              <w:rPr>
                <w:rFonts w:ascii="Utsaah" w:hAnsi="Utsaah" w:cs="Utsaah"/>
                <w:b/>
                <w:color w:val="4A442A" w:themeColor="background2" w:themeShade="40"/>
                <w:sz w:val="22"/>
                <w:szCs w:val="22"/>
              </w:rPr>
            </w:pPr>
            <w:r w:rsidRPr="004E13CA">
              <w:rPr>
                <w:rFonts w:ascii="Utsaah" w:hAnsi="Utsaah" w:cs="Utsaah"/>
                <w:b/>
                <w:color w:val="00B0F0"/>
                <w:sz w:val="22"/>
                <w:szCs w:val="22"/>
              </w:rPr>
              <w:t xml:space="preserve">APO’s are permitted to answer general queries about an Issuer and related document </w:t>
            </w:r>
            <w:r w:rsidRPr="004E13CA">
              <w:rPr>
                <w:rFonts w:ascii="Utsaah" w:hAnsi="Utsaah" w:cs="Utsaah"/>
                <w:b/>
                <w:color w:val="4A442A" w:themeColor="background2" w:themeShade="40"/>
                <w:sz w:val="22"/>
                <w:szCs w:val="22"/>
              </w:rPr>
              <w:t>(e.g. clarification of factual matter re a patent status specified in the Issuer document) but not to give investment advice. Facts only.</w:t>
            </w:r>
          </w:p>
          <w:p w:rsidR="007E58AA" w:rsidRDefault="007E58AA" w:rsidP="004E13CA">
            <w:pPr>
              <w:jc w:val="both"/>
              <w:rPr>
                <w:rFonts w:ascii="Utsaah" w:hAnsi="Utsaah" w:cs="Utsaah"/>
                <w:color w:val="4A442A" w:themeColor="background2" w:themeShade="40"/>
                <w:sz w:val="22"/>
                <w:szCs w:val="22"/>
              </w:rPr>
            </w:pPr>
          </w:p>
          <w:p w:rsidR="007E58AA" w:rsidRDefault="007E58AA" w:rsidP="004E13CA">
            <w:pPr>
              <w:jc w:val="both"/>
              <w:rPr>
                <w:rFonts w:ascii="Utsaah" w:hAnsi="Utsaah" w:cs="Utsaah"/>
                <w:color w:val="4A442A" w:themeColor="background2" w:themeShade="40"/>
                <w:sz w:val="22"/>
                <w:szCs w:val="22"/>
              </w:rPr>
            </w:pPr>
            <w:r w:rsidRPr="007E58AA">
              <w:rPr>
                <w:rFonts w:ascii="Utsaah" w:hAnsi="Utsaah" w:cs="Utsaah"/>
                <w:color w:val="4A442A" w:themeColor="background2" w:themeShade="40"/>
                <w:sz w:val="22"/>
                <w:szCs w:val="22"/>
              </w:rPr>
              <w:t>There are circumstances that could arise where a potential investor may have a question on the KIP or the disclosure document and provided it is a straight forward factual response re a particular matter we are comfortable with the APO pe</w:t>
            </w:r>
            <w:r w:rsidR="004E13CA">
              <w:rPr>
                <w:rFonts w:ascii="Utsaah" w:hAnsi="Utsaah" w:cs="Utsaah"/>
                <w:color w:val="4A442A" w:themeColor="background2" w:themeShade="40"/>
                <w:sz w:val="22"/>
                <w:szCs w:val="22"/>
              </w:rPr>
              <w:t xml:space="preserve">rforming this clarification of </w:t>
            </w:r>
            <w:r w:rsidRPr="007E58AA">
              <w:rPr>
                <w:rFonts w:ascii="Utsaah" w:hAnsi="Utsaah" w:cs="Utsaah"/>
                <w:color w:val="4A442A" w:themeColor="background2" w:themeShade="40"/>
                <w:sz w:val="22"/>
                <w:szCs w:val="22"/>
              </w:rPr>
              <w:t>fact role.</w:t>
            </w:r>
          </w:p>
          <w:p w:rsidR="004E13CA" w:rsidRPr="007E58AA" w:rsidRDefault="004E13CA" w:rsidP="004E13CA">
            <w:pPr>
              <w:jc w:val="both"/>
              <w:rPr>
                <w:rFonts w:ascii="Utsaah" w:hAnsi="Utsaah" w:cs="Utsaah"/>
                <w:color w:val="4A442A" w:themeColor="background2" w:themeShade="40"/>
                <w:sz w:val="22"/>
                <w:szCs w:val="22"/>
              </w:rPr>
            </w:pPr>
          </w:p>
          <w:p w:rsidR="007E58AA" w:rsidRDefault="007E58AA" w:rsidP="004E13CA">
            <w:pPr>
              <w:jc w:val="both"/>
              <w:rPr>
                <w:rFonts w:ascii="Utsaah" w:hAnsi="Utsaah" w:cs="Utsaah"/>
                <w:color w:val="4A442A" w:themeColor="background2" w:themeShade="40"/>
                <w:sz w:val="22"/>
                <w:szCs w:val="22"/>
              </w:rPr>
            </w:pPr>
            <w:r w:rsidRPr="007E58AA">
              <w:rPr>
                <w:rFonts w:ascii="Utsaah" w:hAnsi="Utsaah" w:cs="Utsaah"/>
                <w:color w:val="4A442A" w:themeColor="background2" w:themeShade="40"/>
                <w:sz w:val="22"/>
                <w:szCs w:val="22"/>
              </w:rPr>
              <w:t>The APO must not give investment advice nor “sell” the issue by giving subjective statements about future performance of the Issuer or future share issue pricing etc. APO’s must have PI cover in place also.</w:t>
            </w:r>
          </w:p>
          <w:p w:rsidR="007E58AA" w:rsidRPr="001B0D13" w:rsidRDefault="007E58AA" w:rsidP="004E13CA">
            <w:pPr>
              <w:jc w:val="both"/>
              <w:rPr>
                <w:rFonts w:ascii="Utsaah" w:hAnsi="Utsaah" w:cs="Utsaah"/>
                <w:color w:val="4A442A" w:themeColor="background2" w:themeShade="40"/>
                <w:sz w:val="22"/>
                <w:szCs w:val="22"/>
              </w:rPr>
            </w:pPr>
          </w:p>
        </w:tc>
      </w:tr>
      <w:tr w:rsidR="007E58AA" w:rsidRPr="00012E22" w:rsidTr="004E13CA">
        <w:trPr>
          <w:trHeight w:val="144"/>
        </w:trPr>
        <w:tc>
          <w:tcPr>
            <w:tcW w:w="1418" w:type="dxa"/>
          </w:tcPr>
          <w:p w:rsidR="007E58AA" w:rsidRPr="001B0D13" w:rsidRDefault="007E58AA" w:rsidP="004E13CA">
            <w:pPr>
              <w:jc w:val="both"/>
              <w:rPr>
                <w:rFonts w:ascii="Utsaah" w:hAnsi="Utsaah" w:cs="Utsaah"/>
                <w:b/>
                <w:color w:val="4A442A" w:themeColor="background2" w:themeShade="40"/>
                <w:sz w:val="72"/>
                <w:szCs w:val="72"/>
              </w:rPr>
            </w:pPr>
            <w:r>
              <w:rPr>
                <w:rFonts w:ascii="Utsaah" w:hAnsi="Utsaah" w:cs="Utsaah"/>
                <w:b/>
                <w:color w:val="00B0F0"/>
                <w:sz w:val="72"/>
                <w:szCs w:val="72"/>
              </w:rPr>
              <w:t>14</w:t>
            </w:r>
          </w:p>
        </w:tc>
        <w:tc>
          <w:tcPr>
            <w:tcW w:w="7762" w:type="dxa"/>
          </w:tcPr>
          <w:p w:rsidR="007E58AA" w:rsidRDefault="007E58AA" w:rsidP="004E13CA">
            <w:pPr>
              <w:jc w:val="both"/>
              <w:rPr>
                <w:rFonts w:ascii="Utsaah" w:hAnsi="Utsaah" w:cs="Utsaah"/>
                <w:b/>
                <w:color w:val="4A442A" w:themeColor="background2" w:themeShade="40"/>
                <w:sz w:val="22"/>
                <w:szCs w:val="22"/>
              </w:rPr>
            </w:pPr>
            <w:r w:rsidRPr="004E13CA">
              <w:rPr>
                <w:rFonts w:ascii="Utsaah" w:hAnsi="Utsaah" w:cs="Utsaah"/>
                <w:b/>
                <w:color w:val="00B0F0"/>
                <w:sz w:val="22"/>
                <w:szCs w:val="22"/>
              </w:rPr>
              <w:t xml:space="preserve">For companies classified as emerging companies </w:t>
            </w:r>
            <w:r w:rsidRPr="004E13CA">
              <w:rPr>
                <w:rFonts w:ascii="Utsaah" w:hAnsi="Utsaah" w:cs="Utsaah"/>
                <w:b/>
                <w:color w:val="4A442A" w:themeColor="background2" w:themeShade="40"/>
                <w:sz w:val="22"/>
                <w:szCs w:val="22"/>
              </w:rPr>
              <w:t>then for a retail investor no more than $5,000 per Issuer in any 12 month period and $20,000 in total per 12 month perio</w:t>
            </w:r>
            <w:r w:rsidR="003F715B">
              <w:rPr>
                <w:rFonts w:ascii="Utsaah" w:hAnsi="Utsaah" w:cs="Utsaah"/>
                <w:b/>
                <w:color w:val="4A442A" w:themeColor="background2" w:themeShade="40"/>
                <w:sz w:val="22"/>
                <w:szCs w:val="22"/>
              </w:rPr>
              <w:t>d for emerging CSEF investments may be committed.</w:t>
            </w:r>
          </w:p>
          <w:p w:rsidR="004E13CA" w:rsidRPr="004E13CA" w:rsidRDefault="004E13CA" w:rsidP="004E13CA">
            <w:pPr>
              <w:jc w:val="both"/>
              <w:rPr>
                <w:rFonts w:ascii="Utsaah" w:hAnsi="Utsaah" w:cs="Utsaah"/>
                <w:b/>
                <w:color w:val="4A442A" w:themeColor="background2" w:themeShade="40"/>
                <w:sz w:val="22"/>
                <w:szCs w:val="22"/>
              </w:rPr>
            </w:pPr>
          </w:p>
          <w:p w:rsidR="004E13CA" w:rsidRDefault="007E58AA" w:rsidP="004E13CA">
            <w:pPr>
              <w:jc w:val="both"/>
              <w:rPr>
                <w:rFonts w:ascii="Utsaah" w:hAnsi="Utsaah" w:cs="Utsaah"/>
                <w:b/>
                <w:color w:val="4A442A" w:themeColor="background2" w:themeShade="40"/>
                <w:sz w:val="22"/>
                <w:szCs w:val="22"/>
              </w:rPr>
            </w:pPr>
            <w:r w:rsidRPr="004E13CA">
              <w:rPr>
                <w:rFonts w:ascii="Utsaah" w:hAnsi="Utsaah" w:cs="Utsaah"/>
                <w:b/>
                <w:color w:val="00B0F0"/>
                <w:sz w:val="22"/>
                <w:szCs w:val="22"/>
              </w:rPr>
              <w:t xml:space="preserve">For companies classified as established companies </w:t>
            </w:r>
            <w:r w:rsidRPr="004E13CA">
              <w:rPr>
                <w:rFonts w:ascii="Utsaah" w:hAnsi="Utsaah" w:cs="Utsaah"/>
                <w:b/>
                <w:color w:val="4A442A" w:themeColor="background2" w:themeShade="40"/>
                <w:sz w:val="22"/>
                <w:szCs w:val="22"/>
              </w:rPr>
              <w:t>then for a retail investor no more than $20,000 per Issuer in any 12 month period and $50,000 in total per 12 month period for established CSEF investments</w:t>
            </w:r>
            <w:r w:rsidR="003F715B">
              <w:rPr>
                <w:rFonts w:ascii="Utsaah" w:hAnsi="Utsaah" w:cs="Utsaah"/>
                <w:b/>
                <w:color w:val="4A442A" w:themeColor="background2" w:themeShade="40"/>
                <w:sz w:val="22"/>
                <w:szCs w:val="22"/>
              </w:rPr>
              <w:t xml:space="preserve"> may be committed</w:t>
            </w:r>
            <w:r w:rsidRPr="004E13CA">
              <w:rPr>
                <w:rFonts w:ascii="Utsaah" w:hAnsi="Utsaah" w:cs="Utsaah"/>
                <w:b/>
                <w:color w:val="4A442A" w:themeColor="background2" w:themeShade="40"/>
                <w:sz w:val="22"/>
                <w:szCs w:val="22"/>
              </w:rPr>
              <w:t>. Wholesale / s708 / professional investors not covered by any cap</w:t>
            </w:r>
            <w:r w:rsidR="004E13CA">
              <w:rPr>
                <w:rFonts w:ascii="Utsaah" w:hAnsi="Utsaah" w:cs="Utsaah"/>
                <w:b/>
                <w:color w:val="4A442A" w:themeColor="background2" w:themeShade="40"/>
                <w:sz w:val="22"/>
                <w:szCs w:val="22"/>
              </w:rPr>
              <w:t>.</w:t>
            </w:r>
            <w:r w:rsidRPr="004E13CA">
              <w:rPr>
                <w:rFonts w:ascii="Utsaah" w:hAnsi="Utsaah" w:cs="Utsaah"/>
                <w:b/>
                <w:color w:val="4A442A" w:themeColor="background2" w:themeShade="40"/>
                <w:sz w:val="22"/>
                <w:szCs w:val="22"/>
              </w:rPr>
              <w:t xml:space="preserve"> </w:t>
            </w:r>
          </w:p>
          <w:p w:rsidR="007E58AA" w:rsidRPr="004E13CA" w:rsidRDefault="004E13CA" w:rsidP="004E13CA">
            <w:pPr>
              <w:jc w:val="both"/>
              <w:rPr>
                <w:rFonts w:ascii="Utsaah" w:hAnsi="Utsaah" w:cs="Utsaah"/>
                <w:b/>
                <w:color w:val="4A442A" w:themeColor="background2" w:themeShade="40"/>
                <w:sz w:val="22"/>
                <w:szCs w:val="22"/>
              </w:rPr>
            </w:pPr>
            <w:r w:rsidRPr="004E13CA">
              <w:rPr>
                <w:rFonts w:ascii="Utsaah" w:hAnsi="Utsaah" w:cs="Utsaah"/>
                <w:b/>
                <w:color w:val="4A442A" w:themeColor="background2" w:themeShade="40"/>
                <w:sz w:val="22"/>
                <w:szCs w:val="22"/>
              </w:rPr>
              <w:t>I.e</w:t>
            </w:r>
            <w:r w:rsidR="007E58AA" w:rsidRPr="004E13CA">
              <w:rPr>
                <w:rFonts w:ascii="Utsaah" w:hAnsi="Utsaah" w:cs="Utsaah"/>
                <w:b/>
                <w:color w:val="4A442A" w:themeColor="background2" w:themeShade="40"/>
                <w:sz w:val="22"/>
                <w:szCs w:val="22"/>
              </w:rPr>
              <w:t>. current s708 applies.</w:t>
            </w:r>
          </w:p>
          <w:p w:rsidR="007E58AA" w:rsidRDefault="007E58AA" w:rsidP="004E13CA">
            <w:pPr>
              <w:jc w:val="both"/>
              <w:rPr>
                <w:rFonts w:ascii="Utsaah" w:hAnsi="Utsaah" w:cs="Utsaah"/>
                <w:color w:val="4A442A" w:themeColor="background2" w:themeShade="40"/>
                <w:sz w:val="22"/>
                <w:szCs w:val="22"/>
              </w:rPr>
            </w:pPr>
          </w:p>
          <w:p w:rsidR="007E58AA" w:rsidRDefault="007E58AA" w:rsidP="004E13CA">
            <w:pPr>
              <w:jc w:val="both"/>
              <w:rPr>
                <w:rFonts w:ascii="Utsaah" w:hAnsi="Utsaah" w:cs="Utsaah"/>
                <w:color w:val="4A442A" w:themeColor="background2" w:themeShade="40"/>
                <w:sz w:val="22"/>
                <w:szCs w:val="22"/>
              </w:rPr>
            </w:pPr>
            <w:r w:rsidRPr="007E58AA">
              <w:rPr>
                <w:rFonts w:ascii="Utsaah" w:hAnsi="Utsaah" w:cs="Utsaah"/>
                <w:color w:val="4A442A" w:themeColor="background2" w:themeShade="40"/>
                <w:sz w:val="22"/>
                <w:szCs w:val="22"/>
              </w:rPr>
              <w:t xml:space="preserve">This subject is one of the most controversial areas given perceived restrictions on investors and the difficulty in policing such area. Whilst most CSEF countries have a threshold of </w:t>
            </w:r>
            <w:r w:rsidR="004E13CA" w:rsidRPr="007E58AA">
              <w:rPr>
                <w:rFonts w:ascii="Utsaah" w:hAnsi="Utsaah" w:cs="Utsaah"/>
                <w:color w:val="4A442A" w:themeColor="background2" w:themeShade="40"/>
                <w:sz w:val="22"/>
                <w:szCs w:val="22"/>
              </w:rPr>
              <w:t>approx.</w:t>
            </w:r>
            <w:r w:rsidRPr="007E58AA">
              <w:rPr>
                <w:rFonts w:ascii="Utsaah" w:hAnsi="Utsaah" w:cs="Utsaah"/>
                <w:color w:val="4A442A" w:themeColor="background2" w:themeShade="40"/>
                <w:sz w:val="22"/>
                <w:szCs w:val="22"/>
              </w:rPr>
              <w:t xml:space="preserve"> $2k to $5k per investment and a cap of $10k or 10% of one’s net investable assets we have, after extensive consultation, formed our recommendation as above.</w:t>
            </w:r>
          </w:p>
          <w:p w:rsidR="004E13CA" w:rsidRPr="007E58AA" w:rsidRDefault="004E13CA" w:rsidP="004E13CA">
            <w:pPr>
              <w:jc w:val="both"/>
              <w:rPr>
                <w:rFonts w:ascii="Utsaah" w:hAnsi="Utsaah" w:cs="Utsaah"/>
                <w:color w:val="4A442A" w:themeColor="background2" w:themeShade="40"/>
                <w:sz w:val="22"/>
                <w:szCs w:val="22"/>
              </w:rPr>
            </w:pPr>
          </w:p>
          <w:p w:rsidR="007E58AA" w:rsidRDefault="007E58AA" w:rsidP="004E13CA">
            <w:pPr>
              <w:jc w:val="both"/>
              <w:rPr>
                <w:rFonts w:ascii="Utsaah" w:hAnsi="Utsaah" w:cs="Utsaah"/>
                <w:color w:val="4A442A" w:themeColor="background2" w:themeShade="40"/>
                <w:sz w:val="22"/>
                <w:szCs w:val="22"/>
              </w:rPr>
            </w:pPr>
            <w:r w:rsidRPr="007E58AA">
              <w:rPr>
                <w:rFonts w:ascii="Utsaah" w:hAnsi="Utsaah" w:cs="Utsaah"/>
                <w:color w:val="4A442A" w:themeColor="background2" w:themeShade="40"/>
                <w:sz w:val="22"/>
                <w:szCs w:val="22"/>
              </w:rPr>
              <w:t>We acknowledge that those companies classified as emerging have a higher risk profile and should have a modest investor cap in place. For established companies a higher investment regime a</w:t>
            </w:r>
            <w:r w:rsidR="004E13CA">
              <w:rPr>
                <w:rFonts w:ascii="Utsaah" w:hAnsi="Utsaah" w:cs="Utsaah"/>
                <w:color w:val="4A442A" w:themeColor="background2" w:themeShade="40"/>
                <w:sz w:val="22"/>
                <w:szCs w:val="22"/>
              </w:rPr>
              <w:t>pplies and as currently applies;</w:t>
            </w:r>
            <w:r w:rsidRPr="007E58AA">
              <w:rPr>
                <w:rFonts w:ascii="Utsaah" w:hAnsi="Utsaah" w:cs="Utsaah"/>
                <w:color w:val="4A442A" w:themeColor="background2" w:themeShade="40"/>
                <w:sz w:val="22"/>
                <w:szCs w:val="22"/>
              </w:rPr>
              <w:t xml:space="preserve"> Wholesale / s708 / professional investors are not covered by any cap – i.e. current s708 applies.</w:t>
            </w:r>
          </w:p>
          <w:p w:rsidR="004E13CA" w:rsidRPr="007E58AA" w:rsidRDefault="004E13CA" w:rsidP="004E13CA">
            <w:pPr>
              <w:jc w:val="both"/>
              <w:rPr>
                <w:rFonts w:ascii="Utsaah" w:hAnsi="Utsaah" w:cs="Utsaah"/>
                <w:color w:val="4A442A" w:themeColor="background2" w:themeShade="40"/>
                <w:sz w:val="22"/>
                <w:szCs w:val="22"/>
              </w:rPr>
            </w:pPr>
          </w:p>
          <w:p w:rsidR="007E58AA" w:rsidRDefault="007E58AA" w:rsidP="004E13CA">
            <w:pPr>
              <w:jc w:val="both"/>
              <w:rPr>
                <w:rFonts w:ascii="Utsaah" w:hAnsi="Utsaah" w:cs="Utsaah"/>
                <w:color w:val="4A442A" w:themeColor="background2" w:themeShade="40"/>
                <w:sz w:val="22"/>
                <w:szCs w:val="22"/>
              </w:rPr>
            </w:pPr>
            <w:r w:rsidRPr="007E58AA">
              <w:rPr>
                <w:rFonts w:ascii="Utsaah" w:hAnsi="Utsaah" w:cs="Utsaah"/>
                <w:color w:val="4A442A" w:themeColor="background2" w:themeShade="40"/>
                <w:sz w:val="22"/>
                <w:szCs w:val="22"/>
              </w:rPr>
              <w:t>Of course non-sophisticated investors can circumvent caps by investing in their own name and  their spouse and a nominee company but at least everyone knows the limits.</w:t>
            </w:r>
          </w:p>
          <w:p w:rsidR="00AA36D7" w:rsidRPr="007E58AA" w:rsidRDefault="00AA36D7" w:rsidP="004E13CA">
            <w:pPr>
              <w:jc w:val="both"/>
              <w:rPr>
                <w:rFonts w:ascii="Utsaah" w:hAnsi="Utsaah" w:cs="Utsaah"/>
                <w:color w:val="4A442A" w:themeColor="background2" w:themeShade="40"/>
                <w:sz w:val="22"/>
                <w:szCs w:val="22"/>
              </w:rPr>
            </w:pPr>
          </w:p>
          <w:p w:rsidR="007E58AA" w:rsidRDefault="007E58AA" w:rsidP="004E13CA">
            <w:pPr>
              <w:jc w:val="both"/>
              <w:rPr>
                <w:rFonts w:ascii="Utsaah" w:hAnsi="Utsaah" w:cs="Utsaah"/>
                <w:color w:val="4A442A" w:themeColor="background2" w:themeShade="40"/>
                <w:sz w:val="22"/>
                <w:szCs w:val="22"/>
              </w:rPr>
            </w:pPr>
            <w:r w:rsidRPr="007E58AA">
              <w:rPr>
                <w:rFonts w:ascii="Utsaah" w:hAnsi="Utsaah" w:cs="Utsaah"/>
                <w:color w:val="4A442A" w:themeColor="background2" w:themeShade="40"/>
                <w:sz w:val="22"/>
                <w:szCs w:val="22"/>
              </w:rPr>
              <w:t>APO’s may also become aware of small investors acting outside the limits and in such case if they became aware by acting as the receipt point for the Issuer’s disclosure document / offer / subscriptions they would not accept such application and advise the Issuer also.</w:t>
            </w:r>
          </w:p>
          <w:p w:rsidR="00AA36D7" w:rsidRPr="007E58AA" w:rsidRDefault="00AA36D7" w:rsidP="004E13CA">
            <w:pPr>
              <w:jc w:val="both"/>
              <w:rPr>
                <w:rFonts w:ascii="Utsaah" w:hAnsi="Utsaah" w:cs="Utsaah"/>
                <w:color w:val="4A442A" w:themeColor="background2" w:themeShade="40"/>
                <w:sz w:val="22"/>
                <w:szCs w:val="22"/>
              </w:rPr>
            </w:pPr>
          </w:p>
          <w:p w:rsidR="007E58AA" w:rsidRDefault="00AA36D7" w:rsidP="004E13CA">
            <w:pPr>
              <w:jc w:val="both"/>
              <w:rPr>
                <w:rFonts w:ascii="Utsaah" w:hAnsi="Utsaah" w:cs="Utsaah"/>
                <w:color w:val="4A442A" w:themeColor="background2" w:themeShade="40"/>
                <w:sz w:val="22"/>
                <w:szCs w:val="22"/>
              </w:rPr>
            </w:pPr>
            <w:r>
              <w:rPr>
                <w:rFonts w:ascii="Utsaah" w:hAnsi="Utsaah" w:cs="Utsaah"/>
                <w:color w:val="4A442A" w:themeColor="background2" w:themeShade="40"/>
                <w:sz w:val="22"/>
                <w:szCs w:val="22"/>
              </w:rPr>
              <w:t xml:space="preserve">We </w:t>
            </w:r>
            <w:r w:rsidR="007E58AA" w:rsidRPr="007E58AA">
              <w:rPr>
                <w:rFonts w:ascii="Utsaah" w:hAnsi="Utsaah" w:cs="Utsaah"/>
                <w:color w:val="4A442A" w:themeColor="background2" w:themeShade="40"/>
                <w:sz w:val="22"/>
                <w:szCs w:val="22"/>
              </w:rPr>
              <w:t>believe this two stream approach (emerging and established) is very practical and workable – “freedom within boundaries” we call it and should be an excellent compromise between the regulators and the public. There is an argument that no cap should apply to established company offerings and we would be happy to discuss this further as it may be a suitable pathway to follow or raise the cap for such companies.</w:t>
            </w:r>
          </w:p>
          <w:p w:rsidR="004E13CA" w:rsidRPr="001B0D13" w:rsidRDefault="004E13CA" w:rsidP="004E13CA">
            <w:pPr>
              <w:jc w:val="both"/>
              <w:rPr>
                <w:rFonts w:ascii="Utsaah" w:hAnsi="Utsaah" w:cs="Utsaah"/>
                <w:color w:val="4A442A" w:themeColor="background2" w:themeShade="40"/>
                <w:sz w:val="22"/>
                <w:szCs w:val="22"/>
              </w:rPr>
            </w:pPr>
          </w:p>
        </w:tc>
      </w:tr>
    </w:tbl>
    <w:p w:rsidR="000D11AC" w:rsidRDefault="000D11AC"/>
    <w:p w:rsidR="000D11AC" w:rsidRDefault="000D11AC"/>
    <w:p w:rsidR="000D11AC" w:rsidRDefault="000D11AC"/>
    <w:p w:rsidR="000D11AC" w:rsidRDefault="000D11AC"/>
    <w:p w:rsidR="000D11AC" w:rsidRDefault="000D11AC"/>
    <w:p w:rsidR="000D11AC" w:rsidRDefault="000D11AC"/>
    <w:p w:rsidR="000D11AC" w:rsidRDefault="00E3331C">
      <w:r>
        <w:rPr>
          <w:noProof/>
          <w:lang w:eastAsia="en-AU"/>
        </w:rPr>
        <w:lastRenderedPageBreak/>
        <w:pict>
          <v:shape id="Text Box 309" o:spid="_x0000_s1048" type="#_x0000_t202" style="position:absolute;margin-left:-64.75pt;margin-top:-49.5pt;width:186.05pt;height:76.7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F8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" filled="f" stroked="f">
            <v:textbox>
              <w:txbxContent>
                <w:p w:rsidR="0061071A" w:rsidRDefault="0061071A" w:rsidP="00AA36D7">
                  <w:pPr>
                    <w:spacing w:after="0"/>
                    <w:rPr>
                      <w:rFonts w:ascii="Adobe Gothic Std B" w:eastAsia="Adobe Gothic Std B" w:hAnsi="Adobe Gothic Std B" w:cs="Arial"/>
                      <w:b/>
                      <w:bCs/>
                      <w:color w:val="FFFFFF" w:themeColor="background1"/>
                      <w:sz w:val="24"/>
                      <w:szCs w:val="24"/>
                    </w:rPr>
                  </w:pPr>
                </w:p>
                <w:p w:rsidR="0061071A" w:rsidRPr="002E68BC" w:rsidRDefault="0061071A" w:rsidP="00AA36D7">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PART THREE (CONT.)</w:t>
                  </w:r>
                </w:p>
                <w:p w:rsidR="0061071A" w:rsidRPr="001C7CF3" w:rsidRDefault="0061071A" w:rsidP="00AA36D7">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39488"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306" o:spid="_x0000_s1101" style="position:absolute;margin-left:.2pt;margin-top:-45.95pt;width:202.5pt;height:76.55pt;z-index:-251586560;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">
            <v:shape id="Freeform 756" o:spid="_x0000_s1102"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XsQA&#10;AADcAAAADwAAAGRycy9kb3ducmV2LnhtbERPz0vDMBS+C/4P4QleZEvmxpC6bJSBKDvI1nrY8dE8&#10;22rzUpJ0rf715iDs+PH93uwm24kL+dA61rCYKxDElTMt1xo+ypfZE4gQkQ12jknDDwXYbW9vNpgZ&#10;N/KJLkWsRQrhkKGGJsY+kzJUDVkMc9cTJ+7TeYsxQV9L43FM4baTj0qtpcWWU0ODPe0bqr6LwWr4&#10;Gsa8PL7iSZ2HvT+sfh8Wefmu9f3dlD+DiDTFq/jf/WY0LFVam86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N717EAAAA3A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0D11AC" w:rsidRDefault="000D11AC"/>
    <w:p w:rsidR="000D11AC" w:rsidRDefault="000D11AC"/>
    <w:tbl>
      <w:tblPr>
        <w:tblStyle w:val="TableGrid"/>
        <w:tblpPr w:leftFromText="180" w:rightFromText="180" w:vertAnchor="page" w:horzAnchor="margin" w:tblpY="3221"/>
        <w:tblW w:w="9180" w:type="dxa"/>
        <w:tblLayout w:type="fixed"/>
        <w:tblLook w:val="04A0" w:firstRow="1" w:lastRow="0" w:firstColumn="1" w:lastColumn="0" w:noHBand="0" w:noVBand="1"/>
      </w:tblPr>
      <w:tblGrid>
        <w:gridCol w:w="1418"/>
        <w:gridCol w:w="7762"/>
      </w:tblGrid>
      <w:tr w:rsidR="00AA36D7" w:rsidRPr="00012E22" w:rsidTr="00AA36D7">
        <w:trPr>
          <w:trHeight w:val="144"/>
        </w:trPr>
        <w:tc>
          <w:tcPr>
            <w:tcW w:w="1418" w:type="dxa"/>
          </w:tcPr>
          <w:p w:rsidR="00AA36D7" w:rsidRDefault="00AA36D7" w:rsidP="00AA36D7">
            <w:pPr>
              <w:jc w:val="both"/>
              <w:rPr>
                <w:rFonts w:ascii="Utsaah" w:hAnsi="Utsaah" w:cs="Utsaah"/>
                <w:b/>
                <w:color w:val="00B0F0"/>
                <w:sz w:val="72"/>
                <w:szCs w:val="72"/>
              </w:rPr>
            </w:pPr>
            <w:r>
              <w:rPr>
                <w:rFonts w:ascii="Utsaah" w:hAnsi="Utsaah" w:cs="Utsaah"/>
                <w:b/>
                <w:color w:val="00B0F0"/>
                <w:sz w:val="72"/>
                <w:szCs w:val="72"/>
              </w:rPr>
              <w:t>15</w:t>
            </w:r>
          </w:p>
          <w:p w:rsidR="00AA36D7" w:rsidRPr="001B0D13" w:rsidRDefault="00AA36D7" w:rsidP="00AA36D7">
            <w:pPr>
              <w:jc w:val="both"/>
              <w:rPr>
                <w:rFonts w:ascii="Utsaah" w:hAnsi="Utsaah" w:cs="Utsaah"/>
                <w:b/>
                <w:color w:val="4A442A" w:themeColor="background2" w:themeShade="40"/>
                <w:sz w:val="72"/>
                <w:szCs w:val="72"/>
              </w:rPr>
            </w:pPr>
          </w:p>
        </w:tc>
        <w:tc>
          <w:tcPr>
            <w:tcW w:w="7762" w:type="dxa"/>
          </w:tcPr>
          <w:p w:rsidR="00AA36D7" w:rsidRPr="00496026" w:rsidRDefault="00AA36D7" w:rsidP="00AA36D7">
            <w:pPr>
              <w:jc w:val="both"/>
              <w:rPr>
                <w:rFonts w:ascii="Utsaah" w:hAnsi="Utsaah" w:cs="Utsaah"/>
                <w:b/>
                <w:color w:val="00B0F0"/>
                <w:sz w:val="22"/>
                <w:szCs w:val="22"/>
              </w:rPr>
            </w:pPr>
            <w:r w:rsidRPr="00496026">
              <w:rPr>
                <w:rFonts w:ascii="Utsaah" w:hAnsi="Utsaah" w:cs="Utsaah"/>
                <w:b/>
                <w:color w:val="00B0F0"/>
                <w:sz w:val="22"/>
                <w:szCs w:val="22"/>
              </w:rPr>
              <w:t>Reporting by Issuers to inv</w:t>
            </w:r>
            <w:r w:rsidR="00496026">
              <w:rPr>
                <w:rFonts w:ascii="Utsaah" w:hAnsi="Utsaah" w:cs="Utsaah"/>
                <w:b/>
                <w:color w:val="00B0F0"/>
                <w:sz w:val="22"/>
                <w:szCs w:val="22"/>
              </w:rPr>
              <w:t>estors (shareholders) post fund</w:t>
            </w:r>
            <w:r w:rsidRPr="00496026">
              <w:rPr>
                <w:rFonts w:ascii="Utsaah" w:hAnsi="Utsaah" w:cs="Utsaah"/>
                <w:b/>
                <w:color w:val="00B0F0"/>
                <w:sz w:val="22"/>
                <w:szCs w:val="22"/>
              </w:rPr>
              <w:t>raising</w:t>
            </w:r>
            <w:r w:rsidR="00496026" w:rsidRPr="00496026">
              <w:rPr>
                <w:rFonts w:ascii="Utsaah" w:hAnsi="Utsaah" w:cs="Utsaah"/>
                <w:b/>
                <w:color w:val="00B0F0"/>
                <w:sz w:val="22"/>
                <w:szCs w:val="22"/>
              </w:rPr>
              <w:t>.</w:t>
            </w:r>
          </w:p>
          <w:p w:rsidR="00496026" w:rsidRPr="00496026" w:rsidRDefault="00496026" w:rsidP="00AA36D7">
            <w:pPr>
              <w:jc w:val="both"/>
              <w:rPr>
                <w:rFonts w:ascii="Utsaah" w:hAnsi="Utsaah" w:cs="Utsaah"/>
                <w:b/>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496026">
              <w:rPr>
                <w:rFonts w:ascii="Utsaah" w:hAnsi="Utsaah" w:cs="Utsaah"/>
                <w:b/>
                <w:color w:val="4A442A" w:themeColor="background2" w:themeShade="40"/>
                <w:sz w:val="22"/>
                <w:szCs w:val="22"/>
              </w:rPr>
              <w:t xml:space="preserve">Emerging companies and established companies to provide investors / all shareholders with regular reports (minimum – quarterly) on status of company, material events (good and bad), new issues, quarterly cash flow report, annual report, change of directors </w:t>
            </w:r>
            <w:r w:rsidR="00496026" w:rsidRPr="00496026">
              <w:rPr>
                <w:rFonts w:ascii="Utsaah" w:hAnsi="Utsaah" w:cs="Utsaah"/>
                <w:b/>
                <w:color w:val="4A442A" w:themeColor="background2" w:themeShade="40"/>
                <w:sz w:val="22"/>
                <w:szCs w:val="22"/>
              </w:rPr>
              <w:t>etc.</w:t>
            </w:r>
            <w:r w:rsidRPr="00496026">
              <w:rPr>
                <w:rFonts w:ascii="Utsaah" w:hAnsi="Utsaah" w:cs="Utsaah"/>
                <w:b/>
                <w:color w:val="4A442A" w:themeColor="background2" w:themeShade="40"/>
                <w:sz w:val="22"/>
                <w:szCs w:val="22"/>
              </w:rPr>
              <w:t xml:space="preserve"> – similar to ASX listed companies – APO to use best endeavours to ensure the Issuer complies – any non-compliance, APO to inform ASIC or CSEF license authority.</w:t>
            </w:r>
            <w:r w:rsidRPr="00AA36D7">
              <w:rPr>
                <w:rFonts w:ascii="Utsaah" w:hAnsi="Utsaah" w:cs="Utsaah"/>
                <w:color w:val="4A442A" w:themeColor="background2" w:themeShade="40"/>
                <w:sz w:val="22"/>
                <w:szCs w:val="22"/>
              </w:rPr>
              <w:t xml:space="preserve">  </w:t>
            </w:r>
          </w:p>
          <w:p w:rsidR="00AA36D7" w:rsidRDefault="00AA36D7" w:rsidP="00AA36D7">
            <w:pPr>
              <w:jc w:val="both"/>
              <w:rPr>
                <w:rFonts w:ascii="Utsaah" w:hAnsi="Utsaah" w:cs="Utsaah"/>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AA36D7">
              <w:rPr>
                <w:rFonts w:ascii="Utsaah" w:hAnsi="Utsaah" w:cs="Utsaah"/>
                <w:color w:val="4A442A" w:themeColor="background2" w:themeShade="40"/>
                <w:sz w:val="22"/>
                <w:szCs w:val="22"/>
              </w:rPr>
              <w:t>We were somewhat surprised to see an absence of discussion in the CAMAC and CSEF Papers about post investment reporting by the Issuer.</w:t>
            </w:r>
          </w:p>
          <w:p w:rsidR="00496026" w:rsidRPr="00AA36D7" w:rsidRDefault="00496026" w:rsidP="00AA36D7">
            <w:pPr>
              <w:jc w:val="both"/>
              <w:rPr>
                <w:rFonts w:ascii="Utsaah" w:hAnsi="Utsaah" w:cs="Utsaah"/>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AA36D7">
              <w:rPr>
                <w:rFonts w:ascii="Utsaah" w:hAnsi="Utsaah" w:cs="Utsaah"/>
                <w:color w:val="4A442A" w:themeColor="background2" w:themeShade="40"/>
                <w:sz w:val="22"/>
                <w:szCs w:val="22"/>
              </w:rPr>
              <w:t>From our experience, many companies after raising capital take their eyes off the “Plan” and either meander along a pathway without an “every dollar counts” philosophy or run into roadblocks and make material changes to the direction of the company hoping to land upon some new value adding rock in the choppy business seas without informing shareholders.</w:t>
            </w:r>
          </w:p>
          <w:p w:rsidR="00496026" w:rsidRPr="00AA36D7" w:rsidRDefault="00496026" w:rsidP="00AA36D7">
            <w:pPr>
              <w:jc w:val="both"/>
              <w:rPr>
                <w:rFonts w:ascii="Utsaah" w:hAnsi="Utsaah" w:cs="Utsaah"/>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AA36D7">
              <w:rPr>
                <w:rFonts w:ascii="Utsaah" w:hAnsi="Utsaah" w:cs="Utsaah"/>
                <w:color w:val="4A442A" w:themeColor="background2" w:themeShade="40"/>
                <w:sz w:val="22"/>
                <w:szCs w:val="22"/>
              </w:rPr>
              <w:t>We firmly believe that companies funded via CSEF MUST adopt a reporting regime similar to ASX where they are oblig</w:t>
            </w:r>
            <w:r w:rsidR="00A40DE7">
              <w:rPr>
                <w:rFonts w:ascii="Utsaah" w:hAnsi="Utsaah" w:cs="Utsaah"/>
                <w:color w:val="4A442A" w:themeColor="background2" w:themeShade="40"/>
                <w:sz w:val="22"/>
                <w:szCs w:val="22"/>
              </w:rPr>
              <w:t>e</w:t>
            </w:r>
            <w:r w:rsidRPr="00AA36D7">
              <w:rPr>
                <w:rFonts w:ascii="Utsaah" w:hAnsi="Utsaah" w:cs="Utsaah"/>
                <w:color w:val="4A442A" w:themeColor="background2" w:themeShade="40"/>
                <w:sz w:val="22"/>
                <w:szCs w:val="22"/>
              </w:rPr>
              <w:t xml:space="preserve"> to report to shareholders directly and via the APO, relevant and material information. It is no point investors finding out too late that the company was being prosecuted by a large multinational concerning its patent and that not being reported without fear nor favour as soon as that material adverse event arises. Preserving shareholders</w:t>
            </w:r>
            <w:r w:rsidR="00A40DE7">
              <w:rPr>
                <w:rFonts w:ascii="Utsaah" w:hAnsi="Utsaah" w:cs="Utsaah"/>
                <w:color w:val="4A442A" w:themeColor="background2" w:themeShade="40"/>
                <w:sz w:val="22"/>
                <w:szCs w:val="22"/>
              </w:rPr>
              <w:t>’</w:t>
            </w:r>
            <w:r w:rsidRPr="00AA36D7">
              <w:rPr>
                <w:rFonts w:ascii="Utsaah" w:hAnsi="Utsaah" w:cs="Utsaah"/>
                <w:color w:val="4A442A" w:themeColor="background2" w:themeShade="40"/>
                <w:sz w:val="22"/>
                <w:szCs w:val="22"/>
              </w:rPr>
              <w:t xml:space="preserve"> funds </w:t>
            </w:r>
            <w:r w:rsidR="00A40DE7">
              <w:rPr>
                <w:rFonts w:ascii="Utsaah" w:hAnsi="Utsaah" w:cs="Utsaah"/>
                <w:color w:val="4A442A" w:themeColor="background2" w:themeShade="40"/>
                <w:sz w:val="22"/>
                <w:szCs w:val="22"/>
              </w:rPr>
              <w:t>is</w:t>
            </w:r>
            <w:r w:rsidRPr="00AA36D7">
              <w:rPr>
                <w:rFonts w:ascii="Utsaah" w:hAnsi="Utsaah" w:cs="Utsaah"/>
                <w:color w:val="4A442A" w:themeColor="background2" w:themeShade="40"/>
                <w:sz w:val="22"/>
                <w:szCs w:val="22"/>
              </w:rPr>
              <w:t xml:space="preserve"> imperative and there must be an obligation on such companies to enable the shareholders in total to determine the best course of action for such a company making (or breaking) event. It is not appropriate for the directors to say that we hit a wall 6 months ago and started developing some other technology thinking that would offset an investment loss event. </w:t>
            </w:r>
          </w:p>
          <w:p w:rsidR="00496026" w:rsidRPr="00AA36D7" w:rsidRDefault="00496026" w:rsidP="00AA36D7">
            <w:pPr>
              <w:jc w:val="both"/>
              <w:rPr>
                <w:rFonts w:ascii="Utsaah" w:hAnsi="Utsaah" w:cs="Utsaah"/>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AA36D7">
              <w:rPr>
                <w:rFonts w:ascii="Utsaah" w:hAnsi="Utsaah" w:cs="Utsaah"/>
                <w:color w:val="4A442A" w:themeColor="background2" w:themeShade="40"/>
                <w:sz w:val="22"/>
                <w:szCs w:val="22"/>
              </w:rPr>
              <w:t xml:space="preserve">Early warning mechanisms must be built into the CSEF fabric otherwise investors could lose </w:t>
            </w:r>
            <w:r w:rsidR="00A40DE7">
              <w:rPr>
                <w:rFonts w:ascii="Utsaah" w:hAnsi="Utsaah" w:cs="Utsaah"/>
                <w:color w:val="4A442A" w:themeColor="background2" w:themeShade="40"/>
                <w:sz w:val="22"/>
                <w:szCs w:val="22"/>
              </w:rPr>
              <w:t xml:space="preserve">confidence in the oversight process </w:t>
            </w:r>
            <w:r w:rsidRPr="00AA36D7">
              <w:rPr>
                <w:rFonts w:ascii="Utsaah" w:hAnsi="Utsaah" w:cs="Utsaah"/>
                <w:color w:val="4A442A" w:themeColor="background2" w:themeShade="40"/>
                <w:sz w:val="22"/>
                <w:szCs w:val="22"/>
              </w:rPr>
              <w:t xml:space="preserve">and this could taint the whole CSEF regime. Part of the problem is </w:t>
            </w:r>
            <w:r w:rsidR="00A40DE7">
              <w:rPr>
                <w:rFonts w:ascii="Utsaah" w:hAnsi="Utsaah" w:cs="Utsaah"/>
                <w:color w:val="4A442A" w:themeColor="background2" w:themeShade="40"/>
                <w:sz w:val="22"/>
                <w:szCs w:val="22"/>
              </w:rPr>
              <w:t xml:space="preserve">that </w:t>
            </w:r>
            <w:r w:rsidRPr="00AA36D7">
              <w:rPr>
                <w:rFonts w:ascii="Utsaah" w:hAnsi="Utsaah" w:cs="Utsaah"/>
                <w:color w:val="4A442A" w:themeColor="background2" w:themeShade="40"/>
                <w:sz w:val="22"/>
                <w:szCs w:val="22"/>
              </w:rPr>
              <w:t xml:space="preserve">emerging companies generally lack the corporate experience of acting in the interest of all shareholders, </w:t>
            </w:r>
            <w:r w:rsidR="00A40DE7">
              <w:rPr>
                <w:rFonts w:ascii="Utsaah" w:hAnsi="Utsaah" w:cs="Utsaah"/>
                <w:color w:val="4A442A" w:themeColor="background2" w:themeShade="40"/>
                <w:sz w:val="22"/>
                <w:szCs w:val="22"/>
              </w:rPr>
              <w:t xml:space="preserve">and having a </w:t>
            </w:r>
            <w:r w:rsidRPr="00AA36D7">
              <w:rPr>
                <w:rFonts w:ascii="Utsaah" w:hAnsi="Utsaah" w:cs="Utsaah"/>
                <w:color w:val="4A442A" w:themeColor="background2" w:themeShade="40"/>
                <w:sz w:val="22"/>
                <w:szCs w:val="22"/>
              </w:rPr>
              <w:t>board that meets regularly and adopt good governance policies and procedures to mitigate such risks should be the aim.</w:t>
            </w:r>
          </w:p>
          <w:p w:rsidR="00496026" w:rsidRPr="00AA36D7" w:rsidRDefault="00496026" w:rsidP="00AA36D7">
            <w:pPr>
              <w:jc w:val="both"/>
              <w:rPr>
                <w:rFonts w:ascii="Utsaah" w:hAnsi="Utsaah" w:cs="Utsaah"/>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AA36D7">
              <w:rPr>
                <w:rFonts w:ascii="Utsaah" w:hAnsi="Utsaah" w:cs="Utsaah"/>
                <w:color w:val="4A442A" w:themeColor="background2" w:themeShade="40"/>
                <w:sz w:val="22"/>
                <w:szCs w:val="22"/>
              </w:rPr>
              <w:t xml:space="preserve">We also recommend all CSEF funded companies should have at least one independent director skilled in corporate / governance / financials / legal </w:t>
            </w:r>
            <w:r w:rsidR="00496026" w:rsidRPr="00AA36D7">
              <w:rPr>
                <w:rFonts w:ascii="Utsaah" w:hAnsi="Utsaah" w:cs="Utsaah"/>
                <w:color w:val="4A442A" w:themeColor="background2" w:themeShade="40"/>
                <w:sz w:val="22"/>
                <w:szCs w:val="22"/>
              </w:rPr>
              <w:t>etc.</w:t>
            </w:r>
            <w:r w:rsidRPr="00AA36D7">
              <w:rPr>
                <w:rFonts w:ascii="Utsaah" w:hAnsi="Utsaah" w:cs="Utsaah"/>
                <w:color w:val="4A442A" w:themeColor="background2" w:themeShade="40"/>
                <w:sz w:val="22"/>
                <w:szCs w:val="22"/>
              </w:rPr>
              <w:t xml:space="preserve"> so such material events are detected early and acted upon.</w:t>
            </w:r>
          </w:p>
          <w:p w:rsidR="00AA36D7" w:rsidRPr="001B0D13" w:rsidRDefault="00AA36D7" w:rsidP="00AA36D7">
            <w:pPr>
              <w:jc w:val="both"/>
              <w:rPr>
                <w:rFonts w:ascii="Utsaah" w:hAnsi="Utsaah" w:cs="Utsaah"/>
                <w:color w:val="4A442A" w:themeColor="background2" w:themeShade="40"/>
                <w:sz w:val="22"/>
                <w:szCs w:val="22"/>
              </w:rPr>
            </w:pPr>
          </w:p>
        </w:tc>
      </w:tr>
      <w:tr w:rsidR="00AA36D7" w:rsidRPr="00012E22" w:rsidTr="00AA36D7">
        <w:trPr>
          <w:trHeight w:val="144"/>
        </w:trPr>
        <w:tc>
          <w:tcPr>
            <w:tcW w:w="1418" w:type="dxa"/>
          </w:tcPr>
          <w:p w:rsidR="00AA36D7" w:rsidRPr="001B0D13" w:rsidRDefault="00AA36D7" w:rsidP="00AA36D7">
            <w:pPr>
              <w:jc w:val="both"/>
              <w:rPr>
                <w:rFonts w:ascii="Utsaah" w:hAnsi="Utsaah" w:cs="Utsaah"/>
                <w:b/>
                <w:color w:val="4A442A" w:themeColor="background2" w:themeShade="40"/>
                <w:sz w:val="72"/>
                <w:szCs w:val="72"/>
              </w:rPr>
            </w:pPr>
            <w:r>
              <w:rPr>
                <w:rFonts w:ascii="Utsaah" w:hAnsi="Utsaah" w:cs="Utsaah"/>
                <w:b/>
                <w:color w:val="00B0F0"/>
                <w:sz w:val="72"/>
                <w:szCs w:val="72"/>
              </w:rPr>
              <w:t>16</w:t>
            </w:r>
          </w:p>
        </w:tc>
        <w:tc>
          <w:tcPr>
            <w:tcW w:w="7762" w:type="dxa"/>
          </w:tcPr>
          <w:p w:rsidR="00AA36D7" w:rsidRPr="00496026" w:rsidRDefault="00AA36D7" w:rsidP="00AA36D7">
            <w:pPr>
              <w:jc w:val="both"/>
              <w:rPr>
                <w:rFonts w:ascii="Utsaah" w:hAnsi="Utsaah" w:cs="Utsaah"/>
                <w:b/>
                <w:color w:val="00B0F0"/>
                <w:sz w:val="22"/>
                <w:szCs w:val="22"/>
              </w:rPr>
            </w:pPr>
            <w:r w:rsidRPr="00496026">
              <w:rPr>
                <w:rFonts w:ascii="Utsaah" w:hAnsi="Utsaah" w:cs="Utsaah"/>
                <w:b/>
                <w:color w:val="00B0F0"/>
                <w:sz w:val="22"/>
                <w:szCs w:val="22"/>
              </w:rPr>
              <w:t>ASIC oversight of CSEF via a distinct CSEF cell and APO ongoing licensing, APO reporting requirements monitored by CSEF cell.</w:t>
            </w:r>
          </w:p>
          <w:p w:rsidR="00AA36D7" w:rsidRDefault="00AA36D7" w:rsidP="00AA36D7">
            <w:pPr>
              <w:jc w:val="both"/>
              <w:rPr>
                <w:rFonts w:ascii="Utsaah" w:hAnsi="Utsaah" w:cs="Utsaah"/>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AA36D7">
              <w:rPr>
                <w:rFonts w:ascii="Utsaah" w:hAnsi="Utsaah" w:cs="Utsaah"/>
                <w:color w:val="4A442A" w:themeColor="background2" w:themeShade="40"/>
                <w:sz w:val="22"/>
                <w:szCs w:val="22"/>
              </w:rPr>
              <w:t>Similar to ASX and AFSL and AML’s we recommend ASIC supervision of CESF via a distinct CSEF cell within ASIC and close oversight of APO’s and their licensing.</w:t>
            </w:r>
          </w:p>
          <w:p w:rsidR="00496026" w:rsidRPr="00AA36D7" w:rsidRDefault="00496026" w:rsidP="00AA36D7">
            <w:pPr>
              <w:jc w:val="both"/>
              <w:rPr>
                <w:rFonts w:ascii="Utsaah" w:hAnsi="Utsaah" w:cs="Utsaah"/>
                <w:color w:val="4A442A" w:themeColor="background2" w:themeShade="40"/>
                <w:sz w:val="22"/>
                <w:szCs w:val="22"/>
              </w:rPr>
            </w:pPr>
          </w:p>
          <w:p w:rsidR="00AA36D7" w:rsidRDefault="00AA36D7" w:rsidP="00AA36D7">
            <w:pPr>
              <w:jc w:val="both"/>
              <w:rPr>
                <w:rFonts w:ascii="Utsaah" w:hAnsi="Utsaah" w:cs="Utsaah"/>
                <w:color w:val="4A442A" w:themeColor="background2" w:themeShade="40"/>
                <w:sz w:val="22"/>
                <w:szCs w:val="22"/>
              </w:rPr>
            </w:pPr>
            <w:r w:rsidRPr="00AA36D7">
              <w:rPr>
                <w:rFonts w:ascii="Utsaah" w:hAnsi="Utsaah" w:cs="Utsaah"/>
                <w:color w:val="4A442A" w:themeColor="background2" w:themeShade="40"/>
                <w:sz w:val="22"/>
                <w:szCs w:val="22"/>
              </w:rPr>
              <w:t>APO’s would need to report to the CSEF cell as required and at least yearly in terms of CSEF Issuers taken on, funds raised by such Issuers, any non-compliance, changes to the APO board or shareholders, renewal of PI and the general cond</w:t>
            </w:r>
            <w:r w:rsidR="00496026">
              <w:rPr>
                <w:rFonts w:ascii="Utsaah" w:hAnsi="Utsaah" w:cs="Utsaah"/>
                <w:color w:val="4A442A" w:themeColor="background2" w:themeShade="40"/>
                <w:sz w:val="22"/>
                <w:szCs w:val="22"/>
              </w:rPr>
              <w:t xml:space="preserve">uct of the APO’s CSEF platform. </w:t>
            </w:r>
            <w:r w:rsidRPr="00AA36D7">
              <w:rPr>
                <w:rFonts w:ascii="Utsaah" w:hAnsi="Utsaah" w:cs="Utsaah"/>
                <w:color w:val="4A442A" w:themeColor="background2" w:themeShade="40"/>
                <w:sz w:val="22"/>
                <w:szCs w:val="22"/>
              </w:rPr>
              <w:t>We believe u</w:t>
            </w:r>
            <w:r w:rsidR="00496026">
              <w:rPr>
                <w:rFonts w:ascii="Utsaah" w:hAnsi="Utsaah" w:cs="Utsaah"/>
                <w:color w:val="4A442A" w:themeColor="background2" w:themeShade="40"/>
                <w:sz w:val="22"/>
                <w:szCs w:val="22"/>
              </w:rPr>
              <w:t xml:space="preserve">ltimately CSEF funded entities </w:t>
            </w:r>
            <w:r w:rsidRPr="00AA36D7">
              <w:rPr>
                <w:rFonts w:ascii="Utsaah" w:hAnsi="Utsaah" w:cs="Utsaah"/>
                <w:color w:val="4A442A" w:themeColor="background2" w:themeShade="40"/>
                <w:sz w:val="22"/>
                <w:szCs w:val="22"/>
              </w:rPr>
              <w:t>could be eligible to “list” on a junior board in this country with ASX or ASIC</w:t>
            </w:r>
            <w:r>
              <w:rPr>
                <w:rFonts w:ascii="Utsaah" w:hAnsi="Utsaah" w:cs="Utsaah"/>
                <w:color w:val="4A442A" w:themeColor="background2" w:themeShade="40"/>
                <w:sz w:val="22"/>
                <w:szCs w:val="22"/>
              </w:rPr>
              <w:t>.</w:t>
            </w:r>
          </w:p>
          <w:p w:rsidR="00AA36D7" w:rsidRPr="001B0D13" w:rsidRDefault="00AA36D7" w:rsidP="00AA36D7">
            <w:pPr>
              <w:jc w:val="both"/>
              <w:rPr>
                <w:rFonts w:ascii="Utsaah" w:hAnsi="Utsaah" w:cs="Utsaah"/>
                <w:color w:val="4A442A" w:themeColor="background2" w:themeShade="40"/>
                <w:sz w:val="22"/>
                <w:szCs w:val="22"/>
              </w:rPr>
            </w:pPr>
          </w:p>
        </w:tc>
      </w:tr>
    </w:tbl>
    <w:p w:rsidR="000D11AC" w:rsidRDefault="000D11AC"/>
    <w:p w:rsidR="000D11AC" w:rsidRDefault="000D11AC"/>
    <w:p w:rsidR="000D11AC" w:rsidRDefault="001A6121">
      <w:r>
        <w:rPr>
          <w:noProof/>
          <w:lang w:eastAsia="en-AU"/>
        </w:rPr>
        <w:lastRenderedPageBreak/>
        <w:drawing>
          <wp:anchor distT="0" distB="0" distL="114300" distR="114300" simplePos="0" relativeHeight="251731968" behindDoc="0" locked="0" layoutInCell="1" allowOverlap="1">
            <wp:simplePos x="0" y="0"/>
            <wp:positionH relativeFrom="column">
              <wp:posOffset>-965835</wp:posOffset>
            </wp:positionH>
            <wp:positionV relativeFrom="paragraph">
              <wp:posOffset>-1043940</wp:posOffset>
            </wp:positionV>
            <wp:extent cx="7633970" cy="4278630"/>
            <wp:effectExtent l="0" t="0" r="5080" b="762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photoclub_48950422.jpg"/>
                    <pic:cNvPicPr/>
                  </pic:nvPicPr>
                  <pic:blipFill>
                    <a:blip r:embed="rId2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33970" cy="4278630"/>
                    </a:xfrm>
                    <a:prstGeom prst="rect">
                      <a:avLst/>
                    </a:prstGeom>
                  </pic:spPr>
                </pic:pic>
              </a:graphicData>
            </a:graphic>
          </wp:anchor>
        </w:drawing>
      </w:r>
    </w:p>
    <w:p w:rsidR="000D11AC" w:rsidRDefault="000D11AC"/>
    <w:p w:rsidR="000D11AC" w:rsidRDefault="000D11AC"/>
    <w:p w:rsidR="000D11AC" w:rsidRDefault="000D11AC"/>
    <w:p w:rsidR="000D11AC" w:rsidRDefault="000D11AC"/>
    <w:p w:rsidR="00AA36D7" w:rsidRDefault="00AA36D7"/>
    <w:p w:rsidR="00AA36D7" w:rsidRDefault="00AA36D7"/>
    <w:p w:rsidR="00AA36D7" w:rsidRDefault="00616507">
      <w:r>
        <w:rPr>
          <w:noProof/>
          <w:lang w:eastAsia="en-AU"/>
        </w:rPr>
        <w:drawing>
          <wp:anchor distT="0" distB="0" distL="114300" distR="114300" simplePos="0" relativeHeight="251764736" behindDoc="0" locked="0" layoutInCell="1" allowOverlap="1">
            <wp:simplePos x="0" y="0"/>
            <wp:positionH relativeFrom="column">
              <wp:posOffset>5619738</wp:posOffset>
            </wp:positionH>
            <wp:positionV relativeFrom="paragraph">
              <wp:posOffset>46942</wp:posOffset>
            </wp:positionV>
            <wp:extent cx="749935" cy="61531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hen_orange transparent.pn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9935" cy="615315"/>
                    </a:xfrm>
                    <a:prstGeom prst="rect">
                      <a:avLst/>
                    </a:prstGeom>
                  </pic:spPr>
                </pic:pic>
              </a:graphicData>
            </a:graphic>
          </wp:anchor>
        </w:drawing>
      </w:r>
    </w:p>
    <w:p w:rsidR="00AA36D7" w:rsidRDefault="00AA36D7"/>
    <w:p w:rsidR="00AA36D7" w:rsidRDefault="00AA36D7"/>
    <w:p w:rsidR="00AA36D7" w:rsidRDefault="00E3331C">
      <w:r>
        <w:rPr>
          <w:noProof/>
          <w:lang w:eastAsia="en-AU"/>
        </w:rPr>
        <w:pict>
          <v:shape id="Text Box 314" o:spid="_x0000_s1049" type="#_x0000_t202" style="position:absolute;margin-left:-55.65pt;margin-top:24.4pt;width:186.05pt;height:76.7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UN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" filled="f" stroked="f">
            <v:textbox>
              <w:txbxContent>
                <w:p w:rsidR="0061071A" w:rsidRDefault="0061071A" w:rsidP="001A6121">
                  <w:pPr>
                    <w:spacing w:after="0"/>
                    <w:rPr>
                      <w:rFonts w:ascii="Adobe Gothic Std B" w:eastAsia="Adobe Gothic Std B" w:hAnsi="Adobe Gothic Std B" w:cs="Arial"/>
                      <w:b/>
                      <w:bCs/>
                      <w:color w:val="FFFFFF" w:themeColor="background1"/>
                      <w:sz w:val="24"/>
                      <w:szCs w:val="24"/>
                    </w:rPr>
                  </w:pPr>
                </w:p>
                <w:p w:rsidR="0061071A" w:rsidRPr="002E68BC" w:rsidRDefault="0061071A" w:rsidP="001A6121">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w:t>
                  </w:r>
                </w:p>
                <w:p w:rsidR="0061071A" w:rsidRPr="001C7CF3" w:rsidRDefault="0061071A" w:rsidP="001A6121">
                  <w:pPr>
                    <w:spacing w:after="0"/>
                    <w:rPr>
                      <w:rFonts w:ascii="Utsaah" w:hAnsi="Utsaah" w:cs="Utsaah"/>
                      <w:color w:val="4A442A" w:themeColor="background2" w:themeShade="40"/>
                      <w:sz w:val="16"/>
                      <w:szCs w:val="16"/>
                    </w:rPr>
                  </w:pPr>
                </w:p>
              </w:txbxContent>
            </v:textbox>
          </v:shape>
        </w:pict>
      </w:r>
    </w:p>
    <w:p w:rsidR="00AA36D7" w:rsidRDefault="005D4891">
      <w:r>
        <w:rPr>
          <w:noProof/>
          <w:lang w:eastAsia="en-AU"/>
        </w:rPr>
        <w:drawing>
          <wp:anchor distT="0" distB="0" distL="114300" distR="114300" simplePos="0" relativeHeight="251841536" behindDoc="1" locked="0" layoutInCell="1" allowOverlap="1">
            <wp:simplePos x="0" y="0"/>
            <wp:positionH relativeFrom="column">
              <wp:posOffset>-914400</wp:posOffset>
            </wp:positionH>
            <wp:positionV relativeFrom="paragraph">
              <wp:posOffset>8255</wp:posOffset>
            </wp:positionV>
            <wp:extent cx="2573020" cy="9753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sidR="00E3331C">
        <w:rPr>
          <w:noProof/>
          <w:lang w:eastAsia="en-AU"/>
        </w:rPr>
        <w:pict>
          <v:group id="Group 312" o:spid="_x0000_s1099" style="position:absolute;margin-left:-.1pt;margin-top:-.25pt;width:202.5pt;height:76.55pt;z-index:-251582464;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">
            <v:shape id="Freeform 756" o:spid="_x0000_s1100"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r8scA&#10;AADcAAAADwAAAGRycy9kb3ducmV2LnhtbESPQWvCQBSE74X+h+UVeim6SS1SoqsEobT0INX04PGR&#10;fSbR7NuwuzFpf71bKHgcZuYbZrkeTSsu5HxjWUE6TUAQl1Y3XCn4Lt4mryB8QNbYWiYFP+Rhvbq/&#10;W2Km7cA7uuxDJSKEfYYK6hC6TEpf1mTQT21HHL2jdQZDlK6S2uEQ4aaVz0kylwYbjgs1drSpqTzv&#10;e6Pg1A958fWOu+TQb9zny+9TmhdbpR4fxnwBItAYbuH/9odWMEtn8HcmH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w6/L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AA36D7" w:rsidRDefault="00AA36D7"/>
    <w:p w:rsidR="00AA36D7" w:rsidRDefault="00AA36D7"/>
    <w:p w:rsidR="00AA36D7" w:rsidRDefault="00AA36D7"/>
    <w:p w:rsidR="00AA36D7" w:rsidRDefault="00E3331C">
      <w:r>
        <w:rPr>
          <w:noProof/>
          <w:lang w:eastAsia="en-AU"/>
        </w:rPr>
        <w:pict>
          <v:shape id="Text Box 315" o:spid="_x0000_s1050" type="#_x0000_t202" style="position:absolute;margin-left:27.85pt;margin-top:4.15pt;width:393.95pt;height:338.9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7WuwIAAMY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" filled="f" stroked="f">
            <v:textbox>
              <w:txbxContent>
                <w:p w:rsidR="0061071A" w:rsidRPr="00C23713" w:rsidRDefault="0061071A" w:rsidP="001A6121">
                  <w:pPr>
                    <w:pStyle w:val="NoSpacing"/>
                    <w:jc w:val="center"/>
                    <w:rPr>
                      <w:rFonts w:ascii="Adobe Gothic Std B" w:eastAsia="Adobe Gothic Std B" w:hAnsi="Adobe Gothic Std B" w:cs="Utsaah"/>
                      <w:color w:val="00B0F0"/>
                      <w:lang w:val="en-AU"/>
                    </w:rPr>
                  </w:pPr>
                  <w:r>
                    <w:rPr>
                      <w:rFonts w:ascii="Adobe Gothic Std B" w:eastAsia="Adobe Gothic Std B" w:hAnsi="Adobe Gothic Std B" w:cs="Utsaah"/>
                      <w:color w:val="00B0F0"/>
                      <w:lang w:val="en-AU"/>
                    </w:rPr>
                    <w:t xml:space="preserve">Part Four - </w:t>
                  </w:r>
                  <w:r w:rsidRPr="001A6121">
                    <w:rPr>
                      <w:rFonts w:ascii="Adobe Gothic Std B" w:eastAsia="Adobe Gothic Std B" w:hAnsi="Adobe Gothic Std B" w:cs="Utsaah"/>
                      <w:color w:val="00B0F0"/>
                      <w:lang w:val="en-AU"/>
                    </w:rPr>
                    <w:t>Q&amp;A on the 24 specific questions asked in the Australian Government</w:t>
                  </w:r>
                  <w:r w:rsidRPr="001A6121">
                    <w:rPr>
                      <w:rFonts w:ascii="Arial" w:eastAsia="Adobe Gothic Std B" w:hAnsi="Arial" w:cs="Arial"/>
                      <w:color w:val="00B0F0"/>
                      <w:lang w:val="en-AU"/>
                    </w:rPr>
                    <w:t>’</w:t>
                  </w:r>
                  <w:r w:rsidRPr="001A6121">
                    <w:rPr>
                      <w:rFonts w:ascii="Adobe Gothic Std B" w:eastAsia="Adobe Gothic Std B" w:hAnsi="Adobe Gothic Std B" w:cs="Utsaah"/>
                      <w:color w:val="00B0F0"/>
                      <w:lang w:val="en-AU"/>
                    </w:rPr>
                    <w:t>s Crowd Sourced Equity Funding Discussion Paper</w:t>
                  </w:r>
                </w:p>
                <w:p w:rsidR="0061071A" w:rsidRDefault="0061071A" w:rsidP="001A6121">
                  <w:pPr>
                    <w:pStyle w:val="NoSpacing"/>
                    <w:jc w:val="both"/>
                    <w:rPr>
                      <w:rFonts w:ascii="Utsaah" w:hAnsi="Utsaah" w:cs="Utsaah"/>
                      <w:color w:val="4A442A" w:themeColor="background2" w:themeShade="40"/>
                      <w:lang w:val="en-AU"/>
                    </w:rPr>
                  </w:pPr>
                </w:p>
                <w:p w:rsidR="0061071A" w:rsidRDefault="0061071A" w:rsidP="001A6121">
                  <w:pPr>
                    <w:pStyle w:val="NoSpacing"/>
                    <w:jc w:val="both"/>
                    <w:rPr>
                      <w:rFonts w:ascii="Utsaah" w:hAnsi="Utsaah" w:cs="Utsaah"/>
                      <w:color w:val="4A442A" w:themeColor="background2" w:themeShade="40"/>
                      <w:lang w:val="en-AU"/>
                    </w:rPr>
                  </w:pPr>
                </w:p>
                <w:p w:rsidR="0061071A" w:rsidRDefault="0061071A" w:rsidP="001A6121">
                  <w:pPr>
                    <w:pStyle w:val="NoSpacing"/>
                    <w:jc w:val="center"/>
                    <w:rPr>
                      <w:rFonts w:ascii="Utsaah" w:hAnsi="Utsaah" w:cs="Utsaah"/>
                      <w:i/>
                      <w:color w:val="4A442A" w:themeColor="background2" w:themeShade="40"/>
                      <w:lang w:val="en-AU"/>
                    </w:rPr>
                  </w:pPr>
                  <w:r w:rsidRPr="001A6121">
                    <w:rPr>
                      <w:rFonts w:ascii="Utsaah" w:hAnsi="Utsaah" w:cs="Utsaah"/>
                      <w:i/>
                      <w:color w:val="4A442A" w:themeColor="background2" w:themeShade="40"/>
                      <w:lang w:val="en-AU"/>
                    </w:rPr>
                    <w:t xml:space="preserve">Note: our answers represent not only our views but respondents to our survey </w:t>
                  </w:r>
                </w:p>
                <w:p w:rsidR="0061071A" w:rsidRPr="001A6121" w:rsidRDefault="0061071A" w:rsidP="001A6121">
                  <w:pPr>
                    <w:pStyle w:val="NoSpacing"/>
                    <w:jc w:val="center"/>
                    <w:rPr>
                      <w:rFonts w:ascii="Utsaah" w:hAnsi="Utsaah" w:cs="Utsaah"/>
                      <w:i/>
                      <w:color w:val="4A442A" w:themeColor="background2" w:themeShade="40"/>
                      <w:lang w:val="en-AU"/>
                    </w:rPr>
                  </w:pPr>
                  <w:r w:rsidRPr="001A6121">
                    <w:rPr>
                      <w:rFonts w:ascii="Utsaah" w:hAnsi="Utsaah" w:cs="Utsaah"/>
                      <w:i/>
                      <w:color w:val="4A442A" w:themeColor="background2" w:themeShade="40"/>
                      <w:lang w:val="en-AU"/>
                    </w:rPr>
                    <w:t>work performed during January 2015</w:t>
                  </w:r>
                  <w:r>
                    <w:rPr>
                      <w:rFonts w:ascii="Utsaah" w:hAnsi="Utsaah" w:cs="Utsaah"/>
                      <w:i/>
                      <w:color w:val="4A442A" w:themeColor="background2" w:themeShade="40"/>
                      <w:lang w:val="en-AU"/>
                    </w:rPr>
                    <w:t>.</w:t>
                  </w:r>
                </w:p>
                <w:p w:rsidR="0061071A" w:rsidRDefault="0061071A" w:rsidP="001A6121">
                  <w:pPr>
                    <w:pStyle w:val="NoSpacing"/>
                    <w:jc w:val="both"/>
                    <w:rPr>
                      <w:rFonts w:ascii="Utsaah" w:hAnsi="Utsaah" w:cs="Utsaah"/>
                      <w:color w:val="4A442A" w:themeColor="background2" w:themeShade="40"/>
                      <w:lang w:val="en-AU"/>
                    </w:rPr>
                  </w:pPr>
                </w:p>
                <w:p w:rsidR="0061071A" w:rsidRDefault="0061071A" w:rsidP="001A6121">
                  <w:pPr>
                    <w:pStyle w:val="NoSpacing"/>
                    <w:jc w:val="both"/>
                    <w:rPr>
                      <w:rFonts w:ascii="Utsaah" w:hAnsi="Utsaah" w:cs="Utsaah"/>
                      <w:color w:val="4A442A" w:themeColor="background2" w:themeShade="40"/>
                      <w:lang w:val="en-AU"/>
                    </w:rPr>
                  </w:pPr>
                </w:p>
                <w:p w:rsidR="0061071A" w:rsidRPr="00185844" w:rsidRDefault="0061071A" w:rsidP="001A6121">
                  <w:pPr>
                    <w:pStyle w:val="NoSpacing"/>
                    <w:jc w:val="both"/>
                    <w:rPr>
                      <w:rFonts w:ascii="Utsaah" w:hAnsi="Utsaah" w:cs="Utsaah"/>
                      <w:color w:val="4A442A" w:themeColor="background2" w:themeShade="40"/>
                      <w:lang w:val="en-AU"/>
                    </w:rPr>
                  </w:pPr>
                </w:p>
                <w:p w:rsidR="0061071A" w:rsidRPr="00523B12" w:rsidRDefault="0061071A" w:rsidP="001A6121">
                  <w:pPr>
                    <w:pStyle w:val="NoSpacing"/>
                    <w:jc w:val="both"/>
                    <w:rPr>
                      <w:rFonts w:ascii="Utsaah" w:hAnsi="Utsaah" w:cs="Utsaah"/>
                      <w:b/>
                      <w:color w:val="4A442A" w:themeColor="background2" w:themeShade="40"/>
                      <w:sz w:val="32"/>
                      <w:szCs w:val="32"/>
                      <w:lang w:val="en-AU"/>
                    </w:rPr>
                  </w:pPr>
                  <w:r w:rsidRPr="00523B12">
                    <w:rPr>
                      <w:rFonts w:ascii="Utsaah" w:hAnsi="Utsaah" w:cs="Utsaah"/>
                      <w:b/>
                      <w:color w:val="4A442A" w:themeColor="background2" w:themeShade="40"/>
                      <w:sz w:val="32"/>
                      <w:szCs w:val="32"/>
                      <w:lang w:val="en-AU"/>
                    </w:rPr>
                    <w:t>QUESTIONS</w:t>
                  </w:r>
                </w:p>
                <w:p w:rsidR="0061071A" w:rsidRDefault="0061071A" w:rsidP="001A6121">
                  <w:pPr>
                    <w:pStyle w:val="NoSpacing"/>
                    <w:jc w:val="both"/>
                    <w:rPr>
                      <w:rFonts w:ascii="Utsaah" w:hAnsi="Utsaah" w:cs="Utsaah"/>
                      <w:b/>
                      <w:color w:val="00B0F0"/>
                      <w:lang w:val="en-AU"/>
                    </w:rPr>
                  </w:pPr>
                </w:p>
                <w:p w:rsidR="0061071A" w:rsidRPr="00523B12" w:rsidRDefault="0061071A" w:rsidP="001A6121">
                  <w:pPr>
                    <w:pStyle w:val="NoSpacing"/>
                    <w:jc w:val="both"/>
                    <w:rPr>
                      <w:rFonts w:ascii="Utsaah" w:hAnsi="Utsaah" w:cs="Utsaah"/>
                      <w:b/>
                      <w:color w:val="00B0F0"/>
                      <w:lang w:val="en-AU"/>
                    </w:rPr>
                  </w:pPr>
                  <w:r w:rsidRPr="00523B12">
                    <w:rPr>
                      <w:rFonts w:ascii="Utsaah" w:hAnsi="Utsaah" w:cs="Utsaah"/>
                      <w:b/>
                      <w:color w:val="00B0F0"/>
                      <w:lang w:val="en-AU"/>
                    </w:rPr>
                    <w:t xml:space="preserve">1. Is the main barrier to the use of CSEF in Australia a lack of a CSEF regulatory structure, or are there other barriers, such as a lack of sustainable investor demand? </w:t>
                  </w:r>
                </w:p>
                <w:p w:rsidR="0061071A" w:rsidRPr="001A6121" w:rsidRDefault="0061071A" w:rsidP="001A6121">
                  <w:pPr>
                    <w:pStyle w:val="NoSpacing"/>
                    <w:jc w:val="both"/>
                    <w:rPr>
                      <w:rFonts w:ascii="Utsaah" w:hAnsi="Utsaah" w:cs="Utsaah"/>
                      <w:color w:val="4A442A" w:themeColor="background2" w:themeShade="40"/>
                      <w:lang w:val="en-AU"/>
                    </w:rPr>
                  </w:pPr>
                </w:p>
                <w:p w:rsidR="0061071A" w:rsidRDefault="0061071A" w:rsidP="001A6121">
                  <w:pPr>
                    <w:pStyle w:val="NoSpacing"/>
                    <w:jc w:val="both"/>
                    <w:rPr>
                      <w:rFonts w:ascii="Utsaah" w:hAnsi="Utsaah" w:cs="Utsaah"/>
                      <w:color w:val="4A442A" w:themeColor="background2" w:themeShade="40"/>
                      <w:lang w:val="en-AU"/>
                    </w:rPr>
                  </w:pPr>
                  <w:r w:rsidRPr="001A6121">
                    <w:rPr>
                      <w:rFonts w:ascii="Utsaah" w:hAnsi="Utsaah" w:cs="Utsaah"/>
                      <w:color w:val="4A442A" w:themeColor="background2" w:themeShade="40"/>
                      <w:lang w:val="en-AU"/>
                    </w:rPr>
                    <w:t xml:space="preserve">The main barrier is a lack of a CSEF regulatory structure – it is currently very difficult and expensive for SMEs to reach out to a large audience of small investors. Fat Hen is dealing with the issue as we are a public company able to invest into Pty Ltd companies on behalf of our retail and wholesale supporters. </w:t>
                  </w:r>
                </w:p>
                <w:p w:rsidR="0061071A" w:rsidRDefault="0061071A" w:rsidP="001A6121">
                  <w:pPr>
                    <w:pStyle w:val="NoSpacing"/>
                    <w:jc w:val="both"/>
                    <w:rPr>
                      <w:rFonts w:ascii="Utsaah" w:hAnsi="Utsaah" w:cs="Utsaah"/>
                      <w:color w:val="4A442A" w:themeColor="background2" w:themeShade="40"/>
                      <w:lang w:val="en-AU"/>
                    </w:rPr>
                  </w:pPr>
                </w:p>
                <w:p w:rsidR="0061071A" w:rsidRPr="00185844" w:rsidRDefault="0061071A" w:rsidP="001A6121">
                  <w:pPr>
                    <w:pStyle w:val="NoSpacing"/>
                    <w:jc w:val="both"/>
                    <w:rPr>
                      <w:rFonts w:ascii="Utsaah" w:hAnsi="Utsaah" w:cs="Utsaah"/>
                      <w:color w:val="4A442A" w:themeColor="background2" w:themeShade="40"/>
                      <w:lang w:val="en-AU"/>
                    </w:rPr>
                  </w:pPr>
                  <w:r w:rsidRPr="001A6121">
                    <w:rPr>
                      <w:rFonts w:ascii="Utsaah" w:hAnsi="Utsaah" w:cs="Utsaah"/>
                      <w:color w:val="4A442A" w:themeColor="background2" w:themeShade="40"/>
                      <w:lang w:val="en-AU"/>
                    </w:rPr>
                    <w:t xml:space="preserve">However it does make our costs and compliance more expensive in relationship to the sums raised – particularly the $500,000 to $5m funding area. The overwhelming level of interest in Fat Hen as the link to SME’s demonstrates the investor demand is certainly there. </w:t>
                  </w:r>
                  <w:r w:rsidRPr="00C23713">
                    <w:rPr>
                      <w:rFonts w:ascii="Utsaah" w:hAnsi="Utsaah" w:cs="Utsaah"/>
                      <w:color w:val="4A442A" w:themeColor="background2" w:themeShade="40"/>
                      <w:lang w:val="en-AU"/>
                    </w:rPr>
                    <w:t xml:space="preserve"> </w:t>
                  </w:r>
                </w:p>
              </w:txbxContent>
            </v:textbox>
          </v:shape>
        </w:pict>
      </w:r>
    </w:p>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E3331C">
      <w:r>
        <w:rPr>
          <w:noProof/>
          <w:lang w:eastAsia="en-AU"/>
        </w:rPr>
        <w:lastRenderedPageBreak/>
        <w:pict>
          <v:shape id="Text Box 319" o:spid="_x0000_s1051" type="#_x0000_t202" style="position:absolute;margin-left:-63.45pt;margin-top:-49.6pt;width:186.05pt;height:76.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iT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" filled="f" stroked="f">
            <v:textbox>
              <w:txbxContent>
                <w:p w:rsidR="0061071A" w:rsidRDefault="0061071A" w:rsidP="00F53F43">
                  <w:pPr>
                    <w:spacing w:after="0"/>
                    <w:rPr>
                      <w:rFonts w:ascii="Adobe Gothic Std B" w:eastAsia="Adobe Gothic Std B" w:hAnsi="Adobe Gothic Std B" w:cs="Arial"/>
                      <w:b/>
                      <w:bCs/>
                      <w:color w:val="FFFFFF" w:themeColor="background1"/>
                      <w:sz w:val="24"/>
                      <w:szCs w:val="24"/>
                    </w:rPr>
                  </w:pPr>
                </w:p>
                <w:p w:rsidR="0061071A" w:rsidRPr="002E68BC" w:rsidRDefault="0061071A" w:rsidP="00F53F43">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F53F43">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43584"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317" o:spid="_x0000_s1097" style="position:absolute;margin-left:.25pt;margin-top:-46.45pt;width:202.5pt;height:76.55pt;z-index:-25157529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">
            <v:shape id="Freeform 756" o:spid="_x0000_s1098"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5g8QA&#10;AADcAAAADwAAAGRycy9kb3ducmV2LnhtbERPz2vCMBS+C/4P4Qm7yEy7yRidUYogjh1E7Q47Ppq3&#10;tlvzUpLUdv715iDs+PH9Xm1G04oLOd9YVpAuEhDEpdUNVwo+i93jKwgfkDW2lknBH3nYrKeTFWba&#10;DnyiyzlUIoawz1BBHUKXSenLmgz6he2II/dtncEQoaukdjjEcNPKpyR5kQYbjg01drStqfw990bB&#10;Tz/kxXGPp+Sr37qP5XWe5sVBqYfZmL+BCDSGf/Hd/a4VPKdxbTw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eYPEAAAA3A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AA36D7" w:rsidRDefault="00AA36D7"/>
    <w:p w:rsidR="00F53F43" w:rsidRDefault="00F53F43"/>
    <w:p w:rsidR="00F53F43" w:rsidRDefault="00E3331C">
      <w:r>
        <w:rPr>
          <w:noProof/>
          <w:lang w:eastAsia="en-AU"/>
        </w:rPr>
        <w:pict>
          <v:shape id="Text Box 316" o:spid="_x0000_s1052" type="#_x0000_t202" style="position:absolute;margin-left:29.2pt;margin-top:22.15pt;width:393.95pt;height:554.2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" filled="f" stroked="f">
            <v:textbox>
              <w:txbxContent>
                <w:p w:rsidR="0061071A" w:rsidRPr="00523B12"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The other restriction is the lack of a professional group getting the SME investor ready for an offer document to be issued. Also if someone wishes to invest say $3,000 into a private company, who does the due diligence, investment documentation and post investment monitoring to mitigate risks of the investment as much as possible? This is where we see the APO being more than a listing service but taking steps to tick the main disclosure boxes by the Issuer in the KIP we recommend in this response paper.</w:t>
                  </w:r>
                </w:p>
                <w:p w:rsidR="0061071A" w:rsidRPr="00523B12"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Also once invested in a private company it is extremely difficult to realise one</w:t>
                  </w:r>
                  <w:r>
                    <w:rPr>
                      <w:rFonts w:ascii="Utsaah" w:hAnsi="Utsaah" w:cs="Utsaah"/>
                      <w:color w:val="4A442A" w:themeColor="background2" w:themeShade="40"/>
                      <w:lang w:val="en-AU"/>
                    </w:rPr>
                    <w:t>’</w:t>
                  </w:r>
                  <w:r w:rsidRPr="00523B12">
                    <w:rPr>
                      <w:rFonts w:ascii="Utsaah" w:hAnsi="Utsaah" w:cs="Utsaah"/>
                      <w:color w:val="4A442A" w:themeColor="background2" w:themeShade="40"/>
                      <w:lang w:val="en-AU"/>
                    </w:rPr>
                    <w:t xml:space="preserve">s investment (e.g. for a daughter’s wedding, overseas holiday etc.) – our hope is that a junior board comprising all CSEF funded companies may be established – somewhat like the ASX Second Board BUT with ASX brokers or defined operators who deal in trading for such Issuers. Having the exempt public company status will help to facilitate this. Hopefully the Second Board would be overseen by ASX &amp; ASIC as other exchanges are moving in this direction such as the Singapore Exchange (SGX) who released its news bulletin on 26 January 2015 that it is partnering with </w:t>
                  </w:r>
                  <w:proofErr w:type="spellStart"/>
                  <w:r w:rsidRPr="00523B12">
                    <w:rPr>
                      <w:rFonts w:ascii="Utsaah" w:hAnsi="Utsaah" w:cs="Utsaah"/>
                      <w:color w:val="4A442A" w:themeColor="background2" w:themeShade="40"/>
                      <w:lang w:val="en-AU"/>
                    </w:rPr>
                    <w:t>Clearbridge</w:t>
                  </w:r>
                  <w:proofErr w:type="spellEnd"/>
                  <w:r w:rsidRPr="00523B12">
                    <w:rPr>
                      <w:rFonts w:ascii="Utsaah" w:hAnsi="Utsaah" w:cs="Utsaah"/>
                      <w:color w:val="4A442A" w:themeColor="background2" w:themeShade="40"/>
                      <w:lang w:val="en-AU"/>
                    </w:rPr>
                    <w:t xml:space="preserve"> Accelerator Pte Ltd (CBA) to develop a capital-raising platform for entrepreneurs and small and medium-sized enterprises (SMEs) in Asia.</w:t>
                  </w:r>
                </w:p>
                <w:p w:rsidR="0061071A" w:rsidRPr="00523B12" w:rsidRDefault="0061071A" w:rsidP="00523B12">
                  <w:pPr>
                    <w:pStyle w:val="NoSpacing"/>
                    <w:jc w:val="both"/>
                    <w:rPr>
                      <w:rFonts w:ascii="Utsaah" w:hAnsi="Utsaah" w:cs="Utsaah"/>
                      <w:color w:val="4A442A" w:themeColor="background2" w:themeShade="40"/>
                      <w:lang w:val="en-AU"/>
                    </w:rPr>
                  </w:pPr>
                </w:p>
                <w:p w:rsidR="0061071A" w:rsidRPr="00185844"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SGX has signed a Memorandum of Understanding with CBA, one of Singapore’s leading venture capital and incubation firms specialising in early-stage investments. Under the MOU, SGX and CBA propose to form a joint-venture (JV) company to develop the fund-raising platform, which aims to address financing gaps SMEs and entrepreneurs face by providing transparency and more efficient access among the investing community.</w:t>
                  </w:r>
                </w:p>
                <w:p w:rsidR="0061071A" w:rsidRDefault="0061071A" w:rsidP="00F53F43">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The proposed JV will identify and form a strategic equity partnership with an experienced platform operator and industry stakeholders such as financial institutions to operate the new capital-raising platform. It will also identify other partners and collaborators to create investor demand for the capital offerings on the platform. Enterprise development agency SPRING Singapore will play a supporting role in the formation of the JV, as part of its ongoing efforts to make the financing environment more conducive to SMEs and entrepreneurs.</w:t>
                  </w:r>
                </w:p>
                <w:p w:rsidR="0061071A" w:rsidRPr="00523B12"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 xml:space="preserve">Mohamed Nasser Ismail, Head of SME Development &amp; Listings, said, “We are excited about this opportunity to work with </w:t>
                  </w:r>
                  <w:proofErr w:type="spellStart"/>
                  <w:r w:rsidRPr="00523B12">
                    <w:rPr>
                      <w:rFonts w:ascii="Utsaah" w:hAnsi="Utsaah" w:cs="Utsaah"/>
                      <w:color w:val="4A442A" w:themeColor="background2" w:themeShade="40"/>
                      <w:lang w:val="en-AU"/>
                    </w:rPr>
                    <w:t>Clearbridge</w:t>
                  </w:r>
                  <w:proofErr w:type="spellEnd"/>
                  <w:r w:rsidRPr="00523B12">
                    <w:rPr>
                      <w:rFonts w:ascii="Utsaah" w:hAnsi="Utsaah" w:cs="Utsaah"/>
                      <w:color w:val="4A442A" w:themeColor="background2" w:themeShade="40"/>
                      <w:lang w:val="en-AU"/>
                    </w:rPr>
                    <w:t xml:space="preserve"> Accelerator to help companies access capital more easily and become a pan-Asian platform to support equity crowdfunding. SGX has a long history of supporting entrepreneurs: its </w:t>
                  </w:r>
                  <w:proofErr w:type="spellStart"/>
                  <w:r w:rsidRPr="00523B12">
                    <w:rPr>
                      <w:rFonts w:ascii="Utsaah" w:hAnsi="Utsaah" w:cs="Utsaah"/>
                      <w:color w:val="4A442A" w:themeColor="background2" w:themeShade="40"/>
                      <w:lang w:val="en-AU"/>
                    </w:rPr>
                    <w:t>Catalist</w:t>
                  </w:r>
                  <w:proofErr w:type="spellEnd"/>
                  <w:r w:rsidRPr="00523B12">
                    <w:rPr>
                      <w:rFonts w:ascii="Utsaah" w:hAnsi="Utsaah" w:cs="Utsaah"/>
                      <w:color w:val="4A442A" w:themeColor="background2" w:themeShade="40"/>
                      <w:lang w:val="en-AU"/>
                    </w:rPr>
                    <w:t xml:space="preserve"> board is a much sought-after avenue for SMEs to raise funds. This new platform will not only expand our suite of fund-raising services but also enable us to support entrepreneurs and SMEs at every stage of their growth.”</w:t>
                  </w:r>
                </w:p>
                <w:p w:rsidR="0061071A" w:rsidRPr="00523B12" w:rsidRDefault="0061071A" w:rsidP="00523B12">
                  <w:pPr>
                    <w:pStyle w:val="NoSpacing"/>
                    <w:jc w:val="both"/>
                    <w:rPr>
                      <w:rFonts w:ascii="Utsaah" w:hAnsi="Utsaah" w:cs="Utsaah"/>
                      <w:color w:val="4A442A" w:themeColor="background2" w:themeShade="40"/>
                      <w:lang w:val="en-AU"/>
                    </w:rPr>
                  </w:pPr>
                </w:p>
                <w:p w:rsidR="0061071A" w:rsidRPr="00185844"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 xml:space="preserve">“This joint venture with SGX represents the next step in </w:t>
                  </w:r>
                  <w:proofErr w:type="spellStart"/>
                  <w:r w:rsidRPr="00523B12">
                    <w:rPr>
                      <w:rFonts w:ascii="Utsaah" w:hAnsi="Utsaah" w:cs="Utsaah"/>
                      <w:color w:val="4A442A" w:themeColor="background2" w:themeShade="40"/>
                      <w:lang w:val="en-AU"/>
                    </w:rPr>
                    <w:t>Clearbridge</w:t>
                  </w:r>
                  <w:proofErr w:type="spellEnd"/>
                  <w:r w:rsidRPr="00523B12">
                    <w:rPr>
                      <w:rFonts w:ascii="Utsaah" w:hAnsi="Utsaah" w:cs="Utsaah"/>
                      <w:color w:val="4A442A" w:themeColor="background2" w:themeShade="40"/>
                      <w:lang w:val="en-AU"/>
                    </w:rPr>
                    <w:t xml:space="preserve"> Accelerator's objective of supporting visionary entrepreneurs in Singapore to raise the necessary capital and grow their companies to a higher level. We look forward to providing expertise in early-stage investments, mentoring and accelerating new ventures, as well as our extensive local and regional networks within the start-up ecosystem, investor community and relevant government agencies. </w:t>
                  </w:r>
                  <w:proofErr w:type="spellStart"/>
                  <w:r w:rsidRPr="00523B12">
                    <w:rPr>
                      <w:rFonts w:ascii="Utsaah" w:hAnsi="Utsaah" w:cs="Utsaah"/>
                      <w:color w:val="4A442A" w:themeColor="background2" w:themeShade="40"/>
                      <w:lang w:val="en-AU"/>
                    </w:rPr>
                    <w:t>Clearbridge</w:t>
                  </w:r>
                  <w:proofErr w:type="spellEnd"/>
                  <w:r w:rsidRPr="00523B12">
                    <w:rPr>
                      <w:rFonts w:ascii="Utsaah" w:hAnsi="Utsaah" w:cs="Utsaah"/>
                      <w:color w:val="4A442A" w:themeColor="background2" w:themeShade="40"/>
                      <w:lang w:val="en-AU"/>
                    </w:rPr>
                    <w:t xml:space="preserve"> Accelerator will work closely with SGX to grow this into a premier capital-raising platform for entrepreneurs and SMEs in Singapore and the region," said Johnson Chen, Managing Partner, </w:t>
                  </w:r>
                  <w:proofErr w:type="spellStart"/>
                  <w:r w:rsidRPr="00523B12">
                    <w:rPr>
                      <w:rFonts w:ascii="Utsaah" w:hAnsi="Utsaah" w:cs="Utsaah"/>
                      <w:color w:val="4A442A" w:themeColor="background2" w:themeShade="40"/>
                      <w:lang w:val="en-AU"/>
                    </w:rPr>
                    <w:t>Clearbridge</w:t>
                  </w:r>
                  <w:proofErr w:type="spellEnd"/>
                  <w:r w:rsidRPr="00523B12">
                    <w:rPr>
                      <w:rFonts w:ascii="Utsaah" w:hAnsi="Utsaah" w:cs="Utsaah"/>
                      <w:color w:val="4A442A" w:themeColor="background2" w:themeShade="40"/>
                      <w:lang w:val="en-AU"/>
                    </w:rPr>
                    <w:t xml:space="preserve"> Accelerator.</w:t>
                  </w:r>
                </w:p>
              </w:txbxContent>
            </v:textbox>
          </v:shape>
        </w:pict>
      </w:r>
    </w:p>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F53F43"/>
    <w:p w:rsidR="00F53F43" w:rsidRDefault="00E3331C">
      <w:r>
        <w:rPr>
          <w:noProof/>
          <w:lang w:eastAsia="en-AU"/>
        </w:rPr>
        <w:lastRenderedPageBreak/>
        <w:pict>
          <v:shape id="Text Box 546" o:spid="_x0000_s1053" type="#_x0000_t202" style="position:absolute;margin-left:-62.2pt;margin-top:-51.35pt;width:186.05pt;height:76.7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zc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" filled="f" stroked="f">
            <v:textbox>
              <w:txbxContent>
                <w:p w:rsidR="0061071A" w:rsidRDefault="0061071A" w:rsidP="00523B12">
                  <w:pPr>
                    <w:spacing w:after="0"/>
                    <w:rPr>
                      <w:rFonts w:ascii="Adobe Gothic Std B" w:eastAsia="Adobe Gothic Std B" w:hAnsi="Adobe Gothic Std B" w:cs="Arial"/>
                      <w:b/>
                      <w:bCs/>
                      <w:color w:val="FFFFFF" w:themeColor="background1"/>
                      <w:sz w:val="24"/>
                      <w:szCs w:val="24"/>
                    </w:rPr>
                  </w:pPr>
                </w:p>
                <w:p w:rsidR="0061071A" w:rsidRPr="002E68BC" w:rsidRDefault="0061071A" w:rsidP="00523B12">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523B12">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45632"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44" o:spid="_x0000_s1095" style="position:absolute;margin-left:-.1pt;margin-top:-46.05pt;width:202.5pt;height:76.55pt;z-index:-251572224;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">
            <v:shape id="Freeform 756" o:spid="_x0000_s1096"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7+McA&#10;AADcAAAADwAAAGRycy9kb3ducmV2LnhtbESPQWvCQBSE74X+h+UVvBTdWLRIdJUglEoPpZoePD6y&#10;zyQ2+zbsbkzqr3cLBY/DzHzDrDaDacSFnK8tK5hOEhDEhdU1lwq+87fxAoQPyBoby6Tglzxs1o8P&#10;K0y17XlPl0MoRYSwT1FBFUKbSumLigz6iW2Jo3eyzmCI0pVSO+wj3DTyJUlepcGa40KFLW0rKn4O&#10;nVFw7vos/3rHfXLstu5jdn2eZvmnUqOnIVuCCDSEe/i/vdMK5rM5/J2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O/j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F53F43" w:rsidRDefault="00F53F43"/>
    <w:p w:rsidR="00AA36D7" w:rsidRDefault="00E3331C">
      <w:r>
        <w:rPr>
          <w:noProof/>
          <w:lang w:eastAsia="en-AU"/>
        </w:rPr>
        <w:pict>
          <v:shape id="Text Box 547" o:spid="_x0000_s1054" type="#_x0000_t202" style="position:absolute;margin-left:27.85pt;margin-top:8.2pt;width:393.95pt;height:625.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X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" filled="f" stroked="f">
            <v:textbox>
              <w:txbxContent>
                <w:p w:rsidR="0061071A" w:rsidRPr="00523B12" w:rsidRDefault="0061071A" w:rsidP="00523B12">
                  <w:pPr>
                    <w:pStyle w:val="NoSpacing"/>
                    <w:jc w:val="both"/>
                    <w:rPr>
                      <w:rFonts w:ascii="Utsaah" w:hAnsi="Utsaah" w:cs="Utsaah"/>
                      <w:b/>
                      <w:color w:val="00B0F0"/>
                      <w:lang w:val="en-AU"/>
                    </w:rPr>
                  </w:pPr>
                  <w:r w:rsidRPr="00523B12">
                    <w:rPr>
                      <w:rFonts w:ascii="Utsaah" w:hAnsi="Utsaah" w:cs="Utsaah"/>
                      <w:b/>
                      <w:color w:val="00B0F0"/>
                      <w:lang w:val="en-AU"/>
                    </w:rPr>
                    <w:t xml:space="preserve">2. Do the existing mechanisms of the managed investment scheme regime and the small scale personal offer exemption sufficiently facilitate online offers of equity in small companies? </w:t>
                  </w:r>
                </w:p>
                <w:p w:rsidR="0061071A" w:rsidRPr="00523B12" w:rsidRDefault="0061071A" w:rsidP="00523B12">
                  <w:pPr>
                    <w:pStyle w:val="NoSpacing"/>
                    <w:jc w:val="both"/>
                    <w:rPr>
                      <w:rFonts w:ascii="Utsaah" w:hAnsi="Utsaah" w:cs="Utsaah"/>
                      <w:color w:val="4A442A" w:themeColor="background2" w:themeShade="40"/>
                      <w:lang w:val="en-AU"/>
                    </w:rPr>
                  </w:pPr>
                </w:p>
                <w:p w:rsidR="0061071A" w:rsidRPr="00523B12"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No – respondents noted that small scale offer exemption actually exposes small investors to greater risk than the proposed CSEF structure as the small scale offer operators and restrictions in ASIC Class Order 02/273 makes the small scale operators unable to actively deal in or assist such Issuers with investor protection mechanisms.</w:t>
                  </w:r>
                </w:p>
                <w:p w:rsidR="0061071A" w:rsidRPr="00523B12" w:rsidRDefault="0061071A" w:rsidP="00523B12">
                  <w:pPr>
                    <w:pStyle w:val="NoSpacing"/>
                    <w:jc w:val="both"/>
                    <w:rPr>
                      <w:rFonts w:ascii="Utsaah" w:hAnsi="Utsaah" w:cs="Utsaah"/>
                      <w:color w:val="4A442A" w:themeColor="background2" w:themeShade="40"/>
                      <w:lang w:val="en-AU"/>
                    </w:rPr>
                  </w:pPr>
                </w:p>
                <w:p w:rsidR="0061071A" w:rsidRPr="00523B12"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Also under the CSEF regime, there could well be duplication and double up in investors and funding between CSEF &amp; small scale offers in that funds raised under the small scale personal offers exemption may involve retail investors similar to crowd investors generally, given that there is already another exemption for sophisticated investors (including large offers) (s 708(8)). An issuer should not have the opportunity, in effect, to raise funds from the crowd, in excess of the issuer cap, through using both mechanisms.</w:t>
                  </w:r>
                </w:p>
                <w:p w:rsidR="0061071A" w:rsidRPr="00523B12"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CAMAC considers that funds raised under the small scale personal offers exemption should be taken into account for the purposes of the CSEF issuer cap. Our recommendation is to scrap the small scale offer exemption and have ONE regime i.e. the CSEF regime and ONE approved platform operator status / license NOT also having a small scale offer operator/s</w:t>
                  </w:r>
                  <w:r>
                    <w:rPr>
                      <w:rFonts w:ascii="Utsaah" w:hAnsi="Utsaah" w:cs="Utsaah"/>
                      <w:color w:val="4A442A" w:themeColor="background2" w:themeShade="40"/>
                      <w:lang w:val="en-AU"/>
                    </w:rPr>
                    <w:t>.</w:t>
                  </w:r>
                </w:p>
                <w:p w:rsidR="0061071A"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p>
                <w:p w:rsidR="0061071A" w:rsidRPr="00523B12" w:rsidRDefault="0061071A" w:rsidP="00523B12">
                  <w:pPr>
                    <w:pStyle w:val="NoSpacing"/>
                    <w:jc w:val="both"/>
                    <w:rPr>
                      <w:rFonts w:ascii="Utsaah" w:hAnsi="Utsaah" w:cs="Utsaah"/>
                      <w:b/>
                      <w:color w:val="00B0F0"/>
                      <w:lang w:val="en-AU"/>
                    </w:rPr>
                  </w:pPr>
                  <w:r w:rsidRPr="00523B12">
                    <w:rPr>
                      <w:rFonts w:ascii="Utsaah" w:hAnsi="Utsaah" w:cs="Utsaah"/>
                      <w:b/>
                      <w:color w:val="00B0F0"/>
                      <w:lang w:val="en-AU"/>
                    </w:rPr>
                    <w:t xml:space="preserve">3. Other than the restrictions identified above in relation to limitations on proprietary companies, public company compliance requirements and disclosure, are there any other barriers to the use of CSEF in Australia? </w:t>
                  </w:r>
                </w:p>
                <w:p w:rsidR="0061071A" w:rsidRPr="00523B12"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No other than micro aspects such as Issuers having a compliant constitution, investors rights being paramount, transferability of shares, proper reporting regimes by Issuers, APO’s and KIP and looking to an approved platform.</w:t>
                  </w:r>
                </w:p>
                <w:p w:rsidR="0061071A"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p>
                <w:p w:rsidR="0061071A" w:rsidRPr="00523B12" w:rsidRDefault="0061071A" w:rsidP="00523B12">
                  <w:pPr>
                    <w:pStyle w:val="NoSpacing"/>
                    <w:jc w:val="both"/>
                    <w:rPr>
                      <w:rFonts w:ascii="Utsaah" w:hAnsi="Utsaah" w:cs="Utsaah"/>
                      <w:b/>
                      <w:color w:val="00B0F0"/>
                      <w:lang w:val="en-AU"/>
                    </w:rPr>
                  </w:pPr>
                  <w:r w:rsidRPr="00523B12">
                    <w:rPr>
                      <w:rFonts w:ascii="Utsaah" w:hAnsi="Utsaah" w:cs="Utsaah"/>
                      <w:b/>
                      <w:color w:val="00B0F0"/>
                      <w:lang w:val="en-AU"/>
                    </w:rPr>
                    <w:t xml:space="preserve">4. Should any CSEF regime focus on the financing needs of small businesses and start-ups only, or is there a broader fundraising role? </w:t>
                  </w:r>
                </w:p>
                <w:p w:rsidR="0061071A" w:rsidRPr="00523B12" w:rsidRDefault="0061071A" w:rsidP="00523B12">
                  <w:pPr>
                    <w:pStyle w:val="NoSpacing"/>
                    <w:jc w:val="both"/>
                    <w:rPr>
                      <w:rFonts w:ascii="Utsaah" w:hAnsi="Utsaah" w:cs="Utsaah"/>
                      <w:color w:val="4A442A" w:themeColor="background2" w:themeShade="40"/>
                      <w:lang w:val="en-AU"/>
                    </w:rPr>
                  </w:pPr>
                </w:p>
                <w:p w:rsidR="0061071A" w:rsidRPr="00523B12"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 xml:space="preserve">We strongly believe the CSEF regime should respond to all unlisted companies for early stage / development capital / exiting a founder i.e. backing the management and potentially to pre-IPO stage BUT only for Australian head quartered companies with place of central management in Australia. </w:t>
                  </w:r>
                </w:p>
                <w:p w:rsidR="0061071A" w:rsidRPr="00523B12" w:rsidRDefault="0061071A" w:rsidP="00523B12">
                  <w:pPr>
                    <w:pStyle w:val="NoSpacing"/>
                    <w:jc w:val="both"/>
                    <w:rPr>
                      <w:rFonts w:ascii="Utsaah" w:hAnsi="Utsaah" w:cs="Utsaah"/>
                      <w:color w:val="4A442A" w:themeColor="background2" w:themeShade="40"/>
                      <w:lang w:val="en-AU"/>
                    </w:rPr>
                  </w:pPr>
                </w:p>
                <w:p w:rsidR="0061071A" w:rsidRPr="00523B12"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This is partly why it is VITAL to distinguish “emerging companies” from “established companies as outlined in our recommendation # 6.</w:t>
                  </w:r>
                </w:p>
                <w:p w:rsidR="0061071A" w:rsidRPr="00523B12"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r w:rsidRPr="00523B12">
                    <w:rPr>
                      <w:rFonts w:ascii="Utsaah" w:hAnsi="Utsaah" w:cs="Utsaah"/>
                      <w:color w:val="4A442A" w:themeColor="background2" w:themeShade="40"/>
                      <w:lang w:val="en-AU"/>
                    </w:rPr>
                    <w:t>Must be ordinary share capital but not diminished or overshadowed by preference shares or convertible debt instruments that have the intent of massively diluting the CSEF Ord shareholders.</w:t>
                  </w:r>
                </w:p>
                <w:p w:rsidR="0061071A" w:rsidRDefault="0061071A" w:rsidP="00523B12">
                  <w:pPr>
                    <w:pStyle w:val="NoSpacing"/>
                    <w:jc w:val="both"/>
                    <w:rPr>
                      <w:rFonts w:ascii="Utsaah" w:hAnsi="Utsaah" w:cs="Utsaah"/>
                      <w:color w:val="4A442A" w:themeColor="background2" w:themeShade="40"/>
                      <w:lang w:val="en-AU"/>
                    </w:rPr>
                  </w:pPr>
                </w:p>
                <w:p w:rsidR="0061071A" w:rsidRDefault="0061071A" w:rsidP="00523B12">
                  <w:pPr>
                    <w:pStyle w:val="NoSpacing"/>
                    <w:jc w:val="both"/>
                    <w:rPr>
                      <w:rFonts w:ascii="Utsaah" w:hAnsi="Utsaah" w:cs="Utsaah"/>
                      <w:color w:val="4A442A" w:themeColor="background2" w:themeShade="40"/>
                      <w:lang w:val="en-AU"/>
                    </w:rPr>
                  </w:pPr>
                </w:p>
                <w:p w:rsidR="0061071A" w:rsidRPr="00523B12" w:rsidRDefault="0061071A" w:rsidP="00523B12">
                  <w:pPr>
                    <w:pStyle w:val="NoSpacing"/>
                    <w:jc w:val="both"/>
                    <w:rPr>
                      <w:rFonts w:ascii="Utsaah" w:hAnsi="Utsaah" w:cs="Utsaah"/>
                      <w:b/>
                      <w:color w:val="00B0F0"/>
                      <w:lang w:val="en-AU"/>
                    </w:rPr>
                  </w:pPr>
                  <w:r w:rsidRPr="00523B12">
                    <w:rPr>
                      <w:rFonts w:ascii="Utsaah" w:hAnsi="Utsaah" w:cs="Utsaah"/>
                      <w:b/>
                      <w:color w:val="00B0F0"/>
                      <w:lang w:val="en-AU"/>
                    </w:rPr>
                    <w:t xml:space="preserve">5. Do you consider that, compared to existing public company compliance costs, the exempt public company structure is necessary to facilitate CSEF in Australia? </w:t>
                  </w:r>
                </w:p>
                <w:p w:rsidR="0061071A" w:rsidRPr="00523B12" w:rsidRDefault="0061071A" w:rsidP="00523B12">
                  <w:pPr>
                    <w:pStyle w:val="NoSpacing"/>
                    <w:jc w:val="both"/>
                    <w:rPr>
                      <w:rFonts w:ascii="Utsaah" w:hAnsi="Utsaah" w:cs="Utsaah"/>
                      <w:color w:val="4A442A" w:themeColor="background2" w:themeShade="40"/>
                      <w:lang w:val="en-AU"/>
                    </w:rPr>
                  </w:pPr>
                </w:p>
                <w:p w:rsidR="0061071A" w:rsidRPr="00185844" w:rsidRDefault="0061071A" w:rsidP="00523B12">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Yes</w:t>
                  </w:r>
                  <w:r w:rsidRPr="00523B12">
                    <w:rPr>
                      <w:rFonts w:ascii="Utsaah" w:hAnsi="Utsaah" w:cs="Utsaah"/>
                      <w:color w:val="4A442A" w:themeColor="background2" w:themeShade="40"/>
                      <w:lang w:val="en-AU"/>
                    </w:rPr>
                    <w:t xml:space="preserve"> – whilst we are a public unlisted company, we see the logic in exempt public companies to facilitate the CSEF funding.</w:t>
                  </w:r>
                </w:p>
              </w:txbxContent>
            </v:textbox>
          </v:shape>
        </w:pict>
      </w:r>
    </w:p>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E3331C">
      <w:r>
        <w:rPr>
          <w:noProof/>
          <w:lang w:eastAsia="en-AU"/>
        </w:rPr>
        <w:lastRenderedPageBreak/>
        <w:pict>
          <v:shape id="Text Box 550" o:spid="_x0000_s1055" type="#_x0000_t202" style="position:absolute;margin-left:-64.05pt;margin-top:-49.2pt;width:186.05pt;height:76.7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05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" filled="f" stroked="f">
            <v:textbox>
              <w:txbxContent>
                <w:p w:rsidR="0061071A" w:rsidRDefault="0061071A" w:rsidP="00523B12">
                  <w:pPr>
                    <w:spacing w:after="0"/>
                    <w:rPr>
                      <w:rFonts w:ascii="Adobe Gothic Std B" w:eastAsia="Adobe Gothic Std B" w:hAnsi="Adobe Gothic Std B" w:cs="Arial"/>
                      <w:b/>
                      <w:bCs/>
                      <w:color w:val="FFFFFF" w:themeColor="background1"/>
                      <w:sz w:val="24"/>
                      <w:szCs w:val="24"/>
                    </w:rPr>
                  </w:pPr>
                </w:p>
                <w:p w:rsidR="0061071A" w:rsidRPr="002E68BC" w:rsidRDefault="0061071A" w:rsidP="00523B12">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523B12">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47680"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48" o:spid="_x0000_s1093" style="position:absolute;margin-left:.1pt;margin-top:-46.25pt;width:202.5pt;height:76.55pt;z-index:-251567104;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">
            <v:shape id="Freeform 756" o:spid="_x0000_s1094"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x/ccA&#10;AADcAAAADwAAAGRycy9kb3ducmV2LnhtbESPQUvDQBSE7wX/w/IEL8VuKq1o7CaEgigepG166PGR&#10;fSbR7Nuwu2miv94VCh6HmfmG2eST6cSZnG8tK1guEhDEldUt1wqO5fPtAwgfkDV2lknBN3nIs6vZ&#10;BlNtR97T+RBqESHsU1TQhNCnUvqqIYN+YXvi6H1YZzBE6WqpHY4Rbjp5lyT30mDLcaHBnrYNVV+H&#10;wSj4HMai3L3gPjkNW/e2+pkvi/JdqZvrqXgCEWgK/+FL+1UrWK8e4e9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Mf3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AA36D7" w:rsidRDefault="00AA36D7"/>
    <w:p w:rsidR="00AA36D7" w:rsidRDefault="00AA36D7"/>
    <w:p w:rsidR="00AA36D7" w:rsidRDefault="00AA36D7"/>
    <w:p w:rsidR="00AA36D7" w:rsidRDefault="00E3331C">
      <w:r>
        <w:rPr>
          <w:noProof/>
          <w:lang w:eastAsia="en-AU"/>
        </w:rPr>
        <w:pict>
          <v:shape id="Text Box 551" o:spid="_x0000_s1056" type="#_x0000_t202" style="position:absolute;margin-left:28.55pt;margin-top:14.4pt;width:393.95pt;height:489.7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d0vQIAAMY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" filled="f" stroked="f">
            <v:textbox>
              <w:txbxContent>
                <w:p w:rsidR="0061071A" w:rsidRPr="00454D23" w:rsidRDefault="0061071A" w:rsidP="00454D23">
                  <w:pPr>
                    <w:pStyle w:val="NoSpacing"/>
                    <w:jc w:val="both"/>
                    <w:rPr>
                      <w:rFonts w:ascii="Utsaah" w:hAnsi="Utsaah" w:cs="Utsaah"/>
                      <w:b/>
                      <w:color w:val="00B0F0"/>
                      <w:lang w:val="en-AU"/>
                    </w:rPr>
                  </w:pPr>
                  <w:r w:rsidRPr="00454D23">
                    <w:rPr>
                      <w:rFonts w:ascii="Utsaah" w:hAnsi="Utsaah" w:cs="Utsaah"/>
                      <w:b/>
                      <w:color w:val="00B0F0"/>
                      <w:lang w:val="en-AU"/>
                    </w:rPr>
                    <w:t xml:space="preserve">6. To what extent would the requirement for CSEF issuers to be a public company, including an exempt public company, and the associated compliance costs limit the attractiveness of CSEF for small businesses and start-ups? </w:t>
                  </w:r>
                </w:p>
                <w:p w:rsidR="0061071A" w:rsidRPr="00454D23"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Not at all, in fact it would add some rigour around governance, reporting, board composition, and maturing such companies as they transition themselves to successful entities. Also the transition to (say) an ASX listing or Second Board would be a lot easier.</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b/>
                      <w:color w:val="00B0F0"/>
                      <w:lang w:val="en-AU"/>
                    </w:rPr>
                  </w:pPr>
                  <w:r w:rsidRPr="00454D23">
                    <w:rPr>
                      <w:rFonts w:ascii="Utsaah" w:hAnsi="Utsaah" w:cs="Utsaah"/>
                      <w:b/>
                      <w:color w:val="00B0F0"/>
                      <w:lang w:val="en-AU"/>
                    </w:rPr>
                    <w:t xml:space="preserve">7. Compared to the status quo, are there risks that companies will use the exempt public company structure for regulatory arbitrage, and do these risks outweigh the benefits of the structure in facilitating CSEF? </w:t>
                  </w:r>
                </w:p>
                <w:p w:rsidR="0061071A" w:rsidRPr="00454D23"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Not in our opinion – we believe the exempt public company is a very beneficial way to differentiate the crowd backing such entities than trying to deregulate Pty Ltd companies too much. Everyone we spoke with supported the exempt public company idea with a transition to non-exempt as they grow.</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b/>
                      <w:color w:val="00B0F0"/>
                      <w:lang w:val="en-AU"/>
                    </w:rPr>
                  </w:pPr>
                  <w:r w:rsidRPr="00454D23">
                    <w:rPr>
                      <w:rFonts w:ascii="Utsaah" w:hAnsi="Utsaah" w:cs="Utsaah"/>
                      <w:b/>
                      <w:color w:val="00B0F0"/>
                      <w:lang w:val="en-AU"/>
                    </w:rPr>
                    <w:t xml:space="preserve">8. Do you consider that the proposed caps and thresholds related to issuers are set at an appropriate level? Should any of the caps be aligned to be consistent with each other, and if so, which ones and at what level? </w:t>
                  </w:r>
                </w:p>
                <w:p w:rsidR="0061071A" w:rsidRPr="00454D23"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The caps on Issuers should be as set ou</w:t>
                  </w:r>
                  <w:r>
                    <w:rPr>
                      <w:rFonts w:ascii="Utsaah" w:hAnsi="Utsaah" w:cs="Utsaah"/>
                      <w:color w:val="4A442A" w:themeColor="background2" w:themeShade="40"/>
                      <w:lang w:val="en-AU"/>
                    </w:rPr>
                    <w:t xml:space="preserve">t in our recommendation #8 </w:t>
                  </w:r>
                </w:p>
                <w:p w:rsidR="0061071A" w:rsidRDefault="0061071A" w:rsidP="00454D23">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 xml:space="preserve">i.e. </w:t>
                  </w:r>
                  <w:r w:rsidRPr="00454D23">
                    <w:rPr>
                      <w:rFonts w:ascii="Utsaah" w:hAnsi="Utsaah" w:cs="Utsaah"/>
                      <w:color w:val="4A442A" w:themeColor="background2" w:themeShade="40"/>
                      <w:lang w:val="en-AU"/>
                    </w:rPr>
                    <w:t>Maximum funds an Issuer may raise</w:t>
                  </w:r>
                  <w:r>
                    <w:rPr>
                      <w:rFonts w:ascii="Utsaah" w:hAnsi="Utsaah" w:cs="Utsaah"/>
                      <w:color w:val="4A442A" w:themeColor="background2" w:themeShade="40"/>
                      <w:lang w:val="en-AU"/>
                    </w:rPr>
                    <w:t>:</w:t>
                  </w:r>
                </w:p>
                <w:p w:rsidR="0061071A"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r w:rsidRPr="00454D23">
                    <w:rPr>
                      <w:rFonts w:ascii="Utsaah" w:hAnsi="Utsaah" w:cs="Utsaah"/>
                      <w:b/>
                      <w:color w:val="4A442A" w:themeColor="background2" w:themeShade="40"/>
                      <w:lang w:val="en-AU"/>
                    </w:rPr>
                    <w:t>Emerging companies</w:t>
                  </w:r>
                  <w:r w:rsidRPr="00454D23">
                    <w:rPr>
                      <w:rFonts w:ascii="Utsaah" w:hAnsi="Utsaah" w:cs="Utsaah"/>
                      <w:color w:val="4A442A" w:themeColor="background2" w:themeShade="40"/>
                      <w:lang w:val="en-AU"/>
                    </w:rPr>
                    <w:t xml:space="preserve"> - cap of $3 million in any 12-month period, </w:t>
                  </w:r>
                  <w:r w:rsidRPr="00454D23">
                    <w:rPr>
                      <w:rFonts w:ascii="Utsaah" w:hAnsi="Utsaah" w:cs="Utsaah"/>
                      <w:color w:val="4A442A" w:themeColor="background2" w:themeShade="40"/>
                      <w:u w:val="single"/>
                      <w:lang w:val="en-AU"/>
                    </w:rPr>
                    <w:t>excluding</w:t>
                  </w:r>
                  <w:r w:rsidRPr="00454D23">
                    <w:rPr>
                      <w:rFonts w:ascii="Utsaah" w:hAnsi="Utsaah" w:cs="Utsaah"/>
                      <w:color w:val="4A442A" w:themeColor="background2" w:themeShade="40"/>
                      <w:lang w:val="en-AU"/>
                    </w:rPr>
                    <w:t xml:space="preserve"> funds raised under existing prospectus exemptions for wholesale investors to a max of $5m in total; and </w:t>
                  </w:r>
                </w:p>
                <w:p w:rsidR="0061071A" w:rsidRPr="00454D23"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r w:rsidRPr="00454D23">
                    <w:rPr>
                      <w:rFonts w:ascii="Utsaah" w:hAnsi="Utsaah" w:cs="Utsaah"/>
                      <w:b/>
                      <w:color w:val="4A442A" w:themeColor="background2" w:themeShade="40"/>
                      <w:lang w:val="en-AU"/>
                    </w:rPr>
                    <w:t>Established companies</w:t>
                  </w:r>
                  <w:r w:rsidRPr="00454D23">
                    <w:rPr>
                      <w:rFonts w:ascii="Utsaah" w:hAnsi="Utsaah" w:cs="Utsaah"/>
                      <w:color w:val="4A442A" w:themeColor="background2" w:themeShade="40"/>
                      <w:lang w:val="en-AU"/>
                    </w:rPr>
                    <w:t xml:space="preserve"> - Cap of $5 million in any 12-month period, </w:t>
                  </w:r>
                  <w:r w:rsidRPr="00454D23">
                    <w:rPr>
                      <w:rFonts w:ascii="Utsaah" w:hAnsi="Utsaah" w:cs="Utsaah"/>
                      <w:color w:val="4A442A" w:themeColor="background2" w:themeShade="40"/>
                      <w:u w:val="single"/>
                      <w:lang w:val="en-AU"/>
                    </w:rPr>
                    <w:t>including</w:t>
                  </w:r>
                  <w:r w:rsidRPr="00454D23">
                    <w:rPr>
                      <w:rFonts w:ascii="Utsaah" w:hAnsi="Utsaah" w:cs="Utsaah"/>
                      <w:color w:val="4A442A" w:themeColor="background2" w:themeShade="40"/>
                      <w:lang w:val="en-AU"/>
                    </w:rPr>
                    <w:t xml:space="preserve"> funds raised under existing prospectus exemptions for wholesale investors.</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185844"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This accords with Recommendation #3 and simply provides an increased ability over the long standing $2m cap. We realise CAMAC &amp; the NZ recommendations were $2m / 12 months and worst case IF the $2m / 12 month cap was kept we would strongly advocate that for “established companies” a cap of up to $5m / 12 months including funds raised under existing prospectus exemptions for wholesale investors should be instituted.</w:t>
                  </w:r>
                </w:p>
              </w:txbxContent>
            </v:textbox>
          </v:shape>
        </w:pict>
      </w:r>
    </w:p>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E3331C">
      <w:r>
        <w:rPr>
          <w:noProof/>
          <w:lang w:eastAsia="en-AU"/>
        </w:rPr>
        <w:lastRenderedPageBreak/>
        <w:pict>
          <v:shape id="Text Box 554" o:spid="_x0000_s1057" type="#_x0000_t202" style="position:absolute;margin-left:-60.5pt;margin-top:-50.2pt;width:186.05pt;height:76.7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Tk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" filled="f" stroked="f">
            <v:textbox>
              <w:txbxContent>
                <w:p w:rsidR="0061071A" w:rsidRDefault="0061071A" w:rsidP="00454D23">
                  <w:pPr>
                    <w:spacing w:after="0"/>
                    <w:rPr>
                      <w:rFonts w:ascii="Adobe Gothic Std B" w:eastAsia="Adobe Gothic Std B" w:hAnsi="Adobe Gothic Std B" w:cs="Arial"/>
                      <w:b/>
                      <w:bCs/>
                      <w:color w:val="FFFFFF" w:themeColor="background1"/>
                      <w:sz w:val="24"/>
                      <w:szCs w:val="24"/>
                    </w:rPr>
                  </w:pPr>
                </w:p>
                <w:p w:rsidR="0061071A" w:rsidRPr="002E68BC" w:rsidRDefault="0061071A" w:rsidP="00454D23">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454D23">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49728"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52" o:spid="_x0000_s1091" style="position:absolute;margin-left:-.2pt;margin-top:-46.4pt;width:202.5pt;height:76.55pt;z-index:-251561984;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">
            <v:shape id="Freeform 756" o:spid="_x0000_s1092"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QyscA&#10;AADcAAAADwAAAGRycy9kb3ducmV2LnhtbESPQWvCQBSE74X+h+UVeim60dYi0VWCIC09FDUePD6y&#10;zySafRt2Nybtr+8WCj0OM/MNs1wPphE3cr62rGAyTkAQF1bXXCo45tvRHIQPyBoby6TgizysV/d3&#10;S0y17XlPt0MoRYSwT1FBFUKbSumLigz6sW2Jo3e2zmCI0pVSO+wj3DRymiSv0mDNcaHCljYVFddD&#10;ZxRcuj7Ld2+4T07dxn28fD9NsvxTqceHIVuACDSE//Bf+10rmM2e4f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kMr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AA36D7" w:rsidRDefault="00AA36D7"/>
    <w:p w:rsidR="00AA36D7" w:rsidRDefault="00AA36D7"/>
    <w:p w:rsidR="00AA36D7" w:rsidRDefault="00E3331C">
      <w:r>
        <w:rPr>
          <w:noProof/>
          <w:lang w:eastAsia="en-AU"/>
        </w:rPr>
        <w:pict>
          <v:shape id="Text Box 555" o:spid="_x0000_s1058" type="#_x0000_t202" style="position:absolute;margin-left:29.2pt;margin-top:-.55pt;width:393.95pt;height:609.2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" filled="f" stroked="f">
            <v:textbox>
              <w:txbxContent>
                <w:p w:rsidR="0061071A" w:rsidRPr="00454D23" w:rsidRDefault="0061071A" w:rsidP="00454D23">
                  <w:pPr>
                    <w:pStyle w:val="NoSpacing"/>
                    <w:jc w:val="both"/>
                    <w:rPr>
                      <w:rFonts w:ascii="Utsaah" w:hAnsi="Utsaah" w:cs="Utsaah"/>
                      <w:b/>
                      <w:color w:val="00B0F0"/>
                      <w:lang w:val="en-AU"/>
                    </w:rPr>
                  </w:pPr>
                  <w:r w:rsidRPr="00454D23">
                    <w:rPr>
                      <w:rFonts w:ascii="Utsaah" w:hAnsi="Utsaah" w:cs="Utsaah"/>
                      <w:b/>
                      <w:color w:val="00B0F0"/>
                      <w:lang w:val="en-AU"/>
                    </w:rPr>
                    <w:t xml:space="preserve">9. Do CAMAC’s recommendations in relation to intermediary remuneration and investing in issuers present a significant barrier to intermediaries entering the CSEF market, or to companies seeking to raise relatively small amounts of funds using CSEF? </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No. S</w:t>
                  </w:r>
                  <w:r w:rsidRPr="00454D23">
                    <w:rPr>
                      <w:rFonts w:ascii="Utsaah" w:hAnsi="Utsaah" w:cs="Utsaah"/>
                      <w:color w:val="4A442A" w:themeColor="background2" w:themeShade="40"/>
                      <w:lang w:val="en-AU"/>
                    </w:rPr>
                    <w:t>ubject to a slight “tweak”</w:t>
                  </w:r>
                  <w:r>
                    <w:rPr>
                      <w:rFonts w:ascii="Utsaah" w:hAnsi="Utsaah" w:cs="Utsaah"/>
                      <w:color w:val="4A442A" w:themeColor="background2" w:themeShade="40"/>
                      <w:lang w:val="en-AU"/>
                    </w:rPr>
                    <w:t>,</w:t>
                  </w:r>
                  <w:r w:rsidRPr="00454D23">
                    <w:rPr>
                      <w:rFonts w:ascii="Utsaah" w:hAnsi="Utsaah" w:cs="Utsaah"/>
                      <w:color w:val="4A442A" w:themeColor="background2" w:themeShade="40"/>
                      <w:lang w:val="en-AU"/>
                    </w:rPr>
                    <w:t xml:space="preserve"> </w:t>
                  </w:r>
                  <w:r>
                    <w:rPr>
                      <w:rFonts w:ascii="Utsaah" w:hAnsi="Utsaah" w:cs="Utsaah"/>
                      <w:color w:val="4A442A" w:themeColor="background2" w:themeShade="40"/>
                      <w:lang w:val="en-AU"/>
                    </w:rPr>
                    <w:t>o</w:t>
                  </w:r>
                  <w:r w:rsidRPr="00454D23">
                    <w:rPr>
                      <w:rFonts w:ascii="Utsaah" w:hAnsi="Utsaah" w:cs="Utsaah"/>
                      <w:color w:val="4A442A" w:themeColor="background2" w:themeShade="40"/>
                      <w:lang w:val="en-AU"/>
                    </w:rPr>
                    <w:t xml:space="preserve">ur recommendation #10 is for an Intermediary to be defined as an Approved Platform Operator (APO) and hold a new class of license issued by ASIC – Approved Platform Operator license and comply with licensing requirements, including membership of an external dispute resolution scheme, and KIP (Key Information </w:t>
                  </w:r>
                  <w:r>
                    <w:rPr>
                      <w:rFonts w:ascii="Utsaah" w:hAnsi="Utsaah" w:cs="Utsaah"/>
                      <w:color w:val="4A442A" w:themeColor="background2" w:themeShade="40"/>
                      <w:lang w:val="en-AU"/>
                    </w:rPr>
                    <w:t xml:space="preserve">Page) statement responsibility </w:t>
                  </w:r>
                  <w:r w:rsidRPr="00454D23">
                    <w:rPr>
                      <w:rFonts w:ascii="Utsaah" w:hAnsi="Utsaah" w:cs="Utsaah"/>
                      <w:color w:val="4A442A" w:themeColor="background2" w:themeShade="40"/>
                      <w:lang w:val="en-AU"/>
                    </w:rPr>
                    <w:t>and post investment reporting channel for CSEF invested companies. An APO license similar to an AFSL i.e. demonstrating  corporate finance expertise, business skills, capital market skills, investment skills, due diligence experience, technology advisory skills, corporations law skills etc. with an ASIC bond of $50k – can be via a bank guarantee and requires PI to be in place within 4 months of being granted an APO license.</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No restrictions on fee structures, although the APO cannot be a shareholder in an Issuer pre-CSEF raising. All fee arrangements paid by an issuer to an APO must be disclosed.</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To avoid APO’s having conflicts of interest pre the CSEF raising we recommend the APO does not have a shareholding in the Issuer. The APO can charge an “investment readiness” fee to work with the client to help get the disclosure document in a suitable form and prepare the KIP.</w:t>
                  </w:r>
                </w:p>
                <w:p w:rsidR="0061071A" w:rsidRPr="00454D23"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We are comfortable with the Issuer paying some or the entire platform fee to the APO in Issuer shares – this is not dissimilar to brokers now taking sha</w:t>
                  </w:r>
                  <w:r>
                    <w:rPr>
                      <w:rFonts w:ascii="Utsaah" w:hAnsi="Utsaah" w:cs="Utsaah"/>
                      <w:color w:val="4A442A" w:themeColor="background2" w:themeShade="40"/>
                      <w:lang w:val="en-AU"/>
                    </w:rPr>
                    <w:t xml:space="preserve">res as part of the ASX listing. </w:t>
                  </w:r>
                  <w:r w:rsidRPr="00454D23">
                    <w:rPr>
                      <w:rFonts w:ascii="Utsaah" w:hAnsi="Utsaah" w:cs="Utsaah"/>
                      <w:color w:val="4A442A" w:themeColor="background2" w:themeShade="40"/>
                      <w:lang w:val="en-AU"/>
                    </w:rPr>
                    <w:t>The APO license from ASIC should enable this fee to take place or a commission based fee.</w:t>
                  </w:r>
                </w:p>
                <w:p w:rsidR="0061071A"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b/>
                      <w:color w:val="00B0F0"/>
                      <w:lang w:val="en-AU"/>
                    </w:rPr>
                  </w:pPr>
                  <w:r w:rsidRPr="00454D23">
                    <w:rPr>
                      <w:rFonts w:ascii="Utsaah" w:hAnsi="Utsaah" w:cs="Utsaah"/>
                      <w:b/>
                      <w:color w:val="00B0F0"/>
                      <w:lang w:val="en-AU"/>
                    </w:rPr>
                    <w:t xml:space="preserve">10. Do the proposed investor caps adequately balance protecting investors and limiting investor choice, including maintaining investor confidence in CSEF and therefore its sustainability as a fundraising model? </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NOT in our opinion and the audience we canvassed.</w:t>
                  </w:r>
                </w:p>
                <w:p w:rsidR="0061071A" w:rsidRPr="00454D23"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As suggested in our recommendation #14, for companies classified as emerging companies then for a retail investor no more than $5,000 per Issuer in any 12 month period and $20,000 in total per 12 month period for emerging CSEF investments.</w:t>
                  </w:r>
                </w:p>
                <w:p w:rsidR="0061071A" w:rsidRPr="00454D23" w:rsidRDefault="0061071A" w:rsidP="00454D23">
                  <w:pPr>
                    <w:pStyle w:val="NoSpacing"/>
                    <w:jc w:val="both"/>
                    <w:rPr>
                      <w:rFonts w:ascii="Utsaah" w:hAnsi="Utsaah" w:cs="Utsaah"/>
                      <w:color w:val="4A442A" w:themeColor="background2" w:themeShade="40"/>
                      <w:lang w:val="en-AU"/>
                    </w:rPr>
                  </w:pPr>
                </w:p>
                <w:p w:rsidR="0061071A" w:rsidRPr="00454D23"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For companies classified as established companies then for a retail investor no more than $20,000 per Issuer in any 12 month period and $50,000 in total per 12 month period for established CSEF investments. Wholesale / s708 / professional investors not covered by any cap – i.e. current s708 applies.</w:t>
                  </w:r>
                </w:p>
                <w:p w:rsidR="0061071A" w:rsidRPr="00454D23" w:rsidRDefault="0061071A" w:rsidP="00454D23">
                  <w:pPr>
                    <w:pStyle w:val="NoSpacing"/>
                    <w:jc w:val="both"/>
                    <w:rPr>
                      <w:rFonts w:ascii="Utsaah" w:hAnsi="Utsaah" w:cs="Utsaah"/>
                      <w:color w:val="4A442A" w:themeColor="background2" w:themeShade="40"/>
                      <w:lang w:val="en-AU"/>
                    </w:rPr>
                  </w:pPr>
                </w:p>
                <w:p w:rsidR="0061071A" w:rsidRDefault="0061071A" w:rsidP="00454D23">
                  <w:pPr>
                    <w:pStyle w:val="NoSpacing"/>
                    <w:jc w:val="both"/>
                    <w:rPr>
                      <w:rFonts w:ascii="Utsaah" w:hAnsi="Utsaah" w:cs="Utsaah"/>
                      <w:color w:val="4A442A" w:themeColor="background2" w:themeShade="40"/>
                      <w:lang w:val="en-AU"/>
                    </w:rPr>
                  </w:pPr>
                  <w:r w:rsidRPr="00454D23">
                    <w:rPr>
                      <w:rFonts w:ascii="Utsaah" w:hAnsi="Utsaah" w:cs="Utsaah"/>
                      <w:color w:val="4A442A" w:themeColor="background2" w:themeShade="40"/>
                      <w:lang w:val="en-AU"/>
                    </w:rPr>
                    <w:t>This subject is one of the most controversial areas given perceived restrictions on investors and the difficulty in policing such area. Whilst most CSEF countries have a threshold of approx. $2k to $5k per investment and a cap of $10k or 10% of one’s net investable assets we have, after extensive consultation, formed our recommendation as above.</w:t>
                  </w:r>
                </w:p>
                <w:p w:rsidR="0061071A" w:rsidRDefault="0061071A" w:rsidP="00454D23">
                  <w:pPr>
                    <w:pStyle w:val="NoSpacing"/>
                    <w:jc w:val="both"/>
                    <w:rPr>
                      <w:rFonts w:ascii="Utsaah" w:hAnsi="Utsaah" w:cs="Utsaah"/>
                      <w:color w:val="4A442A" w:themeColor="background2" w:themeShade="40"/>
                      <w:lang w:val="en-AU"/>
                    </w:rPr>
                  </w:pPr>
                </w:p>
                <w:p w:rsidR="0061071A" w:rsidRPr="00454D23"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We acknowledge that those companies classified as emerging have a higher risk profile and should have a</w:t>
                  </w:r>
                  <w:r>
                    <w:rPr>
                      <w:rFonts w:ascii="Utsaah" w:hAnsi="Utsaah" w:cs="Utsaah"/>
                      <w:color w:val="4A442A" w:themeColor="background2" w:themeShade="40"/>
                      <w:lang w:val="en-AU"/>
                    </w:rPr>
                    <w:t xml:space="preserve"> more modest investor cap in place. </w:t>
                  </w:r>
                  <w:r w:rsidRPr="00616507">
                    <w:rPr>
                      <w:rFonts w:ascii="Utsaah" w:hAnsi="Utsaah" w:cs="Utsaah"/>
                      <w:color w:val="4A442A" w:themeColor="background2" w:themeShade="40"/>
                      <w:lang w:val="en-AU"/>
                    </w:rPr>
                    <w:t xml:space="preserve">For established companies a higher investment </w:t>
                  </w:r>
                  <w:r>
                    <w:rPr>
                      <w:rFonts w:ascii="Utsaah" w:hAnsi="Utsaah" w:cs="Utsaah"/>
                      <w:color w:val="4A442A" w:themeColor="background2" w:themeShade="40"/>
                      <w:lang w:val="en-AU"/>
                    </w:rPr>
                    <w:t xml:space="preserve">limit </w:t>
                  </w:r>
                  <w:r w:rsidRPr="00616507">
                    <w:rPr>
                      <w:rFonts w:ascii="Utsaah" w:hAnsi="Utsaah" w:cs="Utsaah"/>
                      <w:color w:val="4A442A" w:themeColor="background2" w:themeShade="40"/>
                      <w:lang w:val="en-AU"/>
                    </w:rPr>
                    <w:t xml:space="preserve">applies and of course </w:t>
                  </w:r>
                  <w:r>
                    <w:rPr>
                      <w:rFonts w:ascii="Utsaah" w:hAnsi="Utsaah" w:cs="Utsaah"/>
                      <w:color w:val="4A442A" w:themeColor="background2" w:themeShade="40"/>
                      <w:lang w:val="en-AU"/>
                    </w:rPr>
                    <w:t xml:space="preserve">as </w:t>
                  </w:r>
                  <w:r w:rsidRPr="00616507">
                    <w:rPr>
                      <w:rFonts w:ascii="Utsaah" w:hAnsi="Utsaah" w:cs="Utsaah"/>
                      <w:color w:val="4A442A" w:themeColor="background2" w:themeShade="40"/>
                      <w:lang w:val="en-AU"/>
                    </w:rPr>
                    <w:t>currently applies</w:t>
                  </w:r>
                  <w:r>
                    <w:rPr>
                      <w:rFonts w:ascii="Utsaah" w:hAnsi="Utsaah" w:cs="Utsaah"/>
                      <w:color w:val="4A442A" w:themeColor="background2" w:themeShade="40"/>
                      <w:lang w:val="en-AU"/>
                    </w:rPr>
                    <w:t>,</w:t>
                  </w:r>
                  <w:r w:rsidRPr="00616507">
                    <w:rPr>
                      <w:rFonts w:ascii="Utsaah" w:hAnsi="Utsaah" w:cs="Utsaah"/>
                      <w:color w:val="4A442A" w:themeColor="background2" w:themeShade="40"/>
                      <w:lang w:val="en-AU"/>
                    </w:rPr>
                    <w:t xml:space="preserve"> </w:t>
                  </w:r>
                  <w:r>
                    <w:rPr>
                      <w:rFonts w:ascii="Utsaah" w:hAnsi="Utsaah" w:cs="Utsaah"/>
                      <w:color w:val="4A442A" w:themeColor="background2" w:themeShade="40"/>
                      <w:lang w:val="en-AU"/>
                    </w:rPr>
                    <w:t>w</w:t>
                  </w:r>
                  <w:r w:rsidRPr="00616507">
                    <w:rPr>
                      <w:rFonts w:ascii="Utsaah" w:hAnsi="Utsaah" w:cs="Utsaah"/>
                      <w:color w:val="4A442A" w:themeColor="background2" w:themeShade="40"/>
                      <w:lang w:val="en-AU"/>
                    </w:rPr>
                    <w:t>holesale / s708 / professional investors are not covered by any cap – i.e. current s708 applies.</w:t>
                  </w:r>
                </w:p>
                <w:p w:rsidR="0061071A" w:rsidRPr="00454D23" w:rsidRDefault="0061071A" w:rsidP="00454D23">
                  <w:pPr>
                    <w:pStyle w:val="NoSpacing"/>
                    <w:jc w:val="both"/>
                    <w:rPr>
                      <w:rFonts w:ascii="Utsaah" w:hAnsi="Utsaah" w:cs="Utsaah"/>
                      <w:color w:val="4A442A" w:themeColor="background2" w:themeShade="40"/>
                      <w:lang w:val="en-AU"/>
                    </w:rPr>
                  </w:pPr>
                </w:p>
              </w:txbxContent>
            </v:textbox>
          </v:shape>
        </w:pict>
      </w:r>
    </w:p>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AA36D7" w:rsidRDefault="00AA36D7"/>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E3331C">
      <w:r>
        <w:rPr>
          <w:noProof/>
          <w:lang w:eastAsia="en-AU"/>
        </w:rPr>
        <w:lastRenderedPageBreak/>
        <w:pict>
          <v:shape id="Text Box 560" o:spid="_x0000_s1059" type="#_x0000_t202" style="position:absolute;margin-left:-61.5pt;margin-top:-50.55pt;width:186.05pt;height:76.7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Lr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" filled="f" stroked="f">
            <v:textbox style="mso-next-textbox:#Text Box 560">
              <w:txbxContent>
                <w:p w:rsidR="0061071A" w:rsidRDefault="0061071A" w:rsidP="00616507">
                  <w:pPr>
                    <w:spacing w:after="0"/>
                    <w:rPr>
                      <w:rFonts w:ascii="Adobe Gothic Std B" w:eastAsia="Adobe Gothic Std B" w:hAnsi="Adobe Gothic Std B" w:cs="Arial"/>
                      <w:b/>
                      <w:bCs/>
                      <w:color w:val="FFFFFF" w:themeColor="background1"/>
                      <w:sz w:val="24"/>
                      <w:szCs w:val="24"/>
                    </w:rPr>
                  </w:pPr>
                </w:p>
                <w:p w:rsidR="0061071A" w:rsidRPr="002E68BC" w:rsidRDefault="0061071A" w:rsidP="00616507">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616507">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51776"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58" o:spid="_x0000_s1089" style="position:absolute;margin-left:.1pt;margin-top:-45.85pt;width:202.5pt;height:76.55pt;z-index:-251556864;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">
            <v:shape id="Freeform 756" o:spid="_x0000_s1090"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nIMcA&#10;AADcAAAADwAAAGRycy9kb3ducmV2LnhtbESPQWvCQBSE74X+h+UVeim6sdSi0VWCUJQeRI0Hj4/s&#10;a5I2+zbsbkzaX98tCD0OM/MNs1wPphFXcr62rGAyTkAQF1bXXCo452+jGQgfkDU2lknBN3lYr+7v&#10;lphq2/ORrqdQighhn6KCKoQ2ldIXFRn0Y9sSR+/DOoMhSldK7bCPcNPI5yR5lQZrjgsVtrSpqPg6&#10;dUbBZ9dn+WGLx+TSbdz7y8/TJMv3Sj0+DNkCRKAh/Idv7Z1WMJ3O4e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5pyD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0D11AC" w:rsidRDefault="000D11AC"/>
    <w:p w:rsidR="000D11AC" w:rsidRDefault="000D11AC"/>
    <w:p w:rsidR="000D11AC" w:rsidRDefault="00E3331C">
      <w:r>
        <w:rPr>
          <w:noProof/>
          <w:lang w:eastAsia="en-AU"/>
        </w:rPr>
        <w:pict>
          <v:shape id="Text Box 561" o:spid="_x0000_s1060" type="#_x0000_t202" style="position:absolute;margin-left:28.55pt;margin-top:5.85pt;width:393.95pt;height:573.9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cN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" filled="f" stroked="f">
            <v:textbox>
              <w:txbxContent>
                <w:p w:rsidR="0061071A" w:rsidRPr="00616507"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Of course non-sophisticated investors can circumvent caps by investing in their own name and their spouse and a nominee company but at least everyone knows the limits.</w:t>
                  </w:r>
                </w:p>
                <w:p w:rsidR="0061071A" w:rsidRPr="00616507" w:rsidRDefault="0061071A" w:rsidP="00616507">
                  <w:pPr>
                    <w:pStyle w:val="NoSpacing"/>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APO’s may also become aware of small investors acting outside the limits and in such case if they became aware by acting the receipt point for the Issuer’s disclosure document / offer they would not accept such application and advise the Issuer also.</w:t>
                  </w:r>
                </w:p>
                <w:p w:rsidR="0061071A" w:rsidRPr="00616507" w:rsidRDefault="0061071A" w:rsidP="00616507">
                  <w:pPr>
                    <w:pStyle w:val="NoSpacing"/>
                    <w:jc w:val="both"/>
                    <w:rPr>
                      <w:rFonts w:ascii="Utsaah" w:hAnsi="Utsaah" w:cs="Utsaah"/>
                      <w:color w:val="4A442A" w:themeColor="background2" w:themeShade="40"/>
                      <w:lang w:val="en-AU"/>
                    </w:rPr>
                  </w:pPr>
                </w:p>
                <w:p w:rsidR="0061071A"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 xml:space="preserve">We believe this two stream approach (emerging and established) is very practical and workable – </w:t>
                  </w:r>
                  <w:r>
                    <w:rPr>
                      <w:rFonts w:ascii="Utsaah" w:hAnsi="Utsaah" w:cs="Utsaah"/>
                      <w:color w:val="4A442A" w:themeColor="background2" w:themeShade="40"/>
                      <w:lang w:val="en-AU"/>
                    </w:rPr>
                    <w:t>“</w:t>
                  </w:r>
                  <w:r w:rsidRPr="00616507">
                    <w:rPr>
                      <w:rFonts w:ascii="Utsaah" w:hAnsi="Utsaah" w:cs="Utsaah"/>
                      <w:color w:val="4A442A" w:themeColor="background2" w:themeShade="40"/>
                      <w:lang w:val="en-AU"/>
                    </w:rPr>
                    <w:t>freedom within boundaries</w:t>
                  </w:r>
                  <w:r>
                    <w:rPr>
                      <w:rFonts w:ascii="Utsaah" w:hAnsi="Utsaah" w:cs="Utsaah"/>
                      <w:color w:val="4A442A" w:themeColor="background2" w:themeShade="40"/>
                      <w:lang w:val="en-AU"/>
                    </w:rPr>
                    <w:t>”</w:t>
                  </w:r>
                  <w:r w:rsidRPr="00616507">
                    <w:rPr>
                      <w:rFonts w:ascii="Utsaah" w:hAnsi="Utsaah" w:cs="Utsaah"/>
                      <w:color w:val="4A442A" w:themeColor="background2" w:themeShade="40"/>
                      <w:lang w:val="en-AU"/>
                    </w:rPr>
                    <w:t xml:space="preserve"> we call it and should be an excellent compromise between the regulators and the public. There is an argument that no ca</w:t>
                  </w:r>
                  <w:r>
                    <w:rPr>
                      <w:rFonts w:ascii="Utsaah" w:hAnsi="Utsaah" w:cs="Utsaah"/>
                      <w:color w:val="4A442A" w:themeColor="background2" w:themeShade="40"/>
                      <w:lang w:val="en-AU"/>
                    </w:rPr>
                    <w:t>p</w:t>
                  </w:r>
                  <w:r w:rsidRPr="00616507">
                    <w:rPr>
                      <w:rFonts w:ascii="Utsaah" w:hAnsi="Utsaah" w:cs="Utsaah"/>
                      <w:color w:val="4A442A" w:themeColor="background2" w:themeShade="40"/>
                      <w:lang w:val="en-AU"/>
                    </w:rPr>
                    <w:t xml:space="preserve"> should apply to established company offerings and we would be happy to discuss this further as it may be a suitable pathway to follow or raise the cap for such companies.</w:t>
                  </w:r>
                </w:p>
                <w:p w:rsidR="0061071A" w:rsidRPr="00616507" w:rsidRDefault="0061071A" w:rsidP="00616507">
                  <w:pPr>
                    <w:pStyle w:val="NoSpacing"/>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b/>
                      <w:color w:val="00B0F0"/>
                      <w:lang w:val="en-AU"/>
                    </w:rPr>
                  </w:pPr>
                  <w:r w:rsidRPr="00616507">
                    <w:rPr>
                      <w:rFonts w:ascii="Utsaah" w:hAnsi="Utsaah" w:cs="Utsaah"/>
                      <w:b/>
                      <w:color w:val="00B0F0"/>
                      <w:lang w:val="en-AU"/>
                    </w:rPr>
                    <w:t xml:space="preserve">11. Are there any other elements of CAMAC’s proposed model that result in an imbalance between facilitating the use of CSEF by issuers and maintaining an appropriate level of investor protection, or any other elements that should be included? </w:t>
                  </w:r>
                </w:p>
                <w:p w:rsidR="0061071A" w:rsidRPr="00616507" w:rsidRDefault="0061071A" w:rsidP="00616507">
                  <w:pPr>
                    <w:pStyle w:val="NoSpacing"/>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Our recommendations cover the areas of concern with CAMAC’s proposed model and include:</w:t>
                  </w:r>
                </w:p>
                <w:p w:rsidR="0061071A" w:rsidRDefault="0061071A" w:rsidP="00616507">
                  <w:pPr>
                    <w:pStyle w:val="NoSpacing"/>
                    <w:numPr>
                      <w:ilvl w:val="0"/>
                      <w:numId w:val="5"/>
                    </w:numPr>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Intermediary (APO) have more responsibility re the KIP and mentoring Issuers re reporting requirement (“</w:t>
                  </w:r>
                  <w:proofErr w:type="spellStart"/>
                  <w:r w:rsidRPr="00616507">
                    <w:rPr>
                      <w:rFonts w:ascii="Utsaah" w:hAnsi="Utsaah" w:cs="Utsaah"/>
                      <w:color w:val="4A442A" w:themeColor="background2" w:themeShade="40"/>
                      <w:lang w:val="en-AU"/>
                    </w:rPr>
                    <w:t>Lite</w:t>
                  </w:r>
                  <w:proofErr w:type="spellEnd"/>
                  <w:r w:rsidRPr="00616507">
                    <w:rPr>
                      <w:rFonts w:ascii="Utsaah" w:hAnsi="Utsaah" w:cs="Utsaah"/>
                      <w:color w:val="4A442A" w:themeColor="background2" w:themeShade="40"/>
                      <w:lang w:val="en-AU"/>
                    </w:rPr>
                    <w:t>”</w:t>
                  </w:r>
                  <w:r>
                    <w:rPr>
                      <w:rFonts w:ascii="Utsaah" w:hAnsi="Utsaah" w:cs="Utsaah"/>
                      <w:color w:val="4A442A" w:themeColor="background2" w:themeShade="40"/>
                      <w:lang w:val="en-AU"/>
                    </w:rPr>
                    <w:t xml:space="preserve"> </w:t>
                  </w:r>
                  <w:r w:rsidRPr="00616507">
                    <w:rPr>
                      <w:rFonts w:ascii="Utsaah" w:hAnsi="Utsaah" w:cs="Utsaah"/>
                      <w:color w:val="4A442A" w:themeColor="background2" w:themeShade="40"/>
                      <w:lang w:val="en-AU"/>
                    </w:rPr>
                    <w:t>ASX) with notification to the APO licensing board of breaches – all designed to mitigate investor risks so far as possible.</w:t>
                  </w:r>
                </w:p>
                <w:p w:rsidR="0061071A" w:rsidRDefault="0061071A" w:rsidP="00616507">
                  <w:pPr>
                    <w:pStyle w:val="NoSpacing"/>
                    <w:ind w:left="720"/>
                    <w:jc w:val="both"/>
                    <w:rPr>
                      <w:rFonts w:ascii="Utsaah" w:hAnsi="Utsaah" w:cs="Utsaah"/>
                      <w:color w:val="4A442A" w:themeColor="background2" w:themeShade="40"/>
                      <w:lang w:val="en-AU"/>
                    </w:rPr>
                  </w:pPr>
                </w:p>
                <w:p w:rsidR="0061071A" w:rsidRDefault="0061071A" w:rsidP="00616507">
                  <w:pPr>
                    <w:pStyle w:val="NoSpacing"/>
                    <w:numPr>
                      <w:ilvl w:val="0"/>
                      <w:numId w:val="5"/>
                    </w:numPr>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Non-circumvention of CSEF investors by overlaying preference shares, C-Notes etc. in priority to ordinary CSEF shareholders</w:t>
                  </w:r>
                  <w:r>
                    <w:rPr>
                      <w:rFonts w:ascii="Utsaah" w:hAnsi="Utsaah" w:cs="Utsaah"/>
                      <w:color w:val="4A442A" w:themeColor="background2" w:themeShade="40"/>
                      <w:lang w:val="en-AU"/>
                    </w:rPr>
                    <w:t>.</w:t>
                  </w:r>
                </w:p>
                <w:p w:rsidR="0061071A" w:rsidRDefault="0061071A" w:rsidP="00616507">
                  <w:pPr>
                    <w:pStyle w:val="NoSpacing"/>
                    <w:ind w:left="360"/>
                    <w:jc w:val="both"/>
                    <w:rPr>
                      <w:rFonts w:ascii="Utsaah" w:hAnsi="Utsaah" w:cs="Utsaah"/>
                      <w:color w:val="4A442A" w:themeColor="background2" w:themeShade="40"/>
                      <w:lang w:val="en-AU"/>
                    </w:rPr>
                  </w:pPr>
                </w:p>
                <w:p w:rsidR="0061071A" w:rsidRDefault="0061071A" w:rsidP="00616507">
                  <w:pPr>
                    <w:pStyle w:val="NoSpacing"/>
                    <w:numPr>
                      <w:ilvl w:val="0"/>
                      <w:numId w:val="5"/>
                    </w:numPr>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Complaint constitutions</w:t>
                  </w:r>
                  <w:r>
                    <w:rPr>
                      <w:rFonts w:ascii="Utsaah" w:hAnsi="Utsaah" w:cs="Utsaah"/>
                      <w:color w:val="4A442A" w:themeColor="background2" w:themeShade="40"/>
                      <w:lang w:val="en-AU"/>
                    </w:rPr>
                    <w:t>.</w:t>
                  </w:r>
                </w:p>
                <w:p w:rsidR="0061071A" w:rsidRDefault="0061071A" w:rsidP="00616507">
                  <w:pPr>
                    <w:pStyle w:val="NoSpacing"/>
                    <w:ind w:left="360"/>
                    <w:jc w:val="both"/>
                    <w:rPr>
                      <w:rFonts w:ascii="Utsaah" w:hAnsi="Utsaah" w:cs="Utsaah"/>
                      <w:color w:val="4A442A" w:themeColor="background2" w:themeShade="40"/>
                      <w:lang w:val="en-AU"/>
                    </w:rPr>
                  </w:pPr>
                </w:p>
                <w:p w:rsidR="0061071A" w:rsidRDefault="0061071A" w:rsidP="00616507">
                  <w:pPr>
                    <w:pStyle w:val="NoSpacing"/>
                    <w:numPr>
                      <w:ilvl w:val="0"/>
                      <w:numId w:val="5"/>
                    </w:numPr>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Exempt public company status to “groom” CSEF investees with good governance, boards, reporting requirements, etc.</w:t>
                  </w:r>
                </w:p>
                <w:p w:rsidR="0061071A" w:rsidRPr="00616507" w:rsidRDefault="0061071A" w:rsidP="00616507">
                  <w:pPr>
                    <w:pStyle w:val="NoSpacing"/>
                    <w:ind w:left="720"/>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b/>
                      <w:color w:val="00B0F0"/>
                      <w:lang w:val="en-AU"/>
                    </w:rPr>
                  </w:pPr>
                  <w:r w:rsidRPr="00616507">
                    <w:rPr>
                      <w:rFonts w:ascii="Utsaah" w:hAnsi="Utsaah" w:cs="Utsaah"/>
                      <w:b/>
                      <w:color w:val="00B0F0"/>
                      <w:lang w:val="en-AU"/>
                    </w:rPr>
                    <w:t xml:space="preserve">12. Do you consider it is important that the Australian and New Zealand CSEF models are aligned? If so, is it necessary for this to be achieved through the implementation of similar CSEF frameworks, or would it be more appropriate for CSEF to be considered under the Trans-Tasman mutual recognition framework? </w:t>
                  </w:r>
                </w:p>
                <w:p w:rsidR="0061071A" w:rsidRPr="00616507" w:rsidRDefault="0061071A" w:rsidP="00616507">
                  <w:pPr>
                    <w:pStyle w:val="NoSpacing"/>
                    <w:jc w:val="both"/>
                    <w:rPr>
                      <w:rFonts w:ascii="Utsaah" w:hAnsi="Utsaah" w:cs="Utsaah"/>
                      <w:color w:val="4A442A" w:themeColor="background2" w:themeShade="40"/>
                      <w:lang w:val="en-AU"/>
                    </w:rPr>
                  </w:pPr>
                </w:p>
                <w:p w:rsidR="0061071A"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Yes</w:t>
                  </w:r>
                  <w:r>
                    <w:rPr>
                      <w:rFonts w:ascii="Utsaah" w:hAnsi="Utsaah" w:cs="Utsaah"/>
                      <w:color w:val="4A442A" w:themeColor="background2" w:themeShade="40"/>
                      <w:lang w:val="en-AU"/>
                    </w:rPr>
                    <w:t>. W</w:t>
                  </w:r>
                  <w:r w:rsidRPr="00616507">
                    <w:rPr>
                      <w:rFonts w:ascii="Utsaah" w:hAnsi="Utsaah" w:cs="Utsaah"/>
                      <w:color w:val="4A442A" w:themeColor="background2" w:themeShade="40"/>
                      <w:lang w:val="en-AU"/>
                    </w:rPr>
                    <w:t>e believe it is useful for general alignment but where there may be some differences to cater for the different corporation’s law regimes and economy framework parameters</w:t>
                  </w:r>
                  <w:r>
                    <w:rPr>
                      <w:rFonts w:ascii="Utsaah" w:hAnsi="Utsaah" w:cs="Utsaah"/>
                      <w:color w:val="4A442A" w:themeColor="background2" w:themeShade="40"/>
                      <w:lang w:val="en-AU"/>
                    </w:rPr>
                    <w:t xml:space="preserve"> (c</w:t>
                  </w:r>
                  <w:r w:rsidRPr="00616507">
                    <w:rPr>
                      <w:rFonts w:ascii="Utsaah" w:hAnsi="Utsaah" w:cs="Utsaah"/>
                      <w:color w:val="4A442A" w:themeColor="background2" w:themeShade="40"/>
                      <w:lang w:val="en-AU"/>
                    </w:rPr>
                    <w:t>ertainly aspects</w:t>
                  </w:r>
                  <w:r>
                    <w:rPr>
                      <w:rFonts w:ascii="Utsaah" w:hAnsi="Utsaah" w:cs="Utsaah"/>
                      <w:color w:val="4A442A" w:themeColor="background2" w:themeShade="40"/>
                      <w:lang w:val="en-AU"/>
                    </w:rPr>
                    <w:t xml:space="preserve"> </w:t>
                  </w:r>
                  <w:r w:rsidRPr="00616507">
                    <w:rPr>
                      <w:rFonts w:ascii="Utsaah" w:hAnsi="Utsaah" w:cs="Utsaah"/>
                      <w:color w:val="4A442A" w:themeColor="background2" w:themeShade="40"/>
                      <w:lang w:val="en-AU"/>
                    </w:rPr>
                    <w:t>such as auditors falling under a common service agreement etc.</w:t>
                  </w:r>
                  <w:r>
                    <w:rPr>
                      <w:rFonts w:ascii="Utsaah" w:hAnsi="Utsaah" w:cs="Utsaah"/>
                      <w:color w:val="4A442A" w:themeColor="background2" w:themeShade="40"/>
                      <w:lang w:val="en-AU"/>
                    </w:rPr>
                    <w:t>)</w:t>
                  </w:r>
                  <w:r w:rsidRPr="00616507">
                    <w:rPr>
                      <w:rFonts w:ascii="Utsaah" w:hAnsi="Utsaah" w:cs="Utsaah"/>
                      <w:color w:val="4A442A" w:themeColor="background2" w:themeShade="40"/>
                      <w:lang w:val="en-AU"/>
                    </w:rPr>
                    <w:t xml:space="preserve"> </w:t>
                  </w:r>
                  <w:r>
                    <w:rPr>
                      <w:rFonts w:ascii="Utsaah" w:hAnsi="Utsaah" w:cs="Utsaah"/>
                      <w:color w:val="4A442A" w:themeColor="background2" w:themeShade="40"/>
                      <w:lang w:val="en-AU"/>
                    </w:rPr>
                    <w:t xml:space="preserve"> </w:t>
                  </w:r>
                  <w:r w:rsidRPr="00616507">
                    <w:rPr>
                      <w:rFonts w:ascii="Utsaah" w:hAnsi="Utsaah" w:cs="Utsaah"/>
                      <w:color w:val="4A442A" w:themeColor="background2" w:themeShade="40"/>
                      <w:lang w:val="en-AU"/>
                    </w:rPr>
                    <w:t>Also a CESF in Australia can include CSEF investors from NZ and vice-versa would be good.</w:t>
                  </w:r>
                </w:p>
                <w:p w:rsidR="0061071A" w:rsidRDefault="0061071A" w:rsidP="00616507">
                  <w:pPr>
                    <w:pStyle w:val="NoSpacing"/>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Indeed the regulatory structure proposed by CAMAC is, at a general level, consistent with the New Zealand provisions and the Canadian and US proposals, though there are some very significant differences between these jurisdictions, and with the CAMAC proposals, on various policy issues.</w:t>
                  </w:r>
                </w:p>
                <w:p w:rsidR="0061071A" w:rsidRPr="00616507" w:rsidRDefault="0061071A" w:rsidP="00616507">
                  <w:pPr>
                    <w:pStyle w:val="NoSpacing"/>
                    <w:jc w:val="both"/>
                    <w:rPr>
                      <w:rFonts w:ascii="Utsaah" w:hAnsi="Utsaah" w:cs="Utsaah"/>
                      <w:color w:val="4A442A" w:themeColor="background2" w:themeShade="40"/>
                      <w:lang w:val="en-AU"/>
                    </w:rPr>
                  </w:pPr>
                </w:p>
                <w:p w:rsidR="0061071A" w:rsidRPr="00454D23" w:rsidRDefault="0061071A" w:rsidP="00616507">
                  <w:pPr>
                    <w:pStyle w:val="NoSpacing"/>
                    <w:jc w:val="both"/>
                    <w:rPr>
                      <w:rFonts w:ascii="Utsaah" w:hAnsi="Utsaah" w:cs="Utsaah"/>
                      <w:color w:val="4A442A" w:themeColor="background2" w:themeShade="40"/>
                      <w:lang w:val="en-AU"/>
                    </w:rPr>
                  </w:pPr>
                </w:p>
              </w:txbxContent>
            </v:textbox>
          </v:shape>
        </w:pict>
      </w:r>
    </w:p>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0D11AC" w:rsidRDefault="000D11AC"/>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E037DF" w:rsidRDefault="00E3331C">
      <w:r>
        <w:rPr>
          <w:noProof/>
          <w:lang w:eastAsia="en-AU"/>
        </w:rPr>
        <w:lastRenderedPageBreak/>
        <w:pict>
          <v:shape id="Text Box 565" o:spid="_x0000_s1061" type="#_x0000_t202" style="position:absolute;margin-left:-62.45pt;margin-top:-49.3pt;width:186.05pt;height:76.7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R2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" filled="f" stroked="f">
            <v:textbox>
              <w:txbxContent>
                <w:p w:rsidR="0061071A" w:rsidRDefault="0061071A" w:rsidP="00616507">
                  <w:pPr>
                    <w:spacing w:after="0"/>
                    <w:rPr>
                      <w:rFonts w:ascii="Adobe Gothic Std B" w:eastAsia="Adobe Gothic Std B" w:hAnsi="Adobe Gothic Std B" w:cs="Arial"/>
                      <w:b/>
                      <w:bCs/>
                      <w:color w:val="FFFFFF" w:themeColor="background1"/>
                      <w:sz w:val="24"/>
                      <w:szCs w:val="24"/>
                    </w:rPr>
                  </w:pPr>
                </w:p>
                <w:p w:rsidR="0061071A" w:rsidRPr="002E68BC" w:rsidRDefault="0061071A" w:rsidP="00616507">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616507">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53824"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63" o:spid="_x0000_s1087" style="position:absolute;margin-left:-.25pt;margin-top:-46.1pt;width:202.5pt;height:76.55pt;z-index:-25154969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">
            <v:shape id="Freeform 756" o:spid="_x0000_s1088"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CA8cA&#10;AADcAAAADwAAAGRycy9kb3ducmV2LnhtbESPQWvCQBSE74X+h+UVvBTdWKxIdJUglEoPpZoePD6y&#10;zyQ2+zbsbkzqr3cLQo/DzHzDrDaDacSFnK8tK5hOEhDEhdU1lwq+87fxAoQPyBoby6Tglzxs1o8P&#10;K0y17XlPl0MoRYSwT1FBFUKbSumLigz6iW2Jo3eyzmCI0pVSO+wj3DTyJUnm0mDNcaHClrYVFT+H&#10;zig4d32Wf73jPjl2W/cxuz5Ps/xTqdHTkC1BBBrCf/je3mkFr/MZ/J2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wgP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E037DF" w:rsidRDefault="00E037DF"/>
    <w:p w:rsidR="00E037DF" w:rsidRDefault="00E3331C">
      <w:r>
        <w:rPr>
          <w:noProof/>
          <w:lang w:eastAsia="en-AU"/>
        </w:rPr>
        <w:pict>
          <v:shape id="Text Box 566" o:spid="_x0000_s1062" type="#_x0000_t202" style="position:absolute;margin-left:27.85pt;margin-top:8.85pt;width:393.95pt;height:643.2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eFuwIAAMY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" filled="f" stroked="f">
            <v:textbox>
              <w:txbxContent>
                <w:p w:rsidR="0061071A"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For instance, in three key respects, the CAMAC proposals differ from the approach taken in New Zealand:</w:t>
                  </w:r>
                </w:p>
                <w:p w:rsidR="0061071A" w:rsidRPr="00616507" w:rsidRDefault="0061071A" w:rsidP="00616507">
                  <w:pPr>
                    <w:pStyle w:val="NoSpacing"/>
                    <w:jc w:val="both"/>
                    <w:rPr>
                      <w:rFonts w:ascii="Utsaah" w:hAnsi="Utsaah" w:cs="Utsaah"/>
                      <w:color w:val="4A442A" w:themeColor="background2" w:themeShade="40"/>
                      <w:lang w:val="en-AU"/>
                    </w:rPr>
                  </w:pPr>
                </w:p>
                <w:p w:rsidR="0061071A" w:rsidRDefault="0061071A" w:rsidP="00BD144D">
                  <w:pPr>
                    <w:pStyle w:val="NoSpacing"/>
                    <w:numPr>
                      <w:ilvl w:val="0"/>
                      <w:numId w:val="8"/>
                    </w:numPr>
                    <w:jc w:val="both"/>
                    <w:rPr>
                      <w:rFonts w:ascii="Utsaah" w:hAnsi="Utsaah" w:cs="Utsaah"/>
                      <w:color w:val="4A442A" w:themeColor="background2" w:themeShade="40"/>
                      <w:lang w:val="en-AU"/>
                    </w:rPr>
                  </w:pPr>
                  <w:r w:rsidRPr="00BD144D">
                    <w:rPr>
                      <w:rFonts w:ascii="Utsaah" w:hAnsi="Utsaah" w:cs="Utsaah"/>
                      <w:b/>
                      <w:color w:val="4A442A" w:themeColor="background2" w:themeShade="40"/>
                      <w:lang w:val="en-AU"/>
                    </w:rPr>
                    <w:t xml:space="preserve">issuers: </w:t>
                  </w:r>
                  <w:r w:rsidRPr="00BD144D">
                    <w:rPr>
                      <w:rFonts w:ascii="Utsaah" w:hAnsi="Utsaah" w:cs="Utsaah"/>
                      <w:b/>
                      <w:i/>
                      <w:color w:val="4A442A" w:themeColor="background2" w:themeShade="40"/>
                      <w:lang w:val="en-AU"/>
                    </w:rPr>
                    <w:t>offer disclosure.</w:t>
                  </w:r>
                  <w:r w:rsidRPr="00616507">
                    <w:rPr>
                      <w:rFonts w:ascii="Utsaah" w:hAnsi="Utsaah" w:cs="Utsaah"/>
                      <w:color w:val="4A442A" w:themeColor="background2" w:themeShade="40"/>
                      <w:lang w:val="en-AU"/>
                    </w:rPr>
                    <w:t xml:space="preserve"> New Zealand has adopted a partial ambulatory approach to the offer disclosure requirements of issuers, whereas CAMAC proposes a standard template disclosure structure, intended to benefit issuers as well as investors – we certainly support the CAMAC recommendations in this area with the added requirement of the APO authorising the issue of the KIP at the front of every Issuer offer document</w:t>
                  </w:r>
                  <w:r>
                    <w:rPr>
                      <w:rFonts w:ascii="Utsaah" w:hAnsi="Utsaah" w:cs="Utsaah"/>
                      <w:color w:val="4A442A" w:themeColor="background2" w:themeShade="40"/>
                      <w:lang w:val="en-AU"/>
                    </w:rPr>
                    <w:t>.</w:t>
                  </w:r>
                </w:p>
                <w:p w:rsidR="0061071A" w:rsidRDefault="0061071A" w:rsidP="00BD144D">
                  <w:pPr>
                    <w:pStyle w:val="NoSpacing"/>
                    <w:ind w:left="720"/>
                    <w:jc w:val="both"/>
                    <w:rPr>
                      <w:rFonts w:ascii="Utsaah" w:hAnsi="Utsaah" w:cs="Utsaah"/>
                      <w:color w:val="4A442A" w:themeColor="background2" w:themeShade="40"/>
                      <w:lang w:val="en-AU"/>
                    </w:rPr>
                  </w:pPr>
                </w:p>
                <w:p w:rsidR="0061071A" w:rsidRDefault="0061071A" w:rsidP="00616507">
                  <w:pPr>
                    <w:pStyle w:val="NoSpacing"/>
                    <w:numPr>
                      <w:ilvl w:val="0"/>
                      <w:numId w:val="8"/>
                    </w:numPr>
                    <w:jc w:val="both"/>
                    <w:rPr>
                      <w:rFonts w:ascii="Utsaah" w:hAnsi="Utsaah" w:cs="Utsaah"/>
                      <w:color w:val="4A442A" w:themeColor="background2" w:themeShade="40"/>
                      <w:lang w:val="en-AU"/>
                    </w:rPr>
                  </w:pPr>
                  <w:r w:rsidRPr="00BD144D">
                    <w:rPr>
                      <w:rFonts w:ascii="Utsaah" w:hAnsi="Utsaah" w:cs="Utsaah"/>
                      <w:b/>
                      <w:color w:val="4A442A" w:themeColor="background2" w:themeShade="40"/>
                      <w:lang w:val="en-AU"/>
                    </w:rPr>
                    <w:t xml:space="preserve">intermediaries: </w:t>
                  </w:r>
                  <w:r w:rsidRPr="00BD144D">
                    <w:rPr>
                      <w:rFonts w:ascii="Utsaah" w:hAnsi="Utsaah" w:cs="Utsaah"/>
                      <w:b/>
                      <w:i/>
                      <w:color w:val="4A442A" w:themeColor="background2" w:themeShade="40"/>
                      <w:lang w:val="en-AU"/>
                    </w:rPr>
                    <w:t>conflict of interest.</w:t>
                  </w:r>
                  <w:r w:rsidRPr="00BD144D">
                    <w:rPr>
                      <w:rFonts w:ascii="Utsaah" w:hAnsi="Utsaah" w:cs="Utsaah"/>
                      <w:color w:val="4A442A" w:themeColor="background2" w:themeShade="40"/>
                      <w:lang w:val="en-AU"/>
                    </w:rPr>
                    <w:t xml:space="preserve"> New Zealand permits an intermediary to invest in an offer conducted on its website, or otherwise have an interest in that offer, provided that the interest is disclosed, whereas CAMAC considers that any such interest may create conflicts of interest and should be prohibited – we support CAMAC that the APO should have no shareholding interest in the Issuer prior to the offer document being released</w:t>
                  </w:r>
                  <w:r>
                    <w:rPr>
                      <w:rFonts w:ascii="Utsaah" w:hAnsi="Utsaah" w:cs="Utsaah"/>
                      <w:color w:val="4A442A" w:themeColor="background2" w:themeShade="40"/>
                      <w:lang w:val="en-AU"/>
                    </w:rPr>
                    <w:t>.</w:t>
                  </w:r>
                </w:p>
                <w:p w:rsidR="0061071A" w:rsidRDefault="0061071A" w:rsidP="00BD144D">
                  <w:pPr>
                    <w:pStyle w:val="NoSpacing"/>
                    <w:ind w:left="720"/>
                    <w:jc w:val="both"/>
                    <w:rPr>
                      <w:rFonts w:ascii="Utsaah" w:hAnsi="Utsaah" w:cs="Utsaah"/>
                      <w:color w:val="4A442A" w:themeColor="background2" w:themeShade="40"/>
                      <w:lang w:val="en-AU"/>
                    </w:rPr>
                  </w:pPr>
                </w:p>
                <w:p w:rsidR="0061071A" w:rsidRDefault="0061071A" w:rsidP="00616507">
                  <w:pPr>
                    <w:pStyle w:val="NoSpacing"/>
                    <w:numPr>
                      <w:ilvl w:val="0"/>
                      <w:numId w:val="8"/>
                    </w:numPr>
                    <w:jc w:val="both"/>
                    <w:rPr>
                      <w:rFonts w:ascii="Utsaah" w:hAnsi="Utsaah" w:cs="Utsaah"/>
                      <w:color w:val="4A442A" w:themeColor="background2" w:themeShade="40"/>
                      <w:lang w:val="en-AU"/>
                    </w:rPr>
                  </w:pPr>
                  <w:r w:rsidRPr="00BD144D">
                    <w:rPr>
                      <w:rFonts w:ascii="Utsaah" w:hAnsi="Utsaah" w:cs="Utsaah"/>
                      <w:b/>
                      <w:color w:val="4A442A" w:themeColor="background2" w:themeShade="40"/>
                      <w:lang w:val="en-AU"/>
                    </w:rPr>
                    <w:t xml:space="preserve">investors: </w:t>
                  </w:r>
                  <w:r w:rsidRPr="00BD144D">
                    <w:rPr>
                      <w:rFonts w:ascii="Utsaah" w:hAnsi="Utsaah" w:cs="Utsaah"/>
                      <w:b/>
                      <w:i/>
                      <w:color w:val="4A442A" w:themeColor="background2" w:themeShade="40"/>
                      <w:lang w:val="en-AU"/>
                    </w:rPr>
                    <w:t>investor caps.</w:t>
                  </w:r>
                  <w:r w:rsidRPr="00BD144D">
                    <w:rPr>
                      <w:rFonts w:ascii="Utsaah" w:hAnsi="Utsaah" w:cs="Utsaah"/>
                      <w:color w:val="4A442A" w:themeColor="background2" w:themeShade="40"/>
                      <w:lang w:val="en-AU"/>
                    </w:rPr>
                    <w:t xml:space="preserve"> New Zealand has no investor cap, whereas CAMAC proposes caps on the funds a crowd investor can invest with each issuer, and issuers collectively, in a 12 month period. We have covered this two stream investment limit (emerging / established) in our recommendations above. </w:t>
                  </w:r>
                </w:p>
                <w:p w:rsidR="0061071A" w:rsidRDefault="0061071A" w:rsidP="00BD144D">
                  <w:pPr>
                    <w:pStyle w:val="NoSpacing"/>
                    <w:ind w:left="720"/>
                    <w:jc w:val="both"/>
                    <w:rPr>
                      <w:rFonts w:ascii="Utsaah" w:hAnsi="Utsaah" w:cs="Utsaah"/>
                      <w:color w:val="4A442A" w:themeColor="background2" w:themeShade="40"/>
                      <w:lang w:val="en-AU"/>
                    </w:rPr>
                  </w:pPr>
                </w:p>
                <w:p w:rsidR="0061071A" w:rsidRDefault="0061071A" w:rsidP="00616507">
                  <w:pPr>
                    <w:pStyle w:val="NoSpacing"/>
                    <w:numPr>
                      <w:ilvl w:val="0"/>
                      <w:numId w:val="8"/>
                    </w:numPr>
                    <w:jc w:val="both"/>
                    <w:rPr>
                      <w:rFonts w:ascii="Utsaah" w:hAnsi="Utsaah" w:cs="Utsaah"/>
                      <w:color w:val="4A442A" w:themeColor="background2" w:themeShade="40"/>
                      <w:lang w:val="en-AU"/>
                    </w:rPr>
                  </w:pPr>
                  <w:r w:rsidRPr="00BD144D">
                    <w:rPr>
                      <w:rFonts w:ascii="Utsaah" w:hAnsi="Utsaah" w:cs="Utsaah"/>
                      <w:b/>
                      <w:color w:val="4A442A" w:themeColor="background2" w:themeShade="40"/>
                      <w:lang w:val="en-AU"/>
                    </w:rPr>
                    <w:t>Oversight</w:t>
                  </w:r>
                  <w:r w:rsidRPr="00BD144D">
                    <w:rPr>
                      <w:rFonts w:ascii="Utsaah" w:hAnsi="Utsaah" w:cs="Utsaah"/>
                      <w:color w:val="4A442A" w:themeColor="background2" w:themeShade="40"/>
                      <w:lang w:val="en-AU"/>
                    </w:rPr>
                    <w:t xml:space="preserve"> – in NZ the Financial Markets Authority (FMA) oversee the issuance of equity crowd funding licences under the Financial Markets Conduct Act 2013. It is the FMA’s role to license and monitor the compliance of the crowd-funding service provider.  In Australia we recommend ASIC establish a CSEF Authority to do similar aspects and to license responsible operators as Approved Platform Operators (APO). We see the APO’s having slight greater involvement especially in “emerging companies” and ensuring the Issuers report to shareholders relevant information regularly to instil confidence and reporting protocols.</w:t>
                  </w:r>
                </w:p>
                <w:p w:rsidR="0061071A" w:rsidRPr="00BD144D" w:rsidRDefault="0061071A" w:rsidP="00BD144D">
                  <w:pPr>
                    <w:pStyle w:val="NoSpacing"/>
                    <w:ind w:left="720"/>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 xml:space="preserve">We </w:t>
                  </w:r>
                  <w:r>
                    <w:rPr>
                      <w:rFonts w:ascii="Utsaah" w:hAnsi="Utsaah" w:cs="Utsaah"/>
                      <w:color w:val="4A442A" w:themeColor="background2" w:themeShade="40"/>
                      <w:lang w:val="en-AU"/>
                    </w:rPr>
                    <w:t xml:space="preserve">believe any linkages between NZ / </w:t>
                  </w:r>
                  <w:r w:rsidRPr="00616507">
                    <w:rPr>
                      <w:rFonts w:ascii="Utsaah" w:hAnsi="Utsaah" w:cs="Utsaah"/>
                      <w:color w:val="4A442A" w:themeColor="background2" w:themeShade="40"/>
                      <w:lang w:val="en-AU"/>
                    </w:rPr>
                    <w:t xml:space="preserve">Australia could be </w:t>
                  </w:r>
                  <w:r>
                    <w:rPr>
                      <w:rFonts w:ascii="Utsaah" w:hAnsi="Utsaah" w:cs="Utsaah"/>
                      <w:color w:val="4A442A" w:themeColor="background2" w:themeShade="40"/>
                      <w:lang w:val="en-AU"/>
                    </w:rPr>
                    <w:t xml:space="preserve">facilitated through the TTMRA. </w:t>
                  </w:r>
                  <w:r w:rsidRPr="00616507">
                    <w:rPr>
                      <w:rFonts w:ascii="Utsaah" w:hAnsi="Utsaah" w:cs="Utsaah"/>
                      <w:color w:val="4A442A" w:themeColor="background2" w:themeShade="40"/>
                      <w:lang w:val="en-AU"/>
                    </w:rPr>
                    <w:t>The TTMRA is built upon, and is a natural extension of, the MRA.  It represents a deepening of the Australia-New Zealand Closer Economic Relations Trade Agreement (ANZCERTA)</w:t>
                  </w:r>
                  <w:r>
                    <w:rPr>
                      <w:rFonts w:ascii="Utsaah" w:hAnsi="Utsaah" w:cs="Utsaah"/>
                      <w:color w:val="4A442A" w:themeColor="background2" w:themeShade="40"/>
                      <w:lang w:val="en-AU"/>
                    </w:rPr>
                    <w:t>.</w:t>
                  </w:r>
                </w:p>
                <w:p w:rsidR="0061071A" w:rsidRPr="00616507" w:rsidRDefault="0061071A" w:rsidP="00616507">
                  <w:pPr>
                    <w:pStyle w:val="NoSpacing"/>
                    <w:jc w:val="both"/>
                    <w:rPr>
                      <w:rFonts w:ascii="Utsaah" w:hAnsi="Utsaah" w:cs="Utsaah"/>
                      <w:color w:val="4A442A" w:themeColor="background2" w:themeShade="40"/>
                      <w:lang w:val="en-AU"/>
                    </w:rPr>
                  </w:pPr>
                </w:p>
                <w:p w:rsidR="0061071A"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 xml:space="preserve">The impetus for the TTMRA came from government recognition that there were regulatory impediments to trade between New Zealand and Australia.  These were often in the form of: </w:t>
                  </w:r>
                </w:p>
                <w:p w:rsidR="0061071A" w:rsidRPr="00616507" w:rsidRDefault="0061071A" w:rsidP="00616507">
                  <w:pPr>
                    <w:pStyle w:val="NoSpacing"/>
                    <w:jc w:val="both"/>
                    <w:rPr>
                      <w:rFonts w:ascii="Utsaah" w:hAnsi="Utsaah" w:cs="Utsaah"/>
                      <w:color w:val="4A442A" w:themeColor="background2" w:themeShade="40"/>
                      <w:lang w:val="en-AU"/>
                    </w:rPr>
                  </w:pPr>
                </w:p>
                <w:p w:rsidR="0061071A" w:rsidRDefault="0061071A" w:rsidP="00616507">
                  <w:pPr>
                    <w:pStyle w:val="NoSpacing"/>
                    <w:numPr>
                      <w:ilvl w:val="0"/>
                      <w:numId w:val="9"/>
                    </w:numPr>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 xml:space="preserve">different standards for goods; </w:t>
                  </w:r>
                </w:p>
                <w:p w:rsidR="0061071A" w:rsidRDefault="0061071A" w:rsidP="00616507">
                  <w:pPr>
                    <w:pStyle w:val="NoSpacing"/>
                    <w:numPr>
                      <w:ilvl w:val="0"/>
                      <w:numId w:val="9"/>
                    </w:numPr>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 xml:space="preserve">duplicative testing and certification requirements; and </w:t>
                  </w:r>
                </w:p>
                <w:p w:rsidR="0061071A" w:rsidRPr="00384353" w:rsidRDefault="0061071A" w:rsidP="00616507">
                  <w:pPr>
                    <w:pStyle w:val="NoSpacing"/>
                    <w:numPr>
                      <w:ilvl w:val="0"/>
                      <w:numId w:val="9"/>
                    </w:numPr>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 xml:space="preserve">different regulatory requirements for those wishing to practise in registered occupations. </w:t>
                  </w:r>
                </w:p>
                <w:p w:rsidR="0061071A" w:rsidRPr="00616507" w:rsidRDefault="0061071A" w:rsidP="00616507">
                  <w:pPr>
                    <w:pStyle w:val="NoSpacing"/>
                    <w:jc w:val="both"/>
                    <w:rPr>
                      <w:rFonts w:ascii="Utsaah" w:hAnsi="Utsaah" w:cs="Utsaah"/>
                      <w:color w:val="4A442A" w:themeColor="background2" w:themeShade="40"/>
                      <w:lang w:val="en-AU"/>
                    </w:rPr>
                  </w:pPr>
                </w:p>
                <w:p w:rsidR="0061071A"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 xml:space="preserve">The TTMRA helps to support a seamless trans-Tasman market by allowing for the free movement of goods and of people in registered occupations across the Tasman.  </w:t>
                  </w:r>
                </w:p>
                <w:p w:rsidR="0061071A" w:rsidRDefault="0061071A" w:rsidP="00616507">
                  <w:pPr>
                    <w:pStyle w:val="NoSpacing"/>
                    <w:jc w:val="both"/>
                    <w:rPr>
                      <w:rFonts w:ascii="Utsaah" w:hAnsi="Utsaah" w:cs="Utsaah"/>
                      <w:color w:val="4A442A" w:themeColor="background2" w:themeShade="40"/>
                      <w:lang w:val="en-AU"/>
                    </w:rPr>
                  </w:pPr>
                </w:p>
                <w:p w:rsidR="0061071A" w:rsidRPr="00616507" w:rsidRDefault="0061071A" w:rsidP="00616507">
                  <w:pPr>
                    <w:pStyle w:val="NoSpacing"/>
                    <w:jc w:val="both"/>
                    <w:rPr>
                      <w:rFonts w:ascii="Utsaah" w:hAnsi="Utsaah" w:cs="Utsaah"/>
                      <w:color w:val="4A442A" w:themeColor="background2" w:themeShade="40"/>
                      <w:lang w:val="en-AU"/>
                    </w:rPr>
                  </w:pPr>
                </w:p>
                <w:p w:rsidR="0061071A" w:rsidRPr="00384353" w:rsidRDefault="0061071A" w:rsidP="00616507">
                  <w:pPr>
                    <w:pStyle w:val="NoSpacing"/>
                    <w:jc w:val="both"/>
                    <w:rPr>
                      <w:rFonts w:ascii="Utsaah" w:hAnsi="Utsaah" w:cs="Utsaah"/>
                      <w:b/>
                      <w:color w:val="00B0F0"/>
                      <w:lang w:val="en-AU"/>
                    </w:rPr>
                  </w:pPr>
                  <w:r w:rsidRPr="00384353">
                    <w:rPr>
                      <w:rFonts w:ascii="Utsaah" w:hAnsi="Utsaah" w:cs="Utsaah"/>
                      <w:b/>
                      <w:color w:val="00B0F0"/>
                      <w:lang w:val="en-AU"/>
                    </w:rPr>
                    <w:t xml:space="preserve">13. Do you consider that voluntary investor caps and requiring increased disclosure where investors contribute larger amounts of funds appropriately balances investor protection against investor choice and flexibility for issuers? </w:t>
                  </w:r>
                </w:p>
                <w:p w:rsidR="0061071A" w:rsidRPr="00616507" w:rsidRDefault="0061071A" w:rsidP="00616507">
                  <w:pPr>
                    <w:pStyle w:val="NoSpacing"/>
                    <w:jc w:val="both"/>
                    <w:rPr>
                      <w:rFonts w:ascii="Utsaah" w:hAnsi="Utsaah" w:cs="Utsaah"/>
                      <w:color w:val="4A442A" w:themeColor="background2" w:themeShade="40"/>
                      <w:lang w:val="en-AU"/>
                    </w:rPr>
                  </w:pPr>
                </w:p>
                <w:p w:rsidR="0061071A" w:rsidRDefault="0061071A" w:rsidP="00616507">
                  <w:pPr>
                    <w:pStyle w:val="NoSpacing"/>
                    <w:jc w:val="both"/>
                    <w:rPr>
                      <w:rFonts w:ascii="Utsaah" w:hAnsi="Utsaah" w:cs="Utsaah"/>
                      <w:color w:val="4A442A" w:themeColor="background2" w:themeShade="40"/>
                      <w:lang w:val="en-AU"/>
                    </w:rPr>
                  </w:pPr>
                  <w:r w:rsidRPr="00616507">
                    <w:rPr>
                      <w:rFonts w:ascii="Utsaah" w:hAnsi="Utsaah" w:cs="Utsaah"/>
                      <w:color w:val="4A442A" w:themeColor="background2" w:themeShade="40"/>
                      <w:lang w:val="en-AU"/>
                    </w:rPr>
                    <w:t>We believe our recommendations on investment amounts and stratification between emerging companies and established companies is the best way to proceed coupled with our recommendation of ASX “</w:t>
                  </w:r>
                  <w:proofErr w:type="spellStart"/>
                  <w:r w:rsidRPr="00616507">
                    <w:rPr>
                      <w:rFonts w:ascii="Utsaah" w:hAnsi="Utsaah" w:cs="Utsaah"/>
                      <w:color w:val="4A442A" w:themeColor="background2" w:themeShade="40"/>
                      <w:lang w:val="en-AU"/>
                    </w:rPr>
                    <w:t>lite</w:t>
                  </w:r>
                  <w:proofErr w:type="spellEnd"/>
                  <w:r w:rsidRPr="00616507">
                    <w:rPr>
                      <w:rFonts w:ascii="Utsaah" w:hAnsi="Utsaah" w:cs="Utsaah"/>
                      <w:color w:val="4A442A" w:themeColor="background2" w:themeShade="40"/>
                      <w:lang w:val="en-AU"/>
                    </w:rPr>
                    <w:t>” reporting for CSEF invested companies.</w:t>
                  </w:r>
                </w:p>
                <w:p w:rsidR="0061071A" w:rsidRPr="00454D23" w:rsidRDefault="0061071A" w:rsidP="00616507">
                  <w:pPr>
                    <w:pStyle w:val="NoSpacing"/>
                    <w:jc w:val="both"/>
                    <w:rPr>
                      <w:rFonts w:ascii="Utsaah" w:hAnsi="Utsaah" w:cs="Utsaah"/>
                      <w:color w:val="4A442A" w:themeColor="background2" w:themeShade="40"/>
                      <w:lang w:val="en-AU"/>
                    </w:rPr>
                  </w:pPr>
                </w:p>
              </w:txbxContent>
            </v:textbox>
          </v:shape>
        </w:pict>
      </w:r>
    </w:p>
    <w:p w:rsidR="00E037DF" w:rsidRDefault="00E037DF"/>
    <w:p w:rsidR="00E037DF" w:rsidRDefault="00E037DF"/>
    <w:p w:rsidR="00E037DF" w:rsidRDefault="00E037DF"/>
    <w:p w:rsidR="00E037DF" w:rsidRDefault="00E037DF"/>
    <w:p w:rsidR="00E037DF" w:rsidRDefault="00E037DF"/>
    <w:p w:rsidR="00E037DF" w:rsidRDefault="00E037DF"/>
    <w:p w:rsidR="00E037DF" w:rsidRDefault="00E037DF"/>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E3331C">
      <w:r>
        <w:rPr>
          <w:noProof/>
          <w:lang w:eastAsia="en-AU"/>
        </w:rPr>
        <w:lastRenderedPageBreak/>
        <w:pict>
          <v:shape id="Text Box 569" o:spid="_x0000_s1063" type="#_x0000_t202" style="position:absolute;margin-left:-62pt;margin-top:-50.3pt;width:186.05pt;height:76.7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l2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" filled="f" stroked="f">
            <v:textbox>
              <w:txbxContent>
                <w:p w:rsidR="0061071A" w:rsidRDefault="0061071A" w:rsidP="00384353">
                  <w:pPr>
                    <w:spacing w:after="0"/>
                    <w:rPr>
                      <w:rFonts w:ascii="Adobe Gothic Std B" w:eastAsia="Adobe Gothic Std B" w:hAnsi="Adobe Gothic Std B" w:cs="Arial"/>
                      <w:b/>
                      <w:bCs/>
                      <w:color w:val="FFFFFF" w:themeColor="background1"/>
                      <w:sz w:val="24"/>
                      <w:szCs w:val="24"/>
                    </w:rPr>
                  </w:pPr>
                </w:p>
                <w:p w:rsidR="0061071A" w:rsidRPr="002E68BC" w:rsidRDefault="0061071A" w:rsidP="00384353">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384353">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55872"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67" o:spid="_x0000_s1085" style="position:absolute;margin-left:.05pt;margin-top:-46.35pt;width:202.5pt;height:76.55pt;z-index:-25154457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">
            <v:shape id="Freeform 756" o:spid="_x0000_s1086"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IBsQA&#10;AADcAAAADwAAAGRycy9kb3ducmV2LnhtbERPz2vCMBS+C/sfwhvsIjN1TJHOKEUQxw6i1sOOj+at&#10;7da8lCS1nX+9OQgeP77fy/VgGnEh52vLCqaTBARxYXXNpYJzvn1dgPABWWNjmRT8k4f16mm0xFTb&#10;no90OYVSxBD2KSqoQmhTKX1RkUE/sS1x5H6sMxgidKXUDvsYbhr5liRzabDm2FBhS5uKir9TZxT8&#10;dn2WH3Z4TL67jft6v46nWb5X6uV5yD5ABBrCQ3x3f2oFs3lcG8/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yAbEAAAA3A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616507" w:rsidRDefault="00616507"/>
    <w:p w:rsidR="00616507" w:rsidRDefault="00616507"/>
    <w:p w:rsidR="00616507" w:rsidRDefault="00E3331C">
      <w:r>
        <w:rPr>
          <w:noProof/>
          <w:lang w:eastAsia="en-AU"/>
        </w:rPr>
        <w:pict>
          <v:shape id="Text Box 570" o:spid="_x0000_s1064" type="#_x0000_t202" style="position:absolute;margin-left:27.15pt;margin-top:19.65pt;width:393.95pt;height:508.7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8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" filled="f" stroked="f">
            <v:textbox>
              <w:txbxContent>
                <w:p w:rsidR="0061071A" w:rsidRPr="00384353" w:rsidRDefault="0061071A" w:rsidP="00384353">
                  <w:pPr>
                    <w:pStyle w:val="NoSpacing"/>
                    <w:jc w:val="both"/>
                    <w:rPr>
                      <w:rFonts w:ascii="Utsaah" w:hAnsi="Utsaah" w:cs="Utsaah"/>
                      <w:b/>
                      <w:color w:val="00B0F0"/>
                      <w:lang w:val="en-AU"/>
                    </w:rPr>
                  </w:pPr>
                  <w:r w:rsidRPr="00384353">
                    <w:rPr>
                      <w:rFonts w:ascii="Utsaah" w:hAnsi="Utsaah" w:cs="Utsaah"/>
                      <w:b/>
                      <w:color w:val="00B0F0"/>
                      <w:lang w:val="en-AU"/>
                    </w:rPr>
                    <w:t xml:space="preserve">14. What level of direction should there be on the amount of disclosure required for different voluntary investor caps? </w:t>
                  </w:r>
                </w:p>
                <w:p w:rsidR="0061071A" w:rsidRPr="00384353" w:rsidRDefault="0061071A" w:rsidP="00384353">
                  <w:pPr>
                    <w:pStyle w:val="NoSpacing"/>
                    <w:jc w:val="both"/>
                    <w:rPr>
                      <w:rFonts w:ascii="Utsaah" w:hAnsi="Utsaah" w:cs="Utsaah"/>
                      <w:color w:val="4A442A" w:themeColor="background2" w:themeShade="40"/>
                      <w:lang w:val="en-AU"/>
                    </w:rPr>
                  </w:pPr>
                </w:p>
                <w:p w:rsidR="0061071A"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We believe our disclosure model is the best way to proceed. CSEF invested companies should fall into either emerging companies or established companies (a clear objectively determined rule) and the companies are resp</w:t>
                  </w:r>
                  <w:r>
                    <w:rPr>
                      <w:rFonts w:ascii="Utsaah" w:hAnsi="Utsaah" w:cs="Utsaah"/>
                      <w:color w:val="4A442A" w:themeColor="background2" w:themeShade="40"/>
                      <w:lang w:val="en-AU"/>
                    </w:rPr>
                    <w:t xml:space="preserve">onsible for uniform disclosure </w:t>
                  </w:r>
                  <w:r w:rsidRPr="00384353">
                    <w:rPr>
                      <w:rFonts w:ascii="Utsaah" w:hAnsi="Utsaah" w:cs="Utsaah"/>
                      <w:color w:val="4A442A" w:themeColor="background2" w:themeShade="40"/>
                      <w:lang w:val="en-AU"/>
                    </w:rPr>
                    <w:t>depending as to whether they are classified as emerging or established. It would be unwieldy for same class companies to have to report differently just because some investors were large and some small.</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b/>
                      <w:color w:val="00B0F0"/>
                      <w:lang w:val="en-AU"/>
                    </w:rPr>
                  </w:pPr>
                  <w:r w:rsidRPr="00384353">
                    <w:rPr>
                      <w:rFonts w:ascii="Utsaah" w:hAnsi="Utsaah" w:cs="Utsaah"/>
                      <w:b/>
                      <w:color w:val="00B0F0"/>
                      <w:lang w:val="en-AU"/>
                    </w:rPr>
                    <w:t xml:space="preserve">15. How likely is it that the obstacles to CSEF that exist under the status quo would drive potential issuers, intermediaries and investors to move to jurisdictions that have implemented CSEF regimes? </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We believe there may be some movement to other jurisdictions (and most likely NZ) but Australia MUST move to embrace CSEF and have the rules in place to achieve the desired outcomes. NZ’s rules fulfil approx. 80% of our thinking for Australia with the additional requirements per our recommendations above.</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b/>
                      <w:color w:val="00B0F0"/>
                      <w:lang w:val="en-AU"/>
                    </w:rPr>
                  </w:pPr>
                  <w:r w:rsidRPr="00384353">
                    <w:rPr>
                      <w:rFonts w:ascii="Utsaah" w:hAnsi="Utsaah" w:cs="Utsaah"/>
                      <w:b/>
                      <w:color w:val="00B0F0"/>
                      <w:lang w:val="en-AU"/>
                    </w:rPr>
                    <w:t xml:space="preserve">16. What are the costs and benefits of each of the three options discussed in this consultation paper? </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 xml:space="preserve">Please refer to Table 1 in this report where </w:t>
                  </w:r>
                  <w:r>
                    <w:rPr>
                      <w:rFonts w:ascii="Utsaah" w:hAnsi="Utsaah" w:cs="Utsaah"/>
                      <w:color w:val="4A442A" w:themeColor="background2" w:themeShade="40"/>
                      <w:lang w:val="en-AU"/>
                    </w:rPr>
                    <w:t>we compare CAMAC / NZ / FAT HEN.</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b/>
                      <w:color w:val="4A442A" w:themeColor="background2" w:themeShade="40"/>
                      <w:lang w:val="en-AU"/>
                    </w:rPr>
                  </w:pPr>
                  <w:r w:rsidRPr="00384353">
                    <w:rPr>
                      <w:rFonts w:ascii="Utsaah" w:hAnsi="Utsaah" w:cs="Utsaah"/>
                      <w:b/>
                      <w:color w:val="4A442A" w:themeColor="background2" w:themeShade="40"/>
                      <w:lang w:val="en-AU"/>
                    </w:rPr>
                    <w:t>OPTION 1: REGULATORY FRAMEWORK BASED ON THE CAMAC MODEL</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CAMAC’s recommendations are a big improvement on the Status Quo and we do not see any major cost / benefit disparity – it streamlines the market, empowers intermediaries to act responsibly and with diligence and with proper warnings and KIP’s attempts to mitigate investor risk.</w:t>
                  </w:r>
                </w:p>
                <w:p w:rsidR="0061071A" w:rsidRPr="0038435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We do not believe the exempt public company status is a large burden on Issuers.</w:t>
                  </w:r>
                </w:p>
                <w:p w:rsidR="0061071A" w:rsidRPr="0038435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 xml:space="preserve">Intermediaries will need to comply with bank guarantee and PI costs but their fees should adequately cover such costs plus operational costs </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b/>
                      <w:color w:val="4A442A" w:themeColor="background2" w:themeShade="40"/>
                      <w:lang w:val="en-AU"/>
                    </w:rPr>
                  </w:pPr>
                  <w:r w:rsidRPr="00384353">
                    <w:rPr>
                      <w:rFonts w:ascii="Utsaah" w:hAnsi="Utsaah" w:cs="Utsaah"/>
                      <w:b/>
                      <w:color w:val="4A442A" w:themeColor="background2" w:themeShade="40"/>
                      <w:lang w:val="en-AU"/>
                    </w:rPr>
                    <w:t>OPTION 2: REGULATORY FRAMEWORK BASED ON THE NEW ZEALAND MODEL</w:t>
                  </w:r>
                </w:p>
                <w:p w:rsidR="0061071A"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 xml:space="preserve">Similar to above </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b/>
                      <w:color w:val="4A442A" w:themeColor="background2" w:themeShade="40"/>
                      <w:lang w:val="en-AU"/>
                    </w:rPr>
                  </w:pPr>
                  <w:r w:rsidRPr="00384353">
                    <w:rPr>
                      <w:rFonts w:ascii="Utsaah" w:hAnsi="Utsaah" w:cs="Utsaah"/>
                      <w:b/>
                      <w:color w:val="4A442A" w:themeColor="background2" w:themeShade="40"/>
                      <w:lang w:val="en-AU"/>
                    </w:rPr>
                    <w:t>OPTION 3: STATUS QUO</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454D2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Worst outcome – the Australian capital markets and SME’s need to cater for CSEF – in the absence of any CSEF the current Pty Ltd limitations would need drastic overhaul.</w:t>
                  </w:r>
                  <w:r w:rsidRPr="00BD144D">
                    <w:rPr>
                      <w:rFonts w:ascii="Utsaah" w:hAnsi="Utsaah" w:cs="Utsaah"/>
                      <w:color w:val="4A442A" w:themeColor="background2" w:themeShade="40"/>
                      <w:lang w:val="en-AU"/>
                    </w:rPr>
                    <w:t xml:space="preserve"> </w:t>
                  </w:r>
                </w:p>
              </w:txbxContent>
            </v:textbox>
          </v:shape>
        </w:pict>
      </w:r>
    </w:p>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616507"/>
    <w:p w:rsidR="00616507" w:rsidRDefault="00E3331C">
      <w:r>
        <w:rPr>
          <w:noProof/>
          <w:lang w:eastAsia="en-AU"/>
        </w:rPr>
        <w:lastRenderedPageBreak/>
        <w:pict>
          <v:shape id="Text Box 573" o:spid="_x0000_s1065" type="#_x0000_t202" style="position:absolute;margin-left:-59.2pt;margin-top:-49.2pt;width:186.05pt;height:76.7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6R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" filled="f" stroked="f">
            <v:textbox>
              <w:txbxContent>
                <w:p w:rsidR="0061071A" w:rsidRDefault="0061071A" w:rsidP="00384353">
                  <w:pPr>
                    <w:spacing w:after="0"/>
                    <w:rPr>
                      <w:rFonts w:ascii="Adobe Gothic Std B" w:eastAsia="Adobe Gothic Std B" w:hAnsi="Adobe Gothic Std B" w:cs="Arial"/>
                      <w:b/>
                      <w:bCs/>
                      <w:color w:val="FFFFFF" w:themeColor="background1"/>
                      <w:sz w:val="24"/>
                      <w:szCs w:val="24"/>
                    </w:rPr>
                  </w:pPr>
                </w:p>
                <w:p w:rsidR="0061071A" w:rsidRPr="002E68BC" w:rsidRDefault="0061071A" w:rsidP="00384353">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384353">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57920"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71" o:spid="_x0000_s1083" style="position:absolute;margin-left:-.3pt;margin-top:-45.9pt;width:202.5pt;height:76.55pt;z-index:-25153945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">
            <v:shape id="Freeform 756" o:spid="_x0000_s1084"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pMccA&#10;AADcAAAADwAAAGRycy9kb3ducmV2LnhtbESPQWvCQBSE74X+h+UVeim6UbRKdJUglEoPRY0Hj4/s&#10;a5I2+zbsbkzaX98tCD0OM/MNs94OphFXcr62rGAyTkAQF1bXXCo45y+jJQgfkDU2lknBN3nYbu7v&#10;1phq2/ORrqdQighhn6KCKoQ2ldIXFRn0Y9sSR+/DOoMhSldK7bCPcNPIaZI8S4M1x4UKW9pVVHyd&#10;OqPgs+uz/PCKx+TS7dzb7OdpkuXvSj0+DNkKRKAh/Idv7b1WMF9M4e9M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aTH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616507" w:rsidRDefault="00E3331C">
      <w:r>
        <w:rPr>
          <w:noProof/>
          <w:lang w:eastAsia="en-AU"/>
        </w:rPr>
        <w:pict>
          <v:shape id="Text Box 574" o:spid="_x0000_s1066" type="#_x0000_t202" style="position:absolute;margin-left:27.85pt;margin-top:20.75pt;width:393.95pt;height:150.8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nBvQIAAMY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" filled="f" stroked="f">
            <v:textbox>
              <w:txbxContent>
                <w:p w:rsidR="0061071A" w:rsidRPr="00384353" w:rsidRDefault="0061071A" w:rsidP="00384353">
                  <w:pPr>
                    <w:pStyle w:val="NoSpacing"/>
                    <w:jc w:val="both"/>
                    <w:rPr>
                      <w:rFonts w:ascii="Utsaah" w:hAnsi="Utsaah" w:cs="Utsaah"/>
                      <w:b/>
                      <w:color w:val="00B0F0"/>
                      <w:lang w:val="en-AU"/>
                    </w:rPr>
                  </w:pPr>
                  <w:r w:rsidRPr="00384353">
                    <w:rPr>
                      <w:rFonts w:ascii="Utsaah" w:hAnsi="Utsaah" w:cs="Utsaah"/>
                      <w:b/>
                      <w:color w:val="00B0F0"/>
                      <w:lang w:val="en-AU"/>
                    </w:rPr>
                    <w:t xml:space="preserve">17. Are the estimated compliance costs for the CAMAC and New Zealand models presented in the appendix accurate? </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Materially correct – except for t</w:t>
                  </w:r>
                  <w:r>
                    <w:rPr>
                      <w:rFonts w:ascii="Utsaah" w:hAnsi="Utsaah" w:cs="Utsaah"/>
                      <w:color w:val="4A442A" w:themeColor="background2" w:themeShade="40"/>
                      <w:lang w:val="en-AU"/>
                    </w:rPr>
                    <w:t>he Intermediary license ($100k)</w:t>
                  </w:r>
                  <w:r w:rsidRPr="00384353">
                    <w:rPr>
                      <w:rFonts w:ascii="Utsaah" w:hAnsi="Utsaah" w:cs="Utsaah"/>
                      <w:color w:val="4A442A" w:themeColor="background2" w:themeShade="40"/>
                      <w:lang w:val="en-AU"/>
                    </w:rPr>
                    <w:t xml:space="preserve"> - under our APO regime cost would be con</w:t>
                  </w:r>
                  <w:r>
                    <w:rPr>
                      <w:rFonts w:ascii="Utsaah" w:hAnsi="Utsaah" w:cs="Utsaah"/>
                      <w:color w:val="4A442A" w:themeColor="background2" w:themeShade="40"/>
                      <w:lang w:val="en-AU"/>
                    </w:rPr>
                    <w:t xml:space="preserve">siderably reduced. </w:t>
                  </w:r>
                  <w:r w:rsidRPr="00384353">
                    <w:rPr>
                      <w:rFonts w:ascii="Utsaah" w:hAnsi="Utsaah" w:cs="Utsaah"/>
                      <w:color w:val="4A442A" w:themeColor="background2" w:themeShade="40"/>
                      <w:lang w:val="en-AU"/>
                    </w:rPr>
                    <w:t>Offer statement preparation costs and DD by intermediaries probably understated.</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color w:val="4A442A" w:themeColor="background2" w:themeShade="40"/>
                      <w:lang w:val="en-AU"/>
                    </w:rPr>
                  </w:pPr>
                </w:p>
                <w:p w:rsidR="0061071A" w:rsidRPr="00384353" w:rsidRDefault="0061071A" w:rsidP="00384353">
                  <w:pPr>
                    <w:pStyle w:val="NoSpacing"/>
                    <w:jc w:val="both"/>
                    <w:rPr>
                      <w:rFonts w:ascii="Utsaah" w:hAnsi="Utsaah" w:cs="Utsaah"/>
                      <w:b/>
                      <w:color w:val="00B0F0"/>
                      <w:lang w:val="en-AU"/>
                    </w:rPr>
                  </w:pPr>
                  <w:r w:rsidRPr="00384353">
                    <w:rPr>
                      <w:rFonts w:ascii="Utsaah" w:hAnsi="Utsaah" w:cs="Utsaah"/>
                      <w:b/>
                      <w:color w:val="00B0F0"/>
                      <w:lang w:val="en-AU"/>
                    </w:rPr>
                    <w:t xml:space="preserve">18. How many issuers, intermediaries and investors would be the expected take up online equity fundraising in Australia under the status quo, the CAMAC model and the New Zealand model? </w:t>
                  </w:r>
                </w:p>
                <w:p w:rsidR="0061071A" w:rsidRPr="00384353" w:rsidRDefault="0061071A" w:rsidP="00384353">
                  <w:pPr>
                    <w:pStyle w:val="NoSpacing"/>
                    <w:jc w:val="both"/>
                    <w:rPr>
                      <w:rFonts w:ascii="Utsaah" w:hAnsi="Utsaah" w:cs="Utsaah"/>
                      <w:color w:val="4A442A" w:themeColor="background2" w:themeShade="40"/>
                      <w:lang w:val="en-AU"/>
                    </w:rPr>
                  </w:pPr>
                </w:p>
                <w:p w:rsidR="0061071A" w:rsidRPr="00454D23" w:rsidRDefault="0061071A" w:rsidP="00384353">
                  <w:pPr>
                    <w:pStyle w:val="NoSpacing"/>
                    <w:jc w:val="both"/>
                    <w:rPr>
                      <w:rFonts w:ascii="Utsaah" w:hAnsi="Utsaah" w:cs="Utsaah"/>
                      <w:color w:val="4A442A" w:themeColor="background2" w:themeShade="40"/>
                      <w:lang w:val="en-AU"/>
                    </w:rPr>
                  </w:pPr>
                  <w:r w:rsidRPr="00384353">
                    <w:rPr>
                      <w:rFonts w:ascii="Utsaah" w:hAnsi="Utsaah" w:cs="Utsaah"/>
                      <w:color w:val="4A442A" w:themeColor="background2" w:themeShade="40"/>
                      <w:lang w:val="en-AU"/>
                    </w:rPr>
                    <w:t>Our research indicates for the first three years (cumulative):</w:t>
                  </w:r>
                </w:p>
              </w:txbxContent>
            </v:textbox>
          </v:shape>
        </w:pict>
      </w:r>
    </w:p>
    <w:p w:rsidR="00616507" w:rsidRDefault="00616507"/>
    <w:p w:rsidR="00384353" w:rsidRDefault="00384353"/>
    <w:p w:rsidR="00384353" w:rsidRDefault="00384353"/>
    <w:p w:rsidR="00384353" w:rsidRDefault="00384353"/>
    <w:p w:rsidR="00384353" w:rsidRDefault="00384353"/>
    <w:tbl>
      <w:tblPr>
        <w:tblStyle w:val="TableGrid"/>
        <w:tblpPr w:leftFromText="180" w:rightFromText="180" w:vertAnchor="text" w:horzAnchor="margin" w:tblpXSpec="center" w:tblpY="421"/>
        <w:tblW w:w="7763" w:type="dxa"/>
        <w:tblLook w:val="04A0" w:firstRow="1" w:lastRow="0" w:firstColumn="1" w:lastColumn="0" w:noHBand="0" w:noVBand="1"/>
      </w:tblPr>
      <w:tblGrid>
        <w:gridCol w:w="1809"/>
        <w:gridCol w:w="2404"/>
        <w:gridCol w:w="1424"/>
        <w:gridCol w:w="2126"/>
      </w:tblGrid>
      <w:tr w:rsidR="0097697A" w:rsidTr="0097697A">
        <w:tc>
          <w:tcPr>
            <w:tcW w:w="1809" w:type="dxa"/>
          </w:tcPr>
          <w:p w:rsidR="0097697A" w:rsidRPr="0097697A" w:rsidRDefault="0097697A" w:rsidP="0097697A">
            <w:pPr>
              <w:pStyle w:val="Default"/>
              <w:jc w:val="both"/>
              <w:rPr>
                <w:rFonts w:ascii="Utsaah" w:hAnsi="Utsaah" w:cs="Utsaah"/>
                <w:color w:val="4A442A" w:themeColor="background2" w:themeShade="40"/>
                <w:sz w:val="22"/>
                <w:szCs w:val="22"/>
              </w:rPr>
            </w:pPr>
          </w:p>
        </w:tc>
        <w:tc>
          <w:tcPr>
            <w:tcW w:w="2404" w:type="dxa"/>
          </w:tcPr>
          <w:p w:rsidR="0097697A" w:rsidRPr="00AA60FC" w:rsidRDefault="0097697A" w:rsidP="0097697A">
            <w:pPr>
              <w:pStyle w:val="Default"/>
              <w:jc w:val="both"/>
              <w:rPr>
                <w:rFonts w:ascii="Utsaah" w:hAnsi="Utsaah" w:cs="Utsaah"/>
                <w:color w:val="4A442A" w:themeColor="background2" w:themeShade="40"/>
                <w:sz w:val="22"/>
                <w:szCs w:val="22"/>
                <w:u w:val="single"/>
              </w:rPr>
            </w:pPr>
            <w:r w:rsidRPr="00AA60FC">
              <w:rPr>
                <w:rFonts w:ascii="Utsaah" w:hAnsi="Utsaah" w:cs="Utsaah"/>
                <w:color w:val="4A442A" w:themeColor="background2" w:themeShade="40"/>
                <w:sz w:val="22"/>
                <w:szCs w:val="22"/>
                <w:u w:val="single"/>
              </w:rPr>
              <w:t>CAMAC model</w:t>
            </w:r>
          </w:p>
        </w:tc>
        <w:tc>
          <w:tcPr>
            <w:tcW w:w="1424" w:type="dxa"/>
          </w:tcPr>
          <w:p w:rsidR="0097697A" w:rsidRPr="00AA60FC" w:rsidRDefault="0097697A" w:rsidP="0097697A">
            <w:pPr>
              <w:pStyle w:val="Default"/>
              <w:jc w:val="both"/>
              <w:rPr>
                <w:rFonts w:ascii="Utsaah" w:hAnsi="Utsaah" w:cs="Utsaah"/>
                <w:color w:val="4A442A" w:themeColor="background2" w:themeShade="40"/>
                <w:sz w:val="22"/>
                <w:szCs w:val="22"/>
                <w:u w:val="single"/>
              </w:rPr>
            </w:pPr>
            <w:r w:rsidRPr="00AA60FC">
              <w:rPr>
                <w:rFonts w:ascii="Utsaah" w:hAnsi="Utsaah" w:cs="Utsaah"/>
                <w:color w:val="4A442A" w:themeColor="background2" w:themeShade="40"/>
                <w:sz w:val="22"/>
                <w:szCs w:val="22"/>
                <w:u w:val="single"/>
              </w:rPr>
              <w:t>NZ model</w:t>
            </w:r>
          </w:p>
        </w:tc>
        <w:tc>
          <w:tcPr>
            <w:tcW w:w="2126" w:type="dxa"/>
          </w:tcPr>
          <w:p w:rsidR="0097697A" w:rsidRPr="00AA60FC" w:rsidRDefault="0097697A" w:rsidP="0097697A">
            <w:pPr>
              <w:pStyle w:val="Default"/>
              <w:jc w:val="both"/>
              <w:rPr>
                <w:rFonts w:ascii="Utsaah" w:hAnsi="Utsaah" w:cs="Utsaah"/>
                <w:color w:val="4A442A" w:themeColor="background2" w:themeShade="40"/>
                <w:sz w:val="22"/>
                <w:szCs w:val="22"/>
                <w:u w:val="single"/>
              </w:rPr>
            </w:pPr>
            <w:r w:rsidRPr="00AA60FC">
              <w:rPr>
                <w:rFonts w:ascii="Utsaah" w:hAnsi="Utsaah" w:cs="Utsaah"/>
                <w:color w:val="4A442A" w:themeColor="background2" w:themeShade="40"/>
                <w:sz w:val="22"/>
                <w:szCs w:val="22"/>
                <w:u w:val="single"/>
              </w:rPr>
              <w:t xml:space="preserve">Status quo </w:t>
            </w:r>
          </w:p>
        </w:tc>
      </w:tr>
      <w:tr w:rsidR="0097697A" w:rsidTr="0097697A">
        <w:tc>
          <w:tcPr>
            <w:tcW w:w="1809"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 Issuers</w:t>
            </w:r>
          </w:p>
        </w:tc>
        <w:tc>
          <w:tcPr>
            <w:tcW w:w="2404"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250</w:t>
            </w:r>
          </w:p>
        </w:tc>
        <w:tc>
          <w:tcPr>
            <w:tcW w:w="1424"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250</w:t>
            </w:r>
          </w:p>
        </w:tc>
        <w:tc>
          <w:tcPr>
            <w:tcW w:w="2126"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 xml:space="preserve">50 retail offers via </w:t>
            </w:r>
            <w:proofErr w:type="spellStart"/>
            <w:r w:rsidRPr="0097697A">
              <w:rPr>
                <w:rFonts w:ascii="Utsaah" w:hAnsi="Utsaah" w:cs="Utsaah"/>
                <w:color w:val="4A442A" w:themeColor="background2" w:themeShade="40"/>
                <w:sz w:val="22"/>
                <w:szCs w:val="22"/>
              </w:rPr>
              <w:t>coys</w:t>
            </w:r>
            <w:proofErr w:type="spellEnd"/>
            <w:r w:rsidRPr="0097697A">
              <w:rPr>
                <w:rFonts w:ascii="Utsaah" w:hAnsi="Utsaah" w:cs="Utsaah"/>
                <w:color w:val="4A442A" w:themeColor="background2" w:themeShade="40"/>
                <w:sz w:val="22"/>
                <w:szCs w:val="22"/>
              </w:rPr>
              <w:t xml:space="preserve"> having to go public</w:t>
            </w:r>
          </w:p>
        </w:tc>
      </w:tr>
      <w:tr w:rsidR="0097697A" w:rsidTr="0097697A">
        <w:tc>
          <w:tcPr>
            <w:tcW w:w="1809"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 xml:space="preserve"># Intermediaries </w:t>
            </w:r>
          </w:p>
        </w:tc>
        <w:tc>
          <w:tcPr>
            <w:tcW w:w="2404"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10</w:t>
            </w:r>
          </w:p>
        </w:tc>
        <w:tc>
          <w:tcPr>
            <w:tcW w:w="1424"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10</w:t>
            </w:r>
          </w:p>
        </w:tc>
        <w:tc>
          <w:tcPr>
            <w:tcW w:w="2126"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n/a</w:t>
            </w:r>
          </w:p>
        </w:tc>
      </w:tr>
      <w:tr w:rsidR="0097697A" w:rsidTr="0097697A">
        <w:tc>
          <w:tcPr>
            <w:tcW w:w="1809"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 CSEF investors</w:t>
            </w:r>
          </w:p>
        </w:tc>
        <w:tc>
          <w:tcPr>
            <w:tcW w:w="2404"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20,000</w:t>
            </w:r>
          </w:p>
        </w:tc>
        <w:tc>
          <w:tcPr>
            <w:tcW w:w="1424"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30,000</w:t>
            </w:r>
          </w:p>
        </w:tc>
        <w:tc>
          <w:tcPr>
            <w:tcW w:w="2126" w:type="dxa"/>
          </w:tcPr>
          <w:p w:rsidR="0097697A" w:rsidRPr="0097697A" w:rsidRDefault="0097697A" w:rsidP="0097697A">
            <w:pPr>
              <w:pStyle w:val="Default"/>
              <w:jc w:val="both"/>
              <w:rPr>
                <w:rFonts w:ascii="Utsaah" w:hAnsi="Utsaah" w:cs="Utsaah"/>
                <w:color w:val="4A442A" w:themeColor="background2" w:themeShade="40"/>
                <w:sz w:val="22"/>
                <w:szCs w:val="22"/>
              </w:rPr>
            </w:pPr>
            <w:r w:rsidRPr="0097697A">
              <w:rPr>
                <w:rFonts w:ascii="Utsaah" w:hAnsi="Utsaah" w:cs="Utsaah"/>
                <w:color w:val="4A442A" w:themeColor="background2" w:themeShade="40"/>
                <w:sz w:val="22"/>
                <w:szCs w:val="22"/>
              </w:rPr>
              <w:t>n/a</w:t>
            </w:r>
          </w:p>
        </w:tc>
      </w:tr>
    </w:tbl>
    <w:p w:rsidR="00384353" w:rsidRDefault="00384353"/>
    <w:p w:rsidR="00384353" w:rsidRDefault="00384353"/>
    <w:p w:rsidR="00384353" w:rsidRDefault="00384353"/>
    <w:p w:rsidR="00384353" w:rsidRDefault="00384353"/>
    <w:p w:rsidR="00384353" w:rsidRDefault="00E3331C">
      <w:r>
        <w:rPr>
          <w:noProof/>
          <w:lang w:eastAsia="en-AU"/>
        </w:rPr>
        <w:pict>
          <v:shape id="Text Box 576" o:spid="_x0000_s1067" type="#_x0000_t202" style="position:absolute;margin-left:27.85pt;margin-top:0;width:393.95pt;height:429.2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Xz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" filled="f" stroked="f">
            <v:textbox>
              <w:txbxContent>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Of course on our recommendations the numbers would be 20% higher due to more rigour by APO’s and greater reporting obligations re relevant changes in an Issuers affairs.</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p>
                <w:p w:rsidR="0061071A" w:rsidRPr="00AA60FC" w:rsidRDefault="0061071A" w:rsidP="0097697A">
                  <w:pPr>
                    <w:pStyle w:val="NoSpacing"/>
                    <w:jc w:val="both"/>
                    <w:rPr>
                      <w:rFonts w:ascii="Utsaah" w:hAnsi="Utsaah" w:cs="Utsaah"/>
                      <w:color w:val="4A442A" w:themeColor="background2" w:themeShade="40"/>
                      <w:lang w:val="en-AU"/>
                    </w:rPr>
                  </w:pPr>
                  <w:r w:rsidRPr="00AA60FC">
                    <w:rPr>
                      <w:rFonts w:ascii="Utsaah" w:hAnsi="Utsaah" w:cs="Utsaah"/>
                      <w:b/>
                      <w:color w:val="00B0F0"/>
                      <w:lang w:val="en-AU"/>
                    </w:rPr>
                    <w:t>19. Are there particular elements of the New Zealand model that should be incorporated into the CAMAC model, or vice versa?</w:t>
                  </w:r>
                  <w:r w:rsidRPr="00AA60FC">
                    <w:rPr>
                      <w:rFonts w:ascii="Utsaah" w:hAnsi="Utsaah" w:cs="Utsaah"/>
                      <w:color w:val="4A442A" w:themeColor="background2" w:themeShade="40"/>
                      <w:lang w:val="en-AU"/>
                    </w:rPr>
                    <w:t xml:space="preserve"> </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Nothing not covered by our model or CAMAC</w:t>
                  </w:r>
                </w:p>
                <w:p w:rsidR="0061071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p>
                <w:p w:rsidR="0061071A" w:rsidRPr="00AA60FC" w:rsidRDefault="0061071A" w:rsidP="0097697A">
                  <w:pPr>
                    <w:pStyle w:val="NoSpacing"/>
                    <w:jc w:val="both"/>
                    <w:rPr>
                      <w:rFonts w:ascii="Utsaah" w:hAnsi="Utsaah" w:cs="Utsaah"/>
                      <w:b/>
                      <w:color w:val="00B0F0"/>
                      <w:lang w:val="en-AU"/>
                    </w:rPr>
                  </w:pPr>
                  <w:r w:rsidRPr="00AA60FC">
                    <w:rPr>
                      <w:rFonts w:ascii="Utsaah" w:hAnsi="Utsaah" w:cs="Utsaah"/>
                      <w:b/>
                      <w:color w:val="00B0F0"/>
                      <w:lang w:val="en-AU"/>
                    </w:rPr>
                    <w:t xml:space="preserve">20. Are there particular elements of models implemented in other jurisdictions that would be desirable to incorporate into any final CSEF framework? </w:t>
                  </w:r>
                </w:p>
                <w:p w:rsidR="0061071A" w:rsidRPr="0097697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The CAMAC paper and its comparisons to other jurisdictions was most comprehensive and we do not intend to repeat much of the CAMAC conclusions (which we concur mostly with) other than to add:</w:t>
                  </w:r>
                </w:p>
                <w:p w:rsidR="0061071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The Canadian model of the offer document comprising 5 items is similar to our recommended KIP and disclosure document template which should be incorporated into the Australian regime.</w:t>
                  </w:r>
                </w:p>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Also under the Canadian regime, eligible issuers must be incorporated or organized in Canada, with their head offices situated in Canada, and the majority of their directors must be Canadian residents. We concur with this.</w:t>
                  </w:r>
                </w:p>
                <w:p w:rsidR="0061071A" w:rsidRPr="0097697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In the US the SEC has proposed to exclude a company that has no specific business plan or has indicated that its business plan is simply to engage in a merger or acquisition with an unidentified entity or entities. An Issuer must have a clear, documented business plan fully costed and reviewed by the APO.</w:t>
                  </w:r>
                </w:p>
                <w:p w:rsidR="0061071A" w:rsidRDefault="0061071A" w:rsidP="0097697A">
                  <w:pPr>
                    <w:pStyle w:val="NoSpacing"/>
                    <w:jc w:val="both"/>
                    <w:rPr>
                      <w:rFonts w:ascii="Utsaah" w:hAnsi="Utsaah" w:cs="Utsaah"/>
                      <w:color w:val="4A442A" w:themeColor="background2" w:themeShade="40"/>
                      <w:lang w:val="en-AU"/>
                    </w:rPr>
                  </w:pPr>
                </w:p>
                <w:p w:rsidR="0061071A" w:rsidRPr="00454D23"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The JOBS Act applies to distributions by an issuer of its own securities. It is not available as a means for existing security holders to on-sell their securities in an issuer. We strongly agree CSEF funding should be for new issues of shares to the company for its business expansion and NOT for buy backs etc.</w:t>
                  </w:r>
                  <w:r>
                    <w:rPr>
                      <w:rFonts w:ascii="Utsaah" w:hAnsi="Utsaah" w:cs="Utsaah"/>
                      <w:color w:val="4A442A" w:themeColor="background2" w:themeShade="40"/>
                      <w:lang w:val="en-AU"/>
                    </w:rPr>
                    <w:t xml:space="preserve"> to existing shareholders.</w:t>
                  </w:r>
                </w:p>
              </w:txbxContent>
            </v:textbox>
          </v:shape>
        </w:pict>
      </w:r>
    </w:p>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E3331C">
      <w:r>
        <w:rPr>
          <w:noProof/>
          <w:lang w:eastAsia="en-AU"/>
        </w:rPr>
        <w:lastRenderedPageBreak/>
        <w:pict>
          <v:shape id="Text Box 579" o:spid="_x0000_s1068" type="#_x0000_t202" style="position:absolute;margin-left:-63.3pt;margin-top:-50.95pt;width:186.05pt;height:76.7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U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" filled="f" stroked="f">
            <v:textbox>
              <w:txbxContent>
                <w:p w:rsidR="0061071A" w:rsidRDefault="0061071A" w:rsidP="0097697A">
                  <w:pPr>
                    <w:spacing w:after="0"/>
                    <w:rPr>
                      <w:rFonts w:ascii="Adobe Gothic Std B" w:eastAsia="Adobe Gothic Std B" w:hAnsi="Adobe Gothic Std B" w:cs="Arial"/>
                      <w:b/>
                      <w:bCs/>
                      <w:color w:val="FFFFFF" w:themeColor="background1"/>
                      <w:sz w:val="24"/>
                      <w:szCs w:val="24"/>
                    </w:rPr>
                  </w:pPr>
                </w:p>
                <w:p w:rsidR="0061071A" w:rsidRPr="002E68BC" w:rsidRDefault="0061071A" w:rsidP="0097697A">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PART FOUR (cont.)</w:t>
                  </w:r>
                </w:p>
                <w:p w:rsidR="0061071A" w:rsidRPr="001C7CF3" w:rsidRDefault="0061071A" w:rsidP="0097697A">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59968"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group id="Group 577" o:spid="_x0000_s1081" style="position:absolute;margin-left:.05pt;margin-top:-46.2pt;width:202.5pt;height:76.55pt;z-index:-251532288;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">
            <v:shape id="Freeform 756" o:spid="_x0000_s1082"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e28QA&#10;AADcAAAADwAAAGRycy9kb3ducmV2LnhtbERPz2vCMBS+D/wfwhN2GTNVNh3VKEWQDQ9D7Q47Pppn&#10;2615KUlqq3+9OQx2/Ph+rzaDacSFnK8tK5hOEhDEhdU1lwq+8t3zGwgfkDU2lknBlTxs1qOHFaba&#10;9nykyymUIoawT1FBFUKbSumLigz6iW2JI3e2zmCI0JVSO+xjuGnkLEnm0mDNsaHClrYVFb+nzij4&#10;6fosP7zjMfnutm7/cnuaZvmnUo/jIVuCCDSEf/Gf+0MreF3EtfF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XtvEAAAA3A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384353" w:rsidRDefault="00E3331C">
      <w:r>
        <w:rPr>
          <w:noProof/>
          <w:lang w:eastAsia="en-AU"/>
        </w:rPr>
        <w:pict>
          <v:shape id="Text Box 580" o:spid="_x0000_s1069" type="#_x0000_t202" style="position:absolute;margin-left:29.2pt;margin-top:22.1pt;width:393.95pt;height:655.2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QG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" filled="f" stroked="f">
            <v:textbox>
              <w:txbxContent>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We agree with CAMAC’s conclusion that an issuer should be permitted to offer to the crowd more than the number of shares previously referred to in its offer document, provided that it discloses the adjusted maximum number of shares on offer under CSEF (within the cap) and the use of the additional proceeds that would be raised per a business plan. Whilst this will give some flexibility to issuers to raise funds in excess of an initial target where there is a stronger than anticipated level of crowd interest in the offer it does mean Issuers MUST have a minimum subscription amount being the minimum to achieve their objectives stated in the offer document and failing to reach Minimum Subscription will mean the company needs to refund application monies – similar to prospectus / SX companies today.</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p>
                <w:p w:rsidR="0061071A" w:rsidRPr="00AA60FC" w:rsidRDefault="0061071A" w:rsidP="0097697A">
                  <w:pPr>
                    <w:pStyle w:val="NoSpacing"/>
                    <w:jc w:val="both"/>
                    <w:rPr>
                      <w:rFonts w:ascii="Utsaah" w:hAnsi="Utsaah" w:cs="Utsaah"/>
                      <w:b/>
                      <w:color w:val="00B0F0"/>
                      <w:lang w:val="en-AU"/>
                    </w:rPr>
                  </w:pPr>
                  <w:r w:rsidRPr="00AA60FC">
                    <w:rPr>
                      <w:rFonts w:ascii="Utsaah" w:hAnsi="Utsaah" w:cs="Utsaah"/>
                      <w:b/>
                      <w:color w:val="00B0F0"/>
                      <w:lang w:val="en-AU"/>
                    </w:rPr>
                    <w:t xml:space="preserve">21. Do the issues outlined in this consultation paper also apply to crowd-sourced debt funding? Is there value in extending a CSEF regime to debt products? </w:t>
                  </w:r>
                </w:p>
                <w:p w:rsidR="0061071A" w:rsidRPr="0097697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 xml:space="preserve">No not in our opinion – debt funding is more complicated given the myriad ways of such debt and convertible debt instruments operate and it would not only be confusing to most CSEF investors it would open up a new legislative complexity that would be at odds at “keeping it simple” to the broader market. </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p>
                <w:p w:rsidR="0061071A" w:rsidRPr="00AA60FC" w:rsidRDefault="0061071A" w:rsidP="0097697A">
                  <w:pPr>
                    <w:pStyle w:val="NoSpacing"/>
                    <w:jc w:val="both"/>
                    <w:rPr>
                      <w:rFonts w:ascii="Utsaah" w:hAnsi="Utsaah" w:cs="Utsaah"/>
                      <w:b/>
                      <w:color w:val="00B0F0"/>
                      <w:lang w:val="en-AU"/>
                    </w:rPr>
                  </w:pPr>
                  <w:r w:rsidRPr="00AA60FC">
                    <w:rPr>
                      <w:rFonts w:ascii="Utsaah" w:hAnsi="Utsaah" w:cs="Utsaah"/>
                      <w:b/>
                      <w:color w:val="00B0F0"/>
                      <w:lang w:val="en-AU"/>
                    </w:rPr>
                    <w:t xml:space="preserve">22. To what extent would the frameworks for equity proposed in this discussion paper be consistent with debt products? </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Not at all – for small retail investors there must be a simple yet rigorous model operating- debt products can conflict with bank debt / security arrangements and it would be too complicated in our opinion to allow Issuers to offer debt products to CSEF subscribers.</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AA60FC" w:rsidRDefault="0061071A" w:rsidP="0097697A">
                  <w:pPr>
                    <w:pStyle w:val="NoSpacing"/>
                    <w:jc w:val="both"/>
                    <w:rPr>
                      <w:rFonts w:ascii="Utsaah" w:hAnsi="Utsaah" w:cs="Utsaah"/>
                      <w:b/>
                      <w:color w:val="00B0F0"/>
                      <w:lang w:val="en-AU"/>
                    </w:rPr>
                  </w:pPr>
                  <w:r w:rsidRPr="00AA60FC">
                    <w:rPr>
                      <w:rFonts w:ascii="Utsaah" w:hAnsi="Utsaah" w:cs="Utsaah"/>
                      <w:b/>
                      <w:color w:val="00B0F0"/>
                      <w:lang w:val="en-AU"/>
                    </w:rPr>
                    <w:t xml:space="preserve">23. Would any of the options discussed in this paper, or any other issues, impede the development of a secondary market for CSEF securities? </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Not at all – we support a movement towards a formal Junior Market in this country – the “NASDAQ of Australia” and that should be an objective of the government as part of the CSEF regime.</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AA60FC" w:rsidRDefault="0061071A" w:rsidP="0097697A">
                  <w:pPr>
                    <w:pStyle w:val="NoSpacing"/>
                    <w:jc w:val="both"/>
                    <w:rPr>
                      <w:rFonts w:ascii="Utsaah" w:hAnsi="Utsaah" w:cs="Utsaah"/>
                      <w:b/>
                      <w:color w:val="4A442A" w:themeColor="background2" w:themeShade="40"/>
                      <w:lang w:val="en-AU"/>
                    </w:rPr>
                  </w:pPr>
                  <w:r w:rsidRPr="00AA60FC">
                    <w:rPr>
                      <w:rFonts w:ascii="Utsaah" w:hAnsi="Utsaah" w:cs="Utsaah"/>
                      <w:b/>
                      <w:color w:val="4A442A" w:themeColor="background2" w:themeShade="40"/>
                      <w:lang w:val="en-AU"/>
                    </w:rPr>
                    <w:t>Conclusion</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In conclusion we trust this paper assist</w:t>
                  </w:r>
                  <w:r>
                    <w:rPr>
                      <w:rFonts w:ascii="Utsaah" w:hAnsi="Utsaah" w:cs="Utsaah"/>
                      <w:color w:val="4A442A" w:themeColor="background2" w:themeShade="40"/>
                      <w:lang w:val="en-AU"/>
                    </w:rPr>
                    <w:t>s</w:t>
                  </w:r>
                  <w:r w:rsidRPr="0097697A">
                    <w:rPr>
                      <w:rFonts w:ascii="Utsaah" w:hAnsi="Utsaah" w:cs="Utsaah"/>
                      <w:color w:val="4A442A" w:themeColor="background2" w:themeShade="40"/>
                      <w:lang w:val="en-AU"/>
                    </w:rPr>
                    <w:t xml:space="preserve"> the government is assessing the best way forward for CSEF and we look forward to providing any further input as and when required.</w:t>
                  </w:r>
                </w:p>
                <w:p w:rsidR="0061071A" w:rsidRPr="0097697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Please refer o/page for the two Tables to be read in conjunction with this paper.</w:t>
                  </w:r>
                </w:p>
                <w:p w:rsidR="0061071A" w:rsidRPr="0097697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We would like to thank the board of Fat Hen and the many people who contributed the</w:t>
                  </w:r>
                  <w:r>
                    <w:rPr>
                      <w:rFonts w:ascii="Utsaah" w:hAnsi="Utsaah" w:cs="Utsaah"/>
                      <w:color w:val="4A442A" w:themeColor="background2" w:themeShade="40"/>
                      <w:lang w:val="en-AU"/>
                    </w:rPr>
                    <w:t>ir time and input to this paper.</w:t>
                  </w:r>
                </w:p>
                <w:p w:rsidR="0061071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Yours sincerely</w:t>
                  </w:r>
                  <w:r>
                    <w:rPr>
                      <w:rFonts w:ascii="Utsaah" w:hAnsi="Utsaah" w:cs="Utsaah"/>
                      <w:color w:val="4A442A" w:themeColor="background2" w:themeShade="40"/>
                      <w:lang w:val="en-AU"/>
                    </w:rPr>
                    <w:t>,</w:t>
                  </w:r>
                </w:p>
                <w:p w:rsidR="0061071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p>
                <w:p w:rsidR="0061071A" w:rsidRDefault="0061071A" w:rsidP="0097697A">
                  <w:pPr>
                    <w:pStyle w:val="NoSpacing"/>
                    <w:jc w:val="both"/>
                    <w:rPr>
                      <w:rFonts w:ascii="Utsaah" w:hAnsi="Utsaah" w:cs="Utsaah"/>
                      <w:color w:val="4A442A" w:themeColor="background2" w:themeShade="40"/>
                      <w:lang w:val="en-AU"/>
                    </w:rPr>
                  </w:pPr>
                </w:p>
                <w:p w:rsidR="0061071A" w:rsidRPr="0097697A" w:rsidRDefault="0061071A" w:rsidP="0097697A">
                  <w:pPr>
                    <w:pStyle w:val="NoSpacing"/>
                    <w:jc w:val="both"/>
                    <w:rPr>
                      <w:rFonts w:ascii="Utsaah" w:hAnsi="Utsaah" w:cs="Utsaah"/>
                      <w:color w:val="4A442A" w:themeColor="background2" w:themeShade="40"/>
                      <w:lang w:val="en-AU"/>
                    </w:rPr>
                  </w:pPr>
                  <w:r>
                    <w:rPr>
                      <w:rFonts w:ascii="Utsaah" w:hAnsi="Utsaah" w:cs="Utsaah"/>
                      <w:color w:val="4A442A" w:themeColor="background2" w:themeShade="40"/>
                      <w:lang w:val="en-AU"/>
                    </w:rPr>
                    <w:t>Jeffrey Broun</w:t>
                  </w:r>
                  <w:r>
                    <w:rPr>
                      <w:rFonts w:ascii="Utsaah" w:hAnsi="Utsaah" w:cs="Utsaah"/>
                      <w:color w:val="4A442A" w:themeColor="background2" w:themeShade="40"/>
                      <w:lang w:val="en-AU"/>
                    </w:rPr>
                    <w:tab/>
                  </w:r>
                  <w:r>
                    <w:rPr>
                      <w:rFonts w:ascii="Utsaah" w:hAnsi="Utsaah" w:cs="Utsaah"/>
                      <w:color w:val="4A442A" w:themeColor="background2" w:themeShade="40"/>
                      <w:lang w:val="en-AU"/>
                    </w:rPr>
                    <w:tab/>
                  </w:r>
                  <w:r>
                    <w:rPr>
                      <w:rFonts w:ascii="Utsaah" w:hAnsi="Utsaah" w:cs="Utsaah"/>
                      <w:color w:val="4A442A" w:themeColor="background2" w:themeShade="40"/>
                      <w:lang w:val="en-AU"/>
                    </w:rPr>
                    <w:tab/>
                  </w:r>
                  <w:r>
                    <w:rPr>
                      <w:rFonts w:ascii="Utsaah" w:hAnsi="Utsaah" w:cs="Utsaah"/>
                      <w:color w:val="4A442A" w:themeColor="background2" w:themeShade="40"/>
                      <w:lang w:val="en-AU"/>
                    </w:rPr>
                    <w:tab/>
                  </w:r>
                  <w:r>
                    <w:rPr>
                      <w:rFonts w:ascii="Utsaah" w:hAnsi="Utsaah" w:cs="Utsaah"/>
                      <w:color w:val="4A442A" w:themeColor="background2" w:themeShade="40"/>
                      <w:lang w:val="en-AU"/>
                    </w:rPr>
                    <w:tab/>
                  </w:r>
                  <w:r w:rsidRPr="0097697A">
                    <w:rPr>
                      <w:rFonts w:ascii="Utsaah" w:hAnsi="Utsaah" w:cs="Utsaah"/>
                      <w:color w:val="4A442A" w:themeColor="background2" w:themeShade="40"/>
                      <w:lang w:val="en-AU"/>
                    </w:rPr>
                    <w:t xml:space="preserve">Rajab </w:t>
                  </w:r>
                  <w:proofErr w:type="spellStart"/>
                  <w:r w:rsidRPr="0097697A">
                    <w:rPr>
                      <w:rFonts w:ascii="Utsaah" w:hAnsi="Utsaah" w:cs="Utsaah"/>
                      <w:color w:val="4A442A" w:themeColor="background2" w:themeShade="40"/>
                      <w:lang w:val="en-AU"/>
                    </w:rPr>
                    <w:t>Karume</w:t>
                  </w:r>
                  <w:proofErr w:type="spellEnd"/>
                </w:p>
                <w:p w:rsidR="0061071A" w:rsidRPr="00454D23" w:rsidRDefault="0061071A" w:rsidP="0097697A">
                  <w:pPr>
                    <w:pStyle w:val="NoSpacing"/>
                    <w:jc w:val="both"/>
                    <w:rPr>
                      <w:rFonts w:ascii="Utsaah" w:hAnsi="Utsaah" w:cs="Utsaah"/>
                      <w:color w:val="4A442A" w:themeColor="background2" w:themeShade="40"/>
                      <w:lang w:val="en-AU"/>
                    </w:rPr>
                  </w:pPr>
                  <w:r w:rsidRPr="0097697A">
                    <w:rPr>
                      <w:rFonts w:ascii="Utsaah" w:hAnsi="Utsaah" w:cs="Utsaah"/>
                      <w:color w:val="4A442A" w:themeColor="background2" w:themeShade="40"/>
                      <w:lang w:val="en-AU"/>
                    </w:rPr>
                    <w:t>Director</w:t>
                  </w:r>
                  <w:r w:rsidRPr="0097697A">
                    <w:rPr>
                      <w:rFonts w:ascii="Utsaah" w:hAnsi="Utsaah" w:cs="Utsaah"/>
                      <w:color w:val="4A442A" w:themeColor="background2" w:themeShade="40"/>
                      <w:lang w:val="en-AU"/>
                    </w:rPr>
                    <w:tab/>
                  </w:r>
                  <w:r w:rsidRPr="0097697A">
                    <w:rPr>
                      <w:rFonts w:ascii="Utsaah" w:hAnsi="Utsaah" w:cs="Utsaah"/>
                      <w:color w:val="4A442A" w:themeColor="background2" w:themeShade="40"/>
                      <w:lang w:val="en-AU"/>
                    </w:rPr>
                    <w:tab/>
                  </w:r>
                  <w:r w:rsidRPr="0097697A">
                    <w:rPr>
                      <w:rFonts w:ascii="Utsaah" w:hAnsi="Utsaah" w:cs="Utsaah"/>
                      <w:color w:val="4A442A" w:themeColor="background2" w:themeShade="40"/>
                      <w:lang w:val="en-AU"/>
                    </w:rPr>
                    <w:tab/>
                  </w:r>
                  <w:r w:rsidRPr="0097697A">
                    <w:rPr>
                      <w:rFonts w:ascii="Utsaah" w:hAnsi="Utsaah" w:cs="Utsaah"/>
                      <w:color w:val="4A442A" w:themeColor="background2" w:themeShade="40"/>
                      <w:lang w:val="en-AU"/>
                    </w:rPr>
                    <w:tab/>
                  </w:r>
                  <w:r w:rsidRPr="0097697A">
                    <w:rPr>
                      <w:rFonts w:ascii="Utsaah" w:hAnsi="Utsaah" w:cs="Utsaah"/>
                      <w:color w:val="4A442A" w:themeColor="background2" w:themeShade="40"/>
                      <w:lang w:val="en-AU"/>
                    </w:rPr>
                    <w:tab/>
                  </w:r>
                  <w:r w:rsidRPr="0097697A">
                    <w:rPr>
                      <w:rFonts w:ascii="Utsaah" w:hAnsi="Utsaah" w:cs="Utsaah"/>
                      <w:color w:val="4A442A" w:themeColor="background2" w:themeShade="40"/>
                      <w:lang w:val="en-AU"/>
                    </w:rPr>
                    <w:tab/>
                  </w:r>
                  <w:proofErr w:type="spellStart"/>
                  <w:r w:rsidRPr="0097697A">
                    <w:rPr>
                      <w:rFonts w:ascii="Utsaah" w:hAnsi="Utsaah" w:cs="Utsaah"/>
                      <w:color w:val="4A442A" w:themeColor="background2" w:themeShade="40"/>
                      <w:lang w:val="en-AU"/>
                    </w:rPr>
                    <w:t>Director</w:t>
                  </w:r>
                  <w:proofErr w:type="spellEnd"/>
                </w:p>
              </w:txbxContent>
            </v:textbox>
          </v:shape>
        </w:pict>
      </w:r>
    </w:p>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384353"/>
    <w:p w:rsidR="00384353" w:rsidRDefault="00D143D4">
      <w:r>
        <w:rPr>
          <w:noProof/>
          <w:lang w:eastAsia="en-AU"/>
        </w:rPr>
        <w:drawing>
          <wp:anchor distT="0" distB="0" distL="114300" distR="114300" simplePos="0" relativeHeight="251815936" behindDoc="0" locked="0" layoutInCell="1" allowOverlap="1">
            <wp:simplePos x="0" y="0"/>
            <wp:positionH relativeFrom="column">
              <wp:posOffset>2752725</wp:posOffset>
            </wp:positionH>
            <wp:positionV relativeFrom="paragraph">
              <wp:posOffset>179070</wp:posOffset>
            </wp:positionV>
            <wp:extent cx="1238250"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ab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533400"/>
                    </a:xfrm>
                    <a:prstGeom prst="rect">
                      <a:avLst/>
                    </a:prstGeom>
                  </pic:spPr>
                </pic:pic>
              </a:graphicData>
            </a:graphic>
          </wp:anchor>
        </w:drawing>
      </w:r>
      <w:r w:rsidR="00AA60FC" w:rsidRPr="00F93497">
        <w:rPr>
          <w:noProof/>
          <w:lang w:eastAsia="en-AU"/>
        </w:rPr>
        <w:drawing>
          <wp:anchor distT="0" distB="0" distL="114300" distR="114300" simplePos="0" relativeHeight="251794432" behindDoc="0" locked="0" layoutInCell="1" allowOverlap="1">
            <wp:simplePos x="0" y="0"/>
            <wp:positionH relativeFrom="column">
              <wp:posOffset>468043</wp:posOffset>
            </wp:positionH>
            <wp:positionV relativeFrom="paragraph">
              <wp:posOffset>88205</wp:posOffset>
            </wp:positionV>
            <wp:extent cx="868045" cy="676275"/>
            <wp:effectExtent l="0" t="0" r="8255" b="9525"/>
            <wp:wrapNone/>
            <wp:docPr id="586" name="Picture 2" descr="jbroun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roun_si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Lst>
                    </a:blip>
                    <a:srcRect/>
                    <a:stretch>
                      <a:fillRect/>
                    </a:stretch>
                  </pic:blipFill>
                  <pic:spPr bwMode="auto">
                    <a:xfrm>
                      <a:off x="0" y="0"/>
                      <a:ext cx="868045" cy="676275"/>
                    </a:xfrm>
                    <a:prstGeom prst="rect">
                      <a:avLst/>
                    </a:prstGeom>
                    <a:noFill/>
                    <a:ln w="9525">
                      <a:noFill/>
                      <a:miter lim="800000"/>
                      <a:headEnd/>
                      <a:tailEnd/>
                    </a:ln>
                  </pic:spPr>
                </pic:pic>
              </a:graphicData>
            </a:graphic>
          </wp:anchor>
        </w:drawing>
      </w:r>
    </w:p>
    <w:p w:rsidR="00384353" w:rsidRDefault="00384353"/>
    <w:p w:rsidR="00384353" w:rsidRDefault="00384353"/>
    <w:p w:rsidR="00384353" w:rsidRDefault="00384353"/>
    <w:p w:rsidR="00384353" w:rsidRDefault="00E3331C">
      <w:r>
        <w:rPr>
          <w:noProof/>
          <w:lang w:eastAsia="en-AU"/>
        </w:rPr>
        <w:lastRenderedPageBreak/>
        <w:pict>
          <v:shape id="Text Box 583" o:spid="_x0000_s1071" type="#_x0000_t202" style="position:absolute;margin-left:-63.55pt;margin-top:-49.7pt;width:186.05pt;height:76.7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" filled="f" stroked="f">
            <v:textbox>
              <w:txbxContent>
                <w:p w:rsidR="0061071A" w:rsidRDefault="0061071A" w:rsidP="0097697A">
                  <w:pPr>
                    <w:spacing w:after="0"/>
                    <w:rPr>
                      <w:rFonts w:ascii="Adobe Gothic Std B" w:eastAsia="Adobe Gothic Std B" w:hAnsi="Adobe Gothic Std B" w:cs="Arial"/>
                      <w:b/>
                      <w:bCs/>
                      <w:color w:val="FFFFFF" w:themeColor="background1"/>
                      <w:sz w:val="24"/>
                      <w:szCs w:val="24"/>
                    </w:rPr>
                  </w:pPr>
                </w:p>
                <w:p w:rsidR="0061071A" w:rsidRPr="002E68BC" w:rsidRDefault="0061071A" w:rsidP="0097697A">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ANNEXURES</w:t>
                  </w:r>
                </w:p>
                <w:p w:rsidR="0061071A" w:rsidRPr="001C7CF3" w:rsidRDefault="0061071A" w:rsidP="0097697A">
                  <w:pPr>
                    <w:spacing w:after="0"/>
                    <w:rPr>
                      <w:rFonts w:ascii="Utsaah" w:hAnsi="Utsaah" w:cs="Utsaah"/>
                      <w:color w:val="4A442A" w:themeColor="background2" w:themeShade="40"/>
                      <w:sz w:val="16"/>
                      <w:szCs w:val="16"/>
                    </w:rPr>
                  </w:pPr>
                </w:p>
              </w:txbxContent>
            </v:textbox>
          </v:shape>
        </w:pict>
      </w:r>
      <w:r w:rsidR="005D4891">
        <w:rPr>
          <w:noProof/>
          <w:lang w:eastAsia="en-AU"/>
        </w:rPr>
        <w:drawing>
          <wp:anchor distT="0" distB="0" distL="114300" distR="114300" simplePos="0" relativeHeight="251862016"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rPr>
          <w:noProof/>
          <w:lang w:eastAsia="en-AU"/>
        </w:rPr>
        <w:pict>
          <v:shape id="Text Box 584" o:spid="_x0000_s1070" type="#_x0000_t202" style="position:absolute;margin-left:109.15pt;margin-top:-21.75pt;width:393.95pt;height:23.05pt;z-index:251792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2kug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" filled="f" stroked="f">
            <v:textbox>
              <w:txbxContent>
                <w:p w:rsidR="0061071A" w:rsidRPr="00B7503D" w:rsidRDefault="0061071A" w:rsidP="00B7503D">
                  <w:pPr>
                    <w:pStyle w:val="NoSpacing"/>
                    <w:jc w:val="center"/>
                    <w:rPr>
                      <w:rFonts w:ascii="Adobe Gothic Std B" w:eastAsia="Adobe Gothic Std B" w:hAnsi="Adobe Gothic Std B" w:cs="Utsaah"/>
                      <w:color w:val="00B0F0"/>
                      <w:lang w:val="en-AU"/>
                    </w:rPr>
                  </w:pPr>
                  <w:r w:rsidRPr="00B62144">
                    <w:rPr>
                      <w:rFonts w:ascii="Adobe Gothic Std B" w:eastAsia="Adobe Gothic Std B" w:hAnsi="Adobe Gothic Std B" w:cs="Utsaah"/>
                      <w:color w:val="00B0F0"/>
                      <w:lang w:val="en-AU"/>
                    </w:rPr>
                    <w:t>Table 1: CAMAC &amp; NZ &amp; Fat Hen comparisons</w:t>
                  </w:r>
                </w:p>
              </w:txbxContent>
            </v:textbox>
          </v:shape>
        </w:pict>
      </w:r>
      <w:r>
        <w:rPr>
          <w:noProof/>
          <w:lang w:eastAsia="en-AU"/>
        </w:rPr>
        <w:pict>
          <v:group id="Group 581" o:spid="_x0000_s1079" style="position:absolute;margin-left:-.3pt;margin-top:-46.45pt;width:202.5pt;height:76.55pt;z-index:-251527168;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">
            <v:shape id="Freeform 756" o:spid="_x0000_s1080"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ZFscA&#10;AADcAAAADwAAAGRycy9kb3ducmV2LnhtbESPQWvCQBSE70L/w/IKvUjdKK1IdJUglBYPUo2HHh/Z&#10;Z5I2+zbsbkzsr3cLBY/DzHzDrDaDacSFnK8tK5hOEhDEhdU1lwpO+dvzAoQPyBoby6TgSh4264fR&#10;ClNtez7Q5RhKESHsU1RQhdCmUvqiIoN+Ylvi6J2tMxiidKXUDvsIN42cJclcGqw5LlTY0rai4ufY&#10;GQXfXZ/ln+94SL66rdu9/I6nWb5X6ulxyJYgAg3hHv5vf2gFr4sZ/J2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9GRbHAAAA3AAAAA8AAAAAAAAAAAAAAAAAmAIAAGRy&#10;cy9kb3ducmV2LnhtbFBLBQYAAAAABAAEAPUAAACM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tbl>
      <w:tblPr>
        <w:tblpPr w:leftFromText="180" w:rightFromText="180" w:vertAnchor="text" w:horzAnchor="margin" w:tblpY="417"/>
        <w:tblW w:w="9356"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Look w:val="0000" w:firstRow="0" w:lastRow="0" w:firstColumn="0" w:lastColumn="0" w:noHBand="0" w:noVBand="0"/>
      </w:tblPr>
      <w:tblGrid>
        <w:gridCol w:w="1809"/>
        <w:gridCol w:w="2694"/>
        <w:gridCol w:w="1984"/>
        <w:gridCol w:w="2869"/>
      </w:tblGrid>
      <w:tr w:rsidR="0060217F" w:rsidTr="0060217F">
        <w:trPr>
          <w:trHeight w:val="181"/>
        </w:trPr>
        <w:tc>
          <w:tcPr>
            <w:tcW w:w="1809" w:type="dxa"/>
            <w:shd w:val="clear" w:color="auto" w:fill="00B0F0"/>
          </w:tcPr>
          <w:p w:rsidR="0060217F" w:rsidRPr="0060217F" w:rsidRDefault="0060217F" w:rsidP="0060217F">
            <w:pPr>
              <w:pStyle w:val="Default"/>
              <w:rPr>
                <w:rFonts w:ascii="Utsaah" w:hAnsi="Utsaah" w:cs="Utsaah"/>
                <w:color w:val="FFFFFF" w:themeColor="background1"/>
                <w:sz w:val="20"/>
                <w:szCs w:val="20"/>
              </w:rPr>
            </w:pPr>
            <w:r w:rsidRPr="0060217F">
              <w:rPr>
                <w:rFonts w:ascii="Utsaah" w:hAnsi="Utsaah" w:cs="Utsaah"/>
                <w:b/>
                <w:bCs/>
                <w:color w:val="FFFFFF" w:themeColor="background1"/>
                <w:sz w:val="20"/>
                <w:szCs w:val="20"/>
              </w:rPr>
              <w:t xml:space="preserve">Table 1: CAMAC + NZ + Fat Hen  comparison </w:t>
            </w:r>
          </w:p>
        </w:tc>
        <w:tc>
          <w:tcPr>
            <w:tcW w:w="2694" w:type="dxa"/>
            <w:shd w:val="clear" w:color="auto" w:fill="00B0F0"/>
          </w:tcPr>
          <w:p w:rsidR="0060217F" w:rsidRPr="0060217F" w:rsidRDefault="0060217F" w:rsidP="0060217F">
            <w:pPr>
              <w:pStyle w:val="Default"/>
              <w:jc w:val="center"/>
              <w:rPr>
                <w:rFonts w:ascii="Utsaah" w:hAnsi="Utsaah" w:cs="Utsaah"/>
                <w:color w:val="FFFFFF" w:themeColor="background1"/>
                <w:sz w:val="20"/>
                <w:szCs w:val="20"/>
              </w:rPr>
            </w:pPr>
            <w:r w:rsidRPr="0060217F">
              <w:rPr>
                <w:rFonts w:ascii="Utsaah" w:hAnsi="Utsaah" w:cs="Utsaah"/>
                <w:b/>
                <w:bCs/>
                <w:color w:val="FFFFFF" w:themeColor="background1"/>
                <w:sz w:val="20"/>
                <w:szCs w:val="20"/>
              </w:rPr>
              <w:t>CAMAC model</w:t>
            </w:r>
          </w:p>
        </w:tc>
        <w:tc>
          <w:tcPr>
            <w:tcW w:w="1984" w:type="dxa"/>
            <w:shd w:val="clear" w:color="auto" w:fill="00B0F0"/>
          </w:tcPr>
          <w:p w:rsidR="0060217F" w:rsidRPr="0060217F" w:rsidRDefault="0060217F" w:rsidP="0060217F">
            <w:pPr>
              <w:pStyle w:val="Default"/>
              <w:jc w:val="center"/>
              <w:rPr>
                <w:rFonts w:ascii="Utsaah" w:hAnsi="Utsaah" w:cs="Utsaah"/>
                <w:color w:val="FFFFFF" w:themeColor="background1"/>
                <w:sz w:val="20"/>
                <w:szCs w:val="20"/>
              </w:rPr>
            </w:pPr>
            <w:r w:rsidRPr="0060217F">
              <w:rPr>
                <w:rFonts w:ascii="Utsaah" w:hAnsi="Utsaah" w:cs="Utsaah"/>
                <w:b/>
                <w:bCs/>
                <w:color w:val="FFFFFF" w:themeColor="background1"/>
                <w:sz w:val="20"/>
                <w:szCs w:val="20"/>
              </w:rPr>
              <w:t>New Zealand model</w:t>
            </w:r>
          </w:p>
        </w:tc>
        <w:tc>
          <w:tcPr>
            <w:tcW w:w="2869" w:type="dxa"/>
            <w:shd w:val="clear" w:color="auto" w:fill="00B0F0"/>
          </w:tcPr>
          <w:p w:rsidR="0060217F" w:rsidRPr="0060217F" w:rsidRDefault="0060217F" w:rsidP="0060217F">
            <w:pPr>
              <w:pStyle w:val="Default"/>
              <w:jc w:val="center"/>
              <w:rPr>
                <w:rFonts w:ascii="Utsaah" w:hAnsi="Utsaah" w:cs="Utsaah"/>
                <w:b/>
                <w:bCs/>
                <w:color w:val="FFFFFF" w:themeColor="background1"/>
                <w:sz w:val="20"/>
                <w:szCs w:val="20"/>
              </w:rPr>
            </w:pPr>
            <w:r w:rsidRPr="0060217F">
              <w:rPr>
                <w:rFonts w:ascii="Utsaah" w:hAnsi="Utsaah" w:cs="Utsaah"/>
                <w:b/>
                <w:bCs/>
                <w:color w:val="FFFFFF" w:themeColor="background1"/>
                <w:sz w:val="20"/>
                <w:szCs w:val="20"/>
              </w:rPr>
              <w:t>Fat Hen model</w:t>
            </w:r>
          </w:p>
        </w:tc>
      </w:tr>
      <w:tr w:rsidR="0060217F" w:rsidTr="0060217F">
        <w:trPr>
          <w:trHeight w:val="181"/>
        </w:trPr>
        <w:tc>
          <w:tcPr>
            <w:tcW w:w="6487" w:type="dxa"/>
            <w:gridSpan w:val="3"/>
          </w:tcPr>
          <w:p w:rsidR="0060217F" w:rsidRPr="0060217F" w:rsidRDefault="0060217F" w:rsidP="0060217F">
            <w:pPr>
              <w:pStyle w:val="Default"/>
              <w:rPr>
                <w:rFonts w:ascii="Utsaah" w:hAnsi="Utsaah" w:cs="Utsaah"/>
                <w:color w:val="4A442A" w:themeColor="background2" w:themeShade="40"/>
                <w:sz w:val="20"/>
                <w:szCs w:val="20"/>
              </w:rPr>
            </w:pPr>
            <w:r w:rsidRPr="0060217F">
              <w:rPr>
                <w:rFonts w:ascii="Utsaah" w:hAnsi="Utsaah" w:cs="Utsaah"/>
                <w:b/>
                <w:bCs/>
                <w:color w:val="4A442A" w:themeColor="background2" w:themeShade="40"/>
                <w:sz w:val="20"/>
                <w:szCs w:val="20"/>
              </w:rPr>
              <w:t xml:space="preserve">Issuers </w:t>
            </w:r>
          </w:p>
        </w:tc>
        <w:tc>
          <w:tcPr>
            <w:tcW w:w="2869" w:type="dxa"/>
          </w:tcPr>
          <w:p w:rsidR="0060217F" w:rsidRPr="0060217F" w:rsidRDefault="0060217F" w:rsidP="0060217F">
            <w:pPr>
              <w:pStyle w:val="Default"/>
              <w:rPr>
                <w:rFonts w:ascii="Utsaah" w:hAnsi="Utsaah" w:cs="Utsaah"/>
                <w:b/>
                <w:bCs/>
                <w:color w:val="4A442A" w:themeColor="background2" w:themeShade="40"/>
                <w:sz w:val="20"/>
                <w:szCs w:val="20"/>
              </w:rPr>
            </w:pPr>
          </w:p>
        </w:tc>
      </w:tr>
      <w:tr w:rsidR="0060217F" w:rsidTr="0060217F">
        <w:trPr>
          <w:trHeight w:val="611"/>
        </w:trPr>
        <w:tc>
          <w:tcPr>
            <w:tcW w:w="1809" w:type="dxa"/>
          </w:tcPr>
          <w:p w:rsidR="0060217F" w:rsidRPr="0060217F" w:rsidRDefault="0060217F" w:rsidP="0060217F">
            <w:pPr>
              <w:pStyle w:val="Default"/>
              <w:rPr>
                <w:rFonts w:ascii="Utsaah" w:hAnsi="Utsaah" w:cs="Utsaah"/>
                <w:b/>
                <w:color w:val="4A442A" w:themeColor="background2" w:themeShade="40"/>
                <w:sz w:val="20"/>
                <w:szCs w:val="20"/>
              </w:rPr>
            </w:pPr>
            <w:r w:rsidRPr="0060217F">
              <w:rPr>
                <w:rFonts w:ascii="Utsaah" w:hAnsi="Utsaah" w:cs="Utsaah"/>
                <w:b/>
                <w:color w:val="4A442A" w:themeColor="background2" w:themeShade="40"/>
                <w:sz w:val="20"/>
                <w:szCs w:val="20"/>
              </w:rPr>
              <w:t xml:space="preserve">Eligible issuers </w:t>
            </w:r>
          </w:p>
        </w:tc>
        <w:tc>
          <w:tcPr>
            <w:tcW w:w="269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Australian-incorporated issuers that must be either a public company or an exempt public company. </w:t>
            </w:r>
          </w:p>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Limited to certain small enterprises that have not raised funds under the existing public offer arrangements. </w:t>
            </w:r>
          </w:p>
        </w:tc>
        <w:tc>
          <w:tcPr>
            <w:tcW w:w="198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New Zealand-incorporated companies. </w:t>
            </w:r>
          </w:p>
        </w:tc>
        <w:tc>
          <w:tcPr>
            <w:tcW w:w="2869"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Two categories of Eligible Issuer:</w:t>
            </w:r>
          </w:p>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b/>
                <w:color w:val="4A442A" w:themeColor="background2" w:themeShade="40"/>
                <w:sz w:val="20"/>
                <w:szCs w:val="20"/>
              </w:rPr>
              <w:t>Emerging companies</w:t>
            </w:r>
            <w:r w:rsidRPr="0060217F">
              <w:rPr>
                <w:rFonts w:ascii="Utsaah" w:hAnsi="Utsaah" w:cs="Utsaah"/>
                <w:color w:val="4A442A" w:themeColor="background2" w:themeShade="40"/>
                <w:sz w:val="20"/>
                <w:szCs w:val="20"/>
              </w:rPr>
              <w:t xml:space="preserve"> defined as revenue in preceding 12 month period being &lt;$1m OR net profit </w:t>
            </w:r>
            <w:proofErr w:type="spellStart"/>
            <w:r w:rsidRPr="0060217F">
              <w:rPr>
                <w:rFonts w:ascii="Utsaah" w:hAnsi="Utsaah" w:cs="Utsaah"/>
                <w:color w:val="4A442A" w:themeColor="background2" w:themeShade="40"/>
                <w:sz w:val="20"/>
                <w:szCs w:val="20"/>
              </w:rPr>
              <w:t>bef</w:t>
            </w:r>
            <w:proofErr w:type="spellEnd"/>
            <w:r w:rsidRPr="0060217F">
              <w:rPr>
                <w:rFonts w:ascii="Utsaah" w:hAnsi="Utsaah" w:cs="Utsaah"/>
                <w:color w:val="4A442A" w:themeColor="background2" w:themeShade="40"/>
                <w:sz w:val="20"/>
                <w:szCs w:val="20"/>
              </w:rPr>
              <w:t xml:space="preserve"> tax of &lt; $250k</w:t>
            </w:r>
          </w:p>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b/>
                <w:color w:val="4A442A" w:themeColor="background2" w:themeShade="40"/>
                <w:sz w:val="20"/>
                <w:szCs w:val="20"/>
              </w:rPr>
              <w:t>Established companies</w:t>
            </w:r>
            <w:r w:rsidRPr="0060217F">
              <w:rPr>
                <w:rFonts w:ascii="Utsaah" w:hAnsi="Utsaah" w:cs="Utsaah"/>
                <w:color w:val="4A442A" w:themeColor="background2" w:themeShade="40"/>
                <w:sz w:val="20"/>
                <w:szCs w:val="20"/>
              </w:rPr>
              <w:t xml:space="preserve"> defined as revenue in preceding 12 month period being &gt;$1m AND net profit </w:t>
            </w:r>
            <w:proofErr w:type="spellStart"/>
            <w:r w:rsidRPr="0060217F">
              <w:rPr>
                <w:rFonts w:ascii="Utsaah" w:hAnsi="Utsaah" w:cs="Utsaah"/>
                <w:color w:val="4A442A" w:themeColor="background2" w:themeShade="40"/>
                <w:sz w:val="20"/>
                <w:szCs w:val="20"/>
              </w:rPr>
              <w:t>bef</w:t>
            </w:r>
            <w:proofErr w:type="spellEnd"/>
            <w:r w:rsidRPr="0060217F">
              <w:rPr>
                <w:rFonts w:ascii="Utsaah" w:hAnsi="Utsaah" w:cs="Utsaah"/>
                <w:color w:val="4A442A" w:themeColor="background2" w:themeShade="40"/>
                <w:sz w:val="20"/>
                <w:szCs w:val="20"/>
              </w:rPr>
              <w:t xml:space="preserve"> tax of &gt; $250k</w:t>
            </w:r>
          </w:p>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Must be public companies or exempt public companies - no other restriction re past offers.</w:t>
            </w:r>
          </w:p>
        </w:tc>
      </w:tr>
      <w:tr w:rsidR="0060217F" w:rsidTr="0060217F">
        <w:trPr>
          <w:trHeight w:val="806"/>
        </w:trPr>
        <w:tc>
          <w:tcPr>
            <w:tcW w:w="1809" w:type="dxa"/>
          </w:tcPr>
          <w:p w:rsidR="0060217F" w:rsidRPr="0060217F" w:rsidRDefault="0060217F" w:rsidP="0060217F">
            <w:pPr>
              <w:pStyle w:val="Default"/>
              <w:rPr>
                <w:rFonts w:ascii="Utsaah" w:hAnsi="Utsaah" w:cs="Utsaah"/>
                <w:b/>
                <w:color w:val="4A442A" w:themeColor="background2" w:themeShade="40"/>
                <w:sz w:val="20"/>
                <w:szCs w:val="20"/>
              </w:rPr>
            </w:pPr>
            <w:r w:rsidRPr="0060217F">
              <w:rPr>
                <w:rFonts w:ascii="Utsaah" w:hAnsi="Utsaah" w:cs="Utsaah"/>
                <w:b/>
                <w:color w:val="4A442A" w:themeColor="background2" w:themeShade="40"/>
                <w:sz w:val="20"/>
                <w:szCs w:val="20"/>
              </w:rPr>
              <w:t xml:space="preserve">Relief from public company compliance costs </w:t>
            </w:r>
          </w:p>
        </w:tc>
        <w:tc>
          <w:tcPr>
            <w:tcW w:w="269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Available to exempt public companies, with relief from a range of compliance requirements, including annual general meetings, and audit requirements (up to a certain threshold). </w:t>
            </w:r>
          </w:p>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Exempt status available for a period of up to three to five years, subject to turnover and capital thresholds. </w:t>
            </w:r>
          </w:p>
        </w:tc>
        <w:tc>
          <w:tcPr>
            <w:tcW w:w="198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No CSEF-specific exemptions. </w:t>
            </w:r>
          </w:p>
        </w:tc>
        <w:tc>
          <w:tcPr>
            <w:tcW w:w="2869"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b/>
                <w:color w:val="4A442A" w:themeColor="background2" w:themeShade="40"/>
                <w:sz w:val="20"/>
                <w:szCs w:val="20"/>
              </w:rPr>
              <w:t>Emerging companies</w:t>
            </w:r>
            <w:r w:rsidRPr="0060217F">
              <w:rPr>
                <w:rFonts w:ascii="Utsaah" w:hAnsi="Utsaah" w:cs="Utsaah"/>
                <w:color w:val="4A442A" w:themeColor="background2" w:themeShade="40"/>
                <w:sz w:val="20"/>
                <w:szCs w:val="20"/>
              </w:rPr>
              <w:t xml:space="preserve"> as per CAMAC – once an emerging company becomes an “established company” then they need to adopt normal public company reporting protocols</w:t>
            </w:r>
          </w:p>
          <w:p w:rsidR="0060217F" w:rsidRPr="0060217F" w:rsidRDefault="0060217F" w:rsidP="0060217F">
            <w:pPr>
              <w:pStyle w:val="Default"/>
              <w:jc w:val="both"/>
              <w:rPr>
                <w:rFonts w:ascii="Utsaah" w:hAnsi="Utsaah" w:cs="Utsaah"/>
                <w:color w:val="4A442A" w:themeColor="background2" w:themeShade="40"/>
                <w:sz w:val="20"/>
                <w:szCs w:val="20"/>
              </w:rPr>
            </w:pPr>
          </w:p>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b/>
                <w:color w:val="4A442A" w:themeColor="background2" w:themeShade="40"/>
                <w:sz w:val="20"/>
                <w:szCs w:val="20"/>
              </w:rPr>
              <w:t>Established companies</w:t>
            </w:r>
            <w:r w:rsidRPr="0060217F">
              <w:rPr>
                <w:rFonts w:ascii="Utsaah" w:hAnsi="Utsaah" w:cs="Utsaah"/>
                <w:color w:val="4A442A" w:themeColor="background2" w:themeShade="40"/>
                <w:sz w:val="20"/>
                <w:szCs w:val="20"/>
              </w:rPr>
              <w:t xml:space="preserve"> need to comply with normal public company requirements including auditor appointment</w:t>
            </w:r>
          </w:p>
        </w:tc>
      </w:tr>
      <w:tr w:rsidR="0060217F" w:rsidTr="0060217F">
        <w:trPr>
          <w:trHeight w:val="396"/>
        </w:trPr>
        <w:tc>
          <w:tcPr>
            <w:tcW w:w="1809" w:type="dxa"/>
          </w:tcPr>
          <w:p w:rsidR="0060217F" w:rsidRPr="0060217F" w:rsidRDefault="0060217F" w:rsidP="0060217F">
            <w:pPr>
              <w:pStyle w:val="Default"/>
              <w:rPr>
                <w:rFonts w:ascii="Utsaah" w:hAnsi="Utsaah" w:cs="Utsaah"/>
                <w:b/>
                <w:color w:val="4A442A" w:themeColor="background2" w:themeShade="40"/>
                <w:sz w:val="20"/>
                <w:szCs w:val="20"/>
              </w:rPr>
            </w:pPr>
            <w:r w:rsidRPr="0060217F">
              <w:rPr>
                <w:rFonts w:ascii="Utsaah" w:hAnsi="Utsaah" w:cs="Utsaah"/>
                <w:b/>
                <w:color w:val="4A442A" w:themeColor="background2" w:themeShade="40"/>
                <w:sz w:val="20"/>
                <w:szCs w:val="20"/>
              </w:rPr>
              <w:t xml:space="preserve">Maximum funds an issuer may raise </w:t>
            </w:r>
          </w:p>
        </w:tc>
        <w:tc>
          <w:tcPr>
            <w:tcW w:w="269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Cap of $2 million in any 12-month period, excluding funds raised under existing prospectus exemptions for wholesale investors. </w:t>
            </w:r>
          </w:p>
        </w:tc>
        <w:tc>
          <w:tcPr>
            <w:tcW w:w="198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Cap of $2 million in any 12-month period, excluding funds raised under existing prospectus exemptions for wholesale investors. </w:t>
            </w:r>
          </w:p>
        </w:tc>
        <w:tc>
          <w:tcPr>
            <w:tcW w:w="2869"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b/>
                <w:color w:val="4A442A" w:themeColor="background2" w:themeShade="40"/>
                <w:sz w:val="20"/>
                <w:szCs w:val="20"/>
              </w:rPr>
              <w:t>Emerging companies</w:t>
            </w:r>
            <w:r w:rsidRPr="0060217F">
              <w:rPr>
                <w:rFonts w:ascii="Utsaah" w:hAnsi="Utsaah" w:cs="Utsaah"/>
                <w:color w:val="4A442A" w:themeColor="background2" w:themeShade="40"/>
                <w:sz w:val="20"/>
                <w:szCs w:val="20"/>
              </w:rPr>
              <w:t xml:space="preserve"> - cap of $3 million in any 12-month period, </w:t>
            </w:r>
            <w:r w:rsidRPr="0060217F">
              <w:rPr>
                <w:rFonts w:ascii="Utsaah" w:hAnsi="Utsaah" w:cs="Utsaah"/>
                <w:color w:val="4A442A" w:themeColor="background2" w:themeShade="40"/>
                <w:sz w:val="20"/>
                <w:szCs w:val="20"/>
                <w:u w:val="single"/>
              </w:rPr>
              <w:t xml:space="preserve">excluding </w:t>
            </w:r>
            <w:r w:rsidRPr="0060217F">
              <w:rPr>
                <w:rFonts w:ascii="Utsaah" w:hAnsi="Utsaah" w:cs="Utsaah"/>
                <w:color w:val="4A442A" w:themeColor="background2" w:themeShade="40"/>
                <w:sz w:val="20"/>
                <w:szCs w:val="20"/>
              </w:rPr>
              <w:t>funds raised under existing prospectus exemptions for wholesale investors to a max of $5m in total.</w:t>
            </w:r>
          </w:p>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b/>
                <w:color w:val="4A442A" w:themeColor="background2" w:themeShade="40"/>
                <w:sz w:val="20"/>
                <w:szCs w:val="20"/>
              </w:rPr>
              <w:t>Established companies</w:t>
            </w:r>
            <w:r w:rsidRPr="0060217F">
              <w:rPr>
                <w:rFonts w:ascii="Utsaah" w:hAnsi="Utsaah" w:cs="Utsaah"/>
                <w:color w:val="4A442A" w:themeColor="background2" w:themeShade="40"/>
                <w:sz w:val="20"/>
                <w:szCs w:val="20"/>
              </w:rPr>
              <w:t xml:space="preserve"> - Cap of $5 million in any 12-month period</w:t>
            </w:r>
            <w:r w:rsidRPr="0060217F">
              <w:rPr>
                <w:rFonts w:ascii="Utsaah" w:hAnsi="Utsaah" w:cs="Utsaah"/>
                <w:color w:val="4A442A" w:themeColor="background2" w:themeShade="40"/>
                <w:sz w:val="20"/>
                <w:szCs w:val="20"/>
                <w:u w:val="single"/>
              </w:rPr>
              <w:t>, including</w:t>
            </w:r>
            <w:r w:rsidRPr="0060217F">
              <w:rPr>
                <w:rFonts w:ascii="Utsaah" w:hAnsi="Utsaah" w:cs="Utsaah"/>
                <w:color w:val="4A442A" w:themeColor="background2" w:themeShade="40"/>
                <w:sz w:val="20"/>
                <w:szCs w:val="20"/>
              </w:rPr>
              <w:t xml:space="preserve"> funds raised under existing prospectus exemptions for wholesale investors.</w:t>
            </w:r>
          </w:p>
          <w:p w:rsidR="0060217F" w:rsidRPr="0060217F" w:rsidRDefault="0060217F" w:rsidP="0060217F">
            <w:pPr>
              <w:pStyle w:val="Default"/>
              <w:jc w:val="both"/>
              <w:rPr>
                <w:rFonts w:ascii="Utsaah" w:hAnsi="Utsaah" w:cs="Utsaah"/>
                <w:color w:val="4A442A" w:themeColor="background2" w:themeShade="40"/>
                <w:sz w:val="20"/>
                <w:szCs w:val="20"/>
              </w:rPr>
            </w:pPr>
          </w:p>
        </w:tc>
      </w:tr>
      <w:tr w:rsidR="0060217F" w:rsidTr="0060217F">
        <w:trPr>
          <w:trHeight w:val="102"/>
        </w:trPr>
        <w:tc>
          <w:tcPr>
            <w:tcW w:w="1809" w:type="dxa"/>
          </w:tcPr>
          <w:p w:rsidR="0060217F" w:rsidRPr="0060217F" w:rsidRDefault="0060217F" w:rsidP="0060217F">
            <w:pPr>
              <w:pStyle w:val="Default"/>
              <w:rPr>
                <w:rFonts w:ascii="Utsaah" w:hAnsi="Utsaah" w:cs="Utsaah"/>
                <w:b/>
                <w:color w:val="4A442A" w:themeColor="background2" w:themeShade="40"/>
                <w:sz w:val="20"/>
                <w:szCs w:val="20"/>
              </w:rPr>
            </w:pPr>
            <w:r w:rsidRPr="0060217F">
              <w:rPr>
                <w:rFonts w:ascii="Utsaah" w:hAnsi="Utsaah" w:cs="Utsaah"/>
                <w:b/>
                <w:color w:val="4A442A" w:themeColor="background2" w:themeShade="40"/>
                <w:sz w:val="20"/>
                <w:szCs w:val="20"/>
              </w:rPr>
              <w:t xml:space="preserve">Permitted securities </w:t>
            </w:r>
          </w:p>
        </w:tc>
        <w:tc>
          <w:tcPr>
            <w:tcW w:w="269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One class of fully paid ordinary shares. </w:t>
            </w:r>
          </w:p>
        </w:tc>
        <w:tc>
          <w:tcPr>
            <w:tcW w:w="198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One class of fully paid ordinary shares. </w:t>
            </w:r>
          </w:p>
        </w:tc>
        <w:tc>
          <w:tcPr>
            <w:tcW w:w="2869"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One class of fully paid ordinary shares.</w:t>
            </w:r>
          </w:p>
        </w:tc>
      </w:tr>
      <w:tr w:rsidR="0060217F" w:rsidTr="0060217F">
        <w:trPr>
          <w:trHeight w:val="590"/>
        </w:trPr>
        <w:tc>
          <w:tcPr>
            <w:tcW w:w="1809" w:type="dxa"/>
          </w:tcPr>
          <w:p w:rsidR="0060217F" w:rsidRPr="0060217F" w:rsidRDefault="0060217F" w:rsidP="0060217F">
            <w:pPr>
              <w:pStyle w:val="Default"/>
              <w:rPr>
                <w:rFonts w:ascii="Utsaah" w:hAnsi="Utsaah" w:cs="Utsaah"/>
                <w:b/>
                <w:color w:val="4A442A" w:themeColor="background2" w:themeShade="40"/>
                <w:sz w:val="20"/>
                <w:szCs w:val="20"/>
              </w:rPr>
            </w:pPr>
            <w:r w:rsidRPr="0060217F">
              <w:rPr>
                <w:rFonts w:ascii="Utsaah" w:hAnsi="Utsaah" w:cs="Utsaah"/>
                <w:b/>
                <w:color w:val="4A442A" w:themeColor="background2" w:themeShade="40"/>
                <w:sz w:val="20"/>
                <w:szCs w:val="20"/>
              </w:rPr>
              <w:t xml:space="preserve">Disclosure requirements </w:t>
            </w:r>
          </w:p>
        </w:tc>
        <w:tc>
          <w:tcPr>
            <w:tcW w:w="269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Reduced disclosure requirements, including a template disclosure document. </w:t>
            </w:r>
          </w:p>
        </w:tc>
        <w:tc>
          <w:tcPr>
            <w:tcW w:w="198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Minimum disclosure requirements, with issuers and intermediaries to have in place arrangements to provide greater disclosure where there are no or high voluntary investor caps or the issuer is seeking to raise significant funds. </w:t>
            </w:r>
          </w:p>
        </w:tc>
        <w:tc>
          <w:tcPr>
            <w:tcW w:w="2869"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Prescribed (but reduced) disclosure requirements, including a template disclosure document and Approved Platform Operator (APO) prefacing document with Key Information Page (KIP) with mandatory matters to be included in KIP by APO.</w:t>
            </w:r>
          </w:p>
        </w:tc>
      </w:tr>
      <w:tr w:rsidR="0060217F" w:rsidTr="0060217F">
        <w:trPr>
          <w:trHeight w:val="590"/>
        </w:trPr>
        <w:tc>
          <w:tcPr>
            <w:tcW w:w="1809" w:type="dxa"/>
          </w:tcPr>
          <w:p w:rsidR="0060217F" w:rsidRPr="0060217F" w:rsidRDefault="0060217F" w:rsidP="0060217F">
            <w:pPr>
              <w:pStyle w:val="Default"/>
              <w:rPr>
                <w:rFonts w:ascii="Utsaah" w:hAnsi="Utsaah" w:cs="Utsaah"/>
                <w:b/>
                <w:color w:val="4A442A" w:themeColor="background2" w:themeShade="40"/>
                <w:sz w:val="20"/>
                <w:szCs w:val="20"/>
              </w:rPr>
            </w:pPr>
            <w:r w:rsidRPr="0060217F">
              <w:rPr>
                <w:rFonts w:ascii="Utsaah" w:hAnsi="Utsaah" w:cs="Utsaah"/>
                <w:b/>
                <w:color w:val="4A442A" w:themeColor="background2" w:themeShade="40"/>
                <w:sz w:val="20"/>
                <w:szCs w:val="20"/>
              </w:rPr>
              <w:t xml:space="preserve">Reporting requirements to investors / shareholders </w:t>
            </w:r>
          </w:p>
        </w:tc>
        <w:tc>
          <w:tcPr>
            <w:tcW w:w="269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Not fully specified </w:t>
            </w:r>
          </w:p>
        </w:tc>
        <w:tc>
          <w:tcPr>
            <w:tcW w:w="1984"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Not fully specified </w:t>
            </w:r>
          </w:p>
        </w:tc>
        <w:tc>
          <w:tcPr>
            <w:tcW w:w="2869" w:type="dxa"/>
          </w:tcPr>
          <w:p w:rsidR="0060217F" w:rsidRPr="0060217F" w:rsidRDefault="0060217F" w:rsidP="0060217F">
            <w:pPr>
              <w:pStyle w:val="Default"/>
              <w:jc w:val="both"/>
              <w:rPr>
                <w:rFonts w:ascii="Utsaah" w:hAnsi="Utsaah" w:cs="Utsaah"/>
                <w:color w:val="4A442A" w:themeColor="background2" w:themeShade="40"/>
                <w:sz w:val="20"/>
                <w:szCs w:val="20"/>
              </w:rPr>
            </w:pPr>
            <w:r w:rsidRPr="0060217F">
              <w:rPr>
                <w:rFonts w:ascii="Utsaah" w:hAnsi="Utsaah" w:cs="Utsaah"/>
                <w:color w:val="4A442A" w:themeColor="background2" w:themeShade="40"/>
                <w:sz w:val="20"/>
                <w:szCs w:val="20"/>
              </w:rPr>
              <w:t xml:space="preserve">Emerging companies and established companies to provide investors / all shareholders with regular reports on status of company, material events (good and bad), new issues, quarterly cash flow report, annual report, change of directors </w:t>
            </w:r>
            <w:proofErr w:type="spellStart"/>
            <w:r w:rsidRPr="0060217F">
              <w:rPr>
                <w:rFonts w:ascii="Utsaah" w:hAnsi="Utsaah" w:cs="Utsaah"/>
                <w:color w:val="4A442A" w:themeColor="background2" w:themeShade="40"/>
                <w:sz w:val="20"/>
                <w:szCs w:val="20"/>
              </w:rPr>
              <w:t>etc</w:t>
            </w:r>
            <w:proofErr w:type="spellEnd"/>
            <w:r w:rsidRPr="0060217F">
              <w:rPr>
                <w:rFonts w:ascii="Utsaah" w:hAnsi="Utsaah" w:cs="Utsaah"/>
                <w:color w:val="4A442A" w:themeColor="background2" w:themeShade="40"/>
                <w:sz w:val="20"/>
                <w:szCs w:val="20"/>
              </w:rPr>
              <w:t xml:space="preserve"> – similar to ASX listed companies – APO to use best endeavours to ensure the Issuer complies – non-compliance, APO to inform ASIC or CSEF license authority.  </w:t>
            </w:r>
          </w:p>
        </w:tc>
      </w:tr>
    </w:tbl>
    <w:tbl>
      <w:tblPr>
        <w:tblpPr w:leftFromText="180" w:rightFromText="180" w:vertAnchor="text" w:horzAnchor="margin" w:tblpXSpec="center" w:tblpY="-194"/>
        <w:tblW w:w="10031" w:type="dxa"/>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Layout w:type="fixed"/>
        <w:tblLook w:val="0000" w:firstRow="0" w:lastRow="0" w:firstColumn="0" w:lastColumn="0" w:noHBand="0" w:noVBand="0"/>
      </w:tblPr>
      <w:tblGrid>
        <w:gridCol w:w="2161"/>
        <w:gridCol w:w="2693"/>
        <w:gridCol w:w="2052"/>
        <w:gridCol w:w="3125"/>
      </w:tblGrid>
      <w:tr w:rsidR="005D4891" w:rsidTr="005D4891">
        <w:trPr>
          <w:trHeight w:val="180"/>
        </w:trPr>
        <w:tc>
          <w:tcPr>
            <w:tcW w:w="6906" w:type="dxa"/>
            <w:gridSpan w:val="3"/>
            <w:shd w:val="clear" w:color="auto" w:fill="00B0F0"/>
          </w:tcPr>
          <w:p w:rsidR="005D4891" w:rsidRDefault="005D4891" w:rsidP="005D4891">
            <w:pPr>
              <w:pStyle w:val="Default"/>
              <w:rPr>
                <w:sz w:val="19"/>
                <w:szCs w:val="19"/>
              </w:rPr>
            </w:pPr>
            <w:r w:rsidRPr="00C22F3B">
              <w:rPr>
                <w:b/>
                <w:bCs/>
                <w:color w:val="FFFFFF" w:themeColor="background1"/>
                <w:sz w:val="19"/>
                <w:szCs w:val="19"/>
              </w:rPr>
              <w:lastRenderedPageBreak/>
              <w:t xml:space="preserve">Intermediaries </w:t>
            </w:r>
          </w:p>
        </w:tc>
        <w:tc>
          <w:tcPr>
            <w:tcW w:w="3125" w:type="dxa"/>
            <w:shd w:val="clear" w:color="auto" w:fill="00B0F0"/>
          </w:tcPr>
          <w:p w:rsidR="005D4891" w:rsidRDefault="005D4891" w:rsidP="005D4891">
            <w:pPr>
              <w:pStyle w:val="Default"/>
              <w:rPr>
                <w:b/>
                <w:bCs/>
                <w:sz w:val="19"/>
                <w:szCs w:val="19"/>
              </w:rPr>
            </w:pPr>
          </w:p>
        </w:tc>
      </w:tr>
      <w:tr w:rsidR="005D4891" w:rsidTr="005D4891">
        <w:trPr>
          <w:trHeight w:val="299"/>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Licensing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Hold an AFSL and comply with licensing requirements, including membership of an external dispute resolution scheme. </w:t>
            </w: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Be licensed and comply with licensing requirements, including membership of an external dispute resolution scheme.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Hold a new class of license issued by ASIC – Approved Platform Operator license and comply with licensing requirements, including membership of an external dispute resolution scheme, and KIP statements and post investment reporting channel for CSEF invested companies.</w:t>
            </w:r>
          </w:p>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 An APO license similar to an AFSL i.e. demonstrating  corporate finance expertise, business skills, capital market skills, investment skills, due diligence experience, technology advisory skills, corporations law skills etc. with an ASIC bond of $50k – can be via a bank guarantee and requires PI to be in place within 4 months of being granted an APO license</w:t>
            </w:r>
          </w:p>
          <w:p w:rsidR="005D4891" w:rsidRPr="00C22F3B" w:rsidRDefault="005D4891" w:rsidP="005D4891">
            <w:pPr>
              <w:pStyle w:val="Default"/>
              <w:jc w:val="both"/>
              <w:rPr>
                <w:rFonts w:ascii="Utsaah" w:hAnsi="Utsaah" w:cs="Utsaah"/>
                <w:color w:val="4A442A" w:themeColor="background2" w:themeShade="40"/>
                <w:sz w:val="20"/>
                <w:szCs w:val="20"/>
              </w:rPr>
            </w:pPr>
          </w:p>
        </w:tc>
      </w:tr>
      <w:tr w:rsidR="005D4891" w:rsidTr="005D4891">
        <w:trPr>
          <w:trHeight w:val="200"/>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Due diligence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Undertake limited due diligence checks on the issuer. </w:t>
            </w: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Undertake limited due diligence checks on the issuer.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Undertake limited due diligence checks on the issuer to produce the KIP at front of any issue document.</w:t>
            </w:r>
          </w:p>
        </w:tc>
      </w:tr>
      <w:tr w:rsidR="005D4891" w:rsidTr="005D4891">
        <w:trPr>
          <w:trHeight w:val="200"/>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Risk warnings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Provide generic risk warnings to investors. </w:t>
            </w: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Provide disclosure statements and generic risk warnings to investors.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Provide disclosure statement (KIP) and generic risk warnings to investors.</w:t>
            </w:r>
          </w:p>
        </w:tc>
      </w:tr>
      <w:tr w:rsidR="005D4891" w:rsidTr="005D4891">
        <w:trPr>
          <w:trHeight w:val="396"/>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Fee structures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Prohibited from being renumerated according to the amount of funds raised by the issuer, or in the securities or other interest of the issuer. </w:t>
            </w: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No restrictions on fee structures, although fees paid by an issuer must be disclosed.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No restrictions on fee structures, although the APO cannot be a shareholder in an Issuer pre-CSEF raising. All fee arrangements paid by an issuer to an APO must be disclosed.</w:t>
            </w:r>
          </w:p>
        </w:tc>
      </w:tr>
      <w:tr w:rsidR="005D4891" w:rsidTr="005D4891">
        <w:trPr>
          <w:trHeight w:val="297"/>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Interests in issuers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Prohibited from having a financial interest in an issuer using its website. </w:t>
            </w: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Permitted to invest in issuers using their platform, although details of any investments must be disclosed.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Prohibited from having a financial interest in an issuer using its website platform</w:t>
            </w:r>
          </w:p>
        </w:tc>
      </w:tr>
      <w:tr w:rsidR="005D4891" w:rsidTr="005D4891">
        <w:trPr>
          <w:trHeight w:val="102"/>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Provision of investment advice to investors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Prohibited. </w:t>
            </w: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Not specified in legislation.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Able to answer general queries about an Issuer (e.g. clarification of a patent status specified in the Issuer document) but not to give investment advice </w:t>
            </w:r>
          </w:p>
        </w:tc>
      </w:tr>
      <w:tr w:rsidR="005D4891" w:rsidTr="005D4891">
        <w:trPr>
          <w:trHeight w:val="102"/>
        </w:trPr>
        <w:tc>
          <w:tcPr>
            <w:tcW w:w="2161" w:type="dxa"/>
            <w:tcBorders>
              <w:bottom w:val="single" w:sz="2" w:space="0" w:color="1F497D" w:themeColor="text2"/>
            </w:tcBorders>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Lending to CSEF investors </w:t>
            </w:r>
          </w:p>
        </w:tc>
        <w:tc>
          <w:tcPr>
            <w:tcW w:w="2693" w:type="dxa"/>
            <w:tcBorders>
              <w:bottom w:val="single" w:sz="2" w:space="0" w:color="1F497D" w:themeColor="text2"/>
            </w:tcBorders>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Prohibited. </w:t>
            </w:r>
          </w:p>
        </w:tc>
        <w:tc>
          <w:tcPr>
            <w:tcW w:w="2052" w:type="dxa"/>
            <w:tcBorders>
              <w:bottom w:val="single" w:sz="2" w:space="0" w:color="1F497D" w:themeColor="text2"/>
            </w:tcBorders>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Not specified in legislation. </w:t>
            </w:r>
          </w:p>
        </w:tc>
        <w:tc>
          <w:tcPr>
            <w:tcW w:w="3125" w:type="dxa"/>
            <w:tcBorders>
              <w:bottom w:val="single" w:sz="2" w:space="0" w:color="1F497D" w:themeColor="text2"/>
            </w:tcBorders>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Prohibited. </w:t>
            </w:r>
          </w:p>
        </w:tc>
      </w:tr>
      <w:tr w:rsidR="005D4891" w:rsidTr="005D4891">
        <w:trPr>
          <w:trHeight w:val="102"/>
        </w:trPr>
        <w:tc>
          <w:tcPr>
            <w:tcW w:w="2161" w:type="dxa"/>
            <w:shd w:val="clear" w:color="auto" w:fill="00B0F0"/>
          </w:tcPr>
          <w:p w:rsidR="005D4891" w:rsidRPr="00C22F3B" w:rsidRDefault="005D4891" w:rsidP="005D4891">
            <w:pPr>
              <w:pStyle w:val="Default"/>
              <w:rPr>
                <w:rFonts w:ascii="Utsaah" w:hAnsi="Utsaah" w:cs="Utsaah"/>
                <w:b/>
                <w:color w:val="4A442A" w:themeColor="background2" w:themeShade="40"/>
                <w:sz w:val="20"/>
                <w:szCs w:val="20"/>
              </w:rPr>
            </w:pPr>
            <w:r w:rsidRPr="00C22F3B">
              <w:rPr>
                <w:rFonts w:ascii="Utsaah" w:hAnsi="Utsaah" w:cs="Utsaah"/>
                <w:b/>
                <w:bCs/>
                <w:color w:val="FFFFFF" w:themeColor="background1"/>
                <w:sz w:val="20"/>
                <w:szCs w:val="20"/>
              </w:rPr>
              <w:t>Investors</w:t>
            </w:r>
          </w:p>
        </w:tc>
        <w:tc>
          <w:tcPr>
            <w:tcW w:w="2693" w:type="dxa"/>
            <w:shd w:val="clear" w:color="auto" w:fill="00B0F0"/>
          </w:tcPr>
          <w:p w:rsidR="005D4891" w:rsidRPr="00C22F3B" w:rsidRDefault="005D4891" w:rsidP="005D4891">
            <w:pPr>
              <w:pStyle w:val="Default"/>
              <w:rPr>
                <w:rFonts w:ascii="Utsaah" w:hAnsi="Utsaah" w:cs="Utsaah"/>
                <w:color w:val="4A442A" w:themeColor="background2" w:themeShade="40"/>
                <w:sz w:val="20"/>
                <w:szCs w:val="20"/>
              </w:rPr>
            </w:pPr>
          </w:p>
        </w:tc>
        <w:tc>
          <w:tcPr>
            <w:tcW w:w="2052" w:type="dxa"/>
            <w:shd w:val="clear" w:color="auto" w:fill="00B0F0"/>
          </w:tcPr>
          <w:p w:rsidR="005D4891" w:rsidRPr="00C22F3B" w:rsidRDefault="005D4891" w:rsidP="005D4891">
            <w:pPr>
              <w:pStyle w:val="Default"/>
              <w:rPr>
                <w:rFonts w:ascii="Utsaah" w:hAnsi="Utsaah" w:cs="Utsaah"/>
                <w:color w:val="4A442A" w:themeColor="background2" w:themeShade="40"/>
                <w:sz w:val="20"/>
                <w:szCs w:val="20"/>
              </w:rPr>
            </w:pPr>
          </w:p>
        </w:tc>
        <w:tc>
          <w:tcPr>
            <w:tcW w:w="3125" w:type="dxa"/>
            <w:shd w:val="clear" w:color="auto" w:fill="00B0F0"/>
          </w:tcPr>
          <w:p w:rsidR="005D4891" w:rsidRPr="00C22F3B" w:rsidRDefault="005D4891" w:rsidP="005D4891">
            <w:pPr>
              <w:pStyle w:val="Default"/>
              <w:rPr>
                <w:rFonts w:ascii="Utsaah" w:hAnsi="Utsaah" w:cs="Utsaah"/>
                <w:color w:val="4A442A" w:themeColor="background2" w:themeShade="40"/>
                <w:sz w:val="20"/>
                <w:szCs w:val="20"/>
              </w:rPr>
            </w:pPr>
          </w:p>
        </w:tc>
      </w:tr>
      <w:tr w:rsidR="005D4891" w:rsidTr="005D4891">
        <w:trPr>
          <w:trHeight w:val="102"/>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Investment caps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$2,500 per issuer per 12-month period and $10,000 in total CSEF investment per 12-month period. </w:t>
            </w: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Voluntary investor caps, with the level of disclosure dependent upon the level of any voluntary caps and the amount of funds the issuer is seeking to raise.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For companies classified as </w:t>
            </w:r>
            <w:r w:rsidRPr="00C22F3B">
              <w:rPr>
                <w:rFonts w:ascii="Utsaah" w:hAnsi="Utsaah" w:cs="Utsaah"/>
                <w:b/>
                <w:color w:val="4A442A" w:themeColor="background2" w:themeShade="40"/>
                <w:sz w:val="20"/>
                <w:szCs w:val="20"/>
              </w:rPr>
              <w:t>emerging companies</w:t>
            </w:r>
            <w:r w:rsidRPr="00C22F3B">
              <w:rPr>
                <w:rFonts w:ascii="Utsaah" w:hAnsi="Utsaah" w:cs="Utsaah"/>
                <w:color w:val="4A442A" w:themeColor="background2" w:themeShade="40"/>
                <w:sz w:val="20"/>
                <w:szCs w:val="20"/>
              </w:rPr>
              <w:t xml:space="preserve"> then for a retail investor no more than $5,000 per Issuer in any 12 month period and $20,000 in total per 12 month period for emerging CSEF investments.</w:t>
            </w:r>
          </w:p>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For companies classified as </w:t>
            </w:r>
            <w:r w:rsidRPr="00C22F3B">
              <w:rPr>
                <w:rFonts w:ascii="Utsaah" w:hAnsi="Utsaah" w:cs="Utsaah"/>
                <w:b/>
                <w:color w:val="4A442A" w:themeColor="background2" w:themeShade="40"/>
                <w:sz w:val="20"/>
                <w:szCs w:val="20"/>
              </w:rPr>
              <w:t>established companies</w:t>
            </w:r>
            <w:r w:rsidRPr="00C22F3B">
              <w:rPr>
                <w:rFonts w:ascii="Utsaah" w:hAnsi="Utsaah" w:cs="Utsaah"/>
                <w:color w:val="4A442A" w:themeColor="background2" w:themeShade="40"/>
                <w:sz w:val="20"/>
                <w:szCs w:val="20"/>
              </w:rPr>
              <w:t xml:space="preserve"> then for a retail investor no more than $20,000 per Issuer in any 12 month period and $50,000 in total per 12 month period for established CSEF investments.</w:t>
            </w:r>
          </w:p>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Wholesale / s708 / professional investors not covered by any cap – i.e. current s708 applies </w:t>
            </w:r>
          </w:p>
          <w:p w:rsidR="005D4891" w:rsidRPr="00C22F3B" w:rsidRDefault="005D4891" w:rsidP="005D4891">
            <w:pPr>
              <w:pStyle w:val="Default"/>
              <w:jc w:val="both"/>
              <w:rPr>
                <w:rFonts w:ascii="Utsaah" w:hAnsi="Utsaah" w:cs="Utsaah"/>
                <w:color w:val="4A442A" w:themeColor="background2" w:themeShade="40"/>
                <w:sz w:val="20"/>
                <w:szCs w:val="20"/>
              </w:rPr>
            </w:pPr>
          </w:p>
        </w:tc>
      </w:tr>
      <w:tr w:rsidR="005D4891" w:rsidTr="005D4891">
        <w:trPr>
          <w:trHeight w:val="102"/>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Risk acknowledgement </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Signature of risk acknowledgement statements prior to investment. </w:t>
            </w:r>
          </w:p>
        </w:tc>
        <w:tc>
          <w:tcPr>
            <w:tcW w:w="2052"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 xml:space="preserve">Signature of risk acknowledgement statements prior to </w:t>
            </w:r>
            <w:r>
              <w:rPr>
                <w:rFonts w:ascii="Utsaah" w:hAnsi="Utsaah" w:cs="Utsaah"/>
                <w:color w:val="4A442A" w:themeColor="background2" w:themeShade="40"/>
                <w:sz w:val="20"/>
                <w:szCs w:val="20"/>
              </w:rPr>
              <w:t>i</w:t>
            </w:r>
            <w:r w:rsidRPr="00C22F3B">
              <w:rPr>
                <w:rFonts w:ascii="Utsaah" w:hAnsi="Utsaah" w:cs="Utsaah"/>
                <w:color w:val="4A442A" w:themeColor="background2" w:themeShade="40"/>
                <w:sz w:val="20"/>
                <w:szCs w:val="20"/>
              </w:rPr>
              <w:t xml:space="preserve">nvestment. </w:t>
            </w: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Signature of risk acknowledgement statements prior to investment.</w:t>
            </w:r>
          </w:p>
        </w:tc>
      </w:tr>
      <w:tr w:rsidR="005D4891" w:rsidTr="005D4891">
        <w:trPr>
          <w:trHeight w:val="102"/>
        </w:trPr>
        <w:tc>
          <w:tcPr>
            <w:tcW w:w="2161" w:type="dxa"/>
          </w:tcPr>
          <w:p w:rsidR="005D4891" w:rsidRPr="00C22F3B" w:rsidRDefault="005D4891" w:rsidP="005D4891">
            <w:pPr>
              <w:pStyle w:val="Default"/>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Receipt of Reports from Issuer</w:t>
            </w:r>
          </w:p>
        </w:tc>
        <w:tc>
          <w:tcPr>
            <w:tcW w:w="2693" w:type="dxa"/>
          </w:tcPr>
          <w:p w:rsidR="005D4891" w:rsidRPr="00C22F3B" w:rsidRDefault="005D4891" w:rsidP="005D4891">
            <w:pPr>
              <w:pStyle w:val="Default"/>
              <w:jc w:val="both"/>
              <w:rPr>
                <w:rFonts w:ascii="Utsaah" w:hAnsi="Utsaah" w:cs="Utsaah"/>
                <w:color w:val="4A442A" w:themeColor="background2" w:themeShade="40"/>
                <w:sz w:val="20"/>
                <w:szCs w:val="20"/>
              </w:rPr>
            </w:pPr>
          </w:p>
        </w:tc>
        <w:tc>
          <w:tcPr>
            <w:tcW w:w="2052" w:type="dxa"/>
          </w:tcPr>
          <w:p w:rsidR="005D4891" w:rsidRPr="00C22F3B" w:rsidRDefault="005D4891" w:rsidP="005D4891">
            <w:pPr>
              <w:pStyle w:val="Default"/>
              <w:jc w:val="both"/>
              <w:rPr>
                <w:rFonts w:ascii="Utsaah" w:hAnsi="Utsaah" w:cs="Utsaah"/>
                <w:color w:val="4A442A" w:themeColor="background2" w:themeShade="40"/>
                <w:sz w:val="20"/>
                <w:szCs w:val="20"/>
              </w:rPr>
            </w:pPr>
          </w:p>
        </w:tc>
        <w:tc>
          <w:tcPr>
            <w:tcW w:w="3125" w:type="dxa"/>
          </w:tcPr>
          <w:p w:rsidR="005D4891" w:rsidRPr="00C22F3B" w:rsidRDefault="005D4891" w:rsidP="005D4891">
            <w:pPr>
              <w:pStyle w:val="Default"/>
              <w:jc w:val="both"/>
              <w:rPr>
                <w:rFonts w:ascii="Utsaah" w:hAnsi="Utsaah" w:cs="Utsaah"/>
                <w:color w:val="4A442A" w:themeColor="background2" w:themeShade="40"/>
                <w:sz w:val="20"/>
                <w:szCs w:val="20"/>
              </w:rPr>
            </w:pPr>
            <w:r w:rsidRPr="00C22F3B">
              <w:rPr>
                <w:rFonts w:ascii="Utsaah" w:hAnsi="Utsaah" w:cs="Utsaah"/>
                <w:color w:val="4A442A" w:themeColor="background2" w:themeShade="40"/>
                <w:sz w:val="20"/>
                <w:szCs w:val="20"/>
              </w:rPr>
              <w:t>Refer Issuer comment – Investors must be furnished with reports form the Issuer similar to ASX reporting – non-compliance then APO to notify ASIC or the APO licensing authority</w:t>
            </w:r>
            <w:r w:rsidR="00990576">
              <w:rPr>
                <w:rFonts w:ascii="Utsaah" w:hAnsi="Utsaah" w:cs="Utsaah"/>
                <w:color w:val="4A442A" w:themeColor="background2" w:themeShade="40"/>
                <w:sz w:val="20"/>
                <w:szCs w:val="20"/>
              </w:rPr>
              <w:t>.</w:t>
            </w:r>
            <w:r w:rsidRPr="00C22F3B">
              <w:rPr>
                <w:rFonts w:ascii="Utsaah" w:hAnsi="Utsaah" w:cs="Utsaah"/>
                <w:color w:val="4A442A" w:themeColor="background2" w:themeShade="40"/>
                <w:sz w:val="20"/>
                <w:szCs w:val="20"/>
              </w:rPr>
              <w:t xml:space="preserve"> </w:t>
            </w:r>
          </w:p>
        </w:tc>
      </w:tr>
    </w:tbl>
    <w:p w:rsidR="00384353" w:rsidRDefault="00E3331C">
      <w:r>
        <w:rPr>
          <w:noProof/>
          <w:lang w:eastAsia="en-AU"/>
        </w:rPr>
        <w:lastRenderedPageBreak/>
        <w:pict>
          <v:shape id="Text Box 589" o:spid="_x0000_s1072" type="#_x0000_t202" style="position:absolute;margin-left:-58.3pt;margin-top:-50.25pt;width:186.05pt;height:66.75pt;z-index:251801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wC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" filled="f" stroked="f">
            <v:textbox>
              <w:txbxContent>
                <w:p w:rsidR="0061071A" w:rsidRDefault="0061071A" w:rsidP="00B62144">
                  <w:pPr>
                    <w:spacing w:after="0"/>
                    <w:rPr>
                      <w:rFonts w:ascii="Adobe Gothic Std B" w:eastAsia="Adobe Gothic Std B" w:hAnsi="Adobe Gothic Std B" w:cs="Arial"/>
                      <w:b/>
                      <w:bCs/>
                      <w:color w:val="FFFFFF" w:themeColor="background1"/>
                      <w:sz w:val="24"/>
                      <w:szCs w:val="24"/>
                    </w:rPr>
                  </w:pPr>
                </w:p>
                <w:p w:rsidR="0061071A" w:rsidRPr="002E68BC" w:rsidRDefault="0061071A" w:rsidP="00B62144">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TABLE 2</w:t>
                  </w:r>
                </w:p>
                <w:p w:rsidR="0061071A" w:rsidRPr="001C7CF3" w:rsidRDefault="0061071A" w:rsidP="00B62144">
                  <w:pPr>
                    <w:spacing w:after="0"/>
                    <w:rPr>
                      <w:rFonts w:ascii="Utsaah" w:hAnsi="Utsaah" w:cs="Utsaah"/>
                      <w:color w:val="4A442A" w:themeColor="background2" w:themeShade="40"/>
                      <w:sz w:val="16"/>
                      <w:szCs w:val="16"/>
                    </w:rPr>
                  </w:pPr>
                </w:p>
              </w:txbxContent>
            </v:textbox>
          </v:shape>
        </w:pict>
      </w:r>
      <w:r w:rsidR="00693FCC">
        <w:rPr>
          <w:noProof/>
          <w:lang w:eastAsia="en-AU"/>
        </w:rPr>
        <w:drawing>
          <wp:anchor distT="0" distB="0" distL="114300" distR="114300" simplePos="0" relativeHeight="251864064"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p>
    <w:p w:rsidR="00B62144" w:rsidRDefault="00B62144"/>
    <w:p w:rsidR="003A1243" w:rsidRDefault="003A1243"/>
    <w:p w:rsidR="00B62144" w:rsidRDefault="00E3331C">
      <w:r>
        <w:rPr>
          <w:noProof/>
          <w:lang w:eastAsia="en-AU"/>
        </w:rPr>
        <w:pict>
          <v:group id="Group 585" o:spid="_x0000_s1077" style="position:absolute;margin-left:.25pt;margin-top:-46.3pt;width:202.5pt;height:76.55pt;z-index:-251515904;mso-position-horizontal-relative:page"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">
            <v:shape id="Freeform 756" o:spid="_x0000_s1078"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u/MQA&#10;AADcAAAADwAAAGRycy9kb3ducmV2LnhtbERPz2vCMBS+C/sfwhvsIjN1TJHOKEUQxw6i1sOOj+at&#10;7da8lCS1nX+9OQgeP77fy/VgGnEh52vLCqaTBARxYXXNpYJzvn1dgPABWWNjmRT8k4f16mm0xFTb&#10;no90OYVSxBD2KSqoQmhTKX1RkUE/sS1x5H6sMxgidKXUDvsYbhr5liRzabDm2FBhS5uKir9TZxT8&#10;dn2WH3Z4TL67jft6v46nWb5X6uV5yD5ABBrCQ3x3f2oFs0VcG8/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LvzEAAAA3AAAAA8AAAAAAAAAAAAAAAAAmAIAAGRycy9k&#10;b3ducmV2LnhtbFBLBQYAAAAABAAEAPUAAACJAw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p w:rsidR="00B62144" w:rsidRDefault="00B62144"/>
    <w:p w:rsidR="00B62144" w:rsidRDefault="00E3331C">
      <w:r>
        <w:rPr>
          <w:noProof/>
          <w:lang w:eastAsia="en-AU"/>
        </w:rPr>
        <w:pict>
          <v:shape id="Text Box 591" o:spid="_x0000_s1073" type="#_x0000_t202" style="position:absolute;margin-left:17pt;margin-top:17.7pt;width:418.35pt;height:446.2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pvAIAAMY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" filled="f" stroked="f">
            <v:textbox>
              <w:txbxContent>
                <w:p w:rsidR="0061071A" w:rsidRPr="00C23713" w:rsidRDefault="0061071A" w:rsidP="00B7503D">
                  <w:pPr>
                    <w:pStyle w:val="NoSpacing"/>
                    <w:jc w:val="center"/>
                    <w:rPr>
                      <w:rFonts w:ascii="Adobe Gothic Std B" w:eastAsia="Adobe Gothic Std B" w:hAnsi="Adobe Gothic Std B" w:cs="Utsaah"/>
                      <w:color w:val="00B0F0"/>
                      <w:lang w:val="en-AU"/>
                    </w:rPr>
                  </w:pPr>
                  <w:r>
                    <w:rPr>
                      <w:rFonts w:ascii="Adobe Gothic Std B" w:eastAsia="Adobe Gothic Std B" w:hAnsi="Adobe Gothic Std B" w:cs="Utsaah"/>
                      <w:color w:val="00B0F0"/>
                      <w:lang w:val="en-AU"/>
                    </w:rPr>
                    <w:t>Table 2</w:t>
                  </w:r>
                  <w:r w:rsidRPr="00B62144">
                    <w:rPr>
                      <w:rFonts w:ascii="Adobe Gothic Std B" w:eastAsia="Adobe Gothic Std B" w:hAnsi="Adobe Gothic Std B" w:cs="Utsaah"/>
                      <w:color w:val="00B0F0"/>
                      <w:lang w:val="en-AU"/>
                    </w:rPr>
                    <w:t xml:space="preserve">: </w:t>
                  </w:r>
                  <w:r w:rsidRPr="00B7503D">
                    <w:rPr>
                      <w:rFonts w:ascii="Adobe Gothic Std B" w:eastAsia="Adobe Gothic Std B" w:hAnsi="Adobe Gothic Std B" w:cs="Utsaah"/>
                      <w:color w:val="00B0F0"/>
                      <w:lang w:val="en-AU"/>
                    </w:rPr>
                    <w:t>Key Information Page (KIP)</w:t>
                  </w:r>
                </w:p>
                <w:p w:rsidR="0061071A" w:rsidRDefault="0061071A" w:rsidP="00B7503D">
                  <w:pPr>
                    <w:pStyle w:val="NoSpacing"/>
                    <w:jc w:val="both"/>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r>
                    <w:rPr>
                      <w:rFonts w:ascii="Utsaah" w:hAnsi="Utsaah" w:cs="Utsaah"/>
                      <w:color w:val="4A442A" w:themeColor="background2" w:themeShade="40"/>
                      <w:lang w:val="en-AU"/>
                    </w:rPr>
                    <w:t>K</w:t>
                  </w:r>
                  <w:r w:rsidRPr="0097697A">
                    <w:rPr>
                      <w:rFonts w:ascii="Utsaah" w:hAnsi="Utsaah" w:cs="Utsaah"/>
                      <w:color w:val="4A442A" w:themeColor="background2" w:themeShade="40"/>
                      <w:lang w:val="en-AU"/>
                    </w:rPr>
                    <w:t>ey checklist of items for the APO to authorise release as a preface to a CSEF offering document</w:t>
                  </w:r>
                  <w:r w:rsidR="003A1243">
                    <w:rPr>
                      <w:rFonts w:ascii="Utsaah" w:hAnsi="Utsaah" w:cs="Utsaah"/>
                      <w:color w:val="4A442A" w:themeColor="background2" w:themeShade="40"/>
                      <w:lang w:val="en-AU"/>
                    </w:rPr>
                    <w:t>.</w:t>
                  </w: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B7503D">
                  <w:pPr>
                    <w:pStyle w:val="NoSpacing"/>
                    <w:jc w:val="center"/>
                    <w:rPr>
                      <w:rFonts w:ascii="Utsaah" w:hAnsi="Utsaah" w:cs="Utsaah"/>
                      <w:color w:val="4A442A" w:themeColor="background2" w:themeShade="40"/>
                      <w:lang w:val="en-AU"/>
                    </w:rPr>
                  </w:pPr>
                </w:p>
                <w:p w:rsidR="0061071A" w:rsidRDefault="0061071A" w:rsidP="008834E4">
                  <w:pPr>
                    <w:pStyle w:val="NoSpacing"/>
                    <w:jc w:val="center"/>
                    <w:rPr>
                      <w:rFonts w:ascii="Utsaah" w:hAnsi="Utsaah" w:cs="Utsaah"/>
                      <w:color w:val="4A442A" w:themeColor="background2" w:themeShade="40"/>
                      <w:lang w:val="en-AU"/>
                    </w:rPr>
                  </w:pPr>
                  <w:r>
                    <w:rPr>
                      <w:rFonts w:ascii="Utsaah" w:hAnsi="Utsaah" w:cs="Utsaah"/>
                      <w:color w:val="4A442A" w:themeColor="background2" w:themeShade="40"/>
                      <w:lang w:val="en-AU"/>
                    </w:rPr>
                    <w:t xml:space="preserve">SAMPLE: </w:t>
                  </w:r>
                  <w:r w:rsidRPr="008834E4">
                    <w:rPr>
                      <w:rFonts w:ascii="Utsaah" w:hAnsi="Utsaah" w:cs="Utsaah"/>
                      <w:color w:val="4A442A" w:themeColor="background2" w:themeShade="40"/>
                      <w:lang w:val="en-AU"/>
                    </w:rPr>
                    <w:t>Key Information Page (KIP) - refer Recommendation 9</w:t>
                  </w:r>
                  <w:r>
                    <w:rPr>
                      <w:rFonts w:ascii="Utsaah" w:hAnsi="Utsaah" w:cs="Utsaah"/>
                      <w:color w:val="4A442A" w:themeColor="background2" w:themeShade="40"/>
                      <w:lang w:val="en-AU"/>
                    </w:rPr>
                    <w:t>.</w:t>
                  </w:r>
                </w:p>
                <w:p w:rsidR="0061071A" w:rsidRPr="008834E4" w:rsidRDefault="0061071A" w:rsidP="008834E4">
                  <w:pPr>
                    <w:pStyle w:val="NoSpacing"/>
                    <w:jc w:val="both"/>
                    <w:rPr>
                      <w:rFonts w:ascii="Utsaah" w:hAnsi="Utsaah" w:cs="Utsaah"/>
                      <w:color w:val="4A442A" w:themeColor="background2" w:themeShade="40"/>
                      <w:lang w:val="en-AU"/>
                    </w:rPr>
                  </w:pPr>
                </w:p>
                <w:p w:rsidR="0061071A" w:rsidRDefault="0061071A" w:rsidP="008834E4">
                  <w:pPr>
                    <w:pStyle w:val="NoSpacing"/>
                    <w:jc w:val="both"/>
                    <w:rPr>
                      <w:rFonts w:ascii="Utsaah" w:hAnsi="Utsaah" w:cs="Utsaah"/>
                      <w:color w:val="4A442A" w:themeColor="background2" w:themeShade="40"/>
                      <w:lang w:val="en-AU"/>
                    </w:rPr>
                  </w:pPr>
                  <w:r w:rsidRPr="008834E4">
                    <w:rPr>
                      <w:rFonts w:ascii="Utsaah" w:hAnsi="Utsaah" w:cs="Utsaah"/>
                      <w:color w:val="4A442A" w:themeColor="background2" w:themeShade="40"/>
                      <w:lang w:val="en-AU"/>
                    </w:rPr>
                    <w:t xml:space="preserve">Disclosure requirements - Issuers to have Prescribed (but reduced) disclosure requirements, including a template disclosure document and an Approved Platform Operator (APO) prefacing Issuer’s offer document with Key Information Page (KIP) with mandatory matters to be included in KIP by APO as prescribed by APO licensing authority / ASIC. </w:t>
                  </w:r>
                </w:p>
                <w:p w:rsidR="0061071A" w:rsidRDefault="0061071A" w:rsidP="008834E4">
                  <w:pPr>
                    <w:pStyle w:val="NoSpacing"/>
                    <w:jc w:val="both"/>
                    <w:rPr>
                      <w:rFonts w:ascii="Utsaah" w:hAnsi="Utsaah" w:cs="Utsaah"/>
                      <w:color w:val="4A442A" w:themeColor="background2" w:themeShade="40"/>
                      <w:lang w:val="en-AU"/>
                    </w:rPr>
                  </w:pPr>
                </w:p>
                <w:p w:rsidR="0061071A" w:rsidRDefault="0061071A" w:rsidP="008834E4">
                  <w:pPr>
                    <w:pStyle w:val="NoSpacing"/>
                    <w:jc w:val="both"/>
                    <w:rPr>
                      <w:rFonts w:ascii="Utsaah" w:hAnsi="Utsaah" w:cs="Utsaah"/>
                      <w:color w:val="4A442A" w:themeColor="background2" w:themeShade="40"/>
                      <w:lang w:val="en-AU"/>
                    </w:rPr>
                  </w:pPr>
                  <w:r w:rsidRPr="008834E4">
                    <w:rPr>
                      <w:rFonts w:ascii="Utsaah" w:hAnsi="Utsaah" w:cs="Utsaah"/>
                      <w:color w:val="4A442A" w:themeColor="background2" w:themeShade="40"/>
                      <w:lang w:val="en-AU"/>
                    </w:rPr>
                    <w:t xml:space="preserve">This also accords with the theme adopted by Canadian authorities to ensure the Issuers ‘crowdfunding offering document’ should contain material information relevant to the issuer’s business and an investment in the securities offered. </w:t>
                  </w:r>
                </w:p>
                <w:p w:rsidR="0061071A" w:rsidRDefault="0061071A" w:rsidP="008834E4">
                  <w:pPr>
                    <w:pStyle w:val="NoSpacing"/>
                    <w:jc w:val="both"/>
                    <w:rPr>
                      <w:rFonts w:ascii="Utsaah" w:hAnsi="Utsaah" w:cs="Utsaah"/>
                      <w:color w:val="4A442A" w:themeColor="background2" w:themeShade="40"/>
                      <w:lang w:val="en-AU"/>
                    </w:rPr>
                  </w:pPr>
                </w:p>
                <w:p w:rsidR="0061071A" w:rsidRPr="00454D23" w:rsidRDefault="0061071A" w:rsidP="008834E4">
                  <w:pPr>
                    <w:pStyle w:val="NoSpacing"/>
                    <w:jc w:val="both"/>
                    <w:rPr>
                      <w:rFonts w:ascii="Utsaah" w:hAnsi="Utsaah" w:cs="Utsaah"/>
                      <w:color w:val="4A442A" w:themeColor="background2" w:themeShade="40"/>
                      <w:lang w:val="en-AU"/>
                    </w:rPr>
                  </w:pPr>
                  <w:r w:rsidRPr="008834E4">
                    <w:rPr>
                      <w:rFonts w:ascii="Utsaah" w:hAnsi="Utsaah" w:cs="Utsaah"/>
                      <w:color w:val="4A442A" w:themeColor="background2" w:themeShade="40"/>
                      <w:lang w:val="en-AU"/>
                    </w:rPr>
                    <w:t>An issuer must make this document available to an investor through the intermediary portal before the investor enters into an agreement to purchase the security. The issuer must also obtain a signed risk acknowledgement from the investor before entering into the agreement (The offer document must comprise 5 items, together with a certificate from the issuer that the offer document does not contain a misrepresentation and our recommendation is to have at the front of the offer document a Key Information Page (“KIP”) that factually answers the following:</w:t>
                  </w:r>
                </w:p>
              </w:txbxContent>
            </v:textbox>
          </v:shape>
        </w:pict>
      </w:r>
    </w:p>
    <w:p w:rsidR="00B62144" w:rsidRDefault="00B62144"/>
    <w:p w:rsidR="00B62144" w:rsidRDefault="00B62144"/>
    <w:p w:rsidR="00B62144" w:rsidRDefault="00B62144"/>
    <w:p w:rsidR="00B62144" w:rsidRDefault="00B62144"/>
    <w:p w:rsidR="005C168E" w:rsidRDefault="0035547B">
      <w:r>
        <w:rPr>
          <w:noProof/>
          <w:lang w:eastAsia="en-AU"/>
        </w:rPr>
        <w:drawing>
          <wp:anchor distT="0" distB="0" distL="114300" distR="114300" simplePos="0" relativeHeight="251805696" behindDoc="0" locked="0" layoutInCell="1" allowOverlap="1">
            <wp:simplePos x="0" y="0"/>
            <wp:positionH relativeFrom="column">
              <wp:posOffset>2515870</wp:posOffset>
            </wp:positionH>
            <wp:positionV relativeFrom="paragraph">
              <wp:posOffset>313055</wp:posOffset>
            </wp:positionV>
            <wp:extent cx="698500" cy="572135"/>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hen_orange transpar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8500" cy="572135"/>
                    </a:xfrm>
                    <a:prstGeom prst="rect">
                      <a:avLst/>
                    </a:prstGeom>
                  </pic:spPr>
                </pic:pic>
              </a:graphicData>
            </a:graphic>
          </wp:anchor>
        </w:drawing>
      </w:r>
    </w:p>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5C168E" w:rsidRDefault="005C168E"/>
    <w:p w:rsidR="0035547B" w:rsidRDefault="00E3331C">
      <w:r>
        <w:lastRenderedPageBreak/>
        <w:pict>
          <v:shape id="Text Box 594" o:spid="_x0000_s1074" type="#_x0000_t202" style="position:absolute;margin-left:-61.4pt;margin-top:-52.1pt;width:186.05pt;height:76.7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hz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" filled="f" stroked="f">
            <v:textbox>
              <w:txbxContent>
                <w:p w:rsidR="0061071A" w:rsidRDefault="0061071A" w:rsidP="0035547B">
                  <w:pPr>
                    <w:spacing w:after="0"/>
                    <w:rPr>
                      <w:rFonts w:ascii="Adobe Gothic Std B" w:eastAsia="Adobe Gothic Std B" w:hAnsi="Adobe Gothic Std B" w:cs="Arial"/>
                      <w:b/>
                      <w:bCs/>
                      <w:color w:val="FFFFFF" w:themeColor="background1"/>
                      <w:sz w:val="24"/>
                      <w:szCs w:val="24"/>
                    </w:rPr>
                  </w:pPr>
                </w:p>
                <w:p w:rsidR="0061071A" w:rsidRPr="002E68BC" w:rsidRDefault="0061071A" w:rsidP="0035547B">
                  <w:pPr>
                    <w:spacing w:after="0"/>
                    <w:rPr>
                      <w:rFonts w:ascii="Utsaah" w:hAnsi="Utsaah" w:cs="Utsaah"/>
                      <w:color w:val="FFFFFF" w:themeColor="background1"/>
                      <w:sz w:val="36"/>
                      <w:szCs w:val="36"/>
                    </w:rPr>
                  </w:pPr>
                  <w:r>
                    <w:rPr>
                      <w:rFonts w:ascii="Adobe Gothic Std B" w:eastAsia="Adobe Gothic Std B" w:hAnsi="Adobe Gothic Std B" w:cs="Arial"/>
                      <w:b/>
                      <w:bCs/>
                      <w:color w:val="FFFFFF" w:themeColor="background1"/>
                      <w:sz w:val="36"/>
                      <w:szCs w:val="36"/>
                    </w:rPr>
                    <w:t xml:space="preserve">     TABLE 2 (cont.)</w:t>
                  </w:r>
                </w:p>
                <w:p w:rsidR="0061071A" w:rsidRPr="001C7CF3" w:rsidRDefault="0061071A" w:rsidP="0035547B">
                  <w:pPr>
                    <w:spacing w:after="0"/>
                    <w:rPr>
                      <w:rFonts w:ascii="Utsaah" w:hAnsi="Utsaah" w:cs="Utsaah"/>
                      <w:color w:val="4A442A" w:themeColor="background2" w:themeShade="40"/>
                      <w:sz w:val="16"/>
                      <w:szCs w:val="16"/>
                    </w:rPr>
                  </w:pPr>
                </w:p>
              </w:txbxContent>
            </v:textbox>
          </v:shape>
        </w:pict>
      </w:r>
      <w:r w:rsidR="003A1243">
        <w:rPr>
          <w:noProof/>
          <w:lang w:eastAsia="en-AU"/>
        </w:rPr>
        <w:drawing>
          <wp:anchor distT="0" distB="0" distL="114300" distR="114300" simplePos="0" relativeHeight="251866112" behindDoc="1" locked="0" layoutInCell="1" allowOverlap="1">
            <wp:simplePos x="0" y="0"/>
            <wp:positionH relativeFrom="column">
              <wp:posOffset>-914400</wp:posOffset>
            </wp:positionH>
            <wp:positionV relativeFrom="paragraph">
              <wp:posOffset>-628650</wp:posOffset>
            </wp:positionV>
            <wp:extent cx="2573020" cy="97536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975360"/>
                    </a:xfrm>
                    <a:prstGeom prst="rect">
                      <a:avLst/>
                    </a:prstGeom>
                    <a:noFill/>
                  </pic:spPr>
                </pic:pic>
              </a:graphicData>
            </a:graphic>
          </wp:anchor>
        </w:drawing>
      </w:r>
      <w:r>
        <w:pict>
          <v:group id="Group 592" o:spid="_x0000_s1075" style="position:absolute;margin-left:0;margin-top:-45.9pt;width:202.5pt;height:76.55pt;z-index:-251508736;mso-position-horizontal-relative:page;mso-position-vertical-relative:text" coordorigin=",1600" coordsize="405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">
            <v:shape id="Freeform 756" o:spid="_x0000_s1076" style="position:absolute;top:1600;width:4050;height:1531;visibility:visible;mso-wrap-style:square;v-text-anchor:top" coordsize="4050,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qUMgA&#10;AADcAAAADwAAAGRycy9kb3ducmV2LnhtbESPQUvDQBSE7wX/w/IEL2I3tSo1dltCobR4KLbpweMj&#10;+0yi2bdhd9Ok/fWuIPQ4zMw3zHw5mEacyPnasoLJOAFBXFhdc6ngmK8fZiB8QNbYWCYFZ/KwXNyM&#10;5phq2/OeTodQighhn6KCKoQ2ldIXFRn0Y9sSR+/LOoMhSldK7bCPcNPIxyR5kQZrjgsVtrSqqPg5&#10;dEbBd9dn+ccG98lnt3LvT5f7SZbvlLq7HbI3EIGGcA3/t7dawfPrFP7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CpQyAAAANwAAAAPAAAAAAAAAAAAAAAAAJgCAABk&#10;cnMvZG93bnJldi54bWxQSwUGAAAAAAQABAD1AAAAjQMAAAAA&#10;" path="m,l,1531r3885,-1l3916,1530r69,-10l4033,1482r14,-59l4050,1330r,-1130l4049,134,4039,65,4001,17,3942,3,,e" filled="f" stroked="f">
              <v:path arrowok="t" o:connecttype="custom" o:connectlocs="0,1600;0,3131;3885,3130;3916,3130;3985,3120;4033,3082;4047,3023;4050,2930;4050,1800;4049,1734;4039,1665;4001,1617;3942,1603;0,1600" o:connectangles="0,0,0,0,0,0,0,0,0,0,0,0,0,0"/>
            </v:shape>
            <w10:wrap anchorx="page"/>
          </v:group>
        </w:pict>
      </w:r>
    </w:p>
    <w:tbl>
      <w:tblPr>
        <w:tblStyle w:val="TableGrid"/>
        <w:tblpPr w:leftFromText="180" w:rightFromText="180" w:vertAnchor="page" w:horzAnchor="margin" w:tblpY="3180"/>
        <w:tblW w:w="9180"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4A0" w:firstRow="1" w:lastRow="0" w:firstColumn="1" w:lastColumn="0" w:noHBand="0" w:noVBand="1"/>
      </w:tblPr>
      <w:tblGrid>
        <w:gridCol w:w="5387"/>
        <w:gridCol w:w="2410"/>
        <w:gridCol w:w="1383"/>
      </w:tblGrid>
      <w:tr w:rsidR="0035547B" w:rsidRPr="008214E1" w:rsidTr="0035547B">
        <w:tc>
          <w:tcPr>
            <w:tcW w:w="5387" w:type="dxa"/>
            <w:shd w:val="clear" w:color="auto" w:fill="auto"/>
          </w:tcPr>
          <w:p w:rsidR="0035547B" w:rsidRPr="004D420D" w:rsidRDefault="0035547B" w:rsidP="0035547B">
            <w:pPr>
              <w:shd w:val="clear" w:color="auto" w:fill="FFFFFF"/>
              <w:jc w:val="center"/>
              <w:rPr>
                <w:rFonts w:eastAsia="Times New Roman" w:cstheme="minorHAnsi"/>
                <w:b/>
                <w:i/>
                <w:iCs/>
                <w:color w:val="00B0F0"/>
                <w:sz w:val="18"/>
                <w:szCs w:val="18"/>
                <w:lang w:eastAsia="en-AU"/>
              </w:rPr>
            </w:pPr>
            <w:r w:rsidRPr="004D420D">
              <w:rPr>
                <w:rFonts w:eastAsia="Times New Roman" w:cstheme="minorHAnsi"/>
                <w:b/>
                <w:i/>
                <w:iCs/>
                <w:color w:val="00B0F0"/>
                <w:sz w:val="18"/>
                <w:szCs w:val="18"/>
                <w:lang w:eastAsia="en-AU"/>
              </w:rPr>
              <w:t>Key Information Page authorised for release by the APO</w:t>
            </w:r>
          </w:p>
        </w:tc>
        <w:tc>
          <w:tcPr>
            <w:tcW w:w="2410" w:type="dxa"/>
            <w:shd w:val="clear" w:color="auto" w:fill="auto"/>
          </w:tcPr>
          <w:p w:rsidR="0035547B" w:rsidRPr="004D420D" w:rsidRDefault="0035547B" w:rsidP="0035547B">
            <w:pPr>
              <w:shd w:val="clear" w:color="auto" w:fill="FFFFFF"/>
              <w:jc w:val="center"/>
              <w:rPr>
                <w:rFonts w:eastAsia="Times New Roman" w:cstheme="minorHAnsi"/>
                <w:i/>
                <w:iCs/>
                <w:color w:val="00B0F0"/>
                <w:sz w:val="18"/>
                <w:szCs w:val="18"/>
                <w:lang w:eastAsia="en-AU"/>
              </w:rPr>
            </w:pPr>
            <w:r w:rsidRPr="004D420D">
              <w:rPr>
                <w:rFonts w:eastAsia="Times New Roman" w:cstheme="minorHAnsi"/>
                <w:i/>
                <w:iCs/>
                <w:color w:val="00B0F0"/>
                <w:sz w:val="18"/>
                <w:szCs w:val="18"/>
                <w:lang w:eastAsia="en-AU"/>
              </w:rPr>
              <w:t>answers</w:t>
            </w:r>
          </w:p>
        </w:tc>
        <w:tc>
          <w:tcPr>
            <w:tcW w:w="1383" w:type="dxa"/>
            <w:shd w:val="clear" w:color="auto" w:fill="auto"/>
          </w:tcPr>
          <w:p w:rsidR="0035547B" w:rsidRPr="004D420D" w:rsidRDefault="0035547B" w:rsidP="0035547B">
            <w:pPr>
              <w:shd w:val="clear" w:color="auto" w:fill="FFFFFF"/>
              <w:jc w:val="center"/>
              <w:rPr>
                <w:rFonts w:eastAsia="Times New Roman" w:cstheme="minorHAnsi"/>
                <w:i/>
                <w:iCs/>
                <w:color w:val="00B0F0"/>
                <w:sz w:val="18"/>
                <w:szCs w:val="18"/>
                <w:lang w:eastAsia="en-AU"/>
              </w:rPr>
            </w:pPr>
            <w:r w:rsidRPr="004D420D">
              <w:rPr>
                <w:rFonts w:eastAsia="Times New Roman" w:cstheme="minorHAnsi"/>
                <w:i/>
                <w:iCs/>
                <w:color w:val="00B0F0"/>
                <w:sz w:val="18"/>
                <w:szCs w:val="18"/>
                <w:lang w:eastAsia="en-AU"/>
              </w:rPr>
              <w:t>Ref to Offer doc</w:t>
            </w: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Date company incorporated</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Names of the directors</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Name of coy sec</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ABN</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Shares on hand now </w:t>
            </w:r>
            <w:proofErr w:type="spellStart"/>
            <w:r w:rsidRPr="0035547B">
              <w:rPr>
                <w:rFonts w:eastAsia="Times New Roman" w:cstheme="minorHAnsi"/>
                <w:i/>
                <w:iCs/>
                <w:color w:val="4A442A" w:themeColor="background2" w:themeShade="40"/>
                <w:sz w:val="18"/>
                <w:szCs w:val="18"/>
                <w:lang w:eastAsia="en-AU"/>
              </w:rPr>
              <w:t>ord</w:t>
            </w:r>
            <w:proofErr w:type="spellEnd"/>
            <w:r w:rsidRPr="0035547B">
              <w:rPr>
                <w:rFonts w:eastAsia="Times New Roman" w:cstheme="minorHAnsi"/>
                <w:i/>
                <w:iCs/>
                <w:color w:val="4A442A" w:themeColor="background2" w:themeShade="40"/>
                <w:sz w:val="18"/>
                <w:szCs w:val="18"/>
                <w:lang w:eastAsia="en-AU"/>
              </w:rPr>
              <w:t xml:space="preserve"> / </w:t>
            </w:r>
            <w:proofErr w:type="spellStart"/>
            <w:r w:rsidRPr="0035547B">
              <w:rPr>
                <w:rFonts w:eastAsia="Times New Roman" w:cstheme="minorHAnsi"/>
                <w:i/>
                <w:iCs/>
                <w:color w:val="4A442A" w:themeColor="background2" w:themeShade="40"/>
                <w:sz w:val="18"/>
                <w:szCs w:val="18"/>
                <w:lang w:eastAsia="en-AU"/>
              </w:rPr>
              <w:t>pref</w:t>
            </w:r>
            <w:proofErr w:type="spellEnd"/>
            <w:r w:rsidRPr="0035547B">
              <w:rPr>
                <w:rFonts w:eastAsia="Times New Roman" w:cstheme="minorHAnsi"/>
                <w:i/>
                <w:iCs/>
                <w:color w:val="4A442A" w:themeColor="background2" w:themeShade="40"/>
                <w:sz w:val="18"/>
                <w:szCs w:val="18"/>
                <w:lang w:eastAsia="en-AU"/>
              </w:rPr>
              <w:t xml:space="preserve"> / convertible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Shares being issued now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Amount per share</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Amount being raised – Minimum subscription required  to meet objectives outlined in disclosure document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Maximum amount to be raised</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Notes on the class of shares being issued – voting rights and any other restrictions etc.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Nature of business</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Current level of profit / loss</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How much has been injected to the company thus far</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Latest NTA and post issue NTA per latest balance sheet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Current balance sheet including liabilities – split between repayment date, bank debt, other debt secured , unsecured and interest rate set out in Section XX</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All  material contracts have been noted in Section XX</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Notes on any related party agreements / arrangements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Patent details – country / objections / expiry date</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If any forecasts in the Offer document – directors  believe them to be achievable from the current round of funding or are they premised on further funding required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Key risks to the investment being made in Section XX</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Reporting plan for shareholders – i.e. monthly report </w:t>
            </w:r>
            <w:proofErr w:type="spellStart"/>
            <w:r w:rsidRPr="0035547B">
              <w:rPr>
                <w:rFonts w:eastAsia="Times New Roman" w:cstheme="minorHAnsi"/>
                <w:i/>
                <w:iCs/>
                <w:color w:val="4A442A" w:themeColor="background2" w:themeShade="40"/>
                <w:sz w:val="18"/>
                <w:szCs w:val="18"/>
                <w:lang w:eastAsia="en-AU"/>
              </w:rPr>
              <w:t>etc</w:t>
            </w:r>
            <w:proofErr w:type="spellEnd"/>
            <w:r w:rsidRPr="0035547B">
              <w:rPr>
                <w:rFonts w:eastAsia="Times New Roman" w:cstheme="minorHAnsi"/>
                <w:i/>
                <w:iCs/>
                <w:color w:val="4A442A" w:themeColor="background2" w:themeShade="40"/>
                <w:sz w:val="18"/>
                <w:szCs w:val="18"/>
                <w:lang w:eastAsia="en-AU"/>
              </w:rPr>
              <w:t xml:space="preserve">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Where is copy of constitution available from</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All taxes and superannuation up to date</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Related party disclosures</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Rights of any resale of shares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Details of secured loans</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All key employees under ESA’s and paid commercial rates</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Owners or progenitors remuneration arrangements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Revenue / expense profile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Details of auditors / lawyers / tax advisers / IP advisers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Banker details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Names of independent directors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r w:rsidR="0035547B" w:rsidRPr="008214E1" w:rsidTr="0035547B">
        <w:tc>
          <w:tcPr>
            <w:tcW w:w="5387"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r w:rsidRPr="0035547B">
              <w:rPr>
                <w:rFonts w:eastAsia="Times New Roman" w:cstheme="minorHAnsi"/>
                <w:i/>
                <w:iCs/>
                <w:color w:val="4A442A" w:themeColor="background2" w:themeShade="40"/>
                <w:sz w:val="18"/>
                <w:szCs w:val="18"/>
                <w:lang w:eastAsia="en-AU"/>
              </w:rPr>
              <w:t xml:space="preserve">Any other information relevant to Issuer  subscribers </w:t>
            </w:r>
          </w:p>
        </w:tc>
        <w:tc>
          <w:tcPr>
            <w:tcW w:w="2410"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c>
          <w:tcPr>
            <w:tcW w:w="1383" w:type="dxa"/>
            <w:shd w:val="clear" w:color="auto" w:fill="auto"/>
          </w:tcPr>
          <w:p w:rsidR="0035547B" w:rsidRPr="0035547B" w:rsidRDefault="0035547B" w:rsidP="0035547B">
            <w:pPr>
              <w:shd w:val="clear" w:color="auto" w:fill="FFFFFF"/>
              <w:jc w:val="both"/>
              <w:rPr>
                <w:rFonts w:eastAsia="Times New Roman" w:cstheme="minorHAnsi"/>
                <w:i/>
                <w:iCs/>
                <w:color w:val="4A442A" w:themeColor="background2" w:themeShade="40"/>
                <w:sz w:val="18"/>
                <w:szCs w:val="18"/>
                <w:lang w:eastAsia="en-AU"/>
              </w:rPr>
            </w:pPr>
          </w:p>
        </w:tc>
      </w:tr>
    </w:tbl>
    <w:p w:rsidR="0035547B" w:rsidRDefault="0035547B"/>
    <w:p w:rsidR="0035547B" w:rsidRPr="0035547B" w:rsidRDefault="0035547B">
      <w:pPr>
        <w:rPr>
          <w:rFonts w:ascii="Utsaah" w:hAnsi="Utsaah" w:cs="Utsaah"/>
          <w:color w:val="4A442A" w:themeColor="background2" w:themeShade="40"/>
        </w:rPr>
      </w:pPr>
    </w:p>
    <w:p w:rsidR="003A1243" w:rsidRDefault="003A1243" w:rsidP="0035547B">
      <w:pPr>
        <w:ind w:left="3600" w:firstLine="720"/>
        <w:rPr>
          <w:rFonts w:ascii="Utsaah" w:hAnsi="Utsaah" w:cs="Utsaah"/>
          <w:color w:val="4A442A" w:themeColor="background2" w:themeShade="40"/>
        </w:rPr>
      </w:pPr>
    </w:p>
    <w:p w:rsidR="0035547B" w:rsidRDefault="0035547B" w:rsidP="0035547B">
      <w:pPr>
        <w:ind w:left="3600" w:firstLine="720"/>
        <w:rPr>
          <w:rFonts w:ascii="Utsaah" w:hAnsi="Utsaah" w:cs="Utsaah"/>
          <w:color w:val="4A442A" w:themeColor="background2" w:themeShade="40"/>
        </w:rPr>
      </w:pPr>
      <w:r w:rsidRPr="0035547B">
        <w:rPr>
          <w:rFonts w:ascii="Utsaah" w:hAnsi="Utsaah" w:cs="Utsaah"/>
          <w:color w:val="4A442A" w:themeColor="background2" w:themeShade="40"/>
        </w:rPr>
        <w:t>Signed by APO  ____________________________________ date</w:t>
      </w:r>
    </w:p>
    <w:p w:rsidR="00504C34" w:rsidRDefault="00504C34" w:rsidP="0035547B">
      <w:pPr>
        <w:ind w:left="3600" w:firstLine="720"/>
        <w:rPr>
          <w:rFonts w:ascii="Utsaah" w:hAnsi="Utsaah" w:cs="Utsaah"/>
          <w:color w:val="4A442A" w:themeColor="background2" w:themeShade="40"/>
        </w:rPr>
      </w:pPr>
    </w:p>
    <w:p w:rsidR="00504C34" w:rsidRDefault="00504C34" w:rsidP="0035547B">
      <w:pPr>
        <w:ind w:left="3600" w:firstLine="720"/>
        <w:rPr>
          <w:rFonts w:ascii="Utsaah" w:hAnsi="Utsaah" w:cs="Utsaah"/>
          <w:color w:val="4A442A" w:themeColor="background2" w:themeShade="40"/>
        </w:rPr>
      </w:pPr>
    </w:p>
    <w:p w:rsidR="00504C34" w:rsidRDefault="00504C34" w:rsidP="0035547B">
      <w:pPr>
        <w:ind w:left="3600" w:firstLine="720"/>
        <w:rPr>
          <w:rFonts w:ascii="Utsaah" w:hAnsi="Utsaah" w:cs="Utsaah"/>
          <w:color w:val="4A442A" w:themeColor="background2" w:themeShade="40"/>
        </w:rPr>
      </w:pPr>
    </w:p>
    <w:p w:rsidR="00504C34" w:rsidRDefault="00504C34" w:rsidP="0035547B">
      <w:pPr>
        <w:ind w:left="3600" w:firstLine="720"/>
        <w:rPr>
          <w:rFonts w:ascii="Utsaah" w:hAnsi="Utsaah" w:cs="Utsaah"/>
          <w:color w:val="4A442A" w:themeColor="background2" w:themeShade="40"/>
        </w:rPr>
      </w:pPr>
    </w:p>
    <w:p w:rsidR="00504C34" w:rsidRDefault="00504C34" w:rsidP="0035547B">
      <w:pPr>
        <w:ind w:left="3600" w:firstLine="720"/>
        <w:rPr>
          <w:rFonts w:ascii="Utsaah" w:hAnsi="Utsaah" w:cs="Utsaah"/>
          <w:color w:val="4A442A" w:themeColor="background2" w:themeShade="40"/>
        </w:rPr>
      </w:pPr>
    </w:p>
    <w:p w:rsidR="00504C34" w:rsidRPr="0035547B" w:rsidRDefault="003A1243" w:rsidP="0035547B">
      <w:pPr>
        <w:ind w:left="3600" w:firstLine="720"/>
        <w:rPr>
          <w:rFonts w:ascii="Utsaah" w:hAnsi="Utsaah" w:cs="Utsaah"/>
          <w:color w:val="4A442A" w:themeColor="background2" w:themeShade="40"/>
        </w:rPr>
      </w:pPr>
      <w:r>
        <w:rPr>
          <w:noProof/>
          <w:lang w:eastAsia="en-AU"/>
        </w:rPr>
        <w:drawing>
          <wp:anchor distT="0" distB="0" distL="114300" distR="114300" simplePos="0" relativeHeight="251810816" behindDoc="1" locked="0" layoutInCell="1" allowOverlap="1">
            <wp:simplePos x="0" y="0"/>
            <wp:positionH relativeFrom="column">
              <wp:posOffset>-1800225</wp:posOffset>
            </wp:positionH>
            <wp:positionV relativeFrom="paragraph">
              <wp:posOffset>-1221105</wp:posOffset>
            </wp:positionV>
            <wp:extent cx="10903585" cy="1101534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ry_blue_background_i-wallpaper-2048x15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03585" cy="11015345"/>
                    </a:xfrm>
                    <a:prstGeom prst="rect">
                      <a:avLst/>
                    </a:prstGeom>
                  </pic:spPr>
                </pic:pic>
              </a:graphicData>
            </a:graphic>
          </wp:anchor>
        </w:drawing>
      </w:r>
      <w:r w:rsidR="00504C34">
        <w:rPr>
          <w:noProof/>
          <w:lang w:eastAsia="en-AU"/>
        </w:rPr>
        <w:drawing>
          <wp:anchor distT="0" distB="0" distL="114300" distR="114300" simplePos="0" relativeHeight="251812864" behindDoc="0" locked="0" layoutInCell="1" allowOverlap="1">
            <wp:simplePos x="0" y="0"/>
            <wp:positionH relativeFrom="column">
              <wp:posOffset>2080260</wp:posOffset>
            </wp:positionH>
            <wp:positionV relativeFrom="paragraph">
              <wp:posOffset>2227029</wp:posOffset>
            </wp:positionV>
            <wp:extent cx="1560830" cy="127889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hen_orange 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0830" cy="1278890"/>
                    </a:xfrm>
                    <a:prstGeom prst="rect">
                      <a:avLst/>
                    </a:prstGeom>
                  </pic:spPr>
                </pic:pic>
              </a:graphicData>
            </a:graphic>
          </wp:anchor>
        </w:drawing>
      </w:r>
    </w:p>
    <w:sectPr w:rsidR="00504C34" w:rsidRPr="0035547B" w:rsidSect="0035547B">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9B6" w:rsidRDefault="00E749B6" w:rsidP="000D49C7">
      <w:pPr>
        <w:spacing w:after="0" w:line="240" w:lineRule="auto"/>
      </w:pPr>
      <w:r>
        <w:separator/>
      </w:r>
    </w:p>
  </w:endnote>
  <w:endnote w:type="continuationSeparator" w:id="0">
    <w:p w:rsidR="00E749B6" w:rsidRDefault="00E749B6" w:rsidP="000D4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keley">
    <w:altName w:val="Berkeley"/>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Utsaah">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880262"/>
      <w:docPartObj>
        <w:docPartGallery w:val="Page Numbers (Bottom of Page)"/>
        <w:docPartUnique/>
      </w:docPartObj>
    </w:sdtPr>
    <w:sdtEndPr/>
    <w:sdtContent>
      <w:p w:rsidR="0061071A" w:rsidRDefault="00E3331C">
        <w:pPr>
          <w:pStyle w:val="Footer"/>
        </w:pPr>
        <w:r>
          <w:rPr>
            <w:noProof/>
            <w:lang w:eastAsia="en-A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0"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61071A" w:rsidRDefault="00125F50">
                    <w:pPr>
                      <w:jc w:val="center"/>
                    </w:pPr>
                    <w:r>
                      <w:fldChar w:fldCharType="begin"/>
                    </w:r>
                    <w:r w:rsidR="0061071A">
                      <w:instrText xml:space="preserve"> PAGE    \* MERGEFORMAT </w:instrText>
                    </w:r>
                    <w:r>
                      <w:fldChar w:fldCharType="separate"/>
                    </w:r>
                    <w:r w:rsidR="00E3331C">
                      <w:rPr>
                        <w:noProof/>
                      </w:rPr>
                      <w:t>1</w:t>
                    </w:r>
                    <w:r>
                      <w:rPr>
                        <w:noProof/>
                      </w:rPr>
                      <w:fldChar w:fldCharType="end"/>
                    </w:r>
                  </w:p>
                </w:txbxContent>
              </v:textbox>
              <w10:wrap anchorx="margin" anchory="margin"/>
            </v:shape>
          </w:pict>
        </w:r>
        <w:r>
          <w:rPr>
            <w:noProof/>
            <w:lang w:eastAsia="en-AU"/>
          </w:rPr>
          <w:pict>
            <v:shapetype id="_x0000_t32" coordsize="21600,21600" o:spt="32" o:oned="t" path="m,l21600,21600e" filled="f">
              <v:path arrowok="t" fillok="f" o:connecttype="none"/>
              <o:lock v:ext="edit" shapetype="t"/>
            </v:shapetype>
            <v:shape id="AutoShape 21" o:spid="_x0000_s2049"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9B6" w:rsidRDefault="00E749B6" w:rsidP="000D49C7">
      <w:pPr>
        <w:spacing w:after="0" w:line="240" w:lineRule="auto"/>
      </w:pPr>
      <w:r>
        <w:separator/>
      </w:r>
    </w:p>
  </w:footnote>
  <w:footnote w:type="continuationSeparator" w:id="0">
    <w:p w:rsidR="00E749B6" w:rsidRDefault="00E749B6" w:rsidP="000D4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2A74"/>
    <w:multiLevelType w:val="hybridMultilevel"/>
    <w:tmpl w:val="F6BC496A"/>
    <w:lvl w:ilvl="0" w:tplc="0C090001">
      <w:start w:val="1"/>
      <w:numFmt w:val="bullet"/>
      <w:lvlText w:val=""/>
      <w:lvlJc w:val="left"/>
      <w:pPr>
        <w:tabs>
          <w:tab w:val="num" w:pos="720"/>
        </w:tabs>
        <w:ind w:left="720" w:hanging="360"/>
      </w:pPr>
      <w:rPr>
        <w:rFonts w:ascii="Symbol" w:hAnsi="Symbol" w:hint="default"/>
      </w:rPr>
    </w:lvl>
    <w:lvl w:ilvl="1" w:tplc="FF761F42">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92A4985"/>
    <w:multiLevelType w:val="hybridMultilevel"/>
    <w:tmpl w:val="6894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8D1FBF"/>
    <w:multiLevelType w:val="hybridMultilevel"/>
    <w:tmpl w:val="3E8CF03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EE2C77"/>
    <w:multiLevelType w:val="hybridMultilevel"/>
    <w:tmpl w:val="F96E95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7B54F9"/>
    <w:multiLevelType w:val="hybridMultilevel"/>
    <w:tmpl w:val="D2CA3D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8024921"/>
    <w:multiLevelType w:val="hybridMultilevel"/>
    <w:tmpl w:val="11C887BE"/>
    <w:lvl w:ilvl="0" w:tplc="266EBB72">
      <w:start w:val="1"/>
      <w:numFmt w:val="bullet"/>
      <w:pStyle w:val="Bullet"/>
      <w:lvlText w:val=""/>
      <w:lvlJc w:val="left"/>
      <w:pPr>
        <w:ind w:left="1080" w:hanging="360"/>
      </w:pPr>
      <w:rPr>
        <w:rFonts w:ascii="Symbol" w:hAnsi="Symbol" w:hint="default"/>
        <w:sz w:val="16"/>
      </w:rPr>
    </w:lvl>
    <w:lvl w:ilvl="1" w:tplc="407A0778">
      <w:numFmt w:val="decimal"/>
      <w:pStyle w:val="DiscussionQuestionBullet"/>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
    <w:nsid w:val="5A9D7B98"/>
    <w:multiLevelType w:val="hybridMultilevel"/>
    <w:tmpl w:val="79924A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2BA1088"/>
    <w:multiLevelType w:val="hybridMultilevel"/>
    <w:tmpl w:val="E1A03E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48B503B"/>
    <w:multiLevelType w:val="hybridMultilevel"/>
    <w:tmpl w:val="627453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8"/>
  </w:num>
  <w:num w:numId="4">
    <w:abstractNumId w:val="1"/>
  </w:num>
  <w:num w:numId="5">
    <w:abstractNumId w:val="6"/>
  </w:num>
  <w:num w:numId="6">
    <w:abstractNumId w:val="5"/>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characterSpacingControl w:val="doNotCompress"/>
  <w:hdrShapeDefaults>
    <o:shapedefaults v:ext="edit" spidmax="2052"/>
    <o:shapelayout v:ext="edit">
      <o:idmap v:ext="edit" data="2"/>
      <o:rules v:ext="edit">
        <o:r id="V:Rule2" type="connector" idref="#AutoShape 21"/>
      </o:rules>
    </o:shapelayout>
  </w:hdrShapeDefaults>
  <w:footnotePr>
    <w:footnote w:id="-1"/>
    <w:footnote w:id="0"/>
  </w:footnotePr>
  <w:endnotePr>
    <w:endnote w:id="-1"/>
    <w:endnote w:id="0"/>
  </w:endnotePr>
  <w:compat>
    <w:compatSetting w:name="compatibilityMode" w:uri="http://schemas.microsoft.com/office/word" w:val="12"/>
  </w:compat>
  <w:rsids>
    <w:rsidRoot w:val="008C4CA8"/>
    <w:rsid w:val="00012E22"/>
    <w:rsid w:val="000133CA"/>
    <w:rsid w:val="00063D72"/>
    <w:rsid w:val="00085BDF"/>
    <w:rsid w:val="000D11AC"/>
    <w:rsid w:val="000D49C7"/>
    <w:rsid w:val="000F7294"/>
    <w:rsid w:val="001129F6"/>
    <w:rsid w:val="001163A0"/>
    <w:rsid w:val="00125F50"/>
    <w:rsid w:val="00145DD7"/>
    <w:rsid w:val="00171882"/>
    <w:rsid w:val="00185844"/>
    <w:rsid w:val="001A1B0D"/>
    <w:rsid w:val="001A34C3"/>
    <w:rsid w:val="001A6121"/>
    <w:rsid w:val="001B0D13"/>
    <w:rsid w:val="001D3279"/>
    <w:rsid w:val="001E3724"/>
    <w:rsid w:val="001F53D1"/>
    <w:rsid w:val="002018A9"/>
    <w:rsid w:val="00212595"/>
    <w:rsid w:val="0022110E"/>
    <w:rsid w:val="00233BF2"/>
    <w:rsid w:val="00264784"/>
    <w:rsid w:val="00264E35"/>
    <w:rsid w:val="002770A1"/>
    <w:rsid w:val="00277228"/>
    <w:rsid w:val="002E68BC"/>
    <w:rsid w:val="002E7155"/>
    <w:rsid w:val="00313AC6"/>
    <w:rsid w:val="0035547B"/>
    <w:rsid w:val="00371BE7"/>
    <w:rsid w:val="00384353"/>
    <w:rsid w:val="003A1243"/>
    <w:rsid w:val="003A502F"/>
    <w:rsid w:val="003B55C8"/>
    <w:rsid w:val="003C7777"/>
    <w:rsid w:val="003F715B"/>
    <w:rsid w:val="00405747"/>
    <w:rsid w:val="0042541D"/>
    <w:rsid w:val="00454D23"/>
    <w:rsid w:val="00472EC4"/>
    <w:rsid w:val="0049105D"/>
    <w:rsid w:val="00496026"/>
    <w:rsid w:val="004C2390"/>
    <w:rsid w:val="004D420D"/>
    <w:rsid w:val="004D75E3"/>
    <w:rsid w:val="004E13CA"/>
    <w:rsid w:val="00504C34"/>
    <w:rsid w:val="005163C5"/>
    <w:rsid w:val="00517531"/>
    <w:rsid w:val="00523B12"/>
    <w:rsid w:val="005444E3"/>
    <w:rsid w:val="005539FB"/>
    <w:rsid w:val="00557BBC"/>
    <w:rsid w:val="00590E19"/>
    <w:rsid w:val="005C168E"/>
    <w:rsid w:val="005D19E1"/>
    <w:rsid w:val="005D4891"/>
    <w:rsid w:val="005F774C"/>
    <w:rsid w:val="0060217F"/>
    <w:rsid w:val="00603F62"/>
    <w:rsid w:val="0061071A"/>
    <w:rsid w:val="00616507"/>
    <w:rsid w:val="00693FCC"/>
    <w:rsid w:val="006E5652"/>
    <w:rsid w:val="006E621C"/>
    <w:rsid w:val="00742A50"/>
    <w:rsid w:val="00746D72"/>
    <w:rsid w:val="00757371"/>
    <w:rsid w:val="00774DF2"/>
    <w:rsid w:val="007C759E"/>
    <w:rsid w:val="007E58AA"/>
    <w:rsid w:val="008141BB"/>
    <w:rsid w:val="00817765"/>
    <w:rsid w:val="00856DA7"/>
    <w:rsid w:val="008834E4"/>
    <w:rsid w:val="008C4CA8"/>
    <w:rsid w:val="008F64C9"/>
    <w:rsid w:val="00907FC7"/>
    <w:rsid w:val="009323CD"/>
    <w:rsid w:val="0096485B"/>
    <w:rsid w:val="00971E8C"/>
    <w:rsid w:val="0097697A"/>
    <w:rsid w:val="00990576"/>
    <w:rsid w:val="00993C07"/>
    <w:rsid w:val="00994127"/>
    <w:rsid w:val="009D7632"/>
    <w:rsid w:val="00A36A31"/>
    <w:rsid w:val="00A40DE7"/>
    <w:rsid w:val="00A43431"/>
    <w:rsid w:val="00A72C2D"/>
    <w:rsid w:val="00AA36D7"/>
    <w:rsid w:val="00AA60FC"/>
    <w:rsid w:val="00AB7DB0"/>
    <w:rsid w:val="00AE0ED1"/>
    <w:rsid w:val="00B03260"/>
    <w:rsid w:val="00B424FB"/>
    <w:rsid w:val="00B56DF4"/>
    <w:rsid w:val="00B62144"/>
    <w:rsid w:val="00B6591A"/>
    <w:rsid w:val="00B7503D"/>
    <w:rsid w:val="00B96031"/>
    <w:rsid w:val="00BC3281"/>
    <w:rsid w:val="00BD144D"/>
    <w:rsid w:val="00BF13F8"/>
    <w:rsid w:val="00C16ED9"/>
    <w:rsid w:val="00C22F3B"/>
    <w:rsid w:val="00C23713"/>
    <w:rsid w:val="00C24972"/>
    <w:rsid w:val="00C808E3"/>
    <w:rsid w:val="00CD524F"/>
    <w:rsid w:val="00CE1CD5"/>
    <w:rsid w:val="00CF63F7"/>
    <w:rsid w:val="00D143D4"/>
    <w:rsid w:val="00D778BA"/>
    <w:rsid w:val="00E037DF"/>
    <w:rsid w:val="00E2231B"/>
    <w:rsid w:val="00E3331C"/>
    <w:rsid w:val="00E550C0"/>
    <w:rsid w:val="00E749B6"/>
    <w:rsid w:val="00F43F17"/>
    <w:rsid w:val="00F53F43"/>
    <w:rsid w:val="00F56ED2"/>
    <w:rsid w:val="00F876C4"/>
    <w:rsid w:val="00F93497"/>
    <w:rsid w:val="00FA3D39"/>
    <w:rsid w:val="00FA7DC6"/>
    <w:rsid w:val="00FC5D46"/>
    <w:rsid w:val="00FE07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0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1BB"/>
    <w:rPr>
      <w:rFonts w:ascii="Tahoma" w:hAnsi="Tahoma" w:cs="Tahoma"/>
      <w:sz w:val="16"/>
      <w:szCs w:val="16"/>
    </w:rPr>
  </w:style>
  <w:style w:type="character" w:styleId="Hyperlink">
    <w:name w:val="Hyperlink"/>
    <w:basedOn w:val="DefaultParagraphFont"/>
    <w:uiPriority w:val="99"/>
    <w:unhideWhenUsed/>
    <w:rsid w:val="0022110E"/>
    <w:rPr>
      <w:color w:val="0000FF" w:themeColor="hyperlink"/>
      <w:u w:val="single"/>
    </w:rPr>
  </w:style>
  <w:style w:type="paragraph" w:styleId="Header">
    <w:name w:val="header"/>
    <w:basedOn w:val="Normal"/>
    <w:link w:val="HeaderChar"/>
    <w:uiPriority w:val="99"/>
    <w:unhideWhenUsed/>
    <w:rsid w:val="000D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9C7"/>
  </w:style>
  <w:style w:type="paragraph" w:styleId="Footer">
    <w:name w:val="footer"/>
    <w:basedOn w:val="Normal"/>
    <w:link w:val="FooterChar"/>
    <w:uiPriority w:val="99"/>
    <w:unhideWhenUsed/>
    <w:rsid w:val="000D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9C7"/>
  </w:style>
  <w:style w:type="paragraph" w:styleId="NoSpacing">
    <w:name w:val="No Spacing"/>
    <w:uiPriority w:val="1"/>
    <w:qFormat/>
    <w:rsid w:val="000D49C7"/>
    <w:pPr>
      <w:widowControl w:val="0"/>
      <w:spacing w:after="0" w:line="240" w:lineRule="auto"/>
    </w:pPr>
    <w:rPr>
      <w:lang w:val="en-US"/>
    </w:rPr>
  </w:style>
  <w:style w:type="paragraph" w:customStyle="1" w:styleId="Default">
    <w:name w:val="Default"/>
    <w:rsid w:val="001D327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12E2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D23"/>
    <w:pPr>
      <w:spacing w:after="0" w:line="240" w:lineRule="auto"/>
      <w:ind w:left="720"/>
      <w:contextualSpacing/>
    </w:pPr>
    <w:rPr>
      <w:sz w:val="20"/>
      <w:szCs w:val="20"/>
    </w:rPr>
  </w:style>
  <w:style w:type="paragraph" w:customStyle="1" w:styleId="CM36">
    <w:name w:val="CM36"/>
    <w:basedOn w:val="Default"/>
    <w:next w:val="Default"/>
    <w:rsid w:val="00616507"/>
    <w:pPr>
      <w:widowControl w:val="0"/>
      <w:spacing w:after="263"/>
    </w:pPr>
    <w:rPr>
      <w:rFonts w:ascii="Berkeley" w:eastAsia="Times New Roman" w:hAnsi="Berkeley" w:cs="Berkeley"/>
      <w:color w:val="auto"/>
      <w:lang w:eastAsia="en-AU"/>
    </w:rPr>
  </w:style>
  <w:style w:type="paragraph" w:customStyle="1" w:styleId="Bullet">
    <w:name w:val="Bullet"/>
    <w:basedOn w:val="Normal"/>
    <w:rsid w:val="00616507"/>
    <w:pPr>
      <w:numPr>
        <w:numId w:val="6"/>
      </w:numPr>
      <w:spacing w:after="220" w:line="260" w:lineRule="atLeast"/>
      <w:jc w:val="both"/>
    </w:pPr>
    <w:rPr>
      <w:rFonts w:ascii="Times New Roman" w:eastAsia="Times New Roman" w:hAnsi="Times New Roman" w:cs="Times New Roman"/>
      <w:color w:val="000000"/>
      <w:szCs w:val="20"/>
    </w:rPr>
  </w:style>
  <w:style w:type="paragraph" w:customStyle="1" w:styleId="DiscussionQuestionBullet">
    <w:name w:val="DiscussionQuestionBullet"/>
    <w:basedOn w:val="Normal"/>
    <w:rsid w:val="00616507"/>
    <w:pPr>
      <w:numPr>
        <w:ilvl w:val="1"/>
        <w:numId w:val="6"/>
      </w:numPr>
      <w:pBdr>
        <w:top w:val="single" w:sz="4" w:space="6" w:color="E0AA0F"/>
        <w:left w:val="single" w:sz="4" w:space="6" w:color="E0AA0F"/>
        <w:bottom w:val="single" w:sz="4" w:space="6" w:color="E0AA0F"/>
        <w:right w:val="single" w:sz="4" w:space="6" w:color="E0AA0F"/>
      </w:pBdr>
      <w:shd w:val="pct20" w:color="E0AA0F" w:fill="auto"/>
      <w:spacing w:before="120" w:after="120" w:line="260" w:lineRule="atLeast"/>
      <w:ind w:left="720"/>
      <w:jc w:val="both"/>
    </w:pPr>
    <w:rPr>
      <w:rFonts w:ascii="Times New Roman" w:eastAsia="Times New Roman" w:hAnsi="Times New Roman" w:cs="Times New Roman"/>
      <w:color w:val="000000"/>
      <w:szCs w:val="20"/>
    </w:rPr>
  </w:style>
  <w:style w:type="paragraph" w:customStyle="1" w:styleId="CM35">
    <w:name w:val="CM35"/>
    <w:basedOn w:val="Default"/>
    <w:next w:val="Default"/>
    <w:rsid w:val="00616507"/>
    <w:pPr>
      <w:widowControl w:val="0"/>
      <w:spacing w:after="120"/>
    </w:pPr>
    <w:rPr>
      <w:rFonts w:ascii="Berkeley" w:eastAsia="Times New Roman" w:hAnsi="Berkeley" w:cs="Berkeley"/>
      <w:color w:val="auto"/>
      <w:lang w:eastAsia="en-AU"/>
    </w:rPr>
  </w:style>
  <w:style w:type="paragraph" w:customStyle="1" w:styleId="CM43">
    <w:name w:val="CM43"/>
    <w:basedOn w:val="Default"/>
    <w:next w:val="Default"/>
    <w:rsid w:val="00616507"/>
    <w:pPr>
      <w:widowControl w:val="0"/>
      <w:spacing w:after="58"/>
    </w:pPr>
    <w:rPr>
      <w:rFonts w:ascii="Berkeley" w:eastAsia="Times New Roman" w:hAnsi="Berkeley" w:cs="Berkeley"/>
      <w:color w:val="auto"/>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1BB"/>
    <w:rPr>
      <w:rFonts w:ascii="Tahoma" w:hAnsi="Tahoma" w:cs="Tahoma"/>
      <w:sz w:val="16"/>
      <w:szCs w:val="16"/>
    </w:rPr>
  </w:style>
  <w:style w:type="character" w:styleId="Hyperlink">
    <w:name w:val="Hyperlink"/>
    <w:basedOn w:val="DefaultParagraphFont"/>
    <w:uiPriority w:val="99"/>
    <w:unhideWhenUsed/>
    <w:rsid w:val="0022110E"/>
    <w:rPr>
      <w:color w:val="0000FF" w:themeColor="hyperlink"/>
      <w:u w:val="single"/>
    </w:rPr>
  </w:style>
  <w:style w:type="paragraph" w:styleId="Header">
    <w:name w:val="header"/>
    <w:basedOn w:val="Normal"/>
    <w:link w:val="HeaderChar"/>
    <w:uiPriority w:val="99"/>
    <w:unhideWhenUsed/>
    <w:rsid w:val="000D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9C7"/>
  </w:style>
  <w:style w:type="paragraph" w:styleId="Footer">
    <w:name w:val="footer"/>
    <w:basedOn w:val="Normal"/>
    <w:link w:val="FooterChar"/>
    <w:uiPriority w:val="99"/>
    <w:unhideWhenUsed/>
    <w:rsid w:val="000D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9C7"/>
  </w:style>
  <w:style w:type="paragraph" w:styleId="NoSpacing">
    <w:name w:val="No Spacing"/>
    <w:uiPriority w:val="1"/>
    <w:qFormat/>
    <w:rsid w:val="000D49C7"/>
    <w:pPr>
      <w:widowControl w:val="0"/>
      <w:spacing w:after="0" w:line="240" w:lineRule="auto"/>
    </w:pPr>
    <w:rPr>
      <w:lang w:val="en-US"/>
    </w:rPr>
  </w:style>
  <w:style w:type="paragraph" w:customStyle="1" w:styleId="Default">
    <w:name w:val="Default"/>
    <w:rsid w:val="001D327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12E2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D23"/>
    <w:pPr>
      <w:spacing w:after="0" w:line="240" w:lineRule="auto"/>
      <w:ind w:left="720"/>
      <w:contextualSpacing/>
    </w:pPr>
    <w:rPr>
      <w:sz w:val="20"/>
      <w:szCs w:val="20"/>
    </w:rPr>
  </w:style>
  <w:style w:type="paragraph" w:customStyle="1" w:styleId="CM36">
    <w:name w:val="CM36"/>
    <w:basedOn w:val="Default"/>
    <w:next w:val="Default"/>
    <w:rsid w:val="00616507"/>
    <w:pPr>
      <w:widowControl w:val="0"/>
      <w:spacing w:after="263"/>
    </w:pPr>
    <w:rPr>
      <w:rFonts w:ascii="Berkeley" w:eastAsia="Times New Roman" w:hAnsi="Berkeley" w:cs="Berkeley"/>
      <w:color w:val="auto"/>
      <w:lang w:eastAsia="en-AU"/>
    </w:rPr>
  </w:style>
  <w:style w:type="paragraph" w:customStyle="1" w:styleId="Bullet">
    <w:name w:val="Bullet"/>
    <w:basedOn w:val="Normal"/>
    <w:rsid w:val="00616507"/>
    <w:pPr>
      <w:numPr>
        <w:numId w:val="6"/>
      </w:numPr>
      <w:spacing w:after="220" w:line="260" w:lineRule="atLeast"/>
      <w:jc w:val="both"/>
    </w:pPr>
    <w:rPr>
      <w:rFonts w:ascii="Times New Roman" w:eastAsia="Times New Roman" w:hAnsi="Times New Roman" w:cs="Times New Roman"/>
      <w:color w:val="000000"/>
      <w:szCs w:val="20"/>
    </w:rPr>
  </w:style>
  <w:style w:type="paragraph" w:customStyle="1" w:styleId="DiscussionQuestionBullet">
    <w:name w:val="DiscussionQuestionBullet"/>
    <w:basedOn w:val="Normal"/>
    <w:rsid w:val="00616507"/>
    <w:pPr>
      <w:numPr>
        <w:ilvl w:val="1"/>
        <w:numId w:val="6"/>
      </w:numPr>
      <w:pBdr>
        <w:top w:val="single" w:sz="4" w:space="6" w:color="E0AA0F"/>
        <w:left w:val="single" w:sz="4" w:space="6" w:color="E0AA0F"/>
        <w:bottom w:val="single" w:sz="4" w:space="6" w:color="E0AA0F"/>
        <w:right w:val="single" w:sz="4" w:space="6" w:color="E0AA0F"/>
      </w:pBdr>
      <w:shd w:val="pct20" w:color="E0AA0F" w:fill="auto"/>
      <w:spacing w:before="120" w:after="120" w:line="260" w:lineRule="atLeast"/>
      <w:ind w:left="720"/>
      <w:jc w:val="both"/>
    </w:pPr>
    <w:rPr>
      <w:rFonts w:ascii="Times New Roman" w:eastAsia="Times New Roman" w:hAnsi="Times New Roman" w:cs="Times New Roman"/>
      <w:color w:val="000000"/>
      <w:szCs w:val="20"/>
    </w:rPr>
  </w:style>
  <w:style w:type="paragraph" w:customStyle="1" w:styleId="CM35">
    <w:name w:val="CM35"/>
    <w:basedOn w:val="Default"/>
    <w:next w:val="Default"/>
    <w:rsid w:val="00616507"/>
    <w:pPr>
      <w:widowControl w:val="0"/>
      <w:spacing w:after="120"/>
    </w:pPr>
    <w:rPr>
      <w:rFonts w:ascii="Berkeley" w:eastAsia="Times New Roman" w:hAnsi="Berkeley" w:cs="Berkeley"/>
      <w:color w:val="auto"/>
      <w:lang w:eastAsia="en-AU"/>
    </w:rPr>
  </w:style>
  <w:style w:type="paragraph" w:customStyle="1" w:styleId="CM43">
    <w:name w:val="CM43"/>
    <w:basedOn w:val="Default"/>
    <w:next w:val="Default"/>
    <w:rsid w:val="00616507"/>
    <w:pPr>
      <w:widowControl w:val="0"/>
      <w:spacing w:after="58"/>
    </w:pPr>
    <w:rPr>
      <w:rFonts w:ascii="Berkeley" w:eastAsia="Times New Roman" w:hAnsi="Berkeley" w:cs="Berkeley"/>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fathen.vc"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csef@treasury.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athen.vc"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dd4adf-ddb3-46a3-8d7c-fab3fb2a6bc7">
      <Value>7</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d4dd4adf-ddb3-46a3-8d7c-fab3fb2a6bc7">2014MG-93-11459</_dlc_DocId>
    <_dlc_DocIdUrl xmlns="d4dd4adf-ddb3-46a3-8d7c-fab3fb2a6bc7">
      <Url>http://tweb/sites/mg/fsd/_layouts/15/DocIdRedir.aspx?ID=2014MG-93-11459</Url>
      <Description>2014MG-93-11459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A4C39F1D50EC0F4EBD06D6A3817BE15D" ma:contentTypeVersion="17" ma:contentTypeDescription=" " ma:contentTypeScope="" ma:versionID="05e352d8acc251fe0bdd3962f7e88859">
  <xsd:schema xmlns:xsd="http://www.w3.org/2001/XMLSchema" xmlns:xs="http://www.w3.org/2001/XMLSchema" xmlns:p="http://schemas.microsoft.com/office/2006/metadata/properties" xmlns:ns1="http://schemas.microsoft.com/sharepoint/v3" xmlns:ns2="d4dd4adf-ddb3-46a3-8d7c-fab3fb2a6bc7" targetNamespace="http://schemas.microsoft.com/office/2006/metadata/properties" ma:root="true" ma:fieldsID="86a65ed0b00e7401c108b4db23034070" ns1:_="" ns2:_="">
    <xsd:import namespace="http://schemas.microsoft.com/sharepoint/v3"/>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D9515-BFED-4E11-8CBF-AACECBB2E449}">
  <ds:schemaRefs>
    <ds:schemaRef ds:uri="http://schemas.microsoft.com/office/2006/metadata/properties"/>
    <ds:schemaRef ds:uri="http://schemas.microsoft.com/office/infopath/2007/PartnerControls"/>
    <ds:schemaRef ds:uri="d4dd4adf-ddb3-46a3-8d7c-fab3fb2a6bc7"/>
  </ds:schemaRefs>
</ds:datastoreItem>
</file>

<file path=customXml/itemProps2.xml><?xml version="1.0" encoding="utf-8"?>
<ds:datastoreItem xmlns:ds="http://schemas.openxmlformats.org/officeDocument/2006/customXml" ds:itemID="{26433266-6EAF-4005-A879-D4A50AA00ACD}">
  <ds:schemaRefs>
    <ds:schemaRef ds:uri="http://schemas.microsoft.com/sharepoint/v3/contenttype/forms"/>
  </ds:schemaRefs>
</ds:datastoreItem>
</file>

<file path=customXml/itemProps3.xml><?xml version="1.0" encoding="utf-8"?>
<ds:datastoreItem xmlns:ds="http://schemas.openxmlformats.org/officeDocument/2006/customXml" ds:itemID="{CDFE033B-2290-424B-BE54-7BEBB3167C52}">
  <ds:schemaRefs>
    <ds:schemaRef ds:uri="http://schemas.microsoft.com/sharepoint/events"/>
  </ds:schemaRefs>
</ds:datastoreItem>
</file>

<file path=customXml/itemProps4.xml><?xml version="1.0" encoding="utf-8"?>
<ds:datastoreItem xmlns:ds="http://schemas.openxmlformats.org/officeDocument/2006/customXml" ds:itemID="{69B1FADF-98B7-4BE7-94CB-A94A88559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AF0CC6-8571-468D-AD58-7BAF2A99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5261</Words>
  <Characters>27450</Characters>
  <Application>Microsoft Office Word</Application>
  <DocSecurity>0</DocSecurity>
  <Lines>1334</Lines>
  <Paragraphs>276</Paragraphs>
  <ScaleCrop>false</ScaleCrop>
  <HeadingPairs>
    <vt:vector size="2" baseType="variant">
      <vt:variant>
        <vt:lpstr>Title</vt:lpstr>
      </vt:variant>
      <vt:variant>
        <vt:i4>1</vt:i4>
      </vt:variant>
    </vt:vector>
  </HeadingPairs>
  <TitlesOfParts>
    <vt:vector size="1" baseType="lpstr">
      <vt:lpstr>Fat Hen Ventures - Crowd-sourced Equity Funding</vt:lpstr>
    </vt:vector>
  </TitlesOfParts>
  <Company/>
  <LinksUpToDate>false</LinksUpToDate>
  <CharactersWithSpaces>32586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 Hen Ventures - Crowd-sourced Equity Funding</dc:title>
  <dc:creator/>
  <cp:lastModifiedBy/>
  <cp:revision>1</cp:revision>
  <dcterms:created xsi:type="dcterms:W3CDTF">2015-04-14T04:38:00Z</dcterms:created>
  <dcterms:modified xsi:type="dcterms:W3CDTF">2015-04-14T05:26:00Z</dcterms:modified>
  <dc:language>English</dc:language>
</cp:coreProperties>
</file>