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E33A67" w:rsidRPr="006D6F92" w14:paraId="01462D27" w14:textId="77777777" w:rsidTr="00E33A67">
        <w:tc>
          <w:tcPr>
            <w:tcW w:w="7087" w:type="dxa"/>
            <w:shd w:val="clear" w:color="auto" w:fill="auto"/>
          </w:tcPr>
          <w:p w14:paraId="0D3B6F74" w14:textId="77777777" w:rsidR="00E33A67" w:rsidRPr="006D6F92" w:rsidRDefault="00E33A67" w:rsidP="00E33A67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 w:rsidRPr="006D6F92">
              <w:rPr>
                <w:b/>
                <w:sz w:val="26"/>
              </w:rPr>
              <w:t>EXPOSURE DRAFT</w:t>
            </w:r>
          </w:p>
          <w:p w14:paraId="3C2F6518" w14:textId="77777777" w:rsidR="00E33A67" w:rsidRPr="006D6F92" w:rsidRDefault="00E33A67" w:rsidP="00E33A67">
            <w:pPr>
              <w:rPr>
                <w:b/>
                <w:sz w:val="20"/>
              </w:rPr>
            </w:pPr>
          </w:p>
        </w:tc>
      </w:tr>
    </w:tbl>
    <w:p w14:paraId="7C3EE610" w14:textId="77777777" w:rsidR="00E33A67" w:rsidRPr="00E33A67" w:rsidRDefault="00E33A67" w:rsidP="00E33A67">
      <w:pPr>
        <w:rPr>
          <w:sz w:val="32"/>
          <w:szCs w:val="32"/>
        </w:rPr>
      </w:pPr>
    </w:p>
    <w:p w14:paraId="140CFD29" w14:textId="77777777" w:rsidR="00664C63" w:rsidRPr="00E33A67" w:rsidRDefault="00664C63" w:rsidP="00E33A67">
      <w:pPr>
        <w:rPr>
          <w:sz w:val="32"/>
          <w:szCs w:val="32"/>
        </w:rPr>
      </w:pPr>
      <w:r w:rsidRPr="00E33A67">
        <w:rPr>
          <w:sz w:val="32"/>
          <w:szCs w:val="32"/>
        </w:rPr>
        <w:t>Inserts for</w:t>
      </w:r>
    </w:p>
    <w:p w14:paraId="5158CACF" w14:textId="77777777" w:rsidR="00664C63" w:rsidRPr="00E33A67" w:rsidRDefault="00B60095" w:rsidP="00E33A67">
      <w:pPr>
        <w:pStyle w:val="ShortT"/>
      </w:pPr>
      <w:r w:rsidRPr="00E33A67">
        <w:t>Tax and Superannuation Laws Amendment (2014 Measures No.</w:t>
      </w:r>
      <w:r w:rsidR="00E33A67" w:rsidRPr="00E33A67">
        <w:t> </w:t>
      </w:r>
      <w:r w:rsidRPr="00E33A67">
        <w:t>2) Bill 2014</w:t>
      </w:r>
      <w:r w:rsidR="00664C63" w:rsidRPr="00E33A67">
        <w:t xml:space="preserve">: </w:t>
      </w:r>
      <w:r w:rsidRPr="00E33A67">
        <w:t xml:space="preserve">Protection for </w:t>
      </w:r>
      <w:r w:rsidR="00BC1FBA" w:rsidRPr="00E33A67">
        <w:t xml:space="preserve">discontinued </w:t>
      </w:r>
      <w:r w:rsidRPr="00E33A67">
        <w:t>announced measures</w:t>
      </w:r>
    </w:p>
    <w:p w14:paraId="56695AE3" w14:textId="77777777" w:rsidR="00664C63" w:rsidRPr="00E33A67" w:rsidRDefault="00664C63" w:rsidP="00E33A67">
      <w:pPr>
        <w:jc w:val="center"/>
      </w:pPr>
    </w:p>
    <w:p w14:paraId="22D0A1B0" w14:textId="77777777" w:rsidR="00664C63" w:rsidRPr="00E33A67" w:rsidRDefault="00664C63" w:rsidP="00E33A6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6D6F92" w14:paraId="462166C0" w14:textId="77777777" w:rsidTr="00CE38B7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8D7B401" w14:textId="77777777" w:rsidR="00664C63" w:rsidRPr="00E33A67" w:rsidRDefault="00664C63" w:rsidP="00E33A67">
            <w:pPr>
              <w:pStyle w:val="TableHeading"/>
            </w:pPr>
            <w:r w:rsidRPr="00E33A67">
              <w:t>Commencement information</w:t>
            </w:r>
          </w:p>
        </w:tc>
      </w:tr>
      <w:tr w:rsidR="00664C63" w:rsidRPr="006D6F92" w14:paraId="32C4A3B3" w14:textId="77777777" w:rsidTr="00CE38B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FAC2B" w14:textId="77777777" w:rsidR="00664C63" w:rsidRPr="00E33A67" w:rsidRDefault="00664C63" w:rsidP="00E33A67">
            <w:pPr>
              <w:pStyle w:val="TableHeading"/>
            </w:pPr>
            <w:r w:rsidRPr="00E33A67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2CADFB" w14:textId="77777777" w:rsidR="00664C63" w:rsidRPr="00E33A67" w:rsidRDefault="00664C63" w:rsidP="00E33A67">
            <w:pPr>
              <w:pStyle w:val="TableHeading"/>
            </w:pPr>
            <w:r w:rsidRPr="00E33A67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1B7783" w14:textId="77777777" w:rsidR="00664C63" w:rsidRPr="00E33A67" w:rsidRDefault="00664C63" w:rsidP="00E33A67">
            <w:pPr>
              <w:pStyle w:val="TableHeading"/>
            </w:pPr>
            <w:r w:rsidRPr="00E33A67">
              <w:t>Column 3</w:t>
            </w:r>
          </w:p>
        </w:tc>
      </w:tr>
      <w:tr w:rsidR="00664C63" w:rsidRPr="006D6F92" w14:paraId="14012E42" w14:textId="77777777" w:rsidTr="00CE38B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CC8CBF7" w14:textId="77777777" w:rsidR="00664C63" w:rsidRPr="00E33A67" w:rsidRDefault="00664C63" w:rsidP="00E33A67">
            <w:pPr>
              <w:pStyle w:val="TableHeading"/>
            </w:pPr>
            <w:r w:rsidRPr="00E33A67">
              <w:t>Provision(s)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E459692" w14:textId="77777777" w:rsidR="00664C63" w:rsidRPr="00E33A67" w:rsidRDefault="00664C63" w:rsidP="00E33A67">
            <w:pPr>
              <w:pStyle w:val="TableHeading"/>
            </w:pPr>
            <w:r w:rsidRPr="00E33A67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EAE690E" w14:textId="77777777" w:rsidR="00664C63" w:rsidRPr="00E33A67" w:rsidRDefault="00664C63" w:rsidP="00E33A67">
            <w:pPr>
              <w:pStyle w:val="TableHeading"/>
            </w:pPr>
            <w:r w:rsidRPr="00E33A67">
              <w:t>Date/Details</w:t>
            </w:r>
          </w:p>
        </w:tc>
      </w:tr>
      <w:tr w:rsidR="00664C63" w:rsidRPr="006D6F92" w14:paraId="4933E626" w14:textId="77777777" w:rsidTr="00CE38B7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584A3C" w14:textId="77777777" w:rsidR="00664C63" w:rsidRPr="00E33A67" w:rsidRDefault="00664C63" w:rsidP="00E33A67">
            <w:pPr>
              <w:pStyle w:val="Tabletext"/>
            </w:pPr>
            <w:r w:rsidRPr="00E33A67">
              <w:t xml:space="preserve">1.  </w:t>
            </w:r>
            <w:r w:rsidR="000D5A8F" w:rsidRPr="00E33A67">
              <w:t>Schedule #—</w:t>
            </w:r>
            <w:r w:rsidR="002F329E" w:rsidRPr="00E33A67">
              <w:t>Protection for anticipation of certain discontinued announcements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249260" w14:textId="77777777" w:rsidR="00664C63" w:rsidRPr="00E33A67" w:rsidRDefault="000D5A8F" w:rsidP="00E33A67">
            <w:pPr>
              <w:pStyle w:val="Tabletext"/>
            </w:pPr>
            <w:r w:rsidRPr="00E33A67">
              <w:t xml:space="preserve">The day </w:t>
            </w:r>
            <w:r w:rsidR="00E00FC1" w:rsidRPr="00E33A67">
              <w:t>this Act</w:t>
            </w:r>
            <w:r w:rsidRPr="00E33A67">
              <w:t xml:space="preserve">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1037A7" w14:textId="77777777" w:rsidR="00664C63" w:rsidRPr="00E33A67" w:rsidRDefault="00664C63" w:rsidP="00E33A67">
            <w:pPr>
              <w:pStyle w:val="Tabletext"/>
            </w:pPr>
          </w:p>
        </w:tc>
      </w:tr>
    </w:tbl>
    <w:p w14:paraId="67110988" w14:textId="77777777" w:rsidR="00E22105" w:rsidRPr="00E33A67" w:rsidRDefault="00E22105" w:rsidP="00E33A67">
      <w:pPr>
        <w:rPr>
          <w:sz w:val="32"/>
        </w:rPr>
      </w:pPr>
    </w:p>
    <w:p w14:paraId="13A79C6C" w14:textId="77777777" w:rsidR="0033411C" w:rsidRPr="00E33A67" w:rsidRDefault="0033411C" w:rsidP="00E33A67">
      <w:pPr>
        <w:rPr>
          <w:sz w:val="32"/>
        </w:rPr>
      </w:pPr>
    </w:p>
    <w:p w14:paraId="202891EF" w14:textId="77777777" w:rsidR="00473802" w:rsidRPr="00E33A67" w:rsidRDefault="00473802" w:rsidP="00E33A67">
      <w:pPr>
        <w:pStyle w:val="ActHead6"/>
        <w:pageBreakBefore/>
      </w:pPr>
      <w:bookmarkStart w:id="1" w:name="_Toc379872024"/>
      <w:bookmarkStart w:id="2" w:name="opcAmSched"/>
      <w:bookmarkStart w:id="3" w:name="opcCurrentFind"/>
      <w:r w:rsidRPr="00E33A67">
        <w:rPr>
          <w:rStyle w:val="CharAmSchNo"/>
        </w:rPr>
        <w:lastRenderedPageBreak/>
        <w:t>Schedule #</w:t>
      </w:r>
      <w:r w:rsidRPr="00E33A67">
        <w:t>—</w:t>
      </w:r>
      <w:r w:rsidRPr="00E33A67">
        <w:rPr>
          <w:rStyle w:val="CharAmSchText"/>
        </w:rPr>
        <w:t xml:space="preserve">Protection for </w:t>
      </w:r>
      <w:r w:rsidR="001F0927" w:rsidRPr="00E33A67">
        <w:rPr>
          <w:rStyle w:val="CharAmSchText"/>
        </w:rPr>
        <w:t>anticipation of certain</w:t>
      </w:r>
      <w:r w:rsidR="00ED48BE" w:rsidRPr="00E33A67">
        <w:rPr>
          <w:rStyle w:val="CharAmSchText"/>
        </w:rPr>
        <w:t xml:space="preserve"> </w:t>
      </w:r>
      <w:r w:rsidR="00BC1FBA" w:rsidRPr="00E33A67">
        <w:rPr>
          <w:rStyle w:val="CharAmSchText"/>
        </w:rPr>
        <w:t xml:space="preserve">discontinued </w:t>
      </w:r>
      <w:r w:rsidR="001D12DD" w:rsidRPr="00E33A67">
        <w:rPr>
          <w:rStyle w:val="CharAmSchText"/>
        </w:rPr>
        <w:t>announcements</w:t>
      </w:r>
      <w:bookmarkEnd w:id="1"/>
    </w:p>
    <w:bookmarkEnd w:id="2"/>
    <w:bookmarkEnd w:id="3"/>
    <w:p w14:paraId="4F73483A" w14:textId="77777777" w:rsidR="00473802" w:rsidRPr="00E33A67" w:rsidRDefault="00473802" w:rsidP="00E33A67">
      <w:pPr>
        <w:pStyle w:val="Header"/>
      </w:pPr>
      <w:r w:rsidRPr="00E33A67">
        <w:rPr>
          <w:rStyle w:val="CharAmPartNo"/>
        </w:rPr>
        <w:t xml:space="preserve"> </w:t>
      </w:r>
      <w:r w:rsidRPr="00E33A67">
        <w:rPr>
          <w:rStyle w:val="CharAmPartText"/>
        </w:rPr>
        <w:t xml:space="preserve"> </w:t>
      </w:r>
    </w:p>
    <w:p w14:paraId="14A6C113" w14:textId="77777777" w:rsidR="00ED56B6" w:rsidRPr="00E33A67" w:rsidRDefault="00ED56B6" w:rsidP="00E33A67">
      <w:pPr>
        <w:pStyle w:val="ActHead9"/>
        <w:rPr>
          <w:i w:val="0"/>
        </w:rPr>
      </w:pPr>
      <w:bookmarkStart w:id="4" w:name="_Toc379872025"/>
      <w:r w:rsidRPr="00E33A67">
        <w:t>Income Tax Assessment Act 1936</w:t>
      </w:r>
      <w:bookmarkEnd w:id="4"/>
    </w:p>
    <w:p w14:paraId="5C49ADDF" w14:textId="77777777" w:rsidR="00F8002A" w:rsidRPr="00E33A67" w:rsidRDefault="00B76B17" w:rsidP="00E33A67">
      <w:pPr>
        <w:pStyle w:val="ItemHead"/>
      </w:pPr>
      <w:proofErr w:type="gramStart"/>
      <w:r w:rsidRPr="00E33A67">
        <w:t>1</w:t>
      </w:r>
      <w:r w:rsidR="00F8002A" w:rsidRPr="00E33A67">
        <w:t xml:space="preserve">  Subsection</w:t>
      </w:r>
      <w:proofErr w:type="gramEnd"/>
      <w:r w:rsidR="00E33A67" w:rsidRPr="00E33A67">
        <w:t> </w:t>
      </w:r>
      <w:r w:rsidR="00F8002A" w:rsidRPr="00E33A67">
        <w:t>170(1</w:t>
      </w:r>
      <w:r w:rsidR="001D1A1C" w:rsidRPr="00E33A67">
        <w:t>0</w:t>
      </w:r>
      <w:r w:rsidR="00F8002A" w:rsidRPr="00E33A67">
        <w:t xml:space="preserve">) (after </w:t>
      </w:r>
      <w:r w:rsidR="0017539F" w:rsidRPr="00E33A67">
        <w:t xml:space="preserve">table </w:t>
      </w:r>
      <w:r w:rsidR="00F8002A" w:rsidRPr="00E33A67">
        <w:t>item</w:t>
      </w:r>
      <w:r w:rsidR="00E33A67" w:rsidRPr="00E33A67">
        <w:t> </w:t>
      </w:r>
      <w:r w:rsidR="00F8002A" w:rsidRPr="00E33A67">
        <w:t>27)</w:t>
      </w:r>
    </w:p>
    <w:p w14:paraId="11A03827" w14:textId="77777777" w:rsidR="00F8002A" w:rsidRPr="00E33A67" w:rsidRDefault="00F8002A" w:rsidP="00E33A67">
      <w:pPr>
        <w:pStyle w:val="Item"/>
      </w:pPr>
      <w:r w:rsidRPr="00E33A67">
        <w:t>Insert:</w:t>
      </w:r>
    </w:p>
    <w:tbl>
      <w:tblPr>
        <w:tblW w:w="732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644"/>
        <w:gridCol w:w="2352"/>
        <w:gridCol w:w="4325"/>
      </w:tblGrid>
      <w:tr w:rsidR="00F8002A" w:rsidRPr="006D6F92" w14:paraId="1ED6AE32" w14:textId="77777777" w:rsidTr="001F47CE">
        <w:tc>
          <w:tcPr>
            <w:tcW w:w="644" w:type="dxa"/>
            <w:shd w:val="clear" w:color="auto" w:fill="auto"/>
          </w:tcPr>
          <w:p w14:paraId="4A96F879" w14:textId="77777777" w:rsidR="00F8002A" w:rsidRPr="00E33A67" w:rsidRDefault="00F8002A" w:rsidP="00E33A67">
            <w:pPr>
              <w:pStyle w:val="Tabletext"/>
            </w:pPr>
            <w:r w:rsidRPr="00E33A67">
              <w:t>27A</w:t>
            </w:r>
          </w:p>
        </w:tc>
        <w:tc>
          <w:tcPr>
            <w:tcW w:w="2352" w:type="dxa"/>
            <w:shd w:val="clear" w:color="auto" w:fill="auto"/>
          </w:tcPr>
          <w:p w14:paraId="1CC71EAA" w14:textId="77777777" w:rsidR="00F8002A" w:rsidRPr="00E33A67" w:rsidRDefault="00F8002A" w:rsidP="00E33A67">
            <w:pPr>
              <w:pStyle w:val="Tabletext"/>
            </w:pPr>
            <w:r w:rsidRPr="00E33A67">
              <w:t>Subsection</w:t>
            </w:r>
            <w:r w:rsidR="00E33A67" w:rsidRPr="00E33A67">
              <w:t> </w:t>
            </w:r>
            <w:r w:rsidRPr="00E33A67">
              <w:t>170</w:t>
            </w:r>
            <w:r w:rsidR="001D1A1C" w:rsidRPr="00E33A67">
              <w:t>B</w:t>
            </w:r>
            <w:r w:rsidRPr="00E33A67">
              <w:t>(</w:t>
            </w:r>
            <w:r w:rsidR="00B76B17" w:rsidRPr="00E33A67">
              <w:t>8</w:t>
            </w:r>
            <w:r w:rsidRPr="00E33A67">
              <w:t>)</w:t>
            </w:r>
          </w:p>
        </w:tc>
        <w:tc>
          <w:tcPr>
            <w:tcW w:w="4325" w:type="dxa"/>
            <w:shd w:val="clear" w:color="auto" w:fill="auto"/>
          </w:tcPr>
          <w:p w14:paraId="1DF01808" w14:textId="77777777" w:rsidR="00F8002A" w:rsidRPr="00E33A67" w:rsidRDefault="00F8002A" w:rsidP="00E33A67">
            <w:pPr>
              <w:pStyle w:val="Tabletext"/>
            </w:pPr>
            <w:r w:rsidRPr="00E33A67">
              <w:t>Removal of protection relating to discontinued announcement because of later inconsistent return</w:t>
            </w:r>
          </w:p>
        </w:tc>
      </w:tr>
    </w:tbl>
    <w:p w14:paraId="2CE56BFD" w14:textId="77777777" w:rsidR="00ED56B6" w:rsidRPr="00E33A67" w:rsidRDefault="00B76B17" w:rsidP="00E33A67">
      <w:pPr>
        <w:pStyle w:val="ItemHead"/>
      </w:pPr>
      <w:proofErr w:type="gramStart"/>
      <w:r w:rsidRPr="00E33A67">
        <w:t>2</w:t>
      </w:r>
      <w:r w:rsidR="00ED56B6" w:rsidRPr="00E33A67">
        <w:t xml:space="preserve">  After</w:t>
      </w:r>
      <w:proofErr w:type="gramEnd"/>
      <w:r w:rsidR="00ED56B6" w:rsidRPr="00E33A67">
        <w:t xml:space="preserve"> section</w:t>
      </w:r>
      <w:r w:rsidR="00E33A67" w:rsidRPr="00E33A67">
        <w:t> </w:t>
      </w:r>
      <w:r w:rsidR="00ED56B6" w:rsidRPr="00E33A67">
        <w:t>170A</w:t>
      </w:r>
    </w:p>
    <w:p w14:paraId="786C88BF" w14:textId="77777777" w:rsidR="00ED56B6" w:rsidRPr="00E33A67" w:rsidRDefault="00ED56B6" w:rsidP="00E33A67">
      <w:pPr>
        <w:pStyle w:val="Item"/>
      </w:pPr>
      <w:r w:rsidRPr="00E33A67">
        <w:t>Insert:</w:t>
      </w:r>
    </w:p>
    <w:p w14:paraId="76C6FE4B" w14:textId="77777777" w:rsidR="00167081" w:rsidRPr="00E33A67" w:rsidRDefault="00167081" w:rsidP="00E33A67">
      <w:pPr>
        <w:pStyle w:val="ActHead5"/>
      </w:pPr>
      <w:bookmarkStart w:id="5" w:name="_Toc379872026"/>
      <w:proofErr w:type="gramStart"/>
      <w:r w:rsidRPr="00E33A67">
        <w:rPr>
          <w:rStyle w:val="CharSectno"/>
        </w:rPr>
        <w:t>170B</w:t>
      </w:r>
      <w:r w:rsidRPr="00E33A67">
        <w:t xml:space="preserve">  </w:t>
      </w:r>
      <w:r w:rsidR="001F0927" w:rsidRPr="00E33A67">
        <w:t>Protection</w:t>
      </w:r>
      <w:proofErr w:type="gramEnd"/>
      <w:r w:rsidR="001F0927" w:rsidRPr="00E33A67">
        <w:t xml:space="preserve"> for anticipation of certain discontinued announcements</w:t>
      </w:r>
      <w:bookmarkEnd w:id="5"/>
    </w:p>
    <w:p w14:paraId="4B168DA3" w14:textId="77777777" w:rsidR="00C13E5F" w:rsidRPr="00E33A67" w:rsidRDefault="00C13E5F" w:rsidP="00E33A67">
      <w:pPr>
        <w:pStyle w:val="SubsectionHead"/>
      </w:pPr>
      <w:r w:rsidRPr="00E33A67">
        <w:t xml:space="preserve">Assessments based on returns that </w:t>
      </w:r>
      <w:r w:rsidR="007B6B94" w:rsidRPr="00E33A67">
        <w:t>anticipate discontinued</w:t>
      </w:r>
      <w:r w:rsidRPr="00E33A67">
        <w:t xml:space="preserve"> announcements</w:t>
      </w:r>
    </w:p>
    <w:p w14:paraId="3B4492F0" w14:textId="77777777" w:rsidR="004969AD" w:rsidRPr="00E33A67" w:rsidRDefault="002A1C5B" w:rsidP="00E33A67">
      <w:pPr>
        <w:pStyle w:val="subsection"/>
      </w:pPr>
      <w:r w:rsidRPr="00E33A67">
        <w:tab/>
      </w:r>
      <w:r w:rsidR="007B6B94" w:rsidRPr="00E33A67">
        <w:t>(1)</w:t>
      </w:r>
      <w:r w:rsidR="007B6B94" w:rsidRPr="00E33A67">
        <w:tab/>
      </w:r>
      <w:r w:rsidR="004969AD" w:rsidRPr="00E33A67">
        <w:t>This section applies</w:t>
      </w:r>
      <w:r w:rsidR="002B3F14" w:rsidRPr="00E33A67">
        <w:t xml:space="preserve"> to an assessment of a taxpayer for a year of income</w:t>
      </w:r>
      <w:r w:rsidR="004969AD" w:rsidRPr="00E33A67">
        <w:t xml:space="preserve"> if:</w:t>
      </w:r>
    </w:p>
    <w:p w14:paraId="50C5CA2B" w14:textId="77777777" w:rsidR="00BC6B4E" w:rsidRPr="00E33A67" w:rsidRDefault="00BC6B4E" w:rsidP="00E33A67">
      <w:pPr>
        <w:pStyle w:val="paragraph"/>
      </w:pPr>
      <w:r w:rsidRPr="00E33A67">
        <w:tab/>
        <w:t>(a)</w:t>
      </w:r>
      <w:r w:rsidRPr="00E33A67">
        <w:tab/>
        <w:t xml:space="preserve">a statement in a return of the taxpayer for that year of income or an earlier year of income is consistent with amendments (the taxpayer’s </w:t>
      </w:r>
      <w:r w:rsidRPr="00E33A67">
        <w:rPr>
          <w:b/>
          <w:i/>
        </w:rPr>
        <w:t>anticipated amendments</w:t>
      </w:r>
      <w:r w:rsidRPr="00E33A67">
        <w:t xml:space="preserve">) having been made to the taxation law that, if made, would reasonably reflect an announcement mentioned in the table in </w:t>
      </w:r>
      <w:r w:rsidR="00E33A67" w:rsidRPr="00E33A67">
        <w:t>subsection (</w:t>
      </w:r>
      <w:r w:rsidRPr="00E33A67">
        <w:t>9); and</w:t>
      </w:r>
    </w:p>
    <w:p w14:paraId="4EE9AA50" w14:textId="77777777" w:rsidR="004969AD" w:rsidRPr="00E33A67" w:rsidRDefault="00BC6B4E" w:rsidP="00E33A67">
      <w:pPr>
        <w:pStyle w:val="paragraph"/>
      </w:pPr>
      <w:r w:rsidRPr="00E33A67">
        <w:tab/>
        <w:t>(b</w:t>
      </w:r>
      <w:r w:rsidR="004969AD" w:rsidRPr="00E33A67">
        <w:t>)</w:t>
      </w:r>
      <w:r w:rsidR="004969AD" w:rsidRPr="00E33A67">
        <w:tab/>
      </w:r>
      <w:proofErr w:type="gramStart"/>
      <w:r w:rsidRPr="00E33A67">
        <w:t>the</w:t>
      </w:r>
      <w:proofErr w:type="gramEnd"/>
      <w:r w:rsidRPr="00E33A67">
        <w:t xml:space="preserve"> </w:t>
      </w:r>
      <w:r w:rsidR="004969AD" w:rsidRPr="00E33A67">
        <w:t>statement is made in good faith; and</w:t>
      </w:r>
    </w:p>
    <w:p w14:paraId="75379EF8" w14:textId="77777777" w:rsidR="004969AD" w:rsidRPr="00E33A67" w:rsidRDefault="004969AD" w:rsidP="00E33A67">
      <w:pPr>
        <w:pStyle w:val="paragraph"/>
      </w:pPr>
      <w:r w:rsidRPr="00E33A67">
        <w:tab/>
        <w:t>(c)</w:t>
      </w:r>
      <w:r w:rsidRPr="00E33A67">
        <w:tab/>
      </w:r>
      <w:proofErr w:type="gramStart"/>
      <w:r w:rsidRPr="00E33A67">
        <w:t>the</w:t>
      </w:r>
      <w:proofErr w:type="gramEnd"/>
      <w:r w:rsidRPr="00E33A67">
        <w:t xml:space="preserve"> statement:</w:t>
      </w:r>
    </w:p>
    <w:p w14:paraId="71DA7D1D" w14:textId="77777777" w:rsidR="004969AD" w:rsidRPr="00E33A67" w:rsidRDefault="004969AD" w:rsidP="00E33A67">
      <w:pPr>
        <w:pStyle w:val="paragraphsub"/>
      </w:pPr>
      <w:r w:rsidRPr="00E33A67">
        <w:tab/>
        <w:t>(i)</w:t>
      </w:r>
      <w:r w:rsidRPr="00E33A67">
        <w:tab/>
      </w:r>
      <w:proofErr w:type="gramStart"/>
      <w:r w:rsidRPr="00E33A67">
        <w:t>is</w:t>
      </w:r>
      <w:proofErr w:type="gramEnd"/>
      <w:r w:rsidRPr="00E33A67">
        <w:t xml:space="preserve"> in a return that </w:t>
      </w:r>
      <w:r w:rsidR="007B6B94" w:rsidRPr="00E33A67">
        <w:t>wa</w:t>
      </w:r>
      <w:r w:rsidR="00E427AB" w:rsidRPr="00E33A67">
        <w:t>s lodged</w:t>
      </w:r>
      <w:r w:rsidRPr="00E33A67">
        <w:t xml:space="preserve"> </w:t>
      </w:r>
      <w:r w:rsidR="001F0927" w:rsidRPr="00E33A67">
        <w:t xml:space="preserve">in the period that </w:t>
      </w:r>
      <w:r w:rsidR="007B6B94" w:rsidRPr="00E33A67">
        <w:t>the announcement wa</w:t>
      </w:r>
      <w:r w:rsidR="001F0927" w:rsidRPr="00E33A67">
        <w:t>s on foot</w:t>
      </w:r>
      <w:r w:rsidR="00BC6B4E" w:rsidRPr="00E33A67">
        <w:t xml:space="preserve"> (see </w:t>
      </w:r>
      <w:r w:rsidR="00E33A67" w:rsidRPr="00E33A67">
        <w:t>subsection (</w:t>
      </w:r>
      <w:r w:rsidR="00BC6B4E" w:rsidRPr="00E33A67">
        <w:t>9))</w:t>
      </w:r>
      <w:r w:rsidR="001F0927" w:rsidRPr="00E33A67">
        <w:t xml:space="preserve">, </w:t>
      </w:r>
      <w:r w:rsidR="00283AFB" w:rsidRPr="00E33A67">
        <w:t xml:space="preserve">and </w:t>
      </w:r>
      <w:r w:rsidR="007B6B94" w:rsidRPr="00E33A67">
        <w:t>was</w:t>
      </w:r>
      <w:r w:rsidR="001F0927" w:rsidRPr="00E33A67">
        <w:t xml:space="preserve"> </w:t>
      </w:r>
      <w:r w:rsidR="00283AFB" w:rsidRPr="00E33A67">
        <w:t xml:space="preserve">not </w:t>
      </w:r>
      <w:r w:rsidR="001F0927" w:rsidRPr="00E33A67">
        <w:t xml:space="preserve">required to be lodged before the start of </w:t>
      </w:r>
      <w:r w:rsidR="00360532" w:rsidRPr="00E33A67">
        <w:t>that period</w:t>
      </w:r>
      <w:r w:rsidRPr="00E33A67">
        <w:t>; or</w:t>
      </w:r>
    </w:p>
    <w:p w14:paraId="65FEA676" w14:textId="77777777" w:rsidR="001F0927" w:rsidRPr="00E33A67" w:rsidRDefault="001F0927" w:rsidP="00E33A67">
      <w:pPr>
        <w:pStyle w:val="paragraphsub"/>
      </w:pPr>
      <w:r w:rsidRPr="00E33A67">
        <w:tab/>
        <w:t>(ii)</w:t>
      </w:r>
      <w:r w:rsidRPr="00E33A67">
        <w:tab/>
      </w:r>
      <w:proofErr w:type="gramStart"/>
      <w:r w:rsidRPr="00E33A67">
        <w:t>relates</w:t>
      </w:r>
      <w:proofErr w:type="gramEnd"/>
      <w:r w:rsidRPr="00E33A67">
        <w:t xml:space="preserve"> to the application of </w:t>
      </w:r>
      <w:r w:rsidR="006D7CD7" w:rsidRPr="00E33A67">
        <w:t>the taxation law</w:t>
      </w:r>
      <w:r w:rsidRPr="00E33A67">
        <w:t xml:space="preserve"> to </w:t>
      </w:r>
      <w:r w:rsidR="000E424E" w:rsidRPr="00E33A67">
        <w:t xml:space="preserve">events or circumstances that happened or existed </w:t>
      </w:r>
      <w:r w:rsidR="00360532" w:rsidRPr="00E33A67">
        <w:t>while the announcement was on foot</w:t>
      </w:r>
      <w:r w:rsidRPr="00E33A67">
        <w:t>; and</w:t>
      </w:r>
    </w:p>
    <w:p w14:paraId="7544F07B" w14:textId="77777777" w:rsidR="004969AD" w:rsidRPr="00E33A67" w:rsidRDefault="004969AD" w:rsidP="00E33A67">
      <w:pPr>
        <w:pStyle w:val="paragraph"/>
      </w:pPr>
      <w:r w:rsidRPr="00E33A67">
        <w:tab/>
        <w:t>(d)</w:t>
      </w:r>
      <w:r w:rsidRPr="00E33A67">
        <w:tab/>
      </w:r>
      <w:proofErr w:type="gramStart"/>
      <w:r w:rsidR="002B3F14" w:rsidRPr="00E33A67">
        <w:t>the</w:t>
      </w:r>
      <w:proofErr w:type="gramEnd"/>
      <w:r w:rsidRPr="00E33A67">
        <w:t xml:space="preserve"> assessment is made</w:t>
      </w:r>
      <w:r w:rsidR="00072591" w:rsidRPr="00E33A67">
        <w:t>,</w:t>
      </w:r>
      <w:r w:rsidRPr="00E33A67">
        <w:t xml:space="preserve"> </w:t>
      </w:r>
      <w:r w:rsidR="00B76B17" w:rsidRPr="00E33A67">
        <w:t>in a particular respect</w:t>
      </w:r>
      <w:r w:rsidR="00072591" w:rsidRPr="00E33A67">
        <w:t>,</w:t>
      </w:r>
      <w:r w:rsidR="00B76B17" w:rsidRPr="00E33A67">
        <w:t xml:space="preserve"> </w:t>
      </w:r>
      <w:r w:rsidRPr="00E33A67">
        <w:t xml:space="preserve">on a basis that is consistent with the </w:t>
      </w:r>
      <w:r w:rsidR="00B76B17" w:rsidRPr="00E33A67">
        <w:t xml:space="preserve">taxpayer’s </w:t>
      </w:r>
      <w:r w:rsidR="009C26D4" w:rsidRPr="00E33A67">
        <w:t>anticipated amendments</w:t>
      </w:r>
      <w:r w:rsidRPr="00E33A67">
        <w:t xml:space="preserve"> having been made</w:t>
      </w:r>
      <w:r w:rsidR="00C5450C" w:rsidRPr="00E33A67">
        <w:t>.</w:t>
      </w:r>
    </w:p>
    <w:p w14:paraId="70CA82EF" w14:textId="77777777" w:rsidR="000D1C03" w:rsidRPr="00E33A67" w:rsidRDefault="007B6B94" w:rsidP="00E33A67">
      <w:pPr>
        <w:pStyle w:val="subsection"/>
      </w:pPr>
      <w:r w:rsidRPr="00E33A67">
        <w:lastRenderedPageBreak/>
        <w:tab/>
        <w:t>(2)</w:t>
      </w:r>
      <w:r w:rsidRPr="00E33A67">
        <w:tab/>
      </w:r>
      <w:r w:rsidR="000D1C03" w:rsidRPr="00E33A67">
        <w:t xml:space="preserve">In determining, for the purpose of </w:t>
      </w:r>
      <w:r w:rsidR="00E33A67" w:rsidRPr="00E33A67">
        <w:t>paragraph (</w:t>
      </w:r>
      <w:r w:rsidR="000D1C03" w:rsidRPr="00E33A67">
        <w:t>1</w:t>
      </w:r>
      <w:proofErr w:type="gramStart"/>
      <w:r w:rsidR="000D1C03" w:rsidRPr="00E33A67">
        <w:t>)(</w:t>
      </w:r>
      <w:proofErr w:type="gramEnd"/>
      <w:r w:rsidR="00D46EBA" w:rsidRPr="00E33A67">
        <w:t>a</w:t>
      </w:r>
      <w:r w:rsidR="000D1C03" w:rsidRPr="00E33A67">
        <w:t xml:space="preserve">), whether </w:t>
      </w:r>
      <w:r w:rsidRPr="00E33A67">
        <w:t>a taxpayer’s</w:t>
      </w:r>
      <w:r w:rsidR="000D1C03" w:rsidRPr="00E33A67">
        <w:t xml:space="preserve"> anticipated amendments would reasonably reflect an announcement, have regard to</w:t>
      </w:r>
      <w:r w:rsidR="00627765" w:rsidRPr="00E33A67">
        <w:t xml:space="preserve"> the following</w:t>
      </w:r>
      <w:r w:rsidR="000D1C03" w:rsidRPr="00E33A67">
        <w:t>:</w:t>
      </w:r>
    </w:p>
    <w:p w14:paraId="240E0C61" w14:textId="77777777" w:rsidR="000D1C03" w:rsidRPr="00E33A67" w:rsidRDefault="000D1C03" w:rsidP="00E33A67">
      <w:pPr>
        <w:pStyle w:val="paragraph"/>
      </w:pPr>
      <w:r w:rsidRPr="00E33A67">
        <w:tab/>
        <w:t>(a)</w:t>
      </w:r>
      <w:r w:rsidRPr="00E33A67">
        <w:tab/>
      </w:r>
      <w:proofErr w:type="gramStart"/>
      <w:r w:rsidRPr="00E33A67">
        <w:t>the</w:t>
      </w:r>
      <w:proofErr w:type="gramEnd"/>
      <w:r w:rsidRPr="00E33A67">
        <w:t xml:space="preserve"> terms of the announcement;</w:t>
      </w:r>
    </w:p>
    <w:p w14:paraId="49FD9AF6" w14:textId="77777777" w:rsidR="000D1C03" w:rsidRPr="00E33A67" w:rsidRDefault="000D1C03" w:rsidP="00E33A67">
      <w:pPr>
        <w:pStyle w:val="paragraph"/>
      </w:pPr>
      <w:r w:rsidRPr="00E33A67">
        <w:tab/>
        <w:t>(b)</w:t>
      </w:r>
      <w:r w:rsidRPr="00E33A67">
        <w:tab/>
      </w:r>
      <w:proofErr w:type="gramStart"/>
      <w:r w:rsidRPr="00E33A67">
        <w:t>any</w:t>
      </w:r>
      <w:proofErr w:type="gramEnd"/>
      <w:r w:rsidRPr="00E33A67">
        <w:t xml:space="preserve"> related document published after the announcement on behalf of the Commonwealth Government</w:t>
      </w:r>
      <w:r w:rsidR="006D7CD7" w:rsidRPr="00E33A67">
        <w:t>, the Department of the Treasury or the Commissioner</w:t>
      </w:r>
      <w:r w:rsidRPr="00E33A67">
        <w:t>;</w:t>
      </w:r>
    </w:p>
    <w:p w14:paraId="212EB246" w14:textId="77777777" w:rsidR="000D1C03" w:rsidRPr="00E33A67" w:rsidRDefault="000D1C03" w:rsidP="00E33A67">
      <w:pPr>
        <w:pStyle w:val="paragraph"/>
      </w:pPr>
      <w:r w:rsidRPr="00E33A67">
        <w:tab/>
        <w:t>(c)</w:t>
      </w:r>
      <w:r w:rsidRPr="00E33A67">
        <w:tab/>
      </w:r>
      <w:proofErr w:type="gramStart"/>
      <w:r w:rsidRPr="00E33A67">
        <w:t>if</w:t>
      </w:r>
      <w:proofErr w:type="gramEnd"/>
      <w:r w:rsidRPr="00E33A67">
        <w:t xml:space="preserve"> the announcement </w:t>
      </w:r>
      <w:r w:rsidR="00627765" w:rsidRPr="00E33A67">
        <w:t>proposes to apply to a particular kind of scheme or practice—</w:t>
      </w:r>
      <w:r w:rsidRPr="00E33A67">
        <w:t>that kind of scheme or practice</w:t>
      </w:r>
      <w:r w:rsidR="00627765" w:rsidRPr="00E33A67">
        <w:t>;</w:t>
      </w:r>
    </w:p>
    <w:p w14:paraId="1779F848" w14:textId="77777777" w:rsidR="00627765" w:rsidRPr="00E33A67" w:rsidRDefault="00627765" w:rsidP="00E33A67">
      <w:pPr>
        <w:pStyle w:val="paragraph"/>
      </w:pPr>
      <w:r w:rsidRPr="00E33A67">
        <w:tab/>
        <w:t>(d)</w:t>
      </w:r>
      <w:r w:rsidRPr="00E33A67">
        <w:tab/>
      </w:r>
      <w:proofErr w:type="gramStart"/>
      <w:r w:rsidR="00B76B17" w:rsidRPr="00E33A67">
        <w:t>existing</w:t>
      </w:r>
      <w:proofErr w:type="gramEnd"/>
      <w:r w:rsidR="00B76B17" w:rsidRPr="00E33A67">
        <w:t xml:space="preserve"> provisions of </w:t>
      </w:r>
      <w:r w:rsidR="006D7CD7" w:rsidRPr="00E33A67">
        <w:t>the taxation law</w:t>
      </w:r>
      <w:r w:rsidR="00B76B17" w:rsidRPr="00E33A67">
        <w:t xml:space="preserve">, </w:t>
      </w:r>
      <w:r w:rsidRPr="00E33A67">
        <w:t>if:</w:t>
      </w:r>
    </w:p>
    <w:p w14:paraId="3D369542" w14:textId="77777777" w:rsidR="00627765" w:rsidRPr="00E33A67" w:rsidRDefault="00627765" w:rsidP="00E33A67">
      <w:pPr>
        <w:pStyle w:val="paragraphsub"/>
      </w:pPr>
      <w:r w:rsidRPr="00E33A67">
        <w:tab/>
        <w:t>(i)</w:t>
      </w:r>
      <w:r w:rsidRPr="00E33A67">
        <w:tab/>
      </w:r>
      <w:proofErr w:type="gramStart"/>
      <w:r w:rsidRPr="00E33A67">
        <w:t>the</w:t>
      </w:r>
      <w:proofErr w:type="gramEnd"/>
      <w:r w:rsidRPr="00E33A67">
        <w:t xml:space="preserve"> announcement proposes to effect a particular result in relation to the operation of </w:t>
      </w:r>
      <w:r w:rsidR="006D7CD7" w:rsidRPr="00E33A67">
        <w:t>the taxation law</w:t>
      </w:r>
      <w:r w:rsidRPr="00E33A67">
        <w:t>; and</w:t>
      </w:r>
    </w:p>
    <w:p w14:paraId="7208DA2B" w14:textId="77777777" w:rsidR="00627765" w:rsidRPr="00E33A67" w:rsidRDefault="00627765" w:rsidP="00E33A67">
      <w:pPr>
        <w:pStyle w:val="paragraphsub"/>
      </w:pPr>
      <w:r w:rsidRPr="00E33A67">
        <w:tab/>
        <w:t>(ii)</w:t>
      </w:r>
      <w:r w:rsidRPr="00E33A67">
        <w:tab/>
      </w:r>
      <w:proofErr w:type="gramStart"/>
      <w:r w:rsidRPr="00E33A67">
        <w:t>t</w:t>
      </w:r>
      <w:r w:rsidR="00B76B17" w:rsidRPr="00E33A67">
        <w:t>hose</w:t>
      </w:r>
      <w:proofErr w:type="gramEnd"/>
      <w:r w:rsidR="00B76B17" w:rsidRPr="00E33A67">
        <w:t xml:space="preserve"> existing provisions effect t</w:t>
      </w:r>
      <w:r w:rsidRPr="00E33A67">
        <w:t xml:space="preserve">hat result, or a substantially similar result, in </w:t>
      </w:r>
      <w:r w:rsidR="007B6B94" w:rsidRPr="00E33A67">
        <w:t>relation to another matter</w:t>
      </w:r>
      <w:r w:rsidRPr="00E33A67">
        <w:t>;</w:t>
      </w:r>
    </w:p>
    <w:p w14:paraId="58A6919D" w14:textId="77777777" w:rsidR="00627765" w:rsidRPr="00E33A67" w:rsidRDefault="00627765" w:rsidP="00E33A67">
      <w:pPr>
        <w:pStyle w:val="paragraph"/>
      </w:pPr>
      <w:r w:rsidRPr="00E33A67">
        <w:tab/>
        <w:t>(e)</w:t>
      </w:r>
      <w:r w:rsidRPr="00E33A67">
        <w:tab/>
      </w:r>
      <w:proofErr w:type="gramStart"/>
      <w:r w:rsidRPr="00E33A67">
        <w:t>any</w:t>
      </w:r>
      <w:proofErr w:type="gramEnd"/>
      <w:r w:rsidRPr="00E33A67">
        <w:t xml:space="preserve"> other relevant matter.</w:t>
      </w:r>
    </w:p>
    <w:p w14:paraId="092D26C1" w14:textId="77777777" w:rsidR="00EA5C51" w:rsidRPr="00E33A67" w:rsidRDefault="00CE7F17" w:rsidP="00E33A67">
      <w:pPr>
        <w:pStyle w:val="SubsectionHead"/>
      </w:pPr>
      <w:r w:rsidRPr="00E33A67">
        <w:t>Limit on amending assessments</w:t>
      </w:r>
    </w:p>
    <w:p w14:paraId="2434711D" w14:textId="77777777" w:rsidR="00F024DB" w:rsidRPr="00E33A67" w:rsidRDefault="007B6B94" w:rsidP="00E33A67">
      <w:pPr>
        <w:pStyle w:val="subsection"/>
      </w:pPr>
      <w:r w:rsidRPr="00E33A67">
        <w:tab/>
        <w:t>(3)</w:t>
      </w:r>
      <w:r w:rsidRPr="00E33A67">
        <w:tab/>
      </w:r>
      <w:r w:rsidR="0084431C" w:rsidRPr="00E33A67">
        <w:t xml:space="preserve">The Commissioner cannot amend </w:t>
      </w:r>
      <w:r w:rsidR="006E6A0E" w:rsidRPr="00E33A67">
        <w:t>an</w:t>
      </w:r>
      <w:r w:rsidR="0084431C" w:rsidRPr="00E33A67">
        <w:t xml:space="preserve"> assessment</w:t>
      </w:r>
      <w:r w:rsidR="009B7B66" w:rsidRPr="00E33A67">
        <w:t xml:space="preserve"> </w:t>
      </w:r>
      <w:r w:rsidR="006E6A0E" w:rsidRPr="00E33A67">
        <w:t xml:space="preserve">to which this section applies </w:t>
      </w:r>
      <w:r w:rsidR="00B76B17" w:rsidRPr="00E33A67">
        <w:t>in th</w:t>
      </w:r>
      <w:r w:rsidR="00072591" w:rsidRPr="00E33A67">
        <w:t>e</w:t>
      </w:r>
      <w:r w:rsidR="00B76B17" w:rsidRPr="00E33A67">
        <w:t xml:space="preserve"> respect </w:t>
      </w:r>
      <w:r w:rsidR="00072591" w:rsidRPr="00E33A67">
        <w:t xml:space="preserve">mentioned in </w:t>
      </w:r>
      <w:r w:rsidR="00E33A67" w:rsidRPr="00E33A67">
        <w:t>paragraph (</w:t>
      </w:r>
      <w:r w:rsidR="00072591" w:rsidRPr="00E33A67">
        <w:t xml:space="preserve">1)(d) </w:t>
      </w:r>
      <w:r w:rsidR="0084431C" w:rsidRPr="00E33A67">
        <w:t xml:space="preserve">on the basis </w:t>
      </w:r>
      <w:r w:rsidR="009C26D4" w:rsidRPr="00E33A67">
        <w:t xml:space="preserve">of </w:t>
      </w:r>
      <w:r w:rsidR="009B7B66" w:rsidRPr="00E33A67">
        <w:t>th</w:t>
      </w:r>
      <w:r w:rsidR="009C26D4" w:rsidRPr="00E33A67">
        <w:t>e</w:t>
      </w:r>
      <w:r w:rsidR="0084431C" w:rsidRPr="00E33A67">
        <w:t xml:space="preserve"> </w:t>
      </w:r>
      <w:r w:rsidRPr="00E33A67">
        <w:t xml:space="preserve">taxpayer’s </w:t>
      </w:r>
      <w:r w:rsidR="009C26D4" w:rsidRPr="00E33A67">
        <w:t>anticipated amendments</w:t>
      </w:r>
      <w:r w:rsidR="006E639A" w:rsidRPr="00E33A67">
        <w:t xml:space="preserve"> </w:t>
      </w:r>
      <w:r w:rsidR="002433FF" w:rsidRPr="00E33A67">
        <w:rPr>
          <w:i/>
        </w:rPr>
        <w:t>not</w:t>
      </w:r>
      <w:r w:rsidR="002433FF" w:rsidRPr="00E33A67">
        <w:t xml:space="preserve"> </w:t>
      </w:r>
      <w:r w:rsidR="009C26D4" w:rsidRPr="00E33A67">
        <w:t xml:space="preserve">having </w:t>
      </w:r>
      <w:r w:rsidR="002433FF" w:rsidRPr="00E33A67">
        <w:t>been made</w:t>
      </w:r>
      <w:r w:rsidR="0084431C" w:rsidRPr="00E33A67">
        <w:t xml:space="preserve">, </w:t>
      </w:r>
      <w:r w:rsidR="00640F15" w:rsidRPr="00E33A67">
        <w:t xml:space="preserve">if amending the assessment </w:t>
      </w:r>
      <w:r w:rsidR="00072591" w:rsidRPr="00E33A67">
        <w:t>in that way</w:t>
      </w:r>
      <w:r w:rsidR="00CE7F17" w:rsidRPr="00E33A67">
        <w:t xml:space="preserve"> </w:t>
      </w:r>
      <w:r w:rsidR="00640F15" w:rsidRPr="00E33A67">
        <w:t xml:space="preserve">would produce a </w:t>
      </w:r>
      <w:r w:rsidR="00D3782E" w:rsidRPr="00E33A67">
        <w:t>less favourable result for the taxpayer.</w:t>
      </w:r>
    </w:p>
    <w:p w14:paraId="0AE42574" w14:textId="77777777" w:rsidR="00CE7F17" w:rsidRPr="00E33A67" w:rsidRDefault="00BC6B4E" w:rsidP="00E33A67">
      <w:pPr>
        <w:pStyle w:val="SubsectionHead"/>
      </w:pPr>
      <w:r w:rsidRPr="00E33A67">
        <w:t>Anticipation not to give rise to administrative overpayment</w:t>
      </w:r>
    </w:p>
    <w:p w14:paraId="6D7D844B" w14:textId="77777777" w:rsidR="00CE7F17" w:rsidRPr="00E33A67" w:rsidRDefault="007B6B94" w:rsidP="00E33A67">
      <w:pPr>
        <w:pStyle w:val="subsection"/>
      </w:pPr>
      <w:r w:rsidRPr="00E33A67">
        <w:tab/>
        <w:t>(4)</w:t>
      </w:r>
      <w:r w:rsidRPr="00E33A67">
        <w:tab/>
      </w:r>
      <w:r w:rsidR="00FF6BA9" w:rsidRPr="00E33A67">
        <w:t>If</w:t>
      </w:r>
      <w:r w:rsidR="00CE7F17" w:rsidRPr="00E33A67">
        <w:t>:</w:t>
      </w:r>
    </w:p>
    <w:p w14:paraId="03491115" w14:textId="77777777" w:rsidR="00CE7F17" w:rsidRPr="00E33A67" w:rsidRDefault="000D1C03" w:rsidP="00E33A67">
      <w:pPr>
        <w:pStyle w:val="paragraph"/>
      </w:pPr>
      <w:r w:rsidRPr="00E33A67">
        <w:tab/>
        <w:t>(a)</w:t>
      </w:r>
      <w:r w:rsidRPr="00E33A67">
        <w:tab/>
      </w:r>
      <w:proofErr w:type="gramStart"/>
      <w:r w:rsidR="00FF6BA9" w:rsidRPr="00E33A67">
        <w:t>the</w:t>
      </w:r>
      <w:proofErr w:type="gramEnd"/>
      <w:r w:rsidR="00FF6BA9" w:rsidRPr="00E33A67">
        <w:t xml:space="preserve"> Commissioner </w:t>
      </w:r>
      <w:r w:rsidR="0084431C" w:rsidRPr="00E33A67">
        <w:t xml:space="preserve">pays an amount </w:t>
      </w:r>
      <w:r w:rsidR="00FF6BA9" w:rsidRPr="00E33A67">
        <w:t xml:space="preserve">to the </w:t>
      </w:r>
      <w:r w:rsidR="0084431C" w:rsidRPr="00E33A67">
        <w:t>taxpayer</w:t>
      </w:r>
      <w:r w:rsidR="00FF6BA9" w:rsidRPr="00E33A67">
        <w:t xml:space="preserve"> </w:t>
      </w:r>
      <w:r w:rsidR="0084431C" w:rsidRPr="00E33A67">
        <w:t xml:space="preserve">on the basis of </w:t>
      </w:r>
      <w:r w:rsidR="006E6A0E" w:rsidRPr="00E33A67">
        <w:t>an</w:t>
      </w:r>
      <w:r w:rsidR="0084431C" w:rsidRPr="00E33A67">
        <w:t xml:space="preserve"> </w:t>
      </w:r>
      <w:r w:rsidR="00FF6BA9" w:rsidRPr="00E33A67">
        <w:t>assessment</w:t>
      </w:r>
      <w:r w:rsidR="006E6A0E" w:rsidRPr="00E33A67">
        <w:t xml:space="preserve"> to which this section applies</w:t>
      </w:r>
      <w:r w:rsidR="00CE7F17" w:rsidRPr="00E33A67">
        <w:t>; and</w:t>
      </w:r>
    </w:p>
    <w:p w14:paraId="25211265" w14:textId="77777777" w:rsidR="009C4753" w:rsidRPr="00E33A67" w:rsidRDefault="000D1C03" w:rsidP="00E33A67">
      <w:pPr>
        <w:pStyle w:val="paragraph"/>
      </w:pPr>
      <w:r w:rsidRPr="00E33A67">
        <w:tab/>
        <w:t>(b)</w:t>
      </w:r>
      <w:r w:rsidRPr="00E33A67">
        <w:tab/>
      </w:r>
      <w:proofErr w:type="gramStart"/>
      <w:r w:rsidR="009C4753" w:rsidRPr="00E33A67">
        <w:t>if</w:t>
      </w:r>
      <w:proofErr w:type="gramEnd"/>
      <w:r w:rsidR="00E00FC1" w:rsidRPr="00E33A67">
        <w:t xml:space="preserve"> </w:t>
      </w:r>
      <w:r w:rsidR="0017539F" w:rsidRPr="00E33A67">
        <w:t xml:space="preserve">the assessment </w:t>
      </w:r>
      <w:r w:rsidR="009C4753" w:rsidRPr="00E33A67">
        <w:t xml:space="preserve">were </w:t>
      </w:r>
      <w:r w:rsidR="0017539F" w:rsidRPr="00E33A67">
        <w:t xml:space="preserve">instead made on the basis </w:t>
      </w:r>
      <w:r w:rsidR="00C5450C" w:rsidRPr="00E33A67">
        <w:t xml:space="preserve">of </w:t>
      </w:r>
      <w:r w:rsidR="0017539F" w:rsidRPr="00E33A67">
        <w:t xml:space="preserve">the </w:t>
      </w:r>
      <w:r w:rsidR="007B6B94" w:rsidRPr="00E33A67">
        <w:t xml:space="preserve">taxpayer’s </w:t>
      </w:r>
      <w:r w:rsidR="009C26D4" w:rsidRPr="00E33A67">
        <w:t>anticipated amendments</w:t>
      </w:r>
      <w:r w:rsidR="0017539F" w:rsidRPr="00E33A67">
        <w:t xml:space="preserve"> </w:t>
      </w:r>
      <w:r w:rsidR="0017539F" w:rsidRPr="00E33A67">
        <w:rPr>
          <w:i/>
        </w:rPr>
        <w:t>not</w:t>
      </w:r>
      <w:r w:rsidR="0017539F" w:rsidRPr="00E33A67">
        <w:t xml:space="preserve"> </w:t>
      </w:r>
      <w:r w:rsidR="00C5450C" w:rsidRPr="00E33A67">
        <w:t xml:space="preserve">having </w:t>
      </w:r>
      <w:r w:rsidR="0017539F" w:rsidRPr="00E33A67">
        <w:t>been made</w:t>
      </w:r>
      <w:r w:rsidR="009C4753" w:rsidRPr="00E33A67">
        <w:t>:</w:t>
      </w:r>
    </w:p>
    <w:p w14:paraId="00CB7647" w14:textId="77777777" w:rsidR="009C4753" w:rsidRPr="00E33A67" w:rsidRDefault="009C4753" w:rsidP="00E33A67">
      <w:pPr>
        <w:pStyle w:val="paragraphsub"/>
      </w:pPr>
      <w:r w:rsidRPr="00E33A67">
        <w:tab/>
        <w:t>(i)</w:t>
      </w:r>
      <w:r w:rsidRPr="00E33A67">
        <w:tab/>
      </w:r>
      <w:proofErr w:type="gramStart"/>
      <w:r w:rsidRPr="00E33A67">
        <w:t>the</w:t>
      </w:r>
      <w:proofErr w:type="gramEnd"/>
      <w:r w:rsidRPr="00E33A67">
        <w:t xml:space="preserve"> assessment to which this section applies would not be amended; but</w:t>
      </w:r>
    </w:p>
    <w:p w14:paraId="18853426" w14:textId="77777777" w:rsidR="00CE7F17" w:rsidRPr="00E33A67" w:rsidRDefault="009C4753" w:rsidP="00E33A67">
      <w:pPr>
        <w:pStyle w:val="paragraphsub"/>
      </w:pPr>
      <w:r w:rsidRPr="00E33A67">
        <w:tab/>
        <w:t>(ii)</w:t>
      </w:r>
      <w:r w:rsidRPr="00E33A67">
        <w:tab/>
      </w:r>
      <w:proofErr w:type="gramStart"/>
      <w:r w:rsidR="00963095" w:rsidRPr="00E33A67">
        <w:t>the</w:t>
      </w:r>
      <w:proofErr w:type="gramEnd"/>
      <w:r w:rsidR="00963095" w:rsidRPr="00E33A67">
        <w:t xml:space="preserve"> taxpayer woul</w:t>
      </w:r>
      <w:r w:rsidR="0017539F" w:rsidRPr="00E33A67">
        <w:t>d not be entitled to the amount</w:t>
      </w:r>
      <w:r w:rsidR="00E41A62" w:rsidRPr="00E33A67">
        <w:t>;</w:t>
      </w:r>
    </w:p>
    <w:p w14:paraId="492E4BAE" w14:textId="77777777" w:rsidR="0084431C" w:rsidRPr="00E33A67" w:rsidRDefault="00072591" w:rsidP="00E33A67">
      <w:pPr>
        <w:pStyle w:val="subsection2"/>
      </w:pPr>
      <w:proofErr w:type="gramStart"/>
      <w:r w:rsidRPr="00E33A67">
        <w:t>the</w:t>
      </w:r>
      <w:proofErr w:type="gramEnd"/>
      <w:r w:rsidR="0084431C" w:rsidRPr="00E33A67">
        <w:t xml:space="preserve"> amount is taken, for the purposes of </w:t>
      </w:r>
      <w:r w:rsidR="006D7CD7" w:rsidRPr="00E33A67">
        <w:t>the taxation law</w:t>
      </w:r>
      <w:r w:rsidR="0084431C" w:rsidRPr="00E33A67">
        <w:t xml:space="preserve">, to be an amount to which the </w:t>
      </w:r>
      <w:r w:rsidR="00E00FC1" w:rsidRPr="00E33A67">
        <w:t>taxpayer</w:t>
      </w:r>
      <w:r w:rsidR="0084431C" w:rsidRPr="00E33A67">
        <w:t xml:space="preserve"> is entitled.</w:t>
      </w:r>
    </w:p>
    <w:p w14:paraId="101A2832" w14:textId="77777777" w:rsidR="009C4753" w:rsidRPr="00E33A67" w:rsidRDefault="009C4753" w:rsidP="00E33A67">
      <w:pPr>
        <w:pStyle w:val="notetext"/>
      </w:pPr>
      <w:r w:rsidRPr="00E33A67">
        <w:t>Note</w:t>
      </w:r>
      <w:r w:rsidR="002E0805" w:rsidRPr="00E33A67">
        <w:t xml:space="preserve"> 1</w:t>
      </w:r>
      <w:r w:rsidRPr="00E33A67">
        <w:t>:</w:t>
      </w:r>
      <w:r w:rsidRPr="00E33A67">
        <w:tab/>
        <w:t>An assessment would not be amended if</w:t>
      </w:r>
      <w:r w:rsidR="00275E8D" w:rsidRPr="00E33A67">
        <w:t xml:space="preserve"> changing the basis of the assessment does not change</w:t>
      </w:r>
      <w:r w:rsidRPr="00E33A67">
        <w:t xml:space="preserve"> the ascertained amounts (this might happen if the assessment was that no tax is payable).</w:t>
      </w:r>
    </w:p>
    <w:p w14:paraId="5684B717" w14:textId="77777777" w:rsidR="00BC6B4E" w:rsidRPr="00E33A67" w:rsidRDefault="00BC6B4E" w:rsidP="00E33A67">
      <w:pPr>
        <w:pStyle w:val="notetext"/>
      </w:pPr>
      <w:r w:rsidRPr="00E33A67">
        <w:t>Note</w:t>
      </w:r>
      <w:r w:rsidR="002E0805" w:rsidRPr="00E33A67">
        <w:t xml:space="preserve"> 2</w:t>
      </w:r>
      <w:r w:rsidRPr="00E33A67">
        <w:t>:</w:t>
      </w:r>
      <w:r w:rsidRPr="00E33A67">
        <w:tab/>
        <w:t>For administrative overpayments, see section</w:t>
      </w:r>
      <w:r w:rsidR="00E33A67" w:rsidRPr="00E33A67">
        <w:t> </w:t>
      </w:r>
      <w:r w:rsidRPr="00E33A67">
        <w:t xml:space="preserve">8AAZN of the </w:t>
      </w:r>
      <w:r w:rsidRPr="00E33A67">
        <w:rPr>
          <w:i/>
        </w:rPr>
        <w:t>Taxation Administration Act 1953</w:t>
      </w:r>
      <w:r w:rsidRPr="00E33A67">
        <w:t>.</w:t>
      </w:r>
    </w:p>
    <w:p w14:paraId="3C70DEA6" w14:textId="77777777" w:rsidR="00CE7F17" w:rsidRPr="00E33A67" w:rsidRDefault="00CE7F17" w:rsidP="00E33A67">
      <w:pPr>
        <w:pStyle w:val="SubsectionHead"/>
      </w:pPr>
      <w:r w:rsidRPr="00E33A67">
        <w:lastRenderedPageBreak/>
        <w:t>Operation of section</w:t>
      </w:r>
    </w:p>
    <w:p w14:paraId="511A525B" w14:textId="77777777" w:rsidR="006D7CD7" w:rsidRPr="00E33A67" w:rsidRDefault="007B6B94" w:rsidP="00E33A67">
      <w:pPr>
        <w:pStyle w:val="subsection"/>
      </w:pPr>
      <w:r w:rsidRPr="00E33A67">
        <w:tab/>
        <w:t>(5)</w:t>
      </w:r>
      <w:r w:rsidRPr="00E33A67">
        <w:tab/>
      </w:r>
      <w:r w:rsidR="00E33A67" w:rsidRPr="00E33A67">
        <w:t>Subsections (</w:t>
      </w:r>
      <w:r w:rsidRPr="00E33A67">
        <w:t>3</w:t>
      </w:r>
      <w:r w:rsidR="009B11F9" w:rsidRPr="00E33A67">
        <w:t>)</w:t>
      </w:r>
      <w:r w:rsidR="00265103" w:rsidRPr="00E33A67">
        <w:t xml:space="preserve"> and (</w:t>
      </w:r>
      <w:r w:rsidRPr="00E33A67">
        <w:t>4</w:t>
      </w:r>
      <w:r w:rsidR="00265103" w:rsidRPr="00E33A67">
        <w:t>)</w:t>
      </w:r>
      <w:r w:rsidR="009B11F9" w:rsidRPr="00E33A67">
        <w:t xml:space="preserve"> appl</w:t>
      </w:r>
      <w:r w:rsidR="00265103" w:rsidRPr="00E33A67">
        <w:t>y</w:t>
      </w:r>
      <w:r w:rsidR="009B11F9" w:rsidRPr="00E33A67">
        <w:t xml:space="preserve"> despite any other provision of </w:t>
      </w:r>
      <w:r w:rsidR="006D7CD7" w:rsidRPr="00E33A67">
        <w:t>the taxation law</w:t>
      </w:r>
      <w:r w:rsidR="002A1C5B" w:rsidRPr="00E33A67">
        <w:t xml:space="preserve">, </w:t>
      </w:r>
      <w:r w:rsidR="009B11F9" w:rsidRPr="00E33A67">
        <w:t>apart from</w:t>
      </w:r>
      <w:r w:rsidR="006D7CD7" w:rsidRPr="00E33A67">
        <w:t xml:space="preserve"> </w:t>
      </w:r>
      <w:r w:rsidR="00E33A67" w:rsidRPr="00E33A67">
        <w:t>subsections (</w:t>
      </w:r>
      <w:r w:rsidRPr="00E33A67">
        <w:t>6</w:t>
      </w:r>
      <w:r w:rsidR="009B11F9" w:rsidRPr="00E33A67">
        <w:t>) to (</w:t>
      </w:r>
      <w:r w:rsidRPr="00E33A67">
        <w:t>8</w:t>
      </w:r>
      <w:r w:rsidR="009B11F9" w:rsidRPr="00E33A67">
        <w:t xml:space="preserve">), </w:t>
      </w:r>
      <w:r w:rsidR="002A1C5B" w:rsidRPr="00E33A67">
        <w:t>(which are about exceptions)</w:t>
      </w:r>
      <w:r w:rsidR="006D7CD7" w:rsidRPr="00E33A67">
        <w:t>.</w:t>
      </w:r>
    </w:p>
    <w:p w14:paraId="79D654E8" w14:textId="77777777" w:rsidR="00252811" w:rsidRPr="00E33A67" w:rsidRDefault="00252811" w:rsidP="00E33A67">
      <w:pPr>
        <w:pStyle w:val="SubsectionHead"/>
      </w:pPr>
      <w:r w:rsidRPr="00E33A67">
        <w:t>Exceptions</w:t>
      </w:r>
    </w:p>
    <w:p w14:paraId="2E843F0B" w14:textId="77777777" w:rsidR="00252811" w:rsidRPr="00E33A67" w:rsidRDefault="007B6B94" w:rsidP="00E33A67">
      <w:pPr>
        <w:pStyle w:val="subsection"/>
      </w:pPr>
      <w:r w:rsidRPr="00E33A67">
        <w:tab/>
        <w:t>(6)</w:t>
      </w:r>
      <w:r w:rsidRPr="00E33A67">
        <w:tab/>
      </w:r>
      <w:r w:rsidR="00E33A67" w:rsidRPr="00E33A67">
        <w:t>Subsection (</w:t>
      </w:r>
      <w:r w:rsidRPr="00E33A67">
        <w:t xml:space="preserve">3) </w:t>
      </w:r>
      <w:r w:rsidR="00252811" w:rsidRPr="00E33A67">
        <w:t xml:space="preserve">does not apply if the taxpayer </w:t>
      </w:r>
      <w:r w:rsidR="004610FB" w:rsidRPr="00E33A67">
        <w:t xml:space="preserve">applies for the </w:t>
      </w:r>
      <w:r w:rsidR="00252811" w:rsidRPr="00E33A67">
        <w:t>amendment of the assessment.</w:t>
      </w:r>
    </w:p>
    <w:p w14:paraId="22735F17" w14:textId="77777777" w:rsidR="00252811" w:rsidRPr="00E33A67" w:rsidRDefault="007B6B94" w:rsidP="00E33A67">
      <w:pPr>
        <w:pStyle w:val="subsection"/>
      </w:pPr>
      <w:r w:rsidRPr="00E33A67">
        <w:tab/>
        <w:t>(7)</w:t>
      </w:r>
      <w:r w:rsidRPr="00E33A67">
        <w:tab/>
      </w:r>
      <w:r w:rsidR="00E33A67" w:rsidRPr="00E33A67">
        <w:t>Subsection (</w:t>
      </w:r>
      <w:r w:rsidRPr="00E33A67">
        <w:t xml:space="preserve">3) </w:t>
      </w:r>
      <w:r w:rsidR="00252811" w:rsidRPr="00E33A67">
        <w:t>does not apply if the Commissioner may amend the assessment in accordance with item</w:t>
      </w:r>
      <w:r w:rsidR="00E33A67" w:rsidRPr="00E33A67">
        <w:t> </w:t>
      </w:r>
      <w:r w:rsidR="00252811" w:rsidRPr="00E33A67">
        <w:t>6 (review or appeal) of the table in subsection</w:t>
      </w:r>
      <w:r w:rsidR="00E33A67" w:rsidRPr="00E33A67">
        <w:t> </w:t>
      </w:r>
      <w:r w:rsidR="00252811" w:rsidRPr="00E33A67">
        <w:t>170(1).</w:t>
      </w:r>
    </w:p>
    <w:p w14:paraId="3F13C3E1" w14:textId="77777777" w:rsidR="00252811" w:rsidRPr="00E33A67" w:rsidRDefault="007B6B94" w:rsidP="00E33A67">
      <w:pPr>
        <w:pStyle w:val="subsection"/>
      </w:pPr>
      <w:r w:rsidRPr="00E33A67">
        <w:tab/>
        <w:t>(8)</w:t>
      </w:r>
      <w:r w:rsidRPr="00E33A67">
        <w:tab/>
      </w:r>
      <w:r w:rsidR="00BC6B4E" w:rsidRPr="00E33A67">
        <w:t xml:space="preserve">Despite </w:t>
      </w:r>
      <w:r w:rsidR="00E33A67" w:rsidRPr="00E33A67">
        <w:t>subsection (</w:t>
      </w:r>
      <w:r w:rsidR="00BC6B4E" w:rsidRPr="00E33A67">
        <w:t xml:space="preserve">1), this </w:t>
      </w:r>
      <w:r w:rsidR="00252811" w:rsidRPr="00E33A67">
        <w:t xml:space="preserve">section does not apply </w:t>
      </w:r>
      <w:r w:rsidR="00BC1FBA" w:rsidRPr="00E33A67">
        <w:t xml:space="preserve">to an assessment for a year of income </w:t>
      </w:r>
      <w:r w:rsidR="00252811" w:rsidRPr="00E33A67">
        <w:t>if:</w:t>
      </w:r>
    </w:p>
    <w:p w14:paraId="744E765C" w14:textId="77777777" w:rsidR="00252811" w:rsidRPr="00E33A67" w:rsidRDefault="000D1C03" w:rsidP="00E33A67">
      <w:pPr>
        <w:pStyle w:val="paragraph"/>
      </w:pPr>
      <w:r w:rsidRPr="00E33A67">
        <w:tab/>
        <w:t>(a)</w:t>
      </w:r>
      <w:r w:rsidRPr="00E33A67">
        <w:tab/>
      </w:r>
      <w:proofErr w:type="gramStart"/>
      <w:r w:rsidR="00252811" w:rsidRPr="00E33A67">
        <w:t>the</w:t>
      </w:r>
      <w:proofErr w:type="gramEnd"/>
      <w:r w:rsidR="00252811" w:rsidRPr="00E33A67">
        <w:t xml:space="preserve"> taxpayer makes a statement in a return of income for a later year of income; and</w:t>
      </w:r>
    </w:p>
    <w:p w14:paraId="011FAFA5" w14:textId="77777777" w:rsidR="00252811" w:rsidRPr="00E33A67" w:rsidRDefault="000D1C03" w:rsidP="00E33A67">
      <w:pPr>
        <w:pStyle w:val="paragraph"/>
      </w:pPr>
      <w:r w:rsidRPr="00E33A67">
        <w:tab/>
        <w:t>(b)</w:t>
      </w:r>
      <w:r w:rsidRPr="00E33A67">
        <w:tab/>
      </w:r>
      <w:proofErr w:type="gramStart"/>
      <w:r w:rsidR="00252811" w:rsidRPr="00E33A67">
        <w:t>that</w:t>
      </w:r>
      <w:proofErr w:type="gramEnd"/>
      <w:r w:rsidR="00252811" w:rsidRPr="00E33A67">
        <w:t xml:space="preserve"> statement is not </w:t>
      </w:r>
      <w:r w:rsidR="005E0DAF" w:rsidRPr="00E33A67">
        <w:t xml:space="preserve">consistent with the </w:t>
      </w:r>
      <w:r w:rsidR="007B6B94" w:rsidRPr="00E33A67">
        <w:t xml:space="preserve">taxpayer’s </w:t>
      </w:r>
      <w:r w:rsidR="009C26D4" w:rsidRPr="00E33A67">
        <w:t>anticipated amendments</w:t>
      </w:r>
      <w:r w:rsidR="00252811" w:rsidRPr="00E33A67">
        <w:t>; and</w:t>
      </w:r>
    </w:p>
    <w:p w14:paraId="37A208F6" w14:textId="77777777" w:rsidR="00252811" w:rsidRPr="00E33A67" w:rsidRDefault="000D1C03" w:rsidP="00E33A67">
      <w:pPr>
        <w:pStyle w:val="paragraph"/>
      </w:pPr>
      <w:r w:rsidRPr="00E33A67">
        <w:tab/>
        <w:t>(c)</w:t>
      </w:r>
      <w:r w:rsidRPr="00E33A67">
        <w:tab/>
      </w:r>
      <w:r w:rsidR="00252811" w:rsidRPr="00E33A67">
        <w:t>if th</w:t>
      </w:r>
      <w:r w:rsidR="00E41A62" w:rsidRPr="00E33A67">
        <w:t xml:space="preserve">e </w:t>
      </w:r>
      <w:r w:rsidR="00B76B17" w:rsidRPr="00E33A67">
        <w:t xml:space="preserve">assessment for the later year of income was to be made on the basis of the </w:t>
      </w:r>
      <w:r w:rsidR="007B6B94" w:rsidRPr="00E33A67">
        <w:t xml:space="preserve">taxpayer’s </w:t>
      </w:r>
      <w:r w:rsidR="009C26D4" w:rsidRPr="00E33A67">
        <w:t>anticipated amendments</w:t>
      </w:r>
      <w:r w:rsidR="00252811" w:rsidRPr="00E33A67">
        <w:t xml:space="preserve">, </w:t>
      </w:r>
      <w:r w:rsidR="00072591" w:rsidRPr="00E33A67">
        <w:t xml:space="preserve">instead of on the basis of the statement, </w:t>
      </w:r>
      <w:r w:rsidR="00252811" w:rsidRPr="00E33A67">
        <w:t>the result would be less favourable to the taxpayer</w:t>
      </w:r>
      <w:r w:rsidR="00BC6B4E" w:rsidRPr="00E33A67">
        <w:t xml:space="preserve"> in that year of income</w:t>
      </w:r>
      <w:r w:rsidR="00252811" w:rsidRPr="00E33A67">
        <w:t>.</w:t>
      </w:r>
    </w:p>
    <w:p w14:paraId="5E3E8BCD" w14:textId="77777777" w:rsidR="008C51FD" w:rsidRPr="00E33A67" w:rsidRDefault="008C51FD" w:rsidP="00E33A67">
      <w:pPr>
        <w:pStyle w:val="notetext"/>
      </w:pPr>
      <w:r w:rsidRPr="00E33A67">
        <w:t>Note:</w:t>
      </w:r>
      <w:r w:rsidRPr="00E33A67">
        <w:tab/>
        <w:t xml:space="preserve">An amendment of an assessment can be made at any time to give effect to this </w:t>
      </w:r>
      <w:r w:rsidR="00E33A67" w:rsidRPr="00E33A67">
        <w:t>subsection (</w:t>
      </w:r>
      <w:r w:rsidRPr="00E33A67">
        <w:t>see item</w:t>
      </w:r>
      <w:r w:rsidR="00E33A67" w:rsidRPr="00E33A67">
        <w:t> </w:t>
      </w:r>
      <w:r w:rsidRPr="00E33A67">
        <w:t>27A of the table in subsection</w:t>
      </w:r>
      <w:r w:rsidR="00E33A67" w:rsidRPr="00E33A67">
        <w:t> </w:t>
      </w:r>
      <w:r w:rsidRPr="00E33A67">
        <w:t>170(10)).</w:t>
      </w:r>
    </w:p>
    <w:p w14:paraId="208612E3" w14:textId="77777777" w:rsidR="0045294A" w:rsidRPr="00E33A67" w:rsidRDefault="0045294A" w:rsidP="00E33A67">
      <w:pPr>
        <w:pStyle w:val="SubsectionHead"/>
      </w:pPr>
      <w:r w:rsidRPr="00E33A67">
        <w:t xml:space="preserve">Table of </w:t>
      </w:r>
      <w:r w:rsidR="001D12DD" w:rsidRPr="00E33A67">
        <w:t>discontinued</w:t>
      </w:r>
      <w:r w:rsidRPr="00E33A67">
        <w:t xml:space="preserve"> </w:t>
      </w:r>
      <w:r w:rsidR="001D12DD" w:rsidRPr="00E33A67">
        <w:t>announcements</w:t>
      </w:r>
    </w:p>
    <w:p w14:paraId="528F5905" w14:textId="77777777" w:rsidR="0045294A" w:rsidRPr="00E33A67" w:rsidRDefault="007B6B94" w:rsidP="00E33A67">
      <w:pPr>
        <w:pStyle w:val="subsection"/>
      </w:pPr>
      <w:r w:rsidRPr="00E33A67">
        <w:tab/>
        <w:t>(9)</w:t>
      </w:r>
      <w:r w:rsidRPr="00E33A67">
        <w:tab/>
      </w:r>
      <w:r w:rsidR="0045294A" w:rsidRPr="00E33A67">
        <w:t xml:space="preserve">The following </w:t>
      </w:r>
      <w:r w:rsidR="00B2789C" w:rsidRPr="00E33A67">
        <w:t xml:space="preserve">table lists the </w:t>
      </w:r>
      <w:r w:rsidR="0045294A" w:rsidRPr="00E33A67">
        <w:t xml:space="preserve">announcements </w:t>
      </w:r>
      <w:r w:rsidR="00B2789C" w:rsidRPr="00E33A67">
        <w:t>to which this section applies</w:t>
      </w:r>
      <w:r w:rsidR="001F0927" w:rsidRPr="00E33A67">
        <w:t xml:space="preserve">. An announcement is </w:t>
      </w:r>
      <w:r w:rsidR="001F0927" w:rsidRPr="00E33A67">
        <w:rPr>
          <w:b/>
          <w:i/>
        </w:rPr>
        <w:t>on foot</w:t>
      </w:r>
      <w:r w:rsidR="001F0927" w:rsidRPr="00E33A67">
        <w:t xml:space="preserve"> during the period:</w:t>
      </w:r>
    </w:p>
    <w:p w14:paraId="6056E463" w14:textId="77777777" w:rsidR="001F0927" w:rsidRPr="00E33A67" w:rsidRDefault="000D1C03" w:rsidP="00E33A67">
      <w:pPr>
        <w:pStyle w:val="paragraph"/>
      </w:pPr>
      <w:r w:rsidRPr="00E33A67">
        <w:tab/>
        <w:t>(a)</w:t>
      </w:r>
      <w:r w:rsidRPr="00E33A67">
        <w:tab/>
      </w:r>
      <w:proofErr w:type="gramStart"/>
      <w:r w:rsidR="001F0927" w:rsidRPr="00E33A67">
        <w:t>starting</w:t>
      </w:r>
      <w:proofErr w:type="gramEnd"/>
      <w:r w:rsidR="001F0927" w:rsidRPr="00E33A67">
        <w:t xml:space="preserve"> on the day mentioned in column 2 of the table</w:t>
      </w:r>
      <w:r w:rsidR="007B6B94" w:rsidRPr="00E33A67">
        <w:t xml:space="preserve"> </w:t>
      </w:r>
      <w:r w:rsidR="001F0927" w:rsidRPr="00E33A67">
        <w:t>for the announcement; and</w:t>
      </w:r>
    </w:p>
    <w:p w14:paraId="0084A66D" w14:textId="77777777" w:rsidR="001F0927" w:rsidRPr="00E33A67" w:rsidRDefault="000D1C03" w:rsidP="00E33A67">
      <w:pPr>
        <w:pStyle w:val="paragraph"/>
      </w:pPr>
      <w:r w:rsidRPr="00E33A67">
        <w:tab/>
        <w:t>(b)</w:t>
      </w:r>
      <w:r w:rsidRPr="00E33A67">
        <w:tab/>
      </w:r>
      <w:proofErr w:type="gramStart"/>
      <w:r w:rsidR="001F0927" w:rsidRPr="00E33A67">
        <w:t>ending</w:t>
      </w:r>
      <w:proofErr w:type="gramEnd"/>
      <w:r w:rsidR="001F0927" w:rsidRPr="00E33A67">
        <w:t xml:space="preserve"> on 14</w:t>
      </w:r>
      <w:r w:rsidR="00E33A67" w:rsidRPr="00E33A67">
        <w:t> </w:t>
      </w:r>
      <w:r w:rsidR="001F0927" w:rsidRPr="00E33A67">
        <w:t>December 2013.</w:t>
      </w:r>
    </w:p>
    <w:p w14:paraId="7BF14BC2" w14:textId="77777777" w:rsidR="0045294A" w:rsidRPr="00E33A67" w:rsidRDefault="0045294A" w:rsidP="00E33A6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668"/>
        <w:gridCol w:w="1702"/>
      </w:tblGrid>
      <w:tr w:rsidR="0045294A" w:rsidRPr="006D6F92" w14:paraId="1E3F87C5" w14:textId="77777777" w:rsidTr="00B45444">
        <w:trPr>
          <w:tblHeader/>
        </w:trPr>
        <w:tc>
          <w:tcPr>
            <w:tcW w:w="708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2F4391A" w14:textId="77777777" w:rsidR="0045294A" w:rsidRPr="00E33A67" w:rsidRDefault="00B178DD" w:rsidP="00E33A67">
            <w:pPr>
              <w:pStyle w:val="TableHeading"/>
            </w:pPr>
            <w:r w:rsidRPr="00E33A67">
              <w:t>Discontinued announcements</w:t>
            </w:r>
          </w:p>
        </w:tc>
      </w:tr>
      <w:tr w:rsidR="0045294A" w:rsidRPr="006D6F92" w14:paraId="1E32A971" w14:textId="77777777" w:rsidTr="003B366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64844A5" w14:textId="77777777" w:rsidR="0045294A" w:rsidRPr="00E33A67" w:rsidRDefault="0045294A" w:rsidP="00E33A67">
            <w:pPr>
              <w:pStyle w:val="TableHeading"/>
            </w:pPr>
            <w:r w:rsidRPr="00E33A67">
              <w:t>Item</w:t>
            </w:r>
          </w:p>
        </w:tc>
        <w:tc>
          <w:tcPr>
            <w:tcW w:w="46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D7E2AA3" w14:textId="77777777" w:rsidR="0045294A" w:rsidRPr="00E33A67" w:rsidRDefault="0045294A" w:rsidP="00E33A67">
            <w:pPr>
              <w:pStyle w:val="TableHeading"/>
            </w:pPr>
            <w:r w:rsidRPr="00E33A67">
              <w:t>Column 1</w:t>
            </w:r>
            <w:r w:rsidRPr="00E33A67">
              <w:br/>
              <w:t>Announcement</w:t>
            </w:r>
          </w:p>
        </w:tc>
        <w:tc>
          <w:tcPr>
            <w:tcW w:w="17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C3667A4" w14:textId="77777777" w:rsidR="0045294A" w:rsidRPr="00E33A67" w:rsidRDefault="0045294A" w:rsidP="00E33A67">
            <w:pPr>
              <w:pStyle w:val="TableHeading"/>
            </w:pPr>
            <w:r w:rsidRPr="00E33A67">
              <w:t>Column 2</w:t>
            </w:r>
            <w:r w:rsidRPr="00E33A67">
              <w:br/>
              <w:t>Announcement date</w:t>
            </w:r>
          </w:p>
        </w:tc>
      </w:tr>
      <w:tr w:rsidR="0045294A" w:rsidRPr="006D6F92" w14:paraId="4BDA8EB1" w14:textId="77777777" w:rsidTr="003B3669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189B03A2" w14:textId="77777777" w:rsidR="0045294A" w:rsidRPr="00E33A67" w:rsidRDefault="00B45444" w:rsidP="00E33A67">
            <w:pPr>
              <w:pStyle w:val="Tabletext"/>
            </w:pPr>
            <w:r w:rsidRPr="00E33A67">
              <w:t>1</w:t>
            </w:r>
          </w:p>
        </w:tc>
        <w:tc>
          <w:tcPr>
            <w:tcW w:w="4668" w:type="dxa"/>
            <w:tcBorders>
              <w:top w:val="single" w:sz="12" w:space="0" w:color="auto"/>
            </w:tcBorders>
            <w:shd w:val="clear" w:color="auto" w:fill="auto"/>
          </w:tcPr>
          <w:p w14:paraId="0DE71E71" w14:textId="77777777" w:rsidR="0045294A" w:rsidRPr="00E33A67" w:rsidRDefault="0045294A" w:rsidP="00E33A67">
            <w:pPr>
              <w:pStyle w:val="Tabletext"/>
            </w:pPr>
            <w:r w:rsidRPr="00E33A67">
              <w:t>2012</w:t>
            </w:r>
            <w:r w:rsidR="00E33A67">
              <w:noBreakHyphen/>
            </w:r>
            <w:r w:rsidRPr="00E33A67">
              <w:t>13 Budget Paper No.</w:t>
            </w:r>
            <w:r w:rsidR="00E33A67" w:rsidRPr="00E33A67">
              <w:t> </w:t>
            </w:r>
            <w:r w:rsidRPr="00E33A67">
              <w:t>2, Part</w:t>
            </w:r>
            <w:r w:rsidR="00E33A67" w:rsidRPr="00E33A67">
              <w:t> </w:t>
            </w:r>
            <w:r w:rsidRPr="00E33A67">
              <w:t>1, topic headed “Bad debts—ensuring consistent treatment in related party financing arrangements”.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auto"/>
          </w:tcPr>
          <w:p w14:paraId="76879E8D" w14:textId="77777777" w:rsidR="0045294A" w:rsidRPr="00E33A67" w:rsidRDefault="0045294A" w:rsidP="00E33A67">
            <w:pPr>
              <w:pStyle w:val="Tabletext"/>
            </w:pPr>
            <w:r w:rsidRPr="00E33A67">
              <w:t>8</w:t>
            </w:r>
            <w:r w:rsidR="00E33A67" w:rsidRPr="00E33A67">
              <w:t> </w:t>
            </w:r>
            <w:r w:rsidRPr="00E33A67">
              <w:t>May 2012</w:t>
            </w:r>
          </w:p>
        </w:tc>
      </w:tr>
      <w:tr w:rsidR="00B45444" w:rsidRPr="006D6F92" w14:paraId="594B547A" w14:textId="77777777" w:rsidTr="003B3669">
        <w:tc>
          <w:tcPr>
            <w:tcW w:w="714" w:type="dxa"/>
            <w:shd w:val="clear" w:color="auto" w:fill="auto"/>
          </w:tcPr>
          <w:p w14:paraId="1AA105BA" w14:textId="77777777" w:rsidR="00B45444" w:rsidRPr="00E33A67" w:rsidRDefault="00B45444" w:rsidP="00E33A67">
            <w:pPr>
              <w:pStyle w:val="Tabletext"/>
            </w:pPr>
            <w:r w:rsidRPr="00E33A67">
              <w:lastRenderedPageBreak/>
              <w:t>2</w:t>
            </w:r>
          </w:p>
        </w:tc>
        <w:tc>
          <w:tcPr>
            <w:tcW w:w="4668" w:type="dxa"/>
            <w:shd w:val="clear" w:color="auto" w:fill="auto"/>
          </w:tcPr>
          <w:p w14:paraId="2E6579DA" w14:textId="77777777" w:rsidR="00B45444" w:rsidRPr="00E33A67" w:rsidRDefault="00B45444" w:rsidP="00E33A67">
            <w:pPr>
              <w:pStyle w:val="Tabletext"/>
              <w:rPr>
                <w:b/>
                <w:bCs/>
              </w:rPr>
            </w:pPr>
            <w:r w:rsidRPr="00E33A67">
              <w:t>2012</w:t>
            </w:r>
            <w:r w:rsidR="00E33A67">
              <w:noBreakHyphen/>
            </w:r>
            <w:r w:rsidRPr="00E33A67">
              <w:t>13 Budget Paper No.</w:t>
            </w:r>
            <w:r w:rsidR="00E33A67" w:rsidRPr="00E33A67">
              <w:t> </w:t>
            </w:r>
            <w:r w:rsidRPr="00E33A67">
              <w:t>2, Part</w:t>
            </w:r>
            <w:r w:rsidR="00E33A67" w:rsidRPr="00E33A67">
              <w:t> </w:t>
            </w:r>
            <w:r w:rsidRPr="00E33A67">
              <w:t>1, topic headed “</w:t>
            </w:r>
            <w:r w:rsidRPr="00E33A67">
              <w:rPr>
                <w:bCs/>
              </w:rPr>
              <w:t>Capital gains tax—refinements to the income tax law in relation to deceased estates”.</w:t>
            </w:r>
          </w:p>
        </w:tc>
        <w:tc>
          <w:tcPr>
            <w:tcW w:w="1702" w:type="dxa"/>
            <w:shd w:val="clear" w:color="auto" w:fill="auto"/>
          </w:tcPr>
          <w:p w14:paraId="06006C67" w14:textId="77777777" w:rsidR="00B45444" w:rsidRPr="00E33A67" w:rsidRDefault="00B45444" w:rsidP="00E33A67">
            <w:pPr>
              <w:pStyle w:val="Tabletext"/>
            </w:pPr>
            <w:r w:rsidRPr="00E33A67">
              <w:t>8</w:t>
            </w:r>
            <w:r w:rsidR="00E33A67" w:rsidRPr="00E33A67">
              <w:t> </w:t>
            </w:r>
            <w:r w:rsidRPr="00E33A67">
              <w:t>May 2012</w:t>
            </w:r>
          </w:p>
        </w:tc>
      </w:tr>
      <w:tr w:rsidR="00F51DB8" w:rsidRPr="006D6F92" w14:paraId="04447109" w14:textId="77777777" w:rsidTr="003B3669">
        <w:tc>
          <w:tcPr>
            <w:tcW w:w="714" w:type="dxa"/>
            <w:shd w:val="clear" w:color="auto" w:fill="auto"/>
          </w:tcPr>
          <w:p w14:paraId="39F4BAD7" w14:textId="77777777" w:rsidR="00F51DB8" w:rsidRPr="00E33A67" w:rsidRDefault="00B45444" w:rsidP="00E33A67">
            <w:pPr>
              <w:pStyle w:val="Tabletext"/>
            </w:pPr>
            <w:r w:rsidRPr="00E33A67">
              <w:t>3</w:t>
            </w:r>
          </w:p>
        </w:tc>
        <w:tc>
          <w:tcPr>
            <w:tcW w:w="4668" w:type="dxa"/>
            <w:shd w:val="clear" w:color="auto" w:fill="auto"/>
          </w:tcPr>
          <w:p w14:paraId="7CB0A0DE" w14:textId="77777777" w:rsidR="00F51DB8" w:rsidRPr="00E33A67" w:rsidRDefault="00F51DB8" w:rsidP="00E33A67">
            <w:pPr>
              <w:pStyle w:val="Tabletext"/>
            </w:pPr>
            <w:r w:rsidRPr="00E33A67">
              <w:t>The following constitute the announcement:</w:t>
            </w:r>
          </w:p>
          <w:p w14:paraId="1F1871E4" w14:textId="77777777" w:rsidR="00F51DB8" w:rsidRPr="00E33A67" w:rsidRDefault="00F51DB8" w:rsidP="00E33A67">
            <w:pPr>
              <w:pStyle w:val="Tablea"/>
            </w:pPr>
            <w:r w:rsidRPr="00E33A67">
              <w:t>(a) Media Release No.</w:t>
            </w:r>
            <w:r w:rsidR="00E33A67" w:rsidRPr="00E33A67">
              <w:t> </w:t>
            </w:r>
            <w:r w:rsidRPr="00E33A67">
              <w:t xml:space="preserve">137, issued by </w:t>
            </w:r>
            <w:r w:rsidR="00072591" w:rsidRPr="00E33A67">
              <w:t xml:space="preserve">the </w:t>
            </w:r>
            <w:r w:rsidRPr="00E33A67">
              <w:t>then Assistant Treasurer on 9</w:t>
            </w:r>
            <w:r w:rsidR="00E33A67" w:rsidRPr="00E33A67">
              <w:t> </w:t>
            </w:r>
            <w:r w:rsidR="008C51FD" w:rsidRPr="00E33A67">
              <w:t>October</w:t>
            </w:r>
            <w:r w:rsidRPr="00E33A67">
              <w:t xml:space="preserve"> 2011, titled “No Capital Gains Tax for Properties in Natural Disaster Land Swap Programs”;</w:t>
            </w:r>
          </w:p>
          <w:p w14:paraId="07D5FA71" w14:textId="77777777" w:rsidR="00F51DB8" w:rsidRPr="00E33A67" w:rsidRDefault="00F51DB8" w:rsidP="00E33A67">
            <w:pPr>
              <w:pStyle w:val="Tablea"/>
            </w:pPr>
            <w:r w:rsidRPr="00E33A67">
              <w:t>(b) 2012</w:t>
            </w:r>
            <w:r w:rsidR="00E33A67">
              <w:noBreakHyphen/>
            </w:r>
            <w:r w:rsidRPr="00E33A67">
              <w:t>13 Budget Paper No.</w:t>
            </w:r>
            <w:r w:rsidR="00E33A67" w:rsidRPr="00E33A67">
              <w:t> </w:t>
            </w:r>
            <w:r w:rsidRPr="00E33A67">
              <w:t xml:space="preserve">2, </w:t>
            </w:r>
            <w:r w:rsidR="0017539F" w:rsidRPr="00E33A67">
              <w:t>Part</w:t>
            </w:r>
            <w:r w:rsidR="00E33A67" w:rsidRPr="00E33A67">
              <w:t> </w:t>
            </w:r>
            <w:r w:rsidR="0017539F" w:rsidRPr="00E33A67">
              <w:t xml:space="preserve">1, </w:t>
            </w:r>
            <w:r w:rsidRPr="00E33A67">
              <w:t>topic headed “Capital gains tax—broadening relief for taxpayers affected by natural disasters”.</w:t>
            </w:r>
          </w:p>
        </w:tc>
        <w:tc>
          <w:tcPr>
            <w:tcW w:w="1702" w:type="dxa"/>
            <w:shd w:val="clear" w:color="auto" w:fill="auto"/>
          </w:tcPr>
          <w:p w14:paraId="36F586E3" w14:textId="77777777" w:rsidR="00F51DB8" w:rsidRPr="00E33A67" w:rsidRDefault="00F51DB8" w:rsidP="00E33A67">
            <w:pPr>
              <w:pStyle w:val="Tabletext"/>
            </w:pPr>
            <w:r w:rsidRPr="00E33A67">
              <w:t>9</w:t>
            </w:r>
            <w:r w:rsidR="00E33A67" w:rsidRPr="00E33A67">
              <w:t> </w:t>
            </w:r>
            <w:r w:rsidRPr="00E33A67">
              <w:t>October 2011</w:t>
            </w:r>
          </w:p>
        </w:tc>
      </w:tr>
      <w:tr w:rsidR="0045294A" w:rsidRPr="006D6F92" w14:paraId="44CC0210" w14:textId="77777777" w:rsidTr="003B3669">
        <w:tc>
          <w:tcPr>
            <w:tcW w:w="714" w:type="dxa"/>
            <w:shd w:val="clear" w:color="auto" w:fill="auto"/>
          </w:tcPr>
          <w:p w14:paraId="50B10D15" w14:textId="77777777" w:rsidR="0045294A" w:rsidRPr="00E33A67" w:rsidRDefault="00B45444" w:rsidP="00E33A67">
            <w:pPr>
              <w:pStyle w:val="Tabletext"/>
            </w:pPr>
            <w:r w:rsidRPr="00E33A67">
              <w:t>4</w:t>
            </w:r>
          </w:p>
        </w:tc>
        <w:tc>
          <w:tcPr>
            <w:tcW w:w="4668" w:type="dxa"/>
            <w:shd w:val="clear" w:color="auto" w:fill="auto"/>
          </w:tcPr>
          <w:p w14:paraId="334FBBEA" w14:textId="77777777" w:rsidR="0045294A" w:rsidRPr="00E33A67" w:rsidRDefault="0045294A" w:rsidP="00E33A67">
            <w:pPr>
              <w:pStyle w:val="Tabletext"/>
            </w:pPr>
            <w:r w:rsidRPr="00E33A67">
              <w:t>2011</w:t>
            </w:r>
            <w:r w:rsidR="00E33A67">
              <w:noBreakHyphen/>
            </w:r>
            <w:r w:rsidRPr="00E33A67">
              <w:t>12 Budget Paper No.</w:t>
            </w:r>
            <w:r w:rsidR="00E33A67" w:rsidRPr="00E33A67">
              <w:t> </w:t>
            </w:r>
            <w:r w:rsidRPr="00E33A67">
              <w:t>2, Part</w:t>
            </w:r>
            <w:r w:rsidR="00E33A67" w:rsidRPr="00E33A67">
              <w:t> </w:t>
            </w:r>
            <w:r w:rsidRPr="00E33A67">
              <w:t>1, topic headed “Income tax relief for water reforms”.</w:t>
            </w:r>
          </w:p>
        </w:tc>
        <w:tc>
          <w:tcPr>
            <w:tcW w:w="1702" w:type="dxa"/>
            <w:shd w:val="clear" w:color="auto" w:fill="auto"/>
          </w:tcPr>
          <w:p w14:paraId="14E8DF52" w14:textId="77777777" w:rsidR="0045294A" w:rsidRPr="00E33A67" w:rsidRDefault="0045294A" w:rsidP="00E33A67">
            <w:pPr>
              <w:pStyle w:val="Tabletext"/>
            </w:pPr>
            <w:r w:rsidRPr="00E33A67">
              <w:t>10</w:t>
            </w:r>
            <w:r w:rsidR="00E33A67" w:rsidRPr="00E33A67">
              <w:t> </w:t>
            </w:r>
            <w:r w:rsidRPr="00E33A67">
              <w:t>May 2011</w:t>
            </w:r>
          </w:p>
        </w:tc>
      </w:tr>
      <w:tr w:rsidR="0045294A" w:rsidRPr="006D6F92" w14:paraId="08901313" w14:textId="77777777" w:rsidTr="003B3669">
        <w:tc>
          <w:tcPr>
            <w:tcW w:w="714" w:type="dxa"/>
            <w:shd w:val="clear" w:color="auto" w:fill="auto"/>
          </w:tcPr>
          <w:p w14:paraId="6177FF45" w14:textId="77777777" w:rsidR="0045294A" w:rsidRPr="00E33A67" w:rsidRDefault="00B45444" w:rsidP="00E33A67">
            <w:pPr>
              <w:pStyle w:val="Tabletext"/>
            </w:pPr>
            <w:r w:rsidRPr="00E33A67">
              <w:t>5</w:t>
            </w:r>
          </w:p>
        </w:tc>
        <w:tc>
          <w:tcPr>
            <w:tcW w:w="4668" w:type="dxa"/>
            <w:shd w:val="clear" w:color="auto" w:fill="auto"/>
          </w:tcPr>
          <w:p w14:paraId="5388E3A4" w14:textId="77777777" w:rsidR="0045294A" w:rsidRPr="00E33A67" w:rsidRDefault="0045294A" w:rsidP="00E33A67">
            <w:pPr>
              <w:pStyle w:val="Tabletext"/>
            </w:pPr>
            <w:r w:rsidRPr="00E33A67">
              <w:t>2011</w:t>
            </w:r>
            <w:r w:rsidR="00E33A67">
              <w:noBreakHyphen/>
            </w:r>
            <w:r w:rsidRPr="00E33A67">
              <w:t>12 Budget Paper No.</w:t>
            </w:r>
            <w:r w:rsidR="00E33A67" w:rsidRPr="00E33A67">
              <w:t> </w:t>
            </w:r>
            <w:r w:rsidRPr="00E33A67">
              <w:t>2, Part</w:t>
            </w:r>
            <w:r w:rsidR="00E33A67" w:rsidRPr="00E33A67">
              <w:t> </w:t>
            </w:r>
            <w:r w:rsidRPr="00E33A67">
              <w:t>1, topic headed “Capital gains tax and other roll</w:t>
            </w:r>
            <w:r w:rsidR="00E33A67">
              <w:noBreakHyphen/>
            </w:r>
            <w:r w:rsidRPr="00E33A67">
              <w:t xml:space="preserve">overs for amalgamations of </w:t>
            </w:r>
            <w:r w:rsidR="0017539F" w:rsidRPr="00E33A67">
              <w:t>i</w:t>
            </w:r>
            <w:r w:rsidR="00F27702" w:rsidRPr="00E33A67">
              <w:t xml:space="preserve">ndigenous </w:t>
            </w:r>
            <w:r w:rsidRPr="00E33A67">
              <w:t>corporations”.</w:t>
            </w:r>
          </w:p>
        </w:tc>
        <w:tc>
          <w:tcPr>
            <w:tcW w:w="1702" w:type="dxa"/>
            <w:shd w:val="clear" w:color="auto" w:fill="auto"/>
          </w:tcPr>
          <w:p w14:paraId="4591E1CB" w14:textId="77777777" w:rsidR="0045294A" w:rsidRPr="00E33A67" w:rsidRDefault="0045294A" w:rsidP="00E33A67">
            <w:pPr>
              <w:pStyle w:val="Tabletext"/>
            </w:pPr>
            <w:r w:rsidRPr="00E33A67">
              <w:t>10</w:t>
            </w:r>
            <w:r w:rsidR="00E33A67" w:rsidRPr="00E33A67">
              <w:t> </w:t>
            </w:r>
            <w:r w:rsidRPr="00E33A67">
              <w:t>May 2011</w:t>
            </w:r>
          </w:p>
        </w:tc>
      </w:tr>
      <w:tr w:rsidR="0045294A" w:rsidRPr="006D6F92" w14:paraId="6EE9DA56" w14:textId="77777777" w:rsidTr="003B3669">
        <w:tc>
          <w:tcPr>
            <w:tcW w:w="714" w:type="dxa"/>
            <w:shd w:val="clear" w:color="auto" w:fill="auto"/>
          </w:tcPr>
          <w:p w14:paraId="1A3869B7" w14:textId="77777777" w:rsidR="0045294A" w:rsidRPr="00E33A67" w:rsidRDefault="00B45444" w:rsidP="00E33A67">
            <w:pPr>
              <w:pStyle w:val="Tabletext"/>
            </w:pPr>
            <w:r w:rsidRPr="00E33A67">
              <w:t>6</w:t>
            </w:r>
          </w:p>
        </w:tc>
        <w:tc>
          <w:tcPr>
            <w:tcW w:w="4668" w:type="dxa"/>
            <w:shd w:val="clear" w:color="auto" w:fill="auto"/>
          </w:tcPr>
          <w:p w14:paraId="013C5299" w14:textId="77777777" w:rsidR="0045294A" w:rsidRPr="00E33A67" w:rsidRDefault="0045294A" w:rsidP="00E33A67">
            <w:pPr>
              <w:pStyle w:val="Tabletext"/>
            </w:pPr>
            <w:r w:rsidRPr="00E33A67">
              <w:t>2011</w:t>
            </w:r>
            <w:r w:rsidR="00E33A67">
              <w:noBreakHyphen/>
            </w:r>
            <w:r w:rsidRPr="00E33A67">
              <w:t>12 Budget Paper No.</w:t>
            </w:r>
            <w:r w:rsidR="00E33A67" w:rsidRPr="00E33A67">
              <w:t> </w:t>
            </w:r>
            <w:r w:rsidRPr="00E33A67">
              <w:t>2, Part</w:t>
            </w:r>
            <w:r w:rsidR="00E33A67" w:rsidRPr="00E33A67">
              <w:t> </w:t>
            </w:r>
            <w:r w:rsidRPr="00E33A67">
              <w:t>1, topic headed “Securities lending arrangements tax rules—extending the scope to address insolvency issues”.</w:t>
            </w:r>
          </w:p>
        </w:tc>
        <w:tc>
          <w:tcPr>
            <w:tcW w:w="1702" w:type="dxa"/>
            <w:shd w:val="clear" w:color="auto" w:fill="auto"/>
          </w:tcPr>
          <w:p w14:paraId="02396524" w14:textId="77777777" w:rsidR="0045294A" w:rsidRPr="00E33A67" w:rsidRDefault="0045294A" w:rsidP="00E33A67">
            <w:pPr>
              <w:pStyle w:val="Tabletext"/>
            </w:pPr>
            <w:r w:rsidRPr="00E33A67">
              <w:t>10</w:t>
            </w:r>
            <w:r w:rsidR="00E33A67" w:rsidRPr="00E33A67">
              <w:t> </w:t>
            </w:r>
            <w:r w:rsidRPr="00E33A67">
              <w:t>May 2011</w:t>
            </w:r>
          </w:p>
        </w:tc>
      </w:tr>
      <w:tr w:rsidR="0045294A" w:rsidRPr="006D6F92" w14:paraId="17745608" w14:textId="77777777" w:rsidTr="003B3669">
        <w:tc>
          <w:tcPr>
            <w:tcW w:w="714" w:type="dxa"/>
            <w:shd w:val="clear" w:color="auto" w:fill="auto"/>
          </w:tcPr>
          <w:p w14:paraId="1C6A0CCA" w14:textId="77777777" w:rsidR="0045294A" w:rsidRPr="00E33A67" w:rsidRDefault="00B45444" w:rsidP="00E33A67">
            <w:pPr>
              <w:pStyle w:val="Tabletext"/>
            </w:pPr>
            <w:r w:rsidRPr="00E33A67">
              <w:t>7</w:t>
            </w:r>
          </w:p>
        </w:tc>
        <w:tc>
          <w:tcPr>
            <w:tcW w:w="4668" w:type="dxa"/>
            <w:shd w:val="clear" w:color="auto" w:fill="auto"/>
          </w:tcPr>
          <w:p w14:paraId="2B796FFC" w14:textId="77777777" w:rsidR="0045294A" w:rsidRPr="00E33A67" w:rsidRDefault="0045294A" w:rsidP="00E33A67">
            <w:pPr>
              <w:pStyle w:val="Tabletext"/>
            </w:pPr>
            <w:r w:rsidRPr="00E33A67">
              <w:t>2011</w:t>
            </w:r>
            <w:r w:rsidR="00E33A67">
              <w:noBreakHyphen/>
            </w:r>
            <w:r w:rsidRPr="00E33A67">
              <w:t>12 Budget Paper No.</w:t>
            </w:r>
            <w:r w:rsidR="00E33A67" w:rsidRPr="00E33A67">
              <w:t> </w:t>
            </w:r>
            <w:r w:rsidRPr="00E33A67">
              <w:t>2, Part</w:t>
            </w:r>
            <w:r w:rsidR="00E33A67" w:rsidRPr="00E33A67">
              <w:t> </w:t>
            </w:r>
            <w:r w:rsidRPr="00E33A67">
              <w:t>1, topic headed “Capital gains tax—exemption for incentives related to renewable resources or for preserving environmental benefits”.</w:t>
            </w:r>
          </w:p>
        </w:tc>
        <w:tc>
          <w:tcPr>
            <w:tcW w:w="1702" w:type="dxa"/>
            <w:shd w:val="clear" w:color="auto" w:fill="auto"/>
          </w:tcPr>
          <w:p w14:paraId="6CC9DEC6" w14:textId="77777777" w:rsidR="0045294A" w:rsidRPr="00E33A67" w:rsidRDefault="0045294A" w:rsidP="00E33A67">
            <w:pPr>
              <w:pStyle w:val="Tabletext"/>
            </w:pPr>
            <w:r w:rsidRPr="00E33A67">
              <w:t>10</w:t>
            </w:r>
            <w:r w:rsidR="00E33A67" w:rsidRPr="00E33A67">
              <w:t> </w:t>
            </w:r>
            <w:r w:rsidRPr="00E33A67">
              <w:t>May 2011</w:t>
            </w:r>
          </w:p>
        </w:tc>
      </w:tr>
      <w:tr w:rsidR="0045294A" w:rsidRPr="006D6F92" w14:paraId="748F19EB" w14:textId="77777777" w:rsidTr="003B3669">
        <w:tc>
          <w:tcPr>
            <w:tcW w:w="714" w:type="dxa"/>
            <w:shd w:val="clear" w:color="auto" w:fill="auto"/>
          </w:tcPr>
          <w:p w14:paraId="65152D5F" w14:textId="77777777" w:rsidR="0045294A" w:rsidRPr="00E33A67" w:rsidRDefault="00B45444" w:rsidP="00E33A67">
            <w:pPr>
              <w:pStyle w:val="Tabletext"/>
            </w:pPr>
            <w:r w:rsidRPr="00E33A67">
              <w:t>8</w:t>
            </w:r>
          </w:p>
        </w:tc>
        <w:tc>
          <w:tcPr>
            <w:tcW w:w="4668" w:type="dxa"/>
            <w:shd w:val="clear" w:color="auto" w:fill="auto"/>
          </w:tcPr>
          <w:p w14:paraId="787A85C0" w14:textId="77777777" w:rsidR="0045294A" w:rsidRPr="00E33A67" w:rsidRDefault="0045294A" w:rsidP="00E33A67">
            <w:pPr>
              <w:pStyle w:val="Tabletext"/>
            </w:pPr>
            <w:r w:rsidRPr="00E33A67">
              <w:t>2011</w:t>
            </w:r>
            <w:r w:rsidR="00E33A67">
              <w:noBreakHyphen/>
            </w:r>
            <w:r w:rsidRPr="00E33A67">
              <w:t>12 Budget Paper No.</w:t>
            </w:r>
            <w:r w:rsidR="00E33A67" w:rsidRPr="00E33A67">
              <w:t> </w:t>
            </w:r>
            <w:r w:rsidRPr="00E33A67">
              <w:t>2, Part</w:t>
            </w:r>
            <w:r w:rsidR="00E33A67" w:rsidRPr="00E33A67">
              <w:t> </w:t>
            </w:r>
            <w:r w:rsidRPr="00E33A67">
              <w:t>1, topic headed “Capital gains tax—minor amendments ensuring the proper functioning of the capital gains tax provisions”, fourth dot point (which is about allowing a testamentary trust to distribute an asset of the deceased person without a CGT taxing point occurring).</w:t>
            </w:r>
          </w:p>
        </w:tc>
        <w:tc>
          <w:tcPr>
            <w:tcW w:w="1702" w:type="dxa"/>
            <w:shd w:val="clear" w:color="auto" w:fill="auto"/>
          </w:tcPr>
          <w:p w14:paraId="0F6A1AB4" w14:textId="77777777" w:rsidR="0045294A" w:rsidRPr="00E33A67" w:rsidRDefault="0045294A" w:rsidP="00E33A67">
            <w:pPr>
              <w:pStyle w:val="Tabletext"/>
            </w:pPr>
            <w:r w:rsidRPr="00E33A67">
              <w:t>10</w:t>
            </w:r>
            <w:r w:rsidR="00E33A67" w:rsidRPr="00E33A67">
              <w:t> </w:t>
            </w:r>
            <w:r w:rsidRPr="00E33A67">
              <w:t>May 2011</w:t>
            </w:r>
          </w:p>
        </w:tc>
      </w:tr>
      <w:tr w:rsidR="0045294A" w:rsidRPr="006D6F92" w14:paraId="43E04D96" w14:textId="77777777" w:rsidTr="003B3669">
        <w:tc>
          <w:tcPr>
            <w:tcW w:w="714" w:type="dxa"/>
            <w:shd w:val="clear" w:color="auto" w:fill="auto"/>
          </w:tcPr>
          <w:p w14:paraId="30E244DB" w14:textId="77777777" w:rsidR="0045294A" w:rsidRPr="00E33A67" w:rsidRDefault="00B45444" w:rsidP="00E33A67">
            <w:pPr>
              <w:pStyle w:val="Tabletext"/>
            </w:pPr>
            <w:r w:rsidRPr="00E33A67">
              <w:t>9</w:t>
            </w:r>
          </w:p>
        </w:tc>
        <w:tc>
          <w:tcPr>
            <w:tcW w:w="4668" w:type="dxa"/>
            <w:shd w:val="clear" w:color="auto" w:fill="auto"/>
          </w:tcPr>
          <w:p w14:paraId="73786264" w14:textId="77777777" w:rsidR="0045294A" w:rsidRPr="00E33A67" w:rsidRDefault="0045294A" w:rsidP="00E33A67">
            <w:pPr>
              <w:pStyle w:val="Tabletext"/>
            </w:pPr>
            <w:r w:rsidRPr="00E33A67">
              <w:t>2011</w:t>
            </w:r>
            <w:r w:rsidR="00E33A67">
              <w:noBreakHyphen/>
            </w:r>
            <w:r w:rsidRPr="00E33A67">
              <w:t>12 Budget Paper No.</w:t>
            </w:r>
            <w:r w:rsidR="00E33A67" w:rsidRPr="00E33A67">
              <w:t> </w:t>
            </w:r>
            <w:r w:rsidRPr="00E33A67">
              <w:t>2, Part</w:t>
            </w:r>
            <w:r w:rsidR="00E33A67" w:rsidRPr="00E33A67">
              <w:t> </w:t>
            </w:r>
            <w:r w:rsidRPr="00E33A67">
              <w:t>1, topic headed “Improvements to the company loss recoupment rules”.</w:t>
            </w:r>
          </w:p>
        </w:tc>
        <w:tc>
          <w:tcPr>
            <w:tcW w:w="1702" w:type="dxa"/>
            <w:shd w:val="clear" w:color="auto" w:fill="auto"/>
          </w:tcPr>
          <w:p w14:paraId="6C63988D" w14:textId="77777777" w:rsidR="0045294A" w:rsidRPr="00E33A67" w:rsidRDefault="0045294A" w:rsidP="00E33A67">
            <w:pPr>
              <w:pStyle w:val="Tabletext"/>
            </w:pPr>
            <w:r w:rsidRPr="00E33A67">
              <w:t>10</w:t>
            </w:r>
            <w:r w:rsidR="00E33A67" w:rsidRPr="00E33A67">
              <w:t> </w:t>
            </w:r>
            <w:r w:rsidRPr="00E33A67">
              <w:t>May 2011</w:t>
            </w:r>
          </w:p>
        </w:tc>
      </w:tr>
      <w:tr w:rsidR="0045294A" w:rsidRPr="006D6F92" w14:paraId="389CFE65" w14:textId="77777777" w:rsidTr="003B3669">
        <w:tc>
          <w:tcPr>
            <w:tcW w:w="714" w:type="dxa"/>
            <w:shd w:val="clear" w:color="auto" w:fill="auto"/>
          </w:tcPr>
          <w:p w14:paraId="0F0D50C8" w14:textId="77777777" w:rsidR="0045294A" w:rsidRPr="00E33A67" w:rsidRDefault="00B45444" w:rsidP="00E33A67">
            <w:pPr>
              <w:pStyle w:val="Tabletext"/>
            </w:pPr>
            <w:r w:rsidRPr="00E33A67">
              <w:t>10</w:t>
            </w:r>
          </w:p>
        </w:tc>
        <w:tc>
          <w:tcPr>
            <w:tcW w:w="4668" w:type="dxa"/>
            <w:shd w:val="clear" w:color="auto" w:fill="auto"/>
          </w:tcPr>
          <w:p w14:paraId="0CE0C19B" w14:textId="77777777" w:rsidR="0045294A" w:rsidRPr="00E33A67" w:rsidRDefault="0045294A" w:rsidP="00E33A67">
            <w:pPr>
              <w:pStyle w:val="Tabletext"/>
            </w:pPr>
            <w:r w:rsidRPr="00E33A67">
              <w:t>The following constitute the announcement:</w:t>
            </w:r>
          </w:p>
          <w:p w14:paraId="25700C96" w14:textId="77777777" w:rsidR="0045294A" w:rsidRPr="00E33A67" w:rsidRDefault="0045294A" w:rsidP="00E33A67">
            <w:pPr>
              <w:pStyle w:val="Tablea"/>
            </w:pPr>
            <w:r w:rsidRPr="00E33A67">
              <w:t>(a) 2009</w:t>
            </w:r>
            <w:r w:rsidR="00E33A67">
              <w:noBreakHyphen/>
            </w:r>
            <w:r w:rsidRPr="00E33A67">
              <w:t>10 Budget Paper No.</w:t>
            </w:r>
            <w:r w:rsidR="00E33A67" w:rsidRPr="00E33A67">
              <w:t> </w:t>
            </w:r>
            <w:r w:rsidRPr="00E33A67">
              <w:t>2, Part</w:t>
            </w:r>
            <w:r w:rsidR="00E33A67" w:rsidRPr="00E33A67">
              <w:t> </w:t>
            </w:r>
            <w:r w:rsidRPr="00E33A67">
              <w:t>1, topic headed “Uniform capital allowance regime—technical changes”;</w:t>
            </w:r>
          </w:p>
          <w:p w14:paraId="569F8F96" w14:textId="77777777" w:rsidR="0045294A" w:rsidRPr="00E33A67" w:rsidRDefault="0045294A" w:rsidP="00E33A67">
            <w:pPr>
              <w:pStyle w:val="Tablea"/>
            </w:pPr>
            <w:r w:rsidRPr="00E33A67">
              <w:t>(b) Media Release No.</w:t>
            </w:r>
            <w:r w:rsidR="00E33A67" w:rsidRPr="00E33A67">
              <w:t> </w:t>
            </w:r>
            <w:proofErr w:type="gramStart"/>
            <w:r w:rsidRPr="00E33A67">
              <w:t>048,</w:t>
            </w:r>
            <w:proofErr w:type="gramEnd"/>
            <w:r w:rsidRPr="00E33A67">
              <w:t xml:space="preserve"> issued by </w:t>
            </w:r>
            <w:r w:rsidR="0017539F" w:rsidRPr="00E33A67">
              <w:t xml:space="preserve">the </w:t>
            </w:r>
            <w:r w:rsidRPr="00E33A67">
              <w:t>then Assistant Treasurer on 12</w:t>
            </w:r>
            <w:r w:rsidR="00E33A67" w:rsidRPr="00E33A67">
              <w:t> </w:t>
            </w:r>
            <w:r w:rsidRPr="00E33A67">
              <w:t xml:space="preserve">May 2009, Attachment D </w:t>
            </w:r>
            <w:r w:rsidRPr="00E33A67">
              <w:lastRenderedPageBreak/>
              <w:t>headed “Technical changes to uniform capital allowance regime”.</w:t>
            </w:r>
          </w:p>
        </w:tc>
        <w:tc>
          <w:tcPr>
            <w:tcW w:w="1702" w:type="dxa"/>
            <w:shd w:val="clear" w:color="auto" w:fill="auto"/>
          </w:tcPr>
          <w:p w14:paraId="42545711" w14:textId="77777777" w:rsidR="0045294A" w:rsidRPr="00E33A67" w:rsidRDefault="0045294A" w:rsidP="00E33A67">
            <w:pPr>
              <w:pStyle w:val="Tabletext"/>
            </w:pPr>
            <w:r w:rsidRPr="00E33A67">
              <w:lastRenderedPageBreak/>
              <w:t>12</w:t>
            </w:r>
            <w:r w:rsidR="00E33A67" w:rsidRPr="00E33A67">
              <w:t> </w:t>
            </w:r>
            <w:r w:rsidRPr="00E33A67">
              <w:t>May 2009</w:t>
            </w:r>
          </w:p>
        </w:tc>
      </w:tr>
      <w:tr w:rsidR="0045294A" w:rsidRPr="006D6F92" w14:paraId="157F8620" w14:textId="77777777" w:rsidTr="003B3669">
        <w:tc>
          <w:tcPr>
            <w:tcW w:w="714" w:type="dxa"/>
            <w:shd w:val="clear" w:color="auto" w:fill="auto"/>
          </w:tcPr>
          <w:p w14:paraId="79D82CA6" w14:textId="77777777" w:rsidR="0045294A" w:rsidRPr="00E33A67" w:rsidRDefault="00B45444" w:rsidP="00E33A67">
            <w:pPr>
              <w:pStyle w:val="Tabletext"/>
            </w:pPr>
            <w:r w:rsidRPr="00E33A67">
              <w:lastRenderedPageBreak/>
              <w:t>11</w:t>
            </w:r>
          </w:p>
        </w:tc>
        <w:tc>
          <w:tcPr>
            <w:tcW w:w="4668" w:type="dxa"/>
            <w:shd w:val="clear" w:color="auto" w:fill="auto"/>
          </w:tcPr>
          <w:p w14:paraId="7535D2D7" w14:textId="77777777" w:rsidR="0045294A" w:rsidRPr="00E33A67" w:rsidRDefault="0045294A" w:rsidP="00E33A67">
            <w:pPr>
              <w:pStyle w:val="Tabletext"/>
            </w:pPr>
            <w:r w:rsidRPr="00E33A67">
              <w:t>The following constitute the announcement:</w:t>
            </w:r>
          </w:p>
          <w:p w14:paraId="2CE66995" w14:textId="77777777" w:rsidR="0045294A" w:rsidRPr="00E33A67" w:rsidRDefault="0045294A" w:rsidP="00E33A67">
            <w:pPr>
              <w:pStyle w:val="Tablea"/>
            </w:pPr>
            <w:r w:rsidRPr="00E33A67">
              <w:t>(a) 2007</w:t>
            </w:r>
            <w:r w:rsidR="00E33A67">
              <w:noBreakHyphen/>
            </w:r>
            <w:r w:rsidRPr="00E33A67">
              <w:t>08 Budget Paper No.</w:t>
            </w:r>
            <w:r w:rsidR="00E33A67" w:rsidRPr="00E33A67">
              <w:t> </w:t>
            </w:r>
            <w:r w:rsidRPr="00E33A67">
              <w:t>2, Part</w:t>
            </w:r>
            <w:r w:rsidR="00E33A67" w:rsidRPr="00E33A67">
              <w:t> </w:t>
            </w:r>
            <w:r w:rsidRPr="00E33A67">
              <w:t>1, topic headed “Consolidation</w:t>
            </w:r>
            <w:r w:rsidR="00F27702" w:rsidRPr="00E33A67">
              <w:t>—</w:t>
            </w:r>
            <w:r w:rsidRPr="00E33A67">
              <w:t>further improvements to the operation of the income tax law for consolidated groups”;</w:t>
            </w:r>
          </w:p>
          <w:p w14:paraId="1E6D4D20" w14:textId="77777777" w:rsidR="0045294A" w:rsidRPr="00E33A67" w:rsidRDefault="0045294A" w:rsidP="00E33A67">
            <w:pPr>
              <w:pStyle w:val="Tablea"/>
            </w:pPr>
            <w:r w:rsidRPr="00E33A67">
              <w:t>(b) Media Release No.</w:t>
            </w:r>
            <w:r w:rsidR="00E33A67" w:rsidRPr="00E33A67">
              <w:t> </w:t>
            </w:r>
            <w:r w:rsidRPr="00E33A67">
              <w:t>050, issued by</w:t>
            </w:r>
            <w:r w:rsidR="0017539F" w:rsidRPr="00E33A67">
              <w:t xml:space="preserve"> the</w:t>
            </w:r>
            <w:r w:rsidRPr="00E33A67">
              <w:t xml:space="preserve"> then Minister for Revenue and Assistant Treasurer on 8</w:t>
            </w:r>
            <w:r w:rsidR="00E33A67" w:rsidRPr="00E33A67">
              <w:t> </w:t>
            </w:r>
            <w:r w:rsidRPr="00E33A67">
              <w:t>May 2007, topic headed “Extension of the single entity rule and entry history rule for certain CGT integrity provisions affecting third parties”.</w:t>
            </w:r>
          </w:p>
        </w:tc>
        <w:tc>
          <w:tcPr>
            <w:tcW w:w="1702" w:type="dxa"/>
            <w:shd w:val="clear" w:color="auto" w:fill="auto"/>
          </w:tcPr>
          <w:p w14:paraId="62348FDA" w14:textId="77777777" w:rsidR="0045294A" w:rsidRPr="00E33A67" w:rsidRDefault="0045294A" w:rsidP="00E33A67">
            <w:pPr>
              <w:pStyle w:val="Tabletext"/>
            </w:pPr>
            <w:r w:rsidRPr="00E33A67">
              <w:t>8</w:t>
            </w:r>
            <w:r w:rsidR="00E33A67" w:rsidRPr="00E33A67">
              <w:t> </w:t>
            </w:r>
            <w:r w:rsidRPr="00E33A67">
              <w:t>May 2007</w:t>
            </w:r>
          </w:p>
        </w:tc>
      </w:tr>
      <w:tr w:rsidR="0045294A" w:rsidRPr="006D6F92" w14:paraId="42B72E2A" w14:textId="77777777" w:rsidTr="003B3669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58492AA0" w14:textId="77777777" w:rsidR="0045294A" w:rsidRPr="00E33A67" w:rsidRDefault="00B45444" w:rsidP="00E33A67">
            <w:pPr>
              <w:pStyle w:val="Tabletext"/>
            </w:pPr>
            <w:r w:rsidRPr="00E33A67">
              <w:t>12</w:t>
            </w:r>
          </w:p>
        </w:tc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</w:tcPr>
          <w:p w14:paraId="09F53463" w14:textId="77777777" w:rsidR="0045294A" w:rsidRPr="00E33A67" w:rsidRDefault="0045294A" w:rsidP="00E33A67">
            <w:pPr>
              <w:pStyle w:val="Tabletext"/>
            </w:pPr>
            <w:r w:rsidRPr="00E33A67">
              <w:t>The following constitute the announcement:</w:t>
            </w:r>
          </w:p>
          <w:p w14:paraId="1EE781E6" w14:textId="77777777" w:rsidR="0045294A" w:rsidRPr="00E33A67" w:rsidRDefault="0045294A" w:rsidP="00E33A67">
            <w:pPr>
              <w:pStyle w:val="Tablea"/>
            </w:pPr>
            <w:r w:rsidRPr="00E33A67">
              <w:t>(a) 2007</w:t>
            </w:r>
            <w:r w:rsidR="00E33A67">
              <w:noBreakHyphen/>
            </w:r>
            <w:r w:rsidRPr="00E33A67">
              <w:t>08 Budget Paper No.</w:t>
            </w:r>
            <w:r w:rsidR="00E33A67" w:rsidRPr="00E33A67">
              <w:t> </w:t>
            </w:r>
            <w:r w:rsidRPr="00E33A67">
              <w:t>2, Part</w:t>
            </w:r>
            <w:r w:rsidR="00E33A67" w:rsidRPr="00E33A67">
              <w:t> </w:t>
            </w:r>
            <w:r w:rsidRPr="00E33A67">
              <w:t>1, topic headed “Consolidation</w:t>
            </w:r>
            <w:r w:rsidR="00F27702" w:rsidRPr="00E33A67">
              <w:t>—</w:t>
            </w:r>
            <w:r w:rsidRPr="00E33A67">
              <w:t>further improvements to the operation of the income tax law for consolidated groups”;</w:t>
            </w:r>
          </w:p>
          <w:p w14:paraId="326F166B" w14:textId="77777777" w:rsidR="0045294A" w:rsidRPr="00E33A67" w:rsidRDefault="0045294A" w:rsidP="00E33A67">
            <w:pPr>
              <w:pStyle w:val="Tablea"/>
            </w:pPr>
            <w:r w:rsidRPr="00E33A67">
              <w:t>(b) Media Release No.</w:t>
            </w:r>
            <w:r w:rsidR="00E33A67" w:rsidRPr="00E33A67">
              <w:t> </w:t>
            </w:r>
            <w:r w:rsidRPr="00E33A67">
              <w:t xml:space="preserve">050, issued by </w:t>
            </w:r>
            <w:r w:rsidR="0017539F" w:rsidRPr="00E33A67">
              <w:t xml:space="preserve">the </w:t>
            </w:r>
            <w:r w:rsidRPr="00E33A67">
              <w:t>then Minister for Revenue and Assistant Treasurer on 8</w:t>
            </w:r>
            <w:r w:rsidR="00E33A67" w:rsidRPr="00E33A67">
              <w:t> </w:t>
            </w:r>
            <w:r w:rsidRPr="00E33A67">
              <w:t>May 2007, topic headed “Trusts joining or leaving a consolidated group or MEC group part</w:t>
            </w:r>
            <w:r w:rsidR="00FD5FEF" w:rsidRPr="00E33A67">
              <w:t xml:space="preserve"> </w:t>
            </w:r>
            <w:r w:rsidRPr="00E33A67">
              <w:t>way through an income year”.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6ABBD3BF" w14:textId="77777777" w:rsidR="0045294A" w:rsidRPr="00E33A67" w:rsidRDefault="0045294A" w:rsidP="00E33A67">
            <w:pPr>
              <w:pStyle w:val="Tabletext"/>
            </w:pPr>
            <w:r w:rsidRPr="00E33A67">
              <w:t>8</w:t>
            </w:r>
            <w:r w:rsidR="00E33A67" w:rsidRPr="00E33A67">
              <w:t> </w:t>
            </w:r>
            <w:r w:rsidRPr="00E33A67">
              <w:t>May 2007</w:t>
            </w:r>
          </w:p>
        </w:tc>
      </w:tr>
      <w:tr w:rsidR="00B45444" w:rsidRPr="006D6F92" w14:paraId="2AE96EAF" w14:textId="77777777" w:rsidTr="003B3669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14:paraId="0872CAB1" w14:textId="77777777" w:rsidR="00B45444" w:rsidRPr="00E33A67" w:rsidRDefault="00B45444" w:rsidP="00E33A67">
            <w:pPr>
              <w:pStyle w:val="Tabletext"/>
            </w:pPr>
            <w:r w:rsidRPr="00E33A67">
              <w:t>13</w:t>
            </w:r>
          </w:p>
        </w:tc>
        <w:tc>
          <w:tcPr>
            <w:tcW w:w="4668" w:type="dxa"/>
            <w:tcBorders>
              <w:bottom w:val="single" w:sz="12" w:space="0" w:color="auto"/>
            </w:tcBorders>
            <w:shd w:val="clear" w:color="auto" w:fill="auto"/>
          </w:tcPr>
          <w:p w14:paraId="36D69C14" w14:textId="77777777" w:rsidR="00B45444" w:rsidRPr="00E33A67" w:rsidRDefault="00B45444" w:rsidP="00E33A67">
            <w:pPr>
              <w:pStyle w:val="Tabletext"/>
            </w:pPr>
            <w:r w:rsidRPr="00E33A67">
              <w:t>2006</w:t>
            </w:r>
            <w:r w:rsidR="00E33A67">
              <w:noBreakHyphen/>
            </w:r>
            <w:r w:rsidRPr="00E33A67">
              <w:t>7 Budget Paper No.</w:t>
            </w:r>
            <w:r w:rsidR="00E33A67" w:rsidRPr="00E33A67">
              <w:t> </w:t>
            </w:r>
            <w:r w:rsidRPr="00E33A67">
              <w:t>2, Part</w:t>
            </w:r>
            <w:r w:rsidR="00E33A67" w:rsidRPr="00E33A67">
              <w:t> </w:t>
            </w:r>
            <w:r w:rsidRPr="00E33A67">
              <w:t>1, topic headed “Simplified imputation system—franking credits available to life tenants”.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auto"/>
          </w:tcPr>
          <w:p w14:paraId="622E7272" w14:textId="77777777" w:rsidR="00B45444" w:rsidRPr="00E33A67" w:rsidRDefault="00B45444" w:rsidP="00E33A67">
            <w:pPr>
              <w:pStyle w:val="Tabletext"/>
            </w:pPr>
            <w:r w:rsidRPr="00E33A67">
              <w:t>9</w:t>
            </w:r>
            <w:r w:rsidR="00E33A67" w:rsidRPr="00E33A67">
              <w:t> </w:t>
            </w:r>
            <w:r w:rsidRPr="00E33A67">
              <w:t>May 2006</w:t>
            </w:r>
          </w:p>
        </w:tc>
      </w:tr>
    </w:tbl>
    <w:p w14:paraId="5847FF4C" w14:textId="77777777" w:rsidR="001F0927" w:rsidRPr="00E33A67" w:rsidRDefault="007B6B94" w:rsidP="00E33A67">
      <w:pPr>
        <w:pStyle w:val="subsection"/>
      </w:pPr>
      <w:r w:rsidRPr="00E33A67">
        <w:tab/>
        <w:t>(10)</w:t>
      </w:r>
      <w:r w:rsidRPr="00E33A67">
        <w:tab/>
      </w:r>
      <w:r w:rsidR="00360532" w:rsidRPr="00E33A67">
        <w:t>In this section:</w:t>
      </w:r>
    </w:p>
    <w:p w14:paraId="5D19EAA3" w14:textId="77777777" w:rsidR="006D7CD7" w:rsidRPr="00E33A67" w:rsidRDefault="006D7CD7" w:rsidP="00E33A67">
      <w:pPr>
        <w:pStyle w:val="Definition"/>
      </w:pPr>
      <w:proofErr w:type="gramStart"/>
      <w:r w:rsidRPr="00E33A67">
        <w:rPr>
          <w:b/>
          <w:i/>
        </w:rPr>
        <w:t>taxation</w:t>
      </w:r>
      <w:proofErr w:type="gramEnd"/>
      <w:r w:rsidRPr="00E33A67">
        <w:rPr>
          <w:b/>
          <w:i/>
        </w:rPr>
        <w:t xml:space="preserve"> law</w:t>
      </w:r>
      <w:r w:rsidRPr="00E33A67">
        <w:t xml:space="preserve"> has the meaning given by subsection</w:t>
      </w:r>
      <w:r w:rsidR="00E33A67" w:rsidRPr="00E33A67">
        <w:t> </w:t>
      </w:r>
      <w:r w:rsidRPr="00E33A67">
        <w:t>995</w:t>
      </w:r>
      <w:r w:rsidR="00E33A67">
        <w:noBreakHyphen/>
      </w:r>
      <w:r w:rsidRPr="00E33A67">
        <w:t xml:space="preserve">1(1) of the </w:t>
      </w:r>
      <w:r w:rsidRPr="00E33A67">
        <w:rPr>
          <w:i/>
        </w:rPr>
        <w:t>Income Tax Assessment Act 1997</w:t>
      </w:r>
      <w:r w:rsidRPr="00E33A67">
        <w:t>.</w:t>
      </w:r>
    </w:p>
    <w:sectPr w:rsidR="006D7CD7" w:rsidRPr="00E33A67" w:rsidSect="00E33A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794" w:right="2409" w:bottom="4252" w:left="2409" w:header="720" w:footer="3402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2BEBF" w14:textId="77777777" w:rsidR="001F47CE" w:rsidRDefault="001F47CE" w:rsidP="00664C63">
      <w:pPr>
        <w:spacing w:line="240" w:lineRule="auto"/>
      </w:pPr>
      <w:r>
        <w:separator/>
      </w:r>
    </w:p>
  </w:endnote>
  <w:endnote w:type="continuationSeparator" w:id="0">
    <w:p w14:paraId="019969AF" w14:textId="77777777" w:rsidR="001F47CE" w:rsidRDefault="001F47CE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23C1" w14:textId="77777777" w:rsidR="00664C63" w:rsidRPr="00BB4623" w:rsidRDefault="00664C63" w:rsidP="00E33A67">
    <w:pPr>
      <w:pBdr>
        <w:top w:val="single" w:sz="6" w:space="1" w:color="auto"/>
      </w:pBdr>
      <w:spacing w:before="120"/>
      <w:jc w:val="right"/>
      <w:rPr>
        <w:sz w:val="18"/>
      </w:rPr>
    </w:pPr>
  </w:p>
  <w:p w14:paraId="66495769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E33A67">
      <w:rPr>
        <w:i/>
        <w:noProof/>
        <w:sz w:val="18"/>
      </w:rPr>
      <w:t>6</w:t>
    </w:r>
    <w:r w:rsidRPr="00BB4623">
      <w:rPr>
        <w:i/>
        <w:sz w:val="18"/>
      </w:rPr>
      <w:fldChar w:fldCharType="end"/>
    </w:r>
  </w:p>
  <w:p w14:paraId="26AB4F1B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E56C8" w14:textId="77777777" w:rsidR="00664C63" w:rsidRPr="00BB4623" w:rsidRDefault="00664C63" w:rsidP="00E33A67">
    <w:pPr>
      <w:pBdr>
        <w:top w:val="single" w:sz="6" w:space="1" w:color="auto"/>
      </w:pBdr>
      <w:spacing w:before="120"/>
      <w:rPr>
        <w:sz w:val="18"/>
      </w:rPr>
    </w:pPr>
  </w:p>
  <w:p w14:paraId="33540209" w14:textId="77777777" w:rsidR="00664C63" w:rsidRPr="00BB4623" w:rsidRDefault="00F5076A" w:rsidP="00664C63">
    <w:pPr>
      <w:jc w:val="right"/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D9004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38DEE2C5" w14:textId="77777777" w:rsidR="00664C63" w:rsidRPr="00BB4623" w:rsidRDefault="006D6F92" w:rsidP="00664C63">
    <w:pPr>
      <w:rPr>
        <w:i/>
        <w:sz w:val="18"/>
      </w:rPr>
    </w:pPr>
    <w:r>
      <w:rPr>
        <w:noProof/>
      </w:rPr>
      <w:pict w14:anchorId="2ABEF719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0" type="#_x0000_t202" style="position:absolute;margin-left:0;margin-top:766.75pt;width:347.25pt;height:31.5pt;z-index:-251657216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" stroked="f">
          <v:stroke joinstyle="round"/>
          <v:path arrowok="t"/>
          <v:textbox>
            <w:txbxContent>
              <w:p w14:paraId="4B4E9441" w14:textId="77777777" w:rsidR="00E33A67" w:rsidRPr="00E33A67" w:rsidRDefault="00E33A67" w:rsidP="00E33A67">
                <w:pPr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E33A67">
                  <w:rPr>
                    <w:rFonts w:ascii="Arial" w:hAnsi="Arial"/>
                    <w:b/>
                    <w:sz w:val="40"/>
                  </w:rPr>
                  <w:fldChar w:fldCharType="begin"/>
                </w:r>
                <w:r w:rsidRPr="00E33A67">
                  <w:rPr>
                    <w:rFonts w:ascii="Arial" w:hAnsi="Arial"/>
                    <w:b/>
                    <w:sz w:val="40"/>
                  </w:rPr>
                  <w:instrText xml:space="preserve"> DOCPROPERTY  DLM  </w:instrText>
                </w:r>
                <w:r w:rsidRPr="00E33A67">
                  <w:rPr>
                    <w:rFonts w:ascii="Arial" w:hAnsi="Arial"/>
                    <w:b/>
                    <w:sz w:val="40"/>
                  </w:rPr>
                  <w:fldChar w:fldCharType="end"/>
                </w:r>
                <w:r w:rsidRPr="00E33A67">
                  <w:rPr>
                    <w:rFonts w:ascii="Arial" w:hAnsi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  <w:r>
      <w:rPr>
        <w:noProof/>
      </w:rPr>
      <w:pict w14:anchorId="7B1A40E3">
        <v:shape id="Text Box 5" o:spid="_x0000_s2049" type="#_x0000_t202" style="position:absolute;margin-left:0;margin-top:793.7pt;width:347.25pt;height:31.5pt;z-index:-251658240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" stroked="f">
          <v:stroke joinstyle="round"/>
          <v:path arrowok="t"/>
          <v:textbox>
            <w:txbxContent>
              <w:p w14:paraId="5B71514C" w14:textId="77777777" w:rsidR="00E33A67" w:rsidRPr="00E33A67" w:rsidRDefault="00E33A67" w:rsidP="00E33A67">
                <w:pPr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E33A67">
                  <w:rPr>
                    <w:rFonts w:ascii="Arial" w:hAnsi="Arial"/>
                    <w:b/>
                    <w:sz w:val="40"/>
                  </w:rPr>
                  <w:fldChar w:fldCharType="begin"/>
                </w:r>
                <w:r w:rsidRPr="00E33A67">
                  <w:rPr>
                    <w:rFonts w:ascii="Arial" w:hAnsi="Arial"/>
                    <w:b/>
                    <w:sz w:val="40"/>
                  </w:rPr>
                  <w:instrText xml:space="preserve"> DOCPROPERTY  Classification  </w:instrText>
                </w:r>
                <w:r w:rsidRPr="00E33A67">
                  <w:rPr>
                    <w:rFonts w:ascii="Arial" w:hAnsi="Arial"/>
                    <w:b/>
                    <w:sz w:val="40"/>
                  </w:rPr>
                  <w:fldChar w:fldCharType="separate"/>
                </w:r>
                <w:r>
                  <w:rPr>
                    <w:rFonts w:ascii="Arial" w:hAnsi="Arial"/>
                    <w:b/>
                    <w:sz w:val="40"/>
                  </w:rPr>
                  <w:t>EXPOSURE DRAFT</w:t>
                </w:r>
                <w:r w:rsidRPr="00E33A67">
                  <w:rPr>
                    <w:rFonts w:ascii="Arial" w:hAnsi="Arial"/>
                    <w:b/>
                    <w:sz w:val="40"/>
                  </w:rPr>
                  <w:fldChar w:fldCharType="end"/>
                </w:r>
                <w:r w:rsidRPr="00E33A67">
                  <w:rPr>
                    <w:rFonts w:ascii="Arial" w:hAnsi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  <w:r w:rsidR="00664C63" w:rsidRPr="00BB4623">
      <w:rPr>
        <w:i/>
        <w:sz w:val="18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60DA2" w14:textId="77777777" w:rsidR="00664C63" w:rsidRPr="00BB4623" w:rsidRDefault="00664C63" w:rsidP="00E33A6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B5BDC" w14:textId="77777777" w:rsidR="001F47CE" w:rsidRDefault="001F47CE" w:rsidP="00664C63">
      <w:pPr>
        <w:spacing w:line="240" w:lineRule="auto"/>
      </w:pPr>
      <w:r>
        <w:separator/>
      </w:r>
    </w:p>
  </w:footnote>
  <w:footnote w:type="continuationSeparator" w:id="0">
    <w:p w14:paraId="025C116D" w14:textId="77777777" w:rsidR="001F47CE" w:rsidRDefault="001F47CE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1E39C" w14:textId="77777777" w:rsidR="00664C63" w:rsidRPr="00BB4623" w:rsidRDefault="00664C63" w:rsidP="00664C63">
    <w:pPr>
      <w:rPr>
        <w:sz w:val="24"/>
      </w:rPr>
    </w:pPr>
  </w:p>
  <w:p w14:paraId="4A05878D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000F5" w14:textId="77777777" w:rsidR="00664C63" w:rsidRPr="00BB4623" w:rsidRDefault="006D6F92" w:rsidP="00664C63">
    <w:pPr>
      <w:jc w:val="right"/>
      <w:rPr>
        <w:sz w:val="24"/>
      </w:rPr>
    </w:pPr>
    <w:r>
      <w:rPr>
        <w:noProof/>
      </w:rPr>
      <w:pict w14:anchorId="62F20D63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left:0;text-align:left;margin-left:0;margin-top:34.9pt;width:347.25pt;height:31.5pt;z-index:-251659264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" stroked="f">
          <v:stroke joinstyle="round"/>
          <v:path arrowok="t"/>
          <v:textbox>
            <w:txbxContent>
              <w:p w14:paraId="39383741" w14:textId="77777777" w:rsidR="00E33A67" w:rsidRPr="00E33A67" w:rsidRDefault="00E33A67" w:rsidP="00E33A67">
                <w:pPr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E33A67">
                  <w:rPr>
                    <w:rFonts w:ascii="Arial" w:hAnsi="Arial"/>
                    <w:b/>
                    <w:sz w:val="40"/>
                  </w:rPr>
                  <w:fldChar w:fldCharType="begin"/>
                </w:r>
                <w:r w:rsidRPr="00E33A67">
                  <w:rPr>
                    <w:rFonts w:ascii="Arial" w:hAnsi="Arial"/>
                    <w:b/>
                    <w:sz w:val="40"/>
                  </w:rPr>
                  <w:instrText xml:space="preserve"> DOCPROPERTY  DLM  </w:instrText>
                </w:r>
                <w:r w:rsidRPr="00E33A67">
                  <w:rPr>
                    <w:rFonts w:ascii="Arial" w:hAnsi="Arial"/>
                    <w:b/>
                    <w:sz w:val="40"/>
                  </w:rPr>
                  <w:fldChar w:fldCharType="end"/>
                </w:r>
                <w:r w:rsidRPr="00E33A67">
                  <w:rPr>
                    <w:rFonts w:ascii="Arial" w:hAnsi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  <w:r>
      <w:rPr>
        <w:noProof/>
      </w:rPr>
      <w:pict w14:anchorId="7AF882CD">
        <v:shape id="Text Box 3" o:spid="_x0000_s2051" type="#_x0000_t202" style="position:absolute;left:0;text-align:left;margin-left:0;margin-top:11.3pt;width:347.25pt;height:31.5pt;z-index:-251660288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Gan5dIHAwAAyAYAAA4AAAAAAAAAAAAAAAAALgIAAGRycy9lMm9Eb2MueG1s&#10;UEsBAi0AFAAGAAgAAAAhAOYK37rcAAAABgEAAA8AAAAAAAAAAAAAAAAAYQUAAGRycy9kb3ducmV2&#10;LnhtbFBLBQYAAAAABAAEAPMAAABqBgAAAAA=&#10;" stroked="f">
          <v:stroke joinstyle="round"/>
          <v:path arrowok="t"/>
          <v:textbox>
            <w:txbxContent>
              <w:p w14:paraId="450DABB5" w14:textId="77777777" w:rsidR="00E33A67" w:rsidRPr="00E33A67" w:rsidRDefault="00E33A67" w:rsidP="00E33A67">
                <w:pPr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E33A67">
                  <w:rPr>
                    <w:rFonts w:ascii="Arial" w:hAnsi="Arial"/>
                    <w:b/>
                    <w:sz w:val="40"/>
                  </w:rPr>
                  <w:fldChar w:fldCharType="begin"/>
                </w:r>
                <w:r w:rsidRPr="00E33A67">
                  <w:rPr>
                    <w:rFonts w:ascii="Arial" w:hAnsi="Arial"/>
                    <w:b/>
                    <w:sz w:val="40"/>
                  </w:rPr>
                  <w:instrText xml:space="preserve"> DOCPROPERTY  Classification  </w:instrText>
                </w:r>
                <w:r w:rsidRPr="00E33A67">
                  <w:rPr>
                    <w:rFonts w:ascii="Arial" w:hAnsi="Arial"/>
                    <w:b/>
                    <w:sz w:val="40"/>
                  </w:rPr>
                  <w:fldChar w:fldCharType="separate"/>
                </w:r>
                <w:r>
                  <w:rPr>
                    <w:rFonts w:ascii="Arial" w:hAnsi="Arial"/>
                    <w:b/>
                    <w:sz w:val="40"/>
                  </w:rPr>
                  <w:t>EXPOSURE DRAFT</w:t>
                </w:r>
                <w:r w:rsidRPr="00E33A67">
                  <w:rPr>
                    <w:rFonts w:ascii="Arial" w:hAnsi="Arial"/>
                    <w:b/>
                    <w:sz w:val="40"/>
                  </w:rPr>
                  <w:fldChar w:fldCharType="end"/>
                </w:r>
                <w:r w:rsidRPr="00E33A67">
                  <w:rPr>
                    <w:rFonts w:ascii="Arial" w:hAnsi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  <w:p w14:paraId="7701999B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94EF3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463E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2A2D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BAD1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A0F5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46E1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0ED2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320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425C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CCC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100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40"/>
  <w:removePersonalInformation/>
  <w:embedTrueTypeFonts/>
  <w:saveSubsetFonts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095"/>
    <w:rsid w:val="00011009"/>
    <w:rsid w:val="000136AF"/>
    <w:rsid w:val="00014B9A"/>
    <w:rsid w:val="00022BB1"/>
    <w:rsid w:val="00026ED7"/>
    <w:rsid w:val="00055D20"/>
    <w:rsid w:val="000614BF"/>
    <w:rsid w:val="00061864"/>
    <w:rsid w:val="00072591"/>
    <w:rsid w:val="0007692D"/>
    <w:rsid w:val="00087033"/>
    <w:rsid w:val="000C74F9"/>
    <w:rsid w:val="000D05EF"/>
    <w:rsid w:val="000D1C03"/>
    <w:rsid w:val="000D3899"/>
    <w:rsid w:val="000D5A8F"/>
    <w:rsid w:val="000E424E"/>
    <w:rsid w:val="000F21C1"/>
    <w:rsid w:val="000F4126"/>
    <w:rsid w:val="001016D1"/>
    <w:rsid w:val="0010240E"/>
    <w:rsid w:val="00102A50"/>
    <w:rsid w:val="0010745C"/>
    <w:rsid w:val="0011206D"/>
    <w:rsid w:val="00115EE7"/>
    <w:rsid w:val="001206A3"/>
    <w:rsid w:val="0014007C"/>
    <w:rsid w:val="00142DA7"/>
    <w:rsid w:val="00155E57"/>
    <w:rsid w:val="00166C2F"/>
    <w:rsid w:val="00167081"/>
    <w:rsid w:val="0017160C"/>
    <w:rsid w:val="00173AED"/>
    <w:rsid w:val="0017539F"/>
    <w:rsid w:val="00182C9A"/>
    <w:rsid w:val="0018435F"/>
    <w:rsid w:val="001939E1"/>
    <w:rsid w:val="00195382"/>
    <w:rsid w:val="001A669A"/>
    <w:rsid w:val="001B0F61"/>
    <w:rsid w:val="001B71C9"/>
    <w:rsid w:val="001C69C4"/>
    <w:rsid w:val="001D053B"/>
    <w:rsid w:val="001D12DD"/>
    <w:rsid w:val="001D1A1C"/>
    <w:rsid w:val="001D1C27"/>
    <w:rsid w:val="001E3590"/>
    <w:rsid w:val="001E7407"/>
    <w:rsid w:val="001F0927"/>
    <w:rsid w:val="001F47CE"/>
    <w:rsid w:val="0021250A"/>
    <w:rsid w:val="002176AC"/>
    <w:rsid w:val="002277A0"/>
    <w:rsid w:val="00236AC4"/>
    <w:rsid w:val="00240749"/>
    <w:rsid w:val="002433FF"/>
    <w:rsid w:val="00252811"/>
    <w:rsid w:val="00265103"/>
    <w:rsid w:val="00275E8D"/>
    <w:rsid w:val="00283AFB"/>
    <w:rsid w:val="00296415"/>
    <w:rsid w:val="00297ECB"/>
    <w:rsid w:val="002A1C5B"/>
    <w:rsid w:val="002A54E9"/>
    <w:rsid w:val="002B3F14"/>
    <w:rsid w:val="002B501C"/>
    <w:rsid w:val="002B71ED"/>
    <w:rsid w:val="002C085A"/>
    <w:rsid w:val="002D043A"/>
    <w:rsid w:val="002E0805"/>
    <w:rsid w:val="002E33B4"/>
    <w:rsid w:val="002F08B3"/>
    <w:rsid w:val="002F329E"/>
    <w:rsid w:val="00312155"/>
    <w:rsid w:val="00313C6F"/>
    <w:rsid w:val="003171FE"/>
    <w:rsid w:val="00321998"/>
    <w:rsid w:val="00330F98"/>
    <w:rsid w:val="0033411C"/>
    <w:rsid w:val="00334771"/>
    <w:rsid w:val="003415D3"/>
    <w:rsid w:val="00352B0F"/>
    <w:rsid w:val="003571DB"/>
    <w:rsid w:val="00360532"/>
    <w:rsid w:val="00382798"/>
    <w:rsid w:val="00387C98"/>
    <w:rsid w:val="003B0F1E"/>
    <w:rsid w:val="003B3669"/>
    <w:rsid w:val="003B4694"/>
    <w:rsid w:val="003C771E"/>
    <w:rsid w:val="003D0BFE"/>
    <w:rsid w:val="003D3BBF"/>
    <w:rsid w:val="003D5700"/>
    <w:rsid w:val="003E7E50"/>
    <w:rsid w:val="003F60D2"/>
    <w:rsid w:val="00402376"/>
    <w:rsid w:val="004043EE"/>
    <w:rsid w:val="0040616D"/>
    <w:rsid w:val="004116CD"/>
    <w:rsid w:val="004168B4"/>
    <w:rsid w:val="00424CA9"/>
    <w:rsid w:val="0044291A"/>
    <w:rsid w:val="00444692"/>
    <w:rsid w:val="00444CF9"/>
    <w:rsid w:val="0045294A"/>
    <w:rsid w:val="00460F87"/>
    <w:rsid w:val="004610FB"/>
    <w:rsid w:val="00473802"/>
    <w:rsid w:val="004969AD"/>
    <w:rsid w:val="00496F97"/>
    <w:rsid w:val="004B5D31"/>
    <w:rsid w:val="004C01C0"/>
    <w:rsid w:val="004C7FF1"/>
    <w:rsid w:val="004D3CC5"/>
    <w:rsid w:val="0050544E"/>
    <w:rsid w:val="00511219"/>
    <w:rsid w:val="00516B8D"/>
    <w:rsid w:val="00520F41"/>
    <w:rsid w:val="005216B2"/>
    <w:rsid w:val="00527D7B"/>
    <w:rsid w:val="005356DD"/>
    <w:rsid w:val="00537FBC"/>
    <w:rsid w:val="00553683"/>
    <w:rsid w:val="00584052"/>
    <w:rsid w:val="00584811"/>
    <w:rsid w:val="00593AA6"/>
    <w:rsid w:val="00594161"/>
    <w:rsid w:val="00594749"/>
    <w:rsid w:val="00595B08"/>
    <w:rsid w:val="005B4067"/>
    <w:rsid w:val="005C3F41"/>
    <w:rsid w:val="005C5800"/>
    <w:rsid w:val="005D4DEA"/>
    <w:rsid w:val="005D6883"/>
    <w:rsid w:val="005E0DAF"/>
    <w:rsid w:val="005E1B10"/>
    <w:rsid w:val="005F06CA"/>
    <w:rsid w:val="00600219"/>
    <w:rsid w:val="00611C2E"/>
    <w:rsid w:val="006215B6"/>
    <w:rsid w:val="00627765"/>
    <w:rsid w:val="00627BCB"/>
    <w:rsid w:val="00640F15"/>
    <w:rsid w:val="006444FB"/>
    <w:rsid w:val="0065106B"/>
    <w:rsid w:val="006527A6"/>
    <w:rsid w:val="00654FC1"/>
    <w:rsid w:val="00664BF3"/>
    <w:rsid w:val="00664C63"/>
    <w:rsid w:val="00677CC2"/>
    <w:rsid w:val="00681A4A"/>
    <w:rsid w:val="0069207B"/>
    <w:rsid w:val="006A48FD"/>
    <w:rsid w:val="006B03A3"/>
    <w:rsid w:val="006B3735"/>
    <w:rsid w:val="006B51F1"/>
    <w:rsid w:val="006C7109"/>
    <w:rsid w:val="006C7F8C"/>
    <w:rsid w:val="006D3764"/>
    <w:rsid w:val="006D6F92"/>
    <w:rsid w:val="006D7CD7"/>
    <w:rsid w:val="006E639A"/>
    <w:rsid w:val="006E6A0E"/>
    <w:rsid w:val="006F5126"/>
    <w:rsid w:val="00700B2C"/>
    <w:rsid w:val="00707E15"/>
    <w:rsid w:val="00712486"/>
    <w:rsid w:val="00713084"/>
    <w:rsid w:val="007173B8"/>
    <w:rsid w:val="00717D54"/>
    <w:rsid w:val="00731E00"/>
    <w:rsid w:val="00732A85"/>
    <w:rsid w:val="007440B7"/>
    <w:rsid w:val="00764484"/>
    <w:rsid w:val="007715C9"/>
    <w:rsid w:val="00774EDD"/>
    <w:rsid w:val="007757EC"/>
    <w:rsid w:val="007845BF"/>
    <w:rsid w:val="007867ED"/>
    <w:rsid w:val="00795FCE"/>
    <w:rsid w:val="0079738B"/>
    <w:rsid w:val="007A659A"/>
    <w:rsid w:val="007B081F"/>
    <w:rsid w:val="007B265F"/>
    <w:rsid w:val="007B6B94"/>
    <w:rsid w:val="007D13EF"/>
    <w:rsid w:val="007E0FC9"/>
    <w:rsid w:val="008235F2"/>
    <w:rsid w:val="00830815"/>
    <w:rsid w:val="0084431C"/>
    <w:rsid w:val="00856A31"/>
    <w:rsid w:val="008754D0"/>
    <w:rsid w:val="00883892"/>
    <w:rsid w:val="0088796A"/>
    <w:rsid w:val="008A6470"/>
    <w:rsid w:val="008C37BB"/>
    <w:rsid w:val="008C51FD"/>
    <w:rsid w:val="008D0EE0"/>
    <w:rsid w:val="008E51D0"/>
    <w:rsid w:val="00932377"/>
    <w:rsid w:val="009620C2"/>
    <w:rsid w:val="00963095"/>
    <w:rsid w:val="00964881"/>
    <w:rsid w:val="009871F3"/>
    <w:rsid w:val="009A40CA"/>
    <w:rsid w:val="009B11F9"/>
    <w:rsid w:val="009B7B66"/>
    <w:rsid w:val="009C26D4"/>
    <w:rsid w:val="009C4753"/>
    <w:rsid w:val="009D5EC9"/>
    <w:rsid w:val="00A120DD"/>
    <w:rsid w:val="00A14233"/>
    <w:rsid w:val="00A20D64"/>
    <w:rsid w:val="00A231E2"/>
    <w:rsid w:val="00A25627"/>
    <w:rsid w:val="00A415B9"/>
    <w:rsid w:val="00A43616"/>
    <w:rsid w:val="00A64912"/>
    <w:rsid w:val="00A70A74"/>
    <w:rsid w:val="00A715C7"/>
    <w:rsid w:val="00A7547A"/>
    <w:rsid w:val="00A91721"/>
    <w:rsid w:val="00AA5445"/>
    <w:rsid w:val="00AB5A90"/>
    <w:rsid w:val="00AD27B3"/>
    <w:rsid w:val="00AD5641"/>
    <w:rsid w:val="00AE59F7"/>
    <w:rsid w:val="00AE7BD7"/>
    <w:rsid w:val="00AF100B"/>
    <w:rsid w:val="00B05DED"/>
    <w:rsid w:val="00B0680C"/>
    <w:rsid w:val="00B12607"/>
    <w:rsid w:val="00B178DD"/>
    <w:rsid w:val="00B26413"/>
    <w:rsid w:val="00B2789C"/>
    <w:rsid w:val="00B33B3C"/>
    <w:rsid w:val="00B340B6"/>
    <w:rsid w:val="00B372A6"/>
    <w:rsid w:val="00B429C2"/>
    <w:rsid w:val="00B45444"/>
    <w:rsid w:val="00B60095"/>
    <w:rsid w:val="00B70E56"/>
    <w:rsid w:val="00B76B17"/>
    <w:rsid w:val="00BA2E44"/>
    <w:rsid w:val="00BB112D"/>
    <w:rsid w:val="00BC1FBA"/>
    <w:rsid w:val="00BC30F2"/>
    <w:rsid w:val="00BC6B4E"/>
    <w:rsid w:val="00BD1FD0"/>
    <w:rsid w:val="00BE1AE0"/>
    <w:rsid w:val="00BE719A"/>
    <w:rsid w:val="00BE720A"/>
    <w:rsid w:val="00C13E5F"/>
    <w:rsid w:val="00C36943"/>
    <w:rsid w:val="00C42BF8"/>
    <w:rsid w:val="00C50043"/>
    <w:rsid w:val="00C53114"/>
    <w:rsid w:val="00C5450C"/>
    <w:rsid w:val="00C603A9"/>
    <w:rsid w:val="00C723B9"/>
    <w:rsid w:val="00C7573B"/>
    <w:rsid w:val="00C77D10"/>
    <w:rsid w:val="00C85B82"/>
    <w:rsid w:val="00CA3B5E"/>
    <w:rsid w:val="00CB0EA8"/>
    <w:rsid w:val="00CB673A"/>
    <w:rsid w:val="00CC7A09"/>
    <w:rsid w:val="00CE38B7"/>
    <w:rsid w:val="00CE7081"/>
    <w:rsid w:val="00CE7F17"/>
    <w:rsid w:val="00CF0BB2"/>
    <w:rsid w:val="00CF26AE"/>
    <w:rsid w:val="00CF35E5"/>
    <w:rsid w:val="00CF4975"/>
    <w:rsid w:val="00CF7B48"/>
    <w:rsid w:val="00D13441"/>
    <w:rsid w:val="00D3213F"/>
    <w:rsid w:val="00D3418F"/>
    <w:rsid w:val="00D374CE"/>
    <w:rsid w:val="00D3782E"/>
    <w:rsid w:val="00D40252"/>
    <w:rsid w:val="00D44203"/>
    <w:rsid w:val="00D46EBA"/>
    <w:rsid w:val="00D61E9E"/>
    <w:rsid w:val="00D70DFB"/>
    <w:rsid w:val="00D74A45"/>
    <w:rsid w:val="00D766DF"/>
    <w:rsid w:val="00D90043"/>
    <w:rsid w:val="00D9232A"/>
    <w:rsid w:val="00D94839"/>
    <w:rsid w:val="00DD0CB4"/>
    <w:rsid w:val="00E00FC1"/>
    <w:rsid w:val="00E049CE"/>
    <w:rsid w:val="00E05704"/>
    <w:rsid w:val="00E22105"/>
    <w:rsid w:val="00E26606"/>
    <w:rsid w:val="00E33A67"/>
    <w:rsid w:val="00E40AF2"/>
    <w:rsid w:val="00E41A62"/>
    <w:rsid w:val="00E427AB"/>
    <w:rsid w:val="00E5172A"/>
    <w:rsid w:val="00E54CAB"/>
    <w:rsid w:val="00E74DC7"/>
    <w:rsid w:val="00E83B8F"/>
    <w:rsid w:val="00E86BAE"/>
    <w:rsid w:val="00E94998"/>
    <w:rsid w:val="00EA5C51"/>
    <w:rsid w:val="00EB32F6"/>
    <w:rsid w:val="00EC6EE4"/>
    <w:rsid w:val="00ED1A6C"/>
    <w:rsid w:val="00ED48BE"/>
    <w:rsid w:val="00ED56B6"/>
    <w:rsid w:val="00EE6DCC"/>
    <w:rsid w:val="00EF2E3A"/>
    <w:rsid w:val="00F0132A"/>
    <w:rsid w:val="00F024DB"/>
    <w:rsid w:val="00F02539"/>
    <w:rsid w:val="00F05852"/>
    <w:rsid w:val="00F078DC"/>
    <w:rsid w:val="00F113D6"/>
    <w:rsid w:val="00F20D5C"/>
    <w:rsid w:val="00F2704E"/>
    <w:rsid w:val="00F27702"/>
    <w:rsid w:val="00F5076A"/>
    <w:rsid w:val="00F51DB8"/>
    <w:rsid w:val="00F72275"/>
    <w:rsid w:val="00F77481"/>
    <w:rsid w:val="00F8002A"/>
    <w:rsid w:val="00F8103A"/>
    <w:rsid w:val="00F85E26"/>
    <w:rsid w:val="00FA3991"/>
    <w:rsid w:val="00FD5FEF"/>
    <w:rsid w:val="00FF058A"/>
    <w:rsid w:val="00FF072B"/>
    <w:rsid w:val="00FF0CED"/>
    <w:rsid w:val="00FF5CD5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7868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3A67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AC4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A8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A8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A8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A8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A8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A8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A8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A8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33A67"/>
  </w:style>
  <w:style w:type="paragraph" w:customStyle="1" w:styleId="OPCParaBase">
    <w:name w:val="OPCParaBase"/>
    <w:qFormat/>
    <w:rsid w:val="00E33A67"/>
    <w:pPr>
      <w:spacing w:line="260" w:lineRule="atLeast"/>
    </w:pPr>
    <w:rPr>
      <w:rFonts w:eastAsia="Times New Roman" w:cs="Times New Roman"/>
      <w:sz w:val="22"/>
    </w:rPr>
  </w:style>
  <w:style w:type="paragraph" w:customStyle="1" w:styleId="ShortT">
    <w:name w:val="ShortT"/>
    <w:basedOn w:val="OPCParaBase"/>
    <w:next w:val="Normal"/>
    <w:qFormat/>
    <w:rsid w:val="00E33A6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33A6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33A6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33A6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33A6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33A6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33A6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33A6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33A6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33A6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33A67"/>
  </w:style>
  <w:style w:type="paragraph" w:customStyle="1" w:styleId="Blocks">
    <w:name w:val="Blocks"/>
    <w:aliases w:val="bb"/>
    <w:basedOn w:val="OPCParaBase"/>
    <w:qFormat/>
    <w:rsid w:val="00E33A6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33A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33A6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33A67"/>
    <w:rPr>
      <w:i/>
    </w:rPr>
  </w:style>
  <w:style w:type="paragraph" w:customStyle="1" w:styleId="BoxList">
    <w:name w:val="BoxList"/>
    <w:aliases w:val="bl"/>
    <w:basedOn w:val="BoxText"/>
    <w:qFormat/>
    <w:rsid w:val="00E33A6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33A6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33A6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33A67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E33A67"/>
  </w:style>
  <w:style w:type="character" w:customStyle="1" w:styleId="CharAmPartText">
    <w:name w:val="CharAmPartText"/>
    <w:basedOn w:val="OPCCharBase"/>
    <w:uiPriority w:val="1"/>
    <w:qFormat/>
    <w:rsid w:val="00E33A67"/>
  </w:style>
  <w:style w:type="character" w:customStyle="1" w:styleId="CharAmSchNo">
    <w:name w:val="CharAmSchNo"/>
    <w:basedOn w:val="OPCCharBase"/>
    <w:uiPriority w:val="1"/>
    <w:qFormat/>
    <w:rsid w:val="00E33A67"/>
  </w:style>
  <w:style w:type="character" w:customStyle="1" w:styleId="CharAmSchText">
    <w:name w:val="CharAmSchText"/>
    <w:basedOn w:val="OPCCharBase"/>
    <w:uiPriority w:val="1"/>
    <w:qFormat/>
    <w:rsid w:val="00E33A67"/>
  </w:style>
  <w:style w:type="character" w:customStyle="1" w:styleId="CharBoldItalic">
    <w:name w:val="CharBoldItalic"/>
    <w:uiPriority w:val="1"/>
    <w:qFormat/>
    <w:rsid w:val="00E33A67"/>
    <w:rPr>
      <w:b/>
      <w:i/>
    </w:rPr>
  </w:style>
  <w:style w:type="character" w:customStyle="1" w:styleId="CharChapNo">
    <w:name w:val="CharChapNo"/>
    <w:basedOn w:val="OPCCharBase"/>
    <w:uiPriority w:val="1"/>
    <w:qFormat/>
    <w:rsid w:val="00E33A67"/>
  </w:style>
  <w:style w:type="character" w:customStyle="1" w:styleId="CharChapText">
    <w:name w:val="CharChapText"/>
    <w:basedOn w:val="OPCCharBase"/>
    <w:uiPriority w:val="1"/>
    <w:qFormat/>
    <w:rsid w:val="00E33A67"/>
  </w:style>
  <w:style w:type="character" w:customStyle="1" w:styleId="CharDivNo">
    <w:name w:val="CharDivNo"/>
    <w:basedOn w:val="OPCCharBase"/>
    <w:uiPriority w:val="1"/>
    <w:qFormat/>
    <w:rsid w:val="00E33A67"/>
  </w:style>
  <w:style w:type="character" w:customStyle="1" w:styleId="CharDivText">
    <w:name w:val="CharDivText"/>
    <w:basedOn w:val="OPCCharBase"/>
    <w:uiPriority w:val="1"/>
    <w:qFormat/>
    <w:rsid w:val="00E33A67"/>
  </w:style>
  <w:style w:type="character" w:customStyle="1" w:styleId="CharItalic">
    <w:name w:val="CharItalic"/>
    <w:uiPriority w:val="1"/>
    <w:qFormat/>
    <w:rsid w:val="00E33A67"/>
    <w:rPr>
      <w:i/>
    </w:rPr>
  </w:style>
  <w:style w:type="character" w:customStyle="1" w:styleId="CharPartNo">
    <w:name w:val="CharPartNo"/>
    <w:basedOn w:val="OPCCharBase"/>
    <w:uiPriority w:val="1"/>
    <w:qFormat/>
    <w:rsid w:val="00E33A67"/>
  </w:style>
  <w:style w:type="character" w:customStyle="1" w:styleId="CharPartText">
    <w:name w:val="CharPartText"/>
    <w:basedOn w:val="OPCCharBase"/>
    <w:uiPriority w:val="1"/>
    <w:qFormat/>
    <w:rsid w:val="00E33A67"/>
  </w:style>
  <w:style w:type="character" w:customStyle="1" w:styleId="CharSectno">
    <w:name w:val="CharSectno"/>
    <w:basedOn w:val="OPCCharBase"/>
    <w:uiPriority w:val="1"/>
    <w:qFormat/>
    <w:rsid w:val="00E33A67"/>
  </w:style>
  <w:style w:type="character" w:customStyle="1" w:styleId="CharSubdNo">
    <w:name w:val="CharSubdNo"/>
    <w:basedOn w:val="OPCCharBase"/>
    <w:uiPriority w:val="1"/>
    <w:qFormat/>
    <w:rsid w:val="00E33A67"/>
  </w:style>
  <w:style w:type="character" w:customStyle="1" w:styleId="CharSubdText">
    <w:name w:val="CharSubdText"/>
    <w:basedOn w:val="OPCCharBase"/>
    <w:uiPriority w:val="1"/>
    <w:qFormat/>
    <w:rsid w:val="00E33A67"/>
  </w:style>
  <w:style w:type="paragraph" w:customStyle="1" w:styleId="CTA--">
    <w:name w:val="CTA --"/>
    <w:basedOn w:val="OPCParaBase"/>
    <w:next w:val="Normal"/>
    <w:rsid w:val="00E33A6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33A6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33A6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33A6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33A6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33A6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33A6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33A6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33A6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33A6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33A6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33A6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33A6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33A6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33A6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33A6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33A6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33A6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33A6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33A6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33A6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33A6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E33A6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33A6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33A6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33A6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33A6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33A6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33A6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33A6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33A6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33A6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33A6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33A6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33A6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33A6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33A6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33A6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33A6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33A6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33A6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33A6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33A6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33A6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33A6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E33A6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33A6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33A6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33A6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33A6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33A6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33A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33A6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33A6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33A6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33A6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33A6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33A6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33A6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33A6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33A6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33A6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33A6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33A6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33A6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33A6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33A6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33A6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33A6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33A6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33A6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</w:rPr>
  </w:style>
  <w:style w:type="character" w:customStyle="1" w:styleId="FooterChar">
    <w:name w:val="Footer Char"/>
    <w:link w:val="Footer"/>
    <w:rsid w:val="00E33A6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E33A67"/>
    <w:rPr>
      <w:sz w:val="16"/>
    </w:rPr>
  </w:style>
  <w:style w:type="table" w:customStyle="1" w:styleId="CFlag">
    <w:name w:val="CFlag"/>
    <w:basedOn w:val="TableNormal"/>
    <w:uiPriority w:val="99"/>
    <w:rsid w:val="00E33A67"/>
    <w:rPr>
      <w:rFonts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iledActNo">
    <w:name w:val="CompiledActNo"/>
    <w:basedOn w:val="OPCParaBase"/>
    <w:next w:val="Normal"/>
    <w:rsid w:val="00E33A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33A67"/>
    <w:rPr>
      <w:i/>
      <w:sz w:val="24"/>
      <w:szCs w:val="24"/>
    </w:rPr>
  </w:style>
  <w:style w:type="paragraph" w:customStyle="1" w:styleId="ENotesText">
    <w:name w:val="ENotesText"/>
    <w:basedOn w:val="OPCParaBase"/>
    <w:next w:val="Normal"/>
    <w:rsid w:val="00E33A67"/>
  </w:style>
  <w:style w:type="paragraph" w:customStyle="1" w:styleId="Paragraphsub-sub-sub">
    <w:name w:val="Paragraph(sub-sub-sub)"/>
    <w:aliases w:val="aaaa"/>
    <w:basedOn w:val="OPCParaBase"/>
    <w:rsid w:val="00E33A6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33A6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33A6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33A6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33A6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33A6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33A6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33A6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33A6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33A6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33A6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33A67"/>
  </w:style>
  <w:style w:type="character" w:customStyle="1" w:styleId="CharSubPartNoCASA">
    <w:name w:val="CharSubPartNo(CASA)"/>
    <w:basedOn w:val="OPCCharBase"/>
    <w:uiPriority w:val="1"/>
    <w:rsid w:val="00E33A67"/>
  </w:style>
  <w:style w:type="paragraph" w:customStyle="1" w:styleId="ENoteTTIndentHeadingSub">
    <w:name w:val="ENoteTTIndentHeadingSub"/>
    <w:aliases w:val="enTTHis"/>
    <w:basedOn w:val="OPCParaBase"/>
    <w:rsid w:val="00E33A6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33A6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33A6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33A6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33A6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D4DEA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E33A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E33A67"/>
    <w:rPr>
      <w:sz w:val="22"/>
    </w:rPr>
  </w:style>
  <w:style w:type="paragraph" w:customStyle="1" w:styleId="SOTextNote">
    <w:name w:val="SO TextNote"/>
    <w:aliases w:val="sont"/>
    <w:basedOn w:val="SOText"/>
    <w:qFormat/>
    <w:rsid w:val="00E33A6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33A6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E33A67"/>
    <w:rPr>
      <w:sz w:val="22"/>
    </w:rPr>
  </w:style>
  <w:style w:type="paragraph" w:customStyle="1" w:styleId="FileName">
    <w:name w:val="FileName"/>
    <w:basedOn w:val="Normal"/>
    <w:rsid w:val="00E33A67"/>
  </w:style>
  <w:style w:type="paragraph" w:customStyle="1" w:styleId="TableHeading">
    <w:name w:val="TableHeading"/>
    <w:aliases w:val="th"/>
    <w:basedOn w:val="OPCParaBase"/>
    <w:next w:val="Tabletext"/>
    <w:rsid w:val="00E33A6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33A67"/>
    <w:rPr>
      <w:b/>
    </w:rPr>
  </w:style>
  <w:style w:type="character" w:customStyle="1" w:styleId="SOHeadBoldChar">
    <w:name w:val="SO HeadBold Char"/>
    <w:aliases w:val="sohb Char"/>
    <w:link w:val="SOHeadBold"/>
    <w:rsid w:val="00E33A6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33A67"/>
    <w:rPr>
      <w:i/>
    </w:rPr>
  </w:style>
  <w:style w:type="character" w:customStyle="1" w:styleId="SOHeadItalicChar">
    <w:name w:val="SO HeadItalic Char"/>
    <w:aliases w:val="sohi Char"/>
    <w:link w:val="SOHeadItalic"/>
    <w:rsid w:val="00E33A6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33A67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E33A6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33A6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E33A67"/>
    <w:rPr>
      <w:sz w:val="18"/>
    </w:rPr>
  </w:style>
  <w:style w:type="character" w:customStyle="1" w:styleId="paragraphChar">
    <w:name w:val="paragraph Char"/>
    <w:aliases w:val="a Char"/>
    <w:link w:val="paragraph"/>
    <w:rsid w:val="00ED56B6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ED56B6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E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1E9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0680C"/>
    <w:rPr>
      <w:b/>
      <w:bCs/>
      <w:color w:val="1D1930"/>
    </w:rPr>
  </w:style>
  <w:style w:type="character" w:customStyle="1" w:styleId="Heading1Char">
    <w:name w:val="Heading 1 Char"/>
    <w:link w:val="Heading1"/>
    <w:uiPriority w:val="9"/>
    <w:rsid w:val="00236A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ubsection2Char">
    <w:name w:val="subsection2 Char"/>
    <w:aliases w:val="ss2 Char"/>
    <w:link w:val="subsection2"/>
    <w:rsid w:val="00D3782E"/>
    <w:rPr>
      <w:rFonts w:eastAsia="Times New Roman" w:cs="Times New Roman"/>
      <w:sz w:val="22"/>
      <w:lang w:eastAsia="en-AU"/>
    </w:rPr>
  </w:style>
  <w:style w:type="character" w:customStyle="1" w:styleId="Heading2Char">
    <w:name w:val="Heading 2 Char"/>
    <w:link w:val="Heading2"/>
    <w:uiPriority w:val="9"/>
    <w:semiHidden/>
    <w:rsid w:val="000D5A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0D5A8F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semiHidden/>
    <w:rsid w:val="000D5A8F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semiHidden/>
    <w:rsid w:val="000D5A8F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link w:val="Heading6"/>
    <w:uiPriority w:val="9"/>
    <w:semiHidden/>
    <w:rsid w:val="000D5A8F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0D5A8F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0D5A8F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semiHidden/>
    <w:rsid w:val="000D5A8F"/>
    <w:rPr>
      <w:rFonts w:ascii="Cambria" w:eastAsia="Times New Roman" w:hAnsi="Cambria" w:cs="Times New Roman"/>
      <w:i/>
      <w:iCs/>
      <w:color w:val="404040"/>
    </w:rPr>
  </w:style>
  <w:style w:type="paragraph" w:customStyle="1" w:styleId="SOText2">
    <w:name w:val="SO Text2"/>
    <w:aliases w:val="sot2"/>
    <w:basedOn w:val="Normal"/>
    <w:next w:val="SOText"/>
    <w:link w:val="SOText2Char"/>
    <w:rsid w:val="00E33A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E33A6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8854">
          <w:marLeft w:val="216"/>
          <w:marRight w:val="216"/>
          <w:marTop w:val="33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8964">
              <w:marLeft w:val="270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854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3954">
                  <w:marLeft w:val="36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7228">
                  <w:marLeft w:val="36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9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8096">
          <w:marLeft w:val="216"/>
          <w:marRight w:val="216"/>
          <w:marTop w:val="33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5709">
              <w:marLeft w:val="270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1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2662">
                  <w:marLeft w:val="36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5205">
                  <w:marLeft w:val="36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2078">
          <w:marLeft w:val="216"/>
          <w:marRight w:val="216"/>
          <w:marTop w:val="33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0725">
              <w:marLeft w:val="270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4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0327">
                  <w:marLeft w:val="36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7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1095">
          <w:marLeft w:val="216"/>
          <w:marRight w:val="216"/>
          <w:marTop w:val="33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3100">
              <w:marLeft w:val="270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7982">
                  <w:marLeft w:val="36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8804">
                  <w:marLeft w:val="36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C5204E5996D4FAD6433BB596A3F1A" ma:contentTypeVersion="8" ma:contentTypeDescription="Create a new document." ma:contentTypeScope="" ma:versionID="167adbea61b086988282d490394fc990">
  <xsd:schema xmlns:xsd="http://www.w3.org/2001/XMLSchema" xmlns:xs="http://www.w3.org/2001/XMLSchema" xmlns:p="http://schemas.microsoft.com/office/2006/metadata/properties" xmlns:ns2="378b04f6-f261-4499-b462-41ddd755ff66" targetNamespace="http://schemas.microsoft.com/office/2006/metadata/properties" ma:root="true" ma:fieldsID="22f26d0b53b139d9c050ec22fe8dd7e4" ns2:_="">
    <xsd:import namespace="378b04f6-f261-4499-b462-41ddd755ff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b04f6-f261-4499-b462-41ddd755ff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78b04f6-f261-4499-b462-41ddd755ff66">2014RG-30-2271</_dlc_DocId>
    <_dlc_DocIdUrl xmlns="378b04f6-f261-4499-b462-41ddd755ff66">
      <Url>http://tweb/sites/rg/ldp/_layouts/DocIdRedir.aspx?ID=2014RG-30-2271</Url>
      <Description>2014RG-30-2271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7F70-B337-4C8D-A715-6C403AD7012F}"/>
</file>

<file path=customXml/itemProps2.xml><?xml version="1.0" encoding="utf-8"?>
<ds:datastoreItem xmlns:ds="http://schemas.openxmlformats.org/officeDocument/2006/customXml" ds:itemID="{19C9DA74-AA62-4DD7-8857-163274A97F7F}"/>
</file>

<file path=customXml/itemProps3.xml><?xml version="1.0" encoding="utf-8"?>
<ds:datastoreItem xmlns:ds="http://schemas.openxmlformats.org/officeDocument/2006/customXml" ds:itemID="{7A9113F0-06EB-4B7A-B7FC-EB8A4396315A}"/>
</file>

<file path=customXml/itemProps4.xml><?xml version="1.0" encoding="utf-8"?>
<ds:datastoreItem xmlns:ds="http://schemas.openxmlformats.org/officeDocument/2006/customXml" ds:itemID="{843F9FD9-E9DD-4EFD-84D5-C9F5243BABC5}"/>
</file>

<file path=customXml/itemProps5.xml><?xml version="1.0" encoding="utf-8"?>
<ds:datastoreItem xmlns:ds="http://schemas.openxmlformats.org/officeDocument/2006/customXml" ds:itemID="{4E8ED2FD-C095-4986-A452-B9473AADB461}"/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6</Pages>
  <Words>1242</Words>
  <Characters>7085</Characters>
  <Application>Microsoft Office Word</Application>
  <DocSecurity>6</DocSecurity>
  <PresentationFormat/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2014-02-10T05:07:00Z</cp:lastPrinted>
  <dcterms:created xsi:type="dcterms:W3CDTF">2014-03-24T03:32:00Z</dcterms:created>
  <dcterms:modified xsi:type="dcterms:W3CDTF">2014-03-24T03:32:00Z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DLM">
    <vt:lpwstr/>
  </property>
  <property fmtid="{D5CDD505-2E9C-101B-9397-08002B2CF9AE}" pid="4" name="ShortT">
    <vt:lpwstr>Tax and Superannuation Laws Amendment (2014 Measures No. 2) Bill 2014: Protection for discontinued announced measures</vt:lpwstr>
  </property>
  <property fmtid="{D5CDD505-2E9C-101B-9397-08002B2CF9AE}" pid="5" name="ID">
    <vt:lpwstr>OPC5213</vt:lpwstr>
  </property>
  <property fmtid="{D5CDD505-2E9C-101B-9397-08002B2CF9AE}" pid="6" name="DoNotAsk">
    <vt:lpwstr>0</vt:lpwstr>
  </property>
  <property fmtid="{D5CDD505-2E9C-101B-9397-08002B2CF9AE}" pid="7" name="ChangedTitle">
    <vt:lpwstr/>
  </property>
  <property fmtid="{D5CDD505-2E9C-101B-9397-08002B2CF9AE}" pid="8" name="Actno">
    <vt:lpwstr/>
  </property>
  <property fmtid="{D5CDD505-2E9C-101B-9397-08002B2CF9AE}" pid="9" name="Class">
    <vt:lpwstr/>
  </property>
  <property fmtid="{D5CDD505-2E9C-101B-9397-08002B2CF9AE}" pid="10" name="Type">
    <vt:lpwstr>BILL</vt:lpwstr>
  </property>
  <property fmtid="{D5CDD505-2E9C-101B-9397-08002B2CF9AE}" pid="11" name="DocType">
    <vt:lpwstr>INS</vt:lpwstr>
  </property>
  <property fmtid="{D5CDD505-2E9C-101B-9397-08002B2CF9AE}" pid="12" name="TrimID">
    <vt:lpwstr>PC:D14/1441</vt:lpwstr>
  </property>
  <property fmtid="{D5CDD505-2E9C-101B-9397-08002B2CF9AE}" pid="13" name="ContentTypeId">
    <vt:lpwstr>0x010100EADC5204E5996D4FAD6433BB596A3F1A</vt:lpwstr>
  </property>
  <property fmtid="{D5CDD505-2E9C-101B-9397-08002B2CF9AE}" pid="14" name="_dlc_DocIdItemGuid">
    <vt:lpwstr>c6db29fc-93af-43db-beb5-e0d91f6ed59b</vt:lpwstr>
  </property>
  <property fmtid="{D5CDD505-2E9C-101B-9397-08002B2CF9AE}" pid="15" name="_AdHocReviewCycleID">
    <vt:i4>-987681685</vt:i4>
  </property>
  <property fmtid="{D5CDD505-2E9C-101B-9397-08002B2CF9AE}" pid="16" name="_NewReviewCycle">
    <vt:lpwstr/>
  </property>
</Properties>
</file>