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95DB490" w14:textId="7E29F2AD" w:rsidR="0034587B" w:rsidRDefault="00251D63" w:rsidP="007B5BA2">
      <w:pPr>
        <w:jc w:val="center"/>
      </w:pPr>
      <w:bookmarkStart w:id="0" w:name="_GoBack"/>
      <w:bookmarkEnd w:id="0"/>
      <w:r>
        <w:t xml:space="preserve"> </w:t>
      </w:r>
    </w:p>
    <w:p w14:paraId="0AE4B89B" w14:textId="77777777" w:rsidR="007B5BA2" w:rsidRDefault="007B5BA2" w:rsidP="007B5BA2">
      <w:pPr>
        <w:jc w:val="center"/>
      </w:pPr>
    </w:p>
    <w:p w14:paraId="038ABFF2" w14:textId="77777777" w:rsidR="007B5BA2" w:rsidRDefault="007B5BA2" w:rsidP="007B5BA2">
      <w:pPr>
        <w:jc w:val="center"/>
      </w:pPr>
    </w:p>
    <w:p w14:paraId="7CF24BC7" w14:textId="77777777" w:rsidR="007B5BA2" w:rsidRDefault="007B5BA2" w:rsidP="007B5BA2">
      <w:pPr>
        <w:jc w:val="center"/>
      </w:pPr>
    </w:p>
    <w:p w14:paraId="7651F937" w14:textId="77777777" w:rsidR="007B5BA2" w:rsidRDefault="007B5BA2" w:rsidP="007B5BA2">
      <w:pPr>
        <w:jc w:val="center"/>
      </w:pPr>
    </w:p>
    <w:p w14:paraId="41D2B0C9" w14:textId="77777777" w:rsidR="007B5BA2" w:rsidRDefault="007B5BA2" w:rsidP="007B5BA2">
      <w:pPr>
        <w:jc w:val="center"/>
      </w:pPr>
    </w:p>
    <w:p w14:paraId="4AD4E7F6" w14:textId="77777777" w:rsidR="007B5BA2" w:rsidRDefault="007B5BA2" w:rsidP="007B5BA2">
      <w:pPr>
        <w:jc w:val="center"/>
      </w:pPr>
    </w:p>
    <w:p w14:paraId="64D39325" w14:textId="77777777" w:rsidR="007B5BA2" w:rsidRDefault="007B5BA2" w:rsidP="007B5BA2">
      <w:pPr>
        <w:jc w:val="center"/>
      </w:pPr>
    </w:p>
    <w:p w14:paraId="23C0D6EC" w14:textId="77777777" w:rsidR="007B5BA2" w:rsidRDefault="007B5BA2" w:rsidP="007B5BA2">
      <w:pPr>
        <w:jc w:val="center"/>
        <w:rPr>
          <w:noProof/>
          <w:lang w:eastAsia="en-AU"/>
        </w:rPr>
      </w:pPr>
    </w:p>
    <w:p w14:paraId="3801E577" w14:textId="77777777" w:rsidR="007B5BA2" w:rsidRDefault="007B5BA2" w:rsidP="007B5BA2">
      <w:pPr>
        <w:jc w:val="center"/>
        <w:rPr>
          <w:noProof/>
          <w:lang w:eastAsia="en-AU"/>
        </w:rPr>
      </w:pPr>
      <w:r>
        <w:rPr>
          <w:noProof/>
          <w:lang w:eastAsia="en-AU"/>
        </w:rPr>
        <w:drawing>
          <wp:anchor distT="0" distB="0" distL="114300" distR="114300" simplePos="0" relativeHeight="251659264" behindDoc="1" locked="0" layoutInCell="1" allowOverlap="1" wp14:anchorId="4917A7A7" wp14:editId="2B87848A">
            <wp:simplePos x="0" y="0"/>
            <wp:positionH relativeFrom="column">
              <wp:posOffset>1933575</wp:posOffset>
            </wp:positionH>
            <wp:positionV relativeFrom="paragraph">
              <wp:posOffset>57785</wp:posOffset>
            </wp:positionV>
            <wp:extent cx="2457450" cy="1466850"/>
            <wp:effectExtent l="0" t="0" r="0" b="0"/>
            <wp:wrapNone/>
            <wp:docPr id="1" name="Picture 1" descr="NewASG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ASGA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457450" cy="14668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BCCD5E1" w14:textId="77777777" w:rsidR="007B5BA2" w:rsidRDefault="007B5BA2" w:rsidP="007B5BA2">
      <w:pPr>
        <w:jc w:val="center"/>
        <w:rPr>
          <w:rFonts w:asciiTheme="majorHAnsi" w:hAnsiTheme="majorHAnsi"/>
          <w:noProof/>
          <w:sz w:val="36"/>
          <w:szCs w:val="36"/>
          <w:lang w:eastAsia="en-AU"/>
        </w:rPr>
      </w:pPr>
    </w:p>
    <w:p w14:paraId="3C35F5CD" w14:textId="77777777" w:rsidR="007B5BA2" w:rsidRDefault="007B5BA2" w:rsidP="007B5BA2">
      <w:pPr>
        <w:jc w:val="center"/>
        <w:rPr>
          <w:rFonts w:asciiTheme="majorHAnsi" w:hAnsiTheme="majorHAnsi"/>
          <w:noProof/>
          <w:sz w:val="36"/>
          <w:szCs w:val="36"/>
          <w:lang w:eastAsia="en-AU"/>
        </w:rPr>
      </w:pPr>
    </w:p>
    <w:p w14:paraId="7D2383DF" w14:textId="77777777" w:rsidR="007B5BA2" w:rsidRDefault="007B5BA2" w:rsidP="007B5BA2">
      <w:pPr>
        <w:jc w:val="center"/>
        <w:rPr>
          <w:rFonts w:asciiTheme="majorHAnsi" w:hAnsiTheme="majorHAnsi"/>
          <w:noProof/>
          <w:sz w:val="36"/>
          <w:szCs w:val="36"/>
          <w:lang w:eastAsia="en-AU"/>
        </w:rPr>
      </w:pPr>
    </w:p>
    <w:p w14:paraId="56871060" w14:textId="77777777" w:rsidR="007B5BA2" w:rsidRDefault="007B5BA2" w:rsidP="007B5BA2">
      <w:pPr>
        <w:jc w:val="center"/>
        <w:rPr>
          <w:rFonts w:asciiTheme="majorHAnsi" w:hAnsiTheme="majorHAnsi"/>
          <w:noProof/>
          <w:sz w:val="36"/>
          <w:szCs w:val="36"/>
          <w:lang w:eastAsia="en-AU"/>
        </w:rPr>
      </w:pPr>
    </w:p>
    <w:p w14:paraId="168C1136" w14:textId="77777777" w:rsidR="007B5BA2" w:rsidRDefault="007B5BA2" w:rsidP="007B5BA2">
      <w:pPr>
        <w:jc w:val="center"/>
        <w:rPr>
          <w:rFonts w:asciiTheme="majorHAnsi" w:hAnsiTheme="majorHAnsi"/>
          <w:noProof/>
          <w:sz w:val="36"/>
          <w:szCs w:val="36"/>
          <w:lang w:eastAsia="en-AU"/>
        </w:rPr>
      </w:pPr>
    </w:p>
    <w:p w14:paraId="167D1265" w14:textId="77777777" w:rsidR="007B5BA2" w:rsidRDefault="007B5BA2" w:rsidP="007B5BA2">
      <w:pPr>
        <w:jc w:val="center"/>
        <w:rPr>
          <w:rFonts w:asciiTheme="majorHAnsi" w:hAnsiTheme="majorHAnsi"/>
          <w:noProof/>
          <w:sz w:val="36"/>
          <w:szCs w:val="36"/>
          <w:lang w:eastAsia="en-AU"/>
        </w:rPr>
      </w:pPr>
    </w:p>
    <w:p w14:paraId="56A906A4" w14:textId="77777777" w:rsidR="00236354" w:rsidRDefault="00236354" w:rsidP="003B23ED">
      <w:pPr>
        <w:jc w:val="center"/>
        <w:rPr>
          <w:rFonts w:asciiTheme="majorHAnsi" w:hAnsiTheme="majorHAnsi"/>
          <w:noProof/>
          <w:sz w:val="36"/>
          <w:szCs w:val="36"/>
          <w:lang w:eastAsia="en-AU"/>
        </w:rPr>
      </w:pPr>
    </w:p>
    <w:p w14:paraId="2D7092CD" w14:textId="77777777" w:rsidR="00236354" w:rsidRDefault="00236354" w:rsidP="003B23ED">
      <w:pPr>
        <w:jc w:val="center"/>
        <w:rPr>
          <w:rFonts w:asciiTheme="majorHAnsi" w:hAnsiTheme="majorHAnsi"/>
          <w:noProof/>
          <w:sz w:val="36"/>
          <w:szCs w:val="36"/>
          <w:lang w:eastAsia="en-AU"/>
        </w:rPr>
      </w:pPr>
    </w:p>
    <w:p w14:paraId="573774FF" w14:textId="4B6DE2F1" w:rsidR="003B23ED" w:rsidRPr="00A73E25" w:rsidRDefault="007B5BA2" w:rsidP="003B23ED">
      <w:pPr>
        <w:jc w:val="center"/>
        <w:rPr>
          <w:rFonts w:asciiTheme="majorHAnsi" w:hAnsiTheme="majorHAnsi"/>
          <w:i/>
          <w:noProof/>
          <w:sz w:val="36"/>
          <w:szCs w:val="36"/>
          <w:lang w:eastAsia="en-AU"/>
        </w:rPr>
      </w:pPr>
      <w:r w:rsidRPr="007B5BA2">
        <w:rPr>
          <w:rFonts w:asciiTheme="majorHAnsi" w:hAnsiTheme="majorHAnsi"/>
          <w:noProof/>
          <w:sz w:val="36"/>
          <w:szCs w:val="36"/>
          <w:lang w:eastAsia="en-AU"/>
        </w:rPr>
        <w:t xml:space="preserve">Submission to the </w:t>
      </w:r>
      <w:r w:rsidR="00940958">
        <w:rPr>
          <w:rFonts w:asciiTheme="majorHAnsi" w:hAnsiTheme="majorHAnsi"/>
          <w:noProof/>
          <w:sz w:val="36"/>
          <w:szCs w:val="36"/>
          <w:lang w:eastAsia="en-AU"/>
        </w:rPr>
        <w:t>Treasury Department’s</w:t>
      </w:r>
      <w:r w:rsidR="003B23ED">
        <w:rPr>
          <w:rFonts w:asciiTheme="majorHAnsi" w:hAnsiTheme="majorHAnsi"/>
          <w:noProof/>
          <w:sz w:val="36"/>
          <w:szCs w:val="36"/>
          <w:lang w:eastAsia="en-AU"/>
        </w:rPr>
        <w:t xml:space="preserve"> </w:t>
      </w:r>
      <w:r w:rsidR="00940958" w:rsidRPr="00A73E25">
        <w:rPr>
          <w:rFonts w:asciiTheme="majorHAnsi" w:hAnsiTheme="majorHAnsi"/>
          <w:i/>
          <w:noProof/>
          <w:sz w:val="36"/>
          <w:szCs w:val="36"/>
          <w:lang w:eastAsia="en-AU"/>
        </w:rPr>
        <w:t>Consultation</w:t>
      </w:r>
    </w:p>
    <w:p w14:paraId="09DACB3E" w14:textId="28311D61" w:rsidR="003B23ED" w:rsidRPr="006D4A1C" w:rsidRDefault="00940958" w:rsidP="006D4A1C">
      <w:pPr>
        <w:jc w:val="center"/>
        <w:rPr>
          <w:rFonts w:asciiTheme="majorHAnsi" w:hAnsiTheme="majorHAnsi"/>
          <w:i/>
          <w:noProof/>
          <w:sz w:val="36"/>
          <w:szCs w:val="36"/>
          <w:lang w:eastAsia="en-AU"/>
        </w:rPr>
      </w:pPr>
      <w:r w:rsidRPr="00A73E25">
        <w:rPr>
          <w:rFonts w:asciiTheme="majorHAnsi" w:hAnsiTheme="majorHAnsi"/>
          <w:i/>
          <w:noProof/>
          <w:sz w:val="36"/>
          <w:szCs w:val="36"/>
          <w:lang w:eastAsia="en-AU"/>
        </w:rPr>
        <w:t xml:space="preserve">into </w:t>
      </w:r>
      <w:r w:rsidR="009330AC" w:rsidRPr="00A73E25">
        <w:rPr>
          <w:rFonts w:asciiTheme="majorHAnsi" w:hAnsiTheme="majorHAnsi"/>
          <w:i/>
          <w:noProof/>
          <w:sz w:val="36"/>
          <w:szCs w:val="36"/>
          <w:lang w:eastAsia="en-AU"/>
        </w:rPr>
        <w:t>applying GST to low value goods imported by consumers</w:t>
      </w:r>
    </w:p>
    <w:p w14:paraId="29B3CCD0" w14:textId="77777777" w:rsidR="007B5BA2" w:rsidRPr="007B5BA2" w:rsidRDefault="007B5BA2" w:rsidP="007B5BA2">
      <w:pPr>
        <w:jc w:val="center"/>
        <w:rPr>
          <w:rFonts w:asciiTheme="majorHAnsi" w:hAnsiTheme="majorHAnsi"/>
          <w:b/>
          <w:noProof/>
          <w:sz w:val="36"/>
          <w:szCs w:val="36"/>
          <w:lang w:eastAsia="en-AU"/>
        </w:rPr>
      </w:pPr>
    </w:p>
    <w:p w14:paraId="71C4FF62" w14:textId="77777777" w:rsidR="007B5BA2" w:rsidRDefault="007B5BA2" w:rsidP="007B5BA2">
      <w:pPr>
        <w:jc w:val="center"/>
        <w:rPr>
          <w:rFonts w:asciiTheme="majorHAnsi" w:hAnsiTheme="majorHAnsi" w:cs="Lucida Sans Unicode"/>
          <w:b/>
          <w:sz w:val="26"/>
          <w:szCs w:val="26"/>
          <w:lang w:val="en"/>
        </w:rPr>
      </w:pPr>
    </w:p>
    <w:p w14:paraId="2D8638CE" w14:textId="77777777" w:rsidR="007B5BA2" w:rsidRDefault="007B5BA2" w:rsidP="007B5BA2">
      <w:pPr>
        <w:jc w:val="center"/>
        <w:rPr>
          <w:rFonts w:asciiTheme="majorHAnsi" w:hAnsiTheme="majorHAnsi"/>
          <w:b/>
          <w:sz w:val="36"/>
          <w:szCs w:val="36"/>
        </w:rPr>
      </w:pPr>
    </w:p>
    <w:p w14:paraId="113E0763" w14:textId="77777777" w:rsidR="001E0080" w:rsidRDefault="001E0080" w:rsidP="007B5BA2">
      <w:pPr>
        <w:jc w:val="center"/>
        <w:rPr>
          <w:rFonts w:asciiTheme="majorHAnsi" w:hAnsiTheme="majorHAnsi"/>
          <w:b/>
          <w:sz w:val="36"/>
          <w:szCs w:val="36"/>
        </w:rPr>
      </w:pPr>
    </w:p>
    <w:p w14:paraId="13AE1E8F" w14:textId="77777777" w:rsidR="001E0080" w:rsidRDefault="001E0080" w:rsidP="007B5BA2">
      <w:pPr>
        <w:jc w:val="center"/>
        <w:rPr>
          <w:rFonts w:asciiTheme="majorHAnsi" w:hAnsiTheme="majorHAnsi"/>
          <w:b/>
          <w:sz w:val="36"/>
          <w:szCs w:val="36"/>
        </w:rPr>
      </w:pPr>
    </w:p>
    <w:p w14:paraId="19D71344" w14:textId="77777777" w:rsidR="001E0080" w:rsidRDefault="001E0080" w:rsidP="007B5BA2">
      <w:pPr>
        <w:jc w:val="center"/>
        <w:rPr>
          <w:rFonts w:asciiTheme="majorHAnsi" w:hAnsiTheme="majorHAnsi"/>
          <w:b/>
          <w:sz w:val="36"/>
          <w:szCs w:val="36"/>
        </w:rPr>
      </w:pPr>
    </w:p>
    <w:p w14:paraId="6B0ADDD5" w14:textId="77777777" w:rsidR="001E0080" w:rsidRDefault="001E0080" w:rsidP="007B5BA2">
      <w:pPr>
        <w:jc w:val="center"/>
        <w:rPr>
          <w:rFonts w:asciiTheme="majorHAnsi" w:hAnsiTheme="majorHAnsi"/>
          <w:b/>
          <w:sz w:val="36"/>
          <w:szCs w:val="36"/>
        </w:rPr>
      </w:pPr>
    </w:p>
    <w:p w14:paraId="1AED352F" w14:textId="77777777" w:rsidR="001E0080" w:rsidRDefault="001E0080" w:rsidP="007B5BA2">
      <w:pPr>
        <w:jc w:val="center"/>
        <w:rPr>
          <w:rFonts w:asciiTheme="majorHAnsi" w:hAnsiTheme="majorHAnsi"/>
          <w:b/>
          <w:sz w:val="36"/>
          <w:szCs w:val="36"/>
        </w:rPr>
      </w:pPr>
    </w:p>
    <w:p w14:paraId="191E08D8" w14:textId="77777777" w:rsidR="001E0080" w:rsidRDefault="001E0080" w:rsidP="007B5BA2">
      <w:pPr>
        <w:jc w:val="center"/>
        <w:rPr>
          <w:rFonts w:asciiTheme="majorHAnsi" w:hAnsiTheme="majorHAnsi"/>
          <w:b/>
          <w:sz w:val="36"/>
          <w:szCs w:val="36"/>
        </w:rPr>
      </w:pPr>
    </w:p>
    <w:p w14:paraId="304605DC" w14:textId="77777777" w:rsidR="006D4A1C" w:rsidRDefault="006D4A1C" w:rsidP="006D4A1C">
      <w:pPr>
        <w:rPr>
          <w:rFonts w:asciiTheme="majorHAnsi" w:hAnsiTheme="majorHAnsi"/>
          <w:b/>
          <w:sz w:val="24"/>
          <w:szCs w:val="24"/>
        </w:rPr>
      </w:pPr>
    </w:p>
    <w:p w14:paraId="59ABFD91" w14:textId="77777777" w:rsidR="006D4A1C" w:rsidRDefault="006D4A1C" w:rsidP="006D4A1C">
      <w:pPr>
        <w:rPr>
          <w:rFonts w:asciiTheme="majorHAnsi" w:hAnsiTheme="majorHAnsi"/>
          <w:b/>
          <w:sz w:val="24"/>
          <w:szCs w:val="24"/>
        </w:rPr>
      </w:pPr>
    </w:p>
    <w:p w14:paraId="7B609BCD" w14:textId="77777777" w:rsidR="00940958" w:rsidRDefault="00940958" w:rsidP="006D4A1C">
      <w:pPr>
        <w:rPr>
          <w:rFonts w:asciiTheme="majorHAnsi" w:hAnsiTheme="majorHAnsi"/>
          <w:b/>
          <w:sz w:val="24"/>
          <w:szCs w:val="24"/>
        </w:rPr>
      </w:pPr>
    </w:p>
    <w:p w14:paraId="362B7EF0" w14:textId="77777777" w:rsidR="001E0080" w:rsidRPr="006D4A1C" w:rsidRDefault="006D4A1C" w:rsidP="006D4A1C">
      <w:pPr>
        <w:rPr>
          <w:rFonts w:asciiTheme="majorHAnsi" w:hAnsiTheme="majorHAnsi"/>
          <w:sz w:val="24"/>
          <w:szCs w:val="24"/>
        </w:rPr>
      </w:pPr>
      <w:r w:rsidRPr="006D4A1C">
        <w:rPr>
          <w:rFonts w:asciiTheme="majorHAnsi" w:hAnsiTheme="majorHAnsi"/>
          <w:sz w:val="24"/>
          <w:szCs w:val="24"/>
        </w:rPr>
        <w:t>Shannon Walker</w:t>
      </w:r>
    </w:p>
    <w:p w14:paraId="3DB1A02B" w14:textId="77777777" w:rsidR="006D4A1C" w:rsidRPr="006D4A1C" w:rsidRDefault="006D4A1C" w:rsidP="006D4A1C">
      <w:pPr>
        <w:rPr>
          <w:rFonts w:asciiTheme="majorHAnsi" w:hAnsiTheme="majorHAnsi"/>
          <w:sz w:val="24"/>
          <w:szCs w:val="24"/>
        </w:rPr>
      </w:pPr>
      <w:r w:rsidRPr="006D4A1C">
        <w:rPr>
          <w:rFonts w:asciiTheme="majorHAnsi" w:hAnsiTheme="majorHAnsi"/>
          <w:sz w:val="24"/>
          <w:szCs w:val="24"/>
        </w:rPr>
        <w:t>Executive Director</w:t>
      </w:r>
    </w:p>
    <w:p w14:paraId="625A696F" w14:textId="77777777" w:rsidR="006D4A1C" w:rsidRPr="006D4A1C" w:rsidRDefault="006D4A1C" w:rsidP="006D4A1C">
      <w:pPr>
        <w:rPr>
          <w:rFonts w:asciiTheme="majorHAnsi" w:hAnsiTheme="majorHAnsi"/>
          <w:sz w:val="24"/>
          <w:szCs w:val="24"/>
        </w:rPr>
      </w:pPr>
      <w:r w:rsidRPr="006D4A1C">
        <w:rPr>
          <w:rFonts w:asciiTheme="majorHAnsi" w:hAnsiTheme="majorHAnsi"/>
          <w:sz w:val="24"/>
          <w:szCs w:val="24"/>
        </w:rPr>
        <w:t>Australian Sporting Goods Association Inc (ASGA)</w:t>
      </w:r>
    </w:p>
    <w:p w14:paraId="418BC308" w14:textId="77777777" w:rsidR="006D4A1C" w:rsidRPr="006D4A1C" w:rsidRDefault="006D4A1C" w:rsidP="006D4A1C">
      <w:pPr>
        <w:rPr>
          <w:rFonts w:asciiTheme="majorHAnsi" w:hAnsiTheme="majorHAnsi"/>
          <w:sz w:val="24"/>
          <w:szCs w:val="24"/>
        </w:rPr>
      </w:pPr>
      <w:r w:rsidRPr="006D4A1C">
        <w:rPr>
          <w:rFonts w:asciiTheme="majorHAnsi" w:hAnsiTheme="majorHAnsi"/>
          <w:sz w:val="24"/>
          <w:szCs w:val="24"/>
        </w:rPr>
        <w:t>Ph: 03 9320 2655</w:t>
      </w:r>
    </w:p>
    <w:p w14:paraId="29C5DF7A" w14:textId="77777777" w:rsidR="006D4A1C" w:rsidRPr="006D4A1C" w:rsidRDefault="006D4A1C" w:rsidP="006D4A1C">
      <w:pPr>
        <w:rPr>
          <w:rFonts w:asciiTheme="majorHAnsi" w:hAnsiTheme="majorHAnsi"/>
          <w:sz w:val="24"/>
          <w:szCs w:val="24"/>
        </w:rPr>
      </w:pPr>
      <w:r w:rsidRPr="006D4A1C">
        <w:rPr>
          <w:rFonts w:asciiTheme="majorHAnsi" w:hAnsiTheme="majorHAnsi"/>
          <w:sz w:val="24"/>
          <w:szCs w:val="24"/>
        </w:rPr>
        <w:t xml:space="preserve">Email: </w:t>
      </w:r>
      <w:hyperlink r:id="rId15" w:history="1">
        <w:r w:rsidRPr="006D4A1C">
          <w:rPr>
            <w:rStyle w:val="Hyperlink"/>
            <w:rFonts w:asciiTheme="majorHAnsi" w:hAnsiTheme="majorHAnsi"/>
            <w:sz w:val="24"/>
            <w:szCs w:val="24"/>
          </w:rPr>
          <w:t>shannon@asga.com.au</w:t>
        </w:r>
      </w:hyperlink>
    </w:p>
    <w:p w14:paraId="271B0F6F" w14:textId="77777777" w:rsidR="006D4A1C" w:rsidRPr="006D4A1C" w:rsidRDefault="006D4A1C" w:rsidP="006D4A1C">
      <w:pPr>
        <w:rPr>
          <w:rFonts w:asciiTheme="majorHAnsi" w:hAnsiTheme="majorHAnsi"/>
          <w:sz w:val="24"/>
          <w:szCs w:val="24"/>
        </w:rPr>
      </w:pPr>
      <w:r w:rsidRPr="006D4A1C">
        <w:rPr>
          <w:rFonts w:asciiTheme="majorHAnsi" w:hAnsiTheme="majorHAnsi"/>
          <w:sz w:val="24"/>
          <w:szCs w:val="24"/>
        </w:rPr>
        <w:t>Suite 1.03, Level 1 / 492 St Kilda Road</w:t>
      </w:r>
    </w:p>
    <w:p w14:paraId="542BCD12" w14:textId="77777777" w:rsidR="006D4A1C" w:rsidRPr="006D4A1C" w:rsidRDefault="006D4A1C" w:rsidP="006D4A1C">
      <w:pPr>
        <w:rPr>
          <w:rFonts w:asciiTheme="majorHAnsi" w:hAnsiTheme="majorHAnsi"/>
          <w:sz w:val="24"/>
          <w:szCs w:val="24"/>
        </w:rPr>
      </w:pPr>
      <w:r w:rsidRPr="006D4A1C">
        <w:rPr>
          <w:rFonts w:asciiTheme="majorHAnsi" w:hAnsiTheme="majorHAnsi"/>
          <w:sz w:val="24"/>
          <w:szCs w:val="24"/>
        </w:rPr>
        <w:t>Melbourne  VIC  3004</w:t>
      </w:r>
    </w:p>
    <w:p w14:paraId="2F670AC6" w14:textId="77777777" w:rsidR="001E0080" w:rsidRDefault="001E0080" w:rsidP="007B5BA2">
      <w:pPr>
        <w:jc w:val="center"/>
        <w:rPr>
          <w:rFonts w:asciiTheme="majorHAnsi" w:hAnsiTheme="majorHAnsi"/>
          <w:b/>
          <w:sz w:val="36"/>
          <w:szCs w:val="36"/>
        </w:rPr>
      </w:pPr>
    </w:p>
    <w:p w14:paraId="1F15229A" w14:textId="77777777" w:rsidR="006D4A1C" w:rsidRPr="006D4A1C" w:rsidRDefault="006D4A1C" w:rsidP="001E0080">
      <w:pPr>
        <w:rPr>
          <w:rFonts w:asciiTheme="majorHAnsi" w:hAnsiTheme="majorHAnsi"/>
          <w:b/>
          <w:sz w:val="2"/>
          <w:szCs w:val="2"/>
        </w:rPr>
      </w:pPr>
    </w:p>
    <w:p w14:paraId="08DD2B2A" w14:textId="77777777" w:rsidR="007C6545" w:rsidRDefault="007C6545" w:rsidP="001E0080">
      <w:pPr>
        <w:rPr>
          <w:rFonts w:asciiTheme="majorHAnsi" w:hAnsiTheme="majorHAnsi"/>
          <w:b/>
        </w:rPr>
      </w:pPr>
    </w:p>
    <w:p w14:paraId="27CDAD18" w14:textId="77777777" w:rsidR="007C6545" w:rsidRDefault="007C6545" w:rsidP="001E0080">
      <w:pPr>
        <w:rPr>
          <w:rFonts w:asciiTheme="majorHAnsi" w:hAnsiTheme="majorHAnsi"/>
          <w:b/>
        </w:rPr>
      </w:pPr>
    </w:p>
    <w:p w14:paraId="18764C76" w14:textId="77777777" w:rsidR="007C6545" w:rsidRDefault="007C6545" w:rsidP="001E0080">
      <w:pPr>
        <w:rPr>
          <w:rFonts w:asciiTheme="majorHAnsi" w:hAnsiTheme="majorHAnsi"/>
          <w:b/>
        </w:rPr>
      </w:pPr>
    </w:p>
    <w:p w14:paraId="0D5FFD13" w14:textId="77777777" w:rsidR="001E0080" w:rsidRPr="001E0080" w:rsidRDefault="001E0080" w:rsidP="001E0080">
      <w:pPr>
        <w:rPr>
          <w:rFonts w:asciiTheme="majorHAnsi" w:hAnsiTheme="majorHAnsi"/>
          <w:b/>
        </w:rPr>
      </w:pPr>
      <w:r w:rsidRPr="001E0080">
        <w:rPr>
          <w:rFonts w:asciiTheme="majorHAnsi" w:hAnsiTheme="majorHAnsi"/>
          <w:b/>
        </w:rPr>
        <w:lastRenderedPageBreak/>
        <w:t>Context</w:t>
      </w:r>
    </w:p>
    <w:p w14:paraId="367C69D7" w14:textId="77777777" w:rsidR="001E0080" w:rsidRDefault="001E0080" w:rsidP="001E0080">
      <w:pPr>
        <w:rPr>
          <w:rFonts w:asciiTheme="majorHAnsi" w:hAnsiTheme="majorHAnsi"/>
        </w:rPr>
      </w:pPr>
    </w:p>
    <w:p w14:paraId="22389FE0" w14:textId="2CA22FD3" w:rsidR="00F51F6D" w:rsidRPr="004C13A6" w:rsidRDefault="001E0080" w:rsidP="00940958">
      <w:pPr>
        <w:rPr>
          <w:rFonts w:asciiTheme="majorHAnsi" w:hAnsiTheme="majorHAnsi"/>
          <w:i/>
        </w:rPr>
      </w:pPr>
      <w:r w:rsidRPr="009E5AA6">
        <w:rPr>
          <w:rFonts w:asciiTheme="majorHAnsi" w:hAnsiTheme="majorHAnsi"/>
        </w:rPr>
        <w:t xml:space="preserve">The Australian Sporting Goods </w:t>
      </w:r>
      <w:r w:rsidR="006F5A14">
        <w:rPr>
          <w:rFonts w:asciiTheme="majorHAnsi" w:hAnsiTheme="majorHAnsi"/>
        </w:rPr>
        <w:t>Association Incorporated (ASGA)</w:t>
      </w:r>
      <w:r w:rsidRPr="009E5AA6">
        <w:rPr>
          <w:rFonts w:asciiTheme="majorHAnsi" w:hAnsiTheme="majorHAnsi"/>
        </w:rPr>
        <w:t xml:space="preserve"> welcomes the opportunity to make a submission to the </w:t>
      </w:r>
      <w:r w:rsidR="00940958" w:rsidRPr="00940958">
        <w:rPr>
          <w:rFonts w:asciiTheme="majorHAnsi" w:hAnsiTheme="majorHAnsi"/>
        </w:rPr>
        <w:t>Tre</w:t>
      </w:r>
      <w:r w:rsidR="00940958">
        <w:rPr>
          <w:rFonts w:asciiTheme="majorHAnsi" w:hAnsiTheme="majorHAnsi"/>
        </w:rPr>
        <w:t xml:space="preserve">asury Department’s </w:t>
      </w:r>
      <w:r w:rsidR="004C13A6" w:rsidRPr="004C13A6">
        <w:rPr>
          <w:rFonts w:asciiTheme="majorHAnsi" w:hAnsiTheme="majorHAnsi"/>
          <w:i/>
        </w:rPr>
        <w:t>Consultation</w:t>
      </w:r>
      <w:r w:rsidR="004C13A6">
        <w:rPr>
          <w:rFonts w:asciiTheme="majorHAnsi" w:hAnsiTheme="majorHAnsi"/>
          <w:i/>
        </w:rPr>
        <w:t xml:space="preserve"> </w:t>
      </w:r>
      <w:r w:rsidR="004C13A6" w:rsidRPr="004C13A6">
        <w:rPr>
          <w:rFonts w:asciiTheme="majorHAnsi" w:hAnsiTheme="majorHAnsi"/>
          <w:i/>
        </w:rPr>
        <w:t>into applying GST to low value goods imported by consumers</w:t>
      </w:r>
      <w:r w:rsidR="00940958">
        <w:rPr>
          <w:rFonts w:asciiTheme="majorHAnsi" w:hAnsiTheme="majorHAnsi"/>
        </w:rPr>
        <w:t>.</w:t>
      </w:r>
    </w:p>
    <w:p w14:paraId="28873532" w14:textId="77777777" w:rsidR="00940958" w:rsidRDefault="00940958" w:rsidP="001E0080">
      <w:pPr>
        <w:pStyle w:val="NormalWeb"/>
        <w:spacing w:before="0" w:after="0"/>
        <w:rPr>
          <w:rFonts w:asciiTheme="majorHAnsi" w:hAnsiTheme="majorHAnsi"/>
          <w:color w:val="000000" w:themeColor="text1"/>
          <w:sz w:val="22"/>
          <w:szCs w:val="22"/>
        </w:rPr>
      </w:pPr>
    </w:p>
    <w:p w14:paraId="715A0F44" w14:textId="5EBC352A" w:rsidR="001E0080" w:rsidRPr="009E5AA6" w:rsidRDefault="001E0080" w:rsidP="001E0080">
      <w:pPr>
        <w:pStyle w:val="NormalWeb"/>
        <w:spacing w:before="0" w:after="0"/>
        <w:rPr>
          <w:rFonts w:asciiTheme="majorHAnsi" w:hAnsiTheme="majorHAnsi"/>
          <w:color w:val="000000" w:themeColor="text1"/>
          <w:sz w:val="22"/>
          <w:szCs w:val="22"/>
        </w:rPr>
      </w:pPr>
      <w:r w:rsidRPr="009E5AA6">
        <w:rPr>
          <w:rFonts w:asciiTheme="majorHAnsi" w:hAnsiTheme="majorHAnsi"/>
          <w:color w:val="000000" w:themeColor="text1"/>
          <w:sz w:val="22"/>
          <w:szCs w:val="22"/>
        </w:rPr>
        <w:t xml:space="preserve">ASGA was formed in 1981 as the </w:t>
      </w:r>
      <w:r w:rsidR="006D4A1C">
        <w:rPr>
          <w:rFonts w:asciiTheme="majorHAnsi" w:hAnsiTheme="majorHAnsi"/>
          <w:color w:val="000000" w:themeColor="text1"/>
          <w:sz w:val="22"/>
          <w:szCs w:val="22"/>
        </w:rPr>
        <w:t xml:space="preserve">national </w:t>
      </w:r>
      <w:r w:rsidRPr="009E5AA6">
        <w:rPr>
          <w:rFonts w:asciiTheme="majorHAnsi" w:hAnsiTheme="majorHAnsi"/>
          <w:color w:val="000000" w:themeColor="text1"/>
          <w:sz w:val="22"/>
          <w:szCs w:val="22"/>
        </w:rPr>
        <w:t xml:space="preserve">industry association representing a broad spectrum of sporting and active lifestyle </w:t>
      </w:r>
      <w:r w:rsidR="004C13A6">
        <w:rPr>
          <w:rFonts w:asciiTheme="majorHAnsi" w:hAnsiTheme="majorHAnsi"/>
          <w:color w:val="000000" w:themeColor="text1"/>
          <w:sz w:val="22"/>
          <w:szCs w:val="22"/>
        </w:rPr>
        <w:t xml:space="preserve">goods </w:t>
      </w:r>
      <w:r w:rsidRPr="009E5AA6">
        <w:rPr>
          <w:rFonts w:asciiTheme="majorHAnsi" w:hAnsiTheme="majorHAnsi"/>
          <w:color w:val="000000" w:themeColor="text1"/>
          <w:sz w:val="22"/>
          <w:szCs w:val="22"/>
        </w:rPr>
        <w:t xml:space="preserve">industry participants, including </w:t>
      </w:r>
      <w:r w:rsidR="004C13A6">
        <w:rPr>
          <w:rFonts w:asciiTheme="majorHAnsi" w:hAnsiTheme="majorHAnsi"/>
          <w:color w:val="000000" w:themeColor="text1"/>
          <w:sz w:val="22"/>
          <w:szCs w:val="22"/>
        </w:rPr>
        <w:t>brands, manufacturers, distributors and</w:t>
      </w:r>
      <w:r w:rsidRPr="009E5AA6">
        <w:rPr>
          <w:rFonts w:asciiTheme="majorHAnsi" w:hAnsiTheme="majorHAnsi"/>
          <w:color w:val="000000" w:themeColor="text1"/>
          <w:sz w:val="22"/>
          <w:szCs w:val="22"/>
        </w:rPr>
        <w:t xml:space="preserve"> retailers.</w:t>
      </w:r>
    </w:p>
    <w:p w14:paraId="27089B11" w14:textId="77777777" w:rsidR="001E0080" w:rsidRPr="009E5AA6" w:rsidRDefault="001E0080" w:rsidP="001E0080">
      <w:pPr>
        <w:pStyle w:val="NormalWeb"/>
        <w:spacing w:before="0" w:after="0"/>
        <w:rPr>
          <w:rFonts w:asciiTheme="majorHAnsi" w:hAnsiTheme="majorHAnsi"/>
          <w:color w:val="000000" w:themeColor="text1"/>
          <w:sz w:val="22"/>
          <w:szCs w:val="22"/>
        </w:rPr>
      </w:pPr>
    </w:p>
    <w:p w14:paraId="10319C4B" w14:textId="77777777" w:rsidR="001E0080" w:rsidRPr="009E5AA6" w:rsidRDefault="001E0080" w:rsidP="001E0080">
      <w:pPr>
        <w:pStyle w:val="NormalWeb"/>
        <w:spacing w:before="0" w:after="0"/>
        <w:rPr>
          <w:rFonts w:asciiTheme="majorHAnsi" w:hAnsiTheme="majorHAnsi"/>
          <w:color w:val="000000" w:themeColor="text1"/>
          <w:sz w:val="22"/>
          <w:szCs w:val="22"/>
        </w:rPr>
      </w:pPr>
      <w:r w:rsidRPr="009E5AA6">
        <w:rPr>
          <w:rFonts w:asciiTheme="majorHAnsi" w:hAnsiTheme="majorHAnsi"/>
          <w:color w:val="000000" w:themeColor="text1"/>
          <w:sz w:val="22"/>
          <w:szCs w:val="22"/>
        </w:rPr>
        <w:t xml:space="preserve">ASGA is a leading industry voice on issues impacting the health, trade, regulation and taxation of the sporting and active lifestyle </w:t>
      </w:r>
      <w:r w:rsidR="006D4A1C">
        <w:rPr>
          <w:rFonts w:asciiTheme="majorHAnsi" w:hAnsiTheme="majorHAnsi"/>
          <w:color w:val="000000" w:themeColor="text1"/>
          <w:sz w:val="22"/>
          <w:szCs w:val="22"/>
        </w:rPr>
        <w:t xml:space="preserve">goods </w:t>
      </w:r>
      <w:r w:rsidRPr="009E5AA6">
        <w:rPr>
          <w:rFonts w:asciiTheme="majorHAnsi" w:hAnsiTheme="majorHAnsi"/>
          <w:color w:val="000000" w:themeColor="text1"/>
          <w:sz w:val="22"/>
          <w:szCs w:val="22"/>
        </w:rPr>
        <w:t>industries. ASGA aims to foster market growth, provide services and advocate for increased participation in sport and physical activity.</w:t>
      </w:r>
    </w:p>
    <w:p w14:paraId="5A4596CD" w14:textId="77777777" w:rsidR="001E0080" w:rsidRPr="009E5AA6" w:rsidRDefault="001E0080" w:rsidP="001E0080">
      <w:pPr>
        <w:rPr>
          <w:rFonts w:asciiTheme="majorHAnsi" w:hAnsiTheme="majorHAnsi"/>
        </w:rPr>
      </w:pPr>
    </w:p>
    <w:p w14:paraId="3AB72119" w14:textId="77777777" w:rsidR="001E0080" w:rsidRDefault="001E0080" w:rsidP="00BC49D1">
      <w:pPr>
        <w:rPr>
          <w:rFonts w:asciiTheme="majorHAnsi" w:hAnsiTheme="majorHAnsi"/>
        </w:rPr>
      </w:pPr>
      <w:r w:rsidRPr="009E5AA6">
        <w:rPr>
          <w:rFonts w:asciiTheme="majorHAnsi" w:hAnsiTheme="majorHAnsi"/>
        </w:rPr>
        <w:t xml:space="preserve">Members of ASGA include </w:t>
      </w:r>
      <w:r w:rsidR="00BC49D1" w:rsidRPr="009E5AA6">
        <w:rPr>
          <w:rFonts w:asciiTheme="majorHAnsi" w:hAnsiTheme="majorHAnsi"/>
        </w:rPr>
        <w:t>the world’</w:t>
      </w:r>
      <w:r w:rsidR="00601B58" w:rsidRPr="009E5AA6">
        <w:rPr>
          <w:rFonts w:asciiTheme="majorHAnsi" w:hAnsiTheme="majorHAnsi"/>
        </w:rPr>
        <w:t>s leading sports brands and major Australian retailers.</w:t>
      </w:r>
      <w:r w:rsidR="006D4A1C">
        <w:rPr>
          <w:rFonts w:asciiTheme="majorHAnsi" w:hAnsiTheme="majorHAnsi"/>
        </w:rPr>
        <w:t xml:space="preserve"> We represent over 1000 sporting and active lifestyle goods retail stores around Australia.</w:t>
      </w:r>
    </w:p>
    <w:p w14:paraId="1E7D81C5" w14:textId="77777777" w:rsidR="00CA2BF4" w:rsidRDefault="00CA2BF4" w:rsidP="00BC49D1">
      <w:pPr>
        <w:rPr>
          <w:rFonts w:asciiTheme="majorHAnsi" w:hAnsiTheme="majorHAnsi"/>
        </w:rPr>
      </w:pPr>
    </w:p>
    <w:p w14:paraId="4FE81332" w14:textId="2EB33F9B" w:rsidR="00CA2BF4" w:rsidRDefault="00CA2BF4" w:rsidP="00BC49D1">
      <w:pPr>
        <w:rPr>
          <w:rFonts w:asciiTheme="majorHAnsi" w:hAnsiTheme="majorHAnsi"/>
        </w:rPr>
      </w:pPr>
      <w:r>
        <w:rPr>
          <w:rFonts w:asciiTheme="majorHAnsi" w:hAnsiTheme="majorHAnsi"/>
        </w:rPr>
        <w:t>Sports retailers range from the very large (1,000+m</w:t>
      </w:r>
      <w:r w:rsidRPr="00CA2BF4">
        <w:rPr>
          <w:rFonts w:asciiTheme="majorHAnsi" w:hAnsiTheme="majorHAnsi"/>
          <w:vertAlign w:val="superscript"/>
        </w:rPr>
        <w:t>2</w:t>
      </w:r>
      <w:r>
        <w:rPr>
          <w:rFonts w:asciiTheme="majorHAnsi" w:hAnsiTheme="majorHAnsi"/>
        </w:rPr>
        <w:t xml:space="preserve">) like Rebel Sport and Sportsmart, through to </w:t>
      </w:r>
      <w:r w:rsidR="00244947">
        <w:rPr>
          <w:rFonts w:asciiTheme="majorHAnsi" w:hAnsiTheme="majorHAnsi"/>
        </w:rPr>
        <w:t xml:space="preserve">franchisees like </w:t>
      </w:r>
      <w:r w:rsidR="004C13A6">
        <w:rPr>
          <w:rFonts w:asciiTheme="majorHAnsi" w:hAnsiTheme="majorHAnsi"/>
        </w:rPr>
        <w:t>Intersport</w:t>
      </w:r>
      <w:r w:rsidR="00244947">
        <w:rPr>
          <w:rFonts w:asciiTheme="majorHAnsi" w:hAnsiTheme="majorHAnsi"/>
        </w:rPr>
        <w:t xml:space="preserve">, </w:t>
      </w:r>
      <w:r>
        <w:rPr>
          <w:rFonts w:asciiTheme="majorHAnsi" w:hAnsiTheme="majorHAnsi"/>
        </w:rPr>
        <w:t xml:space="preserve">family-owned businesses in </w:t>
      </w:r>
      <w:r w:rsidR="00244947">
        <w:rPr>
          <w:rFonts w:asciiTheme="majorHAnsi" w:hAnsiTheme="majorHAnsi"/>
        </w:rPr>
        <w:t xml:space="preserve">the High Streets of </w:t>
      </w:r>
      <w:r>
        <w:rPr>
          <w:rFonts w:asciiTheme="majorHAnsi" w:hAnsiTheme="majorHAnsi"/>
        </w:rPr>
        <w:t xml:space="preserve">regional </w:t>
      </w:r>
      <w:r w:rsidR="00244947">
        <w:rPr>
          <w:rFonts w:asciiTheme="majorHAnsi" w:hAnsiTheme="majorHAnsi"/>
        </w:rPr>
        <w:t>towns</w:t>
      </w:r>
      <w:r>
        <w:rPr>
          <w:rFonts w:asciiTheme="majorHAnsi" w:hAnsiTheme="majorHAnsi"/>
        </w:rPr>
        <w:t xml:space="preserve"> and tiny golf club pro-shops. Ownership and business models include franchises, listed corporations, family-owned companies and vertically-integrated international brands.  </w:t>
      </w:r>
    </w:p>
    <w:p w14:paraId="33585324" w14:textId="77777777" w:rsidR="00940958" w:rsidRDefault="00940958" w:rsidP="00BC49D1">
      <w:pPr>
        <w:rPr>
          <w:rFonts w:asciiTheme="majorHAnsi" w:hAnsiTheme="majorHAnsi"/>
        </w:rPr>
      </w:pPr>
    </w:p>
    <w:p w14:paraId="5E7A6D2F" w14:textId="02E27A70" w:rsidR="00940958" w:rsidRDefault="00940958" w:rsidP="00BC49D1">
      <w:pPr>
        <w:rPr>
          <w:rFonts w:asciiTheme="majorHAnsi" w:hAnsiTheme="majorHAnsi"/>
        </w:rPr>
      </w:pPr>
      <w:r w:rsidRPr="00940958">
        <w:rPr>
          <w:rFonts w:asciiTheme="majorHAnsi" w:hAnsiTheme="majorHAnsi"/>
        </w:rPr>
        <w:t>While the sector is dominated by very large international players (Nike, adidas, etc) and large local retailers (Rebel Sport), in fact the majority of companies in the sector are small and medium enterprises, often family-run businesses.</w:t>
      </w:r>
    </w:p>
    <w:p w14:paraId="06A659AE" w14:textId="0EC00E6F" w:rsidR="006C6CD8" w:rsidRDefault="006C6CD8" w:rsidP="00B05B80">
      <w:pPr>
        <w:pStyle w:val="NormalWeb"/>
        <w:spacing w:before="0" w:after="0"/>
        <w:rPr>
          <w:rFonts w:ascii="Cambria" w:hAnsi="Cambria"/>
          <w:color w:val="000000"/>
          <w:sz w:val="22"/>
          <w:szCs w:val="22"/>
          <w:lang w:val="en-US"/>
        </w:rPr>
      </w:pPr>
    </w:p>
    <w:p w14:paraId="063BD3F4" w14:textId="7466436F" w:rsidR="002B1D8F" w:rsidRDefault="0014272C" w:rsidP="00B05B80">
      <w:pPr>
        <w:pStyle w:val="NormalWeb"/>
        <w:spacing w:before="0" w:after="0"/>
        <w:rPr>
          <w:rFonts w:ascii="Cambria" w:hAnsi="Cambria"/>
          <w:b/>
          <w:color w:val="000000"/>
          <w:sz w:val="22"/>
          <w:szCs w:val="22"/>
          <w:lang w:val="en-US"/>
        </w:rPr>
      </w:pPr>
      <w:r>
        <w:rPr>
          <w:rFonts w:ascii="Cambria" w:hAnsi="Cambria"/>
          <w:b/>
          <w:color w:val="000000"/>
          <w:sz w:val="22"/>
          <w:szCs w:val="22"/>
          <w:lang w:val="en-US"/>
        </w:rPr>
        <w:t xml:space="preserve">Current state of the </w:t>
      </w:r>
      <w:r w:rsidR="00FC2BD4">
        <w:rPr>
          <w:rFonts w:ascii="Cambria" w:hAnsi="Cambria"/>
          <w:b/>
          <w:color w:val="000000"/>
          <w:sz w:val="22"/>
          <w:szCs w:val="22"/>
          <w:lang w:val="en-US"/>
        </w:rPr>
        <w:t>sporting goods</w:t>
      </w:r>
      <w:r>
        <w:rPr>
          <w:rFonts w:ascii="Cambria" w:hAnsi="Cambria"/>
          <w:b/>
          <w:color w:val="000000"/>
          <w:sz w:val="22"/>
          <w:szCs w:val="22"/>
          <w:lang w:val="en-US"/>
        </w:rPr>
        <w:t xml:space="preserve"> s</w:t>
      </w:r>
      <w:r w:rsidR="000473C6">
        <w:rPr>
          <w:rFonts w:ascii="Cambria" w:hAnsi="Cambria"/>
          <w:b/>
          <w:color w:val="000000"/>
          <w:sz w:val="22"/>
          <w:szCs w:val="22"/>
          <w:lang w:val="en-US"/>
        </w:rPr>
        <w:t>ector</w:t>
      </w:r>
    </w:p>
    <w:p w14:paraId="078085A3" w14:textId="77777777" w:rsidR="000473C6" w:rsidRDefault="000473C6" w:rsidP="00B05B80">
      <w:pPr>
        <w:pStyle w:val="NormalWeb"/>
        <w:spacing w:before="0" w:after="0"/>
        <w:rPr>
          <w:rFonts w:ascii="Cambria" w:hAnsi="Cambria"/>
          <w:b/>
          <w:color w:val="000000"/>
          <w:sz w:val="22"/>
          <w:szCs w:val="22"/>
          <w:lang w:val="en-US"/>
        </w:rPr>
      </w:pPr>
    </w:p>
    <w:p w14:paraId="791360C6" w14:textId="1235F6AF" w:rsidR="000473C6" w:rsidRDefault="000473C6" w:rsidP="00B05B80">
      <w:pPr>
        <w:pStyle w:val="NormalWeb"/>
        <w:spacing w:before="0" w:after="0"/>
        <w:rPr>
          <w:rFonts w:ascii="Cambria" w:hAnsi="Cambria"/>
          <w:color w:val="000000"/>
          <w:sz w:val="22"/>
          <w:szCs w:val="22"/>
          <w:lang w:val="en-US"/>
        </w:rPr>
      </w:pPr>
      <w:r>
        <w:rPr>
          <w:rFonts w:ascii="Cambria" w:hAnsi="Cambria"/>
          <w:color w:val="000000"/>
          <w:sz w:val="22"/>
          <w:szCs w:val="22"/>
          <w:lang w:val="en-US"/>
        </w:rPr>
        <w:t xml:space="preserve">The state of the </w:t>
      </w:r>
      <w:r w:rsidR="00FC2BD4">
        <w:rPr>
          <w:rFonts w:ascii="Cambria" w:hAnsi="Cambria"/>
          <w:color w:val="000000"/>
          <w:sz w:val="22"/>
          <w:szCs w:val="22"/>
          <w:lang w:val="en-US"/>
        </w:rPr>
        <w:t xml:space="preserve">sporting and active lifestyle </w:t>
      </w:r>
      <w:r>
        <w:rPr>
          <w:rFonts w:ascii="Cambria" w:hAnsi="Cambria"/>
          <w:color w:val="000000"/>
          <w:sz w:val="22"/>
          <w:szCs w:val="22"/>
          <w:lang w:val="en-US"/>
        </w:rPr>
        <w:t xml:space="preserve">retail sector has certainly improved </w:t>
      </w:r>
      <w:r w:rsidR="00FC2BD4">
        <w:rPr>
          <w:rFonts w:ascii="Cambria" w:hAnsi="Cambria"/>
          <w:color w:val="000000"/>
          <w:sz w:val="22"/>
          <w:szCs w:val="22"/>
          <w:lang w:val="en-US"/>
        </w:rPr>
        <w:t>recently</w:t>
      </w:r>
      <w:r>
        <w:rPr>
          <w:rFonts w:ascii="Cambria" w:hAnsi="Cambria"/>
          <w:color w:val="000000"/>
          <w:sz w:val="22"/>
          <w:szCs w:val="22"/>
          <w:lang w:val="en-US"/>
        </w:rPr>
        <w:t>, but only slowly and cautiously. One small and independent sporting goods retailer noted that:</w:t>
      </w:r>
    </w:p>
    <w:p w14:paraId="77748F5A" w14:textId="77777777" w:rsidR="000473C6" w:rsidRDefault="000473C6" w:rsidP="00B05B80">
      <w:pPr>
        <w:pStyle w:val="NormalWeb"/>
        <w:spacing w:before="0" w:after="0"/>
        <w:rPr>
          <w:rFonts w:ascii="Cambria" w:hAnsi="Cambria"/>
          <w:color w:val="000000"/>
          <w:sz w:val="22"/>
          <w:szCs w:val="22"/>
          <w:lang w:val="en-US"/>
        </w:rPr>
      </w:pPr>
    </w:p>
    <w:p w14:paraId="68FD76F1" w14:textId="4D14EF45" w:rsidR="000473C6" w:rsidRDefault="000473C6" w:rsidP="000473C6">
      <w:pPr>
        <w:pStyle w:val="NormalWeb"/>
        <w:spacing w:before="0" w:after="0"/>
        <w:ind w:left="1701" w:right="1842"/>
        <w:rPr>
          <w:rFonts w:ascii="Cambria" w:hAnsi="Cambria"/>
          <w:color w:val="000000"/>
          <w:sz w:val="22"/>
          <w:szCs w:val="22"/>
          <w:lang w:val="en-US"/>
        </w:rPr>
      </w:pPr>
      <w:r>
        <w:rPr>
          <w:rFonts w:ascii="Cambria" w:hAnsi="Cambria"/>
          <w:color w:val="000000"/>
          <w:sz w:val="22"/>
          <w:szCs w:val="22"/>
          <w:lang w:val="en-US"/>
        </w:rPr>
        <w:t>“After a massive downturn in sales following the GFC, we are seeing a slight but cautious improvement in the last year or so.”</w:t>
      </w:r>
    </w:p>
    <w:p w14:paraId="372BF6A5" w14:textId="77777777" w:rsidR="000473C6" w:rsidRDefault="000473C6" w:rsidP="000473C6">
      <w:pPr>
        <w:pStyle w:val="NormalWeb"/>
        <w:spacing w:before="0" w:after="0"/>
        <w:ind w:left="1701" w:right="1842"/>
        <w:rPr>
          <w:rFonts w:ascii="Cambria" w:hAnsi="Cambria"/>
          <w:color w:val="000000"/>
          <w:sz w:val="22"/>
          <w:szCs w:val="22"/>
          <w:lang w:val="en-US"/>
        </w:rPr>
      </w:pPr>
    </w:p>
    <w:p w14:paraId="0B947EE7" w14:textId="77777777" w:rsidR="000746AC" w:rsidRDefault="001B7D88" w:rsidP="000473C6">
      <w:pPr>
        <w:pStyle w:val="NormalWeb"/>
        <w:spacing w:before="0" w:after="0"/>
        <w:rPr>
          <w:rFonts w:ascii="Cambria" w:hAnsi="Cambria"/>
          <w:color w:val="000000"/>
          <w:sz w:val="22"/>
          <w:szCs w:val="22"/>
          <w:lang w:val="en-US"/>
        </w:rPr>
      </w:pPr>
      <w:r>
        <w:rPr>
          <w:rFonts w:ascii="Cambria" w:hAnsi="Cambria"/>
          <w:color w:val="000000"/>
          <w:sz w:val="22"/>
          <w:szCs w:val="22"/>
          <w:lang w:val="en-US"/>
        </w:rPr>
        <w:t xml:space="preserve">ASGA’s own research </w:t>
      </w:r>
      <w:r w:rsidR="00FB7FDE">
        <w:rPr>
          <w:rFonts w:ascii="Cambria" w:hAnsi="Cambria"/>
          <w:color w:val="000000"/>
          <w:sz w:val="22"/>
          <w:szCs w:val="22"/>
          <w:lang w:val="en-US"/>
        </w:rPr>
        <w:t>shows retail trade in sporting footwear, apparel and equipment rose from $1.05b in Q3 2011/12 to $1.19b in Q2 2013/14.</w:t>
      </w:r>
      <w:r w:rsidR="00FB7FDE">
        <w:rPr>
          <w:rStyle w:val="FootnoteReference"/>
          <w:rFonts w:ascii="Cambria" w:hAnsi="Cambria"/>
          <w:color w:val="000000"/>
          <w:sz w:val="22"/>
          <w:szCs w:val="22"/>
          <w:lang w:val="en-US"/>
        </w:rPr>
        <w:footnoteReference w:id="1"/>
      </w:r>
      <w:r w:rsidR="00FB7FDE">
        <w:rPr>
          <w:rFonts w:ascii="Cambria" w:hAnsi="Cambria"/>
          <w:color w:val="000000"/>
          <w:sz w:val="22"/>
          <w:szCs w:val="22"/>
          <w:lang w:val="en-US"/>
        </w:rPr>
        <w:t xml:space="preserve"> </w:t>
      </w:r>
    </w:p>
    <w:p w14:paraId="5E360CF2" w14:textId="77777777" w:rsidR="008B6DB5" w:rsidRDefault="008B6DB5" w:rsidP="000473C6">
      <w:pPr>
        <w:pStyle w:val="NormalWeb"/>
        <w:spacing w:before="0" w:after="0"/>
        <w:rPr>
          <w:rFonts w:ascii="Cambria" w:hAnsi="Cambria"/>
          <w:color w:val="000000"/>
          <w:sz w:val="22"/>
          <w:szCs w:val="22"/>
          <w:lang w:val="en-US"/>
        </w:rPr>
      </w:pPr>
    </w:p>
    <w:p w14:paraId="3F56482E" w14:textId="501700DB" w:rsidR="000746AC" w:rsidRDefault="003F6F7D" w:rsidP="003F6F7D">
      <w:pPr>
        <w:pStyle w:val="NormalWeb"/>
        <w:spacing w:before="0" w:after="0"/>
        <w:jc w:val="center"/>
        <w:rPr>
          <w:rFonts w:ascii="Cambria" w:hAnsi="Cambria"/>
          <w:color w:val="000000"/>
          <w:sz w:val="22"/>
          <w:szCs w:val="22"/>
          <w:lang w:val="en-US"/>
        </w:rPr>
      </w:pPr>
      <w:r>
        <w:rPr>
          <w:rFonts w:ascii="Cambria" w:hAnsi="Cambria"/>
          <w:color w:val="000000"/>
          <w:sz w:val="22"/>
          <w:szCs w:val="22"/>
          <w:lang w:val="en-US"/>
        </w:rPr>
        <w:t>ASGA Sporting Goods Retail Sales</w:t>
      </w:r>
    </w:p>
    <w:p w14:paraId="6C1BD10B" w14:textId="62E55E19" w:rsidR="000746AC" w:rsidRDefault="000746AC" w:rsidP="003F6F7D">
      <w:pPr>
        <w:pStyle w:val="NormalWeb"/>
        <w:spacing w:before="0" w:after="0"/>
        <w:jc w:val="center"/>
        <w:rPr>
          <w:rFonts w:ascii="Cambria" w:hAnsi="Cambria"/>
          <w:color w:val="000000"/>
          <w:sz w:val="22"/>
          <w:szCs w:val="22"/>
          <w:lang w:val="en-US"/>
        </w:rPr>
      </w:pPr>
      <w:r>
        <w:rPr>
          <w:noProof/>
        </w:rPr>
        <w:drawing>
          <wp:inline distT="0" distB="0" distL="0" distR="0" wp14:anchorId="1457DB66" wp14:editId="073A81B6">
            <wp:extent cx="3022600" cy="1784350"/>
            <wp:effectExtent l="0" t="0" r="25400" b="25400"/>
            <wp:docPr id="1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14B37EB" w14:textId="7F6600D2" w:rsidR="008B6DB5" w:rsidRPr="008B6DB5" w:rsidRDefault="008B6DB5" w:rsidP="003F6F7D">
      <w:pPr>
        <w:pStyle w:val="NormalWeb"/>
        <w:spacing w:before="0" w:after="0"/>
        <w:jc w:val="center"/>
        <w:rPr>
          <w:rFonts w:ascii="Cambria" w:hAnsi="Cambria"/>
          <w:color w:val="000000"/>
          <w:sz w:val="16"/>
          <w:szCs w:val="16"/>
          <w:lang w:val="en-US"/>
        </w:rPr>
      </w:pPr>
      <w:r>
        <w:rPr>
          <w:rFonts w:ascii="Cambria" w:hAnsi="Cambria"/>
          <w:color w:val="000000"/>
          <w:sz w:val="22"/>
          <w:szCs w:val="22"/>
          <w:lang w:val="en-US"/>
        </w:rPr>
        <w:tab/>
      </w:r>
      <w:r>
        <w:rPr>
          <w:rFonts w:ascii="Cambria" w:hAnsi="Cambria"/>
          <w:color w:val="000000"/>
          <w:sz w:val="22"/>
          <w:szCs w:val="22"/>
          <w:lang w:val="en-US"/>
        </w:rPr>
        <w:tab/>
      </w:r>
      <w:r>
        <w:rPr>
          <w:rFonts w:ascii="Cambria" w:hAnsi="Cambria"/>
          <w:color w:val="000000"/>
          <w:sz w:val="22"/>
          <w:szCs w:val="22"/>
          <w:lang w:val="en-US"/>
        </w:rPr>
        <w:tab/>
      </w:r>
      <w:r>
        <w:rPr>
          <w:rFonts w:ascii="Cambria" w:hAnsi="Cambria"/>
          <w:color w:val="000000"/>
          <w:sz w:val="22"/>
          <w:szCs w:val="22"/>
          <w:lang w:val="en-US"/>
        </w:rPr>
        <w:tab/>
        <w:t xml:space="preserve">                  </w:t>
      </w:r>
      <w:r>
        <w:rPr>
          <w:rFonts w:ascii="Cambria" w:hAnsi="Cambria"/>
          <w:color w:val="000000"/>
          <w:sz w:val="16"/>
          <w:szCs w:val="16"/>
          <w:lang w:val="en-US"/>
        </w:rPr>
        <w:t>Source: ASGA</w:t>
      </w:r>
    </w:p>
    <w:p w14:paraId="460341B6" w14:textId="77777777" w:rsidR="00212E61" w:rsidRDefault="00212E61" w:rsidP="000473C6">
      <w:pPr>
        <w:pStyle w:val="NormalWeb"/>
        <w:spacing w:before="0" w:after="0"/>
        <w:rPr>
          <w:rFonts w:ascii="Cambria" w:hAnsi="Cambria"/>
          <w:color w:val="000000"/>
          <w:sz w:val="22"/>
          <w:szCs w:val="22"/>
          <w:lang w:val="en-US"/>
        </w:rPr>
      </w:pPr>
    </w:p>
    <w:p w14:paraId="748B8D16" w14:textId="5AD52E18" w:rsidR="00FB7FDE" w:rsidRDefault="00FB7FDE" w:rsidP="000473C6">
      <w:pPr>
        <w:pStyle w:val="NormalWeb"/>
        <w:spacing w:before="0" w:after="0"/>
        <w:rPr>
          <w:rFonts w:ascii="Cambria" w:hAnsi="Cambria"/>
          <w:color w:val="000000"/>
          <w:sz w:val="22"/>
          <w:szCs w:val="22"/>
          <w:lang w:val="en-US"/>
        </w:rPr>
      </w:pPr>
      <w:r>
        <w:rPr>
          <w:rFonts w:ascii="Cambria" w:hAnsi="Cambria"/>
          <w:color w:val="000000"/>
          <w:sz w:val="22"/>
          <w:szCs w:val="22"/>
          <w:lang w:val="en-US"/>
        </w:rPr>
        <w:t xml:space="preserve">This tracks with the more general figures from the Australian Bureau of Statistics, which shows an increase in </w:t>
      </w:r>
      <w:r w:rsidR="000746AC">
        <w:rPr>
          <w:rFonts w:ascii="Cambria" w:hAnsi="Cambria"/>
          <w:color w:val="000000"/>
          <w:sz w:val="22"/>
          <w:szCs w:val="22"/>
          <w:lang w:val="en-US"/>
        </w:rPr>
        <w:t xml:space="preserve">general </w:t>
      </w:r>
      <w:r>
        <w:rPr>
          <w:rFonts w:ascii="Cambria" w:hAnsi="Cambria"/>
          <w:color w:val="000000"/>
          <w:sz w:val="22"/>
          <w:szCs w:val="22"/>
          <w:lang w:val="en-US"/>
        </w:rPr>
        <w:t xml:space="preserve">retail trade of </w:t>
      </w:r>
      <w:r w:rsidR="000746AC">
        <w:rPr>
          <w:rFonts w:ascii="Cambria" w:hAnsi="Cambria"/>
          <w:color w:val="000000"/>
          <w:sz w:val="22"/>
          <w:szCs w:val="22"/>
          <w:lang w:val="en-US"/>
        </w:rPr>
        <w:t>$21b in February 2012 increasing to $23b in February 2014.</w:t>
      </w:r>
      <w:r w:rsidR="000746AC">
        <w:rPr>
          <w:rStyle w:val="FootnoteReference"/>
          <w:rFonts w:ascii="Cambria" w:hAnsi="Cambria"/>
          <w:color w:val="000000"/>
          <w:sz w:val="22"/>
          <w:szCs w:val="22"/>
          <w:lang w:val="en-US"/>
        </w:rPr>
        <w:footnoteReference w:id="2"/>
      </w:r>
    </w:p>
    <w:p w14:paraId="50F63064" w14:textId="77777777" w:rsidR="00FB7FDE" w:rsidRDefault="00FB7FDE" w:rsidP="000473C6">
      <w:pPr>
        <w:pStyle w:val="NormalWeb"/>
        <w:spacing w:before="0" w:after="0"/>
        <w:rPr>
          <w:rFonts w:ascii="Cambria" w:hAnsi="Cambria"/>
          <w:color w:val="000000"/>
          <w:sz w:val="22"/>
          <w:szCs w:val="22"/>
          <w:lang w:val="en-US"/>
        </w:rPr>
      </w:pPr>
    </w:p>
    <w:p w14:paraId="51FDAAF6" w14:textId="77777777" w:rsidR="000746AC" w:rsidRDefault="000746AC" w:rsidP="000473C6">
      <w:pPr>
        <w:pStyle w:val="NormalWeb"/>
        <w:spacing w:before="0" w:after="0"/>
        <w:rPr>
          <w:rFonts w:ascii="Cambria" w:hAnsi="Cambria"/>
          <w:color w:val="000000"/>
          <w:sz w:val="22"/>
          <w:szCs w:val="22"/>
          <w:lang w:val="en-US"/>
        </w:rPr>
      </w:pPr>
    </w:p>
    <w:p w14:paraId="2FE8DC1E" w14:textId="4F8CF020" w:rsidR="00FB7FDE" w:rsidRPr="000473C6" w:rsidRDefault="00FB7FDE" w:rsidP="00FB7FDE">
      <w:pPr>
        <w:pStyle w:val="NormalWeb"/>
        <w:spacing w:before="0" w:after="0"/>
        <w:jc w:val="center"/>
        <w:rPr>
          <w:rFonts w:ascii="Cambria" w:hAnsi="Cambria"/>
          <w:color w:val="000000"/>
          <w:sz w:val="22"/>
          <w:szCs w:val="22"/>
          <w:lang w:val="en-US"/>
        </w:rPr>
      </w:pPr>
      <w:bookmarkStart w:id="1" w:name="253028282010995449"/>
      <w:bookmarkEnd w:id="1"/>
      <w:r>
        <w:rPr>
          <w:b/>
          <w:bCs/>
        </w:rPr>
        <w:t xml:space="preserve">RETAIL TURNOVER, </w:t>
      </w:r>
      <w:r>
        <w:t>Australia</w:t>
      </w:r>
      <w:r>
        <w:br/>
      </w:r>
      <w:r>
        <w:rPr>
          <w:noProof/>
        </w:rPr>
        <w:drawing>
          <wp:inline distT="0" distB="0" distL="0" distR="0" wp14:anchorId="200DA570" wp14:editId="35F8A877">
            <wp:extent cx="2255838" cy="1289050"/>
            <wp:effectExtent l="0" t="0" r="0" b="6350"/>
            <wp:docPr id="11" name="Picture 11" descr="Graph: RETAIL TURNOVER,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raph: RETAIL TURNOVER, Australia"/>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60600" cy="1291771"/>
                    </a:xfrm>
                    <a:prstGeom prst="rect">
                      <a:avLst/>
                    </a:prstGeom>
                    <a:noFill/>
                    <a:ln>
                      <a:noFill/>
                    </a:ln>
                  </pic:spPr>
                </pic:pic>
              </a:graphicData>
            </a:graphic>
          </wp:inline>
        </w:drawing>
      </w:r>
    </w:p>
    <w:p w14:paraId="725B013A" w14:textId="02687F3E" w:rsidR="000473C6" w:rsidRPr="00FB7FDE" w:rsidRDefault="00FB7FDE" w:rsidP="00FB7FDE">
      <w:pPr>
        <w:pStyle w:val="NormalWeb"/>
        <w:spacing w:before="0" w:after="0"/>
        <w:jc w:val="center"/>
        <w:rPr>
          <w:rFonts w:ascii="Cambria" w:hAnsi="Cambria"/>
          <w:color w:val="000000"/>
          <w:sz w:val="12"/>
          <w:szCs w:val="12"/>
          <w:lang w:val="en-US"/>
        </w:rPr>
      </w:pPr>
      <w:r>
        <w:rPr>
          <w:rFonts w:ascii="Cambria" w:hAnsi="Cambria"/>
          <w:b/>
          <w:color w:val="000000"/>
          <w:sz w:val="16"/>
          <w:szCs w:val="16"/>
          <w:lang w:val="en-US"/>
        </w:rPr>
        <w:t xml:space="preserve">                                                                          </w:t>
      </w:r>
      <w:r w:rsidRPr="00FB7FDE">
        <w:rPr>
          <w:rFonts w:ascii="Cambria" w:hAnsi="Cambria"/>
          <w:color w:val="000000"/>
          <w:sz w:val="12"/>
          <w:szCs w:val="12"/>
          <w:lang w:val="en-US"/>
        </w:rPr>
        <w:t>Source: ABS</w:t>
      </w:r>
    </w:p>
    <w:p w14:paraId="0447B7F8" w14:textId="77777777" w:rsidR="00A42470" w:rsidRDefault="00A42470" w:rsidP="00B05B80">
      <w:pPr>
        <w:pStyle w:val="NormalWeb"/>
        <w:spacing w:before="0" w:after="0"/>
        <w:rPr>
          <w:rFonts w:ascii="Cambria" w:hAnsi="Cambria"/>
          <w:color w:val="000000"/>
          <w:sz w:val="22"/>
          <w:szCs w:val="22"/>
          <w:lang w:val="en-US"/>
        </w:rPr>
      </w:pPr>
    </w:p>
    <w:p w14:paraId="4E694BFB" w14:textId="77777777" w:rsidR="00A42470" w:rsidRDefault="00A42470" w:rsidP="00B05B80">
      <w:pPr>
        <w:pStyle w:val="NormalWeb"/>
        <w:spacing w:before="0" w:after="0"/>
        <w:rPr>
          <w:rFonts w:ascii="Cambria" w:hAnsi="Cambria"/>
          <w:color w:val="000000"/>
          <w:sz w:val="22"/>
          <w:szCs w:val="22"/>
          <w:lang w:val="en-US"/>
        </w:rPr>
      </w:pPr>
      <w:r>
        <w:rPr>
          <w:rFonts w:ascii="Cambria" w:hAnsi="Cambria"/>
          <w:color w:val="000000"/>
          <w:sz w:val="22"/>
          <w:szCs w:val="22"/>
          <w:lang w:val="en-US"/>
        </w:rPr>
        <w:t>However, despite the positive news, retailers remain concerned about tough trading conditions.</w:t>
      </w:r>
    </w:p>
    <w:p w14:paraId="3DA763E0" w14:textId="77777777" w:rsidR="00A42470" w:rsidRDefault="00A42470" w:rsidP="00B05B80">
      <w:pPr>
        <w:pStyle w:val="NormalWeb"/>
        <w:spacing w:before="0" w:after="0"/>
        <w:rPr>
          <w:rFonts w:ascii="Cambria" w:hAnsi="Cambria"/>
          <w:color w:val="000000"/>
          <w:sz w:val="22"/>
          <w:szCs w:val="22"/>
          <w:lang w:val="en-US"/>
        </w:rPr>
      </w:pPr>
    </w:p>
    <w:p w14:paraId="3E24E32B" w14:textId="7909F604" w:rsidR="00E433C1" w:rsidRDefault="009E2F10" w:rsidP="0026791B">
      <w:pPr>
        <w:rPr>
          <w:rFonts w:asciiTheme="majorHAnsi" w:hAnsiTheme="majorHAnsi" w:cs="Arial"/>
          <w:b/>
        </w:rPr>
      </w:pPr>
      <w:r>
        <w:rPr>
          <w:rFonts w:asciiTheme="majorHAnsi" w:hAnsiTheme="majorHAnsi" w:cs="Arial"/>
          <w:b/>
        </w:rPr>
        <w:t>Specific recommendations and concerns</w:t>
      </w:r>
    </w:p>
    <w:p w14:paraId="636E253C" w14:textId="77777777" w:rsidR="00FC2BD4" w:rsidRDefault="00FC2BD4" w:rsidP="0026791B">
      <w:pPr>
        <w:rPr>
          <w:rFonts w:asciiTheme="majorHAnsi" w:hAnsiTheme="majorHAnsi" w:cs="Arial"/>
          <w:b/>
        </w:rPr>
      </w:pPr>
    </w:p>
    <w:p w14:paraId="13976DA7" w14:textId="73AE4877" w:rsidR="00FC2BD4" w:rsidRDefault="00FC2BD4" w:rsidP="0026791B">
      <w:pPr>
        <w:rPr>
          <w:rFonts w:asciiTheme="majorHAnsi" w:hAnsiTheme="majorHAnsi" w:cs="Arial"/>
        </w:rPr>
      </w:pPr>
      <w:r>
        <w:rPr>
          <w:rFonts w:asciiTheme="majorHAnsi" w:hAnsiTheme="majorHAnsi" w:cs="Arial"/>
        </w:rPr>
        <w:t xml:space="preserve">ASGA </w:t>
      </w:r>
      <w:r w:rsidR="006A6251">
        <w:rPr>
          <w:rFonts w:asciiTheme="majorHAnsi" w:hAnsiTheme="majorHAnsi" w:cs="Arial"/>
        </w:rPr>
        <w:t>supports</w:t>
      </w:r>
      <w:r>
        <w:rPr>
          <w:rFonts w:asciiTheme="majorHAnsi" w:hAnsiTheme="majorHAnsi" w:cs="Arial"/>
        </w:rPr>
        <w:t xml:space="preserve"> the direction outlined in the Exposure Draft of the </w:t>
      </w:r>
      <w:r w:rsidR="004C13A6">
        <w:rPr>
          <w:rFonts w:asciiTheme="majorHAnsi" w:hAnsiTheme="majorHAnsi" w:cs="Arial"/>
          <w:i/>
        </w:rPr>
        <w:t>Treasury Laws Amendment (2017 Measures no. 1) Bill 2017</w:t>
      </w:r>
      <w:r w:rsidRPr="00FC2BD4">
        <w:rPr>
          <w:rFonts w:asciiTheme="majorHAnsi" w:hAnsiTheme="majorHAnsi" w:cs="Arial"/>
        </w:rPr>
        <w:t>.</w:t>
      </w:r>
      <w:r>
        <w:rPr>
          <w:rFonts w:asciiTheme="majorHAnsi" w:hAnsiTheme="majorHAnsi" w:cs="Arial"/>
        </w:rPr>
        <w:t xml:space="preserve"> </w:t>
      </w:r>
    </w:p>
    <w:p w14:paraId="001EEDED" w14:textId="3D9A57C4" w:rsidR="009716F9" w:rsidRDefault="009716F9" w:rsidP="0026791B">
      <w:pPr>
        <w:rPr>
          <w:rFonts w:asciiTheme="majorHAnsi" w:hAnsiTheme="majorHAnsi" w:cs="Arial"/>
        </w:rPr>
      </w:pPr>
    </w:p>
    <w:p w14:paraId="6525DCA9" w14:textId="7CCB3412" w:rsidR="009716F9" w:rsidRDefault="009716F9" w:rsidP="0026791B">
      <w:pPr>
        <w:rPr>
          <w:rFonts w:asciiTheme="majorHAnsi" w:hAnsiTheme="majorHAnsi" w:cs="Arial"/>
        </w:rPr>
      </w:pPr>
      <w:r>
        <w:rPr>
          <w:rFonts w:asciiTheme="majorHAnsi" w:hAnsiTheme="majorHAnsi" w:cs="Arial"/>
        </w:rPr>
        <w:t>We agree that “…the fact that neither the supply nor the importation of such low value goods is subject to GST represents a significant risk to the integrity of the GST system. It also places Australian based suppliers at a growing competitive disadvantage.”</w:t>
      </w:r>
      <w:r>
        <w:rPr>
          <w:rStyle w:val="FootnoteReference"/>
          <w:rFonts w:asciiTheme="majorHAnsi" w:hAnsiTheme="majorHAnsi" w:cs="Arial"/>
        </w:rPr>
        <w:footnoteReference w:id="3"/>
      </w:r>
    </w:p>
    <w:p w14:paraId="296A049C" w14:textId="77777777" w:rsidR="00FC2BD4" w:rsidRDefault="00FC2BD4" w:rsidP="0026791B">
      <w:pPr>
        <w:rPr>
          <w:rFonts w:asciiTheme="majorHAnsi" w:hAnsiTheme="majorHAnsi" w:cs="Arial"/>
        </w:rPr>
      </w:pPr>
    </w:p>
    <w:p w14:paraId="18B0B4B8" w14:textId="7E226BB4" w:rsidR="0085487B" w:rsidRDefault="0085487B" w:rsidP="0085487B">
      <w:pPr>
        <w:pStyle w:val="NormalWeb"/>
        <w:spacing w:before="0" w:after="0"/>
        <w:rPr>
          <w:rFonts w:ascii="Cambria" w:hAnsi="Cambria"/>
          <w:color w:val="000000" w:themeColor="text1"/>
          <w:sz w:val="22"/>
          <w:szCs w:val="22"/>
          <w:lang w:eastAsia="en-US"/>
        </w:rPr>
      </w:pPr>
      <w:r>
        <w:rPr>
          <w:rFonts w:ascii="Cambria" w:hAnsi="Cambria"/>
          <w:color w:val="000000" w:themeColor="text1"/>
          <w:sz w:val="22"/>
          <w:szCs w:val="22"/>
          <w:lang w:eastAsia="en-US"/>
        </w:rPr>
        <w:t>ASGA has been at the forefront of working with the Federal and state governments to reduce the low value threshold and provide a level playing field for Australian retailers.</w:t>
      </w:r>
      <w:r>
        <w:rPr>
          <w:rFonts w:ascii="Cambria" w:hAnsi="Cambria"/>
          <w:color w:val="000000" w:themeColor="text1"/>
        </w:rPr>
        <w:t xml:space="preserve"> We were very pleased when </w:t>
      </w:r>
      <w:r>
        <w:rPr>
          <w:rFonts w:ascii="Cambria" w:hAnsi="Cambria"/>
          <w:color w:val="000000" w:themeColor="text1"/>
          <w:sz w:val="22"/>
          <w:szCs w:val="22"/>
          <w:lang w:eastAsia="en-US"/>
        </w:rPr>
        <w:t xml:space="preserve">the Federal Treasurer, The Hon. Joe Hockey MP, announced the change following the </w:t>
      </w:r>
      <w:r w:rsidRPr="00FA55A7">
        <w:rPr>
          <w:rFonts w:ascii="Cambria" w:hAnsi="Cambria"/>
          <w:color w:val="000000" w:themeColor="text1"/>
          <w:sz w:val="22"/>
          <w:szCs w:val="22"/>
          <w:lang w:eastAsia="en-US"/>
        </w:rPr>
        <w:t>Council on Federal Financial Relations Tax Reform Workshop</w:t>
      </w:r>
      <w:r>
        <w:rPr>
          <w:rFonts w:ascii="Cambria" w:hAnsi="Cambria"/>
          <w:color w:val="000000" w:themeColor="text1"/>
          <w:sz w:val="22"/>
          <w:szCs w:val="22"/>
          <w:lang w:eastAsia="en-US"/>
        </w:rPr>
        <w:t xml:space="preserve">. </w:t>
      </w:r>
      <w:hyperlink r:id="rId18" w:history="1">
        <w:r w:rsidRPr="00FA55A7">
          <w:rPr>
            <w:rStyle w:val="Hyperlink"/>
            <w:rFonts w:ascii="Cambria" w:hAnsi="Cambria"/>
            <w:sz w:val="22"/>
            <w:szCs w:val="22"/>
            <w:lang w:eastAsia="en-US"/>
          </w:rPr>
          <w:t>In a statement</w:t>
        </w:r>
      </w:hyperlink>
      <w:r>
        <w:rPr>
          <w:rFonts w:ascii="Cambria" w:hAnsi="Cambria"/>
          <w:color w:val="000000" w:themeColor="text1"/>
          <w:sz w:val="22"/>
          <w:szCs w:val="22"/>
          <w:lang w:eastAsia="en-US"/>
        </w:rPr>
        <w:t xml:space="preserve"> he said:</w:t>
      </w:r>
    </w:p>
    <w:p w14:paraId="4E11BF4D" w14:textId="77777777" w:rsidR="0085487B" w:rsidRDefault="0085487B" w:rsidP="0085487B">
      <w:pPr>
        <w:pStyle w:val="NormalWeb"/>
        <w:spacing w:before="0" w:after="0"/>
        <w:rPr>
          <w:rFonts w:ascii="Cambria" w:hAnsi="Cambria"/>
          <w:color w:val="000000" w:themeColor="text1"/>
          <w:sz w:val="22"/>
          <w:szCs w:val="22"/>
          <w:lang w:eastAsia="en-US"/>
        </w:rPr>
      </w:pPr>
    </w:p>
    <w:p w14:paraId="19E4B941" w14:textId="77777777" w:rsidR="0085487B" w:rsidRPr="00FA55A7" w:rsidRDefault="0085487B" w:rsidP="0085487B">
      <w:pPr>
        <w:pStyle w:val="NormalWeb"/>
        <w:spacing w:before="0" w:after="0"/>
        <w:ind w:left="1134" w:right="1275"/>
        <w:rPr>
          <w:rFonts w:ascii="Cambria" w:hAnsi="Cambria"/>
          <w:i/>
          <w:color w:val="000000" w:themeColor="text1"/>
          <w:sz w:val="22"/>
          <w:szCs w:val="22"/>
          <w:lang w:eastAsia="en-US"/>
        </w:rPr>
      </w:pPr>
      <w:r w:rsidRPr="00FA55A7">
        <w:rPr>
          <w:rFonts w:ascii="Cambria" w:hAnsi="Cambria"/>
          <w:i/>
          <w:color w:val="000000" w:themeColor="text1"/>
          <w:sz w:val="22"/>
          <w:szCs w:val="22"/>
          <w:lang w:eastAsia="en-US"/>
        </w:rPr>
        <w:t>At the meeting the Commonwealth Treasurer put forward a proposal that relies on a vendor registration model as a method of collecting the GST for the states and territories. As goods would not be stopped at the border, administering a vendor registration model would have a relatively low cost.</w:t>
      </w:r>
    </w:p>
    <w:p w14:paraId="76A3A2A4" w14:textId="77777777" w:rsidR="0085487B" w:rsidRPr="00FA55A7" w:rsidRDefault="0085487B" w:rsidP="0085487B">
      <w:pPr>
        <w:pStyle w:val="NormalWeb"/>
        <w:spacing w:before="0" w:after="0"/>
        <w:ind w:left="1134" w:right="1275"/>
        <w:rPr>
          <w:rFonts w:ascii="Cambria" w:hAnsi="Cambria"/>
          <w:i/>
          <w:color w:val="000000" w:themeColor="text1"/>
          <w:sz w:val="22"/>
          <w:szCs w:val="22"/>
          <w:lang w:eastAsia="en-US"/>
        </w:rPr>
      </w:pPr>
    </w:p>
    <w:p w14:paraId="7EA357F9" w14:textId="77777777" w:rsidR="0085487B" w:rsidRPr="00FA55A7" w:rsidRDefault="0085487B" w:rsidP="0085487B">
      <w:pPr>
        <w:pStyle w:val="NormalWeb"/>
        <w:spacing w:before="0" w:after="0"/>
        <w:ind w:left="1134" w:right="1275"/>
        <w:rPr>
          <w:rFonts w:ascii="Cambria" w:hAnsi="Cambria"/>
          <w:i/>
          <w:color w:val="000000" w:themeColor="text1"/>
          <w:sz w:val="22"/>
          <w:szCs w:val="22"/>
          <w:lang w:eastAsia="en-US"/>
        </w:rPr>
      </w:pPr>
      <w:r w:rsidRPr="00FA55A7">
        <w:rPr>
          <w:rFonts w:ascii="Cambria" w:hAnsi="Cambria"/>
          <w:i/>
          <w:color w:val="000000" w:themeColor="text1"/>
          <w:sz w:val="22"/>
          <w:szCs w:val="22"/>
          <w:lang w:eastAsia="en-US"/>
        </w:rPr>
        <w:t>The Commonwealth also recommended that the existing threshold for the GST liability be reduced to zero, in line with the GST collection for other products and services. The states and territories have unanimously agreed to this in principle.</w:t>
      </w:r>
    </w:p>
    <w:p w14:paraId="6D95BD44" w14:textId="77777777" w:rsidR="0085487B" w:rsidRDefault="0085487B" w:rsidP="0026791B">
      <w:pPr>
        <w:rPr>
          <w:rFonts w:asciiTheme="majorHAnsi" w:hAnsiTheme="majorHAnsi" w:cs="Arial"/>
        </w:rPr>
      </w:pPr>
    </w:p>
    <w:p w14:paraId="32F2917A" w14:textId="68016529" w:rsidR="00F5669E" w:rsidRDefault="0085487B" w:rsidP="0026791B">
      <w:pPr>
        <w:rPr>
          <w:rFonts w:asciiTheme="majorHAnsi" w:hAnsiTheme="majorHAnsi" w:cs="Arial"/>
        </w:rPr>
      </w:pPr>
      <w:r>
        <w:rPr>
          <w:rFonts w:asciiTheme="majorHAnsi" w:hAnsiTheme="majorHAnsi" w:cs="Arial"/>
        </w:rPr>
        <w:t xml:space="preserve">The vendor registration model has significant advantages over other possible schemes. </w:t>
      </w:r>
      <w:r w:rsidR="00FC2BD4">
        <w:rPr>
          <w:rFonts w:asciiTheme="majorHAnsi" w:hAnsiTheme="majorHAnsi" w:cs="Arial"/>
        </w:rPr>
        <w:t xml:space="preserve">As such, this submission will outline our ideas and concerns about </w:t>
      </w:r>
      <w:r w:rsidR="00F5669E">
        <w:rPr>
          <w:rFonts w:asciiTheme="majorHAnsi" w:hAnsiTheme="majorHAnsi" w:cs="Arial"/>
        </w:rPr>
        <w:t>the proposed Amendment, specifically about how it relates to the vendor registration model and what concerns we have</w:t>
      </w:r>
      <w:r>
        <w:rPr>
          <w:rFonts w:asciiTheme="majorHAnsi" w:hAnsiTheme="majorHAnsi" w:cs="Arial"/>
        </w:rPr>
        <w:t xml:space="preserve"> about the implementation and enforcement of the legislation.</w:t>
      </w:r>
      <w:r w:rsidR="00F5669E">
        <w:rPr>
          <w:rFonts w:asciiTheme="majorHAnsi" w:hAnsiTheme="majorHAnsi" w:cs="Arial"/>
        </w:rPr>
        <w:t xml:space="preserve"> </w:t>
      </w:r>
    </w:p>
    <w:p w14:paraId="0E2FF64F" w14:textId="77777777" w:rsidR="009E2F10" w:rsidRDefault="009E2F10" w:rsidP="0026791B">
      <w:pPr>
        <w:rPr>
          <w:rFonts w:asciiTheme="majorHAnsi" w:hAnsiTheme="majorHAnsi" w:cs="Arial"/>
        </w:rPr>
      </w:pPr>
    </w:p>
    <w:p w14:paraId="6CD44731" w14:textId="26BC1033" w:rsidR="00A223A1" w:rsidRPr="00A223A1" w:rsidRDefault="00A223A1" w:rsidP="0026791B">
      <w:pPr>
        <w:rPr>
          <w:rFonts w:asciiTheme="majorHAnsi" w:hAnsiTheme="majorHAnsi" w:cs="Arial"/>
          <w:i/>
        </w:rPr>
      </w:pPr>
      <w:r w:rsidRPr="00A223A1">
        <w:rPr>
          <w:rFonts w:asciiTheme="majorHAnsi" w:hAnsiTheme="majorHAnsi" w:cs="Arial"/>
          <w:i/>
        </w:rPr>
        <w:t>Registering for GST</w:t>
      </w:r>
    </w:p>
    <w:p w14:paraId="16A7A194" w14:textId="77777777" w:rsidR="00E15F27" w:rsidRDefault="00E15F27" w:rsidP="0026791B">
      <w:pPr>
        <w:rPr>
          <w:rFonts w:asciiTheme="majorHAnsi" w:hAnsiTheme="majorHAnsi" w:cs="Arial"/>
        </w:rPr>
      </w:pPr>
    </w:p>
    <w:p w14:paraId="0DEBFFC7" w14:textId="4CBFFD00" w:rsidR="00B642CC" w:rsidRDefault="00B642CC" w:rsidP="00B642CC">
      <w:pPr>
        <w:rPr>
          <w:rFonts w:asciiTheme="majorHAnsi" w:hAnsiTheme="majorHAnsi" w:cs="Arial"/>
        </w:rPr>
      </w:pPr>
      <w:r>
        <w:rPr>
          <w:rFonts w:asciiTheme="majorHAnsi" w:hAnsiTheme="majorHAnsi" w:cs="Arial"/>
        </w:rPr>
        <w:t xml:space="preserve">Given the suppliers we are discussing are, by definition, domiciled overseas and are not subject to Australian taxation law, it is unclear how the Government will implement or enforce this Amendment. </w:t>
      </w:r>
    </w:p>
    <w:p w14:paraId="0B15E2D4" w14:textId="77777777" w:rsidR="00B642CC" w:rsidRDefault="00B642CC" w:rsidP="00B642CC">
      <w:pPr>
        <w:rPr>
          <w:rFonts w:asciiTheme="majorHAnsi" w:hAnsiTheme="majorHAnsi" w:cs="Arial"/>
        </w:rPr>
      </w:pPr>
    </w:p>
    <w:p w14:paraId="6561029B" w14:textId="572CDD49" w:rsidR="00B642CC" w:rsidRDefault="00447E29" w:rsidP="00B642CC">
      <w:pPr>
        <w:rPr>
          <w:rFonts w:asciiTheme="majorHAnsi" w:hAnsiTheme="majorHAnsi" w:cs="Arial"/>
        </w:rPr>
      </w:pPr>
      <w:r>
        <w:rPr>
          <w:rFonts w:asciiTheme="majorHAnsi" w:hAnsiTheme="majorHAnsi" w:cs="Arial"/>
        </w:rPr>
        <w:t>It is unclear from the a</w:t>
      </w:r>
      <w:r w:rsidR="00A223A1">
        <w:rPr>
          <w:rFonts w:asciiTheme="majorHAnsi" w:hAnsiTheme="majorHAnsi" w:cs="Arial"/>
        </w:rPr>
        <w:t>mendment and the explanatory materials about how overseas suppl</w:t>
      </w:r>
      <w:r w:rsidR="00B642CC">
        <w:rPr>
          <w:rFonts w:asciiTheme="majorHAnsi" w:hAnsiTheme="majorHAnsi" w:cs="Arial"/>
        </w:rPr>
        <w:t>iers will register for GST, under what circumstances</w:t>
      </w:r>
      <w:r w:rsidR="00A223A1">
        <w:rPr>
          <w:rFonts w:asciiTheme="majorHAnsi" w:hAnsiTheme="majorHAnsi" w:cs="Arial"/>
        </w:rPr>
        <w:t xml:space="preserve"> they will be required to do so (apart from meeting the $75,000 turnover threshold)</w:t>
      </w:r>
      <w:r w:rsidR="00FB69DB">
        <w:rPr>
          <w:rFonts w:asciiTheme="majorHAnsi" w:hAnsiTheme="majorHAnsi" w:cs="Arial"/>
        </w:rPr>
        <w:t xml:space="preserve"> and what, if any, measures the Australian Government can take to encourage or force those companies to register.</w:t>
      </w:r>
      <w:r w:rsidR="00B642CC">
        <w:rPr>
          <w:rFonts w:asciiTheme="majorHAnsi" w:hAnsiTheme="majorHAnsi" w:cs="Arial"/>
        </w:rPr>
        <w:t xml:space="preserve"> For example, what penalties are in place for a company that doesn’t register?</w:t>
      </w:r>
      <w:r w:rsidR="006D6A96">
        <w:rPr>
          <w:rFonts w:asciiTheme="majorHAnsi" w:hAnsiTheme="majorHAnsi" w:cs="Arial"/>
        </w:rPr>
        <w:t xml:space="preserve"> How will that be enforced?</w:t>
      </w:r>
      <w:r w:rsidR="00B642CC">
        <w:rPr>
          <w:rFonts w:asciiTheme="majorHAnsi" w:hAnsiTheme="majorHAnsi" w:cs="Arial"/>
        </w:rPr>
        <w:t xml:space="preserve"> </w:t>
      </w:r>
    </w:p>
    <w:p w14:paraId="6B4CD469" w14:textId="28700FD3" w:rsidR="006D6A96" w:rsidRDefault="006D6A96" w:rsidP="0026791B">
      <w:pPr>
        <w:rPr>
          <w:rFonts w:asciiTheme="majorHAnsi" w:hAnsiTheme="majorHAnsi" w:cs="Arial"/>
        </w:rPr>
      </w:pPr>
    </w:p>
    <w:p w14:paraId="6E1BCCB1" w14:textId="1919D0FE" w:rsidR="0085487B" w:rsidRDefault="00A16F25" w:rsidP="0026791B">
      <w:pPr>
        <w:rPr>
          <w:rFonts w:asciiTheme="majorHAnsi" w:hAnsiTheme="majorHAnsi" w:cs="Arial"/>
        </w:rPr>
      </w:pPr>
      <w:r>
        <w:rPr>
          <w:rFonts w:asciiTheme="majorHAnsi" w:hAnsiTheme="majorHAnsi" w:cs="Arial"/>
        </w:rPr>
        <w:t>Previous discussions with Treasury have indicated enforcement will rely on tax treaties with other countries, whereby the relevant authority within another country will enforce the new laws on retailers domiciled in their country, on behalf of the Australian Government.</w:t>
      </w:r>
    </w:p>
    <w:p w14:paraId="0E7353E7" w14:textId="77777777" w:rsidR="009716F9" w:rsidRDefault="009716F9" w:rsidP="0026791B">
      <w:pPr>
        <w:rPr>
          <w:rFonts w:asciiTheme="majorHAnsi" w:hAnsiTheme="majorHAnsi" w:cs="Arial"/>
        </w:rPr>
      </w:pPr>
    </w:p>
    <w:p w14:paraId="71C00815" w14:textId="7E5479BB" w:rsidR="00A16F25" w:rsidRDefault="00A16F25" w:rsidP="0026791B">
      <w:pPr>
        <w:rPr>
          <w:rFonts w:asciiTheme="majorHAnsi" w:hAnsiTheme="majorHAnsi" w:cs="Arial"/>
        </w:rPr>
      </w:pPr>
      <w:r>
        <w:rPr>
          <w:rFonts w:asciiTheme="majorHAnsi" w:hAnsiTheme="majorHAnsi" w:cs="Arial"/>
        </w:rPr>
        <w:t xml:space="preserve">ASGA supports the Australian Government enforcing this </w:t>
      </w:r>
      <w:r w:rsidR="00447E29">
        <w:rPr>
          <w:rFonts w:asciiTheme="majorHAnsi" w:hAnsiTheme="majorHAnsi" w:cs="Arial"/>
        </w:rPr>
        <w:t>amendment</w:t>
      </w:r>
      <w:r>
        <w:rPr>
          <w:rFonts w:asciiTheme="majorHAnsi" w:hAnsiTheme="majorHAnsi" w:cs="Arial"/>
        </w:rPr>
        <w:t xml:space="preserve"> through tax treaties, where practical and applicable. However, there needs to be a method of enforcing the </w:t>
      </w:r>
      <w:r w:rsidR="00447E29">
        <w:rPr>
          <w:rFonts w:asciiTheme="majorHAnsi" w:hAnsiTheme="majorHAnsi" w:cs="Arial"/>
        </w:rPr>
        <w:t>amendment</w:t>
      </w:r>
      <w:r>
        <w:rPr>
          <w:rFonts w:asciiTheme="majorHAnsi" w:hAnsiTheme="majorHAnsi" w:cs="Arial"/>
        </w:rPr>
        <w:t xml:space="preserve"> that doesn’t rely on a thi</w:t>
      </w:r>
      <w:r w:rsidR="00F936B4">
        <w:rPr>
          <w:rFonts w:asciiTheme="majorHAnsi" w:hAnsiTheme="majorHAnsi" w:cs="Arial"/>
        </w:rPr>
        <w:t>rd party to do so on our behalf (or where no such tax treaty is in place).</w:t>
      </w:r>
    </w:p>
    <w:p w14:paraId="3177F52A" w14:textId="62050E0B" w:rsidR="005F160A" w:rsidRDefault="005F160A" w:rsidP="0026791B">
      <w:pPr>
        <w:rPr>
          <w:rFonts w:asciiTheme="majorHAnsi" w:hAnsiTheme="majorHAnsi" w:cs="Arial"/>
        </w:rPr>
      </w:pPr>
    </w:p>
    <w:p w14:paraId="76F8A844" w14:textId="22A3AE66" w:rsidR="005F160A" w:rsidRDefault="005F160A" w:rsidP="0026791B">
      <w:pPr>
        <w:rPr>
          <w:rFonts w:asciiTheme="majorHAnsi" w:hAnsiTheme="majorHAnsi" w:cs="Arial"/>
        </w:rPr>
      </w:pPr>
      <w:r>
        <w:rPr>
          <w:rFonts w:asciiTheme="majorHAnsi" w:hAnsiTheme="majorHAnsi" w:cs="Arial"/>
        </w:rPr>
        <w:t xml:space="preserve">ASGA acknowledges previous research and modelling </w:t>
      </w:r>
      <w:r w:rsidR="00F936B4">
        <w:rPr>
          <w:rFonts w:asciiTheme="majorHAnsi" w:hAnsiTheme="majorHAnsi" w:cs="Arial"/>
        </w:rPr>
        <w:t>that shows</w:t>
      </w:r>
      <w:r>
        <w:rPr>
          <w:rFonts w:asciiTheme="majorHAnsi" w:hAnsiTheme="majorHAnsi" w:cs="Arial"/>
        </w:rPr>
        <w:t xml:space="preserve"> c</w:t>
      </w:r>
      <w:r w:rsidR="00447E29">
        <w:rPr>
          <w:rFonts w:asciiTheme="majorHAnsi" w:hAnsiTheme="majorHAnsi" w:cs="Arial"/>
        </w:rPr>
        <w:t>ollecting the GST at the border</w:t>
      </w:r>
      <w:r w:rsidR="00F936B4">
        <w:rPr>
          <w:rFonts w:asciiTheme="majorHAnsi" w:hAnsiTheme="majorHAnsi" w:cs="Arial"/>
        </w:rPr>
        <w:t xml:space="preserve"> is undesirable, given the administrative costs of doing so. However, that modelling was predicated on all low value goods being stopped at the border, assessed for GST and then held until the GST is paid by the consumer.</w:t>
      </w:r>
    </w:p>
    <w:p w14:paraId="1B5FD6B3" w14:textId="46BC6279" w:rsidR="00F936B4" w:rsidRDefault="00F936B4" w:rsidP="0026791B">
      <w:pPr>
        <w:rPr>
          <w:rFonts w:asciiTheme="majorHAnsi" w:hAnsiTheme="majorHAnsi" w:cs="Arial"/>
        </w:rPr>
      </w:pPr>
    </w:p>
    <w:p w14:paraId="00EEF6EE" w14:textId="5645EE50" w:rsidR="00F936B4" w:rsidRDefault="00F936B4" w:rsidP="00F936B4">
      <w:pPr>
        <w:rPr>
          <w:rFonts w:asciiTheme="majorHAnsi" w:hAnsiTheme="majorHAnsi" w:cs="Arial"/>
        </w:rPr>
      </w:pPr>
      <w:r>
        <w:rPr>
          <w:rFonts w:asciiTheme="majorHAnsi" w:hAnsiTheme="majorHAnsi" w:cs="Arial"/>
        </w:rPr>
        <w:t xml:space="preserve">A mix of both the vendor registration model and a border-control model may be effective in enforcing the legislation. Where </w:t>
      </w:r>
      <w:r w:rsidRPr="00F936B4">
        <w:rPr>
          <w:rFonts w:asciiTheme="majorHAnsi" w:hAnsiTheme="majorHAnsi" w:cs="Arial"/>
        </w:rPr>
        <w:t xml:space="preserve">an overseas retailer does register for GST, they </w:t>
      </w:r>
      <w:r>
        <w:rPr>
          <w:rFonts w:asciiTheme="majorHAnsi" w:hAnsiTheme="majorHAnsi" w:cs="Arial"/>
        </w:rPr>
        <w:t xml:space="preserve">would then </w:t>
      </w:r>
      <w:r w:rsidRPr="00F936B4">
        <w:rPr>
          <w:rFonts w:asciiTheme="majorHAnsi" w:hAnsiTheme="majorHAnsi" w:cs="Arial"/>
        </w:rPr>
        <w:t>go on a list that is given to Customs</w:t>
      </w:r>
      <w:r>
        <w:rPr>
          <w:rFonts w:asciiTheme="majorHAnsi" w:hAnsiTheme="majorHAnsi" w:cs="Arial"/>
        </w:rPr>
        <w:t xml:space="preserve"> and Australia Post. Goods from those suppliers would be earmarked as having paid GST and so would not be stopped at the border.</w:t>
      </w:r>
      <w:r w:rsidRPr="00F936B4">
        <w:rPr>
          <w:rFonts w:asciiTheme="majorHAnsi" w:hAnsiTheme="majorHAnsi" w:cs="Arial"/>
        </w:rPr>
        <w:t xml:space="preserve"> However, an overseas retailer that has not registered for GST </w:t>
      </w:r>
      <w:r>
        <w:rPr>
          <w:rFonts w:asciiTheme="majorHAnsi" w:hAnsiTheme="majorHAnsi" w:cs="Arial"/>
        </w:rPr>
        <w:t xml:space="preserve">(and who therefore hasn’t charged GST at the point-of-transaction) </w:t>
      </w:r>
      <w:r w:rsidRPr="00F936B4">
        <w:rPr>
          <w:rFonts w:asciiTheme="majorHAnsi" w:hAnsiTheme="majorHAnsi" w:cs="Arial"/>
        </w:rPr>
        <w:t xml:space="preserve">doesn’t go on that list. </w:t>
      </w:r>
      <w:r>
        <w:rPr>
          <w:rFonts w:asciiTheme="majorHAnsi" w:hAnsiTheme="majorHAnsi" w:cs="Arial"/>
        </w:rPr>
        <w:t>Therefore,</w:t>
      </w:r>
      <w:r w:rsidRPr="00F936B4">
        <w:rPr>
          <w:rFonts w:asciiTheme="majorHAnsi" w:hAnsiTheme="majorHAnsi" w:cs="Arial"/>
        </w:rPr>
        <w:t xml:space="preserve"> their goods will be stopped at the border and Customs</w:t>
      </w:r>
      <w:r>
        <w:rPr>
          <w:rFonts w:asciiTheme="majorHAnsi" w:hAnsiTheme="majorHAnsi" w:cs="Arial"/>
        </w:rPr>
        <w:t xml:space="preserve"> (or Australia Post)</w:t>
      </w:r>
      <w:r w:rsidRPr="00F936B4">
        <w:rPr>
          <w:rFonts w:asciiTheme="majorHAnsi" w:hAnsiTheme="majorHAnsi" w:cs="Arial"/>
        </w:rPr>
        <w:t xml:space="preserve"> will require the consumer to p</w:t>
      </w:r>
      <w:r>
        <w:rPr>
          <w:rFonts w:asciiTheme="majorHAnsi" w:hAnsiTheme="majorHAnsi" w:cs="Arial"/>
        </w:rPr>
        <w:t>ay the GST when they pick up those</w:t>
      </w:r>
      <w:r w:rsidRPr="00F936B4">
        <w:rPr>
          <w:rFonts w:asciiTheme="majorHAnsi" w:hAnsiTheme="majorHAnsi" w:cs="Arial"/>
        </w:rPr>
        <w:t xml:space="preserve"> </w:t>
      </w:r>
      <w:r>
        <w:rPr>
          <w:rFonts w:asciiTheme="majorHAnsi" w:hAnsiTheme="majorHAnsi" w:cs="Arial"/>
        </w:rPr>
        <w:t xml:space="preserve">low value </w:t>
      </w:r>
      <w:r w:rsidRPr="00F936B4">
        <w:rPr>
          <w:rFonts w:asciiTheme="majorHAnsi" w:hAnsiTheme="majorHAnsi" w:cs="Arial"/>
        </w:rPr>
        <w:t xml:space="preserve">goods. </w:t>
      </w:r>
    </w:p>
    <w:p w14:paraId="441F3D48" w14:textId="7D7ED349" w:rsidR="00F936B4" w:rsidRDefault="00F936B4" w:rsidP="00F936B4">
      <w:pPr>
        <w:rPr>
          <w:rFonts w:asciiTheme="majorHAnsi" w:hAnsiTheme="majorHAnsi" w:cs="Arial"/>
        </w:rPr>
      </w:pPr>
    </w:p>
    <w:p w14:paraId="049277D2" w14:textId="72E71DE4" w:rsidR="0085487B" w:rsidRDefault="00F936B4" w:rsidP="0026791B">
      <w:pPr>
        <w:rPr>
          <w:rFonts w:asciiTheme="majorHAnsi" w:hAnsiTheme="majorHAnsi" w:cs="Arial"/>
        </w:rPr>
      </w:pPr>
      <w:r>
        <w:rPr>
          <w:rFonts w:asciiTheme="majorHAnsi" w:hAnsiTheme="majorHAnsi" w:cs="Arial"/>
        </w:rPr>
        <w:t xml:space="preserve">Assuming most overseas retailers (and the largest overseas retailers) abide by the legislation, the ‘overflow’ of low value goods that have not had GST charged on them should be relatively low, and will therefore not </w:t>
      </w:r>
      <w:r w:rsidR="009716F9">
        <w:rPr>
          <w:rFonts w:asciiTheme="majorHAnsi" w:hAnsiTheme="majorHAnsi" w:cs="Arial"/>
        </w:rPr>
        <w:t>pose an unacceptable administrative burden on Customs.</w:t>
      </w:r>
    </w:p>
    <w:p w14:paraId="09ABE7CD" w14:textId="77777777" w:rsidR="0085487B" w:rsidRDefault="0085487B" w:rsidP="0026791B">
      <w:pPr>
        <w:rPr>
          <w:rFonts w:asciiTheme="majorHAnsi" w:hAnsiTheme="majorHAnsi" w:cs="Arial"/>
        </w:rPr>
      </w:pPr>
    </w:p>
    <w:p w14:paraId="7D7DB840" w14:textId="356EF8F6" w:rsidR="006D6A96" w:rsidRDefault="006D6A96" w:rsidP="0026791B">
      <w:pPr>
        <w:rPr>
          <w:rFonts w:asciiTheme="majorHAnsi" w:hAnsiTheme="majorHAnsi" w:cs="Arial"/>
          <w:i/>
        </w:rPr>
      </w:pPr>
      <w:r>
        <w:rPr>
          <w:rFonts w:asciiTheme="majorHAnsi" w:hAnsiTheme="majorHAnsi" w:cs="Arial"/>
          <w:i/>
        </w:rPr>
        <w:t>Identifying Overseas Suppliers</w:t>
      </w:r>
    </w:p>
    <w:p w14:paraId="61BA0499" w14:textId="77777777" w:rsidR="006D6A96" w:rsidRDefault="006D6A96" w:rsidP="0026791B">
      <w:pPr>
        <w:rPr>
          <w:rFonts w:asciiTheme="majorHAnsi" w:hAnsiTheme="majorHAnsi" w:cs="Arial"/>
          <w:i/>
        </w:rPr>
      </w:pPr>
    </w:p>
    <w:p w14:paraId="2E760AD9" w14:textId="7C663D51" w:rsidR="006D6A96" w:rsidRDefault="006D6A96" w:rsidP="0026791B">
      <w:pPr>
        <w:rPr>
          <w:rFonts w:asciiTheme="majorHAnsi" w:hAnsiTheme="majorHAnsi" w:cs="Arial"/>
        </w:rPr>
      </w:pPr>
      <w:r>
        <w:rPr>
          <w:rFonts w:asciiTheme="majorHAnsi" w:hAnsiTheme="majorHAnsi" w:cs="Arial"/>
        </w:rPr>
        <w:t xml:space="preserve">It has been noted in other consultations about the Low Value Threshold that a relatively small number of overseas online retailers (accounts range from 20 to 50) account for a large percentage of the total consumer imports into Australia. While that is true for the economy overall, it is the case that in specific industries the largest overseas competitor is not counted in that ‘top 50’. </w:t>
      </w:r>
    </w:p>
    <w:p w14:paraId="49F3B732" w14:textId="77777777" w:rsidR="006D6A96" w:rsidRDefault="006D6A96" w:rsidP="0026791B">
      <w:pPr>
        <w:rPr>
          <w:rFonts w:asciiTheme="majorHAnsi" w:hAnsiTheme="majorHAnsi" w:cs="Arial"/>
        </w:rPr>
      </w:pPr>
    </w:p>
    <w:p w14:paraId="52B2370C" w14:textId="64AA4CAB" w:rsidR="002148B1" w:rsidRDefault="006D6A96" w:rsidP="0026791B">
      <w:pPr>
        <w:rPr>
          <w:rFonts w:asciiTheme="majorHAnsi" w:hAnsiTheme="majorHAnsi" w:cs="Arial"/>
        </w:rPr>
      </w:pPr>
      <w:r>
        <w:rPr>
          <w:rFonts w:asciiTheme="majorHAnsi" w:hAnsiTheme="majorHAnsi" w:cs="Arial"/>
        </w:rPr>
        <w:t>ASGA is</w:t>
      </w:r>
      <w:r w:rsidR="00447E29">
        <w:rPr>
          <w:rFonts w:asciiTheme="majorHAnsi" w:hAnsiTheme="majorHAnsi" w:cs="Arial"/>
        </w:rPr>
        <w:t xml:space="preserve"> concerned that nothing in the a</w:t>
      </w:r>
      <w:r>
        <w:rPr>
          <w:rFonts w:asciiTheme="majorHAnsi" w:hAnsiTheme="majorHAnsi" w:cs="Arial"/>
        </w:rPr>
        <w:t xml:space="preserve">mendment or explanatory material discusses </w:t>
      </w:r>
      <w:r w:rsidR="00E3667F">
        <w:rPr>
          <w:rFonts w:asciiTheme="majorHAnsi" w:hAnsiTheme="majorHAnsi" w:cs="Arial"/>
        </w:rPr>
        <w:t>how</w:t>
      </w:r>
      <w:r>
        <w:rPr>
          <w:rFonts w:asciiTheme="majorHAnsi" w:hAnsiTheme="majorHAnsi" w:cs="Arial"/>
        </w:rPr>
        <w:t xml:space="preserve"> overseas suppliers will be </w:t>
      </w:r>
      <w:r w:rsidR="00E3667F">
        <w:rPr>
          <w:rFonts w:asciiTheme="majorHAnsi" w:hAnsiTheme="majorHAnsi" w:cs="Arial"/>
        </w:rPr>
        <w:t xml:space="preserve">prioritised and </w:t>
      </w:r>
      <w:r w:rsidR="002148B1">
        <w:rPr>
          <w:rFonts w:asciiTheme="majorHAnsi" w:hAnsiTheme="majorHAnsi" w:cs="Arial"/>
        </w:rPr>
        <w:t xml:space="preserve">encouraged to register for GST. Depending on how companies will be </w:t>
      </w:r>
      <w:r w:rsidR="00E3667F">
        <w:rPr>
          <w:rFonts w:asciiTheme="majorHAnsi" w:hAnsiTheme="majorHAnsi" w:cs="Arial"/>
        </w:rPr>
        <w:t>prioritised</w:t>
      </w:r>
      <w:r w:rsidR="002148B1">
        <w:rPr>
          <w:rFonts w:asciiTheme="majorHAnsi" w:hAnsiTheme="majorHAnsi" w:cs="Arial"/>
        </w:rPr>
        <w:t xml:space="preserve"> to register, it may be worth having specific </w:t>
      </w:r>
      <w:r w:rsidR="00A16F25">
        <w:rPr>
          <w:rFonts w:asciiTheme="majorHAnsi" w:hAnsiTheme="majorHAnsi" w:cs="Arial"/>
        </w:rPr>
        <w:t xml:space="preserve">Australian </w:t>
      </w:r>
      <w:r w:rsidR="002148B1">
        <w:rPr>
          <w:rFonts w:asciiTheme="majorHAnsi" w:hAnsiTheme="majorHAnsi" w:cs="Arial"/>
        </w:rPr>
        <w:t>industries</w:t>
      </w:r>
      <w:r w:rsidR="00447E29">
        <w:rPr>
          <w:rFonts w:asciiTheme="majorHAnsi" w:hAnsiTheme="majorHAnsi" w:cs="Arial"/>
        </w:rPr>
        <w:t xml:space="preserve"> (i.e.  sporting and active lifestyle goods)</w:t>
      </w:r>
      <w:r w:rsidR="002148B1">
        <w:rPr>
          <w:rFonts w:asciiTheme="majorHAnsi" w:hAnsiTheme="majorHAnsi" w:cs="Arial"/>
        </w:rPr>
        <w:t xml:space="preserve"> identify specific overseas online suppliers to ensure the widest possible take-up of registration.</w:t>
      </w:r>
    </w:p>
    <w:p w14:paraId="28F70C25" w14:textId="77777777" w:rsidR="002148B1" w:rsidRDefault="002148B1" w:rsidP="0026791B">
      <w:pPr>
        <w:rPr>
          <w:rFonts w:asciiTheme="majorHAnsi" w:hAnsiTheme="majorHAnsi" w:cs="Arial"/>
        </w:rPr>
      </w:pPr>
    </w:p>
    <w:p w14:paraId="384F5113" w14:textId="2AFDD6D5" w:rsidR="006D6A96" w:rsidRPr="006D6A96" w:rsidRDefault="002148B1" w:rsidP="0026791B">
      <w:pPr>
        <w:rPr>
          <w:rFonts w:asciiTheme="majorHAnsi" w:hAnsiTheme="majorHAnsi" w:cs="Arial"/>
        </w:rPr>
      </w:pPr>
      <w:r>
        <w:rPr>
          <w:rFonts w:asciiTheme="majorHAnsi" w:hAnsiTheme="majorHAnsi" w:cs="Arial"/>
        </w:rPr>
        <w:t>While it is not necessary to include this issue in the legislation, ASGA members thought it worth raising as part of the more general consultation into the low value threshold.</w:t>
      </w:r>
      <w:r w:rsidR="006D6A96">
        <w:rPr>
          <w:rFonts w:asciiTheme="majorHAnsi" w:hAnsiTheme="majorHAnsi" w:cs="Arial"/>
        </w:rPr>
        <w:t xml:space="preserve">  </w:t>
      </w:r>
    </w:p>
    <w:p w14:paraId="2918F31B" w14:textId="77777777" w:rsidR="00A223A1" w:rsidRDefault="00A223A1" w:rsidP="0026791B">
      <w:pPr>
        <w:rPr>
          <w:rFonts w:asciiTheme="majorHAnsi" w:hAnsiTheme="majorHAnsi" w:cs="Arial"/>
        </w:rPr>
      </w:pPr>
    </w:p>
    <w:p w14:paraId="37EE770B" w14:textId="76A5219F" w:rsidR="00E15F27" w:rsidRPr="00A9248C" w:rsidRDefault="00A9248C" w:rsidP="0026791B">
      <w:pPr>
        <w:rPr>
          <w:rFonts w:asciiTheme="majorHAnsi" w:hAnsiTheme="majorHAnsi" w:cs="Arial"/>
          <w:i/>
        </w:rPr>
      </w:pPr>
      <w:r w:rsidRPr="00A9248C">
        <w:rPr>
          <w:rFonts w:asciiTheme="majorHAnsi" w:hAnsiTheme="majorHAnsi" w:cs="Arial"/>
          <w:i/>
        </w:rPr>
        <w:t>GST Registration Threshold</w:t>
      </w:r>
    </w:p>
    <w:p w14:paraId="5A031D26" w14:textId="77777777" w:rsidR="00F5669E" w:rsidRDefault="00F5669E" w:rsidP="0026791B">
      <w:pPr>
        <w:rPr>
          <w:rFonts w:asciiTheme="majorHAnsi" w:hAnsiTheme="majorHAnsi" w:cs="Arial"/>
        </w:rPr>
      </w:pPr>
    </w:p>
    <w:p w14:paraId="310684F2" w14:textId="36942093" w:rsidR="009E2F10" w:rsidRDefault="00A9248C" w:rsidP="0026791B">
      <w:pPr>
        <w:rPr>
          <w:rFonts w:asciiTheme="majorHAnsi" w:hAnsiTheme="majorHAnsi" w:cs="Arial"/>
        </w:rPr>
      </w:pPr>
      <w:r>
        <w:rPr>
          <w:rFonts w:asciiTheme="majorHAnsi" w:hAnsiTheme="majorHAnsi" w:cs="Arial"/>
        </w:rPr>
        <w:t>ASGA agrees the threshold for registration for overseas suppliers should be the same as Australian suppliers (turnover of $75,000 for a for-</w:t>
      </w:r>
      <w:r w:rsidR="009E2F10">
        <w:rPr>
          <w:rFonts w:asciiTheme="majorHAnsi" w:hAnsiTheme="majorHAnsi" w:cs="Arial"/>
        </w:rPr>
        <w:t>profit business, $150,000 for a</w:t>
      </w:r>
      <w:r>
        <w:rPr>
          <w:rFonts w:asciiTheme="majorHAnsi" w:hAnsiTheme="majorHAnsi" w:cs="Arial"/>
        </w:rPr>
        <w:t xml:space="preserve"> not-for-profit). The explanatory material (s. 1.</w:t>
      </w:r>
      <w:r w:rsidR="0085487B">
        <w:rPr>
          <w:rFonts w:asciiTheme="majorHAnsi" w:hAnsiTheme="majorHAnsi" w:cs="Arial"/>
        </w:rPr>
        <w:t>22</w:t>
      </w:r>
      <w:r>
        <w:rPr>
          <w:rFonts w:asciiTheme="majorHAnsi" w:hAnsiTheme="majorHAnsi" w:cs="Arial"/>
        </w:rPr>
        <w:t xml:space="preserve">) makes it clear the threshold only applies to the turnover of the Australian portion of that business. </w:t>
      </w:r>
    </w:p>
    <w:p w14:paraId="1031672B" w14:textId="77777777" w:rsidR="009E2F10" w:rsidRDefault="009E2F10" w:rsidP="0026791B">
      <w:pPr>
        <w:rPr>
          <w:rFonts w:asciiTheme="majorHAnsi" w:hAnsiTheme="majorHAnsi" w:cs="Arial"/>
        </w:rPr>
      </w:pPr>
    </w:p>
    <w:p w14:paraId="369E28B8" w14:textId="622713D9" w:rsidR="009E2F10" w:rsidRDefault="00A9248C" w:rsidP="0026791B">
      <w:pPr>
        <w:rPr>
          <w:rFonts w:asciiTheme="majorHAnsi" w:hAnsiTheme="majorHAnsi" w:cs="Arial"/>
        </w:rPr>
      </w:pPr>
      <w:r>
        <w:rPr>
          <w:rFonts w:asciiTheme="majorHAnsi" w:hAnsiTheme="majorHAnsi" w:cs="Arial"/>
        </w:rPr>
        <w:t>That seems reasonable, although we are concerned about the case of (as an example) an overseas supplier who is doing $70,000 worth of business with Australian consumers one year, then does $80,000 worth of business the following year. What steps are in place for the Australian Government or the business itself to recognise it has crossed that threshold and therefore needs to register for GST?</w:t>
      </w:r>
    </w:p>
    <w:p w14:paraId="74BF2453" w14:textId="77777777" w:rsidR="009E2F10" w:rsidRDefault="009E2F10" w:rsidP="0026791B">
      <w:pPr>
        <w:rPr>
          <w:rFonts w:asciiTheme="majorHAnsi" w:hAnsiTheme="majorHAnsi" w:cs="Arial"/>
        </w:rPr>
      </w:pPr>
    </w:p>
    <w:p w14:paraId="64349373" w14:textId="57626CEB" w:rsidR="00A9248C" w:rsidRDefault="009E2F10" w:rsidP="0026791B">
      <w:pPr>
        <w:rPr>
          <w:rFonts w:asciiTheme="majorHAnsi" w:hAnsiTheme="majorHAnsi" w:cs="Arial"/>
        </w:rPr>
      </w:pPr>
      <w:r>
        <w:rPr>
          <w:rFonts w:asciiTheme="majorHAnsi" w:hAnsiTheme="majorHAnsi" w:cs="Arial"/>
        </w:rPr>
        <w:t xml:space="preserve">We would argue that large overseas businesses, if their turnover with Australian consumers is over $50,000 but less than $75,000, should be required </w:t>
      </w:r>
      <w:r w:rsidR="00447E29">
        <w:rPr>
          <w:rFonts w:asciiTheme="majorHAnsi" w:hAnsiTheme="majorHAnsi" w:cs="Arial"/>
        </w:rPr>
        <w:t xml:space="preserve">to register </w:t>
      </w:r>
      <w:r>
        <w:rPr>
          <w:rFonts w:asciiTheme="majorHAnsi" w:hAnsiTheme="majorHAnsi" w:cs="Arial"/>
        </w:rPr>
        <w:t xml:space="preserve">so they can be informed of their responsibilities under the legislation on the chance they cross the threshold. </w:t>
      </w:r>
      <w:r w:rsidR="00A9248C">
        <w:rPr>
          <w:rFonts w:asciiTheme="majorHAnsi" w:hAnsiTheme="majorHAnsi" w:cs="Arial"/>
        </w:rPr>
        <w:t xml:space="preserve">  </w:t>
      </w:r>
    </w:p>
    <w:p w14:paraId="3807BF95" w14:textId="744C38F3" w:rsidR="00A9248C" w:rsidRDefault="00A9248C" w:rsidP="0026791B">
      <w:pPr>
        <w:rPr>
          <w:rFonts w:asciiTheme="majorHAnsi" w:hAnsiTheme="majorHAnsi" w:cs="Arial"/>
        </w:rPr>
      </w:pPr>
    </w:p>
    <w:p w14:paraId="2B31B3A5" w14:textId="75F95A52" w:rsidR="00447E29" w:rsidRDefault="00447E29" w:rsidP="0026791B">
      <w:pPr>
        <w:rPr>
          <w:rFonts w:asciiTheme="majorHAnsi" w:hAnsiTheme="majorHAnsi" w:cs="Arial"/>
        </w:rPr>
      </w:pPr>
    </w:p>
    <w:p w14:paraId="7A0AEBA7" w14:textId="77777777" w:rsidR="00447E29" w:rsidRDefault="00447E29" w:rsidP="0026791B">
      <w:pPr>
        <w:rPr>
          <w:rFonts w:asciiTheme="majorHAnsi" w:hAnsiTheme="majorHAnsi" w:cs="Arial"/>
        </w:rPr>
      </w:pPr>
    </w:p>
    <w:p w14:paraId="2C4E5A5C" w14:textId="67262B05" w:rsidR="00E3667F" w:rsidRDefault="00E3667F" w:rsidP="0026791B">
      <w:pPr>
        <w:rPr>
          <w:rFonts w:asciiTheme="majorHAnsi" w:hAnsiTheme="majorHAnsi" w:cs="Arial"/>
          <w:i/>
        </w:rPr>
      </w:pPr>
      <w:r>
        <w:rPr>
          <w:rFonts w:asciiTheme="majorHAnsi" w:hAnsiTheme="majorHAnsi" w:cs="Arial"/>
          <w:i/>
        </w:rPr>
        <w:t>Goods forwarders</w:t>
      </w:r>
    </w:p>
    <w:p w14:paraId="3E4D5F05" w14:textId="3943147D" w:rsidR="00E3667F" w:rsidRDefault="00E3667F" w:rsidP="0026791B">
      <w:pPr>
        <w:rPr>
          <w:rFonts w:asciiTheme="majorHAnsi" w:hAnsiTheme="majorHAnsi" w:cs="Arial"/>
        </w:rPr>
      </w:pPr>
    </w:p>
    <w:p w14:paraId="0291734B" w14:textId="3283362C" w:rsidR="00E3667F" w:rsidRPr="00E3667F" w:rsidRDefault="00E3667F" w:rsidP="0026791B">
      <w:pPr>
        <w:rPr>
          <w:rFonts w:asciiTheme="majorHAnsi" w:hAnsiTheme="majorHAnsi" w:cs="Arial"/>
        </w:rPr>
      </w:pPr>
      <w:r>
        <w:rPr>
          <w:rFonts w:asciiTheme="majorHAnsi" w:hAnsiTheme="majorHAnsi" w:cs="Arial"/>
        </w:rPr>
        <w:t>ASGA supports good forwarders, as defined in the Exposure Draft, being held responsible for collecting and remitting the GST for the value of the goods.</w:t>
      </w:r>
    </w:p>
    <w:p w14:paraId="2E7FAD70" w14:textId="77777777" w:rsidR="00E3667F" w:rsidRDefault="00E3667F" w:rsidP="0026791B">
      <w:pPr>
        <w:rPr>
          <w:rFonts w:asciiTheme="majorHAnsi" w:hAnsiTheme="majorHAnsi" w:cs="Arial"/>
          <w:i/>
        </w:rPr>
      </w:pPr>
    </w:p>
    <w:p w14:paraId="46D1F54D" w14:textId="54ED4BBE" w:rsidR="009E2F10" w:rsidRPr="00CA060A" w:rsidRDefault="00CA060A" w:rsidP="0026791B">
      <w:pPr>
        <w:rPr>
          <w:rFonts w:asciiTheme="majorHAnsi" w:hAnsiTheme="majorHAnsi" w:cs="Arial"/>
          <w:i/>
        </w:rPr>
      </w:pPr>
      <w:r w:rsidRPr="00CA060A">
        <w:rPr>
          <w:rFonts w:asciiTheme="majorHAnsi" w:hAnsiTheme="majorHAnsi" w:cs="Arial"/>
          <w:i/>
        </w:rPr>
        <w:t>Electronic Distribution Platforms</w:t>
      </w:r>
      <w:r w:rsidR="00624217" w:rsidRPr="00CA060A">
        <w:rPr>
          <w:rFonts w:asciiTheme="majorHAnsi" w:hAnsiTheme="majorHAnsi" w:cs="Arial"/>
          <w:i/>
        </w:rPr>
        <w:t xml:space="preserve"> </w:t>
      </w:r>
    </w:p>
    <w:p w14:paraId="64B9E30B" w14:textId="77777777" w:rsidR="00A9248C" w:rsidRDefault="00A9248C" w:rsidP="0026791B">
      <w:pPr>
        <w:rPr>
          <w:rFonts w:asciiTheme="majorHAnsi" w:hAnsiTheme="majorHAnsi" w:cs="Arial"/>
        </w:rPr>
      </w:pPr>
    </w:p>
    <w:p w14:paraId="4A480346" w14:textId="0192C09E" w:rsidR="00A9248C" w:rsidRDefault="00CA060A" w:rsidP="0026791B">
      <w:pPr>
        <w:rPr>
          <w:rFonts w:asciiTheme="majorHAnsi" w:hAnsiTheme="majorHAnsi" w:cs="Arial"/>
        </w:rPr>
      </w:pPr>
      <w:r>
        <w:rPr>
          <w:rFonts w:asciiTheme="majorHAnsi" w:hAnsiTheme="majorHAnsi" w:cs="Arial"/>
        </w:rPr>
        <w:t>ASGA supports the shifting of the GST collection from individual suppliers to Electronic Distribution Platforms. This is especially important where there are a large number of small-scale suppliers that would fall under the registration threshold but which, together on the one EDP, constitute a significant percentage of particular retail industries.</w:t>
      </w:r>
    </w:p>
    <w:p w14:paraId="155E3794" w14:textId="77777777" w:rsidR="00CA060A" w:rsidRDefault="00CA060A" w:rsidP="0026791B">
      <w:pPr>
        <w:rPr>
          <w:rFonts w:asciiTheme="majorHAnsi" w:hAnsiTheme="majorHAnsi" w:cs="Arial"/>
        </w:rPr>
      </w:pPr>
    </w:p>
    <w:p w14:paraId="44EAE871" w14:textId="290FF394" w:rsidR="00B642CC" w:rsidRDefault="00E3667F" w:rsidP="0026791B">
      <w:pPr>
        <w:rPr>
          <w:rFonts w:asciiTheme="majorHAnsi" w:hAnsiTheme="majorHAnsi" w:cs="Arial"/>
          <w:i/>
        </w:rPr>
      </w:pPr>
      <w:r>
        <w:rPr>
          <w:rFonts w:asciiTheme="majorHAnsi" w:hAnsiTheme="majorHAnsi" w:cs="Arial"/>
          <w:i/>
        </w:rPr>
        <w:t>GST and International Transport</w:t>
      </w:r>
    </w:p>
    <w:p w14:paraId="101B6804" w14:textId="68812320" w:rsidR="00E3667F" w:rsidRDefault="00E3667F" w:rsidP="0026791B">
      <w:pPr>
        <w:rPr>
          <w:rFonts w:asciiTheme="majorHAnsi" w:hAnsiTheme="majorHAnsi" w:cs="Arial"/>
          <w:i/>
        </w:rPr>
      </w:pPr>
    </w:p>
    <w:p w14:paraId="3D2D63CF" w14:textId="7005F12C" w:rsidR="00E3667F" w:rsidRPr="00E3667F" w:rsidRDefault="00E3667F" w:rsidP="0026791B">
      <w:pPr>
        <w:rPr>
          <w:rFonts w:asciiTheme="majorHAnsi" w:hAnsiTheme="majorHAnsi" w:cs="Arial"/>
        </w:rPr>
      </w:pPr>
      <w:r>
        <w:rPr>
          <w:rFonts w:asciiTheme="majorHAnsi" w:hAnsiTheme="majorHAnsi" w:cs="Arial"/>
        </w:rPr>
        <w:t>As noted in the Exposure Draft Explanatory Materials (p.32, s. 1.124), this amendment does not contain amendments to the GST treatment of international transport. As ASGA has noted in submissions to other government consultations</w:t>
      </w:r>
      <w:r w:rsidR="00E738F9">
        <w:rPr>
          <w:rStyle w:val="FootnoteReference"/>
          <w:rFonts w:asciiTheme="majorHAnsi" w:hAnsiTheme="majorHAnsi" w:cs="Arial"/>
        </w:rPr>
        <w:footnoteReference w:id="4"/>
      </w:r>
      <w:r>
        <w:rPr>
          <w:rFonts w:asciiTheme="majorHAnsi" w:hAnsiTheme="majorHAnsi" w:cs="Arial"/>
        </w:rPr>
        <w:t>, transport is a significant cost to Australian distributors and retailers. ASGA supports the Government in removing the GST free treatment for the supplies of low value goods and would be happy to provide further advice about this issue.</w:t>
      </w:r>
    </w:p>
    <w:p w14:paraId="409E5744" w14:textId="77777777" w:rsidR="00B642CC" w:rsidRDefault="00B642CC" w:rsidP="0026791B">
      <w:pPr>
        <w:rPr>
          <w:rFonts w:asciiTheme="majorHAnsi" w:hAnsiTheme="majorHAnsi" w:cs="Arial"/>
        </w:rPr>
      </w:pPr>
    </w:p>
    <w:p w14:paraId="633FA6F1" w14:textId="7971E9A1" w:rsidR="00FC2BD4" w:rsidRDefault="006D6A96" w:rsidP="0026791B">
      <w:pPr>
        <w:rPr>
          <w:rFonts w:asciiTheme="majorHAnsi" w:hAnsiTheme="majorHAnsi" w:cs="Arial"/>
          <w:b/>
        </w:rPr>
      </w:pPr>
      <w:r w:rsidRPr="006D6A96">
        <w:rPr>
          <w:rFonts w:asciiTheme="majorHAnsi" w:hAnsiTheme="majorHAnsi" w:cs="Arial"/>
          <w:b/>
        </w:rPr>
        <w:t>Conclusion</w:t>
      </w:r>
    </w:p>
    <w:p w14:paraId="221CC22C" w14:textId="77777777" w:rsidR="006D6A96" w:rsidRDefault="006D6A96" w:rsidP="0026791B">
      <w:pPr>
        <w:rPr>
          <w:rFonts w:asciiTheme="majorHAnsi" w:hAnsiTheme="majorHAnsi" w:cs="Arial"/>
        </w:rPr>
      </w:pPr>
    </w:p>
    <w:p w14:paraId="4451CF0D" w14:textId="01A80711" w:rsidR="006D6A96" w:rsidRDefault="006D6A96" w:rsidP="0026791B">
      <w:pPr>
        <w:rPr>
          <w:rFonts w:asciiTheme="majorHAnsi" w:hAnsiTheme="majorHAnsi" w:cs="Arial"/>
        </w:rPr>
      </w:pPr>
      <w:r>
        <w:rPr>
          <w:rFonts w:asciiTheme="majorHAnsi" w:hAnsiTheme="majorHAnsi" w:cs="Arial"/>
        </w:rPr>
        <w:t xml:space="preserve">As noted above, ASGA and our members </w:t>
      </w:r>
      <w:r w:rsidR="00447E29">
        <w:rPr>
          <w:rFonts w:asciiTheme="majorHAnsi" w:hAnsiTheme="majorHAnsi" w:cs="Arial"/>
        </w:rPr>
        <w:t>strongly support this a</w:t>
      </w:r>
      <w:r>
        <w:rPr>
          <w:rFonts w:asciiTheme="majorHAnsi" w:hAnsiTheme="majorHAnsi" w:cs="Arial"/>
        </w:rPr>
        <w:t xml:space="preserve">mendment to </w:t>
      </w:r>
      <w:r w:rsidR="00447E29">
        <w:rPr>
          <w:rFonts w:asciiTheme="majorHAnsi" w:hAnsiTheme="majorHAnsi" w:cs="Arial"/>
        </w:rPr>
        <w:t>create a vendor registration model that will see overseas retailers register for, collect at point-of-transaction and remit to the ATO the GST for low value goods</w:t>
      </w:r>
      <w:r>
        <w:rPr>
          <w:rFonts w:asciiTheme="majorHAnsi" w:hAnsiTheme="majorHAnsi" w:cs="Arial"/>
        </w:rPr>
        <w:t xml:space="preserve">. Our concerns relate, for the most part, to how the </w:t>
      </w:r>
      <w:r w:rsidR="00B852B8">
        <w:rPr>
          <w:rFonts w:asciiTheme="majorHAnsi" w:hAnsiTheme="majorHAnsi" w:cs="Arial"/>
        </w:rPr>
        <w:t>amendment</w:t>
      </w:r>
      <w:r>
        <w:rPr>
          <w:rFonts w:asciiTheme="majorHAnsi" w:hAnsiTheme="majorHAnsi" w:cs="Arial"/>
        </w:rPr>
        <w:t xml:space="preserve"> will be implemented and enforced</w:t>
      </w:r>
      <w:r w:rsidR="00D20FFD">
        <w:rPr>
          <w:rFonts w:asciiTheme="majorHAnsi" w:hAnsiTheme="majorHAnsi" w:cs="Arial"/>
        </w:rPr>
        <w:t xml:space="preserve">. </w:t>
      </w:r>
    </w:p>
    <w:p w14:paraId="1CCD9D1D" w14:textId="77777777" w:rsidR="00D20FFD" w:rsidRDefault="00D20FFD" w:rsidP="0026791B">
      <w:pPr>
        <w:rPr>
          <w:rFonts w:asciiTheme="majorHAnsi" w:hAnsiTheme="majorHAnsi" w:cs="Arial"/>
        </w:rPr>
      </w:pPr>
    </w:p>
    <w:p w14:paraId="08904109" w14:textId="77777777" w:rsidR="00D20FFD" w:rsidRDefault="00D20FFD" w:rsidP="00D20FFD">
      <w:pPr>
        <w:rPr>
          <w:rFonts w:asciiTheme="majorHAnsi" w:hAnsiTheme="majorHAnsi" w:cs="Arial"/>
        </w:rPr>
      </w:pPr>
      <w:r>
        <w:rPr>
          <w:rFonts w:asciiTheme="majorHAnsi" w:hAnsiTheme="majorHAnsi" w:cs="Arial"/>
        </w:rPr>
        <w:t xml:space="preserve">Our members thank Treasury and the Minister for the opportunity to be involved in this consultation and I would be pleased to discuss this submission further, at your convenience. </w:t>
      </w:r>
    </w:p>
    <w:p w14:paraId="211BBC2E" w14:textId="77777777" w:rsidR="00D20FFD" w:rsidRDefault="00D20FFD" w:rsidP="00D20FFD">
      <w:pPr>
        <w:rPr>
          <w:rFonts w:asciiTheme="majorHAnsi" w:hAnsiTheme="majorHAnsi" w:cs="Arial"/>
        </w:rPr>
      </w:pPr>
    </w:p>
    <w:p w14:paraId="400EF63F" w14:textId="77777777" w:rsidR="00D20FFD" w:rsidRPr="00DF25E3" w:rsidRDefault="00D20FFD" w:rsidP="00D20FFD">
      <w:pPr>
        <w:rPr>
          <w:rFonts w:asciiTheme="majorHAnsi" w:hAnsiTheme="majorHAnsi" w:cs="Arial"/>
        </w:rPr>
      </w:pPr>
      <w:r>
        <w:rPr>
          <w:rFonts w:asciiTheme="majorHAnsi" w:hAnsiTheme="majorHAnsi" w:cs="Arial"/>
        </w:rPr>
        <w:t>ENDS</w:t>
      </w:r>
    </w:p>
    <w:p w14:paraId="17112A4B" w14:textId="77777777" w:rsidR="00D20FFD" w:rsidRPr="006D6A96" w:rsidRDefault="00D20FFD" w:rsidP="0026791B">
      <w:pPr>
        <w:rPr>
          <w:rFonts w:asciiTheme="majorHAnsi" w:hAnsiTheme="majorHAnsi" w:cs="Arial"/>
        </w:rPr>
      </w:pPr>
    </w:p>
    <w:sectPr w:rsidR="00D20FFD" w:rsidRPr="006D6A96" w:rsidSect="008D6812">
      <w:footerReference w:type="default" r:id="rId19"/>
      <w:footerReference w:type="first" r:id="rId20"/>
      <w:pgSz w:w="11906" w:h="16838"/>
      <w:pgMar w:top="851" w:right="849" w:bottom="1276" w:left="85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3A99D3" w14:textId="77777777" w:rsidR="00B05B80" w:rsidRDefault="00B05B80" w:rsidP="007B5BA2">
      <w:r>
        <w:separator/>
      </w:r>
    </w:p>
  </w:endnote>
  <w:endnote w:type="continuationSeparator" w:id="0">
    <w:p w14:paraId="10AA6753" w14:textId="77777777" w:rsidR="00B05B80" w:rsidRDefault="00B05B80" w:rsidP="007B5B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entury Old Style Std">
    <w:altName w:val="Cambria"/>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A295559" w14:textId="77777777" w:rsidR="00B05B80" w:rsidRPr="001E0080" w:rsidRDefault="00B05B80" w:rsidP="007B5BA2">
    <w:pPr>
      <w:pStyle w:val="Footer"/>
      <w:jc w:val="center"/>
      <w:rPr>
        <w:rFonts w:asciiTheme="majorHAnsi" w:hAnsiTheme="majorHAnsi"/>
        <w:sz w:val="14"/>
        <w:szCs w:val="14"/>
      </w:rPr>
    </w:pPr>
    <w:r w:rsidRPr="001E0080">
      <w:rPr>
        <w:rFonts w:asciiTheme="majorHAnsi" w:hAnsiTheme="majorHAnsi"/>
        <w:sz w:val="14"/>
        <w:szCs w:val="14"/>
      </w:rPr>
      <w:t>Australian Sporting Goods Association Inc. | ABN 20 718 159 479</w:t>
    </w:r>
  </w:p>
  <w:p w14:paraId="4EBC3570" w14:textId="77777777" w:rsidR="00B05B80" w:rsidRPr="001E0080" w:rsidRDefault="00B05B80" w:rsidP="007B5BA2">
    <w:pPr>
      <w:pStyle w:val="Footer"/>
      <w:jc w:val="center"/>
      <w:rPr>
        <w:rFonts w:asciiTheme="majorHAnsi" w:hAnsiTheme="majorHAnsi"/>
        <w:sz w:val="14"/>
        <w:szCs w:val="14"/>
      </w:rPr>
    </w:pPr>
    <w:r w:rsidRPr="001E0080">
      <w:rPr>
        <w:rFonts w:asciiTheme="majorHAnsi" w:hAnsiTheme="majorHAnsi"/>
        <w:sz w:val="14"/>
        <w:szCs w:val="14"/>
      </w:rPr>
      <w:t>Suite 1.03, Level 1 / 492 St Kilda Road | Ph: 03 9320 2655 | Fax: 03 9320 2622</w:t>
    </w:r>
  </w:p>
  <w:p w14:paraId="255AD810" w14:textId="77777777" w:rsidR="00B05B80" w:rsidRPr="001E0080" w:rsidRDefault="006B29EE" w:rsidP="007B5BA2">
    <w:pPr>
      <w:pStyle w:val="Footer"/>
      <w:jc w:val="center"/>
      <w:rPr>
        <w:rFonts w:asciiTheme="majorHAnsi" w:hAnsiTheme="majorHAnsi"/>
        <w:sz w:val="14"/>
        <w:szCs w:val="14"/>
      </w:rPr>
    </w:pPr>
    <w:hyperlink r:id="rId1" w:history="1">
      <w:r w:rsidR="00B05B80" w:rsidRPr="001E0080">
        <w:rPr>
          <w:rStyle w:val="Hyperlink"/>
          <w:rFonts w:asciiTheme="majorHAnsi" w:hAnsiTheme="majorHAnsi"/>
          <w:sz w:val="14"/>
          <w:szCs w:val="14"/>
        </w:rPr>
        <w:t>www.asga.com.au</w:t>
      </w:r>
    </w:hyperlink>
    <w:r w:rsidR="00B05B80" w:rsidRPr="001E0080">
      <w:rPr>
        <w:rFonts w:asciiTheme="majorHAnsi" w:hAnsiTheme="majorHAnsi"/>
        <w:sz w:val="14"/>
        <w:szCs w:val="14"/>
      </w:rPr>
      <w:t xml:space="preserve"> | </w:t>
    </w:r>
    <w:hyperlink r:id="rId2" w:history="1">
      <w:r w:rsidR="00B05B80" w:rsidRPr="001E0080">
        <w:rPr>
          <w:rStyle w:val="Hyperlink"/>
          <w:rFonts w:asciiTheme="majorHAnsi" w:hAnsiTheme="majorHAnsi"/>
          <w:sz w:val="14"/>
          <w:szCs w:val="14"/>
        </w:rPr>
        <w:t>info@asga.com.au</w:t>
      </w:r>
    </w:hyperlink>
    <w:r w:rsidR="00B05B80" w:rsidRPr="001E0080">
      <w:rPr>
        <w:rFonts w:asciiTheme="majorHAnsi" w:hAnsiTheme="majorHAnsi"/>
        <w:sz w:val="14"/>
        <w:szCs w:val="14"/>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CF9399" w14:textId="77777777" w:rsidR="00B05B80" w:rsidRPr="007B5BA2" w:rsidRDefault="00B05B80" w:rsidP="007B5BA2">
    <w:pPr>
      <w:pStyle w:val="Footer"/>
      <w:jc w:val="center"/>
      <w:rPr>
        <w:rFonts w:asciiTheme="majorHAnsi" w:hAnsiTheme="majorHAnsi"/>
        <w:sz w:val="16"/>
        <w:szCs w:val="16"/>
      </w:rPr>
    </w:pPr>
    <w:r>
      <w:rPr>
        <w:rFonts w:asciiTheme="majorHAnsi" w:hAnsiTheme="majorHAnsi"/>
        <w:sz w:val="16"/>
        <w:szCs w:val="16"/>
      </w:rPr>
      <w:t>Australian Sporting Goods Association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89AACD" w14:textId="77777777" w:rsidR="00B05B80" w:rsidRDefault="00B05B80" w:rsidP="007B5BA2">
      <w:r>
        <w:separator/>
      </w:r>
    </w:p>
  </w:footnote>
  <w:footnote w:type="continuationSeparator" w:id="0">
    <w:p w14:paraId="0003ABD4" w14:textId="77777777" w:rsidR="00B05B80" w:rsidRDefault="00B05B80" w:rsidP="007B5BA2">
      <w:r>
        <w:continuationSeparator/>
      </w:r>
    </w:p>
  </w:footnote>
  <w:footnote w:id="1">
    <w:p w14:paraId="2DE1F195" w14:textId="1654E5CD" w:rsidR="00FB7FDE" w:rsidRPr="00120584" w:rsidRDefault="00FB7FDE">
      <w:pPr>
        <w:pStyle w:val="FootnoteText"/>
        <w:rPr>
          <w:sz w:val="16"/>
          <w:szCs w:val="16"/>
        </w:rPr>
      </w:pPr>
      <w:r w:rsidRPr="00120584">
        <w:rPr>
          <w:rStyle w:val="FootnoteReference"/>
          <w:sz w:val="16"/>
          <w:szCs w:val="16"/>
        </w:rPr>
        <w:footnoteRef/>
      </w:r>
      <w:r w:rsidRPr="00120584">
        <w:rPr>
          <w:sz w:val="16"/>
          <w:szCs w:val="16"/>
        </w:rPr>
        <w:t xml:space="preserve"> ASGA Market Intelligence Sporting Goods Retail Survey – Oct-Dec 2013 Quarterly Results</w:t>
      </w:r>
    </w:p>
  </w:footnote>
  <w:footnote w:id="2">
    <w:p w14:paraId="307CB782" w14:textId="69D06AF8" w:rsidR="000746AC" w:rsidRPr="00120584" w:rsidRDefault="000746AC" w:rsidP="00120584">
      <w:pPr>
        <w:pStyle w:val="FootnoteText"/>
        <w:rPr>
          <w:sz w:val="16"/>
          <w:szCs w:val="16"/>
        </w:rPr>
      </w:pPr>
      <w:r w:rsidRPr="00120584">
        <w:rPr>
          <w:rStyle w:val="FootnoteReference"/>
          <w:sz w:val="16"/>
          <w:szCs w:val="16"/>
        </w:rPr>
        <w:footnoteRef/>
      </w:r>
      <w:hyperlink r:id="rId1" w:history="1">
        <w:r w:rsidR="00E80726" w:rsidRPr="00120584">
          <w:rPr>
            <w:rStyle w:val="Hyperlink"/>
            <w:sz w:val="16"/>
            <w:szCs w:val="16"/>
          </w:rPr>
          <w:t>http://www.abs.gov.au/AUSSTATS/abs@.nsf/Latestproducts/8501.0Main%20Features2Feb%202014?opendocument&amp;tabname=Summary&amp;prodno=8501.0&amp;issue=Feb%202014&amp;num=&amp;view</w:t>
        </w:r>
      </w:hyperlink>
      <w:r w:rsidRPr="00120584">
        <w:rPr>
          <w:sz w:val="16"/>
          <w:szCs w:val="16"/>
        </w:rPr>
        <w:t>=</w:t>
      </w:r>
      <w:r w:rsidR="00E80726" w:rsidRPr="00120584">
        <w:rPr>
          <w:sz w:val="16"/>
          <w:szCs w:val="16"/>
        </w:rPr>
        <w:t xml:space="preserve"> </w:t>
      </w:r>
    </w:p>
  </w:footnote>
  <w:footnote w:id="3">
    <w:p w14:paraId="1A9992C6" w14:textId="1D59CCFD" w:rsidR="009716F9" w:rsidRDefault="009716F9">
      <w:pPr>
        <w:pStyle w:val="FootnoteText"/>
      </w:pPr>
      <w:r>
        <w:rPr>
          <w:rStyle w:val="FootnoteReference"/>
        </w:rPr>
        <w:footnoteRef/>
      </w:r>
      <w:r>
        <w:t xml:space="preserve"> </w:t>
      </w:r>
      <w:r w:rsidRPr="009716F9">
        <w:rPr>
          <w:i/>
          <w:sz w:val="16"/>
          <w:szCs w:val="16"/>
        </w:rPr>
        <w:t>Treasury Laws Amendment (2017 Measures no. 1) Bill 2017</w:t>
      </w:r>
      <w:r w:rsidRPr="00624217">
        <w:rPr>
          <w:i/>
          <w:sz w:val="16"/>
          <w:szCs w:val="16"/>
        </w:rPr>
        <w:t xml:space="preserve"> </w:t>
      </w:r>
      <w:r w:rsidRPr="00624217">
        <w:rPr>
          <w:sz w:val="16"/>
          <w:szCs w:val="16"/>
        </w:rPr>
        <w:t xml:space="preserve">Exposure </w:t>
      </w:r>
      <w:r>
        <w:rPr>
          <w:sz w:val="16"/>
          <w:szCs w:val="16"/>
        </w:rPr>
        <w:t>Draft Explanatory Material (p. 5, s. 1.1</w:t>
      </w:r>
      <w:r w:rsidRPr="00624217">
        <w:rPr>
          <w:sz w:val="16"/>
          <w:szCs w:val="16"/>
        </w:rPr>
        <w:t>4)</w:t>
      </w:r>
    </w:p>
  </w:footnote>
  <w:footnote w:id="4">
    <w:p w14:paraId="2F022530" w14:textId="1E7E2DBE" w:rsidR="00E738F9" w:rsidRPr="00E738F9" w:rsidRDefault="00E738F9" w:rsidP="00E738F9">
      <w:pPr>
        <w:pStyle w:val="FootnoteText"/>
        <w:rPr>
          <w:sz w:val="16"/>
          <w:szCs w:val="16"/>
        </w:rPr>
      </w:pPr>
      <w:r w:rsidRPr="00E738F9">
        <w:rPr>
          <w:rStyle w:val="FootnoteReference"/>
          <w:sz w:val="16"/>
          <w:szCs w:val="16"/>
        </w:rPr>
        <w:footnoteRef/>
      </w:r>
      <w:r w:rsidRPr="00E738F9">
        <w:rPr>
          <w:sz w:val="16"/>
          <w:szCs w:val="16"/>
        </w:rPr>
        <w:t xml:space="preserve"> </w:t>
      </w:r>
      <w:hyperlink r:id="rId2" w:history="1">
        <w:r w:rsidRPr="00E738F9">
          <w:rPr>
            <w:rStyle w:val="Hyperlink"/>
            <w:sz w:val="16"/>
            <w:szCs w:val="16"/>
          </w:rPr>
          <w:t xml:space="preserve">ASGA Submission to the Productivity Commission’s Inquiry </w:t>
        </w:r>
        <w:r w:rsidRPr="00E738F9">
          <w:rPr>
            <w:rStyle w:val="Hyperlink"/>
            <w:i/>
            <w:sz w:val="16"/>
            <w:szCs w:val="16"/>
          </w:rPr>
          <w:t>Relative Costs of Doing Business in Australia: Retail Trade Industry</w:t>
        </w:r>
      </w:hyperlink>
      <w:r>
        <w:rPr>
          <w:i/>
          <w:sz w:val="16"/>
          <w:szCs w:val="16"/>
        </w:rPr>
        <w:t xml:space="preserve"> </w:t>
      </w:r>
      <w:r>
        <w:rPr>
          <w:sz w:val="16"/>
          <w:szCs w:val="16"/>
        </w:rPr>
        <w:t>(p. 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8977F8"/>
    <w:multiLevelType w:val="hybridMultilevel"/>
    <w:tmpl w:val="78CA4E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BA8573C"/>
    <w:multiLevelType w:val="hybridMultilevel"/>
    <w:tmpl w:val="AB50BC8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EE9431C"/>
    <w:multiLevelType w:val="hybridMultilevel"/>
    <w:tmpl w:val="A20ACF3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A404EDF"/>
    <w:multiLevelType w:val="hybridMultilevel"/>
    <w:tmpl w:val="0DEECC3E"/>
    <w:lvl w:ilvl="0" w:tplc="0C09000F">
      <w:start w:val="1"/>
      <w:numFmt w:val="decimal"/>
      <w:lvlText w:val="%1."/>
      <w:lvlJc w:val="left"/>
      <w:pPr>
        <w:ind w:left="770" w:hanging="360"/>
      </w:pPr>
    </w:lvl>
    <w:lvl w:ilvl="1" w:tplc="0C090019" w:tentative="1">
      <w:start w:val="1"/>
      <w:numFmt w:val="lowerLetter"/>
      <w:lvlText w:val="%2."/>
      <w:lvlJc w:val="left"/>
      <w:pPr>
        <w:ind w:left="1490" w:hanging="360"/>
      </w:pPr>
    </w:lvl>
    <w:lvl w:ilvl="2" w:tplc="0C09001B" w:tentative="1">
      <w:start w:val="1"/>
      <w:numFmt w:val="lowerRoman"/>
      <w:lvlText w:val="%3."/>
      <w:lvlJc w:val="right"/>
      <w:pPr>
        <w:ind w:left="2210" w:hanging="180"/>
      </w:pPr>
    </w:lvl>
    <w:lvl w:ilvl="3" w:tplc="0C09000F" w:tentative="1">
      <w:start w:val="1"/>
      <w:numFmt w:val="decimal"/>
      <w:lvlText w:val="%4."/>
      <w:lvlJc w:val="left"/>
      <w:pPr>
        <w:ind w:left="2930" w:hanging="360"/>
      </w:pPr>
    </w:lvl>
    <w:lvl w:ilvl="4" w:tplc="0C090019" w:tentative="1">
      <w:start w:val="1"/>
      <w:numFmt w:val="lowerLetter"/>
      <w:lvlText w:val="%5."/>
      <w:lvlJc w:val="left"/>
      <w:pPr>
        <w:ind w:left="3650" w:hanging="360"/>
      </w:pPr>
    </w:lvl>
    <w:lvl w:ilvl="5" w:tplc="0C09001B" w:tentative="1">
      <w:start w:val="1"/>
      <w:numFmt w:val="lowerRoman"/>
      <w:lvlText w:val="%6."/>
      <w:lvlJc w:val="right"/>
      <w:pPr>
        <w:ind w:left="4370" w:hanging="180"/>
      </w:pPr>
    </w:lvl>
    <w:lvl w:ilvl="6" w:tplc="0C09000F" w:tentative="1">
      <w:start w:val="1"/>
      <w:numFmt w:val="decimal"/>
      <w:lvlText w:val="%7."/>
      <w:lvlJc w:val="left"/>
      <w:pPr>
        <w:ind w:left="5090" w:hanging="360"/>
      </w:pPr>
    </w:lvl>
    <w:lvl w:ilvl="7" w:tplc="0C090019" w:tentative="1">
      <w:start w:val="1"/>
      <w:numFmt w:val="lowerLetter"/>
      <w:lvlText w:val="%8."/>
      <w:lvlJc w:val="left"/>
      <w:pPr>
        <w:ind w:left="5810" w:hanging="360"/>
      </w:pPr>
    </w:lvl>
    <w:lvl w:ilvl="8" w:tplc="0C09001B" w:tentative="1">
      <w:start w:val="1"/>
      <w:numFmt w:val="lowerRoman"/>
      <w:lvlText w:val="%9."/>
      <w:lvlJc w:val="right"/>
      <w:pPr>
        <w:ind w:left="6530" w:hanging="180"/>
      </w:pPr>
    </w:lvl>
  </w:abstractNum>
  <w:abstractNum w:abstractNumId="4">
    <w:nsid w:val="206568B1"/>
    <w:multiLevelType w:val="hybridMultilevel"/>
    <w:tmpl w:val="98346D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214A3B09"/>
    <w:multiLevelType w:val="hybridMultilevel"/>
    <w:tmpl w:val="2FAADEF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259F1159"/>
    <w:multiLevelType w:val="hybridMultilevel"/>
    <w:tmpl w:val="896219FA"/>
    <w:lvl w:ilvl="0" w:tplc="CA20AD86">
      <w:start w:val="12"/>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nsid w:val="2C8A5E63"/>
    <w:multiLevelType w:val="hybridMultilevel"/>
    <w:tmpl w:val="E5AA2CFA"/>
    <w:lvl w:ilvl="0" w:tplc="92B83814">
      <w:numFmt w:val="bullet"/>
      <w:lvlText w:val="•"/>
      <w:lvlJc w:val="left"/>
      <w:pPr>
        <w:ind w:left="1080" w:hanging="72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nsid w:val="32F52418"/>
    <w:multiLevelType w:val="hybridMultilevel"/>
    <w:tmpl w:val="A8A0B4EE"/>
    <w:lvl w:ilvl="0" w:tplc="1A76A482">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nsid w:val="361C1856"/>
    <w:multiLevelType w:val="hybridMultilevel"/>
    <w:tmpl w:val="9A6A826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399E2E11"/>
    <w:multiLevelType w:val="hybridMultilevel"/>
    <w:tmpl w:val="814226C6"/>
    <w:lvl w:ilvl="0" w:tplc="50C2B028">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3DEE21A4"/>
    <w:multiLevelType w:val="hybridMultilevel"/>
    <w:tmpl w:val="7BC00950"/>
    <w:lvl w:ilvl="0" w:tplc="6B46BD4C">
      <w:start w:val="5"/>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3F9D276D"/>
    <w:multiLevelType w:val="hybridMultilevel"/>
    <w:tmpl w:val="70388D52"/>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nsid w:val="43B81B22"/>
    <w:multiLevelType w:val="hybridMultilevel"/>
    <w:tmpl w:val="986E4196"/>
    <w:lvl w:ilvl="0" w:tplc="F0766686">
      <w:start w:val="6"/>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43E61C75"/>
    <w:multiLevelType w:val="hybridMultilevel"/>
    <w:tmpl w:val="D2827DB4"/>
    <w:lvl w:ilvl="0" w:tplc="92B83814">
      <w:numFmt w:val="bullet"/>
      <w:lvlText w:val="•"/>
      <w:lvlJc w:val="left"/>
      <w:pPr>
        <w:ind w:left="1080" w:hanging="720"/>
      </w:pPr>
      <w:rPr>
        <w:rFonts w:ascii="Calibri" w:eastAsiaTheme="minorHAnsi" w:hAnsi="Calibri"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474557E3"/>
    <w:multiLevelType w:val="hybridMultilevel"/>
    <w:tmpl w:val="B8B20DA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4AC47C75"/>
    <w:multiLevelType w:val="hybridMultilevel"/>
    <w:tmpl w:val="D4903D2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4E705808"/>
    <w:multiLevelType w:val="hybridMultilevel"/>
    <w:tmpl w:val="CCAEA42C"/>
    <w:lvl w:ilvl="0" w:tplc="0C09000F">
      <w:start w:val="1"/>
      <w:numFmt w:val="decimal"/>
      <w:lvlText w:val="%1."/>
      <w:lvlJc w:val="left"/>
      <w:pPr>
        <w:ind w:left="502"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542726B8"/>
    <w:multiLevelType w:val="hybridMultilevel"/>
    <w:tmpl w:val="471C7E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nsid w:val="59475163"/>
    <w:multiLevelType w:val="hybridMultilevel"/>
    <w:tmpl w:val="DBDE6A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nsid w:val="59E157C7"/>
    <w:multiLevelType w:val="hybridMultilevel"/>
    <w:tmpl w:val="5DF2618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nsid w:val="5E5B0BAE"/>
    <w:multiLevelType w:val="hybridMultilevel"/>
    <w:tmpl w:val="8918E8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nsid w:val="65362056"/>
    <w:multiLevelType w:val="hybridMultilevel"/>
    <w:tmpl w:val="53F8EB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6651752F"/>
    <w:multiLevelType w:val="hybridMultilevel"/>
    <w:tmpl w:val="0F2AF938"/>
    <w:lvl w:ilvl="0" w:tplc="4C34D064">
      <w:start w:val="1"/>
      <w:numFmt w:val="decimal"/>
      <w:lvlText w:val="%1."/>
      <w:lvlJc w:val="left"/>
      <w:pPr>
        <w:ind w:left="720" w:hanging="360"/>
      </w:pPr>
      <w:rPr>
        <w:rFonts w:hint="default"/>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760A2FF8"/>
    <w:multiLevelType w:val="hybridMultilevel"/>
    <w:tmpl w:val="1C880E20"/>
    <w:lvl w:ilvl="0" w:tplc="0C09000F">
      <w:start w:val="10"/>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76266E04"/>
    <w:multiLevelType w:val="hybridMultilevel"/>
    <w:tmpl w:val="4BAEE67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76E458F8"/>
    <w:multiLevelType w:val="hybridMultilevel"/>
    <w:tmpl w:val="48E276B4"/>
    <w:lvl w:ilvl="0" w:tplc="0C09000F">
      <w:start w:val="1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nsid w:val="79AC115F"/>
    <w:multiLevelType w:val="hybridMultilevel"/>
    <w:tmpl w:val="4EC0969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8">
    <w:nsid w:val="7C504A4B"/>
    <w:multiLevelType w:val="hybridMultilevel"/>
    <w:tmpl w:val="0A802C8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7E0E3AA7"/>
    <w:multiLevelType w:val="hybridMultilevel"/>
    <w:tmpl w:val="965A6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7F48503F"/>
    <w:multiLevelType w:val="hybridMultilevel"/>
    <w:tmpl w:val="AF2255E4"/>
    <w:lvl w:ilvl="0" w:tplc="684E092E">
      <w:start w:val="1"/>
      <w:numFmt w:val="decimal"/>
      <w:lvlText w:val="%1."/>
      <w:lvlJc w:val="left"/>
      <w:pPr>
        <w:ind w:left="720" w:hanging="360"/>
      </w:pPr>
      <w:rPr>
        <w:rFonts w:hint="default"/>
        <w:b/>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8"/>
  </w:num>
  <w:num w:numId="2">
    <w:abstractNumId w:val="25"/>
  </w:num>
  <w:num w:numId="3">
    <w:abstractNumId w:val="4"/>
  </w:num>
  <w:num w:numId="4">
    <w:abstractNumId w:val="22"/>
  </w:num>
  <w:num w:numId="5">
    <w:abstractNumId w:val="28"/>
  </w:num>
  <w:num w:numId="6">
    <w:abstractNumId w:val="11"/>
  </w:num>
  <w:num w:numId="7">
    <w:abstractNumId w:val="13"/>
  </w:num>
  <w:num w:numId="8">
    <w:abstractNumId w:val="5"/>
  </w:num>
  <w:num w:numId="9">
    <w:abstractNumId w:val="24"/>
  </w:num>
  <w:num w:numId="10">
    <w:abstractNumId w:val="15"/>
  </w:num>
  <w:num w:numId="11">
    <w:abstractNumId w:val="26"/>
  </w:num>
  <w:num w:numId="12">
    <w:abstractNumId w:val="6"/>
  </w:num>
  <w:num w:numId="13">
    <w:abstractNumId w:val="27"/>
  </w:num>
  <w:num w:numId="14">
    <w:abstractNumId w:val="9"/>
  </w:num>
  <w:num w:numId="15">
    <w:abstractNumId w:val="0"/>
  </w:num>
  <w:num w:numId="16">
    <w:abstractNumId w:val="19"/>
  </w:num>
  <w:num w:numId="17">
    <w:abstractNumId w:val="17"/>
  </w:num>
  <w:num w:numId="18">
    <w:abstractNumId w:val="29"/>
  </w:num>
  <w:num w:numId="19">
    <w:abstractNumId w:val="12"/>
  </w:num>
  <w:num w:numId="20">
    <w:abstractNumId w:val="18"/>
  </w:num>
  <w:num w:numId="21">
    <w:abstractNumId w:val="21"/>
  </w:num>
  <w:num w:numId="22">
    <w:abstractNumId w:val="7"/>
  </w:num>
  <w:num w:numId="23">
    <w:abstractNumId w:val="14"/>
  </w:num>
  <w:num w:numId="24">
    <w:abstractNumId w:val="3"/>
  </w:num>
  <w:num w:numId="25">
    <w:abstractNumId w:val="30"/>
  </w:num>
  <w:num w:numId="26">
    <w:abstractNumId w:val="10"/>
  </w:num>
  <w:num w:numId="27">
    <w:abstractNumId w:val="23"/>
  </w:num>
  <w:num w:numId="28">
    <w:abstractNumId w:val="2"/>
  </w:num>
  <w:num w:numId="29">
    <w:abstractNumId w:val="1"/>
  </w:num>
  <w:num w:numId="30">
    <w:abstractNumId w:val="16"/>
  </w:num>
  <w:num w:numId="3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removePersonalInformation/>
  <w:removeDateAndTime/>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BA2"/>
    <w:rsid w:val="00024DF8"/>
    <w:rsid w:val="000473C6"/>
    <w:rsid w:val="000518E3"/>
    <w:rsid w:val="00054783"/>
    <w:rsid w:val="00063305"/>
    <w:rsid w:val="000746AC"/>
    <w:rsid w:val="00075E32"/>
    <w:rsid w:val="000763F1"/>
    <w:rsid w:val="000927E7"/>
    <w:rsid w:val="000929BC"/>
    <w:rsid w:val="000B5A1E"/>
    <w:rsid w:val="000E193C"/>
    <w:rsid w:val="000E7EDF"/>
    <w:rsid w:val="0011001A"/>
    <w:rsid w:val="00111235"/>
    <w:rsid w:val="00120584"/>
    <w:rsid w:val="0014272C"/>
    <w:rsid w:val="00144F1A"/>
    <w:rsid w:val="00146375"/>
    <w:rsid w:val="001721A4"/>
    <w:rsid w:val="00175C09"/>
    <w:rsid w:val="001A5E5A"/>
    <w:rsid w:val="001B63DE"/>
    <w:rsid w:val="001B643A"/>
    <w:rsid w:val="001B7D88"/>
    <w:rsid w:val="001D253E"/>
    <w:rsid w:val="001D2A98"/>
    <w:rsid w:val="001E0080"/>
    <w:rsid w:val="001F18C7"/>
    <w:rsid w:val="00212E61"/>
    <w:rsid w:val="002148B1"/>
    <w:rsid w:val="00216E96"/>
    <w:rsid w:val="00217C44"/>
    <w:rsid w:val="002315C5"/>
    <w:rsid w:val="00236354"/>
    <w:rsid w:val="00244947"/>
    <w:rsid w:val="00251D63"/>
    <w:rsid w:val="00260867"/>
    <w:rsid w:val="00261FD0"/>
    <w:rsid w:val="0026791B"/>
    <w:rsid w:val="00294CC7"/>
    <w:rsid w:val="00297D25"/>
    <w:rsid w:val="002A6560"/>
    <w:rsid w:val="002B1D8F"/>
    <w:rsid w:val="002B588B"/>
    <w:rsid w:val="002E27EC"/>
    <w:rsid w:val="002F2250"/>
    <w:rsid w:val="00312B2C"/>
    <w:rsid w:val="00321586"/>
    <w:rsid w:val="003310B4"/>
    <w:rsid w:val="0034587B"/>
    <w:rsid w:val="00357E5A"/>
    <w:rsid w:val="00385E07"/>
    <w:rsid w:val="003B23ED"/>
    <w:rsid w:val="003B256F"/>
    <w:rsid w:val="003D6EEA"/>
    <w:rsid w:val="003E4533"/>
    <w:rsid w:val="003E4A72"/>
    <w:rsid w:val="003F5507"/>
    <w:rsid w:val="003F6F7D"/>
    <w:rsid w:val="00421480"/>
    <w:rsid w:val="00424196"/>
    <w:rsid w:val="00435583"/>
    <w:rsid w:val="00447E29"/>
    <w:rsid w:val="00462895"/>
    <w:rsid w:val="004775DD"/>
    <w:rsid w:val="00486995"/>
    <w:rsid w:val="004965F4"/>
    <w:rsid w:val="004B150A"/>
    <w:rsid w:val="004B3A92"/>
    <w:rsid w:val="004C13A6"/>
    <w:rsid w:val="004C2789"/>
    <w:rsid w:val="004E58C0"/>
    <w:rsid w:val="004E63E0"/>
    <w:rsid w:val="004E6FAF"/>
    <w:rsid w:val="004F131C"/>
    <w:rsid w:val="005018B9"/>
    <w:rsid w:val="00504055"/>
    <w:rsid w:val="00515B68"/>
    <w:rsid w:val="0051745F"/>
    <w:rsid w:val="00534A6B"/>
    <w:rsid w:val="0054059D"/>
    <w:rsid w:val="00542A74"/>
    <w:rsid w:val="005A117D"/>
    <w:rsid w:val="005B1BF3"/>
    <w:rsid w:val="005C1B15"/>
    <w:rsid w:val="005D3B81"/>
    <w:rsid w:val="005D4BAA"/>
    <w:rsid w:val="005E7209"/>
    <w:rsid w:val="005F160A"/>
    <w:rsid w:val="00601B58"/>
    <w:rsid w:val="00610903"/>
    <w:rsid w:val="00624217"/>
    <w:rsid w:val="00632B94"/>
    <w:rsid w:val="00634803"/>
    <w:rsid w:val="00641074"/>
    <w:rsid w:val="00647D56"/>
    <w:rsid w:val="00667DFE"/>
    <w:rsid w:val="00677048"/>
    <w:rsid w:val="006875F8"/>
    <w:rsid w:val="00695509"/>
    <w:rsid w:val="006A6251"/>
    <w:rsid w:val="006B1BC9"/>
    <w:rsid w:val="006B29EE"/>
    <w:rsid w:val="006B2FD9"/>
    <w:rsid w:val="006C3ACA"/>
    <w:rsid w:val="006C6CD8"/>
    <w:rsid w:val="006D4A1C"/>
    <w:rsid w:val="006D6A96"/>
    <w:rsid w:val="006E32E8"/>
    <w:rsid w:val="006F5A14"/>
    <w:rsid w:val="0070669F"/>
    <w:rsid w:val="0072623A"/>
    <w:rsid w:val="00730458"/>
    <w:rsid w:val="007378B6"/>
    <w:rsid w:val="00741FB6"/>
    <w:rsid w:val="00766C4F"/>
    <w:rsid w:val="007708C8"/>
    <w:rsid w:val="00775302"/>
    <w:rsid w:val="007A1CB5"/>
    <w:rsid w:val="007B5BA2"/>
    <w:rsid w:val="007C6545"/>
    <w:rsid w:val="007C7843"/>
    <w:rsid w:val="007F0E74"/>
    <w:rsid w:val="00806998"/>
    <w:rsid w:val="0081334B"/>
    <w:rsid w:val="008223EC"/>
    <w:rsid w:val="00831153"/>
    <w:rsid w:val="008523CE"/>
    <w:rsid w:val="00853BE9"/>
    <w:rsid w:val="0085487B"/>
    <w:rsid w:val="00874F43"/>
    <w:rsid w:val="00897586"/>
    <w:rsid w:val="008A19F4"/>
    <w:rsid w:val="008A35C0"/>
    <w:rsid w:val="008B6DB5"/>
    <w:rsid w:val="008C5294"/>
    <w:rsid w:val="008D6812"/>
    <w:rsid w:val="008D6894"/>
    <w:rsid w:val="008E1FB0"/>
    <w:rsid w:val="008F51A3"/>
    <w:rsid w:val="009330AC"/>
    <w:rsid w:val="00940958"/>
    <w:rsid w:val="00960EFC"/>
    <w:rsid w:val="009716F9"/>
    <w:rsid w:val="00984171"/>
    <w:rsid w:val="009A447F"/>
    <w:rsid w:val="009E00C5"/>
    <w:rsid w:val="009E2F10"/>
    <w:rsid w:val="009E5AA6"/>
    <w:rsid w:val="009F52DD"/>
    <w:rsid w:val="009F786F"/>
    <w:rsid w:val="00A133A7"/>
    <w:rsid w:val="00A16F25"/>
    <w:rsid w:val="00A223A1"/>
    <w:rsid w:val="00A42470"/>
    <w:rsid w:val="00A44669"/>
    <w:rsid w:val="00A562FE"/>
    <w:rsid w:val="00A65B6F"/>
    <w:rsid w:val="00A73E25"/>
    <w:rsid w:val="00A9146F"/>
    <w:rsid w:val="00A9248C"/>
    <w:rsid w:val="00A92ECC"/>
    <w:rsid w:val="00A96F17"/>
    <w:rsid w:val="00AD5246"/>
    <w:rsid w:val="00AD74AA"/>
    <w:rsid w:val="00AE4738"/>
    <w:rsid w:val="00B05B80"/>
    <w:rsid w:val="00B062E4"/>
    <w:rsid w:val="00B06C0F"/>
    <w:rsid w:val="00B33779"/>
    <w:rsid w:val="00B35AB2"/>
    <w:rsid w:val="00B40098"/>
    <w:rsid w:val="00B475DE"/>
    <w:rsid w:val="00B5036B"/>
    <w:rsid w:val="00B613DE"/>
    <w:rsid w:val="00B642CC"/>
    <w:rsid w:val="00B65165"/>
    <w:rsid w:val="00B71056"/>
    <w:rsid w:val="00B81139"/>
    <w:rsid w:val="00B84852"/>
    <w:rsid w:val="00B852B8"/>
    <w:rsid w:val="00BA0DEF"/>
    <w:rsid w:val="00BB0912"/>
    <w:rsid w:val="00BB1D15"/>
    <w:rsid w:val="00BB585E"/>
    <w:rsid w:val="00BB780C"/>
    <w:rsid w:val="00BC0F39"/>
    <w:rsid w:val="00BC49D1"/>
    <w:rsid w:val="00BD3BBD"/>
    <w:rsid w:val="00BF2009"/>
    <w:rsid w:val="00BF65DE"/>
    <w:rsid w:val="00C04996"/>
    <w:rsid w:val="00C123DE"/>
    <w:rsid w:val="00C20E87"/>
    <w:rsid w:val="00C337E3"/>
    <w:rsid w:val="00C34E8F"/>
    <w:rsid w:val="00C42AC7"/>
    <w:rsid w:val="00C45F60"/>
    <w:rsid w:val="00C56908"/>
    <w:rsid w:val="00C6178F"/>
    <w:rsid w:val="00C719F8"/>
    <w:rsid w:val="00C86F1C"/>
    <w:rsid w:val="00C9109C"/>
    <w:rsid w:val="00C94446"/>
    <w:rsid w:val="00CA060A"/>
    <w:rsid w:val="00CA2BF4"/>
    <w:rsid w:val="00CA6812"/>
    <w:rsid w:val="00CF7D8C"/>
    <w:rsid w:val="00D01395"/>
    <w:rsid w:val="00D01B41"/>
    <w:rsid w:val="00D0403F"/>
    <w:rsid w:val="00D0558A"/>
    <w:rsid w:val="00D151E8"/>
    <w:rsid w:val="00D17F8A"/>
    <w:rsid w:val="00D20FFD"/>
    <w:rsid w:val="00D24C14"/>
    <w:rsid w:val="00D257F4"/>
    <w:rsid w:val="00D34124"/>
    <w:rsid w:val="00D415C5"/>
    <w:rsid w:val="00D7010D"/>
    <w:rsid w:val="00DD73A7"/>
    <w:rsid w:val="00DE0BD8"/>
    <w:rsid w:val="00DF5C3C"/>
    <w:rsid w:val="00E07F3F"/>
    <w:rsid w:val="00E15F27"/>
    <w:rsid w:val="00E16B52"/>
    <w:rsid w:val="00E3667F"/>
    <w:rsid w:val="00E40135"/>
    <w:rsid w:val="00E433C1"/>
    <w:rsid w:val="00E738F9"/>
    <w:rsid w:val="00E75F82"/>
    <w:rsid w:val="00E77A78"/>
    <w:rsid w:val="00E80726"/>
    <w:rsid w:val="00E819D6"/>
    <w:rsid w:val="00EC03E7"/>
    <w:rsid w:val="00ED6A9D"/>
    <w:rsid w:val="00EF7394"/>
    <w:rsid w:val="00F235B8"/>
    <w:rsid w:val="00F248AD"/>
    <w:rsid w:val="00F26E0F"/>
    <w:rsid w:val="00F34DB5"/>
    <w:rsid w:val="00F51B77"/>
    <w:rsid w:val="00F51F6D"/>
    <w:rsid w:val="00F5669E"/>
    <w:rsid w:val="00F60616"/>
    <w:rsid w:val="00F6075B"/>
    <w:rsid w:val="00F702A8"/>
    <w:rsid w:val="00F81A58"/>
    <w:rsid w:val="00F936B4"/>
    <w:rsid w:val="00FB69DB"/>
    <w:rsid w:val="00FB75D8"/>
    <w:rsid w:val="00FB7FDE"/>
    <w:rsid w:val="00FC2BD4"/>
    <w:rsid w:val="00FE1FD5"/>
    <w:rsid w:val="00FE29C7"/>
    <w:rsid w:val="00FF2408"/>
    <w:rsid w:val="00FF588F"/>
    <w:rsid w:val="00FF7417"/>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8A70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A2"/>
    <w:pPr>
      <w:tabs>
        <w:tab w:val="center" w:pos="4513"/>
        <w:tab w:val="right" w:pos="9026"/>
      </w:tabs>
    </w:pPr>
  </w:style>
  <w:style w:type="character" w:customStyle="1" w:styleId="HeaderChar">
    <w:name w:val="Header Char"/>
    <w:basedOn w:val="DefaultParagraphFont"/>
    <w:link w:val="Header"/>
    <w:uiPriority w:val="99"/>
    <w:rsid w:val="007B5BA2"/>
  </w:style>
  <w:style w:type="paragraph" w:styleId="Footer">
    <w:name w:val="footer"/>
    <w:basedOn w:val="Normal"/>
    <w:link w:val="FooterChar"/>
    <w:uiPriority w:val="99"/>
    <w:unhideWhenUsed/>
    <w:rsid w:val="007B5BA2"/>
    <w:pPr>
      <w:tabs>
        <w:tab w:val="center" w:pos="4513"/>
        <w:tab w:val="right" w:pos="9026"/>
      </w:tabs>
    </w:pPr>
  </w:style>
  <w:style w:type="character" w:customStyle="1" w:styleId="FooterChar">
    <w:name w:val="Footer Char"/>
    <w:basedOn w:val="DefaultParagraphFont"/>
    <w:link w:val="Footer"/>
    <w:uiPriority w:val="99"/>
    <w:rsid w:val="007B5BA2"/>
  </w:style>
  <w:style w:type="character" w:styleId="Hyperlink">
    <w:name w:val="Hyperlink"/>
    <w:basedOn w:val="DefaultParagraphFont"/>
    <w:uiPriority w:val="99"/>
    <w:unhideWhenUsed/>
    <w:rsid w:val="001E0080"/>
    <w:rPr>
      <w:color w:val="0000FF" w:themeColor="hyperlink"/>
      <w:u w:val="single"/>
    </w:rPr>
  </w:style>
  <w:style w:type="paragraph" w:styleId="NormalWeb">
    <w:name w:val="Normal (Web)"/>
    <w:basedOn w:val="Normal"/>
    <w:uiPriority w:val="99"/>
    <w:unhideWhenUsed/>
    <w:rsid w:val="001E0080"/>
    <w:pPr>
      <w:spacing w:before="240" w:after="240"/>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E07F3F"/>
    <w:rPr>
      <w:sz w:val="20"/>
      <w:szCs w:val="20"/>
    </w:rPr>
  </w:style>
  <w:style w:type="character" w:customStyle="1" w:styleId="FootnoteTextChar">
    <w:name w:val="Footnote Text Char"/>
    <w:basedOn w:val="DefaultParagraphFont"/>
    <w:link w:val="FootnoteText"/>
    <w:uiPriority w:val="99"/>
    <w:semiHidden/>
    <w:rsid w:val="00E07F3F"/>
    <w:rPr>
      <w:sz w:val="20"/>
      <w:szCs w:val="20"/>
    </w:rPr>
  </w:style>
  <w:style w:type="character" w:styleId="FootnoteReference">
    <w:name w:val="footnote reference"/>
    <w:basedOn w:val="DefaultParagraphFont"/>
    <w:uiPriority w:val="99"/>
    <w:semiHidden/>
    <w:unhideWhenUsed/>
    <w:rsid w:val="00E07F3F"/>
    <w:rPr>
      <w:vertAlign w:val="superscript"/>
    </w:rPr>
  </w:style>
  <w:style w:type="paragraph" w:styleId="ListParagraph">
    <w:name w:val="List Paragraph"/>
    <w:basedOn w:val="Normal"/>
    <w:link w:val="ListParagraphChar"/>
    <w:uiPriority w:val="34"/>
    <w:qFormat/>
    <w:rsid w:val="002E27EC"/>
    <w:pPr>
      <w:ind w:left="720"/>
      <w:contextualSpacing/>
    </w:pPr>
  </w:style>
  <w:style w:type="paragraph" w:styleId="BalloonText">
    <w:name w:val="Balloon Text"/>
    <w:basedOn w:val="Normal"/>
    <w:link w:val="BalloonTextChar"/>
    <w:uiPriority w:val="99"/>
    <w:semiHidden/>
    <w:unhideWhenUsed/>
    <w:rsid w:val="00A44669"/>
    <w:rPr>
      <w:rFonts w:ascii="Tahoma" w:hAnsi="Tahoma" w:cs="Tahoma"/>
      <w:sz w:val="16"/>
      <w:szCs w:val="16"/>
    </w:rPr>
  </w:style>
  <w:style w:type="character" w:customStyle="1" w:styleId="BalloonTextChar">
    <w:name w:val="Balloon Text Char"/>
    <w:basedOn w:val="DefaultParagraphFont"/>
    <w:link w:val="BalloonText"/>
    <w:uiPriority w:val="99"/>
    <w:semiHidden/>
    <w:rsid w:val="00A44669"/>
    <w:rPr>
      <w:rFonts w:ascii="Tahoma" w:hAnsi="Tahoma" w:cs="Tahoma"/>
      <w:sz w:val="16"/>
      <w:szCs w:val="16"/>
    </w:rPr>
  </w:style>
  <w:style w:type="paragraph" w:customStyle="1" w:styleId="Pa1">
    <w:name w:val="Pa1"/>
    <w:basedOn w:val="Normal"/>
    <w:next w:val="Normal"/>
    <w:uiPriority w:val="99"/>
    <w:rsid w:val="00B71056"/>
    <w:pPr>
      <w:autoSpaceDE w:val="0"/>
      <w:autoSpaceDN w:val="0"/>
      <w:adjustRightInd w:val="0"/>
      <w:spacing w:line="201" w:lineRule="atLeast"/>
    </w:pPr>
    <w:rPr>
      <w:rFonts w:ascii="Century Old Style Std" w:hAnsi="Century Old Style Std"/>
      <w:sz w:val="24"/>
      <w:szCs w:val="24"/>
    </w:rPr>
  </w:style>
  <w:style w:type="paragraph" w:customStyle="1" w:styleId="Default">
    <w:name w:val="Default"/>
    <w:rsid w:val="00B71056"/>
    <w:pPr>
      <w:autoSpaceDE w:val="0"/>
      <w:autoSpaceDN w:val="0"/>
      <w:adjustRightInd w:val="0"/>
    </w:pPr>
    <w:rPr>
      <w:rFonts w:ascii="Century Old Style Std" w:hAnsi="Century Old Style Std" w:cs="Century Old Style Std"/>
      <w:color w:val="000000"/>
      <w:sz w:val="24"/>
      <w:szCs w:val="24"/>
    </w:rPr>
  </w:style>
  <w:style w:type="paragraph" w:customStyle="1" w:styleId="Pa31">
    <w:name w:val="Pa3+1"/>
    <w:basedOn w:val="Default"/>
    <w:next w:val="Default"/>
    <w:uiPriority w:val="99"/>
    <w:rsid w:val="00CF7D8C"/>
    <w:pPr>
      <w:spacing w:line="201" w:lineRule="atLeast"/>
    </w:pPr>
    <w:rPr>
      <w:rFonts w:cstheme="minorBidi"/>
      <w:color w:val="auto"/>
    </w:rPr>
  </w:style>
  <w:style w:type="character" w:styleId="FollowedHyperlink">
    <w:name w:val="FollowedHyperlink"/>
    <w:basedOn w:val="DefaultParagraphFont"/>
    <w:uiPriority w:val="99"/>
    <w:semiHidden/>
    <w:unhideWhenUsed/>
    <w:rsid w:val="00BC0F39"/>
    <w:rPr>
      <w:color w:val="800080" w:themeColor="followedHyperlink"/>
      <w:u w:val="single"/>
    </w:rPr>
  </w:style>
  <w:style w:type="paragraph" w:styleId="Quote">
    <w:name w:val="Quote"/>
    <w:basedOn w:val="Normal"/>
    <w:next w:val="Normal"/>
    <w:link w:val="QuoteChar"/>
    <w:uiPriority w:val="29"/>
    <w:qFormat/>
    <w:rsid w:val="00F26E0F"/>
    <w:pPr>
      <w:spacing w:after="200" w:line="276" w:lineRule="auto"/>
    </w:pPr>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F26E0F"/>
    <w:rPr>
      <w:rFonts w:eastAsiaTheme="minorEastAsia"/>
      <w:i/>
      <w:iCs/>
      <w:color w:val="000000" w:themeColor="text1"/>
      <w:lang w:val="en-US" w:eastAsia="ja-JP"/>
    </w:rPr>
  </w:style>
  <w:style w:type="character" w:customStyle="1" w:styleId="ListParagraphChar">
    <w:name w:val="List Paragraph Char"/>
    <w:basedOn w:val="DefaultParagraphFont"/>
    <w:link w:val="ListParagraph"/>
    <w:uiPriority w:val="34"/>
    <w:rsid w:val="00BD3BBD"/>
  </w:style>
  <w:style w:type="paragraph" w:customStyle="1" w:styleId="Char1">
    <w:name w:val="Char1"/>
    <w:basedOn w:val="Normal"/>
    <w:semiHidden/>
    <w:rsid w:val="00A9248C"/>
    <w:pPr>
      <w:spacing w:after="160" w:line="240" w:lineRule="exact"/>
    </w:pPr>
    <w:rPr>
      <w:rFonts w:ascii="Verdana" w:eastAsia="Times New Roman" w:hAnsi="Verdana"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A2"/>
    <w:pPr>
      <w:tabs>
        <w:tab w:val="center" w:pos="4513"/>
        <w:tab w:val="right" w:pos="9026"/>
      </w:tabs>
    </w:pPr>
  </w:style>
  <w:style w:type="character" w:customStyle="1" w:styleId="HeaderChar">
    <w:name w:val="Header Char"/>
    <w:basedOn w:val="DefaultParagraphFont"/>
    <w:link w:val="Header"/>
    <w:uiPriority w:val="99"/>
    <w:rsid w:val="007B5BA2"/>
  </w:style>
  <w:style w:type="paragraph" w:styleId="Footer">
    <w:name w:val="footer"/>
    <w:basedOn w:val="Normal"/>
    <w:link w:val="FooterChar"/>
    <w:uiPriority w:val="99"/>
    <w:unhideWhenUsed/>
    <w:rsid w:val="007B5BA2"/>
    <w:pPr>
      <w:tabs>
        <w:tab w:val="center" w:pos="4513"/>
        <w:tab w:val="right" w:pos="9026"/>
      </w:tabs>
    </w:pPr>
  </w:style>
  <w:style w:type="character" w:customStyle="1" w:styleId="FooterChar">
    <w:name w:val="Footer Char"/>
    <w:basedOn w:val="DefaultParagraphFont"/>
    <w:link w:val="Footer"/>
    <w:uiPriority w:val="99"/>
    <w:rsid w:val="007B5BA2"/>
  </w:style>
  <w:style w:type="character" w:styleId="Hyperlink">
    <w:name w:val="Hyperlink"/>
    <w:basedOn w:val="DefaultParagraphFont"/>
    <w:uiPriority w:val="99"/>
    <w:unhideWhenUsed/>
    <w:rsid w:val="001E0080"/>
    <w:rPr>
      <w:color w:val="0000FF" w:themeColor="hyperlink"/>
      <w:u w:val="single"/>
    </w:rPr>
  </w:style>
  <w:style w:type="paragraph" w:styleId="NormalWeb">
    <w:name w:val="Normal (Web)"/>
    <w:basedOn w:val="Normal"/>
    <w:uiPriority w:val="99"/>
    <w:unhideWhenUsed/>
    <w:rsid w:val="001E0080"/>
    <w:pPr>
      <w:spacing w:before="240" w:after="240"/>
    </w:pPr>
    <w:rPr>
      <w:rFonts w:ascii="Times New Roman" w:eastAsia="Times New Roman" w:hAnsi="Times New Roman" w:cs="Times New Roman"/>
      <w:sz w:val="24"/>
      <w:szCs w:val="24"/>
      <w:lang w:eastAsia="en-AU"/>
    </w:rPr>
  </w:style>
  <w:style w:type="paragraph" w:styleId="FootnoteText">
    <w:name w:val="footnote text"/>
    <w:basedOn w:val="Normal"/>
    <w:link w:val="FootnoteTextChar"/>
    <w:uiPriority w:val="99"/>
    <w:semiHidden/>
    <w:unhideWhenUsed/>
    <w:rsid w:val="00E07F3F"/>
    <w:rPr>
      <w:sz w:val="20"/>
      <w:szCs w:val="20"/>
    </w:rPr>
  </w:style>
  <w:style w:type="character" w:customStyle="1" w:styleId="FootnoteTextChar">
    <w:name w:val="Footnote Text Char"/>
    <w:basedOn w:val="DefaultParagraphFont"/>
    <w:link w:val="FootnoteText"/>
    <w:uiPriority w:val="99"/>
    <w:semiHidden/>
    <w:rsid w:val="00E07F3F"/>
    <w:rPr>
      <w:sz w:val="20"/>
      <w:szCs w:val="20"/>
    </w:rPr>
  </w:style>
  <w:style w:type="character" w:styleId="FootnoteReference">
    <w:name w:val="footnote reference"/>
    <w:basedOn w:val="DefaultParagraphFont"/>
    <w:uiPriority w:val="99"/>
    <w:semiHidden/>
    <w:unhideWhenUsed/>
    <w:rsid w:val="00E07F3F"/>
    <w:rPr>
      <w:vertAlign w:val="superscript"/>
    </w:rPr>
  </w:style>
  <w:style w:type="paragraph" w:styleId="ListParagraph">
    <w:name w:val="List Paragraph"/>
    <w:basedOn w:val="Normal"/>
    <w:link w:val="ListParagraphChar"/>
    <w:uiPriority w:val="34"/>
    <w:qFormat/>
    <w:rsid w:val="002E27EC"/>
    <w:pPr>
      <w:ind w:left="720"/>
      <w:contextualSpacing/>
    </w:pPr>
  </w:style>
  <w:style w:type="paragraph" w:styleId="BalloonText">
    <w:name w:val="Balloon Text"/>
    <w:basedOn w:val="Normal"/>
    <w:link w:val="BalloonTextChar"/>
    <w:uiPriority w:val="99"/>
    <w:semiHidden/>
    <w:unhideWhenUsed/>
    <w:rsid w:val="00A44669"/>
    <w:rPr>
      <w:rFonts w:ascii="Tahoma" w:hAnsi="Tahoma" w:cs="Tahoma"/>
      <w:sz w:val="16"/>
      <w:szCs w:val="16"/>
    </w:rPr>
  </w:style>
  <w:style w:type="character" w:customStyle="1" w:styleId="BalloonTextChar">
    <w:name w:val="Balloon Text Char"/>
    <w:basedOn w:val="DefaultParagraphFont"/>
    <w:link w:val="BalloonText"/>
    <w:uiPriority w:val="99"/>
    <w:semiHidden/>
    <w:rsid w:val="00A44669"/>
    <w:rPr>
      <w:rFonts w:ascii="Tahoma" w:hAnsi="Tahoma" w:cs="Tahoma"/>
      <w:sz w:val="16"/>
      <w:szCs w:val="16"/>
    </w:rPr>
  </w:style>
  <w:style w:type="paragraph" w:customStyle="1" w:styleId="Pa1">
    <w:name w:val="Pa1"/>
    <w:basedOn w:val="Normal"/>
    <w:next w:val="Normal"/>
    <w:uiPriority w:val="99"/>
    <w:rsid w:val="00B71056"/>
    <w:pPr>
      <w:autoSpaceDE w:val="0"/>
      <w:autoSpaceDN w:val="0"/>
      <w:adjustRightInd w:val="0"/>
      <w:spacing w:line="201" w:lineRule="atLeast"/>
    </w:pPr>
    <w:rPr>
      <w:rFonts w:ascii="Century Old Style Std" w:hAnsi="Century Old Style Std"/>
      <w:sz w:val="24"/>
      <w:szCs w:val="24"/>
    </w:rPr>
  </w:style>
  <w:style w:type="paragraph" w:customStyle="1" w:styleId="Default">
    <w:name w:val="Default"/>
    <w:rsid w:val="00B71056"/>
    <w:pPr>
      <w:autoSpaceDE w:val="0"/>
      <w:autoSpaceDN w:val="0"/>
      <w:adjustRightInd w:val="0"/>
    </w:pPr>
    <w:rPr>
      <w:rFonts w:ascii="Century Old Style Std" w:hAnsi="Century Old Style Std" w:cs="Century Old Style Std"/>
      <w:color w:val="000000"/>
      <w:sz w:val="24"/>
      <w:szCs w:val="24"/>
    </w:rPr>
  </w:style>
  <w:style w:type="paragraph" w:customStyle="1" w:styleId="Pa31">
    <w:name w:val="Pa3+1"/>
    <w:basedOn w:val="Default"/>
    <w:next w:val="Default"/>
    <w:uiPriority w:val="99"/>
    <w:rsid w:val="00CF7D8C"/>
    <w:pPr>
      <w:spacing w:line="201" w:lineRule="atLeast"/>
    </w:pPr>
    <w:rPr>
      <w:rFonts w:cstheme="minorBidi"/>
      <w:color w:val="auto"/>
    </w:rPr>
  </w:style>
  <w:style w:type="character" w:styleId="FollowedHyperlink">
    <w:name w:val="FollowedHyperlink"/>
    <w:basedOn w:val="DefaultParagraphFont"/>
    <w:uiPriority w:val="99"/>
    <w:semiHidden/>
    <w:unhideWhenUsed/>
    <w:rsid w:val="00BC0F39"/>
    <w:rPr>
      <w:color w:val="800080" w:themeColor="followedHyperlink"/>
      <w:u w:val="single"/>
    </w:rPr>
  </w:style>
  <w:style w:type="paragraph" w:styleId="Quote">
    <w:name w:val="Quote"/>
    <w:basedOn w:val="Normal"/>
    <w:next w:val="Normal"/>
    <w:link w:val="QuoteChar"/>
    <w:uiPriority w:val="29"/>
    <w:qFormat/>
    <w:rsid w:val="00F26E0F"/>
    <w:pPr>
      <w:spacing w:after="200" w:line="276" w:lineRule="auto"/>
    </w:pPr>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F26E0F"/>
    <w:rPr>
      <w:rFonts w:eastAsiaTheme="minorEastAsia"/>
      <w:i/>
      <w:iCs/>
      <w:color w:val="000000" w:themeColor="text1"/>
      <w:lang w:val="en-US" w:eastAsia="ja-JP"/>
    </w:rPr>
  </w:style>
  <w:style w:type="character" w:customStyle="1" w:styleId="ListParagraphChar">
    <w:name w:val="List Paragraph Char"/>
    <w:basedOn w:val="DefaultParagraphFont"/>
    <w:link w:val="ListParagraph"/>
    <w:uiPriority w:val="34"/>
    <w:rsid w:val="00BD3BBD"/>
  </w:style>
  <w:style w:type="paragraph" w:customStyle="1" w:styleId="Char1">
    <w:name w:val="Char1"/>
    <w:basedOn w:val="Normal"/>
    <w:semiHidden/>
    <w:rsid w:val="00A9248C"/>
    <w:pPr>
      <w:spacing w:after="160" w:line="240" w:lineRule="exact"/>
    </w:pPr>
    <w:rPr>
      <w:rFonts w:ascii="Verdana" w:eastAsia="Times New Roman" w:hAnsi="Verdana"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168726">
      <w:bodyDiv w:val="1"/>
      <w:marLeft w:val="0"/>
      <w:marRight w:val="0"/>
      <w:marTop w:val="0"/>
      <w:marBottom w:val="0"/>
      <w:divBdr>
        <w:top w:val="none" w:sz="0" w:space="0" w:color="auto"/>
        <w:left w:val="none" w:sz="0" w:space="0" w:color="auto"/>
        <w:bottom w:val="none" w:sz="0" w:space="0" w:color="auto"/>
        <w:right w:val="none" w:sz="0" w:space="0" w:color="auto"/>
      </w:divBdr>
    </w:div>
    <w:div w:id="422384541">
      <w:bodyDiv w:val="1"/>
      <w:marLeft w:val="0"/>
      <w:marRight w:val="0"/>
      <w:marTop w:val="0"/>
      <w:marBottom w:val="0"/>
      <w:divBdr>
        <w:top w:val="none" w:sz="0" w:space="0" w:color="auto"/>
        <w:left w:val="none" w:sz="0" w:space="0" w:color="auto"/>
        <w:bottom w:val="none" w:sz="0" w:space="0" w:color="auto"/>
        <w:right w:val="none" w:sz="0" w:space="0" w:color="auto"/>
      </w:divBdr>
      <w:divsChild>
        <w:div w:id="1069645743">
          <w:marLeft w:val="0"/>
          <w:marRight w:val="0"/>
          <w:marTop w:val="0"/>
          <w:marBottom w:val="0"/>
          <w:divBdr>
            <w:top w:val="none" w:sz="0" w:space="0" w:color="auto"/>
            <w:left w:val="none" w:sz="0" w:space="0" w:color="auto"/>
            <w:bottom w:val="none" w:sz="0" w:space="0" w:color="auto"/>
            <w:right w:val="none" w:sz="0" w:space="0" w:color="auto"/>
          </w:divBdr>
          <w:divsChild>
            <w:div w:id="22365410">
              <w:marLeft w:val="0"/>
              <w:marRight w:val="0"/>
              <w:marTop w:val="0"/>
              <w:marBottom w:val="0"/>
              <w:divBdr>
                <w:top w:val="none" w:sz="0" w:space="0" w:color="auto"/>
                <w:left w:val="none" w:sz="0" w:space="0" w:color="auto"/>
                <w:bottom w:val="none" w:sz="0" w:space="0" w:color="auto"/>
                <w:right w:val="none" w:sz="0" w:space="0" w:color="auto"/>
              </w:divBdr>
              <w:divsChild>
                <w:div w:id="1611627719">
                  <w:marLeft w:val="0"/>
                  <w:marRight w:val="0"/>
                  <w:marTop w:val="0"/>
                  <w:marBottom w:val="0"/>
                  <w:divBdr>
                    <w:top w:val="none" w:sz="0" w:space="0" w:color="auto"/>
                    <w:left w:val="none" w:sz="0" w:space="0" w:color="auto"/>
                    <w:bottom w:val="none" w:sz="0" w:space="0" w:color="auto"/>
                    <w:right w:val="none" w:sz="0" w:space="0" w:color="auto"/>
                  </w:divBdr>
                  <w:divsChild>
                    <w:div w:id="765659179">
                      <w:marLeft w:val="0"/>
                      <w:marRight w:val="0"/>
                      <w:marTop w:val="0"/>
                      <w:marBottom w:val="0"/>
                      <w:divBdr>
                        <w:top w:val="none" w:sz="0" w:space="0" w:color="auto"/>
                        <w:left w:val="none" w:sz="0" w:space="0" w:color="auto"/>
                        <w:bottom w:val="none" w:sz="0" w:space="0" w:color="auto"/>
                        <w:right w:val="none" w:sz="0" w:space="0" w:color="auto"/>
                      </w:divBdr>
                      <w:divsChild>
                        <w:div w:id="30420109">
                          <w:marLeft w:val="0"/>
                          <w:marRight w:val="0"/>
                          <w:marTop w:val="0"/>
                          <w:marBottom w:val="0"/>
                          <w:divBdr>
                            <w:top w:val="single" w:sz="6" w:space="0" w:color="828282"/>
                            <w:left w:val="single" w:sz="6" w:space="0" w:color="828282"/>
                            <w:bottom w:val="single" w:sz="6" w:space="0" w:color="828282"/>
                            <w:right w:val="single" w:sz="6" w:space="0" w:color="828282"/>
                          </w:divBdr>
                          <w:divsChild>
                            <w:div w:id="2082828533">
                              <w:marLeft w:val="0"/>
                              <w:marRight w:val="0"/>
                              <w:marTop w:val="0"/>
                              <w:marBottom w:val="0"/>
                              <w:divBdr>
                                <w:top w:val="none" w:sz="0" w:space="0" w:color="auto"/>
                                <w:left w:val="none" w:sz="0" w:space="0" w:color="auto"/>
                                <w:bottom w:val="none" w:sz="0" w:space="0" w:color="auto"/>
                                <w:right w:val="none" w:sz="0" w:space="0" w:color="auto"/>
                              </w:divBdr>
                              <w:divsChild>
                                <w:div w:id="134417819">
                                  <w:marLeft w:val="0"/>
                                  <w:marRight w:val="0"/>
                                  <w:marTop w:val="0"/>
                                  <w:marBottom w:val="0"/>
                                  <w:divBdr>
                                    <w:top w:val="none" w:sz="0" w:space="0" w:color="auto"/>
                                    <w:left w:val="none" w:sz="0" w:space="0" w:color="auto"/>
                                    <w:bottom w:val="none" w:sz="0" w:space="0" w:color="auto"/>
                                    <w:right w:val="none" w:sz="0" w:space="0" w:color="auto"/>
                                  </w:divBdr>
                                  <w:divsChild>
                                    <w:div w:id="153879966">
                                      <w:marLeft w:val="0"/>
                                      <w:marRight w:val="0"/>
                                      <w:marTop w:val="0"/>
                                      <w:marBottom w:val="0"/>
                                      <w:divBdr>
                                        <w:top w:val="none" w:sz="0" w:space="0" w:color="auto"/>
                                        <w:left w:val="none" w:sz="0" w:space="0" w:color="auto"/>
                                        <w:bottom w:val="none" w:sz="0" w:space="0" w:color="auto"/>
                                        <w:right w:val="none" w:sz="0" w:space="0" w:color="auto"/>
                                      </w:divBdr>
                                      <w:divsChild>
                                        <w:div w:id="270818690">
                                          <w:marLeft w:val="0"/>
                                          <w:marRight w:val="0"/>
                                          <w:marTop w:val="0"/>
                                          <w:marBottom w:val="0"/>
                                          <w:divBdr>
                                            <w:top w:val="none" w:sz="0" w:space="0" w:color="auto"/>
                                            <w:left w:val="none" w:sz="0" w:space="0" w:color="auto"/>
                                            <w:bottom w:val="none" w:sz="0" w:space="0" w:color="auto"/>
                                            <w:right w:val="none" w:sz="0" w:space="0" w:color="auto"/>
                                          </w:divBdr>
                                          <w:divsChild>
                                            <w:div w:id="2119376108">
                                              <w:marLeft w:val="0"/>
                                              <w:marRight w:val="0"/>
                                              <w:marTop w:val="0"/>
                                              <w:marBottom w:val="0"/>
                                              <w:divBdr>
                                                <w:top w:val="none" w:sz="0" w:space="0" w:color="auto"/>
                                                <w:left w:val="none" w:sz="0" w:space="0" w:color="auto"/>
                                                <w:bottom w:val="none" w:sz="0" w:space="0" w:color="auto"/>
                                                <w:right w:val="none" w:sz="0" w:space="0" w:color="auto"/>
                                              </w:divBdr>
                                              <w:divsChild>
                                                <w:div w:id="987049343">
                                                  <w:marLeft w:val="0"/>
                                                  <w:marRight w:val="0"/>
                                                  <w:marTop w:val="0"/>
                                                  <w:marBottom w:val="0"/>
                                                  <w:divBdr>
                                                    <w:top w:val="none" w:sz="0" w:space="0" w:color="auto"/>
                                                    <w:left w:val="none" w:sz="0" w:space="0" w:color="auto"/>
                                                    <w:bottom w:val="none" w:sz="0" w:space="0" w:color="auto"/>
                                                    <w:right w:val="none" w:sz="0" w:space="0" w:color="auto"/>
                                                  </w:divBdr>
                                                  <w:divsChild>
                                                    <w:div w:id="527061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503983863">
      <w:bodyDiv w:val="1"/>
      <w:marLeft w:val="0"/>
      <w:marRight w:val="0"/>
      <w:marTop w:val="0"/>
      <w:marBottom w:val="0"/>
      <w:divBdr>
        <w:top w:val="none" w:sz="0" w:space="0" w:color="auto"/>
        <w:left w:val="none" w:sz="0" w:space="0" w:color="auto"/>
        <w:bottom w:val="none" w:sz="0" w:space="0" w:color="auto"/>
        <w:right w:val="none" w:sz="0" w:space="0" w:color="auto"/>
      </w:divBdr>
      <w:divsChild>
        <w:div w:id="654115921">
          <w:marLeft w:val="0"/>
          <w:marRight w:val="0"/>
          <w:marTop w:val="300"/>
          <w:marBottom w:val="0"/>
          <w:divBdr>
            <w:top w:val="none" w:sz="0" w:space="0" w:color="auto"/>
            <w:left w:val="none" w:sz="0" w:space="0" w:color="auto"/>
            <w:bottom w:val="none" w:sz="0" w:space="0" w:color="auto"/>
            <w:right w:val="none" w:sz="0" w:space="0" w:color="auto"/>
          </w:divBdr>
          <w:divsChild>
            <w:div w:id="1939486191">
              <w:marLeft w:val="3000"/>
              <w:marRight w:val="0"/>
              <w:marTop w:val="0"/>
              <w:marBottom w:val="0"/>
              <w:divBdr>
                <w:top w:val="none" w:sz="0" w:space="0" w:color="auto"/>
                <w:left w:val="none" w:sz="0" w:space="0" w:color="auto"/>
                <w:bottom w:val="none" w:sz="0" w:space="0" w:color="auto"/>
                <w:right w:val="none" w:sz="0" w:space="0" w:color="auto"/>
              </w:divBdr>
              <w:divsChild>
                <w:div w:id="395930938">
                  <w:marLeft w:val="0"/>
                  <w:marRight w:val="1500"/>
                  <w:marTop w:val="0"/>
                  <w:marBottom w:val="0"/>
                  <w:divBdr>
                    <w:top w:val="none" w:sz="0" w:space="0" w:color="auto"/>
                    <w:left w:val="none" w:sz="0" w:space="0" w:color="auto"/>
                    <w:bottom w:val="none" w:sz="0" w:space="0" w:color="auto"/>
                    <w:right w:val="none" w:sz="0" w:space="0" w:color="auto"/>
                  </w:divBdr>
                  <w:divsChild>
                    <w:div w:id="1357389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4544294">
      <w:bodyDiv w:val="1"/>
      <w:marLeft w:val="0"/>
      <w:marRight w:val="0"/>
      <w:marTop w:val="0"/>
      <w:marBottom w:val="0"/>
      <w:divBdr>
        <w:top w:val="none" w:sz="0" w:space="0" w:color="auto"/>
        <w:left w:val="none" w:sz="0" w:space="0" w:color="auto"/>
        <w:bottom w:val="none" w:sz="0" w:space="0" w:color="auto"/>
        <w:right w:val="none" w:sz="0" w:space="0" w:color="auto"/>
      </w:divBdr>
    </w:div>
    <w:div w:id="1016882561">
      <w:bodyDiv w:val="1"/>
      <w:marLeft w:val="0"/>
      <w:marRight w:val="0"/>
      <w:marTop w:val="0"/>
      <w:marBottom w:val="0"/>
      <w:divBdr>
        <w:top w:val="none" w:sz="0" w:space="0" w:color="auto"/>
        <w:left w:val="none" w:sz="0" w:space="0" w:color="auto"/>
        <w:bottom w:val="none" w:sz="0" w:space="0" w:color="auto"/>
        <w:right w:val="none" w:sz="0" w:space="0" w:color="auto"/>
      </w:divBdr>
    </w:div>
    <w:div w:id="1254169027">
      <w:bodyDiv w:val="1"/>
      <w:marLeft w:val="0"/>
      <w:marRight w:val="0"/>
      <w:marTop w:val="0"/>
      <w:marBottom w:val="0"/>
      <w:divBdr>
        <w:top w:val="none" w:sz="0" w:space="0" w:color="auto"/>
        <w:left w:val="none" w:sz="0" w:space="0" w:color="auto"/>
        <w:bottom w:val="none" w:sz="0" w:space="0" w:color="auto"/>
        <w:right w:val="none" w:sz="0" w:space="0" w:color="auto"/>
      </w:divBdr>
    </w:div>
    <w:div w:id="1974435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hyperlink" Target="http://jbh.ministers.treasury.gov.au/media-release/075-2015/"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image" Target="media/image2.gif"/><Relationship Id="rId2" Type="http://schemas.openxmlformats.org/officeDocument/2006/relationships/customXml" Target="../customXml/item2.xml"/><Relationship Id="rId16" Type="http://schemas.openxmlformats.org/officeDocument/2006/relationships/chart" Target="charts/chart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shannon@asga.com.au" TargetMode="External"/><Relationship Id="rId10" Type="http://schemas.openxmlformats.org/officeDocument/2006/relationships/settings" Target="settings.xml"/><Relationship Id="rId19" Type="http://schemas.openxmlformats.org/officeDocument/2006/relationships/footer" Target="footer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image" Target="media/image1.jpeg"/><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asga.com.au" TargetMode="External"/><Relationship Id="rId1" Type="http://schemas.openxmlformats.org/officeDocument/2006/relationships/hyperlink" Target="http://www.asga.com.au"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asga.com.au/wp-content/uploads/2015/06/ASGA-Submission-to-PC-Retail-Industry-Cost-of-Business-Inquiry-May-2014.pdf" TargetMode="External"/><Relationship Id="rId1" Type="http://schemas.openxmlformats.org/officeDocument/2006/relationships/hyperlink" Target="http://www.abs.gov.au/AUSSTATS/abs@.nsf/Latestproducts/8501.0Main%20Features2Feb%202014?opendocument&amp;tabname=Summary&amp;prodno=8501.0&amp;issue=Feb%202014&amp;num=&amp;view"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AU"/>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0"/>
          <c:order val="0"/>
          <c:marker>
            <c:symbol val="none"/>
          </c:marker>
          <c:cat>
            <c:strRef>
              <c:f>Sheet1!$A$1:$A$8</c:f>
              <c:strCache>
                <c:ptCount val="8"/>
                <c:pt idx="0">
                  <c:v>Q3 11/12</c:v>
                </c:pt>
                <c:pt idx="1">
                  <c:v>Q4 11/12 </c:v>
                </c:pt>
                <c:pt idx="2">
                  <c:v>Q1 12/13</c:v>
                </c:pt>
                <c:pt idx="3">
                  <c:v>Q2 12/13</c:v>
                </c:pt>
                <c:pt idx="4">
                  <c:v>Q3 12/13</c:v>
                </c:pt>
                <c:pt idx="5">
                  <c:v>Q4 12/13</c:v>
                </c:pt>
                <c:pt idx="6">
                  <c:v>Q1 13/14 </c:v>
                </c:pt>
                <c:pt idx="7">
                  <c:v>Q2 13/14</c:v>
                </c:pt>
              </c:strCache>
            </c:strRef>
          </c:cat>
          <c:val>
            <c:numRef>
              <c:f>Sheet1!$B$1:$B$8</c:f>
              <c:numCache>
                <c:formatCode>"$"#,##0</c:formatCode>
                <c:ptCount val="8"/>
                <c:pt idx="0">
                  <c:v>1056987205.500855</c:v>
                </c:pt>
                <c:pt idx="1">
                  <c:v>1111239916.1542156</c:v>
                </c:pt>
                <c:pt idx="2">
                  <c:v>1058987676.2455574</c:v>
                </c:pt>
                <c:pt idx="3">
                  <c:v>1249852591.4646127</c:v>
                </c:pt>
                <c:pt idx="4">
                  <c:v>1190014042.9221482</c:v>
                </c:pt>
                <c:pt idx="5">
                  <c:v>1090039430.0940163</c:v>
                </c:pt>
                <c:pt idx="6">
                  <c:v>1049706890.9823883</c:v>
                </c:pt>
                <c:pt idx="7">
                  <c:v>1199586776.3684442</c:v>
                </c:pt>
              </c:numCache>
            </c:numRef>
          </c:val>
          <c:smooth val="0"/>
          <c:extLst xmlns:c16r2="http://schemas.microsoft.com/office/drawing/2015/06/chart">
            <c:ext xmlns:c16="http://schemas.microsoft.com/office/drawing/2014/chart" uri="{C3380CC4-5D6E-409C-BE32-E72D297353CC}">
              <c16:uniqueId val="{00000000-1D1B-42C5-8504-40C90399ACA3}"/>
            </c:ext>
          </c:extLst>
        </c:ser>
        <c:dLbls>
          <c:showLegendKey val="0"/>
          <c:showVal val="0"/>
          <c:showCatName val="0"/>
          <c:showSerName val="0"/>
          <c:showPercent val="0"/>
          <c:showBubbleSize val="0"/>
        </c:dLbls>
        <c:marker val="1"/>
        <c:smooth val="0"/>
        <c:axId val="141071488"/>
        <c:axId val="165956608"/>
      </c:lineChart>
      <c:catAx>
        <c:axId val="141071488"/>
        <c:scaling>
          <c:orientation val="minMax"/>
        </c:scaling>
        <c:delete val="0"/>
        <c:axPos val="b"/>
        <c:numFmt formatCode="General" sourceLinked="0"/>
        <c:majorTickMark val="out"/>
        <c:minorTickMark val="none"/>
        <c:tickLblPos val="nextTo"/>
        <c:txPr>
          <a:bodyPr/>
          <a:lstStyle/>
          <a:p>
            <a:pPr>
              <a:defRPr sz="600"/>
            </a:pPr>
            <a:endParaRPr lang="en-US"/>
          </a:p>
        </c:txPr>
        <c:crossAx val="165956608"/>
        <c:crosses val="autoZero"/>
        <c:auto val="1"/>
        <c:lblAlgn val="ctr"/>
        <c:lblOffset val="100"/>
        <c:noMultiLvlLbl val="0"/>
      </c:catAx>
      <c:valAx>
        <c:axId val="165956608"/>
        <c:scaling>
          <c:orientation val="minMax"/>
        </c:scaling>
        <c:delete val="0"/>
        <c:axPos val="l"/>
        <c:majorGridlines/>
        <c:numFmt formatCode="&quot;$&quot;#,##0" sourceLinked="1"/>
        <c:majorTickMark val="out"/>
        <c:minorTickMark val="none"/>
        <c:tickLblPos val="nextTo"/>
        <c:txPr>
          <a:bodyPr/>
          <a:lstStyle/>
          <a:p>
            <a:pPr>
              <a:defRPr sz="800"/>
            </a:pPr>
            <a:endParaRPr lang="en-US"/>
          </a:p>
        </c:txPr>
        <c:crossAx val="141071488"/>
        <c:crosses val="autoZero"/>
        <c:crossBetween val="between"/>
      </c:valAx>
    </c:plotArea>
    <c:plotVisOnly val="1"/>
    <c:dispBlanksAs val="gap"/>
    <c:showDLblsOverMax val="0"/>
  </c:chart>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RA-9278 - Destroy 30 years after action completed</TermName>
          <TermId xmlns="http://schemas.microsoft.com/office/infopath/2007/PartnerControls">c086dcfc-5e12-4afb-9fc8-394791410cc9</TermId>
        </TermInfo>
      </Terms>
    </lb508a4dc5e84436a0fe496b536466aa>
    <IconOverlay xmlns="http://schemas.microsoft.com/sharepoint/v4" xsi:nil="true"/>
    <_dlc_DocId xmlns="0f563589-9cf9-4143-b1eb-fb0534803d38">2017RG-293-315</_dlc_DocId>
    <TaxCatchAll xmlns="0f563589-9cf9-4143-b1eb-fb0534803d38">
      <Value>59</Value>
    </TaxCatchAll>
    <_dlc_DocIdUrl xmlns="0f563589-9cf9-4143-b1eb-fb0534803d38">
      <Url>http://tweb/sites/rg/iitd/gs/_layouts/15/DocIdRedir.aspx?ID=2017RG-293-315</Url>
      <Description>2017RG-293-315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4278BD4B8A00FE4E8125D65F2C4B1BD4" ma:contentTypeVersion="14722" ma:contentTypeDescription="" ma:contentTypeScope="" ma:versionID="edddadfe50234427e27733d44cfc97db">
  <xsd:schema xmlns:xsd="http://www.w3.org/2001/XMLSchema" xmlns:xs="http://www.w3.org/2001/XMLSchema" xmlns:p="http://schemas.microsoft.com/office/2006/metadata/properties" xmlns:ns1="http://schemas.microsoft.com/sharepoint/v3" xmlns:ns2="0f563589-9cf9-4143-b1eb-fb0534803d38" xmlns:ns3="9f7bc583-7cbe-45b9-a2bd-8bbb6543b37e" xmlns:ns5="http://schemas.microsoft.com/sharepoint/v4" targetNamespace="http://schemas.microsoft.com/office/2006/metadata/properties" ma:root="true" ma:fieldsID="5a3c8d3831d1a454e8da60d4895c6b1d" ns1:_="" ns2:_="" ns3:_="" ns5:_="">
    <xsd:import namespace="http://schemas.microsoft.com/sharepoint/v3"/>
    <xsd:import namespace="0f563589-9cf9-4143-b1eb-fb0534803d38"/>
    <xsd:import namespace="9f7bc583-7cbe-45b9-a2bd-8bbb6543b37e"/>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59;#TSY RA-9278 - Destroy 30 years after action completed|c086dcfc-5e12-4afb-9fc8-394791410cc9"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Receiver>
    <Name/>
    <Synchronization>Asynchronous</Synchronization>
    <Type>10003</Type>
    <SequenceNumber>10000</SequenceNumber>
    <Url/>
    <Assembly>RecordPoint.Active.UI, Version=1.0.0.0, Culture=neutral, PublicKeyToken=d49476ae5b650bf3</Assembly>
    <Class>RecordPoint.Active.UI.Events.WorkflowItemEventReceiver</Class>
    <Data/>
    <Filter/>
  </Receiver>
  <Receiver>
    <Name/>
    <Synchronization>Synchronous</Synchronization>
    <Type>3</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10009</Type>
    <SequenceNumber>10000</SequenceNumber>
    <Url/>
    <Assembly>RecordPoint.Active.UI, Version=1.0.0.0, Culture=neutral, PublicKeyToken=d49476ae5b650bf3</Assembly>
    <Class>RecordPoint.Active.UI.Events.WorkflowItemEventReceiver</Class>
    <Data/>
    <Filter/>
  </Receiver>
  <Receiver>
    <Name/>
    <Synchronization>Synchronous</Synchronization>
    <Type>9</Type>
    <SequenceNumber>10000</SequenceNumber>
    <Url/>
    <Assembly>RecordPoint.Active.UI, Version=1.0.0.0, Culture=neutral, PublicKeyToken=d49476ae5b650bf3</Assembly>
    <Class>RecordPoint.Active.UI.Events.WorkflowItemEventReceiver</Class>
    <Data/>
    <Filter/>
  </Receiver>
  <Receiver>
    <Name/>
    <Synchronization>Asynchronous</Synchronization>
    <Type>10103</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102</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10105</Type>
    <SequenceNumber>10000</SequenceNumber>
    <Url/>
    <Assembly>RecordPoint.Active.UI, Version=1.0.0.0, Culture=neutral, PublicKeyToken=d49476ae5b650bf3</Assembly>
    <Class>RecordPoint.Active.UI.Events.WorkflowListEventReceiver</Class>
    <Data/>
    <Filter/>
  </Receiver>
  <Receiver>
    <Name/>
    <Synchronization>Synchronous</Synchronization>
    <Type>105</Type>
    <SequenceNumber>10000</SequenceNumber>
    <Url/>
    <Assembly>RecordPoint.Active.UI, Version=1.0.0.0, Culture=neutral, PublicKeyToken=d49476ae5b650bf3</Assembly>
    <Class>RecordPoint.Active.UI.Events.WorkflowListEventReceiver</Class>
    <Data/>
    <Filter/>
  </Receiver>
  <Receiver>
    <Name/>
    <Synchronization>Asynchronous</Synchronization>
    <Type>10002</Type>
    <SequenceNumber>10000</SequenceNumber>
    <Url/>
    <Assembly>RecordPoint.Active.UI, Version=1.0.0.0, Culture=neutral, PublicKeyToken=d49476ae5b650bf3</Assembly>
    <Class>RecordPoint.Active.UI.Events.WorkflowItemEventReceiver</Class>
    <Data/>
    <Filter/>
  </Receiver>
  <Receiver>
    <Name/>
    <Synchronization>Synchronous</Synchronization>
    <Type>2</Type>
    <SequenceNumber>10000</SequenceNumber>
    <Url/>
    <Assembly>RecordPoint.Active.UI, Version=1.0.0.0, Culture=neutral, PublicKeyToken=d49476ae5b650bf3</Assembly>
    <Class>RecordPoint.Active.UI.Events.WorkflowItemEventReceiver</Class>
    <Data/>
    <Filter/>
  </Receiver>
</spe:Receiver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27D990-0D65-4623-87DD-98BE6190C776}">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s>
</ds:datastoreItem>
</file>

<file path=customXml/itemProps2.xml><?xml version="1.0" encoding="utf-8"?>
<ds:datastoreItem xmlns:ds="http://schemas.openxmlformats.org/officeDocument/2006/customXml" ds:itemID="{6D2483C7-6690-404E-A403-25607DCD6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BC0F5B7-8976-4CB3-B1AC-5B739D5B55AF}">
  <ds:schemaRefs>
    <ds:schemaRef ds:uri="http://schemas.microsoft.com/sharepoint/events"/>
  </ds:schemaRefs>
</ds:datastoreItem>
</file>

<file path=customXml/itemProps4.xml><?xml version="1.0" encoding="utf-8"?>
<ds:datastoreItem xmlns:ds="http://schemas.openxmlformats.org/officeDocument/2006/customXml" ds:itemID="{0BD3082B-54EE-4EFE-A99D-076C86D21D3F}">
  <ds:schemaRefs>
    <ds:schemaRef ds:uri="office.server.policy"/>
  </ds:schemaRefs>
</ds:datastoreItem>
</file>

<file path=customXml/itemProps5.xml><?xml version="1.0" encoding="utf-8"?>
<ds:datastoreItem xmlns:ds="http://schemas.openxmlformats.org/officeDocument/2006/customXml" ds:itemID="{66699B7B-5689-4B22-83D1-476D0ABDD2D9}">
  <ds:schemaRefs>
    <ds:schemaRef ds:uri="http://schemas.microsoft.com/sharepoint/v3/contenttype/forms"/>
  </ds:schemaRefs>
</ds:datastoreItem>
</file>

<file path=customXml/itemProps6.xml><?xml version="1.0" encoding="utf-8"?>
<ds:datastoreItem xmlns:ds="http://schemas.openxmlformats.org/officeDocument/2006/customXml" ds:itemID="{960390A5-D08D-49D8-86D0-ED14D4E3F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1613</Words>
  <Characters>8798</Characters>
  <Application>Microsoft Office Word</Application>
  <DocSecurity>0</DocSecurity>
  <Lines>221</Lines>
  <Paragraphs>59</Paragraphs>
  <ScaleCrop>false</ScaleCrop>
  <Company/>
  <LinksUpToDate>false</LinksUpToDate>
  <CharactersWithSpaces>10470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Australian Sporting Goods Association - Applying GST to low value goods imported by consumers</dc:title>
  <dc:creator/>
  <cp:lastModifiedBy/>
  <cp:revision>1</cp:revision>
  <dcterms:created xsi:type="dcterms:W3CDTF">2018-10-12T00:35:00Z</dcterms:created>
  <dcterms:modified xsi:type="dcterms:W3CDTF">2018-10-12T00:35:00Z</dcterms:modified>
  <dc:language>English</dc:language>
</cp:coreProperties>
</file>