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49830" w14:textId="77777777" w:rsidR="00265AC4" w:rsidRPr="009573FB" w:rsidRDefault="00265AC4" w:rsidP="003F74C9">
      <w:pPr>
        <w:pStyle w:val="NoSpacing"/>
        <w:spacing w:line="276" w:lineRule="auto"/>
        <w:rPr>
          <w:rFonts w:asciiTheme="minorHAnsi" w:hAnsiTheme="minorHAnsi" w:cstheme="minorHAnsi"/>
        </w:rPr>
      </w:pPr>
      <w:bookmarkStart w:id="0" w:name="_GoBack"/>
      <w:bookmarkEnd w:id="0"/>
    </w:p>
    <w:p w14:paraId="0AEF1EB7" w14:textId="77777777" w:rsidR="00AD6A97" w:rsidRPr="009573FB" w:rsidRDefault="00AD6A97" w:rsidP="003F74C9">
      <w:pPr>
        <w:pStyle w:val="NoSpacing"/>
        <w:spacing w:line="276" w:lineRule="auto"/>
        <w:rPr>
          <w:rFonts w:asciiTheme="minorHAnsi" w:hAnsiTheme="minorHAnsi" w:cstheme="minorHAnsi"/>
        </w:rPr>
      </w:pPr>
    </w:p>
    <w:p w14:paraId="127A0B94" w14:textId="77777777" w:rsidR="00AD6A97" w:rsidRPr="009573FB" w:rsidRDefault="00AD6A97" w:rsidP="003F74C9">
      <w:pPr>
        <w:pStyle w:val="NoSpacing"/>
        <w:spacing w:line="276" w:lineRule="auto"/>
        <w:rPr>
          <w:rFonts w:asciiTheme="minorHAnsi" w:hAnsiTheme="minorHAnsi" w:cstheme="minorHAnsi"/>
        </w:rPr>
      </w:pPr>
    </w:p>
    <w:p w14:paraId="6F1AEFF9" w14:textId="77777777" w:rsidR="00AD6A97" w:rsidRPr="009573FB" w:rsidRDefault="00AD6A97" w:rsidP="003F74C9">
      <w:pPr>
        <w:pStyle w:val="NoSpacing"/>
        <w:spacing w:line="276" w:lineRule="auto"/>
        <w:rPr>
          <w:rFonts w:asciiTheme="minorHAnsi" w:hAnsiTheme="minorHAnsi" w:cstheme="minorHAnsi"/>
        </w:rPr>
      </w:pPr>
    </w:p>
    <w:p w14:paraId="77752109" w14:textId="77777777" w:rsidR="00AD6A97" w:rsidRPr="009573FB" w:rsidRDefault="00AD6A97" w:rsidP="003F74C9">
      <w:pPr>
        <w:pStyle w:val="NoSpacing"/>
        <w:spacing w:line="276" w:lineRule="auto"/>
        <w:rPr>
          <w:rFonts w:asciiTheme="minorHAnsi" w:hAnsiTheme="minorHAnsi" w:cstheme="minorHAnsi"/>
        </w:rPr>
      </w:pPr>
    </w:p>
    <w:p w14:paraId="63814097" w14:textId="77777777" w:rsidR="00AD6A97" w:rsidRPr="009573FB" w:rsidRDefault="00AD6A97" w:rsidP="003F74C9">
      <w:pPr>
        <w:pStyle w:val="NoSpacing"/>
        <w:spacing w:line="276" w:lineRule="auto"/>
        <w:rPr>
          <w:rFonts w:asciiTheme="minorHAnsi" w:hAnsiTheme="minorHAnsi" w:cstheme="minorHAnsi"/>
        </w:rPr>
      </w:pPr>
    </w:p>
    <w:p w14:paraId="7097D777" w14:textId="77777777" w:rsidR="00AD6A97" w:rsidRPr="009573FB" w:rsidRDefault="00AD6A97" w:rsidP="003F74C9">
      <w:pPr>
        <w:pStyle w:val="NoSpacing"/>
        <w:spacing w:line="276" w:lineRule="auto"/>
        <w:rPr>
          <w:rFonts w:asciiTheme="minorHAnsi" w:hAnsiTheme="minorHAnsi" w:cstheme="minorHAnsi"/>
        </w:rPr>
      </w:pPr>
    </w:p>
    <w:p w14:paraId="0C31DEAE" w14:textId="77777777" w:rsidR="00AD6A97" w:rsidRPr="009573FB" w:rsidRDefault="00AD6A97" w:rsidP="003F74C9">
      <w:pPr>
        <w:pStyle w:val="NoSpacing"/>
        <w:spacing w:line="276" w:lineRule="auto"/>
        <w:rPr>
          <w:rFonts w:asciiTheme="minorHAnsi" w:hAnsiTheme="minorHAnsi" w:cstheme="minorHAnsi"/>
        </w:rPr>
      </w:pPr>
    </w:p>
    <w:p w14:paraId="703862CB" w14:textId="77777777" w:rsidR="00AD6A97" w:rsidRPr="009573FB" w:rsidRDefault="00AD6A97" w:rsidP="003F74C9">
      <w:pPr>
        <w:pStyle w:val="NoSpacing"/>
        <w:spacing w:line="276" w:lineRule="auto"/>
        <w:rPr>
          <w:rFonts w:asciiTheme="minorHAnsi" w:hAnsiTheme="minorHAnsi" w:cstheme="minorHAnsi"/>
        </w:rPr>
      </w:pPr>
    </w:p>
    <w:p w14:paraId="3E32FEAE" w14:textId="77777777" w:rsidR="00AD6A97" w:rsidRPr="00DA15D4" w:rsidRDefault="00AD6A97" w:rsidP="00DA15D4">
      <w:pPr>
        <w:pStyle w:val="NoSpacing"/>
      </w:pPr>
    </w:p>
    <w:p w14:paraId="31509AA4" w14:textId="41C76B33" w:rsidR="00511840" w:rsidRPr="00DA15D4" w:rsidRDefault="00511840" w:rsidP="00DA15D4">
      <w:pPr>
        <w:pStyle w:val="NoSpacing"/>
        <w:rPr>
          <w:rFonts w:ascii="Franklin Gothic Medium" w:eastAsia="Times New Roman" w:hAnsi="Franklin Gothic Medium" w:cs="Times New Roman"/>
        </w:rPr>
      </w:pPr>
      <w:r w:rsidRPr="00DA15D4">
        <w:rPr>
          <w:rFonts w:ascii="Franklin Gothic Medium" w:eastAsia="Times New Roman" w:hAnsi="Franklin Gothic Medium" w:cs="Times New Roman"/>
        </w:rPr>
        <w:t>Manager</w:t>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r>
      <w:r w:rsidR="00C03EA7">
        <w:rPr>
          <w:rFonts w:ascii="Franklin Gothic Medium" w:eastAsia="Times New Roman" w:hAnsi="Franklin Gothic Medium" w:cs="Times New Roman"/>
        </w:rPr>
        <w:tab/>
        <w:t xml:space="preserve">         14 June 2017</w:t>
      </w:r>
    </w:p>
    <w:p w14:paraId="7C49579F" w14:textId="77777777" w:rsidR="00511840" w:rsidRPr="00DA15D4" w:rsidRDefault="00511840" w:rsidP="00DA15D4">
      <w:pPr>
        <w:pStyle w:val="NoSpacing"/>
        <w:rPr>
          <w:rFonts w:ascii="Franklin Gothic Medium" w:eastAsia="Times New Roman" w:hAnsi="Franklin Gothic Medium" w:cs="Times New Roman"/>
        </w:rPr>
      </w:pPr>
      <w:r w:rsidRPr="00DA15D4">
        <w:rPr>
          <w:rFonts w:ascii="Franklin Gothic Medium" w:eastAsia="Times New Roman" w:hAnsi="Franklin Gothic Medium" w:cs="Times New Roman"/>
        </w:rPr>
        <w:t>Financial Services Unit</w:t>
      </w:r>
    </w:p>
    <w:p w14:paraId="24B36AFF" w14:textId="77777777" w:rsidR="00511840" w:rsidRPr="00DA15D4" w:rsidRDefault="00511840" w:rsidP="00DA15D4">
      <w:pPr>
        <w:pStyle w:val="NoSpacing"/>
        <w:rPr>
          <w:rFonts w:ascii="Franklin Gothic Medium" w:eastAsia="Times New Roman" w:hAnsi="Franklin Gothic Medium" w:cs="Times New Roman"/>
        </w:rPr>
      </w:pPr>
      <w:r w:rsidRPr="00DA15D4">
        <w:rPr>
          <w:rFonts w:ascii="Franklin Gothic Medium" w:eastAsia="Times New Roman" w:hAnsi="Franklin Gothic Medium" w:cs="Times New Roman"/>
        </w:rPr>
        <w:t>The Treasury</w:t>
      </w:r>
    </w:p>
    <w:p w14:paraId="121C7269" w14:textId="77777777" w:rsidR="00511840" w:rsidRPr="00DA15D4" w:rsidRDefault="00511840" w:rsidP="00DA15D4">
      <w:pPr>
        <w:pStyle w:val="NoSpacing"/>
        <w:rPr>
          <w:rFonts w:ascii="Franklin Gothic Medium" w:eastAsia="Times New Roman" w:hAnsi="Franklin Gothic Medium" w:cs="Times New Roman"/>
        </w:rPr>
      </w:pPr>
      <w:r w:rsidRPr="00DA15D4">
        <w:rPr>
          <w:rFonts w:ascii="Franklin Gothic Medium" w:eastAsia="Times New Roman" w:hAnsi="Franklin Gothic Medium" w:cs="Times New Roman"/>
        </w:rPr>
        <w:t>Langton Crescent</w:t>
      </w:r>
    </w:p>
    <w:p w14:paraId="3DED4004" w14:textId="567C1B45" w:rsidR="00AD6A97" w:rsidRPr="00DA15D4" w:rsidRDefault="00511840" w:rsidP="00DA15D4">
      <w:pPr>
        <w:pStyle w:val="NoSpacing"/>
        <w:rPr>
          <w:rFonts w:ascii="Franklin Gothic Medium" w:eastAsia="Times New Roman" w:hAnsi="Franklin Gothic Medium" w:cs="Times New Roman"/>
        </w:rPr>
      </w:pPr>
      <w:r w:rsidRPr="00DA15D4">
        <w:rPr>
          <w:rFonts w:ascii="Franklin Gothic Medium" w:eastAsia="Times New Roman" w:hAnsi="Franklin Gothic Medium" w:cs="Times New Roman"/>
        </w:rPr>
        <w:t>PARKES ACT 2600</w:t>
      </w:r>
    </w:p>
    <w:p w14:paraId="72235132" w14:textId="77777777" w:rsidR="00511840" w:rsidRPr="00DA15D4" w:rsidRDefault="00511840" w:rsidP="00511840">
      <w:pPr>
        <w:pStyle w:val="NoSpacing"/>
        <w:spacing w:line="276" w:lineRule="auto"/>
        <w:rPr>
          <w:rFonts w:ascii="Franklin Gothic Medium" w:eastAsia="Times New Roman" w:hAnsi="Franklin Gothic Medium" w:cs="Times New Roman"/>
        </w:rPr>
      </w:pPr>
    </w:p>
    <w:p w14:paraId="51BDA175" w14:textId="41D9A01A" w:rsidR="00AD6A97" w:rsidRDefault="00AD6A97" w:rsidP="003F74C9">
      <w:pPr>
        <w:pStyle w:val="NoSpacing"/>
        <w:spacing w:line="276" w:lineRule="auto"/>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Email: </w:t>
      </w:r>
      <w:hyperlink r:id="rId15" w:history="1">
        <w:r w:rsidR="00DA15D4" w:rsidRPr="008C206B">
          <w:rPr>
            <w:rStyle w:val="Hyperlink"/>
            <w:rFonts w:ascii="Franklin Gothic Medium" w:eastAsia="Times New Roman" w:hAnsi="Franklin Gothic Medium" w:cs="Times New Roman"/>
          </w:rPr>
          <w:t>EDR@treasury.gov.au</w:t>
        </w:r>
      </w:hyperlink>
    </w:p>
    <w:p w14:paraId="439C379B" w14:textId="77777777" w:rsidR="00DA15D4" w:rsidRPr="00DA15D4" w:rsidRDefault="00DA15D4" w:rsidP="003F74C9">
      <w:pPr>
        <w:pStyle w:val="NoSpacing"/>
        <w:spacing w:line="276" w:lineRule="auto"/>
        <w:rPr>
          <w:rFonts w:ascii="Franklin Gothic Medium" w:eastAsia="Times New Roman" w:hAnsi="Franklin Gothic Medium" w:cs="Times New Roman"/>
        </w:rPr>
      </w:pPr>
    </w:p>
    <w:p w14:paraId="72E7F4B2" w14:textId="77777777" w:rsidR="00AD6A97" w:rsidRPr="00DA15D4" w:rsidRDefault="00AD6A97" w:rsidP="003F74C9">
      <w:pPr>
        <w:pStyle w:val="NoSpacing"/>
        <w:spacing w:line="276" w:lineRule="auto"/>
        <w:rPr>
          <w:rFonts w:ascii="Franklin Gothic Medium" w:eastAsia="Times New Roman" w:hAnsi="Franklin Gothic Medium" w:cs="Times New Roman"/>
        </w:rPr>
      </w:pPr>
    </w:p>
    <w:p w14:paraId="5F6F3734" w14:textId="70267B9D" w:rsidR="00511840" w:rsidRPr="00DA15D4" w:rsidRDefault="00511840" w:rsidP="00DA15D4">
      <w:pPr>
        <w:pStyle w:val="NoSpacing"/>
        <w:jc w:val="center"/>
        <w:rPr>
          <w:rFonts w:ascii="Franklin Gothic Medium" w:eastAsia="Times New Roman" w:hAnsi="Franklin Gothic Medium" w:cs="Times New Roman"/>
          <w:b/>
        </w:rPr>
      </w:pPr>
      <w:r w:rsidRPr="00DA15D4">
        <w:rPr>
          <w:rFonts w:ascii="Franklin Gothic Medium" w:eastAsia="Times New Roman" w:hAnsi="Franklin Gothic Medium" w:cs="Times New Roman"/>
          <w:b/>
        </w:rPr>
        <w:t>Submission on the consultation paper ‘Improving dispute resolution in the financial system’ and accompanying draft legislation and regulations.</w:t>
      </w:r>
    </w:p>
    <w:p w14:paraId="47A33FC8" w14:textId="77777777" w:rsidR="00AD6A97" w:rsidRPr="00DA15D4" w:rsidRDefault="00AD6A97" w:rsidP="00DA15D4">
      <w:pPr>
        <w:pStyle w:val="NoSpacing"/>
        <w:rPr>
          <w:rFonts w:ascii="Franklin Gothic Medium" w:eastAsia="Times New Roman" w:hAnsi="Franklin Gothic Medium" w:cs="Times New Roman"/>
        </w:rPr>
      </w:pPr>
    </w:p>
    <w:p w14:paraId="5CD2C3E1" w14:textId="77777777" w:rsidR="00AD6A97" w:rsidRPr="00DA15D4" w:rsidRDefault="00AD6A97" w:rsidP="00DA15D4">
      <w:pPr>
        <w:pStyle w:val="NoSpacing"/>
        <w:rPr>
          <w:rFonts w:ascii="Franklin Gothic Medium" w:eastAsia="Times New Roman" w:hAnsi="Franklin Gothic Medium" w:cs="Times New Roman"/>
        </w:rPr>
      </w:pPr>
    </w:p>
    <w:p w14:paraId="1CB181FB" w14:textId="4FEEE85E" w:rsidR="00AD6A97" w:rsidRPr="00DA15D4" w:rsidRDefault="00AD6A97"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To whom it may concern</w:t>
      </w:r>
      <w:r w:rsidR="00511840" w:rsidRPr="00DA15D4">
        <w:rPr>
          <w:rFonts w:ascii="Franklin Gothic Medium" w:eastAsia="Times New Roman" w:hAnsi="Franklin Gothic Medium" w:cs="Times New Roman"/>
        </w:rPr>
        <w:t>,</w:t>
      </w:r>
    </w:p>
    <w:p w14:paraId="60D43B98" w14:textId="77777777" w:rsidR="00AD6A97" w:rsidRPr="00DA15D4" w:rsidRDefault="00AD6A97" w:rsidP="00DA15D4">
      <w:pPr>
        <w:pStyle w:val="NoSpacing"/>
        <w:jc w:val="both"/>
        <w:rPr>
          <w:rFonts w:ascii="Franklin Gothic Medium" w:eastAsia="Times New Roman" w:hAnsi="Franklin Gothic Medium" w:cs="Times New Roman"/>
        </w:rPr>
      </w:pPr>
    </w:p>
    <w:p w14:paraId="71BB6D9D" w14:textId="7C8EBD1E" w:rsidR="0081653E" w:rsidRPr="00DA15D4" w:rsidRDefault="00A559CE"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As noted in our </w:t>
      </w:r>
      <w:r w:rsidR="00D14ACF">
        <w:rPr>
          <w:rFonts w:ascii="Franklin Gothic Medium" w:eastAsia="Times New Roman" w:hAnsi="Franklin Gothic Medium" w:cs="Times New Roman"/>
        </w:rPr>
        <w:t xml:space="preserve">previous </w:t>
      </w:r>
      <w:r w:rsidRPr="00DA15D4">
        <w:rPr>
          <w:rFonts w:ascii="Franklin Gothic Medium" w:eastAsia="Times New Roman" w:hAnsi="Franklin Gothic Medium" w:cs="Times New Roman"/>
        </w:rPr>
        <w:t>submission</w:t>
      </w:r>
      <w:r w:rsidR="00DA5660" w:rsidRPr="00DA15D4">
        <w:rPr>
          <w:rFonts w:ascii="Franklin Gothic Medium" w:eastAsia="Times New Roman" w:hAnsi="Franklin Gothic Medium" w:cs="Times New Roman"/>
        </w:rPr>
        <w:t>s to the Ramsay Review,</w:t>
      </w:r>
      <w:r w:rsidRPr="00DA15D4">
        <w:rPr>
          <w:rFonts w:ascii="Franklin Gothic Medium" w:eastAsia="Times New Roman" w:hAnsi="Franklin Gothic Medium" w:cs="Times New Roman"/>
        </w:rPr>
        <w:t xml:space="preserve"> </w:t>
      </w:r>
      <w:r w:rsidR="00DA5660" w:rsidRPr="00DA15D4">
        <w:rPr>
          <w:rFonts w:ascii="Franklin Gothic Medium" w:eastAsia="Times New Roman" w:hAnsi="Franklin Gothic Medium" w:cs="Times New Roman"/>
        </w:rPr>
        <w:t>the Australian Retail Credit Association (ARCA)</w:t>
      </w:r>
      <w:r w:rsidRPr="00DA15D4">
        <w:rPr>
          <w:rFonts w:ascii="Franklin Gothic Medium" w:eastAsia="Times New Roman" w:hAnsi="Franklin Gothic Medium" w:cs="Times New Roman"/>
        </w:rPr>
        <w:t xml:space="preserve"> supports a robust, </w:t>
      </w:r>
      <w:r w:rsidR="00511840" w:rsidRPr="00DA15D4">
        <w:rPr>
          <w:rFonts w:ascii="Franklin Gothic Medium" w:eastAsia="Times New Roman" w:hAnsi="Franklin Gothic Medium" w:cs="Times New Roman"/>
        </w:rPr>
        <w:t>efficient,</w:t>
      </w:r>
      <w:r w:rsidRPr="00DA15D4">
        <w:rPr>
          <w:rFonts w:ascii="Franklin Gothic Medium" w:eastAsia="Times New Roman" w:hAnsi="Franklin Gothic Medium" w:cs="Times New Roman"/>
        </w:rPr>
        <w:t xml:space="preserve"> and transparent complaints and dispute resolution framework in the financial system. </w:t>
      </w:r>
      <w:r w:rsidR="00DA5660" w:rsidRPr="00DA15D4">
        <w:rPr>
          <w:rFonts w:ascii="Franklin Gothic Medium" w:eastAsia="Times New Roman" w:hAnsi="Franklin Gothic Medium" w:cs="Times New Roman"/>
        </w:rPr>
        <w:t xml:space="preserve"> </w:t>
      </w:r>
      <w:r w:rsidRPr="00DA15D4">
        <w:rPr>
          <w:rFonts w:ascii="Franklin Gothic Medium" w:eastAsia="Times New Roman" w:hAnsi="Franklin Gothic Medium" w:cs="Times New Roman"/>
        </w:rPr>
        <w:t xml:space="preserve">We support </w:t>
      </w:r>
      <w:r w:rsidR="0034726E" w:rsidRPr="00DA15D4">
        <w:rPr>
          <w:rFonts w:ascii="Franklin Gothic Medium" w:eastAsia="Times New Roman" w:hAnsi="Franklin Gothic Medium" w:cs="Times New Roman"/>
        </w:rPr>
        <w:t>internal dispute resolution (</w:t>
      </w:r>
      <w:r w:rsidRPr="00DA15D4">
        <w:rPr>
          <w:rFonts w:ascii="Franklin Gothic Medium" w:eastAsia="Times New Roman" w:hAnsi="Franklin Gothic Medium" w:cs="Times New Roman"/>
        </w:rPr>
        <w:t>IDR</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 xml:space="preserve"> as a primary forum for dispute resolution, as well as easy access to</w:t>
      </w:r>
      <w:r w:rsidR="0034726E" w:rsidRPr="00DA15D4">
        <w:rPr>
          <w:rFonts w:ascii="Franklin Gothic Medium" w:eastAsia="Times New Roman" w:hAnsi="Franklin Gothic Medium" w:cs="Times New Roman"/>
        </w:rPr>
        <w:t xml:space="preserve"> external dispute resolution</w:t>
      </w:r>
      <w:r w:rsidRPr="00DA15D4">
        <w:rPr>
          <w:rFonts w:ascii="Franklin Gothic Medium" w:eastAsia="Times New Roman" w:hAnsi="Franklin Gothic Medium" w:cs="Times New Roman"/>
        </w:rPr>
        <w:t xml:space="preserve"> </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EDR</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 xml:space="preserve"> where necessary.</w:t>
      </w:r>
      <w:r w:rsidR="00DA5660" w:rsidRPr="00DA15D4">
        <w:rPr>
          <w:rFonts w:ascii="Franklin Gothic Medium" w:eastAsia="Times New Roman" w:hAnsi="Franklin Gothic Medium" w:cs="Times New Roman"/>
        </w:rPr>
        <w:t xml:space="preserve"> </w:t>
      </w:r>
      <w:r w:rsidR="0081653E" w:rsidRPr="00DA15D4">
        <w:rPr>
          <w:rFonts w:ascii="Franklin Gothic Medium" w:eastAsia="Times New Roman" w:hAnsi="Franklin Gothic Medium" w:cs="Times New Roman"/>
        </w:rPr>
        <w:t xml:space="preserve"> </w:t>
      </w:r>
    </w:p>
    <w:p w14:paraId="3E690F74" w14:textId="77777777" w:rsidR="0081653E" w:rsidRPr="00DA15D4" w:rsidRDefault="0081653E" w:rsidP="00DA15D4">
      <w:pPr>
        <w:spacing w:after="0" w:line="240" w:lineRule="auto"/>
        <w:jc w:val="both"/>
        <w:rPr>
          <w:rFonts w:ascii="Franklin Gothic Medium" w:eastAsia="Times New Roman" w:hAnsi="Franklin Gothic Medium"/>
        </w:rPr>
      </w:pPr>
    </w:p>
    <w:p w14:paraId="5F82B2E0" w14:textId="53C38A69" w:rsidR="00A559CE" w:rsidRPr="00DA15D4" w:rsidRDefault="00A559CE"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ARCA is the peak industry body for organisations involved in Australia’s retail credit risk sector, </w:t>
      </w:r>
      <w:r w:rsidR="005A103B" w:rsidRPr="00DA15D4">
        <w:rPr>
          <w:rFonts w:ascii="Franklin Gothic Medium" w:eastAsia="Times New Roman" w:hAnsi="Franklin Gothic Medium" w:cs="Times New Roman"/>
        </w:rPr>
        <w:t>and was</w:t>
      </w:r>
      <w:r w:rsidRPr="00DA15D4">
        <w:rPr>
          <w:rFonts w:ascii="Franklin Gothic Medium" w:eastAsia="Times New Roman" w:hAnsi="Franklin Gothic Medium" w:cs="Times New Roman"/>
        </w:rPr>
        <w:t xml:space="preserve"> established to promote common standards of best practice in credit risk assessment and responsible </w:t>
      </w:r>
      <w:r w:rsidR="00DA5660" w:rsidRPr="00DA15D4">
        <w:rPr>
          <w:rFonts w:ascii="Franklin Gothic Medium" w:eastAsia="Times New Roman" w:hAnsi="Franklin Gothic Medium" w:cs="Times New Roman"/>
        </w:rPr>
        <w:t>lending and to ensure an effective credit reporting system</w:t>
      </w:r>
      <w:r w:rsidRPr="00DA15D4">
        <w:rPr>
          <w:rFonts w:ascii="Franklin Gothic Medium" w:eastAsia="Times New Roman" w:hAnsi="Franklin Gothic Medium" w:cs="Times New Roman"/>
        </w:rPr>
        <w:t xml:space="preserve">. </w:t>
      </w:r>
      <w:r w:rsidR="00750A04" w:rsidRPr="00DA15D4">
        <w:rPr>
          <w:rFonts w:ascii="Franklin Gothic Medium" w:eastAsia="Times New Roman" w:hAnsi="Franklin Gothic Medium" w:cs="Times New Roman"/>
        </w:rPr>
        <w:t xml:space="preserve">  </w:t>
      </w:r>
      <w:r w:rsidRPr="00DA15D4">
        <w:rPr>
          <w:rFonts w:ascii="Franklin Gothic Medium" w:eastAsia="Times New Roman" w:hAnsi="Franklin Gothic Medium" w:cs="Times New Roman"/>
        </w:rPr>
        <w:t>Membership to ARCA is voluntary and incl</w:t>
      </w:r>
      <w:r w:rsidR="00511840" w:rsidRPr="00DA15D4">
        <w:rPr>
          <w:rFonts w:ascii="Franklin Gothic Medium" w:eastAsia="Times New Roman" w:hAnsi="Franklin Gothic Medium" w:cs="Times New Roman"/>
        </w:rPr>
        <w:t>udes nearly all significant banks,</w:t>
      </w:r>
      <w:r w:rsidRPr="00DA15D4">
        <w:rPr>
          <w:rFonts w:ascii="Franklin Gothic Medium" w:eastAsia="Times New Roman" w:hAnsi="Franklin Gothic Medium" w:cs="Times New Roman"/>
        </w:rPr>
        <w:t xml:space="preserve"> consumer credit providers, many key finance companies, and all major Australian credit reporting bodies (CRBs). </w:t>
      </w:r>
      <w:r w:rsidR="00750A04" w:rsidRPr="00DA15D4">
        <w:rPr>
          <w:rFonts w:ascii="Franklin Gothic Medium" w:eastAsia="Times New Roman" w:hAnsi="Franklin Gothic Medium" w:cs="Times New Roman"/>
        </w:rPr>
        <w:t xml:space="preserve"> </w:t>
      </w:r>
      <w:r w:rsidRPr="00DA15D4">
        <w:rPr>
          <w:rFonts w:ascii="Franklin Gothic Medium" w:eastAsia="Times New Roman" w:hAnsi="Franklin Gothic Medium" w:cs="Times New Roman"/>
        </w:rPr>
        <w:t xml:space="preserve">As participants in the </w:t>
      </w:r>
      <w:r w:rsidR="00750A04" w:rsidRPr="00DA15D4">
        <w:rPr>
          <w:rFonts w:ascii="Franklin Gothic Medium" w:eastAsia="Times New Roman" w:hAnsi="Franklin Gothic Medium" w:cs="Times New Roman"/>
        </w:rPr>
        <w:t xml:space="preserve">financial services industry and </w:t>
      </w:r>
      <w:r w:rsidRPr="00DA15D4">
        <w:rPr>
          <w:rFonts w:ascii="Franklin Gothic Medium" w:eastAsia="Times New Roman" w:hAnsi="Franklin Gothic Medium" w:cs="Times New Roman"/>
        </w:rPr>
        <w:t>consumer credit reporting system</w:t>
      </w:r>
      <w:r w:rsidR="00DA5660" w:rsidRPr="00DA15D4">
        <w:rPr>
          <w:rFonts w:ascii="Franklin Gothic Medium" w:eastAsia="Times New Roman" w:hAnsi="Franklin Gothic Medium" w:cs="Times New Roman"/>
        </w:rPr>
        <w:t xml:space="preserve">, ARCA </w:t>
      </w:r>
      <w:r w:rsidRPr="00DA15D4">
        <w:rPr>
          <w:rFonts w:ascii="Franklin Gothic Medium" w:eastAsia="Times New Roman" w:hAnsi="Franklin Gothic Medium" w:cs="Times New Roman"/>
        </w:rPr>
        <w:t xml:space="preserve">Members are </w:t>
      </w:r>
      <w:r w:rsidR="005A103B" w:rsidRPr="00DA15D4">
        <w:rPr>
          <w:rFonts w:ascii="Franklin Gothic Medium" w:eastAsia="Times New Roman" w:hAnsi="Franklin Gothic Medium" w:cs="Times New Roman"/>
        </w:rPr>
        <w:t xml:space="preserve">currently all </w:t>
      </w:r>
      <w:r w:rsidRPr="00DA15D4">
        <w:rPr>
          <w:rFonts w:ascii="Franklin Gothic Medium" w:eastAsia="Times New Roman" w:hAnsi="Franklin Gothic Medium" w:cs="Times New Roman"/>
        </w:rPr>
        <w:t xml:space="preserve">members of </w:t>
      </w:r>
      <w:r w:rsidR="00DA5660" w:rsidRPr="00DA15D4">
        <w:rPr>
          <w:rFonts w:ascii="Franklin Gothic Medium" w:eastAsia="Times New Roman" w:hAnsi="Franklin Gothic Medium" w:cs="Times New Roman"/>
        </w:rPr>
        <w:t xml:space="preserve">either </w:t>
      </w:r>
      <w:r w:rsidRPr="00DA15D4">
        <w:rPr>
          <w:rFonts w:ascii="Franklin Gothic Medium" w:eastAsia="Times New Roman" w:hAnsi="Franklin Gothic Medium" w:cs="Times New Roman"/>
        </w:rPr>
        <w:t xml:space="preserve">the </w:t>
      </w:r>
      <w:r w:rsidR="0034726E" w:rsidRPr="00DA15D4">
        <w:rPr>
          <w:rFonts w:ascii="Franklin Gothic Medium" w:eastAsia="Times New Roman" w:hAnsi="Franklin Gothic Medium" w:cs="Times New Roman"/>
        </w:rPr>
        <w:t>Financial Ombudsman Service (</w:t>
      </w:r>
      <w:r w:rsidRPr="00DA15D4">
        <w:rPr>
          <w:rFonts w:ascii="Franklin Gothic Medium" w:eastAsia="Times New Roman" w:hAnsi="Franklin Gothic Medium" w:cs="Times New Roman"/>
        </w:rPr>
        <w:t>FOS</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 xml:space="preserve"> or the</w:t>
      </w:r>
      <w:r w:rsidR="0034726E" w:rsidRPr="00DA15D4">
        <w:rPr>
          <w:rFonts w:ascii="Franklin Gothic Medium" w:eastAsia="Times New Roman" w:hAnsi="Franklin Gothic Medium" w:cs="Times New Roman"/>
        </w:rPr>
        <w:t xml:space="preserve"> Credit Investments Ombudsman</w:t>
      </w:r>
      <w:r w:rsidRPr="00DA15D4">
        <w:rPr>
          <w:rFonts w:ascii="Franklin Gothic Medium" w:eastAsia="Times New Roman" w:hAnsi="Franklin Gothic Medium" w:cs="Times New Roman"/>
        </w:rPr>
        <w:t xml:space="preserve"> </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CIO</w:t>
      </w:r>
      <w:r w:rsidR="0034726E" w:rsidRPr="00DA15D4">
        <w:rPr>
          <w:rFonts w:ascii="Franklin Gothic Medium" w:eastAsia="Times New Roman" w:hAnsi="Franklin Gothic Medium" w:cs="Times New Roman"/>
        </w:rPr>
        <w:t>)</w:t>
      </w:r>
      <w:r w:rsidRPr="00DA15D4">
        <w:rPr>
          <w:rFonts w:ascii="Franklin Gothic Medium" w:eastAsia="Times New Roman" w:hAnsi="Franklin Gothic Medium" w:cs="Times New Roman"/>
        </w:rPr>
        <w:t>.</w:t>
      </w:r>
    </w:p>
    <w:p w14:paraId="34151E22" w14:textId="77777777" w:rsidR="00A559CE" w:rsidRPr="00DA15D4" w:rsidRDefault="00A559CE" w:rsidP="00DA15D4">
      <w:pPr>
        <w:pStyle w:val="NoSpacing"/>
        <w:jc w:val="both"/>
        <w:rPr>
          <w:rFonts w:ascii="Franklin Gothic Medium" w:eastAsia="Times New Roman" w:hAnsi="Franklin Gothic Medium" w:cs="Times New Roman"/>
        </w:rPr>
      </w:pPr>
    </w:p>
    <w:p w14:paraId="2931C144" w14:textId="0478A6C8" w:rsidR="005A103B" w:rsidRPr="00DA15D4" w:rsidRDefault="00DA5660"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In our submissions </w:t>
      </w:r>
      <w:r w:rsidR="0081653E" w:rsidRPr="00DA15D4">
        <w:rPr>
          <w:rFonts w:ascii="Franklin Gothic Medium" w:eastAsia="Times New Roman" w:hAnsi="Franklin Gothic Medium" w:cs="Times New Roman"/>
        </w:rPr>
        <w:t xml:space="preserve">to the </w:t>
      </w:r>
      <w:r w:rsidRPr="00DA15D4">
        <w:rPr>
          <w:rFonts w:ascii="Franklin Gothic Medium" w:eastAsia="Times New Roman" w:hAnsi="Franklin Gothic Medium" w:cs="Times New Roman"/>
        </w:rPr>
        <w:t xml:space="preserve">Ramsay </w:t>
      </w:r>
      <w:r w:rsidR="0081653E" w:rsidRPr="00DA15D4">
        <w:rPr>
          <w:rFonts w:ascii="Franklin Gothic Medium" w:eastAsia="Times New Roman" w:hAnsi="Franklin Gothic Medium" w:cs="Times New Roman"/>
        </w:rPr>
        <w:t xml:space="preserve">Review, ARCA noted that it did not support a single EDR scheme. </w:t>
      </w:r>
      <w:r w:rsidR="005A103B" w:rsidRPr="00DA15D4">
        <w:rPr>
          <w:rFonts w:ascii="Franklin Gothic Medium" w:eastAsia="Times New Roman" w:hAnsi="Franklin Gothic Medium" w:cs="Times New Roman"/>
        </w:rPr>
        <w:t xml:space="preserve"> We remain conc</w:t>
      </w:r>
      <w:r w:rsidR="00511840" w:rsidRPr="00DA15D4">
        <w:rPr>
          <w:rFonts w:ascii="Franklin Gothic Medium" w:eastAsia="Times New Roman" w:hAnsi="Franklin Gothic Medium" w:cs="Times New Roman"/>
        </w:rPr>
        <w:t xml:space="preserve">erned that a single </w:t>
      </w:r>
      <w:r w:rsidR="005A103B" w:rsidRPr="00DA15D4">
        <w:rPr>
          <w:rFonts w:ascii="Franklin Gothic Medium" w:eastAsia="Times New Roman" w:hAnsi="Franklin Gothic Medium" w:cs="Times New Roman"/>
        </w:rPr>
        <w:t>EDR scheme structure has the potential to lead to lower levels of accountability</w:t>
      </w:r>
      <w:r w:rsidR="00EC0C33" w:rsidRPr="00DA15D4">
        <w:rPr>
          <w:rFonts w:ascii="Franklin Gothic Medium" w:eastAsia="Times New Roman" w:hAnsi="Franklin Gothic Medium" w:cs="Times New Roman"/>
        </w:rPr>
        <w:t xml:space="preserve"> and effectiveness.</w:t>
      </w:r>
      <w:r w:rsidR="005A103B" w:rsidRPr="00DA15D4">
        <w:rPr>
          <w:rFonts w:ascii="Franklin Gothic Medium" w:eastAsia="Times New Roman" w:hAnsi="Franklin Gothic Medium" w:cs="Times New Roman"/>
        </w:rPr>
        <w:t xml:space="preserve">  However, given that government has accepted the Ramsay Review r</w:t>
      </w:r>
      <w:r w:rsidR="00511840" w:rsidRPr="00DA15D4">
        <w:rPr>
          <w:rFonts w:ascii="Franklin Gothic Medium" w:eastAsia="Times New Roman" w:hAnsi="Franklin Gothic Medium" w:cs="Times New Roman"/>
        </w:rPr>
        <w:t xml:space="preserve">ecommendations </w:t>
      </w:r>
      <w:r w:rsidR="004E7E19">
        <w:rPr>
          <w:rFonts w:ascii="Franklin Gothic Medium" w:eastAsia="Times New Roman" w:hAnsi="Franklin Gothic Medium" w:cs="Times New Roman"/>
        </w:rPr>
        <w:t xml:space="preserve">in this regard </w:t>
      </w:r>
      <w:r w:rsidR="00511840" w:rsidRPr="00DA15D4">
        <w:rPr>
          <w:rFonts w:ascii="Franklin Gothic Medium" w:eastAsia="Times New Roman" w:hAnsi="Franklin Gothic Medium" w:cs="Times New Roman"/>
        </w:rPr>
        <w:t>and announced its</w:t>
      </w:r>
      <w:r w:rsidR="005A103B" w:rsidRPr="00DA15D4">
        <w:rPr>
          <w:rFonts w:ascii="Franklin Gothic Medium" w:eastAsia="Times New Roman" w:hAnsi="Franklin Gothic Medium" w:cs="Times New Roman"/>
        </w:rPr>
        <w:t xml:space="preserve"> intention to proceed with a single EDR scheme structure, the focus of this</w:t>
      </w:r>
      <w:r w:rsidR="00EC0C33" w:rsidRPr="00DA15D4">
        <w:rPr>
          <w:rFonts w:ascii="Franklin Gothic Medium" w:eastAsia="Times New Roman" w:hAnsi="Franklin Gothic Medium" w:cs="Times New Roman"/>
        </w:rPr>
        <w:t xml:space="preserve"> submission is on those factors and issues</w:t>
      </w:r>
      <w:r w:rsidR="005A103B" w:rsidRPr="00DA15D4">
        <w:rPr>
          <w:rFonts w:ascii="Franklin Gothic Medium" w:eastAsia="Times New Roman" w:hAnsi="Franklin Gothic Medium" w:cs="Times New Roman"/>
        </w:rPr>
        <w:t xml:space="preserve"> </w:t>
      </w:r>
      <w:r w:rsidR="00EC0C33" w:rsidRPr="00DA15D4">
        <w:rPr>
          <w:rFonts w:ascii="Franklin Gothic Medium" w:eastAsia="Times New Roman" w:hAnsi="Franklin Gothic Medium" w:cs="Times New Roman"/>
        </w:rPr>
        <w:t>considered</w:t>
      </w:r>
      <w:r w:rsidR="005A103B" w:rsidRPr="00DA15D4">
        <w:rPr>
          <w:rFonts w:ascii="Franklin Gothic Medium" w:eastAsia="Times New Roman" w:hAnsi="Franklin Gothic Medium" w:cs="Times New Roman"/>
        </w:rPr>
        <w:t xml:space="preserve"> to be essential for the effective and accountable operation </w:t>
      </w:r>
      <w:r w:rsidR="00EC0C33" w:rsidRPr="00DA15D4">
        <w:rPr>
          <w:rFonts w:ascii="Franklin Gothic Medium" w:eastAsia="Times New Roman" w:hAnsi="Franklin Gothic Medium" w:cs="Times New Roman"/>
        </w:rPr>
        <w:t>of the intended “one stop</w:t>
      </w:r>
      <w:r w:rsidR="00511840" w:rsidRPr="00DA15D4">
        <w:rPr>
          <w:rFonts w:ascii="Franklin Gothic Medium" w:eastAsia="Times New Roman" w:hAnsi="Franklin Gothic Medium" w:cs="Times New Roman"/>
        </w:rPr>
        <w:t xml:space="preserve"> shop</w:t>
      </w:r>
      <w:r w:rsidR="00EC0C33" w:rsidRPr="00DA15D4">
        <w:rPr>
          <w:rFonts w:ascii="Franklin Gothic Medium" w:eastAsia="Times New Roman" w:hAnsi="Franklin Gothic Medium" w:cs="Times New Roman"/>
        </w:rPr>
        <w:t>”</w:t>
      </w:r>
      <w:r w:rsidR="005A103B" w:rsidRPr="00DA15D4">
        <w:rPr>
          <w:rFonts w:ascii="Franklin Gothic Medium" w:eastAsia="Times New Roman" w:hAnsi="Franklin Gothic Medium" w:cs="Times New Roman"/>
        </w:rPr>
        <w:t xml:space="preserve">. </w:t>
      </w:r>
    </w:p>
    <w:p w14:paraId="74D0090B" w14:textId="77777777" w:rsidR="00EC0C33" w:rsidRPr="00DA15D4" w:rsidRDefault="00EC0C33" w:rsidP="00DA15D4">
      <w:pPr>
        <w:pStyle w:val="NoSpacing"/>
        <w:jc w:val="both"/>
        <w:rPr>
          <w:rFonts w:ascii="Franklin Gothic Medium" w:eastAsia="Times New Roman" w:hAnsi="Franklin Gothic Medium" w:cs="Times New Roman"/>
        </w:rPr>
      </w:pPr>
    </w:p>
    <w:p w14:paraId="1A7CAA4F" w14:textId="2D0FB84E" w:rsidR="0034726E" w:rsidRDefault="0034726E"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The </w:t>
      </w:r>
      <w:r w:rsidR="00DA5660" w:rsidRPr="00DA15D4">
        <w:rPr>
          <w:rFonts w:ascii="Franklin Gothic Medium" w:eastAsia="Times New Roman" w:hAnsi="Franklin Gothic Medium" w:cs="Times New Roman"/>
        </w:rPr>
        <w:t>key weakness of</w:t>
      </w:r>
      <w:r w:rsidRPr="00DA15D4">
        <w:rPr>
          <w:rFonts w:ascii="Franklin Gothic Medium" w:eastAsia="Times New Roman" w:hAnsi="Franklin Gothic Medium" w:cs="Times New Roman"/>
        </w:rPr>
        <w:t xml:space="preserve"> current EDR decision-making is its</w:t>
      </w:r>
      <w:r w:rsidR="00DA5660" w:rsidRPr="00DA15D4">
        <w:rPr>
          <w:rFonts w:ascii="Franklin Gothic Medium" w:eastAsia="Times New Roman" w:hAnsi="Franklin Gothic Medium" w:cs="Times New Roman"/>
        </w:rPr>
        <w:t xml:space="preserve"> uncertainty</w:t>
      </w:r>
      <w:r w:rsidRPr="00DA15D4">
        <w:rPr>
          <w:rFonts w:ascii="Franklin Gothic Medium" w:eastAsia="Times New Roman" w:hAnsi="Franklin Gothic Medium" w:cs="Times New Roman"/>
        </w:rPr>
        <w:t xml:space="preserve"> and inconsistency</w:t>
      </w:r>
      <w:r w:rsidR="00DA5660" w:rsidRPr="00DA15D4">
        <w:rPr>
          <w:rFonts w:ascii="Franklin Gothic Medium" w:eastAsia="Times New Roman" w:hAnsi="Franklin Gothic Medium" w:cs="Times New Roman"/>
        </w:rPr>
        <w:t xml:space="preserve">. </w:t>
      </w:r>
      <w:r w:rsidRPr="00DA15D4">
        <w:rPr>
          <w:rFonts w:ascii="Franklin Gothic Medium" w:eastAsia="Times New Roman" w:hAnsi="Franklin Gothic Medium" w:cs="Times New Roman"/>
        </w:rPr>
        <w:t>The impact</w:t>
      </w:r>
      <w:r w:rsidR="00731C88" w:rsidRPr="00DA15D4">
        <w:rPr>
          <w:rFonts w:ascii="Franklin Gothic Medium" w:eastAsia="Times New Roman" w:hAnsi="Franklin Gothic Medium" w:cs="Times New Roman"/>
        </w:rPr>
        <w:t xml:space="preserve"> of this cannot be understated as </w:t>
      </w:r>
      <w:r w:rsidRPr="00DA15D4">
        <w:rPr>
          <w:rFonts w:ascii="Franklin Gothic Medium" w:eastAsia="Times New Roman" w:hAnsi="Franklin Gothic Medium" w:cs="Times New Roman"/>
        </w:rPr>
        <w:t>the cost of compliance arising from the current EDR decision-making is significant.</w:t>
      </w:r>
      <w:r w:rsidR="00750A04" w:rsidRPr="00DA15D4">
        <w:rPr>
          <w:rFonts w:ascii="Franklin Gothic Medium" w:eastAsia="Times New Roman" w:hAnsi="Franklin Gothic Medium" w:cs="Times New Roman"/>
        </w:rPr>
        <w:t xml:space="preserve"> </w:t>
      </w:r>
      <w:r w:rsidR="00DA5660" w:rsidRPr="00DA15D4">
        <w:rPr>
          <w:rFonts w:ascii="Franklin Gothic Medium" w:eastAsia="Times New Roman" w:hAnsi="Franklin Gothic Medium" w:cs="Times New Roman"/>
        </w:rPr>
        <w:t xml:space="preserve">Many credit providers are reluctant to </w:t>
      </w:r>
      <w:r w:rsidRPr="00DA15D4">
        <w:rPr>
          <w:rFonts w:ascii="Franklin Gothic Medium" w:eastAsia="Times New Roman" w:hAnsi="Franklin Gothic Medium" w:cs="Times New Roman"/>
        </w:rPr>
        <w:t>disclose credit information</w:t>
      </w:r>
      <w:r w:rsidR="00DA5660" w:rsidRPr="00DA15D4">
        <w:rPr>
          <w:rFonts w:ascii="Franklin Gothic Medium" w:eastAsia="Times New Roman" w:hAnsi="Franklin Gothic Medium" w:cs="Times New Roman"/>
        </w:rPr>
        <w:t xml:space="preserve"> to </w:t>
      </w:r>
      <w:r w:rsidR="00731C88" w:rsidRPr="00DA15D4">
        <w:rPr>
          <w:rFonts w:ascii="Franklin Gothic Medium" w:eastAsia="Times New Roman" w:hAnsi="Franklin Gothic Medium" w:cs="Times New Roman"/>
        </w:rPr>
        <w:t>CRBs</w:t>
      </w:r>
      <w:r w:rsidRPr="00DA15D4">
        <w:rPr>
          <w:rFonts w:ascii="Franklin Gothic Medium" w:eastAsia="Times New Roman" w:hAnsi="Franklin Gothic Medium" w:cs="Times New Roman"/>
        </w:rPr>
        <w:t xml:space="preserve"> </w:t>
      </w:r>
      <w:r w:rsidR="00DA5660" w:rsidRPr="00DA15D4">
        <w:rPr>
          <w:rFonts w:ascii="Franklin Gothic Medium" w:eastAsia="Times New Roman" w:hAnsi="Franklin Gothic Medium" w:cs="Times New Roman"/>
        </w:rPr>
        <w:t xml:space="preserve">because </w:t>
      </w:r>
      <w:r w:rsidRPr="00DA15D4">
        <w:rPr>
          <w:rFonts w:ascii="Franklin Gothic Medium" w:eastAsia="Times New Roman" w:hAnsi="Franklin Gothic Medium" w:cs="Times New Roman"/>
        </w:rPr>
        <w:t>of concerns that an adverse EDR decision</w:t>
      </w:r>
      <w:r w:rsidR="00731C88" w:rsidRPr="00DA15D4">
        <w:rPr>
          <w:rFonts w:ascii="Franklin Gothic Medium" w:eastAsia="Times New Roman" w:hAnsi="Franklin Gothic Medium" w:cs="Times New Roman"/>
        </w:rPr>
        <w:t xml:space="preserve">, based at times on a </w:t>
      </w:r>
      <w:r w:rsidR="00731C88" w:rsidRPr="00DA15D4">
        <w:rPr>
          <w:rFonts w:ascii="Franklin Gothic Medium" w:eastAsia="Times New Roman" w:hAnsi="Franklin Gothic Medium" w:cs="Times New Roman"/>
        </w:rPr>
        <w:lastRenderedPageBreak/>
        <w:t>misinterpretation of law,</w:t>
      </w:r>
      <w:r w:rsidRPr="00DA15D4">
        <w:rPr>
          <w:rFonts w:ascii="Franklin Gothic Medium" w:eastAsia="Times New Roman" w:hAnsi="Franklin Gothic Medium" w:cs="Times New Roman"/>
        </w:rPr>
        <w:t xml:space="preserve"> could force that credit provider to re-configure its credit reporting systems, or remove large amounts of credit information</w:t>
      </w:r>
      <w:r w:rsidR="009A66FD" w:rsidRPr="00DA15D4">
        <w:rPr>
          <w:rFonts w:ascii="Franklin Gothic Medium" w:eastAsia="Times New Roman" w:hAnsi="Franklin Gothic Medium" w:cs="Times New Roman"/>
        </w:rPr>
        <w:t xml:space="preserve"> from the credit reporting system</w:t>
      </w:r>
      <w:r w:rsidR="00DA5660" w:rsidRPr="00DA15D4">
        <w:rPr>
          <w:rFonts w:ascii="Franklin Gothic Medium" w:eastAsia="Times New Roman" w:hAnsi="Franklin Gothic Medium" w:cs="Times New Roman"/>
        </w:rPr>
        <w:t xml:space="preserve">. </w:t>
      </w:r>
      <w:r w:rsidR="00750A04" w:rsidRPr="00DA15D4">
        <w:rPr>
          <w:rFonts w:ascii="Franklin Gothic Medium" w:eastAsia="Times New Roman" w:hAnsi="Franklin Gothic Medium" w:cs="Times New Roman"/>
        </w:rPr>
        <w:t xml:space="preserve"> </w:t>
      </w:r>
    </w:p>
    <w:p w14:paraId="4F1E5E94" w14:textId="77777777" w:rsidR="00DA15D4" w:rsidRPr="00DA15D4" w:rsidRDefault="00DA15D4" w:rsidP="00DA15D4">
      <w:pPr>
        <w:pStyle w:val="NoSpacing"/>
        <w:jc w:val="both"/>
        <w:rPr>
          <w:rFonts w:ascii="Franklin Gothic Medium" w:eastAsia="Times New Roman" w:hAnsi="Franklin Gothic Medium" w:cs="Times New Roman"/>
        </w:rPr>
      </w:pPr>
    </w:p>
    <w:p w14:paraId="40B40609" w14:textId="37D13EB4" w:rsidR="008B507E" w:rsidRPr="00DA15D4" w:rsidRDefault="0034726E"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The credit reporting provisions in Part IIIA of the Privacy Act 1988</w:t>
      </w:r>
      <w:r w:rsidR="008B507E" w:rsidRPr="00DA15D4">
        <w:rPr>
          <w:rFonts w:ascii="Franklin Gothic Medium" w:eastAsia="Times New Roman" w:hAnsi="Franklin Gothic Medium" w:cs="Times New Roman"/>
        </w:rPr>
        <w:t xml:space="preserve"> (Privacy Act)</w:t>
      </w:r>
      <w:r w:rsidRPr="00DA15D4">
        <w:rPr>
          <w:rFonts w:ascii="Franklin Gothic Medium" w:eastAsia="Times New Roman" w:hAnsi="Franklin Gothic Medium" w:cs="Times New Roman"/>
        </w:rPr>
        <w:t xml:space="preserve">, the Privacy Regulation 2013 and the Privacy (Credit Reporting) Code 2014 (CR Code) put in place a </w:t>
      </w:r>
      <w:r w:rsidR="009A66FD" w:rsidRPr="00DA15D4">
        <w:rPr>
          <w:rFonts w:ascii="Franklin Gothic Medium" w:eastAsia="Times New Roman" w:hAnsi="Franklin Gothic Medium" w:cs="Times New Roman"/>
        </w:rPr>
        <w:t xml:space="preserve">set of </w:t>
      </w:r>
      <w:r w:rsidRPr="00DA15D4">
        <w:rPr>
          <w:rFonts w:ascii="Franklin Gothic Medium" w:eastAsia="Times New Roman" w:hAnsi="Franklin Gothic Medium" w:cs="Times New Roman"/>
        </w:rPr>
        <w:t xml:space="preserve">highly prescriptive </w:t>
      </w:r>
      <w:r w:rsidR="009A66FD" w:rsidRPr="00DA15D4">
        <w:rPr>
          <w:rFonts w:ascii="Franklin Gothic Medium" w:eastAsia="Times New Roman" w:hAnsi="Franklin Gothic Medium" w:cs="Times New Roman"/>
        </w:rPr>
        <w:t xml:space="preserve">and </w:t>
      </w:r>
      <w:r w:rsidRPr="00DA15D4">
        <w:rPr>
          <w:rFonts w:ascii="Franklin Gothic Medium" w:eastAsia="Times New Roman" w:hAnsi="Franklin Gothic Medium" w:cs="Times New Roman"/>
        </w:rPr>
        <w:t xml:space="preserve">detailed compliance requirements for both credit providers and credit reporting bodies. ARCA, as Code Drafter of the CR Code, spent considerable time consulting with industry, consumer groups, EDR schemes and a range of impacted organisations to ensure the CR Code </w:t>
      </w:r>
      <w:r w:rsidR="008B507E" w:rsidRPr="00DA15D4">
        <w:rPr>
          <w:rFonts w:ascii="Franklin Gothic Medium" w:eastAsia="Times New Roman" w:hAnsi="Franklin Gothic Medium" w:cs="Times New Roman"/>
        </w:rPr>
        <w:t>gave operational effect to the Privacy Act provisions.</w:t>
      </w:r>
    </w:p>
    <w:p w14:paraId="568A0074" w14:textId="77777777" w:rsidR="00DA15D4" w:rsidRDefault="00DA15D4" w:rsidP="00DA15D4">
      <w:pPr>
        <w:pStyle w:val="NoSpacing"/>
        <w:jc w:val="both"/>
        <w:rPr>
          <w:rFonts w:ascii="Franklin Gothic Medium" w:eastAsia="Times New Roman" w:hAnsi="Franklin Gothic Medium" w:cs="Times New Roman"/>
        </w:rPr>
      </w:pPr>
    </w:p>
    <w:p w14:paraId="2BC87255" w14:textId="39687051" w:rsidR="000E1EA1" w:rsidRPr="00DA15D4" w:rsidRDefault="000E1EA1"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For background, FOS determinations issued by Ombudsmen are binding on credit providers and credit reporting bodies. The bulk of decisions made by EDR schemes will be Recommendations (which are not currently available for review). Although Recommendations will not bind the credit providers and CRBs, they will often be accepted for commercial reasons (i.e. avoiding incurring the higher EDR fees associated with the issue of Determinations).</w:t>
      </w:r>
    </w:p>
    <w:p w14:paraId="479A2EB9" w14:textId="77777777" w:rsidR="00DA15D4" w:rsidRDefault="00DA15D4" w:rsidP="00DA15D4">
      <w:pPr>
        <w:pStyle w:val="NoSpacing"/>
        <w:jc w:val="both"/>
        <w:rPr>
          <w:rFonts w:ascii="Franklin Gothic Medium" w:eastAsia="Times New Roman" w:hAnsi="Franklin Gothic Medium" w:cs="Times New Roman"/>
        </w:rPr>
      </w:pPr>
    </w:p>
    <w:p w14:paraId="715F4D8A" w14:textId="074044C0" w:rsidR="00731C88" w:rsidRPr="00DA15D4" w:rsidRDefault="00731C88" w:rsidP="00DA15D4">
      <w:pPr>
        <w:pStyle w:val="NoSpacing"/>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Following a review of FOS </w:t>
      </w:r>
      <w:r w:rsidR="000E1EA1" w:rsidRPr="00DA15D4">
        <w:rPr>
          <w:rFonts w:ascii="Franklin Gothic Medium" w:eastAsia="Times New Roman" w:hAnsi="Franklin Gothic Medium" w:cs="Times New Roman"/>
        </w:rPr>
        <w:t>d</w:t>
      </w:r>
      <w:r w:rsidRPr="00DA15D4">
        <w:rPr>
          <w:rFonts w:ascii="Franklin Gothic Medium" w:eastAsia="Times New Roman" w:hAnsi="Franklin Gothic Medium" w:cs="Times New Roman"/>
        </w:rPr>
        <w:t xml:space="preserve">eterminations database, ARCA has </w:t>
      </w:r>
      <w:r w:rsidR="000E1EA1" w:rsidRPr="00DA15D4">
        <w:rPr>
          <w:rFonts w:ascii="Franklin Gothic Medium" w:eastAsia="Times New Roman" w:hAnsi="Franklin Gothic Medium" w:cs="Times New Roman"/>
        </w:rPr>
        <w:t>found examples where EDR schemes:</w:t>
      </w:r>
    </w:p>
    <w:p w14:paraId="5F0C2739" w14:textId="77777777" w:rsidR="00DA15D4" w:rsidRDefault="00DA15D4" w:rsidP="00DA15D4">
      <w:pPr>
        <w:pStyle w:val="NoSpacing"/>
        <w:jc w:val="both"/>
        <w:rPr>
          <w:rFonts w:ascii="Franklin Gothic Medium" w:eastAsia="Times New Roman" w:hAnsi="Franklin Gothic Medium" w:cs="Times New Roman"/>
        </w:rPr>
      </w:pPr>
    </w:p>
    <w:p w14:paraId="7231C401" w14:textId="016F720C" w:rsidR="008B507E" w:rsidRPr="00DA15D4" w:rsidRDefault="008B507E" w:rsidP="00DA15D4">
      <w:pPr>
        <w:pStyle w:val="NoSpacing"/>
        <w:numPr>
          <w:ilvl w:val="0"/>
          <w:numId w:val="13"/>
        </w:numPr>
        <w:jc w:val="both"/>
        <w:rPr>
          <w:rFonts w:ascii="Franklin Gothic Medium" w:eastAsia="Times New Roman" w:hAnsi="Franklin Gothic Medium" w:cs="Times New Roman"/>
        </w:rPr>
      </w:pPr>
      <w:r w:rsidRPr="006E6DE0">
        <w:rPr>
          <w:rFonts w:ascii="Franklin Gothic Medium" w:eastAsia="Times New Roman" w:hAnsi="Franklin Gothic Medium" w:cs="Times New Roman"/>
          <w:b/>
        </w:rPr>
        <w:t>Fail to apply the current Privacy Act provisions</w:t>
      </w:r>
      <w:r w:rsidRPr="00DA15D4">
        <w:rPr>
          <w:rFonts w:ascii="Franklin Gothic Medium" w:eastAsia="Times New Roman" w:hAnsi="Franklin Gothic Medium" w:cs="Times New Roman"/>
        </w:rPr>
        <w:t xml:space="preserve">. For instance, two default listing determinations issued by FOS over a year after commencement of the new Part IIIA (case numbers 377369 and 362597) applied the pre-2014 Privacy Act requirements. This meant that critical changes to the default listing process, such as the requirement for two notices to be issued, was ignored in these determinations. </w:t>
      </w:r>
    </w:p>
    <w:p w14:paraId="502CFDE1" w14:textId="77777777" w:rsidR="00681DBE" w:rsidRPr="00DA15D4" w:rsidRDefault="00681DBE" w:rsidP="00DA15D4">
      <w:pPr>
        <w:pStyle w:val="NoSpacing"/>
        <w:jc w:val="both"/>
        <w:rPr>
          <w:rFonts w:ascii="Franklin Gothic Medium" w:eastAsia="Times New Roman" w:hAnsi="Franklin Gothic Medium" w:cs="Times New Roman"/>
        </w:rPr>
      </w:pPr>
    </w:p>
    <w:p w14:paraId="6561848D" w14:textId="6860891C" w:rsidR="009A66FD" w:rsidRDefault="008B507E" w:rsidP="00DA15D4">
      <w:pPr>
        <w:pStyle w:val="NoSpacing"/>
        <w:numPr>
          <w:ilvl w:val="0"/>
          <w:numId w:val="13"/>
        </w:numPr>
        <w:jc w:val="both"/>
        <w:rPr>
          <w:rFonts w:ascii="Franklin Gothic Medium" w:eastAsia="Times New Roman" w:hAnsi="Franklin Gothic Medium" w:cs="Times New Roman"/>
        </w:rPr>
      </w:pPr>
      <w:r w:rsidRPr="006E6DE0">
        <w:rPr>
          <w:rFonts w:ascii="Franklin Gothic Medium" w:eastAsia="Times New Roman" w:hAnsi="Franklin Gothic Medium" w:cs="Times New Roman"/>
          <w:b/>
        </w:rPr>
        <w:t>Evidence a lack of knowledge or understanding of the provisions of the CR Code.</w:t>
      </w:r>
      <w:r w:rsidRPr="00DA15D4">
        <w:rPr>
          <w:rFonts w:ascii="Franklin Gothic Medium" w:eastAsia="Times New Roman" w:hAnsi="Franklin Gothic Medium" w:cs="Times New Roman"/>
        </w:rPr>
        <w:t xml:space="preserve"> </w:t>
      </w:r>
      <w:r w:rsidR="002E4EAD" w:rsidRPr="00DA15D4">
        <w:rPr>
          <w:rFonts w:ascii="Franklin Gothic Medium" w:eastAsia="Times New Roman" w:hAnsi="Franklin Gothic Medium" w:cs="Times New Roman"/>
        </w:rPr>
        <w:t xml:space="preserve">In fact, the Determinations issued by FOS rarely </w:t>
      </w:r>
      <w:r w:rsidR="004E4558" w:rsidRPr="00DA15D4">
        <w:rPr>
          <w:rFonts w:ascii="Franklin Gothic Medium" w:eastAsia="Times New Roman" w:hAnsi="Franklin Gothic Medium" w:cs="Times New Roman"/>
        </w:rPr>
        <w:t>reference the CR Code. Yet, a breach of the</w:t>
      </w:r>
      <w:r w:rsidR="002E4EAD" w:rsidRPr="00DA15D4">
        <w:rPr>
          <w:rFonts w:ascii="Franklin Gothic Medium" w:eastAsia="Times New Roman" w:hAnsi="Franklin Gothic Medium" w:cs="Times New Roman"/>
        </w:rPr>
        <w:t xml:space="preserve"> CR Code ha</w:t>
      </w:r>
      <w:r w:rsidR="004E4558" w:rsidRPr="00DA15D4">
        <w:rPr>
          <w:rFonts w:ascii="Franklin Gothic Medium" w:eastAsia="Times New Roman" w:hAnsi="Franklin Gothic Medium" w:cs="Times New Roman"/>
        </w:rPr>
        <w:t>s</w:t>
      </w:r>
      <w:r w:rsidR="002E4EAD" w:rsidRPr="00DA15D4">
        <w:rPr>
          <w:rFonts w:ascii="Franklin Gothic Medium" w:eastAsia="Times New Roman" w:hAnsi="Franklin Gothic Medium" w:cs="Times New Roman"/>
        </w:rPr>
        <w:t xml:space="preserve"> the </w:t>
      </w:r>
      <w:r w:rsidR="004E4558" w:rsidRPr="00DA15D4">
        <w:rPr>
          <w:rFonts w:ascii="Franklin Gothic Medium" w:eastAsia="Times New Roman" w:hAnsi="Franklin Gothic Medium" w:cs="Times New Roman"/>
        </w:rPr>
        <w:t xml:space="preserve">same effect as a breach of the Privacy Act, and the CR Code contains significant operative provisions, particularly concerning default listings (which appear to form the bulk of </w:t>
      </w:r>
      <w:r w:rsidR="009A66FD" w:rsidRPr="00DA15D4">
        <w:rPr>
          <w:rFonts w:ascii="Franklin Gothic Medium" w:eastAsia="Times New Roman" w:hAnsi="Franklin Gothic Medium" w:cs="Times New Roman"/>
        </w:rPr>
        <w:t xml:space="preserve">EDR </w:t>
      </w:r>
      <w:r w:rsidR="004E4558" w:rsidRPr="00DA15D4">
        <w:rPr>
          <w:rFonts w:ascii="Franklin Gothic Medium" w:eastAsia="Times New Roman" w:hAnsi="Franklin Gothic Medium" w:cs="Times New Roman"/>
        </w:rPr>
        <w:t xml:space="preserve">credit listing disputes). </w:t>
      </w:r>
    </w:p>
    <w:p w14:paraId="415D74E6" w14:textId="77777777" w:rsidR="00DA15D4" w:rsidRDefault="00DA15D4" w:rsidP="00DA15D4">
      <w:pPr>
        <w:pStyle w:val="NoSpacing"/>
        <w:jc w:val="both"/>
        <w:rPr>
          <w:rFonts w:ascii="Franklin Gothic Medium" w:eastAsia="Times New Roman" w:hAnsi="Franklin Gothic Medium" w:cs="Times New Roman"/>
        </w:rPr>
      </w:pPr>
    </w:p>
    <w:p w14:paraId="434641CE" w14:textId="5A78F520" w:rsidR="00864B0A" w:rsidRDefault="004E4558" w:rsidP="00DA15D4">
      <w:pPr>
        <w:pStyle w:val="NoSpacing"/>
        <w:ind w:left="720"/>
        <w:jc w:val="both"/>
        <w:rPr>
          <w:rFonts w:ascii="Franklin Gothic Medium" w:eastAsia="Times New Roman" w:hAnsi="Franklin Gothic Medium" w:cs="Times New Roman"/>
        </w:rPr>
      </w:pPr>
      <w:r w:rsidRPr="00DA15D4">
        <w:rPr>
          <w:rFonts w:ascii="Franklin Gothic Medium" w:eastAsia="Times New Roman" w:hAnsi="Franklin Gothic Medium" w:cs="Times New Roman"/>
        </w:rPr>
        <w:t xml:space="preserve">An example of how omitting reference to the CR Code results in incorrect decisions occurred in FOS determination (case number 440247) which relied only on the Privacy Act requirements for </w:t>
      </w:r>
      <w:r w:rsidRPr="00DA15D4">
        <w:rPr>
          <w:rFonts w:ascii="Franklin Gothic Medium" w:eastAsia="Times New Roman" w:hAnsi="Franklin Gothic Medium" w:cs="Times New Roman"/>
          <w:i/>
        </w:rPr>
        <w:t>giving</w:t>
      </w:r>
      <w:r w:rsidRPr="00DA15D4">
        <w:rPr>
          <w:rFonts w:ascii="Franklin Gothic Medium" w:eastAsia="Times New Roman" w:hAnsi="Franklin Gothic Medium" w:cs="Times New Roman"/>
        </w:rPr>
        <w:t xml:space="preserve"> a second notice </w:t>
      </w:r>
      <w:r w:rsidRPr="00DA15D4">
        <w:rPr>
          <w:rFonts w:ascii="Franklin Gothic Medium" w:eastAsia="Times New Roman" w:hAnsi="Franklin Gothic Medium" w:cs="Times New Roman"/>
          <w:i/>
        </w:rPr>
        <w:t>before</w:t>
      </w:r>
      <w:r w:rsidRPr="00DA15D4">
        <w:rPr>
          <w:rFonts w:ascii="Franklin Gothic Medium" w:eastAsia="Times New Roman" w:hAnsi="Franklin Gothic Medium" w:cs="Times New Roman"/>
        </w:rPr>
        <w:t xml:space="preserve"> default listing. By contrast, paragraph 9.3 of the CR Code clearly stipulates that a second notice should be </w:t>
      </w:r>
      <w:r w:rsidRPr="00DA15D4">
        <w:rPr>
          <w:rFonts w:ascii="Franklin Gothic Medium" w:eastAsia="Times New Roman" w:hAnsi="Franklin Gothic Medium" w:cs="Times New Roman"/>
          <w:i/>
        </w:rPr>
        <w:t>issued</w:t>
      </w:r>
      <w:r w:rsidRPr="00DA15D4">
        <w:rPr>
          <w:rFonts w:ascii="Franklin Gothic Medium" w:eastAsia="Times New Roman" w:hAnsi="Franklin Gothic Medium" w:cs="Times New Roman"/>
        </w:rPr>
        <w:t xml:space="preserve"> at least 14 days prior to disclosure of default information. The result was that the determination effectively created a new requirement for a credit provider to allow sufficient time for an individual to receive a notice before defaul</w:t>
      </w:r>
      <w:r w:rsidR="00731C88" w:rsidRPr="00DA15D4">
        <w:rPr>
          <w:rFonts w:ascii="Franklin Gothic Medium" w:eastAsia="Times New Roman" w:hAnsi="Franklin Gothic Medium" w:cs="Times New Roman"/>
        </w:rPr>
        <w:t>t listing. The extra time period</w:t>
      </w:r>
      <w:r w:rsidRPr="00DA15D4">
        <w:rPr>
          <w:rFonts w:ascii="Franklin Gothic Medium" w:eastAsia="Times New Roman" w:hAnsi="Franklin Gothic Medium" w:cs="Times New Roman"/>
        </w:rPr>
        <w:t xml:space="preserve"> required by FOS was four days, which then meant the default listing (which was otherwise issued in the proper time</w:t>
      </w:r>
      <w:r w:rsidR="009A66FD" w:rsidRPr="00DA15D4">
        <w:rPr>
          <w:rFonts w:ascii="Franklin Gothic Medium" w:eastAsia="Times New Roman" w:hAnsi="Franklin Gothic Medium" w:cs="Times New Roman"/>
        </w:rPr>
        <w:t xml:space="preserve"> under the CR Code</w:t>
      </w:r>
      <w:r w:rsidRPr="00DA15D4">
        <w:rPr>
          <w:rFonts w:ascii="Franklin Gothic Medium" w:eastAsia="Times New Roman" w:hAnsi="Franklin Gothic Medium" w:cs="Times New Roman"/>
        </w:rPr>
        <w:t xml:space="preserve">) was </w:t>
      </w:r>
      <w:r w:rsidR="004E7E19">
        <w:rPr>
          <w:rFonts w:ascii="Franklin Gothic Medium" w:eastAsia="Times New Roman" w:hAnsi="Franklin Gothic Medium" w:cs="Times New Roman"/>
        </w:rPr>
        <w:t xml:space="preserve">deemed to have been </w:t>
      </w:r>
      <w:r w:rsidRPr="00DA15D4">
        <w:rPr>
          <w:rFonts w:ascii="Franklin Gothic Medium" w:eastAsia="Times New Roman" w:hAnsi="Franklin Gothic Medium" w:cs="Times New Roman"/>
        </w:rPr>
        <w:t xml:space="preserve">made too early, and had to be removed. In considering this determination, it should be emphasised that the use of the word ‘issue’ in the CR Code was deliberate and the result of extensive consultation and an </w:t>
      </w:r>
      <w:r w:rsidR="009A66FD" w:rsidRPr="00DA15D4">
        <w:rPr>
          <w:rFonts w:ascii="Franklin Gothic Medium" w:eastAsia="Times New Roman" w:hAnsi="Franklin Gothic Medium" w:cs="Times New Roman"/>
        </w:rPr>
        <w:t>understanding</w:t>
      </w:r>
      <w:r w:rsidRPr="00DA15D4">
        <w:rPr>
          <w:rFonts w:ascii="Franklin Gothic Medium" w:eastAsia="Times New Roman" w:hAnsi="Franklin Gothic Medium" w:cs="Times New Roman"/>
        </w:rPr>
        <w:t xml:space="preserve"> as to the correct process for default listing. Yet this binding FOS determination did not eve</w:t>
      </w:r>
      <w:r w:rsidR="00864B0A" w:rsidRPr="00DA15D4">
        <w:rPr>
          <w:rFonts w:ascii="Franklin Gothic Medium" w:eastAsia="Times New Roman" w:hAnsi="Franklin Gothic Medium" w:cs="Times New Roman"/>
        </w:rPr>
        <w:t>n reference this requirement.</w:t>
      </w:r>
    </w:p>
    <w:p w14:paraId="5E596C3C" w14:textId="77777777" w:rsidR="00DA15D4" w:rsidRPr="00DA15D4" w:rsidRDefault="00DA15D4" w:rsidP="00DA15D4">
      <w:pPr>
        <w:pStyle w:val="NoSpacing"/>
        <w:ind w:left="720"/>
        <w:rPr>
          <w:rFonts w:ascii="Franklin Gothic Medium" w:eastAsia="Times New Roman" w:hAnsi="Franklin Gothic Medium" w:cs="Times New Roman"/>
        </w:rPr>
      </w:pPr>
    </w:p>
    <w:p w14:paraId="3A56876F" w14:textId="23AA3D11" w:rsidR="000E1EA1" w:rsidRPr="005C03D4" w:rsidRDefault="00864B0A" w:rsidP="005C03D4">
      <w:pPr>
        <w:pStyle w:val="NoSpacing"/>
        <w:numPr>
          <w:ilvl w:val="0"/>
          <w:numId w:val="13"/>
        </w:numPr>
        <w:jc w:val="both"/>
        <w:rPr>
          <w:rFonts w:ascii="Franklin Gothic Medium" w:eastAsia="Times New Roman" w:hAnsi="Franklin Gothic Medium" w:cs="Times New Roman"/>
        </w:rPr>
      </w:pPr>
      <w:r w:rsidRPr="006E6DE0">
        <w:rPr>
          <w:rFonts w:ascii="Franklin Gothic Medium" w:eastAsia="Times New Roman" w:hAnsi="Franklin Gothic Medium" w:cs="Times New Roman"/>
          <w:b/>
        </w:rPr>
        <w:t>At times, fundamentally misunderstand comprehensive credit reporting (CCR) and its operation</w:t>
      </w:r>
      <w:r w:rsidRPr="005C03D4">
        <w:rPr>
          <w:rFonts w:ascii="Franklin Gothic Medium" w:eastAsia="Times New Roman" w:hAnsi="Franklin Gothic Medium" w:cs="Times New Roman"/>
        </w:rPr>
        <w:t>. This is particularly worrying given that, if CCR becomes mandatory, there will be a significant influx of CCR data within the</w:t>
      </w:r>
      <w:r w:rsidR="009A66FD" w:rsidRPr="005C03D4">
        <w:rPr>
          <w:rFonts w:ascii="Franklin Gothic Medium" w:eastAsia="Times New Roman" w:hAnsi="Franklin Gothic Medium" w:cs="Times New Roman"/>
        </w:rPr>
        <w:t xml:space="preserve"> credit reporting system, and a resultant</w:t>
      </w:r>
      <w:r w:rsidRPr="005C03D4">
        <w:rPr>
          <w:rFonts w:ascii="Franklin Gothic Medium" w:eastAsia="Times New Roman" w:hAnsi="Franklin Gothic Medium" w:cs="Times New Roman"/>
        </w:rPr>
        <w:t xml:space="preserve"> increase in disputes referred to EDR by consumers.</w:t>
      </w:r>
      <w:r w:rsidR="000E1EA1" w:rsidRPr="005C03D4">
        <w:rPr>
          <w:rFonts w:ascii="Franklin Gothic Medium" w:eastAsia="Times New Roman" w:hAnsi="Franklin Gothic Medium" w:cs="Times New Roman"/>
        </w:rPr>
        <w:t xml:space="preserve"> </w:t>
      </w:r>
    </w:p>
    <w:p w14:paraId="2C1E1B78" w14:textId="77777777" w:rsidR="005C03D4" w:rsidRPr="005C03D4" w:rsidRDefault="005C03D4" w:rsidP="005C03D4">
      <w:pPr>
        <w:pStyle w:val="NoSpacing"/>
        <w:jc w:val="both"/>
        <w:rPr>
          <w:rFonts w:ascii="Franklin Gothic Medium" w:eastAsia="Times New Roman" w:hAnsi="Franklin Gothic Medium" w:cs="Times New Roman"/>
        </w:rPr>
      </w:pPr>
    </w:p>
    <w:p w14:paraId="719EBCB3" w14:textId="77777777" w:rsidR="00C55E7F" w:rsidRDefault="00864B0A" w:rsidP="00C55E7F">
      <w:pPr>
        <w:pStyle w:val="NoSpacing"/>
        <w:ind w:left="720"/>
        <w:jc w:val="both"/>
        <w:rPr>
          <w:rFonts w:ascii="Franklin Gothic Medium" w:eastAsia="Times New Roman" w:hAnsi="Franklin Gothic Medium" w:cs="Times New Roman"/>
        </w:rPr>
      </w:pPr>
      <w:r w:rsidRPr="005C03D4">
        <w:rPr>
          <w:rFonts w:ascii="Franklin Gothic Medium" w:eastAsia="Times New Roman" w:hAnsi="Franklin Gothic Medium" w:cs="Times New Roman"/>
        </w:rPr>
        <w:t xml:space="preserve">Illustrating this point, in one of the very few determinations to consider the entry of consumer credit liability information (CCLI) on a credit report, FOS awarded the applicant $1,000 for stress and embarrassment arising from the credit provider being named (on the CCLI entry) as ‘[FSP] Credit Risk’ rather than ‘[FSP] Credit Services’ (case </w:t>
      </w:r>
      <w:r w:rsidRPr="005C03D4">
        <w:rPr>
          <w:rFonts w:ascii="Franklin Gothic Medium" w:eastAsia="Times New Roman" w:hAnsi="Franklin Gothic Medium" w:cs="Times New Roman"/>
        </w:rPr>
        <w:lastRenderedPageBreak/>
        <w:t xml:space="preserve">number 381344). In awarding compensation, FOS considered that it may adversely impact on the applicant to have an entry of CCLI with the words ‘credit risk’. </w:t>
      </w:r>
    </w:p>
    <w:p w14:paraId="0919B11E" w14:textId="77777777" w:rsidR="00C55E7F" w:rsidRDefault="00C55E7F" w:rsidP="00C55E7F">
      <w:pPr>
        <w:pStyle w:val="NoSpacing"/>
        <w:ind w:left="720"/>
        <w:jc w:val="both"/>
        <w:rPr>
          <w:rFonts w:ascii="Franklin Gothic Medium" w:eastAsia="Times New Roman" w:hAnsi="Franklin Gothic Medium" w:cs="Times New Roman"/>
        </w:rPr>
      </w:pPr>
    </w:p>
    <w:p w14:paraId="5600A2F6" w14:textId="71BA09DF" w:rsidR="00EA7788" w:rsidRPr="00C55E7F" w:rsidRDefault="000E1EA1" w:rsidP="00C55E7F">
      <w:pPr>
        <w:pStyle w:val="NoSpacing"/>
        <w:ind w:left="720"/>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For background, </w:t>
      </w:r>
      <w:r w:rsidR="00864B0A" w:rsidRPr="00C55E7F">
        <w:rPr>
          <w:rFonts w:ascii="Franklin Gothic Medium" w:eastAsia="Times New Roman" w:hAnsi="Franklin Gothic Medium" w:cs="Times New Roman"/>
        </w:rPr>
        <w:t>CCLI is information about an individual’s credit account, including the name of the credit provider, the type of account, the limit of the account, any repayment terms and conditions</w:t>
      </w:r>
      <w:r w:rsidR="00720282" w:rsidRPr="00C55E7F">
        <w:rPr>
          <w:rFonts w:ascii="Franklin Gothic Medium" w:eastAsia="Times New Roman" w:hAnsi="Franklin Gothic Medium" w:cs="Times New Roman"/>
        </w:rPr>
        <w:t>, the date it was opened and closed. It provides valuable information about an individual’s current credit accounts. Considered in this context, the</w:t>
      </w:r>
      <w:r w:rsidR="00864B0A" w:rsidRPr="00C55E7F">
        <w:rPr>
          <w:rFonts w:ascii="Franklin Gothic Medium" w:eastAsia="Times New Roman" w:hAnsi="Franklin Gothic Medium" w:cs="Times New Roman"/>
        </w:rPr>
        <w:t xml:space="preserve"> </w:t>
      </w:r>
      <w:r w:rsidR="00720282" w:rsidRPr="00C55E7F">
        <w:rPr>
          <w:rFonts w:ascii="Franklin Gothic Medium" w:eastAsia="Times New Roman" w:hAnsi="Franklin Gothic Medium" w:cs="Times New Roman"/>
        </w:rPr>
        <w:t xml:space="preserve">actual </w:t>
      </w:r>
      <w:r w:rsidR="00864B0A" w:rsidRPr="00C55E7F">
        <w:rPr>
          <w:rFonts w:ascii="Franklin Gothic Medium" w:eastAsia="Times New Roman" w:hAnsi="Franklin Gothic Medium" w:cs="Times New Roman"/>
        </w:rPr>
        <w:t>name of a credit provider as part of a CCLI entry i</w:t>
      </w:r>
      <w:r w:rsidR="00720282" w:rsidRPr="00C55E7F">
        <w:rPr>
          <w:rFonts w:ascii="Franklin Gothic Medium" w:eastAsia="Times New Roman" w:hAnsi="Franklin Gothic Medium" w:cs="Times New Roman"/>
        </w:rPr>
        <w:t xml:space="preserve">s </w:t>
      </w:r>
      <w:r w:rsidRPr="00C55E7F">
        <w:rPr>
          <w:rFonts w:ascii="Franklin Gothic Medium" w:eastAsia="Times New Roman" w:hAnsi="Franklin Gothic Medium" w:cs="Times New Roman"/>
        </w:rPr>
        <w:t>inconsequential</w:t>
      </w:r>
      <w:r w:rsidR="00720282" w:rsidRPr="00C55E7F">
        <w:rPr>
          <w:rFonts w:ascii="Franklin Gothic Medium" w:eastAsia="Times New Roman" w:hAnsi="Franklin Gothic Medium" w:cs="Times New Roman"/>
        </w:rPr>
        <w:t xml:space="preserve">. It would certainly not be a reason for credit to be declined to an individual (instead, that individual’s actual credit position apparent from the other CCLI data is likely to be </w:t>
      </w:r>
      <w:r w:rsidR="00EA7788" w:rsidRPr="00C55E7F">
        <w:rPr>
          <w:rFonts w:ascii="Franklin Gothic Medium" w:eastAsia="Times New Roman" w:hAnsi="Franklin Gothic Medium" w:cs="Times New Roman"/>
        </w:rPr>
        <w:t>far more relevant to this assessment). It is of great concern that</w:t>
      </w:r>
      <w:r w:rsidR="00011C87" w:rsidRPr="00C55E7F">
        <w:rPr>
          <w:rFonts w:ascii="Franklin Gothic Medium" w:eastAsia="Times New Roman" w:hAnsi="Franklin Gothic Medium" w:cs="Times New Roman"/>
        </w:rPr>
        <w:t>,</w:t>
      </w:r>
      <w:r w:rsidR="00EA7788" w:rsidRPr="00C55E7F">
        <w:rPr>
          <w:rFonts w:ascii="Franklin Gothic Medium" w:eastAsia="Times New Roman" w:hAnsi="Franklin Gothic Medium" w:cs="Times New Roman"/>
        </w:rPr>
        <w:t xml:space="preserve"> </w:t>
      </w:r>
      <w:r w:rsidR="00011C87" w:rsidRPr="00C55E7F">
        <w:rPr>
          <w:rFonts w:ascii="Franklin Gothic Medium" w:eastAsia="Times New Roman" w:hAnsi="Franklin Gothic Medium" w:cs="Times New Roman"/>
        </w:rPr>
        <w:t xml:space="preserve">in making this determination, </w:t>
      </w:r>
      <w:r w:rsidR="00EA7788" w:rsidRPr="00C55E7F">
        <w:rPr>
          <w:rFonts w:ascii="Franklin Gothic Medium" w:eastAsia="Times New Roman" w:hAnsi="Franklin Gothic Medium" w:cs="Times New Roman"/>
        </w:rPr>
        <w:t xml:space="preserve">FOS would not seek to understand how CCLI data operates in the context of a credit assessment, nor to test its assumption that a compensable loss could arise due to the name of a credit provider. </w:t>
      </w:r>
    </w:p>
    <w:p w14:paraId="4B09FE98" w14:textId="77777777" w:rsidR="00864B0A" w:rsidRPr="00C55E7F" w:rsidRDefault="00864B0A" w:rsidP="00C55E7F">
      <w:pPr>
        <w:pStyle w:val="NoSpacing"/>
        <w:jc w:val="both"/>
        <w:rPr>
          <w:rFonts w:ascii="Franklin Gothic Medium" w:eastAsia="Times New Roman" w:hAnsi="Franklin Gothic Medium" w:cs="Times New Roman"/>
        </w:rPr>
      </w:pPr>
    </w:p>
    <w:p w14:paraId="4F1A86A3" w14:textId="6D60B36D" w:rsidR="00C55E7F" w:rsidRDefault="00681DBE" w:rsidP="00C55E7F">
      <w:pPr>
        <w:pStyle w:val="NoSpacing"/>
        <w:numPr>
          <w:ilvl w:val="0"/>
          <w:numId w:val="12"/>
        </w:numPr>
        <w:jc w:val="both"/>
        <w:rPr>
          <w:rFonts w:ascii="Franklin Gothic Medium" w:eastAsia="Times New Roman" w:hAnsi="Franklin Gothic Medium" w:cs="Times New Roman"/>
        </w:rPr>
      </w:pPr>
      <w:r w:rsidRPr="006E6DE0">
        <w:rPr>
          <w:rFonts w:ascii="Franklin Gothic Medium" w:eastAsia="Times New Roman" w:hAnsi="Franklin Gothic Medium" w:cs="Times New Roman"/>
          <w:b/>
        </w:rPr>
        <w:t xml:space="preserve">Apply </w:t>
      </w:r>
      <w:r w:rsidR="006E6DE0">
        <w:rPr>
          <w:rFonts w:ascii="Franklin Gothic Medium" w:eastAsia="Times New Roman" w:hAnsi="Franklin Gothic Medium" w:cs="Times New Roman"/>
          <w:b/>
        </w:rPr>
        <w:t>judgements</w:t>
      </w:r>
      <w:r w:rsidR="006E6DE0" w:rsidRPr="006E6DE0">
        <w:rPr>
          <w:rFonts w:ascii="Franklin Gothic Medium" w:eastAsia="Times New Roman" w:hAnsi="Franklin Gothic Medium" w:cs="Times New Roman"/>
          <w:b/>
        </w:rPr>
        <w:t xml:space="preserve"> </w:t>
      </w:r>
      <w:r w:rsidRPr="006E6DE0">
        <w:rPr>
          <w:rFonts w:ascii="Franklin Gothic Medium" w:eastAsia="Times New Roman" w:hAnsi="Franklin Gothic Medium" w:cs="Times New Roman"/>
          <w:b/>
        </w:rPr>
        <w:t>of fairness to require the removal of credit information, even though the credit provider has complied with its obligations under the Privacy Act and CR Code</w:t>
      </w:r>
      <w:r w:rsidRPr="00C55E7F">
        <w:rPr>
          <w:rFonts w:ascii="Franklin Gothic Medium" w:eastAsia="Times New Roman" w:hAnsi="Franklin Gothic Medium" w:cs="Times New Roman"/>
        </w:rPr>
        <w:t>. For instance, a number of FOS Determinations have required the removal of default listings where individuals have “substantially complied” with payment arrangements – but the credit provider has still exercised its right to default list (having issued proper notices and met its legal obligations). (See case numbers 431664, 427429, 431024, and 437163).  FOS has also relied on fairness to import new obligations for credit providers seeking to default list</w:t>
      </w:r>
      <w:r w:rsidR="00D3358C" w:rsidRPr="00C55E7F">
        <w:rPr>
          <w:rFonts w:ascii="Franklin Gothic Medium" w:eastAsia="Times New Roman" w:hAnsi="Franklin Gothic Medium" w:cs="Times New Roman"/>
        </w:rPr>
        <w:t>. In one case, this required a default notice to be sent to an alternative address (rather than the ‘last known address’ which is the legal requirement) (case number 4385</w:t>
      </w:r>
      <w:r w:rsidR="00C51DAE" w:rsidRPr="00C55E7F">
        <w:rPr>
          <w:rFonts w:ascii="Franklin Gothic Medium" w:eastAsia="Times New Roman" w:hAnsi="Franklin Gothic Medium" w:cs="Times New Roman"/>
        </w:rPr>
        <w:t xml:space="preserve">07). In another case, FOS required that a credit provider take additional steps to obtain new contact details for an individual rather than relying on having issued a default notice to the last known address for that individual (case number 444907). </w:t>
      </w:r>
    </w:p>
    <w:p w14:paraId="298BFB47" w14:textId="77777777" w:rsidR="00C55E7F" w:rsidRDefault="00C55E7F" w:rsidP="00C55E7F">
      <w:pPr>
        <w:pStyle w:val="NoSpacing"/>
        <w:ind w:left="720"/>
        <w:jc w:val="both"/>
        <w:rPr>
          <w:rFonts w:ascii="Franklin Gothic Medium" w:eastAsia="Times New Roman" w:hAnsi="Franklin Gothic Medium" w:cs="Times New Roman"/>
        </w:rPr>
      </w:pPr>
    </w:p>
    <w:p w14:paraId="5558F654" w14:textId="2174C8FD" w:rsidR="007F5EE3" w:rsidRDefault="007F5EE3" w:rsidP="00C55E7F">
      <w:pPr>
        <w:pStyle w:val="NoSpacing"/>
        <w:numPr>
          <w:ilvl w:val="0"/>
          <w:numId w:val="12"/>
        </w:numPr>
        <w:jc w:val="both"/>
        <w:rPr>
          <w:rFonts w:ascii="Franklin Gothic Medium" w:eastAsia="Times New Roman" w:hAnsi="Franklin Gothic Medium" w:cs="Times New Roman"/>
        </w:rPr>
      </w:pPr>
      <w:r w:rsidRPr="006E6DE0">
        <w:rPr>
          <w:rFonts w:ascii="Franklin Gothic Medium" w:eastAsia="Times New Roman" w:hAnsi="Franklin Gothic Medium" w:cs="Times New Roman"/>
          <w:b/>
        </w:rPr>
        <w:t>Apply the law inconsistently to similar factual and legal scenarios</w:t>
      </w:r>
      <w:r w:rsidRPr="00C55E7F">
        <w:rPr>
          <w:rFonts w:ascii="Franklin Gothic Medium" w:eastAsia="Times New Roman" w:hAnsi="Franklin Gothic Medium" w:cs="Times New Roman"/>
        </w:rPr>
        <w:t>. An example of this concerns FOS’s approach to default listings entered for a loan determined to have been advanced as a result of irresponsible lending. In one case it was determined that, although loan funds should not have been advanced, because the credit provider complied with the legal obligations for disclosing default information, that information could remain on the individual’s credit file</w:t>
      </w:r>
      <w:r w:rsidR="0089597B">
        <w:rPr>
          <w:rFonts w:ascii="Franklin Gothic Medium" w:eastAsia="Times New Roman" w:hAnsi="Franklin Gothic Medium" w:cs="Times New Roman"/>
        </w:rPr>
        <w:t xml:space="preserve"> (case number 446052)</w:t>
      </w:r>
      <w:r w:rsidRPr="00C55E7F">
        <w:rPr>
          <w:rFonts w:ascii="Franklin Gothic Medium" w:eastAsia="Times New Roman" w:hAnsi="Franklin Gothic Medium" w:cs="Times New Roman"/>
        </w:rPr>
        <w:t xml:space="preserve">. Yet in </w:t>
      </w:r>
      <w:r w:rsidR="000E1EA1" w:rsidRPr="00C55E7F">
        <w:rPr>
          <w:rFonts w:ascii="Franklin Gothic Medium" w:eastAsia="Times New Roman" w:hAnsi="Franklin Gothic Medium" w:cs="Times New Roman"/>
        </w:rPr>
        <w:t xml:space="preserve">another </w:t>
      </w:r>
      <w:r w:rsidRPr="00C55E7F">
        <w:rPr>
          <w:rFonts w:ascii="Franklin Gothic Medium" w:eastAsia="Times New Roman" w:hAnsi="Franklin Gothic Medium" w:cs="Times New Roman"/>
        </w:rPr>
        <w:t>case</w:t>
      </w:r>
      <w:r w:rsidR="00107287" w:rsidRPr="00C55E7F">
        <w:rPr>
          <w:rFonts w:ascii="Franklin Gothic Medium" w:eastAsia="Times New Roman" w:hAnsi="Franklin Gothic Medium" w:cs="Times New Roman"/>
        </w:rPr>
        <w:t>, in a similar fact scenario it was determined the appropriate outcome was for the default listing to be removed from the individual’s file given that if the loan had not been granted, the default listing would never have been made</w:t>
      </w:r>
      <w:r w:rsidR="0089597B">
        <w:rPr>
          <w:rFonts w:ascii="Franklin Gothic Medium" w:eastAsia="Times New Roman" w:hAnsi="Franklin Gothic Medium" w:cs="Times New Roman"/>
        </w:rPr>
        <w:t xml:space="preserve"> (case number 426165)</w:t>
      </w:r>
      <w:r w:rsidR="00107287" w:rsidRPr="00C55E7F">
        <w:rPr>
          <w:rFonts w:ascii="Franklin Gothic Medium" w:eastAsia="Times New Roman" w:hAnsi="Franklin Gothic Medium" w:cs="Times New Roman"/>
        </w:rPr>
        <w:t xml:space="preserve">. </w:t>
      </w:r>
    </w:p>
    <w:p w14:paraId="49C62501" w14:textId="77777777" w:rsidR="00C55E7F" w:rsidRDefault="00C55E7F" w:rsidP="00C55E7F">
      <w:pPr>
        <w:pStyle w:val="NoSpacing"/>
        <w:jc w:val="both"/>
        <w:rPr>
          <w:rFonts w:ascii="Franklin Gothic Medium" w:eastAsia="Times New Roman" w:hAnsi="Franklin Gothic Medium" w:cs="Times New Roman"/>
        </w:rPr>
      </w:pPr>
    </w:p>
    <w:p w14:paraId="697D30E4" w14:textId="5AF37B18" w:rsidR="002E4EAD" w:rsidRDefault="002E4EAD" w:rsidP="00C55E7F">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What is most concerning about these decision-making practices, is the impact this will then have on both industry and consumers.</w:t>
      </w:r>
      <w:r w:rsidR="00C51DAE" w:rsidRPr="00C55E7F">
        <w:rPr>
          <w:rFonts w:ascii="Franklin Gothic Medium" w:eastAsia="Times New Roman" w:hAnsi="Franklin Gothic Medium" w:cs="Times New Roman"/>
        </w:rPr>
        <w:t xml:space="preserve"> These practices</w:t>
      </w:r>
      <w:r w:rsidRPr="00C55E7F">
        <w:rPr>
          <w:rFonts w:ascii="Franklin Gothic Medium" w:eastAsia="Times New Roman" w:hAnsi="Franklin Gothic Medium" w:cs="Times New Roman"/>
        </w:rPr>
        <w:t xml:space="preserve"> create uncertainty. I</w:t>
      </w:r>
      <w:r w:rsidR="00C51DAE" w:rsidRPr="00C55E7F">
        <w:rPr>
          <w:rFonts w:ascii="Franklin Gothic Medium" w:eastAsia="Times New Roman" w:hAnsi="Franklin Gothic Medium" w:cs="Times New Roman"/>
        </w:rPr>
        <w:t>n turn, they undermine</w:t>
      </w:r>
      <w:r w:rsidRPr="00C55E7F">
        <w:rPr>
          <w:rFonts w:ascii="Franklin Gothic Medium" w:eastAsia="Times New Roman" w:hAnsi="Franklin Gothic Medium" w:cs="Times New Roman"/>
        </w:rPr>
        <w:t xml:space="preserve"> the effective operation of the credit reporting system. </w:t>
      </w:r>
    </w:p>
    <w:p w14:paraId="587350E6" w14:textId="77777777" w:rsidR="00C55E7F" w:rsidRPr="00C55E7F" w:rsidRDefault="00C55E7F" w:rsidP="00C55E7F">
      <w:pPr>
        <w:pStyle w:val="NoSpacing"/>
        <w:jc w:val="both"/>
        <w:rPr>
          <w:rFonts w:ascii="Franklin Gothic Medium" w:eastAsia="Times New Roman" w:hAnsi="Franklin Gothic Medium" w:cs="Times New Roman"/>
        </w:rPr>
      </w:pPr>
    </w:p>
    <w:p w14:paraId="684C496A" w14:textId="518676AC" w:rsidR="002E4EAD" w:rsidRDefault="002E4EAD" w:rsidP="00C55E7F">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Moreover, </w:t>
      </w:r>
      <w:r w:rsidR="00C51DAE" w:rsidRPr="00C55E7F">
        <w:rPr>
          <w:rFonts w:ascii="Franklin Gothic Medium" w:eastAsia="Times New Roman" w:hAnsi="Franklin Gothic Medium" w:cs="Times New Roman"/>
        </w:rPr>
        <w:t>these practices are</w:t>
      </w:r>
      <w:r w:rsidRPr="00C55E7F">
        <w:rPr>
          <w:rFonts w:ascii="Franklin Gothic Medium" w:eastAsia="Times New Roman" w:hAnsi="Franklin Gothic Medium" w:cs="Times New Roman"/>
        </w:rPr>
        <w:t xml:space="preserve"> entirely unnecessary. EDR schemes should </w:t>
      </w:r>
      <w:r w:rsidR="00011C87" w:rsidRPr="00C55E7F">
        <w:rPr>
          <w:rFonts w:ascii="Franklin Gothic Medium" w:eastAsia="Times New Roman" w:hAnsi="Franklin Gothic Medium" w:cs="Times New Roman"/>
        </w:rPr>
        <w:t xml:space="preserve">be required to </w:t>
      </w:r>
      <w:r w:rsidRPr="00C55E7F">
        <w:rPr>
          <w:rFonts w:ascii="Franklin Gothic Medium" w:eastAsia="Times New Roman" w:hAnsi="Franklin Gothic Medium" w:cs="Times New Roman"/>
        </w:rPr>
        <w:t xml:space="preserve">adhere to standards of high quality and consistency in their decision-making, be expected to know and apply the correct law, ensure all decision-making staff are educated in the operation of the Privacy Act and CR Code, promote consistency in decision-making and, above all, enable an affordable straight-forward appeal process for credit providers and credit reporting bodies. </w:t>
      </w:r>
    </w:p>
    <w:p w14:paraId="2E838020" w14:textId="77777777" w:rsidR="00C55E7F" w:rsidRPr="00C55E7F" w:rsidRDefault="00C55E7F" w:rsidP="00C55E7F">
      <w:pPr>
        <w:pStyle w:val="NoSpacing"/>
        <w:jc w:val="both"/>
        <w:rPr>
          <w:rFonts w:ascii="Franklin Gothic Medium" w:eastAsia="Times New Roman" w:hAnsi="Franklin Gothic Medium" w:cs="Times New Roman"/>
        </w:rPr>
      </w:pPr>
    </w:p>
    <w:p w14:paraId="394D3006" w14:textId="7DC786DF" w:rsidR="00246EF4" w:rsidRDefault="00DA5660" w:rsidP="00C55E7F">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While the Privacy Act is relatively clear, </w:t>
      </w:r>
      <w:r w:rsidR="00C55E7F" w:rsidRPr="00C55E7F">
        <w:rPr>
          <w:rFonts w:ascii="Franklin Gothic Medium" w:eastAsia="Times New Roman" w:hAnsi="Franklin Gothic Medium" w:cs="Times New Roman"/>
        </w:rPr>
        <w:t xml:space="preserve">as highlighted above, </w:t>
      </w:r>
      <w:r w:rsidRPr="00C55E7F">
        <w:rPr>
          <w:rFonts w:ascii="Franklin Gothic Medium" w:eastAsia="Times New Roman" w:hAnsi="Franklin Gothic Medium" w:cs="Times New Roman"/>
        </w:rPr>
        <w:t xml:space="preserve">ARCA has found that EDR schemes regularly depart from the legislation to apply more nebulous and flexible concepts of fairness and best practice in decision making on credit data. </w:t>
      </w:r>
      <w:r w:rsidR="00750A04" w:rsidRPr="00C55E7F">
        <w:rPr>
          <w:rFonts w:ascii="Franklin Gothic Medium" w:eastAsia="Times New Roman" w:hAnsi="Franklin Gothic Medium" w:cs="Times New Roman"/>
        </w:rPr>
        <w:t xml:space="preserve"> </w:t>
      </w:r>
      <w:r w:rsidR="009269D6">
        <w:rPr>
          <w:rFonts w:ascii="Franklin Gothic Medium" w:eastAsia="Times New Roman" w:hAnsi="Franklin Gothic Medium" w:cs="Times New Roman"/>
        </w:rPr>
        <w:t xml:space="preserve">We note that the existing EDR schemes’ terms of reference allow decision makers to consider fairness and industry practice as well as legal principles. However it is fundamental to sound administrative decision making, procedural fairness and the value of EDR determinations to improved industry practice and consumer outcomes, that EDR determinations clearly articulate the legal principles, fairness </w:t>
      </w:r>
      <w:r w:rsidR="009269D6">
        <w:rPr>
          <w:rFonts w:ascii="Franklin Gothic Medium" w:eastAsia="Times New Roman" w:hAnsi="Franklin Gothic Medium" w:cs="Times New Roman"/>
        </w:rPr>
        <w:lastRenderedPageBreak/>
        <w:t xml:space="preserve">and industry practice that were considered in each decision and the weight afforded to each factor in reaching an outcome. We note the Operational Guidelines to FOS’s terms of reference also state that: </w:t>
      </w:r>
    </w:p>
    <w:p w14:paraId="5E6465C8" w14:textId="77777777" w:rsidR="009269D6" w:rsidRDefault="009269D6" w:rsidP="00C55E7F">
      <w:pPr>
        <w:pStyle w:val="NoSpacing"/>
        <w:jc w:val="both"/>
        <w:rPr>
          <w:rFonts w:ascii="Franklin Gothic Medium" w:eastAsia="Times New Roman" w:hAnsi="Franklin Gothic Medium" w:cs="Times New Roman"/>
        </w:rPr>
      </w:pPr>
    </w:p>
    <w:p w14:paraId="20516D61" w14:textId="73B28003" w:rsidR="009269D6" w:rsidRPr="009269D6" w:rsidRDefault="006E6DE0" w:rsidP="00246EF4">
      <w:pPr>
        <w:pStyle w:val="NoSpacing"/>
        <w:jc w:val="both"/>
        <w:rPr>
          <w:rFonts w:ascii="Franklin Gothic Medium" w:eastAsia="Times New Roman" w:hAnsi="Franklin Gothic Medium" w:cs="Times New Roman"/>
          <w:i/>
        </w:rPr>
      </w:pPr>
      <w:r>
        <w:rPr>
          <w:rFonts w:ascii="Franklin Gothic Medium" w:eastAsia="Times New Roman" w:hAnsi="Franklin Gothic Medium" w:cs="Times New Roman"/>
          <w:i/>
        </w:rPr>
        <w:t>“</w:t>
      </w:r>
      <w:r w:rsidR="00246EF4" w:rsidRPr="009269D6">
        <w:rPr>
          <w:rFonts w:ascii="Franklin Gothic Medium" w:eastAsia="Times New Roman" w:hAnsi="Franklin Gothic Medium" w:cs="Times New Roman"/>
          <w:i/>
        </w:rPr>
        <w:t>FOS takes the approach that it should identify relevant legal principles and take these into account in its consideration of a Disp</w:t>
      </w:r>
      <w:r w:rsidR="009269D6" w:rsidRPr="009269D6">
        <w:rPr>
          <w:rFonts w:ascii="Franklin Gothic Medium" w:eastAsia="Times New Roman" w:hAnsi="Franklin Gothic Medium" w:cs="Times New Roman"/>
          <w:i/>
        </w:rPr>
        <w:t xml:space="preserve">ute…. </w:t>
      </w:r>
      <w:r w:rsidR="00246EF4" w:rsidRPr="009269D6">
        <w:rPr>
          <w:rFonts w:ascii="Franklin Gothic Medium" w:eastAsia="Times New Roman" w:hAnsi="Franklin Gothic Medium" w:cs="Times New Roman"/>
          <w:i/>
        </w:rPr>
        <w:t>This does not mean FOS must strictly apply the legal principles. However, FOS will consider these when handling a Dispute and if it is necessary to deviate from those principles to achieve fairness in the circumstances, it will identify its reasons for doing so</w:t>
      </w:r>
      <w:r>
        <w:rPr>
          <w:rFonts w:ascii="Franklin Gothic Medium" w:eastAsia="Times New Roman" w:hAnsi="Franklin Gothic Medium" w:cs="Times New Roman"/>
          <w:i/>
        </w:rPr>
        <w:t>”</w:t>
      </w:r>
      <w:r w:rsidR="00246EF4" w:rsidRPr="009269D6">
        <w:rPr>
          <w:rFonts w:ascii="Franklin Gothic Medium" w:eastAsia="Times New Roman" w:hAnsi="Franklin Gothic Medium" w:cs="Times New Roman"/>
          <w:i/>
        </w:rPr>
        <w:t xml:space="preserve">.  </w:t>
      </w:r>
    </w:p>
    <w:p w14:paraId="4CA19986" w14:textId="77777777" w:rsidR="009269D6" w:rsidRDefault="009269D6" w:rsidP="00246EF4">
      <w:pPr>
        <w:pStyle w:val="NoSpacing"/>
        <w:jc w:val="both"/>
        <w:rPr>
          <w:rFonts w:ascii="Franklin Gothic Medium" w:eastAsia="Times New Roman" w:hAnsi="Franklin Gothic Medium" w:cs="Times New Roman"/>
        </w:rPr>
      </w:pPr>
    </w:p>
    <w:p w14:paraId="6E8B8AC9" w14:textId="01CF38A6" w:rsidR="009269D6" w:rsidRDefault="009269D6" w:rsidP="00246EF4">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rPr>
        <w:t xml:space="preserve">We are concerned that </w:t>
      </w:r>
      <w:r w:rsidR="006E6DE0">
        <w:rPr>
          <w:rFonts w:ascii="Franklin Gothic Medium" w:eastAsia="Times New Roman" w:hAnsi="Franklin Gothic Medium" w:cs="Times New Roman"/>
        </w:rPr>
        <w:t xml:space="preserve">in setting this approach, </w:t>
      </w:r>
      <w:r>
        <w:rPr>
          <w:rFonts w:ascii="Franklin Gothic Medium" w:eastAsia="Times New Roman" w:hAnsi="Franklin Gothic Medium" w:cs="Times New Roman"/>
        </w:rPr>
        <w:t>FOS depart</w:t>
      </w:r>
      <w:r w:rsidR="006E6DE0">
        <w:rPr>
          <w:rFonts w:ascii="Franklin Gothic Medium" w:eastAsia="Times New Roman" w:hAnsi="Franklin Gothic Medium" w:cs="Times New Roman"/>
        </w:rPr>
        <w:t>s</w:t>
      </w:r>
      <w:r>
        <w:rPr>
          <w:rFonts w:ascii="Franklin Gothic Medium" w:eastAsia="Times New Roman" w:hAnsi="Franklin Gothic Medium" w:cs="Times New Roman"/>
        </w:rPr>
        <w:t xml:space="preserve"> from </w:t>
      </w:r>
      <w:r w:rsidR="006E6DE0">
        <w:rPr>
          <w:rFonts w:ascii="Franklin Gothic Medium" w:eastAsia="Times New Roman" w:hAnsi="Franklin Gothic Medium" w:cs="Times New Roman"/>
        </w:rPr>
        <w:t>the</w:t>
      </w:r>
      <w:r>
        <w:rPr>
          <w:rFonts w:ascii="Franklin Gothic Medium" w:eastAsia="Times New Roman" w:hAnsi="Franklin Gothic Medium" w:cs="Times New Roman"/>
        </w:rPr>
        <w:t xml:space="preserve"> application of legislation and legal principles </w:t>
      </w:r>
      <w:r w:rsidR="006E6DE0">
        <w:rPr>
          <w:rFonts w:ascii="Franklin Gothic Medium" w:eastAsia="Times New Roman" w:hAnsi="Franklin Gothic Medium" w:cs="Times New Roman"/>
        </w:rPr>
        <w:t xml:space="preserve">on subjective grounds of fairness </w:t>
      </w:r>
      <w:r>
        <w:rPr>
          <w:rFonts w:ascii="Franklin Gothic Medium" w:eastAsia="Times New Roman" w:hAnsi="Franklin Gothic Medium" w:cs="Times New Roman"/>
        </w:rPr>
        <w:t>with no express reasons for doing so.</w:t>
      </w:r>
    </w:p>
    <w:p w14:paraId="4F56DF69" w14:textId="77777777" w:rsidR="009269D6" w:rsidRDefault="009269D6" w:rsidP="00246EF4">
      <w:pPr>
        <w:pStyle w:val="NoSpacing"/>
        <w:jc w:val="both"/>
        <w:rPr>
          <w:rFonts w:ascii="Franklin Gothic Medium" w:eastAsia="Times New Roman" w:hAnsi="Franklin Gothic Medium" w:cs="Times New Roman"/>
        </w:rPr>
      </w:pPr>
    </w:p>
    <w:p w14:paraId="6BF7E5CD" w14:textId="05BCF753" w:rsidR="00750A04" w:rsidRDefault="00DA5660" w:rsidP="00246EF4">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These</w:t>
      </w:r>
      <w:r w:rsidR="009269D6">
        <w:rPr>
          <w:rFonts w:ascii="Franklin Gothic Medium" w:eastAsia="Times New Roman" w:hAnsi="Franklin Gothic Medium" w:cs="Times New Roman"/>
        </w:rPr>
        <w:t xml:space="preserve"> deviations from the law</w:t>
      </w:r>
      <w:r w:rsidRPr="00C55E7F">
        <w:rPr>
          <w:rFonts w:ascii="Franklin Gothic Medium" w:eastAsia="Times New Roman" w:hAnsi="Franklin Gothic Medium" w:cs="Times New Roman"/>
        </w:rPr>
        <w:t xml:space="preserve"> give rise to EDR findings which </w:t>
      </w:r>
      <w:r w:rsidR="006E6DE0">
        <w:rPr>
          <w:rFonts w:ascii="Franklin Gothic Medium" w:eastAsia="Times New Roman" w:hAnsi="Franklin Gothic Medium" w:cs="Times New Roman"/>
        </w:rPr>
        <w:t xml:space="preserve">create uncertainty and </w:t>
      </w:r>
      <w:r w:rsidRPr="00C55E7F">
        <w:rPr>
          <w:rFonts w:ascii="Franklin Gothic Medium" w:eastAsia="Times New Roman" w:hAnsi="Franklin Gothic Medium" w:cs="Times New Roman"/>
        </w:rPr>
        <w:t xml:space="preserve">see the removal of legally valid data from the </w:t>
      </w:r>
      <w:r w:rsidR="00C55E7F" w:rsidRPr="00C55E7F">
        <w:rPr>
          <w:rFonts w:ascii="Franklin Gothic Medium" w:eastAsia="Times New Roman" w:hAnsi="Franklin Gothic Medium" w:cs="Times New Roman"/>
        </w:rPr>
        <w:t>CRB</w:t>
      </w:r>
      <w:r w:rsidR="009A66FD" w:rsidRPr="00C55E7F">
        <w:rPr>
          <w:rFonts w:ascii="Franklin Gothic Medium" w:eastAsia="Times New Roman" w:hAnsi="Franklin Gothic Medium" w:cs="Times New Roman"/>
        </w:rPr>
        <w:t xml:space="preserve"> </w:t>
      </w:r>
      <w:r w:rsidRPr="00C55E7F">
        <w:rPr>
          <w:rFonts w:ascii="Franklin Gothic Medium" w:eastAsia="Times New Roman" w:hAnsi="Franklin Gothic Medium" w:cs="Times New Roman"/>
        </w:rPr>
        <w:t xml:space="preserve">and see compensation amounts awarded against credit providers. </w:t>
      </w:r>
      <w:r w:rsidR="00750A04" w:rsidRPr="00C55E7F">
        <w:rPr>
          <w:rFonts w:ascii="Franklin Gothic Medium" w:eastAsia="Times New Roman" w:hAnsi="Franklin Gothic Medium" w:cs="Times New Roman"/>
        </w:rPr>
        <w:t xml:space="preserve"> </w:t>
      </w:r>
      <w:r w:rsidRPr="00C55E7F">
        <w:rPr>
          <w:rFonts w:ascii="Franklin Gothic Medium" w:eastAsia="Times New Roman" w:hAnsi="Franklin Gothic Medium" w:cs="Times New Roman"/>
        </w:rPr>
        <w:t>In some instances</w:t>
      </w:r>
      <w:r w:rsidR="00750A04" w:rsidRPr="00C55E7F">
        <w:rPr>
          <w:rFonts w:ascii="Franklin Gothic Medium" w:eastAsia="Times New Roman" w:hAnsi="Franklin Gothic Medium" w:cs="Times New Roman"/>
        </w:rPr>
        <w:t>,</w:t>
      </w:r>
      <w:r w:rsidRPr="00C55E7F">
        <w:rPr>
          <w:rFonts w:ascii="Franklin Gothic Medium" w:eastAsia="Times New Roman" w:hAnsi="Franklin Gothic Medium" w:cs="Times New Roman"/>
        </w:rPr>
        <w:t xml:space="preserve"> systemic issues arising from these findings have seen the removal of valid data relating to many thousands of customers by a single credit provider. </w:t>
      </w:r>
    </w:p>
    <w:p w14:paraId="6665B3F7" w14:textId="77777777" w:rsidR="00C55E7F" w:rsidRPr="00C55E7F" w:rsidRDefault="00C55E7F" w:rsidP="00C55E7F">
      <w:pPr>
        <w:pStyle w:val="NoSpacing"/>
        <w:jc w:val="both"/>
        <w:rPr>
          <w:rFonts w:ascii="Franklin Gothic Medium" w:eastAsia="Times New Roman" w:hAnsi="Franklin Gothic Medium" w:cs="Times New Roman"/>
        </w:rPr>
      </w:pPr>
    </w:p>
    <w:p w14:paraId="2037DE96" w14:textId="320DE4E0" w:rsidR="00DA5660" w:rsidRPr="00C55E7F" w:rsidRDefault="00DA5660" w:rsidP="00C55E7F">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This has resulted in a situation where</w:t>
      </w:r>
      <w:r w:rsidR="00750A04" w:rsidRPr="00C55E7F">
        <w:rPr>
          <w:rFonts w:ascii="Franklin Gothic Medium" w:eastAsia="Times New Roman" w:hAnsi="Franklin Gothic Medium" w:cs="Times New Roman"/>
        </w:rPr>
        <w:t xml:space="preserve">, despite the clear deadlines regarding CCR set in Recommendation 5.5 of the Productivity Commission Inquiry and accepted by the Treasurer, Credit Providers who are otherwise technically ready to do so, are still extremely reluctant to commence public reporting of comprehensive credit reporting, as a </w:t>
      </w:r>
      <w:r w:rsidR="00C55E7F" w:rsidRPr="00C55E7F">
        <w:rPr>
          <w:rFonts w:ascii="Franklin Gothic Medium" w:eastAsia="Times New Roman" w:hAnsi="Franklin Gothic Medium" w:cs="Times New Roman"/>
        </w:rPr>
        <w:t xml:space="preserve">direct </w:t>
      </w:r>
      <w:r w:rsidR="00750A04" w:rsidRPr="00C55E7F">
        <w:rPr>
          <w:rFonts w:ascii="Franklin Gothic Medium" w:eastAsia="Times New Roman" w:hAnsi="Franklin Gothic Medium" w:cs="Times New Roman"/>
        </w:rPr>
        <w:t>result of these issues.</w:t>
      </w:r>
      <w:r w:rsidR="00E96D6E" w:rsidRPr="00C55E7F">
        <w:rPr>
          <w:rFonts w:ascii="Franklin Gothic Medium" w:eastAsia="Times New Roman" w:hAnsi="Franklin Gothic Medium" w:cs="Times New Roman"/>
        </w:rPr>
        <w:t xml:space="preserve">  </w:t>
      </w:r>
    </w:p>
    <w:p w14:paraId="6EB4BCAD" w14:textId="77777777" w:rsidR="00C55E7F" w:rsidRDefault="00C55E7F" w:rsidP="00C55E7F">
      <w:pPr>
        <w:pStyle w:val="NoSpacing"/>
        <w:jc w:val="both"/>
        <w:rPr>
          <w:rFonts w:ascii="Franklin Gothic Medium" w:eastAsia="Times New Roman" w:hAnsi="Franklin Gothic Medium" w:cs="Times New Roman"/>
        </w:rPr>
      </w:pPr>
    </w:p>
    <w:p w14:paraId="1A62F6BD" w14:textId="40447205" w:rsidR="00DA5660" w:rsidRDefault="00DA5660" w:rsidP="00C55E7F">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At a time when the government is looking to </w:t>
      </w:r>
      <w:r w:rsidR="00E96D6E" w:rsidRPr="00C55E7F">
        <w:rPr>
          <w:rFonts w:ascii="Franklin Gothic Medium" w:eastAsia="Times New Roman" w:hAnsi="Franklin Gothic Medium" w:cs="Times New Roman"/>
        </w:rPr>
        <w:t xml:space="preserve">enhanced </w:t>
      </w:r>
      <w:r w:rsidRPr="00C55E7F">
        <w:rPr>
          <w:rFonts w:ascii="Franklin Gothic Medium" w:eastAsia="Times New Roman" w:hAnsi="Franklin Gothic Medium" w:cs="Times New Roman"/>
        </w:rPr>
        <w:t>data sharing to level the playing field in financial services and promote more vigorous competition to the benefit of all Australians</w:t>
      </w:r>
      <w:r w:rsidR="00E96D6E" w:rsidRPr="00C55E7F">
        <w:rPr>
          <w:rFonts w:ascii="Franklin Gothic Medium" w:eastAsia="Times New Roman" w:hAnsi="Franklin Gothic Medium" w:cs="Times New Roman"/>
        </w:rPr>
        <w:t>,</w:t>
      </w:r>
      <w:r w:rsidRPr="00C55E7F">
        <w:rPr>
          <w:rFonts w:ascii="Franklin Gothic Medium" w:eastAsia="Times New Roman" w:hAnsi="Franklin Gothic Medium" w:cs="Times New Roman"/>
        </w:rPr>
        <w:t xml:space="preserve"> </w:t>
      </w:r>
      <w:r w:rsidR="00E96D6E" w:rsidRPr="00C55E7F">
        <w:rPr>
          <w:rFonts w:ascii="Franklin Gothic Medium" w:eastAsia="Times New Roman" w:hAnsi="Franklin Gothic Medium" w:cs="Times New Roman"/>
        </w:rPr>
        <w:t xml:space="preserve">ARCA is concerned that, in moving from a two-scheme model to a single scheme in the form of the intended Australian Financial Complaints Authority (AFCA), these existing problems </w:t>
      </w:r>
      <w:r w:rsidR="0004537A">
        <w:rPr>
          <w:rFonts w:ascii="Franklin Gothic Medium" w:eastAsia="Times New Roman" w:hAnsi="Franklin Gothic Medium" w:cs="Times New Roman"/>
        </w:rPr>
        <w:t xml:space="preserve">must be addressed or they will </w:t>
      </w:r>
      <w:r w:rsidR="00E96D6E" w:rsidRPr="00C55E7F">
        <w:rPr>
          <w:rFonts w:ascii="Franklin Gothic Medium" w:eastAsia="Times New Roman" w:hAnsi="Franklin Gothic Medium" w:cs="Times New Roman"/>
        </w:rPr>
        <w:t xml:space="preserve">be exacerbated. </w:t>
      </w:r>
      <w:r w:rsidR="006222D2">
        <w:rPr>
          <w:rFonts w:ascii="Franklin Gothic Medium" w:eastAsia="Times New Roman" w:hAnsi="Franklin Gothic Medium" w:cs="Times New Roman"/>
        </w:rPr>
        <w:t>ARCA considers the following key principles must be</w:t>
      </w:r>
      <w:r w:rsidR="00750A04" w:rsidRPr="00C55E7F">
        <w:rPr>
          <w:rFonts w:ascii="Franklin Gothic Medium" w:eastAsia="Times New Roman" w:hAnsi="Franklin Gothic Medium" w:cs="Times New Roman"/>
        </w:rPr>
        <w:t xml:space="preserve"> entrenched within the new EDR framework</w:t>
      </w:r>
      <w:r w:rsidRPr="00C55E7F">
        <w:rPr>
          <w:rFonts w:ascii="Franklin Gothic Medium" w:eastAsia="Times New Roman" w:hAnsi="Franklin Gothic Medium" w:cs="Times New Roman"/>
        </w:rPr>
        <w:t xml:space="preserve">. </w:t>
      </w:r>
      <w:r w:rsidR="00750A04" w:rsidRPr="00C55E7F">
        <w:rPr>
          <w:rFonts w:ascii="Franklin Gothic Medium" w:eastAsia="Times New Roman" w:hAnsi="Franklin Gothic Medium" w:cs="Times New Roman"/>
        </w:rPr>
        <w:t xml:space="preserve"> </w:t>
      </w:r>
    </w:p>
    <w:p w14:paraId="5E849480" w14:textId="77777777" w:rsidR="00C55E7F" w:rsidRPr="00C55E7F" w:rsidRDefault="00C55E7F" w:rsidP="00BB400B">
      <w:pPr>
        <w:pStyle w:val="NoSpacing"/>
        <w:jc w:val="both"/>
        <w:rPr>
          <w:rFonts w:ascii="Franklin Gothic Medium" w:eastAsia="Times New Roman" w:hAnsi="Franklin Gothic Medium" w:cs="Times New Roman"/>
        </w:rPr>
      </w:pPr>
    </w:p>
    <w:p w14:paraId="61A066C2" w14:textId="2C795B0C" w:rsidR="00E96D6E" w:rsidRPr="00BB400B" w:rsidRDefault="00E96D6E" w:rsidP="00BB400B">
      <w:pPr>
        <w:pStyle w:val="NoSpacing"/>
        <w:jc w:val="both"/>
        <w:rPr>
          <w:rFonts w:ascii="Franklin Gothic Medium" w:eastAsia="Times New Roman" w:hAnsi="Franklin Gothic Medium" w:cs="Times New Roman"/>
          <w:u w:val="single"/>
        </w:rPr>
      </w:pPr>
      <w:r w:rsidRPr="00BB400B">
        <w:rPr>
          <w:rFonts w:ascii="Franklin Gothic Medium" w:eastAsia="Times New Roman" w:hAnsi="Franklin Gothic Medium" w:cs="Times New Roman"/>
          <w:u w:val="single"/>
        </w:rPr>
        <w:t>Decisions should not be contrary to the law</w:t>
      </w:r>
    </w:p>
    <w:p w14:paraId="46A6B473" w14:textId="77777777" w:rsidR="00BB400B" w:rsidRPr="00C55E7F" w:rsidRDefault="00BB400B" w:rsidP="00BB400B">
      <w:pPr>
        <w:pStyle w:val="NoSpacing"/>
        <w:jc w:val="both"/>
        <w:rPr>
          <w:rFonts w:ascii="Franklin Gothic Medium" w:eastAsia="Times New Roman" w:hAnsi="Franklin Gothic Medium" w:cs="Times New Roman"/>
        </w:rPr>
      </w:pPr>
    </w:p>
    <w:p w14:paraId="6192FFDC" w14:textId="43CC5603" w:rsidR="00E96D6E" w:rsidRDefault="00DA5660"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The controls which apply to superannuation complaints within the proposed legislation should be expanded to apply to all disputes. In particular, proposed </w:t>
      </w:r>
      <w:r w:rsidR="00BB400B" w:rsidRPr="00BB400B">
        <w:rPr>
          <w:rFonts w:ascii="Franklin Gothic Medium" w:eastAsia="Times New Roman" w:hAnsi="Franklin Gothic Medium" w:cs="Times New Roman"/>
          <w:i/>
        </w:rPr>
        <w:t>S</w:t>
      </w:r>
      <w:r w:rsidRPr="00BB400B">
        <w:rPr>
          <w:rFonts w:ascii="Franklin Gothic Medium" w:eastAsia="Times New Roman" w:hAnsi="Franklin Gothic Medium" w:cs="Times New Roman"/>
          <w:i/>
        </w:rPr>
        <w:t>ection 1057(3)</w:t>
      </w:r>
      <w:r w:rsidRPr="00C55E7F">
        <w:rPr>
          <w:rFonts w:ascii="Franklin Gothic Medium" w:eastAsia="Times New Roman" w:hAnsi="Franklin Gothic Medium" w:cs="Times New Roman"/>
        </w:rPr>
        <w:t xml:space="preserve"> requiring that all decisions </w:t>
      </w:r>
      <w:r w:rsidR="00EC0C33" w:rsidRPr="00C55E7F">
        <w:rPr>
          <w:rFonts w:ascii="Franklin Gothic Medium" w:eastAsia="Times New Roman" w:hAnsi="Franklin Gothic Medium" w:cs="Times New Roman"/>
        </w:rPr>
        <w:t xml:space="preserve">regarding superannuation disputes </w:t>
      </w:r>
      <w:r w:rsidRPr="00C55E7F">
        <w:rPr>
          <w:rFonts w:ascii="Franklin Gothic Medium" w:eastAsia="Times New Roman" w:hAnsi="Franklin Gothic Medium" w:cs="Times New Roman"/>
        </w:rPr>
        <w:t>must not be contrary to the law should be extended to all disputes</w:t>
      </w:r>
      <w:r w:rsidR="00EC0C33" w:rsidRPr="00C55E7F">
        <w:rPr>
          <w:rFonts w:ascii="Franklin Gothic Medium" w:eastAsia="Times New Roman" w:hAnsi="Franklin Gothic Medium" w:cs="Times New Roman"/>
        </w:rPr>
        <w:t xml:space="preserve"> regardless of whether related to superannuation or not</w:t>
      </w:r>
      <w:r w:rsidRPr="00C55E7F">
        <w:rPr>
          <w:rFonts w:ascii="Franklin Gothic Medium" w:eastAsia="Times New Roman" w:hAnsi="Franklin Gothic Medium" w:cs="Times New Roman"/>
        </w:rPr>
        <w:t xml:space="preserve">. </w:t>
      </w:r>
    </w:p>
    <w:p w14:paraId="0AD203A9" w14:textId="77777777" w:rsidR="00BB400B" w:rsidRPr="00C55E7F" w:rsidRDefault="00BB400B" w:rsidP="00BB400B">
      <w:pPr>
        <w:pStyle w:val="NoSpacing"/>
        <w:jc w:val="both"/>
        <w:rPr>
          <w:rFonts w:ascii="Franklin Gothic Medium" w:eastAsia="Times New Roman" w:hAnsi="Franklin Gothic Medium" w:cs="Times New Roman"/>
        </w:rPr>
      </w:pPr>
    </w:p>
    <w:p w14:paraId="5F6E7D87" w14:textId="6BA10EF4" w:rsidR="00650662" w:rsidRDefault="00E96D6E"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EDR determinations are binding upon industry.  Where such determinations are made</w:t>
      </w:r>
      <w:r w:rsidR="00513B9C">
        <w:rPr>
          <w:rFonts w:ascii="Franklin Gothic Medium" w:eastAsia="Times New Roman" w:hAnsi="Franklin Gothic Medium" w:cs="Times New Roman"/>
        </w:rPr>
        <w:t xml:space="preserve">, as the examples provided </w:t>
      </w:r>
      <w:r w:rsidRPr="00C55E7F">
        <w:rPr>
          <w:rFonts w:ascii="Franklin Gothic Medium" w:eastAsia="Times New Roman" w:hAnsi="Franklin Gothic Medium" w:cs="Times New Roman"/>
        </w:rPr>
        <w:t>show</w:t>
      </w:r>
      <w:r w:rsidR="00513B9C">
        <w:rPr>
          <w:rFonts w:ascii="Franklin Gothic Medium" w:eastAsia="Times New Roman" w:hAnsi="Franklin Gothic Medium" w:cs="Times New Roman"/>
        </w:rPr>
        <w:t>,</w:t>
      </w:r>
      <w:r w:rsidRPr="00C55E7F">
        <w:rPr>
          <w:rFonts w:ascii="Franklin Gothic Medium" w:eastAsia="Times New Roman" w:hAnsi="Franklin Gothic Medium" w:cs="Times New Roman"/>
        </w:rPr>
        <w:t xml:space="preserve"> </w:t>
      </w:r>
      <w:r w:rsidR="00013799">
        <w:rPr>
          <w:rFonts w:ascii="Franklin Gothic Medium" w:eastAsia="Times New Roman" w:hAnsi="Franklin Gothic Medium" w:cs="Times New Roman"/>
        </w:rPr>
        <w:t xml:space="preserve">decisions that are made </w:t>
      </w:r>
      <w:r w:rsidRPr="00C55E7F">
        <w:rPr>
          <w:rFonts w:ascii="Franklin Gothic Medium" w:eastAsia="Times New Roman" w:hAnsi="Franklin Gothic Medium" w:cs="Times New Roman"/>
        </w:rPr>
        <w:t>without reference to the law or without accurate and appropriate inte</w:t>
      </w:r>
      <w:r w:rsidR="00650662" w:rsidRPr="00C55E7F">
        <w:rPr>
          <w:rFonts w:ascii="Franklin Gothic Medium" w:eastAsia="Times New Roman" w:hAnsi="Franklin Gothic Medium" w:cs="Times New Roman"/>
        </w:rPr>
        <w:t xml:space="preserve">rpretation of the law, </w:t>
      </w:r>
      <w:r w:rsidR="00013799">
        <w:rPr>
          <w:rFonts w:ascii="Franklin Gothic Medium" w:eastAsia="Times New Roman" w:hAnsi="Franklin Gothic Medium" w:cs="Times New Roman"/>
        </w:rPr>
        <w:t xml:space="preserve">have a </w:t>
      </w:r>
      <w:r w:rsidR="00650662" w:rsidRPr="00C55E7F">
        <w:rPr>
          <w:rFonts w:ascii="Franklin Gothic Medium" w:eastAsia="Times New Roman" w:hAnsi="Franklin Gothic Medium" w:cs="Times New Roman"/>
        </w:rPr>
        <w:t>significant</w:t>
      </w:r>
      <w:r w:rsidR="00013799">
        <w:rPr>
          <w:rFonts w:ascii="Franklin Gothic Medium" w:eastAsia="Times New Roman" w:hAnsi="Franklin Gothic Medium" w:cs="Times New Roman"/>
        </w:rPr>
        <w:t xml:space="preserve"> impact</w:t>
      </w:r>
      <w:r w:rsidRPr="00C55E7F">
        <w:rPr>
          <w:rFonts w:ascii="Franklin Gothic Medium" w:eastAsia="Times New Roman" w:hAnsi="Franklin Gothic Medium" w:cs="Times New Roman"/>
        </w:rPr>
        <w:t xml:space="preserve">. </w:t>
      </w:r>
    </w:p>
    <w:p w14:paraId="7E03A8AE" w14:textId="77777777" w:rsidR="00BB400B" w:rsidRPr="00C55E7F" w:rsidRDefault="00BB400B" w:rsidP="00BB400B">
      <w:pPr>
        <w:pStyle w:val="NoSpacing"/>
        <w:jc w:val="both"/>
        <w:rPr>
          <w:rFonts w:ascii="Franklin Gothic Medium" w:eastAsia="Times New Roman" w:hAnsi="Franklin Gothic Medium" w:cs="Times New Roman"/>
        </w:rPr>
      </w:pPr>
    </w:p>
    <w:p w14:paraId="2CD27F62" w14:textId="0C639856" w:rsidR="00E43DEB" w:rsidRDefault="00650662"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In the first instance, it is impossible for industry to </w:t>
      </w:r>
      <w:r w:rsidR="00E43DEB" w:rsidRPr="00C55E7F">
        <w:rPr>
          <w:rFonts w:ascii="Franklin Gothic Medium" w:eastAsia="Times New Roman" w:hAnsi="Franklin Gothic Medium" w:cs="Times New Roman"/>
        </w:rPr>
        <w:t xml:space="preserve">operate effectively and consistently in an environment where the rules are unclear </w:t>
      </w:r>
      <w:r w:rsidR="00013799">
        <w:rPr>
          <w:rFonts w:ascii="Franklin Gothic Medium" w:eastAsia="Times New Roman" w:hAnsi="Franklin Gothic Medium" w:cs="Times New Roman"/>
        </w:rPr>
        <w:t xml:space="preserve">or where determinations depart from the law. </w:t>
      </w:r>
      <w:r w:rsidR="00E43DEB" w:rsidRPr="00C55E7F">
        <w:rPr>
          <w:rFonts w:ascii="Franklin Gothic Medium" w:eastAsia="Times New Roman" w:hAnsi="Franklin Gothic Medium" w:cs="Times New Roman"/>
        </w:rPr>
        <w:t xml:space="preserve"> Furthermore, where there is scope for determinations to be contrary to law, this leaves industry in an impossible situation – should one comply with the EDR determination, as required by</w:t>
      </w:r>
      <w:r w:rsidR="00E10912" w:rsidRPr="00C55E7F">
        <w:rPr>
          <w:rFonts w:ascii="Franklin Gothic Medium" w:eastAsia="Times New Roman" w:hAnsi="Franklin Gothic Medium" w:cs="Times New Roman"/>
        </w:rPr>
        <w:t xml:space="preserve"> the terms of reference of the EDR scheme</w:t>
      </w:r>
      <w:r w:rsidR="00E43DEB" w:rsidRPr="00C55E7F">
        <w:rPr>
          <w:rFonts w:ascii="Franklin Gothic Medium" w:eastAsia="Times New Roman" w:hAnsi="Franklin Gothic Medium" w:cs="Times New Roman"/>
        </w:rPr>
        <w:t xml:space="preserve"> but be in breach of other legislation; or not comply with the EDR determination in order to comply with other prevailing legislation and thus be in breach</w:t>
      </w:r>
      <w:r w:rsidR="00013799">
        <w:rPr>
          <w:rFonts w:ascii="Franklin Gothic Medium" w:eastAsia="Times New Roman" w:hAnsi="Franklin Gothic Medium" w:cs="Times New Roman"/>
        </w:rPr>
        <w:t xml:space="preserve"> of their respective EDR </w:t>
      </w:r>
      <w:r w:rsidR="00E10912" w:rsidRPr="00C55E7F">
        <w:rPr>
          <w:rFonts w:ascii="Franklin Gothic Medium" w:eastAsia="Times New Roman" w:hAnsi="Franklin Gothic Medium" w:cs="Times New Roman"/>
        </w:rPr>
        <w:t>terms of reference</w:t>
      </w:r>
      <w:r w:rsidR="00E43DEB" w:rsidRPr="00C55E7F">
        <w:rPr>
          <w:rFonts w:ascii="Franklin Gothic Medium" w:eastAsia="Times New Roman" w:hAnsi="Franklin Gothic Medium" w:cs="Times New Roman"/>
        </w:rPr>
        <w:t>.  Clearly this cannot be considered an acceptable outcome.</w:t>
      </w:r>
    </w:p>
    <w:p w14:paraId="668D53B5" w14:textId="77777777" w:rsidR="00BB400B" w:rsidRPr="00C55E7F" w:rsidRDefault="00BB400B" w:rsidP="00BB400B">
      <w:pPr>
        <w:pStyle w:val="NoSpacing"/>
        <w:jc w:val="both"/>
        <w:rPr>
          <w:rFonts w:ascii="Franklin Gothic Medium" w:eastAsia="Times New Roman" w:hAnsi="Franklin Gothic Medium" w:cs="Times New Roman"/>
        </w:rPr>
      </w:pPr>
    </w:p>
    <w:p w14:paraId="26ED58A5" w14:textId="70AE0881" w:rsidR="00BB400B" w:rsidRDefault="00E43DEB"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Secondly, where determinations are binding and are not </w:t>
      </w:r>
      <w:r w:rsidR="00013799">
        <w:rPr>
          <w:rFonts w:ascii="Franklin Gothic Medium" w:eastAsia="Times New Roman" w:hAnsi="Franklin Gothic Medium" w:cs="Times New Roman"/>
        </w:rPr>
        <w:t>i</w:t>
      </w:r>
      <w:r w:rsidRPr="00C55E7F">
        <w:rPr>
          <w:rFonts w:ascii="Franklin Gothic Medium" w:eastAsia="Times New Roman" w:hAnsi="Franklin Gothic Medium" w:cs="Times New Roman"/>
        </w:rPr>
        <w:t xml:space="preserve">n accordance with law, this has the unintended consequence of </w:t>
      </w:r>
      <w:r w:rsidR="00E96D6E" w:rsidRPr="00C55E7F">
        <w:rPr>
          <w:rFonts w:ascii="Franklin Gothic Medium" w:eastAsia="Times New Roman" w:hAnsi="Franklin Gothic Medium" w:cs="Times New Roman"/>
        </w:rPr>
        <w:t>empower</w:t>
      </w:r>
      <w:r w:rsidRPr="00C55E7F">
        <w:rPr>
          <w:rFonts w:ascii="Franklin Gothic Medium" w:eastAsia="Times New Roman" w:hAnsi="Franklin Gothic Medium" w:cs="Times New Roman"/>
        </w:rPr>
        <w:t>ing</w:t>
      </w:r>
      <w:r w:rsidR="00E96D6E" w:rsidRPr="00C55E7F">
        <w:rPr>
          <w:rFonts w:ascii="Franklin Gothic Medium" w:eastAsia="Times New Roman" w:hAnsi="Franklin Gothic Medium" w:cs="Times New Roman"/>
        </w:rPr>
        <w:t xml:space="preserve"> EDR schemes with policy making powers that should remain the sole province of the </w:t>
      </w:r>
      <w:r w:rsidR="00013799">
        <w:rPr>
          <w:rFonts w:ascii="Franklin Gothic Medium" w:eastAsia="Times New Roman" w:hAnsi="Franklin Gothic Medium" w:cs="Times New Roman"/>
        </w:rPr>
        <w:t>Parliament</w:t>
      </w:r>
      <w:r w:rsidR="00E96D6E" w:rsidRPr="00C55E7F">
        <w:rPr>
          <w:rFonts w:ascii="Franklin Gothic Medium" w:eastAsia="Times New Roman" w:hAnsi="Franklin Gothic Medium" w:cs="Times New Roman"/>
        </w:rPr>
        <w:t>.</w:t>
      </w:r>
      <w:r w:rsidRPr="00C55E7F">
        <w:rPr>
          <w:rFonts w:ascii="Franklin Gothic Medium" w:eastAsia="Times New Roman" w:hAnsi="Franklin Gothic Medium" w:cs="Times New Roman"/>
        </w:rPr>
        <w:t xml:space="preserve">  </w:t>
      </w:r>
      <w:r w:rsidR="00013799">
        <w:rPr>
          <w:rFonts w:ascii="Franklin Gothic Medium" w:eastAsia="Times New Roman" w:hAnsi="Franklin Gothic Medium" w:cs="Times New Roman"/>
        </w:rPr>
        <w:t>Before becoming law, proposed l</w:t>
      </w:r>
      <w:r w:rsidRPr="00C55E7F">
        <w:rPr>
          <w:rFonts w:ascii="Franklin Gothic Medium" w:eastAsia="Times New Roman" w:hAnsi="Franklin Gothic Medium" w:cs="Times New Roman"/>
        </w:rPr>
        <w:t xml:space="preserve">egislation </w:t>
      </w:r>
      <w:r w:rsidR="00013799">
        <w:rPr>
          <w:rFonts w:ascii="Franklin Gothic Medium" w:eastAsia="Times New Roman" w:hAnsi="Franklin Gothic Medium" w:cs="Times New Roman"/>
        </w:rPr>
        <w:t xml:space="preserve">will almost certainly go through </w:t>
      </w:r>
      <w:r w:rsidRPr="00C55E7F">
        <w:rPr>
          <w:rFonts w:ascii="Franklin Gothic Medium" w:eastAsia="Times New Roman" w:hAnsi="Franklin Gothic Medium" w:cs="Times New Roman"/>
        </w:rPr>
        <w:t xml:space="preserve">a thorough </w:t>
      </w:r>
      <w:r w:rsidR="00013799">
        <w:rPr>
          <w:rFonts w:ascii="Franklin Gothic Medium" w:eastAsia="Times New Roman" w:hAnsi="Franklin Gothic Medium" w:cs="Times New Roman"/>
        </w:rPr>
        <w:t xml:space="preserve">public </w:t>
      </w:r>
      <w:r w:rsidRPr="00C55E7F">
        <w:rPr>
          <w:rFonts w:ascii="Franklin Gothic Medium" w:eastAsia="Times New Roman" w:hAnsi="Franklin Gothic Medium" w:cs="Times New Roman"/>
        </w:rPr>
        <w:t>consultation process</w:t>
      </w:r>
      <w:r w:rsidR="00013799">
        <w:rPr>
          <w:rFonts w:ascii="Franklin Gothic Medium" w:eastAsia="Times New Roman" w:hAnsi="Franklin Gothic Medium" w:cs="Times New Roman"/>
        </w:rPr>
        <w:t>, the scrutiny of both Houses of Parliament, and will then require Royal Assent.</w:t>
      </w:r>
      <w:r w:rsidRPr="00C55E7F">
        <w:rPr>
          <w:rFonts w:ascii="Franklin Gothic Medium" w:eastAsia="Times New Roman" w:hAnsi="Franklin Gothic Medium" w:cs="Times New Roman"/>
        </w:rPr>
        <w:t xml:space="preserve"> It should not be within the powers of an EDR scheme to bypass that rigour.</w:t>
      </w:r>
      <w:r w:rsidR="00E96D6E" w:rsidRPr="00C55E7F">
        <w:rPr>
          <w:rFonts w:ascii="Franklin Gothic Medium" w:eastAsia="Times New Roman" w:hAnsi="Franklin Gothic Medium" w:cs="Times New Roman"/>
        </w:rPr>
        <w:t xml:space="preserve"> </w:t>
      </w:r>
    </w:p>
    <w:p w14:paraId="226D9630" w14:textId="110C7B92" w:rsidR="00E96D6E" w:rsidRPr="00C55E7F" w:rsidRDefault="00E96D6E"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 </w:t>
      </w:r>
    </w:p>
    <w:p w14:paraId="61278321" w14:textId="13C6CD5E" w:rsidR="00E96D6E" w:rsidRDefault="00E43DEB" w:rsidP="00BB400B">
      <w:pPr>
        <w:pStyle w:val="NoSpacing"/>
        <w:jc w:val="both"/>
        <w:rPr>
          <w:rFonts w:ascii="Franklin Gothic Medium" w:eastAsia="Times New Roman" w:hAnsi="Franklin Gothic Medium" w:cs="Times New Roman"/>
        </w:rPr>
      </w:pPr>
      <w:r w:rsidRPr="00C55E7F">
        <w:rPr>
          <w:rFonts w:ascii="Franklin Gothic Medium" w:eastAsia="Times New Roman" w:hAnsi="Franklin Gothic Medium" w:cs="Times New Roman"/>
        </w:rPr>
        <w:t xml:space="preserve">Therefore, ARCA urges the government to extend </w:t>
      </w:r>
      <w:r w:rsidR="00013799">
        <w:rPr>
          <w:rFonts w:ascii="Franklin Gothic Medium" w:eastAsia="Times New Roman" w:hAnsi="Franklin Gothic Medium" w:cs="Times New Roman"/>
        </w:rPr>
        <w:t>the requirement</w:t>
      </w:r>
      <w:r w:rsidRPr="00C55E7F">
        <w:rPr>
          <w:rFonts w:ascii="Franklin Gothic Medium" w:eastAsia="Times New Roman" w:hAnsi="Franklin Gothic Medium" w:cs="Times New Roman"/>
        </w:rPr>
        <w:t xml:space="preserve"> that EDR decisions are made in accordance with the law to cover all EDR complaints an</w:t>
      </w:r>
      <w:r w:rsidR="00013799">
        <w:rPr>
          <w:rFonts w:ascii="Franklin Gothic Medium" w:eastAsia="Times New Roman" w:hAnsi="Franklin Gothic Medium" w:cs="Times New Roman"/>
        </w:rPr>
        <w:t>d not simply those relating to s</w:t>
      </w:r>
      <w:r w:rsidRPr="00C55E7F">
        <w:rPr>
          <w:rFonts w:ascii="Franklin Gothic Medium" w:eastAsia="Times New Roman" w:hAnsi="Franklin Gothic Medium" w:cs="Times New Roman"/>
        </w:rPr>
        <w:t>uperannuation.</w:t>
      </w:r>
    </w:p>
    <w:p w14:paraId="302F9524" w14:textId="77777777" w:rsidR="00BB400B" w:rsidRPr="00D14ACF" w:rsidRDefault="00BB400B" w:rsidP="00D14ACF">
      <w:pPr>
        <w:pStyle w:val="NoSpacing"/>
        <w:jc w:val="both"/>
        <w:rPr>
          <w:rFonts w:ascii="Franklin Gothic Medium" w:eastAsia="Times New Roman" w:hAnsi="Franklin Gothic Medium" w:cs="Times New Roman"/>
        </w:rPr>
      </w:pPr>
    </w:p>
    <w:p w14:paraId="43DE8512" w14:textId="6049311B" w:rsidR="00E43DEB" w:rsidRPr="00D14ACF" w:rsidRDefault="00E43DEB" w:rsidP="00D14ACF">
      <w:pPr>
        <w:pStyle w:val="NoSpacing"/>
        <w:jc w:val="both"/>
        <w:rPr>
          <w:rFonts w:ascii="Franklin Gothic Medium" w:eastAsia="Times New Roman" w:hAnsi="Franklin Gothic Medium" w:cs="Times New Roman"/>
          <w:u w:val="single"/>
        </w:rPr>
      </w:pPr>
      <w:r w:rsidRPr="00D14ACF">
        <w:rPr>
          <w:rFonts w:ascii="Franklin Gothic Medium" w:eastAsia="Times New Roman" w:hAnsi="Franklin Gothic Medium" w:cs="Times New Roman"/>
          <w:u w:val="single"/>
        </w:rPr>
        <w:t>Decisions should be subject to a right of review or appeal</w:t>
      </w:r>
    </w:p>
    <w:p w14:paraId="72EDB6FE" w14:textId="77777777" w:rsidR="00D14ACF" w:rsidRPr="00D14ACF" w:rsidRDefault="00D14ACF" w:rsidP="00D14ACF">
      <w:pPr>
        <w:pStyle w:val="NoSpacing"/>
        <w:jc w:val="both"/>
        <w:rPr>
          <w:rFonts w:ascii="Franklin Gothic Medium" w:eastAsia="Times New Roman" w:hAnsi="Franklin Gothic Medium" w:cs="Times New Roman"/>
        </w:rPr>
      </w:pPr>
    </w:p>
    <w:p w14:paraId="4AA3D596" w14:textId="14E70D1F" w:rsidR="00EC0C33" w:rsidRDefault="00E43DEB" w:rsidP="00D14ACF">
      <w:pPr>
        <w:pStyle w:val="NoSpacing"/>
        <w:jc w:val="both"/>
        <w:rPr>
          <w:rFonts w:ascii="Franklin Gothic Medium" w:eastAsia="Times New Roman" w:hAnsi="Franklin Gothic Medium" w:cs="Times New Roman"/>
        </w:rPr>
      </w:pPr>
      <w:r w:rsidRPr="00D14ACF">
        <w:rPr>
          <w:rFonts w:ascii="Franklin Gothic Medium" w:eastAsia="Times New Roman" w:hAnsi="Franklin Gothic Medium" w:cs="Times New Roman"/>
        </w:rPr>
        <w:t>AR</w:t>
      </w:r>
      <w:r w:rsidR="00D14ACF">
        <w:rPr>
          <w:rFonts w:ascii="Franklin Gothic Medium" w:eastAsia="Times New Roman" w:hAnsi="Franklin Gothic Medium" w:cs="Times New Roman"/>
        </w:rPr>
        <w:t xml:space="preserve">CA further notes that proposed </w:t>
      </w:r>
      <w:r w:rsidR="00D14ACF" w:rsidRPr="004E7E19">
        <w:rPr>
          <w:rFonts w:ascii="Franklin Gothic Medium" w:eastAsia="Times New Roman" w:hAnsi="Franklin Gothic Medium" w:cs="Times New Roman"/>
          <w:i/>
        </w:rPr>
        <w:t>S</w:t>
      </w:r>
      <w:r w:rsidRPr="004E7E19">
        <w:rPr>
          <w:rFonts w:ascii="Franklin Gothic Medium" w:eastAsia="Times New Roman" w:hAnsi="Franklin Gothic Medium" w:cs="Times New Roman"/>
          <w:i/>
        </w:rPr>
        <w:t>ection 1056</w:t>
      </w:r>
      <w:r w:rsidRPr="00D14ACF">
        <w:rPr>
          <w:rFonts w:ascii="Franklin Gothic Medium" w:eastAsia="Times New Roman" w:hAnsi="Franklin Gothic Medium" w:cs="Times New Roman"/>
        </w:rPr>
        <w:t xml:space="preserve"> </w:t>
      </w:r>
      <w:r w:rsidR="004E7E19">
        <w:rPr>
          <w:rFonts w:ascii="Franklin Gothic Medium" w:eastAsia="Times New Roman" w:hAnsi="Franklin Gothic Medium" w:cs="Times New Roman"/>
        </w:rPr>
        <w:t xml:space="preserve">which </w:t>
      </w:r>
      <w:r w:rsidRPr="00D14ACF">
        <w:rPr>
          <w:rFonts w:ascii="Franklin Gothic Medium" w:eastAsia="Times New Roman" w:hAnsi="Franklin Gothic Medium" w:cs="Times New Roman"/>
        </w:rPr>
        <w:t>provid</w:t>
      </w:r>
      <w:r w:rsidR="00D14ACF">
        <w:rPr>
          <w:rFonts w:ascii="Franklin Gothic Medium" w:eastAsia="Times New Roman" w:hAnsi="Franklin Gothic Medium" w:cs="Times New Roman"/>
        </w:rPr>
        <w:t>es</w:t>
      </w:r>
      <w:r w:rsidRPr="00D14ACF">
        <w:rPr>
          <w:rFonts w:ascii="Franklin Gothic Medium" w:eastAsia="Times New Roman" w:hAnsi="Franklin Gothic Medium" w:cs="Times New Roman"/>
        </w:rPr>
        <w:t xml:space="preserve"> for appeal to the Federal Court on questions of law </w:t>
      </w:r>
      <w:r w:rsidR="00EC0C33" w:rsidRPr="00D14ACF">
        <w:rPr>
          <w:rFonts w:ascii="Franklin Gothic Medium" w:eastAsia="Times New Roman" w:hAnsi="Franklin Gothic Medium" w:cs="Times New Roman"/>
        </w:rPr>
        <w:t xml:space="preserve">regarding superannuation disputes </w:t>
      </w:r>
      <w:r w:rsidRPr="00D14ACF">
        <w:rPr>
          <w:rFonts w:ascii="Franklin Gothic Medium" w:eastAsia="Times New Roman" w:hAnsi="Franklin Gothic Medium" w:cs="Times New Roman"/>
        </w:rPr>
        <w:t>should be extended to all disputes</w:t>
      </w:r>
      <w:r w:rsidR="00BB1E3F" w:rsidRPr="00D14ACF">
        <w:rPr>
          <w:rFonts w:ascii="Franklin Gothic Medium" w:eastAsia="Times New Roman" w:hAnsi="Franklin Gothic Medium" w:cs="Times New Roman"/>
        </w:rPr>
        <w:t xml:space="preserve">.  </w:t>
      </w:r>
    </w:p>
    <w:p w14:paraId="13285CDF" w14:textId="77777777" w:rsidR="00D14ACF" w:rsidRPr="00D14ACF" w:rsidRDefault="00D14ACF" w:rsidP="00D14ACF">
      <w:pPr>
        <w:pStyle w:val="NoSpacing"/>
        <w:jc w:val="both"/>
        <w:rPr>
          <w:rFonts w:ascii="Franklin Gothic Medium" w:eastAsia="Times New Roman" w:hAnsi="Franklin Gothic Medium" w:cs="Times New Roman"/>
        </w:rPr>
      </w:pPr>
    </w:p>
    <w:p w14:paraId="0A45B15D" w14:textId="2E089C4F" w:rsidR="00360734" w:rsidRDefault="004E7E19" w:rsidP="00D14ACF">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rPr>
        <w:t>Furthermore, g</w:t>
      </w:r>
      <w:r w:rsidR="00EC0C33" w:rsidRPr="00D14ACF">
        <w:rPr>
          <w:rFonts w:ascii="Franklin Gothic Medium" w:eastAsia="Times New Roman" w:hAnsi="Franklin Gothic Medium" w:cs="Times New Roman"/>
        </w:rPr>
        <w:t xml:space="preserve">iven the costs and time delays inherent in matters taken before Federal Court, this should not be the only avenue whereby EDR decisions may be challenged on a point of law.  </w:t>
      </w:r>
      <w:r w:rsidR="00BB1E3F" w:rsidRPr="00D14ACF">
        <w:rPr>
          <w:rFonts w:ascii="Franklin Gothic Medium" w:eastAsia="Times New Roman" w:hAnsi="Franklin Gothic Medium" w:cs="Times New Roman"/>
        </w:rPr>
        <w:t>ARCA believes that</w:t>
      </w:r>
      <w:r w:rsidR="00E43DEB" w:rsidRPr="00D14ACF">
        <w:rPr>
          <w:rFonts w:ascii="Franklin Gothic Medium" w:eastAsia="Times New Roman" w:hAnsi="Franklin Gothic Medium" w:cs="Times New Roman"/>
        </w:rPr>
        <w:t xml:space="preserve"> there should be a</w:t>
      </w:r>
      <w:r w:rsidR="00EC0C33" w:rsidRPr="00D14ACF">
        <w:rPr>
          <w:rFonts w:ascii="Franklin Gothic Medium" w:eastAsia="Times New Roman" w:hAnsi="Franklin Gothic Medium" w:cs="Times New Roman"/>
        </w:rPr>
        <w:t xml:space="preserve"> simpler and more accessible </w:t>
      </w:r>
      <w:r w:rsidR="00BB1E3F" w:rsidRPr="00D14ACF">
        <w:rPr>
          <w:rFonts w:ascii="Franklin Gothic Medium" w:eastAsia="Times New Roman" w:hAnsi="Franklin Gothic Medium" w:cs="Times New Roman"/>
        </w:rPr>
        <w:t xml:space="preserve">mechanism </w:t>
      </w:r>
      <w:r w:rsidR="00EC0C33" w:rsidRPr="00D14ACF">
        <w:rPr>
          <w:rFonts w:ascii="Franklin Gothic Medium" w:eastAsia="Times New Roman" w:hAnsi="Franklin Gothic Medium" w:cs="Times New Roman"/>
        </w:rPr>
        <w:t xml:space="preserve">to </w:t>
      </w:r>
      <w:r w:rsidR="00D14ACF">
        <w:rPr>
          <w:rFonts w:ascii="Franklin Gothic Medium" w:eastAsia="Times New Roman" w:hAnsi="Franklin Gothic Medium" w:cs="Times New Roman"/>
        </w:rPr>
        <w:t>review E</w:t>
      </w:r>
      <w:r w:rsidR="00BB1E3F" w:rsidRPr="00D14ACF">
        <w:rPr>
          <w:rFonts w:ascii="Franklin Gothic Medium" w:eastAsia="Times New Roman" w:hAnsi="Franklin Gothic Medium" w:cs="Times New Roman"/>
        </w:rPr>
        <w:t xml:space="preserve">DR decisions on questions of law </w:t>
      </w:r>
      <w:r w:rsidR="00EC0C33" w:rsidRPr="00D14ACF">
        <w:rPr>
          <w:rFonts w:ascii="Franklin Gothic Medium" w:eastAsia="Times New Roman" w:hAnsi="Franklin Gothic Medium" w:cs="Times New Roman"/>
        </w:rPr>
        <w:t xml:space="preserve">and that this mechanism should not rely on an internal review by the EDR scheme itself but should provide for review </w:t>
      </w:r>
      <w:r w:rsidR="00BB1E3F" w:rsidRPr="00D14ACF">
        <w:rPr>
          <w:rFonts w:ascii="Franklin Gothic Medium" w:eastAsia="Times New Roman" w:hAnsi="Franklin Gothic Medium" w:cs="Times New Roman"/>
        </w:rPr>
        <w:t xml:space="preserve">by an appropriate external body, regulator and/or </w:t>
      </w:r>
      <w:r>
        <w:rPr>
          <w:rFonts w:ascii="Franklin Gothic Medium" w:eastAsia="Times New Roman" w:hAnsi="Franklin Gothic Medium" w:cs="Times New Roman"/>
        </w:rPr>
        <w:t>‘</w:t>
      </w:r>
      <w:r w:rsidR="00BB1E3F" w:rsidRPr="00D14ACF">
        <w:rPr>
          <w:rFonts w:ascii="Franklin Gothic Medium" w:eastAsia="Times New Roman" w:hAnsi="Franklin Gothic Medium" w:cs="Times New Roman"/>
        </w:rPr>
        <w:t>eminent person</w:t>
      </w:r>
      <w:r>
        <w:rPr>
          <w:rFonts w:ascii="Franklin Gothic Medium" w:eastAsia="Times New Roman" w:hAnsi="Franklin Gothic Medium" w:cs="Times New Roman"/>
        </w:rPr>
        <w:t>’</w:t>
      </w:r>
      <w:r w:rsidR="00BB1E3F" w:rsidRPr="00D14ACF">
        <w:rPr>
          <w:rFonts w:ascii="Franklin Gothic Medium" w:eastAsia="Times New Roman" w:hAnsi="Franklin Gothic Medium" w:cs="Times New Roman"/>
        </w:rPr>
        <w:t xml:space="preserve">.   </w:t>
      </w:r>
    </w:p>
    <w:p w14:paraId="4F74BD9F" w14:textId="77777777" w:rsidR="00D14ACF" w:rsidRPr="00D14ACF" w:rsidRDefault="00D14ACF" w:rsidP="00D14ACF">
      <w:pPr>
        <w:pStyle w:val="NoSpacing"/>
        <w:jc w:val="both"/>
        <w:rPr>
          <w:rFonts w:ascii="Franklin Gothic Medium" w:eastAsia="Times New Roman" w:hAnsi="Franklin Gothic Medium" w:cs="Times New Roman"/>
        </w:rPr>
      </w:pPr>
    </w:p>
    <w:p w14:paraId="143795D9" w14:textId="3735ACAD" w:rsidR="00D14ACF" w:rsidRDefault="004E7E19" w:rsidP="00D14ACF">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rPr>
        <w:t>Therefore, ARCA urges that r</w:t>
      </w:r>
      <w:r w:rsidR="00BB1E3F" w:rsidRPr="00D14ACF">
        <w:rPr>
          <w:rFonts w:ascii="Franklin Gothic Medium" w:eastAsia="Times New Roman" w:hAnsi="Franklin Gothic Medium" w:cs="Times New Roman"/>
        </w:rPr>
        <w:t xml:space="preserve">ecourse to the Federal Court should not be the only mechanism available to either industry or </w:t>
      </w:r>
      <w:r w:rsidR="00121318" w:rsidRPr="00D14ACF">
        <w:rPr>
          <w:rFonts w:ascii="Franklin Gothic Medium" w:eastAsia="Times New Roman" w:hAnsi="Franklin Gothic Medium" w:cs="Times New Roman"/>
        </w:rPr>
        <w:t xml:space="preserve">consumers where there are questions of law </w:t>
      </w:r>
      <w:r w:rsidR="00D14ACF">
        <w:rPr>
          <w:rFonts w:ascii="Franklin Gothic Medium" w:eastAsia="Times New Roman" w:hAnsi="Franklin Gothic Medium" w:cs="Times New Roman"/>
        </w:rPr>
        <w:t>in</w:t>
      </w:r>
      <w:r w:rsidR="00121318" w:rsidRPr="00D14ACF">
        <w:rPr>
          <w:rFonts w:ascii="Franklin Gothic Medium" w:eastAsia="Times New Roman" w:hAnsi="Franklin Gothic Medium" w:cs="Times New Roman"/>
        </w:rPr>
        <w:t xml:space="preserve"> dispute.  By way of example, the Financial Ombudsman Service (FOS) took a view on how Repayment History Information (RHI) should be interpreted and reported when an informal payment arrangement that is not a contract variation is in effect.  ARCA and industry considered that FOS had erred at law</w:t>
      </w:r>
      <w:r w:rsidR="006222D2">
        <w:rPr>
          <w:rFonts w:ascii="Franklin Gothic Medium" w:eastAsia="Times New Roman" w:hAnsi="Franklin Gothic Medium" w:cs="Times New Roman"/>
        </w:rPr>
        <w:t xml:space="preserve"> in that it misinterpreted the Privacy Act</w:t>
      </w:r>
      <w:r w:rsidR="00121318" w:rsidRPr="00D14ACF">
        <w:rPr>
          <w:rFonts w:ascii="Franklin Gothic Medium" w:eastAsia="Times New Roman" w:hAnsi="Franklin Gothic Medium" w:cs="Times New Roman"/>
        </w:rPr>
        <w:t xml:space="preserve">.  </w:t>
      </w:r>
      <w:r w:rsidR="006222D2">
        <w:rPr>
          <w:rFonts w:ascii="Franklin Gothic Medium" w:eastAsia="Times New Roman" w:hAnsi="Franklin Gothic Medium" w:cs="Times New Roman"/>
        </w:rPr>
        <w:t>However because there is no appeal right for individual EDR determinations that do not satisfy the Wednesbury test for unreasonableness</w:t>
      </w:r>
      <w:r w:rsidR="0089597B">
        <w:rPr>
          <w:rStyle w:val="FootnoteReference"/>
          <w:rFonts w:ascii="Franklin Gothic Medium" w:eastAsia="Times New Roman" w:hAnsi="Franklin Gothic Medium" w:cs="Times New Roman"/>
        </w:rPr>
        <w:footnoteReference w:id="1"/>
      </w:r>
      <w:r w:rsidR="006222D2">
        <w:rPr>
          <w:rFonts w:ascii="Franklin Gothic Medium" w:eastAsia="Times New Roman" w:hAnsi="Franklin Gothic Medium" w:cs="Times New Roman"/>
        </w:rPr>
        <w:t xml:space="preserve">, industry’s only recourse was to request the Information Commissioner’s view on how RHI should be interpreted and reported under the Privacy Act. </w:t>
      </w:r>
      <w:r w:rsidR="00121318" w:rsidRPr="00D14ACF">
        <w:rPr>
          <w:rFonts w:ascii="Franklin Gothic Medium" w:eastAsia="Times New Roman" w:hAnsi="Franklin Gothic Medium" w:cs="Times New Roman"/>
        </w:rPr>
        <w:t xml:space="preserve">After a thorough review of the FOS position, the OAIC confirmed a view that aligned with that of ARCA regarding how RHI should be interpreted and reported.  </w:t>
      </w:r>
    </w:p>
    <w:p w14:paraId="4601EBC8" w14:textId="77777777" w:rsidR="00D14ACF" w:rsidRDefault="00D14ACF" w:rsidP="00D14ACF">
      <w:pPr>
        <w:pStyle w:val="NoSpacing"/>
        <w:jc w:val="both"/>
        <w:rPr>
          <w:rFonts w:ascii="Franklin Gothic Medium" w:eastAsia="Times New Roman" w:hAnsi="Franklin Gothic Medium" w:cs="Times New Roman"/>
        </w:rPr>
      </w:pPr>
    </w:p>
    <w:p w14:paraId="2EB1F668" w14:textId="29984704" w:rsidR="00121318" w:rsidRPr="00D14ACF" w:rsidRDefault="00246EF4" w:rsidP="00D14ACF">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rPr>
        <w:t xml:space="preserve">In this instance, </w:t>
      </w:r>
      <w:r w:rsidR="0089597B">
        <w:rPr>
          <w:rFonts w:ascii="Franklin Gothic Medium" w:eastAsia="Times New Roman" w:hAnsi="Franklin Gothic Medium" w:cs="Times New Roman"/>
        </w:rPr>
        <w:t>c</w:t>
      </w:r>
      <w:r w:rsidR="0032366C" w:rsidRPr="00D14ACF">
        <w:rPr>
          <w:rFonts w:ascii="Franklin Gothic Medium" w:eastAsia="Times New Roman" w:hAnsi="Franklin Gothic Medium" w:cs="Times New Roman"/>
        </w:rPr>
        <w:t>lari</w:t>
      </w:r>
      <w:r w:rsidR="0032366C">
        <w:rPr>
          <w:rFonts w:ascii="Franklin Gothic Medium" w:eastAsia="Times New Roman" w:hAnsi="Franklin Gothic Medium" w:cs="Times New Roman"/>
        </w:rPr>
        <w:t xml:space="preserve">fying the correct interpretation of the law </w:t>
      </w:r>
      <w:r w:rsidR="0032366C" w:rsidRPr="00D14ACF">
        <w:rPr>
          <w:rFonts w:ascii="Franklin Gothic Medium" w:eastAsia="Times New Roman" w:hAnsi="Franklin Gothic Medium" w:cs="Times New Roman"/>
        </w:rPr>
        <w:t>took nearly a year</w:t>
      </w:r>
      <w:r w:rsidR="0032366C" w:rsidRPr="00D14ACF" w:rsidDel="00246EF4">
        <w:rPr>
          <w:rFonts w:ascii="Franklin Gothic Medium" w:eastAsia="Times New Roman" w:hAnsi="Franklin Gothic Medium" w:cs="Times New Roman"/>
        </w:rPr>
        <w:t xml:space="preserve"> </w:t>
      </w:r>
      <w:r w:rsidR="0032366C">
        <w:rPr>
          <w:rFonts w:ascii="Franklin Gothic Medium" w:eastAsia="Times New Roman" w:hAnsi="Franklin Gothic Medium" w:cs="Times New Roman"/>
        </w:rPr>
        <w:t>and in the meantime, the FOS view</w:t>
      </w:r>
      <w:r w:rsidR="00121318" w:rsidRPr="00D14ACF">
        <w:rPr>
          <w:rFonts w:ascii="Franklin Gothic Medium" w:eastAsia="Times New Roman" w:hAnsi="Franklin Gothic Medium" w:cs="Times New Roman"/>
        </w:rPr>
        <w:t xml:space="preserve"> became the main impediment to progressing with the implementation of comprehensive credit reporting</w:t>
      </w:r>
      <w:r w:rsidR="00D14ACF">
        <w:rPr>
          <w:rFonts w:ascii="Franklin Gothic Medium" w:eastAsia="Times New Roman" w:hAnsi="Franklin Gothic Medium" w:cs="Times New Roman"/>
        </w:rPr>
        <w:t xml:space="preserve">. </w:t>
      </w:r>
      <w:r w:rsidR="006E6DE0">
        <w:rPr>
          <w:rFonts w:ascii="Franklin Gothic Medium" w:eastAsia="Times New Roman" w:hAnsi="Franklin Gothic Medium" w:cs="Times New Roman"/>
        </w:rPr>
        <w:t xml:space="preserve"> E</w:t>
      </w:r>
      <w:r w:rsidR="00D14ACF">
        <w:rPr>
          <w:rFonts w:ascii="Franklin Gothic Medium" w:eastAsia="Times New Roman" w:hAnsi="Franklin Gothic Medium" w:cs="Times New Roman"/>
        </w:rPr>
        <w:t>ven more concerning is</w:t>
      </w:r>
      <w:r w:rsidR="006E6DE0">
        <w:rPr>
          <w:rFonts w:ascii="Franklin Gothic Medium" w:eastAsia="Times New Roman" w:hAnsi="Franklin Gothic Medium" w:cs="Times New Roman"/>
        </w:rPr>
        <w:t xml:space="preserve"> the fact </w:t>
      </w:r>
      <w:r w:rsidR="00D14ACF">
        <w:rPr>
          <w:rFonts w:ascii="Franklin Gothic Medium" w:eastAsia="Times New Roman" w:hAnsi="Franklin Gothic Medium" w:cs="Times New Roman"/>
        </w:rPr>
        <w:t xml:space="preserve">that </w:t>
      </w:r>
      <w:r>
        <w:rPr>
          <w:rFonts w:ascii="Franklin Gothic Medium" w:eastAsia="Times New Roman" w:hAnsi="Franklin Gothic Medium" w:cs="Times New Roman"/>
        </w:rPr>
        <w:t xml:space="preserve">the Information Commissioner’s view </w:t>
      </w:r>
      <w:r w:rsidR="0032366C">
        <w:rPr>
          <w:rFonts w:ascii="Franklin Gothic Medium" w:eastAsia="Times New Roman" w:hAnsi="Franklin Gothic Medium" w:cs="Times New Roman"/>
        </w:rPr>
        <w:t>can only</w:t>
      </w:r>
      <w:r>
        <w:rPr>
          <w:rFonts w:ascii="Franklin Gothic Medium" w:eastAsia="Times New Roman" w:hAnsi="Franklin Gothic Medium" w:cs="Times New Roman"/>
        </w:rPr>
        <w:t xml:space="preserve"> clarify future interpretation of the relevant legislation; </w:t>
      </w:r>
      <w:r w:rsidR="0032366C">
        <w:rPr>
          <w:rFonts w:ascii="Franklin Gothic Medium" w:eastAsia="Times New Roman" w:hAnsi="Franklin Gothic Medium" w:cs="Times New Roman"/>
        </w:rPr>
        <w:t xml:space="preserve">the Information Commissioner does </w:t>
      </w:r>
      <w:r>
        <w:rPr>
          <w:rFonts w:ascii="Franklin Gothic Medium" w:eastAsia="Times New Roman" w:hAnsi="Franklin Gothic Medium" w:cs="Times New Roman"/>
        </w:rPr>
        <w:t>not have oversight or power to overrule individual FOS determinations such as the initial determination on this issue</w:t>
      </w:r>
      <w:r w:rsidR="00121318" w:rsidRPr="00D14ACF">
        <w:rPr>
          <w:rFonts w:ascii="Franklin Gothic Medium" w:eastAsia="Times New Roman" w:hAnsi="Franklin Gothic Medium" w:cs="Times New Roman"/>
        </w:rPr>
        <w:t xml:space="preserve">. </w:t>
      </w:r>
      <w:r w:rsidR="009573FB" w:rsidRPr="00D14ACF">
        <w:rPr>
          <w:rFonts w:ascii="Franklin Gothic Medium" w:eastAsia="Times New Roman" w:hAnsi="Franklin Gothic Medium" w:cs="Times New Roman"/>
        </w:rPr>
        <w:t xml:space="preserve"> This clearly demonstrates the</w:t>
      </w:r>
      <w:r w:rsidR="00121318" w:rsidRPr="00D14ACF">
        <w:rPr>
          <w:rFonts w:ascii="Franklin Gothic Medium" w:eastAsia="Times New Roman" w:hAnsi="Franklin Gothic Medium" w:cs="Times New Roman"/>
        </w:rPr>
        <w:t xml:space="preserve"> need for an effective and appropriate </w:t>
      </w:r>
      <w:r>
        <w:rPr>
          <w:rFonts w:ascii="Franklin Gothic Medium" w:eastAsia="Times New Roman" w:hAnsi="Franklin Gothic Medium" w:cs="Times New Roman"/>
        </w:rPr>
        <w:t>avenue to appeal individual EDR determinations</w:t>
      </w:r>
      <w:r w:rsidR="004E7E19">
        <w:rPr>
          <w:rFonts w:ascii="Franklin Gothic Medium" w:eastAsia="Times New Roman" w:hAnsi="Franklin Gothic Medium" w:cs="Times New Roman"/>
        </w:rPr>
        <w:t xml:space="preserve"> - this</w:t>
      </w:r>
      <w:r w:rsidR="00BB1E3F" w:rsidRPr="00D14ACF">
        <w:rPr>
          <w:rFonts w:ascii="Franklin Gothic Medium" w:eastAsia="Times New Roman" w:hAnsi="Franklin Gothic Medium" w:cs="Times New Roman"/>
        </w:rPr>
        <w:t xml:space="preserve"> would have the </w:t>
      </w:r>
      <w:r w:rsidR="009573FB" w:rsidRPr="00D14ACF">
        <w:rPr>
          <w:rFonts w:ascii="Franklin Gothic Medium" w:eastAsia="Times New Roman" w:hAnsi="Franklin Gothic Medium" w:cs="Times New Roman"/>
        </w:rPr>
        <w:t xml:space="preserve">additional </w:t>
      </w:r>
      <w:r w:rsidR="00BB1E3F" w:rsidRPr="00D14ACF">
        <w:rPr>
          <w:rFonts w:ascii="Franklin Gothic Medium" w:eastAsia="Times New Roman" w:hAnsi="Franklin Gothic Medium" w:cs="Times New Roman"/>
        </w:rPr>
        <w:t xml:space="preserve">benefit of ensuring a higher level of accountability and quality assurance </w:t>
      </w:r>
      <w:r w:rsidR="00D14ACF">
        <w:rPr>
          <w:rFonts w:ascii="Franklin Gothic Medium" w:eastAsia="Times New Roman" w:hAnsi="Franklin Gothic Medium" w:cs="Times New Roman"/>
        </w:rPr>
        <w:t xml:space="preserve">of </w:t>
      </w:r>
      <w:r w:rsidR="00BB1E3F" w:rsidRPr="00D14ACF">
        <w:rPr>
          <w:rFonts w:ascii="Franklin Gothic Medium" w:eastAsia="Times New Roman" w:hAnsi="Franklin Gothic Medium" w:cs="Times New Roman"/>
        </w:rPr>
        <w:t xml:space="preserve">EDR </w:t>
      </w:r>
      <w:r w:rsidR="00D14ACF">
        <w:rPr>
          <w:rFonts w:ascii="Franklin Gothic Medium" w:eastAsia="Times New Roman" w:hAnsi="Franklin Gothic Medium" w:cs="Times New Roman"/>
        </w:rPr>
        <w:t>decision making</w:t>
      </w:r>
      <w:r w:rsidR="00121318" w:rsidRPr="00D14ACF">
        <w:rPr>
          <w:rFonts w:ascii="Franklin Gothic Medium" w:eastAsia="Times New Roman" w:hAnsi="Franklin Gothic Medium" w:cs="Times New Roman"/>
        </w:rPr>
        <w:t>.</w:t>
      </w:r>
    </w:p>
    <w:p w14:paraId="7C46C167" w14:textId="77777777" w:rsidR="00121318" w:rsidRPr="00D14ACF" w:rsidRDefault="00121318" w:rsidP="00D14ACF">
      <w:pPr>
        <w:pStyle w:val="NoSpacing"/>
        <w:jc w:val="both"/>
        <w:rPr>
          <w:rFonts w:ascii="Franklin Gothic Medium" w:eastAsia="Times New Roman" w:hAnsi="Franklin Gothic Medium" w:cs="Times New Roman"/>
        </w:rPr>
      </w:pPr>
    </w:p>
    <w:p w14:paraId="41769384" w14:textId="15CD43AC" w:rsidR="00DA5660" w:rsidRDefault="00121318" w:rsidP="00D14ACF">
      <w:pPr>
        <w:pStyle w:val="NoSpacing"/>
        <w:jc w:val="both"/>
        <w:rPr>
          <w:rFonts w:ascii="Franklin Gothic Medium" w:eastAsia="Times New Roman" w:hAnsi="Franklin Gothic Medium" w:cs="Times New Roman"/>
        </w:rPr>
      </w:pPr>
      <w:r w:rsidRPr="00D14ACF">
        <w:rPr>
          <w:rFonts w:ascii="Franklin Gothic Medium" w:eastAsia="Times New Roman" w:hAnsi="Franklin Gothic Medium" w:cs="Times New Roman"/>
        </w:rPr>
        <w:t xml:space="preserve">The recommendations outlined above </w:t>
      </w:r>
      <w:r w:rsidR="00DA5660" w:rsidRPr="00D14ACF">
        <w:rPr>
          <w:rFonts w:ascii="Franklin Gothic Medium" w:eastAsia="Times New Roman" w:hAnsi="Franklin Gothic Medium" w:cs="Times New Roman"/>
        </w:rPr>
        <w:t>would significantly enhance the certainty of the EDR system and promote a more competitive financial system</w:t>
      </w:r>
      <w:r w:rsidR="00D14ACF">
        <w:rPr>
          <w:rFonts w:ascii="Franklin Gothic Medium" w:eastAsia="Times New Roman" w:hAnsi="Franklin Gothic Medium" w:cs="Times New Roman"/>
        </w:rPr>
        <w:t>, which would be</w:t>
      </w:r>
      <w:r w:rsidR="00DA5660" w:rsidRPr="00D14ACF">
        <w:rPr>
          <w:rFonts w:ascii="Franklin Gothic Medium" w:eastAsia="Times New Roman" w:hAnsi="Franklin Gothic Medium" w:cs="Times New Roman"/>
        </w:rPr>
        <w:t xml:space="preserve"> to the benefit of all consumers. </w:t>
      </w:r>
      <w:r w:rsidR="00D14ACF">
        <w:rPr>
          <w:rFonts w:ascii="Franklin Gothic Medium" w:eastAsia="Times New Roman" w:hAnsi="Franklin Gothic Medium" w:cs="Times New Roman"/>
        </w:rPr>
        <w:t xml:space="preserve">Furthermore, it would be confusing </w:t>
      </w:r>
      <w:r w:rsidR="00DA5660" w:rsidRPr="00D14ACF">
        <w:rPr>
          <w:rFonts w:ascii="Franklin Gothic Medium" w:eastAsia="Times New Roman" w:hAnsi="Franklin Gothic Medium" w:cs="Times New Roman"/>
        </w:rPr>
        <w:t>to hav</w:t>
      </w:r>
      <w:r w:rsidR="00D14ACF">
        <w:rPr>
          <w:rFonts w:ascii="Franklin Gothic Medium" w:eastAsia="Times New Roman" w:hAnsi="Franklin Gothic Medium" w:cs="Times New Roman"/>
        </w:rPr>
        <w:t>e</w:t>
      </w:r>
      <w:r w:rsidR="00DA5660" w:rsidRPr="00D14ACF">
        <w:rPr>
          <w:rFonts w:ascii="Franklin Gothic Medium" w:eastAsia="Times New Roman" w:hAnsi="Franklin Gothic Medium" w:cs="Times New Roman"/>
        </w:rPr>
        <w:t xml:space="preserve"> different decision-making principles </w:t>
      </w:r>
      <w:r w:rsidR="004E7E19">
        <w:rPr>
          <w:rFonts w:ascii="Franklin Gothic Medium" w:eastAsia="Times New Roman" w:hAnsi="Franklin Gothic Medium" w:cs="Times New Roman"/>
        </w:rPr>
        <w:t xml:space="preserve">applicable to superannuation and non-superannuation matters </w:t>
      </w:r>
      <w:r w:rsidR="00DA5660" w:rsidRPr="00D14ACF">
        <w:rPr>
          <w:rFonts w:ascii="Franklin Gothic Medium" w:eastAsia="Times New Roman" w:hAnsi="Franklin Gothic Medium" w:cs="Times New Roman"/>
        </w:rPr>
        <w:t>within a single "one-stop-shop" EDR scheme. To the extent that different types of disputes are subject to different principles and processes there cannot really be a "one-stop-shop" at all.</w:t>
      </w:r>
    </w:p>
    <w:p w14:paraId="093563FA" w14:textId="77777777" w:rsidR="00D14ACF" w:rsidRPr="00D14ACF" w:rsidRDefault="00D14ACF" w:rsidP="00D14ACF">
      <w:pPr>
        <w:pStyle w:val="NoSpacing"/>
        <w:jc w:val="both"/>
        <w:rPr>
          <w:rFonts w:ascii="Franklin Gothic Medium" w:eastAsia="Times New Roman" w:hAnsi="Franklin Gothic Medium" w:cs="Times New Roman"/>
        </w:rPr>
      </w:pPr>
    </w:p>
    <w:p w14:paraId="7D05F59B" w14:textId="53ED5D19" w:rsidR="009573FB" w:rsidRDefault="009573FB" w:rsidP="00D14ACF">
      <w:pPr>
        <w:pStyle w:val="NoSpacing"/>
        <w:jc w:val="both"/>
        <w:rPr>
          <w:rFonts w:ascii="Franklin Gothic Medium" w:eastAsia="Times New Roman" w:hAnsi="Franklin Gothic Medium" w:cs="Times New Roman"/>
        </w:rPr>
      </w:pPr>
      <w:r w:rsidRPr="00D14ACF">
        <w:rPr>
          <w:rFonts w:ascii="Franklin Gothic Medium" w:eastAsia="Times New Roman" w:hAnsi="Franklin Gothic Medium" w:cs="Times New Roman"/>
        </w:rPr>
        <w:t xml:space="preserve">In summary, there is a need </w:t>
      </w:r>
      <w:r w:rsidR="00D14ACF">
        <w:rPr>
          <w:rFonts w:ascii="Franklin Gothic Medium" w:eastAsia="Times New Roman" w:hAnsi="Franklin Gothic Medium" w:cs="Times New Roman"/>
        </w:rPr>
        <w:t>to make a number of amendments to the o</w:t>
      </w:r>
      <w:r w:rsidRPr="00D14ACF">
        <w:rPr>
          <w:rFonts w:ascii="Franklin Gothic Medium" w:eastAsia="Times New Roman" w:hAnsi="Franklin Gothic Medium" w:cs="Times New Roman"/>
        </w:rPr>
        <w:t xml:space="preserve">perating framework for </w:t>
      </w:r>
      <w:r w:rsidR="00D14ACF">
        <w:rPr>
          <w:rFonts w:ascii="Franklin Gothic Medium" w:eastAsia="Times New Roman" w:hAnsi="Franklin Gothic Medium" w:cs="Times New Roman"/>
        </w:rPr>
        <w:t xml:space="preserve">the new </w:t>
      </w:r>
      <w:r w:rsidRPr="00D14ACF">
        <w:rPr>
          <w:rFonts w:ascii="Franklin Gothic Medium" w:eastAsia="Times New Roman" w:hAnsi="Franklin Gothic Medium" w:cs="Times New Roman"/>
        </w:rPr>
        <w:t xml:space="preserve">EDR scheme. Such a framework should include clearer guidelines and practices. </w:t>
      </w:r>
      <w:r w:rsidR="004E7E19">
        <w:rPr>
          <w:rFonts w:ascii="Franklin Gothic Medium" w:eastAsia="Times New Roman" w:hAnsi="Franklin Gothic Medium" w:cs="Times New Roman"/>
        </w:rPr>
        <w:t xml:space="preserve"> </w:t>
      </w:r>
      <w:r w:rsidRPr="00D14ACF">
        <w:rPr>
          <w:rFonts w:ascii="Franklin Gothic Medium" w:eastAsia="Times New Roman" w:hAnsi="Franklin Gothic Medium" w:cs="Times New Roman"/>
        </w:rPr>
        <w:t>All EDR schemes should be guided by the application of the law</w:t>
      </w:r>
      <w:r w:rsidR="00D14ACF">
        <w:rPr>
          <w:rFonts w:ascii="Franklin Gothic Medium" w:eastAsia="Times New Roman" w:hAnsi="Franklin Gothic Medium" w:cs="Times New Roman"/>
        </w:rPr>
        <w:t>,</w:t>
      </w:r>
      <w:r w:rsidRPr="00D14ACF">
        <w:rPr>
          <w:rFonts w:ascii="Franklin Gothic Medium" w:eastAsia="Times New Roman" w:hAnsi="Franklin Gothic Medium" w:cs="Times New Roman"/>
        </w:rPr>
        <w:t xml:space="preserve"> in the interests of procedural fairness and consistency. We see this as the only reasonable approach available to ensure compliance and effective operation by any scheme participants.</w:t>
      </w:r>
    </w:p>
    <w:p w14:paraId="54197075" w14:textId="6EFC1351" w:rsidR="004E7E19" w:rsidRDefault="004E7E19" w:rsidP="00D14ACF">
      <w:pPr>
        <w:pStyle w:val="NoSpacing"/>
        <w:jc w:val="both"/>
        <w:rPr>
          <w:rFonts w:ascii="Franklin Gothic Medium" w:eastAsia="Times New Roman" w:hAnsi="Franklin Gothic Medium" w:cs="Times New Roman"/>
        </w:rPr>
      </w:pPr>
    </w:p>
    <w:p w14:paraId="577DE9F5" w14:textId="59F86270" w:rsidR="004E7E19" w:rsidRDefault="004E7E19" w:rsidP="00D14ACF">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rPr>
        <w:t xml:space="preserve">One final point relates to the proposed name of the new EDR scheme.  ARCA notes that Consumer Advocates have raised a valid concern regarding the use of the word “Authority” in the </w:t>
      </w:r>
      <w:r w:rsidR="00C8592F">
        <w:rPr>
          <w:rFonts w:ascii="Franklin Gothic Medium" w:eastAsia="Times New Roman" w:hAnsi="Franklin Gothic Medium" w:cs="Times New Roman"/>
        </w:rPr>
        <w:t xml:space="preserve">scheme </w:t>
      </w:r>
      <w:r>
        <w:rPr>
          <w:rFonts w:ascii="Franklin Gothic Medium" w:eastAsia="Times New Roman" w:hAnsi="Franklin Gothic Medium" w:cs="Times New Roman"/>
        </w:rPr>
        <w:t>title</w:t>
      </w:r>
      <w:r w:rsidR="00C8592F">
        <w:rPr>
          <w:rFonts w:ascii="Franklin Gothic Medium" w:eastAsia="Times New Roman" w:hAnsi="Franklin Gothic Medium" w:cs="Times New Roman"/>
        </w:rPr>
        <w:t>. T</w:t>
      </w:r>
      <w:r>
        <w:rPr>
          <w:rFonts w:ascii="Franklin Gothic Medium" w:eastAsia="Times New Roman" w:hAnsi="Franklin Gothic Medium" w:cs="Times New Roman"/>
        </w:rPr>
        <w:t xml:space="preserve">his word </w:t>
      </w:r>
      <w:r w:rsidR="00C8592F">
        <w:rPr>
          <w:rFonts w:ascii="Franklin Gothic Medium" w:eastAsia="Times New Roman" w:hAnsi="Franklin Gothic Medium" w:cs="Times New Roman"/>
        </w:rPr>
        <w:t>carries</w:t>
      </w:r>
      <w:r>
        <w:rPr>
          <w:rFonts w:ascii="Franklin Gothic Medium" w:eastAsia="Times New Roman" w:hAnsi="Franklin Gothic Medium" w:cs="Times New Roman"/>
        </w:rPr>
        <w:t xml:space="preserve"> highly authoritarian and intimidating connotation</w:t>
      </w:r>
      <w:r w:rsidR="00C8592F">
        <w:rPr>
          <w:rFonts w:ascii="Franklin Gothic Medium" w:eastAsia="Times New Roman" w:hAnsi="Franklin Gothic Medium" w:cs="Times New Roman"/>
        </w:rPr>
        <w:t>s</w:t>
      </w:r>
      <w:r>
        <w:rPr>
          <w:rFonts w:ascii="Franklin Gothic Medium" w:eastAsia="Times New Roman" w:hAnsi="Franklin Gothic Medium" w:cs="Times New Roman"/>
        </w:rPr>
        <w:t xml:space="preserve"> which may </w:t>
      </w:r>
      <w:r w:rsidR="00C8592F">
        <w:rPr>
          <w:rFonts w:ascii="Franklin Gothic Medium" w:eastAsia="Times New Roman" w:hAnsi="Franklin Gothic Medium" w:cs="Times New Roman"/>
        </w:rPr>
        <w:t xml:space="preserve">serve to </w:t>
      </w:r>
      <w:r>
        <w:rPr>
          <w:rFonts w:ascii="Franklin Gothic Medium" w:eastAsia="Times New Roman" w:hAnsi="Franklin Gothic Medium" w:cs="Times New Roman"/>
        </w:rPr>
        <w:t xml:space="preserve">detract from the </w:t>
      </w:r>
      <w:r w:rsidR="00C8592F">
        <w:rPr>
          <w:rFonts w:ascii="Franklin Gothic Medium" w:eastAsia="Times New Roman" w:hAnsi="Franklin Gothic Medium" w:cs="Times New Roman"/>
        </w:rPr>
        <w:t>perceived accessibility of the s</w:t>
      </w:r>
      <w:r>
        <w:rPr>
          <w:rFonts w:ascii="Franklin Gothic Medium" w:eastAsia="Times New Roman" w:hAnsi="Franklin Gothic Medium" w:cs="Times New Roman"/>
        </w:rPr>
        <w:t>cheme</w:t>
      </w:r>
      <w:r w:rsidR="00C8592F">
        <w:rPr>
          <w:rFonts w:ascii="Franklin Gothic Medium" w:eastAsia="Times New Roman" w:hAnsi="Franklin Gothic Medium" w:cs="Times New Roman"/>
        </w:rPr>
        <w:t xml:space="preserve"> to the detriment of consumers</w:t>
      </w:r>
      <w:r>
        <w:rPr>
          <w:rFonts w:ascii="Franklin Gothic Medium" w:eastAsia="Times New Roman" w:hAnsi="Franklin Gothic Medium" w:cs="Times New Roman"/>
        </w:rPr>
        <w:t>.  We would like to suggest that the term “Ombud” is one which conveys not only an exactly appropriate and accurate meaning but also conveys a sense of trust and confidence and is therefore preferable to the term “Authority”.</w:t>
      </w:r>
    </w:p>
    <w:p w14:paraId="3318B553" w14:textId="55F10ED0" w:rsidR="00F45C26" w:rsidRDefault="00F45C26" w:rsidP="00D14ACF">
      <w:pPr>
        <w:pStyle w:val="NoSpacing"/>
        <w:jc w:val="both"/>
        <w:rPr>
          <w:rFonts w:ascii="Franklin Gothic Medium" w:eastAsia="Times New Roman" w:hAnsi="Franklin Gothic Medium" w:cs="Times New Roman"/>
        </w:rPr>
      </w:pPr>
    </w:p>
    <w:p w14:paraId="648B0E85" w14:textId="28A796CC" w:rsidR="00F45C26" w:rsidRPr="00F45C26" w:rsidRDefault="00F45C26" w:rsidP="00F45C26">
      <w:pPr>
        <w:pStyle w:val="NoSpacing"/>
        <w:jc w:val="both"/>
        <w:rPr>
          <w:rFonts w:ascii="Franklin Gothic Medium" w:eastAsia="Times New Roman" w:hAnsi="Franklin Gothic Medium" w:cs="Times New Roman"/>
        </w:rPr>
      </w:pPr>
      <w:r w:rsidRPr="00F45C26">
        <w:rPr>
          <w:rFonts w:ascii="Franklin Gothic Medium" w:eastAsia="Times New Roman" w:hAnsi="Franklin Gothic Medium" w:cs="Times New Roman"/>
        </w:rPr>
        <w:t xml:space="preserve">Once again, thank you for the invitation to </w:t>
      </w:r>
      <w:r>
        <w:rPr>
          <w:rFonts w:ascii="Franklin Gothic Medium" w:eastAsia="Times New Roman" w:hAnsi="Franklin Gothic Medium" w:cs="Times New Roman"/>
        </w:rPr>
        <w:t xml:space="preserve">make a submission on the consultation paper. </w:t>
      </w:r>
      <w:r w:rsidRPr="00F45C26">
        <w:rPr>
          <w:rFonts w:ascii="Franklin Gothic Medium" w:eastAsia="Times New Roman" w:hAnsi="Franklin Gothic Medium" w:cs="Times New Roman"/>
        </w:rPr>
        <w:t>Feel free to contact me directly i</w:t>
      </w:r>
      <w:r>
        <w:rPr>
          <w:rFonts w:ascii="Franklin Gothic Medium" w:eastAsia="Times New Roman" w:hAnsi="Franklin Gothic Medium" w:cs="Times New Roman"/>
        </w:rPr>
        <w:t xml:space="preserve">f I can provide further information </w:t>
      </w:r>
      <w:r w:rsidRPr="00F45C26">
        <w:rPr>
          <w:rFonts w:ascii="Franklin Gothic Medium" w:eastAsia="Times New Roman" w:hAnsi="Franklin Gothic Medium" w:cs="Times New Roman"/>
        </w:rPr>
        <w:t>on 03 9863 7859</w:t>
      </w:r>
      <w:r w:rsidR="00C8592F">
        <w:rPr>
          <w:rFonts w:ascii="Franklin Gothic Medium" w:eastAsia="Times New Roman" w:hAnsi="Franklin Gothic Medium" w:cs="Times New Roman"/>
        </w:rPr>
        <w:t xml:space="preserve"> or kjenkins@arca.asn.au</w:t>
      </w:r>
      <w:r w:rsidRPr="00F45C26">
        <w:rPr>
          <w:rFonts w:ascii="Franklin Gothic Medium" w:eastAsia="Times New Roman" w:hAnsi="Franklin Gothic Medium" w:cs="Times New Roman"/>
        </w:rPr>
        <w:t>.</w:t>
      </w:r>
    </w:p>
    <w:p w14:paraId="45B8DF6E" w14:textId="77777777" w:rsidR="00F45C26" w:rsidRPr="00F45C26" w:rsidRDefault="00F45C26" w:rsidP="00F45C26">
      <w:pPr>
        <w:pStyle w:val="NoSpacing"/>
        <w:jc w:val="both"/>
        <w:rPr>
          <w:rFonts w:ascii="Franklin Gothic Medium" w:eastAsia="Times New Roman" w:hAnsi="Franklin Gothic Medium" w:cs="Times New Roman"/>
        </w:rPr>
      </w:pPr>
    </w:p>
    <w:p w14:paraId="60605401" w14:textId="34F2AB5E" w:rsidR="00F45C26" w:rsidRPr="00F45C26" w:rsidRDefault="00C03EA7" w:rsidP="00F45C26">
      <w:pPr>
        <w:pStyle w:val="NoSpacing"/>
        <w:jc w:val="both"/>
        <w:rPr>
          <w:rFonts w:ascii="Franklin Gothic Medium" w:eastAsia="Times New Roman" w:hAnsi="Franklin Gothic Medium" w:cs="Times New Roman"/>
        </w:rPr>
      </w:pPr>
      <w:r>
        <w:rPr>
          <w:rFonts w:ascii="Franklin Gothic Medium" w:eastAsia="Times New Roman" w:hAnsi="Franklin Gothic Medium" w:cs="Times New Roman"/>
          <w:noProof/>
          <w:lang w:eastAsia="en-AU"/>
        </w:rPr>
        <w:drawing>
          <wp:anchor distT="0" distB="0" distL="114300" distR="114300" simplePos="0" relativeHeight="251658240" behindDoc="1" locked="0" layoutInCell="1" allowOverlap="1" wp14:anchorId="75359A79" wp14:editId="2A84315D">
            <wp:simplePos x="0" y="0"/>
            <wp:positionH relativeFrom="column">
              <wp:posOffset>-60960</wp:posOffset>
            </wp:positionH>
            <wp:positionV relativeFrom="paragraph">
              <wp:posOffset>53340</wp:posOffset>
            </wp:positionV>
            <wp:extent cx="1203960" cy="586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396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C26" w:rsidRPr="00F45C26">
        <w:rPr>
          <w:rFonts w:ascii="Franklin Gothic Medium" w:eastAsia="Times New Roman" w:hAnsi="Franklin Gothic Medium" w:cs="Times New Roman"/>
        </w:rPr>
        <w:t>Yours sincerely</w:t>
      </w:r>
    </w:p>
    <w:p w14:paraId="6A838A6B" w14:textId="64DA46EB" w:rsidR="00F45C26" w:rsidRPr="00F45C26" w:rsidRDefault="00F45C26" w:rsidP="00F45C26">
      <w:pPr>
        <w:pStyle w:val="NoSpacing"/>
        <w:jc w:val="both"/>
        <w:rPr>
          <w:rFonts w:ascii="Franklin Gothic Medium" w:eastAsia="Times New Roman" w:hAnsi="Franklin Gothic Medium" w:cs="Times New Roman"/>
        </w:rPr>
      </w:pPr>
    </w:p>
    <w:p w14:paraId="22A17173" w14:textId="09664F08" w:rsidR="00F45C26" w:rsidRPr="00F45C26" w:rsidRDefault="00F45C26" w:rsidP="00F45C26">
      <w:pPr>
        <w:pStyle w:val="NoSpacing"/>
        <w:jc w:val="both"/>
        <w:rPr>
          <w:rFonts w:ascii="Franklin Gothic Medium" w:eastAsia="Times New Roman" w:hAnsi="Franklin Gothic Medium" w:cs="Times New Roman"/>
        </w:rPr>
      </w:pPr>
    </w:p>
    <w:p w14:paraId="2689FCDB" w14:textId="77777777" w:rsidR="00F45C26" w:rsidRPr="00F45C26" w:rsidRDefault="00F45C26" w:rsidP="00F45C26">
      <w:pPr>
        <w:pStyle w:val="NoSpacing"/>
        <w:jc w:val="both"/>
        <w:rPr>
          <w:rFonts w:ascii="Franklin Gothic Medium" w:eastAsia="Times New Roman" w:hAnsi="Franklin Gothic Medium" w:cs="Times New Roman"/>
        </w:rPr>
      </w:pPr>
    </w:p>
    <w:p w14:paraId="16B61A41" w14:textId="77777777" w:rsidR="00F45C26" w:rsidRPr="00F45C26" w:rsidRDefault="00F45C26" w:rsidP="00F45C26">
      <w:pPr>
        <w:pStyle w:val="NoSpacing"/>
        <w:jc w:val="both"/>
        <w:rPr>
          <w:rFonts w:ascii="Franklin Gothic Medium" w:eastAsia="Times New Roman" w:hAnsi="Franklin Gothic Medium" w:cs="Times New Roman"/>
        </w:rPr>
      </w:pPr>
      <w:r w:rsidRPr="00F45C26">
        <w:rPr>
          <w:rFonts w:ascii="Franklin Gothic Medium" w:eastAsia="Times New Roman" w:hAnsi="Franklin Gothic Medium" w:cs="Times New Roman"/>
        </w:rPr>
        <w:t>Kim Jenkins</w:t>
      </w:r>
    </w:p>
    <w:p w14:paraId="1BD21D5A" w14:textId="6319E808" w:rsidR="00F45C26" w:rsidRPr="00F45C26" w:rsidRDefault="00F45C26" w:rsidP="00F45C26">
      <w:pPr>
        <w:pStyle w:val="NoSpacing"/>
        <w:jc w:val="both"/>
        <w:rPr>
          <w:rFonts w:ascii="Franklin Gothic Medium" w:eastAsia="Times New Roman" w:hAnsi="Franklin Gothic Medium" w:cs="Times New Roman"/>
          <w:b/>
        </w:rPr>
      </w:pPr>
      <w:r w:rsidRPr="00F45C26">
        <w:rPr>
          <w:rFonts w:ascii="Franklin Gothic Medium" w:eastAsia="Times New Roman" w:hAnsi="Franklin Gothic Medium" w:cs="Times New Roman"/>
          <w:b/>
        </w:rPr>
        <w:t>Chief Executive Officer</w:t>
      </w:r>
    </w:p>
    <w:p w14:paraId="68AC4686" w14:textId="77777777" w:rsidR="009573FB" w:rsidRPr="00A241A2" w:rsidRDefault="009573FB" w:rsidP="00A241A2">
      <w:pPr>
        <w:pStyle w:val="NoSpacing"/>
        <w:rPr>
          <w:rFonts w:ascii="Franklin Gothic Medium" w:eastAsia="Times New Roman" w:hAnsi="Franklin Gothic Medium" w:cs="Times New Roman"/>
        </w:rPr>
      </w:pPr>
    </w:p>
    <w:p w14:paraId="75308B65" w14:textId="77777777" w:rsidR="009573FB" w:rsidRPr="00A241A2" w:rsidRDefault="009573FB" w:rsidP="00A241A2">
      <w:pPr>
        <w:pStyle w:val="NoSpacing"/>
        <w:shd w:val="clear" w:color="auto" w:fill="D9D9D9" w:themeFill="background1" w:themeFillShade="D9"/>
        <w:rPr>
          <w:rFonts w:ascii="Franklin Gothic Medium" w:eastAsia="Times New Roman" w:hAnsi="Franklin Gothic Medium" w:cs="Times New Roman"/>
        </w:rPr>
      </w:pPr>
    </w:p>
    <w:p w14:paraId="16A2EC9B" w14:textId="072C79F8" w:rsidR="00A241A2" w:rsidRDefault="00E96D6E" w:rsidP="00A241A2">
      <w:pPr>
        <w:pStyle w:val="NoSpacing"/>
        <w:shd w:val="clear" w:color="auto" w:fill="D9D9D9" w:themeFill="background1" w:themeFillShade="D9"/>
        <w:rPr>
          <w:rFonts w:ascii="Franklin Gothic Medium" w:eastAsia="Times New Roman" w:hAnsi="Franklin Gothic Medium" w:cs="Times New Roman"/>
        </w:rPr>
      </w:pPr>
      <w:r w:rsidRPr="00A241A2">
        <w:rPr>
          <w:rFonts w:ascii="Franklin Gothic Medium" w:eastAsia="Times New Roman" w:hAnsi="Franklin Gothic Medium" w:cs="Times New Roman"/>
        </w:rPr>
        <w:t xml:space="preserve">ARCA </w:t>
      </w:r>
      <w:r w:rsidR="00A241A2">
        <w:rPr>
          <w:rFonts w:ascii="Franklin Gothic Medium" w:eastAsia="Times New Roman" w:hAnsi="Franklin Gothic Medium" w:cs="Times New Roman"/>
        </w:rPr>
        <w:t>recommendations to the consultation process:</w:t>
      </w:r>
    </w:p>
    <w:p w14:paraId="62609EBF" w14:textId="3E21699B" w:rsidR="009573FB" w:rsidRPr="00A241A2" w:rsidRDefault="009573FB" w:rsidP="00A241A2">
      <w:pPr>
        <w:pStyle w:val="NoSpacing"/>
        <w:shd w:val="clear" w:color="auto" w:fill="D9D9D9" w:themeFill="background1" w:themeFillShade="D9"/>
        <w:jc w:val="both"/>
        <w:rPr>
          <w:rFonts w:ascii="Franklin Gothic Medium" w:eastAsia="Times New Roman" w:hAnsi="Franklin Gothic Medium" w:cs="Times New Roman"/>
        </w:rPr>
      </w:pPr>
    </w:p>
    <w:p w14:paraId="395343C3" w14:textId="7A3CC022" w:rsidR="00A241A2" w:rsidRDefault="00A241A2" w:rsidP="00A241A2">
      <w:pPr>
        <w:pStyle w:val="NoSpacing"/>
        <w:numPr>
          <w:ilvl w:val="0"/>
          <w:numId w:val="15"/>
        </w:numPr>
        <w:shd w:val="clear" w:color="auto" w:fill="D9D9D9" w:themeFill="background1" w:themeFillShade="D9"/>
        <w:ind w:hanging="720"/>
        <w:jc w:val="both"/>
        <w:rPr>
          <w:rFonts w:ascii="Franklin Gothic Medium" w:eastAsia="Times New Roman" w:hAnsi="Franklin Gothic Medium" w:cs="Times New Roman"/>
        </w:rPr>
      </w:pPr>
      <w:r>
        <w:rPr>
          <w:rFonts w:ascii="Franklin Gothic Medium" w:eastAsia="Times New Roman" w:hAnsi="Franklin Gothic Medium" w:cs="Times New Roman"/>
        </w:rPr>
        <w:t>E</w:t>
      </w:r>
      <w:r w:rsidR="00DA5660" w:rsidRPr="00A241A2">
        <w:rPr>
          <w:rFonts w:ascii="Franklin Gothic Medium" w:eastAsia="Times New Roman" w:hAnsi="Franklin Gothic Medium" w:cs="Times New Roman"/>
        </w:rPr>
        <w:t xml:space="preserve">xtend requirements that EDR decisions </w:t>
      </w:r>
      <w:r w:rsidR="009573FB" w:rsidRPr="00A241A2">
        <w:rPr>
          <w:rFonts w:ascii="Franklin Gothic Medium" w:eastAsia="Times New Roman" w:hAnsi="Franklin Gothic Medium" w:cs="Times New Roman"/>
        </w:rPr>
        <w:t>should not be contrary to</w:t>
      </w:r>
      <w:r w:rsidR="00DA5660" w:rsidRPr="00A241A2">
        <w:rPr>
          <w:rFonts w:ascii="Franklin Gothic Medium" w:eastAsia="Times New Roman" w:hAnsi="Franklin Gothic Medium" w:cs="Times New Roman"/>
        </w:rPr>
        <w:t xml:space="preserve"> the law </w:t>
      </w:r>
      <w:r w:rsidR="009573FB" w:rsidRPr="00A241A2">
        <w:rPr>
          <w:rFonts w:ascii="Franklin Gothic Medium" w:eastAsia="Times New Roman" w:hAnsi="Franklin Gothic Medium" w:cs="Times New Roman"/>
        </w:rPr>
        <w:t>to encompass all dispute</w:t>
      </w:r>
      <w:r>
        <w:rPr>
          <w:rFonts w:ascii="Franklin Gothic Medium" w:eastAsia="Times New Roman" w:hAnsi="Franklin Gothic Medium" w:cs="Times New Roman"/>
        </w:rPr>
        <w:t>s brought before the EDR scheme</w:t>
      </w:r>
      <w:r w:rsidR="00C8592F">
        <w:rPr>
          <w:rFonts w:ascii="Franklin Gothic Medium" w:eastAsia="Times New Roman" w:hAnsi="Franklin Gothic Medium" w:cs="Times New Roman"/>
        </w:rPr>
        <w:t xml:space="preserve"> and not solely superannuation complaints</w:t>
      </w:r>
      <w:r>
        <w:rPr>
          <w:rFonts w:ascii="Franklin Gothic Medium" w:eastAsia="Times New Roman" w:hAnsi="Franklin Gothic Medium" w:cs="Times New Roman"/>
        </w:rPr>
        <w:t>.</w:t>
      </w:r>
    </w:p>
    <w:p w14:paraId="318477C7" w14:textId="77777777" w:rsidR="00A241A2" w:rsidRDefault="00A241A2" w:rsidP="00A241A2">
      <w:pPr>
        <w:pStyle w:val="NoSpacing"/>
        <w:shd w:val="clear" w:color="auto" w:fill="D9D9D9" w:themeFill="background1" w:themeFillShade="D9"/>
        <w:jc w:val="both"/>
        <w:rPr>
          <w:rFonts w:ascii="Franklin Gothic Medium" w:eastAsia="Times New Roman" w:hAnsi="Franklin Gothic Medium" w:cs="Times New Roman"/>
        </w:rPr>
      </w:pPr>
    </w:p>
    <w:p w14:paraId="3392DBCE" w14:textId="64B14A1C" w:rsidR="00A241A2" w:rsidRDefault="00A241A2" w:rsidP="00A241A2">
      <w:pPr>
        <w:pStyle w:val="NoSpacing"/>
        <w:numPr>
          <w:ilvl w:val="0"/>
          <w:numId w:val="15"/>
        </w:numPr>
        <w:shd w:val="clear" w:color="auto" w:fill="D9D9D9" w:themeFill="background1" w:themeFillShade="D9"/>
        <w:ind w:hanging="720"/>
        <w:jc w:val="both"/>
        <w:rPr>
          <w:rFonts w:ascii="Franklin Gothic Medium" w:eastAsia="Times New Roman" w:hAnsi="Franklin Gothic Medium" w:cs="Times New Roman"/>
        </w:rPr>
      </w:pPr>
      <w:r w:rsidRPr="00A241A2">
        <w:rPr>
          <w:rFonts w:ascii="Franklin Gothic Medium" w:eastAsia="Times New Roman" w:hAnsi="Franklin Gothic Medium" w:cs="Times New Roman"/>
        </w:rPr>
        <w:t>E</w:t>
      </w:r>
      <w:r w:rsidR="009573FB" w:rsidRPr="00A241A2">
        <w:rPr>
          <w:rFonts w:ascii="Franklin Gothic Medium" w:eastAsia="Times New Roman" w:hAnsi="Franklin Gothic Medium" w:cs="Times New Roman"/>
        </w:rPr>
        <w:t xml:space="preserve">nsure that </w:t>
      </w:r>
      <w:r w:rsidR="00C8592F">
        <w:rPr>
          <w:rFonts w:ascii="Franklin Gothic Medium" w:eastAsia="Times New Roman" w:hAnsi="Franklin Gothic Medium" w:cs="Times New Roman"/>
        </w:rPr>
        <w:t xml:space="preserve">the provision that </w:t>
      </w:r>
      <w:r w:rsidR="009573FB" w:rsidRPr="00A241A2">
        <w:rPr>
          <w:rFonts w:ascii="Franklin Gothic Medium" w:eastAsia="Times New Roman" w:hAnsi="Franklin Gothic Medium" w:cs="Times New Roman"/>
        </w:rPr>
        <w:t xml:space="preserve">EDR determinations </w:t>
      </w:r>
      <w:r w:rsidR="00DA5660" w:rsidRPr="00A241A2">
        <w:rPr>
          <w:rFonts w:ascii="Franklin Gothic Medium" w:eastAsia="Times New Roman" w:hAnsi="Franklin Gothic Medium" w:cs="Times New Roman"/>
        </w:rPr>
        <w:t>are subjec</w:t>
      </w:r>
      <w:r w:rsidR="009573FB" w:rsidRPr="00A241A2">
        <w:rPr>
          <w:rFonts w:ascii="Franklin Gothic Medium" w:eastAsia="Times New Roman" w:hAnsi="Franklin Gothic Medium" w:cs="Times New Roman"/>
        </w:rPr>
        <w:t xml:space="preserve">t to appeal on questions of law </w:t>
      </w:r>
      <w:r w:rsidR="00C8592F">
        <w:rPr>
          <w:rFonts w:ascii="Franklin Gothic Medium" w:eastAsia="Times New Roman" w:hAnsi="Franklin Gothic Medium" w:cs="Times New Roman"/>
        </w:rPr>
        <w:t>is extended</w:t>
      </w:r>
      <w:r w:rsidR="009573FB" w:rsidRPr="00A241A2">
        <w:rPr>
          <w:rFonts w:ascii="Franklin Gothic Medium" w:eastAsia="Times New Roman" w:hAnsi="Franklin Gothic Medium" w:cs="Times New Roman"/>
        </w:rPr>
        <w:t xml:space="preserve"> to</w:t>
      </w:r>
      <w:r w:rsidR="00DA5660" w:rsidRPr="00A241A2">
        <w:rPr>
          <w:rFonts w:ascii="Franklin Gothic Medium" w:eastAsia="Times New Roman" w:hAnsi="Franklin Gothic Medium" w:cs="Times New Roman"/>
        </w:rPr>
        <w:t xml:space="preserve"> all complaints</w:t>
      </w:r>
      <w:r w:rsidR="00C8592F">
        <w:rPr>
          <w:rFonts w:ascii="Franklin Gothic Medium" w:eastAsia="Times New Roman" w:hAnsi="Franklin Gothic Medium" w:cs="Times New Roman"/>
        </w:rPr>
        <w:t>,</w:t>
      </w:r>
      <w:r w:rsidR="00121318" w:rsidRPr="00A241A2">
        <w:rPr>
          <w:rFonts w:ascii="Franklin Gothic Medium" w:eastAsia="Times New Roman" w:hAnsi="Franklin Gothic Medium" w:cs="Times New Roman"/>
        </w:rPr>
        <w:t xml:space="preserve"> and not solely superannuation complaints</w:t>
      </w:r>
      <w:r w:rsidR="00C8592F">
        <w:rPr>
          <w:rFonts w:ascii="Franklin Gothic Medium" w:eastAsia="Times New Roman" w:hAnsi="Franklin Gothic Medium" w:cs="Times New Roman"/>
        </w:rPr>
        <w:t>,</w:t>
      </w:r>
      <w:r w:rsidR="009573FB" w:rsidRPr="00A241A2">
        <w:rPr>
          <w:rFonts w:ascii="Franklin Gothic Medium" w:eastAsia="Times New Roman" w:hAnsi="Franklin Gothic Medium" w:cs="Times New Roman"/>
        </w:rPr>
        <w:t xml:space="preserve"> and that an appropriate and effective appeal mechanism is implemented that does not rely solely on recourse to the Federal Court</w:t>
      </w:r>
      <w:r w:rsidRPr="00A241A2">
        <w:rPr>
          <w:rFonts w:ascii="Franklin Gothic Medium" w:eastAsia="Times New Roman" w:hAnsi="Franklin Gothic Medium" w:cs="Times New Roman"/>
        </w:rPr>
        <w:t>.</w:t>
      </w:r>
    </w:p>
    <w:p w14:paraId="215A387E" w14:textId="77777777" w:rsidR="00A241A2" w:rsidRPr="00A241A2" w:rsidRDefault="00A241A2" w:rsidP="00A241A2">
      <w:pPr>
        <w:pStyle w:val="NoSpacing"/>
        <w:shd w:val="clear" w:color="auto" w:fill="D9D9D9" w:themeFill="background1" w:themeFillShade="D9"/>
        <w:jc w:val="both"/>
        <w:rPr>
          <w:rFonts w:ascii="Franklin Gothic Medium" w:eastAsia="Times New Roman" w:hAnsi="Franklin Gothic Medium" w:cs="Times New Roman"/>
        </w:rPr>
      </w:pPr>
    </w:p>
    <w:p w14:paraId="549D06CD" w14:textId="77777777" w:rsidR="00A241A2" w:rsidRDefault="00A241A2" w:rsidP="00A241A2">
      <w:pPr>
        <w:pStyle w:val="NoSpacing"/>
        <w:numPr>
          <w:ilvl w:val="0"/>
          <w:numId w:val="15"/>
        </w:numPr>
        <w:shd w:val="clear" w:color="auto" w:fill="D9D9D9" w:themeFill="background1" w:themeFillShade="D9"/>
        <w:ind w:hanging="720"/>
        <w:jc w:val="both"/>
        <w:rPr>
          <w:rFonts w:ascii="Franklin Gothic Medium" w:eastAsia="Times New Roman" w:hAnsi="Franklin Gothic Medium" w:cs="Times New Roman"/>
        </w:rPr>
      </w:pPr>
      <w:r w:rsidRPr="00A241A2">
        <w:rPr>
          <w:rFonts w:ascii="Franklin Gothic Medium" w:eastAsia="Times New Roman" w:hAnsi="Franklin Gothic Medium" w:cs="Times New Roman"/>
        </w:rPr>
        <w:t>E</w:t>
      </w:r>
      <w:r w:rsidR="009573FB" w:rsidRPr="00A241A2">
        <w:rPr>
          <w:rFonts w:ascii="Franklin Gothic Medium" w:eastAsia="Times New Roman" w:hAnsi="Franklin Gothic Medium" w:cs="Times New Roman"/>
        </w:rPr>
        <w:t>nsure that all EDR determinations are appropriately documented in all instances and make clear the reasons for the determination, including outlining the applicable points of law</w:t>
      </w:r>
      <w:r w:rsidRPr="00A241A2">
        <w:rPr>
          <w:rFonts w:ascii="Franklin Gothic Medium" w:eastAsia="Times New Roman" w:hAnsi="Franklin Gothic Medium" w:cs="Times New Roman"/>
        </w:rPr>
        <w:t>.</w:t>
      </w:r>
    </w:p>
    <w:p w14:paraId="4B5BDCD4" w14:textId="77777777" w:rsidR="00A241A2" w:rsidRDefault="00A241A2" w:rsidP="00A241A2">
      <w:pPr>
        <w:pStyle w:val="NoSpacing"/>
        <w:shd w:val="clear" w:color="auto" w:fill="D9D9D9" w:themeFill="background1" w:themeFillShade="D9"/>
        <w:jc w:val="both"/>
        <w:rPr>
          <w:rFonts w:ascii="Franklin Gothic Medium" w:eastAsia="Times New Roman" w:hAnsi="Franklin Gothic Medium" w:cs="Times New Roman"/>
        </w:rPr>
      </w:pPr>
    </w:p>
    <w:p w14:paraId="79C4A406" w14:textId="36F47B91" w:rsidR="009573FB" w:rsidRDefault="00A241A2" w:rsidP="00A241A2">
      <w:pPr>
        <w:pStyle w:val="NoSpacing"/>
        <w:numPr>
          <w:ilvl w:val="0"/>
          <w:numId w:val="15"/>
        </w:numPr>
        <w:shd w:val="clear" w:color="auto" w:fill="D9D9D9" w:themeFill="background1" w:themeFillShade="D9"/>
        <w:ind w:hanging="720"/>
        <w:jc w:val="both"/>
        <w:rPr>
          <w:rFonts w:ascii="Franklin Gothic Medium" w:eastAsia="Times New Roman" w:hAnsi="Franklin Gothic Medium" w:cs="Times New Roman"/>
        </w:rPr>
      </w:pPr>
      <w:r w:rsidRPr="00A241A2">
        <w:rPr>
          <w:rFonts w:ascii="Franklin Gothic Medium" w:eastAsia="Times New Roman" w:hAnsi="Franklin Gothic Medium" w:cs="Times New Roman"/>
        </w:rPr>
        <w:t>R</w:t>
      </w:r>
      <w:r w:rsidR="002E4EAD" w:rsidRPr="00A241A2">
        <w:rPr>
          <w:rFonts w:ascii="Franklin Gothic Medium" w:eastAsia="Times New Roman" w:hAnsi="Franklin Gothic Medium" w:cs="Times New Roman"/>
        </w:rPr>
        <w:t>equire decision-making employees</w:t>
      </w:r>
      <w:r w:rsidR="00B72F1B" w:rsidRPr="00A241A2">
        <w:rPr>
          <w:rFonts w:ascii="Franklin Gothic Medium" w:eastAsia="Times New Roman" w:hAnsi="Franklin Gothic Medium" w:cs="Times New Roman"/>
        </w:rPr>
        <w:t xml:space="preserve"> of the EDR scheme</w:t>
      </w:r>
      <w:r w:rsidR="002E4EAD" w:rsidRPr="00A241A2">
        <w:rPr>
          <w:rFonts w:ascii="Franklin Gothic Medium" w:eastAsia="Times New Roman" w:hAnsi="Franklin Gothic Medium" w:cs="Times New Roman"/>
        </w:rPr>
        <w:t xml:space="preserve"> to be trained in the requirements of the Privacy Act and the CR Code (in the same manner as paragraph 2.2 of the CR Code currently requires all credit provider and credit reporting body employees who handle credit-related personal information to undertake education and training in the credit </w:t>
      </w:r>
      <w:r w:rsidRPr="00A241A2">
        <w:rPr>
          <w:rFonts w:ascii="Franklin Gothic Medium" w:eastAsia="Times New Roman" w:hAnsi="Franklin Gothic Medium" w:cs="Times New Roman"/>
        </w:rPr>
        <w:t>reporting system</w:t>
      </w:r>
      <w:r w:rsidR="00246EF4">
        <w:rPr>
          <w:rFonts w:ascii="Franklin Gothic Medium" w:eastAsia="Times New Roman" w:hAnsi="Franklin Gothic Medium" w:cs="Times New Roman"/>
        </w:rPr>
        <w:t>)</w:t>
      </w:r>
      <w:r w:rsidRPr="00A241A2">
        <w:rPr>
          <w:rFonts w:ascii="Franklin Gothic Medium" w:eastAsia="Times New Roman" w:hAnsi="Franklin Gothic Medium" w:cs="Times New Roman"/>
        </w:rPr>
        <w:t>.</w:t>
      </w:r>
    </w:p>
    <w:p w14:paraId="346F890F" w14:textId="1D7B6473" w:rsidR="00C8592F" w:rsidRDefault="00C8592F" w:rsidP="00C8592F">
      <w:pPr>
        <w:pStyle w:val="NoSpacing"/>
        <w:shd w:val="clear" w:color="auto" w:fill="D9D9D9" w:themeFill="background1" w:themeFillShade="D9"/>
        <w:jc w:val="both"/>
        <w:rPr>
          <w:rFonts w:ascii="Franklin Gothic Medium" w:eastAsia="Times New Roman" w:hAnsi="Franklin Gothic Medium" w:cs="Times New Roman"/>
        </w:rPr>
      </w:pPr>
    </w:p>
    <w:p w14:paraId="21C949D9" w14:textId="51E92DCF" w:rsidR="00C8592F" w:rsidRDefault="00C8592F" w:rsidP="00C8592F">
      <w:pPr>
        <w:pStyle w:val="NoSpacing"/>
        <w:numPr>
          <w:ilvl w:val="0"/>
          <w:numId w:val="15"/>
        </w:numPr>
        <w:shd w:val="clear" w:color="auto" w:fill="D9D9D9" w:themeFill="background1" w:themeFillShade="D9"/>
        <w:ind w:left="709" w:hanging="720"/>
        <w:jc w:val="both"/>
        <w:rPr>
          <w:rFonts w:ascii="Franklin Gothic Medium" w:eastAsia="Times New Roman" w:hAnsi="Franklin Gothic Medium" w:cs="Times New Roman"/>
        </w:rPr>
      </w:pPr>
      <w:r>
        <w:rPr>
          <w:rFonts w:ascii="Franklin Gothic Medium" w:eastAsia="Times New Roman" w:hAnsi="Franklin Gothic Medium" w:cs="Times New Roman"/>
        </w:rPr>
        <w:t>Reconsider the use of the word “Authority” in the name of the scheme in favour of a less imposing word that more accurately reflects the nature of the EDR process.</w:t>
      </w:r>
    </w:p>
    <w:p w14:paraId="582F926C" w14:textId="0E6EAD92" w:rsidR="00F45C26" w:rsidRPr="00A241A2" w:rsidRDefault="00F45C26" w:rsidP="00F45C26">
      <w:pPr>
        <w:pStyle w:val="NoSpacing"/>
        <w:shd w:val="clear" w:color="auto" w:fill="D9D9D9" w:themeFill="background1" w:themeFillShade="D9"/>
        <w:jc w:val="both"/>
        <w:rPr>
          <w:rFonts w:ascii="Franklin Gothic Medium" w:eastAsia="Times New Roman" w:hAnsi="Franklin Gothic Medium" w:cs="Times New Roman"/>
        </w:rPr>
      </w:pPr>
    </w:p>
    <w:sectPr w:rsidR="00F45C26" w:rsidRPr="00A241A2" w:rsidSect="00F45C26">
      <w:headerReference w:type="default" r:id="rId17"/>
      <w:footerReference w:type="default" r:id="rId18"/>
      <w:headerReference w:type="first" r:id="rId19"/>
      <w:footerReference w:type="first" r:id="rId20"/>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6758A" w14:textId="77777777" w:rsidR="00675667" w:rsidRDefault="00675667" w:rsidP="00E26F2E">
      <w:pPr>
        <w:spacing w:after="0" w:line="240" w:lineRule="auto"/>
      </w:pPr>
      <w:r>
        <w:separator/>
      </w:r>
    </w:p>
  </w:endnote>
  <w:endnote w:type="continuationSeparator" w:id="0">
    <w:p w14:paraId="63349A47" w14:textId="77777777" w:rsidR="00675667" w:rsidRDefault="00675667" w:rsidP="00E2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6816" w14:textId="77777777" w:rsidR="00644C06" w:rsidRDefault="00644C06">
    <w:pPr>
      <w:pStyle w:val="Footer"/>
    </w:pPr>
    <w:r>
      <w:rPr>
        <w:noProof/>
        <w:lang w:eastAsia="en-AU"/>
      </w:rPr>
      <w:drawing>
        <wp:anchor distT="0" distB="0" distL="114300" distR="114300" simplePos="0" relativeHeight="251659264" behindDoc="1" locked="0" layoutInCell="1" allowOverlap="1" wp14:anchorId="07261AE6" wp14:editId="5BE2A98B">
          <wp:simplePos x="0" y="0"/>
          <wp:positionH relativeFrom="page">
            <wp:posOffset>6160</wp:posOffset>
          </wp:positionH>
          <wp:positionV relativeFrom="paragraph">
            <wp:posOffset>-635</wp:posOffset>
          </wp:positionV>
          <wp:extent cx="7527401" cy="68998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 Letterhead1_rgb.pdf"/>
                  <pic:cNvPicPr/>
                </pic:nvPicPr>
                <pic:blipFill rotWithShape="1">
                  <a:blip r:embed="rId1">
                    <a:extLst>
                      <a:ext uri="{28A0092B-C50C-407E-A947-70E740481C1C}">
                        <a14:useLocalDpi xmlns:a14="http://schemas.microsoft.com/office/drawing/2010/main" val="0"/>
                      </a:ext>
                    </a:extLst>
                  </a:blip>
                  <a:srcRect t="93524" b="-1"/>
                  <a:stretch/>
                </pic:blipFill>
                <pic:spPr bwMode="auto">
                  <a:xfrm>
                    <a:off x="0" y="0"/>
                    <a:ext cx="7527401" cy="68998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72BDEBA8" w14:textId="77777777" w:rsidR="00644C06" w:rsidRDefault="00644C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2D504" w14:textId="77777777" w:rsidR="00644C06" w:rsidRDefault="00644C06">
    <w:pPr>
      <w:pStyle w:val="Footer"/>
    </w:pPr>
    <w:r>
      <w:rPr>
        <w:noProof/>
        <w:lang w:eastAsia="en-AU"/>
      </w:rPr>
      <w:drawing>
        <wp:anchor distT="0" distB="0" distL="114300" distR="114300" simplePos="0" relativeHeight="251665408" behindDoc="1" locked="0" layoutInCell="1" allowOverlap="1" wp14:anchorId="20A8DE9F" wp14:editId="097138DB">
          <wp:simplePos x="0" y="0"/>
          <wp:positionH relativeFrom="page">
            <wp:posOffset>-5905</wp:posOffset>
          </wp:positionH>
          <wp:positionV relativeFrom="paragraph">
            <wp:posOffset>-34290</wp:posOffset>
          </wp:positionV>
          <wp:extent cx="7527401" cy="68998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 Letterhead1_rgb.pdf"/>
                  <pic:cNvPicPr/>
                </pic:nvPicPr>
                <pic:blipFill rotWithShape="1">
                  <a:blip r:embed="rId1">
                    <a:extLst>
                      <a:ext uri="{28A0092B-C50C-407E-A947-70E740481C1C}">
                        <a14:useLocalDpi xmlns:a14="http://schemas.microsoft.com/office/drawing/2010/main" val="0"/>
                      </a:ext>
                    </a:extLst>
                  </a:blip>
                  <a:srcRect t="93524" b="-1"/>
                  <a:stretch/>
                </pic:blipFill>
                <pic:spPr bwMode="auto">
                  <a:xfrm>
                    <a:off x="0" y="0"/>
                    <a:ext cx="7527401" cy="689989"/>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18EA9" w14:textId="77777777" w:rsidR="00675667" w:rsidRDefault="00675667" w:rsidP="00E26F2E">
      <w:pPr>
        <w:spacing w:after="0" w:line="240" w:lineRule="auto"/>
      </w:pPr>
      <w:r>
        <w:separator/>
      </w:r>
    </w:p>
  </w:footnote>
  <w:footnote w:type="continuationSeparator" w:id="0">
    <w:p w14:paraId="32B0CBD4" w14:textId="77777777" w:rsidR="00675667" w:rsidRDefault="00675667" w:rsidP="00E26F2E">
      <w:pPr>
        <w:spacing w:after="0" w:line="240" w:lineRule="auto"/>
      </w:pPr>
      <w:r>
        <w:continuationSeparator/>
      </w:r>
    </w:p>
  </w:footnote>
  <w:footnote w:id="1">
    <w:p w14:paraId="212E3CB2" w14:textId="131F1904" w:rsidR="0089597B" w:rsidRDefault="0089597B">
      <w:pPr>
        <w:pStyle w:val="FootnoteText"/>
      </w:pPr>
      <w:r>
        <w:rPr>
          <w:rStyle w:val="FootnoteReference"/>
        </w:rPr>
        <w:footnoteRef/>
      </w:r>
      <w:r>
        <w:t xml:space="preserve"> </w:t>
      </w:r>
      <w:r>
        <w:rPr>
          <w:rStyle w:val="Emphasis"/>
        </w:rPr>
        <w:t>Associated Provincial Picture Houses Ltd v Wednesbury Corporation</w:t>
      </w:r>
      <w:r>
        <w:t xml:space="preserve"> [1948] 1 KB 223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3FBEA" w14:textId="77777777" w:rsidR="00644C06" w:rsidRDefault="00644C06">
    <w:pPr>
      <w:pStyle w:val="Header"/>
    </w:pPr>
  </w:p>
  <w:p w14:paraId="368404B8" w14:textId="77777777" w:rsidR="00644C06" w:rsidRDefault="00644C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E0394" w14:textId="77777777" w:rsidR="00644C06" w:rsidRDefault="00644C06">
    <w:pPr>
      <w:pStyle w:val="Header"/>
    </w:pPr>
    <w:r>
      <w:rPr>
        <w:noProof/>
        <w:lang w:eastAsia="en-AU"/>
      </w:rPr>
      <w:drawing>
        <wp:anchor distT="0" distB="0" distL="114300" distR="114300" simplePos="0" relativeHeight="251663360" behindDoc="1" locked="0" layoutInCell="1" allowOverlap="1" wp14:anchorId="218F17FC" wp14:editId="0997D3E6">
          <wp:simplePos x="0" y="0"/>
          <wp:positionH relativeFrom="page">
            <wp:posOffset>-13970</wp:posOffset>
          </wp:positionH>
          <wp:positionV relativeFrom="paragraph">
            <wp:posOffset>-435420</wp:posOffset>
          </wp:positionV>
          <wp:extent cx="7543645" cy="235131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A Letterhead1_rgb.pdf"/>
                  <pic:cNvPicPr/>
                </pic:nvPicPr>
                <pic:blipFill rotWithShape="1">
                  <a:blip r:embed="rId1">
                    <a:extLst>
                      <a:ext uri="{28A0092B-C50C-407E-A947-70E740481C1C}">
                        <a14:useLocalDpi xmlns:a14="http://schemas.microsoft.com/office/drawing/2010/main" val="0"/>
                      </a:ext>
                    </a:extLst>
                  </a:blip>
                  <a:srcRect b="77975"/>
                  <a:stretch/>
                </pic:blipFill>
                <pic:spPr bwMode="auto">
                  <a:xfrm>
                    <a:off x="0" y="0"/>
                    <a:ext cx="7543645" cy="2351314"/>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A7F"/>
    <w:multiLevelType w:val="hybridMultilevel"/>
    <w:tmpl w:val="53FC5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B345D7"/>
    <w:multiLevelType w:val="hybridMultilevel"/>
    <w:tmpl w:val="399A2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526AA2"/>
    <w:multiLevelType w:val="multilevel"/>
    <w:tmpl w:val="3FF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7D56B7"/>
    <w:multiLevelType w:val="hybridMultilevel"/>
    <w:tmpl w:val="F49CA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B760A60"/>
    <w:multiLevelType w:val="hybridMultilevel"/>
    <w:tmpl w:val="45BE1B1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0E321F"/>
    <w:multiLevelType w:val="hybridMultilevel"/>
    <w:tmpl w:val="7F8EDE6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49F70DB"/>
    <w:multiLevelType w:val="hybridMultilevel"/>
    <w:tmpl w:val="9560E7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D4363CC"/>
    <w:multiLevelType w:val="hybridMultilevel"/>
    <w:tmpl w:val="944CD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EBC7021"/>
    <w:multiLevelType w:val="multilevel"/>
    <w:tmpl w:val="E7CC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FF5632"/>
    <w:multiLevelType w:val="hybridMultilevel"/>
    <w:tmpl w:val="A6103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76232CD"/>
    <w:multiLevelType w:val="hybridMultilevel"/>
    <w:tmpl w:val="30E40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88F5E9B"/>
    <w:multiLevelType w:val="multilevel"/>
    <w:tmpl w:val="4DD0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D575E9A"/>
    <w:multiLevelType w:val="hybridMultilevel"/>
    <w:tmpl w:val="2C6A4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482C48"/>
    <w:multiLevelType w:val="hybridMultilevel"/>
    <w:tmpl w:val="A2F87B58"/>
    <w:lvl w:ilvl="0" w:tplc="9D2636DA">
      <w:start w:val="7"/>
      <w:numFmt w:val="bullet"/>
      <w:lvlText w:val=""/>
      <w:lvlJc w:val="left"/>
      <w:pPr>
        <w:ind w:left="720" w:hanging="360"/>
      </w:pPr>
      <w:rPr>
        <w:rFonts w:ascii="Symbol" w:eastAsia="Calibr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4B0655A"/>
    <w:multiLevelType w:val="hybridMultilevel"/>
    <w:tmpl w:val="F2F07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2"/>
  </w:num>
  <w:num w:numId="5">
    <w:abstractNumId w:val="0"/>
  </w:num>
  <w:num w:numId="6">
    <w:abstractNumId w:val="12"/>
  </w:num>
  <w:num w:numId="7">
    <w:abstractNumId w:val="3"/>
  </w:num>
  <w:num w:numId="8">
    <w:abstractNumId w:val="11"/>
  </w:num>
  <w:num w:numId="9">
    <w:abstractNumId w:val="8"/>
  </w:num>
  <w:num w:numId="10">
    <w:abstractNumId w:val="7"/>
  </w:num>
  <w:num w:numId="11">
    <w:abstractNumId w:val="5"/>
  </w:num>
  <w:num w:numId="12">
    <w:abstractNumId w:val="13"/>
  </w:num>
  <w:num w:numId="13">
    <w:abstractNumId w:val="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2E"/>
    <w:rsid w:val="00011C87"/>
    <w:rsid w:val="00013799"/>
    <w:rsid w:val="000147F3"/>
    <w:rsid w:val="00032053"/>
    <w:rsid w:val="00035F7C"/>
    <w:rsid w:val="00044452"/>
    <w:rsid w:val="0004537A"/>
    <w:rsid w:val="00075734"/>
    <w:rsid w:val="000A1DBA"/>
    <w:rsid w:val="000C65C7"/>
    <w:rsid w:val="000D14F9"/>
    <w:rsid w:val="000E1EA1"/>
    <w:rsid w:val="00107287"/>
    <w:rsid w:val="00121318"/>
    <w:rsid w:val="00155DB9"/>
    <w:rsid w:val="0016675A"/>
    <w:rsid w:val="00190018"/>
    <w:rsid w:val="001D77E3"/>
    <w:rsid w:val="001E0510"/>
    <w:rsid w:val="001E19A6"/>
    <w:rsid w:val="0021115F"/>
    <w:rsid w:val="00211A5F"/>
    <w:rsid w:val="00246EF4"/>
    <w:rsid w:val="00265AC4"/>
    <w:rsid w:val="00280B12"/>
    <w:rsid w:val="002C2EE7"/>
    <w:rsid w:val="002C4E89"/>
    <w:rsid w:val="002E4EAD"/>
    <w:rsid w:val="002E6625"/>
    <w:rsid w:val="0032366C"/>
    <w:rsid w:val="00332404"/>
    <w:rsid w:val="0033630B"/>
    <w:rsid w:val="0034726E"/>
    <w:rsid w:val="003500F6"/>
    <w:rsid w:val="00360734"/>
    <w:rsid w:val="003A775E"/>
    <w:rsid w:val="003C2F38"/>
    <w:rsid w:val="003F74C9"/>
    <w:rsid w:val="004128A8"/>
    <w:rsid w:val="00424F56"/>
    <w:rsid w:val="00425DFB"/>
    <w:rsid w:val="0044214B"/>
    <w:rsid w:val="004475EC"/>
    <w:rsid w:val="00452F73"/>
    <w:rsid w:val="004864AD"/>
    <w:rsid w:val="00491AE5"/>
    <w:rsid w:val="004B6B6E"/>
    <w:rsid w:val="004C1747"/>
    <w:rsid w:val="004C51BB"/>
    <w:rsid w:val="004E4558"/>
    <w:rsid w:val="004E7E19"/>
    <w:rsid w:val="004F4A36"/>
    <w:rsid w:val="005059D6"/>
    <w:rsid w:val="00511840"/>
    <w:rsid w:val="00513B9C"/>
    <w:rsid w:val="005351F8"/>
    <w:rsid w:val="00551F70"/>
    <w:rsid w:val="005625DE"/>
    <w:rsid w:val="005773A7"/>
    <w:rsid w:val="005810AF"/>
    <w:rsid w:val="005A103B"/>
    <w:rsid w:val="005C03D4"/>
    <w:rsid w:val="005D2CE1"/>
    <w:rsid w:val="006169B3"/>
    <w:rsid w:val="006222D2"/>
    <w:rsid w:val="00636D0A"/>
    <w:rsid w:val="00644C06"/>
    <w:rsid w:val="00650662"/>
    <w:rsid w:val="00675667"/>
    <w:rsid w:val="00681DBE"/>
    <w:rsid w:val="00683B14"/>
    <w:rsid w:val="006A2E7A"/>
    <w:rsid w:val="006A3101"/>
    <w:rsid w:val="006B3A02"/>
    <w:rsid w:val="006D3643"/>
    <w:rsid w:val="006D61CD"/>
    <w:rsid w:val="006E57A9"/>
    <w:rsid w:val="006E6DE0"/>
    <w:rsid w:val="006F1314"/>
    <w:rsid w:val="007025C6"/>
    <w:rsid w:val="00720282"/>
    <w:rsid w:val="00731C88"/>
    <w:rsid w:val="00750A04"/>
    <w:rsid w:val="00751972"/>
    <w:rsid w:val="00755526"/>
    <w:rsid w:val="00780DF2"/>
    <w:rsid w:val="0079254D"/>
    <w:rsid w:val="00797F44"/>
    <w:rsid w:val="007E3E8A"/>
    <w:rsid w:val="007F5EE3"/>
    <w:rsid w:val="007F7ECF"/>
    <w:rsid w:val="0080286A"/>
    <w:rsid w:val="0081653E"/>
    <w:rsid w:val="00851BB8"/>
    <w:rsid w:val="00864B0A"/>
    <w:rsid w:val="0088331D"/>
    <w:rsid w:val="0089597B"/>
    <w:rsid w:val="008A0E06"/>
    <w:rsid w:val="008A7E2F"/>
    <w:rsid w:val="008B4DF1"/>
    <w:rsid w:val="008B507E"/>
    <w:rsid w:val="008C51F3"/>
    <w:rsid w:val="008E12E3"/>
    <w:rsid w:val="008F4EAA"/>
    <w:rsid w:val="009269D6"/>
    <w:rsid w:val="009336EB"/>
    <w:rsid w:val="009573FB"/>
    <w:rsid w:val="00964A41"/>
    <w:rsid w:val="00964F1A"/>
    <w:rsid w:val="009846B8"/>
    <w:rsid w:val="00987F92"/>
    <w:rsid w:val="009A66FD"/>
    <w:rsid w:val="009C4126"/>
    <w:rsid w:val="009E050C"/>
    <w:rsid w:val="00A241A2"/>
    <w:rsid w:val="00A40B96"/>
    <w:rsid w:val="00A5311F"/>
    <w:rsid w:val="00A559CE"/>
    <w:rsid w:val="00A62CE8"/>
    <w:rsid w:val="00A9520E"/>
    <w:rsid w:val="00AD6A97"/>
    <w:rsid w:val="00AF0003"/>
    <w:rsid w:val="00B04F24"/>
    <w:rsid w:val="00B15D4D"/>
    <w:rsid w:val="00B72F1B"/>
    <w:rsid w:val="00B975B2"/>
    <w:rsid w:val="00BB1E3F"/>
    <w:rsid w:val="00BB400B"/>
    <w:rsid w:val="00BC5BFD"/>
    <w:rsid w:val="00BE7AFF"/>
    <w:rsid w:val="00C03EA7"/>
    <w:rsid w:val="00C152A0"/>
    <w:rsid w:val="00C25DB1"/>
    <w:rsid w:val="00C51DAE"/>
    <w:rsid w:val="00C55E7F"/>
    <w:rsid w:val="00C8592F"/>
    <w:rsid w:val="00C904C4"/>
    <w:rsid w:val="00CB6EB9"/>
    <w:rsid w:val="00CC1471"/>
    <w:rsid w:val="00CC3664"/>
    <w:rsid w:val="00CD0360"/>
    <w:rsid w:val="00D031CE"/>
    <w:rsid w:val="00D14ACF"/>
    <w:rsid w:val="00D157AA"/>
    <w:rsid w:val="00D3358C"/>
    <w:rsid w:val="00D851B6"/>
    <w:rsid w:val="00D94DB4"/>
    <w:rsid w:val="00D9731E"/>
    <w:rsid w:val="00DA15D4"/>
    <w:rsid w:val="00DA5660"/>
    <w:rsid w:val="00DB2A5F"/>
    <w:rsid w:val="00DB753E"/>
    <w:rsid w:val="00E018A7"/>
    <w:rsid w:val="00E06001"/>
    <w:rsid w:val="00E10912"/>
    <w:rsid w:val="00E15DBC"/>
    <w:rsid w:val="00E201F7"/>
    <w:rsid w:val="00E22F05"/>
    <w:rsid w:val="00E26F2E"/>
    <w:rsid w:val="00E43DEB"/>
    <w:rsid w:val="00E446A1"/>
    <w:rsid w:val="00E52E69"/>
    <w:rsid w:val="00E55E5D"/>
    <w:rsid w:val="00E70D5E"/>
    <w:rsid w:val="00E70F82"/>
    <w:rsid w:val="00E81089"/>
    <w:rsid w:val="00E834C6"/>
    <w:rsid w:val="00E837DB"/>
    <w:rsid w:val="00E96D6E"/>
    <w:rsid w:val="00EA7788"/>
    <w:rsid w:val="00EC0C33"/>
    <w:rsid w:val="00F33035"/>
    <w:rsid w:val="00F45C26"/>
    <w:rsid w:val="00F5451B"/>
    <w:rsid w:val="00F56D8D"/>
    <w:rsid w:val="00FA24C9"/>
    <w:rsid w:val="00FD7524"/>
    <w:rsid w:val="00FE7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3E"/>
    <w:pPr>
      <w:spacing w:line="256" w:lineRule="auto"/>
    </w:pPr>
    <w:rPr>
      <w:rFonts w:ascii="Calibri" w:eastAsia="Calibri" w:hAnsi="Calibri" w:cs="Times New Roman"/>
    </w:rPr>
  </w:style>
  <w:style w:type="paragraph" w:styleId="Heading3">
    <w:name w:val="heading 3"/>
    <w:basedOn w:val="Normal"/>
    <w:link w:val="Heading3Char"/>
    <w:uiPriority w:val="9"/>
    <w:qFormat/>
    <w:rsid w:val="006F131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F2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26F2E"/>
  </w:style>
  <w:style w:type="paragraph" w:styleId="Footer">
    <w:name w:val="footer"/>
    <w:basedOn w:val="Normal"/>
    <w:link w:val="FooterChar"/>
    <w:uiPriority w:val="99"/>
    <w:unhideWhenUsed/>
    <w:rsid w:val="00E26F2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26F2E"/>
  </w:style>
  <w:style w:type="paragraph" w:styleId="NormalWeb">
    <w:name w:val="Normal (Web)"/>
    <w:basedOn w:val="Normal"/>
    <w:uiPriority w:val="99"/>
    <w:unhideWhenUsed/>
    <w:rsid w:val="008A0E06"/>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A0E06"/>
    <w:pPr>
      <w:spacing w:line="259" w:lineRule="auto"/>
      <w:ind w:left="720"/>
      <w:contextualSpacing/>
    </w:pPr>
    <w:rPr>
      <w:rFonts w:asciiTheme="minorHAnsi" w:eastAsiaTheme="minorHAnsi" w:hAnsiTheme="minorHAnsi" w:cstheme="minorBidi"/>
    </w:rPr>
  </w:style>
  <w:style w:type="paragraph" w:styleId="NoSpacing">
    <w:name w:val="No Spacing"/>
    <w:uiPriority w:val="1"/>
    <w:qFormat/>
    <w:rsid w:val="00265AC4"/>
    <w:pPr>
      <w:spacing w:after="0" w:line="240" w:lineRule="auto"/>
    </w:pPr>
    <w:rPr>
      <w:rFonts w:ascii="Franklin Gothic Book" w:hAnsi="Franklin Gothic Book"/>
    </w:rPr>
  </w:style>
  <w:style w:type="character" w:styleId="CommentReference">
    <w:name w:val="annotation reference"/>
    <w:basedOn w:val="DefaultParagraphFont"/>
    <w:uiPriority w:val="99"/>
    <w:semiHidden/>
    <w:unhideWhenUsed/>
    <w:rsid w:val="004B6B6E"/>
    <w:rPr>
      <w:sz w:val="16"/>
      <w:szCs w:val="16"/>
    </w:rPr>
  </w:style>
  <w:style w:type="paragraph" w:styleId="CommentText">
    <w:name w:val="annotation text"/>
    <w:basedOn w:val="Normal"/>
    <w:link w:val="CommentTextChar"/>
    <w:uiPriority w:val="99"/>
    <w:semiHidden/>
    <w:unhideWhenUsed/>
    <w:rsid w:val="004B6B6E"/>
    <w:pPr>
      <w:spacing w:line="240" w:lineRule="auto"/>
    </w:pPr>
    <w:rPr>
      <w:sz w:val="20"/>
      <w:szCs w:val="20"/>
    </w:rPr>
  </w:style>
  <w:style w:type="character" w:customStyle="1" w:styleId="CommentTextChar">
    <w:name w:val="Comment Text Char"/>
    <w:basedOn w:val="DefaultParagraphFont"/>
    <w:link w:val="CommentText"/>
    <w:uiPriority w:val="99"/>
    <w:semiHidden/>
    <w:rsid w:val="004B6B6E"/>
    <w:rPr>
      <w:sz w:val="20"/>
      <w:szCs w:val="20"/>
    </w:rPr>
  </w:style>
  <w:style w:type="paragraph" w:styleId="CommentSubject">
    <w:name w:val="annotation subject"/>
    <w:basedOn w:val="CommentText"/>
    <w:next w:val="CommentText"/>
    <w:link w:val="CommentSubjectChar"/>
    <w:uiPriority w:val="99"/>
    <w:semiHidden/>
    <w:unhideWhenUsed/>
    <w:rsid w:val="004B6B6E"/>
    <w:rPr>
      <w:b/>
      <w:bCs/>
    </w:rPr>
  </w:style>
  <w:style w:type="character" w:customStyle="1" w:styleId="CommentSubjectChar">
    <w:name w:val="Comment Subject Char"/>
    <w:basedOn w:val="CommentTextChar"/>
    <w:link w:val="CommentSubject"/>
    <w:uiPriority w:val="99"/>
    <w:semiHidden/>
    <w:rsid w:val="004B6B6E"/>
    <w:rPr>
      <w:b/>
      <w:bCs/>
      <w:sz w:val="20"/>
      <w:szCs w:val="20"/>
    </w:rPr>
  </w:style>
  <w:style w:type="paragraph" w:styleId="BalloonText">
    <w:name w:val="Balloon Text"/>
    <w:basedOn w:val="Normal"/>
    <w:link w:val="BalloonTextChar"/>
    <w:uiPriority w:val="99"/>
    <w:semiHidden/>
    <w:unhideWhenUsed/>
    <w:rsid w:val="004B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6E"/>
    <w:rPr>
      <w:rFonts w:ascii="Tahoma" w:hAnsi="Tahoma" w:cs="Tahoma"/>
      <w:sz w:val="16"/>
      <w:szCs w:val="16"/>
    </w:rPr>
  </w:style>
  <w:style w:type="paragraph" w:styleId="FootnoteText">
    <w:name w:val="footnote text"/>
    <w:basedOn w:val="Normal"/>
    <w:link w:val="FootnoteTextChar"/>
    <w:uiPriority w:val="99"/>
    <w:semiHidden/>
    <w:unhideWhenUsed/>
    <w:rsid w:val="009336E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36EB"/>
    <w:rPr>
      <w:sz w:val="20"/>
      <w:szCs w:val="20"/>
    </w:rPr>
  </w:style>
  <w:style w:type="character" w:styleId="FootnoteReference">
    <w:name w:val="footnote reference"/>
    <w:basedOn w:val="DefaultParagraphFont"/>
    <w:uiPriority w:val="99"/>
    <w:semiHidden/>
    <w:unhideWhenUsed/>
    <w:rsid w:val="009336EB"/>
    <w:rPr>
      <w:vertAlign w:val="superscript"/>
    </w:rPr>
  </w:style>
  <w:style w:type="character" w:customStyle="1" w:styleId="apple-converted-space">
    <w:name w:val="apple-converted-space"/>
    <w:basedOn w:val="DefaultParagraphFont"/>
    <w:rsid w:val="004C51BB"/>
  </w:style>
  <w:style w:type="paragraph" w:customStyle="1" w:styleId="gov-is-numbered-paragraph-part">
    <w:name w:val="gov-is-numbered-paragraph-part"/>
    <w:basedOn w:val="Normal"/>
    <w:rsid w:val="00644C0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644C06"/>
    <w:pPr>
      <w:autoSpaceDE w:val="0"/>
      <w:autoSpaceDN w:val="0"/>
      <w:adjustRightInd w:val="0"/>
      <w:spacing w:after="0" w:line="240" w:lineRule="auto"/>
    </w:pPr>
    <w:rPr>
      <w:rFonts w:ascii="Verdana" w:hAnsi="Verdana" w:cs="Verdana"/>
      <w:color w:val="000000"/>
      <w:sz w:val="24"/>
      <w:szCs w:val="24"/>
    </w:rPr>
  </w:style>
  <w:style w:type="paragraph" w:customStyle="1" w:styleId="gov-is-numbered-paragraph">
    <w:name w:val="gov-is-numbered-paragraph"/>
    <w:basedOn w:val="Normal"/>
    <w:rsid w:val="0033240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6F1314"/>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AD6A97"/>
    <w:rPr>
      <w:color w:val="0563C1" w:themeColor="hyperlink"/>
      <w:u w:val="single"/>
    </w:rPr>
  </w:style>
  <w:style w:type="paragraph" w:styleId="Revision">
    <w:name w:val="Revision"/>
    <w:hidden/>
    <w:uiPriority w:val="99"/>
    <w:semiHidden/>
    <w:rsid w:val="009573FB"/>
    <w:pPr>
      <w:spacing w:after="0" w:line="240" w:lineRule="auto"/>
    </w:pPr>
    <w:rPr>
      <w:rFonts w:ascii="Calibri" w:eastAsia="Calibri" w:hAnsi="Calibri" w:cs="Times New Roman"/>
    </w:rPr>
  </w:style>
  <w:style w:type="character" w:customStyle="1" w:styleId="Mention1">
    <w:name w:val="Mention1"/>
    <w:basedOn w:val="DefaultParagraphFont"/>
    <w:uiPriority w:val="99"/>
    <w:semiHidden/>
    <w:unhideWhenUsed/>
    <w:rsid w:val="00511840"/>
    <w:rPr>
      <w:color w:val="2B579A"/>
      <w:shd w:val="clear" w:color="auto" w:fill="E6E6E6"/>
    </w:rPr>
  </w:style>
  <w:style w:type="character" w:styleId="Emphasis">
    <w:name w:val="Emphasis"/>
    <w:basedOn w:val="DefaultParagraphFont"/>
    <w:uiPriority w:val="20"/>
    <w:qFormat/>
    <w:rsid w:val="008959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53E"/>
    <w:pPr>
      <w:spacing w:line="256" w:lineRule="auto"/>
    </w:pPr>
    <w:rPr>
      <w:rFonts w:ascii="Calibri" w:eastAsia="Calibri" w:hAnsi="Calibri" w:cs="Times New Roman"/>
    </w:rPr>
  </w:style>
  <w:style w:type="paragraph" w:styleId="Heading3">
    <w:name w:val="heading 3"/>
    <w:basedOn w:val="Normal"/>
    <w:link w:val="Heading3Char"/>
    <w:uiPriority w:val="9"/>
    <w:qFormat/>
    <w:rsid w:val="006F1314"/>
    <w:pPr>
      <w:spacing w:before="100" w:beforeAutospacing="1" w:after="100" w:afterAutospacing="1" w:line="240" w:lineRule="auto"/>
      <w:outlineLvl w:val="2"/>
    </w:pPr>
    <w:rPr>
      <w:rFonts w:ascii="Times New Roman" w:eastAsia="Times New Roman" w:hAnsi="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F2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26F2E"/>
  </w:style>
  <w:style w:type="paragraph" w:styleId="Footer">
    <w:name w:val="footer"/>
    <w:basedOn w:val="Normal"/>
    <w:link w:val="FooterChar"/>
    <w:uiPriority w:val="99"/>
    <w:unhideWhenUsed/>
    <w:rsid w:val="00E26F2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26F2E"/>
  </w:style>
  <w:style w:type="paragraph" w:styleId="NormalWeb">
    <w:name w:val="Normal (Web)"/>
    <w:basedOn w:val="Normal"/>
    <w:uiPriority w:val="99"/>
    <w:unhideWhenUsed/>
    <w:rsid w:val="008A0E06"/>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8A0E06"/>
    <w:pPr>
      <w:spacing w:line="259" w:lineRule="auto"/>
      <w:ind w:left="720"/>
      <w:contextualSpacing/>
    </w:pPr>
    <w:rPr>
      <w:rFonts w:asciiTheme="minorHAnsi" w:eastAsiaTheme="minorHAnsi" w:hAnsiTheme="minorHAnsi" w:cstheme="minorBidi"/>
    </w:rPr>
  </w:style>
  <w:style w:type="paragraph" w:styleId="NoSpacing">
    <w:name w:val="No Spacing"/>
    <w:uiPriority w:val="1"/>
    <w:qFormat/>
    <w:rsid w:val="00265AC4"/>
    <w:pPr>
      <w:spacing w:after="0" w:line="240" w:lineRule="auto"/>
    </w:pPr>
    <w:rPr>
      <w:rFonts w:ascii="Franklin Gothic Book" w:hAnsi="Franklin Gothic Book"/>
    </w:rPr>
  </w:style>
  <w:style w:type="character" w:styleId="CommentReference">
    <w:name w:val="annotation reference"/>
    <w:basedOn w:val="DefaultParagraphFont"/>
    <w:uiPriority w:val="99"/>
    <w:semiHidden/>
    <w:unhideWhenUsed/>
    <w:rsid w:val="004B6B6E"/>
    <w:rPr>
      <w:sz w:val="16"/>
      <w:szCs w:val="16"/>
    </w:rPr>
  </w:style>
  <w:style w:type="paragraph" w:styleId="CommentText">
    <w:name w:val="annotation text"/>
    <w:basedOn w:val="Normal"/>
    <w:link w:val="CommentTextChar"/>
    <w:uiPriority w:val="99"/>
    <w:semiHidden/>
    <w:unhideWhenUsed/>
    <w:rsid w:val="004B6B6E"/>
    <w:pPr>
      <w:spacing w:line="240" w:lineRule="auto"/>
    </w:pPr>
    <w:rPr>
      <w:sz w:val="20"/>
      <w:szCs w:val="20"/>
    </w:rPr>
  </w:style>
  <w:style w:type="character" w:customStyle="1" w:styleId="CommentTextChar">
    <w:name w:val="Comment Text Char"/>
    <w:basedOn w:val="DefaultParagraphFont"/>
    <w:link w:val="CommentText"/>
    <w:uiPriority w:val="99"/>
    <w:semiHidden/>
    <w:rsid w:val="004B6B6E"/>
    <w:rPr>
      <w:sz w:val="20"/>
      <w:szCs w:val="20"/>
    </w:rPr>
  </w:style>
  <w:style w:type="paragraph" w:styleId="CommentSubject">
    <w:name w:val="annotation subject"/>
    <w:basedOn w:val="CommentText"/>
    <w:next w:val="CommentText"/>
    <w:link w:val="CommentSubjectChar"/>
    <w:uiPriority w:val="99"/>
    <w:semiHidden/>
    <w:unhideWhenUsed/>
    <w:rsid w:val="004B6B6E"/>
    <w:rPr>
      <w:b/>
      <w:bCs/>
    </w:rPr>
  </w:style>
  <w:style w:type="character" w:customStyle="1" w:styleId="CommentSubjectChar">
    <w:name w:val="Comment Subject Char"/>
    <w:basedOn w:val="CommentTextChar"/>
    <w:link w:val="CommentSubject"/>
    <w:uiPriority w:val="99"/>
    <w:semiHidden/>
    <w:rsid w:val="004B6B6E"/>
    <w:rPr>
      <w:b/>
      <w:bCs/>
      <w:sz w:val="20"/>
      <w:szCs w:val="20"/>
    </w:rPr>
  </w:style>
  <w:style w:type="paragraph" w:styleId="BalloonText">
    <w:name w:val="Balloon Text"/>
    <w:basedOn w:val="Normal"/>
    <w:link w:val="BalloonTextChar"/>
    <w:uiPriority w:val="99"/>
    <w:semiHidden/>
    <w:unhideWhenUsed/>
    <w:rsid w:val="004B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B6E"/>
    <w:rPr>
      <w:rFonts w:ascii="Tahoma" w:hAnsi="Tahoma" w:cs="Tahoma"/>
      <w:sz w:val="16"/>
      <w:szCs w:val="16"/>
    </w:rPr>
  </w:style>
  <w:style w:type="paragraph" w:styleId="FootnoteText">
    <w:name w:val="footnote text"/>
    <w:basedOn w:val="Normal"/>
    <w:link w:val="FootnoteTextChar"/>
    <w:uiPriority w:val="99"/>
    <w:semiHidden/>
    <w:unhideWhenUsed/>
    <w:rsid w:val="009336E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36EB"/>
    <w:rPr>
      <w:sz w:val="20"/>
      <w:szCs w:val="20"/>
    </w:rPr>
  </w:style>
  <w:style w:type="character" w:styleId="FootnoteReference">
    <w:name w:val="footnote reference"/>
    <w:basedOn w:val="DefaultParagraphFont"/>
    <w:uiPriority w:val="99"/>
    <w:semiHidden/>
    <w:unhideWhenUsed/>
    <w:rsid w:val="009336EB"/>
    <w:rPr>
      <w:vertAlign w:val="superscript"/>
    </w:rPr>
  </w:style>
  <w:style w:type="character" w:customStyle="1" w:styleId="apple-converted-space">
    <w:name w:val="apple-converted-space"/>
    <w:basedOn w:val="DefaultParagraphFont"/>
    <w:rsid w:val="004C51BB"/>
  </w:style>
  <w:style w:type="paragraph" w:customStyle="1" w:styleId="gov-is-numbered-paragraph-part">
    <w:name w:val="gov-is-numbered-paragraph-part"/>
    <w:basedOn w:val="Normal"/>
    <w:rsid w:val="00644C06"/>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644C06"/>
    <w:pPr>
      <w:autoSpaceDE w:val="0"/>
      <w:autoSpaceDN w:val="0"/>
      <w:adjustRightInd w:val="0"/>
      <w:spacing w:after="0" w:line="240" w:lineRule="auto"/>
    </w:pPr>
    <w:rPr>
      <w:rFonts w:ascii="Verdana" w:hAnsi="Verdana" w:cs="Verdana"/>
      <w:color w:val="000000"/>
      <w:sz w:val="24"/>
      <w:szCs w:val="24"/>
    </w:rPr>
  </w:style>
  <w:style w:type="paragraph" w:customStyle="1" w:styleId="gov-is-numbered-paragraph">
    <w:name w:val="gov-is-numbered-paragraph"/>
    <w:basedOn w:val="Normal"/>
    <w:rsid w:val="0033240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3Char">
    <w:name w:val="Heading 3 Char"/>
    <w:basedOn w:val="DefaultParagraphFont"/>
    <w:link w:val="Heading3"/>
    <w:uiPriority w:val="9"/>
    <w:rsid w:val="006F1314"/>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unhideWhenUsed/>
    <w:rsid w:val="00AD6A97"/>
    <w:rPr>
      <w:color w:val="0563C1" w:themeColor="hyperlink"/>
      <w:u w:val="single"/>
    </w:rPr>
  </w:style>
  <w:style w:type="paragraph" w:styleId="Revision">
    <w:name w:val="Revision"/>
    <w:hidden/>
    <w:uiPriority w:val="99"/>
    <w:semiHidden/>
    <w:rsid w:val="009573FB"/>
    <w:pPr>
      <w:spacing w:after="0" w:line="240" w:lineRule="auto"/>
    </w:pPr>
    <w:rPr>
      <w:rFonts w:ascii="Calibri" w:eastAsia="Calibri" w:hAnsi="Calibri" w:cs="Times New Roman"/>
    </w:rPr>
  </w:style>
  <w:style w:type="character" w:customStyle="1" w:styleId="Mention1">
    <w:name w:val="Mention1"/>
    <w:basedOn w:val="DefaultParagraphFont"/>
    <w:uiPriority w:val="99"/>
    <w:semiHidden/>
    <w:unhideWhenUsed/>
    <w:rsid w:val="00511840"/>
    <w:rPr>
      <w:color w:val="2B579A"/>
      <w:shd w:val="clear" w:color="auto" w:fill="E6E6E6"/>
    </w:rPr>
  </w:style>
  <w:style w:type="character" w:styleId="Emphasis">
    <w:name w:val="Emphasis"/>
    <w:basedOn w:val="DefaultParagraphFont"/>
    <w:uiPriority w:val="20"/>
    <w:qFormat/>
    <w:rsid w:val="008959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5687">
      <w:bodyDiv w:val="1"/>
      <w:marLeft w:val="0"/>
      <w:marRight w:val="0"/>
      <w:marTop w:val="0"/>
      <w:marBottom w:val="0"/>
      <w:divBdr>
        <w:top w:val="none" w:sz="0" w:space="0" w:color="auto"/>
        <w:left w:val="none" w:sz="0" w:space="0" w:color="auto"/>
        <w:bottom w:val="none" w:sz="0" w:space="0" w:color="auto"/>
        <w:right w:val="none" w:sz="0" w:space="0" w:color="auto"/>
      </w:divBdr>
    </w:div>
    <w:div w:id="194389054">
      <w:bodyDiv w:val="1"/>
      <w:marLeft w:val="0"/>
      <w:marRight w:val="0"/>
      <w:marTop w:val="0"/>
      <w:marBottom w:val="0"/>
      <w:divBdr>
        <w:top w:val="none" w:sz="0" w:space="0" w:color="auto"/>
        <w:left w:val="none" w:sz="0" w:space="0" w:color="auto"/>
        <w:bottom w:val="none" w:sz="0" w:space="0" w:color="auto"/>
        <w:right w:val="none" w:sz="0" w:space="0" w:color="auto"/>
      </w:divBdr>
    </w:div>
    <w:div w:id="1188059238">
      <w:bodyDiv w:val="1"/>
      <w:marLeft w:val="0"/>
      <w:marRight w:val="0"/>
      <w:marTop w:val="0"/>
      <w:marBottom w:val="0"/>
      <w:divBdr>
        <w:top w:val="none" w:sz="0" w:space="0" w:color="auto"/>
        <w:left w:val="none" w:sz="0" w:space="0" w:color="auto"/>
        <w:bottom w:val="none" w:sz="0" w:space="0" w:color="auto"/>
        <w:right w:val="none" w:sz="0" w:space="0" w:color="auto"/>
      </w:divBdr>
    </w:div>
    <w:div w:id="1373454180">
      <w:bodyDiv w:val="1"/>
      <w:marLeft w:val="0"/>
      <w:marRight w:val="0"/>
      <w:marTop w:val="0"/>
      <w:marBottom w:val="0"/>
      <w:divBdr>
        <w:top w:val="none" w:sz="0" w:space="0" w:color="auto"/>
        <w:left w:val="none" w:sz="0" w:space="0" w:color="auto"/>
        <w:bottom w:val="none" w:sz="0" w:space="0" w:color="auto"/>
        <w:right w:val="none" w:sz="0" w:space="0" w:color="auto"/>
      </w:divBdr>
      <w:divsChild>
        <w:div w:id="476146397">
          <w:marLeft w:val="0"/>
          <w:marRight w:val="0"/>
          <w:marTop w:val="0"/>
          <w:marBottom w:val="0"/>
          <w:divBdr>
            <w:top w:val="none" w:sz="0" w:space="0" w:color="auto"/>
            <w:left w:val="none" w:sz="0" w:space="0" w:color="auto"/>
            <w:bottom w:val="none" w:sz="0" w:space="0" w:color="auto"/>
            <w:right w:val="none" w:sz="0" w:space="0" w:color="auto"/>
          </w:divBdr>
        </w:div>
      </w:divsChild>
    </w:div>
    <w:div w:id="18718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DR@treasury.gov.au" TargetMode="Externa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2017MG-93-24517</_dlc_DocId>
    <TaxCatchAll xmlns="d4dd4adf-ddb3-46a3-8d7c-fab3fb2a6bc7">
      <Value>7</Value>
    </TaxCatchAll>
    <_dlc_DocIdUrl xmlns="d4dd4adf-ddb3-46a3-8d7c-fab3fb2a6bc7">
      <Url>http://tweb/sites/mg/fsd/_layouts/15/DocIdRedir.aspx?ID=2017MG-93-24517</Url>
      <Description>2017MG-93-24517</Description>
    </_dlc_DocIdUrl>
    <IconOverlay xmlns="http://schemas.microsoft.com/sharepoint/v4" xsi:nil="true"/>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24" ma:contentTypeDescription=" " ma:contentTypeScope="" ma:versionID="2caa32ba22ae703e3ffbc28485409ad3">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A5649-BFC1-4EFC-BBCF-5DB093D4F71D}">
  <ds:schemaRefs>
    <ds:schemaRef ds:uri="http://schemas.microsoft.com/sharepoint/events"/>
  </ds:schemaRefs>
</ds:datastoreItem>
</file>

<file path=customXml/itemProps2.xml><?xml version="1.0" encoding="utf-8"?>
<ds:datastoreItem xmlns:ds="http://schemas.openxmlformats.org/officeDocument/2006/customXml" ds:itemID="{EDC51A07-CEB9-4074-8E77-D45DC57807F3}">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3.xml><?xml version="1.0" encoding="utf-8"?>
<ds:datastoreItem xmlns:ds="http://schemas.openxmlformats.org/officeDocument/2006/customXml" ds:itemID="{012F0A33-0FDF-41E8-BD6D-63569AA1B0BC}">
  <ds:schemaRefs>
    <ds:schemaRef ds:uri="http://schemas.microsoft.com/sharepoint/events"/>
  </ds:schemaRefs>
</ds:datastoreItem>
</file>

<file path=customXml/itemProps4.xml><?xml version="1.0" encoding="utf-8"?>
<ds:datastoreItem xmlns:ds="http://schemas.openxmlformats.org/officeDocument/2006/customXml" ds:itemID="{131EA811-C303-444E-9CC9-9145A2B2F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838A73-DE4C-4A8A-8EAD-3AC34E54869D}">
  <ds:schemaRefs>
    <ds:schemaRef ds:uri="http://schemas.microsoft.com/sharepoint/v3/contenttype/forms"/>
  </ds:schemaRefs>
</ds:datastoreItem>
</file>

<file path=customXml/itemProps6.xml><?xml version="1.0" encoding="utf-8"?>
<ds:datastoreItem xmlns:ds="http://schemas.openxmlformats.org/officeDocument/2006/customXml" ds:itemID="{124D236C-E139-48C9-BF81-BAB67405DFA6}">
  <ds:schemaRefs>
    <ds:schemaRef ds:uri="office.server.policy"/>
  </ds:schemaRefs>
</ds:datastoreItem>
</file>

<file path=customXml/itemProps7.xml><?xml version="1.0" encoding="utf-8"?>
<ds:datastoreItem xmlns:ds="http://schemas.openxmlformats.org/officeDocument/2006/customXml" ds:itemID="{FA412E53-EDAA-457A-932D-255109ED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3106</Words>
  <Characters>16731</Characters>
  <Application>Microsoft Office Word</Application>
  <DocSecurity>0</DocSecurity>
  <Lines>314</Lines>
  <Paragraphs>55</Paragraphs>
  <ScaleCrop>false</ScaleCrop>
  <Company/>
  <LinksUpToDate>false</LinksUpToDate>
  <CharactersWithSpaces>19860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Retail Credit Association - External dispute resolution and complaints framework</dc:title>
  <dc:creator/>
  <cp:lastModifiedBy/>
  <cp:revision>1</cp:revision>
  <dcterms:created xsi:type="dcterms:W3CDTF">2017-08-16T03:12:00Z</dcterms:created>
  <dcterms:modified xsi:type="dcterms:W3CDTF">2017-08-16T03:12:00Z</dcterms:modified>
  <dc:language>English</dc:language>
</cp:coreProperties>
</file>