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5D" w:rsidRPr="009846C6" w:rsidRDefault="004B7C14" w:rsidP="005F31F9">
      <w:pPr>
        <w:rPr>
          <w:rFonts w:asciiTheme="minorHAnsi" w:hAnsiTheme="minorHAnsi"/>
          <w:szCs w:val="24"/>
        </w:rPr>
      </w:pPr>
      <w:bookmarkStart w:id="0" w:name="_GoBack"/>
      <w:bookmarkEnd w:id="0"/>
      <w:r w:rsidRPr="009846C6">
        <w:rPr>
          <w:rFonts w:asciiTheme="minorHAnsi" w:hAnsiTheme="minorHAnsi"/>
          <w:szCs w:val="24"/>
        </w:rPr>
        <w:t>Manager</w:t>
      </w:r>
    </w:p>
    <w:p w:rsidR="004B7C14" w:rsidRDefault="004B7C14" w:rsidP="005F31F9">
      <w:pPr>
        <w:rPr>
          <w:rFonts w:asciiTheme="minorHAnsi" w:hAnsiTheme="minorHAnsi"/>
          <w:szCs w:val="24"/>
        </w:rPr>
      </w:pPr>
      <w:r w:rsidRPr="009846C6">
        <w:rPr>
          <w:rFonts w:asciiTheme="minorHAnsi" w:hAnsiTheme="minorHAnsi"/>
          <w:szCs w:val="24"/>
        </w:rPr>
        <w:t>Philanthropy and Exemptions Unit</w:t>
      </w:r>
    </w:p>
    <w:p w:rsidR="0016484C" w:rsidRPr="009846C6" w:rsidRDefault="0016484C" w:rsidP="005F31F9">
      <w:pPr>
        <w:rPr>
          <w:rFonts w:asciiTheme="minorHAnsi" w:hAnsiTheme="minorHAnsi"/>
          <w:szCs w:val="24"/>
        </w:rPr>
      </w:pPr>
      <w:r>
        <w:rPr>
          <w:rFonts w:asciiTheme="minorHAnsi" w:hAnsiTheme="minorHAnsi"/>
          <w:szCs w:val="24"/>
        </w:rPr>
        <w:t>The Treasury</w:t>
      </w:r>
    </w:p>
    <w:p w:rsidR="004B7C14" w:rsidRPr="009846C6" w:rsidRDefault="00624367" w:rsidP="005F31F9">
      <w:pPr>
        <w:rPr>
          <w:rFonts w:asciiTheme="minorHAnsi" w:hAnsiTheme="minorHAnsi"/>
          <w:szCs w:val="24"/>
        </w:rPr>
      </w:pPr>
      <w:hyperlink r:id="rId9" w:history="1">
        <w:r w:rsidR="0016484C">
          <w:rPr>
            <w:rStyle w:val="Hyperlink"/>
          </w:rPr>
          <w:t>charities@treasury.gov.au</w:t>
        </w:r>
      </w:hyperlink>
      <w:r w:rsidR="003A4690" w:rsidRPr="009846C6">
        <w:rPr>
          <w:rFonts w:asciiTheme="minorHAnsi" w:hAnsiTheme="minorHAnsi"/>
          <w:szCs w:val="24"/>
        </w:rPr>
        <w:tab/>
      </w:r>
      <w:r w:rsidR="003A4690" w:rsidRPr="009846C6">
        <w:rPr>
          <w:rFonts w:asciiTheme="minorHAnsi" w:hAnsiTheme="minorHAnsi"/>
          <w:szCs w:val="24"/>
        </w:rPr>
        <w:tab/>
      </w:r>
      <w:r w:rsidR="003A4690" w:rsidRPr="009846C6">
        <w:rPr>
          <w:rFonts w:asciiTheme="minorHAnsi" w:hAnsiTheme="minorHAnsi"/>
          <w:szCs w:val="24"/>
        </w:rPr>
        <w:tab/>
      </w:r>
      <w:r w:rsidR="003A4690" w:rsidRPr="009846C6">
        <w:rPr>
          <w:rFonts w:asciiTheme="minorHAnsi" w:hAnsiTheme="minorHAnsi"/>
          <w:szCs w:val="24"/>
        </w:rPr>
        <w:tab/>
      </w:r>
      <w:r w:rsidR="00B76F10">
        <w:rPr>
          <w:rFonts w:asciiTheme="minorHAnsi" w:hAnsiTheme="minorHAnsi"/>
          <w:szCs w:val="24"/>
        </w:rPr>
        <w:tab/>
      </w:r>
      <w:r w:rsidR="00B76F10">
        <w:rPr>
          <w:rFonts w:asciiTheme="minorHAnsi" w:hAnsiTheme="minorHAnsi"/>
          <w:szCs w:val="24"/>
        </w:rPr>
        <w:tab/>
      </w:r>
      <w:r w:rsidR="002922DB">
        <w:rPr>
          <w:rFonts w:asciiTheme="minorHAnsi" w:hAnsiTheme="minorHAnsi"/>
          <w:szCs w:val="24"/>
        </w:rPr>
        <w:t>24</w:t>
      </w:r>
      <w:r w:rsidR="00B76F10">
        <w:rPr>
          <w:rFonts w:asciiTheme="minorHAnsi" w:hAnsiTheme="minorHAnsi"/>
          <w:szCs w:val="24"/>
        </w:rPr>
        <w:t xml:space="preserve"> April</w:t>
      </w:r>
      <w:r w:rsidR="003A4690" w:rsidRPr="009846C6">
        <w:rPr>
          <w:rFonts w:asciiTheme="minorHAnsi" w:hAnsiTheme="minorHAnsi"/>
          <w:szCs w:val="24"/>
        </w:rPr>
        <w:t xml:space="preserve"> 2013</w:t>
      </w:r>
    </w:p>
    <w:p w:rsidR="004B7C14" w:rsidRPr="009846C6" w:rsidRDefault="004B7C14" w:rsidP="005F31F9">
      <w:pPr>
        <w:rPr>
          <w:rFonts w:asciiTheme="minorHAnsi" w:hAnsiTheme="minorHAnsi"/>
          <w:szCs w:val="24"/>
        </w:rPr>
      </w:pPr>
    </w:p>
    <w:p w:rsidR="00426AC5" w:rsidRDefault="00426AC5" w:rsidP="005F31F9">
      <w:pPr>
        <w:rPr>
          <w:rFonts w:asciiTheme="minorHAnsi" w:hAnsiTheme="minorHAnsi"/>
          <w:szCs w:val="24"/>
        </w:rPr>
      </w:pPr>
    </w:p>
    <w:p w:rsidR="004B7C14" w:rsidRDefault="004B7C14" w:rsidP="005F31F9">
      <w:pPr>
        <w:rPr>
          <w:rFonts w:asciiTheme="minorHAnsi" w:hAnsiTheme="minorHAnsi"/>
          <w:szCs w:val="24"/>
        </w:rPr>
      </w:pPr>
      <w:r w:rsidRPr="009846C6">
        <w:rPr>
          <w:rFonts w:asciiTheme="minorHAnsi" w:hAnsiTheme="minorHAnsi"/>
          <w:szCs w:val="24"/>
        </w:rPr>
        <w:t>Dear Sir/Madam</w:t>
      </w:r>
    </w:p>
    <w:p w:rsidR="00B76F10" w:rsidRDefault="00B76F10" w:rsidP="005F31F9">
      <w:pPr>
        <w:rPr>
          <w:rFonts w:asciiTheme="minorHAnsi" w:hAnsiTheme="minorHAnsi"/>
          <w:szCs w:val="24"/>
        </w:rPr>
      </w:pPr>
    </w:p>
    <w:p w:rsidR="00B76F10" w:rsidRPr="009846C6" w:rsidRDefault="00B76F10" w:rsidP="005F31F9">
      <w:pPr>
        <w:rPr>
          <w:rFonts w:asciiTheme="minorHAnsi" w:hAnsiTheme="minorHAnsi"/>
          <w:szCs w:val="24"/>
        </w:rPr>
      </w:pPr>
      <w:r>
        <w:rPr>
          <w:rFonts w:asciiTheme="minorHAnsi" w:hAnsiTheme="minorHAnsi"/>
          <w:szCs w:val="24"/>
        </w:rPr>
        <w:t xml:space="preserve">Thank you for the opportunity to respond to the </w:t>
      </w:r>
      <w:r w:rsidRPr="00B76F10">
        <w:rPr>
          <w:rFonts w:asciiTheme="minorHAnsi" w:hAnsiTheme="minorHAnsi"/>
          <w:szCs w:val="24"/>
        </w:rPr>
        <w:t>consultation on the exposure draft legislation for a statutory definition of charity</w:t>
      </w:r>
      <w:r>
        <w:rPr>
          <w:rFonts w:asciiTheme="minorHAnsi" w:hAnsiTheme="minorHAnsi"/>
          <w:szCs w:val="24"/>
        </w:rPr>
        <w:t>.</w:t>
      </w:r>
    </w:p>
    <w:p w:rsidR="004B7C14" w:rsidRPr="009846C6" w:rsidRDefault="004B7C14" w:rsidP="004B7C14">
      <w:pPr>
        <w:rPr>
          <w:rFonts w:asciiTheme="minorHAnsi" w:hAnsiTheme="minorHAnsi"/>
          <w:szCs w:val="24"/>
        </w:rPr>
      </w:pPr>
    </w:p>
    <w:p w:rsidR="004B7C14" w:rsidRDefault="00B76F10" w:rsidP="004B7C14">
      <w:pPr>
        <w:rPr>
          <w:rFonts w:asciiTheme="minorHAnsi" w:hAnsiTheme="minorHAnsi"/>
          <w:szCs w:val="24"/>
        </w:rPr>
      </w:pPr>
      <w:r>
        <w:rPr>
          <w:rFonts w:asciiTheme="minorHAnsi" w:hAnsiTheme="minorHAnsi"/>
          <w:szCs w:val="24"/>
        </w:rPr>
        <w:t xml:space="preserve">We </w:t>
      </w:r>
      <w:r w:rsidR="0016484C">
        <w:rPr>
          <w:rFonts w:asciiTheme="minorHAnsi" w:hAnsiTheme="minorHAnsi"/>
          <w:szCs w:val="24"/>
        </w:rPr>
        <w:t>are pleased to note that the positions we advocated in 2011 during the consultation phase have been acknowledged—and we</w:t>
      </w:r>
      <w:r>
        <w:rPr>
          <w:rFonts w:asciiTheme="minorHAnsi" w:hAnsiTheme="minorHAnsi"/>
          <w:szCs w:val="24"/>
        </w:rPr>
        <w:t xml:space="preserve"> would like to thank the government for taking our thoughts on board</w:t>
      </w:r>
      <w:r w:rsidR="004B7C14" w:rsidRPr="009846C6">
        <w:rPr>
          <w:rFonts w:asciiTheme="minorHAnsi" w:hAnsiTheme="minorHAnsi"/>
          <w:szCs w:val="24"/>
        </w:rPr>
        <w:t>.</w:t>
      </w:r>
    </w:p>
    <w:p w:rsidR="00CB6280" w:rsidRDefault="00CB6280" w:rsidP="004B7C14">
      <w:pPr>
        <w:rPr>
          <w:rFonts w:asciiTheme="minorHAnsi" w:hAnsiTheme="minorHAnsi"/>
          <w:szCs w:val="24"/>
        </w:rPr>
      </w:pPr>
    </w:p>
    <w:p w:rsidR="00CB6280" w:rsidRDefault="00CB6280" w:rsidP="004B7C14">
      <w:pPr>
        <w:rPr>
          <w:rFonts w:asciiTheme="minorHAnsi" w:hAnsiTheme="minorHAnsi"/>
          <w:szCs w:val="24"/>
        </w:rPr>
      </w:pPr>
      <w:r>
        <w:rPr>
          <w:rFonts w:asciiTheme="minorHAnsi" w:hAnsiTheme="minorHAnsi"/>
          <w:szCs w:val="24"/>
        </w:rPr>
        <w:t>The new provisions that especially affect our members</w:t>
      </w:r>
      <w:r w:rsidR="00564ABC">
        <w:rPr>
          <w:rFonts w:asciiTheme="minorHAnsi" w:hAnsiTheme="minorHAnsi"/>
          <w:szCs w:val="24"/>
        </w:rPr>
        <w:t>, which we discussed in our previous submission,</w:t>
      </w:r>
      <w:r>
        <w:rPr>
          <w:rFonts w:asciiTheme="minorHAnsi" w:hAnsiTheme="minorHAnsi"/>
          <w:szCs w:val="24"/>
        </w:rPr>
        <w:t xml:space="preserve"> include:</w:t>
      </w:r>
    </w:p>
    <w:p w:rsidR="0016484C" w:rsidRDefault="0016484C" w:rsidP="004B7C14">
      <w:pPr>
        <w:rPr>
          <w:rFonts w:asciiTheme="minorHAnsi" w:hAnsiTheme="minorHAnsi"/>
          <w:szCs w:val="24"/>
        </w:rPr>
      </w:pPr>
    </w:p>
    <w:p w:rsidR="00CB6280" w:rsidRPr="00CB6280" w:rsidRDefault="00CB6280" w:rsidP="00AE5EC7">
      <w:pPr>
        <w:pStyle w:val="ListParagraph"/>
        <w:numPr>
          <w:ilvl w:val="0"/>
          <w:numId w:val="5"/>
        </w:numPr>
        <w:spacing w:after="240"/>
        <w:ind w:left="425" w:hanging="425"/>
        <w:contextualSpacing w:val="0"/>
        <w:rPr>
          <w:rFonts w:asciiTheme="minorHAnsi" w:hAnsiTheme="minorHAnsi"/>
          <w:szCs w:val="24"/>
        </w:rPr>
      </w:pPr>
      <w:r>
        <w:rPr>
          <w:rFonts w:asciiTheme="minorHAnsi" w:hAnsiTheme="minorHAnsi"/>
          <w:szCs w:val="24"/>
        </w:rPr>
        <w:t>Defining</w:t>
      </w:r>
      <w:r w:rsidR="00D86EAE" w:rsidRPr="00CB6280">
        <w:rPr>
          <w:rFonts w:asciiTheme="minorHAnsi" w:hAnsiTheme="minorHAnsi"/>
          <w:szCs w:val="24"/>
        </w:rPr>
        <w:t xml:space="preserve"> charity, based on over 400 years of common law</w:t>
      </w:r>
      <w:r w:rsidRPr="00CB6280">
        <w:rPr>
          <w:rFonts w:asciiTheme="minorHAnsi" w:hAnsiTheme="minorHAnsi"/>
          <w:szCs w:val="24"/>
        </w:rPr>
        <w:t>, with just minor modifications to provide greater clarity and certainty. For our members, and the wider performing arts sector, we are pleased that the definition of charitable purpose now includes an ‘advancing culture’ category, or any other purpose that is beneficial to the public and analogous to charitable purposes specified in the Act. The definition is further clarified in the explanatory memorandum which explains ‘advancing culture’ as:</w:t>
      </w:r>
    </w:p>
    <w:p w:rsidR="00CB6280" w:rsidRPr="00CB6280" w:rsidRDefault="00CB6280" w:rsidP="00CB6280">
      <w:pPr>
        <w:pStyle w:val="ListParagraph"/>
        <w:numPr>
          <w:ilvl w:val="0"/>
          <w:numId w:val="3"/>
        </w:numPr>
        <w:ind w:hanging="294"/>
        <w:rPr>
          <w:rFonts w:asciiTheme="minorHAnsi" w:hAnsiTheme="minorHAnsi"/>
          <w:szCs w:val="24"/>
        </w:rPr>
      </w:pPr>
      <w:r w:rsidRPr="00CB6280">
        <w:rPr>
          <w:rFonts w:asciiTheme="minorHAnsi" w:hAnsiTheme="minorHAnsi"/>
          <w:szCs w:val="24"/>
        </w:rPr>
        <w:t>increasing the public appreciation of arts, music or literature, national identity and heritage and includes</w:t>
      </w:r>
      <w:r w:rsidR="00AE5EC7">
        <w:rPr>
          <w:rFonts w:asciiTheme="minorHAnsi" w:hAnsiTheme="minorHAnsi"/>
          <w:szCs w:val="24"/>
        </w:rPr>
        <w:t>:</w:t>
      </w:r>
    </w:p>
    <w:p w:rsidR="00CB6280" w:rsidRPr="00CB6280" w:rsidRDefault="00CB6280" w:rsidP="00CB6280">
      <w:pPr>
        <w:pStyle w:val="ListParagraph"/>
        <w:numPr>
          <w:ilvl w:val="1"/>
          <w:numId w:val="4"/>
        </w:numPr>
        <w:rPr>
          <w:rFonts w:asciiTheme="minorHAnsi" w:hAnsiTheme="minorHAnsi"/>
          <w:szCs w:val="24"/>
        </w:rPr>
      </w:pPr>
      <w:r w:rsidRPr="00CB6280">
        <w:rPr>
          <w:rFonts w:asciiTheme="minorHAnsi" w:hAnsiTheme="minorHAnsi"/>
          <w:szCs w:val="24"/>
        </w:rPr>
        <w:t>the promotion and fostering of culture</w:t>
      </w:r>
      <w:r w:rsidR="00AE5EC7">
        <w:rPr>
          <w:rFonts w:asciiTheme="minorHAnsi" w:hAnsiTheme="minorHAnsi"/>
          <w:szCs w:val="24"/>
        </w:rPr>
        <w:t xml:space="preserve"> </w:t>
      </w:r>
    </w:p>
    <w:p w:rsidR="00CB6280" w:rsidRPr="00CB6280" w:rsidRDefault="00CB6280" w:rsidP="00564ABC">
      <w:pPr>
        <w:pStyle w:val="ListParagraph"/>
        <w:numPr>
          <w:ilvl w:val="1"/>
          <w:numId w:val="4"/>
        </w:numPr>
        <w:spacing w:after="240"/>
        <w:ind w:left="1434" w:hanging="357"/>
        <w:contextualSpacing w:val="0"/>
        <w:rPr>
          <w:rFonts w:ascii="Century Gothic" w:hAnsi="Century Gothic"/>
          <w:color w:val="000000"/>
        </w:rPr>
      </w:pPr>
      <w:r w:rsidRPr="00CB6280">
        <w:rPr>
          <w:rFonts w:asciiTheme="minorHAnsi" w:hAnsiTheme="minorHAnsi"/>
          <w:szCs w:val="24"/>
        </w:rPr>
        <w:t>the promotion of and participation in the arts, including literature music, the performing arts and visual arts.</w:t>
      </w:r>
    </w:p>
    <w:p w:rsidR="00CB6280" w:rsidRDefault="00CB6280" w:rsidP="00564ABC">
      <w:pPr>
        <w:pStyle w:val="ListParagraph"/>
        <w:numPr>
          <w:ilvl w:val="0"/>
          <w:numId w:val="5"/>
        </w:numPr>
        <w:spacing w:after="240"/>
        <w:ind w:left="425" w:hanging="425"/>
        <w:contextualSpacing w:val="0"/>
        <w:rPr>
          <w:rFonts w:asciiTheme="minorHAnsi" w:hAnsiTheme="minorHAnsi"/>
          <w:szCs w:val="24"/>
        </w:rPr>
      </w:pPr>
      <w:r>
        <w:rPr>
          <w:rFonts w:asciiTheme="minorHAnsi" w:hAnsiTheme="minorHAnsi"/>
          <w:szCs w:val="24"/>
        </w:rPr>
        <w:t xml:space="preserve">Specifying that an entity may engage in activities that are not intrinsically charitable provided the activities further or aid its charitable purpose. Many of our members </w:t>
      </w:r>
      <w:r w:rsidR="000164C5">
        <w:rPr>
          <w:rFonts w:asciiTheme="minorHAnsi" w:hAnsiTheme="minorHAnsi"/>
          <w:szCs w:val="24"/>
        </w:rPr>
        <w:t>carry out</w:t>
      </w:r>
      <w:r>
        <w:rPr>
          <w:rFonts w:asciiTheme="minorHAnsi" w:hAnsiTheme="minorHAnsi"/>
          <w:szCs w:val="24"/>
        </w:rPr>
        <w:t xml:space="preserve"> fundraising activities and other commercial activities that while not intrinsically charitable, do </w:t>
      </w:r>
      <w:r w:rsidRPr="000164C5">
        <w:rPr>
          <w:rFonts w:asciiTheme="minorHAnsi" w:hAnsiTheme="minorHAnsi"/>
          <w:i/>
          <w:szCs w:val="24"/>
        </w:rPr>
        <w:t>only</w:t>
      </w:r>
      <w:r>
        <w:rPr>
          <w:rFonts w:asciiTheme="minorHAnsi" w:hAnsiTheme="minorHAnsi"/>
          <w:szCs w:val="24"/>
        </w:rPr>
        <w:t xml:space="preserve"> contribute to their charitable purpose.</w:t>
      </w:r>
    </w:p>
    <w:p w:rsidR="00564ABC" w:rsidRDefault="00564ABC" w:rsidP="00564ABC">
      <w:pPr>
        <w:pStyle w:val="ListParagraph"/>
        <w:numPr>
          <w:ilvl w:val="0"/>
          <w:numId w:val="5"/>
        </w:numPr>
        <w:spacing w:after="240"/>
        <w:ind w:left="425" w:hanging="425"/>
        <w:contextualSpacing w:val="0"/>
        <w:rPr>
          <w:rFonts w:asciiTheme="minorHAnsi" w:hAnsiTheme="minorHAnsi"/>
          <w:szCs w:val="24"/>
        </w:rPr>
      </w:pPr>
      <w:r>
        <w:rPr>
          <w:rFonts w:asciiTheme="minorHAnsi" w:hAnsiTheme="minorHAnsi"/>
          <w:szCs w:val="24"/>
        </w:rPr>
        <w:t>That the same principles apply in determining charitable purpose to peak bodies established by charities to further their charitable purpose. This is important for AMPAG itself in continuing its work on behalf of its members.</w:t>
      </w:r>
    </w:p>
    <w:p w:rsidR="00564ABC" w:rsidRDefault="00564ABC" w:rsidP="00564ABC">
      <w:pPr>
        <w:pStyle w:val="ListParagraph"/>
        <w:numPr>
          <w:ilvl w:val="0"/>
          <w:numId w:val="5"/>
        </w:numPr>
        <w:spacing w:after="240"/>
        <w:ind w:left="425" w:hanging="425"/>
        <w:contextualSpacing w:val="0"/>
        <w:rPr>
          <w:rFonts w:asciiTheme="minorHAnsi" w:hAnsiTheme="minorHAnsi"/>
          <w:szCs w:val="24"/>
        </w:rPr>
      </w:pPr>
      <w:r>
        <w:rPr>
          <w:rFonts w:asciiTheme="minorHAnsi" w:hAnsiTheme="minorHAnsi"/>
          <w:szCs w:val="24"/>
        </w:rPr>
        <w:lastRenderedPageBreak/>
        <w:t>That even though entities cannot engage in partisan political activities, this does not mean that they cannot engage in policy debates, advocacy or lobbying to further their charitable purposes. This can include publishing comparisons of party policies and how they align with its charitable purpose. The explanatory memorandum also explains how generating public debate to influence legislation, government activities or policy to further or protect the charitable purpose, would also be considered charitable as long as it was not inconsistent with the rule of law.</w:t>
      </w:r>
    </w:p>
    <w:p w:rsidR="00564ABC" w:rsidRDefault="00564ABC" w:rsidP="00CB6280">
      <w:pPr>
        <w:pStyle w:val="ListParagraph"/>
        <w:numPr>
          <w:ilvl w:val="0"/>
          <w:numId w:val="5"/>
        </w:numPr>
        <w:ind w:left="426" w:hanging="426"/>
        <w:rPr>
          <w:rFonts w:asciiTheme="minorHAnsi" w:hAnsiTheme="minorHAnsi"/>
          <w:szCs w:val="24"/>
        </w:rPr>
      </w:pPr>
      <w:r>
        <w:rPr>
          <w:rFonts w:asciiTheme="minorHAnsi" w:hAnsiTheme="minorHAnsi"/>
          <w:szCs w:val="24"/>
        </w:rPr>
        <w:t>Recognising charity-like government entities as charities</w:t>
      </w:r>
      <w:r w:rsidR="000164C5">
        <w:rPr>
          <w:rFonts w:asciiTheme="minorHAnsi" w:hAnsiTheme="minorHAnsi"/>
          <w:szCs w:val="24"/>
        </w:rPr>
        <w:t>—the explanatory memorandum says: ‘Funding charity-like government entities does not prevent an entity from being charitable for the purposes of Commonwealth law.’ This affects</w:t>
      </w:r>
      <w:r w:rsidR="00AE5EC7">
        <w:rPr>
          <w:rFonts w:asciiTheme="minorHAnsi" w:hAnsiTheme="minorHAnsi"/>
          <w:szCs w:val="24"/>
        </w:rPr>
        <w:t xml:space="preserve"> one of our members.</w:t>
      </w:r>
    </w:p>
    <w:p w:rsidR="00CB6280" w:rsidRDefault="00CB6280" w:rsidP="004B7C14">
      <w:pPr>
        <w:rPr>
          <w:rFonts w:asciiTheme="minorHAnsi" w:hAnsiTheme="minorHAnsi"/>
          <w:szCs w:val="24"/>
        </w:rPr>
      </w:pPr>
    </w:p>
    <w:p w:rsidR="000164C5" w:rsidRDefault="000164C5" w:rsidP="004B7C14">
      <w:pPr>
        <w:rPr>
          <w:rFonts w:asciiTheme="minorHAnsi" w:hAnsiTheme="minorHAnsi"/>
          <w:szCs w:val="24"/>
        </w:rPr>
      </w:pPr>
      <w:r>
        <w:rPr>
          <w:rFonts w:asciiTheme="minorHAnsi" w:hAnsiTheme="minorHAnsi"/>
          <w:szCs w:val="24"/>
        </w:rPr>
        <w:t>We are delighted that, after a decade of discussion, the thorny issues surrounding the definition of charities have now been resolved.</w:t>
      </w:r>
    </w:p>
    <w:p w:rsidR="000164C5" w:rsidRDefault="000164C5" w:rsidP="004B7C14">
      <w:pPr>
        <w:rPr>
          <w:rFonts w:asciiTheme="minorHAnsi" w:hAnsiTheme="minorHAnsi"/>
          <w:szCs w:val="24"/>
        </w:rPr>
      </w:pPr>
    </w:p>
    <w:p w:rsidR="000164C5" w:rsidRDefault="000164C5" w:rsidP="004B7C14">
      <w:pPr>
        <w:rPr>
          <w:rFonts w:asciiTheme="minorHAnsi" w:hAnsiTheme="minorHAnsi"/>
          <w:szCs w:val="24"/>
        </w:rPr>
      </w:pPr>
      <w:r>
        <w:rPr>
          <w:rFonts w:asciiTheme="minorHAnsi" w:hAnsiTheme="minorHAnsi"/>
          <w:szCs w:val="24"/>
        </w:rPr>
        <w:t>Thank you again for the opportunity to advocate on behalf of our members.</w:t>
      </w:r>
    </w:p>
    <w:p w:rsidR="000164C5" w:rsidRDefault="000164C5" w:rsidP="004B7C14">
      <w:pPr>
        <w:rPr>
          <w:rFonts w:asciiTheme="minorHAnsi" w:hAnsiTheme="minorHAnsi"/>
          <w:szCs w:val="24"/>
        </w:rPr>
      </w:pPr>
    </w:p>
    <w:p w:rsidR="003A4690" w:rsidRPr="009846C6" w:rsidRDefault="003A4690" w:rsidP="004B7C14">
      <w:pPr>
        <w:rPr>
          <w:rFonts w:asciiTheme="minorHAnsi" w:hAnsiTheme="minorHAnsi"/>
          <w:szCs w:val="24"/>
        </w:rPr>
      </w:pPr>
      <w:r w:rsidRPr="009846C6">
        <w:rPr>
          <w:rFonts w:asciiTheme="minorHAnsi" w:hAnsiTheme="minorHAnsi"/>
          <w:szCs w:val="24"/>
        </w:rPr>
        <w:t>Yours sincerely</w:t>
      </w:r>
    </w:p>
    <w:p w:rsidR="003A4690" w:rsidRDefault="003A4690" w:rsidP="004B7C14">
      <w:pPr>
        <w:rPr>
          <w:rFonts w:asciiTheme="minorHAnsi" w:hAnsiTheme="minorHAnsi"/>
          <w:szCs w:val="24"/>
        </w:rPr>
      </w:pPr>
    </w:p>
    <w:p w:rsidR="00426AC5" w:rsidRDefault="00426AC5" w:rsidP="004B7C14">
      <w:pPr>
        <w:rPr>
          <w:rFonts w:asciiTheme="minorHAnsi" w:hAnsiTheme="minorHAnsi"/>
          <w:szCs w:val="24"/>
        </w:rPr>
      </w:pPr>
    </w:p>
    <w:p w:rsidR="00426AC5" w:rsidRPr="009846C6" w:rsidRDefault="00426AC5" w:rsidP="004B7C14">
      <w:pPr>
        <w:rPr>
          <w:rFonts w:asciiTheme="minorHAnsi" w:hAnsiTheme="minorHAnsi"/>
          <w:szCs w:val="24"/>
        </w:rPr>
      </w:pPr>
    </w:p>
    <w:p w:rsidR="003A4690" w:rsidRPr="009846C6" w:rsidRDefault="003A4690" w:rsidP="004B7C14">
      <w:pPr>
        <w:rPr>
          <w:rFonts w:asciiTheme="minorHAnsi" w:hAnsiTheme="minorHAnsi"/>
          <w:szCs w:val="24"/>
        </w:rPr>
      </w:pPr>
      <w:r w:rsidRPr="009846C6">
        <w:rPr>
          <w:rFonts w:asciiTheme="minorHAnsi" w:hAnsiTheme="minorHAnsi"/>
          <w:szCs w:val="24"/>
        </w:rPr>
        <w:t>Bethwyn Serow</w:t>
      </w:r>
    </w:p>
    <w:p w:rsidR="003A4690" w:rsidRPr="009846C6" w:rsidRDefault="003A4690" w:rsidP="004B7C14">
      <w:pPr>
        <w:rPr>
          <w:rFonts w:asciiTheme="minorHAnsi" w:hAnsiTheme="minorHAnsi"/>
          <w:szCs w:val="24"/>
        </w:rPr>
      </w:pPr>
      <w:r w:rsidRPr="009846C6">
        <w:rPr>
          <w:rFonts w:asciiTheme="minorHAnsi" w:hAnsiTheme="minorHAnsi"/>
          <w:szCs w:val="24"/>
        </w:rPr>
        <w:t>Executive Director</w:t>
      </w:r>
    </w:p>
    <w:p w:rsidR="003A4690" w:rsidRPr="009846C6" w:rsidRDefault="003A4690" w:rsidP="004B7C14">
      <w:pPr>
        <w:rPr>
          <w:rFonts w:asciiTheme="minorHAnsi" w:hAnsiTheme="minorHAnsi"/>
          <w:szCs w:val="24"/>
        </w:rPr>
      </w:pPr>
    </w:p>
    <w:p w:rsidR="000164C5" w:rsidRDefault="000164C5">
      <w:pPr>
        <w:spacing w:after="200" w:line="276" w:lineRule="auto"/>
        <w:rPr>
          <w:rFonts w:asciiTheme="minorHAnsi" w:hAnsiTheme="minorHAnsi" w:cs="Times New Roman"/>
          <w:b/>
          <w:szCs w:val="24"/>
        </w:rPr>
      </w:pPr>
    </w:p>
    <w:p w:rsidR="000164C5" w:rsidRDefault="000164C5">
      <w:pPr>
        <w:spacing w:after="200" w:line="276" w:lineRule="auto"/>
        <w:rPr>
          <w:rFonts w:asciiTheme="minorHAnsi" w:hAnsiTheme="minorHAnsi" w:cs="Times New Roman"/>
          <w:b/>
          <w:szCs w:val="24"/>
        </w:rPr>
      </w:pPr>
      <w:r>
        <w:rPr>
          <w:rFonts w:asciiTheme="minorHAnsi" w:hAnsiTheme="minorHAnsi" w:cs="Times New Roman"/>
          <w:b/>
          <w:szCs w:val="24"/>
        </w:rPr>
        <w:t>Who we are</w:t>
      </w:r>
    </w:p>
    <w:p w:rsidR="000164C5" w:rsidRPr="009846C6" w:rsidRDefault="000164C5" w:rsidP="000164C5">
      <w:pPr>
        <w:rPr>
          <w:rFonts w:asciiTheme="minorHAnsi" w:hAnsiTheme="minorHAnsi"/>
          <w:szCs w:val="24"/>
        </w:rPr>
      </w:pPr>
      <w:r w:rsidRPr="009846C6">
        <w:rPr>
          <w:rFonts w:asciiTheme="minorHAnsi" w:hAnsiTheme="minorHAnsi"/>
          <w:szCs w:val="24"/>
        </w:rPr>
        <w:t>AMPAG, established in 1999, is the peak body for Australia’s major performing arts companies and by default for the wider cross section of the subsidized small to medium performing arts industry. Our core membership comprises 28 not-for-profit companies ranging in size from Opera Australia and the Sydney Symphony Orchestra to mid-sized companies like Australian Chamber Orchestra and Queensland Theatre Company and smaller ones such as the West Australian Ballet and State Theatre Company of SA</w:t>
      </w:r>
      <w:r>
        <w:rPr>
          <w:rFonts w:asciiTheme="minorHAnsi" w:hAnsiTheme="minorHAnsi"/>
          <w:szCs w:val="24"/>
        </w:rPr>
        <w:t>—see Appendix A</w:t>
      </w:r>
      <w:r w:rsidRPr="009846C6">
        <w:rPr>
          <w:rFonts w:asciiTheme="minorHAnsi" w:hAnsiTheme="minorHAnsi"/>
          <w:szCs w:val="24"/>
        </w:rPr>
        <w:t>.</w:t>
      </w:r>
    </w:p>
    <w:p w:rsidR="000164C5" w:rsidRPr="009846C6" w:rsidRDefault="000164C5" w:rsidP="000164C5">
      <w:pPr>
        <w:rPr>
          <w:rFonts w:asciiTheme="minorHAnsi" w:hAnsiTheme="minorHAnsi"/>
          <w:szCs w:val="24"/>
        </w:rPr>
      </w:pPr>
    </w:p>
    <w:p w:rsidR="00426AC5" w:rsidRDefault="00426AC5">
      <w:pPr>
        <w:spacing w:after="200" w:line="276" w:lineRule="auto"/>
        <w:rPr>
          <w:rFonts w:asciiTheme="minorHAnsi" w:hAnsiTheme="minorHAnsi" w:cs="Times New Roman"/>
          <w:b/>
          <w:szCs w:val="24"/>
        </w:rPr>
      </w:pPr>
      <w:r>
        <w:rPr>
          <w:rFonts w:asciiTheme="minorHAnsi" w:hAnsiTheme="minorHAnsi" w:cs="Times New Roman"/>
          <w:b/>
          <w:szCs w:val="24"/>
        </w:rPr>
        <w:br w:type="page"/>
      </w:r>
    </w:p>
    <w:p w:rsidR="003A4690" w:rsidRPr="009846C6" w:rsidRDefault="003A4690" w:rsidP="003A4690">
      <w:pPr>
        <w:autoSpaceDE w:val="0"/>
        <w:autoSpaceDN w:val="0"/>
        <w:adjustRightInd w:val="0"/>
        <w:outlineLvl w:val="0"/>
        <w:rPr>
          <w:rFonts w:asciiTheme="minorHAnsi" w:hAnsiTheme="minorHAnsi" w:cs="Times New Roman"/>
          <w:b/>
          <w:szCs w:val="24"/>
        </w:rPr>
      </w:pPr>
      <w:r w:rsidRPr="009846C6">
        <w:rPr>
          <w:rFonts w:asciiTheme="minorHAnsi" w:hAnsiTheme="minorHAnsi" w:cs="Times New Roman"/>
          <w:b/>
          <w:szCs w:val="24"/>
        </w:rPr>
        <w:lastRenderedPageBreak/>
        <w:t xml:space="preserve">Appendix A: List of AMPAG </w:t>
      </w:r>
      <w:r w:rsidR="000164C5" w:rsidRPr="009846C6">
        <w:rPr>
          <w:rFonts w:asciiTheme="minorHAnsi" w:hAnsiTheme="minorHAnsi" w:cs="Times New Roman"/>
          <w:b/>
          <w:szCs w:val="24"/>
        </w:rPr>
        <w:t xml:space="preserve">member companies </w:t>
      </w:r>
      <w:r w:rsidR="000164C5">
        <w:rPr>
          <w:rFonts w:asciiTheme="minorHAnsi" w:hAnsiTheme="minorHAnsi" w:cs="Times New Roman"/>
          <w:b/>
          <w:szCs w:val="24"/>
        </w:rPr>
        <w:t>and</w:t>
      </w:r>
      <w:r w:rsidRPr="009846C6">
        <w:rPr>
          <w:rFonts w:asciiTheme="minorHAnsi" w:hAnsiTheme="minorHAnsi" w:cs="Times New Roman"/>
          <w:b/>
          <w:szCs w:val="24"/>
        </w:rPr>
        <w:t xml:space="preserve"> their location</w:t>
      </w:r>
    </w:p>
    <w:p w:rsidR="003A4690" w:rsidRPr="009846C6" w:rsidRDefault="003A4690" w:rsidP="003A4690">
      <w:pPr>
        <w:outlineLvl w:val="0"/>
        <w:rPr>
          <w:rFonts w:asciiTheme="minorHAnsi" w:hAnsiTheme="minorHAnsi" w:cs="Times New Roman"/>
          <w:b/>
          <w:szCs w:val="24"/>
        </w:rPr>
      </w:pPr>
    </w:p>
    <w:tbl>
      <w:tblPr>
        <w:tblW w:w="0" w:type="auto"/>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2454"/>
        <w:gridCol w:w="1742"/>
      </w:tblGrid>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Adelaide Symphony Orchestra</w:t>
            </w:r>
          </w:p>
        </w:tc>
        <w:tc>
          <w:tcPr>
            <w:tcW w:w="2454" w:type="dxa"/>
            <w:tcBorders>
              <w:top w:val="nil"/>
              <w:left w:val="nil"/>
              <w:bottom w:val="nil"/>
              <w:right w:val="nil"/>
            </w:tcBorders>
            <w:vAlign w:val="center"/>
          </w:tcPr>
          <w:p w:rsidR="003A4690" w:rsidRPr="009846C6" w:rsidRDefault="003A4690" w:rsidP="009846C6">
            <w:pPr>
              <w:ind w:right="-453"/>
              <w:jc w:val="both"/>
              <w:rPr>
                <w:rFonts w:asciiTheme="minorHAnsi" w:hAnsiTheme="minorHAnsi" w:cs="Times New Roman"/>
                <w:szCs w:val="24"/>
              </w:rPr>
            </w:pPr>
            <w:r w:rsidRPr="009846C6">
              <w:rPr>
                <w:rFonts w:asciiTheme="minorHAnsi" w:hAnsiTheme="minorHAnsi" w:cs="Times New Roman"/>
                <w:szCs w:val="24"/>
              </w:rPr>
              <w:t>South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Australian Brandenburg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Australian Chamber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Bangarra Dance Theatre</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 xml:space="preserve">Bell Shakespeare </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Belvoir</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Black Swan State Theatre Company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Western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Circus Oz</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Malthouse Theatre</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Melbourne Symphony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Melbourne Theatre Company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Musica Viva Australia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Opera Australia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Opera Queensland</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Orchestra Victoria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 Ballet</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 xml:space="preserve">Queensland </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 Symphony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 Theatre Company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Queensland</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 xml:space="preserve">State Opera South Australia </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South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State Theatre Company of South Australia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South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Sydney Dance Company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Sydney Symphony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Sydney Theatre Company</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New South Wales</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The Australian Ballet</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Victoria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Tasmanian Symphony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Tasmania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Western Australian Ballet</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Western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 Australian Opera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Western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r w:rsidR="003A4690" w:rsidRPr="009846C6" w:rsidTr="009846C6">
        <w:trPr>
          <w:trHeight w:val="397"/>
          <w:jc w:val="center"/>
        </w:trPr>
        <w:tc>
          <w:tcPr>
            <w:tcW w:w="4969"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 Australian Symphony Orchestra</w:t>
            </w:r>
          </w:p>
        </w:tc>
        <w:tc>
          <w:tcPr>
            <w:tcW w:w="2454"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r w:rsidRPr="009846C6">
              <w:rPr>
                <w:rFonts w:asciiTheme="minorHAnsi" w:hAnsiTheme="minorHAnsi" w:cs="Times New Roman"/>
                <w:szCs w:val="24"/>
              </w:rPr>
              <w:t>Western Australia</w:t>
            </w:r>
          </w:p>
        </w:tc>
        <w:tc>
          <w:tcPr>
            <w:tcW w:w="1742" w:type="dxa"/>
            <w:tcBorders>
              <w:top w:val="nil"/>
              <w:left w:val="nil"/>
              <w:bottom w:val="nil"/>
              <w:right w:val="nil"/>
            </w:tcBorders>
            <w:vAlign w:val="center"/>
          </w:tcPr>
          <w:p w:rsidR="003A4690" w:rsidRPr="009846C6" w:rsidRDefault="003A4690" w:rsidP="009846C6">
            <w:pPr>
              <w:jc w:val="both"/>
              <w:rPr>
                <w:rFonts w:asciiTheme="minorHAnsi" w:hAnsiTheme="minorHAnsi" w:cs="Times New Roman"/>
                <w:szCs w:val="24"/>
              </w:rPr>
            </w:pPr>
          </w:p>
        </w:tc>
      </w:tr>
    </w:tbl>
    <w:p w:rsidR="003A4690" w:rsidRPr="009846C6" w:rsidRDefault="003A4690" w:rsidP="003A4690">
      <w:pPr>
        <w:rPr>
          <w:rFonts w:asciiTheme="minorHAnsi" w:hAnsiTheme="minorHAnsi" w:cs="Times New Roman"/>
          <w:szCs w:val="24"/>
          <w:u w:val="single"/>
        </w:rPr>
      </w:pPr>
      <w:r w:rsidRPr="009846C6">
        <w:rPr>
          <w:rFonts w:asciiTheme="minorHAnsi" w:hAnsiTheme="minorHAnsi" w:cs="Times New Roman"/>
          <w:szCs w:val="24"/>
          <w:u w:val="single"/>
        </w:rPr>
        <w:t xml:space="preserve"> </w:t>
      </w:r>
    </w:p>
    <w:p w:rsidR="003A4690" w:rsidRPr="009846C6" w:rsidRDefault="003A4690" w:rsidP="004B7C14">
      <w:pPr>
        <w:rPr>
          <w:rFonts w:asciiTheme="minorHAnsi" w:hAnsiTheme="minorHAnsi"/>
          <w:szCs w:val="24"/>
        </w:rPr>
      </w:pPr>
    </w:p>
    <w:p w:rsidR="009846C6" w:rsidRPr="009846C6" w:rsidRDefault="009846C6">
      <w:pPr>
        <w:rPr>
          <w:rFonts w:asciiTheme="minorHAnsi" w:hAnsiTheme="minorHAnsi"/>
          <w:szCs w:val="24"/>
        </w:rPr>
      </w:pPr>
    </w:p>
    <w:sectPr w:rsidR="009846C6" w:rsidRPr="009846C6" w:rsidSect="002B766A">
      <w:headerReference w:type="even" r:id="rId10"/>
      <w:headerReference w:type="default" r:id="rId11"/>
      <w:footerReference w:type="default" r:id="rId12"/>
      <w:headerReference w:type="first" r:id="rId13"/>
      <w:footerReference w:type="first" r:id="rId14"/>
      <w:pgSz w:w="11906" w:h="16838"/>
      <w:pgMar w:top="1702" w:right="1416" w:bottom="1440" w:left="1418" w:header="1134" w:footer="2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4C5" w:rsidRDefault="000164C5" w:rsidP="00F9679F">
      <w:r>
        <w:separator/>
      </w:r>
    </w:p>
  </w:endnote>
  <w:endnote w:type="continuationSeparator" w:id="0">
    <w:p w:rsidR="000164C5" w:rsidRDefault="000164C5" w:rsidP="00F9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Pr="00602509" w:rsidRDefault="000164C5" w:rsidP="00C636D6">
    <w:pPr>
      <w:pStyle w:val="Footer"/>
      <w:jc w:val="center"/>
      <w:rPr>
        <w:sz w:val="16"/>
        <w:szCs w:val="16"/>
      </w:rPr>
    </w:pPr>
    <w:r w:rsidRPr="00602509">
      <w:rPr>
        <w:rFonts w:ascii="Century Gothic" w:eastAsia="Calibri" w:hAnsi="Century Gothic" w:cs="Times New Roman"/>
        <w:noProof/>
        <w:sz w:val="16"/>
        <w:szCs w:val="16"/>
        <w:lang w:eastAsia="en-AU"/>
      </w:rPr>
      <w:t>AUSTRALIAN MAJOR PERFORMING ARTS GROUP</w:t>
    </w:r>
  </w:p>
  <w:p w:rsidR="000164C5" w:rsidRDefault="000164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Pr="00602509" w:rsidRDefault="000164C5" w:rsidP="00C636D6">
    <w:pPr>
      <w:pStyle w:val="Footer"/>
      <w:jc w:val="center"/>
      <w:rPr>
        <w:rFonts w:ascii="Century Gothic" w:hAnsi="Century Gothic"/>
        <w:sz w:val="16"/>
        <w:szCs w:val="16"/>
      </w:rPr>
    </w:pPr>
    <w:r w:rsidRPr="00602509">
      <w:rPr>
        <w:rFonts w:ascii="Century Gothic" w:hAnsi="Century Gothic"/>
        <w:sz w:val="16"/>
        <w:szCs w:val="16"/>
      </w:rPr>
      <w:t>Level 3, 10 Hickson Road</w:t>
    </w:r>
    <w:r>
      <w:rPr>
        <w:rFonts w:ascii="Century Gothic" w:hAnsi="Century Gothic"/>
        <w:sz w:val="16"/>
        <w:szCs w:val="16"/>
      </w:rPr>
      <w:t>,</w:t>
    </w:r>
    <w:r w:rsidRPr="00602509">
      <w:rPr>
        <w:rFonts w:ascii="Century Gothic" w:hAnsi="Century Gothic"/>
        <w:sz w:val="16"/>
        <w:szCs w:val="16"/>
      </w:rPr>
      <w:t xml:space="preserve"> The Rocks, NSW 2000</w:t>
    </w:r>
  </w:p>
  <w:p w:rsidR="000164C5" w:rsidRPr="00602509" w:rsidRDefault="000164C5" w:rsidP="00C636D6">
    <w:pPr>
      <w:pStyle w:val="Footer"/>
      <w:jc w:val="center"/>
      <w:rPr>
        <w:rFonts w:ascii="Century Gothic" w:hAnsi="Century Gothic"/>
        <w:sz w:val="16"/>
        <w:szCs w:val="16"/>
      </w:rPr>
    </w:pPr>
    <w:r w:rsidRPr="00602509">
      <w:rPr>
        <w:rFonts w:ascii="Century Gothic" w:hAnsi="Century Gothic"/>
        <w:sz w:val="16"/>
        <w:szCs w:val="16"/>
      </w:rPr>
      <w:t>P.O Box R1965 Royal Exchange NSW 1225 Australia</w:t>
    </w:r>
  </w:p>
  <w:p w:rsidR="000164C5" w:rsidRPr="00602509" w:rsidRDefault="000164C5" w:rsidP="00C636D6">
    <w:pPr>
      <w:pStyle w:val="Footer"/>
      <w:jc w:val="center"/>
      <w:rPr>
        <w:rFonts w:ascii="Century Gothic" w:hAnsi="Century Gothic"/>
        <w:sz w:val="16"/>
        <w:szCs w:val="16"/>
      </w:rPr>
    </w:pPr>
    <w:r w:rsidRPr="00602509">
      <w:rPr>
        <w:rFonts w:ascii="Century Gothic" w:hAnsi="Century Gothic"/>
        <w:sz w:val="16"/>
        <w:szCs w:val="16"/>
      </w:rPr>
      <w:t>p 02 9253 5351 | f 02 9253 5301 | ampag@ampag.com.au</w:t>
    </w:r>
  </w:p>
  <w:p w:rsidR="000164C5" w:rsidRDefault="0001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4C5" w:rsidRDefault="000164C5" w:rsidP="00F9679F">
      <w:r>
        <w:separator/>
      </w:r>
    </w:p>
  </w:footnote>
  <w:footnote w:type="continuationSeparator" w:id="0">
    <w:p w:rsidR="000164C5" w:rsidRDefault="000164C5" w:rsidP="00F96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Default="000164C5">
    <w:pPr>
      <w:pStyle w:val="Header"/>
      <w:jc w:val="right"/>
    </w:pPr>
  </w:p>
  <w:p w:rsidR="000164C5" w:rsidRDefault="00016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Default="000164C5" w:rsidP="00122135">
    <w:pPr>
      <w:pStyle w:val="Header"/>
      <w:tabs>
        <w:tab w:val="clear" w:pos="9026"/>
        <w:tab w:val="right" w:pos="9639"/>
      </w:tabs>
      <w:jc w:val="right"/>
    </w:pPr>
  </w:p>
  <w:p w:rsidR="000164C5" w:rsidRPr="00996B01" w:rsidRDefault="000164C5" w:rsidP="00996B01">
    <w:pPr>
      <w:pStyle w:val="Header"/>
      <w:tabs>
        <w:tab w:val="clear" w:pos="9026"/>
        <w:tab w:val="right" w:pos="8647"/>
      </w:tabs>
      <w:jc w:val="center"/>
      <w:rPr>
        <w:rFonts w:ascii="Century Gothic" w:hAnsi="Century Gothic"/>
        <w:b/>
        <w:sz w:val="12"/>
        <w:szCs w:val="12"/>
      </w:rPr>
    </w:pPr>
    <w:r>
      <w:rPr>
        <w:rFonts w:ascii="Century Gothic" w:hAnsi="Century Gothic"/>
        <w:sz w:val="10"/>
        <w:szCs w:val="10"/>
      </w:rPr>
      <w:tab/>
    </w:r>
    <w:r>
      <w:rPr>
        <w:rFonts w:ascii="Century Gothic" w:hAnsi="Century Gothic"/>
        <w:sz w:val="10"/>
        <w:szCs w:val="1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C5" w:rsidRDefault="000164C5" w:rsidP="00CF2017">
    <w:pPr>
      <w:pStyle w:val="Header"/>
      <w:jc w:val="right"/>
    </w:pPr>
    <w:r w:rsidRPr="00CF2017">
      <w:rPr>
        <w:rFonts w:ascii="Century Gothic" w:hAnsi="Century Gothic"/>
        <w:noProof/>
        <w:sz w:val="10"/>
        <w:szCs w:val="10"/>
        <w:lang w:val="en-US"/>
      </w:rPr>
      <mc:AlternateContent>
        <mc:Choice Requires="wps">
          <w:drawing>
            <wp:anchor distT="0" distB="0" distL="114300" distR="114300" simplePos="0" relativeHeight="251661312" behindDoc="0" locked="0" layoutInCell="1" allowOverlap="1" wp14:anchorId="2CEB40D9" wp14:editId="582390E2">
              <wp:simplePos x="0" y="0"/>
              <wp:positionH relativeFrom="column">
                <wp:posOffset>4252277</wp:posOffset>
              </wp:positionH>
              <wp:positionV relativeFrom="paragraph">
                <wp:posOffset>1080135</wp:posOffset>
              </wp:positionV>
              <wp:extent cx="1671637" cy="21209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637" cy="212090"/>
                      </a:xfrm>
                      <a:prstGeom prst="rect">
                        <a:avLst/>
                      </a:prstGeom>
                      <a:solidFill>
                        <a:srgbClr val="FFFFFF"/>
                      </a:solidFill>
                      <a:ln w="9525">
                        <a:noFill/>
                        <a:miter lim="800000"/>
                        <a:headEnd/>
                        <a:tailEnd/>
                      </a:ln>
                    </wps:spPr>
                    <wps:txbx>
                      <w:txbxContent>
                        <w:p w:rsidR="000164C5" w:rsidRPr="00181CFB" w:rsidRDefault="000164C5" w:rsidP="00CF2017">
                          <w:pPr>
                            <w:rPr>
                              <w:rFonts w:ascii="Century Gothic" w:hAnsi="Century Gothic"/>
                              <w:b/>
                              <w:sz w:val="10"/>
                              <w:szCs w:val="10"/>
                            </w:rPr>
                          </w:pPr>
                          <w:r w:rsidRPr="00181CFB">
                            <w:rPr>
                              <w:rFonts w:ascii="Century Gothic" w:hAnsi="Century Gothic"/>
                              <w:b/>
                              <w:sz w:val="10"/>
                              <w:szCs w:val="10"/>
                            </w:rPr>
                            <w:t>AUSTRALIAN MAJOR PERFORMING ARTS GROUP</w:t>
                          </w:r>
                        </w:p>
                        <w:p w:rsidR="000164C5" w:rsidRPr="00181CFB" w:rsidRDefault="000164C5" w:rsidP="00CF2017">
                          <w:pPr>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4.8pt;margin-top:85.05pt;width:131.6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" stroked="f">
              <v:textbox>
                <w:txbxContent>
                  <w:p w:rsidR="000164C5" w:rsidRPr="00181CFB" w:rsidRDefault="000164C5" w:rsidP="00CF2017">
                    <w:pPr>
                      <w:rPr>
                        <w:rFonts w:ascii="Century Gothic" w:hAnsi="Century Gothic"/>
                        <w:b/>
                        <w:sz w:val="10"/>
                        <w:szCs w:val="10"/>
                      </w:rPr>
                    </w:pPr>
                    <w:r w:rsidRPr="00181CFB">
                      <w:rPr>
                        <w:rFonts w:ascii="Century Gothic" w:hAnsi="Century Gothic"/>
                        <w:b/>
                        <w:sz w:val="10"/>
                        <w:szCs w:val="10"/>
                      </w:rPr>
                      <w:t>AUSTRALIAN MAJOR PERFORMING ARTS GROUP</w:t>
                    </w:r>
                  </w:p>
                  <w:p w:rsidR="000164C5" w:rsidRPr="00181CFB" w:rsidRDefault="000164C5" w:rsidP="00CF2017">
                    <w:pPr>
                      <w:rPr>
                        <w:sz w:val="10"/>
                        <w:szCs w:val="10"/>
                      </w:rPr>
                    </w:pPr>
                  </w:p>
                </w:txbxContent>
              </v:textbox>
            </v:shape>
          </w:pict>
        </mc:Fallback>
      </mc:AlternateContent>
    </w:r>
    <w:r>
      <w:rPr>
        <w:noProof/>
        <w:lang w:val="en-US"/>
      </w:rPr>
      <w:drawing>
        <wp:inline distT="0" distB="0" distL="0" distR="0" wp14:anchorId="677A15F3" wp14:editId="51A9020A">
          <wp:extent cx="1414462" cy="10574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AG PRIMARY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462" cy="1057478"/>
                  </a:xfrm>
                  <a:prstGeom prst="rect">
                    <a:avLst/>
                  </a:prstGeom>
                </pic:spPr>
              </pic:pic>
            </a:graphicData>
          </a:graphic>
        </wp:inline>
      </w:drawing>
    </w:r>
  </w:p>
  <w:p w:rsidR="000164C5" w:rsidRDefault="000164C5" w:rsidP="00CF2017">
    <w:pPr>
      <w:pStyle w:val="Header"/>
      <w:jc w:val="right"/>
    </w:pPr>
  </w:p>
  <w:p w:rsidR="000164C5" w:rsidRDefault="000164C5" w:rsidP="00CF20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31C"/>
    <w:multiLevelType w:val="hybridMultilevel"/>
    <w:tmpl w:val="63E6F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BB73C3"/>
    <w:multiLevelType w:val="hybridMultilevel"/>
    <w:tmpl w:val="82B85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8FD1D2E"/>
    <w:multiLevelType w:val="hybridMultilevel"/>
    <w:tmpl w:val="30B61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12339D4"/>
    <w:multiLevelType w:val="hybridMultilevel"/>
    <w:tmpl w:val="8B4C5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FB25C85"/>
    <w:multiLevelType w:val="hybridMultilevel"/>
    <w:tmpl w:val="A7CE32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9F"/>
    <w:rsid w:val="000164C5"/>
    <w:rsid w:val="000D6E54"/>
    <w:rsid w:val="0010524C"/>
    <w:rsid w:val="00122135"/>
    <w:rsid w:val="0014336A"/>
    <w:rsid w:val="0016484C"/>
    <w:rsid w:val="00181CFB"/>
    <w:rsid w:val="001E1BD8"/>
    <w:rsid w:val="001E4570"/>
    <w:rsid w:val="002922DB"/>
    <w:rsid w:val="002B766A"/>
    <w:rsid w:val="00311E78"/>
    <w:rsid w:val="003A4690"/>
    <w:rsid w:val="00426AC5"/>
    <w:rsid w:val="004B7C14"/>
    <w:rsid w:val="00564ABC"/>
    <w:rsid w:val="005C46F7"/>
    <w:rsid w:val="005C6C7A"/>
    <w:rsid w:val="005F31F9"/>
    <w:rsid w:val="00602509"/>
    <w:rsid w:val="00624367"/>
    <w:rsid w:val="00873357"/>
    <w:rsid w:val="0089735C"/>
    <w:rsid w:val="008D509C"/>
    <w:rsid w:val="00966C4B"/>
    <w:rsid w:val="009846C6"/>
    <w:rsid w:val="0099369C"/>
    <w:rsid w:val="00996B01"/>
    <w:rsid w:val="00A06A41"/>
    <w:rsid w:val="00A5295D"/>
    <w:rsid w:val="00AE5EC7"/>
    <w:rsid w:val="00B76F10"/>
    <w:rsid w:val="00BA5D55"/>
    <w:rsid w:val="00BB0452"/>
    <w:rsid w:val="00BC567E"/>
    <w:rsid w:val="00C27353"/>
    <w:rsid w:val="00C41FB5"/>
    <w:rsid w:val="00C636D6"/>
    <w:rsid w:val="00C76127"/>
    <w:rsid w:val="00CB6280"/>
    <w:rsid w:val="00CE2804"/>
    <w:rsid w:val="00CF2017"/>
    <w:rsid w:val="00D00EC4"/>
    <w:rsid w:val="00D348FD"/>
    <w:rsid w:val="00D36DA5"/>
    <w:rsid w:val="00D86EAE"/>
    <w:rsid w:val="00DC58C0"/>
    <w:rsid w:val="00EB21C0"/>
    <w:rsid w:val="00EB2462"/>
    <w:rsid w:val="00ED7A07"/>
    <w:rsid w:val="00F9679F"/>
    <w:rsid w:val="00FA7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llet"/>
    <w:qFormat/>
    <w:rsid w:val="001E4570"/>
    <w:pPr>
      <w:spacing w:after="0" w:line="240" w:lineRule="auto"/>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79F"/>
    <w:rPr>
      <w:rFonts w:ascii="Tahoma" w:hAnsi="Tahoma" w:cs="Tahoma"/>
      <w:sz w:val="16"/>
      <w:szCs w:val="16"/>
    </w:rPr>
  </w:style>
  <w:style w:type="character" w:customStyle="1" w:styleId="BalloonTextChar">
    <w:name w:val="Balloon Text Char"/>
    <w:basedOn w:val="DefaultParagraphFont"/>
    <w:link w:val="BalloonText"/>
    <w:uiPriority w:val="99"/>
    <w:semiHidden/>
    <w:rsid w:val="00F9679F"/>
    <w:rPr>
      <w:rFonts w:ascii="Tahoma" w:hAnsi="Tahoma" w:cs="Tahoma"/>
      <w:sz w:val="16"/>
      <w:szCs w:val="16"/>
    </w:rPr>
  </w:style>
  <w:style w:type="paragraph" w:styleId="Header">
    <w:name w:val="header"/>
    <w:basedOn w:val="Normal"/>
    <w:link w:val="HeaderChar"/>
    <w:uiPriority w:val="99"/>
    <w:unhideWhenUsed/>
    <w:rsid w:val="00F9679F"/>
    <w:pPr>
      <w:tabs>
        <w:tab w:val="center" w:pos="4513"/>
        <w:tab w:val="right" w:pos="9026"/>
      </w:tabs>
    </w:pPr>
    <w:rPr>
      <w:rFonts w:asciiTheme="minorHAnsi" w:hAnsiTheme="minorHAnsi"/>
      <w:sz w:val="22"/>
    </w:rPr>
  </w:style>
  <w:style w:type="character" w:customStyle="1" w:styleId="HeaderChar">
    <w:name w:val="Header Char"/>
    <w:basedOn w:val="DefaultParagraphFont"/>
    <w:link w:val="Header"/>
    <w:uiPriority w:val="99"/>
    <w:rsid w:val="00F9679F"/>
  </w:style>
  <w:style w:type="paragraph" w:styleId="Footer">
    <w:name w:val="footer"/>
    <w:basedOn w:val="Normal"/>
    <w:link w:val="FooterChar"/>
    <w:uiPriority w:val="99"/>
    <w:unhideWhenUsed/>
    <w:rsid w:val="00F9679F"/>
    <w:pPr>
      <w:tabs>
        <w:tab w:val="center" w:pos="4513"/>
        <w:tab w:val="right" w:pos="9026"/>
      </w:tabs>
    </w:pPr>
    <w:rPr>
      <w:rFonts w:asciiTheme="minorHAnsi" w:hAnsiTheme="minorHAnsi"/>
      <w:sz w:val="22"/>
    </w:rPr>
  </w:style>
  <w:style w:type="character" w:customStyle="1" w:styleId="FooterChar">
    <w:name w:val="Footer Char"/>
    <w:basedOn w:val="DefaultParagraphFont"/>
    <w:link w:val="Footer"/>
    <w:uiPriority w:val="99"/>
    <w:rsid w:val="00F9679F"/>
  </w:style>
  <w:style w:type="character" w:styleId="Hyperlink">
    <w:name w:val="Hyperlink"/>
    <w:basedOn w:val="DefaultParagraphFont"/>
    <w:uiPriority w:val="99"/>
    <w:unhideWhenUsed/>
    <w:rsid w:val="00C76127"/>
    <w:rPr>
      <w:color w:val="0000FF" w:themeColor="hyperlink"/>
      <w:u w:val="single"/>
    </w:rPr>
  </w:style>
  <w:style w:type="paragraph" w:customStyle="1" w:styleId="default">
    <w:name w:val="default"/>
    <w:basedOn w:val="Normal"/>
    <w:uiPriority w:val="99"/>
    <w:rsid w:val="00B76F10"/>
    <w:pPr>
      <w:autoSpaceDE w:val="0"/>
      <w:autoSpaceDN w:val="0"/>
    </w:pPr>
    <w:rPr>
      <w:rFonts w:ascii="Times New Roman" w:hAnsi="Times New Roman" w:cs="Times New Roman"/>
      <w:color w:val="000000"/>
      <w:szCs w:val="24"/>
      <w:lang w:eastAsia="en-AU"/>
    </w:rPr>
  </w:style>
  <w:style w:type="paragraph" w:styleId="ListParagraph">
    <w:name w:val="List Paragraph"/>
    <w:basedOn w:val="Normal"/>
    <w:uiPriority w:val="34"/>
    <w:qFormat/>
    <w:rsid w:val="00CB6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allet"/>
    <w:qFormat/>
    <w:rsid w:val="001E4570"/>
    <w:pPr>
      <w:spacing w:after="0" w:line="240" w:lineRule="auto"/>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79F"/>
    <w:rPr>
      <w:rFonts w:ascii="Tahoma" w:hAnsi="Tahoma" w:cs="Tahoma"/>
      <w:sz w:val="16"/>
      <w:szCs w:val="16"/>
    </w:rPr>
  </w:style>
  <w:style w:type="character" w:customStyle="1" w:styleId="BalloonTextChar">
    <w:name w:val="Balloon Text Char"/>
    <w:basedOn w:val="DefaultParagraphFont"/>
    <w:link w:val="BalloonText"/>
    <w:uiPriority w:val="99"/>
    <w:semiHidden/>
    <w:rsid w:val="00F9679F"/>
    <w:rPr>
      <w:rFonts w:ascii="Tahoma" w:hAnsi="Tahoma" w:cs="Tahoma"/>
      <w:sz w:val="16"/>
      <w:szCs w:val="16"/>
    </w:rPr>
  </w:style>
  <w:style w:type="paragraph" w:styleId="Header">
    <w:name w:val="header"/>
    <w:basedOn w:val="Normal"/>
    <w:link w:val="HeaderChar"/>
    <w:uiPriority w:val="99"/>
    <w:unhideWhenUsed/>
    <w:rsid w:val="00F9679F"/>
    <w:pPr>
      <w:tabs>
        <w:tab w:val="center" w:pos="4513"/>
        <w:tab w:val="right" w:pos="9026"/>
      </w:tabs>
    </w:pPr>
    <w:rPr>
      <w:rFonts w:asciiTheme="minorHAnsi" w:hAnsiTheme="minorHAnsi"/>
      <w:sz w:val="22"/>
    </w:rPr>
  </w:style>
  <w:style w:type="character" w:customStyle="1" w:styleId="HeaderChar">
    <w:name w:val="Header Char"/>
    <w:basedOn w:val="DefaultParagraphFont"/>
    <w:link w:val="Header"/>
    <w:uiPriority w:val="99"/>
    <w:rsid w:val="00F9679F"/>
  </w:style>
  <w:style w:type="paragraph" w:styleId="Footer">
    <w:name w:val="footer"/>
    <w:basedOn w:val="Normal"/>
    <w:link w:val="FooterChar"/>
    <w:uiPriority w:val="99"/>
    <w:unhideWhenUsed/>
    <w:rsid w:val="00F9679F"/>
    <w:pPr>
      <w:tabs>
        <w:tab w:val="center" w:pos="4513"/>
        <w:tab w:val="right" w:pos="9026"/>
      </w:tabs>
    </w:pPr>
    <w:rPr>
      <w:rFonts w:asciiTheme="minorHAnsi" w:hAnsiTheme="minorHAnsi"/>
      <w:sz w:val="22"/>
    </w:rPr>
  </w:style>
  <w:style w:type="character" w:customStyle="1" w:styleId="FooterChar">
    <w:name w:val="Footer Char"/>
    <w:basedOn w:val="DefaultParagraphFont"/>
    <w:link w:val="Footer"/>
    <w:uiPriority w:val="99"/>
    <w:rsid w:val="00F9679F"/>
  </w:style>
  <w:style w:type="character" w:styleId="Hyperlink">
    <w:name w:val="Hyperlink"/>
    <w:basedOn w:val="DefaultParagraphFont"/>
    <w:uiPriority w:val="99"/>
    <w:unhideWhenUsed/>
    <w:rsid w:val="00C76127"/>
    <w:rPr>
      <w:color w:val="0000FF" w:themeColor="hyperlink"/>
      <w:u w:val="single"/>
    </w:rPr>
  </w:style>
  <w:style w:type="paragraph" w:customStyle="1" w:styleId="default">
    <w:name w:val="default"/>
    <w:basedOn w:val="Normal"/>
    <w:uiPriority w:val="99"/>
    <w:rsid w:val="00B76F10"/>
    <w:pPr>
      <w:autoSpaceDE w:val="0"/>
      <w:autoSpaceDN w:val="0"/>
    </w:pPr>
    <w:rPr>
      <w:rFonts w:ascii="Times New Roman" w:hAnsi="Times New Roman" w:cs="Times New Roman"/>
      <w:color w:val="000000"/>
      <w:szCs w:val="24"/>
      <w:lang w:eastAsia="en-AU"/>
    </w:rPr>
  </w:style>
  <w:style w:type="paragraph" w:styleId="ListParagraph">
    <w:name w:val="List Paragraph"/>
    <w:basedOn w:val="Normal"/>
    <w:uiPriority w:val="34"/>
    <w:qFormat/>
    <w:rsid w:val="00CB6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95844">
      <w:bodyDiv w:val="1"/>
      <w:marLeft w:val="0"/>
      <w:marRight w:val="0"/>
      <w:marTop w:val="0"/>
      <w:marBottom w:val="0"/>
      <w:divBdr>
        <w:top w:val="none" w:sz="0" w:space="0" w:color="auto"/>
        <w:left w:val="none" w:sz="0" w:space="0" w:color="auto"/>
        <w:bottom w:val="none" w:sz="0" w:space="0" w:color="auto"/>
        <w:right w:val="none" w:sz="0" w:space="0" w:color="auto"/>
      </w:divBdr>
    </w:div>
    <w:div w:id="1362778145">
      <w:bodyDiv w:val="1"/>
      <w:marLeft w:val="0"/>
      <w:marRight w:val="0"/>
      <w:marTop w:val="0"/>
      <w:marBottom w:val="0"/>
      <w:divBdr>
        <w:top w:val="none" w:sz="0" w:space="0" w:color="auto"/>
        <w:left w:val="none" w:sz="0" w:space="0" w:color="auto"/>
        <w:bottom w:val="none" w:sz="0" w:space="0" w:color="auto"/>
        <w:right w:val="none" w:sz="0" w:space="0" w:color="auto"/>
      </w:divBdr>
    </w:div>
    <w:div w:id="14667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rities@treasury.gov.au?subject=Submission%20to%20A%20Statutory%20Definition%20of%20Charit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9FC3-E397-4EF6-B950-99B6BDBE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3935</Characters>
  <Application>Microsoft Office Word</Application>
  <DocSecurity>0</DocSecurity>
  <Lines>159</Lines>
  <Paragraphs>80</Paragraphs>
  <ScaleCrop>false</ScaleCrop>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Major Performing Arts Group - Submission to A Definition of Charity</dc:title>
  <dc:creator/>
  <cp:lastModifiedBy/>
  <cp:revision>1</cp:revision>
  <dcterms:created xsi:type="dcterms:W3CDTF">2013-06-04T06:30:00Z</dcterms:created>
  <dcterms:modified xsi:type="dcterms:W3CDTF">2013-06-04T06:30:00Z</dcterms:modified>
  <dc:language>English</dc:language>
</cp:coreProperties>
</file>