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644dedb30aba40db"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60" w:type="dxa"/>
        <w:tblBorders>
          <w:top w:val="single" w:sz="4" w:space="0" w:color="F26522" w:themeColor="accent1"/>
          <w:bottom w:val="single" w:sz="4" w:space="0" w:color="F26522" w:themeColor="accent1"/>
        </w:tblBorders>
        <w:tblLook w:val="04A0" w:firstRow="1" w:lastRow="0" w:firstColumn="1" w:lastColumn="0" w:noHBand="0" w:noVBand="1"/>
      </w:tblPr>
      <w:tblGrid>
        <w:gridCol w:w="10660"/>
      </w:tblGrid>
      <w:tr w:rsidR="00044AD4" w:rsidRPr="006E58EE" w14:paraId="6862EEC5" w14:textId="77777777" w:rsidTr="008D2EFB">
        <w:trPr>
          <w:cnfStyle w:val="100000000000" w:firstRow="1" w:lastRow="0" w:firstColumn="0" w:lastColumn="0" w:oddVBand="0" w:evenVBand="0" w:oddHBand="0" w:evenHBand="0" w:firstRowFirstColumn="0" w:firstRowLastColumn="0" w:lastRowFirstColumn="0" w:lastRowLastColumn="0"/>
          <w:trHeight w:val="2466"/>
        </w:trPr>
        <w:tc>
          <w:tcPr>
            <w:tcW w:w="10517" w:type="dxa"/>
            <w:tcBorders>
              <w:top w:val="single" w:sz="4" w:space="0" w:color="F26522" w:themeColor="accent1"/>
              <w:bottom w:val="single" w:sz="4" w:space="0" w:color="F26522" w:themeColor="accent1"/>
            </w:tcBorders>
            <w:tcMar>
              <w:top w:w="0" w:type="dxa"/>
              <w:left w:w="0" w:type="dxa"/>
              <w:bottom w:w="0" w:type="dxa"/>
              <w:right w:w="0" w:type="dxa"/>
            </w:tcMar>
            <w:vAlign w:val="center"/>
          </w:tcPr>
          <w:p w14:paraId="7B7A9197" w14:textId="0FFEB8AA" w:rsidR="00044AD4" w:rsidRPr="006E58EE" w:rsidRDefault="00D20465" w:rsidP="008D2EFB">
            <w:pPr>
              <w:pStyle w:val="Title"/>
            </w:pPr>
            <w:bookmarkStart w:id="0" w:name="Title"/>
            <w:bookmarkStart w:id="1" w:name="_GoBack"/>
            <w:bookmarkEnd w:id="0"/>
            <w:bookmarkEnd w:id="1"/>
            <w:r>
              <w:t xml:space="preserve">2019-2020 Federal </w:t>
            </w:r>
            <w:r w:rsidR="00D30238">
              <w:t>Pre-</w:t>
            </w:r>
            <w:r>
              <w:t>Budget Submission</w:t>
            </w:r>
            <w:r w:rsidR="00CD77DB" w:rsidRPr="006E58EE">
              <w:t xml:space="preserve"> </w:t>
            </w:r>
          </w:p>
          <w:p w14:paraId="28304A77" w14:textId="77777777" w:rsidR="00CD77DB" w:rsidRPr="006E58EE" w:rsidRDefault="00CD77DB" w:rsidP="008D2EFB">
            <w:pPr>
              <w:pStyle w:val="Subtitle"/>
            </w:pPr>
            <w:bookmarkStart w:id="2" w:name="Subtitle"/>
            <w:bookmarkEnd w:id="2"/>
            <w:r w:rsidRPr="006E58EE">
              <w:t xml:space="preserve"> </w:t>
            </w:r>
          </w:p>
          <w:p w14:paraId="5FA56D67" w14:textId="77777777" w:rsidR="008C0F5B" w:rsidRPr="006E58EE" w:rsidRDefault="008C0F5B" w:rsidP="008D2EFB"/>
        </w:tc>
      </w:tr>
      <w:tr w:rsidR="00314C10" w:rsidRPr="006E58EE" w14:paraId="55B0006F" w14:textId="77777777" w:rsidTr="00EF5620">
        <w:trPr>
          <w:trHeight w:val="1502"/>
        </w:trPr>
        <w:tc>
          <w:tcPr>
            <w:tcW w:w="10517" w:type="dxa"/>
            <w:tcBorders>
              <w:top w:val="single" w:sz="4" w:space="0" w:color="F26522" w:themeColor="accent1"/>
              <w:bottom w:val="nil"/>
            </w:tcBorders>
            <w:tcMar>
              <w:top w:w="0" w:type="dxa"/>
              <w:left w:w="0" w:type="dxa"/>
              <w:bottom w:w="0" w:type="dxa"/>
              <w:right w:w="0" w:type="dxa"/>
            </w:tcMar>
            <w:vAlign w:val="bottom"/>
          </w:tcPr>
          <w:p w14:paraId="366EDA0D" w14:textId="3EA0F48C" w:rsidR="00314C10" w:rsidRPr="006E58EE" w:rsidRDefault="00277C5C" w:rsidP="00314C10">
            <w:pPr>
              <w:pStyle w:val="Date"/>
            </w:pPr>
            <w:bookmarkStart w:id="3" w:name="Date"/>
            <w:bookmarkEnd w:id="3"/>
            <w:r>
              <w:t>2</w:t>
            </w:r>
            <w:r w:rsidR="00E61F60">
              <w:t>0</w:t>
            </w:r>
            <w:r w:rsidR="00D20465">
              <w:t xml:space="preserve"> December 2018</w:t>
            </w:r>
          </w:p>
        </w:tc>
      </w:tr>
    </w:tbl>
    <w:p w14:paraId="5C0D88C0" w14:textId="77777777" w:rsidR="00E965C4" w:rsidRPr="006E58EE" w:rsidRDefault="00E965C4" w:rsidP="00044AD4">
      <w:pPr>
        <w:tabs>
          <w:tab w:val="right" w:pos="10517"/>
        </w:tabs>
      </w:pPr>
    </w:p>
    <w:p w14:paraId="0E441335" w14:textId="77777777" w:rsidR="00B37BC8" w:rsidRPr="006E58EE" w:rsidRDefault="00B37BC8" w:rsidP="00044AD4">
      <w:pPr>
        <w:tabs>
          <w:tab w:val="right" w:pos="10517"/>
        </w:tabs>
      </w:pPr>
    </w:p>
    <w:p w14:paraId="64A1897B" w14:textId="77777777" w:rsidR="00B37BC8" w:rsidRPr="006E58EE" w:rsidRDefault="00B37BC8" w:rsidP="00044AD4">
      <w:pPr>
        <w:tabs>
          <w:tab w:val="right" w:pos="10517"/>
        </w:tabs>
      </w:pPr>
    </w:p>
    <w:tbl>
      <w:tblPr>
        <w:tblStyle w:val="TableGrid"/>
        <w:tblW w:w="10659" w:type="dxa"/>
        <w:tblLayout w:type="fixed"/>
        <w:tblLook w:val="04A0" w:firstRow="1" w:lastRow="0" w:firstColumn="1" w:lastColumn="0" w:noHBand="0" w:noVBand="1"/>
      </w:tblPr>
      <w:tblGrid>
        <w:gridCol w:w="6237"/>
        <w:gridCol w:w="2127"/>
        <w:gridCol w:w="2295"/>
      </w:tblGrid>
      <w:tr w:rsidR="00D20465" w14:paraId="5D76624B" w14:textId="77777777" w:rsidTr="00775431">
        <w:trPr>
          <w:cnfStyle w:val="100000000000" w:firstRow="1" w:lastRow="0" w:firstColumn="0" w:lastColumn="0" w:oddVBand="0" w:evenVBand="0" w:oddHBand="0" w:evenHBand="0" w:firstRowFirstColumn="0" w:firstRowLastColumn="0" w:lastRowFirstColumn="0" w:lastRowLastColumn="0"/>
          <w:trHeight w:val="737"/>
        </w:trPr>
        <w:tc>
          <w:tcPr>
            <w:tcW w:w="6237" w:type="dxa"/>
            <w:tcMar>
              <w:top w:w="0" w:type="nil"/>
              <w:left w:w="0" w:type="nil"/>
              <w:bottom w:w="0" w:type="nil"/>
              <w:right w:w="0" w:type="nil"/>
            </w:tcMar>
          </w:tcPr>
          <w:p w14:paraId="24241A7D" w14:textId="77777777" w:rsidR="00D20465" w:rsidRPr="00E03BDB" w:rsidRDefault="00D20465" w:rsidP="00775431">
            <w:pPr>
              <w:pStyle w:val="WebAddress"/>
              <w:jc w:val="left"/>
            </w:pPr>
            <w:bookmarkStart w:id="4" w:name="URL"/>
            <w:bookmarkEnd w:id="4"/>
          </w:p>
        </w:tc>
        <w:tc>
          <w:tcPr>
            <w:tcW w:w="2127" w:type="dxa"/>
            <w:tcMar>
              <w:top w:w="0" w:type="nil"/>
              <w:left w:w="0" w:type="nil"/>
              <w:bottom w:w="0" w:type="nil"/>
              <w:right w:w="0" w:type="nil"/>
            </w:tcMar>
          </w:tcPr>
          <w:p w14:paraId="1818E8FB" w14:textId="77777777" w:rsidR="00D20465" w:rsidRPr="003A3B61" w:rsidRDefault="00D20465" w:rsidP="00775431">
            <w:pPr>
              <w:pStyle w:val="WebAddress"/>
              <w:jc w:val="left"/>
            </w:pPr>
          </w:p>
        </w:tc>
        <w:tc>
          <w:tcPr>
            <w:tcW w:w="2295" w:type="dxa"/>
            <w:tcMar>
              <w:top w:w="0" w:type="nil"/>
              <w:left w:w="0" w:type="nil"/>
              <w:bottom w:w="0" w:type="nil"/>
              <w:right w:w="0" w:type="nil"/>
            </w:tcMar>
          </w:tcPr>
          <w:p w14:paraId="0EAEA82C" w14:textId="77777777" w:rsidR="00D20465" w:rsidRPr="003A3B61" w:rsidRDefault="00D20465" w:rsidP="00775431">
            <w:pPr>
              <w:pStyle w:val="WebAddress"/>
              <w:jc w:val="left"/>
            </w:pPr>
            <w:r>
              <w:t>afao.org.au</w:t>
            </w:r>
          </w:p>
        </w:tc>
      </w:tr>
    </w:tbl>
    <w:p w14:paraId="21A5CDEF" w14:textId="77777777" w:rsidR="005D5A04" w:rsidRPr="006E58EE" w:rsidRDefault="005D5A04" w:rsidP="00044AD4">
      <w:pPr>
        <w:tabs>
          <w:tab w:val="right" w:pos="10517"/>
        </w:tabs>
      </w:pPr>
    </w:p>
    <w:p w14:paraId="70DA18DF" w14:textId="77777777" w:rsidR="005D5A04" w:rsidRDefault="005D5A04" w:rsidP="00044AD4">
      <w:pPr>
        <w:tabs>
          <w:tab w:val="right" w:pos="10517"/>
        </w:tabs>
      </w:pPr>
    </w:p>
    <w:p w14:paraId="79F9150D" w14:textId="77777777" w:rsidR="00770B98" w:rsidRDefault="00770B98" w:rsidP="00044AD4">
      <w:pPr>
        <w:tabs>
          <w:tab w:val="right" w:pos="10517"/>
        </w:tabs>
      </w:pPr>
    </w:p>
    <w:p w14:paraId="63A97F3E" w14:textId="77777777" w:rsidR="00463E9A" w:rsidRPr="006E58EE" w:rsidRDefault="005C04EA">
      <w:pPr>
        <w:adjustRightInd/>
        <w:snapToGrid/>
      </w:pPr>
      <w:r w:rsidRPr="006E58EE">
        <w:br w:type="page"/>
      </w:r>
    </w:p>
    <w:tbl>
      <w:tblPr>
        <w:tblStyle w:val="TableGridLight"/>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43"/>
        <w:gridCol w:w="5386"/>
      </w:tblGrid>
      <w:tr w:rsidR="00D20465" w:rsidRPr="006E58EE" w14:paraId="2C65394F" w14:textId="77777777" w:rsidTr="00661BEE">
        <w:trPr>
          <w:trHeight w:val="397"/>
        </w:trPr>
        <w:tc>
          <w:tcPr>
            <w:tcW w:w="5443" w:type="dxa"/>
            <w:tcMar>
              <w:top w:w="57" w:type="dxa"/>
              <w:left w:w="57" w:type="dxa"/>
              <w:bottom w:w="57" w:type="dxa"/>
              <w:right w:w="198" w:type="dxa"/>
            </w:tcMar>
          </w:tcPr>
          <w:p w14:paraId="78836089" w14:textId="77777777" w:rsidR="00D20465" w:rsidRPr="006E58EE" w:rsidRDefault="00D20465" w:rsidP="00661BEE">
            <w:pPr>
              <w:pStyle w:val="Details"/>
            </w:pPr>
            <w:bookmarkStart w:id="5" w:name="Contacts"/>
            <w:bookmarkEnd w:id="5"/>
            <w:r w:rsidRPr="006E58EE">
              <w:lastRenderedPageBreak/>
              <w:t>Contact</w:t>
            </w:r>
          </w:p>
        </w:tc>
        <w:tc>
          <w:tcPr>
            <w:tcW w:w="5386" w:type="dxa"/>
            <w:tcMar>
              <w:top w:w="57" w:type="dxa"/>
              <w:left w:w="57" w:type="dxa"/>
              <w:bottom w:w="57" w:type="dxa"/>
              <w:right w:w="198" w:type="dxa"/>
            </w:tcMar>
          </w:tcPr>
          <w:p w14:paraId="631B6100" w14:textId="77777777" w:rsidR="00D20465" w:rsidRPr="006E58EE" w:rsidRDefault="00D20465" w:rsidP="00661BEE">
            <w:pPr>
              <w:pStyle w:val="Details"/>
            </w:pPr>
          </w:p>
        </w:tc>
      </w:tr>
      <w:tr w:rsidR="00D20465" w:rsidRPr="006E58EE" w14:paraId="626F72F6" w14:textId="77777777" w:rsidTr="00661BEE">
        <w:trPr>
          <w:trHeight w:val="1191"/>
        </w:trPr>
        <w:tc>
          <w:tcPr>
            <w:tcW w:w="5443" w:type="dxa"/>
            <w:tcMar>
              <w:top w:w="57" w:type="dxa"/>
              <w:left w:w="57" w:type="dxa"/>
              <w:bottom w:w="57" w:type="dxa"/>
              <w:right w:w="198" w:type="dxa"/>
            </w:tcMar>
          </w:tcPr>
          <w:p w14:paraId="42544C4A" w14:textId="77777777" w:rsidR="00D20465" w:rsidRDefault="00D20465" w:rsidP="00661BEE">
            <w:pPr>
              <w:pStyle w:val="BoldText"/>
            </w:pPr>
            <w:r>
              <w:fldChar w:fldCharType="begin"/>
            </w:r>
            <w:r>
              <w:instrText xml:space="preserve"> DOCPROPERTY  Contact_AFAO_Name </w:instrText>
            </w:r>
            <w:r>
              <w:fldChar w:fldCharType="separate"/>
            </w:r>
            <w:r>
              <w:t>Darryl O'Donnell</w:t>
            </w:r>
            <w:r>
              <w:fldChar w:fldCharType="end"/>
            </w:r>
          </w:p>
          <w:p w14:paraId="36FF7C63" w14:textId="77777777" w:rsidR="00D20465" w:rsidRPr="006E58EE" w:rsidRDefault="00D20465" w:rsidP="00661BEE">
            <w:pPr>
              <w:pStyle w:val="Address"/>
            </w:pPr>
            <w:r>
              <w:fldChar w:fldCharType="begin"/>
            </w:r>
            <w:r>
              <w:instrText xml:space="preserve"> DOCPROPERTY  Contact_AFAO_Address </w:instrText>
            </w:r>
            <w:r>
              <w:fldChar w:fldCharType="separate"/>
            </w:r>
            <w:r>
              <w:t>Level 1, 222 King St Newtown NSW 2042</w:t>
            </w:r>
            <w:r>
              <w:fldChar w:fldCharType="end"/>
            </w:r>
          </w:p>
        </w:tc>
        <w:tc>
          <w:tcPr>
            <w:tcW w:w="5386" w:type="dxa"/>
            <w:tcMar>
              <w:top w:w="57" w:type="dxa"/>
              <w:left w:w="57" w:type="dxa"/>
              <w:bottom w:w="57" w:type="dxa"/>
              <w:right w:w="198" w:type="dxa"/>
            </w:tcMar>
          </w:tcPr>
          <w:p w14:paraId="0253C313" w14:textId="77777777" w:rsidR="00D20465" w:rsidRPr="006E58EE" w:rsidRDefault="00D20465" w:rsidP="00661BEE">
            <w:pPr>
              <w:pStyle w:val="Address"/>
            </w:pPr>
          </w:p>
        </w:tc>
      </w:tr>
      <w:tr w:rsidR="00D20465" w:rsidRPr="006E58EE" w14:paraId="40019C8A" w14:textId="77777777" w:rsidTr="00661BEE">
        <w:trPr>
          <w:trHeight w:val="1077"/>
        </w:trPr>
        <w:tc>
          <w:tcPr>
            <w:tcW w:w="5443" w:type="dxa"/>
            <w:tcMar>
              <w:top w:w="57" w:type="dxa"/>
              <w:left w:w="57" w:type="dxa"/>
              <w:bottom w:w="57" w:type="dxa"/>
              <w:right w:w="198" w:type="dxa"/>
            </w:tcMar>
          </w:tcPr>
          <w:p w14:paraId="689A3703" w14:textId="77777777" w:rsidR="00D20465" w:rsidRPr="000F765B" w:rsidRDefault="00D20465" w:rsidP="00661BEE">
            <w:pPr>
              <w:pStyle w:val="BoldText"/>
            </w:pPr>
            <w:r w:rsidRPr="000F765B">
              <w:t>T:</w:t>
            </w:r>
            <w:r>
              <w:tab/>
            </w:r>
            <w:r>
              <w:fldChar w:fldCharType="begin"/>
            </w:r>
            <w:r>
              <w:instrText xml:space="preserve"> DOCPROPERTY  Contact_AFAO_Telephone </w:instrText>
            </w:r>
            <w:r>
              <w:fldChar w:fldCharType="separate"/>
            </w:r>
            <w:r>
              <w:t>+61 2 9557 9399</w:t>
            </w:r>
            <w:r>
              <w:fldChar w:fldCharType="end"/>
            </w:r>
          </w:p>
          <w:p w14:paraId="7F3D514B" w14:textId="45357E6A" w:rsidR="00D20465" w:rsidRPr="000F765B" w:rsidRDefault="00D20465" w:rsidP="00661BEE">
            <w:pPr>
              <w:pStyle w:val="BoldText"/>
            </w:pPr>
            <w:r w:rsidRPr="000F765B">
              <w:t>E:</w:t>
            </w:r>
            <w:r>
              <w:tab/>
            </w:r>
            <w:r>
              <w:fldChar w:fldCharType="begin"/>
            </w:r>
            <w:r>
              <w:instrText xml:space="preserve"> DOCPROPERTY  Contact_AFAO_Email </w:instrText>
            </w:r>
            <w:r>
              <w:fldChar w:fldCharType="separate"/>
            </w:r>
            <w:proofErr w:type="spellStart"/>
            <w:r w:rsidR="00243FEA">
              <w:t>D</w:t>
            </w:r>
            <w:r>
              <w:t>arryl.</w:t>
            </w:r>
            <w:r w:rsidR="00243FEA">
              <w:t>O</w:t>
            </w:r>
            <w:r>
              <w:t>'</w:t>
            </w:r>
            <w:r w:rsidR="00243FEA">
              <w:t>Do</w:t>
            </w:r>
            <w:r>
              <w:t>nnell@afao.org.au</w:t>
            </w:r>
            <w:proofErr w:type="spellEnd"/>
            <w:r>
              <w:fldChar w:fldCharType="end"/>
            </w:r>
          </w:p>
          <w:p w14:paraId="6E6496F7" w14:textId="77777777" w:rsidR="00D20465" w:rsidRPr="006E58EE" w:rsidRDefault="00D20465" w:rsidP="00661BEE">
            <w:pPr>
              <w:pStyle w:val="BoldText"/>
            </w:pPr>
            <w:r w:rsidRPr="000F765B">
              <w:t>W:</w:t>
            </w:r>
            <w:r>
              <w:tab/>
            </w:r>
            <w:r w:rsidRPr="000F765B">
              <w:t>afao.org.au</w:t>
            </w:r>
          </w:p>
        </w:tc>
        <w:tc>
          <w:tcPr>
            <w:tcW w:w="5386" w:type="dxa"/>
            <w:tcMar>
              <w:top w:w="57" w:type="dxa"/>
              <w:left w:w="57" w:type="dxa"/>
              <w:bottom w:w="57" w:type="dxa"/>
              <w:right w:w="198" w:type="dxa"/>
            </w:tcMar>
          </w:tcPr>
          <w:p w14:paraId="24007127" w14:textId="77777777" w:rsidR="00D20465" w:rsidRPr="006E58EE" w:rsidRDefault="00D20465" w:rsidP="00661BEE">
            <w:pPr>
              <w:pStyle w:val="BoldText"/>
            </w:pPr>
          </w:p>
        </w:tc>
      </w:tr>
      <w:tr w:rsidR="00D20465" w:rsidRPr="006E58EE" w14:paraId="472FB9BD" w14:textId="77777777" w:rsidTr="00661BEE">
        <w:trPr>
          <w:trHeight w:val="680"/>
        </w:trPr>
        <w:tc>
          <w:tcPr>
            <w:tcW w:w="10829" w:type="dxa"/>
            <w:gridSpan w:val="2"/>
            <w:tcMar>
              <w:top w:w="57" w:type="dxa"/>
              <w:left w:w="57" w:type="dxa"/>
              <w:bottom w:w="57" w:type="dxa"/>
              <w:right w:w="198" w:type="dxa"/>
            </w:tcMar>
            <w:vAlign w:val="center"/>
          </w:tcPr>
          <w:p w14:paraId="18DF3CE4" w14:textId="77777777" w:rsidR="00D20465" w:rsidRPr="006E58EE" w:rsidRDefault="00D20465" w:rsidP="00661BEE">
            <w:pPr>
              <w:pStyle w:val="Details"/>
            </w:pPr>
            <w:r>
              <w:t xml:space="preserve">Australian Federation of AIDS </w:t>
            </w:r>
            <w:r w:rsidRPr="00980B3C">
              <w:t>Organisations</w:t>
            </w:r>
          </w:p>
        </w:tc>
      </w:tr>
      <w:tr w:rsidR="00D20465" w:rsidRPr="006E58EE" w14:paraId="3DD80F98" w14:textId="77777777" w:rsidTr="00661BEE">
        <w:trPr>
          <w:trHeight w:val="1020"/>
        </w:trPr>
        <w:tc>
          <w:tcPr>
            <w:tcW w:w="10829" w:type="dxa"/>
            <w:gridSpan w:val="2"/>
            <w:tcMar>
              <w:top w:w="57" w:type="dxa"/>
              <w:left w:w="57" w:type="dxa"/>
              <w:bottom w:w="57" w:type="dxa"/>
              <w:right w:w="198" w:type="dxa"/>
            </w:tcMar>
          </w:tcPr>
          <w:p w14:paraId="0CF5695F" w14:textId="77777777" w:rsidR="00D20465" w:rsidRPr="006E58EE" w:rsidRDefault="00D20465" w:rsidP="00661BEE">
            <w:r w:rsidRPr="00DB3E9C">
              <w:t>The Australian Federation of AIDS Organisations (AFAO) is the national federation for the HIV community response in Australia. AFAO works to end HIV transmission and reduce its impact on communities in Australia, Asia and the Pacific. AFAO’s members are the AIDS Councils in each state and territory; the National Association of People with HIV Australia (NAPWHA); the Australian Injecting &amp; Illicit Drug Users League (AIVL); the Anwernekenhe National HIV Alliance (ANA); and Scarlet Alliance, Australian Sex Workers Association. AFAO’s affiliate member organisations – spanning community, research, public health and clinical workforce – share AFAO’s values and support the work we do.</w:t>
            </w:r>
          </w:p>
        </w:tc>
      </w:tr>
    </w:tbl>
    <w:p w14:paraId="24DB08E5" w14:textId="77777777" w:rsidR="00AF45A6" w:rsidRDefault="00AF45A6" w:rsidP="00AF45A6"/>
    <w:p w14:paraId="01F10865" w14:textId="77777777" w:rsidR="00AF7EEC" w:rsidRDefault="00AF7EEC" w:rsidP="00AF45A6"/>
    <w:p w14:paraId="16DBBDF2" w14:textId="77777777" w:rsidR="00F36DD6" w:rsidRDefault="00F36DD6" w:rsidP="00AF45A6"/>
    <w:p w14:paraId="0712A9B0" w14:textId="77777777" w:rsidR="00F36DD6" w:rsidRPr="006E58EE" w:rsidRDefault="00F36DD6" w:rsidP="00AF45A6">
      <w:pPr>
        <w:sectPr w:rsidR="00F36DD6" w:rsidRPr="006E58EE" w:rsidSect="00E11536">
          <w:headerReference w:type="even" r:id="rId8"/>
          <w:headerReference w:type="default" r:id="rId9"/>
          <w:footerReference w:type="even" r:id="rId10"/>
          <w:footerReference w:type="default" r:id="rId11"/>
          <w:headerReference w:type="first" r:id="rId12"/>
          <w:footerReference w:type="first" r:id="rId13"/>
          <w:pgSz w:w="11906" w:h="16838" w:code="9"/>
          <w:pgMar w:top="2070" w:right="567" w:bottom="1559" w:left="709" w:header="284" w:footer="425" w:gutter="0"/>
          <w:cols w:space="397"/>
          <w:titlePg/>
          <w:docGrid w:linePitch="360"/>
        </w:sectPr>
      </w:pPr>
    </w:p>
    <w:p w14:paraId="3EC32C6C" w14:textId="019EE1BD" w:rsidR="00D20465" w:rsidRPr="00343278" w:rsidRDefault="00D20465" w:rsidP="00D20465">
      <w:pPr>
        <w:rPr>
          <w:szCs w:val="22"/>
        </w:rPr>
      </w:pPr>
      <w:bookmarkStart w:id="7" w:name="_Hlk501034214"/>
      <w:r w:rsidRPr="00343278">
        <w:rPr>
          <w:szCs w:val="22"/>
        </w:rPr>
        <w:lastRenderedPageBreak/>
        <w:t xml:space="preserve">The </w:t>
      </w:r>
      <w:hyperlink r:id="rId14" w:history="1">
        <w:r w:rsidRPr="00343278">
          <w:rPr>
            <w:rStyle w:val="Hyperlink"/>
            <w:szCs w:val="22"/>
          </w:rPr>
          <w:t>Australian Federation of AIDS Organisations</w:t>
        </w:r>
      </w:hyperlink>
      <w:r w:rsidRPr="00343278">
        <w:rPr>
          <w:szCs w:val="22"/>
        </w:rPr>
        <w:t xml:space="preserve"> (AFAO) welcomes the opportunity to provide a submission for the 201</w:t>
      </w:r>
      <w:r w:rsidR="003E2222">
        <w:rPr>
          <w:szCs w:val="22"/>
        </w:rPr>
        <w:t>9</w:t>
      </w:r>
      <w:r w:rsidRPr="00343278">
        <w:rPr>
          <w:szCs w:val="22"/>
        </w:rPr>
        <w:t>-</w:t>
      </w:r>
      <w:r w:rsidR="003E2222">
        <w:rPr>
          <w:szCs w:val="22"/>
        </w:rPr>
        <w:t>20</w:t>
      </w:r>
      <w:r w:rsidRPr="00343278">
        <w:rPr>
          <w:szCs w:val="22"/>
        </w:rPr>
        <w:t xml:space="preserve"> Federal Budget.</w:t>
      </w:r>
    </w:p>
    <w:p w14:paraId="7C5796C2" w14:textId="77777777" w:rsidR="00D20465" w:rsidRDefault="00D20465" w:rsidP="00D20465">
      <w:pPr>
        <w:rPr>
          <w:szCs w:val="22"/>
        </w:rPr>
      </w:pPr>
    </w:p>
    <w:p w14:paraId="473F9660" w14:textId="77777777" w:rsidR="00D20465" w:rsidRDefault="00D20465" w:rsidP="00D20465">
      <w:pPr>
        <w:rPr>
          <w:b/>
          <w:color w:val="F26522" w:themeColor="accent1"/>
          <w:sz w:val="28"/>
          <w:szCs w:val="28"/>
        </w:rPr>
      </w:pPr>
      <w:r>
        <w:rPr>
          <w:b/>
          <w:color w:val="F26522" w:themeColor="accent1"/>
          <w:sz w:val="28"/>
          <w:szCs w:val="28"/>
        </w:rPr>
        <w:t>Background</w:t>
      </w:r>
    </w:p>
    <w:p w14:paraId="6D78AB20" w14:textId="77777777" w:rsidR="00D20465" w:rsidRDefault="00D20465" w:rsidP="00D20465">
      <w:pPr>
        <w:rPr>
          <w:szCs w:val="22"/>
        </w:rPr>
      </w:pPr>
    </w:p>
    <w:p w14:paraId="4949EB0D" w14:textId="32A11048" w:rsidR="00D20465" w:rsidRPr="00343278" w:rsidRDefault="002D69EF" w:rsidP="00D20465">
      <w:pPr>
        <w:rPr>
          <w:szCs w:val="22"/>
        </w:rPr>
      </w:pPr>
      <w:r>
        <w:rPr>
          <w:szCs w:val="22"/>
        </w:rPr>
        <w:t>AFAO welcomes the release</w:t>
      </w:r>
      <w:r w:rsidR="009842FF">
        <w:rPr>
          <w:szCs w:val="22"/>
        </w:rPr>
        <w:t xml:space="preserve"> of</w:t>
      </w:r>
      <w:r>
        <w:rPr>
          <w:szCs w:val="22"/>
        </w:rPr>
        <w:t xml:space="preserve"> </w:t>
      </w:r>
      <w:r w:rsidR="00D20465" w:rsidRPr="00343278">
        <w:rPr>
          <w:szCs w:val="22"/>
        </w:rPr>
        <w:t xml:space="preserve">Australia’s </w:t>
      </w:r>
      <w:r w:rsidR="00243FEA">
        <w:rPr>
          <w:szCs w:val="22"/>
        </w:rPr>
        <w:t xml:space="preserve">suite of national blood borne viruses (BBV) and sexually transmissible infections (STI) strategies, </w:t>
      </w:r>
      <w:proofErr w:type="gramStart"/>
      <w:r w:rsidR="00243FEA">
        <w:rPr>
          <w:szCs w:val="22"/>
        </w:rPr>
        <w:t>in particular the</w:t>
      </w:r>
      <w:proofErr w:type="gramEnd"/>
      <w:r w:rsidR="00243FEA">
        <w:rPr>
          <w:szCs w:val="22"/>
        </w:rPr>
        <w:t xml:space="preserve"> eighth </w:t>
      </w:r>
      <w:r w:rsidR="00243FEA">
        <w:rPr>
          <w:i/>
          <w:szCs w:val="22"/>
        </w:rPr>
        <w:t>National HIV Strategy</w:t>
      </w:r>
      <w:r w:rsidR="00243FEA">
        <w:rPr>
          <w:szCs w:val="22"/>
        </w:rPr>
        <w:t xml:space="preserve">, the fifth </w:t>
      </w:r>
      <w:r w:rsidR="00243FEA">
        <w:rPr>
          <w:i/>
          <w:szCs w:val="22"/>
        </w:rPr>
        <w:t>National Aboriginal and Torres Strait Islander Blood Borne Viruses and Sexually Transmissible Infections Strategy</w:t>
      </w:r>
      <w:r w:rsidR="00243FEA">
        <w:rPr>
          <w:szCs w:val="22"/>
        </w:rPr>
        <w:t xml:space="preserve"> and the fourth</w:t>
      </w:r>
      <w:r w:rsidR="00243FEA">
        <w:rPr>
          <w:i/>
          <w:szCs w:val="22"/>
        </w:rPr>
        <w:t xml:space="preserve"> National Sexually Transmissible Infections Strategy</w:t>
      </w:r>
      <w:r>
        <w:rPr>
          <w:szCs w:val="22"/>
        </w:rPr>
        <w:t xml:space="preserve">. The </w:t>
      </w:r>
      <w:r>
        <w:rPr>
          <w:i/>
          <w:szCs w:val="22"/>
        </w:rPr>
        <w:t>National HIV Strategy</w:t>
      </w:r>
      <w:r w:rsidR="00D20465" w:rsidRPr="00343278">
        <w:rPr>
          <w:szCs w:val="22"/>
        </w:rPr>
        <w:t xml:space="preserve"> and the United Nations </w:t>
      </w:r>
      <w:r w:rsidR="00D20465" w:rsidRPr="00343278">
        <w:rPr>
          <w:i/>
          <w:szCs w:val="22"/>
        </w:rPr>
        <w:t>Political Declaration on HIV/AIDS</w:t>
      </w:r>
      <w:r w:rsidR="00D20465" w:rsidRPr="00343278">
        <w:rPr>
          <w:szCs w:val="22"/>
        </w:rPr>
        <w:t xml:space="preserve"> establish ambitious targets for domestic and global responses to HIV and AIDS. These targets include: </w:t>
      </w:r>
    </w:p>
    <w:p w14:paraId="33CB3873" w14:textId="77777777" w:rsidR="00D20465" w:rsidRPr="00343278" w:rsidRDefault="00D20465" w:rsidP="00D20465">
      <w:pPr>
        <w:rPr>
          <w:szCs w:val="22"/>
        </w:rPr>
      </w:pPr>
    </w:p>
    <w:p w14:paraId="16416EBE" w14:textId="77777777" w:rsidR="00D20465" w:rsidRPr="00343278" w:rsidRDefault="00D20465" w:rsidP="00343278">
      <w:pPr>
        <w:pStyle w:val="ListBullet"/>
      </w:pPr>
      <w:r w:rsidRPr="00343278">
        <w:t xml:space="preserve">virtually eliminating HIV transmission in Australia by 2020 </w:t>
      </w:r>
    </w:p>
    <w:p w14:paraId="67423621" w14:textId="3A76CA46" w:rsidR="00D20465" w:rsidRPr="00343278" w:rsidRDefault="00D20465" w:rsidP="00343278">
      <w:pPr>
        <w:pStyle w:val="ListBullet"/>
      </w:pPr>
      <w:r w:rsidRPr="00343278">
        <w:t>9</w:t>
      </w:r>
      <w:r w:rsidR="002D69EF">
        <w:t>5</w:t>
      </w:r>
      <w:r w:rsidRPr="00343278">
        <w:t xml:space="preserve"> per cent of people living with HIV knowing their status</w:t>
      </w:r>
    </w:p>
    <w:p w14:paraId="72237849" w14:textId="591B4033" w:rsidR="00D20465" w:rsidRPr="00343278" w:rsidRDefault="00D20465" w:rsidP="00343278">
      <w:pPr>
        <w:pStyle w:val="ListBullet"/>
      </w:pPr>
      <w:r w:rsidRPr="00343278">
        <w:t>9</w:t>
      </w:r>
      <w:r w:rsidR="002D69EF">
        <w:t>5</w:t>
      </w:r>
      <w:r w:rsidRPr="00343278">
        <w:t xml:space="preserve"> per cent of people who are diagnosed on</w:t>
      </w:r>
      <w:r w:rsidR="002D69EF">
        <w:t xml:space="preserve"> HIV</w:t>
      </w:r>
      <w:r w:rsidRPr="00343278">
        <w:t xml:space="preserve"> treatment </w:t>
      </w:r>
    </w:p>
    <w:p w14:paraId="55CA82BA" w14:textId="1BDE0E0E" w:rsidR="00D20465" w:rsidRPr="00343278" w:rsidRDefault="00D20465" w:rsidP="00343278">
      <w:pPr>
        <w:pStyle w:val="ListBullet"/>
      </w:pPr>
      <w:r w:rsidRPr="00343278">
        <w:t>9</w:t>
      </w:r>
      <w:r w:rsidR="002D69EF">
        <w:t>5</w:t>
      </w:r>
      <w:r w:rsidRPr="00343278">
        <w:t xml:space="preserve"> per cent of people of</w:t>
      </w:r>
      <w:r w:rsidR="002D69EF">
        <w:t xml:space="preserve"> on</w:t>
      </w:r>
      <w:r w:rsidRPr="00343278">
        <w:t xml:space="preserve"> treatment having an undetectable viral load.</w:t>
      </w:r>
    </w:p>
    <w:p w14:paraId="5505FD4D" w14:textId="77777777" w:rsidR="00D20465" w:rsidRPr="00343278" w:rsidRDefault="00D20465" w:rsidP="00D20465">
      <w:pPr>
        <w:rPr>
          <w:szCs w:val="22"/>
        </w:rPr>
      </w:pPr>
    </w:p>
    <w:p w14:paraId="61D343BE" w14:textId="694E4C55" w:rsidR="00D20465" w:rsidRPr="00343278" w:rsidRDefault="00D20465" w:rsidP="00D20465">
      <w:pPr>
        <w:rPr>
          <w:szCs w:val="22"/>
        </w:rPr>
      </w:pPr>
      <w:r w:rsidRPr="00343278">
        <w:rPr>
          <w:szCs w:val="22"/>
        </w:rPr>
        <w:t>This submission</w:t>
      </w:r>
      <w:r w:rsidR="00C62407">
        <w:rPr>
          <w:szCs w:val="22"/>
        </w:rPr>
        <w:t xml:space="preserve"> utilises and</w:t>
      </w:r>
      <w:r w:rsidR="004922AC">
        <w:rPr>
          <w:szCs w:val="22"/>
        </w:rPr>
        <w:t xml:space="preserve"> </w:t>
      </w:r>
      <w:r w:rsidR="00C62407">
        <w:rPr>
          <w:szCs w:val="22"/>
        </w:rPr>
        <w:t xml:space="preserve">extends </w:t>
      </w:r>
      <w:r w:rsidR="004922AC">
        <w:rPr>
          <w:szCs w:val="22"/>
        </w:rPr>
        <w:t xml:space="preserve">AFAO’s </w:t>
      </w:r>
      <w:hyperlink r:id="rId15" w:history="1">
        <w:r w:rsidR="004922AC" w:rsidRPr="00277C5C">
          <w:rPr>
            <w:rStyle w:val="Hyperlink"/>
            <w:rFonts w:cs="Times New Roman"/>
            <w:i/>
            <w:szCs w:val="22"/>
          </w:rPr>
          <w:t>HIV Blueprint</w:t>
        </w:r>
      </w:hyperlink>
      <w:r w:rsidRPr="00343278">
        <w:rPr>
          <w:szCs w:val="22"/>
        </w:rPr>
        <w:t xml:space="preserve"> </w:t>
      </w:r>
      <w:r w:rsidR="00277C5C">
        <w:rPr>
          <w:szCs w:val="22"/>
        </w:rPr>
        <w:t xml:space="preserve">which </w:t>
      </w:r>
      <w:r w:rsidRPr="00343278">
        <w:rPr>
          <w:szCs w:val="22"/>
        </w:rPr>
        <w:t>provides evidence-based and costed proposals that build on existing investments to achieve these targets</w:t>
      </w:r>
      <w:r w:rsidR="00C62407">
        <w:rPr>
          <w:szCs w:val="22"/>
        </w:rPr>
        <w:t xml:space="preserve">. </w:t>
      </w:r>
      <w:r w:rsidR="00C62407" w:rsidRPr="00343278">
        <w:rPr>
          <w:szCs w:val="22"/>
        </w:rPr>
        <w:t xml:space="preserve">The additional investments proposed would bring Australia’s community-led HIV response to the scale needed to match Australia’s ambitious targets, expand and better support Australia’s HIV clinical workforce, and provide underpinning research, surveillance and evaluative capacity to guide Australia’s HIV response. </w:t>
      </w:r>
      <w:r w:rsidR="00C62407">
        <w:rPr>
          <w:szCs w:val="22"/>
        </w:rPr>
        <w:t xml:space="preserve">This submission will highlight where these proposals </w:t>
      </w:r>
      <w:r w:rsidR="00277C5C">
        <w:rPr>
          <w:szCs w:val="22"/>
        </w:rPr>
        <w:t>alig</w:t>
      </w:r>
      <w:r w:rsidR="00C62407">
        <w:rPr>
          <w:szCs w:val="22"/>
        </w:rPr>
        <w:t>n</w:t>
      </w:r>
      <w:r w:rsidR="00277C5C">
        <w:rPr>
          <w:szCs w:val="22"/>
        </w:rPr>
        <w:t xml:space="preserve"> with the priority areas for action as outlined in the eighth </w:t>
      </w:r>
      <w:r w:rsidR="00277C5C">
        <w:rPr>
          <w:i/>
          <w:szCs w:val="22"/>
        </w:rPr>
        <w:t>National HIV Strategy</w:t>
      </w:r>
      <w:r w:rsidR="00243FEA">
        <w:rPr>
          <w:i/>
          <w:szCs w:val="22"/>
        </w:rPr>
        <w:t xml:space="preserve"> </w:t>
      </w:r>
      <w:r w:rsidR="00243FEA">
        <w:rPr>
          <w:szCs w:val="22"/>
        </w:rPr>
        <w:t xml:space="preserve">and the fifth </w:t>
      </w:r>
      <w:r w:rsidR="00243FEA">
        <w:rPr>
          <w:i/>
          <w:szCs w:val="22"/>
        </w:rPr>
        <w:t>National Aboriginal and Torres Strait Islander Blood Borne Viruses and Sexually Transmissible Infections Strategy</w:t>
      </w:r>
      <w:r w:rsidR="00243FEA">
        <w:rPr>
          <w:szCs w:val="22"/>
        </w:rPr>
        <w:t xml:space="preserve">, as well as highlighting priority areas for action relevant to our work from the fourth </w:t>
      </w:r>
      <w:r w:rsidR="00243FEA">
        <w:rPr>
          <w:i/>
          <w:szCs w:val="22"/>
        </w:rPr>
        <w:t>National Sexually Transmissible Infections Strategy</w:t>
      </w:r>
      <w:r w:rsidRPr="00343278">
        <w:rPr>
          <w:szCs w:val="22"/>
        </w:rPr>
        <w:t xml:space="preserve">. </w:t>
      </w:r>
    </w:p>
    <w:p w14:paraId="00DAC8E3" w14:textId="77777777" w:rsidR="00D20465" w:rsidRPr="00343278" w:rsidRDefault="00D20465" w:rsidP="00D20465">
      <w:pPr>
        <w:rPr>
          <w:szCs w:val="22"/>
        </w:rPr>
      </w:pPr>
    </w:p>
    <w:p w14:paraId="64595F6A" w14:textId="384BEDFF" w:rsidR="00D20465" w:rsidRPr="00343278" w:rsidRDefault="00D20465" w:rsidP="00D20465">
      <w:pPr>
        <w:rPr>
          <w:szCs w:val="22"/>
        </w:rPr>
      </w:pPr>
      <w:r w:rsidRPr="00343278">
        <w:rPr>
          <w:szCs w:val="22"/>
        </w:rPr>
        <w:t>The investment would enable AFAO and other national community-led HIV organisations to develop programs and initiatives</w:t>
      </w:r>
      <w:r w:rsidR="00C62407">
        <w:rPr>
          <w:szCs w:val="22"/>
        </w:rPr>
        <w:t>,</w:t>
      </w:r>
      <w:r w:rsidRPr="00343278">
        <w:rPr>
          <w:szCs w:val="22"/>
        </w:rPr>
        <w:t xml:space="preserve"> in consultation with our member organisations in each state and territory</w:t>
      </w:r>
      <w:r w:rsidR="00C62407">
        <w:rPr>
          <w:szCs w:val="22"/>
        </w:rPr>
        <w:t>,</w:t>
      </w:r>
      <w:r w:rsidRPr="00343278">
        <w:rPr>
          <w:szCs w:val="22"/>
        </w:rPr>
        <w:t xml:space="preserve"> that build awareness and provide HIV</w:t>
      </w:r>
      <w:r w:rsidR="00243FEA">
        <w:rPr>
          <w:szCs w:val="22"/>
        </w:rPr>
        <w:t xml:space="preserve"> and STI</w:t>
      </w:r>
      <w:r w:rsidRPr="00343278">
        <w:rPr>
          <w:szCs w:val="22"/>
        </w:rPr>
        <w:t xml:space="preserve"> education for key populations and emerging or hidden populations. The programs and campaigns developed would be implemented locally through the knowledge and skills of local HIV</w:t>
      </w:r>
      <w:r w:rsidR="00243FEA">
        <w:rPr>
          <w:szCs w:val="22"/>
        </w:rPr>
        <w:t xml:space="preserve"> and STI</w:t>
      </w:r>
      <w:r w:rsidRPr="00343278">
        <w:rPr>
          <w:szCs w:val="22"/>
        </w:rPr>
        <w:t xml:space="preserve"> prevention workforces. Service provision </w:t>
      </w:r>
      <w:r w:rsidR="00343278" w:rsidRPr="00343278">
        <w:rPr>
          <w:szCs w:val="22"/>
        </w:rPr>
        <w:t>planning,</w:t>
      </w:r>
      <w:r w:rsidRPr="00343278">
        <w:rPr>
          <w:szCs w:val="22"/>
        </w:rPr>
        <w:t xml:space="preserve"> and program development would be conducted through a nationally-coordinated suite of ongoing programs to ensure consistent, coherent and informed system and program delivery.</w:t>
      </w:r>
    </w:p>
    <w:p w14:paraId="53AE5321" w14:textId="77777777" w:rsidR="00D20465" w:rsidRPr="00343278" w:rsidRDefault="00D20465" w:rsidP="00D20465">
      <w:pPr>
        <w:rPr>
          <w:szCs w:val="22"/>
        </w:rPr>
      </w:pPr>
    </w:p>
    <w:p w14:paraId="61B7F453" w14:textId="347A835C" w:rsidR="00D20465" w:rsidRPr="00D20465" w:rsidRDefault="00D20465" w:rsidP="00D20465">
      <w:pPr>
        <w:rPr>
          <w:sz w:val="22"/>
          <w:szCs w:val="22"/>
        </w:rPr>
      </w:pPr>
      <w:r w:rsidRPr="00343278">
        <w:rPr>
          <w:szCs w:val="22"/>
        </w:rPr>
        <w:t xml:space="preserve">The </w:t>
      </w:r>
      <w:bookmarkStart w:id="8" w:name="_Hlk501097919"/>
      <w:r w:rsidRPr="00343278">
        <w:rPr>
          <w:szCs w:val="22"/>
        </w:rPr>
        <w:t xml:space="preserve">epidemiological and economic impact </w:t>
      </w:r>
      <w:bookmarkEnd w:id="8"/>
      <w:r w:rsidRPr="00343278">
        <w:rPr>
          <w:szCs w:val="22"/>
        </w:rPr>
        <w:t xml:space="preserve">of the proposals contained within this submission has been assessed. These proposals would allow Australia to </w:t>
      </w:r>
      <w:r w:rsidRPr="003E2AE1">
        <w:rPr>
          <w:szCs w:val="22"/>
        </w:rPr>
        <w:t>exceed 90 90 90 and rapidly work towards 95 95 95</w:t>
      </w:r>
      <w:r w:rsidR="003E2AE1">
        <w:rPr>
          <w:szCs w:val="22"/>
        </w:rPr>
        <w:t>, as is the aim of the</w:t>
      </w:r>
      <w:r w:rsidR="00243FEA">
        <w:rPr>
          <w:szCs w:val="22"/>
        </w:rPr>
        <w:t xml:space="preserve"> eighth</w:t>
      </w:r>
      <w:r w:rsidR="003E2AE1">
        <w:rPr>
          <w:szCs w:val="22"/>
        </w:rPr>
        <w:t xml:space="preserve"> </w:t>
      </w:r>
      <w:r w:rsidR="003E2AE1">
        <w:rPr>
          <w:i/>
          <w:szCs w:val="22"/>
        </w:rPr>
        <w:t>National HIV Strategy</w:t>
      </w:r>
      <w:r w:rsidRPr="00343278">
        <w:rPr>
          <w:szCs w:val="22"/>
        </w:rPr>
        <w:t>. The implementation of the proposals would see 2</w:t>
      </w:r>
      <w:r w:rsidR="00356AA9">
        <w:rPr>
          <w:szCs w:val="22"/>
        </w:rPr>
        <w:t>,</w:t>
      </w:r>
      <w:r w:rsidRPr="00343278">
        <w:rPr>
          <w:szCs w:val="22"/>
        </w:rPr>
        <w:t>025 new HIV infections averted by 2</w:t>
      </w:r>
      <w:r w:rsidR="00356AA9">
        <w:rPr>
          <w:szCs w:val="22"/>
        </w:rPr>
        <w:t>,</w:t>
      </w:r>
      <w:r w:rsidRPr="00343278">
        <w:rPr>
          <w:szCs w:val="22"/>
        </w:rPr>
        <w:t xml:space="preserve">020, saving $2b to the PBS and MBS over the lifetime of those infections. Further details on the epidemiological and economic impact of the proposals in this submission are available </w:t>
      </w:r>
      <w:r w:rsidR="003E2AE1">
        <w:rPr>
          <w:szCs w:val="22"/>
        </w:rPr>
        <w:t xml:space="preserve">on </w:t>
      </w:r>
      <w:hyperlink r:id="rId16" w:history="1">
        <w:r w:rsidR="003E2AE1" w:rsidRPr="003E2AE1">
          <w:rPr>
            <w:rStyle w:val="Hyperlink"/>
            <w:rFonts w:cs="Times New Roman"/>
            <w:szCs w:val="22"/>
          </w:rPr>
          <w:t>AFAO’s website</w:t>
        </w:r>
      </w:hyperlink>
      <w:r w:rsidRPr="00343278">
        <w:rPr>
          <w:szCs w:val="22"/>
        </w:rPr>
        <w:t xml:space="preserve"> or by contacting AFAO. </w:t>
      </w:r>
    </w:p>
    <w:p w14:paraId="6924FE19" w14:textId="77777777" w:rsidR="00D20465" w:rsidRDefault="00D20465" w:rsidP="00D20465">
      <w:pPr>
        <w:rPr>
          <w:szCs w:val="22"/>
        </w:rPr>
      </w:pPr>
    </w:p>
    <w:p w14:paraId="4B34FF24" w14:textId="77777777" w:rsidR="00D20465" w:rsidRDefault="00D20465" w:rsidP="00D20465">
      <w:pPr>
        <w:adjustRightInd/>
        <w:snapToGrid/>
        <w:rPr>
          <w:color w:val="F26522" w:themeColor="accent1"/>
          <w:szCs w:val="22"/>
        </w:rPr>
      </w:pPr>
      <w:r>
        <w:rPr>
          <w:b/>
          <w:color w:val="F26522" w:themeColor="accent1"/>
          <w:sz w:val="28"/>
          <w:szCs w:val="28"/>
        </w:rPr>
        <w:br w:type="column"/>
      </w:r>
      <w:r>
        <w:rPr>
          <w:b/>
          <w:color w:val="F26522" w:themeColor="accent1"/>
          <w:sz w:val="28"/>
          <w:szCs w:val="28"/>
        </w:rPr>
        <w:lastRenderedPageBreak/>
        <w:t>Summary of Recommendations</w:t>
      </w:r>
    </w:p>
    <w:p w14:paraId="4B2CDDCC" w14:textId="77777777" w:rsidR="00D20465" w:rsidRDefault="00D20465" w:rsidP="00D20465">
      <w:pPr>
        <w:rPr>
          <w:b/>
          <w:szCs w:val="22"/>
        </w:rPr>
      </w:pPr>
    </w:p>
    <w:p w14:paraId="1345AD29" w14:textId="3BAA9E9E" w:rsidR="00D20465" w:rsidRPr="00343278" w:rsidRDefault="00D20465" w:rsidP="00D20465">
      <w:pPr>
        <w:rPr>
          <w:szCs w:val="22"/>
        </w:rPr>
      </w:pPr>
      <w:r w:rsidRPr="00343278">
        <w:rPr>
          <w:i/>
          <w:color w:val="F26522" w:themeColor="accent1"/>
          <w:szCs w:val="22"/>
        </w:rPr>
        <w:t>Recommendation 1:</w:t>
      </w:r>
      <w:r w:rsidRPr="00343278">
        <w:rPr>
          <w:b/>
          <w:szCs w:val="22"/>
        </w:rPr>
        <w:t xml:space="preserve"> </w:t>
      </w:r>
      <w:r w:rsidRPr="00343278">
        <w:rPr>
          <w:szCs w:val="22"/>
        </w:rPr>
        <w:t>That the Australian Government invest an additional $</w:t>
      </w:r>
      <w:r w:rsidRPr="00343278">
        <w:rPr>
          <w:b/>
          <w:szCs w:val="22"/>
        </w:rPr>
        <w:t>10 million per annum</w:t>
      </w:r>
      <w:r w:rsidRPr="00343278">
        <w:rPr>
          <w:szCs w:val="22"/>
        </w:rPr>
        <w:t xml:space="preserve"> to</w:t>
      </w:r>
      <w:r w:rsidRPr="00343278">
        <w:rPr>
          <w:b/>
          <w:szCs w:val="22"/>
        </w:rPr>
        <w:t xml:space="preserve"> </w:t>
      </w:r>
      <w:r w:rsidRPr="00343278">
        <w:rPr>
          <w:szCs w:val="22"/>
        </w:rPr>
        <w:t xml:space="preserve">strengthen the capacity of the national HIV peak organisations to coordinate prevention, testing and treatment campaigns, support for </w:t>
      </w:r>
      <w:r w:rsidR="00343278" w:rsidRPr="00343278">
        <w:rPr>
          <w:szCs w:val="22"/>
        </w:rPr>
        <w:t>peer-based</w:t>
      </w:r>
      <w:r w:rsidRPr="00343278">
        <w:rPr>
          <w:szCs w:val="22"/>
        </w:rPr>
        <w:t xml:space="preserve"> organisations to conduct education and community outreach,</w:t>
      </w:r>
      <w:r w:rsidR="006822BF">
        <w:rPr>
          <w:szCs w:val="22"/>
        </w:rPr>
        <w:t xml:space="preserve"> provide</w:t>
      </w:r>
      <w:r w:rsidRPr="00343278">
        <w:rPr>
          <w:szCs w:val="22"/>
        </w:rPr>
        <w:t xml:space="preserve"> guidance </w:t>
      </w:r>
      <w:r w:rsidR="006822BF">
        <w:rPr>
          <w:szCs w:val="22"/>
        </w:rPr>
        <w:t>to</w:t>
      </w:r>
      <w:r w:rsidRPr="00343278">
        <w:rPr>
          <w:szCs w:val="22"/>
        </w:rPr>
        <w:t xml:space="preserve"> allied workforces,</w:t>
      </w:r>
      <w:r w:rsidR="006822BF">
        <w:rPr>
          <w:szCs w:val="22"/>
        </w:rPr>
        <w:t xml:space="preserve"> and</w:t>
      </w:r>
      <w:r w:rsidRPr="00343278">
        <w:rPr>
          <w:szCs w:val="22"/>
        </w:rPr>
        <w:t xml:space="preserve"> planning and service re-development.</w:t>
      </w:r>
    </w:p>
    <w:p w14:paraId="7310AD65" w14:textId="77777777" w:rsidR="00D20465" w:rsidRPr="00343278" w:rsidRDefault="00D20465" w:rsidP="00D20465">
      <w:pPr>
        <w:rPr>
          <w:b/>
          <w:szCs w:val="22"/>
        </w:rPr>
      </w:pPr>
    </w:p>
    <w:p w14:paraId="61D90209" w14:textId="77777777" w:rsidR="00D20465" w:rsidRPr="00343278" w:rsidRDefault="00D20465" w:rsidP="00D20465">
      <w:pPr>
        <w:rPr>
          <w:szCs w:val="22"/>
        </w:rPr>
      </w:pPr>
      <w:r w:rsidRPr="00343278">
        <w:rPr>
          <w:i/>
          <w:color w:val="F26522" w:themeColor="accent1"/>
          <w:szCs w:val="22"/>
        </w:rPr>
        <w:t>Recommendation 2:</w:t>
      </w:r>
      <w:r w:rsidRPr="00343278">
        <w:rPr>
          <w:b/>
          <w:szCs w:val="22"/>
        </w:rPr>
        <w:t xml:space="preserve"> </w:t>
      </w:r>
      <w:r w:rsidRPr="00343278">
        <w:rPr>
          <w:szCs w:val="22"/>
        </w:rPr>
        <w:t xml:space="preserve">That the Australian Government invest an additional </w:t>
      </w:r>
      <w:r w:rsidRPr="00343278">
        <w:rPr>
          <w:b/>
          <w:szCs w:val="22"/>
        </w:rPr>
        <w:t xml:space="preserve">$15 million per annum </w:t>
      </w:r>
      <w:r w:rsidRPr="00343278">
        <w:rPr>
          <w:szCs w:val="22"/>
        </w:rPr>
        <w:t>to plan and implement an improved and sustained response to HIV and STIs among Aboriginal and Torres Strait Islander communities.</w:t>
      </w:r>
    </w:p>
    <w:p w14:paraId="5D300755" w14:textId="77777777" w:rsidR="00D20465" w:rsidRPr="00343278" w:rsidRDefault="00D20465" w:rsidP="00D20465">
      <w:pPr>
        <w:rPr>
          <w:szCs w:val="22"/>
        </w:rPr>
      </w:pPr>
    </w:p>
    <w:p w14:paraId="16962F95" w14:textId="1D24FDEE" w:rsidR="00D20465" w:rsidRPr="00343278" w:rsidRDefault="00D20465" w:rsidP="00D20465">
      <w:pPr>
        <w:rPr>
          <w:szCs w:val="22"/>
        </w:rPr>
      </w:pPr>
      <w:r w:rsidRPr="00343278">
        <w:rPr>
          <w:i/>
          <w:color w:val="F26522" w:themeColor="accent1"/>
          <w:szCs w:val="22"/>
        </w:rPr>
        <w:t xml:space="preserve">Recommendation 3: </w:t>
      </w:r>
      <w:r w:rsidRPr="00343278">
        <w:rPr>
          <w:szCs w:val="22"/>
        </w:rPr>
        <w:t xml:space="preserve">That the Australian Government invest an additional </w:t>
      </w:r>
      <w:r w:rsidRPr="00343278">
        <w:rPr>
          <w:b/>
          <w:szCs w:val="22"/>
        </w:rPr>
        <w:t>$3 million per annum</w:t>
      </w:r>
      <w:r w:rsidRPr="00343278">
        <w:rPr>
          <w:szCs w:val="22"/>
        </w:rPr>
        <w:t xml:space="preserve"> to develop specialised programs to engage with </w:t>
      </w:r>
      <w:r w:rsidR="00866A17">
        <w:rPr>
          <w:szCs w:val="22"/>
        </w:rPr>
        <w:t>‘</w:t>
      </w:r>
      <w:r w:rsidRPr="00343278">
        <w:rPr>
          <w:szCs w:val="22"/>
        </w:rPr>
        <w:t>hidden</w:t>
      </w:r>
      <w:r w:rsidR="00866A17">
        <w:rPr>
          <w:szCs w:val="22"/>
        </w:rPr>
        <w:t>’</w:t>
      </w:r>
      <w:r w:rsidRPr="00343278">
        <w:rPr>
          <w:szCs w:val="22"/>
        </w:rPr>
        <w:t xml:space="preserve"> populations at risk of being left behind, including people with unsuspected HIV, late HIV presenters and those not being treated.</w:t>
      </w:r>
    </w:p>
    <w:p w14:paraId="1AAC2998" w14:textId="77777777" w:rsidR="00D20465" w:rsidRPr="00343278" w:rsidRDefault="00D20465" w:rsidP="00D20465">
      <w:pPr>
        <w:rPr>
          <w:szCs w:val="22"/>
        </w:rPr>
      </w:pPr>
    </w:p>
    <w:p w14:paraId="59C4641D" w14:textId="77777777" w:rsidR="00D20465" w:rsidRPr="00343278" w:rsidRDefault="00D20465" w:rsidP="00D20465">
      <w:pPr>
        <w:rPr>
          <w:szCs w:val="22"/>
        </w:rPr>
      </w:pPr>
      <w:r w:rsidRPr="00343278">
        <w:rPr>
          <w:i/>
          <w:color w:val="F26522" w:themeColor="accent1"/>
          <w:szCs w:val="22"/>
        </w:rPr>
        <w:t>Recommendation 4:</w:t>
      </w:r>
      <w:r w:rsidRPr="00343278">
        <w:rPr>
          <w:b/>
          <w:szCs w:val="22"/>
        </w:rPr>
        <w:t xml:space="preserve"> </w:t>
      </w:r>
      <w:r w:rsidRPr="00343278">
        <w:rPr>
          <w:szCs w:val="22"/>
        </w:rPr>
        <w:t>That the Australian Government</w:t>
      </w:r>
      <w:r w:rsidRPr="00343278">
        <w:rPr>
          <w:b/>
          <w:szCs w:val="22"/>
        </w:rPr>
        <w:t xml:space="preserve"> </w:t>
      </w:r>
      <w:r w:rsidRPr="00343278">
        <w:rPr>
          <w:szCs w:val="22"/>
        </w:rPr>
        <w:t xml:space="preserve">invest an additional </w:t>
      </w:r>
      <w:r w:rsidRPr="00343278">
        <w:rPr>
          <w:b/>
          <w:szCs w:val="22"/>
        </w:rPr>
        <w:t>$400,000 per annum</w:t>
      </w:r>
      <w:r w:rsidRPr="00343278">
        <w:rPr>
          <w:szCs w:val="22"/>
        </w:rPr>
        <w:t xml:space="preserve"> to reduce HIV stigma and discrimination-related barriers to testing, treatment and care.</w:t>
      </w:r>
    </w:p>
    <w:p w14:paraId="5E4199B4" w14:textId="77777777" w:rsidR="00D20465" w:rsidRPr="00343278" w:rsidRDefault="00D20465" w:rsidP="00D20465">
      <w:pPr>
        <w:rPr>
          <w:szCs w:val="22"/>
        </w:rPr>
      </w:pPr>
    </w:p>
    <w:p w14:paraId="15B2812F" w14:textId="77777777" w:rsidR="00D20465" w:rsidRPr="00343278" w:rsidRDefault="00D20465" w:rsidP="00D20465">
      <w:pPr>
        <w:rPr>
          <w:szCs w:val="22"/>
        </w:rPr>
      </w:pPr>
      <w:r w:rsidRPr="00343278">
        <w:rPr>
          <w:i/>
          <w:color w:val="F26522" w:themeColor="accent1"/>
          <w:szCs w:val="22"/>
        </w:rPr>
        <w:t>Recommendation 5:</w:t>
      </w:r>
      <w:r w:rsidRPr="00343278">
        <w:rPr>
          <w:szCs w:val="22"/>
        </w:rPr>
        <w:t xml:space="preserve"> That the Australian Government invest an additional </w:t>
      </w:r>
      <w:r w:rsidRPr="00343278">
        <w:rPr>
          <w:b/>
          <w:szCs w:val="22"/>
        </w:rPr>
        <w:t>$400,000 per annum</w:t>
      </w:r>
      <w:r w:rsidRPr="00343278">
        <w:rPr>
          <w:szCs w:val="22"/>
        </w:rPr>
        <w:t xml:space="preserve"> to prevent new HIV infections and improve uptake of testing and treatment among those who may acquire HIV while travelling.</w:t>
      </w:r>
    </w:p>
    <w:p w14:paraId="7C12A609" w14:textId="77777777" w:rsidR="00D20465" w:rsidRPr="00343278" w:rsidRDefault="00D20465" w:rsidP="00D20465">
      <w:pPr>
        <w:rPr>
          <w:b/>
          <w:szCs w:val="22"/>
        </w:rPr>
      </w:pPr>
    </w:p>
    <w:p w14:paraId="7278AFC9" w14:textId="77777777" w:rsidR="00D20465" w:rsidRPr="00343278" w:rsidRDefault="00D20465" w:rsidP="00D20465">
      <w:pPr>
        <w:rPr>
          <w:szCs w:val="22"/>
        </w:rPr>
      </w:pPr>
      <w:r w:rsidRPr="00343278">
        <w:rPr>
          <w:i/>
          <w:color w:val="F26522" w:themeColor="accent1"/>
          <w:szCs w:val="22"/>
        </w:rPr>
        <w:t>Recommendation 6:</w:t>
      </w:r>
      <w:r w:rsidRPr="00343278">
        <w:rPr>
          <w:b/>
          <w:szCs w:val="22"/>
        </w:rPr>
        <w:t xml:space="preserve"> </w:t>
      </w:r>
      <w:r w:rsidRPr="00343278">
        <w:rPr>
          <w:szCs w:val="22"/>
        </w:rPr>
        <w:t xml:space="preserve">That the Australian Government invest additional </w:t>
      </w:r>
      <w:r w:rsidRPr="00343278">
        <w:rPr>
          <w:b/>
          <w:szCs w:val="22"/>
        </w:rPr>
        <w:t>$250,000 per annum</w:t>
      </w:r>
      <w:r w:rsidRPr="00343278">
        <w:rPr>
          <w:szCs w:val="22"/>
        </w:rPr>
        <w:t xml:space="preserve"> to</w:t>
      </w:r>
      <w:r w:rsidRPr="00343278">
        <w:rPr>
          <w:b/>
          <w:szCs w:val="22"/>
        </w:rPr>
        <w:t xml:space="preserve"> </w:t>
      </w:r>
      <w:r w:rsidRPr="00343278">
        <w:rPr>
          <w:szCs w:val="22"/>
        </w:rPr>
        <w:t>strengthen the community-led response through targeted workforce development that incorporates knowledge transfer and skill development.</w:t>
      </w:r>
    </w:p>
    <w:p w14:paraId="67FE5F3B" w14:textId="77777777" w:rsidR="00D20465" w:rsidRPr="00343278" w:rsidRDefault="00D20465" w:rsidP="00D20465">
      <w:pPr>
        <w:rPr>
          <w:szCs w:val="22"/>
        </w:rPr>
      </w:pPr>
    </w:p>
    <w:p w14:paraId="24984F79" w14:textId="2FEC4F29" w:rsidR="00D20465" w:rsidRDefault="00D20465" w:rsidP="00D20465">
      <w:pPr>
        <w:rPr>
          <w:szCs w:val="22"/>
        </w:rPr>
      </w:pPr>
      <w:r w:rsidRPr="00343278">
        <w:rPr>
          <w:i/>
          <w:color w:val="F26522" w:themeColor="accent1"/>
          <w:szCs w:val="22"/>
        </w:rPr>
        <w:t>Recommendation</w:t>
      </w:r>
      <w:r w:rsidR="00C62407">
        <w:rPr>
          <w:i/>
          <w:color w:val="F26522" w:themeColor="accent1"/>
          <w:szCs w:val="22"/>
        </w:rPr>
        <w:t xml:space="preserve"> 7</w:t>
      </w:r>
      <w:r w:rsidRPr="00343278">
        <w:rPr>
          <w:i/>
          <w:color w:val="F26522" w:themeColor="accent1"/>
          <w:szCs w:val="22"/>
        </w:rPr>
        <w:t>:</w:t>
      </w:r>
      <w:r w:rsidRPr="00343278">
        <w:rPr>
          <w:b/>
          <w:szCs w:val="22"/>
        </w:rPr>
        <w:t xml:space="preserve"> </w:t>
      </w:r>
      <w:r w:rsidRPr="00343278">
        <w:rPr>
          <w:szCs w:val="22"/>
        </w:rPr>
        <w:t xml:space="preserve">That the Australian Government invest an additional </w:t>
      </w:r>
      <w:r w:rsidRPr="00343278">
        <w:rPr>
          <w:b/>
          <w:szCs w:val="22"/>
        </w:rPr>
        <w:t>$1.2 million per annum</w:t>
      </w:r>
      <w:r w:rsidRPr="00343278">
        <w:rPr>
          <w:szCs w:val="22"/>
        </w:rPr>
        <w:t xml:space="preserve"> to evaluate the effectiveness of national and local programs to guide adjustments as needed. </w:t>
      </w:r>
    </w:p>
    <w:p w14:paraId="17A5A599" w14:textId="48CE9FEB" w:rsidR="00C62407" w:rsidRDefault="00C62407" w:rsidP="00D20465">
      <w:pPr>
        <w:rPr>
          <w:szCs w:val="22"/>
        </w:rPr>
      </w:pPr>
    </w:p>
    <w:p w14:paraId="39D9E332" w14:textId="0C0A50D8" w:rsidR="00C62407" w:rsidRDefault="00C62407" w:rsidP="00D20465">
      <w:pPr>
        <w:rPr>
          <w:color w:val="auto"/>
          <w:szCs w:val="22"/>
        </w:rPr>
      </w:pPr>
      <w:r w:rsidRPr="00C62407">
        <w:rPr>
          <w:i/>
          <w:color w:val="F26522" w:themeColor="accent1"/>
          <w:szCs w:val="22"/>
        </w:rPr>
        <w:t>Recommendation 8:</w:t>
      </w:r>
      <w:r>
        <w:rPr>
          <w:color w:val="F26522" w:themeColor="accent1"/>
          <w:szCs w:val="22"/>
        </w:rPr>
        <w:t xml:space="preserve"> </w:t>
      </w:r>
      <w:r>
        <w:rPr>
          <w:color w:val="auto"/>
          <w:szCs w:val="22"/>
        </w:rPr>
        <w:t>That the Australian Government invest</w:t>
      </w:r>
      <w:r w:rsidR="00D81A55">
        <w:rPr>
          <w:color w:val="auto"/>
          <w:szCs w:val="22"/>
        </w:rPr>
        <w:t xml:space="preserve"> an additional</w:t>
      </w:r>
      <w:r>
        <w:rPr>
          <w:color w:val="auto"/>
          <w:szCs w:val="22"/>
        </w:rPr>
        <w:t xml:space="preserve"> </w:t>
      </w:r>
      <w:r w:rsidRPr="00C62407">
        <w:rPr>
          <w:b/>
          <w:color w:val="auto"/>
          <w:szCs w:val="22"/>
        </w:rPr>
        <w:t>$500,000 per annum</w:t>
      </w:r>
      <w:r>
        <w:rPr>
          <w:color w:val="auto"/>
          <w:szCs w:val="22"/>
        </w:rPr>
        <w:t xml:space="preserve"> </w:t>
      </w:r>
      <w:r w:rsidR="004216CF">
        <w:rPr>
          <w:color w:val="auto"/>
          <w:szCs w:val="22"/>
        </w:rPr>
        <w:t xml:space="preserve">to </w:t>
      </w:r>
      <w:r>
        <w:rPr>
          <w:color w:val="auto"/>
          <w:szCs w:val="22"/>
        </w:rPr>
        <w:t>investigate inconsistencies in laws relating to HIV</w:t>
      </w:r>
      <w:r w:rsidR="004216CF">
        <w:rPr>
          <w:color w:val="auto"/>
          <w:szCs w:val="22"/>
        </w:rPr>
        <w:t xml:space="preserve"> and STI</w:t>
      </w:r>
      <w:r>
        <w:rPr>
          <w:color w:val="auto"/>
          <w:szCs w:val="22"/>
        </w:rPr>
        <w:t xml:space="preserve"> transmission, exposure and with contemporary science across the states and territories.</w:t>
      </w:r>
    </w:p>
    <w:p w14:paraId="4F4A75C3" w14:textId="76949A92" w:rsidR="00C62407" w:rsidRDefault="00C62407" w:rsidP="00D20465">
      <w:pPr>
        <w:rPr>
          <w:color w:val="auto"/>
          <w:szCs w:val="22"/>
        </w:rPr>
      </w:pPr>
    </w:p>
    <w:p w14:paraId="3DFABFFC" w14:textId="4176C143" w:rsidR="00C62407" w:rsidRPr="004216CF" w:rsidRDefault="00C62407" w:rsidP="00D20465">
      <w:pPr>
        <w:rPr>
          <w:color w:val="auto"/>
          <w:szCs w:val="22"/>
        </w:rPr>
      </w:pPr>
      <w:r w:rsidRPr="00C62407">
        <w:rPr>
          <w:i/>
          <w:color w:val="F26522" w:themeColor="accent1"/>
          <w:szCs w:val="22"/>
        </w:rPr>
        <w:t>Recommendation 9:</w:t>
      </w:r>
      <w:r w:rsidR="004216CF">
        <w:rPr>
          <w:color w:val="F26522" w:themeColor="accent1"/>
          <w:szCs w:val="22"/>
        </w:rPr>
        <w:t xml:space="preserve"> </w:t>
      </w:r>
      <w:r w:rsidR="004216CF">
        <w:rPr>
          <w:color w:val="auto"/>
          <w:szCs w:val="22"/>
        </w:rPr>
        <w:t>That the Australian Government invest</w:t>
      </w:r>
      <w:r w:rsidR="00D81A55">
        <w:rPr>
          <w:color w:val="auto"/>
          <w:szCs w:val="22"/>
        </w:rPr>
        <w:t xml:space="preserve"> an additional</w:t>
      </w:r>
      <w:r w:rsidR="004216CF">
        <w:rPr>
          <w:color w:val="auto"/>
          <w:szCs w:val="22"/>
        </w:rPr>
        <w:t xml:space="preserve"> </w:t>
      </w:r>
      <w:r w:rsidR="004216CF" w:rsidRPr="004216CF">
        <w:rPr>
          <w:b/>
          <w:color w:val="auto"/>
          <w:szCs w:val="22"/>
        </w:rPr>
        <w:t>$4 million per annum</w:t>
      </w:r>
      <w:r w:rsidR="004216CF">
        <w:rPr>
          <w:color w:val="auto"/>
          <w:szCs w:val="22"/>
        </w:rPr>
        <w:t xml:space="preserve"> </w:t>
      </w:r>
      <w:r w:rsidR="006822BF">
        <w:rPr>
          <w:szCs w:val="22"/>
        </w:rPr>
        <w:t xml:space="preserve">for relevant community organisations to </w:t>
      </w:r>
      <w:r w:rsidR="00D0081B" w:rsidRPr="00343278">
        <w:rPr>
          <w:szCs w:val="22"/>
        </w:rPr>
        <w:t>coordinate</w:t>
      </w:r>
      <w:r w:rsidR="00D0081B">
        <w:rPr>
          <w:szCs w:val="22"/>
        </w:rPr>
        <w:t xml:space="preserve"> STI</w:t>
      </w:r>
      <w:r w:rsidR="00D0081B" w:rsidRPr="00343278">
        <w:rPr>
          <w:szCs w:val="22"/>
        </w:rPr>
        <w:t xml:space="preserve"> prevention, testing and treatment campaign</w:t>
      </w:r>
      <w:r w:rsidR="00D0081B">
        <w:rPr>
          <w:szCs w:val="22"/>
        </w:rPr>
        <w:t>s for gay and bisexual men.</w:t>
      </w:r>
    </w:p>
    <w:p w14:paraId="022DA429" w14:textId="773990AF" w:rsidR="00D20465" w:rsidRDefault="00D20465" w:rsidP="00D20465">
      <w:pPr>
        <w:rPr>
          <w:b/>
          <w:szCs w:val="22"/>
        </w:rPr>
      </w:pPr>
    </w:p>
    <w:p w14:paraId="7670717F" w14:textId="0E4355CD" w:rsidR="002D69EF" w:rsidRDefault="002D69EF" w:rsidP="00D20465">
      <w:pPr>
        <w:rPr>
          <w:color w:val="auto"/>
          <w:szCs w:val="22"/>
        </w:rPr>
      </w:pPr>
      <w:r w:rsidRPr="002D69EF">
        <w:rPr>
          <w:i/>
          <w:color w:val="F26522" w:themeColor="accent1"/>
          <w:szCs w:val="22"/>
        </w:rPr>
        <w:t>Recommendation 1</w:t>
      </w:r>
      <w:r w:rsidR="004216CF">
        <w:rPr>
          <w:i/>
          <w:color w:val="F26522" w:themeColor="accent1"/>
          <w:szCs w:val="22"/>
        </w:rPr>
        <w:t>0</w:t>
      </w:r>
      <w:r w:rsidRPr="002D69EF">
        <w:rPr>
          <w:i/>
          <w:color w:val="F26522" w:themeColor="accent1"/>
          <w:szCs w:val="22"/>
        </w:rPr>
        <w:t>:</w:t>
      </w:r>
      <w:r>
        <w:rPr>
          <w:i/>
          <w:color w:val="F26522" w:themeColor="accent1"/>
          <w:szCs w:val="22"/>
        </w:rPr>
        <w:t xml:space="preserve"> </w:t>
      </w:r>
      <w:r w:rsidR="00B574F7">
        <w:rPr>
          <w:color w:val="auto"/>
          <w:szCs w:val="22"/>
        </w:rPr>
        <w:t xml:space="preserve">That the Australian Government </w:t>
      </w:r>
      <w:r w:rsidR="007F33CC">
        <w:rPr>
          <w:color w:val="auto"/>
          <w:szCs w:val="22"/>
        </w:rPr>
        <w:t>commit to renewing and increasing</w:t>
      </w:r>
      <w:r>
        <w:rPr>
          <w:color w:val="auto"/>
          <w:szCs w:val="22"/>
        </w:rPr>
        <w:t xml:space="preserve"> Australia’s </w:t>
      </w:r>
      <w:r w:rsidR="007F33CC">
        <w:rPr>
          <w:color w:val="auto"/>
          <w:szCs w:val="22"/>
        </w:rPr>
        <w:t xml:space="preserve">contribution </w:t>
      </w:r>
      <w:r>
        <w:rPr>
          <w:color w:val="auto"/>
          <w:szCs w:val="22"/>
        </w:rPr>
        <w:t xml:space="preserve">to the Global Fund to Fight AIDS, Tuberculosis and Malaria with a pledge of </w:t>
      </w:r>
      <w:r w:rsidR="00565099" w:rsidRPr="00565099">
        <w:rPr>
          <w:b/>
          <w:color w:val="auto"/>
          <w:szCs w:val="22"/>
        </w:rPr>
        <w:t>$250 million</w:t>
      </w:r>
      <w:r w:rsidR="00565099">
        <w:rPr>
          <w:color w:val="auto"/>
          <w:szCs w:val="22"/>
        </w:rPr>
        <w:t xml:space="preserve"> for 2019-2021.</w:t>
      </w:r>
    </w:p>
    <w:p w14:paraId="7B14AD9F" w14:textId="6355A9F7" w:rsidR="00565099" w:rsidRDefault="00565099" w:rsidP="00D20465">
      <w:pPr>
        <w:rPr>
          <w:b/>
          <w:color w:val="auto"/>
          <w:szCs w:val="22"/>
        </w:rPr>
      </w:pPr>
    </w:p>
    <w:p w14:paraId="686656A6" w14:textId="1CCB3B32" w:rsidR="00565099" w:rsidRDefault="00565099" w:rsidP="00D20465">
      <w:pPr>
        <w:rPr>
          <w:color w:val="auto"/>
          <w:szCs w:val="22"/>
        </w:rPr>
      </w:pPr>
      <w:r w:rsidRPr="00565099">
        <w:rPr>
          <w:i/>
          <w:color w:val="F26522" w:themeColor="accent1"/>
          <w:szCs w:val="22"/>
        </w:rPr>
        <w:t xml:space="preserve">Recommendation </w:t>
      </w:r>
      <w:r w:rsidR="004216CF">
        <w:rPr>
          <w:i/>
          <w:color w:val="F26522" w:themeColor="accent1"/>
          <w:szCs w:val="22"/>
        </w:rPr>
        <w:t>11</w:t>
      </w:r>
      <w:r w:rsidRPr="00565099">
        <w:rPr>
          <w:i/>
          <w:color w:val="F26522" w:themeColor="accent1"/>
          <w:szCs w:val="22"/>
        </w:rPr>
        <w:t>:</w:t>
      </w:r>
      <w:r>
        <w:rPr>
          <w:i/>
          <w:color w:val="F26522" w:themeColor="accent1"/>
          <w:szCs w:val="22"/>
        </w:rPr>
        <w:t xml:space="preserve"> </w:t>
      </w:r>
      <w:r w:rsidR="00B574F7">
        <w:rPr>
          <w:color w:val="auto"/>
          <w:szCs w:val="22"/>
        </w:rPr>
        <w:t>That the Australian Government l</w:t>
      </w:r>
      <w:r>
        <w:rPr>
          <w:color w:val="auto"/>
          <w:szCs w:val="22"/>
        </w:rPr>
        <w:t xml:space="preserve">everage Australia’s track record of civil society and government partnership by programming </w:t>
      </w:r>
      <w:r w:rsidRPr="00565099">
        <w:rPr>
          <w:b/>
          <w:color w:val="auto"/>
          <w:szCs w:val="22"/>
        </w:rPr>
        <w:t>five per cent</w:t>
      </w:r>
      <w:r w:rsidR="00DE7686">
        <w:rPr>
          <w:b/>
          <w:color w:val="auto"/>
          <w:szCs w:val="22"/>
        </w:rPr>
        <w:t xml:space="preserve"> ($12.5 million)</w:t>
      </w:r>
      <w:r>
        <w:rPr>
          <w:color w:val="auto"/>
          <w:szCs w:val="22"/>
        </w:rPr>
        <w:t xml:space="preserve"> of Australia’s Global Fund contribution for strengthened community responses to HIV</w:t>
      </w:r>
      <w:r w:rsidR="006822BF">
        <w:rPr>
          <w:color w:val="auto"/>
          <w:szCs w:val="22"/>
        </w:rPr>
        <w:t xml:space="preserve"> in the Asia Pacific region</w:t>
      </w:r>
      <w:r>
        <w:rPr>
          <w:color w:val="auto"/>
          <w:szCs w:val="22"/>
        </w:rPr>
        <w:t>.</w:t>
      </w:r>
    </w:p>
    <w:p w14:paraId="48ECFC32" w14:textId="4693F2B0" w:rsidR="00565099" w:rsidRDefault="00565099" w:rsidP="00D20465">
      <w:pPr>
        <w:rPr>
          <w:color w:val="auto"/>
          <w:szCs w:val="22"/>
        </w:rPr>
      </w:pPr>
    </w:p>
    <w:p w14:paraId="34D232B0" w14:textId="320FCD97" w:rsidR="00565099" w:rsidRPr="00565099" w:rsidRDefault="00565099" w:rsidP="00D20465">
      <w:pPr>
        <w:rPr>
          <w:color w:val="auto"/>
          <w:szCs w:val="22"/>
        </w:rPr>
      </w:pPr>
      <w:r w:rsidRPr="00565099">
        <w:rPr>
          <w:i/>
          <w:color w:val="F26522" w:themeColor="accent1"/>
          <w:szCs w:val="22"/>
        </w:rPr>
        <w:t>Recommendation 1</w:t>
      </w:r>
      <w:r w:rsidR="004216CF">
        <w:rPr>
          <w:i/>
          <w:color w:val="F26522" w:themeColor="accent1"/>
          <w:szCs w:val="22"/>
        </w:rPr>
        <w:t>2</w:t>
      </w:r>
      <w:r>
        <w:rPr>
          <w:i/>
          <w:color w:val="F26522" w:themeColor="accent1"/>
          <w:szCs w:val="22"/>
        </w:rPr>
        <w:t xml:space="preserve">: </w:t>
      </w:r>
      <w:r w:rsidR="00B574F7">
        <w:rPr>
          <w:color w:val="auto"/>
          <w:szCs w:val="22"/>
        </w:rPr>
        <w:t>That the Australian Government c</w:t>
      </w:r>
      <w:r>
        <w:rPr>
          <w:color w:val="auto"/>
          <w:szCs w:val="22"/>
        </w:rPr>
        <w:t xml:space="preserve">ommit Australia to playing a leading role in the 2021 United Nations General Assembly’s High-Level Meeting on HIV and AIDS </w:t>
      </w:r>
      <w:r w:rsidR="00EC5BC0" w:rsidRPr="00EC5BC0">
        <w:rPr>
          <w:color w:val="auto"/>
          <w:szCs w:val="22"/>
        </w:rPr>
        <w:t xml:space="preserve">to enable </w:t>
      </w:r>
      <w:r w:rsidR="00FC1BD1">
        <w:rPr>
          <w:color w:val="auto"/>
          <w:szCs w:val="22"/>
        </w:rPr>
        <w:t>civil society organisations (CSOs)</w:t>
      </w:r>
      <w:r w:rsidR="00EC5BC0" w:rsidRPr="00EC5BC0">
        <w:rPr>
          <w:color w:val="auto"/>
          <w:szCs w:val="22"/>
        </w:rPr>
        <w:t xml:space="preserve"> participation in the meeting and in the negotiation of an updated UN Political Declaration to Ending HIV.</w:t>
      </w:r>
    </w:p>
    <w:p w14:paraId="2BFF6C26" w14:textId="77777777" w:rsidR="00D20465" w:rsidRPr="00565099" w:rsidRDefault="00D20465" w:rsidP="00D20465">
      <w:pPr>
        <w:adjustRightInd/>
        <w:snapToGrid/>
        <w:rPr>
          <w:i/>
          <w:color w:val="F26522" w:themeColor="accent1"/>
          <w:szCs w:val="22"/>
        </w:rPr>
      </w:pPr>
      <w:r w:rsidRPr="00565099">
        <w:rPr>
          <w:i/>
          <w:color w:val="F26522" w:themeColor="accent1"/>
          <w:szCs w:val="22"/>
        </w:rPr>
        <w:br w:type="page"/>
      </w:r>
    </w:p>
    <w:p w14:paraId="00E4AA94" w14:textId="7BDA7134" w:rsidR="00D20465" w:rsidRDefault="00D20465" w:rsidP="00D20465">
      <w:pPr>
        <w:ind w:right="-142"/>
        <w:rPr>
          <w:b/>
          <w:color w:val="F26522" w:themeColor="accent1"/>
          <w:sz w:val="28"/>
          <w:szCs w:val="28"/>
        </w:rPr>
      </w:pPr>
      <w:bookmarkStart w:id="9" w:name="_Hlk501034268"/>
      <w:bookmarkEnd w:id="7"/>
      <w:r>
        <w:rPr>
          <w:b/>
          <w:color w:val="F26522" w:themeColor="accent1"/>
          <w:sz w:val="28"/>
          <w:szCs w:val="28"/>
        </w:rPr>
        <w:lastRenderedPageBreak/>
        <w:t xml:space="preserve">Recommendation 1: Strengthen the national HIV response through prevention, testing </w:t>
      </w:r>
      <w:r>
        <w:rPr>
          <w:b/>
          <w:color w:val="F26522" w:themeColor="accent1"/>
          <w:sz w:val="28"/>
          <w:szCs w:val="28"/>
        </w:rPr>
        <w:br/>
        <w:t xml:space="preserve">and treatment campaigns, support for peer-based organisations for education and community outreach, </w:t>
      </w:r>
      <w:r w:rsidR="006822BF">
        <w:rPr>
          <w:b/>
          <w:color w:val="F26522" w:themeColor="accent1"/>
          <w:sz w:val="28"/>
          <w:szCs w:val="28"/>
        </w:rPr>
        <w:t xml:space="preserve">provide </w:t>
      </w:r>
      <w:r>
        <w:rPr>
          <w:b/>
          <w:color w:val="F26522" w:themeColor="accent1"/>
          <w:sz w:val="28"/>
          <w:szCs w:val="28"/>
        </w:rPr>
        <w:t xml:space="preserve">guidance to allied workforces, </w:t>
      </w:r>
      <w:r w:rsidR="006822BF">
        <w:rPr>
          <w:b/>
          <w:color w:val="F26522" w:themeColor="accent1"/>
          <w:sz w:val="28"/>
          <w:szCs w:val="28"/>
        </w:rPr>
        <w:t xml:space="preserve">and </w:t>
      </w:r>
      <w:r>
        <w:rPr>
          <w:b/>
          <w:color w:val="F26522" w:themeColor="accent1"/>
          <w:sz w:val="28"/>
          <w:szCs w:val="28"/>
        </w:rPr>
        <w:t>planning and service re-development</w:t>
      </w:r>
    </w:p>
    <w:p w14:paraId="5F709FCB" w14:textId="77777777" w:rsidR="00D20465" w:rsidRDefault="00D20465" w:rsidP="00D20465">
      <w:pPr>
        <w:rPr>
          <w:b/>
          <w:szCs w:val="22"/>
        </w:rPr>
      </w:pPr>
    </w:p>
    <w:p w14:paraId="7EAF1924" w14:textId="77777777" w:rsidR="00D20465" w:rsidRPr="00D20465" w:rsidRDefault="00D20465" w:rsidP="00D20465">
      <w:pPr>
        <w:pStyle w:val="Heading2"/>
      </w:pPr>
      <w:r w:rsidRPr="00D20465">
        <w:t>Issues</w:t>
      </w:r>
    </w:p>
    <w:p w14:paraId="1E64830D" w14:textId="77777777" w:rsidR="00D20465" w:rsidRDefault="00D20465" w:rsidP="00D20465">
      <w:pPr>
        <w:adjustRightInd/>
        <w:snapToGrid/>
        <w:rPr>
          <w:szCs w:val="24"/>
        </w:rPr>
      </w:pPr>
    </w:p>
    <w:p w14:paraId="6AE61C9C" w14:textId="11AEFB9A" w:rsidR="00D20465" w:rsidRPr="00343278" w:rsidRDefault="00D20465" w:rsidP="00D20465">
      <w:r w:rsidRPr="00343278">
        <w:t xml:space="preserve">Established community-led efforts have been highly successful in achieving HIV prevention, testing and treatment results across a range of populations and </w:t>
      </w:r>
      <w:r w:rsidR="00343278" w:rsidRPr="00343278">
        <w:t>localities and</w:t>
      </w:r>
      <w:r w:rsidRPr="00343278">
        <w:t xml:space="preserve"> have prevented a generalised epidemic. Notwithstanding these successes, Australia faces </w:t>
      </w:r>
      <w:proofErr w:type="gramStart"/>
      <w:r w:rsidRPr="00343278">
        <w:t>a number of</w:t>
      </w:r>
      <w:proofErr w:type="gramEnd"/>
      <w:r w:rsidRPr="00343278">
        <w:t xml:space="preserve"> challenges.</w:t>
      </w:r>
      <w:r w:rsidR="00650201">
        <w:t xml:space="preserve"> </w:t>
      </w:r>
      <w:r w:rsidRPr="00343278">
        <w:t>The dominant narrative in Australia regarding HIV is out of date. This directly affects our capacity to address HIV as it conceals the urgency with which governments need to make new prevention strategies and testing methods accessible, causes people at risk of HIV to discount the possibility of their risk and</w:t>
      </w:r>
      <w:r w:rsidR="00C17BB6">
        <w:t>,</w:t>
      </w:r>
      <w:r w:rsidRPr="00343278">
        <w:t xml:space="preserve"> therefore</w:t>
      </w:r>
      <w:r w:rsidR="00C17BB6">
        <w:t>,</w:t>
      </w:r>
      <w:r w:rsidRPr="00343278">
        <w:t xml:space="preserve"> inquire about the tools available to prevent HIV, contributes to stigma and discrimination, and contributes to misinformed responses to HIV by community and health professionals. </w:t>
      </w:r>
    </w:p>
    <w:p w14:paraId="18E486BC" w14:textId="77777777" w:rsidR="00D20465" w:rsidRPr="00343278" w:rsidRDefault="00D20465" w:rsidP="00D20465"/>
    <w:p w14:paraId="121189BB" w14:textId="0635DF84" w:rsidR="00D20465" w:rsidRPr="00343278" w:rsidRDefault="00D20465" w:rsidP="00D20465">
      <w:r w:rsidRPr="00343278">
        <w:t xml:space="preserve">Current investment does not support a response to HIV that is at </w:t>
      </w:r>
      <w:proofErr w:type="gramStart"/>
      <w:r w:rsidRPr="00343278">
        <w:t>sufficient</w:t>
      </w:r>
      <w:proofErr w:type="gramEnd"/>
      <w:r w:rsidRPr="00343278">
        <w:t xml:space="preserve"> scale to reach those at risk of acquiring the virus. This includes making new prevention strategies accessible, increasing testing frequency among key populations</w:t>
      </w:r>
      <w:r w:rsidR="00650201">
        <w:t>,</w:t>
      </w:r>
      <w:r w:rsidRPr="00343278">
        <w:t xml:space="preserve"> supporting immediate linkage to care for people newly diagnosed with HIV</w:t>
      </w:r>
      <w:r w:rsidR="006822BF">
        <w:t>,</w:t>
      </w:r>
      <w:r w:rsidRPr="00343278">
        <w:t xml:space="preserve"> and retention in care and treatment adherence among those already living with HIV. </w:t>
      </w:r>
    </w:p>
    <w:p w14:paraId="45DD7D96" w14:textId="77777777" w:rsidR="00D20465" w:rsidRPr="00343278" w:rsidRDefault="00D20465" w:rsidP="00D20465"/>
    <w:p w14:paraId="5D27B53D" w14:textId="5BCC75BC" w:rsidR="00D20465" w:rsidRPr="00343278" w:rsidRDefault="00D20465" w:rsidP="00D20465">
      <w:proofErr w:type="gramStart"/>
      <w:r w:rsidRPr="00343278">
        <w:t>The majority of</w:t>
      </w:r>
      <w:proofErr w:type="gramEnd"/>
      <w:r w:rsidRPr="00343278">
        <w:t xml:space="preserve"> community-led HIV organisations are small in size with a small</w:t>
      </w:r>
      <w:r w:rsidRPr="00343278">
        <w:rPr>
          <w:szCs w:val="12"/>
        </w:rPr>
        <w:t xml:space="preserve"> </w:t>
      </w:r>
      <w:r w:rsidRPr="00343278">
        <w:t>education team. In general, they are staffed by individuals who are specialists in working with one population or delivering one aspect of community-led work (such as delivering educational workshops) but may lack expertise in designing integrated programs, or in specific modalities (such as the effective use of online tools for behaviour change). As each organisation endeavours to meet the needs of local populations, there is a risk of duplication and inconsistency in messaging rather than collaboration. Together, these factors limit our capacity to reach our goal of ending HIV transmission in Australia.</w:t>
      </w:r>
    </w:p>
    <w:p w14:paraId="5760C584" w14:textId="77777777" w:rsidR="00D20465" w:rsidRDefault="00D20465" w:rsidP="00D20465"/>
    <w:p w14:paraId="3686496C" w14:textId="77777777" w:rsidR="00D20465" w:rsidRPr="00D20465" w:rsidRDefault="00D20465" w:rsidP="00D20465">
      <w:pPr>
        <w:pStyle w:val="Heading2"/>
      </w:pPr>
      <w:r w:rsidRPr="00D20465">
        <w:t xml:space="preserve">The solution </w:t>
      </w:r>
    </w:p>
    <w:p w14:paraId="58BB805C" w14:textId="77777777" w:rsidR="00D20465" w:rsidRDefault="00D20465" w:rsidP="00D20465">
      <w:pPr>
        <w:rPr>
          <w:szCs w:val="24"/>
        </w:rPr>
      </w:pPr>
    </w:p>
    <w:p w14:paraId="2C38383E" w14:textId="3688C6E3" w:rsidR="00D20465" w:rsidRPr="00343278" w:rsidRDefault="00D20465" w:rsidP="00D20465">
      <w:pPr>
        <w:rPr>
          <w:szCs w:val="22"/>
        </w:rPr>
      </w:pPr>
      <w:r w:rsidRPr="00343278">
        <w:t xml:space="preserve">An additional investment from the Australian Government of </w:t>
      </w:r>
      <w:r w:rsidRPr="00343278">
        <w:rPr>
          <w:b/>
        </w:rPr>
        <w:t>$1</w:t>
      </w:r>
      <w:r w:rsidR="00910736">
        <w:rPr>
          <w:b/>
        </w:rPr>
        <w:t>0</w:t>
      </w:r>
      <w:r w:rsidRPr="00343278">
        <w:rPr>
          <w:b/>
        </w:rPr>
        <w:t xml:space="preserve"> million per annum</w:t>
      </w:r>
      <w:r w:rsidRPr="00343278">
        <w:t xml:space="preserve"> to improve the reach, impact, </w:t>
      </w:r>
      <w:r w:rsidRPr="00343278">
        <w:rPr>
          <w:szCs w:val="22"/>
        </w:rPr>
        <w:t xml:space="preserve">efficiency and effectiveness of community-led HIV education. Proposed activities: </w:t>
      </w:r>
    </w:p>
    <w:p w14:paraId="03D26ECE" w14:textId="77777777" w:rsidR="00D20465" w:rsidRPr="00343278" w:rsidRDefault="00D20465" w:rsidP="00D20465">
      <w:pPr>
        <w:rPr>
          <w:sz w:val="18"/>
          <w:szCs w:val="22"/>
        </w:rPr>
      </w:pPr>
    </w:p>
    <w:p w14:paraId="2BA13207" w14:textId="77777777" w:rsidR="00343278" w:rsidRDefault="00D20465" w:rsidP="00343278">
      <w:pPr>
        <w:pStyle w:val="ListBullet"/>
      </w:pPr>
      <w:r w:rsidRPr="00343278">
        <w:t xml:space="preserve">develop a nationally-coordinated package of HIV prevention, testing and treatment resources for local implementation. This package should be informed by a range of data, including epidemiological data, social and behavioural research, and international best practice on addressing HIV in key populations. These should include: </w:t>
      </w:r>
    </w:p>
    <w:p w14:paraId="5E82FCAF" w14:textId="5EA99AB6" w:rsidR="00D20465" w:rsidRPr="00343278" w:rsidRDefault="00D20465" w:rsidP="00343278">
      <w:pPr>
        <w:pStyle w:val="ListBullet2"/>
      </w:pPr>
      <w:r w:rsidRPr="00343278">
        <w:t>program development and planning tools</w:t>
      </w:r>
    </w:p>
    <w:p w14:paraId="62249CB7" w14:textId="23E2EAF0" w:rsidR="00D20465" w:rsidRPr="00343278" w:rsidRDefault="00D20465" w:rsidP="00343278">
      <w:pPr>
        <w:pStyle w:val="ListBullet2"/>
      </w:pPr>
      <w:r w:rsidRPr="00343278">
        <w:t xml:space="preserve">health promotion campaign materials </w:t>
      </w:r>
    </w:p>
    <w:p w14:paraId="319CFBD6" w14:textId="77777777" w:rsidR="00D20465" w:rsidRPr="00343278" w:rsidRDefault="00D20465" w:rsidP="00343278">
      <w:pPr>
        <w:pStyle w:val="ListBullet2"/>
      </w:pPr>
      <w:r w:rsidRPr="00343278">
        <w:t xml:space="preserve">session plans for community education </w:t>
      </w:r>
    </w:p>
    <w:p w14:paraId="6E761509" w14:textId="77777777" w:rsidR="00D20465" w:rsidRPr="00343278" w:rsidRDefault="00D20465" w:rsidP="00343278">
      <w:pPr>
        <w:pStyle w:val="ListBullet2"/>
      </w:pPr>
      <w:r w:rsidRPr="00343278">
        <w:t xml:space="preserve">activities across the range of key populations </w:t>
      </w:r>
    </w:p>
    <w:p w14:paraId="4311E15F" w14:textId="77777777" w:rsidR="00D20465" w:rsidRPr="00343278" w:rsidRDefault="00D20465" w:rsidP="00343278">
      <w:pPr>
        <w:pStyle w:val="ListBullet2"/>
      </w:pPr>
      <w:r w:rsidRPr="00343278">
        <w:t>session plans for information/skill development among allied workforces</w:t>
      </w:r>
    </w:p>
    <w:p w14:paraId="1FFFD0F5" w14:textId="77777777" w:rsidR="00D20465" w:rsidRPr="00343278" w:rsidRDefault="00D20465" w:rsidP="00343278">
      <w:pPr>
        <w:pStyle w:val="ListBullet"/>
        <w:ind w:left="357" w:hanging="357"/>
      </w:pPr>
      <w:r w:rsidRPr="00343278">
        <w:t>conduct an ongoing program of awareness raising through a communications strategy which incorporates:</w:t>
      </w:r>
    </w:p>
    <w:p w14:paraId="33FFF982" w14:textId="2E09979C" w:rsidR="00D20465" w:rsidRPr="00343278" w:rsidRDefault="00D20465" w:rsidP="00343278">
      <w:pPr>
        <w:pStyle w:val="ListBullet2"/>
      </w:pPr>
      <w:r w:rsidRPr="00343278">
        <w:t xml:space="preserve">working with communications specialists to monitor current media coverage of HIV and design strategic interventions to update the narrative across mainstream media, </w:t>
      </w:r>
      <w:r w:rsidR="00C17BB6">
        <w:t>lesbian, gay, bisexual, transgender and intersex (LGBTI)</w:t>
      </w:r>
      <w:r w:rsidRPr="00343278">
        <w:t xml:space="preserve"> press and new media</w:t>
      </w:r>
    </w:p>
    <w:p w14:paraId="7E13B409" w14:textId="0932A074" w:rsidR="00D20465" w:rsidRDefault="00D20465" w:rsidP="00343278">
      <w:pPr>
        <w:pStyle w:val="ListBullet2"/>
      </w:pPr>
      <w:r w:rsidRPr="00343278">
        <w:t>collaboration between community-led HIV organisations to provide a coherent and contemporary narrative of HIV in Australia.</w:t>
      </w:r>
    </w:p>
    <w:p w14:paraId="76422AAD" w14:textId="151B0E21" w:rsidR="00650201" w:rsidRDefault="00650201" w:rsidP="00650201">
      <w:pPr>
        <w:pStyle w:val="ListBullet"/>
        <w:numPr>
          <w:ilvl w:val="0"/>
          <w:numId w:val="0"/>
        </w:numPr>
        <w:ind w:left="340" w:hanging="340"/>
      </w:pPr>
    </w:p>
    <w:p w14:paraId="49F9B698" w14:textId="4C60C933" w:rsidR="00650201" w:rsidRDefault="00650201" w:rsidP="00FC1BD1">
      <w:pPr>
        <w:pStyle w:val="Heading2"/>
      </w:pPr>
      <w:r>
        <w:t xml:space="preserve">Aligning priority areas for action in the eighth </w:t>
      </w:r>
      <w:r w:rsidRPr="00650201">
        <w:t>National HIV Strategy</w:t>
      </w:r>
    </w:p>
    <w:p w14:paraId="28B54FD6" w14:textId="4EC49211" w:rsidR="00650201" w:rsidRDefault="00650201" w:rsidP="00650201">
      <w:pPr>
        <w:pStyle w:val="ListBullet"/>
        <w:numPr>
          <w:ilvl w:val="0"/>
          <w:numId w:val="0"/>
        </w:numPr>
        <w:ind w:left="340" w:hanging="340"/>
      </w:pPr>
    </w:p>
    <w:p w14:paraId="66248165" w14:textId="70089D31" w:rsidR="00650201" w:rsidRDefault="00650201" w:rsidP="00650201">
      <w:pPr>
        <w:pStyle w:val="ListBullet"/>
      </w:pPr>
      <w:r>
        <w:t>maintain and implement targeted programs, including community-led and peer-based approaches, which improve HIV-related knowledge, reinforce prevention and promote safe behaviours in priority populations</w:t>
      </w:r>
    </w:p>
    <w:p w14:paraId="3A5F6516" w14:textId="7C65771B" w:rsidR="00650201" w:rsidRDefault="00650201" w:rsidP="00650201">
      <w:pPr>
        <w:pStyle w:val="ListBullet"/>
      </w:pPr>
      <w:r>
        <w:lastRenderedPageBreak/>
        <w:t>promote the availability and effectiveness of post-exposure prophylaxis (PEP), pre-exposure prophylaxis (PrEP) and facilitate rapid, widespread and equitable access to PEP and PrEP across the country</w:t>
      </w:r>
    </w:p>
    <w:p w14:paraId="5B974A3B" w14:textId="64EE6D01" w:rsidR="005A231E" w:rsidRPr="00343278" w:rsidRDefault="005A231E" w:rsidP="00650201">
      <w:pPr>
        <w:pStyle w:val="ListBullet"/>
      </w:pPr>
      <w:r>
        <w:t>support the capacity and role of community organisations to provide education, prevention, support and advocacy services to priority populations.</w:t>
      </w:r>
    </w:p>
    <w:p w14:paraId="54EEA5DE" w14:textId="77777777" w:rsidR="00D20465" w:rsidRPr="00A577EC" w:rsidRDefault="00D20465" w:rsidP="00D20465">
      <w:pPr>
        <w:rPr>
          <w:b/>
          <w:szCs w:val="22"/>
        </w:rPr>
      </w:pPr>
    </w:p>
    <w:p w14:paraId="625E255D" w14:textId="77777777" w:rsidR="00D20465" w:rsidRPr="00D20465" w:rsidRDefault="00D20465" w:rsidP="00D20465">
      <w:pPr>
        <w:pStyle w:val="Heading2"/>
      </w:pPr>
      <w:r w:rsidRPr="00D20465">
        <w:t>Impact of investment</w:t>
      </w:r>
    </w:p>
    <w:p w14:paraId="50CC5A51" w14:textId="77777777" w:rsidR="00D20465" w:rsidRDefault="00D20465" w:rsidP="00D20465">
      <w:pPr>
        <w:rPr>
          <w:b/>
          <w:szCs w:val="24"/>
        </w:rPr>
      </w:pPr>
    </w:p>
    <w:p w14:paraId="31F0A7C1" w14:textId="01C40AA9" w:rsidR="00C17BB6" w:rsidRDefault="00FC1BD1" w:rsidP="00D20465">
      <w:pPr>
        <w:rPr>
          <w:rFonts w:asciiTheme="minorHAnsi" w:hAnsiTheme="minorHAnsi"/>
          <w:szCs w:val="22"/>
        </w:rPr>
      </w:pPr>
      <w:r>
        <w:t xml:space="preserve">This investment will </w:t>
      </w:r>
      <w:r w:rsidR="00D20465" w:rsidRPr="00343278">
        <w:t>deliver greater efficiency in community-led efforts, reduce any remaining duplication</w:t>
      </w:r>
      <w:r w:rsidR="008C7521">
        <w:t>,</w:t>
      </w:r>
      <w:r w:rsidR="00D20465" w:rsidRPr="00343278">
        <w:t xml:space="preserve"> reduce the potential for inconsistent messaging</w:t>
      </w:r>
      <w:bookmarkEnd w:id="9"/>
      <w:r w:rsidR="008C7521">
        <w:t xml:space="preserve"> </w:t>
      </w:r>
      <w:r w:rsidR="008C7521" w:rsidRPr="00B24A18">
        <w:t>and</w:t>
      </w:r>
      <w:r w:rsidRPr="00B24A18">
        <w:t xml:space="preserve"> help to drive down HIV rates to very low levels</w:t>
      </w:r>
      <w:r w:rsidR="00910736" w:rsidRPr="00B24A18">
        <w:t xml:space="preserve">. </w:t>
      </w:r>
      <w:r w:rsidR="008C7521" w:rsidRPr="00B24A18">
        <w:t>Greater efficiency in the community-led response to HIV coupled with</w:t>
      </w:r>
      <w:r w:rsidR="00910736" w:rsidRPr="00B24A18">
        <w:t xml:space="preserve"> </w:t>
      </w:r>
      <w:r w:rsidR="008C7521" w:rsidRPr="00B24A18">
        <w:t>decreasing</w:t>
      </w:r>
      <w:r w:rsidR="00910736" w:rsidRPr="00B24A18">
        <w:t xml:space="preserve"> levels of HIV will</w:t>
      </w:r>
      <w:r w:rsidRPr="00B24A18">
        <w:t xml:space="preserve"> result in </w:t>
      </w:r>
      <w:r w:rsidRPr="00B24A18">
        <w:rPr>
          <w:rFonts w:asciiTheme="minorHAnsi" w:hAnsiTheme="minorHAnsi"/>
          <w:szCs w:val="22"/>
        </w:rPr>
        <w:t>direct savings to the Australian Government in averted P</w:t>
      </w:r>
      <w:r w:rsidR="008C7521" w:rsidRPr="00B24A18">
        <w:rPr>
          <w:rFonts w:asciiTheme="minorHAnsi" w:hAnsiTheme="minorHAnsi"/>
          <w:szCs w:val="22"/>
        </w:rPr>
        <w:t xml:space="preserve">harmaceutical </w:t>
      </w:r>
      <w:r w:rsidRPr="00B24A18">
        <w:rPr>
          <w:rFonts w:asciiTheme="minorHAnsi" w:hAnsiTheme="minorHAnsi"/>
          <w:szCs w:val="22"/>
        </w:rPr>
        <w:t>B</w:t>
      </w:r>
      <w:r w:rsidR="008C7521" w:rsidRPr="00B24A18">
        <w:rPr>
          <w:rFonts w:asciiTheme="minorHAnsi" w:hAnsiTheme="minorHAnsi"/>
          <w:szCs w:val="22"/>
        </w:rPr>
        <w:t xml:space="preserve">enefits </w:t>
      </w:r>
      <w:r w:rsidRPr="00B24A18">
        <w:rPr>
          <w:rFonts w:asciiTheme="minorHAnsi" w:hAnsiTheme="minorHAnsi"/>
          <w:szCs w:val="22"/>
        </w:rPr>
        <w:t>S</w:t>
      </w:r>
      <w:r w:rsidR="008C7521" w:rsidRPr="00B24A18">
        <w:rPr>
          <w:rFonts w:asciiTheme="minorHAnsi" w:hAnsiTheme="minorHAnsi"/>
          <w:szCs w:val="22"/>
        </w:rPr>
        <w:t>cheme</w:t>
      </w:r>
      <w:r w:rsidRPr="00B24A18">
        <w:rPr>
          <w:rFonts w:asciiTheme="minorHAnsi" w:hAnsiTheme="minorHAnsi"/>
          <w:szCs w:val="22"/>
        </w:rPr>
        <w:t xml:space="preserve"> and M</w:t>
      </w:r>
      <w:r w:rsidR="008C7521" w:rsidRPr="00B24A18">
        <w:rPr>
          <w:rFonts w:asciiTheme="minorHAnsi" w:hAnsiTheme="minorHAnsi"/>
          <w:szCs w:val="22"/>
        </w:rPr>
        <w:t xml:space="preserve">edicare </w:t>
      </w:r>
      <w:r w:rsidRPr="00B24A18">
        <w:rPr>
          <w:rFonts w:asciiTheme="minorHAnsi" w:hAnsiTheme="minorHAnsi"/>
          <w:szCs w:val="22"/>
        </w:rPr>
        <w:t>B</w:t>
      </w:r>
      <w:r w:rsidR="008C7521" w:rsidRPr="00B24A18">
        <w:rPr>
          <w:rFonts w:asciiTheme="minorHAnsi" w:hAnsiTheme="minorHAnsi"/>
          <w:szCs w:val="22"/>
        </w:rPr>
        <w:t xml:space="preserve">enefits </w:t>
      </w:r>
      <w:r w:rsidRPr="00B24A18">
        <w:rPr>
          <w:rFonts w:asciiTheme="minorHAnsi" w:hAnsiTheme="minorHAnsi"/>
          <w:szCs w:val="22"/>
        </w:rPr>
        <w:t>S</w:t>
      </w:r>
      <w:r w:rsidR="008C7521" w:rsidRPr="00B24A18">
        <w:rPr>
          <w:rFonts w:asciiTheme="minorHAnsi" w:hAnsiTheme="minorHAnsi"/>
          <w:szCs w:val="22"/>
        </w:rPr>
        <w:t>chedule</w:t>
      </w:r>
      <w:r w:rsidRPr="00B24A18">
        <w:rPr>
          <w:rFonts w:asciiTheme="minorHAnsi" w:hAnsiTheme="minorHAnsi"/>
          <w:szCs w:val="22"/>
        </w:rPr>
        <w:t xml:space="preserve"> costs begin</w:t>
      </w:r>
      <w:r w:rsidR="00910736" w:rsidRPr="00B24A18">
        <w:rPr>
          <w:rFonts w:asciiTheme="minorHAnsi" w:hAnsiTheme="minorHAnsi"/>
          <w:szCs w:val="22"/>
        </w:rPr>
        <w:t>ning</w:t>
      </w:r>
      <w:r w:rsidRPr="00B24A18">
        <w:rPr>
          <w:rFonts w:asciiTheme="minorHAnsi" w:hAnsiTheme="minorHAnsi"/>
          <w:szCs w:val="22"/>
        </w:rPr>
        <w:t xml:space="preserve"> </w:t>
      </w:r>
      <w:r w:rsidR="00910736" w:rsidRPr="00B24A18">
        <w:rPr>
          <w:rFonts w:asciiTheme="minorHAnsi" w:hAnsiTheme="minorHAnsi"/>
          <w:szCs w:val="22"/>
        </w:rPr>
        <w:t>immediately and</w:t>
      </w:r>
      <w:r w:rsidRPr="00B24A18">
        <w:rPr>
          <w:rFonts w:asciiTheme="minorHAnsi" w:hAnsiTheme="minorHAnsi"/>
          <w:szCs w:val="22"/>
        </w:rPr>
        <w:t xml:space="preserve"> continue over the lifetime of each person whose HIV infection is averted</w:t>
      </w:r>
      <w:r w:rsidR="00910736" w:rsidRPr="00B24A18">
        <w:rPr>
          <w:rFonts w:asciiTheme="minorHAnsi" w:hAnsiTheme="minorHAnsi"/>
          <w:szCs w:val="22"/>
        </w:rPr>
        <w:t>.</w:t>
      </w:r>
    </w:p>
    <w:p w14:paraId="3CEFE67F" w14:textId="30AA9AB3" w:rsidR="00D20465" w:rsidRPr="00C17BB6" w:rsidRDefault="00C17BB6" w:rsidP="00C17BB6">
      <w:pPr>
        <w:adjustRightInd/>
        <w:snapToGrid/>
        <w:rPr>
          <w:rFonts w:asciiTheme="minorHAnsi" w:hAnsiTheme="minorHAnsi"/>
          <w:szCs w:val="22"/>
        </w:rPr>
      </w:pPr>
      <w:r>
        <w:rPr>
          <w:rFonts w:asciiTheme="minorHAnsi" w:hAnsiTheme="minorHAnsi"/>
          <w:szCs w:val="22"/>
        </w:rPr>
        <w:br w:type="page"/>
      </w:r>
      <w:r w:rsidR="00D20465">
        <w:rPr>
          <w:b/>
          <w:color w:val="F26522" w:themeColor="accent1"/>
          <w:sz w:val="28"/>
          <w:szCs w:val="28"/>
        </w:rPr>
        <w:lastRenderedPageBreak/>
        <w:t>Recommendation 2: Plan and implement an improved and sustained response to HIV and STIs among Aboriginal and Torres Strait Islander communities</w:t>
      </w:r>
    </w:p>
    <w:p w14:paraId="5A6A6868" w14:textId="77777777" w:rsidR="00D20465" w:rsidRDefault="00D20465" w:rsidP="00D20465">
      <w:pPr>
        <w:rPr>
          <w:szCs w:val="24"/>
        </w:rPr>
      </w:pPr>
    </w:p>
    <w:p w14:paraId="3F34488E" w14:textId="77777777" w:rsidR="00D20465" w:rsidRPr="00D20465" w:rsidRDefault="00D20465" w:rsidP="00D20465">
      <w:pPr>
        <w:pStyle w:val="Heading2"/>
      </w:pPr>
      <w:r w:rsidRPr="00D20465">
        <w:t>Issues</w:t>
      </w:r>
    </w:p>
    <w:p w14:paraId="53D04334" w14:textId="77777777" w:rsidR="00D20465" w:rsidRDefault="00D20465" w:rsidP="00D20465">
      <w:pPr>
        <w:rPr>
          <w:b/>
          <w:szCs w:val="24"/>
        </w:rPr>
      </w:pPr>
    </w:p>
    <w:p w14:paraId="77AF1700" w14:textId="593DBD2E" w:rsidR="00D20465" w:rsidRPr="00343278" w:rsidRDefault="00D20465" w:rsidP="00D20465">
      <w:r w:rsidRPr="00343278">
        <w:t xml:space="preserve">There have been slow but sustained increases among Aboriginal and Torres Strait Islander communities in Australia, such that HIV rates are now trending above the rate for non-Indigenous people. </w:t>
      </w:r>
    </w:p>
    <w:p w14:paraId="13125789" w14:textId="77777777" w:rsidR="00D20465" w:rsidRPr="00343278" w:rsidRDefault="00D20465" w:rsidP="00D20465"/>
    <w:p w14:paraId="41B4D20D" w14:textId="3636C4A0" w:rsidR="00D20465" w:rsidRPr="00343278" w:rsidRDefault="00D20465" w:rsidP="00D20465">
      <w:r w:rsidRPr="00343278">
        <w:t>At the same time, rates of STIs (chlamydia, gonorrhoea, infectious syphilis and trichomonas, all of which are implicated in HIV transmission) are at all-time highs in Aboriginal and Torres Strait Islander communities. It is well-established from overseas experience (particularly in Canada) that Indigenous communities are vulnerable to rapid increases in HIV because of younger age, poorer access to primary health care, very high background rates of STIs, higher mobility, incarceration and drug use</w:t>
      </w:r>
      <w:r w:rsidR="00866A17">
        <w:t>,</w:t>
      </w:r>
      <w:r w:rsidRPr="00343278">
        <w:t xml:space="preserve"> and lack of employment opportunity. These factors also make HIV extremely difficult to manage in Indigenous communities once it is established at any scale. The impact of current activities notwithstanding, the response to HIV and STIs in Aboriginal and Torres Strait Islander communities is not of </w:t>
      </w:r>
      <w:proofErr w:type="gramStart"/>
      <w:r w:rsidRPr="00343278">
        <w:t>sufficient</w:t>
      </w:r>
      <w:proofErr w:type="gramEnd"/>
      <w:r w:rsidRPr="00343278">
        <w:t xml:space="preserve"> scale to reduce new infections and improve uptake </w:t>
      </w:r>
      <w:r w:rsidR="00866A17">
        <w:t>of</w:t>
      </w:r>
      <w:r w:rsidRPr="00343278">
        <w:t xml:space="preserve"> testing and treatment</w:t>
      </w:r>
      <w:r w:rsidR="00866A17">
        <w:t>.</w:t>
      </w:r>
    </w:p>
    <w:p w14:paraId="50EB07CD" w14:textId="77777777" w:rsidR="00D20465" w:rsidRPr="00343278" w:rsidRDefault="00D20465" w:rsidP="00D20465">
      <w:pPr>
        <w:rPr>
          <w:sz w:val="18"/>
        </w:rPr>
      </w:pPr>
    </w:p>
    <w:p w14:paraId="63971D76" w14:textId="77777777" w:rsidR="00D20465" w:rsidRPr="00D20465" w:rsidRDefault="00D20465" w:rsidP="00D20465">
      <w:pPr>
        <w:pStyle w:val="Heading2"/>
      </w:pPr>
      <w:r w:rsidRPr="00D20465">
        <w:t xml:space="preserve">The solution </w:t>
      </w:r>
    </w:p>
    <w:p w14:paraId="3752177A" w14:textId="77777777" w:rsidR="00D20465" w:rsidRDefault="00D20465" w:rsidP="00D20465">
      <w:pPr>
        <w:rPr>
          <w:b/>
          <w:szCs w:val="24"/>
        </w:rPr>
      </w:pPr>
    </w:p>
    <w:p w14:paraId="635B7477" w14:textId="77777777" w:rsidR="00D20465" w:rsidRPr="00343278" w:rsidRDefault="00D20465" w:rsidP="00D20465">
      <w:pPr>
        <w:rPr>
          <w:rFonts w:cstheme="minorBidi"/>
          <w:szCs w:val="22"/>
        </w:rPr>
      </w:pPr>
      <w:r w:rsidRPr="00343278">
        <w:t xml:space="preserve">An additional investment from the Australian Government of </w:t>
      </w:r>
      <w:r w:rsidRPr="00343278">
        <w:rPr>
          <w:b/>
        </w:rPr>
        <w:t>$15 million per annum</w:t>
      </w:r>
      <w:r w:rsidRPr="00343278">
        <w:t xml:space="preserve"> to plan and implement an improved and sustained response to </w:t>
      </w:r>
      <w:r w:rsidRPr="00343278">
        <w:rPr>
          <w:szCs w:val="22"/>
        </w:rPr>
        <w:t xml:space="preserve">HIV and STIs in Aboriginal and Torres Strait Islander communities. This requires highly localised and nationally-coordinated support that is informed by and responsive to existing conditions, rates of infection and vulnerability. The </w:t>
      </w:r>
      <w:r w:rsidRPr="00343278">
        <w:rPr>
          <w:i/>
          <w:szCs w:val="22"/>
        </w:rPr>
        <w:t>High-Level Summit to Address HIV and other STIs</w:t>
      </w:r>
      <w:r w:rsidRPr="00343278">
        <w:rPr>
          <w:szCs w:val="22"/>
        </w:rPr>
        <w:t xml:space="preserve"> (Brisbane 2015) and other consultation fora have identified the following priorities for action: </w:t>
      </w:r>
    </w:p>
    <w:p w14:paraId="468FEE91" w14:textId="77777777" w:rsidR="00D20465" w:rsidRPr="00343278" w:rsidRDefault="00D20465" w:rsidP="00D20465">
      <w:pPr>
        <w:pStyle w:val="ListParagraph"/>
        <w:spacing w:after="0"/>
        <w:ind w:left="360"/>
        <w:rPr>
          <w:rFonts w:ascii="Calibri" w:hAnsi="Calibri"/>
          <w:sz w:val="20"/>
          <w:szCs w:val="22"/>
          <w:lang w:val="en-AU"/>
        </w:rPr>
      </w:pPr>
    </w:p>
    <w:p w14:paraId="1AC01BC0" w14:textId="4AB5443E" w:rsidR="00D20465" w:rsidRPr="00343278" w:rsidRDefault="00D20465" w:rsidP="00343278">
      <w:pPr>
        <w:pStyle w:val="ListBullet"/>
        <w:ind w:left="357" w:hanging="357"/>
      </w:pPr>
      <w:r w:rsidRPr="00343278">
        <w:t xml:space="preserve">increasing the clinical and health promotion capacity of Aboriginal Community Controlled Health Organisations and non-Indigenous organisations to respond to HIV and STIs </w:t>
      </w:r>
    </w:p>
    <w:p w14:paraId="56F55DE1" w14:textId="77777777" w:rsidR="00D20465" w:rsidRPr="00343278" w:rsidRDefault="00D20465" w:rsidP="00343278">
      <w:pPr>
        <w:pStyle w:val="ListBullet"/>
        <w:ind w:left="357" w:hanging="357"/>
      </w:pPr>
      <w:r w:rsidRPr="00343278">
        <w:t>a national project to reduce sharing of injecting equipment among Aboriginal and Torres Strait Islander people, incorporating education and improved access to the means of prevention</w:t>
      </w:r>
    </w:p>
    <w:p w14:paraId="1E1F655F" w14:textId="03C99EDA" w:rsidR="00D20465" w:rsidRPr="00343278" w:rsidRDefault="00D20465" w:rsidP="00343278">
      <w:pPr>
        <w:pStyle w:val="ListBullet"/>
        <w:ind w:left="357" w:hanging="357"/>
      </w:pPr>
      <w:r w:rsidRPr="00343278">
        <w:t>establish clinical and community surge capacity in areas that experience HIV</w:t>
      </w:r>
      <w:r w:rsidR="00866A17">
        <w:t xml:space="preserve"> and STI</w:t>
      </w:r>
      <w:r w:rsidRPr="00343278">
        <w:t xml:space="preserve"> outbreaks, including rapid testing, HIV</w:t>
      </w:r>
      <w:r w:rsidR="00866A17">
        <w:t xml:space="preserve"> and STI</w:t>
      </w:r>
      <w:r w:rsidRPr="00343278">
        <w:t xml:space="preserve"> case management, availability of</w:t>
      </w:r>
      <w:r w:rsidR="00866A17">
        <w:t xml:space="preserve"> condoms,</w:t>
      </w:r>
      <w:r w:rsidRPr="00343278">
        <w:t xml:space="preserve"> </w:t>
      </w:r>
      <w:r w:rsidR="00393AE2">
        <w:t>PrEP</w:t>
      </w:r>
      <w:r w:rsidRPr="00343278">
        <w:t xml:space="preserve">, </w:t>
      </w:r>
      <w:r w:rsidR="00393AE2">
        <w:t>PEP</w:t>
      </w:r>
      <w:r w:rsidRPr="00343278">
        <w:t>, clean injecting equipment and pharmacotherapy</w:t>
      </w:r>
    </w:p>
    <w:p w14:paraId="35809ED1" w14:textId="77777777" w:rsidR="00D20465" w:rsidRPr="00343278" w:rsidRDefault="00D20465" w:rsidP="00343278">
      <w:pPr>
        <w:pStyle w:val="ListBullet"/>
        <w:ind w:left="357" w:hanging="357"/>
      </w:pPr>
      <w:r w:rsidRPr="00343278">
        <w:t xml:space="preserve">targeted health promotion in urban and regional areas addressing both HIV and STIs, for gay men and men how have sex with men and heterosexuals, especially young people </w:t>
      </w:r>
    </w:p>
    <w:p w14:paraId="22597F56" w14:textId="174A572F" w:rsidR="00D20465" w:rsidRPr="00343278" w:rsidRDefault="00D20465" w:rsidP="00343278">
      <w:pPr>
        <w:pStyle w:val="ListBullet"/>
        <w:ind w:left="357" w:hanging="357"/>
      </w:pPr>
      <w:r w:rsidRPr="00343278">
        <w:t>ongoing support for Aboriginal HIV Awareness Week, the Anwernekenhe National HIV Alliance and the biannual Anwernekenhe Conference</w:t>
      </w:r>
      <w:r w:rsidR="00393AE2">
        <w:t>.</w:t>
      </w:r>
    </w:p>
    <w:p w14:paraId="77E435C1" w14:textId="08EF2933" w:rsidR="005A231E" w:rsidRDefault="005A231E" w:rsidP="005A231E">
      <w:pPr>
        <w:pStyle w:val="ListBullet"/>
        <w:numPr>
          <w:ilvl w:val="0"/>
          <w:numId w:val="0"/>
        </w:numPr>
        <w:ind w:left="340" w:hanging="340"/>
      </w:pPr>
    </w:p>
    <w:p w14:paraId="24E59F89" w14:textId="266A0579" w:rsidR="005A231E" w:rsidRDefault="005A231E" w:rsidP="00FC1BD1">
      <w:pPr>
        <w:pStyle w:val="Heading2"/>
      </w:pPr>
      <w:r>
        <w:t>Aligning priority areas for action in the fifth National Aboriginal and Torres Strait Islander Blood Borne Viruses and Sexually Transmitted Infections Strategy</w:t>
      </w:r>
    </w:p>
    <w:p w14:paraId="40B83290" w14:textId="083F1F11" w:rsidR="005A231E" w:rsidRDefault="005A231E" w:rsidP="005A231E">
      <w:pPr>
        <w:pStyle w:val="ListBullet"/>
        <w:numPr>
          <w:ilvl w:val="0"/>
          <w:numId w:val="0"/>
        </w:numPr>
        <w:ind w:left="340" w:hanging="340"/>
      </w:pPr>
    </w:p>
    <w:p w14:paraId="0C3A8BB1" w14:textId="37936340" w:rsidR="00393AE2" w:rsidRDefault="00D84CA7" w:rsidP="00393AE2">
      <w:pPr>
        <w:pStyle w:val="ListBullet"/>
      </w:pPr>
      <w:r>
        <w:t>i</w:t>
      </w:r>
      <w:r w:rsidR="00393AE2">
        <w:t>mplement, support and evaluate a range of community (co)-designed and led, evidence-based and multifaceted blood borne virus (BBV) and sexually transmitted infection (STI) education and prevention initiatives across priority settings to build community knowledge and awareness and effectively target and engage priority groups</w:t>
      </w:r>
    </w:p>
    <w:p w14:paraId="6E7C4643" w14:textId="06AF36B2" w:rsidR="00393AE2" w:rsidRDefault="00D84CA7" w:rsidP="005A231E">
      <w:pPr>
        <w:pStyle w:val="ListBullet"/>
      </w:pPr>
      <w:r>
        <w:t>s</w:t>
      </w:r>
      <w:r w:rsidR="00393AE2">
        <w:t xml:space="preserve">upport sexual health education </w:t>
      </w:r>
      <w:r w:rsidR="00866A17">
        <w:t xml:space="preserve">in schools and </w:t>
      </w:r>
      <w:r w:rsidR="00393AE2">
        <w:t>community settings to improve knowledge and awareness of health</w:t>
      </w:r>
      <w:r w:rsidR="00B24A18">
        <w:t>,</w:t>
      </w:r>
      <w:r w:rsidR="00393AE2">
        <w:t xml:space="preserve"> relationships and STI</w:t>
      </w:r>
      <w:r w:rsidR="00B24A18">
        <w:t>s</w:t>
      </w:r>
      <w:r w:rsidR="00393AE2">
        <w:t>, reduce risk behaviours associated with the transmission of STI</w:t>
      </w:r>
      <w:r w:rsidR="00B24A18">
        <w:t>s</w:t>
      </w:r>
      <w:r w:rsidR="00393AE2">
        <w:t>, and highlight the importance of regular STI testing once sexually active</w:t>
      </w:r>
    </w:p>
    <w:p w14:paraId="586EFC64" w14:textId="01C39659" w:rsidR="00393AE2" w:rsidRDefault="00D84CA7" w:rsidP="005A231E">
      <w:pPr>
        <w:pStyle w:val="ListBullet"/>
      </w:pPr>
      <w:r>
        <w:t>build knowledge and awareness of the various means of prevention for BBV</w:t>
      </w:r>
      <w:r w:rsidR="00B24A18">
        <w:t>s</w:t>
      </w:r>
      <w:r>
        <w:t xml:space="preserve"> and STI</w:t>
      </w:r>
      <w:r w:rsidR="00B24A18">
        <w:t>s</w:t>
      </w:r>
      <w:r>
        <w:t>, including reinforcing the central role of condoms, the importance of vaccination, the effective use of biomedical tools such as PEP, PrEP and</w:t>
      </w:r>
      <w:r w:rsidR="00B24A18">
        <w:t xml:space="preserve"> HIV</w:t>
      </w:r>
      <w:r>
        <w:t xml:space="preserve"> treatment as prevention (TasP)</w:t>
      </w:r>
    </w:p>
    <w:p w14:paraId="3730539A" w14:textId="698BD1FB" w:rsidR="00D84CA7" w:rsidRDefault="00D84CA7" w:rsidP="005A231E">
      <w:pPr>
        <w:pStyle w:val="ListBullet"/>
      </w:pPr>
      <w:r>
        <w:t>support widespread and equitable access to all means of STI and BBV prevention across the country in combination with STI and BBV prevention education and regular testing and treatment services</w:t>
      </w:r>
    </w:p>
    <w:p w14:paraId="6FEC7DF0" w14:textId="300402EE" w:rsidR="00D84CA7" w:rsidRDefault="00D84CA7" w:rsidP="005A231E">
      <w:pPr>
        <w:pStyle w:val="ListBullet"/>
      </w:pPr>
      <w:r>
        <w:t>implement a range of initiatives to address stigma and discrimination and minimise their impact on the health of Aboriginal and Torres Strait Islander people at risk of or living with</w:t>
      </w:r>
      <w:r w:rsidR="00B24A18">
        <w:t xml:space="preserve"> a</w:t>
      </w:r>
      <w:r>
        <w:t xml:space="preserve"> BBV and/or</w:t>
      </w:r>
      <w:r w:rsidR="00B24A18">
        <w:t xml:space="preserve"> a</w:t>
      </w:r>
      <w:r>
        <w:t xml:space="preserve"> STI.</w:t>
      </w:r>
    </w:p>
    <w:p w14:paraId="2505228D" w14:textId="77777777" w:rsidR="00D20465" w:rsidRDefault="00D20465" w:rsidP="00D20465">
      <w:pPr>
        <w:rPr>
          <w:b/>
          <w:szCs w:val="24"/>
        </w:rPr>
      </w:pPr>
    </w:p>
    <w:p w14:paraId="510B36F1" w14:textId="77777777" w:rsidR="00D20465" w:rsidRPr="00D20465" w:rsidRDefault="00D20465" w:rsidP="00D20465">
      <w:pPr>
        <w:pStyle w:val="Heading2"/>
      </w:pPr>
      <w:r w:rsidRPr="00D20465">
        <w:lastRenderedPageBreak/>
        <w:t>Impact of investment</w:t>
      </w:r>
    </w:p>
    <w:p w14:paraId="36478C79" w14:textId="77777777" w:rsidR="00D20465" w:rsidRDefault="00D20465" w:rsidP="00D20465">
      <w:pPr>
        <w:rPr>
          <w:b/>
          <w:szCs w:val="24"/>
        </w:rPr>
      </w:pPr>
    </w:p>
    <w:p w14:paraId="71E4DE63" w14:textId="3869527E" w:rsidR="00D20465" w:rsidRPr="00343278" w:rsidRDefault="00343278" w:rsidP="00343278">
      <w:pPr>
        <w:pStyle w:val="ListBullet"/>
        <w:ind w:left="357" w:hanging="357"/>
      </w:pPr>
      <w:r>
        <w:t>i</w:t>
      </w:r>
      <w:r w:rsidR="00D20465" w:rsidRPr="00343278">
        <w:t>mproved health outcomes for Aboriginal and Torres Strait Islander people with HIV</w:t>
      </w:r>
      <w:r w:rsidR="00866A17">
        <w:t xml:space="preserve"> and/or STI</w:t>
      </w:r>
      <w:r w:rsidR="004928BB">
        <w:t>s</w:t>
      </w:r>
      <w:r w:rsidR="00D20465" w:rsidRPr="00343278">
        <w:t xml:space="preserve"> or at risk of HIV</w:t>
      </w:r>
      <w:r w:rsidR="00866A17">
        <w:t xml:space="preserve"> and/or STI</w:t>
      </w:r>
      <w:r w:rsidR="004928BB">
        <w:t>s</w:t>
      </w:r>
      <w:r w:rsidR="00D20465" w:rsidRPr="00343278">
        <w:t xml:space="preserve"> acquisition. </w:t>
      </w:r>
    </w:p>
    <w:p w14:paraId="74347366" w14:textId="26846C51" w:rsidR="00D20465" w:rsidRDefault="00343278" w:rsidP="00343278">
      <w:pPr>
        <w:pStyle w:val="ListBullet"/>
        <w:ind w:left="357" w:hanging="357"/>
      </w:pPr>
      <w:r>
        <w:t>r</w:t>
      </w:r>
      <w:r w:rsidR="00D20465" w:rsidRPr="00343278">
        <w:t>educed risk of onward HIV</w:t>
      </w:r>
      <w:r w:rsidR="00866A17">
        <w:t xml:space="preserve"> and/or STI</w:t>
      </w:r>
      <w:r w:rsidR="00D20465" w:rsidRPr="00343278">
        <w:t xml:space="preserve"> transmission from undiagnosed infection. </w:t>
      </w:r>
    </w:p>
    <w:p w14:paraId="764DC09A" w14:textId="77777777" w:rsidR="00343278" w:rsidRPr="00343278" w:rsidRDefault="00343278" w:rsidP="00343278">
      <w:pPr>
        <w:pStyle w:val="ListBullet"/>
        <w:numPr>
          <w:ilvl w:val="0"/>
          <w:numId w:val="0"/>
        </w:numPr>
      </w:pPr>
    </w:p>
    <w:p w14:paraId="36DD42D2" w14:textId="77777777" w:rsidR="00C17BB6" w:rsidRDefault="00D20465" w:rsidP="00D20465">
      <w:r w:rsidRPr="00B24A18">
        <w:t>This investment will</w:t>
      </w:r>
      <w:r w:rsidR="00910736" w:rsidRPr="00B24A18">
        <w:t xml:space="preserve"> work to close the gap between Aboriginal and Torres Strait Islander people and Australian-born non-Indigenous people in relation to HIV and STIs</w:t>
      </w:r>
      <w:r w:rsidR="00F3397F" w:rsidRPr="00B24A18">
        <w:t xml:space="preserve"> and</w:t>
      </w:r>
      <w:r w:rsidRPr="00343278">
        <w:t xml:space="preserve"> substantially reduce the pool of individuals at risk of HIV</w:t>
      </w:r>
      <w:r w:rsidR="00866A17">
        <w:t xml:space="preserve"> and/or STI</w:t>
      </w:r>
      <w:r w:rsidR="004928BB">
        <w:t>s</w:t>
      </w:r>
      <w:r w:rsidR="00910736">
        <w:t>,</w:t>
      </w:r>
      <w:r w:rsidRPr="00343278">
        <w:t xml:space="preserve"> who have undiagnosed HIV</w:t>
      </w:r>
      <w:r w:rsidR="00866A17">
        <w:t xml:space="preserve"> and/or STI</w:t>
      </w:r>
      <w:r w:rsidR="004928BB">
        <w:t>s</w:t>
      </w:r>
      <w:r w:rsidRPr="00343278">
        <w:t xml:space="preserve"> and reduce the long-term clinical care costs associated with treating new</w:t>
      </w:r>
      <w:r w:rsidR="00866A17">
        <w:t xml:space="preserve"> HIV</w:t>
      </w:r>
      <w:r w:rsidRPr="00343278">
        <w:t xml:space="preserve"> infections.</w:t>
      </w:r>
    </w:p>
    <w:p w14:paraId="67A2243E" w14:textId="332A5A6F" w:rsidR="00D20465" w:rsidRPr="00285C95" w:rsidRDefault="00C17BB6" w:rsidP="00C17BB6">
      <w:pPr>
        <w:adjustRightInd/>
        <w:snapToGrid/>
      </w:pPr>
      <w:r>
        <w:br w:type="page"/>
      </w:r>
      <w:r w:rsidR="00D20465">
        <w:rPr>
          <w:b/>
          <w:color w:val="F26522" w:themeColor="accent1"/>
          <w:sz w:val="28"/>
          <w:szCs w:val="28"/>
        </w:rPr>
        <w:lastRenderedPageBreak/>
        <w:t xml:space="preserve">Recommendation 3: Develop specialised programs to engage with </w:t>
      </w:r>
      <w:r w:rsidR="00866A17">
        <w:rPr>
          <w:b/>
          <w:color w:val="F26522" w:themeColor="accent1"/>
          <w:sz w:val="28"/>
          <w:szCs w:val="28"/>
        </w:rPr>
        <w:t>‘</w:t>
      </w:r>
      <w:r w:rsidR="00D20465">
        <w:rPr>
          <w:b/>
          <w:color w:val="F26522" w:themeColor="accent1"/>
          <w:sz w:val="28"/>
          <w:szCs w:val="28"/>
        </w:rPr>
        <w:t>hidden</w:t>
      </w:r>
      <w:r w:rsidR="00866A17">
        <w:rPr>
          <w:b/>
          <w:color w:val="F26522" w:themeColor="accent1"/>
          <w:sz w:val="28"/>
          <w:szCs w:val="28"/>
        </w:rPr>
        <w:t>’</w:t>
      </w:r>
      <w:r w:rsidR="00D20465">
        <w:rPr>
          <w:b/>
          <w:color w:val="F26522" w:themeColor="accent1"/>
          <w:sz w:val="28"/>
          <w:szCs w:val="28"/>
        </w:rPr>
        <w:t xml:space="preserve"> populations at risk of being left behind, including people with unsuspected HIV, late HIV presenters and those not being treated</w:t>
      </w:r>
    </w:p>
    <w:p w14:paraId="52554C5E" w14:textId="77777777" w:rsidR="00D20465" w:rsidRDefault="00D20465" w:rsidP="00D20465">
      <w:pPr>
        <w:rPr>
          <w:b/>
          <w:szCs w:val="24"/>
        </w:rPr>
      </w:pPr>
    </w:p>
    <w:p w14:paraId="2D5F96EE" w14:textId="77777777" w:rsidR="00D20465" w:rsidRPr="00D20465" w:rsidRDefault="00D20465" w:rsidP="00D20465">
      <w:pPr>
        <w:pStyle w:val="Heading2"/>
      </w:pPr>
      <w:r w:rsidRPr="00D20465">
        <w:t>Issues</w:t>
      </w:r>
    </w:p>
    <w:p w14:paraId="472DE7B3" w14:textId="77777777" w:rsidR="00D20465" w:rsidRDefault="00D20465" w:rsidP="00D20465">
      <w:pPr>
        <w:rPr>
          <w:b/>
          <w:szCs w:val="24"/>
        </w:rPr>
      </w:pPr>
    </w:p>
    <w:p w14:paraId="7D755D24" w14:textId="04D5EC61" w:rsidR="00D20465" w:rsidRPr="00343278" w:rsidRDefault="00D20465" w:rsidP="00D20465">
      <w:r w:rsidRPr="00343278">
        <w:t xml:space="preserve">Despite the success of existing HIV prevention, testing and treatment efforts, there are significant ‘hidden’ populations who are at risk of not </w:t>
      </w:r>
      <w:r w:rsidR="00866A17">
        <w:t>experiencing</w:t>
      </w:r>
      <w:r w:rsidRPr="00343278">
        <w:t xml:space="preserve"> the benefits of current prevention and treatment science. These populations include gay men with infrequent HIV testing practices, people from culturally and linguistically diverse backgrounds, Aboriginal and Torres Strait Islander people, people who inject drugs who have less understanding of their personal risk of acquiring HIV, and people with HIV who have not been linked to care or have been lost to care.</w:t>
      </w:r>
      <w:r w:rsidR="00866A17">
        <w:t xml:space="preserve"> </w:t>
      </w:r>
      <w:r w:rsidRPr="00343278">
        <w:t>Improving understanding of HIV</w:t>
      </w:r>
      <w:r w:rsidR="00866A17">
        <w:t>,</w:t>
      </w:r>
      <w:r w:rsidRPr="00343278">
        <w:t xml:space="preserve"> including building capability for personal risk assessment</w:t>
      </w:r>
      <w:r w:rsidR="00866A17">
        <w:t>,</w:t>
      </w:r>
      <w:r w:rsidRPr="00343278">
        <w:t xml:space="preserve"> is a priority because: </w:t>
      </w:r>
    </w:p>
    <w:p w14:paraId="1A833720" w14:textId="77777777" w:rsidR="00D20465" w:rsidRPr="00866A17" w:rsidRDefault="00D20465" w:rsidP="00D20465"/>
    <w:p w14:paraId="36E682A5" w14:textId="77777777" w:rsidR="00D20465" w:rsidRPr="00343278" w:rsidRDefault="00D20465" w:rsidP="00343278">
      <w:pPr>
        <w:pStyle w:val="ListBullet"/>
        <w:ind w:left="357" w:hanging="357"/>
      </w:pPr>
      <w:r w:rsidRPr="00343278">
        <w:t>these individuals are at risk of poorer long-term health outcomes</w:t>
      </w:r>
    </w:p>
    <w:p w14:paraId="442EBA60" w14:textId="77777777" w:rsidR="00D20465" w:rsidRPr="00343278" w:rsidRDefault="00D20465" w:rsidP="00343278">
      <w:pPr>
        <w:pStyle w:val="ListBullet"/>
        <w:ind w:left="357" w:hanging="357"/>
      </w:pPr>
      <w:r w:rsidRPr="00343278">
        <w:t xml:space="preserve">both late diagnosis and late commencement of treatment are implicated in preventable morbidity and mortality for people with HIV </w:t>
      </w:r>
    </w:p>
    <w:p w14:paraId="4FB0C4D3" w14:textId="77777777" w:rsidR="00D20465" w:rsidRPr="00343278" w:rsidRDefault="00D20465" w:rsidP="00343278">
      <w:pPr>
        <w:pStyle w:val="ListBullet"/>
        <w:ind w:left="357" w:hanging="357"/>
      </w:pPr>
      <w:r w:rsidRPr="00343278">
        <w:t>these individuals are also at risk of HIV transmission, due to their unknown HIV status and/or their higher viral load. This undermines the public health investment in HIV prevention.</w:t>
      </w:r>
    </w:p>
    <w:p w14:paraId="4B7BA539" w14:textId="77777777" w:rsidR="00D20465" w:rsidRPr="00343278" w:rsidRDefault="00D20465" w:rsidP="00D20465">
      <w:pPr>
        <w:rPr>
          <w:snapToGrid/>
          <w:sz w:val="18"/>
        </w:rPr>
      </w:pPr>
    </w:p>
    <w:p w14:paraId="617E5BFD" w14:textId="5D528B2F" w:rsidR="00D20465" w:rsidRPr="00343278" w:rsidRDefault="00D20465" w:rsidP="00D20465">
      <w:r w:rsidRPr="00343278">
        <w:t xml:space="preserve">At present, the bulk of HIV prevention efforts across Australia are concentrated on gay men and other men who have sex with men. This is appropriate in that the prevalence is highest among this population and the potential for health and economic impact is greatest. However, as the dominant epidemic is brought under control, these ‘hidden populations’ will account for a greater proportion of the health impact of HIV acquisition and/or untreated HIV. This is already being experienced with </w:t>
      </w:r>
      <w:r w:rsidR="006A5C87">
        <w:t>over</w:t>
      </w:r>
      <w:r w:rsidRPr="00343278">
        <w:t xml:space="preserve"> a third of HIV diagnoses </w:t>
      </w:r>
      <w:r w:rsidR="006A5C87">
        <w:t xml:space="preserve">occurring </w:t>
      </w:r>
      <w:r w:rsidRPr="00343278">
        <w:t xml:space="preserve">outside the population of gay and other men who have sex with men, with lower uptake of treatment among people with HIV who are not gay men, and poorer access to </w:t>
      </w:r>
      <w:r w:rsidR="00866A17">
        <w:t>p</w:t>
      </w:r>
      <w:r w:rsidRPr="00343278">
        <w:t>re-</w:t>
      </w:r>
      <w:r w:rsidR="00866A17">
        <w:t>e</w:t>
      </w:r>
      <w:r w:rsidRPr="00343278">
        <w:t xml:space="preserve">xposure </w:t>
      </w:r>
      <w:r w:rsidR="00866A17">
        <w:t>p</w:t>
      </w:r>
      <w:r w:rsidRPr="00343278">
        <w:t>rophylaxis (PrEP) and self-testing among Aboriginal and Torres Strait Islander people. Reaching these populations will require highly nuanced programming informed by the needs of each sub-population. This capacity and expertise does not exist across the sector to target the range of hidden populations and a localised response to each hidden population would potentially duplicate effort across states and territories.</w:t>
      </w:r>
    </w:p>
    <w:p w14:paraId="479BE269" w14:textId="77777777" w:rsidR="00D20465" w:rsidRDefault="00D20465" w:rsidP="00D20465"/>
    <w:p w14:paraId="4249A665" w14:textId="77777777" w:rsidR="00D20465" w:rsidRPr="00D20465" w:rsidRDefault="00D20465" w:rsidP="00D20465">
      <w:pPr>
        <w:pStyle w:val="Heading2"/>
      </w:pPr>
      <w:r w:rsidRPr="00D20465">
        <w:t xml:space="preserve">The solution </w:t>
      </w:r>
    </w:p>
    <w:p w14:paraId="1E8138C6" w14:textId="77777777" w:rsidR="00D20465" w:rsidRDefault="00D20465" w:rsidP="00D20465">
      <w:pPr>
        <w:rPr>
          <w:b/>
        </w:rPr>
      </w:pPr>
    </w:p>
    <w:p w14:paraId="5E6BD3BA" w14:textId="77777777" w:rsidR="00D20465" w:rsidRPr="00343278" w:rsidRDefault="00D20465" w:rsidP="00D20465">
      <w:pPr>
        <w:rPr>
          <w:szCs w:val="22"/>
        </w:rPr>
      </w:pPr>
      <w:r w:rsidRPr="00343278">
        <w:rPr>
          <w:szCs w:val="22"/>
        </w:rPr>
        <w:t xml:space="preserve">An </w:t>
      </w:r>
      <w:r w:rsidRPr="00343278">
        <w:t xml:space="preserve">additional </w:t>
      </w:r>
      <w:r w:rsidRPr="00343278">
        <w:rPr>
          <w:szCs w:val="22"/>
        </w:rPr>
        <w:t xml:space="preserve">investment from the Australian Government of </w:t>
      </w:r>
      <w:r w:rsidRPr="00343278">
        <w:rPr>
          <w:b/>
          <w:szCs w:val="22"/>
        </w:rPr>
        <w:t>$3 million per annum</w:t>
      </w:r>
      <w:r w:rsidRPr="00343278">
        <w:rPr>
          <w:szCs w:val="22"/>
        </w:rPr>
        <w:t xml:space="preserve"> would maximise the reach and relevance of HIV prevention, testing and treatment education to ‘hidden’ populations, including people with unsuspected HIV, late HIV presenters and those not being treated. Proposed activities: </w:t>
      </w:r>
    </w:p>
    <w:p w14:paraId="69A67191" w14:textId="77777777" w:rsidR="00D20465" w:rsidRPr="00343278" w:rsidRDefault="00D20465" w:rsidP="00D20465">
      <w:pPr>
        <w:rPr>
          <w:sz w:val="18"/>
          <w:szCs w:val="22"/>
        </w:rPr>
      </w:pPr>
    </w:p>
    <w:p w14:paraId="315FB034" w14:textId="71ECCA8E" w:rsidR="00D20465" w:rsidRDefault="00D20465" w:rsidP="00343278">
      <w:pPr>
        <w:pStyle w:val="ListBullet"/>
        <w:ind w:left="357" w:hanging="357"/>
      </w:pPr>
      <w:r w:rsidRPr="00343278">
        <w:t>develop a nationally-coordinated and evidence-informed package of HIV education resources for local implementation. This package would include identification of the modes of communication most relevant for each population, development of messaging that has both reach and impact in those populations, and support for the capacity of local services to conduct local activities and assist individuals who require education, testing and support as a result of the campaigns.</w:t>
      </w:r>
    </w:p>
    <w:p w14:paraId="2423A3B9" w14:textId="695E563F" w:rsidR="00285C95" w:rsidRDefault="00285C95" w:rsidP="00285C95">
      <w:pPr>
        <w:pStyle w:val="ListBullet"/>
        <w:numPr>
          <w:ilvl w:val="0"/>
          <w:numId w:val="0"/>
        </w:numPr>
        <w:ind w:left="340" w:hanging="340"/>
      </w:pPr>
    </w:p>
    <w:p w14:paraId="631F8C19" w14:textId="0F3604FD" w:rsidR="00285C95" w:rsidRDefault="00285C95" w:rsidP="00FC1BD1">
      <w:pPr>
        <w:pStyle w:val="Heading2"/>
      </w:pPr>
      <w:r>
        <w:t xml:space="preserve">Aligning priority areas for action in the eighth </w:t>
      </w:r>
      <w:r w:rsidRPr="00650201">
        <w:t>National HIV Strategy</w:t>
      </w:r>
    </w:p>
    <w:p w14:paraId="7C214E49" w14:textId="77777777" w:rsidR="00285C95" w:rsidRDefault="00285C95" w:rsidP="00285C95">
      <w:pPr>
        <w:pStyle w:val="ListBullet"/>
        <w:numPr>
          <w:ilvl w:val="0"/>
          <w:numId w:val="0"/>
        </w:numPr>
        <w:ind w:left="340" w:hanging="340"/>
      </w:pPr>
    </w:p>
    <w:p w14:paraId="226ACFE8" w14:textId="77777777" w:rsidR="00285C95" w:rsidRDefault="00285C95" w:rsidP="00285C95">
      <w:pPr>
        <w:pStyle w:val="ListBullet"/>
      </w:pPr>
      <w:r>
        <w:t>maintain and implement targeted programs, including community-led and peer-based approaches, which improve HIV-related knowledge, reinforce prevention and promote safe behaviours in priority populations</w:t>
      </w:r>
    </w:p>
    <w:p w14:paraId="45A33D13" w14:textId="2EE885A4" w:rsidR="00285C95" w:rsidRDefault="00285C95" w:rsidP="00285C95">
      <w:pPr>
        <w:pStyle w:val="ListBullet"/>
      </w:pPr>
      <w:r>
        <w:t>promote the availability and effectiveness of post-exposure prophylaxis (PEP), pre-exposure prophylaxis (PrEP) and facilitate rapid, widespread and equitable access to PEP and PrEP across the country</w:t>
      </w:r>
    </w:p>
    <w:p w14:paraId="0CA191D6" w14:textId="157B511A" w:rsidR="00285C95" w:rsidRPr="00343278" w:rsidRDefault="00285C95" w:rsidP="00285C95">
      <w:pPr>
        <w:pStyle w:val="ListBullet"/>
      </w:pPr>
      <w:r>
        <w:t>expand the use and accessibility of a range of HIV and STI testing technologies and options and tailor testing approaches to the needs of priority populations and sub-populations, particularly where there is a need to improve early diagnosis</w:t>
      </w:r>
      <w:r w:rsidR="00661BEE">
        <w:t>.</w:t>
      </w:r>
    </w:p>
    <w:p w14:paraId="3EF77D47" w14:textId="77777777" w:rsidR="00D20465" w:rsidRPr="00554EA8" w:rsidRDefault="00D20465" w:rsidP="00D20465">
      <w:pPr>
        <w:rPr>
          <w:szCs w:val="22"/>
        </w:rPr>
      </w:pPr>
    </w:p>
    <w:p w14:paraId="378DE416" w14:textId="77777777" w:rsidR="00D20465" w:rsidRPr="00D20465" w:rsidRDefault="00D20465" w:rsidP="00D20465">
      <w:pPr>
        <w:pStyle w:val="Heading2"/>
      </w:pPr>
      <w:r w:rsidRPr="00D20465">
        <w:t>Impact of investment</w:t>
      </w:r>
    </w:p>
    <w:p w14:paraId="5973EAEB" w14:textId="77777777" w:rsidR="00D20465" w:rsidRDefault="00D20465" w:rsidP="00D20465">
      <w:pPr>
        <w:rPr>
          <w:b/>
          <w:szCs w:val="24"/>
        </w:rPr>
      </w:pPr>
    </w:p>
    <w:p w14:paraId="4F082BC9" w14:textId="51772596" w:rsidR="00D20465" w:rsidRPr="00343278" w:rsidRDefault="00A91ECE" w:rsidP="00343278">
      <w:pPr>
        <w:pStyle w:val="ListBullet"/>
        <w:ind w:left="357" w:hanging="357"/>
      </w:pPr>
      <w:r>
        <w:t>r</w:t>
      </w:r>
      <w:r w:rsidR="00D20465" w:rsidRPr="00343278">
        <w:t>educed delay in time between seroconversion and HIV diagnosis, and HIV diagnosis and linkage to care</w:t>
      </w:r>
    </w:p>
    <w:p w14:paraId="0784A5E0" w14:textId="30910816" w:rsidR="00D20465" w:rsidRPr="00343278" w:rsidRDefault="00A91ECE" w:rsidP="00343278">
      <w:pPr>
        <w:pStyle w:val="ListBullet"/>
        <w:ind w:left="357" w:hanging="357"/>
      </w:pPr>
      <w:r>
        <w:lastRenderedPageBreak/>
        <w:t>i</w:t>
      </w:r>
      <w:r w:rsidR="00D20465" w:rsidRPr="00343278">
        <w:t>ncreased testing among ‘hidden</w:t>
      </w:r>
      <w:r w:rsidR="006A5C87">
        <w:t>’</w:t>
      </w:r>
      <w:r w:rsidR="00D20465" w:rsidRPr="00343278">
        <w:t xml:space="preserve"> populations</w:t>
      </w:r>
    </w:p>
    <w:p w14:paraId="06DC2C6A" w14:textId="14C29467" w:rsidR="00D20465" w:rsidRPr="00343278" w:rsidRDefault="00A91ECE" w:rsidP="00343278">
      <w:pPr>
        <w:pStyle w:val="ListBullet"/>
        <w:ind w:left="357" w:hanging="357"/>
      </w:pPr>
      <w:r>
        <w:t>i</w:t>
      </w:r>
      <w:r w:rsidR="00D20465" w:rsidRPr="00343278">
        <w:t>ncreased HIV prevention behaviours among ‘hidden</w:t>
      </w:r>
      <w:r w:rsidR="006A5C87">
        <w:t>’</w:t>
      </w:r>
      <w:r w:rsidR="00D20465" w:rsidRPr="00343278">
        <w:t xml:space="preserve"> populations.</w:t>
      </w:r>
    </w:p>
    <w:p w14:paraId="47A08E29" w14:textId="77777777" w:rsidR="00D20465" w:rsidRDefault="00D20465" w:rsidP="00D20465"/>
    <w:p w14:paraId="757AA8D0" w14:textId="399A1292" w:rsidR="00C17BB6" w:rsidRDefault="00D20465" w:rsidP="00D20465">
      <w:r w:rsidRPr="00343278">
        <w:t>This investment will reduce the prevalence of undiagnosed HIV infection and the pool of untreated HIV infection</w:t>
      </w:r>
      <w:r w:rsidR="006A5C87">
        <w:t xml:space="preserve"> among ‘hidden’ populations.</w:t>
      </w:r>
    </w:p>
    <w:p w14:paraId="28DCFB55" w14:textId="01FB67D5" w:rsidR="00D20465" w:rsidRPr="00C17BB6" w:rsidRDefault="00C17BB6" w:rsidP="00285C95">
      <w:pPr>
        <w:adjustRightInd/>
        <w:snapToGrid/>
      </w:pPr>
      <w:r>
        <w:br w:type="page"/>
      </w:r>
      <w:r w:rsidR="00D20465">
        <w:rPr>
          <w:b/>
          <w:color w:val="F26522" w:themeColor="accent1"/>
          <w:sz w:val="28"/>
          <w:szCs w:val="28"/>
        </w:rPr>
        <w:lastRenderedPageBreak/>
        <w:t>Recommendation 4: Reduce HIV stigma and discrimination-related barriers to testing, treatment and care</w:t>
      </w:r>
    </w:p>
    <w:p w14:paraId="40A2B96E" w14:textId="77777777" w:rsidR="00D20465" w:rsidRDefault="00D20465" w:rsidP="00D20465">
      <w:pPr>
        <w:rPr>
          <w:b/>
          <w:szCs w:val="24"/>
        </w:rPr>
      </w:pPr>
    </w:p>
    <w:p w14:paraId="3DB08ABA" w14:textId="77777777" w:rsidR="00D20465" w:rsidRPr="00D20465" w:rsidRDefault="00D20465" w:rsidP="00D20465">
      <w:pPr>
        <w:pStyle w:val="Heading2"/>
      </w:pPr>
      <w:r w:rsidRPr="00D20465">
        <w:t>Issues</w:t>
      </w:r>
    </w:p>
    <w:p w14:paraId="38C6CC46" w14:textId="77777777" w:rsidR="00D20465" w:rsidRDefault="00D20465" w:rsidP="00D20465">
      <w:pPr>
        <w:rPr>
          <w:b/>
          <w:szCs w:val="24"/>
        </w:rPr>
      </w:pPr>
    </w:p>
    <w:p w14:paraId="3D9776F1" w14:textId="750D286F" w:rsidR="00D20465" w:rsidRPr="00343278" w:rsidRDefault="00D20465" w:rsidP="00D20465">
      <w:pPr>
        <w:rPr>
          <w:szCs w:val="22"/>
        </w:rPr>
      </w:pPr>
      <w:r w:rsidRPr="00343278">
        <w:rPr>
          <w:szCs w:val="22"/>
        </w:rPr>
        <w:t>HIV-related stigma and discrimination continue to be a central part of the lives of many people with HIV across Australia. That stigma is driven by a range of factors, including outdated notions of HIV and misinformation about transmission and transmissibility. HIV-related stigma and discrimination is experienced in a range of settings, including the gay community, the</w:t>
      </w:r>
      <w:r w:rsidR="006A5C87">
        <w:rPr>
          <w:szCs w:val="22"/>
        </w:rPr>
        <w:t xml:space="preserve"> wider</w:t>
      </w:r>
      <w:r w:rsidRPr="00343278">
        <w:rPr>
          <w:szCs w:val="22"/>
        </w:rPr>
        <w:t xml:space="preserve"> community, health care settings, government agencies, workplaces and mainstream and online media. The effects of stigma and discrimination are multifaceted:</w:t>
      </w:r>
    </w:p>
    <w:p w14:paraId="76BAC966" w14:textId="77777777" w:rsidR="00D20465" w:rsidRPr="00D20465" w:rsidRDefault="00D20465" w:rsidP="00D20465">
      <w:pPr>
        <w:rPr>
          <w:sz w:val="22"/>
          <w:szCs w:val="22"/>
        </w:rPr>
      </w:pPr>
    </w:p>
    <w:p w14:paraId="76CD43B0" w14:textId="77777777" w:rsidR="00D20465" w:rsidRPr="00343278" w:rsidRDefault="00D20465" w:rsidP="00343278">
      <w:pPr>
        <w:pStyle w:val="ListBullet"/>
        <w:ind w:left="357" w:hanging="357"/>
      </w:pPr>
      <w:r w:rsidRPr="00343278">
        <w:t>HIV-related stigma and discrimination is a source of significant harm in the lives of individuals, causing both a decline in wellbeing and quality of life (through social isolation, shame, anxiety and depression) and in physical wellbeing (social isolation is correlated with poorer adherence to HIV treatment)</w:t>
      </w:r>
    </w:p>
    <w:p w14:paraId="3BAABE09" w14:textId="368C2126" w:rsidR="00D20465" w:rsidRPr="00343278" w:rsidRDefault="00D20465" w:rsidP="00343278">
      <w:pPr>
        <w:pStyle w:val="ListBullet"/>
        <w:ind w:left="357" w:hanging="357"/>
      </w:pPr>
      <w:r w:rsidRPr="00343278">
        <w:t xml:space="preserve">at a population level, stigma and discrimination present a barrier to people presenting for regular testing, engaging with health care providers regarding risk behaviors, and sustaining contact with health care and treatment adherence. These factors in turn pose a risk to our public health goals of </w:t>
      </w:r>
      <w:r w:rsidR="006A5C87">
        <w:t>ending</w:t>
      </w:r>
      <w:r w:rsidRPr="00343278">
        <w:t xml:space="preserve"> HIV transmission</w:t>
      </w:r>
      <w:r w:rsidR="00343278">
        <w:t>.</w:t>
      </w:r>
    </w:p>
    <w:p w14:paraId="204925EE" w14:textId="77777777" w:rsidR="00D20465" w:rsidRPr="00D20465" w:rsidRDefault="00D20465" w:rsidP="00D20465">
      <w:pPr>
        <w:rPr>
          <w:sz w:val="22"/>
          <w:szCs w:val="22"/>
        </w:rPr>
      </w:pPr>
    </w:p>
    <w:p w14:paraId="3140D9F4" w14:textId="77777777" w:rsidR="00D20465" w:rsidRPr="00343278" w:rsidRDefault="00D20465" w:rsidP="00D20465">
      <w:pPr>
        <w:rPr>
          <w:szCs w:val="22"/>
        </w:rPr>
      </w:pPr>
      <w:r w:rsidRPr="00343278">
        <w:rPr>
          <w:szCs w:val="22"/>
        </w:rPr>
        <w:t>Despite the substantial body of knowledge about the prevalence, nature and impact of HIV-related stigma there has been limited investment to date in innovative activities to address stigma and discrimination.</w:t>
      </w:r>
    </w:p>
    <w:p w14:paraId="1FF62BDA" w14:textId="77777777" w:rsidR="00D20465" w:rsidRDefault="00D20465" w:rsidP="00D20465"/>
    <w:p w14:paraId="41FD053D" w14:textId="77777777" w:rsidR="00D20465" w:rsidRPr="00D20465" w:rsidRDefault="00D20465" w:rsidP="00D20465">
      <w:pPr>
        <w:pStyle w:val="Heading2"/>
      </w:pPr>
      <w:r w:rsidRPr="00D20465">
        <w:t xml:space="preserve">The solution </w:t>
      </w:r>
    </w:p>
    <w:p w14:paraId="22BED419" w14:textId="77777777" w:rsidR="00D20465" w:rsidRDefault="00D20465" w:rsidP="00D20465">
      <w:pPr>
        <w:rPr>
          <w:b/>
          <w:szCs w:val="24"/>
        </w:rPr>
      </w:pPr>
    </w:p>
    <w:p w14:paraId="0DDB7BE2" w14:textId="77777777" w:rsidR="00D20465" w:rsidRPr="00343278" w:rsidRDefault="00D20465" w:rsidP="00D20465">
      <w:pPr>
        <w:rPr>
          <w:szCs w:val="22"/>
        </w:rPr>
      </w:pPr>
      <w:r w:rsidRPr="00343278">
        <w:rPr>
          <w:szCs w:val="22"/>
        </w:rPr>
        <w:t xml:space="preserve">An </w:t>
      </w:r>
      <w:r w:rsidRPr="00343278">
        <w:t xml:space="preserve">additional </w:t>
      </w:r>
      <w:r w:rsidRPr="00343278">
        <w:rPr>
          <w:szCs w:val="22"/>
        </w:rPr>
        <w:t xml:space="preserve">investment from the Australian Government </w:t>
      </w:r>
      <w:r w:rsidRPr="00343278">
        <w:rPr>
          <w:b/>
          <w:szCs w:val="22"/>
        </w:rPr>
        <w:t>of $400,000 per annum</w:t>
      </w:r>
      <w:r w:rsidRPr="00343278">
        <w:rPr>
          <w:szCs w:val="22"/>
        </w:rPr>
        <w:t xml:space="preserve"> to reduce HIV stigma and discrimination-related barriers to testing, treatment and care. Proposed activities: </w:t>
      </w:r>
    </w:p>
    <w:p w14:paraId="382C3471" w14:textId="77777777" w:rsidR="00D20465" w:rsidRPr="00554EA8" w:rsidRDefault="00D20465" w:rsidP="00D20465">
      <w:pPr>
        <w:rPr>
          <w:szCs w:val="22"/>
        </w:rPr>
      </w:pPr>
    </w:p>
    <w:p w14:paraId="12E49464" w14:textId="77777777" w:rsidR="00D20465" w:rsidRPr="00343278" w:rsidRDefault="00D20465" w:rsidP="00343278">
      <w:pPr>
        <w:pStyle w:val="ListBullet"/>
        <w:ind w:left="357" w:hanging="357"/>
      </w:pPr>
      <w:r w:rsidRPr="00343278">
        <w:t>develop interventions that build individual resilience among people with HIV, so that individuals can withstand stigma and discrimination where it does occur</w:t>
      </w:r>
    </w:p>
    <w:p w14:paraId="661D82CA" w14:textId="77777777" w:rsidR="00D20465" w:rsidRPr="00343278" w:rsidRDefault="00D20465" w:rsidP="00343278">
      <w:pPr>
        <w:pStyle w:val="ListBullet"/>
        <w:ind w:left="357" w:hanging="357"/>
      </w:pPr>
      <w:r w:rsidRPr="00343278">
        <w:t>develop strategies to address systemic factors that perpetuate stigma and discrimination, including policies and laws that regulate key populations and have an adverse impact on those populations</w:t>
      </w:r>
    </w:p>
    <w:p w14:paraId="152F5DA5" w14:textId="77777777" w:rsidR="00D20465" w:rsidRPr="00343278" w:rsidRDefault="00D20465" w:rsidP="00343278">
      <w:pPr>
        <w:pStyle w:val="ListBullet"/>
        <w:ind w:left="357" w:hanging="357"/>
      </w:pPr>
      <w:r w:rsidRPr="00343278">
        <w:t>publish an annual report on HIV-related stigma and discrimination and document activities to combat HIV stigma and build resilience of people with HIV</w:t>
      </w:r>
    </w:p>
    <w:p w14:paraId="552849BF" w14:textId="77777777" w:rsidR="00D20465" w:rsidRPr="00343278" w:rsidRDefault="00D20465" w:rsidP="00343278">
      <w:pPr>
        <w:pStyle w:val="ListBullet"/>
        <w:ind w:left="357" w:hanging="357"/>
      </w:pPr>
      <w:r w:rsidRPr="00343278">
        <w:t>develop an evidence-informed programmatic response to HIV-related stigma and discrimination that:</w:t>
      </w:r>
    </w:p>
    <w:p w14:paraId="05A2172E" w14:textId="77777777" w:rsidR="00D20465" w:rsidRPr="00343278" w:rsidRDefault="00D20465" w:rsidP="00343278">
      <w:pPr>
        <w:pStyle w:val="ListBullet2"/>
      </w:pPr>
      <w:r w:rsidRPr="00343278">
        <w:t>engages communication specialists to design a sophisticated, integrated communications package targeting (general and gay-specific) community settings, mainstream media and online channels</w:t>
      </w:r>
    </w:p>
    <w:p w14:paraId="365FFDAD" w14:textId="77777777" w:rsidR="00D20465" w:rsidRPr="00343278" w:rsidRDefault="00D20465" w:rsidP="00343278">
      <w:pPr>
        <w:pStyle w:val="ListBullet2"/>
      </w:pPr>
      <w:r w:rsidRPr="00343278">
        <w:t xml:space="preserve">builds on recent efforts to address HIV-related stigma and discrimination in clinical settings; </w:t>
      </w:r>
    </w:p>
    <w:p w14:paraId="1B93B802" w14:textId="683BD2C9" w:rsidR="00D20465" w:rsidRDefault="00D20465" w:rsidP="00343278">
      <w:pPr>
        <w:pStyle w:val="ListBullet2"/>
      </w:pPr>
      <w:r w:rsidRPr="00343278">
        <w:t>supports local workforces to design local interventions that address context-specific stigma and discrimination.</w:t>
      </w:r>
    </w:p>
    <w:p w14:paraId="5A1263D3" w14:textId="65E7738F" w:rsidR="00285C95" w:rsidRDefault="00285C95" w:rsidP="00285C95">
      <w:pPr>
        <w:pStyle w:val="ListBullet"/>
        <w:numPr>
          <w:ilvl w:val="0"/>
          <w:numId w:val="0"/>
        </w:numPr>
        <w:ind w:left="340" w:hanging="340"/>
      </w:pPr>
    </w:p>
    <w:p w14:paraId="4163B808" w14:textId="41F92CBC" w:rsidR="00285C95" w:rsidRDefault="00285C95" w:rsidP="00FC1BD1">
      <w:pPr>
        <w:pStyle w:val="Heading2"/>
      </w:pPr>
      <w:r>
        <w:t xml:space="preserve">Aligning priority areas for action in the eighth </w:t>
      </w:r>
      <w:r w:rsidRPr="00650201">
        <w:t>National HIV Strategy</w:t>
      </w:r>
    </w:p>
    <w:p w14:paraId="7B492D81" w14:textId="2997E2A6" w:rsidR="00285C95" w:rsidRDefault="00285C95" w:rsidP="00285C95">
      <w:pPr>
        <w:pStyle w:val="ListBullet"/>
        <w:numPr>
          <w:ilvl w:val="0"/>
          <w:numId w:val="0"/>
        </w:numPr>
        <w:ind w:left="340" w:hanging="340"/>
      </w:pPr>
    </w:p>
    <w:p w14:paraId="42DEC8AE" w14:textId="4AFAEA00" w:rsidR="00285C95" w:rsidRDefault="00285C95" w:rsidP="00285C95">
      <w:pPr>
        <w:pStyle w:val="ListBullet"/>
      </w:pPr>
      <w:r>
        <w:t>implement initiatives to reduce stigma a</w:t>
      </w:r>
      <w:r w:rsidR="007D30FC">
        <w:t>nd discrimination across priority settings, including education which incorporates messaging to counteract stigma</w:t>
      </w:r>
    </w:p>
    <w:p w14:paraId="16EFE249" w14:textId="1483D102" w:rsidR="007D30FC" w:rsidRDefault="007D30FC" w:rsidP="00285C95">
      <w:pPr>
        <w:pStyle w:val="ListBullet"/>
      </w:pPr>
      <w:r>
        <w:t>implement initiatives that assist people with, and at risk of, HIV to challenge stigma and build resilience</w:t>
      </w:r>
    </w:p>
    <w:p w14:paraId="1FF60867" w14:textId="65E1F633" w:rsidR="007D30FC" w:rsidRDefault="007D30FC" w:rsidP="00285C95">
      <w:pPr>
        <w:pStyle w:val="ListBullet"/>
      </w:pPr>
      <w:r>
        <w:t>monitor laws, policies, stigma and discrimination which impact on health-seeking behaviour among priority populations and their access to testing and services; and work to ameliorate legal, regulatory and policy barriers to an appropriate and evidence-based response</w:t>
      </w:r>
    </w:p>
    <w:p w14:paraId="28AEEF66" w14:textId="715E2CF6" w:rsidR="007D30FC" w:rsidRPr="00343278" w:rsidRDefault="007D30FC" w:rsidP="00285C95">
      <w:pPr>
        <w:pStyle w:val="ListBullet"/>
      </w:pPr>
      <w:r>
        <w:t>review and address institutional, regulatory and system policies which create barriers to equality of prevention, testing, treatment and care and support for people with HIV and affected communities.</w:t>
      </w:r>
    </w:p>
    <w:p w14:paraId="0D06D642" w14:textId="77777777" w:rsidR="00D20465" w:rsidRDefault="00D20465" w:rsidP="00D20465">
      <w:pPr>
        <w:rPr>
          <w:szCs w:val="24"/>
        </w:rPr>
      </w:pPr>
    </w:p>
    <w:p w14:paraId="5A5657EC" w14:textId="77777777" w:rsidR="00D20465" w:rsidRPr="00D20465" w:rsidRDefault="00D20465" w:rsidP="00D20465">
      <w:pPr>
        <w:pStyle w:val="Heading2"/>
      </w:pPr>
      <w:r w:rsidRPr="00D20465">
        <w:t>Impact of investment</w:t>
      </w:r>
    </w:p>
    <w:p w14:paraId="3D77F08C" w14:textId="77777777" w:rsidR="00D20465" w:rsidRDefault="00D20465" w:rsidP="00D20465">
      <w:pPr>
        <w:rPr>
          <w:szCs w:val="24"/>
        </w:rPr>
      </w:pPr>
    </w:p>
    <w:p w14:paraId="3D53EF58" w14:textId="5D9C978C" w:rsidR="00D20465" w:rsidRPr="00343278" w:rsidRDefault="000D346B" w:rsidP="00343278">
      <w:pPr>
        <w:pStyle w:val="ListBullet"/>
        <w:ind w:left="357" w:hanging="357"/>
      </w:pPr>
      <w:r>
        <w:t>i</w:t>
      </w:r>
      <w:r w:rsidR="00D20465" w:rsidRPr="00343278">
        <w:t>mprove the health, wellbeing and quality of life of individuals with</w:t>
      </w:r>
      <w:r w:rsidR="006A5C87">
        <w:t xml:space="preserve"> and at risk of</w:t>
      </w:r>
      <w:r w:rsidR="00D20465" w:rsidRPr="00343278">
        <w:t xml:space="preserve"> HIV</w:t>
      </w:r>
    </w:p>
    <w:p w14:paraId="5811DD8E" w14:textId="58559916" w:rsidR="00D20465" w:rsidRPr="00343278" w:rsidRDefault="000D346B" w:rsidP="00343278">
      <w:pPr>
        <w:pStyle w:val="ListBullet"/>
        <w:ind w:left="357" w:hanging="357"/>
      </w:pPr>
      <w:r>
        <w:lastRenderedPageBreak/>
        <w:t>r</w:t>
      </w:r>
      <w:r w:rsidR="00D20465" w:rsidRPr="00343278">
        <w:t>educe barriers to testing, treatment and retention in care.</w:t>
      </w:r>
    </w:p>
    <w:p w14:paraId="406D8194" w14:textId="77777777" w:rsidR="00D20465" w:rsidRDefault="00D20465" w:rsidP="00D20465">
      <w:pPr>
        <w:shd w:val="clear" w:color="auto" w:fill="FFFFFF"/>
        <w:rPr>
          <w:szCs w:val="10"/>
        </w:rPr>
      </w:pPr>
    </w:p>
    <w:p w14:paraId="2019057E" w14:textId="5C46375C" w:rsidR="00C17BB6" w:rsidRDefault="00D20465" w:rsidP="00D20465">
      <w:pPr>
        <w:shd w:val="clear" w:color="auto" w:fill="FFFFFF"/>
        <w:rPr>
          <w:szCs w:val="10"/>
        </w:rPr>
      </w:pPr>
      <w:r w:rsidRPr="00343278">
        <w:rPr>
          <w:szCs w:val="10"/>
        </w:rPr>
        <w:t>This investment will contribute to the prevention of poorer health outcomes among people with HIV, thereby reducing pressure on primary care and public health, and reduce late diagnoses and the health care costs associated with late HIV diagnosis</w:t>
      </w:r>
      <w:r w:rsidR="006A5C87">
        <w:rPr>
          <w:szCs w:val="10"/>
        </w:rPr>
        <w:t xml:space="preserve"> by reducing barriers associated with stigma.</w:t>
      </w:r>
    </w:p>
    <w:p w14:paraId="0CC6B44B" w14:textId="77777777" w:rsidR="00C17BB6" w:rsidRDefault="00C17BB6">
      <w:pPr>
        <w:adjustRightInd/>
        <w:snapToGrid/>
        <w:rPr>
          <w:szCs w:val="10"/>
        </w:rPr>
      </w:pPr>
      <w:r>
        <w:rPr>
          <w:szCs w:val="10"/>
        </w:rPr>
        <w:br w:type="page"/>
      </w:r>
    </w:p>
    <w:p w14:paraId="56A065AB" w14:textId="7AF47202" w:rsidR="00D20465" w:rsidRPr="007D30FC" w:rsidRDefault="00D20465" w:rsidP="00D20465">
      <w:pPr>
        <w:shd w:val="clear" w:color="auto" w:fill="FFFFFF"/>
        <w:rPr>
          <w:szCs w:val="10"/>
        </w:rPr>
      </w:pPr>
      <w:r>
        <w:rPr>
          <w:b/>
          <w:color w:val="F26522" w:themeColor="accent1"/>
          <w:sz w:val="28"/>
          <w:szCs w:val="28"/>
        </w:rPr>
        <w:lastRenderedPageBreak/>
        <w:t>Recommendation 5: Prevent new HIV infections and improve uptake of testing and treatment among those who may acquire HIV while travelling</w:t>
      </w:r>
    </w:p>
    <w:p w14:paraId="62694662" w14:textId="77777777" w:rsidR="00D20465" w:rsidRDefault="00D20465" w:rsidP="00D20465">
      <w:pPr>
        <w:adjustRightInd/>
        <w:snapToGrid/>
        <w:rPr>
          <w:szCs w:val="22"/>
        </w:rPr>
      </w:pPr>
    </w:p>
    <w:p w14:paraId="7BBE01B4" w14:textId="77777777" w:rsidR="00D20465" w:rsidRPr="00D20465" w:rsidRDefault="00D20465" w:rsidP="00D20465">
      <w:pPr>
        <w:pStyle w:val="Heading2"/>
      </w:pPr>
      <w:r w:rsidRPr="00D20465">
        <w:t>Issues</w:t>
      </w:r>
    </w:p>
    <w:p w14:paraId="43544A01" w14:textId="77777777" w:rsidR="00D20465" w:rsidRDefault="00D20465" w:rsidP="00D20465">
      <w:pPr>
        <w:adjustRightInd/>
        <w:snapToGrid/>
        <w:rPr>
          <w:b/>
          <w:szCs w:val="22"/>
        </w:rPr>
      </w:pPr>
    </w:p>
    <w:p w14:paraId="13A7ECB2" w14:textId="53164B03" w:rsidR="00D20465" w:rsidRPr="00D830D8" w:rsidRDefault="00D20465" w:rsidP="00D20465">
      <w:pPr>
        <w:adjustRightInd/>
        <w:snapToGrid/>
        <w:rPr>
          <w:szCs w:val="24"/>
        </w:rPr>
      </w:pPr>
      <w:r w:rsidRPr="00D830D8">
        <w:t>Over eight million Australians depart the nation each year to travel overseas. This includes individuals travelling for leisure, work and</w:t>
      </w:r>
      <w:r w:rsidR="006A5C87">
        <w:t>/or</w:t>
      </w:r>
      <w:r w:rsidRPr="00D830D8">
        <w:t xml:space="preserve"> visiting the country of their birth.</w:t>
      </w:r>
    </w:p>
    <w:p w14:paraId="2C302475" w14:textId="77777777" w:rsidR="00D20465" w:rsidRPr="00D830D8" w:rsidRDefault="00D20465" w:rsidP="00D20465">
      <w:pPr>
        <w:adjustRightInd/>
        <w:snapToGrid/>
      </w:pPr>
    </w:p>
    <w:p w14:paraId="4DF37465" w14:textId="77777777" w:rsidR="00D20465" w:rsidRPr="00D830D8" w:rsidRDefault="00D20465" w:rsidP="00D20465">
      <w:pPr>
        <w:adjustRightInd/>
        <w:snapToGrid/>
      </w:pPr>
      <w:r w:rsidRPr="00D830D8">
        <w:t xml:space="preserve">Australians travelling overseas face unique risks in relation to HIV: </w:t>
      </w:r>
    </w:p>
    <w:p w14:paraId="0FC52302" w14:textId="77777777" w:rsidR="00D20465" w:rsidRDefault="00D20465" w:rsidP="00D20465">
      <w:pPr>
        <w:adjustRightInd/>
        <w:snapToGrid/>
      </w:pPr>
    </w:p>
    <w:p w14:paraId="18DCAED0" w14:textId="77777777" w:rsidR="00D20465" w:rsidRPr="00D830D8" w:rsidRDefault="00D20465" w:rsidP="00D830D8">
      <w:pPr>
        <w:pStyle w:val="ListBullet"/>
        <w:ind w:left="357" w:hanging="357"/>
      </w:pPr>
      <w:r w:rsidRPr="00D830D8">
        <w:t xml:space="preserve">they may be travelling to a context (either a country or a specific community within a country) with a higher prevalence of HIV </w:t>
      </w:r>
    </w:p>
    <w:p w14:paraId="652B260C" w14:textId="77777777" w:rsidR="00D20465" w:rsidRPr="00D830D8" w:rsidRDefault="00D20465" w:rsidP="00D830D8">
      <w:pPr>
        <w:pStyle w:val="ListBullet"/>
        <w:ind w:left="357" w:hanging="357"/>
      </w:pPr>
      <w:r w:rsidRPr="00D830D8">
        <w:t xml:space="preserve">be less inhibited and more inclined to risk-taking while travelling </w:t>
      </w:r>
    </w:p>
    <w:p w14:paraId="435F74F3" w14:textId="77777777" w:rsidR="00D20465" w:rsidRPr="00D830D8" w:rsidRDefault="00D20465" w:rsidP="00D830D8">
      <w:pPr>
        <w:pStyle w:val="ListBullet"/>
        <w:ind w:left="357" w:hanging="357"/>
      </w:pPr>
      <w:r w:rsidRPr="00D830D8">
        <w:t xml:space="preserve">assume that behaviour that is low-risk in Australia is low-risk overseas. </w:t>
      </w:r>
    </w:p>
    <w:p w14:paraId="401658E8" w14:textId="77777777" w:rsidR="00D20465" w:rsidRDefault="00D20465" w:rsidP="00D20465">
      <w:pPr>
        <w:pStyle w:val="textbox"/>
        <w:shd w:val="clear" w:color="auto" w:fill="FFFFFF"/>
        <w:spacing w:before="2"/>
        <w:rPr>
          <w:rFonts w:ascii="Calibri" w:hAnsi="Calibri"/>
          <w:sz w:val="22"/>
        </w:rPr>
      </w:pPr>
    </w:p>
    <w:p w14:paraId="345D92D3" w14:textId="0878E257" w:rsidR="00D20465" w:rsidRPr="00D830D8" w:rsidRDefault="00D20465" w:rsidP="00D20465">
      <w:pPr>
        <w:pStyle w:val="textbox"/>
        <w:shd w:val="clear" w:color="auto" w:fill="FFFFFF"/>
        <w:spacing w:before="2"/>
        <w:rPr>
          <w:rFonts w:ascii="Calibri" w:hAnsi="Calibri"/>
        </w:rPr>
      </w:pPr>
      <w:r w:rsidRPr="00D830D8">
        <w:rPr>
          <w:rFonts w:ascii="Calibri" w:hAnsi="Calibri"/>
        </w:rPr>
        <w:t xml:space="preserve">While complete data is not available, it is well-established that mobility is implicated </w:t>
      </w:r>
      <w:r w:rsidRPr="00D830D8">
        <w:rPr>
          <w:rFonts w:ascii="Calibri" w:hAnsi="Calibri"/>
          <w:szCs w:val="10"/>
        </w:rPr>
        <w:t xml:space="preserve">in around 50% of new diagnoses among heterosexuals. There are sub-populations of gay men who are at heightened risk of HIV acquisition when travelling, including Asian gay men. Moreover, travellers may not be aware of the range of strategies that could reduce their risk of HIV acquisition, </w:t>
      </w:r>
      <w:r w:rsidRPr="00D830D8">
        <w:rPr>
          <w:rFonts w:ascii="Calibri" w:hAnsi="Calibri"/>
        </w:rPr>
        <w:t>including condom-protected sex and PrEP.</w:t>
      </w:r>
    </w:p>
    <w:p w14:paraId="04D67AA1" w14:textId="77777777" w:rsidR="00D20465" w:rsidRPr="00D830D8" w:rsidRDefault="00D20465" w:rsidP="00D20465">
      <w:pPr>
        <w:pStyle w:val="textbox"/>
        <w:shd w:val="clear" w:color="auto" w:fill="FFFFFF"/>
        <w:spacing w:before="2"/>
        <w:rPr>
          <w:rFonts w:ascii="Calibri" w:hAnsi="Calibri"/>
        </w:rPr>
      </w:pPr>
    </w:p>
    <w:p w14:paraId="332B1B07" w14:textId="5F7735AB" w:rsidR="00D20465" w:rsidRPr="00D830D8" w:rsidRDefault="00D20465" w:rsidP="00D20465">
      <w:pPr>
        <w:pStyle w:val="textbox"/>
        <w:shd w:val="clear" w:color="auto" w:fill="FFFFFF"/>
        <w:spacing w:before="2"/>
        <w:rPr>
          <w:rFonts w:ascii="Calibri" w:hAnsi="Calibri"/>
          <w:szCs w:val="22"/>
        </w:rPr>
      </w:pPr>
      <w:r w:rsidRPr="00D830D8">
        <w:rPr>
          <w:rFonts w:ascii="Calibri" w:hAnsi="Calibri"/>
        </w:rPr>
        <w:t xml:space="preserve">Australians who acquire HIV in the context of travel are also at risk of later diagnosis and therefore delayed access to treatment and care. They may consider themselves personally at low-risk of acquiring HIV and therefore be less likely to request or </w:t>
      </w:r>
      <w:r w:rsidRPr="00D830D8">
        <w:rPr>
          <w:rFonts w:ascii="Calibri" w:hAnsi="Calibri"/>
          <w:szCs w:val="22"/>
        </w:rPr>
        <w:t>be offered HIV testing at seroconversion</w:t>
      </w:r>
      <w:r w:rsidR="008C39EC">
        <w:rPr>
          <w:rFonts w:ascii="Calibri" w:hAnsi="Calibri"/>
          <w:szCs w:val="22"/>
        </w:rPr>
        <w:t>. T</w:t>
      </w:r>
      <w:r w:rsidRPr="00D830D8">
        <w:rPr>
          <w:rFonts w:ascii="Calibri" w:hAnsi="Calibri"/>
          <w:szCs w:val="22"/>
        </w:rPr>
        <w:t xml:space="preserve">hey may </w:t>
      </w:r>
      <w:r w:rsidR="008C39EC">
        <w:rPr>
          <w:rFonts w:ascii="Calibri" w:hAnsi="Calibri"/>
          <w:szCs w:val="22"/>
        </w:rPr>
        <w:t xml:space="preserve">also </w:t>
      </w:r>
      <w:r w:rsidRPr="00D830D8">
        <w:rPr>
          <w:rFonts w:ascii="Calibri" w:hAnsi="Calibri"/>
          <w:szCs w:val="22"/>
        </w:rPr>
        <w:t xml:space="preserve">be less knowledgeable about how to access testing, treatment and care either while travelling or upon return to Australia. Taken together, these factors can place individuals at risk of poorer health </w:t>
      </w:r>
      <w:r w:rsidR="00D830D8" w:rsidRPr="00D830D8">
        <w:rPr>
          <w:rFonts w:ascii="Calibri" w:hAnsi="Calibri"/>
          <w:szCs w:val="22"/>
        </w:rPr>
        <w:t>outcomes and</w:t>
      </w:r>
      <w:r w:rsidRPr="00D830D8">
        <w:rPr>
          <w:rFonts w:ascii="Calibri" w:hAnsi="Calibri"/>
          <w:szCs w:val="22"/>
        </w:rPr>
        <w:t xml:space="preserve"> may increase the risk of onward transmission of undiagnosed HIV.</w:t>
      </w:r>
    </w:p>
    <w:p w14:paraId="17B89949" w14:textId="77777777" w:rsidR="00D20465" w:rsidRPr="00353264" w:rsidRDefault="00D20465" w:rsidP="00D20465">
      <w:pPr>
        <w:adjustRightInd/>
        <w:snapToGrid/>
        <w:rPr>
          <w:b/>
          <w:szCs w:val="22"/>
        </w:rPr>
      </w:pPr>
    </w:p>
    <w:p w14:paraId="1FDD52C6" w14:textId="77777777" w:rsidR="00D20465" w:rsidRPr="00D20465" w:rsidRDefault="00D20465" w:rsidP="00D20465">
      <w:pPr>
        <w:pStyle w:val="Heading2"/>
      </w:pPr>
      <w:r w:rsidRPr="00D20465">
        <w:t xml:space="preserve">The solution </w:t>
      </w:r>
    </w:p>
    <w:p w14:paraId="08BD33D3" w14:textId="77777777" w:rsidR="00D20465" w:rsidRDefault="00D20465" w:rsidP="00D20465">
      <w:pPr>
        <w:adjustRightInd/>
        <w:snapToGrid/>
        <w:rPr>
          <w:szCs w:val="22"/>
        </w:rPr>
      </w:pPr>
    </w:p>
    <w:p w14:paraId="5D79DA7A" w14:textId="77777777" w:rsidR="00D20465" w:rsidRPr="00D830D8" w:rsidRDefault="00D20465" w:rsidP="00D20465">
      <w:pPr>
        <w:rPr>
          <w:szCs w:val="22"/>
        </w:rPr>
      </w:pPr>
      <w:r w:rsidRPr="00D830D8">
        <w:rPr>
          <w:szCs w:val="22"/>
        </w:rPr>
        <w:t xml:space="preserve">An additional investment from the Australian Government of </w:t>
      </w:r>
      <w:r w:rsidRPr="00D830D8">
        <w:rPr>
          <w:b/>
          <w:szCs w:val="22"/>
        </w:rPr>
        <w:t>$400,000</w:t>
      </w:r>
      <w:r w:rsidRPr="00D830D8">
        <w:rPr>
          <w:szCs w:val="22"/>
        </w:rPr>
        <w:t xml:space="preserve"> </w:t>
      </w:r>
      <w:r w:rsidRPr="00D830D8">
        <w:rPr>
          <w:b/>
          <w:szCs w:val="22"/>
        </w:rPr>
        <w:t>per annum</w:t>
      </w:r>
      <w:r w:rsidRPr="00D830D8">
        <w:rPr>
          <w:szCs w:val="22"/>
        </w:rPr>
        <w:t xml:space="preserve"> would prevent new HIV infections and improve uptake of testing and treatment among those who may acquire HIV while travelling. Proposed activities: </w:t>
      </w:r>
    </w:p>
    <w:p w14:paraId="26BF5656" w14:textId="77777777" w:rsidR="00D20465" w:rsidRPr="00353264" w:rsidRDefault="00D20465" w:rsidP="00D20465">
      <w:pPr>
        <w:rPr>
          <w:szCs w:val="22"/>
        </w:rPr>
      </w:pPr>
    </w:p>
    <w:p w14:paraId="155FD6D2" w14:textId="77777777" w:rsidR="00D20465" w:rsidRPr="00D830D8" w:rsidRDefault="00D20465" w:rsidP="00D830D8">
      <w:pPr>
        <w:pStyle w:val="ListBullet"/>
        <w:ind w:left="357" w:hanging="357"/>
      </w:pPr>
      <w:r w:rsidRPr="00D830D8">
        <w:t>the most efficient modality for addressing travel-related HIV is via targeted communications saturating those settings relevant for travellers</w:t>
      </w:r>
    </w:p>
    <w:p w14:paraId="18C0E4E6" w14:textId="77777777" w:rsidR="00D20465" w:rsidRPr="00D830D8" w:rsidRDefault="00D20465" w:rsidP="00D830D8">
      <w:pPr>
        <w:pStyle w:val="ListBullet"/>
        <w:ind w:left="357" w:hanging="357"/>
      </w:pPr>
      <w:r w:rsidRPr="00D830D8">
        <w:t>this requires a concentrated effort with broad reach as opposed to highly localised responses</w:t>
      </w:r>
    </w:p>
    <w:p w14:paraId="3B19FE48" w14:textId="7B52BF3A" w:rsidR="00D20465" w:rsidRPr="00D830D8" w:rsidRDefault="00D20465" w:rsidP="00D830D8">
      <w:pPr>
        <w:pStyle w:val="ListBullet"/>
        <w:ind w:left="357" w:hanging="357"/>
      </w:pPr>
      <w:r w:rsidRPr="00D830D8">
        <w:t>the campaign would incorporate social media and traditional social marketing channels, with key messages including prevention, testing and treatment.</w:t>
      </w:r>
    </w:p>
    <w:p w14:paraId="6F3CE8DE" w14:textId="7A250608" w:rsidR="00D20465" w:rsidRDefault="00D20465" w:rsidP="00D20465">
      <w:pPr>
        <w:rPr>
          <w:rFonts w:cstheme="minorBidi"/>
          <w:szCs w:val="22"/>
        </w:rPr>
      </w:pPr>
    </w:p>
    <w:p w14:paraId="3EEF67C4" w14:textId="41926D4B" w:rsidR="007D30FC" w:rsidRPr="00EC5BC0" w:rsidRDefault="007D30FC" w:rsidP="00FC1BD1">
      <w:pPr>
        <w:pStyle w:val="Heading2"/>
      </w:pPr>
      <w:r w:rsidRPr="00EC5BC0">
        <w:t>Aligning priority areas for action in the eighth National HIV Strategy</w:t>
      </w:r>
    </w:p>
    <w:p w14:paraId="79654A8D" w14:textId="016CAACA" w:rsidR="007D30FC" w:rsidRDefault="007D30FC" w:rsidP="00D20465">
      <w:pPr>
        <w:rPr>
          <w:rFonts w:cstheme="minorBidi"/>
          <w:szCs w:val="22"/>
        </w:rPr>
      </w:pPr>
    </w:p>
    <w:p w14:paraId="015482D2" w14:textId="77777777" w:rsidR="00661BEE" w:rsidRDefault="00661BEE" w:rsidP="00661BEE">
      <w:pPr>
        <w:pStyle w:val="ListBullet"/>
      </w:pPr>
      <w:r>
        <w:t>maintain and implement targeted programs, including community-led and peer-based approaches, which improve HIV-related knowledge, reinforce prevention and promote safe behaviours in priority populations</w:t>
      </w:r>
    </w:p>
    <w:p w14:paraId="65C80CE6" w14:textId="0F155F64" w:rsidR="00661BEE" w:rsidRDefault="00661BEE" w:rsidP="00661BEE">
      <w:pPr>
        <w:pStyle w:val="ListBullet"/>
      </w:pPr>
      <w:r>
        <w:t>promote the availability and effectiveness of PEP, PrEP and facilitate rapid, widespread and equitable access to PEP and PrEP across the country</w:t>
      </w:r>
    </w:p>
    <w:p w14:paraId="40E0C007" w14:textId="46A3D04F" w:rsidR="007D30FC" w:rsidRPr="00661BEE" w:rsidRDefault="00661BEE" w:rsidP="00661BEE">
      <w:pPr>
        <w:pStyle w:val="ListBullet"/>
      </w:pPr>
      <w:r>
        <w:t>expand the use and accessibility of a range of HIV and STI testing technologies and options and tailor testing approaches to the needs of priority populations and sub-populations, particularly where there is a need to improve early diagnosis.</w:t>
      </w:r>
    </w:p>
    <w:p w14:paraId="563EB695" w14:textId="77777777" w:rsidR="007D30FC" w:rsidRPr="00353264" w:rsidRDefault="007D30FC" w:rsidP="00D20465">
      <w:pPr>
        <w:rPr>
          <w:rFonts w:cstheme="minorBidi"/>
          <w:szCs w:val="22"/>
        </w:rPr>
      </w:pPr>
    </w:p>
    <w:p w14:paraId="0EBE8F40" w14:textId="77777777" w:rsidR="00D20465" w:rsidRPr="00D20465" w:rsidRDefault="00D20465" w:rsidP="00D20465">
      <w:pPr>
        <w:pStyle w:val="Heading2"/>
      </w:pPr>
      <w:r w:rsidRPr="00D20465">
        <w:t xml:space="preserve">Impact of investment </w:t>
      </w:r>
    </w:p>
    <w:p w14:paraId="3F8A54CE" w14:textId="77777777" w:rsidR="00D20465" w:rsidRDefault="00D20465" w:rsidP="00D20465">
      <w:pPr>
        <w:rPr>
          <w:rFonts w:cstheme="minorBidi"/>
          <w:szCs w:val="22"/>
        </w:rPr>
      </w:pPr>
    </w:p>
    <w:p w14:paraId="38E43269" w14:textId="714B01E6" w:rsidR="00D20465" w:rsidRPr="00D830D8" w:rsidRDefault="00D830D8" w:rsidP="00D830D8">
      <w:pPr>
        <w:pStyle w:val="ListBullet"/>
        <w:ind w:left="357" w:hanging="357"/>
      </w:pPr>
      <w:r>
        <w:t>r</w:t>
      </w:r>
      <w:r w:rsidR="00D20465" w:rsidRPr="00D830D8">
        <w:t>educe preventable infections</w:t>
      </w:r>
    </w:p>
    <w:p w14:paraId="256EBC3D" w14:textId="5D819B5D" w:rsidR="00D20465" w:rsidRPr="00D830D8" w:rsidRDefault="00D830D8" w:rsidP="00D830D8">
      <w:pPr>
        <w:pStyle w:val="ListBullet"/>
        <w:ind w:left="357" w:hanging="357"/>
      </w:pPr>
      <w:r>
        <w:t>i</w:t>
      </w:r>
      <w:r w:rsidR="00D20465" w:rsidRPr="00D830D8">
        <w:t>mprove uptake of testing and treatment among travellers who acquire HIV</w:t>
      </w:r>
    </w:p>
    <w:p w14:paraId="24383EB0" w14:textId="6110942B" w:rsidR="00D20465" w:rsidRPr="00D830D8" w:rsidRDefault="00D830D8" w:rsidP="00D830D8">
      <w:pPr>
        <w:pStyle w:val="ListBullet"/>
        <w:ind w:left="357" w:hanging="357"/>
      </w:pPr>
      <w:r>
        <w:t>r</w:t>
      </w:r>
      <w:r w:rsidR="00D20465" w:rsidRPr="00D830D8">
        <w:t xml:space="preserve">educe onward HIV transmission from people with undiagnosed HIV. </w:t>
      </w:r>
    </w:p>
    <w:p w14:paraId="1CC9A734" w14:textId="77777777" w:rsidR="00D20465" w:rsidRDefault="00D20465" w:rsidP="00D20465">
      <w:pPr>
        <w:shd w:val="clear" w:color="auto" w:fill="FFFFFF"/>
      </w:pPr>
    </w:p>
    <w:p w14:paraId="11135EFC" w14:textId="5E74DB5E" w:rsidR="00C17BB6" w:rsidRDefault="00D20465" w:rsidP="00D20465">
      <w:pPr>
        <w:shd w:val="clear" w:color="auto" w:fill="FFFFFF"/>
      </w:pPr>
      <w:r w:rsidRPr="00D830D8">
        <w:lastRenderedPageBreak/>
        <w:t>This investment will contribute to the secondary prevention of poorer health outcomes among people with HIV, thus reducing pressure on primary care and public health, and redu</w:t>
      </w:r>
      <w:r w:rsidR="00C17BB6">
        <w:t>cing</w:t>
      </w:r>
      <w:r w:rsidRPr="00D830D8">
        <w:t xml:space="preserve"> late diagnoses and the health care costs associated with late diagnosis.</w:t>
      </w:r>
    </w:p>
    <w:p w14:paraId="42729A33" w14:textId="77777777" w:rsidR="00C17BB6" w:rsidRDefault="00C17BB6">
      <w:pPr>
        <w:adjustRightInd/>
        <w:snapToGrid/>
      </w:pPr>
      <w:r>
        <w:br w:type="page"/>
      </w:r>
    </w:p>
    <w:p w14:paraId="2F2FB00E" w14:textId="3DFF8510" w:rsidR="00D20465" w:rsidRPr="00D20465" w:rsidRDefault="00D20465" w:rsidP="00D20465">
      <w:pPr>
        <w:adjustRightInd/>
        <w:snapToGrid/>
        <w:rPr>
          <w:sz w:val="22"/>
        </w:rPr>
      </w:pPr>
      <w:r>
        <w:rPr>
          <w:b/>
          <w:color w:val="F26522" w:themeColor="accent1"/>
          <w:sz w:val="28"/>
          <w:szCs w:val="28"/>
        </w:rPr>
        <w:lastRenderedPageBreak/>
        <w:t>Recommendation 6: Strengthen the community-led response through targeted workforce development that incorporates knowledge transfer and skill development</w:t>
      </w:r>
    </w:p>
    <w:p w14:paraId="5381E000" w14:textId="77777777" w:rsidR="00D20465" w:rsidRDefault="00D20465" w:rsidP="00D20465">
      <w:pPr>
        <w:adjustRightInd/>
        <w:snapToGrid/>
        <w:rPr>
          <w:b/>
          <w:szCs w:val="24"/>
        </w:rPr>
      </w:pPr>
    </w:p>
    <w:p w14:paraId="387B54D0" w14:textId="77777777" w:rsidR="00D20465" w:rsidRPr="00D20465" w:rsidRDefault="00D20465" w:rsidP="00D20465">
      <w:pPr>
        <w:pStyle w:val="Heading2"/>
      </w:pPr>
      <w:r w:rsidRPr="00D20465">
        <w:t>Issues</w:t>
      </w:r>
    </w:p>
    <w:p w14:paraId="6E719038" w14:textId="77777777" w:rsidR="00D20465" w:rsidRDefault="00D20465" w:rsidP="00D20465">
      <w:pPr>
        <w:rPr>
          <w:rFonts w:cstheme="minorBidi"/>
          <w:b/>
          <w:szCs w:val="22"/>
        </w:rPr>
      </w:pPr>
    </w:p>
    <w:p w14:paraId="71C5C4EE" w14:textId="7C1EB3A2" w:rsidR="00D20465" w:rsidRPr="008C39EC" w:rsidRDefault="00D20465" w:rsidP="00D20465">
      <w:pPr>
        <w:adjustRightInd/>
        <w:snapToGrid/>
        <w:rPr>
          <w:szCs w:val="24"/>
        </w:rPr>
      </w:pPr>
      <w:r w:rsidRPr="00D830D8">
        <w:t>The workforce is the engine-room for the community-led response and is dispersed across Australia’s eight states and territories,</w:t>
      </w:r>
      <w:r w:rsidR="008C39EC">
        <w:t xml:space="preserve"> </w:t>
      </w:r>
      <w:r w:rsidRPr="00D830D8">
        <w:t>diverse populations and different modalities (including community education workshops, social marketing campaigns, outreach and community mobilisation).</w:t>
      </w:r>
      <w:r w:rsidR="008C39EC">
        <w:rPr>
          <w:szCs w:val="24"/>
        </w:rPr>
        <w:t xml:space="preserve"> </w:t>
      </w:r>
      <w:r w:rsidRPr="00D830D8">
        <w:t>This workforce is highly skilled and specialist and relies on the HIV sector to provide access to ongoing, role-relevant workforce development.</w:t>
      </w:r>
    </w:p>
    <w:p w14:paraId="4B20E542" w14:textId="77777777" w:rsidR="00D20465" w:rsidRPr="00D830D8" w:rsidRDefault="00D20465" w:rsidP="00D20465">
      <w:pPr>
        <w:adjustRightInd/>
        <w:snapToGrid/>
      </w:pPr>
    </w:p>
    <w:p w14:paraId="4807E620" w14:textId="77777777" w:rsidR="00D20465" w:rsidRPr="00D830D8" w:rsidRDefault="00D20465" w:rsidP="00D20465">
      <w:pPr>
        <w:adjustRightInd/>
        <w:snapToGrid/>
      </w:pPr>
      <w:r w:rsidRPr="00D830D8">
        <w:t xml:space="preserve">The organisations that employ the community workforce are by their nature constrained, particularly in the smaller jurisdictions, in developing the knowledge and skills of their employees in the highly-specialised aspects of their work. Consequently, new staff commence in their roles with limited induction and have only periodic access to skill development that is deeply relevant to their work responsibilities. </w:t>
      </w:r>
    </w:p>
    <w:p w14:paraId="72142899" w14:textId="77777777" w:rsidR="00D20465" w:rsidRPr="00D830D8" w:rsidRDefault="00D20465" w:rsidP="00D20465">
      <w:pPr>
        <w:adjustRightInd/>
        <w:snapToGrid/>
      </w:pPr>
    </w:p>
    <w:p w14:paraId="0A6660A8" w14:textId="77777777" w:rsidR="00D20465" w:rsidRPr="00D830D8" w:rsidRDefault="00D20465" w:rsidP="00D20465">
      <w:pPr>
        <w:adjustRightInd/>
        <w:snapToGrid/>
      </w:pPr>
      <w:r w:rsidRPr="00D830D8">
        <w:t>As such, national workforce development has the greatest potential to reach critical mass and to support cross-facilitation and skill development across workers located across Australia.</w:t>
      </w:r>
    </w:p>
    <w:p w14:paraId="1496D63D" w14:textId="77777777" w:rsidR="00D20465" w:rsidRDefault="00D20465" w:rsidP="00D20465">
      <w:pPr>
        <w:rPr>
          <w:rFonts w:cstheme="minorBidi"/>
          <w:b/>
          <w:szCs w:val="22"/>
        </w:rPr>
      </w:pPr>
    </w:p>
    <w:p w14:paraId="79A5A764" w14:textId="77777777" w:rsidR="00D20465" w:rsidRPr="00D20465" w:rsidRDefault="00D20465" w:rsidP="00D20465">
      <w:pPr>
        <w:pStyle w:val="Heading2"/>
      </w:pPr>
      <w:r w:rsidRPr="00D20465">
        <w:t xml:space="preserve">The solution </w:t>
      </w:r>
    </w:p>
    <w:p w14:paraId="6313A13C" w14:textId="77777777" w:rsidR="00D20465" w:rsidRDefault="00D20465" w:rsidP="00D20465">
      <w:pPr>
        <w:rPr>
          <w:rFonts w:cstheme="minorBidi"/>
          <w:szCs w:val="22"/>
        </w:rPr>
      </w:pPr>
    </w:p>
    <w:p w14:paraId="031D6905" w14:textId="77777777" w:rsidR="00D20465" w:rsidRPr="00D830D8" w:rsidRDefault="00D20465" w:rsidP="00D20465">
      <w:r w:rsidRPr="00D830D8">
        <w:t xml:space="preserve">An additional investment from the Australia Government of </w:t>
      </w:r>
      <w:r w:rsidRPr="00D830D8">
        <w:rPr>
          <w:b/>
        </w:rPr>
        <w:t>$250,000 per annum</w:t>
      </w:r>
      <w:r w:rsidRPr="00D830D8">
        <w:t xml:space="preserve"> would strengthen the community-led response through targeted workforce development that incorporates knowledge transfer and skill development. Proposed activities: </w:t>
      </w:r>
    </w:p>
    <w:p w14:paraId="1A529FB6" w14:textId="77777777" w:rsidR="00D20465" w:rsidRPr="00353264" w:rsidRDefault="00D20465" w:rsidP="00D20465">
      <w:pPr>
        <w:rPr>
          <w:szCs w:val="22"/>
        </w:rPr>
      </w:pPr>
    </w:p>
    <w:p w14:paraId="6EC5DA1D" w14:textId="2B31832A" w:rsidR="00D20465" w:rsidRPr="00D830D8" w:rsidRDefault="00D20465" w:rsidP="00D830D8">
      <w:pPr>
        <w:pStyle w:val="ListBullet"/>
        <w:ind w:left="357" w:hanging="357"/>
      </w:pPr>
      <w:r w:rsidRPr="00D830D8">
        <w:t>fund a biennial National HIV Health Promotion Conference, bringing together the diverse community workforces from across Australia. This conference would provide a regular opportunity to bring networks together to distribute current knowledge, including HIV epidemiological, social and behavioural research and international best practice HIV health promotion, as well as practical skill development on strategies to achieve behaviour change and measure outcomes</w:t>
      </w:r>
    </w:p>
    <w:p w14:paraId="374D88F1" w14:textId="5C10B27C" w:rsidR="00D20465" w:rsidRDefault="00D20465" w:rsidP="00D830D8">
      <w:pPr>
        <w:pStyle w:val="ListBullet"/>
        <w:ind w:left="357" w:hanging="357"/>
      </w:pPr>
      <w:r w:rsidRPr="00D830D8">
        <w:t>the National</w:t>
      </w:r>
      <w:r w:rsidR="008C39EC">
        <w:t xml:space="preserve"> HIV Health Promotion</w:t>
      </w:r>
      <w:r w:rsidRPr="00D830D8">
        <w:t xml:space="preserve"> Conference would be complemented by online training and regular networking among practitioners, including webinars on more specialised aspects of HIV prevention, testing and treatment work with key populations, dissemination of current research, and peer support for the translation of critical advances in prevention science into health promotion and education practice. </w:t>
      </w:r>
    </w:p>
    <w:p w14:paraId="2BEFCF16" w14:textId="29E857DC" w:rsidR="00661BEE" w:rsidRDefault="00661BEE" w:rsidP="00661BEE">
      <w:pPr>
        <w:pStyle w:val="ListBullet"/>
        <w:numPr>
          <w:ilvl w:val="0"/>
          <w:numId w:val="0"/>
        </w:numPr>
        <w:ind w:left="340" w:hanging="340"/>
      </w:pPr>
    </w:p>
    <w:p w14:paraId="2E4C031D" w14:textId="381385FD" w:rsidR="00661BEE" w:rsidRDefault="00661BEE" w:rsidP="00FC1BD1">
      <w:pPr>
        <w:pStyle w:val="Heading2"/>
      </w:pPr>
      <w:r>
        <w:t xml:space="preserve">Aligning priority areas for action in the eighth </w:t>
      </w:r>
      <w:r w:rsidRPr="00650201">
        <w:t>National HIV Strategy</w:t>
      </w:r>
    </w:p>
    <w:p w14:paraId="352049C0" w14:textId="77777777" w:rsidR="00661BEE" w:rsidRDefault="00661BEE" w:rsidP="00661BEE">
      <w:pPr>
        <w:rPr>
          <w:rFonts w:cstheme="minorBidi"/>
          <w:szCs w:val="22"/>
        </w:rPr>
      </w:pPr>
    </w:p>
    <w:p w14:paraId="517F56BB" w14:textId="1FBBB08D" w:rsidR="00661BEE" w:rsidRDefault="00661BEE" w:rsidP="00661BEE">
      <w:pPr>
        <w:pStyle w:val="ListBullet"/>
      </w:pPr>
      <w:r>
        <w:t>maintain and implement targeted programs, including community-led and peer-based approaches, which improve HIV-related knowledge, reinforce prevention and promote safe behaviours in priority populations</w:t>
      </w:r>
    </w:p>
    <w:p w14:paraId="7E70E105" w14:textId="76FF8ADB" w:rsidR="00661BEE" w:rsidRPr="00D830D8" w:rsidRDefault="00661BEE" w:rsidP="00661BEE">
      <w:pPr>
        <w:pStyle w:val="ListBullet"/>
      </w:pPr>
      <w:r>
        <w:t>support the capacity and role of community organisations to provide education, prevention, support and advocacy services to priority populations.</w:t>
      </w:r>
    </w:p>
    <w:p w14:paraId="348B4983" w14:textId="77777777" w:rsidR="00D20465" w:rsidRPr="00353264" w:rsidRDefault="00D20465" w:rsidP="00D20465">
      <w:pPr>
        <w:rPr>
          <w:rFonts w:cstheme="minorBidi"/>
          <w:szCs w:val="22"/>
        </w:rPr>
      </w:pPr>
    </w:p>
    <w:p w14:paraId="5E8FF6C3" w14:textId="77777777" w:rsidR="00D20465" w:rsidRPr="00D20465" w:rsidRDefault="00D20465" w:rsidP="00D20465">
      <w:pPr>
        <w:pStyle w:val="Heading2"/>
      </w:pPr>
      <w:r w:rsidRPr="00D20465">
        <w:t xml:space="preserve">Impact of investment </w:t>
      </w:r>
    </w:p>
    <w:p w14:paraId="53FA7E51" w14:textId="77777777" w:rsidR="00D20465" w:rsidRDefault="00D20465" w:rsidP="00D20465">
      <w:pPr>
        <w:adjustRightInd/>
        <w:snapToGrid/>
        <w:rPr>
          <w:szCs w:val="24"/>
        </w:rPr>
      </w:pPr>
    </w:p>
    <w:p w14:paraId="4BCCBD58" w14:textId="5E96BBF7" w:rsidR="00D20465" w:rsidRPr="00D830D8" w:rsidRDefault="00D830D8" w:rsidP="00D830D8">
      <w:pPr>
        <w:pStyle w:val="ListBullet"/>
        <w:ind w:left="357" w:hanging="357"/>
      </w:pPr>
      <w:r>
        <w:t>a</w:t>
      </w:r>
      <w:r w:rsidR="00D20465" w:rsidRPr="00D830D8">
        <w:t xml:space="preserve"> highly skilled workforce will deliver world-class HIV prevention, testing and treatment education initiatives.</w:t>
      </w:r>
    </w:p>
    <w:p w14:paraId="0888C398" w14:textId="77777777" w:rsidR="00D20465" w:rsidRDefault="00D20465" w:rsidP="00D20465"/>
    <w:p w14:paraId="66396BE8" w14:textId="0EACCBA7" w:rsidR="00C17BB6" w:rsidRDefault="00D20465" w:rsidP="00D830D8">
      <w:r w:rsidRPr="00D830D8">
        <w:t xml:space="preserve">Investment in the workforce will result in more </w:t>
      </w:r>
      <w:r w:rsidR="00C17BB6">
        <w:t>effective</w:t>
      </w:r>
      <w:r w:rsidRPr="00D830D8">
        <w:t xml:space="preserve"> prevention, testing and treatment activity and ultimately contribute to a reduction in new infections and an increase in testing and uptake of treatment</w:t>
      </w:r>
      <w:r w:rsidR="00D830D8">
        <w:t>.</w:t>
      </w:r>
    </w:p>
    <w:p w14:paraId="14DAD25C" w14:textId="77777777" w:rsidR="00C17BB6" w:rsidRDefault="00C17BB6">
      <w:pPr>
        <w:adjustRightInd/>
        <w:snapToGrid/>
      </w:pPr>
      <w:r>
        <w:br w:type="page"/>
      </w:r>
    </w:p>
    <w:p w14:paraId="6F17D12F" w14:textId="0AAD0B8E" w:rsidR="00D20465" w:rsidRPr="0001550F" w:rsidRDefault="00D20465" w:rsidP="00D20465">
      <w:pPr>
        <w:adjustRightInd/>
        <w:snapToGrid/>
        <w:rPr>
          <w:rFonts w:eastAsiaTheme="minorHAnsi" w:cstheme="minorBidi"/>
          <w:b/>
          <w:color w:val="auto"/>
          <w:szCs w:val="10"/>
          <w:lang w:eastAsia="en-US"/>
        </w:rPr>
      </w:pPr>
      <w:r>
        <w:rPr>
          <w:b/>
          <w:color w:val="F26522" w:themeColor="accent1"/>
          <w:sz w:val="28"/>
          <w:szCs w:val="28"/>
        </w:rPr>
        <w:lastRenderedPageBreak/>
        <w:t xml:space="preserve">Recommendation </w:t>
      </w:r>
      <w:r w:rsidR="00C62407">
        <w:rPr>
          <w:b/>
          <w:color w:val="F26522" w:themeColor="accent1"/>
          <w:sz w:val="28"/>
          <w:szCs w:val="28"/>
        </w:rPr>
        <w:t>7</w:t>
      </w:r>
      <w:r>
        <w:rPr>
          <w:b/>
          <w:color w:val="F26522" w:themeColor="accent1"/>
          <w:sz w:val="28"/>
          <w:szCs w:val="28"/>
        </w:rPr>
        <w:t xml:space="preserve">: </w:t>
      </w:r>
      <w:r w:rsidR="00FD4A40" w:rsidRPr="00FD4A40">
        <w:rPr>
          <w:b/>
          <w:color w:val="F26522" w:themeColor="accent1"/>
          <w:sz w:val="28"/>
          <w:szCs w:val="28"/>
        </w:rPr>
        <w:t>Evaluate the effectiveness of national and local programs</w:t>
      </w:r>
    </w:p>
    <w:p w14:paraId="7FC0EFD8" w14:textId="77777777" w:rsidR="00D20465" w:rsidRDefault="00D20465" w:rsidP="00D20465">
      <w:pPr>
        <w:adjustRightInd/>
        <w:snapToGrid/>
        <w:rPr>
          <w:rFonts w:eastAsia="SimSun"/>
          <w:color w:val="auto"/>
          <w:lang w:eastAsia="en-US"/>
        </w:rPr>
      </w:pPr>
    </w:p>
    <w:p w14:paraId="27BE2C21" w14:textId="77777777" w:rsidR="00D20465" w:rsidRPr="00343278" w:rsidRDefault="00D20465" w:rsidP="00343278">
      <w:pPr>
        <w:pStyle w:val="Heading2"/>
      </w:pPr>
      <w:r w:rsidRPr="00343278">
        <w:t>Issues</w:t>
      </w:r>
    </w:p>
    <w:p w14:paraId="45AFAECD" w14:textId="77777777" w:rsidR="00D20465" w:rsidRDefault="00D20465" w:rsidP="00D20465">
      <w:pPr>
        <w:adjustRightInd/>
        <w:snapToGrid/>
        <w:rPr>
          <w:b/>
          <w:szCs w:val="24"/>
        </w:rPr>
      </w:pPr>
    </w:p>
    <w:p w14:paraId="6A30E0E1" w14:textId="77777777" w:rsidR="00147DF7" w:rsidRDefault="00FD4A40" w:rsidP="00FD4A40">
      <w:pPr>
        <w:autoSpaceDE w:val="0"/>
        <w:autoSpaceDN w:val="0"/>
        <w:snapToGrid/>
        <w:rPr>
          <w:rFonts w:asciiTheme="minorHAnsi" w:eastAsia="SimSun" w:hAnsiTheme="minorHAnsi" w:cs="Baskerville"/>
          <w:snapToGrid/>
          <w:color w:val="000000"/>
          <w:szCs w:val="18"/>
          <w:lang w:eastAsia="en-GB"/>
        </w:rPr>
      </w:pPr>
      <w:r w:rsidRPr="00FD4A40">
        <w:rPr>
          <w:rFonts w:asciiTheme="minorHAnsi" w:eastAsia="SimSun" w:hAnsiTheme="minorHAnsi" w:cs="Baskerville"/>
          <w:snapToGrid/>
          <w:color w:val="000000"/>
          <w:szCs w:val="18"/>
          <w:lang w:eastAsia="en-GB"/>
        </w:rPr>
        <w:t>Evaluation is a key tool for ensuring that programs and services are appropriately tailored to the needs of key populations</w:t>
      </w:r>
      <w:r>
        <w:rPr>
          <w:rFonts w:asciiTheme="minorHAnsi" w:eastAsia="SimSun" w:hAnsiTheme="minorHAnsi" w:cs="Baskerville"/>
          <w:snapToGrid/>
          <w:color w:val="000000"/>
          <w:szCs w:val="18"/>
          <w:lang w:eastAsia="en-GB"/>
        </w:rPr>
        <w:t>,</w:t>
      </w:r>
      <w:r w:rsidRPr="00FD4A40">
        <w:rPr>
          <w:rFonts w:asciiTheme="minorHAnsi" w:eastAsia="SimSun" w:hAnsiTheme="minorHAnsi" w:cs="Baskerville"/>
          <w:snapToGrid/>
          <w:color w:val="000000"/>
          <w:szCs w:val="18"/>
          <w:lang w:eastAsia="en-GB"/>
        </w:rPr>
        <w:t xml:space="preserve"> at-risk individuals and people with HIV. However, many organisations encounter a range of obstacles to routinely embedding evaluation into program and service delivery, including lack of expertise in the specific evaluation methodologies and tools that produce program-relevant findings (for instance, formative evaluation or developmental evaluation), limited funding, past poor experiences with evaluations that have not produced relevant findings, and time constraints related to funding cycles that prioritise short term output reporting at the expense of longer-term monitoring of impact and outcomes.</w:t>
      </w:r>
      <w:r>
        <w:rPr>
          <w:rFonts w:asciiTheme="minorHAnsi" w:eastAsia="SimSun" w:hAnsiTheme="minorHAnsi" w:cs="Baskerville"/>
          <w:snapToGrid/>
          <w:color w:val="000000"/>
          <w:szCs w:val="18"/>
          <w:lang w:eastAsia="en-GB"/>
        </w:rPr>
        <w:t xml:space="preserve"> </w:t>
      </w:r>
    </w:p>
    <w:p w14:paraId="7EBA59BD" w14:textId="77777777" w:rsidR="00147DF7" w:rsidRDefault="00147DF7" w:rsidP="00FD4A40">
      <w:pPr>
        <w:autoSpaceDE w:val="0"/>
        <w:autoSpaceDN w:val="0"/>
        <w:snapToGrid/>
        <w:rPr>
          <w:rFonts w:asciiTheme="minorHAnsi" w:eastAsia="SimSun" w:hAnsiTheme="minorHAnsi" w:cs="Baskerville"/>
          <w:snapToGrid/>
          <w:color w:val="000000"/>
          <w:szCs w:val="18"/>
          <w:lang w:eastAsia="en-GB"/>
        </w:rPr>
      </w:pPr>
    </w:p>
    <w:p w14:paraId="3618C343" w14:textId="70300EF2" w:rsidR="00D20465" w:rsidRPr="00FD4A40" w:rsidRDefault="00FD4A40" w:rsidP="00FD4A40">
      <w:pPr>
        <w:autoSpaceDE w:val="0"/>
        <w:autoSpaceDN w:val="0"/>
        <w:snapToGrid/>
        <w:rPr>
          <w:rFonts w:asciiTheme="minorHAnsi" w:eastAsia="SimSun" w:hAnsiTheme="minorHAnsi" w:cs="Baskerville"/>
          <w:snapToGrid/>
          <w:color w:val="000000"/>
          <w:szCs w:val="18"/>
          <w:lang w:eastAsia="en-GB"/>
        </w:rPr>
      </w:pPr>
      <w:r w:rsidRPr="00FD4A40">
        <w:rPr>
          <w:rFonts w:asciiTheme="minorHAnsi" w:eastAsia="SimSun" w:hAnsiTheme="minorHAnsi" w:cs="Baskerville"/>
          <w:snapToGrid/>
          <w:color w:val="000000"/>
          <w:szCs w:val="18"/>
          <w:lang w:eastAsia="en-GB"/>
        </w:rPr>
        <w:t>At an individual service level, this can undermine an organisation’s ability to adapt its services and programs to best meet client need.</w:t>
      </w:r>
      <w:r>
        <w:rPr>
          <w:rFonts w:asciiTheme="minorHAnsi" w:eastAsia="SimSun" w:hAnsiTheme="minorHAnsi" w:cs="Baskerville"/>
          <w:snapToGrid/>
          <w:color w:val="000000"/>
          <w:szCs w:val="18"/>
          <w:lang w:eastAsia="en-GB"/>
        </w:rPr>
        <w:t xml:space="preserve"> </w:t>
      </w:r>
      <w:r w:rsidRPr="00FD4A40">
        <w:rPr>
          <w:rFonts w:asciiTheme="minorHAnsi" w:eastAsia="SimSun" w:hAnsiTheme="minorHAnsi" w:cs="Baskerville"/>
          <w:snapToGrid/>
          <w:color w:val="000000"/>
          <w:szCs w:val="18"/>
          <w:lang w:eastAsia="en-GB"/>
        </w:rPr>
        <w:t>At a systemic level, this means that the sector does not have access to the full range of data needed to best focus its efforts.</w:t>
      </w:r>
    </w:p>
    <w:p w14:paraId="6F07A06D" w14:textId="77777777" w:rsidR="00D20465" w:rsidRDefault="00D20465" w:rsidP="00D20465">
      <w:pPr>
        <w:adjustRightInd/>
        <w:snapToGrid/>
        <w:rPr>
          <w:b/>
          <w:szCs w:val="24"/>
        </w:rPr>
      </w:pPr>
    </w:p>
    <w:p w14:paraId="12A2738E" w14:textId="77777777" w:rsidR="00D20465" w:rsidRPr="00343278" w:rsidRDefault="00D20465" w:rsidP="00343278">
      <w:pPr>
        <w:pStyle w:val="Heading2"/>
      </w:pPr>
      <w:r w:rsidRPr="00343278">
        <w:t xml:space="preserve">The solution </w:t>
      </w:r>
    </w:p>
    <w:p w14:paraId="7D37CF19" w14:textId="77777777" w:rsidR="00D20465" w:rsidRDefault="00D20465" w:rsidP="00D20465">
      <w:pPr>
        <w:adjustRightInd/>
        <w:snapToGrid/>
        <w:rPr>
          <w:rFonts w:eastAsiaTheme="minorHAnsi" w:cstheme="minorBidi"/>
          <w:color w:val="auto"/>
          <w:szCs w:val="10"/>
          <w:lang w:eastAsia="en-US"/>
        </w:rPr>
      </w:pPr>
    </w:p>
    <w:p w14:paraId="05E9282D" w14:textId="476B9286" w:rsidR="00D20465" w:rsidRDefault="0001550F" w:rsidP="00D20465">
      <w:pPr>
        <w:shd w:val="clear" w:color="auto" w:fill="FFFFFF"/>
        <w:adjustRightInd/>
        <w:snapToGrid/>
      </w:pPr>
      <w:r w:rsidRPr="00D830D8">
        <w:t>An additional investment from the Australia</w:t>
      </w:r>
      <w:r w:rsidR="00B24A18">
        <w:t>n</w:t>
      </w:r>
      <w:r w:rsidRPr="00D830D8">
        <w:t xml:space="preserve"> Government of</w:t>
      </w:r>
      <w:r>
        <w:t xml:space="preserve"> </w:t>
      </w:r>
      <w:r w:rsidRPr="0001550F">
        <w:rPr>
          <w:b/>
        </w:rPr>
        <w:t>$1.2 million per annum</w:t>
      </w:r>
      <w:r>
        <w:rPr>
          <w:b/>
        </w:rPr>
        <w:t xml:space="preserve"> </w:t>
      </w:r>
      <w:r>
        <w:t>would allow organisations</w:t>
      </w:r>
      <w:r w:rsidR="008C39EC">
        <w:t xml:space="preserve"> to</w:t>
      </w:r>
      <w:r>
        <w:t xml:space="preserve"> evaluate their programs and services </w:t>
      </w:r>
      <w:r w:rsidR="008C39EC">
        <w:t>and</w:t>
      </w:r>
      <w:r>
        <w:t xml:space="preserve"> ensure </w:t>
      </w:r>
      <w:r w:rsidR="008C39EC">
        <w:t>they</w:t>
      </w:r>
      <w:r>
        <w:t xml:space="preserve"> are tailored to the needs of the key populations, at-risk individuals and people with HIV</w:t>
      </w:r>
      <w:r w:rsidR="008C39EC">
        <w:t xml:space="preserve"> they serve</w:t>
      </w:r>
      <w:r>
        <w:t>. Proposed activities:</w:t>
      </w:r>
    </w:p>
    <w:p w14:paraId="27F993AA" w14:textId="2CA2AE89" w:rsidR="0001550F" w:rsidRDefault="0001550F" w:rsidP="00D20465">
      <w:pPr>
        <w:shd w:val="clear" w:color="auto" w:fill="FFFFFF"/>
        <w:adjustRightInd/>
        <w:snapToGrid/>
      </w:pPr>
    </w:p>
    <w:p w14:paraId="780E8612" w14:textId="156F5EF6" w:rsidR="0001550F" w:rsidRDefault="0001550F" w:rsidP="0001550F">
      <w:pPr>
        <w:pStyle w:val="ListBullet"/>
      </w:pPr>
      <w:r>
        <w:t>create a dedicated national evaluation team that is available to conduct evaluation at the following levels:</w:t>
      </w:r>
    </w:p>
    <w:p w14:paraId="6C9AC7B3" w14:textId="5A42E6C7" w:rsidR="0001550F" w:rsidRDefault="0001550F" w:rsidP="0001550F">
      <w:pPr>
        <w:pStyle w:val="ListBullet2"/>
      </w:pPr>
      <w:r>
        <w:t xml:space="preserve">micro level – to evaluate the reach, impact and outcomes of specific initiatives </w:t>
      </w:r>
      <w:r w:rsidR="00416E18">
        <w:t>(</w:t>
      </w:r>
      <w:r>
        <w:t>for example, a health education campaign targeting a specific population), to make recommendations about upscaling, and to identify transferability to other localities and/or populations</w:t>
      </w:r>
    </w:p>
    <w:p w14:paraId="2DA51ABB" w14:textId="2B535940" w:rsidR="0001550F" w:rsidRDefault="0001550F" w:rsidP="0001550F">
      <w:pPr>
        <w:pStyle w:val="ListBullet2"/>
      </w:pPr>
      <w:r>
        <w:t>meso level – to evaluat</w:t>
      </w:r>
      <w:r w:rsidR="008C39EC">
        <w:t>e</w:t>
      </w:r>
      <w:r>
        <w:t xml:space="preserve"> specific streams and bodies of work, such as outreach with sex workers, or social media targeting gay men, with a view to assessing the current relevance of that modality and making recommendations for the future use (or cessation) of that modality</w:t>
      </w:r>
    </w:p>
    <w:p w14:paraId="54A7EF36" w14:textId="48FF975F" w:rsidR="0001550F" w:rsidRPr="0001550F" w:rsidRDefault="0001550F" w:rsidP="0001550F">
      <w:pPr>
        <w:pStyle w:val="ListBullet2"/>
      </w:pPr>
      <w:r>
        <w:t>macro level – to evaluate the health and economic impact of sub-programs within the Australian HIV response.</w:t>
      </w:r>
    </w:p>
    <w:p w14:paraId="29579461" w14:textId="79BC896C" w:rsidR="00FD4A40" w:rsidRDefault="00FD4A40" w:rsidP="00D20465">
      <w:pPr>
        <w:shd w:val="clear" w:color="auto" w:fill="FFFFFF"/>
        <w:adjustRightInd/>
        <w:snapToGrid/>
        <w:rPr>
          <w:szCs w:val="22"/>
        </w:rPr>
      </w:pPr>
    </w:p>
    <w:p w14:paraId="2E38C48E" w14:textId="3A7B59D2" w:rsidR="00EC450D" w:rsidRDefault="00EC450D" w:rsidP="00FC1BD1">
      <w:pPr>
        <w:pStyle w:val="Heading2"/>
      </w:pPr>
      <w:r>
        <w:t xml:space="preserve">Aligning priority areas for action in the eighth </w:t>
      </w:r>
      <w:r w:rsidRPr="00650201">
        <w:t>National HIV Strategy</w:t>
      </w:r>
    </w:p>
    <w:p w14:paraId="50F0F410" w14:textId="52D959B2" w:rsidR="00EC450D" w:rsidRDefault="00EC450D" w:rsidP="00D20465">
      <w:pPr>
        <w:shd w:val="clear" w:color="auto" w:fill="FFFFFF"/>
        <w:adjustRightInd/>
        <w:snapToGrid/>
        <w:rPr>
          <w:szCs w:val="22"/>
        </w:rPr>
      </w:pPr>
    </w:p>
    <w:p w14:paraId="7752E0E5" w14:textId="5BDD63C9" w:rsidR="00EC450D" w:rsidRDefault="00EC450D" w:rsidP="00EC450D">
      <w:pPr>
        <w:pStyle w:val="ListBullet"/>
      </w:pPr>
      <w:r>
        <w:t>ensure current and future programs and activities are evaluated to ensure linkage and alignment to the priority areas of this strategy</w:t>
      </w:r>
    </w:p>
    <w:p w14:paraId="5749F10E" w14:textId="3793C32B" w:rsidR="00EC450D" w:rsidRDefault="00EC450D" w:rsidP="00EC450D">
      <w:pPr>
        <w:pStyle w:val="ListBullet"/>
      </w:pPr>
      <w:r>
        <w:t xml:space="preserve">explore opportunities for assessing the impact of legislation and regulation on </w:t>
      </w:r>
      <w:r w:rsidR="00A91ECE">
        <w:t>barriers to equal access to health care</w:t>
      </w:r>
      <w:r w:rsidR="008C39EC">
        <w:t>.</w:t>
      </w:r>
    </w:p>
    <w:p w14:paraId="2FB0D71A" w14:textId="77777777" w:rsidR="00EC450D" w:rsidRPr="002F4AD7" w:rsidRDefault="00EC450D" w:rsidP="00D20465">
      <w:pPr>
        <w:shd w:val="clear" w:color="auto" w:fill="FFFFFF"/>
        <w:adjustRightInd/>
        <w:snapToGrid/>
        <w:rPr>
          <w:szCs w:val="22"/>
        </w:rPr>
      </w:pPr>
    </w:p>
    <w:p w14:paraId="5CB6F8A0" w14:textId="77777777" w:rsidR="00D20465" w:rsidRPr="00343278" w:rsidRDefault="00D20465" w:rsidP="00343278">
      <w:pPr>
        <w:pStyle w:val="Heading2"/>
      </w:pPr>
      <w:r w:rsidRPr="00343278">
        <w:t xml:space="preserve">Impact of investment </w:t>
      </w:r>
    </w:p>
    <w:p w14:paraId="726CE764" w14:textId="77777777" w:rsidR="00D20465" w:rsidRDefault="00D20465" w:rsidP="00D20465">
      <w:pPr>
        <w:shd w:val="clear" w:color="auto" w:fill="FFFFFF"/>
        <w:adjustRightInd/>
        <w:snapToGrid/>
        <w:rPr>
          <w:rFonts w:eastAsia="SimSun"/>
          <w:color w:val="auto"/>
          <w:szCs w:val="14"/>
          <w:lang w:eastAsia="en-US"/>
        </w:rPr>
      </w:pPr>
    </w:p>
    <w:p w14:paraId="35FF2304" w14:textId="37044943" w:rsidR="00EC450D" w:rsidRDefault="00EC450D" w:rsidP="00EC450D">
      <w:pPr>
        <w:pStyle w:val="ListBullet"/>
      </w:pPr>
      <w:r>
        <w:t>c</w:t>
      </w:r>
      <w:r w:rsidR="0001550F">
        <w:t>reating dedicated capacity for evaluation will generate data not currently available to the response which</w:t>
      </w:r>
      <w:r w:rsidR="00C17BB6">
        <w:t>.</w:t>
      </w:r>
      <w:r w:rsidR="0001550F">
        <w:t xml:space="preserve"> in turn</w:t>
      </w:r>
      <w:r w:rsidR="00C17BB6">
        <w:t>.</w:t>
      </w:r>
      <w:r w:rsidR="0001550F">
        <w:t xml:space="preserve"> </w:t>
      </w:r>
      <w:r>
        <w:t xml:space="preserve">will improve the capacity of the workforce to deliver tailored and </w:t>
      </w:r>
      <w:r w:rsidR="00C17BB6">
        <w:t>relevant and effective</w:t>
      </w:r>
      <w:r>
        <w:t xml:space="preserve"> interventions.</w:t>
      </w:r>
    </w:p>
    <w:p w14:paraId="4E950124" w14:textId="77777777" w:rsidR="00EC450D" w:rsidRDefault="00EC450D" w:rsidP="00EC450D">
      <w:pPr>
        <w:pStyle w:val="ListBullet"/>
        <w:numPr>
          <w:ilvl w:val="0"/>
          <w:numId w:val="0"/>
        </w:numPr>
      </w:pPr>
    </w:p>
    <w:p w14:paraId="66202DB8" w14:textId="3BD969ED" w:rsidR="00C17BB6" w:rsidRDefault="00EC450D" w:rsidP="00EC450D">
      <w:pPr>
        <w:autoSpaceDE w:val="0"/>
        <w:autoSpaceDN w:val="0"/>
        <w:snapToGrid/>
        <w:rPr>
          <w:rFonts w:asciiTheme="minorHAnsi" w:hAnsiTheme="minorHAnsi"/>
          <w:sz w:val="22"/>
        </w:rPr>
      </w:pPr>
      <w:r w:rsidRPr="00EC450D">
        <w:rPr>
          <w:rFonts w:asciiTheme="minorHAnsi" w:eastAsia="SimSun" w:hAnsiTheme="minorHAnsi" w:cs="Baskerville"/>
          <w:snapToGrid/>
          <w:color w:val="auto"/>
          <w:szCs w:val="18"/>
          <w:lang w:eastAsia="en-GB"/>
        </w:rPr>
        <w:t>A more tailored response will increase the impact of HIV prevention efforts and result in an increase in testing and retention in care.</w:t>
      </w:r>
      <w:r w:rsidRPr="00EC450D">
        <w:rPr>
          <w:rFonts w:asciiTheme="minorHAnsi" w:hAnsiTheme="minorHAnsi"/>
          <w:sz w:val="22"/>
        </w:rPr>
        <w:t xml:space="preserve"> </w:t>
      </w:r>
    </w:p>
    <w:p w14:paraId="139F1A25" w14:textId="01671BC0" w:rsidR="00EC450D" w:rsidRPr="00C17BB6" w:rsidRDefault="00C17BB6" w:rsidP="00EC450D">
      <w:pPr>
        <w:adjustRightInd/>
        <w:snapToGrid/>
        <w:rPr>
          <w:rFonts w:asciiTheme="minorHAnsi" w:hAnsiTheme="minorHAnsi"/>
          <w:sz w:val="22"/>
        </w:rPr>
      </w:pPr>
      <w:r>
        <w:rPr>
          <w:rFonts w:asciiTheme="minorHAnsi" w:hAnsiTheme="minorHAnsi"/>
          <w:sz w:val="22"/>
        </w:rPr>
        <w:br w:type="page"/>
      </w:r>
      <w:r w:rsidR="00EC450D" w:rsidRPr="00EC450D">
        <w:rPr>
          <w:b/>
          <w:color w:val="F26522" w:themeColor="accent1"/>
          <w:sz w:val="28"/>
          <w:szCs w:val="28"/>
        </w:rPr>
        <w:lastRenderedPageBreak/>
        <w:t xml:space="preserve">Recommendation 8: </w:t>
      </w:r>
      <w:r w:rsidR="008C39EC">
        <w:rPr>
          <w:b/>
          <w:color w:val="F26522" w:themeColor="accent1"/>
          <w:sz w:val="28"/>
          <w:szCs w:val="28"/>
        </w:rPr>
        <w:t>I</w:t>
      </w:r>
      <w:r w:rsidR="00EC450D" w:rsidRPr="00EC450D">
        <w:rPr>
          <w:b/>
          <w:color w:val="F26522" w:themeColor="accent1"/>
          <w:sz w:val="28"/>
          <w:szCs w:val="28"/>
        </w:rPr>
        <w:t>nvestigate inconsistencies in laws relating to HIV</w:t>
      </w:r>
      <w:r w:rsidR="008C39EC">
        <w:rPr>
          <w:b/>
          <w:color w:val="F26522" w:themeColor="accent1"/>
          <w:sz w:val="28"/>
          <w:szCs w:val="28"/>
        </w:rPr>
        <w:t xml:space="preserve"> transmission,</w:t>
      </w:r>
      <w:r w:rsidR="00EC450D" w:rsidRPr="00EC450D">
        <w:rPr>
          <w:b/>
          <w:color w:val="F26522" w:themeColor="accent1"/>
          <w:sz w:val="28"/>
          <w:szCs w:val="28"/>
        </w:rPr>
        <w:t xml:space="preserve"> exposure and with contemporary science across the states and territories</w:t>
      </w:r>
    </w:p>
    <w:p w14:paraId="7E120036" w14:textId="4733F498" w:rsidR="00EC450D" w:rsidRDefault="00EC450D" w:rsidP="00EC450D">
      <w:pPr>
        <w:autoSpaceDE w:val="0"/>
        <w:autoSpaceDN w:val="0"/>
        <w:snapToGrid/>
        <w:rPr>
          <w:rFonts w:asciiTheme="minorHAnsi" w:eastAsia="SimSun" w:hAnsiTheme="minorHAnsi" w:cs="Baskerville"/>
          <w:snapToGrid/>
          <w:color w:val="auto"/>
          <w:sz w:val="18"/>
          <w:szCs w:val="18"/>
          <w:lang w:eastAsia="en-GB"/>
        </w:rPr>
      </w:pPr>
    </w:p>
    <w:p w14:paraId="2F3B3733" w14:textId="1F1E310D" w:rsidR="00EC450D" w:rsidRDefault="00EC450D" w:rsidP="00EC450D">
      <w:pPr>
        <w:pStyle w:val="Heading2"/>
      </w:pPr>
      <w:r w:rsidRPr="00EC450D">
        <w:t>Issues</w:t>
      </w:r>
    </w:p>
    <w:p w14:paraId="644C88DA" w14:textId="672AF7D2" w:rsidR="00EC450D" w:rsidRDefault="00EC450D" w:rsidP="00EC450D"/>
    <w:p w14:paraId="4EA19149" w14:textId="5CC3B801" w:rsidR="00EC450D" w:rsidRPr="00416E18" w:rsidRDefault="00EC450D" w:rsidP="00EC450D">
      <w:pPr>
        <w:pStyle w:val="Default"/>
        <w:rPr>
          <w:sz w:val="22"/>
        </w:rPr>
      </w:pPr>
      <w:r w:rsidRPr="00416E18">
        <w:rPr>
          <w:sz w:val="20"/>
          <w:szCs w:val="22"/>
        </w:rPr>
        <w:t xml:space="preserve">Throughout the course of the HIV epidemic in Australia, state and territory governments have used, and continue to use, the criminal justice system to respond to instances of individual conduct that intentionally or recklessly exposes others to HIV. </w:t>
      </w:r>
      <w:r w:rsidR="008C39EC">
        <w:rPr>
          <w:sz w:val="20"/>
          <w:szCs w:val="22"/>
        </w:rPr>
        <w:t>Therefore, m</w:t>
      </w:r>
      <w:r w:rsidRPr="00416E18">
        <w:rPr>
          <w:sz w:val="20"/>
          <w:szCs w:val="22"/>
        </w:rPr>
        <w:t xml:space="preserve">any jurisdictions have statutory provisions and laws that were informed by science and reasoning that is now outdated and inaccurate. </w:t>
      </w:r>
    </w:p>
    <w:p w14:paraId="04B46B68" w14:textId="77777777" w:rsidR="00EC450D" w:rsidRPr="00416E18" w:rsidRDefault="00EC450D" w:rsidP="00EC450D">
      <w:pPr>
        <w:pStyle w:val="Default"/>
        <w:rPr>
          <w:sz w:val="20"/>
          <w:szCs w:val="22"/>
        </w:rPr>
      </w:pPr>
    </w:p>
    <w:p w14:paraId="316BB606" w14:textId="6CE7A973" w:rsidR="00EC450D" w:rsidRPr="00416E18" w:rsidRDefault="00EC450D" w:rsidP="00EC450D">
      <w:pPr>
        <w:pStyle w:val="Default"/>
        <w:rPr>
          <w:sz w:val="20"/>
          <w:szCs w:val="22"/>
        </w:rPr>
      </w:pPr>
      <w:r w:rsidRPr="00416E18">
        <w:rPr>
          <w:sz w:val="20"/>
          <w:szCs w:val="22"/>
        </w:rPr>
        <w:t xml:space="preserve">The </w:t>
      </w:r>
      <w:r w:rsidRPr="00416E18">
        <w:rPr>
          <w:i/>
          <w:iCs/>
          <w:sz w:val="20"/>
          <w:szCs w:val="22"/>
        </w:rPr>
        <w:t xml:space="preserve">Doctrine of Precedent, </w:t>
      </w:r>
      <w:r w:rsidRPr="00416E18">
        <w:rPr>
          <w:sz w:val="20"/>
          <w:szCs w:val="22"/>
        </w:rPr>
        <w:t>which guides judicial decision making in Australia, does not easily accommodate the rapid developments that have taken place in HIV science. These developments include highly effective HIV treatment which means a person diagnosed early with HIV should today expect to have a normal life expectancy and high quality of life. Additionally, powerful new evidence demonstrates conclusively that people with HIV on effective treatment who have</w:t>
      </w:r>
      <w:r w:rsidR="008C39EC">
        <w:rPr>
          <w:sz w:val="20"/>
          <w:szCs w:val="22"/>
        </w:rPr>
        <w:t xml:space="preserve"> an</w:t>
      </w:r>
      <w:r w:rsidRPr="00416E18">
        <w:rPr>
          <w:sz w:val="20"/>
          <w:szCs w:val="22"/>
        </w:rPr>
        <w:t xml:space="preserve"> undetectable viral load do not transmit HIV</w:t>
      </w:r>
      <w:r w:rsidR="005E6DBD" w:rsidRPr="00416E18">
        <w:rPr>
          <w:sz w:val="20"/>
          <w:szCs w:val="22"/>
        </w:rPr>
        <w:t xml:space="preserve"> to sexual partners</w:t>
      </w:r>
      <w:r w:rsidRPr="00416E18">
        <w:rPr>
          <w:sz w:val="20"/>
          <w:szCs w:val="22"/>
        </w:rPr>
        <w:t xml:space="preserve">. </w:t>
      </w:r>
    </w:p>
    <w:p w14:paraId="7C1E18EC" w14:textId="77777777" w:rsidR="00EC450D" w:rsidRPr="00416E18" w:rsidRDefault="00EC450D" w:rsidP="00EC450D">
      <w:pPr>
        <w:pStyle w:val="Default"/>
        <w:rPr>
          <w:sz w:val="20"/>
          <w:szCs w:val="22"/>
        </w:rPr>
      </w:pPr>
    </w:p>
    <w:p w14:paraId="16FFFE5C" w14:textId="675DD457" w:rsidR="00EC450D" w:rsidRPr="00416E18" w:rsidRDefault="00EC450D" w:rsidP="00EC450D">
      <w:pPr>
        <w:pStyle w:val="Default"/>
        <w:rPr>
          <w:sz w:val="20"/>
          <w:szCs w:val="22"/>
        </w:rPr>
      </w:pPr>
      <w:r w:rsidRPr="00416E18">
        <w:rPr>
          <w:sz w:val="20"/>
          <w:szCs w:val="22"/>
        </w:rPr>
        <w:t xml:space="preserve">Alleged HIV transmission or the impact of alleged HIV exposure is often being considered through the application of outdated science that does not </w:t>
      </w:r>
      <w:proofErr w:type="gramStart"/>
      <w:r w:rsidRPr="00416E18">
        <w:rPr>
          <w:sz w:val="20"/>
          <w:szCs w:val="22"/>
        </w:rPr>
        <w:t>take into account</w:t>
      </w:r>
      <w:proofErr w:type="gramEnd"/>
      <w:r w:rsidRPr="00416E18">
        <w:rPr>
          <w:sz w:val="20"/>
          <w:szCs w:val="22"/>
        </w:rPr>
        <w:t xml:space="preserve"> these developments. This has the unintended consequence of exposing people to the criminal justice system when many people living with HIV or at risk of HIV are utilising a range of very effective measures to prevent HIV transmission. </w:t>
      </w:r>
    </w:p>
    <w:p w14:paraId="2A75F09F" w14:textId="77777777" w:rsidR="00EC450D" w:rsidRPr="00416E18" w:rsidRDefault="00EC450D" w:rsidP="00EC450D">
      <w:pPr>
        <w:pStyle w:val="Default"/>
        <w:rPr>
          <w:sz w:val="20"/>
          <w:szCs w:val="22"/>
        </w:rPr>
      </w:pPr>
    </w:p>
    <w:p w14:paraId="54951A3F" w14:textId="77777777" w:rsidR="00EC450D" w:rsidRPr="00416E18" w:rsidRDefault="00EC450D" w:rsidP="00EC450D">
      <w:pPr>
        <w:pStyle w:val="Default"/>
        <w:rPr>
          <w:sz w:val="20"/>
          <w:szCs w:val="22"/>
        </w:rPr>
      </w:pPr>
      <w:r w:rsidRPr="00416E18">
        <w:rPr>
          <w:sz w:val="20"/>
          <w:szCs w:val="22"/>
        </w:rPr>
        <w:t xml:space="preserve">In effect, there are concerns that general criminal laws will continue to be used to prosecute HIV exposure or transmission, without consideration of contemporary HIV prevention science and in a way that is out of proportion with the harms that HIV now poses for the community. </w:t>
      </w:r>
    </w:p>
    <w:p w14:paraId="76723151" w14:textId="15A7EFEA" w:rsidR="00EC450D" w:rsidRDefault="00EC450D" w:rsidP="00EC450D"/>
    <w:p w14:paraId="7EEB37BC" w14:textId="77777777" w:rsidR="005E6DBD" w:rsidRPr="00343278" w:rsidRDefault="005E6DBD" w:rsidP="005E6DBD">
      <w:pPr>
        <w:pStyle w:val="Heading2"/>
      </w:pPr>
      <w:r w:rsidRPr="00343278">
        <w:t xml:space="preserve">The solution </w:t>
      </w:r>
    </w:p>
    <w:p w14:paraId="66ABA378" w14:textId="20C63178" w:rsidR="005E6DBD" w:rsidRDefault="005E6DBD" w:rsidP="00EC450D"/>
    <w:p w14:paraId="6E6479F8" w14:textId="0B0D59DE" w:rsidR="005E6DBD" w:rsidRDefault="005E6DBD" w:rsidP="00EC450D">
      <w:pPr>
        <w:rPr>
          <w:color w:val="auto"/>
          <w:szCs w:val="22"/>
        </w:rPr>
      </w:pPr>
      <w:r>
        <w:rPr>
          <w:color w:val="auto"/>
          <w:szCs w:val="22"/>
        </w:rPr>
        <w:t xml:space="preserve">An additional investment from the Australian Government of </w:t>
      </w:r>
      <w:r w:rsidRPr="00C62407">
        <w:rPr>
          <w:b/>
          <w:color w:val="auto"/>
          <w:szCs w:val="22"/>
        </w:rPr>
        <w:t>$500,000 per annum</w:t>
      </w:r>
      <w:r>
        <w:rPr>
          <w:color w:val="auto"/>
          <w:szCs w:val="22"/>
        </w:rPr>
        <w:t xml:space="preserve"> would allow the production of a report that investigates state and territory laws relating to HIV transmission</w:t>
      </w:r>
      <w:r w:rsidR="008C39EC">
        <w:rPr>
          <w:color w:val="auto"/>
          <w:szCs w:val="22"/>
        </w:rPr>
        <w:t xml:space="preserve">, </w:t>
      </w:r>
      <w:r>
        <w:rPr>
          <w:color w:val="auto"/>
          <w:szCs w:val="22"/>
        </w:rPr>
        <w:t>exposure</w:t>
      </w:r>
      <w:r w:rsidR="008C39EC">
        <w:rPr>
          <w:color w:val="auto"/>
          <w:szCs w:val="22"/>
        </w:rPr>
        <w:t xml:space="preserve"> and contemporary science</w:t>
      </w:r>
      <w:r>
        <w:rPr>
          <w:color w:val="auto"/>
          <w:szCs w:val="22"/>
        </w:rPr>
        <w:t xml:space="preserve"> to determine </w:t>
      </w:r>
      <w:r w:rsidR="008C39EC">
        <w:rPr>
          <w:color w:val="auto"/>
          <w:szCs w:val="22"/>
        </w:rPr>
        <w:t xml:space="preserve">inconsistencies. </w:t>
      </w:r>
      <w:r>
        <w:rPr>
          <w:color w:val="auto"/>
          <w:szCs w:val="22"/>
        </w:rPr>
        <w:t>Proposed activities:</w:t>
      </w:r>
    </w:p>
    <w:p w14:paraId="4EB93FFA" w14:textId="33D826C6" w:rsidR="005E6DBD" w:rsidRDefault="005E6DBD" w:rsidP="00EC450D"/>
    <w:p w14:paraId="06544250" w14:textId="43A84243" w:rsidR="005E6DBD" w:rsidRDefault="00416E18" w:rsidP="005E6DBD">
      <w:pPr>
        <w:pStyle w:val="ListBullet"/>
      </w:pPr>
      <w:r>
        <w:t>research, analys</w:t>
      </w:r>
      <w:r w:rsidR="008C39EC">
        <w:t>e</w:t>
      </w:r>
      <w:r>
        <w:t xml:space="preserve"> and produc</w:t>
      </w:r>
      <w:r w:rsidR="008C39EC">
        <w:t xml:space="preserve">e </w:t>
      </w:r>
      <w:r>
        <w:t>a national report investigating inconsistencies across state and territory laws relating to HIV transmission, exposure and contemporary science</w:t>
      </w:r>
    </w:p>
    <w:p w14:paraId="7B338FBB" w14:textId="6A5E92BF" w:rsidR="00416E18" w:rsidRDefault="00416E18" w:rsidP="005E6DBD">
      <w:pPr>
        <w:pStyle w:val="ListBullet"/>
      </w:pPr>
      <w:r>
        <w:t>hand down recommendations in line with contemporary science for alterations to laws across states and territories and highlight how these impact people with HIV an</w:t>
      </w:r>
      <w:r w:rsidR="008C39EC">
        <w:t>d</w:t>
      </w:r>
      <w:r>
        <w:t xml:space="preserve"> affected communities</w:t>
      </w:r>
    </w:p>
    <w:p w14:paraId="4448E530" w14:textId="5DFD2A62" w:rsidR="004E2BC6" w:rsidRDefault="004E2BC6" w:rsidP="005E6DBD">
      <w:pPr>
        <w:pStyle w:val="ListBullet"/>
      </w:pPr>
      <w:r>
        <w:t>support addressing HIV transmission through public health objectives rather than the criminal justice system.</w:t>
      </w:r>
    </w:p>
    <w:p w14:paraId="544FD601" w14:textId="15D1CD7E" w:rsidR="00D0081B" w:rsidRDefault="00D0081B" w:rsidP="00D0081B">
      <w:pPr>
        <w:pStyle w:val="ListBullet"/>
        <w:numPr>
          <w:ilvl w:val="0"/>
          <w:numId w:val="0"/>
        </w:numPr>
        <w:ind w:left="340" w:hanging="340"/>
      </w:pPr>
    </w:p>
    <w:p w14:paraId="1DD7A966" w14:textId="293195E5" w:rsidR="00D0081B" w:rsidRPr="00FC1BD1" w:rsidRDefault="00D0081B" w:rsidP="00D0081B">
      <w:pPr>
        <w:pStyle w:val="ListBullet"/>
        <w:numPr>
          <w:ilvl w:val="0"/>
          <w:numId w:val="0"/>
        </w:numPr>
        <w:ind w:left="340" w:hanging="340"/>
        <w:rPr>
          <w:rFonts w:cstheme="majorHAnsi"/>
          <w:b/>
          <w:bCs/>
          <w:i/>
          <w:iCs/>
          <w:color w:val="F26522" w:themeColor="accent1"/>
          <w:sz w:val="24"/>
          <w:szCs w:val="28"/>
        </w:rPr>
      </w:pPr>
      <w:r w:rsidRPr="00FC1BD1">
        <w:rPr>
          <w:rFonts w:cstheme="majorHAnsi"/>
          <w:b/>
          <w:bCs/>
          <w:i/>
          <w:iCs/>
          <w:color w:val="F26522" w:themeColor="accent1"/>
          <w:sz w:val="24"/>
          <w:szCs w:val="28"/>
        </w:rPr>
        <w:t>Aligning priority areas for action in the eighth National HIV Strategy</w:t>
      </w:r>
    </w:p>
    <w:p w14:paraId="2CC5082E" w14:textId="758A7BFA" w:rsidR="00D0081B" w:rsidRDefault="00D0081B" w:rsidP="00D0081B">
      <w:pPr>
        <w:pStyle w:val="ListBullet"/>
        <w:numPr>
          <w:ilvl w:val="0"/>
          <w:numId w:val="0"/>
        </w:numPr>
        <w:ind w:left="340" w:hanging="340"/>
      </w:pPr>
    </w:p>
    <w:p w14:paraId="0A9B09E1" w14:textId="77777777" w:rsidR="00D0081B" w:rsidRDefault="00D0081B" w:rsidP="00D0081B">
      <w:pPr>
        <w:pStyle w:val="ListBullet"/>
      </w:pPr>
      <w:r>
        <w:t>monitor laws, policies, stigma and discrimination which impact on health-seeking behaviour among priority populations and their access to testing and services; and work to ameliorate legal, regulatory and policy barriers to an appropriate and evidence-based response</w:t>
      </w:r>
    </w:p>
    <w:p w14:paraId="5CC3226D" w14:textId="543188D9" w:rsidR="00D0081B" w:rsidRDefault="00D0081B" w:rsidP="00675FC5">
      <w:pPr>
        <w:pStyle w:val="ListBullet"/>
      </w:pPr>
      <w:r>
        <w:t>review and address institutional, regulatory and system policies which create barriers to equality of prevention, testing, treatment and care and support for people with HIV and affected communities.</w:t>
      </w:r>
    </w:p>
    <w:p w14:paraId="05793A53" w14:textId="16BF4404" w:rsidR="00416E18" w:rsidRDefault="00416E18" w:rsidP="00416E18">
      <w:pPr>
        <w:pStyle w:val="ListBullet"/>
        <w:numPr>
          <w:ilvl w:val="0"/>
          <w:numId w:val="0"/>
        </w:numPr>
        <w:ind w:left="340" w:hanging="340"/>
      </w:pPr>
    </w:p>
    <w:p w14:paraId="364464FD" w14:textId="77777777" w:rsidR="00416E18" w:rsidRPr="00343278" w:rsidRDefault="00416E18" w:rsidP="00416E18">
      <w:pPr>
        <w:pStyle w:val="Heading2"/>
      </w:pPr>
      <w:r w:rsidRPr="00343278">
        <w:t xml:space="preserve">Impact of investment </w:t>
      </w:r>
    </w:p>
    <w:p w14:paraId="507021BD" w14:textId="5A4E2309" w:rsidR="004E2BC6" w:rsidRDefault="004E2BC6" w:rsidP="004E2BC6">
      <w:pPr>
        <w:pStyle w:val="ListBullet"/>
        <w:numPr>
          <w:ilvl w:val="0"/>
          <w:numId w:val="0"/>
        </w:numPr>
      </w:pPr>
    </w:p>
    <w:p w14:paraId="384732A0" w14:textId="5745E631" w:rsidR="00416E18" w:rsidRDefault="004E2BC6" w:rsidP="004E2BC6">
      <w:pPr>
        <w:pStyle w:val="ListBullet"/>
      </w:pPr>
      <w:r>
        <w:t xml:space="preserve">encourages </w:t>
      </w:r>
      <w:r w:rsidRPr="00416E18">
        <w:t xml:space="preserve">people living with HIV, or at risk of HIV, </w:t>
      </w:r>
      <w:r>
        <w:t>to</w:t>
      </w:r>
      <w:r w:rsidRPr="00416E18">
        <w:t xml:space="preserve"> access health services and see</w:t>
      </w:r>
      <w:r>
        <w:t>k</w:t>
      </w:r>
      <w:r w:rsidRPr="00416E18">
        <w:t xml:space="preserve"> information about safe sexual practices</w:t>
      </w:r>
    </w:p>
    <w:p w14:paraId="48637A43" w14:textId="385C35D5" w:rsidR="004E2BC6" w:rsidRPr="00343278" w:rsidRDefault="004E2BC6" w:rsidP="004E2BC6">
      <w:pPr>
        <w:pStyle w:val="ListBullet"/>
        <w:ind w:left="357" w:hanging="357"/>
      </w:pPr>
      <w:r>
        <w:t>i</w:t>
      </w:r>
      <w:r w:rsidRPr="00343278">
        <w:t>mprove the health, wellbeing and quality of life of individuals with HIV</w:t>
      </w:r>
      <w:r w:rsidR="00A91ECE">
        <w:t>.</w:t>
      </w:r>
    </w:p>
    <w:p w14:paraId="28F38AB5" w14:textId="221D0BC9" w:rsidR="004E2BC6" w:rsidRDefault="004E2BC6" w:rsidP="004E2BC6">
      <w:pPr>
        <w:pStyle w:val="Default"/>
        <w:rPr>
          <w:sz w:val="20"/>
          <w:szCs w:val="22"/>
        </w:rPr>
      </w:pPr>
    </w:p>
    <w:p w14:paraId="4F59E32E" w14:textId="445A38AF" w:rsidR="00C17BB6" w:rsidRDefault="008C39EC" w:rsidP="004E2BC6">
      <w:pPr>
        <w:pStyle w:val="Default"/>
        <w:rPr>
          <w:sz w:val="20"/>
          <w:szCs w:val="22"/>
        </w:rPr>
      </w:pPr>
      <w:r>
        <w:rPr>
          <w:sz w:val="20"/>
          <w:szCs w:val="22"/>
        </w:rPr>
        <w:lastRenderedPageBreak/>
        <w:t>The recommendation would allow the identification of the legislative barriers that impede people’s health-seeking behaviour in relation to HIV and identify how the removal of these will improve testing, treatment and retention in care for people with or at risk of HIV.</w:t>
      </w:r>
    </w:p>
    <w:p w14:paraId="65B527FE" w14:textId="52E437F7" w:rsidR="00D0081B" w:rsidRPr="00C17BB6" w:rsidRDefault="00C17BB6" w:rsidP="00C17BB6">
      <w:pPr>
        <w:adjustRightInd/>
        <w:snapToGrid/>
        <w:rPr>
          <w:rFonts w:eastAsia="SimSun" w:cs="Calibri"/>
          <w:snapToGrid/>
          <w:color w:val="000000"/>
          <w:szCs w:val="22"/>
          <w:lang w:eastAsia="en-GB"/>
        </w:rPr>
      </w:pPr>
      <w:r>
        <w:rPr>
          <w:szCs w:val="22"/>
        </w:rPr>
        <w:br w:type="page"/>
      </w:r>
      <w:r w:rsidR="00D0081B" w:rsidRPr="00EC450D">
        <w:rPr>
          <w:b/>
          <w:color w:val="F26522" w:themeColor="accent1"/>
          <w:sz w:val="28"/>
          <w:szCs w:val="28"/>
        </w:rPr>
        <w:lastRenderedPageBreak/>
        <w:t xml:space="preserve">Recommendation </w:t>
      </w:r>
      <w:r w:rsidR="00D0081B">
        <w:rPr>
          <w:b/>
          <w:color w:val="F26522" w:themeColor="accent1"/>
          <w:sz w:val="28"/>
          <w:szCs w:val="28"/>
        </w:rPr>
        <w:t>9</w:t>
      </w:r>
      <w:r w:rsidR="00D0081B" w:rsidRPr="00EC450D">
        <w:rPr>
          <w:b/>
          <w:color w:val="F26522" w:themeColor="accent1"/>
          <w:sz w:val="28"/>
          <w:szCs w:val="28"/>
        </w:rPr>
        <w:t xml:space="preserve">: </w:t>
      </w:r>
      <w:r w:rsidR="00D0081B">
        <w:rPr>
          <w:b/>
          <w:color w:val="F26522" w:themeColor="accent1"/>
          <w:sz w:val="28"/>
          <w:szCs w:val="28"/>
        </w:rPr>
        <w:t>Increase</w:t>
      </w:r>
      <w:r w:rsidR="00D0081B" w:rsidRPr="00D0081B">
        <w:rPr>
          <w:b/>
          <w:color w:val="F26522" w:themeColor="accent1"/>
          <w:sz w:val="28"/>
          <w:szCs w:val="28"/>
        </w:rPr>
        <w:t xml:space="preserve"> STI prevention, testing and treatment for gay and bisexual men</w:t>
      </w:r>
      <w:r w:rsidR="00D0081B">
        <w:rPr>
          <w:b/>
          <w:color w:val="F26522" w:themeColor="accent1"/>
          <w:sz w:val="28"/>
          <w:szCs w:val="28"/>
        </w:rPr>
        <w:t xml:space="preserve"> through tailored campaigns</w:t>
      </w:r>
    </w:p>
    <w:p w14:paraId="0FDA30FE" w14:textId="40963DA4" w:rsidR="00D0081B" w:rsidRDefault="00D0081B" w:rsidP="004E2BC6">
      <w:pPr>
        <w:pStyle w:val="Default"/>
        <w:rPr>
          <w:sz w:val="20"/>
          <w:szCs w:val="22"/>
        </w:rPr>
      </w:pPr>
    </w:p>
    <w:p w14:paraId="0CB5DB29" w14:textId="77777777" w:rsidR="00D0081B" w:rsidRDefault="00D0081B" w:rsidP="00D0081B">
      <w:pPr>
        <w:pStyle w:val="Heading2"/>
      </w:pPr>
      <w:r w:rsidRPr="00EC450D">
        <w:t>Issues</w:t>
      </w:r>
    </w:p>
    <w:p w14:paraId="5EC78D59" w14:textId="204FEDC9" w:rsidR="00D0081B" w:rsidRDefault="00D0081B" w:rsidP="004E2BC6">
      <w:pPr>
        <w:pStyle w:val="Default"/>
        <w:rPr>
          <w:sz w:val="20"/>
          <w:szCs w:val="22"/>
        </w:rPr>
      </w:pPr>
    </w:p>
    <w:p w14:paraId="3561F251" w14:textId="444C3EC5" w:rsidR="00D0081B" w:rsidRDefault="00D0081B" w:rsidP="004E2BC6">
      <w:pPr>
        <w:pStyle w:val="Default"/>
        <w:rPr>
          <w:rFonts w:cs="BentonSans Book"/>
          <w:sz w:val="20"/>
          <w:szCs w:val="20"/>
        </w:rPr>
      </w:pPr>
      <w:r>
        <w:rPr>
          <w:rFonts w:cs="BentonSans Book"/>
          <w:sz w:val="20"/>
          <w:szCs w:val="20"/>
        </w:rPr>
        <w:t>Ga</w:t>
      </w:r>
      <w:r w:rsidR="00954F47">
        <w:rPr>
          <w:rFonts w:cs="BentonSans Book"/>
          <w:sz w:val="20"/>
          <w:szCs w:val="20"/>
        </w:rPr>
        <w:t>y</w:t>
      </w:r>
      <w:r>
        <w:rPr>
          <w:rFonts w:cs="BentonSans Book"/>
          <w:sz w:val="20"/>
          <w:szCs w:val="20"/>
        </w:rPr>
        <w:t xml:space="preserve"> a</w:t>
      </w:r>
      <w:r w:rsidR="00954F47">
        <w:rPr>
          <w:rFonts w:cs="BentonSans Book"/>
          <w:sz w:val="20"/>
          <w:szCs w:val="20"/>
        </w:rPr>
        <w:t>nd bisexual men</w:t>
      </w:r>
      <w:r>
        <w:rPr>
          <w:rFonts w:cs="BentonSans Book"/>
          <w:sz w:val="20"/>
          <w:szCs w:val="20"/>
        </w:rPr>
        <w:t xml:space="preserve"> are disproportionately affected by STI</w:t>
      </w:r>
      <w:r w:rsidR="00B24A18">
        <w:rPr>
          <w:rFonts w:cs="BentonSans Book"/>
          <w:sz w:val="20"/>
          <w:szCs w:val="20"/>
        </w:rPr>
        <w:t>s</w:t>
      </w:r>
      <w:r>
        <w:rPr>
          <w:rFonts w:cs="BentonSans Book"/>
          <w:sz w:val="20"/>
          <w:szCs w:val="20"/>
        </w:rPr>
        <w:t xml:space="preserve"> compared with the</w:t>
      </w:r>
      <w:r w:rsidR="00147DF7">
        <w:rPr>
          <w:rFonts w:cs="BentonSans Book"/>
          <w:sz w:val="20"/>
          <w:szCs w:val="20"/>
        </w:rPr>
        <w:t xml:space="preserve"> wider</w:t>
      </w:r>
      <w:r w:rsidR="00954F47">
        <w:rPr>
          <w:rFonts w:cs="BentonSans Book"/>
          <w:sz w:val="20"/>
          <w:szCs w:val="20"/>
        </w:rPr>
        <w:t xml:space="preserve"> Australian population</w:t>
      </w:r>
      <w:r w:rsidR="00147DF7">
        <w:rPr>
          <w:rFonts w:cs="BentonSans Book"/>
          <w:sz w:val="20"/>
          <w:szCs w:val="20"/>
        </w:rPr>
        <w:t xml:space="preserve"> and experience</w:t>
      </w:r>
      <w:r>
        <w:rPr>
          <w:rFonts w:cs="BentonSans Book"/>
          <w:sz w:val="20"/>
          <w:szCs w:val="20"/>
        </w:rPr>
        <w:t xml:space="preserve"> a high prevalence and incidence of almost all STI</w:t>
      </w:r>
      <w:r w:rsidR="00B24A18">
        <w:rPr>
          <w:rFonts w:cs="BentonSans Book"/>
          <w:sz w:val="20"/>
          <w:szCs w:val="20"/>
        </w:rPr>
        <w:t>s</w:t>
      </w:r>
      <w:r>
        <w:rPr>
          <w:rFonts w:cs="BentonSans Book"/>
          <w:sz w:val="20"/>
          <w:szCs w:val="20"/>
        </w:rPr>
        <w:t>.</w:t>
      </w:r>
      <w:r w:rsidR="00954F47">
        <w:rPr>
          <w:rFonts w:cs="BentonSans Book"/>
          <w:sz w:val="20"/>
          <w:szCs w:val="20"/>
        </w:rPr>
        <w:t xml:space="preserve"> </w:t>
      </w:r>
    </w:p>
    <w:p w14:paraId="7932C111" w14:textId="2B25B033" w:rsidR="00954F47" w:rsidRDefault="00954F47" w:rsidP="004E2BC6">
      <w:pPr>
        <w:pStyle w:val="Default"/>
        <w:rPr>
          <w:sz w:val="20"/>
          <w:szCs w:val="22"/>
        </w:rPr>
      </w:pPr>
    </w:p>
    <w:p w14:paraId="5FE5544A" w14:textId="60D04EFD" w:rsidR="00954F47" w:rsidRDefault="00954F47" w:rsidP="004E2BC6">
      <w:pPr>
        <w:pStyle w:val="Default"/>
        <w:rPr>
          <w:rFonts w:cs="BentonSans Book"/>
          <w:sz w:val="20"/>
          <w:szCs w:val="20"/>
        </w:rPr>
      </w:pPr>
      <w:r>
        <w:rPr>
          <w:rFonts w:cs="BentonSans Book"/>
          <w:sz w:val="20"/>
          <w:szCs w:val="20"/>
        </w:rPr>
        <w:t xml:space="preserve">There has been an increase in the number of new chlamydia and gonorrhoea </w:t>
      </w:r>
      <w:r w:rsidR="00147DF7">
        <w:rPr>
          <w:rFonts w:cs="BentonSans Book"/>
          <w:sz w:val="20"/>
          <w:szCs w:val="20"/>
        </w:rPr>
        <w:t>notifications</w:t>
      </w:r>
      <w:r>
        <w:rPr>
          <w:rFonts w:cs="BentonSans Book"/>
          <w:sz w:val="20"/>
          <w:szCs w:val="20"/>
        </w:rPr>
        <w:t xml:space="preserve"> each year amongst gay and bisexual men since 201</w:t>
      </w:r>
      <w:r w:rsidR="00244E7B">
        <w:rPr>
          <w:rFonts w:cs="BentonSans Book"/>
          <w:sz w:val="20"/>
          <w:szCs w:val="20"/>
        </w:rPr>
        <w:t>3</w:t>
      </w:r>
      <w:r>
        <w:rPr>
          <w:rFonts w:cs="BentonSans Book"/>
          <w:sz w:val="20"/>
          <w:szCs w:val="20"/>
        </w:rPr>
        <w:t>.</w:t>
      </w:r>
      <w:r>
        <w:rPr>
          <w:rStyle w:val="A7"/>
        </w:rPr>
        <w:t xml:space="preserve"> </w:t>
      </w:r>
      <w:r>
        <w:rPr>
          <w:rFonts w:cs="BentonSans Book"/>
          <w:sz w:val="20"/>
          <w:szCs w:val="20"/>
        </w:rPr>
        <w:t>The number of new syphilis infections each year in these groups fluctuated between 201</w:t>
      </w:r>
      <w:r w:rsidR="00244E7B">
        <w:rPr>
          <w:rFonts w:cs="BentonSans Book"/>
          <w:sz w:val="20"/>
          <w:szCs w:val="20"/>
        </w:rPr>
        <w:t>3</w:t>
      </w:r>
      <w:r>
        <w:rPr>
          <w:rFonts w:cs="BentonSans Book"/>
          <w:sz w:val="20"/>
          <w:szCs w:val="20"/>
        </w:rPr>
        <w:t xml:space="preserve"> and 201</w:t>
      </w:r>
      <w:r w:rsidR="00244E7B">
        <w:rPr>
          <w:rFonts w:cs="BentonSans Book"/>
          <w:sz w:val="20"/>
          <w:szCs w:val="20"/>
        </w:rPr>
        <w:t>7</w:t>
      </w:r>
      <w:r>
        <w:rPr>
          <w:rFonts w:cs="BentonSans Book"/>
          <w:sz w:val="20"/>
          <w:szCs w:val="20"/>
        </w:rPr>
        <w:t xml:space="preserve"> and was concentrated in urban settings.</w:t>
      </w:r>
      <w:r w:rsidR="00147DF7">
        <w:rPr>
          <w:rFonts w:cs="BentonSans Book"/>
          <w:sz w:val="20"/>
          <w:szCs w:val="20"/>
        </w:rPr>
        <w:t xml:space="preserve"> While there have been increases in notifications of chlamydia and gonorrhoea and fluctuations in syphilis notifications, </w:t>
      </w:r>
      <w:r w:rsidR="00CA126C">
        <w:rPr>
          <w:rFonts w:cs="BentonSans Book"/>
          <w:sz w:val="20"/>
          <w:szCs w:val="20"/>
        </w:rPr>
        <w:t>there ha</w:t>
      </w:r>
      <w:r w:rsidR="00244E7B">
        <w:rPr>
          <w:rFonts w:cs="BentonSans Book"/>
          <w:sz w:val="20"/>
          <w:szCs w:val="20"/>
        </w:rPr>
        <w:t>ve</w:t>
      </w:r>
      <w:r w:rsidR="00CA126C">
        <w:rPr>
          <w:rFonts w:cs="BentonSans Book"/>
          <w:sz w:val="20"/>
          <w:szCs w:val="20"/>
        </w:rPr>
        <w:t xml:space="preserve"> also been increases in testing </w:t>
      </w:r>
      <w:r w:rsidR="00244E7B">
        <w:rPr>
          <w:rFonts w:cs="BentonSans Book"/>
          <w:sz w:val="20"/>
          <w:szCs w:val="20"/>
        </w:rPr>
        <w:t>among gay and bisexual men for all three infections since 2013.</w:t>
      </w:r>
    </w:p>
    <w:p w14:paraId="32732E21" w14:textId="07BD8940" w:rsidR="00617AD7" w:rsidRDefault="00617AD7" w:rsidP="004E2BC6">
      <w:pPr>
        <w:pStyle w:val="Default"/>
        <w:rPr>
          <w:sz w:val="20"/>
          <w:szCs w:val="22"/>
        </w:rPr>
      </w:pPr>
    </w:p>
    <w:p w14:paraId="0D4706E3" w14:textId="190B6B94" w:rsidR="00617AD7" w:rsidRDefault="00617AD7" w:rsidP="004E2BC6">
      <w:pPr>
        <w:pStyle w:val="Default"/>
        <w:rPr>
          <w:sz w:val="20"/>
          <w:szCs w:val="22"/>
        </w:rPr>
      </w:pPr>
      <w:r>
        <w:rPr>
          <w:sz w:val="20"/>
          <w:szCs w:val="22"/>
        </w:rPr>
        <w:t>Although notifications among</w:t>
      </w:r>
      <w:r w:rsidR="0083203E">
        <w:rPr>
          <w:sz w:val="20"/>
          <w:szCs w:val="22"/>
        </w:rPr>
        <w:t xml:space="preserve"> gay and bisexual men for</w:t>
      </w:r>
      <w:r>
        <w:rPr>
          <w:sz w:val="20"/>
          <w:szCs w:val="22"/>
        </w:rPr>
        <w:t xml:space="preserve"> chlamydia, gonorrhoea and syphilis has either increased or fluctuated between 2013-2017, increases in testing </w:t>
      </w:r>
      <w:r w:rsidR="0083203E">
        <w:rPr>
          <w:sz w:val="20"/>
          <w:szCs w:val="22"/>
        </w:rPr>
        <w:t xml:space="preserve">must be maintained among this population to ensure infections are </w:t>
      </w:r>
      <w:r w:rsidR="007F33CC">
        <w:rPr>
          <w:sz w:val="20"/>
          <w:szCs w:val="22"/>
        </w:rPr>
        <w:t>diagnosed</w:t>
      </w:r>
      <w:r w:rsidR="0083203E">
        <w:rPr>
          <w:sz w:val="20"/>
          <w:szCs w:val="22"/>
        </w:rPr>
        <w:t xml:space="preserve"> and treated as soon as possible</w:t>
      </w:r>
      <w:r w:rsidR="007F33CC">
        <w:rPr>
          <w:sz w:val="20"/>
          <w:szCs w:val="22"/>
        </w:rPr>
        <w:t xml:space="preserve"> to prevent onward transmission.</w:t>
      </w:r>
    </w:p>
    <w:p w14:paraId="6E954CCB" w14:textId="70AFF763" w:rsidR="0083203E" w:rsidRDefault="0083203E" w:rsidP="004E2BC6">
      <w:pPr>
        <w:pStyle w:val="Default"/>
        <w:rPr>
          <w:sz w:val="20"/>
          <w:szCs w:val="22"/>
        </w:rPr>
      </w:pPr>
    </w:p>
    <w:p w14:paraId="209A0197" w14:textId="77777777" w:rsidR="0083203E" w:rsidRPr="00343278" w:rsidRDefault="0083203E" w:rsidP="0083203E">
      <w:pPr>
        <w:pStyle w:val="Heading2"/>
      </w:pPr>
      <w:r w:rsidRPr="00343278">
        <w:t xml:space="preserve">The solution </w:t>
      </w:r>
    </w:p>
    <w:p w14:paraId="29B283AF" w14:textId="7EBEFAC3" w:rsidR="0083203E" w:rsidRDefault="0083203E" w:rsidP="004E2BC6">
      <w:pPr>
        <w:pStyle w:val="Default"/>
        <w:rPr>
          <w:sz w:val="20"/>
          <w:szCs w:val="22"/>
        </w:rPr>
      </w:pPr>
    </w:p>
    <w:p w14:paraId="7FA709FD" w14:textId="161A8919" w:rsidR="00954818" w:rsidRPr="008C39EC" w:rsidRDefault="00954818" w:rsidP="004E2BC6">
      <w:pPr>
        <w:pStyle w:val="Default"/>
        <w:rPr>
          <w:sz w:val="20"/>
          <w:szCs w:val="22"/>
        </w:rPr>
      </w:pPr>
      <w:r w:rsidRPr="008C39EC">
        <w:rPr>
          <w:color w:val="auto"/>
          <w:sz w:val="20"/>
          <w:szCs w:val="22"/>
        </w:rPr>
        <w:t xml:space="preserve">An additional investment from the Australian Government of </w:t>
      </w:r>
      <w:r w:rsidRPr="008C39EC">
        <w:rPr>
          <w:b/>
          <w:color w:val="auto"/>
          <w:sz w:val="20"/>
          <w:szCs w:val="22"/>
        </w:rPr>
        <w:t>$4 million per annum</w:t>
      </w:r>
      <w:r w:rsidRPr="008C39EC">
        <w:rPr>
          <w:color w:val="auto"/>
          <w:sz w:val="20"/>
          <w:szCs w:val="22"/>
        </w:rPr>
        <w:t xml:space="preserve"> </w:t>
      </w:r>
      <w:r w:rsidR="007F33CC" w:rsidRPr="007F33CC">
        <w:rPr>
          <w:sz w:val="20"/>
          <w:szCs w:val="22"/>
        </w:rPr>
        <w:t>for relevant community organisations to coordinate STI prevention, testing and treatment campaigns for gay and bisexual men.</w:t>
      </w:r>
      <w:r w:rsidRPr="007F33CC">
        <w:rPr>
          <w:sz w:val="16"/>
          <w:szCs w:val="22"/>
        </w:rPr>
        <w:t xml:space="preserve"> </w:t>
      </w:r>
      <w:r w:rsidRPr="008C39EC">
        <w:rPr>
          <w:sz w:val="20"/>
          <w:szCs w:val="22"/>
        </w:rPr>
        <w:t>Proposed activities:</w:t>
      </w:r>
    </w:p>
    <w:p w14:paraId="53CD87EF" w14:textId="0EE4CACC" w:rsidR="00954818" w:rsidRDefault="00954818" w:rsidP="004E2BC6">
      <w:pPr>
        <w:pStyle w:val="Default"/>
        <w:rPr>
          <w:sz w:val="18"/>
          <w:szCs w:val="22"/>
        </w:rPr>
      </w:pPr>
    </w:p>
    <w:p w14:paraId="18C6E87A" w14:textId="0E41C31D" w:rsidR="00CC782E" w:rsidRDefault="00CC782E" w:rsidP="00CC782E">
      <w:pPr>
        <w:pStyle w:val="ListBullet"/>
      </w:pPr>
      <w:r w:rsidRPr="00343278">
        <w:t xml:space="preserve">develop a nationally-coordinated package of </w:t>
      </w:r>
      <w:r>
        <w:t>STI</w:t>
      </w:r>
      <w:r w:rsidRPr="00343278">
        <w:t xml:space="preserve"> prevention, testing and treatment resources for local implementation. This package should be informed by a range of data, including epidemiological data, social and behavioural research, and international best practice on addressing</w:t>
      </w:r>
      <w:r>
        <w:t xml:space="preserve"> STI</w:t>
      </w:r>
      <w:r w:rsidR="00B24A18">
        <w:t xml:space="preserve"> prevention and testing</w:t>
      </w:r>
      <w:r w:rsidRPr="00343278">
        <w:t xml:space="preserve"> </w:t>
      </w:r>
      <w:r>
        <w:t>among gay and bisexual men</w:t>
      </w:r>
      <w:r w:rsidRPr="00343278">
        <w:t xml:space="preserve">. These should include: </w:t>
      </w:r>
    </w:p>
    <w:p w14:paraId="21D155C8" w14:textId="77777777" w:rsidR="00CC782E" w:rsidRPr="00343278" w:rsidRDefault="00CC782E" w:rsidP="00CC782E">
      <w:pPr>
        <w:pStyle w:val="ListBullet2"/>
      </w:pPr>
      <w:r w:rsidRPr="00343278">
        <w:t>program development and planning tools</w:t>
      </w:r>
    </w:p>
    <w:p w14:paraId="76D49BBD" w14:textId="77777777" w:rsidR="00CC782E" w:rsidRPr="00343278" w:rsidRDefault="00CC782E" w:rsidP="00CC782E">
      <w:pPr>
        <w:pStyle w:val="ListBullet2"/>
      </w:pPr>
      <w:r w:rsidRPr="00343278">
        <w:t xml:space="preserve">health promotion campaign materials </w:t>
      </w:r>
    </w:p>
    <w:p w14:paraId="5567A9CE" w14:textId="77777777" w:rsidR="00CC782E" w:rsidRPr="00343278" w:rsidRDefault="00CC782E" w:rsidP="00CC782E">
      <w:pPr>
        <w:pStyle w:val="ListBullet2"/>
      </w:pPr>
      <w:r w:rsidRPr="00343278">
        <w:t xml:space="preserve">session plans for community education </w:t>
      </w:r>
    </w:p>
    <w:p w14:paraId="24C084AD" w14:textId="77777777" w:rsidR="00CC782E" w:rsidRPr="00343278" w:rsidRDefault="00CC782E" w:rsidP="00CC782E">
      <w:pPr>
        <w:pStyle w:val="ListBullet2"/>
      </w:pPr>
      <w:r w:rsidRPr="00343278">
        <w:t>session plans for information/skill development among allied workforces</w:t>
      </w:r>
    </w:p>
    <w:p w14:paraId="08AEAC4E" w14:textId="77777777" w:rsidR="00CC782E" w:rsidRPr="00343278" w:rsidRDefault="00CC782E" w:rsidP="00CC782E">
      <w:pPr>
        <w:pStyle w:val="ListBullet"/>
        <w:ind w:left="357" w:hanging="357"/>
      </w:pPr>
      <w:r w:rsidRPr="00343278">
        <w:t>conduct an ongoing program of awareness raising through a communications strategy which incorporates:</w:t>
      </w:r>
    </w:p>
    <w:p w14:paraId="3014DC71" w14:textId="1ED5C1D0" w:rsidR="00CC782E" w:rsidRPr="00343278" w:rsidRDefault="00CC782E" w:rsidP="00CC782E">
      <w:pPr>
        <w:pStyle w:val="ListBullet2"/>
      </w:pPr>
      <w:r w:rsidRPr="00343278">
        <w:t>working with communications specialists to monitor current media coverage of</w:t>
      </w:r>
      <w:r>
        <w:t xml:space="preserve"> STI among gay and bisexual men</w:t>
      </w:r>
      <w:r w:rsidRPr="00343278">
        <w:t>, and design strategic interventions to update the narrative across mainstream media, LGBTI press and new media</w:t>
      </w:r>
    </w:p>
    <w:p w14:paraId="2B59A60E" w14:textId="7F0C02BA" w:rsidR="00CC782E" w:rsidRDefault="00CC782E" w:rsidP="00CC782E">
      <w:pPr>
        <w:pStyle w:val="ListBullet2"/>
      </w:pPr>
      <w:r w:rsidRPr="00343278">
        <w:t xml:space="preserve">collaboration between community-led organisations to provide a coherent and contemporary narrative of </w:t>
      </w:r>
      <w:r>
        <w:t>STI</w:t>
      </w:r>
      <w:r w:rsidRPr="00343278">
        <w:t xml:space="preserve"> </w:t>
      </w:r>
      <w:r>
        <w:t>among gay and bisexual men in</w:t>
      </w:r>
      <w:r w:rsidRPr="00343278">
        <w:t xml:space="preserve"> Australia.</w:t>
      </w:r>
    </w:p>
    <w:p w14:paraId="7A44A7F5" w14:textId="7975EFD9" w:rsidR="00954818" w:rsidRDefault="00954818" w:rsidP="004E2BC6">
      <w:pPr>
        <w:pStyle w:val="Default"/>
        <w:rPr>
          <w:sz w:val="18"/>
          <w:szCs w:val="22"/>
        </w:rPr>
      </w:pPr>
    </w:p>
    <w:p w14:paraId="22460DF6" w14:textId="7E3E4A8B" w:rsidR="00CC782E" w:rsidRDefault="00CC782E" w:rsidP="00FC1BD1">
      <w:pPr>
        <w:pStyle w:val="Heading2"/>
      </w:pPr>
      <w:r>
        <w:t xml:space="preserve">Aligning priority areas for action in the fourth </w:t>
      </w:r>
      <w:r w:rsidRPr="00650201">
        <w:t xml:space="preserve">National </w:t>
      </w:r>
      <w:r>
        <w:t>Sexually Transmissible Infections</w:t>
      </w:r>
      <w:r w:rsidRPr="00650201">
        <w:t xml:space="preserve"> Strategy</w:t>
      </w:r>
      <w:r>
        <w:t>:</w:t>
      </w:r>
    </w:p>
    <w:p w14:paraId="3C7F46CD" w14:textId="74925707" w:rsidR="00CC782E" w:rsidRDefault="00CC782E" w:rsidP="004E2BC6">
      <w:pPr>
        <w:pStyle w:val="Default"/>
        <w:rPr>
          <w:sz w:val="18"/>
          <w:szCs w:val="22"/>
        </w:rPr>
      </w:pPr>
    </w:p>
    <w:p w14:paraId="2D219E61" w14:textId="4CCBB6EA" w:rsidR="00CC782E" w:rsidRDefault="00FE0B8D" w:rsidP="00CC782E">
      <w:pPr>
        <w:pStyle w:val="ListBullet"/>
      </w:pPr>
      <w:r>
        <w:t>implement a national STI education initiative for priority populations to improve the community’s understanding of STI, improve knowledge of risk behaviours and safer sex practices, assist in reducing STI-related stigma and support pathways to early testing and treatment</w:t>
      </w:r>
    </w:p>
    <w:p w14:paraId="4D511536" w14:textId="22F4560F" w:rsidR="00A75951" w:rsidRDefault="007F33CC" w:rsidP="00A75951">
      <w:pPr>
        <w:pStyle w:val="ListBullet"/>
      </w:pPr>
      <w:r>
        <w:t>i</w:t>
      </w:r>
      <w:r w:rsidR="00FE0B8D">
        <w:t>mplement targeted, age and culturally appropriate STI prevention education initiatives and resources for priority populations using a variety of relevant channels, including digital platforms and sites frequented by priority populations</w:t>
      </w:r>
    </w:p>
    <w:p w14:paraId="7AD08408" w14:textId="2FD310ED" w:rsidR="00A75951" w:rsidRDefault="00A75951" w:rsidP="00A75951">
      <w:pPr>
        <w:pStyle w:val="ListBullet"/>
      </w:pPr>
      <w:r>
        <w:t>better connect priority populations to STI prevention education and services, including through outreach and peer-based approaches in priority settings</w:t>
      </w:r>
    </w:p>
    <w:p w14:paraId="4F3D1B94" w14:textId="3CD08D67" w:rsidR="00A75951" w:rsidRDefault="00A75951" w:rsidP="00A75951">
      <w:pPr>
        <w:pStyle w:val="ListBullet"/>
      </w:pPr>
      <w:r>
        <w:t>promote consistent and effective condom and other barrier method use and increase access to acceptability of condoms amongst priority populations, including by increasing knowledge of where to access free and affordable condoms and other barrier methods and how to correctly and safely use them</w:t>
      </w:r>
    </w:p>
    <w:p w14:paraId="27CD7DD7" w14:textId="7A162B99" w:rsidR="00A75951" w:rsidRDefault="00A75951" w:rsidP="00A75951">
      <w:pPr>
        <w:pStyle w:val="ListBullet"/>
      </w:pPr>
      <w:r>
        <w:t>ensure PrEP for HIV prevention is combined with STI prevention education, access to condoms, and recommended regular STI testing</w:t>
      </w:r>
    </w:p>
    <w:p w14:paraId="3F93867E" w14:textId="7D7CF209" w:rsidR="00A75951" w:rsidRDefault="00A75951" w:rsidP="00A75951">
      <w:pPr>
        <w:pStyle w:val="ListBullet"/>
      </w:pPr>
      <w:r>
        <w:t>develop and implement tailored promotion and engagement strategies for priority populations to improve the uptake of STI testing and treatment</w:t>
      </w:r>
    </w:p>
    <w:p w14:paraId="3D5E3430" w14:textId="6B460D86" w:rsidR="00A75951" w:rsidRDefault="00A75951" w:rsidP="00A75951">
      <w:pPr>
        <w:pStyle w:val="ListBullet"/>
      </w:pPr>
      <w:r>
        <w:t>identify areas of need and frequency required for STI testing for priority populations</w:t>
      </w:r>
    </w:p>
    <w:p w14:paraId="7981C590" w14:textId="22660A43" w:rsidR="00A75951" w:rsidRDefault="00A75951" w:rsidP="00A75951">
      <w:pPr>
        <w:pStyle w:val="ListBullet"/>
      </w:pPr>
      <w:r>
        <w:lastRenderedPageBreak/>
        <w:t>support the capacity and role of community organisations to provide education, prevention, support and advocacy services to priority populations</w:t>
      </w:r>
    </w:p>
    <w:p w14:paraId="273D0FDB" w14:textId="7B84935D" w:rsidR="00A75951" w:rsidRDefault="00A75951" w:rsidP="00A75951">
      <w:pPr>
        <w:pStyle w:val="ListBullet"/>
      </w:pPr>
      <w:r>
        <w:t>ensure that STI education, prevention, testing and treatment initiatives support efforts to counteract STI-related stigma.</w:t>
      </w:r>
    </w:p>
    <w:p w14:paraId="2B4B64D4" w14:textId="0667F21C" w:rsidR="00CC782E" w:rsidRDefault="00CC782E" w:rsidP="004E2BC6">
      <w:pPr>
        <w:pStyle w:val="Default"/>
        <w:rPr>
          <w:sz w:val="18"/>
          <w:szCs w:val="22"/>
        </w:rPr>
      </w:pPr>
    </w:p>
    <w:p w14:paraId="4562C6EB" w14:textId="77777777" w:rsidR="00CC782E" w:rsidRPr="00343278" w:rsidRDefault="00CC782E" w:rsidP="00CC782E">
      <w:pPr>
        <w:pStyle w:val="Heading2"/>
      </w:pPr>
      <w:r w:rsidRPr="00343278">
        <w:t xml:space="preserve">Impact of investment </w:t>
      </w:r>
    </w:p>
    <w:p w14:paraId="5CBFCE86" w14:textId="0B2F4195" w:rsidR="00CC782E" w:rsidRDefault="00CC782E" w:rsidP="004E2BC6">
      <w:pPr>
        <w:pStyle w:val="Default"/>
        <w:rPr>
          <w:sz w:val="18"/>
          <w:szCs w:val="22"/>
        </w:rPr>
      </w:pPr>
    </w:p>
    <w:p w14:paraId="764F63DF" w14:textId="189A1422" w:rsidR="00A91ECE" w:rsidRPr="00343278" w:rsidRDefault="00A91ECE" w:rsidP="00A91ECE">
      <w:pPr>
        <w:pStyle w:val="ListBullet"/>
        <w:ind w:left="357" w:hanging="357"/>
      </w:pPr>
      <w:r>
        <w:t>i</w:t>
      </w:r>
      <w:r w:rsidRPr="00343278">
        <w:t>ncreased</w:t>
      </w:r>
      <w:r>
        <w:t xml:space="preserve"> STI</w:t>
      </w:r>
      <w:r w:rsidRPr="00343278">
        <w:t xml:space="preserve"> testing among</w:t>
      </w:r>
      <w:r>
        <w:t xml:space="preserve"> gay and bisexual men</w:t>
      </w:r>
    </w:p>
    <w:p w14:paraId="794B265A" w14:textId="09EEAC57" w:rsidR="00A91ECE" w:rsidRDefault="00A91ECE" w:rsidP="00A91ECE">
      <w:pPr>
        <w:pStyle w:val="ListBullet"/>
        <w:ind w:left="357" w:hanging="357"/>
      </w:pPr>
      <w:r>
        <w:t>i</w:t>
      </w:r>
      <w:r w:rsidRPr="00343278">
        <w:t xml:space="preserve">ncreased </w:t>
      </w:r>
      <w:r>
        <w:t>STI</w:t>
      </w:r>
      <w:r w:rsidRPr="00343278">
        <w:t xml:space="preserve"> prevention behaviours among</w:t>
      </w:r>
      <w:r>
        <w:t xml:space="preserve"> gay and bisexual men</w:t>
      </w:r>
    </w:p>
    <w:p w14:paraId="24562ED1" w14:textId="1468720A" w:rsidR="000D346B" w:rsidRDefault="000D346B" w:rsidP="000D346B">
      <w:pPr>
        <w:pStyle w:val="ListBullet"/>
        <w:ind w:left="357" w:hanging="357"/>
      </w:pPr>
      <w:r>
        <w:t>r</w:t>
      </w:r>
      <w:r w:rsidRPr="00343278">
        <w:t xml:space="preserve">educed risk of onward </w:t>
      </w:r>
      <w:r>
        <w:t>STI</w:t>
      </w:r>
      <w:r w:rsidRPr="00343278">
        <w:t xml:space="preserve"> transmission from undiagnosed infection</w:t>
      </w:r>
    </w:p>
    <w:p w14:paraId="2EF3A521" w14:textId="39C65A8E" w:rsidR="00A75951" w:rsidRDefault="00A91ECE" w:rsidP="004E2BC6">
      <w:pPr>
        <w:pStyle w:val="ListBullet"/>
      </w:pPr>
      <w:r>
        <w:t>encourages gay and bisexual men with an STI</w:t>
      </w:r>
      <w:r w:rsidRPr="00416E18">
        <w:t>, or at risk of</w:t>
      </w:r>
      <w:r>
        <w:t xml:space="preserve"> STI</w:t>
      </w:r>
      <w:r w:rsidRPr="00416E18">
        <w:t xml:space="preserve">, </w:t>
      </w:r>
      <w:r>
        <w:t>to</w:t>
      </w:r>
      <w:r w:rsidRPr="00416E18">
        <w:t xml:space="preserve"> access health services and see</w:t>
      </w:r>
      <w:r>
        <w:t>k</w:t>
      </w:r>
      <w:r w:rsidRPr="00416E18">
        <w:t xml:space="preserve"> information about safe sexual practices</w:t>
      </w:r>
      <w:r w:rsidR="000D346B">
        <w:t>.</w:t>
      </w:r>
    </w:p>
    <w:p w14:paraId="54CCA971" w14:textId="4A8D43EB" w:rsidR="000D346B" w:rsidRDefault="000D346B" w:rsidP="000D346B">
      <w:pPr>
        <w:pStyle w:val="ListBullet"/>
        <w:numPr>
          <w:ilvl w:val="0"/>
          <w:numId w:val="0"/>
        </w:numPr>
      </w:pPr>
    </w:p>
    <w:p w14:paraId="696888BA" w14:textId="77777777" w:rsidR="00C17BB6" w:rsidRDefault="000D346B" w:rsidP="000D346B">
      <w:pPr>
        <w:autoSpaceDE w:val="0"/>
        <w:autoSpaceDN w:val="0"/>
        <w:snapToGrid/>
        <w:rPr>
          <w:rFonts w:asciiTheme="minorHAnsi" w:eastAsia="SimSun" w:hAnsiTheme="minorHAnsi" w:cs="Baskerville"/>
          <w:snapToGrid/>
          <w:color w:val="auto"/>
          <w:szCs w:val="18"/>
          <w:lang w:eastAsia="en-GB"/>
        </w:rPr>
      </w:pPr>
      <w:r w:rsidRPr="00EC450D">
        <w:rPr>
          <w:rFonts w:asciiTheme="minorHAnsi" w:eastAsia="SimSun" w:hAnsiTheme="minorHAnsi" w:cs="Baskerville"/>
          <w:snapToGrid/>
          <w:color w:val="auto"/>
          <w:szCs w:val="18"/>
          <w:lang w:eastAsia="en-GB"/>
        </w:rPr>
        <w:t>A more tailored</w:t>
      </w:r>
      <w:r>
        <w:rPr>
          <w:rFonts w:asciiTheme="minorHAnsi" w:eastAsia="SimSun" w:hAnsiTheme="minorHAnsi" w:cs="Baskerville"/>
          <w:snapToGrid/>
          <w:color w:val="auto"/>
          <w:szCs w:val="18"/>
          <w:lang w:eastAsia="en-GB"/>
        </w:rPr>
        <w:t xml:space="preserve"> and nuanced</w:t>
      </w:r>
      <w:r w:rsidRPr="00EC450D">
        <w:rPr>
          <w:rFonts w:asciiTheme="minorHAnsi" w:eastAsia="SimSun" w:hAnsiTheme="minorHAnsi" w:cs="Baskerville"/>
          <w:snapToGrid/>
          <w:color w:val="auto"/>
          <w:szCs w:val="18"/>
          <w:lang w:eastAsia="en-GB"/>
        </w:rPr>
        <w:t xml:space="preserve"> response </w:t>
      </w:r>
      <w:r>
        <w:rPr>
          <w:rFonts w:asciiTheme="minorHAnsi" w:eastAsia="SimSun" w:hAnsiTheme="minorHAnsi" w:cs="Baskerville"/>
          <w:snapToGrid/>
          <w:color w:val="auto"/>
          <w:szCs w:val="18"/>
          <w:lang w:eastAsia="en-GB"/>
        </w:rPr>
        <w:t>to STI</w:t>
      </w:r>
      <w:r w:rsidR="00B24A18">
        <w:rPr>
          <w:rFonts w:asciiTheme="minorHAnsi" w:eastAsia="SimSun" w:hAnsiTheme="minorHAnsi" w:cs="Baskerville"/>
          <w:snapToGrid/>
          <w:color w:val="auto"/>
          <w:szCs w:val="18"/>
          <w:lang w:eastAsia="en-GB"/>
        </w:rPr>
        <w:t>s</w:t>
      </w:r>
      <w:r>
        <w:rPr>
          <w:rFonts w:asciiTheme="minorHAnsi" w:eastAsia="SimSun" w:hAnsiTheme="minorHAnsi" w:cs="Baskerville"/>
          <w:snapToGrid/>
          <w:color w:val="auto"/>
          <w:szCs w:val="18"/>
          <w:lang w:eastAsia="en-GB"/>
        </w:rPr>
        <w:t xml:space="preserve"> among gay and bisexual men </w:t>
      </w:r>
      <w:r w:rsidRPr="00EC450D">
        <w:rPr>
          <w:rFonts w:asciiTheme="minorHAnsi" w:eastAsia="SimSun" w:hAnsiTheme="minorHAnsi" w:cs="Baskerville"/>
          <w:snapToGrid/>
          <w:color w:val="auto"/>
          <w:szCs w:val="18"/>
          <w:lang w:eastAsia="en-GB"/>
        </w:rPr>
        <w:t>will increase the impact of</w:t>
      </w:r>
      <w:r>
        <w:rPr>
          <w:rFonts w:asciiTheme="minorHAnsi" w:eastAsia="SimSun" w:hAnsiTheme="minorHAnsi" w:cs="Baskerville"/>
          <w:snapToGrid/>
          <w:color w:val="auto"/>
          <w:szCs w:val="18"/>
          <w:lang w:eastAsia="en-GB"/>
        </w:rPr>
        <w:t xml:space="preserve"> STI</w:t>
      </w:r>
      <w:r w:rsidRPr="00EC450D">
        <w:rPr>
          <w:rFonts w:asciiTheme="minorHAnsi" w:eastAsia="SimSun" w:hAnsiTheme="minorHAnsi" w:cs="Baskerville"/>
          <w:snapToGrid/>
          <w:color w:val="auto"/>
          <w:szCs w:val="18"/>
          <w:lang w:eastAsia="en-GB"/>
        </w:rPr>
        <w:t xml:space="preserve"> prevention efforts and result in an increase in testing</w:t>
      </w:r>
      <w:r w:rsidR="007F33CC">
        <w:rPr>
          <w:rFonts w:asciiTheme="minorHAnsi" w:eastAsia="SimSun" w:hAnsiTheme="minorHAnsi" w:cs="Baskerville"/>
          <w:snapToGrid/>
          <w:color w:val="auto"/>
          <w:szCs w:val="18"/>
          <w:lang w:eastAsia="en-GB"/>
        </w:rPr>
        <w:t>, diagnosis and treatment.</w:t>
      </w:r>
    </w:p>
    <w:p w14:paraId="6D6DD894" w14:textId="77777777" w:rsidR="00C17BB6" w:rsidRDefault="00C17BB6">
      <w:pPr>
        <w:adjustRightInd/>
        <w:snapToGrid/>
        <w:rPr>
          <w:rFonts w:asciiTheme="minorHAnsi" w:eastAsia="SimSun" w:hAnsiTheme="minorHAnsi" w:cs="Baskerville"/>
          <w:snapToGrid/>
          <w:color w:val="auto"/>
          <w:szCs w:val="18"/>
          <w:lang w:eastAsia="en-GB"/>
        </w:rPr>
      </w:pPr>
      <w:r>
        <w:rPr>
          <w:rFonts w:asciiTheme="minorHAnsi" w:eastAsia="SimSun" w:hAnsiTheme="minorHAnsi" w:cs="Baskerville"/>
          <w:snapToGrid/>
          <w:color w:val="auto"/>
          <w:szCs w:val="18"/>
          <w:lang w:eastAsia="en-GB"/>
        </w:rPr>
        <w:br w:type="page"/>
      </w:r>
    </w:p>
    <w:p w14:paraId="11A042E8" w14:textId="5A751764" w:rsidR="002E1807" w:rsidRPr="00C17BB6" w:rsidRDefault="002E1807" w:rsidP="00C17BB6">
      <w:pPr>
        <w:autoSpaceDE w:val="0"/>
        <w:autoSpaceDN w:val="0"/>
        <w:snapToGrid/>
        <w:rPr>
          <w:rFonts w:asciiTheme="minorHAnsi" w:hAnsiTheme="minorHAnsi"/>
          <w:sz w:val="22"/>
        </w:rPr>
      </w:pPr>
      <w:r w:rsidRPr="002E1807">
        <w:rPr>
          <w:b/>
          <w:color w:val="F26522" w:themeColor="accent1"/>
          <w:sz w:val="28"/>
          <w:szCs w:val="28"/>
        </w:rPr>
        <w:lastRenderedPageBreak/>
        <w:t xml:space="preserve">Recommendation 10: </w:t>
      </w:r>
      <w:r>
        <w:rPr>
          <w:b/>
          <w:color w:val="F26522" w:themeColor="accent1"/>
          <w:sz w:val="28"/>
          <w:szCs w:val="28"/>
        </w:rPr>
        <w:t>R</w:t>
      </w:r>
      <w:r w:rsidRPr="002E1807">
        <w:rPr>
          <w:b/>
          <w:color w:val="F26522" w:themeColor="accent1"/>
          <w:sz w:val="28"/>
          <w:szCs w:val="28"/>
        </w:rPr>
        <w:t>enew Australia’s commitment to the Global Fund to Fight AIDS, Tuberculosis and Malaria</w:t>
      </w:r>
      <w:r w:rsidR="000635DF">
        <w:rPr>
          <w:b/>
          <w:color w:val="F26522" w:themeColor="accent1"/>
          <w:sz w:val="28"/>
          <w:szCs w:val="28"/>
        </w:rPr>
        <w:t xml:space="preserve"> </w:t>
      </w:r>
      <w:r w:rsidRPr="002E1807">
        <w:rPr>
          <w:b/>
          <w:color w:val="F26522" w:themeColor="accent1"/>
          <w:sz w:val="28"/>
          <w:szCs w:val="28"/>
        </w:rPr>
        <w:t>for 2019-2021</w:t>
      </w:r>
    </w:p>
    <w:p w14:paraId="7A99E58A" w14:textId="7D07D478" w:rsidR="00503145" w:rsidRPr="00503145" w:rsidRDefault="00503145" w:rsidP="002E1807">
      <w:pPr>
        <w:pStyle w:val="Default"/>
        <w:rPr>
          <w:b/>
          <w:color w:val="F26522" w:themeColor="accent1"/>
          <w:sz w:val="20"/>
          <w:szCs w:val="28"/>
        </w:rPr>
      </w:pPr>
    </w:p>
    <w:p w14:paraId="08080E89" w14:textId="77777777" w:rsidR="00503145" w:rsidRDefault="00503145" w:rsidP="00503145">
      <w:pPr>
        <w:pStyle w:val="Heading2"/>
      </w:pPr>
      <w:r w:rsidRPr="00EC450D">
        <w:t>Issues</w:t>
      </w:r>
    </w:p>
    <w:p w14:paraId="43264CFA" w14:textId="32720541" w:rsidR="00503145" w:rsidRDefault="00503145" w:rsidP="00503145">
      <w:pPr>
        <w:pStyle w:val="Heading2"/>
        <w:rPr>
          <w:rFonts w:eastAsia="SimSun" w:cs="Calibri"/>
          <w:bCs w:val="0"/>
          <w:i w:val="0"/>
          <w:iCs w:val="0"/>
          <w:snapToGrid/>
          <w:sz w:val="20"/>
          <w:lang w:eastAsia="en-GB"/>
        </w:rPr>
      </w:pPr>
    </w:p>
    <w:p w14:paraId="7B1068EF" w14:textId="219111B0" w:rsidR="00A475E2" w:rsidRDefault="00A475E2" w:rsidP="00A41948">
      <w:pPr>
        <w:spacing w:line="252" w:lineRule="auto"/>
        <w:jc w:val="both"/>
        <w:rPr>
          <w:rFonts w:eastAsia="Times New Roman"/>
          <w:highlight w:val="white"/>
        </w:rPr>
      </w:pPr>
      <w:r w:rsidRPr="00A475E2">
        <w:rPr>
          <w:rFonts w:eastAsia="Times New Roman"/>
        </w:rPr>
        <w:t>In 2002, the Global Fund</w:t>
      </w:r>
      <w:r>
        <w:rPr>
          <w:rFonts w:eastAsia="Times New Roman"/>
        </w:rPr>
        <w:t xml:space="preserve"> to Fight AID</w:t>
      </w:r>
      <w:r w:rsidR="00EB51FF">
        <w:rPr>
          <w:rFonts w:eastAsia="Times New Roman"/>
        </w:rPr>
        <w:t>S</w:t>
      </w:r>
      <w:r>
        <w:rPr>
          <w:rFonts w:eastAsia="Times New Roman"/>
        </w:rPr>
        <w:t>, Tuberculosis and Malaria (</w:t>
      </w:r>
      <w:r w:rsidR="00EB51FF">
        <w:rPr>
          <w:rFonts w:eastAsia="Times New Roman"/>
        </w:rPr>
        <w:t xml:space="preserve">The </w:t>
      </w:r>
      <w:r>
        <w:rPr>
          <w:rFonts w:eastAsia="Times New Roman"/>
        </w:rPr>
        <w:t>Global Fund)</w:t>
      </w:r>
      <w:r w:rsidRPr="00A475E2">
        <w:rPr>
          <w:rFonts w:eastAsia="Times New Roman"/>
        </w:rPr>
        <w:t xml:space="preserve"> was founded as a public-private partnership. Since then the Global Fund has invested nearly US$4 billion every year in locally designed and run prevention, treatment and care progra</w:t>
      </w:r>
      <w:r>
        <w:rPr>
          <w:rFonts w:eastAsia="Times New Roman"/>
        </w:rPr>
        <w:t>m</w:t>
      </w:r>
      <w:r w:rsidRPr="00A475E2">
        <w:rPr>
          <w:rFonts w:eastAsia="Times New Roman"/>
        </w:rPr>
        <w:t>s in countries and</w:t>
      </w:r>
      <w:r>
        <w:rPr>
          <w:rFonts w:eastAsia="Times New Roman"/>
        </w:rPr>
        <w:t xml:space="preserve"> for</w:t>
      </w:r>
      <w:r w:rsidRPr="00A475E2">
        <w:rPr>
          <w:rFonts w:eastAsia="Times New Roman"/>
        </w:rPr>
        <w:t xml:space="preserve"> communities most in need. </w:t>
      </w:r>
      <w:r w:rsidRPr="00A475E2">
        <w:rPr>
          <w:rFonts w:eastAsia="Times New Roman"/>
          <w:highlight w:val="white"/>
        </w:rPr>
        <w:t>Through the Global Fund</w:t>
      </w:r>
      <w:r>
        <w:rPr>
          <w:rFonts w:eastAsia="Times New Roman"/>
          <w:highlight w:val="white"/>
        </w:rPr>
        <w:t>, the world</w:t>
      </w:r>
      <w:r w:rsidRPr="00A475E2">
        <w:rPr>
          <w:rFonts w:eastAsia="Times New Roman"/>
          <w:highlight w:val="white"/>
        </w:rPr>
        <w:t xml:space="preserve"> ha</w:t>
      </w:r>
      <w:r>
        <w:rPr>
          <w:rFonts w:eastAsia="Times New Roman"/>
          <w:highlight w:val="white"/>
        </w:rPr>
        <w:t>s</w:t>
      </w:r>
      <w:r w:rsidRPr="00A475E2">
        <w:rPr>
          <w:rFonts w:eastAsia="Times New Roman"/>
          <w:highlight w:val="white"/>
        </w:rPr>
        <w:t xml:space="preserve"> witnessed a dramatic increase in access to antiretroviral therapy (ART) for HIV. Global Fund support has also contributed to building resilient health systems. The Global Fund’s co-financing requirement ha</w:t>
      </w:r>
      <w:r>
        <w:rPr>
          <w:rFonts w:eastAsia="Times New Roman"/>
          <w:highlight w:val="white"/>
        </w:rPr>
        <w:t>s</w:t>
      </w:r>
      <w:r w:rsidRPr="00A475E2">
        <w:rPr>
          <w:rFonts w:eastAsia="Times New Roman"/>
          <w:highlight w:val="white"/>
        </w:rPr>
        <w:t xml:space="preserve"> been increasing the amount of domestic funding contributed by partner countries in recent years – an essential element of moving health systems toward sustainability. Hea</w:t>
      </w:r>
      <w:r w:rsidR="00A41948">
        <w:rPr>
          <w:rFonts w:eastAsia="Times New Roman"/>
          <w:highlight w:val="white"/>
        </w:rPr>
        <w:t>l</w:t>
      </w:r>
      <w:r w:rsidRPr="00A475E2">
        <w:rPr>
          <w:rFonts w:eastAsia="Times New Roman"/>
          <w:highlight w:val="white"/>
        </w:rPr>
        <w:t xml:space="preserve">th programs supported by the Global Fund have saved 27 million lives as of the end of 2017. </w:t>
      </w:r>
    </w:p>
    <w:p w14:paraId="23BB6C99" w14:textId="77777777" w:rsidR="00A41948" w:rsidRPr="00A475E2" w:rsidRDefault="00A41948" w:rsidP="00A41948">
      <w:pPr>
        <w:spacing w:line="252" w:lineRule="auto"/>
        <w:jc w:val="both"/>
        <w:rPr>
          <w:rFonts w:eastAsia="Times New Roman"/>
          <w:snapToGrid/>
          <w:color w:val="auto"/>
          <w:lang w:eastAsia="en-US"/>
        </w:rPr>
      </w:pPr>
    </w:p>
    <w:p w14:paraId="3EB3C163" w14:textId="372BACCD" w:rsidR="00A41948" w:rsidRDefault="00A41948" w:rsidP="00A41948">
      <w:pPr>
        <w:spacing w:line="252" w:lineRule="auto"/>
        <w:jc w:val="both"/>
        <w:rPr>
          <w:rFonts w:eastAsia="Times New Roman"/>
        </w:rPr>
      </w:pPr>
      <w:r w:rsidRPr="00A41948">
        <w:rPr>
          <w:rFonts w:eastAsia="Times New Roman"/>
        </w:rPr>
        <w:t>The Global Fund’s work supports Australia</w:t>
      </w:r>
      <w:r w:rsidR="00EB51FF">
        <w:rPr>
          <w:rFonts w:eastAsia="Times New Roman"/>
        </w:rPr>
        <w:t>’s</w:t>
      </w:r>
      <w:r w:rsidRPr="00A41948">
        <w:rPr>
          <w:rFonts w:eastAsia="Times New Roman"/>
        </w:rPr>
        <w:t xml:space="preserve"> aspirations for a strong and healthy region. Healthier communities are more likely to achieve sustainable economic growth and poverty reduction. Australia </w:t>
      </w:r>
      <w:r>
        <w:rPr>
          <w:rFonts w:eastAsia="Times New Roman"/>
        </w:rPr>
        <w:t xml:space="preserve">can now </w:t>
      </w:r>
      <w:r w:rsidRPr="00A41948">
        <w:rPr>
          <w:rFonts w:eastAsia="Times New Roman"/>
        </w:rPr>
        <w:t>accelerate the impact of the Global Fund’s work in preventing and providing access to treat</w:t>
      </w:r>
      <w:r>
        <w:rPr>
          <w:rFonts w:eastAsia="Times New Roman"/>
        </w:rPr>
        <w:t>ment and prevention</w:t>
      </w:r>
      <w:r w:rsidRPr="00A41948">
        <w:rPr>
          <w:rFonts w:eastAsia="Times New Roman"/>
        </w:rPr>
        <w:t xml:space="preserve"> for HIV. </w:t>
      </w:r>
    </w:p>
    <w:p w14:paraId="37866A76" w14:textId="77777777" w:rsidR="00A41948" w:rsidRPr="00A41948" w:rsidRDefault="00A41948" w:rsidP="00A41948">
      <w:pPr>
        <w:spacing w:line="252" w:lineRule="auto"/>
        <w:jc w:val="both"/>
        <w:rPr>
          <w:rFonts w:eastAsia="Times New Roman"/>
        </w:rPr>
      </w:pPr>
    </w:p>
    <w:p w14:paraId="0D894D43" w14:textId="6765B038" w:rsidR="00503145" w:rsidRPr="00343278" w:rsidRDefault="00503145" w:rsidP="00503145">
      <w:pPr>
        <w:pStyle w:val="Heading2"/>
      </w:pPr>
      <w:r w:rsidRPr="00343278">
        <w:t xml:space="preserve">The solution </w:t>
      </w:r>
    </w:p>
    <w:p w14:paraId="69CDFEFF" w14:textId="77777777" w:rsidR="007F33CC" w:rsidRDefault="007F33CC" w:rsidP="005D3F82">
      <w:pPr>
        <w:rPr>
          <w:rFonts w:eastAsia="SimSun" w:cs="Calibri"/>
          <w:b/>
          <w:snapToGrid/>
          <w:color w:val="F26522" w:themeColor="accent1"/>
          <w:szCs w:val="28"/>
          <w:lang w:eastAsia="en-GB"/>
        </w:rPr>
      </w:pPr>
    </w:p>
    <w:p w14:paraId="73D1C26D" w14:textId="005B6C40" w:rsidR="00A41948" w:rsidRDefault="007F33CC" w:rsidP="005D3F82">
      <w:r>
        <w:rPr>
          <w:color w:val="auto"/>
          <w:szCs w:val="22"/>
        </w:rPr>
        <w:t>For the</w:t>
      </w:r>
      <w:r w:rsidR="00A41948">
        <w:rPr>
          <w:color w:val="auto"/>
          <w:szCs w:val="22"/>
        </w:rPr>
        <w:t xml:space="preserve"> Australian Government</w:t>
      </w:r>
      <w:r>
        <w:rPr>
          <w:color w:val="auto"/>
          <w:szCs w:val="22"/>
        </w:rPr>
        <w:t xml:space="preserve"> to</w:t>
      </w:r>
      <w:r w:rsidR="00A41948">
        <w:rPr>
          <w:color w:val="auto"/>
          <w:szCs w:val="22"/>
        </w:rPr>
        <w:t xml:space="preserve"> </w:t>
      </w:r>
      <w:r>
        <w:rPr>
          <w:color w:val="auto"/>
          <w:szCs w:val="22"/>
        </w:rPr>
        <w:t>increas</w:t>
      </w:r>
      <w:r w:rsidR="00EB51FF">
        <w:rPr>
          <w:color w:val="auto"/>
          <w:szCs w:val="22"/>
        </w:rPr>
        <w:t>e</w:t>
      </w:r>
      <w:r>
        <w:rPr>
          <w:color w:val="auto"/>
          <w:szCs w:val="22"/>
        </w:rPr>
        <w:t xml:space="preserve"> Australia’s contribution</w:t>
      </w:r>
      <w:r w:rsidR="00A41948">
        <w:rPr>
          <w:color w:val="auto"/>
          <w:szCs w:val="22"/>
        </w:rPr>
        <w:t xml:space="preserve"> to the Global Fund with a pledge of </w:t>
      </w:r>
      <w:r w:rsidR="00A41948" w:rsidRPr="00565099">
        <w:rPr>
          <w:b/>
          <w:color w:val="auto"/>
          <w:szCs w:val="22"/>
        </w:rPr>
        <w:t>$250 million</w:t>
      </w:r>
      <w:r w:rsidR="00A41948">
        <w:rPr>
          <w:color w:val="auto"/>
          <w:szCs w:val="22"/>
        </w:rPr>
        <w:t xml:space="preserve"> for 2019-2021.</w:t>
      </w:r>
    </w:p>
    <w:p w14:paraId="1F3B4D99" w14:textId="77777777" w:rsidR="00A41948" w:rsidRPr="00503145" w:rsidRDefault="00A41948" w:rsidP="002E1807">
      <w:pPr>
        <w:pStyle w:val="Default"/>
        <w:rPr>
          <w:b/>
          <w:color w:val="F26522" w:themeColor="accent1"/>
          <w:sz w:val="20"/>
          <w:szCs w:val="28"/>
        </w:rPr>
      </w:pPr>
    </w:p>
    <w:p w14:paraId="14F05A8B" w14:textId="7744115E" w:rsidR="00503145" w:rsidRDefault="00503145" w:rsidP="00503145">
      <w:pPr>
        <w:pStyle w:val="Heading2"/>
      </w:pPr>
      <w:r w:rsidRPr="00343278">
        <w:t xml:space="preserve">Impact of investment </w:t>
      </w:r>
    </w:p>
    <w:p w14:paraId="095B478D" w14:textId="3F9C7276" w:rsidR="00503145" w:rsidRDefault="00503145" w:rsidP="00503145"/>
    <w:p w14:paraId="633E9BA7" w14:textId="77777777" w:rsidR="005D3F82" w:rsidRDefault="005D3F82" w:rsidP="005D3F82">
      <w:pPr>
        <w:pStyle w:val="ListBullet"/>
      </w:pPr>
      <w:r w:rsidRPr="00156147">
        <w:t>ensur</w:t>
      </w:r>
      <w:r>
        <w:t>es</w:t>
      </w:r>
      <w:r w:rsidRPr="00156147">
        <w:t xml:space="preserve"> key populations are represented in the development of policy and programs</w:t>
      </w:r>
    </w:p>
    <w:p w14:paraId="718914F8" w14:textId="77777777" w:rsidR="005D3F82" w:rsidRDefault="005D3F82" w:rsidP="005D3F82">
      <w:pPr>
        <w:pStyle w:val="ListBullet"/>
      </w:pPr>
      <w:r w:rsidRPr="00156147">
        <w:t>the allocation of resources to prevention and treatment</w:t>
      </w:r>
    </w:p>
    <w:p w14:paraId="6FDFFA59" w14:textId="18A49D6D" w:rsidR="005D3F82" w:rsidRDefault="005D3F82" w:rsidP="005D3F82">
      <w:pPr>
        <w:pStyle w:val="ListBullet"/>
      </w:pPr>
      <w:r w:rsidRPr="00156147">
        <w:t>implement</w:t>
      </w:r>
      <w:r>
        <w:t>ation of</w:t>
      </w:r>
      <w:r w:rsidRPr="00156147">
        <w:t xml:space="preserve"> programs that directly address prevention, testing, access to treatment, and stigma and discrimination</w:t>
      </w:r>
    </w:p>
    <w:p w14:paraId="7E382AF2" w14:textId="2C0B3108" w:rsidR="005D3F82" w:rsidRDefault="005D3F82" w:rsidP="005D3F82">
      <w:pPr>
        <w:pStyle w:val="ListBullet"/>
        <w:numPr>
          <w:ilvl w:val="0"/>
          <w:numId w:val="0"/>
        </w:numPr>
      </w:pPr>
    </w:p>
    <w:p w14:paraId="4464D77F" w14:textId="718B1C49" w:rsidR="00C17BB6" w:rsidRDefault="005D3F82" w:rsidP="005D3F82">
      <w:pPr>
        <w:pStyle w:val="ListBullet"/>
        <w:numPr>
          <w:ilvl w:val="0"/>
          <w:numId w:val="0"/>
        </w:numPr>
        <w:rPr>
          <w:rFonts w:asciiTheme="minorHAnsi" w:hAnsiTheme="minorHAnsi"/>
          <w:szCs w:val="22"/>
        </w:rPr>
      </w:pPr>
      <w:r>
        <w:rPr>
          <w:rFonts w:asciiTheme="minorHAnsi" w:hAnsiTheme="minorHAnsi"/>
          <w:szCs w:val="22"/>
        </w:rPr>
        <w:t>C</w:t>
      </w:r>
      <w:r w:rsidRPr="00156147">
        <w:rPr>
          <w:rFonts w:asciiTheme="minorHAnsi" w:hAnsiTheme="minorHAnsi"/>
          <w:szCs w:val="22"/>
        </w:rPr>
        <w:t xml:space="preserve">ivil </w:t>
      </w:r>
      <w:r w:rsidR="00FC1BD1">
        <w:rPr>
          <w:rFonts w:asciiTheme="minorHAnsi" w:hAnsiTheme="minorHAnsi"/>
          <w:szCs w:val="22"/>
        </w:rPr>
        <w:t>s</w:t>
      </w:r>
      <w:r w:rsidRPr="00156147">
        <w:rPr>
          <w:rFonts w:asciiTheme="minorHAnsi" w:hAnsiTheme="minorHAnsi"/>
          <w:szCs w:val="22"/>
        </w:rPr>
        <w:t xml:space="preserve">ociety </w:t>
      </w:r>
      <w:r w:rsidR="00FC1BD1">
        <w:rPr>
          <w:rFonts w:asciiTheme="minorHAnsi" w:hAnsiTheme="minorHAnsi"/>
          <w:szCs w:val="22"/>
        </w:rPr>
        <w:t>o</w:t>
      </w:r>
      <w:r w:rsidRPr="00156147">
        <w:rPr>
          <w:rFonts w:asciiTheme="minorHAnsi" w:hAnsiTheme="minorHAnsi"/>
          <w:szCs w:val="22"/>
        </w:rPr>
        <w:t>rganisations</w:t>
      </w:r>
      <w:r>
        <w:rPr>
          <w:rFonts w:asciiTheme="minorHAnsi" w:hAnsiTheme="minorHAnsi"/>
          <w:szCs w:val="22"/>
        </w:rPr>
        <w:t xml:space="preserve"> (CSO</w:t>
      </w:r>
      <w:r w:rsidR="00FC1BD1">
        <w:rPr>
          <w:rFonts w:asciiTheme="minorHAnsi" w:hAnsiTheme="minorHAnsi"/>
          <w:szCs w:val="22"/>
        </w:rPr>
        <w:t>s</w:t>
      </w:r>
      <w:r>
        <w:rPr>
          <w:rFonts w:asciiTheme="minorHAnsi" w:hAnsiTheme="minorHAnsi"/>
          <w:szCs w:val="22"/>
        </w:rPr>
        <w:t>)</w:t>
      </w:r>
      <w:r w:rsidRPr="00156147">
        <w:rPr>
          <w:rFonts w:asciiTheme="minorHAnsi" w:hAnsiTheme="minorHAnsi"/>
          <w:szCs w:val="22"/>
        </w:rPr>
        <w:t xml:space="preserve"> will benefit from tailored capacity building work</w:t>
      </w:r>
      <w:r>
        <w:rPr>
          <w:rFonts w:asciiTheme="minorHAnsi" w:hAnsiTheme="minorHAnsi"/>
          <w:szCs w:val="22"/>
        </w:rPr>
        <w:t xml:space="preserve"> through Global Fund grants</w:t>
      </w:r>
      <w:r w:rsidRPr="00156147">
        <w:rPr>
          <w:rFonts w:asciiTheme="minorHAnsi" w:hAnsiTheme="minorHAnsi"/>
          <w:szCs w:val="22"/>
        </w:rPr>
        <w:t xml:space="preserve"> that address a range of both technical and programmatic issues, including investment efficiency, social contracting, domestic policy</w:t>
      </w:r>
      <w:r>
        <w:rPr>
          <w:rFonts w:asciiTheme="minorHAnsi" w:hAnsiTheme="minorHAnsi"/>
          <w:szCs w:val="22"/>
        </w:rPr>
        <w:t xml:space="preserve"> and </w:t>
      </w:r>
      <w:r w:rsidRPr="00156147">
        <w:rPr>
          <w:rFonts w:asciiTheme="minorHAnsi" w:hAnsiTheme="minorHAnsi"/>
          <w:szCs w:val="22"/>
        </w:rPr>
        <w:t>advocacy, and next generation prevention.</w:t>
      </w:r>
    </w:p>
    <w:p w14:paraId="6FCD6C8C" w14:textId="3B82B7DC" w:rsidR="002E1807" w:rsidRPr="00C17BB6" w:rsidRDefault="00C17BB6" w:rsidP="00C17BB6">
      <w:pPr>
        <w:adjustRightInd/>
        <w:snapToGrid/>
        <w:rPr>
          <w:rFonts w:asciiTheme="minorHAnsi" w:hAnsiTheme="minorHAnsi"/>
          <w:szCs w:val="22"/>
        </w:rPr>
      </w:pPr>
      <w:r>
        <w:rPr>
          <w:rFonts w:asciiTheme="minorHAnsi" w:hAnsiTheme="minorHAnsi"/>
          <w:szCs w:val="22"/>
        </w:rPr>
        <w:br w:type="page"/>
      </w:r>
      <w:r w:rsidR="002E1807" w:rsidRPr="002E1807">
        <w:rPr>
          <w:b/>
          <w:color w:val="F26522" w:themeColor="accent1"/>
          <w:sz w:val="28"/>
          <w:szCs w:val="28"/>
        </w:rPr>
        <w:lastRenderedPageBreak/>
        <w:t xml:space="preserve">Recommendation 11: </w:t>
      </w:r>
      <w:r w:rsidR="00413742">
        <w:rPr>
          <w:b/>
          <w:color w:val="F26522" w:themeColor="accent1"/>
          <w:sz w:val="28"/>
          <w:szCs w:val="28"/>
        </w:rPr>
        <w:t>P</w:t>
      </w:r>
      <w:r w:rsidR="002E1807" w:rsidRPr="002E1807">
        <w:rPr>
          <w:b/>
          <w:color w:val="F26522" w:themeColor="accent1"/>
          <w:sz w:val="28"/>
          <w:szCs w:val="28"/>
        </w:rPr>
        <w:t>rogram five per cent of Australia’s Global Fund contribution for strengthened community responses to HIV in Asia and the Pacific</w:t>
      </w:r>
    </w:p>
    <w:p w14:paraId="36CA2741" w14:textId="38224BB4" w:rsidR="002E1807" w:rsidRPr="00503145" w:rsidRDefault="002E1807" w:rsidP="002E1807">
      <w:pPr>
        <w:pStyle w:val="Default"/>
        <w:rPr>
          <w:b/>
          <w:color w:val="F26522" w:themeColor="accent1"/>
          <w:sz w:val="20"/>
          <w:szCs w:val="28"/>
        </w:rPr>
      </w:pPr>
    </w:p>
    <w:p w14:paraId="07EABAD4" w14:textId="77777777" w:rsidR="00503145" w:rsidRDefault="00503145" w:rsidP="00503145">
      <w:pPr>
        <w:pStyle w:val="Heading2"/>
      </w:pPr>
      <w:r w:rsidRPr="00EC450D">
        <w:t>Issues</w:t>
      </w:r>
    </w:p>
    <w:p w14:paraId="16BEF922" w14:textId="6B749DFA" w:rsidR="00503145" w:rsidRDefault="00503145" w:rsidP="002E1807">
      <w:pPr>
        <w:pStyle w:val="Default"/>
        <w:rPr>
          <w:b/>
          <w:color w:val="F26522" w:themeColor="accent1"/>
          <w:sz w:val="20"/>
          <w:szCs w:val="28"/>
        </w:rPr>
      </w:pPr>
    </w:p>
    <w:p w14:paraId="69C52CA9" w14:textId="0BB0A9A6" w:rsidR="005D3F82" w:rsidRPr="00156147" w:rsidRDefault="005D3F82" w:rsidP="005D3F82">
      <w:pPr>
        <w:rPr>
          <w:rFonts w:asciiTheme="minorHAnsi" w:hAnsiTheme="minorHAnsi"/>
          <w:szCs w:val="22"/>
        </w:rPr>
      </w:pPr>
      <w:r w:rsidRPr="00156147">
        <w:rPr>
          <w:rFonts w:asciiTheme="minorHAnsi" w:hAnsiTheme="minorHAnsi"/>
          <w:szCs w:val="22"/>
        </w:rPr>
        <w:t xml:space="preserve">Economic changes in the region have brought challenges and opportunities to the </w:t>
      </w:r>
      <w:r w:rsidR="00EB51FF">
        <w:rPr>
          <w:rFonts w:asciiTheme="minorHAnsi" w:hAnsiTheme="minorHAnsi"/>
          <w:szCs w:val="22"/>
        </w:rPr>
        <w:t xml:space="preserve">HIV </w:t>
      </w:r>
      <w:r w:rsidRPr="00156147">
        <w:rPr>
          <w:rFonts w:asciiTheme="minorHAnsi" w:hAnsiTheme="minorHAnsi"/>
          <w:szCs w:val="22"/>
        </w:rPr>
        <w:t xml:space="preserve">response. </w:t>
      </w:r>
      <w:proofErr w:type="gramStart"/>
      <w:r w:rsidRPr="00156147">
        <w:rPr>
          <w:rFonts w:asciiTheme="minorHAnsi" w:hAnsiTheme="minorHAnsi"/>
          <w:szCs w:val="22"/>
        </w:rPr>
        <w:t>The majority of</w:t>
      </w:r>
      <w:proofErr w:type="gramEnd"/>
      <w:r w:rsidRPr="00156147">
        <w:rPr>
          <w:rFonts w:asciiTheme="minorHAnsi" w:hAnsiTheme="minorHAnsi"/>
          <w:szCs w:val="22"/>
        </w:rPr>
        <w:t xml:space="preserve"> multilateral institutions and bilateral funders determine where and how to allocate their development investments based on specific criteria laid out in an eligibility policy or set of political priorities. For almost all global health funders, one of the central metrics used is a country’s Gross National Income (GNI) per capita. While donors also consider other metrics such as disease burden in determining which countries are eligible for which forms of assistance, low GNI per capita is often the clearest and firmest eligibility criteria. </w:t>
      </w:r>
    </w:p>
    <w:p w14:paraId="4C4F4DF3" w14:textId="77777777" w:rsidR="005D3F82" w:rsidRPr="00156147" w:rsidRDefault="005D3F82" w:rsidP="005D3F82">
      <w:pPr>
        <w:rPr>
          <w:rFonts w:asciiTheme="minorHAnsi" w:hAnsiTheme="minorHAnsi"/>
          <w:szCs w:val="22"/>
        </w:rPr>
      </w:pPr>
    </w:p>
    <w:p w14:paraId="196E351A" w14:textId="401D9912" w:rsidR="005D3F82" w:rsidRPr="00156147" w:rsidRDefault="005D3F82" w:rsidP="005D3F82">
      <w:pPr>
        <w:rPr>
          <w:rFonts w:asciiTheme="minorHAnsi" w:hAnsiTheme="minorHAnsi"/>
          <w:szCs w:val="22"/>
        </w:rPr>
      </w:pPr>
      <w:r w:rsidRPr="00156147">
        <w:rPr>
          <w:rFonts w:asciiTheme="minorHAnsi" w:hAnsiTheme="minorHAnsi"/>
          <w:szCs w:val="22"/>
        </w:rPr>
        <w:t>As many low-income countries in the Asia Pacific</w:t>
      </w:r>
      <w:r>
        <w:rPr>
          <w:rFonts w:asciiTheme="minorHAnsi" w:hAnsiTheme="minorHAnsi"/>
          <w:szCs w:val="22"/>
        </w:rPr>
        <w:t xml:space="preserve"> region</w:t>
      </w:r>
      <w:r w:rsidRPr="00156147">
        <w:rPr>
          <w:rFonts w:asciiTheme="minorHAnsi" w:hAnsiTheme="minorHAnsi"/>
          <w:szCs w:val="22"/>
        </w:rPr>
        <w:t xml:space="preserve"> continue to experience rapid economic growth, they continue to cross donors’ eligibility thresholds, triggering “transition” or withdrawal of critical development financing. To sustain recent global health gains and </w:t>
      </w:r>
      <w:r w:rsidR="00C17BB6">
        <w:rPr>
          <w:rFonts w:asciiTheme="minorHAnsi" w:hAnsiTheme="minorHAnsi"/>
          <w:szCs w:val="22"/>
        </w:rPr>
        <w:t>ensure no one is left</w:t>
      </w:r>
      <w:r w:rsidRPr="00156147">
        <w:rPr>
          <w:rFonts w:asciiTheme="minorHAnsi" w:hAnsiTheme="minorHAnsi"/>
          <w:szCs w:val="22"/>
        </w:rPr>
        <w:t xml:space="preserve"> behind, the risks that transition or donor withdrawal presents must be actively managed.</w:t>
      </w:r>
    </w:p>
    <w:p w14:paraId="33F7E769" w14:textId="77777777" w:rsidR="005D3F82" w:rsidRPr="00156147" w:rsidRDefault="005D3F82" w:rsidP="005D3F82">
      <w:pPr>
        <w:rPr>
          <w:rFonts w:asciiTheme="minorHAnsi" w:hAnsiTheme="minorHAnsi"/>
          <w:szCs w:val="22"/>
        </w:rPr>
      </w:pPr>
    </w:p>
    <w:p w14:paraId="73DD7036" w14:textId="620991CB" w:rsidR="005D3F82" w:rsidRPr="005D3F82" w:rsidRDefault="006478DC" w:rsidP="005D3F82">
      <w:pPr>
        <w:rPr>
          <w:rFonts w:asciiTheme="minorHAnsi" w:hAnsiTheme="minorHAnsi"/>
          <w:szCs w:val="22"/>
        </w:rPr>
      </w:pPr>
      <w:r>
        <w:rPr>
          <w:rFonts w:asciiTheme="minorHAnsi" w:hAnsiTheme="minorHAnsi"/>
          <w:szCs w:val="22"/>
        </w:rPr>
        <w:t xml:space="preserve">In </w:t>
      </w:r>
      <w:r w:rsidR="005D3F82" w:rsidRPr="00156147">
        <w:rPr>
          <w:rFonts w:asciiTheme="minorHAnsi" w:hAnsiTheme="minorHAnsi"/>
          <w:szCs w:val="22"/>
        </w:rPr>
        <w:t xml:space="preserve">Asia </w:t>
      </w:r>
      <w:r w:rsidR="00EB51FF">
        <w:rPr>
          <w:rFonts w:asciiTheme="minorHAnsi" w:hAnsiTheme="minorHAnsi"/>
          <w:szCs w:val="22"/>
        </w:rPr>
        <w:t xml:space="preserve">and the </w:t>
      </w:r>
      <w:r w:rsidR="005D3F82" w:rsidRPr="00156147">
        <w:rPr>
          <w:rFonts w:asciiTheme="minorHAnsi" w:hAnsiTheme="minorHAnsi"/>
          <w:szCs w:val="22"/>
        </w:rPr>
        <w:t>Pacific</w:t>
      </w:r>
      <w:r>
        <w:rPr>
          <w:rFonts w:asciiTheme="minorHAnsi" w:hAnsiTheme="minorHAnsi"/>
          <w:szCs w:val="22"/>
        </w:rPr>
        <w:t>,</w:t>
      </w:r>
      <w:r w:rsidR="005D3F82" w:rsidRPr="00156147">
        <w:rPr>
          <w:rFonts w:asciiTheme="minorHAnsi" w:hAnsiTheme="minorHAnsi"/>
          <w:szCs w:val="22"/>
        </w:rPr>
        <w:t xml:space="preserve"> </w:t>
      </w:r>
      <w:r w:rsidR="00EB51FF">
        <w:rPr>
          <w:rFonts w:asciiTheme="minorHAnsi" w:hAnsiTheme="minorHAnsi"/>
          <w:szCs w:val="22"/>
        </w:rPr>
        <w:t xml:space="preserve">many </w:t>
      </w:r>
      <w:r w:rsidR="005D3F82" w:rsidRPr="00156147">
        <w:rPr>
          <w:rFonts w:asciiTheme="minorHAnsi" w:hAnsiTheme="minorHAnsi"/>
          <w:szCs w:val="22"/>
        </w:rPr>
        <w:t>countries</w:t>
      </w:r>
      <w:r>
        <w:rPr>
          <w:rFonts w:asciiTheme="minorHAnsi" w:hAnsiTheme="minorHAnsi"/>
          <w:szCs w:val="22"/>
        </w:rPr>
        <w:t xml:space="preserve"> </w:t>
      </w:r>
      <w:r w:rsidR="00EB51FF">
        <w:rPr>
          <w:rFonts w:asciiTheme="minorHAnsi" w:hAnsiTheme="minorHAnsi"/>
          <w:szCs w:val="22"/>
        </w:rPr>
        <w:t>will</w:t>
      </w:r>
      <w:r w:rsidR="005D3F82" w:rsidRPr="00156147">
        <w:rPr>
          <w:rFonts w:asciiTheme="minorHAnsi" w:hAnsiTheme="minorHAnsi"/>
          <w:szCs w:val="22"/>
        </w:rPr>
        <w:t xml:space="preserve"> transition from multiple donors with the next five years</w:t>
      </w:r>
      <w:r w:rsidR="00EB51FF">
        <w:rPr>
          <w:rFonts w:asciiTheme="minorHAnsi" w:hAnsiTheme="minorHAnsi"/>
          <w:szCs w:val="22"/>
        </w:rPr>
        <w:t>. These countries</w:t>
      </w:r>
      <w:r w:rsidR="005D3F82" w:rsidRPr="00156147">
        <w:rPr>
          <w:rFonts w:asciiTheme="minorHAnsi" w:hAnsiTheme="minorHAnsi"/>
          <w:szCs w:val="22"/>
        </w:rPr>
        <w:t xml:space="preserve"> includ</w:t>
      </w:r>
      <w:r w:rsidR="00EB51FF">
        <w:rPr>
          <w:rFonts w:asciiTheme="minorHAnsi" w:hAnsiTheme="minorHAnsi"/>
          <w:szCs w:val="22"/>
        </w:rPr>
        <w:t>e</w:t>
      </w:r>
      <w:r w:rsidR="005D3F82" w:rsidRPr="00156147">
        <w:rPr>
          <w:rFonts w:asciiTheme="minorHAnsi" w:hAnsiTheme="minorHAnsi"/>
          <w:szCs w:val="22"/>
        </w:rPr>
        <w:t xml:space="preserve"> Indonesia, Laos, Myanmar, Papua New Guinea, Timor </w:t>
      </w:r>
      <w:proofErr w:type="spellStart"/>
      <w:r w:rsidR="005D3F82" w:rsidRPr="00156147">
        <w:rPr>
          <w:rFonts w:asciiTheme="minorHAnsi" w:hAnsiTheme="minorHAnsi"/>
          <w:szCs w:val="22"/>
        </w:rPr>
        <w:t>Leste</w:t>
      </w:r>
      <w:proofErr w:type="spellEnd"/>
      <w:r w:rsidR="005D3F82" w:rsidRPr="00156147">
        <w:rPr>
          <w:rFonts w:asciiTheme="minorHAnsi" w:hAnsiTheme="minorHAnsi"/>
          <w:szCs w:val="22"/>
        </w:rPr>
        <w:t xml:space="preserve"> and Vietnam. Many of these countries are also experiencing an increase in privatisation or health insurance coverage which covers part of</w:t>
      </w:r>
      <w:r>
        <w:rPr>
          <w:rFonts w:asciiTheme="minorHAnsi" w:hAnsiTheme="minorHAnsi"/>
          <w:szCs w:val="22"/>
        </w:rPr>
        <w:t xml:space="preserve"> the</w:t>
      </w:r>
      <w:r w:rsidR="005D3F82" w:rsidRPr="00156147">
        <w:rPr>
          <w:rFonts w:asciiTheme="minorHAnsi" w:hAnsiTheme="minorHAnsi"/>
          <w:szCs w:val="22"/>
        </w:rPr>
        <w:t xml:space="preserve"> cost of treatment </w:t>
      </w:r>
      <w:r w:rsidR="00EB51FF">
        <w:rPr>
          <w:rFonts w:asciiTheme="minorHAnsi" w:hAnsiTheme="minorHAnsi"/>
          <w:szCs w:val="22"/>
        </w:rPr>
        <w:t>and does not cover</w:t>
      </w:r>
      <w:r w:rsidR="005D3F82" w:rsidRPr="00156147">
        <w:rPr>
          <w:rFonts w:asciiTheme="minorHAnsi" w:hAnsiTheme="minorHAnsi"/>
          <w:szCs w:val="22"/>
        </w:rPr>
        <w:t xml:space="preserve"> preventi</w:t>
      </w:r>
      <w:r w:rsidR="00EB51FF">
        <w:rPr>
          <w:rFonts w:asciiTheme="minorHAnsi" w:hAnsiTheme="minorHAnsi"/>
          <w:szCs w:val="22"/>
        </w:rPr>
        <w:t>on</w:t>
      </w:r>
      <w:r w:rsidR="005D3F82" w:rsidRPr="00156147">
        <w:rPr>
          <w:rFonts w:asciiTheme="minorHAnsi" w:hAnsiTheme="minorHAnsi"/>
          <w:szCs w:val="22"/>
        </w:rPr>
        <w:t xml:space="preserve"> measures. The departure of donors means that countries need to ensure expenditure on prevention is maintained or increased. </w:t>
      </w:r>
    </w:p>
    <w:p w14:paraId="14B338BC" w14:textId="77777777" w:rsidR="005D3F82" w:rsidRPr="00503145" w:rsidRDefault="005D3F82" w:rsidP="002E1807">
      <w:pPr>
        <w:pStyle w:val="Default"/>
        <w:rPr>
          <w:b/>
          <w:color w:val="F26522" w:themeColor="accent1"/>
          <w:sz w:val="20"/>
          <w:szCs w:val="28"/>
        </w:rPr>
      </w:pPr>
    </w:p>
    <w:p w14:paraId="0A429DDC" w14:textId="5CF18C37" w:rsidR="00503145" w:rsidRDefault="00503145" w:rsidP="00503145">
      <w:pPr>
        <w:pStyle w:val="Heading2"/>
      </w:pPr>
      <w:r w:rsidRPr="00343278">
        <w:t xml:space="preserve">The solution </w:t>
      </w:r>
    </w:p>
    <w:p w14:paraId="399D08CD" w14:textId="14EA17A5" w:rsidR="005D3F82" w:rsidRDefault="005D3F82" w:rsidP="005D3F82"/>
    <w:p w14:paraId="7399D560" w14:textId="14A3B644" w:rsidR="006478DC" w:rsidRDefault="006478DC" w:rsidP="005D3F82">
      <w:r>
        <w:rPr>
          <w:color w:val="auto"/>
          <w:szCs w:val="22"/>
        </w:rPr>
        <w:t xml:space="preserve">The Australian Government leverage Australia’s track record of civil society and government partnership by programming </w:t>
      </w:r>
      <w:r w:rsidRPr="00565099">
        <w:rPr>
          <w:b/>
          <w:color w:val="auto"/>
          <w:szCs w:val="22"/>
        </w:rPr>
        <w:t>five per cent</w:t>
      </w:r>
      <w:r>
        <w:rPr>
          <w:b/>
          <w:color w:val="auto"/>
          <w:szCs w:val="22"/>
        </w:rPr>
        <w:t xml:space="preserve"> ($12.5 million)</w:t>
      </w:r>
      <w:r>
        <w:rPr>
          <w:color w:val="auto"/>
          <w:szCs w:val="22"/>
        </w:rPr>
        <w:t xml:space="preserve"> of Australia’s Global Fund contribution for strengthened community responses to HIV in Asia and the Pacific. Proposed </w:t>
      </w:r>
      <w:r w:rsidR="00E449A2">
        <w:rPr>
          <w:color w:val="auto"/>
          <w:szCs w:val="22"/>
        </w:rPr>
        <w:t>activities</w:t>
      </w:r>
      <w:r>
        <w:rPr>
          <w:color w:val="auto"/>
          <w:szCs w:val="22"/>
        </w:rPr>
        <w:t>:</w:t>
      </w:r>
    </w:p>
    <w:p w14:paraId="46F4770C" w14:textId="77777777" w:rsidR="006478DC" w:rsidRDefault="006478DC" w:rsidP="005D3F82"/>
    <w:p w14:paraId="7E47C779" w14:textId="3699F410" w:rsidR="005D3F82" w:rsidRPr="005D3F82" w:rsidRDefault="005D3F82" w:rsidP="005D3F82">
      <w:pPr>
        <w:pStyle w:val="ListBullet"/>
      </w:pPr>
      <w:r>
        <w:t>d</w:t>
      </w:r>
      <w:r w:rsidRPr="005D3F82">
        <w:t>evelop a Blueprint for the Asia Pacific region that clearly describes</w:t>
      </w:r>
      <w:r w:rsidRPr="005D3F82">
        <w:rPr>
          <w:shd w:val="clear" w:color="auto" w:fill="FFFFFF"/>
        </w:rPr>
        <w:t xml:space="preserve"> the additional effort and investment required to resource community organisations, research institutes and the community and clinical workforce to end HIV transmission in priority countries</w:t>
      </w:r>
    </w:p>
    <w:p w14:paraId="22BC6A77" w14:textId="1C3A2C8E" w:rsidR="005D3F82" w:rsidRPr="005D3F82" w:rsidRDefault="005D3F82" w:rsidP="005D3F82">
      <w:pPr>
        <w:pStyle w:val="ListBullet"/>
      </w:pPr>
      <w:r>
        <w:t>i</w:t>
      </w:r>
      <w:r w:rsidRPr="005D3F82">
        <w:t>ncrease capacity of regional and national HIV CSOs to analyse policies, articulate key issues and influence decision makers</w:t>
      </w:r>
    </w:p>
    <w:p w14:paraId="314D144C" w14:textId="567637DB" w:rsidR="005D3F82" w:rsidRPr="005D3F82" w:rsidRDefault="005D3F82" w:rsidP="005D3F82">
      <w:pPr>
        <w:pStyle w:val="ListBullet"/>
      </w:pPr>
      <w:r>
        <w:t>s</w:t>
      </w:r>
      <w:r w:rsidRPr="005D3F82">
        <w:t>trengthen community</w:t>
      </w:r>
      <w:r w:rsidR="006478DC">
        <w:t>-</w:t>
      </w:r>
      <w:r w:rsidRPr="005D3F82">
        <w:t>led platform</w:t>
      </w:r>
      <w:r w:rsidR="006478DC">
        <w:t>s</w:t>
      </w:r>
      <w:r w:rsidRPr="005D3F82">
        <w:t xml:space="preserve"> at regional and national level and </w:t>
      </w:r>
      <w:r w:rsidR="00EB51FF">
        <w:t xml:space="preserve">the </w:t>
      </w:r>
      <w:r w:rsidRPr="005D3F82">
        <w:t>links between community and decision makers</w:t>
      </w:r>
    </w:p>
    <w:p w14:paraId="751082DE" w14:textId="658E9A9E" w:rsidR="005D3F82" w:rsidRPr="005D3F82" w:rsidRDefault="005D3F82" w:rsidP="005D3F82">
      <w:pPr>
        <w:pStyle w:val="ListBullet"/>
      </w:pPr>
      <w:r>
        <w:t>c</w:t>
      </w:r>
      <w:r w:rsidRPr="005D3F82">
        <w:t xml:space="preserve">ompilation and sharing of lessons learned from countries transitioning from donor financed programs </w:t>
      </w:r>
    </w:p>
    <w:p w14:paraId="728D60C0" w14:textId="282E5CE2" w:rsidR="006478DC" w:rsidRPr="009E288A" w:rsidRDefault="005D3F82" w:rsidP="006478DC">
      <w:pPr>
        <w:pStyle w:val="ListBullet"/>
      </w:pPr>
      <w:r>
        <w:t>t</w:t>
      </w:r>
      <w:r w:rsidRPr="009E288A">
        <w:t>o develop the capacity of the most affected communities and their peer-based organisations to actively participate in national and regional responses to HIV</w:t>
      </w:r>
      <w:r w:rsidR="006478DC">
        <w:t>.</w:t>
      </w:r>
    </w:p>
    <w:p w14:paraId="2A0483D7" w14:textId="77777777" w:rsidR="00503145" w:rsidRPr="00503145" w:rsidRDefault="00503145" w:rsidP="002E1807">
      <w:pPr>
        <w:pStyle w:val="Default"/>
        <w:rPr>
          <w:b/>
          <w:color w:val="F26522" w:themeColor="accent1"/>
          <w:sz w:val="20"/>
          <w:szCs w:val="28"/>
        </w:rPr>
      </w:pPr>
    </w:p>
    <w:p w14:paraId="33B9D19B" w14:textId="77777777" w:rsidR="00503145" w:rsidRPr="00343278" w:rsidRDefault="00503145" w:rsidP="00503145">
      <w:pPr>
        <w:pStyle w:val="Heading2"/>
      </w:pPr>
      <w:r w:rsidRPr="00343278">
        <w:t xml:space="preserve">Impact of investment </w:t>
      </w:r>
    </w:p>
    <w:p w14:paraId="30C5EA49" w14:textId="15AE18C7" w:rsidR="00503145" w:rsidRPr="006478DC" w:rsidRDefault="00503145" w:rsidP="002E1807">
      <w:pPr>
        <w:pStyle w:val="Default"/>
        <w:rPr>
          <w:b/>
          <w:color w:val="F26522" w:themeColor="accent1"/>
          <w:sz w:val="20"/>
          <w:szCs w:val="28"/>
        </w:rPr>
      </w:pPr>
    </w:p>
    <w:p w14:paraId="46FF9572" w14:textId="77777777" w:rsidR="006478DC" w:rsidRDefault="006478DC" w:rsidP="006478DC">
      <w:pPr>
        <w:pStyle w:val="ListBullet"/>
      </w:pPr>
      <w:r w:rsidRPr="00156147">
        <w:t>ensur</w:t>
      </w:r>
      <w:r>
        <w:t>es</w:t>
      </w:r>
      <w:r w:rsidRPr="00156147">
        <w:t xml:space="preserve"> key populations are represented in the development of policy and programs</w:t>
      </w:r>
    </w:p>
    <w:p w14:paraId="56151EA3" w14:textId="77777777" w:rsidR="006478DC" w:rsidRDefault="006478DC" w:rsidP="006478DC">
      <w:pPr>
        <w:pStyle w:val="ListBullet"/>
      </w:pPr>
      <w:r w:rsidRPr="00156147">
        <w:t>the allocation of resources to prevention and treatment</w:t>
      </w:r>
    </w:p>
    <w:p w14:paraId="015E1FE3" w14:textId="152874D9" w:rsidR="006478DC" w:rsidRPr="006478DC" w:rsidRDefault="006478DC" w:rsidP="002E1807">
      <w:pPr>
        <w:pStyle w:val="ListBullet"/>
      </w:pPr>
      <w:r w:rsidRPr="00156147">
        <w:t>implement</w:t>
      </w:r>
      <w:r>
        <w:t>ation of</w:t>
      </w:r>
      <w:r w:rsidRPr="00156147">
        <w:t xml:space="preserve"> programs that directly address prevention, testing, access to treatment, and stigma and discrimination</w:t>
      </w:r>
      <w:r>
        <w:t>.</w:t>
      </w:r>
    </w:p>
    <w:p w14:paraId="190BD906" w14:textId="77777777" w:rsidR="006478DC" w:rsidRDefault="006478DC" w:rsidP="002E1807">
      <w:pPr>
        <w:pStyle w:val="Default"/>
        <w:rPr>
          <w:rFonts w:asciiTheme="minorHAnsi" w:hAnsiTheme="minorHAnsi"/>
          <w:sz w:val="20"/>
          <w:szCs w:val="22"/>
        </w:rPr>
      </w:pPr>
    </w:p>
    <w:p w14:paraId="52F9597E" w14:textId="623475DA" w:rsidR="00C17BB6" w:rsidRDefault="006478DC" w:rsidP="002E1807">
      <w:pPr>
        <w:pStyle w:val="Default"/>
        <w:rPr>
          <w:rFonts w:asciiTheme="minorHAnsi" w:hAnsiTheme="minorHAnsi"/>
          <w:sz w:val="20"/>
          <w:szCs w:val="22"/>
        </w:rPr>
      </w:pPr>
      <w:r w:rsidRPr="006478DC">
        <w:rPr>
          <w:rFonts w:asciiTheme="minorHAnsi" w:hAnsiTheme="minorHAnsi"/>
          <w:sz w:val="20"/>
          <w:szCs w:val="22"/>
        </w:rPr>
        <w:t>Community organisations and key population networks have a critical role in shaping the regional and national responses to HIV. CSOs will benefit from tailored capacity building work that addresses a range of both technical and programmatic issues, including investment efficiency, social contracting, domestic policy advocacy, and next generation prevention.</w:t>
      </w:r>
    </w:p>
    <w:p w14:paraId="0450ADC7" w14:textId="5DDAADF2" w:rsidR="002E1807" w:rsidRPr="00C17BB6" w:rsidRDefault="00C17BB6" w:rsidP="00C17BB6">
      <w:pPr>
        <w:adjustRightInd/>
        <w:snapToGrid/>
        <w:rPr>
          <w:rFonts w:asciiTheme="minorHAnsi" w:eastAsia="SimSun" w:hAnsiTheme="minorHAnsi" w:cs="Calibri"/>
          <w:snapToGrid/>
          <w:color w:val="000000"/>
          <w:szCs w:val="22"/>
          <w:lang w:eastAsia="en-GB"/>
        </w:rPr>
      </w:pPr>
      <w:r>
        <w:rPr>
          <w:rFonts w:asciiTheme="minorHAnsi" w:hAnsiTheme="minorHAnsi"/>
          <w:szCs w:val="22"/>
        </w:rPr>
        <w:br w:type="page"/>
      </w:r>
      <w:r w:rsidR="002E1807" w:rsidRPr="002E1807">
        <w:rPr>
          <w:b/>
          <w:color w:val="F26522" w:themeColor="accent1"/>
          <w:sz w:val="28"/>
          <w:szCs w:val="28"/>
        </w:rPr>
        <w:lastRenderedPageBreak/>
        <w:t xml:space="preserve">Recommendation 12: </w:t>
      </w:r>
      <w:r w:rsidR="002E1807">
        <w:rPr>
          <w:b/>
          <w:color w:val="F26522" w:themeColor="accent1"/>
          <w:sz w:val="28"/>
          <w:szCs w:val="28"/>
        </w:rPr>
        <w:t>C</w:t>
      </w:r>
      <w:r w:rsidR="002E1807" w:rsidRPr="002E1807">
        <w:rPr>
          <w:b/>
          <w:color w:val="F26522" w:themeColor="accent1"/>
          <w:sz w:val="28"/>
          <w:szCs w:val="28"/>
        </w:rPr>
        <w:t>ommit Australia to playing a leading role in the 2021 United Nations General Assembly’s High-Level Meeting on HIV and AIDS</w:t>
      </w:r>
    </w:p>
    <w:p w14:paraId="28736F7B" w14:textId="530E1940" w:rsidR="000D346B" w:rsidRDefault="000D346B" w:rsidP="000D346B">
      <w:pPr>
        <w:pStyle w:val="ListBullet"/>
        <w:numPr>
          <w:ilvl w:val="0"/>
          <w:numId w:val="0"/>
        </w:numPr>
      </w:pPr>
    </w:p>
    <w:p w14:paraId="0FCB4C44" w14:textId="77777777" w:rsidR="00503145" w:rsidRDefault="00503145" w:rsidP="00503145">
      <w:pPr>
        <w:pStyle w:val="Heading2"/>
      </w:pPr>
      <w:r w:rsidRPr="00EC450D">
        <w:t>Issues</w:t>
      </w:r>
    </w:p>
    <w:p w14:paraId="5EEB9BF7" w14:textId="4C1753D7" w:rsidR="00503145" w:rsidRDefault="00503145" w:rsidP="000D346B">
      <w:pPr>
        <w:pStyle w:val="ListBullet"/>
        <w:numPr>
          <w:ilvl w:val="0"/>
          <w:numId w:val="0"/>
        </w:numPr>
      </w:pPr>
    </w:p>
    <w:p w14:paraId="3F072931" w14:textId="1DE683AB" w:rsidR="00453C42" w:rsidRPr="007F33CC" w:rsidRDefault="00453C42" w:rsidP="00453C42">
      <w:pPr>
        <w:shd w:val="clear" w:color="auto" w:fill="FFFFFF"/>
        <w:adjustRightInd/>
        <w:snapToGrid/>
        <w:spacing w:after="158"/>
        <w:rPr>
          <w:rFonts w:asciiTheme="minorHAnsi" w:eastAsia="Times New Roman" w:hAnsiTheme="minorHAnsi"/>
          <w:snapToGrid/>
          <w:color w:val="000000" w:themeColor="text1"/>
          <w:szCs w:val="23"/>
          <w:lang w:eastAsia="en-AU"/>
        </w:rPr>
      </w:pPr>
      <w:r w:rsidRPr="007F33CC">
        <w:rPr>
          <w:rFonts w:asciiTheme="minorHAnsi" w:eastAsia="Times New Roman" w:hAnsiTheme="minorHAnsi"/>
          <w:snapToGrid/>
          <w:color w:val="000000" w:themeColor="text1"/>
          <w:szCs w:val="23"/>
          <w:lang w:eastAsia="en-AU"/>
        </w:rPr>
        <w:t>The 2016 High-Level Meeting on Ending AIDS focus</w:t>
      </w:r>
      <w:r w:rsidR="00E36881" w:rsidRPr="007F33CC">
        <w:rPr>
          <w:rFonts w:asciiTheme="minorHAnsi" w:eastAsia="Times New Roman" w:hAnsiTheme="minorHAnsi"/>
          <w:snapToGrid/>
          <w:color w:val="000000" w:themeColor="text1"/>
          <w:szCs w:val="23"/>
          <w:lang w:eastAsia="en-AU"/>
        </w:rPr>
        <w:t>sed</w:t>
      </w:r>
      <w:r w:rsidRPr="007F33CC">
        <w:rPr>
          <w:rFonts w:asciiTheme="minorHAnsi" w:eastAsia="Times New Roman" w:hAnsiTheme="minorHAnsi"/>
          <w:snapToGrid/>
          <w:color w:val="000000" w:themeColor="text1"/>
          <w:szCs w:val="23"/>
          <w:lang w:eastAsia="en-AU"/>
        </w:rPr>
        <w:t xml:space="preserve"> the world’s attention on the importance of a Fast-Track approach to the AIDS response over the </w:t>
      </w:r>
      <w:r w:rsidR="00E36881" w:rsidRPr="007F33CC">
        <w:rPr>
          <w:rFonts w:asciiTheme="minorHAnsi" w:eastAsia="Times New Roman" w:hAnsiTheme="minorHAnsi"/>
          <w:snapToGrid/>
          <w:color w:val="000000" w:themeColor="text1"/>
          <w:szCs w:val="23"/>
          <w:lang w:eastAsia="en-AU"/>
        </w:rPr>
        <w:t>following</w:t>
      </w:r>
      <w:r w:rsidRPr="007F33CC">
        <w:rPr>
          <w:rFonts w:asciiTheme="minorHAnsi" w:eastAsia="Times New Roman" w:hAnsiTheme="minorHAnsi"/>
          <w:snapToGrid/>
          <w:color w:val="000000" w:themeColor="text1"/>
          <w:szCs w:val="23"/>
          <w:lang w:eastAsia="en-AU"/>
        </w:rPr>
        <w:t xml:space="preserve"> five years. The UNAIDS Fast-Track approach aim</w:t>
      </w:r>
      <w:r w:rsidR="00E36881" w:rsidRPr="007F33CC">
        <w:rPr>
          <w:rFonts w:asciiTheme="minorHAnsi" w:eastAsia="Times New Roman" w:hAnsiTheme="minorHAnsi"/>
          <w:snapToGrid/>
          <w:color w:val="000000" w:themeColor="text1"/>
          <w:szCs w:val="23"/>
          <w:lang w:eastAsia="en-AU"/>
        </w:rPr>
        <w:t>ed</w:t>
      </w:r>
      <w:r w:rsidRPr="007F33CC">
        <w:rPr>
          <w:rFonts w:asciiTheme="minorHAnsi" w:eastAsia="Times New Roman" w:hAnsiTheme="minorHAnsi"/>
          <w:snapToGrid/>
          <w:color w:val="000000" w:themeColor="text1"/>
          <w:szCs w:val="23"/>
          <w:lang w:eastAsia="en-AU"/>
        </w:rPr>
        <w:t xml:space="preserve"> to achieve ambitious targets by 2020, including:</w:t>
      </w:r>
    </w:p>
    <w:p w14:paraId="620E52FA" w14:textId="47625ABF" w:rsidR="00E36881" w:rsidRPr="007F33CC" w:rsidRDefault="00E36881" w:rsidP="00E36881">
      <w:pPr>
        <w:pStyle w:val="ListBullet"/>
        <w:rPr>
          <w:snapToGrid/>
          <w:color w:val="000000" w:themeColor="text1"/>
          <w:lang w:eastAsia="en-AU"/>
        </w:rPr>
      </w:pPr>
      <w:r w:rsidRPr="007F33CC">
        <w:rPr>
          <w:snapToGrid/>
          <w:color w:val="000000" w:themeColor="text1"/>
          <w:lang w:eastAsia="en-AU"/>
        </w:rPr>
        <w:t>f</w:t>
      </w:r>
      <w:r w:rsidR="00453C42" w:rsidRPr="007F33CC">
        <w:rPr>
          <w:snapToGrid/>
          <w:color w:val="000000" w:themeColor="text1"/>
          <w:lang w:eastAsia="en-AU"/>
        </w:rPr>
        <w:t>ewer than 500 000 people newly infected with HIV</w:t>
      </w:r>
    </w:p>
    <w:p w14:paraId="3A6E83C2" w14:textId="77777777" w:rsidR="00E36881" w:rsidRPr="007F33CC" w:rsidRDefault="00E36881" w:rsidP="00E36881">
      <w:pPr>
        <w:pStyle w:val="ListBullet"/>
        <w:rPr>
          <w:snapToGrid/>
          <w:color w:val="000000" w:themeColor="text1"/>
          <w:lang w:eastAsia="en-AU"/>
        </w:rPr>
      </w:pPr>
      <w:r w:rsidRPr="007F33CC">
        <w:rPr>
          <w:rFonts w:asciiTheme="minorHAnsi" w:eastAsia="Times New Roman" w:hAnsiTheme="minorHAnsi" w:cs="Helvetica"/>
          <w:snapToGrid/>
          <w:color w:val="000000" w:themeColor="text1"/>
          <w:szCs w:val="23"/>
          <w:lang w:eastAsia="en-AU"/>
        </w:rPr>
        <w:t>f</w:t>
      </w:r>
      <w:r w:rsidR="00453C42" w:rsidRPr="007F33CC">
        <w:rPr>
          <w:rFonts w:asciiTheme="minorHAnsi" w:eastAsia="Times New Roman" w:hAnsiTheme="minorHAnsi" w:cs="Helvetica"/>
          <w:snapToGrid/>
          <w:color w:val="000000" w:themeColor="text1"/>
          <w:szCs w:val="23"/>
          <w:lang w:eastAsia="en-AU"/>
        </w:rPr>
        <w:t>ewer than 500 000 people dying from AIDS-related causes</w:t>
      </w:r>
    </w:p>
    <w:p w14:paraId="144E655B" w14:textId="022B5E65" w:rsidR="00453C42" w:rsidRPr="007F33CC" w:rsidRDefault="00E36881" w:rsidP="00E36881">
      <w:pPr>
        <w:pStyle w:val="ListBullet"/>
        <w:rPr>
          <w:snapToGrid/>
          <w:color w:val="000000" w:themeColor="text1"/>
          <w:lang w:eastAsia="en-AU"/>
        </w:rPr>
      </w:pPr>
      <w:r w:rsidRPr="007F33CC">
        <w:rPr>
          <w:rFonts w:asciiTheme="minorHAnsi" w:eastAsia="Times New Roman" w:hAnsiTheme="minorHAnsi" w:cs="Helvetica"/>
          <w:snapToGrid/>
          <w:color w:val="000000" w:themeColor="text1"/>
          <w:szCs w:val="23"/>
          <w:lang w:eastAsia="en-AU"/>
        </w:rPr>
        <w:t>e</w:t>
      </w:r>
      <w:r w:rsidR="00453C42" w:rsidRPr="007F33CC">
        <w:rPr>
          <w:rFonts w:asciiTheme="minorHAnsi" w:eastAsia="Times New Roman" w:hAnsiTheme="minorHAnsi" w:cs="Helvetica"/>
          <w:snapToGrid/>
          <w:color w:val="000000" w:themeColor="text1"/>
          <w:szCs w:val="23"/>
          <w:lang w:eastAsia="en-AU"/>
        </w:rPr>
        <w:t>limination of HIV-related discrimination.</w:t>
      </w:r>
    </w:p>
    <w:p w14:paraId="54D0EE14" w14:textId="77777777" w:rsidR="00E36881" w:rsidRPr="007F33CC" w:rsidRDefault="00E36881" w:rsidP="00E36881">
      <w:pPr>
        <w:pStyle w:val="ListBullet"/>
        <w:numPr>
          <w:ilvl w:val="0"/>
          <w:numId w:val="0"/>
        </w:numPr>
        <w:rPr>
          <w:snapToGrid/>
          <w:color w:val="000000" w:themeColor="text1"/>
          <w:lang w:eastAsia="en-AU"/>
        </w:rPr>
      </w:pPr>
    </w:p>
    <w:p w14:paraId="684ECB92" w14:textId="2100A1B7" w:rsidR="00E36881" w:rsidRPr="007F33CC" w:rsidRDefault="00E36881" w:rsidP="00453C42">
      <w:pPr>
        <w:shd w:val="clear" w:color="auto" w:fill="FFFFFF"/>
        <w:adjustRightInd/>
        <w:snapToGrid/>
        <w:rPr>
          <w:rFonts w:asciiTheme="minorHAnsi" w:eastAsia="Times New Roman" w:hAnsiTheme="minorHAnsi"/>
          <w:snapToGrid/>
          <w:color w:val="000000" w:themeColor="text1"/>
          <w:szCs w:val="23"/>
          <w:lang w:eastAsia="en-AU"/>
        </w:rPr>
      </w:pPr>
      <w:r w:rsidRPr="007F33CC">
        <w:rPr>
          <w:rFonts w:asciiTheme="minorHAnsi" w:eastAsia="Times New Roman" w:hAnsiTheme="minorHAnsi"/>
          <w:snapToGrid/>
          <w:color w:val="000000" w:themeColor="text1"/>
          <w:szCs w:val="23"/>
          <w:lang w:eastAsia="en-AU"/>
        </w:rPr>
        <w:t xml:space="preserve">It was out of this High-Level Meeting on Ending AIDS that a </w:t>
      </w:r>
      <w:r w:rsidRPr="007F33CC">
        <w:rPr>
          <w:rFonts w:asciiTheme="minorHAnsi" w:hAnsiTheme="minorHAnsi" w:cs="Arial"/>
          <w:color w:val="000000" w:themeColor="text1"/>
          <w:shd w:val="clear" w:color="auto" w:fill="FFFFFF"/>
        </w:rPr>
        <w:t>new and actionable Political Declaration</w:t>
      </w:r>
      <w:r w:rsidR="007F33CC">
        <w:rPr>
          <w:rFonts w:asciiTheme="minorHAnsi" w:hAnsiTheme="minorHAnsi" w:cs="Arial"/>
          <w:color w:val="000000" w:themeColor="text1"/>
          <w:shd w:val="clear" w:color="auto" w:fill="FFFFFF"/>
        </w:rPr>
        <w:t xml:space="preserve"> was endorsed</w:t>
      </w:r>
      <w:r w:rsidRPr="007F33CC">
        <w:rPr>
          <w:rFonts w:asciiTheme="minorHAnsi" w:hAnsiTheme="minorHAnsi" w:cs="Arial"/>
          <w:color w:val="000000" w:themeColor="text1"/>
          <w:shd w:val="clear" w:color="auto" w:fill="FFFFFF"/>
        </w:rPr>
        <w:t>. This Political Declaration includes a set of specific, time-bound targets and actions that must be achieved by 2020 if the world is to get on the Fast-Track and end the AIDS epidemic by 2030 within the framework of the Sustainable Development Goals (SDGs).</w:t>
      </w:r>
    </w:p>
    <w:p w14:paraId="2A1DE51F" w14:textId="77777777" w:rsidR="00E36881" w:rsidRPr="007F33CC" w:rsidRDefault="00E36881" w:rsidP="00453C42">
      <w:pPr>
        <w:shd w:val="clear" w:color="auto" w:fill="FFFFFF"/>
        <w:adjustRightInd/>
        <w:snapToGrid/>
        <w:rPr>
          <w:rFonts w:asciiTheme="minorHAnsi" w:eastAsia="Times New Roman" w:hAnsiTheme="minorHAnsi"/>
          <w:snapToGrid/>
          <w:color w:val="000000" w:themeColor="text1"/>
          <w:szCs w:val="23"/>
          <w:lang w:eastAsia="en-AU"/>
        </w:rPr>
      </w:pPr>
    </w:p>
    <w:p w14:paraId="35F842FC" w14:textId="51B01D0C" w:rsidR="006478DC" w:rsidRPr="007F33CC" w:rsidRDefault="00453C42" w:rsidP="00453C42">
      <w:pPr>
        <w:shd w:val="clear" w:color="auto" w:fill="FFFFFF"/>
        <w:adjustRightInd/>
        <w:snapToGrid/>
        <w:rPr>
          <w:rFonts w:asciiTheme="minorHAnsi" w:eastAsia="Times New Roman" w:hAnsiTheme="minorHAnsi"/>
          <w:snapToGrid/>
          <w:color w:val="000000" w:themeColor="text1"/>
          <w:szCs w:val="23"/>
          <w:lang w:eastAsia="en-AU"/>
        </w:rPr>
      </w:pPr>
      <w:r w:rsidRPr="007F33CC">
        <w:rPr>
          <w:rFonts w:asciiTheme="minorHAnsi" w:eastAsia="Times New Roman" w:hAnsiTheme="minorHAnsi"/>
          <w:snapToGrid/>
          <w:color w:val="000000" w:themeColor="text1"/>
          <w:szCs w:val="23"/>
          <w:lang w:eastAsia="en-AU"/>
        </w:rPr>
        <w:t>Ensuring the success of the SD</w:t>
      </w:r>
      <w:r w:rsidR="00E36881" w:rsidRPr="007F33CC">
        <w:rPr>
          <w:rFonts w:asciiTheme="minorHAnsi" w:eastAsia="Times New Roman" w:hAnsiTheme="minorHAnsi"/>
          <w:snapToGrid/>
          <w:color w:val="000000" w:themeColor="text1"/>
          <w:szCs w:val="23"/>
          <w:lang w:eastAsia="en-AU"/>
        </w:rPr>
        <w:t>G</w:t>
      </w:r>
      <w:r w:rsidRPr="007F33CC">
        <w:rPr>
          <w:rFonts w:asciiTheme="minorHAnsi" w:eastAsia="Times New Roman" w:hAnsiTheme="minorHAnsi"/>
          <w:snapToGrid/>
          <w:color w:val="000000" w:themeColor="text1"/>
          <w:szCs w:val="23"/>
          <w:lang w:eastAsia="en-AU"/>
        </w:rPr>
        <w:t>s, including ending the AIDS epidemic, will require global solidarity and partnership, especially in times of diverse and demanding global challenges. Focus must remain strong and commitment to leaving no one behind and building a more sustainable world by 2030 must continue to be unwavering.</w:t>
      </w:r>
    </w:p>
    <w:p w14:paraId="672D5A3A" w14:textId="77777777" w:rsidR="006478DC" w:rsidRDefault="006478DC" w:rsidP="000D346B">
      <w:pPr>
        <w:pStyle w:val="ListBullet"/>
        <w:numPr>
          <w:ilvl w:val="0"/>
          <w:numId w:val="0"/>
        </w:numPr>
      </w:pPr>
    </w:p>
    <w:p w14:paraId="4CCF3A51" w14:textId="77777777" w:rsidR="00503145" w:rsidRPr="00343278" w:rsidRDefault="00503145" w:rsidP="00503145">
      <w:pPr>
        <w:pStyle w:val="Heading2"/>
      </w:pPr>
      <w:r w:rsidRPr="00343278">
        <w:t xml:space="preserve">The solution </w:t>
      </w:r>
    </w:p>
    <w:p w14:paraId="20BEA511" w14:textId="51EB637F" w:rsidR="00503145" w:rsidRDefault="00503145" w:rsidP="000D346B">
      <w:pPr>
        <w:pStyle w:val="ListBullet"/>
        <w:numPr>
          <w:ilvl w:val="0"/>
          <w:numId w:val="0"/>
        </w:numPr>
      </w:pPr>
    </w:p>
    <w:p w14:paraId="4E54E5B7" w14:textId="234EFA4A" w:rsidR="006478DC" w:rsidRDefault="00074B4D" w:rsidP="000D346B">
      <w:pPr>
        <w:pStyle w:val="ListBullet"/>
        <w:numPr>
          <w:ilvl w:val="0"/>
          <w:numId w:val="0"/>
        </w:numPr>
      </w:pPr>
      <w:r>
        <w:rPr>
          <w:color w:val="auto"/>
          <w:szCs w:val="22"/>
        </w:rPr>
        <w:t>T</w:t>
      </w:r>
      <w:r w:rsidR="0059098C">
        <w:rPr>
          <w:color w:val="auto"/>
          <w:szCs w:val="22"/>
        </w:rPr>
        <w:t>he Australian Government commit Australia to play</w:t>
      </w:r>
      <w:r w:rsidR="00EC5BC0">
        <w:rPr>
          <w:color w:val="auto"/>
          <w:szCs w:val="22"/>
        </w:rPr>
        <w:t>ing</w:t>
      </w:r>
      <w:r w:rsidR="0059098C">
        <w:rPr>
          <w:color w:val="auto"/>
          <w:szCs w:val="22"/>
        </w:rPr>
        <w:t xml:space="preserve"> a leading role in the 2021 United Nations General Assembly’s High-Level Meeting on HIV and AIDS to </w:t>
      </w:r>
      <w:r w:rsidR="00EC5BC0">
        <w:rPr>
          <w:color w:val="auto"/>
          <w:szCs w:val="22"/>
        </w:rPr>
        <w:t xml:space="preserve">enable </w:t>
      </w:r>
      <w:r w:rsidR="00FC1BD1">
        <w:rPr>
          <w:color w:val="auto"/>
          <w:szCs w:val="22"/>
        </w:rPr>
        <w:t>CSOs</w:t>
      </w:r>
      <w:r w:rsidR="0059098C">
        <w:rPr>
          <w:color w:val="auto"/>
          <w:szCs w:val="22"/>
        </w:rPr>
        <w:t xml:space="preserve"> participation in the meeting and in the negotiation of an updated UN </w:t>
      </w:r>
      <w:r>
        <w:rPr>
          <w:color w:val="auto"/>
          <w:szCs w:val="22"/>
        </w:rPr>
        <w:t xml:space="preserve">Political Declaration </w:t>
      </w:r>
      <w:r w:rsidR="0059098C">
        <w:rPr>
          <w:color w:val="auto"/>
          <w:szCs w:val="22"/>
        </w:rPr>
        <w:t>to Ending HIV.</w:t>
      </w:r>
    </w:p>
    <w:p w14:paraId="79EBCC93" w14:textId="77777777" w:rsidR="006478DC" w:rsidRDefault="006478DC" w:rsidP="000D346B">
      <w:pPr>
        <w:pStyle w:val="ListBullet"/>
        <w:numPr>
          <w:ilvl w:val="0"/>
          <w:numId w:val="0"/>
        </w:numPr>
      </w:pPr>
    </w:p>
    <w:p w14:paraId="7AAAEE0A" w14:textId="77777777" w:rsidR="00503145" w:rsidRPr="00343278" w:rsidRDefault="00503145" w:rsidP="00503145">
      <w:pPr>
        <w:pStyle w:val="Heading2"/>
      </w:pPr>
      <w:r w:rsidRPr="00343278">
        <w:t xml:space="preserve">Impact of investment </w:t>
      </w:r>
    </w:p>
    <w:p w14:paraId="3C8166E4" w14:textId="4A62DAF6" w:rsidR="00503145" w:rsidRDefault="00503145" w:rsidP="000D346B">
      <w:pPr>
        <w:pStyle w:val="ListBullet"/>
        <w:numPr>
          <w:ilvl w:val="0"/>
          <w:numId w:val="0"/>
        </w:numPr>
      </w:pPr>
    </w:p>
    <w:p w14:paraId="4D76F126" w14:textId="53BDEA87" w:rsidR="00074B4D" w:rsidRPr="00A91ECE" w:rsidRDefault="007F33CC" w:rsidP="000D346B">
      <w:pPr>
        <w:pStyle w:val="ListBullet"/>
        <w:numPr>
          <w:ilvl w:val="0"/>
          <w:numId w:val="0"/>
        </w:numPr>
      </w:pPr>
      <w:r>
        <w:t>This commitment and allocation of support ensures Australia continues its strong history as a world leader in the response to HIV and AIDS and reaffirms this position on a world stage.</w:t>
      </w:r>
    </w:p>
    <w:sectPr w:rsidR="00074B4D" w:rsidRPr="00A91ECE" w:rsidSect="00E671AC">
      <w:headerReference w:type="default" r:id="rId17"/>
      <w:headerReference w:type="first" r:id="rId18"/>
      <w:footerReference w:type="first" r:id="rId19"/>
      <w:pgSz w:w="11906" w:h="16838" w:code="9"/>
      <w:pgMar w:top="2070" w:right="567" w:bottom="1559" w:left="709" w:header="284" w:footer="36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3A2FA" w14:textId="77777777" w:rsidR="000827D2" w:rsidRDefault="000827D2" w:rsidP="00F44FB8">
      <w:r>
        <w:separator/>
      </w:r>
    </w:p>
  </w:endnote>
  <w:endnote w:type="continuationSeparator" w:id="0">
    <w:p w14:paraId="6333EBAA" w14:textId="77777777" w:rsidR="000827D2" w:rsidRDefault="000827D2" w:rsidP="00F4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BentonSans Book">
    <w:altName w:val="BentonSans Book"/>
    <w:panose1 w:val="00000000000000000000"/>
    <w:charset w:val="00"/>
    <w:family w:val="swiss"/>
    <w:notTrueType/>
    <w:pitch w:val="default"/>
    <w:sig w:usb0="00000003" w:usb1="00000000" w:usb2="00000000" w:usb3="00000000" w:csb0="00000001" w:csb1="00000000"/>
  </w:font>
  <w:font w:name="Baskerville">
    <w:altName w:val="Baskerville Old Face"/>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05418" w14:textId="77777777" w:rsidR="00866A17" w:rsidRDefault="00866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7966"/>
      <w:gridCol w:w="2564"/>
    </w:tblGrid>
    <w:tr w:rsidR="00866A17" w14:paraId="21F9BFD7" w14:textId="77777777" w:rsidTr="000722F7">
      <w:trPr>
        <w:cnfStyle w:val="100000000000" w:firstRow="1" w:lastRow="0" w:firstColumn="0" w:lastColumn="0" w:oddVBand="0" w:evenVBand="0" w:oddHBand="0" w:evenHBand="0" w:firstRowFirstColumn="0" w:firstRowLastColumn="0" w:lastRowFirstColumn="0" w:lastRowLastColumn="0"/>
        <w:trHeight w:val="680"/>
      </w:trPr>
      <w:tc>
        <w:tcPr>
          <w:tcW w:w="7966" w:type="dxa"/>
          <w:tcMar>
            <w:top w:w="28" w:type="dxa"/>
            <w:left w:w="28" w:type="dxa"/>
            <w:bottom w:w="28" w:type="dxa"/>
            <w:right w:w="28" w:type="dxa"/>
          </w:tcMar>
          <w:vAlign w:val="bottom"/>
        </w:tcPr>
        <w:p w14:paraId="1B26D197" w14:textId="77777777" w:rsidR="00866A17" w:rsidRPr="00EA7916" w:rsidRDefault="00866A17" w:rsidP="0018380F">
          <w:pPr>
            <w:pStyle w:val="FootnoteText"/>
          </w:pPr>
        </w:p>
      </w:tc>
      <w:tc>
        <w:tcPr>
          <w:tcW w:w="2564" w:type="dxa"/>
          <w:tcMar>
            <w:top w:w="28" w:type="dxa"/>
            <w:left w:w="28" w:type="dxa"/>
            <w:bottom w:w="28" w:type="dxa"/>
            <w:right w:w="28" w:type="dxa"/>
          </w:tcMar>
          <w:vAlign w:val="bottom"/>
        </w:tcPr>
        <w:p w14:paraId="3B435AA8" w14:textId="77777777" w:rsidR="00866A17" w:rsidRPr="00E11536" w:rsidRDefault="00866A17" w:rsidP="00E11536">
          <w:pPr>
            <w:pStyle w:val="Footer"/>
            <w:jc w:val="right"/>
          </w:pPr>
          <w:r w:rsidRPr="00E11536">
            <w:t xml:space="preserve">Page </w:t>
          </w:r>
          <w:r w:rsidRPr="00E11536">
            <w:fldChar w:fldCharType="begin"/>
          </w:r>
          <w:r w:rsidRPr="00E11536">
            <w:instrText xml:space="preserve"> PAGE  \* Arabic </w:instrText>
          </w:r>
          <w:r w:rsidRPr="00E11536">
            <w:fldChar w:fldCharType="separate"/>
          </w:r>
          <w:r>
            <w:rPr>
              <w:noProof/>
            </w:rPr>
            <w:t>3</w:t>
          </w:r>
          <w:r w:rsidRPr="00E11536">
            <w:fldChar w:fldCharType="end"/>
          </w:r>
        </w:p>
      </w:tc>
    </w:tr>
  </w:tbl>
  <w:p w14:paraId="054168A9" w14:textId="77777777" w:rsidR="00866A17" w:rsidRDefault="00866A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E669F" w14:textId="77777777" w:rsidR="00866A17" w:rsidRDefault="00866A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7966"/>
      <w:gridCol w:w="2564"/>
    </w:tblGrid>
    <w:tr w:rsidR="00866A17" w14:paraId="42DDC658" w14:textId="77777777" w:rsidTr="00AB7DFE">
      <w:trPr>
        <w:cnfStyle w:val="100000000000" w:firstRow="1" w:lastRow="0" w:firstColumn="0" w:lastColumn="0" w:oddVBand="0" w:evenVBand="0" w:oddHBand="0" w:evenHBand="0" w:firstRowFirstColumn="0" w:firstRowLastColumn="0" w:lastRowFirstColumn="0" w:lastRowLastColumn="0"/>
        <w:trHeight w:val="680"/>
      </w:trPr>
      <w:tc>
        <w:tcPr>
          <w:tcW w:w="7966" w:type="dxa"/>
          <w:tcMar>
            <w:top w:w="28" w:type="dxa"/>
            <w:left w:w="28" w:type="dxa"/>
            <w:bottom w:w="28" w:type="dxa"/>
            <w:right w:w="28" w:type="dxa"/>
          </w:tcMar>
          <w:vAlign w:val="bottom"/>
        </w:tcPr>
        <w:p w14:paraId="2E2C90C1" w14:textId="77777777" w:rsidR="00866A17" w:rsidRPr="00EA7916" w:rsidRDefault="00866A17" w:rsidP="00675FC5">
          <w:pPr>
            <w:pStyle w:val="FootnoteText"/>
            <w:numPr>
              <w:ilvl w:val="0"/>
              <w:numId w:val="16"/>
            </w:numPr>
            <w:ind w:left="170" w:hanging="170"/>
          </w:pPr>
          <w:r w:rsidRPr="00AE5A6D">
            <w:t>Footnote.</w:t>
          </w:r>
        </w:p>
      </w:tc>
      <w:tc>
        <w:tcPr>
          <w:tcW w:w="2564" w:type="dxa"/>
          <w:tcMar>
            <w:top w:w="28" w:type="dxa"/>
            <w:left w:w="28" w:type="dxa"/>
            <w:bottom w:w="28" w:type="dxa"/>
            <w:right w:w="28" w:type="dxa"/>
          </w:tcMar>
          <w:vAlign w:val="bottom"/>
        </w:tcPr>
        <w:p w14:paraId="7EBA0EFC" w14:textId="77777777" w:rsidR="00866A17" w:rsidRPr="00E11536" w:rsidRDefault="00866A17" w:rsidP="005F1907">
          <w:pPr>
            <w:pStyle w:val="Footer"/>
            <w:jc w:val="right"/>
          </w:pPr>
          <w:r w:rsidRPr="00E11536">
            <w:t xml:space="preserve">Page </w:t>
          </w:r>
          <w:r w:rsidRPr="00E11536">
            <w:fldChar w:fldCharType="begin"/>
          </w:r>
          <w:r w:rsidRPr="00E11536">
            <w:instrText xml:space="preserve"> PAGE  \* Arabic </w:instrText>
          </w:r>
          <w:r w:rsidRPr="00E11536">
            <w:fldChar w:fldCharType="separate"/>
          </w:r>
          <w:r>
            <w:rPr>
              <w:noProof/>
            </w:rPr>
            <w:t>3</w:t>
          </w:r>
          <w:r w:rsidRPr="00E11536">
            <w:fldChar w:fldCharType="end"/>
          </w:r>
        </w:p>
      </w:tc>
    </w:tr>
  </w:tbl>
  <w:p w14:paraId="510EEDEB" w14:textId="77777777" w:rsidR="00866A17" w:rsidRDefault="00866A17" w:rsidP="007F7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ED52A" w14:textId="77777777" w:rsidR="000827D2" w:rsidRPr="008C2B3C" w:rsidRDefault="000827D2" w:rsidP="00F44FB8">
      <w:pPr>
        <w:pStyle w:val="Footer"/>
      </w:pPr>
    </w:p>
  </w:footnote>
  <w:footnote w:type="continuationSeparator" w:id="0">
    <w:p w14:paraId="78F4BE3C" w14:textId="77777777" w:rsidR="000827D2" w:rsidRDefault="000827D2" w:rsidP="00F44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E2267" w14:textId="77777777" w:rsidR="00866A17" w:rsidRDefault="00866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944A5" w14:textId="4EC6341F" w:rsidR="00866A17" w:rsidRDefault="00866A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ayoutGrid"/>
      <w:tblW w:w="10556" w:type="dxa"/>
      <w:tblLook w:val="04A0" w:firstRow="1" w:lastRow="0" w:firstColumn="1" w:lastColumn="0" w:noHBand="0" w:noVBand="1"/>
    </w:tblPr>
    <w:tblGrid>
      <w:gridCol w:w="5992"/>
      <w:gridCol w:w="4564"/>
    </w:tblGrid>
    <w:tr w:rsidR="00866A17" w14:paraId="49082DC1" w14:textId="77777777" w:rsidTr="00661BEE">
      <w:trPr>
        <w:trHeight w:hRule="exact" w:val="1361"/>
      </w:trPr>
      <w:tc>
        <w:tcPr>
          <w:tcW w:w="5992" w:type="dxa"/>
          <w:tcMar>
            <w:right w:w="737" w:type="dxa"/>
          </w:tcMar>
          <w:vAlign w:val="bottom"/>
        </w:tcPr>
        <w:p w14:paraId="1F0232D1" w14:textId="77777777" w:rsidR="00866A17" w:rsidRPr="00562747" w:rsidRDefault="00866A17" w:rsidP="00661BEE">
          <w:pPr>
            <w:pStyle w:val="Header"/>
          </w:pPr>
          <w:bookmarkStart w:id="6" w:name="Logo"/>
          <w:bookmarkEnd w:id="6"/>
          <w:r>
            <w:rPr>
              <w:noProof/>
              <w:snapToGrid/>
            </w:rPr>
            <w:drawing>
              <wp:inline distT="0" distB="0" distL="0" distR="0" wp14:anchorId="5D556FE0" wp14:editId="31B1DAFD">
                <wp:extent cx="3335281" cy="585217"/>
                <wp:effectExtent l="0" t="0" r="0" b="5715"/>
                <wp:docPr id="3" name="Picture 3"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FAO1.png"/>
                        <pic:cNvPicPr/>
                      </pic:nvPicPr>
                      <pic:blipFill>
                        <a:blip r:embed="rId1"/>
                        <a:stretch>
                          <a:fillRect/>
                        </a:stretch>
                      </pic:blipFill>
                      <pic:spPr>
                        <a:xfrm>
                          <a:off x="0" y="0"/>
                          <a:ext cx="3335281" cy="585217"/>
                        </a:xfrm>
                        <a:prstGeom prst="rect">
                          <a:avLst/>
                        </a:prstGeom>
                      </pic:spPr>
                    </pic:pic>
                  </a:graphicData>
                </a:graphic>
              </wp:inline>
            </w:drawing>
          </w:r>
        </w:p>
      </w:tc>
      <w:tc>
        <w:tcPr>
          <w:tcW w:w="4564" w:type="dxa"/>
          <w:vAlign w:val="center"/>
        </w:tcPr>
        <w:p w14:paraId="32643313" w14:textId="77777777" w:rsidR="00866A17" w:rsidRPr="00044AD4" w:rsidRDefault="00866A17" w:rsidP="00661BEE">
          <w:pPr>
            <w:pStyle w:val="Header"/>
          </w:pPr>
        </w:p>
      </w:tc>
    </w:tr>
    <w:tr w:rsidR="00866A17" w14:paraId="205AABDF" w14:textId="77777777" w:rsidTr="00661BEE">
      <w:trPr>
        <w:trHeight w:val="1247"/>
      </w:trPr>
      <w:tc>
        <w:tcPr>
          <w:tcW w:w="5992" w:type="dxa"/>
          <w:tcMar>
            <w:right w:w="737" w:type="dxa"/>
          </w:tcMar>
        </w:tcPr>
        <w:p w14:paraId="59D01463" w14:textId="77777777" w:rsidR="00866A17" w:rsidRDefault="00866A17" w:rsidP="00661BEE">
          <w:pPr>
            <w:pStyle w:val="Header"/>
          </w:pPr>
        </w:p>
      </w:tc>
      <w:tc>
        <w:tcPr>
          <w:tcW w:w="4564" w:type="dxa"/>
        </w:tcPr>
        <w:p w14:paraId="1EAAFA8D" w14:textId="77777777" w:rsidR="00866A17" w:rsidRPr="00044AD4" w:rsidRDefault="00866A17" w:rsidP="00661BEE">
          <w:pPr>
            <w:pStyle w:val="Header"/>
          </w:pPr>
        </w:p>
      </w:tc>
    </w:tr>
  </w:tbl>
  <w:p w14:paraId="518049C6" w14:textId="5164318A" w:rsidR="00866A17" w:rsidRDefault="00866A17" w:rsidP="00F44F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70" w:type="dxa"/>
      <w:tblLook w:val="04A0" w:firstRow="1" w:lastRow="0" w:firstColumn="1" w:lastColumn="0" w:noHBand="0" w:noVBand="1"/>
    </w:tblPr>
    <w:tblGrid>
      <w:gridCol w:w="6321"/>
      <w:gridCol w:w="4649"/>
    </w:tblGrid>
    <w:tr w:rsidR="00866A17" w14:paraId="27EDC544" w14:textId="77777777" w:rsidTr="00661BEE">
      <w:trPr>
        <w:cnfStyle w:val="100000000000" w:firstRow="1" w:lastRow="0" w:firstColumn="0" w:lastColumn="0" w:oddVBand="0" w:evenVBand="0" w:oddHBand="0" w:evenHBand="0" w:firstRowFirstColumn="0" w:firstRowLastColumn="0" w:lastRowFirstColumn="0" w:lastRowLastColumn="0"/>
        <w:trHeight w:val="1406"/>
      </w:trPr>
      <w:tc>
        <w:tcPr>
          <w:tcW w:w="6321" w:type="dxa"/>
          <w:tcMar>
            <w:top w:w="0" w:type="dxa"/>
            <w:left w:w="0" w:type="dxa"/>
            <w:bottom w:w="0" w:type="dxa"/>
            <w:right w:w="0" w:type="dxa"/>
          </w:tcMar>
          <w:vAlign w:val="center"/>
        </w:tcPr>
        <w:p w14:paraId="7748F316" w14:textId="77777777" w:rsidR="00866A17" w:rsidRDefault="00866A17" w:rsidP="00661BEE">
          <w:pPr>
            <w:pStyle w:val="Header"/>
            <w:jc w:val="right"/>
          </w:pPr>
          <w:bookmarkStart w:id="10" w:name="Pg3_Logo"/>
          <w:bookmarkEnd w:id="10"/>
        </w:p>
      </w:tc>
      <w:tc>
        <w:tcPr>
          <w:tcW w:w="4649" w:type="dxa"/>
          <w:tcMar>
            <w:top w:w="0" w:type="dxa"/>
            <w:left w:w="0" w:type="dxa"/>
            <w:bottom w:w="0" w:type="dxa"/>
            <w:right w:w="0" w:type="dxa"/>
          </w:tcMar>
          <w:vAlign w:val="center"/>
        </w:tcPr>
        <w:p w14:paraId="44A2784C" w14:textId="77777777" w:rsidR="00866A17" w:rsidRDefault="00866A17" w:rsidP="00661BEE">
          <w:pPr>
            <w:pStyle w:val="Header"/>
            <w:jc w:val="center"/>
          </w:pPr>
          <w:r>
            <w:rPr>
              <w:noProof/>
              <w:snapToGrid/>
            </w:rPr>
            <w:drawing>
              <wp:inline distT="0" distB="0" distL="0" distR="0" wp14:anchorId="0F2AE3FF" wp14:editId="7B795712">
                <wp:extent cx="2318009" cy="324613"/>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g3_Logo_AFAO.png"/>
                        <pic:cNvPicPr/>
                      </pic:nvPicPr>
                      <pic:blipFill>
                        <a:blip r:embed="rId1"/>
                        <a:stretch>
                          <a:fillRect/>
                        </a:stretch>
                      </pic:blipFill>
                      <pic:spPr>
                        <a:xfrm>
                          <a:off x="0" y="0"/>
                          <a:ext cx="2318009" cy="324613"/>
                        </a:xfrm>
                        <a:prstGeom prst="rect">
                          <a:avLst/>
                        </a:prstGeom>
                      </pic:spPr>
                    </pic:pic>
                  </a:graphicData>
                </a:graphic>
              </wp:inline>
            </w:drawing>
          </w:r>
        </w:p>
      </w:tc>
    </w:tr>
  </w:tbl>
  <w:p w14:paraId="67B58A62" w14:textId="77777777" w:rsidR="00866A17" w:rsidRDefault="00866A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9930C" w14:textId="77777777" w:rsidR="00866A17" w:rsidRDefault="00866A17" w:rsidP="00F44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CC23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8099A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CE1A6DE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EB0060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373A330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DA773A0"/>
    <w:multiLevelType w:val="multilevel"/>
    <w:tmpl w:val="0C09001D"/>
    <w:styleLink w:val="1ai"/>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B5733E"/>
    <w:multiLevelType w:val="multilevel"/>
    <w:tmpl w:val="6B147B06"/>
    <w:styleLink w:val="AppendixList"/>
    <w:lvl w:ilvl="0">
      <w:start w:val="1"/>
      <w:numFmt w:val="upperLetter"/>
      <w:lvlText w:val="Appendix %1"/>
      <w:lvlJc w:val="left"/>
      <w:pPr>
        <w:ind w:left="1871" w:hanging="1871"/>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16E04C2C"/>
    <w:multiLevelType w:val="hybridMultilevel"/>
    <w:tmpl w:val="5C6C245C"/>
    <w:lvl w:ilvl="0" w:tplc="9E1AC760">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C1807B3"/>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D6D0372"/>
    <w:multiLevelType w:val="multilevel"/>
    <w:tmpl w:val="BDE220C8"/>
    <w:styleLink w:val="NumberedHeadings"/>
    <w:lvl w:ilvl="0">
      <w:start w:val="1"/>
      <w:numFmt w:val="decimal"/>
      <w:lvlText w:val="%1"/>
      <w:lvlJc w:val="left"/>
      <w:pPr>
        <w:ind w:left="556" w:hanging="55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E073698"/>
    <w:multiLevelType w:val="multilevel"/>
    <w:tmpl w:val="985EBDE4"/>
    <w:styleLink w:val="TableList"/>
    <w:lvl w:ilvl="0">
      <w:start w:val="1"/>
      <w:numFmt w:val="decimal"/>
      <w:lvlText w:val="%1"/>
      <w:lvlJc w:val="left"/>
      <w:pPr>
        <w:ind w:left="284" w:hanging="284"/>
      </w:pPr>
      <w:rPr>
        <w:rFonts w:hint="default"/>
      </w:rPr>
    </w:lvl>
    <w:lvl w:ilvl="1">
      <w:start w:val="1"/>
      <w:numFmt w:val="none"/>
      <w:lvlText w:val=""/>
      <w:lvlJc w:val="left"/>
      <w:pPr>
        <w:ind w:left="357" w:hanging="357"/>
      </w:pPr>
      <w:rPr>
        <w:rFonts w:hint="default"/>
      </w:rPr>
    </w:lvl>
    <w:lvl w:ilvl="2">
      <w:start w:val="1"/>
      <w:numFmt w:val="none"/>
      <w:lvlText w:val=""/>
      <w:lvlJc w:val="left"/>
      <w:pPr>
        <w:ind w:left="357" w:hanging="357"/>
      </w:pPr>
      <w:rPr>
        <w:rFonts w:hint="default"/>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2" w15:restartNumberingAfterBreak="0">
    <w:nsid w:val="2215379E"/>
    <w:multiLevelType w:val="multilevel"/>
    <w:tmpl w:val="985CAD0E"/>
    <w:styleLink w:val="ListNumbers"/>
    <w:lvl w:ilvl="0">
      <w:start w:val="1"/>
      <w:numFmt w:val="decimal"/>
      <w:pStyle w:val="ListNumber"/>
      <w:lvlText w:val="%1."/>
      <w:lvlJc w:val="left"/>
      <w:pPr>
        <w:ind w:left="340" w:hanging="340"/>
      </w:pPr>
      <w:rPr>
        <w:rFonts w:ascii="Calibri" w:hAnsi="Calibri" w:hint="default"/>
        <w:b w:val="0"/>
        <w:i w:val="0"/>
        <w:sz w:val="20"/>
      </w:rPr>
    </w:lvl>
    <w:lvl w:ilvl="1">
      <w:start w:val="1"/>
      <w:numFmt w:val="lowerLetter"/>
      <w:pStyle w:val="ListNumber2"/>
      <w:lvlText w:val="%2."/>
      <w:lvlJc w:val="left"/>
      <w:pPr>
        <w:ind w:left="680" w:hanging="340"/>
      </w:pPr>
      <w:rPr>
        <w:rFonts w:ascii="Calibri" w:hAnsi="Calibri" w:hint="default"/>
        <w:b w:val="0"/>
        <w:i w:val="0"/>
        <w:sz w:val="22"/>
      </w:rPr>
    </w:lvl>
    <w:lvl w:ilvl="2">
      <w:start w:val="1"/>
      <w:numFmt w:val="none"/>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3" w15:restartNumberingAfterBreak="0">
    <w:nsid w:val="266819C6"/>
    <w:multiLevelType w:val="hybridMultilevel"/>
    <w:tmpl w:val="4F1401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A014D5"/>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FB35FA"/>
    <w:multiLevelType w:val="multilevel"/>
    <w:tmpl w:val="DF1E1E64"/>
    <w:styleLink w:val="ListBullets"/>
    <w:lvl w:ilvl="0">
      <w:start w:val="1"/>
      <w:numFmt w:val="bullet"/>
      <w:pStyle w:val="ListBullet"/>
      <w:lvlText w:val="-"/>
      <w:lvlJc w:val="left"/>
      <w:pPr>
        <w:ind w:left="340" w:hanging="340"/>
      </w:pPr>
      <w:rPr>
        <w:rFonts w:ascii="Calibri" w:hAnsi="Calibri" w:hint="default"/>
        <w:b w:val="0"/>
        <w:i w:val="0"/>
        <w:color w:val="auto"/>
        <w:sz w:val="18"/>
      </w:rPr>
    </w:lvl>
    <w:lvl w:ilvl="1">
      <w:start w:val="1"/>
      <w:numFmt w:val="bullet"/>
      <w:pStyle w:val="ListBullet2"/>
      <w:lvlText w:val="-"/>
      <w:lvlJc w:val="left"/>
      <w:pPr>
        <w:tabs>
          <w:tab w:val="num" w:pos="737"/>
        </w:tabs>
        <w:ind w:left="680" w:hanging="340"/>
      </w:pPr>
      <w:rPr>
        <w:rFonts w:ascii="Calibri" w:hAnsi="Calibri" w:hint="default"/>
        <w:b w:val="0"/>
        <w:i w:val="0"/>
        <w:color w:val="auto"/>
        <w:sz w:val="18"/>
      </w:rPr>
    </w:lvl>
    <w:lvl w:ilvl="2">
      <w:start w:val="1"/>
      <w:numFmt w:val="none"/>
      <w:lvlText w:val=""/>
      <w:lvlJc w:val="left"/>
      <w:pPr>
        <w:tabs>
          <w:tab w:val="num" w:pos="907"/>
        </w:tabs>
        <w:ind w:left="737" w:firstLine="0"/>
      </w:pPr>
      <w:rPr>
        <w:rFonts w:hint="default"/>
        <w:color w:val="auto"/>
        <w:sz w:val="20"/>
      </w:rPr>
    </w:lvl>
    <w:lvl w:ilvl="3">
      <w:start w:val="1"/>
      <w:numFmt w:val="none"/>
      <w:lvlText w:val=""/>
      <w:lvlJc w:val="left"/>
      <w:pPr>
        <w:tabs>
          <w:tab w:val="num" w:pos="1355"/>
        </w:tabs>
        <w:ind w:left="1428" w:hanging="357"/>
      </w:pPr>
      <w:rPr>
        <w:rFonts w:hint="default"/>
      </w:rPr>
    </w:lvl>
    <w:lvl w:ilvl="4">
      <w:start w:val="1"/>
      <w:numFmt w:val="none"/>
      <w:lvlText w:val=""/>
      <w:lvlJc w:val="left"/>
      <w:pPr>
        <w:tabs>
          <w:tab w:val="num" w:pos="1712"/>
        </w:tabs>
        <w:ind w:left="1785" w:hanging="357"/>
      </w:pPr>
      <w:rPr>
        <w:rFonts w:hint="default"/>
      </w:rPr>
    </w:lvl>
    <w:lvl w:ilvl="5">
      <w:start w:val="1"/>
      <w:numFmt w:val="none"/>
      <w:lvlText w:val=""/>
      <w:lvlJc w:val="left"/>
      <w:pPr>
        <w:tabs>
          <w:tab w:val="num" w:pos="2069"/>
        </w:tabs>
        <w:ind w:left="2142" w:hanging="357"/>
      </w:pPr>
      <w:rPr>
        <w:rFonts w:hint="default"/>
      </w:rPr>
    </w:lvl>
    <w:lvl w:ilvl="6">
      <w:start w:val="1"/>
      <w:numFmt w:val="none"/>
      <w:lvlText w:val=""/>
      <w:lvlJc w:val="left"/>
      <w:pPr>
        <w:tabs>
          <w:tab w:val="num" w:pos="2426"/>
        </w:tabs>
        <w:ind w:left="2499" w:hanging="357"/>
      </w:pPr>
      <w:rPr>
        <w:rFonts w:hint="default"/>
      </w:rPr>
    </w:lvl>
    <w:lvl w:ilvl="7">
      <w:start w:val="1"/>
      <w:numFmt w:val="none"/>
      <w:lvlText w:val=""/>
      <w:lvlJc w:val="left"/>
      <w:pPr>
        <w:tabs>
          <w:tab w:val="num" w:pos="2783"/>
        </w:tabs>
        <w:ind w:left="2856" w:hanging="357"/>
      </w:pPr>
      <w:rPr>
        <w:rFonts w:hint="default"/>
      </w:rPr>
    </w:lvl>
    <w:lvl w:ilvl="8">
      <w:start w:val="1"/>
      <w:numFmt w:val="none"/>
      <w:lvlText w:val=""/>
      <w:lvlJc w:val="left"/>
      <w:pPr>
        <w:tabs>
          <w:tab w:val="num" w:pos="3140"/>
        </w:tabs>
        <w:ind w:left="3213" w:hanging="357"/>
      </w:pPr>
      <w:rPr>
        <w:rFonts w:hint="default"/>
      </w:rPr>
    </w:lvl>
  </w:abstractNum>
  <w:abstractNum w:abstractNumId="16" w15:restartNumberingAfterBreak="0">
    <w:nsid w:val="52DF70D1"/>
    <w:multiLevelType w:val="hybridMultilevel"/>
    <w:tmpl w:val="434874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5B5A53"/>
    <w:multiLevelType w:val="multilevel"/>
    <w:tmpl w:val="81BEC2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721138DB"/>
    <w:multiLevelType w:val="multilevel"/>
    <w:tmpl w:val="878A2900"/>
    <w:styleLink w:val="TableBulletList"/>
    <w:lvl w:ilvl="0">
      <w:start w:val="1"/>
      <w:numFmt w:val="bullet"/>
      <w:lvlText w:val=""/>
      <w:lvlJc w:val="left"/>
      <w:pPr>
        <w:ind w:left="357" w:hanging="357"/>
      </w:pPr>
      <w:rPr>
        <w:rFonts w:ascii="Wingdings" w:hAnsi="Wingdings" w:hint="default"/>
        <w:color w:val="F26522" w:themeColor="accent1"/>
      </w:rPr>
    </w:lvl>
    <w:lvl w:ilvl="1">
      <w:start w:val="1"/>
      <w:numFmt w:val="bullet"/>
      <w:lvlText w:val="o"/>
      <w:lvlJc w:val="left"/>
      <w:pPr>
        <w:ind w:left="357" w:firstLine="0"/>
      </w:pPr>
      <w:rPr>
        <w:rFonts w:ascii="Courier New" w:hAnsi="Courier New" w:hint="default"/>
        <w:color w:val="F26522" w:themeColor="accent1"/>
      </w:rPr>
    </w:lvl>
    <w:lvl w:ilvl="2">
      <w:start w:val="1"/>
      <w:numFmt w:val="bullet"/>
      <w:lvlText w:val="–"/>
      <w:lvlJc w:val="left"/>
      <w:pPr>
        <w:ind w:left="357" w:firstLine="357"/>
      </w:pPr>
      <w:rPr>
        <w:rFonts w:ascii="Arial" w:hAnsi="Arial" w:hint="default"/>
        <w:color w:val="F26522" w:themeColor="accent1"/>
      </w:rPr>
    </w:lvl>
    <w:lvl w:ilvl="3">
      <w:start w:val="1"/>
      <w:numFmt w:val="decimal"/>
      <w:lvlText w:val="(%4)"/>
      <w:lvlJc w:val="left"/>
      <w:pPr>
        <w:ind w:left="1428" w:firstLine="0"/>
      </w:pPr>
      <w:rPr>
        <w:rFonts w:hint="default"/>
      </w:rPr>
    </w:lvl>
    <w:lvl w:ilvl="4">
      <w:start w:val="1"/>
      <w:numFmt w:val="lowerLetter"/>
      <w:lvlText w:val="(%5)"/>
      <w:lvlJc w:val="left"/>
      <w:pPr>
        <w:ind w:left="1785" w:firstLine="0"/>
      </w:pPr>
      <w:rPr>
        <w:rFonts w:hint="default"/>
      </w:rPr>
    </w:lvl>
    <w:lvl w:ilvl="5">
      <w:start w:val="1"/>
      <w:numFmt w:val="lowerRoman"/>
      <w:lvlText w:val="(%6)"/>
      <w:lvlJc w:val="left"/>
      <w:pPr>
        <w:ind w:left="2142" w:firstLine="0"/>
      </w:pPr>
      <w:rPr>
        <w:rFonts w:hint="default"/>
      </w:rPr>
    </w:lvl>
    <w:lvl w:ilvl="6">
      <w:start w:val="1"/>
      <w:numFmt w:val="decimal"/>
      <w:lvlText w:val="%7."/>
      <w:lvlJc w:val="left"/>
      <w:pPr>
        <w:ind w:left="2499" w:firstLine="0"/>
      </w:pPr>
      <w:rPr>
        <w:rFonts w:hint="default"/>
      </w:rPr>
    </w:lvl>
    <w:lvl w:ilvl="7">
      <w:start w:val="1"/>
      <w:numFmt w:val="lowerLetter"/>
      <w:lvlText w:val="%8."/>
      <w:lvlJc w:val="left"/>
      <w:pPr>
        <w:ind w:left="2856" w:firstLine="0"/>
      </w:pPr>
      <w:rPr>
        <w:rFonts w:hint="default"/>
      </w:rPr>
    </w:lvl>
    <w:lvl w:ilvl="8">
      <w:start w:val="1"/>
      <w:numFmt w:val="lowerRoman"/>
      <w:lvlText w:val="%9."/>
      <w:lvlJc w:val="left"/>
      <w:pPr>
        <w:ind w:left="3213" w:firstLine="0"/>
      </w:pPr>
      <w:rPr>
        <w:rFonts w:hint="default"/>
      </w:rPr>
    </w:lvl>
  </w:abstractNum>
  <w:abstractNum w:abstractNumId="19" w15:restartNumberingAfterBreak="0">
    <w:nsid w:val="7F9A0797"/>
    <w:multiLevelType w:val="multilevel"/>
    <w:tmpl w:val="9EEA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5"/>
  </w:num>
  <w:num w:numId="6">
    <w:abstractNumId w:val="14"/>
  </w:num>
  <w:num w:numId="7">
    <w:abstractNumId w:val="6"/>
  </w:num>
  <w:num w:numId="8">
    <w:abstractNumId w:val="9"/>
  </w:num>
  <w:num w:numId="9">
    <w:abstractNumId w:val="12"/>
  </w:num>
  <w:num w:numId="10">
    <w:abstractNumId w:val="15"/>
  </w:num>
  <w:num w:numId="11">
    <w:abstractNumId w:val="7"/>
  </w:num>
  <w:num w:numId="12">
    <w:abstractNumId w:val="11"/>
  </w:num>
  <w:num w:numId="13">
    <w:abstractNumId w:val="17"/>
  </w:num>
  <w:num w:numId="14">
    <w:abstractNumId w:val="10"/>
  </w:num>
  <w:num w:numId="15">
    <w:abstractNumId w:val="18"/>
  </w:num>
  <w:num w:numId="16">
    <w:abstractNumId w:val="13"/>
  </w:num>
  <w:num w:numId="17">
    <w:abstractNumId w:val="15"/>
  </w:num>
  <w:num w:numId="18">
    <w:abstractNumId w:val="12"/>
  </w:num>
  <w:num w:numId="19">
    <w:abstractNumId w:val="8"/>
  </w:num>
  <w:num w:numId="20">
    <w:abstractNumId w:val="16"/>
  </w:num>
  <w:num w:numId="21">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65"/>
    <w:rsid w:val="000018A1"/>
    <w:rsid w:val="00002D6C"/>
    <w:rsid w:val="000045C0"/>
    <w:rsid w:val="00006D3A"/>
    <w:rsid w:val="000110B8"/>
    <w:rsid w:val="00011374"/>
    <w:rsid w:val="00011896"/>
    <w:rsid w:val="00011BAA"/>
    <w:rsid w:val="00011BB1"/>
    <w:rsid w:val="000137DE"/>
    <w:rsid w:val="00013F2F"/>
    <w:rsid w:val="0001409F"/>
    <w:rsid w:val="00014FF2"/>
    <w:rsid w:val="0001550F"/>
    <w:rsid w:val="00020FC9"/>
    <w:rsid w:val="000212BA"/>
    <w:rsid w:val="00021475"/>
    <w:rsid w:val="000215FE"/>
    <w:rsid w:val="00023C2E"/>
    <w:rsid w:val="00023CC8"/>
    <w:rsid w:val="00024AEB"/>
    <w:rsid w:val="000269C0"/>
    <w:rsid w:val="00033334"/>
    <w:rsid w:val="00033C6B"/>
    <w:rsid w:val="0003451C"/>
    <w:rsid w:val="0003451E"/>
    <w:rsid w:val="00034B0B"/>
    <w:rsid w:val="00035647"/>
    <w:rsid w:val="00037ED9"/>
    <w:rsid w:val="00041291"/>
    <w:rsid w:val="00041552"/>
    <w:rsid w:val="0004196E"/>
    <w:rsid w:val="000423EB"/>
    <w:rsid w:val="00043398"/>
    <w:rsid w:val="00043EC0"/>
    <w:rsid w:val="000447E2"/>
    <w:rsid w:val="00044AD4"/>
    <w:rsid w:val="00044EDF"/>
    <w:rsid w:val="00045AAF"/>
    <w:rsid w:val="00046882"/>
    <w:rsid w:val="00047CF3"/>
    <w:rsid w:val="0005129D"/>
    <w:rsid w:val="00053025"/>
    <w:rsid w:val="00053170"/>
    <w:rsid w:val="00054C04"/>
    <w:rsid w:val="00055587"/>
    <w:rsid w:val="00055B86"/>
    <w:rsid w:val="000575EB"/>
    <w:rsid w:val="00060AD5"/>
    <w:rsid w:val="00060B33"/>
    <w:rsid w:val="000635DF"/>
    <w:rsid w:val="000658AD"/>
    <w:rsid w:val="00066992"/>
    <w:rsid w:val="00066F19"/>
    <w:rsid w:val="00070395"/>
    <w:rsid w:val="00071132"/>
    <w:rsid w:val="00072199"/>
    <w:rsid w:val="000722F7"/>
    <w:rsid w:val="000734BB"/>
    <w:rsid w:val="00073961"/>
    <w:rsid w:val="00074B4D"/>
    <w:rsid w:val="00076843"/>
    <w:rsid w:val="00076B00"/>
    <w:rsid w:val="00076F88"/>
    <w:rsid w:val="00077A3D"/>
    <w:rsid w:val="00081A4A"/>
    <w:rsid w:val="000827D2"/>
    <w:rsid w:val="000830DC"/>
    <w:rsid w:val="00084C14"/>
    <w:rsid w:val="00084C68"/>
    <w:rsid w:val="00085F2F"/>
    <w:rsid w:val="0009093A"/>
    <w:rsid w:val="00091C6A"/>
    <w:rsid w:val="00093181"/>
    <w:rsid w:val="00093D6F"/>
    <w:rsid w:val="00093F30"/>
    <w:rsid w:val="0009638E"/>
    <w:rsid w:val="000964FA"/>
    <w:rsid w:val="00096A64"/>
    <w:rsid w:val="0009736E"/>
    <w:rsid w:val="000A228B"/>
    <w:rsid w:val="000A37C9"/>
    <w:rsid w:val="000A4A09"/>
    <w:rsid w:val="000A4DC0"/>
    <w:rsid w:val="000A671C"/>
    <w:rsid w:val="000A7B67"/>
    <w:rsid w:val="000B077E"/>
    <w:rsid w:val="000B1024"/>
    <w:rsid w:val="000B20BE"/>
    <w:rsid w:val="000B23E7"/>
    <w:rsid w:val="000B24AA"/>
    <w:rsid w:val="000B29F8"/>
    <w:rsid w:val="000B4264"/>
    <w:rsid w:val="000B650A"/>
    <w:rsid w:val="000B6A9F"/>
    <w:rsid w:val="000B7685"/>
    <w:rsid w:val="000C088D"/>
    <w:rsid w:val="000C4A97"/>
    <w:rsid w:val="000C550D"/>
    <w:rsid w:val="000C55C3"/>
    <w:rsid w:val="000D1A53"/>
    <w:rsid w:val="000D1BC1"/>
    <w:rsid w:val="000D1CF6"/>
    <w:rsid w:val="000D346B"/>
    <w:rsid w:val="000D4F74"/>
    <w:rsid w:val="000D57B3"/>
    <w:rsid w:val="000D610A"/>
    <w:rsid w:val="000D611C"/>
    <w:rsid w:val="000D64E9"/>
    <w:rsid w:val="000E0BF2"/>
    <w:rsid w:val="000E4A5D"/>
    <w:rsid w:val="000E571B"/>
    <w:rsid w:val="000E59B7"/>
    <w:rsid w:val="000E771D"/>
    <w:rsid w:val="000F0051"/>
    <w:rsid w:val="000F0942"/>
    <w:rsid w:val="000F3783"/>
    <w:rsid w:val="000F39D1"/>
    <w:rsid w:val="000F420F"/>
    <w:rsid w:val="000F5F26"/>
    <w:rsid w:val="000F6618"/>
    <w:rsid w:val="000F6FDF"/>
    <w:rsid w:val="000F765B"/>
    <w:rsid w:val="000F79B5"/>
    <w:rsid w:val="00100D4B"/>
    <w:rsid w:val="00103006"/>
    <w:rsid w:val="001031D2"/>
    <w:rsid w:val="00103429"/>
    <w:rsid w:val="00106E56"/>
    <w:rsid w:val="0010753D"/>
    <w:rsid w:val="00110911"/>
    <w:rsid w:val="00110FFE"/>
    <w:rsid w:val="00112372"/>
    <w:rsid w:val="00114171"/>
    <w:rsid w:val="00114B8B"/>
    <w:rsid w:val="00115127"/>
    <w:rsid w:val="00116B1D"/>
    <w:rsid w:val="001175D1"/>
    <w:rsid w:val="001208E1"/>
    <w:rsid w:val="00120D26"/>
    <w:rsid w:val="00121079"/>
    <w:rsid w:val="00121581"/>
    <w:rsid w:val="00121728"/>
    <w:rsid w:val="00122724"/>
    <w:rsid w:val="00124A59"/>
    <w:rsid w:val="00124CBE"/>
    <w:rsid w:val="0013128A"/>
    <w:rsid w:val="00131BB0"/>
    <w:rsid w:val="001336F6"/>
    <w:rsid w:val="001344AD"/>
    <w:rsid w:val="00134C31"/>
    <w:rsid w:val="00134C3B"/>
    <w:rsid w:val="00134F53"/>
    <w:rsid w:val="0013573A"/>
    <w:rsid w:val="00135ACA"/>
    <w:rsid w:val="0013698D"/>
    <w:rsid w:val="00137984"/>
    <w:rsid w:val="00143AE5"/>
    <w:rsid w:val="00145B5D"/>
    <w:rsid w:val="00146951"/>
    <w:rsid w:val="00147DF7"/>
    <w:rsid w:val="0015245A"/>
    <w:rsid w:val="00153308"/>
    <w:rsid w:val="00153D5C"/>
    <w:rsid w:val="00154C8B"/>
    <w:rsid w:val="0015648A"/>
    <w:rsid w:val="00156A7E"/>
    <w:rsid w:val="0015702B"/>
    <w:rsid w:val="001600D7"/>
    <w:rsid w:val="00160B63"/>
    <w:rsid w:val="00161186"/>
    <w:rsid w:val="001615AC"/>
    <w:rsid w:val="00162C56"/>
    <w:rsid w:val="001630E7"/>
    <w:rsid w:val="00163281"/>
    <w:rsid w:val="00163A05"/>
    <w:rsid w:val="00163DC5"/>
    <w:rsid w:val="00164015"/>
    <w:rsid w:val="00165085"/>
    <w:rsid w:val="00165580"/>
    <w:rsid w:val="00167CB6"/>
    <w:rsid w:val="0017047E"/>
    <w:rsid w:val="0017119E"/>
    <w:rsid w:val="00172DD8"/>
    <w:rsid w:val="00174530"/>
    <w:rsid w:val="001747FE"/>
    <w:rsid w:val="001748C2"/>
    <w:rsid w:val="00176E3C"/>
    <w:rsid w:val="00177077"/>
    <w:rsid w:val="00177264"/>
    <w:rsid w:val="0017772C"/>
    <w:rsid w:val="00177FD5"/>
    <w:rsid w:val="001802B1"/>
    <w:rsid w:val="0018202E"/>
    <w:rsid w:val="00182644"/>
    <w:rsid w:val="00182AFB"/>
    <w:rsid w:val="0018380F"/>
    <w:rsid w:val="00184205"/>
    <w:rsid w:val="00186F12"/>
    <w:rsid w:val="00187BC5"/>
    <w:rsid w:val="00191642"/>
    <w:rsid w:val="00191B1F"/>
    <w:rsid w:val="0019255E"/>
    <w:rsid w:val="00193CEC"/>
    <w:rsid w:val="00194D01"/>
    <w:rsid w:val="00194D2E"/>
    <w:rsid w:val="00195024"/>
    <w:rsid w:val="001955AA"/>
    <w:rsid w:val="00195762"/>
    <w:rsid w:val="00195D8D"/>
    <w:rsid w:val="00195F27"/>
    <w:rsid w:val="0019651A"/>
    <w:rsid w:val="00196CB3"/>
    <w:rsid w:val="00196F06"/>
    <w:rsid w:val="001A0BAC"/>
    <w:rsid w:val="001A1864"/>
    <w:rsid w:val="001A1D62"/>
    <w:rsid w:val="001A20D0"/>
    <w:rsid w:val="001A25FE"/>
    <w:rsid w:val="001A2C8A"/>
    <w:rsid w:val="001A4048"/>
    <w:rsid w:val="001A4E06"/>
    <w:rsid w:val="001A6455"/>
    <w:rsid w:val="001A64AB"/>
    <w:rsid w:val="001A693F"/>
    <w:rsid w:val="001A7CE3"/>
    <w:rsid w:val="001A7E61"/>
    <w:rsid w:val="001B08B6"/>
    <w:rsid w:val="001B1351"/>
    <w:rsid w:val="001B4095"/>
    <w:rsid w:val="001B4C0E"/>
    <w:rsid w:val="001C097A"/>
    <w:rsid w:val="001C18B0"/>
    <w:rsid w:val="001C3A10"/>
    <w:rsid w:val="001C3EE8"/>
    <w:rsid w:val="001C4733"/>
    <w:rsid w:val="001C4AAF"/>
    <w:rsid w:val="001C58D8"/>
    <w:rsid w:val="001D1140"/>
    <w:rsid w:val="001D132D"/>
    <w:rsid w:val="001D22AE"/>
    <w:rsid w:val="001D2C6F"/>
    <w:rsid w:val="001D51EF"/>
    <w:rsid w:val="001D6422"/>
    <w:rsid w:val="001D644E"/>
    <w:rsid w:val="001D67E8"/>
    <w:rsid w:val="001D6934"/>
    <w:rsid w:val="001D696E"/>
    <w:rsid w:val="001E1533"/>
    <w:rsid w:val="001E1D6D"/>
    <w:rsid w:val="001E1FE4"/>
    <w:rsid w:val="001E28A2"/>
    <w:rsid w:val="001E3E53"/>
    <w:rsid w:val="001E458B"/>
    <w:rsid w:val="001E5C0F"/>
    <w:rsid w:val="001E5EDA"/>
    <w:rsid w:val="001E6150"/>
    <w:rsid w:val="001E752B"/>
    <w:rsid w:val="001E7D8D"/>
    <w:rsid w:val="001F043A"/>
    <w:rsid w:val="001F08A4"/>
    <w:rsid w:val="001F2103"/>
    <w:rsid w:val="001F443D"/>
    <w:rsid w:val="001F554C"/>
    <w:rsid w:val="001F5A9F"/>
    <w:rsid w:val="00202012"/>
    <w:rsid w:val="002021FE"/>
    <w:rsid w:val="00203643"/>
    <w:rsid w:val="00203B9F"/>
    <w:rsid w:val="002105FC"/>
    <w:rsid w:val="00210ED4"/>
    <w:rsid w:val="00211FC2"/>
    <w:rsid w:val="002124C1"/>
    <w:rsid w:val="00217E74"/>
    <w:rsid w:val="00224E5C"/>
    <w:rsid w:val="00225803"/>
    <w:rsid w:val="002266C0"/>
    <w:rsid w:val="00230CAD"/>
    <w:rsid w:val="00234C49"/>
    <w:rsid w:val="00235429"/>
    <w:rsid w:val="00236770"/>
    <w:rsid w:val="00237E80"/>
    <w:rsid w:val="002414B7"/>
    <w:rsid w:val="00241B9E"/>
    <w:rsid w:val="002435A8"/>
    <w:rsid w:val="00243DF5"/>
    <w:rsid w:val="00243F1A"/>
    <w:rsid w:val="00243FEA"/>
    <w:rsid w:val="00244E7B"/>
    <w:rsid w:val="00245C2F"/>
    <w:rsid w:val="002462B5"/>
    <w:rsid w:val="00250737"/>
    <w:rsid w:val="0025095E"/>
    <w:rsid w:val="00250974"/>
    <w:rsid w:val="00252445"/>
    <w:rsid w:val="00252F1E"/>
    <w:rsid w:val="002539D6"/>
    <w:rsid w:val="00253ACD"/>
    <w:rsid w:val="00254043"/>
    <w:rsid w:val="0025485A"/>
    <w:rsid w:val="00254F42"/>
    <w:rsid w:val="0026191F"/>
    <w:rsid w:val="00261F8E"/>
    <w:rsid w:val="002646D9"/>
    <w:rsid w:val="00266EB3"/>
    <w:rsid w:val="00266F12"/>
    <w:rsid w:val="00270446"/>
    <w:rsid w:val="00272B8E"/>
    <w:rsid w:val="00274046"/>
    <w:rsid w:val="00274D9F"/>
    <w:rsid w:val="002752E0"/>
    <w:rsid w:val="00276ECF"/>
    <w:rsid w:val="0027708B"/>
    <w:rsid w:val="002770FD"/>
    <w:rsid w:val="00277C5C"/>
    <w:rsid w:val="00277F6E"/>
    <w:rsid w:val="0028069F"/>
    <w:rsid w:val="00282486"/>
    <w:rsid w:val="00284F89"/>
    <w:rsid w:val="002858D0"/>
    <w:rsid w:val="00285C95"/>
    <w:rsid w:val="00287335"/>
    <w:rsid w:val="00287994"/>
    <w:rsid w:val="00290028"/>
    <w:rsid w:val="00293C82"/>
    <w:rsid w:val="00293FD5"/>
    <w:rsid w:val="002942F5"/>
    <w:rsid w:val="0029485E"/>
    <w:rsid w:val="0029578D"/>
    <w:rsid w:val="002962C7"/>
    <w:rsid w:val="00296D53"/>
    <w:rsid w:val="002A21E7"/>
    <w:rsid w:val="002A5D66"/>
    <w:rsid w:val="002A6921"/>
    <w:rsid w:val="002A69B3"/>
    <w:rsid w:val="002A7F70"/>
    <w:rsid w:val="002B089C"/>
    <w:rsid w:val="002C24EA"/>
    <w:rsid w:val="002C2E35"/>
    <w:rsid w:val="002C4797"/>
    <w:rsid w:val="002C489B"/>
    <w:rsid w:val="002C52E2"/>
    <w:rsid w:val="002C6C9D"/>
    <w:rsid w:val="002D3597"/>
    <w:rsid w:val="002D35FA"/>
    <w:rsid w:val="002D3AB0"/>
    <w:rsid w:val="002D41DF"/>
    <w:rsid w:val="002D69EF"/>
    <w:rsid w:val="002D6F2A"/>
    <w:rsid w:val="002D754E"/>
    <w:rsid w:val="002E030B"/>
    <w:rsid w:val="002E0612"/>
    <w:rsid w:val="002E1338"/>
    <w:rsid w:val="002E1807"/>
    <w:rsid w:val="002E1D7B"/>
    <w:rsid w:val="002E203E"/>
    <w:rsid w:val="002E33FF"/>
    <w:rsid w:val="002E380E"/>
    <w:rsid w:val="002E3CC5"/>
    <w:rsid w:val="002E5017"/>
    <w:rsid w:val="002E5C98"/>
    <w:rsid w:val="002E5F2E"/>
    <w:rsid w:val="002E5F7A"/>
    <w:rsid w:val="002E61F6"/>
    <w:rsid w:val="002E6EEE"/>
    <w:rsid w:val="002E72A8"/>
    <w:rsid w:val="002E7A3D"/>
    <w:rsid w:val="002E7ADE"/>
    <w:rsid w:val="002F277D"/>
    <w:rsid w:val="002F2988"/>
    <w:rsid w:val="002F423E"/>
    <w:rsid w:val="002F5B1B"/>
    <w:rsid w:val="002F5DE4"/>
    <w:rsid w:val="002F6456"/>
    <w:rsid w:val="002F7EEB"/>
    <w:rsid w:val="00303E9D"/>
    <w:rsid w:val="00304BB6"/>
    <w:rsid w:val="003050D2"/>
    <w:rsid w:val="00305530"/>
    <w:rsid w:val="0031110D"/>
    <w:rsid w:val="00312D17"/>
    <w:rsid w:val="00312E78"/>
    <w:rsid w:val="003148A8"/>
    <w:rsid w:val="00314C10"/>
    <w:rsid w:val="003154CC"/>
    <w:rsid w:val="00315A83"/>
    <w:rsid w:val="00315E97"/>
    <w:rsid w:val="003161EA"/>
    <w:rsid w:val="00316B3C"/>
    <w:rsid w:val="0032252C"/>
    <w:rsid w:val="00322A54"/>
    <w:rsid w:val="0032514D"/>
    <w:rsid w:val="003253BC"/>
    <w:rsid w:val="00326084"/>
    <w:rsid w:val="00326E42"/>
    <w:rsid w:val="003274EB"/>
    <w:rsid w:val="003317CF"/>
    <w:rsid w:val="003326E2"/>
    <w:rsid w:val="00336E78"/>
    <w:rsid w:val="00340677"/>
    <w:rsid w:val="00340E37"/>
    <w:rsid w:val="00342A17"/>
    <w:rsid w:val="00343278"/>
    <w:rsid w:val="00346440"/>
    <w:rsid w:val="00346949"/>
    <w:rsid w:val="00351042"/>
    <w:rsid w:val="003514B9"/>
    <w:rsid w:val="00351812"/>
    <w:rsid w:val="00352BED"/>
    <w:rsid w:val="00352F09"/>
    <w:rsid w:val="0035358C"/>
    <w:rsid w:val="003537A8"/>
    <w:rsid w:val="0035414D"/>
    <w:rsid w:val="00355630"/>
    <w:rsid w:val="00355CD0"/>
    <w:rsid w:val="00356AA9"/>
    <w:rsid w:val="00357FC4"/>
    <w:rsid w:val="0036057C"/>
    <w:rsid w:val="003633D3"/>
    <w:rsid w:val="003633DE"/>
    <w:rsid w:val="00363989"/>
    <w:rsid w:val="00363EF1"/>
    <w:rsid w:val="00363F67"/>
    <w:rsid w:val="00364089"/>
    <w:rsid w:val="00365BF7"/>
    <w:rsid w:val="00372CCA"/>
    <w:rsid w:val="00372EE5"/>
    <w:rsid w:val="00373ADD"/>
    <w:rsid w:val="00373D27"/>
    <w:rsid w:val="00373F15"/>
    <w:rsid w:val="0037607C"/>
    <w:rsid w:val="003774B2"/>
    <w:rsid w:val="00381130"/>
    <w:rsid w:val="00382D21"/>
    <w:rsid w:val="00383001"/>
    <w:rsid w:val="003847BD"/>
    <w:rsid w:val="00386383"/>
    <w:rsid w:val="003868B9"/>
    <w:rsid w:val="00386E1B"/>
    <w:rsid w:val="00387CBB"/>
    <w:rsid w:val="003900D9"/>
    <w:rsid w:val="00390370"/>
    <w:rsid w:val="00391A4F"/>
    <w:rsid w:val="003928D0"/>
    <w:rsid w:val="00393AE2"/>
    <w:rsid w:val="00395355"/>
    <w:rsid w:val="00397485"/>
    <w:rsid w:val="00397A9C"/>
    <w:rsid w:val="003A24EE"/>
    <w:rsid w:val="003A2C79"/>
    <w:rsid w:val="003A3B61"/>
    <w:rsid w:val="003A4EBF"/>
    <w:rsid w:val="003A5268"/>
    <w:rsid w:val="003A6EEE"/>
    <w:rsid w:val="003B1B50"/>
    <w:rsid w:val="003B1E6A"/>
    <w:rsid w:val="003B5ED6"/>
    <w:rsid w:val="003B6047"/>
    <w:rsid w:val="003B7716"/>
    <w:rsid w:val="003C03A5"/>
    <w:rsid w:val="003C0CA7"/>
    <w:rsid w:val="003C0DF9"/>
    <w:rsid w:val="003C19E9"/>
    <w:rsid w:val="003C469C"/>
    <w:rsid w:val="003C5762"/>
    <w:rsid w:val="003D16D3"/>
    <w:rsid w:val="003D1BE4"/>
    <w:rsid w:val="003D4985"/>
    <w:rsid w:val="003D55B6"/>
    <w:rsid w:val="003D5F88"/>
    <w:rsid w:val="003E081D"/>
    <w:rsid w:val="003E2222"/>
    <w:rsid w:val="003E2AE1"/>
    <w:rsid w:val="003E33D1"/>
    <w:rsid w:val="003E3A89"/>
    <w:rsid w:val="003E4E65"/>
    <w:rsid w:val="003E50BC"/>
    <w:rsid w:val="003E55DA"/>
    <w:rsid w:val="003E66C9"/>
    <w:rsid w:val="003E6ED9"/>
    <w:rsid w:val="003E7212"/>
    <w:rsid w:val="003F2D8C"/>
    <w:rsid w:val="003F33F1"/>
    <w:rsid w:val="003F362E"/>
    <w:rsid w:val="003F6525"/>
    <w:rsid w:val="003F6B41"/>
    <w:rsid w:val="003F6F8D"/>
    <w:rsid w:val="00404F98"/>
    <w:rsid w:val="00405652"/>
    <w:rsid w:val="00411196"/>
    <w:rsid w:val="0041273E"/>
    <w:rsid w:val="00413742"/>
    <w:rsid w:val="00413889"/>
    <w:rsid w:val="004139D0"/>
    <w:rsid w:val="00415D50"/>
    <w:rsid w:val="004161A5"/>
    <w:rsid w:val="00416E18"/>
    <w:rsid w:val="00417203"/>
    <w:rsid w:val="0042094B"/>
    <w:rsid w:val="0042118D"/>
    <w:rsid w:val="004213CE"/>
    <w:rsid w:val="004216CF"/>
    <w:rsid w:val="004218C6"/>
    <w:rsid w:val="004223FA"/>
    <w:rsid w:val="004233B2"/>
    <w:rsid w:val="00424E11"/>
    <w:rsid w:val="00425F0B"/>
    <w:rsid w:val="004272B0"/>
    <w:rsid w:val="004276A2"/>
    <w:rsid w:val="004302E2"/>
    <w:rsid w:val="00430F1C"/>
    <w:rsid w:val="00431F05"/>
    <w:rsid w:val="004447FF"/>
    <w:rsid w:val="00445523"/>
    <w:rsid w:val="004458DE"/>
    <w:rsid w:val="00445C7D"/>
    <w:rsid w:val="00445F7E"/>
    <w:rsid w:val="00452C91"/>
    <w:rsid w:val="00453128"/>
    <w:rsid w:val="0045334E"/>
    <w:rsid w:val="00453506"/>
    <w:rsid w:val="00453C42"/>
    <w:rsid w:val="00455655"/>
    <w:rsid w:val="00455ED8"/>
    <w:rsid w:val="00455FE3"/>
    <w:rsid w:val="00461BEF"/>
    <w:rsid w:val="00462038"/>
    <w:rsid w:val="00463152"/>
    <w:rsid w:val="0046328C"/>
    <w:rsid w:val="004636D1"/>
    <w:rsid w:val="00463E9A"/>
    <w:rsid w:val="0046438E"/>
    <w:rsid w:val="004654B8"/>
    <w:rsid w:val="00465D5A"/>
    <w:rsid w:val="00466F34"/>
    <w:rsid w:val="004700C1"/>
    <w:rsid w:val="00470E30"/>
    <w:rsid w:val="00472F35"/>
    <w:rsid w:val="004736B9"/>
    <w:rsid w:val="00474474"/>
    <w:rsid w:val="0047620D"/>
    <w:rsid w:val="004773D4"/>
    <w:rsid w:val="00477A57"/>
    <w:rsid w:val="00480582"/>
    <w:rsid w:val="004829E3"/>
    <w:rsid w:val="00483071"/>
    <w:rsid w:val="004835AD"/>
    <w:rsid w:val="0048411C"/>
    <w:rsid w:val="00484AF9"/>
    <w:rsid w:val="00484B58"/>
    <w:rsid w:val="00484E21"/>
    <w:rsid w:val="00484EFD"/>
    <w:rsid w:val="004863DE"/>
    <w:rsid w:val="004872E3"/>
    <w:rsid w:val="004905C4"/>
    <w:rsid w:val="00490D39"/>
    <w:rsid w:val="00490EEC"/>
    <w:rsid w:val="0049165C"/>
    <w:rsid w:val="004922AC"/>
    <w:rsid w:val="004926BC"/>
    <w:rsid w:val="004928BB"/>
    <w:rsid w:val="00493432"/>
    <w:rsid w:val="004937B8"/>
    <w:rsid w:val="004940D2"/>
    <w:rsid w:val="00494805"/>
    <w:rsid w:val="00494918"/>
    <w:rsid w:val="00495969"/>
    <w:rsid w:val="00495C53"/>
    <w:rsid w:val="00495D06"/>
    <w:rsid w:val="004971DD"/>
    <w:rsid w:val="004A0432"/>
    <w:rsid w:val="004A0E9B"/>
    <w:rsid w:val="004A225D"/>
    <w:rsid w:val="004A2A3F"/>
    <w:rsid w:val="004A3BAC"/>
    <w:rsid w:val="004A3EBF"/>
    <w:rsid w:val="004A4065"/>
    <w:rsid w:val="004A4217"/>
    <w:rsid w:val="004B027D"/>
    <w:rsid w:val="004B048E"/>
    <w:rsid w:val="004B31AB"/>
    <w:rsid w:val="004B420C"/>
    <w:rsid w:val="004B4E23"/>
    <w:rsid w:val="004B5D07"/>
    <w:rsid w:val="004B641D"/>
    <w:rsid w:val="004B6B21"/>
    <w:rsid w:val="004B6BF9"/>
    <w:rsid w:val="004B7680"/>
    <w:rsid w:val="004B7944"/>
    <w:rsid w:val="004C0D60"/>
    <w:rsid w:val="004C1375"/>
    <w:rsid w:val="004C1560"/>
    <w:rsid w:val="004C1BB5"/>
    <w:rsid w:val="004C2841"/>
    <w:rsid w:val="004C2E40"/>
    <w:rsid w:val="004C331B"/>
    <w:rsid w:val="004C54BF"/>
    <w:rsid w:val="004C667B"/>
    <w:rsid w:val="004C6CF0"/>
    <w:rsid w:val="004C7604"/>
    <w:rsid w:val="004D1546"/>
    <w:rsid w:val="004D1EA1"/>
    <w:rsid w:val="004D2509"/>
    <w:rsid w:val="004D2CC7"/>
    <w:rsid w:val="004D4B8E"/>
    <w:rsid w:val="004D5A14"/>
    <w:rsid w:val="004D65A9"/>
    <w:rsid w:val="004E04C2"/>
    <w:rsid w:val="004E0A68"/>
    <w:rsid w:val="004E1786"/>
    <w:rsid w:val="004E17F8"/>
    <w:rsid w:val="004E26E2"/>
    <w:rsid w:val="004E2BC6"/>
    <w:rsid w:val="004E2E09"/>
    <w:rsid w:val="004E32C1"/>
    <w:rsid w:val="004E39EE"/>
    <w:rsid w:val="004E41C8"/>
    <w:rsid w:val="004E49A9"/>
    <w:rsid w:val="004E52BD"/>
    <w:rsid w:val="004E586A"/>
    <w:rsid w:val="004E659B"/>
    <w:rsid w:val="004E70A5"/>
    <w:rsid w:val="004F141B"/>
    <w:rsid w:val="004F46BC"/>
    <w:rsid w:val="004F5A59"/>
    <w:rsid w:val="004F5F1F"/>
    <w:rsid w:val="004F6052"/>
    <w:rsid w:val="004F7883"/>
    <w:rsid w:val="004F7D00"/>
    <w:rsid w:val="005010D4"/>
    <w:rsid w:val="00501FDC"/>
    <w:rsid w:val="00503145"/>
    <w:rsid w:val="00504DC0"/>
    <w:rsid w:val="0050514C"/>
    <w:rsid w:val="00505508"/>
    <w:rsid w:val="00505968"/>
    <w:rsid w:val="005068B7"/>
    <w:rsid w:val="00507330"/>
    <w:rsid w:val="00507A09"/>
    <w:rsid w:val="00507CE0"/>
    <w:rsid w:val="00510EA0"/>
    <w:rsid w:val="005112E1"/>
    <w:rsid w:val="00512D06"/>
    <w:rsid w:val="005142DB"/>
    <w:rsid w:val="00514F65"/>
    <w:rsid w:val="00514F66"/>
    <w:rsid w:val="0051652F"/>
    <w:rsid w:val="00516E94"/>
    <w:rsid w:val="005202F7"/>
    <w:rsid w:val="00522823"/>
    <w:rsid w:val="00524EFE"/>
    <w:rsid w:val="0052650E"/>
    <w:rsid w:val="0053044D"/>
    <w:rsid w:val="005310EB"/>
    <w:rsid w:val="00531BAE"/>
    <w:rsid w:val="00531FE4"/>
    <w:rsid w:val="00532274"/>
    <w:rsid w:val="00532A5F"/>
    <w:rsid w:val="0053579F"/>
    <w:rsid w:val="00535C81"/>
    <w:rsid w:val="00536566"/>
    <w:rsid w:val="00536B2D"/>
    <w:rsid w:val="00537E72"/>
    <w:rsid w:val="0054207D"/>
    <w:rsid w:val="00547719"/>
    <w:rsid w:val="00550E16"/>
    <w:rsid w:val="005521C0"/>
    <w:rsid w:val="0055234B"/>
    <w:rsid w:val="00553B98"/>
    <w:rsid w:val="005551E4"/>
    <w:rsid w:val="00557653"/>
    <w:rsid w:val="00562351"/>
    <w:rsid w:val="00562716"/>
    <w:rsid w:val="00562747"/>
    <w:rsid w:val="0056349A"/>
    <w:rsid w:val="00565099"/>
    <w:rsid w:val="005659C8"/>
    <w:rsid w:val="005704C3"/>
    <w:rsid w:val="005704FB"/>
    <w:rsid w:val="00570902"/>
    <w:rsid w:val="00570B04"/>
    <w:rsid w:val="00570B35"/>
    <w:rsid w:val="00570CB9"/>
    <w:rsid w:val="005731E2"/>
    <w:rsid w:val="005739D7"/>
    <w:rsid w:val="00574F29"/>
    <w:rsid w:val="00575E85"/>
    <w:rsid w:val="00576B17"/>
    <w:rsid w:val="00584C43"/>
    <w:rsid w:val="0058518C"/>
    <w:rsid w:val="00586CC2"/>
    <w:rsid w:val="0058700C"/>
    <w:rsid w:val="00587A41"/>
    <w:rsid w:val="0059098C"/>
    <w:rsid w:val="00590DC5"/>
    <w:rsid w:val="00591077"/>
    <w:rsid w:val="00592698"/>
    <w:rsid w:val="0059454F"/>
    <w:rsid w:val="00595144"/>
    <w:rsid w:val="005961FB"/>
    <w:rsid w:val="00597CF4"/>
    <w:rsid w:val="005A0722"/>
    <w:rsid w:val="005A231E"/>
    <w:rsid w:val="005A243B"/>
    <w:rsid w:val="005A2E7F"/>
    <w:rsid w:val="005A3253"/>
    <w:rsid w:val="005A385A"/>
    <w:rsid w:val="005A4C13"/>
    <w:rsid w:val="005A4CAE"/>
    <w:rsid w:val="005A6C06"/>
    <w:rsid w:val="005A7F22"/>
    <w:rsid w:val="005B0427"/>
    <w:rsid w:val="005B0B05"/>
    <w:rsid w:val="005B1866"/>
    <w:rsid w:val="005B2AB7"/>
    <w:rsid w:val="005B2B87"/>
    <w:rsid w:val="005B3A83"/>
    <w:rsid w:val="005B42A5"/>
    <w:rsid w:val="005B629D"/>
    <w:rsid w:val="005C00DA"/>
    <w:rsid w:val="005C04EA"/>
    <w:rsid w:val="005C0FF9"/>
    <w:rsid w:val="005C2397"/>
    <w:rsid w:val="005C391C"/>
    <w:rsid w:val="005C3FCF"/>
    <w:rsid w:val="005C47C8"/>
    <w:rsid w:val="005C63D1"/>
    <w:rsid w:val="005D012B"/>
    <w:rsid w:val="005D0783"/>
    <w:rsid w:val="005D1261"/>
    <w:rsid w:val="005D1644"/>
    <w:rsid w:val="005D190C"/>
    <w:rsid w:val="005D3069"/>
    <w:rsid w:val="005D3F82"/>
    <w:rsid w:val="005D46F0"/>
    <w:rsid w:val="005D553F"/>
    <w:rsid w:val="005D5A04"/>
    <w:rsid w:val="005D5E9D"/>
    <w:rsid w:val="005D676D"/>
    <w:rsid w:val="005D76B7"/>
    <w:rsid w:val="005E0DAC"/>
    <w:rsid w:val="005E0F19"/>
    <w:rsid w:val="005E25DB"/>
    <w:rsid w:val="005E54E3"/>
    <w:rsid w:val="005E6549"/>
    <w:rsid w:val="005E6DBD"/>
    <w:rsid w:val="005F0104"/>
    <w:rsid w:val="005F1907"/>
    <w:rsid w:val="005F621C"/>
    <w:rsid w:val="005F7F4B"/>
    <w:rsid w:val="00600B06"/>
    <w:rsid w:val="0060129A"/>
    <w:rsid w:val="006022E2"/>
    <w:rsid w:val="00602E9E"/>
    <w:rsid w:val="00602F33"/>
    <w:rsid w:val="006103AF"/>
    <w:rsid w:val="00610DC2"/>
    <w:rsid w:val="006110FF"/>
    <w:rsid w:val="00611A7E"/>
    <w:rsid w:val="00611D8A"/>
    <w:rsid w:val="00615B69"/>
    <w:rsid w:val="00617AD7"/>
    <w:rsid w:val="00617DBB"/>
    <w:rsid w:val="00620B19"/>
    <w:rsid w:val="006211B7"/>
    <w:rsid w:val="00621ED9"/>
    <w:rsid w:val="00621F98"/>
    <w:rsid w:val="00624D10"/>
    <w:rsid w:val="00624F79"/>
    <w:rsid w:val="00625E35"/>
    <w:rsid w:val="006262E5"/>
    <w:rsid w:val="006264CB"/>
    <w:rsid w:val="00627137"/>
    <w:rsid w:val="00627252"/>
    <w:rsid w:val="00630F96"/>
    <w:rsid w:val="0063244E"/>
    <w:rsid w:val="006349F5"/>
    <w:rsid w:val="00635C27"/>
    <w:rsid w:val="006362B4"/>
    <w:rsid w:val="00636530"/>
    <w:rsid w:val="00636A0C"/>
    <w:rsid w:val="006371E2"/>
    <w:rsid w:val="006403A0"/>
    <w:rsid w:val="00640555"/>
    <w:rsid w:val="00640DB7"/>
    <w:rsid w:val="00641316"/>
    <w:rsid w:val="00641C84"/>
    <w:rsid w:val="00641FD5"/>
    <w:rsid w:val="00643C23"/>
    <w:rsid w:val="00644490"/>
    <w:rsid w:val="00645247"/>
    <w:rsid w:val="00645601"/>
    <w:rsid w:val="00645C03"/>
    <w:rsid w:val="006478DC"/>
    <w:rsid w:val="00650201"/>
    <w:rsid w:val="0065081B"/>
    <w:rsid w:val="006520B1"/>
    <w:rsid w:val="0065225F"/>
    <w:rsid w:val="0065344E"/>
    <w:rsid w:val="00654FD2"/>
    <w:rsid w:val="006557C8"/>
    <w:rsid w:val="0065586C"/>
    <w:rsid w:val="006560E3"/>
    <w:rsid w:val="006579C7"/>
    <w:rsid w:val="00661BEE"/>
    <w:rsid w:val="0066207C"/>
    <w:rsid w:val="006633EF"/>
    <w:rsid w:val="006637C2"/>
    <w:rsid w:val="00664C6B"/>
    <w:rsid w:val="00674DE8"/>
    <w:rsid w:val="006751B7"/>
    <w:rsid w:val="00675FC5"/>
    <w:rsid w:val="006764C6"/>
    <w:rsid w:val="0067689C"/>
    <w:rsid w:val="006771C3"/>
    <w:rsid w:val="00680465"/>
    <w:rsid w:val="00680680"/>
    <w:rsid w:val="00680AB3"/>
    <w:rsid w:val="006822BF"/>
    <w:rsid w:val="0068239A"/>
    <w:rsid w:val="00683119"/>
    <w:rsid w:val="00683BCF"/>
    <w:rsid w:val="0068672D"/>
    <w:rsid w:val="00690626"/>
    <w:rsid w:val="006915A0"/>
    <w:rsid w:val="00695CBE"/>
    <w:rsid w:val="00696571"/>
    <w:rsid w:val="00696731"/>
    <w:rsid w:val="006967B4"/>
    <w:rsid w:val="00696E03"/>
    <w:rsid w:val="006A0831"/>
    <w:rsid w:val="006A3B5C"/>
    <w:rsid w:val="006A49D5"/>
    <w:rsid w:val="006A54A9"/>
    <w:rsid w:val="006A5C87"/>
    <w:rsid w:val="006A7341"/>
    <w:rsid w:val="006B0BD7"/>
    <w:rsid w:val="006B5A04"/>
    <w:rsid w:val="006B5F7A"/>
    <w:rsid w:val="006C40A9"/>
    <w:rsid w:val="006C4573"/>
    <w:rsid w:val="006C4741"/>
    <w:rsid w:val="006C6DCF"/>
    <w:rsid w:val="006C7AB4"/>
    <w:rsid w:val="006D02CD"/>
    <w:rsid w:val="006D1E86"/>
    <w:rsid w:val="006D26B5"/>
    <w:rsid w:val="006D2F72"/>
    <w:rsid w:val="006E1E87"/>
    <w:rsid w:val="006E1F2F"/>
    <w:rsid w:val="006E21A5"/>
    <w:rsid w:val="006E294B"/>
    <w:rsid w:val="006E5680"/>
    <w:rsid w:val="006E58C9"/>
    <w:rsid w:val="006E58EE"/>
    <w:rsid w:val="006E6430"/>
    <w:rsid w:val="006E654A"/>
    <w:rsid w:val="006E7BC4"/>
    <w:rsid w:val="006E7C2E"/>
    <w:rsid w:val="006F04FA"/>
    <w:rsid w:val="006F17A9"/>
    <w:rsid w:val="006F3113"/>
    <w:rsid w:val="006F3291"/>
    <w:rsid w:val="006F4976"/>
    <w:rsid w:val="006F4E0B"/>
    <w:rsid w:val="006F6A9E"/>
    <w:rsid w:val="00701503"/>
    <w:rsid w:val="0070180F"/>
    <w:rsid w:val="00701F68"/>
    <w:rsid w:val="00702A9C"/>
    <w:rsid w:val="00703486"/>
    <w:rsid w:val="007047DF"/>
    <w:rsid w:val="007066C8"/>
    <w:rsid w:val="00706BA2"/>
    <w:rsid w:val="00707479"/>
    <w:rsid w:val="00711811"/>
    <w:rsid w:val="00712CEA"/>
    <w:rsid w:val="007133C4"/>
    <w:rsid w:val="0071412D"/>
    <w:rsid w:val="00714D58"/>
    <w:rsid w:val="007150E8"/>
    <w:rsid w:val="007203D1"/>
    <w:rsid w:val="007211EC"/>
    <w:rsid w:val="00721D01"/>
    <w:rsid w:val="007247B7"/>
    <w:rsid w:val="0072528B"/>
    <w:rsid w:val="007254E1"/>
    <w:rsid w:val="00727EA3"/>
    <w:rsid w:val="00733B92"/>
    <w:rsid w:val="0073462B"/>
    <w:rsid w:val="00734985"/>
    <w:rsid w:val="00735243"/>
    <w:rsid w:val="00735EB6"/>
    <w:rsid w:val="00737952"/>
    <w:rsid w:val="007420B5"/>
    <w:rsid w:val="007424D9"/>
    <w:rsid w:val="0074394D"/>
    <w:rsid w:val="00744390"/>
    <w:rsid w:val="007476A2"/>
    <w:rsid w:val="007529BF"/>
    <w:rsid w:val="00754672"/>
    <w:rsid w:val="007568EC"/>
    <w:rsid w:val="00756F4B"/>
    <w:rsid w:val="007579A1"/>
    <w:rsid w:val="00760BAB"/>
    <w:rsid w:val="007633BB"/>
    <w:rsid w:val="00764C65"/>
    <w:rsid w:val="00766F5B"/>
    <w:rsid w:val="0077018B"/>
    <w:rsid w:val="00770B98"/>
    <w:rsid w:val="00770C7C"/>
    <w:rsid w:val="00770DBB"/>
    <w:rsid w:val="00771992"/>
    <w:rsid w:val="00771C47"/>
    <w:rsid w:val="00772CB5"/>
    <w:rsid w:val="00772D18"/>
    <w:rsid w:val="00775431"/>
    <w:rsid w:val="007774A1"/>
    <w:rsid w:val="0077765E"/>
    <w:rsid w:val="00777682"/>
    <w:rsid w:val="0077793E"/>
    <w:rsid w:val="00777C85"/>
    <w:rsid w:val="00780134"/>
    <w:rsid w:val="00781925"/>
    <w:rsid w:val="0078246F"/>
    <w:rsid w:val="007841A0"/>
    <w:rsid w:val="00785DD3"/>
    <w:rsid w:val="00785F4F"/>
    <w:rsid w:val="0078685E"/>
    <w:rsid w:val="00786995"/>
    <w:rsid w:val="00786B42"/>
    <w:rsid w:val="007870EE"/>
    <w:rsid w:val="0079098F"/>
    <w:rsid w:val="00790E5A"/>
    <w:rsid w:val="007914A7"/>
    <w:rsid w:val="0079253D"/>
    <w:rsid w:val="007927DC"/>
    <w:rsid w:val="00792A85"/>
    <w:rsid w:val="0079773B"/>
    <w:rsid w:val="007A0429"/>
    <w:rsid w:val="007A0541"/>
    <w:rsid w:val="007A11E1"/>
    <w:rsid w:val="007A15E9"/>
    <w:rsid w:val="007A1953"/>
    <w:rsid w:val="007A2982"/>
    <w:rsid w:val="007A302B"/>
    <w:rsid w:val="007A39D2"/>
    <w:rsid w:val="007A4ED9"/>
    <w:rsid w:val="007A58CF"/>
    <w:rsid w:val="007A6388"/>
    <w:rsid w:val="007A7A65"/>
    <w:rsid w:val="007A7FE8"/>
    <w:rsid w:val="007B40B8"/>
    <w:rsid w:val="007B5AE4"/>
    <w:rsid w:val="007B66F1"/>
    <w:rsid w:val="007C0117"/>
    <w:rsid w:val="007C143D"/>
    <w:rsid w:val="007C2CE4"/>
    <w:rsid w:val="007C5B1D"/>
    <w:rsid w:val="007C5BE7"/>
    <w:rsid w:val="007C72FC"/>
    <w:rsid w:val="007C75B9"/>
    <w:rsid w:val="007D0607"/>
    <w:rsid w:val="007D2A7C"/>
    <w:rsid w:val="007D2BB2"/>
    <w:rsid w:val="007D30FC"/>
    <w:rsid w:val="007D470F"/>
    <w:rsid w:val="007D7283"/>
    <w:rsid w:val="007E2B15"/>
    <w:rsid w:val="007E4C88"/>
    <w:rsid w:val="007E5F0A"/>
    <w:rsid w:val="007F0DA5"/>
    <w:rsid w:val="007F3017"/>
    <w:rsid w:val="007F33CC"/>
    <w:rsid w:val="007F5039"/>
    <w:rsid w:val="007F7069"/>
    <w:rsid w:val="007F711C"/>
    <w:rsid w:val="007F7265"/>
    <w:rsid w:val="00800286"/>
    <w:rsid w:val="008015C5"/>
    <w:rsid w:val="00801A6E"/>
    <w:rsid w:val="00801AD7"/>
    <w:rsid w:val="00801EDD"/>
    <w:rsid w:val="00802903"/>
    <w:rsid w:val="008048FD"/>
    <w:rsid w:val="008056F7"/>
    <w:rsid w:val="00805F19"/>
    <w:rsid w:val="008064D9"/>
    <w:rsid w:val="008075EA"/>
    <w:rsid w:val="00810294"/>
    <w:rsid w:val="008112BE"/>
    <w:rsid w:val="008118AF"/>
    <w:rsid w:val="0081290D"/>
    <w:rsid w:val="00814A65"/>
    <w:rsid w:val="008160CA"/>
    <w:rsid w:val="0081770D"/>
    <w:rsid w:val="00817888"/>
    <w:rsid w:val="00821951"/>
    <w:rsid w:val="00822B1F"/>
    <w:rsid w:val="00823EEF"/>
    <w:rsid w:val="00825CD2"/>
    <w:rsid w:val="008263CE"/>
    <w:rsid w:val="008304CC"/>
    <w:rsid w:val="0083194E"/>
    <w:rsid w:val="00831DB3"/>
    <w:rsid w:val="0083203E"/>
    <w:rsid w:val="008324C4"/>
    <w:rsid w:val="0083480F"/>
    <w:rsid w:val="00835336"/>
    <w:rsid w:val="00835922"/>
    <w:rsid w:val="00835DE9"/>
    <w:rsid w:val="00837C00"/>
    <w:rsid w:val="00840003"/>
    <w:rsid w:val="00840DB9"/>
    <w:rsid w:val="00842EFF"/>
    <w:rsid w:val="00844A72"/>
    <w:rsid w:val="00844D3A"/>
    <w:rsid w:val="0084540C"/>
    <w:rsid w:val="00845883"/>
    <w:rsid w:val="00846938"/>
    <w:rsid w:val="0085261A"/>
    <w:rsid w:val="00852909"/>
    <w:rsid w:val="00852FD8"/>
    <w:rsid w:val="00853484"/>
    <w:rsid w:val="00854962"/>
    <w:rsid w:val="00854CAA"/>
    <w:rsid w:val="008555A9"/>
    <w:rsid w:val="00856668"/>
    <w:rsid w:val="00860F7D"/>
    <w:rsid w:val="00862254"/>
    <w:rsid w:val="0086386C"/>
    <w:rsid w:val="00866A17"/>
    <w:rsid w:val="00871255"/>
    <w:rsid w:val="00872352"/>
    <w:rsid w:val="0087373C"/>
    <w:rsid w:val="008739D9"/>
    <w:rsid w:val="00873B4D"/>
    <w:rsid w:val="00874870"/>
    <w:rsid w:val="0088025D"/>
    <w:rsid w:val="0088208C"/>
    <w:rsid w:val="00885B4E"/>
    <w:rsid w:val="0088652A"/>
    <w:rsid w:val="008870C0"/>
    <w:rsid w:val="00890F91"/>
    <w:rsid w:val="00893069"/>
    <w:rsid w:val="0089314C"/>
    <w:rsid w:val="00893BED"/>
    <w:rsid w:val="00894252"/>
    <w:rsid w:val="00896294"/>
    <w:rsid w:val="00896378"/>
    <w:rsid w:val="00896A80"/>
    <w:rsid w:val="00896C80"/>
    <w:rsid w:val="00896EA0"/>
    <w:rsid w:val="008A0D7D"/>
    <w:rsid w:val="008A0E97"/>
    <w:rsid w:val="008A0F4E"/>
    <w:rsid w:val="008A15BC"/>
    <w:rsid w:val="008A1838"/>
    <w:rsid w:val="008A1BA4"/>
    <w:rsid w:val="008A2FDD"/>
    <w:rsid w:val="008A4A6C"/>
    <w:rsid w:val="008A5DFF"/>
    <w:rsid w:val="008A6764"/>
    <w:rsid w:val="008A7971"/>
    <w:rsid w:val="008A7BDA"/>
    <w:rsid w:val="008A7CBD"/>
    <w:rsid w:val="008B2C5C"/>
    <w:rsid w:val="008B3869"/>
    <w:rsid w:val="008B3995"/>
    <w:rsid w:val="008B698C"/>
    <w:rsid w:val="008C0F5B"/>
    <w:rsid w:val="008C1453"/>
    <w:rsid w:val="008C1903"/>
    <w:rsid w:val="008C2B3C"/>
    <w:rsid w:val="008C2D42"/>
    <w:rsid w:val="008C2FE3"/>
    <w:rsid w:val="008C349D"/>
    <w:rsid w:val="008C39BD"/>
    <w:rsid w:val="008C39EC"/>
    <w:rsid w:val="008C3EB9"/>
    <w:rsid w:val="008C495A"/>
    <w:rsid w:val="008C5178"/>
    <w:rsid w:val="008C5840"/>
    <w:rsid w:val="008C6119"/>
    <w:rsid w:val="008C670D"/>
    <w:rsid w:val="008C6A77"/>
    <w:rsid w:val="008C7521"/>
    <w:rsid w:val="008C7783"/>
    <w:rsid w:val="008C7CC9"/>
    <w:rsid w:val="008D0932"/>
    <w:rsid w:val="008D155E"/>
    <w:rsid w:val="008D192E"/>
    <w:rsid w:val="008D237B"/>
    <w:rsid w:val="008D2EFB"/>
    <w:rsid w:val="008D34D0"/>
    <w:rsid w:val="008D378F"/>
    <w:rsid w:val="008D3F7E"/>
    <w:rsid w:val="008D50C3"/>
    <w:rsid w:val="008E0C59"/>
    <w:rsid w:val="008E1C99"/>
    <w:rsid w:val="008E2667"/>
    <w:rsid w:val="008E2954"/>
    <w:rsid w:val="008E2970"/>
    <w:rsid w:val="008E2B02"/>
    <w:rsid w:val="008E50B8"/>
    <w:rsid w:val="008E5678"/>
    <w:rsid w:val="008E6B3E"/>
    <w:rsid w:val="008F0193"/>
    <w:rsid w:val="008F304B"/>
    <w:rsid w:val="008F506C"/>
    <w:rsid w:val="008F6BFA"/>
    <w:rsid w:val="008F6EDD"/>
    <w:rsid w:val="00904B41"/>
    <w:rsid w:val="009062D7"/>
    <w:rsid w:val="00910736"/>
    <w:rsid w:val="009107BA"/>
    <w:rsid w:val="009109EF"/>
    <w:rsid w:val="00911C92"/>
    <w:rsid w:val="00912398"/>
    <w:rsid w:val="00912BB1"/>
    <w:rsid w:val="009139D5"/>
    <w:rsid w:val="00913F23"/>
    <w:rsid w:val="009155BF"/>
    <w:rsid w:val="0091793C"/>
    <w:rsid w:val="00922FB4"/>
    <w:rsid w:val="0092496C"/>
    <w:rsid w:val="009250CF"/>
    <w:rsid w:val="009312D8"/>
    <w:rsid w:val="00932E3C"/>
    <w:rsid w:val="0093300A"/>
    <w:rsid w:val="00933269"/>
    <w:rsid w:val="00933411"/>
    <w:rsid w:val="009355D9"/>
    <w:rsid w:val="00935EB2"/>
    <w:rsid w:val="00936C29"/>
    <w:rsid w:val="00937D2D"/>
    <w:rsid w:val="00937FAE"/>
    <w:rsid w:val="00941491"/>
    <w:rsid w:val="00941D40"/>
    <w:rsid w:val="00942CCA"/>
    <w:rsid w:val="0094322E"/>
    <w:rsid w:val="009456F8"/>
    <w:rsid w:val="00946456"/>
    <w:rsid w:val="00946E85"/>
    <w:rsid w:val="00947372"/>
    <w:rsid w:val="00947C32"/>
    <w:rsid w:val="00950BAA"/>
    <w:rsid w:val="009518B2"/>
    <w:rsid w:val="009519BD"/>
    <w:rsid w:val="009521DF"/>
    <w:rsid w:val="00952A6A"/>
    <w:rsid w:val="00954818"/>
    <w:rsid w:val="00954F47"/>
    <w:rsid w:val="009557A3"/>
    <w:rsid w:val="009625C4"/>
    <w:rsid w:val="009628A9"/>
    <w:rsid w:val="009646F8"/>
    <w:rsid w:val="00964E5F"/>
    <w:rsid w:val="00966617"/>
    <w:rsid w:val="009721EA"/>
    <w:rsid w:val="00973440"/>
    <w:rsid w:val="009741D6"/>
    <w:rsid w:val="00974936"/>
    <w:rsid w:val="00975545"/>
    <w:rsid w:val="00975E80"/>
    <w:rsid w:val="009774F9"/>
    <w:rsid w:val="00980B0F"/>
    <w:rsid w:val="00980B3C"/>
    <w:rsid w:val="0098204B"/>
    <w:rsid w:val="009842FF"/>
    <w:rsid w:val="00987CF6"/>
    <w:rsid w:val="00991200"/>
    <w:rsid w:val="009916C9"/>
    <w:rsid w:val="00992CA8"/>
    <w:rsid w:val="00994244"/>
    <w:rsid w:val="00994EB2"/>
    <w:rsid w:val="00995A09"/>
    <w:rsid w:val="009967D6"/>
    <w:rsid w:val="0099700C"/>
    <w:rsid w:val="009A1950"/>
    <w:rsid w:val="009A1B23"/>
    <w:rsid w:val="009A46FE"/>
    <w:rsid w:val="009A4AA1"/>
    <w:rsid w:val="009A4B1E"/>
    <w:rsid w:val="009A7180"/>
    <w:rsid w:val="009A7DF3"/>
    <w:rsid w:val="009A7EFE"/>
    <w:rsid w:val="009B0B7F"/>
    <w:rsid w:val="009B35D2"/>
    <w:rsid w:val="009B3C3F"/>
    <w:rsid w:val="009B3DD6"/>
    <w:rsid w:val="009B3FDB"/>
    <w:rsid w:val="009B4476"/>
    <w:rsid w:val="009B4A6E"/>
    <w:rsid w:val="009B5BD3"/>
    <w:rsid w:val="009B616F"/>
    <w:rsid w:val="009B7827"/>
    <w:rsid w:val="009B7E0F"/>
    <w:rsid w:val="009C3C3D"/>
    <w:rsid w:val="009C48A0"/>
    <w:rsid w:val="009C5917"/>
    <w:rsid w:val="009C619C"/>
    <w:rsid w:val="009C711B"/>
    <w:rsid w:val="009C7854"/>
    <w:rsid w:val="009D00F5"/>
    <w:rsid w:val="009D2D64"/>
    <w:rsid w:val="009D7470"/>
    <w:rsid w:val="009D7C3E"/>
    <w:rsid w:val="009E0E24"/>
    <w:rsid w:val="009E125D"/>
    <w:rsid w:val="009E17F1"/>
    <w:rsid w:val="009E3937"/>
    <w:rsid w:val="009E476F"/>
    <w:rsid w:val="009E4A65"/>
    <w:rsid w:val="009E4C7C"/>
    <w:rsid w:val="009E5F4A"/>
    <w:rsid w:val="009F1C58"/>
    <w:rsid w:val="009F2195"/>
    <w:rsid w:val="009F2689"/>
    <w:rsid w:val="009F2CDD"/>
    <w:rsid w:val="009F2F91"/>
    <w:rsid w:val="009F4F91"/>
    <w:rsid w:val="009F7BFF"/>
    <w:rsid w:val="00A01F87"/>
    <w:rsid w:val="00A034C6"/>
    <w:rsid w:val="00A037A9"/>
    <w:rsid w:val="00A04080"/>
    <w:rsid w:val="00A0636D"/>
    <w:rsid w:val="00A06FC0"/>
    <w:rsid w:val="00A07140"/>
    <w:rsid w:val="00A0736A"/>
    <w:rsid w:val="00A10B50"/>
    <w:rsid w:val="00A111EA"/>
    <w:rsid w:val="00A13CE4"/>
    <w:rsid w:val="00A142E4"/>
    <w:rsid w:val="00A2153D"/>
    <w:rsid w:val="00A24131"/>
    <w:rsid w:val="00A2419F"/>
    <w:rsid w:val="00A242AB"/>
    <w:rsid w:val="00A2578F"/>
    <w:rsid w:val="00A25F48"/>
    <w:rsid w:val="00A27182"/>
    <w:rsid w:val="00A277D9"/>
    <w:rsid w:val="00A30FF6"/>
    <w:rsid w:val="00A31C06"/>
    <w:rsid w:val="00A34532"/>
    <w:rsid w:val="00A34A1C"/>
    <w:rsid w:val="00A34B46"/>
    <w:rsid w:val="00A3599F"/>
    <w:rsid w:val="00A36EDA"/>
    <w:rsid w:val="00A37207"/>
    <w:rsid w:val="00A41948"/>
    <w:rsid w:val="00A430C4"/>
    <w:rsid w:val="00A43106"/>
    <w:rsid w:val="00A43A40"/>
    <w:rsid w:val="00A43EC6"/>
    <w:rsid w:val="00A444EB"/>
    <w:rsid w:val="00A475E2"/>
    <w:rsid w:val="00A50788"/>
    <w:rsid w:val="00A51FF7"/>
    <w:rsid w:val="00A521C3"/>
    <w:rsid w:val="00A52CF9"/>
    <w:rsid w:val="00A53568"/>
    <w:rsid w:val="00A53990"/>
    <w:rsid w:val="00A53A88"/>
    <w:rsid w:val="00A55018"/>
    <w:rsid w:val="00A55B76"/>
    <w:rsid w:val="00A579D2"/>
    <w:rsid w:val="00A6014C"/>
    <w:rsid w:val="00A6237A"/>
    <w:rsid w:val="00A64156"/>
    <w:rsid w:val="00A72265"/>
    <w:rsid w:val="00A730A3"/>
    <w:rsid w:val="00A73FC5"/>
    <w:rsid w:val="00A74098"/>
    <w:rsid w:val="00A75951"/>
    <w:rsid w:val="00A802D3"/>
    <w:rsid w:val="00A824FB"/>
    <w:rsid w:val="00A85E00"/>
    <w:rsid w:val="00A90227"/>
    <w:rsid w:val="00A91D65"/>
    <w:rsid w:val="00A91ECE"/>
    <w:rsid w:val="00A92AC2"/>
    <w:rsid w:val="00A92C0B"/>
    <w:rsid w:val="00A93565"/>
    <w:rsid w:val="00A9491A"/>
    <w:rsid w:val="00A95078"/>
    <w:rsid w:val="00A95358"/>
    <w:rsid w:val="00A95D4E"/>
    <w:rsid w:val="00AA1DA2"/>
    <w:rsid w:val="00AA4087"/>
    <w:rsid w:val="00AA47D9"/>
    <w:rsid w:val="00AA49DD"/>
    <w:rsid w:val="00AA76F8"/>
    <w:rsid w:val="00AA7B23"/>
    <w:rsid w:val="00AB1C9E"/>
    <w:rsid w:val="00AB328F"/>
    <w:rsid w:val="00AB3353"/>
    <w:rsid w:val="00AB3D0A"/>
    <w:rsid w:val="00AB3F7E"/>
    <w:rsid w:val="00AB4528"/>
    <w:rsid w:val="00AB7DFE"/>
    <w:rsid w:val="00AB7E66"/>
    <w:rsid w:val="00AC1242"/>
    <w:rsid w:val="00AC1382"/>
    <w:rsid w:val="00AC297E"/>
    <w:rsid w:val="00AC601B"/>
    <w:rsid w:val="00AC66B0"/>
    <w:rsid w:val="00AC67F8"/>
    <w:rsid w:val="00AC7448"/>
    <w:rsid w:val="00AC786E"/>
    <w:rsid w:val="00AC789B"/>
    <w:rsid w:val="00AD00CD"/>
    <w:rsid w:val="00AD02B8"/>
    <w:rsid w:val="00AD162A"/>
    <w:rsid w:val="00AD35FF"/>
    <w:rsid w:val="00AD4191"/>
    <w:rsid w:val="00AD6691"/>
    <w:rsid w:val="00AD7A65"/>
    <w:rsid w:val="00AE11E6"/>
    <w:rsid w:val="00AE14E4"/>
    <w:rsid w:val="00AE1F98"/>
    <w:rsid w:val="00AE4978"/>
    <w:rsid w:val="00AE57B3"/>
    <w:rsid w:val="00AE5A6D"/>
    <w:rsid w:val="00AE646C"/>
    <w:rsid w:val="00AF031F"/>
    <w:rsid w:val="00AF0741"/>
    <w:rsid w:val="00AF0803"/>
    <w:rsid w:val="00AF09B1"/>
    <w:rsid w:val="00AF0FF9"/>
    <w:rsid w:val="00AF16D5"/>
    <w:rsid w:val="00AF2BC4"/>
    <w:rsid w:val="00AF366E"/>
    <w:rsid w:val="00AF40E9"/>
    <w:rsid w:val="00AF45A6"/>
    <w:rsid w:val="00AF46BF"/>
    <w:rsid w:val="00AF6508"/>
    <w:rsid w:val="00AF725B"/>
    <w:rsid w:val="00AF7EEC"/>
    <w:rsid w:val="00B0027B"/>
    <w:rsid w:val="00B0057D"/>
    <w:rsid w:val="00B01E02"/>
    <w:rsid w:val="00B02024"/>
    <w:rsid w:val="00B03EC8"/>
    <w:rsid w:val="00B0457F"/>
    <w:rsid w:val="00B04F15"/>
    <w:rsid w:val="00B05AAF"/>
    <w:rsid w:val="00B06FCB"/>
    <w:rsid w:val="00B119BD"/>
    <w:rsid w:val="00B11AE9"/>
    <w:rsid w:val="00B13ABD"/>
    <w:rsid w:val="00B167CD"/>
    <w:rsid w:val="00B21B65"/>
    <w:rsid w:val="00B22430"/>
    <w:rsid w:val="00B2381E"/>
    <w:rsid w:val="00B239C5"/>
    <w:rsid w:val="00B23A32"/>
    <w:rsid w:val="00B23C16"/>
    <w:rsid w:val="00B24A18"/>
    <w:rsid w:val="00B26F3A"/>
    <w:rsid w:val="00B272D7"/>
    <w:rsid w:val="00B303E2"/>
    <w:rsid w:val="00B3072B"/>
    <w:rsid w:val="00B3081C"/>
    <w:rsid w:val="00B32125"/>
    <w:rsid w:val="00B32512"/>
    <w:rsid w:val="00B330EB"/>
    <w:rsid w:val="00B34BC5"/>
    <w:rsid w:val="00B356A5"/>
    <w:rsid w:val="00B3609C"/>
    <w:rsid w:val="00B37641"/>
    <w:rsid w:val="00B377A5"/>
    <w:rsid w:val="00B377AF"/>
    <w:rsid w:val="00B37BC8"/>
    <w:rsid w:val="00B37F5E"/>
    <w:rsid w:val="00B41A01"/>
    <w:rsid w:val="00B45A2A"/>
    <w:rsid w:val="00B464BB"/>
    <w:rsid w:val="00B47EF5"/>
    <w:rsid w:val="00B533DF"/>
    <w:rsid w:val="00B53980"/>
    <w:rsid w:val="00B53BC1"/>
    <w:rsid w:val="00B53CDF"/>
    <w:rsid w:val="00B54450"/>
    <w:rsid w:val="00B5448A"/>
    <w:rsid w:val="00B5594A"/>
    <w:rsid w:val="00B56E4B"/>
    <w:rsid w:val="00B574F7"/>
    <w:rsid w:val="00B6003B"/>
    <w:rsid w:val="00B6161A"/>
    <w:rsid w:val="00B6188D"/>
    <w:rsid w:val="00B62C9C"/>
    <w:rsid w:val="00B633EE"/>
    <w:rsid w:val="00B64CC4"/>
    <w:rsid w:val="00B6535A"/>
    <w:rsid w:val="00B666A7"/>
    <w:rsid w:val="00B66CC3"/>
    <w:rsid w:val="00B67403"/>
    <w:rsid w:val="00B74648"/>
    <w:rsid w:val="00B74E3A"/>
    <w:rsid w:val="00B74EC3"/>
    <w:rsid w:val="00B75192"/>
    <w:rsid w:val="00B7539D"/>
    <w:rsid w:val="00B75C0A"/>
    <w:rsid w:val="00B804FA"/>
    <w:rsid w:val="00B808CB"/>
    <w:rsid w:val="00B81F1F"/>
    <w:rsid w:val="00B8268F"/>
    <w:rsid w:val="00B83F18"/>
    <w:rsid w:val="00B83F5C"/>
    <w:rsid w:val="00B85060"/>
    <w:rsid w:val="00B870A2"/>
    <w:rsid w:val="00B873BB"/>
    <w:rsid w:val="00B8772F"/>
    <w:rsid w:val="00B90E8D"/>
    <w:rsid w:val="00B910E3"/>
    <w:rsid w:val="00B92B18"/>
    <w:rsid w:val="00B949FF"/>
    <w:rsid w:val="00B95049"/>
    <w:rsid w:val="00B955C8"/>
    <w:rsid w:val="00B9789B"/>
    <w:rsid w:val="00B978BC"/>
    <w:rsid w:val="00BA0BEE"/>
    <w:rsid w:val="00BA132F"/>
    <w:rsid w:val="00BA3A74"/>
    <w:rsid w:val="00BA5644"/>
    <w:rsid w:val="00BA5F96"/>
    <w:rsid w:val="00BA6024"/>
    <w:rsid w:val="00BA7037"/>
    <w:rsid w:val="00BB1414"/>
    <w:rsid w:val="00BB2CA1"/>
    <w:rsid w:val="00BB6268"/>
    <w:rsid w:val="00BC18D4"/>
    <w:rsid w:val="00BC2BF1"/>
    <w:rsid w:val="00BC4314"/>
    <w:rsid w:val="00BD097C"/>
    <w:rsid w:val="00BD10F7"/>
    <w:rsid w:val="00BD1439"/>
    <w:rsid w:val="00BD1CA1"/>
    <w:rsid w:val="00BD1CDF"/>
    <w:rsid w:val="00BD1D02"/>
    <w:rsid w:val="00BD2BBA"/>
    <w:rsid w:val="00BD3599"/>
    <w:rsid w:val="00BD667F"/>
    <w:rsid w:val="00BD6D71"/>
    <w:rsid w:val="00BE0507"/>
    <w:rsid w:val="00BE0B9F"/>
    <w:rsid w:val="00BE0C68"/>
    <w:rsid w:val="00BE146E"/>
    <w:rsid w:val="00BE2316"/>
    <w:rsid w:val="00BE23D5"/>
    <w:rsid w:val="00BE33A5"/>
    <w:rsid w:val="00BE62F3"/>
    <w:rsid w:val="00BE6AB5"/>
    <w:rsid w:val="00BE708A"/>
    <w:rsid w:val="00BE70FF"/>
    <w:rsid w:val="00BE743C"/>
    <w:rsid w:val="00BE7C3A"/>
    <w:rsid w:val="00BF06EE"/>
    <w:rsid w:val="00BF0FCD"/>
    <w:rsid w:val="00BF1407"/>
    <w:rsid w:val="00BF18A3"/>
    <w:rsid w:val="00BF2512"/>
    <w:rsid w:val="00BF5510"/>
    <w:rsid w:val="00BF583D"/>
    <w:rsid w:val="00C0102E"/>
    <w:rsid w:val="00C020C1"/>
    <w:rsid w:val="00C034BC"/>
    <w:rsid w:val="00C03830"/>
    <w:rsid w:val="00C04712"/>
    <w:rsid w:val="00C053BC"/>
    <w:rsid w:val="00C05F0F"/>
    <w:rsid w:val="00C066E1"/>
    <w:rsid w:val="00C110CB"/>
    <w:rsid w:val="00C117D9"/>
    <w:rsid w:val="00C132D5"/>
    <w:rsid w:val="00C1480B"/>
    <w:rsid w:val="00C150FA"/>
    <w:rsid w:val="00C1527C"/>
    <w:rsid w:val="00C15F7E"/>
    <w:rsid w:val="00C1677C"/>
    <w:rsid w:val="00C17BB6"/>
    <w:rsid w:val="00C20D44"/>
    <w:rsid w:val="00C20FC5"/>
    <w:rsid w:val="00C223CC"/>
    <w:rsid w:val="00C22CA3"/>
    <w:rsid w:val="00C23A74"/>
    <w:rsid w:val="00C2457A"/>
    <w:rsid w:val="00C2491D"/>
    <w:rsid w:val="00C260B4"/>
    <w:rsid w:val="00C26E85"/>
    <w:rsid w:val="00C30190"/>
    <w:rsid w:val="00C30E16"/>
    <w:rsid w:val="00C32592"/>
    <w:rsid w:val="00C33A65"/>
    <w:rsid w:val="00C3425E"/>
    <w:rsid w:val="00C34A74"/>
    <w:rsid w:val="00C35AAE"/>
    <w:rsid w:val="00C36293"/>
    <w:rsid w:val="00C36EB2"/>
    <w:rsid w:val="00C37116"/>
    <w:rsid w:val="00C413D5"/>
    <w:rsid w:val="00C41707"/>
    <w:rsid w:val="00C43E38"/>
    <w:rsid w:val="00C4459B"/>
    <w:rsid w:val="00C47725"/>
    <w:rsid w:val="00C479B6"/>
    <w:rsid w:val="00C50144"/>
    <w:rsid w:val="00C50885"/>
    <w:rsid w:val="00C50B2A"/>
    <w:rsid w:val="00C576D5"/>
    <w:rsid w:val="00C62407"/>
    <w:rsid w:val="00C625B3"/>
    <w:rsid w:val="00C62BF4"/>
    <w:rsid w:val="00C63303"/>
    <w:rsid w:val="00C63870"/>
    <w:rsid w:val="00C63C26"/>
    <w:rsid w:val="00C66EC7"/>
    <w:rsid w:val="00C66F38"/>
    <w:rsid w:val="00C674EB"/>
    <w:rsid w:val="00C70557"/>
    <w:rsid w:val="00C70CCB"/>
    <w:rsid w:val="00C70E9B"/>
    <w:rsid w:val="00C73F1A"/>
    <w:rsid w:val="00C7471D"/>
    <w:rsid w:val="00C74CF6"/>
    <w:rsid w:val="00C75AF0"/>
    <w:rsid w:val="00C75DA5"/>
    <w:rsid w:val="00C77600"/>
    <w:rsid w:val="00C804E8"/>
    <w:rsid w:val="00C82030"/>
    <w:rsid w:val="00C83C78"/>
    <w:rsid w:val="00C845E0"/>
    <w:rsid w:val="00C84A21"/>
    <w:rsid w:val="00C84B5F"/>
    <w:rsid w:val="00C878D3"/>
    <w:rsid w:val="00C9039B"/>
    <w:rsid w:val="00C91419"/>
    <w:rsid w:val="00C91507"/>
    <w:rsid w:val="00C91C33"/>
    <w:rsid w:val="00C92C00"/>
    <w:rsid w:val="00C9357F"/>
    <w:rsid w:val="00C945B3"/>
    <w:rsid w:val="00C96BB3"/>
    <w:rsid w:val="00CA0BCB"/>
    <w:rsid w:val="00CA1129"/>
    <w:rsid w:val="00CA126C"/>
    <w:rsid w:val="00CA2D57"/>
    <w:rsid w:val="00CA4431"/>
    <w:rsid w:val="00CA49E1"/>
    <w:rsid w:val="00CA4CBB"/>
    <w:rsid w:val="00CA6483"/>
    <w:rsid w:val="00CA684E"/>
    <w:rsid w:val="00CA6ADA"/>
    <w:rsid w:val="00CA7FBB"/>
    <w:rsid w:val="00CB0317"/>
    <w:rsid w:val="00CB0D24"/>
    <w:rsid w:val="00CB3014"/>
    <w:rsid w:val="00CB4333"/>
    <w:rsid w:val="00CB451C"/>
    <w:rsid w:val="00CB60AF"/>
    <w:rsid w:val="00CB70E2"/>
    <w:rsid w:val="00CB71A1"/>
    <w:rsid w:val="00CC11E4"/>
    <w:rsid w:val="00CC1A08"/>
    <w:rsid w:val="00CC27FB"/>
    <w:rsid w:val="00CC2987"/>
    <w:rsid w:val="00CC2D75"/>
    <w:rsid w:val="00CC557C"/>
    <w:rsid w:val="00CC5587"/>
    <w:rsid w:val="00CC611E"/>
    <w:rsid w:val="00CC6D03"/>
    <w:rsid w:val="00CC6F9F"/>
    <w:rsid w:val="00CC782E"/>
    <w:rsid w:val="00CD1D36"/>
    <w:rsid w:val="00CD28A5"/>
    <w:rsid w:val="00CD35AB"/>
    <w:rsid w:val="00CD5614"/>
    <w:rsid w:val="00CD5A86"/>
    <w:rsid w:val="00CD5CE6"/>
    <w:rsid w:val="00CD6097"/>
    <w:rsid w:val="00CD6F2E"/>
    <w:rsid w:val="00CD77DB"/>
    <w:rsid w:val="00CE0389"/>
    <w:rsid w:val="00CE18F5"/>
    <w:rsid w:val="00CE35CF"/>
    <w:rsid w:val="00CE4133"/>
    <w:rsid w:val="00CE57A5"/>
    <w:rsid w:val="00CE6664"/>
    <w:rsid w:val="00CE6801"/>
    <w:rsid w:val="00CE72DA"/>
    <w:rsid w:val="00CE7583"/>
    <w:rsid w:val="00CF3CCC"/>
    <w:rsid w:val="00CF4088"/>
    <w:rsid w:val="00CF46F2"/>
    <w:rsid w:val="00CF522D"/>
    <w:rsid w:val="00CF6253"/>
    <w:rsid w:val="00CF65AF"/>
    <w:rsid w:val="00CF7BCD"/>
    <w:rsid w:val="00CF7E4E"/>
    <w:rsid w:val="00D0081B"/>
    <w:rsid w:val="00D01357"/>
    <w:rsid w:val="00D0147F"/>
    <w:rsid w:val="00D02E2E"/>
    <w:rsid w:val="00D0447E"/>
    <w:rsid w:val="00D04735"/>
    <w:rsid w:val="00D04B05"/>
    <w:rsid w:val="00D06023"/>
    <w:rsid w:val="00D07497"/>
    <w:rsid w:val="00D10C84"/>
    <w:rsid w:val="00D114B6"/>
    <w:rsid w:val="00D13FA2"/>
    <w:rsid w:val="00D14D2B"/>
    <w:rsid w:val="00D168D5"/>
    <w:rsid w:val="00D16A6C"/>
    <w:rsid w:val="00D16D4A"/>
    <w:rsid w:val="00D20465"/>
    <w:rsid w:val="00D20519"/>
    <w:rsid w:val="00D2084B"/>
    <w:rsid w:val="00D20874"/>
    <w:rsid w:val="00D21DB7"/>
    <w:rsid w:val="00D248DB"/>
    <w:rsid w:val="00D25C27"/>
    <w:rsid w:val="00D2638C"/>
    <w:rsid w:val="00D2641F"/>
    <w:rsid w:val="00D274DF"/>
    <w:rsid w:val="00D30238"/>
    <w:rsid w:val="00D3296C"/>
    <w:rsid w:val="00D336AF"/>
    <w:rsid w:val="00D340CC"/>
    <w:rsid w:val="00D340EA"/>
    <w:rsid w:val="00D35B72"/>
    <w:rsid w:val="00D36786"/>
    <w:rsid w:val="00D42377"/>
    <w:rsid w:val="00D425CA"/>
    <w:rsid w:val="00D4271F"/>
    <w:rsid w:val="00D42EA1"/>
    <w:rsid w:val="00D43DFE"/>
    <w:rsid w:val="00D44238"/>
    <w:rsid w:val="00D44B8C"/>
    <w:rsid w:val="00D4530E"/>
    <w:rsid w:val="00D458F9"/>
    <w:rsid w:val="00D4591A"/>
    <w:rsid w:val="00D45BBD"/>
    <w:rsid w:val="00D45FA1"/>
    <w:rsid w:val="00D468F1"/>
    <w:rsid w:val="00D50C1E"/>
    <w:rsid w:val="00D50CFD"/>
    <w:rsid w:val="00D50FBF"/>
    <w:rsid w:val="00D51358"/>
    <w:rsid w:val="00D52270"/>
    <w:rsid w:val="00D61970"/>
    <w:rsid w:val="00D62A6C"/>
    <w:rsid w:val="00D63624"/>
    <w:rsid w:val="00D66A6F"/>
    <w:rsid w:val="00D66E45"/>
    <w:rsid w:val="00D70F52"/>
    <w:rsid w:val="00D7134F"/>
    <w:rsid w:val="00D7164D"/>
    <w:rsid w:val="00D72571"/>
    <w:rsid w:val="00D73E00"/>
    <w:rsid w:val="00D74355"/>
    <w:rsid w:val="00D74D9A"/>
    <w:rsid w:val="00D81A55"/>
    <w:rsid w:val="00D822FA"/>
    <w:rsid w:val="00D82441"/>
    <w:rsid w:val="00D82A93"/>
    <w:rsid w:val="00D82D1F"/>
    <w:rsid w:val="00D830D8"/>
    <w:rsid w:val="00D84CA7"/>
    <w:rsid w:val="00D908B6"/>
    <w:rsid w:val="00D91E45"/>
    <w:rsid w:val="00D925A8"/>
    <w:rsid w:val="00D92BF3"/>
    <w:rsid w:val="00D932EF"/>
    <w:rsid w:val="00D9626C"/>
    <w:rsid w:val="00D96925"/>
    <w:rsid w:val="00D96E58"/>
    <w:rsid w:val="00D97E11"/>
    <w:rsid w:val="00DA0BE9"/>
    <w:rsid w:val="00DA0FE8"/>
    <w:rsid w:val="00DA16EC"/>
    <w:rsid w:val="00DA1D3E"/>
    <w:rsid w:val="00DA2125"/>
    <w:rsid w:val="00DA21DA"/>
    <w:rsid w:val="00DA22C7"/>
    <w:rsid w:val="00DA378F"/>
    <w:rsid w:val="00DA5A57"/>
    <w:rsid w:val="00DA664C"/>
    <w:rsid w:val="00DA6AE8"/>
    <w:rsid w:val="00DA6F0E"/>
    <w:rsid w:val="00DA6F3A"/>
    <w:rsid w:val="00DA7A94"/>
    <w:rsid w:val="00DB07CF"/>
    <w:rsid w:val="00DB0DA1"/>
    <w:rsid w:val="00DB14E5"/>
    <w:rsid w:val="00DB1866"/>
    <w:rsid w:val="00DB1872"/>
    <w:rsid w:val="00DB1C8C"/>
    <w:rsid w:val="00DB3B29"/>
    <w:rsid w:val="00DB3E9C"/>
    <w:rsid w:val="00DB4C49"/>
    <w:rsid w:val="00DB6462"/>
    <w:rsid w:val="00DC1FD9"/>
    <w:rsid w:val="00DC2307"/>
    <w:rsid w:val="00DC2BDB"/>
    <w:rsid w:val="00DC3391"/>
    <w:rsid w:val="00DC354F"/>
    <w:rsid w:val="00DC3CED"/>
    <w:rsid w:val="00DC4F53"/>
    <w:rsid w:val="00DC5519"/>
    <w:rsid w:val="00DC57F2"/>
    <w:rsid w:val="00DC5A07"/>
    <w:rsid w:val="00DC723E"/>
    <w:rsid w:val="00DC7568"/>
    <w:rsid w:val="00DC7AF4"/>
    <w:rsid w:val="00DD0B50"/>
    <w:rsid w:val="00DD1438"/>
    <w:rsid w:val="00DD381B"/>
    <w:rsid w:val="00DD4E68"/>
    <w:rsid w:val="00DD5228"/>
    <w:rsid w:val="00DD6E7E"/>
    <w:rsid w:val="00DE1F69"/>
    <w:rsid w:val="00DE23F2"/>
    <w:rsid w:val="00DE37DD"/>
    <w:rsid w:val="00DE7118"/>
    <w:rsid w:val="00DE7686"/>
    <w:rsid w:val="00DF0394"/>
    <w:rsid w:val="00DF192E"/>
    <w:rsid w:val="00DF2241"/>
    <w:rsid w:val="00DF2BE8"/>
    <w:rsid w:val="00DF41E7"/>
    <w:rsid w:val="00DF557E"/>
    <w:rsid w:val="00DF7A97"/>
    <w:rsid w:val="00E02CC6"/>
    <w:rsid w:val="00E03BD2"/>
    <w:rsid w:val="00E03BDB"/>
    <w:rsid w:val="00E04140"/>
    <w:rsid w:val="00E06753"/>
    <w:rsid w:val="00E067F3"/>
    <w:rsid w:val="00E07745"/>
    <w:rsid w:val="00E079BB"/>
    <w:rsid w:val="00E111D1"/>
    <w:rsid w:val="00E11536"/>
    <w:rsid w:val="00E1457C"/>
    <w:rsid w:val="00E14680"/>
    <w:rsid w:val="00E14A83"/>
    <w:rsid w:val="00E15650"/>
    <w:rsid w:val="00E15ED5"/>
    <w:rsid w:val="00E171E3"/>
    <w:rsid w:val="00E1781F"/>
    <w:rsid w:val="00E20C9C"/>
    <w:rsid w:val="00E222D1"/>
    <w:rsid w:val="00E22579"/>
    <w:rsid w:val="00E22E58"/>
    <w:rsid w:val="00E2309F"/>
    <w:rsid w:val="00E237C7"/>
    <w:rsid w:val="00E24DD8"/>
    <w:rsid w:val="00E25F9A"/>
    <w:rsid w:val="00E2632E"/>
    <w:rsid w:val="00E26576"/>
    <w:rsid w:val="00E305C8"/>
    <w:rsid w:val="00E30C90"/>
    <w:rsid w:val="00E317C4"/>
    <w:rsid w:val="00E33233"/>
    <w:rsid w:val="00E3548C"/>
    <w:rsid w:val="00E36881"/>
    <w:rsid w:val="00E379B0"/>
    <w:rsid w:val="00E425FC"/>
    <w:rsid w:val="00E42642"/>
    <w:rsid w:val="00E44353"/>
    <w:rsid w:val="00E449A2"/>
    <w:rsid w:val="00E5096C"/>
    <w:rsid w:val="00E5266E"/>
    <w:rsid w:val="00E52B69"/>
    <w:rsid w:val="00E52FA8"/>
    <w:rsid w:val="00E54137"/>
    <w:rsid w:val="00E545AC"/>
    <w:rsid w:val="00E548D5"/>
    <w:rsid w:val="00E56BA0"/>
    <w:rsid w:val="00E61F60"/>
    <w:rsid w:val="00E6317B"/>
    <w:rsid w:val="00E66808"/>
    <w:rsid w:val="00E671AC"/>
    <w:rsid w:val="00E673B5"/>
    <w:rsid w:val="00E674A2"/>
    <w:rsid w:val="00E67521"/>
    <w:rsid w:val="00E67713"/>
    <w:rsid w:val="00E70AD3"/>
    <w:rsid w:val="00E72FA9"/>
    <w:rsid w:val="00E731D5"/>
    <w:rsid w:val="00E73C69"/>
    <w:rsid w:val="00E746B8"/>
    <w:rsid w:val="00E768E7"/>
    <w:rsid w:val="00E76BC3"/>
    <w:rsid w:val="00E804C9"/>
    <w:rsid w:val="00E8101B"/>
    <w:rsid w:val="00E813DB"/>
    <w:rsid w:val="00E81A64"/>
    <w:rsid w:val="00E84C36"/>
    <w:rsid w:val="00E84E34"/>
    <w:rsid w:val="00E85073"/>
    <w:rsid w:val="00E875CE"/>
    <w:rsid w:val="00E87BDA"/>
    <w:rsid w:val="00E90C6F"/>
    <w:rsid w:val="00E91CDA"/>
    <w:rsid w:val="00E943C2"/>
    <w:rsid w:val="00E94943"/>
    <w:rsid w:val="00E95C55"/>
    <w:rsid w:val="00E965C4"/>
    <w:rsid w:val="00E97D9C"/>
    <w:rsid w:val="00EA03F6"/>
    <w:rsid w:val="00EA0844"/>
    <w:rsid w:val="00EA1747"/>
    <w:rsid w:val="00EA20C0"/>
    <w:rsid w:val="00EA2F41"/>
    <w:rsid w:val="00EA507C"/>
    <w:rsid w:val="00EA5845"/>
    <w:rsid w:val="00EA723E"/>
    <w:rsid w:val="00EA7916"/>
    <w:rsid w:val="00EB15D3"/>
    <w:rsid w:val="00EB174B"/>
    <w:rsid w:val="00EB1AE1"/>
    <w:rsid w:val="00EB2235"/>
    <w:rsid w:val="00EB30BD"/>
    <w:rsid w:val="00EB35ED"/>
    <w:rsid w:val="00EB4017"/>
    <w:rsid w:val="00EB4569"/>
    <w:rsid w:val="00EB51FF"/>
    <w:rsid w:val="00EB67BE"/>
    <w:rsid w:val="00EB7D98"/>
    <w:rsid w:val="00EC20EF"/>
    <w:rsid w:val="00EC328D"/>
    <w:rsid w:val="00EC3581"/>
    <w:rsid w:val="00EC3592"/>
    <w:rsid w:val="00EC450D"/>
    <w:rsid w:val="00EC5BC0"/>
    <w:rsid w:val="00EC7B66"/>
    <w:rsid w:val="00ED08E9"/>
    <w:rsid w:val="00ED1C41"/>
    <w:rsid w:val="00ED2214"/>
    <w:rsid w:val="00ED262E"/>
    <w:rsid w:val="00ED2762"/>
    <w:rsid w:val="00ED28D2"/>
    <w:rsid w:val="00ED2E0F"/>
    <w:rsid w:val="00ED519E"/>
    <w:rsid w:val="00ED5286"/>
    <w:rsid w:val="00ED54C8"/>
    <w:rsid w:val="00ED5CA6"/>
    <w:rsid w:val="00ED6795"/>
    <w:rsid w:val="00ED718B"/>
    <w:rsid w:val="00ED763B"/>
    <w:rsid w:val="00ED7D17"/>
    <w:rsid w:val="00EE041F"/>
    <w:rsid w:val="00EE120C"/>
    <w:rsid w:val="00EE3206"/>
    <w:rsid w:val="00EE3284"/>
    <w:rsid w:val="00EE330F"/>
    <w:rsid w:val="00EE473B"/>
    <w:rsid w:val="00EE4F41"/>
    <w:rsid w:val="00EE57B5"/>
    <w:rsid w:val="00EE693E"/>
    <w:rsid w:val="00EE6E98"/>
    <w:rsid w:val="00EF186C"/>
    <w:rsid w:val="00EF18A1"/>
    <w:rsid w:val="00EF2569"/>
    <w:rsid w:val="00EF25BA"/>
    <w:rsid w:val="00EF392C"/>
    <w:rsid w:val="00EF435D"/>
    <w:rsid w:val="00EF4446"/>
    <w:rsid w:val="00EF4577"/>
    <w:rsid w:val="00EF46EB"/>
    <w:rsid w:val="00EF5620"/>
    <w:rsid w:val="00EF59F0"/>
    <w:rsid w:val="00F003D6"/>
    <w:rsid w:val="00F0077B"/>
    <w:rsid w:val="00F008C9"/>
    <w:rsid w:val="00F01CCF"/>
    <w:rsid w:val="00F01D15"/>
    <w:rsid w:val="00F02774"/>
    <w:rsid w:val="00F02E9C"/>
    <w:rsid w:val="00F04B7F"/>
    <w:rsid w:val="00F04D3B"/>
    <w:rsid w:val="00F05263"/>
    <w:rsid w:val="00F061A8"/>
    <w:rsid w:val="00F06912"/>
    <w:rsid w:val="00F111A3"/>
    <w:rsid w:val="00F12238"/>
    <w:rsid w:val="00F13D82"/>
    <w:rsid w:val="00F14700"/>
    <w:rsid w:val="00F14BD6"/>
    <w:rsid w:val="00F153A1"/>
    <w:rsid w:val="00F154F8"/>
    <w:rsid w:val="00F1608F"/>
    <w:rsid w:val="00F20685"/>
    <w:rsid w:val="00F215D1"/>
    <w:rsid w:val="00F22367"/>
    <w:rsid w:val="00F22D46"/>
    <w:rsid w:val="00F23314"/>
    <w:rsid w:val="00F2433A"/>
    <w:rsid w:val="00F26E87"/>
    <w:rsid w:val="00F2750C"/>
    <w:rsid w:val="00F3077A"/>
    <w:rsid w:val="00F309BF"/>
    <w:rsid w:val="00F31873"/>
    <w:rsid w:val="00F318FD"/>
    <w:rsid w:val="00F31FD9"/>
    <w:rsid w:val="00F3334C"/>
    <w:rsid w:val="00F3397F"/>
    <w:rsid w:val="00F33A90"/>
    <w:rsid w:val="00F34340"/>
    <w:rsid w:val="00F343A9"/>
    <w:rsid w:val="00F34B5A"/>
    <w:rsid w:val="00F34D72"/>
    <w:rsid w:val="00F34F10"/>
    <w:rsid w:val="00F3600A"/>
    <w:rsid w:val="00F36221"/>
    <w:rsid w:val="00F36358"/>
    <w:rsid w:val="00F36DD6"/>
    <w:rsid w:val="00F4033C"/>
    <w:rsid w:val="00F40808"/>
    <w:rsid w:val="00F40DAE"/>
    <w:rsid w:val="00F4136D"/>
    <w:rsid w:val="00F43A5B"/>
    <w:rsid w:val="00F44116"/>
    <w:rsid w:val="00F441F6"/>
    <w:rsid w:val="00F44310"/>
    <w:rsid w:val="00F44FB8"/>
    <w:rsid w:val="00F451EE"/>
    <w:rsid w:val="00F459CA"/>
    <w:rsid w:val="00F467F3"/>
    <w:rsid w:val="00F521AA"/>
    <w:rsid w:val="00F5235A"/>
    <w:rsid w:val="00F53908"/>
    <w:rsid w:val="00F55913"/>
    <w:rsid w:val="00F55A80"/>
    <w:rsid w:val="00F56432"/>
    <w:rsid w:val="00F56498"/>
    <w:rsid w:val="00F56653"/>
    <w:rsid w:val="00F56A75"/>
    <w:rsid w:val="00F5714F"/>
    <w:rsid w:val="00F602EF"/>
    <w:rsid w:val="00F62DA9"/>
    <w:rsid w:val="00F64E75"/>
    <w:rsid w:val="00F65E9B"/>
    <w:rsid w:val="00F67B0E"/>
    <w:rsid w:val="00F70484"/>
    <w:rsid w:val="00F70FF5"/>
    <w:rsid w:val="00F71073"/>
    <w:rsid w:val="00F731E8"/>
    <w:rsid w:val="00F73E49"/>
    <w:rsid w:val="00F77125"/>
    <w:rsid w:val="00F7747D"/>
    <w:rsid w:val="00F806BC"/>
    <w:rsid w:val="00F82CAF"/>
    <w:rsid w:val="00F838AB"/>
    <w:rsid w:val="00F867D6"/>
    <w:rsid w:val="00F86E93"/>
    <w:rsid w:val="00F87753"/>
    <w:rsid w:val="00F907CA"/>
    <w:rsid w:val="00F92118"/>
    <w:rsid w:val="00F94C28"/>
    <w:rsid w:val="00F94F63"/>
    <w:rsid w:val="00F9506A"/>
    <w:rsid w:val="00F95CD8"/>
    <w:rsid w:val="00F9608F"/>
    <w:rsid w:val="00F9692D"/>
    <w:rsid w:val="00F97BE1"/>
    <w:rsid w:val="00F97C9F"/>
    <w:rsid w:val="00FA0E98"/>
    <w:rsid w:val="00FA1AAF"/>
    <w:rsid w:val="00FA1DF9"/>
    <w:rsid w:val="00FA204C"/>
    <w:rsid w:val="00FA20FA"/>
    <w:rsid w:val="00FA2694"/>
    <w:rsid w:val="00FA2756"/>
    <w:rsid w:val="00FA2F73"/>
    <w:rsid w:val="00FA33BF"/>
    <w:rsid w:val="00FA3732"/>
    <w:rsid w:val="00FA4413"/>
    <w:rsid w:val="00FA4FA2"/>
    <w:rsid w:val="00FA6FC3"/>
    <w:rsid w:val="00FA772A"/>
    <w:rsid w:val="00FB047E"/>
    <w:rsid w:val="00FB08AA"/>
    <w:rsid w:val="00FB14D6"/>
    <w:rsid w:val="00FB2271"/>
    <w:rsid w:val="00FB269B"/>
    <w:rsid w:val="00FB4C04"/>
    <w:rsid w:val="00FB57B3"/>
    <w:rsid w:val="00FB6996"/>
    <w:rsid w:val="00FB6D77"/>
    <w:rsid w:val="00FC0CCD"/>
    <w:rsid w:val="00FC0D4C"/>
    <w:rsid w:val="00FC15C3"/>
    <w:rsid w:val="00FC1BD1"/>
    <w:rsid w:val="00FC31E7"/>
    <w:rsid w:val="00FC3F21"/>
    <w:rsid w:val="00FC6CDB"/>
    <w:rsid w:val="00FC7931"/>
    <w:rsid w:val="00FC7F53"/>
    <w:rsid w:val="00FD003C"/>
    <w:rsid w:val="00FD2838"/>
    <w:rsid w:val="00FD2B78"/>
    <w:rsid w:val="00FD370B"/>
    <w:rsid w:val="00FD3FB9"/>
    <w:rsid w:val="00FD4A40"/>
    <w:rsid w:val="00FD4E37"/>
    <w:rsid w:val="00FD576E"/>
    <w:rsid w:val="00FD5EAE"/>
    <w:rsid w:val="00FD7AFD"/>
    <w:rsid w:val="00FE0B8D"/>
    <w:rsid w:val="00FE149E"/>
    <w:rsid w:val="00FE165B"/>
    <w:rsid w:val="00FE288F"/>
    <w:rsid w:val="00FE2FBD"/>
    <w:rsid w:val="00FE5F09"/>
    <w:rsid w:val="00FE6A4B"/>
    <w:rsid w:val="00FE6C57"/>
    <w:rsid w:val="00FF3BEF"/>
    <w:rsid w:val="00FF4550"/>
    <w:rsid w:val="00FF4D6C"/>
    <w:rsid w:val="00FF733F"/>
    <w:rsid w:val="00FF79AD"/>
    <w:rsid w:val="00FF7B8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9BC84C"/>
  <w15:docId w15:val="{03E732D9-AA19-4CE1-AFA1-4394A1DD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8" w:defSemiHidden="0" w:defUnhideWhenUsed="0" w:defQFormat="0" w:count="375">
    <w:lsdException w:name="Normal" w:uiPriority="0" w:qFormat="1"/>
    <w:lsdException w:name="heading 1" w:uiPriority="1" w:qFormat="1"/>
    <w:lsdException w:name="heading 2" w:uiPriority="3" w:qFormat="1"/>
    <w:lsdException w:name="heading 3" w:uiPriority="1" w:qFormat="1"/>
    <w:lsdException w:name="heading 4" w:uiPriority="1" w:qFormat="1"/>
    <w:lsdException w:name="heading 5" w:uiPriority="1" w:qFormat="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qFormat="1"/>
    <w:lsdException w:name="footer" w:semiHidden="1" w:uiPriority="10" w:unhideWhenUsed="1" w:qFormat="1"/>
    <w:lsdException w:name="index heading" w:semiHidden="1" w:uiPriority="97" w:unhideWhenUsed="1"/>
    <w:lsdException w:name="caption" w:semiHidden="1" w:uiPriority="0" w:unhideWhenUsed="1" w:qFormat="1"/>
    <w:lsdException w:name="table of figures" w:semiHidden="1" w:uiPriority="0"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0"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4" w:unhideWhenUsed="1" w:qFormat="1"/>
    <w:lsdException w:name="List Number" w:uiPriority="7" w:qFormat="1"/>
    <w:lsdException w:name="List 2" w:semiHidden="1" w:uiPriority="4" w:unhideWhenUsed="1"/>
    <w:lsdException w:name="List 3" w:semiHidden="1" w:uiPriority="4" w:unhideWhenUsed="1"/>
    <w:lsdException w:name="List 4" w:uiPriority="4"/>
    <w:lsdException w:name="List 5" w:semiHidden="1" w:uiPriority="0"/>
    <w:lsdException w:name="List Bullet 2" w:semiHidden="1" w:uiPriority="5" w:unhideWhenUsed="1" w:qFormat="1"/>
    <w:lsdException w:name="List Bullet 3" w:semiHidden="1" w:uiPriority="2" w:unhideWhenUsed="1" w:qFormat="1"/>
    <w:lsdException w:name="List Bullet 4" w:semiHidden="1" w:uiPriority="2" w:unhideWhenUsed="1"/>
    <w:lsdException w:name="List Bullet 5" w:semiHidden="1" w:uiPriority="2" w:unhideWhenUsed="1"/>
    <w:lsdException w:name="List Number 2" w:semiHidden="1" w:uiPriority="8" w:unhideWhenUsed="1" w:qFormat="1"/>
    <w:lsdException w:name="List Number 3" w:semiHidden="1" w:uiPriority="0" w:unhideWhenUsed="1" w:qFormat="1"/>
    <w:lsdException w:name="List Number 4" w:semiHidden="1" w:uiPriority="3" w:unhideWhenUsed="1"/>
    <w:lsdException w:name="List Number 5" w:semiHidden="1" w:uiPriority="3" w:unhideWhenUsed="1"/>
    <w:lsdException w:name="Title" w:uiPriority="0"/>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qFormat="1"/>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0"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0"/>
    <w:lsdException w:name="No Spacing" w:uiPriority="0"/>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0" w:qFormat="1"/>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2EFB"/>
    <w:pPr>
      <w:adjustRightInd w:val="0"/>
      <w:snapToGrid w:val="0"/>
    </w:pPr>
    <w:rPr>
      <w:rFonts w:ascii="Calibri" w:eastAsia="MS Mincho" w:hAnsi="Calibri"/>
      <w:snapToGrid w:val="0"/>
      <w:color w:val="000000" w:themeColor="text2"/>
      <w:lang w:val="en-AU" w:eastAsia="ja-JP"/>
    </w:rPr>
  </w:style>
  <w:style w:type="paragraph" w:styleId="Heading1">
    <w:name w:val="heading 1"/>
    <w:basedOn w:val="Normal"/>
    <w:next w:val="Normal"/>
    <w:uiPriority w:val="2"/>
    <w:qFormat/>
    <w:rsid w:val="008D2EFB"/>
    <w:pPr>
      <w:keepNext/>
      <w:outlineLvl w:val="0"/>
    </w:pPr>
    <w:rPr>
      <w:rFonts w:cstheme="majorHAnsi"/>
      <w:b/>
      <w:bCs/>
      <w:color w:val="F26522" w:themeColor="accent1"/>
      <w:kern w:val="32"/>
      <w:sz w:val="28"/>
      <w:szCs w:val="32"/>
    </w:rPr>
  </w:style>
  <w:style w:type="paragraph" w:styleId="Heading2">
    <w:name w:val="heading 2"/>
    <w:basedOn w:val="Normal"/>
    <w:next w:val="Normal"/>
    <w:uiPriority w:val="3"/>
    <w:qFormat/>
    <w:rsid w:val="008D2EFB"/>
    <w:pPr>
      <w:keepNext/>
      <w:outlineLvl w:val="1"/>
    </w:pPr>
    <w:rPr>
      <w:rFonts w:cstheme="majorHAnsi"/>
      <w:b/>
      <w:bCs/>
      <w:i/>
      <w:iCs/>
      <w:color w:val="F26522" w:themeColor="accent1"/>
      <w:sz w:val="24"/>
      <w:szCs w:val="28"/>
    </w:rPr>
  </w:style>
  <w:style w:type="paragraph" w:styleId="Heading3">
    <w:name w:val="heading 3"/>
    <w:basedOn w:val="Normal"/>
    <w:next w:val="Normal"/>
    <w:semiHidden/>
    <w:qFormat/>
    <w:rsid w:val="00AE57B3"/>
    <w:pPr>
      <w:keepNext/>
      <w:spacing w:after="100"/>
      <w:contextualSpacing/>
      <w:outlineLvl w:val="2"/>
    </w:pPr>
    <w:rPr>
      <w:rFonts w:asciiTheme="majorHAnsi" w:hAnsiTheme="majorHAnsi" w:cstheme="majorHAnsi"/>
      <w:bCs/>
      <w:szCs w:val="26"/>
    </w:rPr>
  </w:style>
  <w:style w:type="paragraph" w:styleId="Heading4">
    <w:name w:val="heading 4"/>
    <w:basedOn w:val="Normal"/>
    <w:next w:val="Normal"/>
    <w:semiHidden/>
    <w:qFormat/>
    <w:rsid w:val="00C63303"/>
    <w:pPr>
      <w:keepNext/>
      <w:numPr>
        <w:ilvl w:val="3"/>
        <w:numId w:val="13"/>
      </w:numPr>
      <w:spacing w:line="216" w:lineRule="atLeast"/>
      <w:outlineLvl w:val="3"/>
    </w:pPr>
    <w:rPr>
      <w:rFonts w:asciiTheme="majorHAnsi" w:hAnsiTheme="majorHAnsi" w:cstheme="majorHAnsi"/>
      <w:b/>
      <w:bCs/>
      <w:szCs w:val="28"/>
    </w:rPr>
  </w:style>
  <w:style w:type="paragraph" w:styleId="Heading5">
    <w:name w:val="heading 5"/>
    <w:basedOn w:val="Normal"/>
    <w:next w:val="Normal"/>
    <w:semiHidden/>
    <w:qFormat/>
    <w:rsid w:val="00C63303"/>
    <w:pPr>
      <w:numPr>
        <w:ilvl w:val="4"/>
        <w:numId w:val="13"/>
      </w:numPr>
      <w:spacing w:before="240" w:after="60"/>
      <w:outlineLvl w:val="4"/>
    </w:pPr>
    <w:rPr>
      <w:rFonts w:asciiTheme="majorHAnsi" w:hAnsiTheme="majorHAnsi" w:cstheme="majorHAnsi"/>
      <w:b/>
      <w:bCs/>
      <w:i/>
      <w:iCs/>
      <w:sz w:val="16"/>
      <w:szCs w:val="26"/>
    </w:rPr>
  </w:style>
  <w:style w:type="paragraph" w:styleId="Heading6">
    <w:name w:val="heading 6"/>
    <w:basedOn w:val="Normal"/>
    <w:next w:val="Normal"/>
    <w:semiHidden/>
    <w:rsid w:val="00C63303"/>
    <w:pPr>
      <w:numPr>
        <w:ilvl w:val="5"/>
        <w:numId w:val="13"/>
      </w:numPr>
      <w:spacing w:before="240" w:after="60"/>
      <w:outlineLvl w:val="5"/>
    </w:pPr>
    <w:rPr>
      <w:rFonts w:asciiTheme="majorHAnsi" w:hAnsiTheme="majorHAnsi" w:cstheme="majorHAnsi"/>
      <w:b/>
      <w:bCs/>
      <w:sz w:val="16"/>
      <w:szCs w:val="22"/>
    </w:rPr>
  </w:style>
  <w:style w:type="paragraph" w:styleId="Heading7">
    <w:name w:val="heading 7"/>
    <w:basedOn w:val="Normal"/>
    <w:next w:val="Normal"/>
    <w:semiHidden/>
    <w:rsid w:val="00C63303"/>
    <w:pPr>
      <w:numPr>
        <w:ilvl w:val="6"/>
        <w:numId w:val="13"/>
      </w:numPr>
      <w:spacing w:before="240" w:after="60"/>
      <w:outlineLvl w:val="6"/>
    </w:pPr>
    <w:rPr>
      <w:rFonts w:asciiTheme="majorHAnsi" w:hAnsiTheme="majorHAnsi" w:cstheme="majorHAnsi"/>
      <w:sz w:val="24"/>
    </w:rPr>
  </w:style>
  <w:style w:type="paragraph" w:styleId="Heading8">
    <w:name w:val="heading 8"/>
    <w:basedOn w:val="Normal"/>
    <w:next w:val="Normal"/>
    <w:semiHidden/>
    <w:rsid w:val="00C63303"/>
    <w:pPr>
      <w:numPr>
        <w:ilvl w:val="7"/>
        <w:numId w:val="13"/>
      </w:numPr>
      <w:spacing w:before="240" w:after="60"/>
      <w:outlineLvl w:val="7"/>
    </w:pPr>
    <w:rPr>
      <w:rFonts w:asciiTheme="majorHAnsi" w:hAnsiTheme="majorHAnsi" w:cstheme="majorHAnsi"/>
      <w:i/>
      <w:iCs/>
      <w:sz w:val="24"/>
    </w:rPr>
  </w:style>
  <w:style w:type="paragraph" w:styleId="Heading9">
    <w:name w:val="heading 9"/>
    <w:basedOn w:val="Normal"/>
    <w:next w:val="Normal"/>
    <w:semiHidden/>
    <w:rsid w:val="00C63303"/>
    <w:pPr>
      <w:numPr>
        <w:ilvl w:val="8"/>
        <w:numId w:val="13"/>
      </w:numPr>
      <w:spacing w:before="240" w:after="60"/>
      <w:outlineLvl w:val="8"/>
    </w:pPr>
    <w:rPr>
      <w:rFonts w:asciiTheme="majorHAnsi" w:hAnsiTheme="majorHAnsi" w:cs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
    <w:qFormat/>
    <w:rsid w:val="00562747"/>
    <w:rPr>
      <w:rFonts w:ascii="Calibri" w:eastAsia="MS Mincho" w:hAnsi="Calibri"/>
      <w:snapToGrid w:val="0"/>
      <w:sz w:val="16"/>
      <w:lang w:val="en-AU" w:eastAsia="ja-JP"/>
    </w:rPr>
  </w:style>
  <w:style w:type="paragraph" w:styleId="Footer">
    <w:name w:val="footer"/>
    <w:link w:val="FooterChar"/>
    <w:uiPriority w:val="10"/>
    <w:qFormat/>
    <w:rsid w:val="007F7265"/>
    <w:rPr>
      <w:rFonts w:ascii="Calibri" w:eastAsia="MS Mincho" w:hAnsi="Calibri"/>
      <w:snapToGrid w:val="0"/>
      <w:color w:val="000000" w:themeColor="text2"/>
      <w:sz w:val="18"/>
      <w:lang w:val="en-AU" w:eastAsia="ja-JP"/>
    </w:rPr>
  </w:style>
  <w:style w:type="table" w:styleId="TableGrid">
    <w:name w:val="Table Grid"/>
    <w:basedOn w:val="TableNormal"/>
    <w:uiPriority w:val="59"/>
    <w:rsid w:val="00C63303"/>
    <w:pPr>
      <w:adjustRightInd w:val="0"/>
      <w:snapToGrid w:val="0"/>
    </w:pPr>
    <w:rPr>
      <w:sz w:val="17"/>
    </w:rPr>
    <w:tblPr>
      <w:tblCellMar>
        <w:left w:w="0" w:type="dxa"/>
        <w:right w:w="0" w:type="dxa"/>
      </w:tblCellMar>
    </w:tblPr>
    <w:tcPr>
      <w:tcMar>
        <w:top w:w="57" w:type="dxa"/>
        <w:left w:w="57" w:type="dxa"/>
        <w:bottom w:w="57" w:type="dxa"/>
        <w:right w:w="57" w:type="dxa"/>
      </w:tcMar>
    </w:tcPr>
    <w:tblStylePr w:type="firstRow">
      <w:rPr>
        <w:rFonts w:asciiTheme="majorHAnsi" w:hAnsiTheme="majorHAnsi" w:cstheme="majorHAnsi"/>
      </w:rPr>
    </w:tblStylePr>
  </w:style>
  <w:style w:type="paragraph" w:styleId="ListBullet">
    <w:name w:val="List Bullet"/>
    <w:basedOn w:val="Normal"/>
    <w:uiPriority w:val="4"/>
    <w:qFormat/>
    <w:rsid w:val="0071412D"/>
    <w:pPr>
      <w:numPr>
        <w:numId w:val="17"/>
      </w:numPr>
    </w:pPr>
  </w:style>
  <w:style w:type="paragraph" w:styleId="ListNumber">
    <w:name w:val="List Number"/>
    <w:basedOn w:val="Normal"/>
    <w:uiPriority w:val="7"/>
    <w:qFormat/>
    <w:rsid w:val="00164015"/>
    <w:pPr>
      <w:numPr>
        <w:numId w:val="18"/>
      </w:numPr>
    </w:pPr>
  </w:style>
  <w:style w:type="paragraph" w:customStyle="1" w:styleId="DividerTitle">
    <w:name w:val="Divider Title"/>
    <w:basedOn w:val="Normal"/>
    <w:semiHidden/>
    <w:rsid w:val="00C63303"/>
    <w:pPr>
      <w:spacing w:line="400" w:lineRule="atLeast"/>
    </w:pPr>
    <w:rPr>
      <w:caps/>
      <w:kern w:val="60"/>
      <w:sz w:val="50"/>
    </w:rPr>
  </w:style>
  <w:style w:type="paragraph" w:customStyle="1" w:styleId="DividerIntro">
    <w:name w:val="Divider Intro"/>
    <w:basedOn w:val="Normal"/>
    <w:semiHidden/>
    <w:rsid w:val="00C63303"/>
    <w:rPr>
      <w:caps/>
      <w:sz w:val="28"/>
    </w:rPr>
  </w:style>
  <w:style w:type="paragraph" w:styleId="FootnoteText">
    <w:name w:val="footnote text"/>
    <w:basedOn w:val="Normal"/>
    <w:link w:val="FootnoteTextChar"/>
    <w:rsid w:val="008D2EFB"/>
    <w:pPr>
      <w:tabs>
        <w:tab w:val="left" w:pos="320"/>
      </w:tabs>
      <w:adjustRightInd/>
      <w:snapToGrid/>
    </w:pPr>
    <w:rPr>
      <w:rFonts w:ascii="Calibri Light" w:eastAsia="Times New Roman" w:hAnsi="Calibri Light"/>
      <w:sz w:val="14"/>
      <w:szCs w:val="16"/>
      <w:lang w:eastAsia="en-AU"/>
    </w:rPr>
  </w:style>
  <w:style w:type="character" w:customStyle="1" w:styleId="FootnoteTextChar">
    <w:name w:val="Footnote Text Char"/>
    <w:basedOn w:val="DefaultParagraphFont"/>
    <w:link w:val="FootnoteText"/>
    <w:rsid w:val="008D2EFB"/>
    <w:rPr>
      <w:rFonts w:ascii="Calibri Light" w:eastAsia="Times New Roman" w:hAnsi="Calibri Light"/>
      <w:snapToGrid w:val="0"/>
      <w:color w:val="000000" w:themeColor="text2"/>
      <w:sz w:val="14"/>
      <w:szCs w:val="16"/>
      <w:lang w:val="en-AU" w:eastAsia="en-AU"/>
    </w:rPr>
  </w:style>
  <w:style w:type="paragraph" w:customStyle="1" w:styleId="Source">
    <w:name w:val="Source"/>
    <w:semiHidden/>
    <w:qFormat/>
    <w:rsid w:val="00C63303"/>
    <w:pPr>
      <w:numPr>
        <w:numId w:val="5"/>
      </w:numPr>
    </w:pPr>
    <w:rPr>
      <w:rFonts w:asciiTheme="minorHAnsi" w:eastAsia="Times New Roman" w:hAnsiTheme="minorHAnsi" w:cstheme="minorHAnsi"/>
      <w:spacing w:val="-3"/>
      <w:sz w:val="16"/>
      <w:szCs w:val="14"/>
      <w:lang w:val="en-AU" w:eastAsia="en-AU"/>
    </w:rPr>
  </w:style>
  <w:style w:type="numbering" w:styleId="111111">
    <w:name w:val="Outline List 2"/>
    <w:basedOn w:val="NoList"/>
    <w:uiPriority w:val="97"/>
    <w:semiHidden/>
    <w:rsid w:val="00C63303"/>
    <w:pPr>
      <w:numPr>
        <w:numId w:val="6"/>
      </w:numPr>
    </w:pPr>
  </w:style>
  <w:style w:type="numbering" w:styleId="1ai">
    <w:name w:val="Outline List 1"/>
    <w:basedOn w:val="NoList"/>
    <w:uiPriority w:val="97"/>
    <w:semiHidden/>
    <w:rsid w:val="00C63303"/>
    <w:pPr>
      <w:numPr>
        <w:numId w:val="7"/>
      </w:numPr>
    </w:pPr>
  </w:style>
  <w:style w:type="numbering" w:styleId="ArticleSection">
    <w:name w:val="Outline List 3"/>
    <w:basedOn w:val="NoList"/>
    <w:uiPriority w:val="97"/>
    <w:semiHidden/>
    <w:rsid w:val="00C63303"/>
    <w:pPr>
      <w:numPr>
        <w:numId w:val="8"/>
      </w:numPr>
    </w:pPr>
  </w:style>
  <w:style w:type="paragraph" w:styleId="BalloonText">
    <w:name w:val="Balloon Text"/>
    <w:basedOn w:val="Normal"/>
    <w:link w:val="BalloonTextChar"/>
    <w:semiHidden/>
    <w:rsid w:val="00C63303"/>
    <w:rPr>
      <w:sz w:val="16"/>
      <w:szCs w:val="16"/>
    </w:rPr>
  </w:style>
  <w:style w:type="character" w:customStyle="1" w:styleId="BalloonTextChar">
    <w:name w:val="Balloon Text Char"/>
    <w:basedOn w:val="DefaultParagraphFont"/>
    <w:link w:val="BalloonText"/>
    <w:semiHidden/>
    <w:rsid w:val="00D20874"/>
    <w:rPr>
      <w:rFonts w:ascii="Calibri" w:eastAsia="MS Mincho" w:hAnsi="Calibri"/>
      <w:snapToGrid w:val="0"/>
      <w:color w:val="000000" w:themeColor="text2"/>
      <w:sz w:val="16"/>
      <w:szCs w:val="16"/>
      <w:lang w:val="en-AU" w:eastAsia="ja-JP"/>
    </w:rPr>
  </w:style>
  <w:style w:type="paragraph" w:styleId="Bibliography">
    <w:name w:val="Bibliography"/>
    <w:basedOn w:val="Normal"/>
    <w:next w:val="Normal"/>
    <w:semiHidden/>
    <w:unhideWhenUsed/>
    <w:rsid w:val="00C63303"/>
  </w:style>
  <w:style w:type="paragraph" w:styleId="BlockText">
    <w:name w:val="Block Text"/>
    <w:basedOn w:val="Normal"/>
    <w:semiHidden/>
    <w:rsid w:val="00C63303"/>
    <w:pPr>
      <w:pBdr>
        <w:top w:val="single" w:sz="2" w:space="10" w:color="F26522" w:themeColor="accent1" w:shadow="1" w:frame="1"/>
        <w:left w:val="single" w:sz="2" w:space="10" w:color="F26522" w:themeColor="accent1" w:shadow="1" w:frame="1"/>
        <w:bottom w:val="single" w:sz="2" w:space="10" w:color="F26522" w:themeColor="accent1" w:shadow="1" w:frame="1"/>
        <w:right w:val="single" w:sz="2" w:space="10" w:color="F26522" w:themeColor="accent1" w:shadow="1" w:frame="1"/>
      </w:pBdr>
      <w:ind w:left="1152" w:right="1152"/>
    </w:pPr>
    <w:rPr>
      <w:rFonts w:eastAsiaTheme="minorEastAsia"/>
      <w:i/>
      <w:iCs/>
      <w:color w:val="F26522" w:themeColor="accent1"/>
    </w:rPr>
  </w:style>
  <w:style w:type="paragraph" w:styleId="BodyText">
    <w:name w:val="Body Text"/>
    <w:basedOn w:val="Normal"/>
    <w:link w:val="BodyTextChar"/>
    <w:semiHidden/>
    <w:rsid w:val="00C63303"/>
  </w:style>
  <w:style w:type="character" w:customStyle="1" w:styleId="BodyTextChar">
    <w:name w:val="Body Text Char"/>
    <w:basedOn w:val="DefaultParagraphFont"/>
    <w:link w:val="BodyText"/>
    <w:semiHidden/>
    <w:rsid w:val="00D20874"/>
    <w:rPr>
      <w:rFonts w:ascii="Calibri" w:eastAsia="MS Mincho" w:hAnsi="Calibri"/>
      <w:snapToGrid w:val="0"/>
      <w:color w:val="000000" w:themeColor="text2"/>
      <w:lang w:val="en-AU" w:eastAsia="ja-JP"/>
    </w:rPr>
  </w:style>
  <w:style w:type="paragraph" w:styleId="BodyText2">
    <w:name w:val="Body Text 2"/>
    <w:basedOn w:val="Normal"/>
    <w:link w:val="BodyText2Char"/>
    <w:semiHidden/>
    <w:rsid w:val="00C63303"/>
    <w:pPr>
      <w:spacing w:line="480" w:lineRule="auto"/>
    </w:pPr>
  </w:style>
  <w:style w:type="character" w:customStyle="1" w:styleId="BodyText2Char">
    <w:name w:val="Body Text 2 Char"/>
    <w:basedOn w:val="DefaultParagraphFont"/>
    <w:link w:val="BodyText2"/>
    <w:semiHidden/>
    <w:rsid w:val="00D20874"/>
    <w:rPr>
      <w:rFonts w:ascii="Calibri" w:eastAsia="MS Mincho" w:hAnsi="Calibri"/>
      <w:snapToGrid w:val="0"/>
      <w:color w:val="000000" w:themeColor="text2"/>
      <w:lang w:val="en-AU" w:eastAsia="ja-JP"/>
    </w:rPr>
  </w:style>
  <w:style w:type="paragraph" w:styleId="BodyText3">
    <w:name w:val="Body Text 3"/>
    <w:basedOn w:val="Normal"/>
    <w:link w:val="BodyText3Char"/>
    <w:semiHidden/>
    <w:rsid w:val="00C63303"/>
    <w:rPr>
      <w:sz w:val="16"/>
      <w:szCs w:val="16"/>
    </w:rPr>
  </w:style>
  <w:style w:type="character" w:customStyle="1" w:styleId="BodyText3Char">
    <w:name w:val="Body Text 3 Char"/>
    <w:basedOn w:val="DefaultParagraphFont"/>
    <w:link w:val="BodyText3"/>
    <w:semiHidden/>
    <w:rsid w:val="00D20874"/>
    <w:rPr>
      <w:rFonts w:ascii="Calibri" w:eastAsia="MS Mincho" w:hAnsi="Calibri"/>
      <w:snapToGrid w:val="0"/>
      <w:color w:val="000000" w:themeColor="text2"/>
      <w:sz w:val="16"/>
      <w:szCs w:val="16"/>
      <w:lang w:val="en-AU" w:eastAsia="ja-JP"/>
    </w:rPr>
  </w:style>
  <w:style w:type="paragraph" w:styleId="BodyTextFirstIndent">
    <w:name w:val="Body Text First Indent"/>
    <w:basedOn w:val="BodyText"/>
    <w:link w:val="BodyTextFirstIndentChar"/>
    <w:semiHidden/>
    <w:rsid w:val="00C63303"/>
    <w:pPr>
      <w:spacing w:after="80"/>
      <w:ind w:firstLine="360"/>
    </w:pPr>
  </w:style>
  <w:style w:type="character" w:customStyle="1" w:styleId="BodyTextFirstIndentChar">
    <w:name w:val="Body Text First Indent Char"/>
    <w:basedOn w:val="BodyTextChar"/>
    <w:link w:val="BodyTextFirstIndent"/>
    <w:semiHidden/>
    <w:rsid w:val="00D20874"/>
    <w:rPr>
      <w:rFonts w:ascii="Calibri" w:eastAsia="MS Mincho" w:hAnsi="Calibri"/>
      <w:snapToGrid w:val="0"/>
      <w:color w:val="000000" w:themeColor="text2"/>
      <w:lang w:val="en-AU" w:eastAsia="ja-JP"/>
    </w:rPr>
  </w:style>
  <w:style w:type="paragraph" w:styleId="BodyTextIndent">
    <w:name w:val="Body Text Indent"/>
    <w:basedOn w:val="Normal"/>
    <w:link w:val="BodyTextIndentChar"/>
    <w:semiHidden/>
    <w:rsid w:val="00C63303"/>
    <w:pPr>
      <w:ind w:left="283"/>
    </w:pPr>
  </w:style>
  <w:style w:type="character" w:customStyle="1" w:styleId="BodyTextIndentChar">
    <w:name w:val="Body Text Indent Char"/>
    <w:basedOn w:val="DefaultParagraphFont"/>
    <w:link w:val="BodyTextIndent"/>
    <w:semiHidden/>
    <w:rsid w:val="00D20874"/>
    <w:rPr>
      <w:rFonts w:ascii="Calibri" w:eastAsia="MS Mincho" w:hAnsi="Calibri"/>
      <w:snapToGrid w:val="0"/>
      <w:color w:val="000000" w:themeColor="text2"/>
      <w:lang w:val="en-AU" w:eastAsia="ja-JP"/>
    </w:rPr>
  </w:style>
  <w:style w:type="paragraph" w:styleId="BodyTextFirstIndent2">
    <w:name w:val="Body Text First Indent 2"/>
    <w:basedOn w:val="BodyTextIndent"/>
    <w:link w:val="BodyTextFirstIndent2Char"/>
    <w:semiHidden/>
    <w:rsid w:val="00C63303"/>
    <w:pPr>
      <w:spacing w:after="80"/>
      <w:ind w:left="360" w:firstLine="360"/>
    </w:pPr>
  </w:style>
  <w:style w:type="character" w:customStyle="1" w:styleId="BodyTextFirstIndent2Char">
    <w:name w:val="Body Text First Indent 2 Char"/>
    <w:basedOn w:val="BodyTextIndentChar"/>
    <w:link w:val="BodyTextFirstIndent2"/>
    <w:semiHidden/>
    <w:rsid w:val="00D20874"/>
    <w:rPr>
      <w:rFonts w:ascii="Calibri" w:eastAsia="MS Mincho" w:hAnsi="Calibri"/>
      <w:snapToGrid w:val="0"/>
      <w:color w:val="000000" w:themeColor="text2"/>
      <w:lang w:val="en-AU" w:eastAsia="ja-JP"/>
    </w:rPr>
  </w:style>
  <w:style w:type="paragraph" w:styleId="BodyTextIndent2">
    <w:name w:val="Body Text Indent 2"/>
    <w:basedOn w:val="Normal"/>
    <w:link w:val="BodyTextIndent2Char"/>
    <w:semiHidden/>
    <w:rsid w:val="00C63303"/>
    <w:pPr>
      <w:spacing w:line="480" w:lineRule="auto"/>
      <w:ind w:left="283"/>
    </w:pPr>
  </w:style>
  <w:style w:type="character" w:customStyle="1" w:styleId="BodyTextIndent2Char">
    <w:name w:val="Body Text Indent 2 Char"/>
    <w:basedOn w:val="DefaultParagraphFont"/>
    <w:link w:val="BodyTextIndent2"/>
    <w:semiHidden/>
    <w:rsid w:val="00D20874"/>
    <w:rPr>
      <w:rFonts w:ascii="Calibri" w:eastAsia="MS Mincho" w:hAnsi="Calibri"/>
      <w:snapToGrid w:val="0"/>
      <w:color w:val="000000" w:themeColor="text2"/>
      <w:lang w:val="en-AU" w:eastAsia="ja-JP"/>
    </w:rPr>
  </w:style>
  <w:style w:type="paragraph" w:styleId="BodyTextIndent3">
    <w:name w:val="Body Text Indent 3"/>
    <w:basedOn w:val="Normal"/>
    <w:link w:val="BodyTextIndent3Char"/>
    <w:semiHidden/>
    <w:rsid w:val="00C63303"/>
    <w:pPr>
      <w:ind w:left="283"/>
    </w:pPr>
    <w:rPr>
      <w:sz w:val="16"/>
      <w:szCs w:val="16"/>
    </w:rPr>
  </w:style>
  <w:style w:type="character" w:customStyle="1" w:styleId="BodyTextIndent3Char">
    <w:name w:val="Body Text Indent 3 Char"/>
    <w:basedOn w:val="DefaultParagraphFont"/>
    <w:link w:val="BodyTextIndent3"/>
    <w:semiHidden/>
    <w:rsid w:val="00D20874"/>
    <w:rPr>
      <w:rFonts w:ascii="Calibri" w:eastAsia="MS Mincho" w:hAnsi="Calibri"/>
      <w:snapToGrid w:val="0"/>
      <w:color w:val="000000" w:themeColor="text2"/>
      <w:sz w:val="16"/>
      <w:szCs w:val="16"/>
      <w:lang w:val="en-AU" w:eastAsia="ja-JP"/>
    </w:rPr>
  </w:style>
  <w:style w:type="character" w:styleId="BookTitle">
    <w:name w:val="Book Title"/>
    <w:basedOn w:val="DefaultParagraphFont"/>
    <w:semiHidden/>
    <w:rsid w:val="00C63303"/>
    <w:rPr>
      <w:rFonts w:asciiTheme="minorHAnsi" w:hAnsiTheme="minorHAnsi" w:cstheme="minorHAnsi"/>
      <w:b/>
      <w:bCs/>
      <w:smallCaps/>
      <w:spacing w:val="5"/>
    </w:rPr>
  </w:style>
  <w:style w:type="paragraph" w:styleId="Closing">
    <w:name w:val="Closing"/>
    <w:basedOn w:val="Normal"/>
    <w:link w:val="ClosingChar"/>
    <w:semiHidden/>
    <w:rsid w:val="00C63303"/>
    <w:pPr>
      <w:ind w:left="4252"/>
    </w:pPr>
  </w:style>
  <w:style w:type="character" w:customStyle="1" w:styleId="ClosingChar">
    <w:name w:val="Closing Char"/>
    <w:basedOn w:val="DefaultParagraphFont"/>
    <w:link w:val="Closing"/>
    <w:semiHidden/>
    <w:rsid w:val="00D20874"/>
    <w:rPr>
      <w:rFonts w:ascii="Calibri" w:eastAsia="MS Mincho" w:hAnsi="Calibri"/>
      <w:snapToGrid w:val="0"/>
      <w:color w:val="000000" w:themeColor="text2"/>
      <w:lang w:val="en-AU" w:eastAsia="ja-JP"/>
    </w:rPr>
  </w:style>
  <w:style w:type="table" w:styleId="ColorfulGrid">
    <w:name w:val="Colorful Grid"/>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FCE0D2"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F9C1A6" w:themeFill="accent1" w:themeFillTint="66"/>
      </w:tcPr>
    </w:tblStylePr>
    <w:tblStylePr w:type="lastRow">
      <w:rPr>
        <w:b/>
        <w:bCs/>
        <w:color w:val="000000" w:themeColor="text1"/>
      </w:rPr>
      <w:tblPr/>
      <w:tcPr>
        <w:shd w:val="clear" w:color="auto" w:fill="F9C1A6" w:themeFill="accent1" w:themeFillTint="66"/>
      </w:tcPr>
    </w:tblStylePr>
    <w:tblStylePr w:type="firstCol">
      <w:rPr>
        <w:color w:val="FFFFFF" w:themeColor="background1"/>
      </w:rPr>
      <w:tblPr/>
      <w:tcPr>
        <w:shd w:val="clear" w:color="auto" w:fill="C3460B" w:themeFill="accent1" w:themeFillShade="BF"/>
      </w:tcPr>
    </w:tblStylePr>
    <w:tblStylePr w:type="lastCol">
      <w:rPr>
        <w:color w:val="FFFFFF" w:themeColor="background1"/>
      </w:rPr>
      <w:tblPr/>
      <w:tcPr>
        <w:shd w:val="clear" w:color="auto" w:fill="C3460B" w:themeFill="accent1" w:themeFillShade="BF"/>
      </w:tcPr>
    </w:tblStylePr>
    <w:tblStylePr w:type="band1Vert">
      <w:tblPr/>
      <w:tcPr>
        <w:shd w:val="clear" w:color="auto" w:fill="F8B290" w:themeFill="accent1" w:themeFillTint="7F"/>
      </w:tcPr>
    </w:tblStylePr>
    <w:tblStylePr w:type="band1Horz">
      <w:tblPr/>
      <w:tcPr>
        <w:shd w:val="clear" w:color="auto" w:fill="F8B290" w:themeFill="accent1" w:themeFillTint="7F"/>
      </w:tcPr>
    </w:tblStylePr>
  </w:style>
  <w:style w:type="table" w:styleId="ColorfulGrid-Accent2">
    <w:name w:val="Colorful Grid Accent 2"/>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FDEDE4"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FBDBCA" w:themeFill="accent2" w:themeFillTint="66"/>
      </w:tcPr>
    </w:tblStylePr>
    <w:tblStylePr w:type="lastRow">
      <w:rPr>
        <w:b/>
        <w:bCs/>
        <w:color w:val="000000" w:themeColor="text1"/>
      </w:rPr>
      <w:tblPr/>
      <w:tcPr>
        <w:shd w:val="clear" w:color="auto" w:fill="FBDBCA" w:themeFill="accent2" w:themeFillTint="66"/>
      </w:tcPr>
    </w:tblStylePr>
    <w:tblStylePr w:type="firstCol">
      <w:rPr>
        <w:color w:val="FFFFFF" w:themeColor="background1"/>
      </w:rPr>
      <w:tblPr/>
      <w:tcPr>
        <w:shd w:val="clear" w:color="auto" w:fill="F16924" w:themeFill="accent2" w:themeFillShade="BF"/>
      </w:tcPr>
    </w:tblStylePr>
    <w:tblStylePr w:type="lastCol">
      <w:rPr>
        <w:color w:val="FFFFFF" w:themeColor="background1"/>
      </w:rPr>
      <w:tblPr/>
      <w:tcPr>
        <w:shd w:val="clear" w:color="auto" w:fill="F16924" w:themeFill="accent2" w:themeFillShade="BF"/>
      </w:tcPr>
    </w:tblStylePr>
    <w:tblStylePr w:type="band1Vert">
      <w:tblPr/>
      <w:tcPr>
        <w:shd w:val="clear" w:color="auto" w:fill="FBD2BE" w:themeFill="accent2" w:themeFillTint="7F"/>
      </w:tcPr>
    </w:tblStylePr>
    <w:tblStylePr w:type="band1Horz">
      <w:tblPr/>
      <w:tcPr>
        <w:shd w:val="clear" w:color="auto" w:fill="FBD2BE" w:themeFill="accent2" w:themeFillTint="7F"/>
      </w:tcPr>
    </w:tblStylePr>
  </w:style>
  <w:style w:type="table" w:styleId="ColorfulGrid-Accent3">
    <w:name w:val="Colorful Grid Accent 3"/>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F6F9FB"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DF4F7" w:themeFill="accent3" w:themeFillTint="66"/>
      </w:tcPr>
    </w:tblStylePr>
    <w:tblStylePr w:type="lastRow">
      <w:rPr>
        <w:b/>
        <w:bCs/>
        <w:color w:val="000000" w:themeColor="text1"/>
      </w:rPr>
      <w:tblPr/>
      <w:tcPr>
        <w:shd w:val="clear" w:color="auto" w:fill="EDF4F7" w:themeFill="accent3" w:themeFillTint="66"/>
      </w:tcPr>
    </w:tblStylePr>
    <w:tblStylePr w:type="firstCol">
      <w:rPr>
        <w:color w:val="FFFFFF" w:themeColor="background1"/>
      </w:rPr>
      <w:tblPr/>
      <w:tcPr>
        <w:shd w:val="clear" w:color="auto" w:fill="83B5CC" w:themeFill="accent3" w:themeFillShade="BF"/>
      </w:tcPr>
    </w:tblStylePr>
    <w:tblStylePr w:type="lastCol">
      <w:rPr>
        <w:color w:val="FFFFFF" w:themeColor="background1"/>
      </w:rPr>
      <w:tblPr/>
      <w:tcPr>
        <w:shd w:val="clear" w:color="auto" w:fill="83B5CC" w:themeFill="accent3" w:themeFillShade="BF"/>
      </w:tcPr>
    </w:tblStylePr>
    <w:tblStylePr w:type="band1Vert">
      <w:tblPr/>
      <w:tcPr>
        <w:shd w:val="clear" w:color="auto" w:fill="E9F1F6" w:themeFill="accent3" w:themeFillTint="7F"/>
      </w:tcPr>
    </w:tblStylePr>
    <w:tblStylePr w:type="band1Horz">
      <w:tblPr/>
      <w:tcPr>
        <w:shd w:val="clear" w:color="auto" w:fill="E9F1F6" w:themeFill="accent3" w:themeFillTint="7F"/>
      </w:tcPr>
    </w:tblStylePr>
  </w:style>
  <w:style w:type="table" w:styleId="ColorfulGrid-Accent4">
    <w:name w:val="Colorful Grid Accent 4"/>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FAFCFD"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F5F9FB" w:themeFill="accent4" w:themeFillTint="66"/>
      </w:tcPr>
    </w:tblStylePr>
    <w:tblStylePr w:type="lastRow">
      <w:rPr>
        <w:b/>
        <w:bCs/>
        <w:color w:val="000000" w:themeColor="text1"/>
      </w:rPr>
      <w:tblPr/>
      <w:tcPr>
        <w:shd w:val="clear" w:color="auto" w:fill="F5F9FB" w:themeFill="accent4" w:themeFillTint="66"/>
      </w:tcPr>
    </w:tblStylePr>
    <w:tblStylePr w:type="firstCol">
      <w:rPr>
        <w:color w:val="FFFFFF" w:themeColor="background1"/>
      </w:rPr>
      <w:tblPr/>
      <w:tcPr>
        <w:shd w:val="clear" w:color="auto" w:fill="92BFD1" w:themeFill="accent4" w:themeFillShade="BF"/>
      </w:tcPr>
    </w:tblStylePr>
    <w:tblStylePr w:type="lastCol">
      <w:rPr>
        <w:color w:val="FFFFFF" w:themeColor="background1"/>
      </w:rPr>
      <w:tblPr/>
      <w:tcPr>
        <w:shd w:val="clear" w:color="auto" w:fill="92BFD1" w:themeFill="accent4" w:themeFillShade="BF"/>
      </w:tcPr>
    </w:tblStylePr>
    <w:tblStylePr w:type="band1Vert">
      <w:tblPr/>
      <w:tcPr>
        <w:shd w:val="clear" w:color="auto" w:fill="F3F7FA" w:themeFill="accent4" w:themeFillTint="7F"/>
      </w:tcPr>
    </w:tblStylePr>
    <w:tblStylePr w:type="band1Horz">
      <w:tblPr/>
      <w:tcPr>
        <w:shd w:val="clear" w:color="auto" w:fill="F3F7FA" w:themeFill="accent4" w:themeFillTint="7F"/>
      </w:tcPr>
    </w:tblStylePr>
  </w:style>
  <w:style w:type="table" w:styleId="ColorfulGrid-Accent5">
    <w:name w:val="Colorful Grid Accent 5"/>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E5EDD3"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CBDCA8" w:themeFill="accent5" w:themeFillTint="66"/>
      </w:tcPr>
    </w:tblStylePr>
    <w:tblStylePr w:type="lastRow">
      <w:rPr>
        <w:b/>
        <w:bCs/>
        <w:color w:val="000000" w:themeColor="text1"/>
      </w:rPr>
      <w:tblPr/>
      <w:tcPr>
        <w:shd w:val="clear" w:color="auto" w:fill="CBDCA8" w:themeFill="accent5" w:themeFillTint="66"/>
      </w:tcPr>
    </w:tblStylePr>
    <w:tblStylePr w:type="firstCol">
      <w:rPr>
        <w:color w:val="FFFFFF" w:themeColor="background1"/>
      </w:rPr>
      <w:tblPr/>
      <w:tcPr>
        <w:shd w:val="clear" w:color="auto" w:fill="586D2C" w:themeFill="accent5" w:themeFillShade="BF"/>
      </w:tcPr>
    </w:tblStylePr>
    <w:tblStylePr w:type="lastCol">
      <w:rPr>
        <w:color w:val="FFFFFF" w:themeColor="background1"/>
      </w:rPr>
      <w:tblPr/>
      <w:tcPr>
        <w:shd w:val="clear" w:color="auto" w:fill="586D2C" w:themeFill="accent5" w:themeFillShade="BF"/>
      </w:tcPr>
    </w:tblStylePr>
    <w:tblStylePr w:type="band1Vert">
      <w:tblPr/>
      <w:tcPr>
        <w:shd w:val="clear" w:color="auto" w:fill="BFD392" w:themeFill="accent5" w:themeFillTint="7F"/>
      </w:tcPr>
    </w:tblStylePr>
    <w:tblStylePr w:type="band1Horz">
      <w:tblPr/>
      <w:tcPr>
        <w:shd w:val="clear" w:color="auto" w:fill="BFD392" w:themeFill="accent5" w:themeFillTint="7F"/>
      </w:tcPr>
    </w:tblStylePr>
  </w:style>
  <w:style w:type="table" w:styleId="ColorfulGrid-Accent6">
    <w:name w:val="Colorful Grid Accent 6"/>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FCE0D2"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F9C1A6" w:themeFill="accent6" w:themeFillTint="66"/>
      </w:tcPr>
    </w:tblStylePr>
    <w:tblStylePr w:type="lastRow">
      <w:rPr>
        <w:b/>
        <w:bCs/>
        <w:color w:val="000000" w:themeColor="text1"/>
      </w:rPr>
      <w:tblPr/>
      <w:tcPr>
        <w:shd w:val="clear" w:color="auto" w:fill="F9C1A6" w:themeFill="accent6" w:themeFillTint="66"/>
      </w:tcPr>
    </w:tblStylePr>
    <w:tblStylePr w:type="firstCol">
      <w:rPr>
        <w:color w:val="FFFFFF" w:themeColor="background1"/>
      </w:rPr>
      <w:tblPr/>
      <w:tcPr>
        <w:shd w:val="clear" w:color="auto" w:fill="C3460B" w:themeFill="accent6" w:themeFillShade="BF"/>
      </w:tcPr>
    </w:tblStylePr>
    <w:tblStylePr w:type="lastCol">
      <w:rPr>
        <w:color w:val="FFFFFF" w:themeColor="background1"/>
      </w:rPr>
      <w:tblPr/>
      <w:tcPr>
        <w:shd w:val="clear" w:color="auto" w:fill="C3460B" w:themeFill="accent6" w:themeFillShade="BF"/>
      </w:tcPr>
    </w:tblStylePr>
    <w:tblStylePr w:type="band1Vert">
      <w:tblPr/>
      <w:tcPr>
        <w:shd w:val="clear" w:color="auto" w:fill="F8B290" w:themeFill="accent6" w:themeFillTint="7F"/>
      </w:tcPr>
    </w:tblStylePr>
    <w:tblStylePr w:type="band1Horz">
      <w:tblPr/>
      <w:tcPr>
        <w:shd w:val="clear" w:color="auto" w:fill="F8B290" w:themeFill="accent6" w:themeFillTint="7F"/>
      </w:tcPr>
    </w:tblStylePr>
  </w:style>
  <w:style w:type="table" w:styleId="ColorfulList">
    <w:name w:val="Colorful List"/>
    <w:basedOn w:val="TableNormal"/>
    <w:uiPriority w:val="98"/>
    <w:rsid w:val="00C6330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F27536" w:themeFill="accent2" w:themeFillShade="CC"/>
      </w:tcPr>
    </w:tblStylePr>
    <w:tblStylePr w:type="lastRow">
      <w:rPr>
        <w:b/>
        <w:bCs/>
        <w:color w:val="F275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C63303"/>
    <w:rPr>
      <w:color w:val="000000" w:themeColor="text1"/>
    </w:rPr>
    <w:tblPr>
      <w:tblStyleRowBandSize w:val="1"/>
      <w:tblStyleColBandSize w:val="1"/>
    </w:tblPr>
    <w:tcPr>
      <w:shd w:val="clear" w:color="auto" w:fill="FDEFE9"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F27536" w:themeFill="accent2" w:themeFillShade="CC"/>
      </w:tcPr>
    </w:tblStylePr>
    <w:tblStylePr w:type="lastRow">
      <w:rPr>
        <w:b/>
        <w:bCs/>
        <w:color w:val="F275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C8" w:themeFill="accent1" w:themeFillTint="3F"/>
      </w:tcPr>
    </w:tblStylePr>
    <w:tblStylePr w:type="band1Horz">
      <w:tblPr/>
      <w:tcPr>
        <w:shd w:val="clear" w:color="auto" w:fill="FCE0D2" w:themeFill="accent1" w:themeFillTint="33"/>
      </w:tcPr>
    </w:tblStylePr>
  </w:style>
  <w:style w:type="table" w:styleId="ColorfulList-Accent2">
    <w:name w:val="Colorful List Accent 2"/>
    <w:basedOn w:val="TableNormal"/>
    <w:uiPriority w:val="98"/>
    <w:rsid w:val="00C63303"/>
    <w:rPr>
      <w:color w:val="000000" w:themeColor="text1"/>
    </w:rPr>
    <w:tblPr>
      <w:tblStyleRowBandSize w:val="1"/>
      <w:tblStyleColBandSize w:val="1"/>
    </w:tblPr>
    <w:tcPr>
      <w:shd w:val="clear" w:color="auto" w:fill="FEF6F2"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F27536" w:themeFill="accent2" w:themeFillShade="CC"/>
      </w:tcPr>
    </w:tblStylePr>
    <w:tblStylePr w:type="lastRow">
      <w:rPr>
        <w:b/>
        <w:bCs/>
        <w:color w:val="F275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8DE" w:themeFill="accent2" w:themeFillTint="3F"/>
      </w:tcPr>
    </w:tblStylePr>
    <w:tblStylePr w:type="band1Horz">
      <w:tblPr/>
      <w:tcPr>
        <w:shd w:val="clear" w:color="auto" w:fill="FDEDE4" w:themeFill="accent2" w:themeFillTint="33"/>
      </w:tcPr>
    </w:tblStylePr>
  </w:style>
  <w:style w:type="table" w:styleId="ColorfulList-Accent3">
    <w:name w:val="Colorful List Accent 3"/>
    <w:basedOn w:val="TableNormal"/>
    <w:uiPriority w:val="98"/>
    <w:rsid w:val="00C63303"/>
    <w:rPr>
      <w:color w:val="000000" w:themeColor="text1"/>
    </w:rPr>
    <w:tblPr>
      <w:tblStyleRowBandSize w:val="1"/>
      <w:tblStyleColBandSize w:val="1"/>
    </w:tblPr>
    <w:tcPr>
      <w:shd w:val="clear" w:color="auto" w:fill="FAFCFD"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A3C9D9" w:themeFill="accent4" w:themeFillShade="CC"/>
      </w:tcPr>
    </w:tblStylePr>
    <w:tblStylePr w:type="lastRow">
      <w:rPr>
        <w:b/>
        <w:bCs/>
        <w:color w:val="A3C9D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8FA" w:themeFill="accent3" w:themeFillTint="3F"/>
      </w:tcPr>
    </w:tblStylePr>
    <w:tblStylePr w:type="band1Horz">
      <w:tblPr/>
      <w:tcPr>
        <w:shd w:val="clear" w:color="auto" w:fill="F6F9FB" w:themeFill="accent3" w:themeFillTint="33"/>
      </w:tcPr>
    </w:tblStylePr>
  </w:style>
  <w:style w:type="table" w:styleId="ColorfulList-Accent4">
    <w:name w:val="Colorful List Accent 4"/>
    <w:basedOn w:val="TableNormal"/>
    <w:uiPriority w:val="98"/>
    <w:rsid w:val="00C63303"/>
    <w:rPr>
      <w:color w:val="000000" w:themeColor="text1"/>
    </w:rPr>
    <w:tblPr>
      <w:tblStyleRowBandSize w:val="1"/>
      <w:tblStyleColBandSize w:val="1"/>
    </w:tblPr>
    <w:tcPr>
      <w:shd w:val="clear" w:color="auto" w:fill="FCFDFE"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93BFD3" w:themeFill="accent3" w:themeFillShade="CC"/>
      </w:tcPr>
    </w:tblStylePr>
    <w:tblStylePr w:type="lastRow">
      <w:rPr>
        <w:b/>
        <w:bCs/>
        <w:color w:val="93BFD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BFC" w:themeFill="accent4" w:themeFillTint="3F"/>
      </w:tcPr>
    </w:tblStylePr>
    <w:tblStylePr w:type="band1Horz">
      <w:tblPr/>
      <w:tcPr>
        <w:shd w:val="clear" w:color="auto" w:fill="FAFCFD" w:themeFill="accent4" w:themeFillTint="33"/>
      </w:tcPr>
    </w:tblStylePr>
  </w:style>
  <w:style w:type="table" w:styleId="ColorfulList-Accent5">
    <w:name w:val="Colorful List Accent 5"/>
    <w:basedOn w:val="TableNormal"/>
    <w:uiPriority w:val="98"/>
    <w:rsid w:val="00C63303"/>
    <w:rPr>
      <w:color w:val="000000" w:themeColor="text1"/>
    </w:rPr>
    <w:tblPr>
      <w:tblStyleRowBandSize w:val="1"/>
      <w:tblStyleColBandSize w:val="1"/>
    </w:tblPr>
    <w:tcPr>
      <w:shd w:val="clear" w:color="auto" w:fill="F2F6E9"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D04B0C" w:themeFill="accent6" w:themeFillShade="CC"/>
      </w:tcPr>
    </w:tblStylePr>
    <w:tblStylePr w:type="lastRow">
      <w:rPr>
        <w:b/>
        <w:bCs/>
        <w:color w:val="D04B0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9C9" w:themeFill="accent5" w:themeFillTint="3F"/>
      </w:tcPr>
    </w:tblStylePr>
    <w:tblStylePr w:type="band1Horz">
      <w:tblPr/>
      <w:tcPr>
        <w:shd w:val="clear" w:color="auto" w:fill="E5EDD3" w:themeFill="accent5" w:themeFillTint="33"/>
      </w:tcPr>
    </w:tblStylePr>
  </w:style>
  <w:style w:type="table" w:styleId="ColorfulList-Accent6">
    <w:name w:val="Colorful List Accent 6"/>
    <w:basedOn w:val="TableNormal"/>
    <w:uiPriority w:val="98"/>
    <w:rsid w:val="00C63303"/>
    <w:rPr>
      <w:color w:val="000000" w:themeColor="text1"/>
    </w:rPr>
    <w:tblPr>
      <w:tblStyleRowBandSize w:val="1"/>
      <w:tblStyleColBandSize w:val="1"/>
    </w:tblPr>
    <w:tcPr>
      <w:shd w:val="clear" w:color="auto" w:fill="FDEFE9"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5E742F" w:themeFill="accent5" w:themeFillShade="CC"/>
      </w:tcPr>
    </w:tblStylePr>
    <w:tblStylePr w:type="lastRow">
      <w:rPr>
        <w:b/>
        <w:bCs/>
        <w:color w:val="5E742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C8" w:themeFill="accent6" w:themeFillTint="3F"/>
      </w:tcPr>
    </w:tblStylePr>
    <w:tblStylePr w:type="band1Horz">
      <w:tblPr/>
      <w:tcPr>
        <w:shd w:val="clear" w:color="auto" w:fill="FCE0D2" w:themeFill="accent6" w:themeFillTint="33"/>
      </w:tcPr>
    </w:tblStylePr>
  </w:style>
  <w:style w:type="table" w:styleId="ColorfulShading">
    <w:name w:val="Colorful Shading"/>
    <w:basedOn w:val="TableNormal"/>
    <w:uiPriority w:val="98"/>
    <w:rsid w:val="00C63303"/>
    <w:rPr>
      <w:color w:val="000000" w:themeColor="text1"/>
    </w:rPr>
    <w:tblPr>
      <w:tblStyleRowBandSize w:val="1"/>
      <w:tblStyleColBandSize w:val="1"/>
      <w:tblBorders>
        <w:top w:val="single" w:sz="24" w:space="0" w:color="F7A67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7A67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C63303"/>
    <w:rPr>
      <w:color w:val="000000" w:themeColor="text1"/>
    </w:rPr>
    <w:tblPr>
      <w:tblStyleRowBandSize w:val="1"/>
      <w:tblStyleColBandSize w:val="1"/>
      <w:tblBorders>
        <w:top w:val="single" w:sz="24" w:space="0" w:color="F7A67D" w:themeColor="accent2"/>
        <w:left w:val="single" w:sz="4" w:space="0" w:color="F26522" w:themeColor="accent1"/>
        <w:bottom w:val="single" w:sz="4" w:space="0" w:color="F26522" w:themeColor="accent1"/>
        <w:right w:val="single" w:sz="4" w:space="0" w:color="F26522" w:themeColor="accent1"/>
        <w:insideH w:val="single" w:sz="4" w:space="0" w:color="FFFFFF" w:themeColor="background1"/>
        <w:insideV w:val="single" w:sz="4" w:space="0" w:color="FFFFFF" w:themeColor="background1"/>
      </w:tblBorders>
    </w:tblPr>
    <w:tcPr>
      <w:shd w:val="clear" w:color="auto" w:fill="FDEFE9"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7A67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C3809" w:themeFill="accent1" w:themeFillShade="99"/>
      </w:tcPr>
    </w:tblStylePr>
    <w:tblStylePr w:type="firstCol">
      <w:rPr>
        <w:color w:val="FFFFFF" w:themeColor="background1"/>
      </w:rPr>
      <w:tblPr/>
      <w:tcPr>
        <w:tcBorders>
          <w:top w:val="nil"/>
          <w:left w:val="nil"/>
          <w:bottom w:val="nil"/>
          <w:right w:val="nil"/>
          <w:insideH w:val="single" w:sz="4" w:space="0" w:color="9C3809" w:themeColor="accent1" w:themeShade="99"/>
          <w:insideV w:val="nil"/>
        </w:tcBorders>
        <w:shd w:val="clear" w:color="auto" w:fill="9C380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C3809" w:themeFill="accent1" w:themeFillShade="99"/>
      </w:tcPr>
    </w:tblStylePr>
    <w:tblStylePr w:type="band1Vert">
      <w:tblPr/>
      <w:tcPr>
        <w:shd w:val="clear" w:color="auto" w:fill="F9C1A6" w:themeFill="accent1" w:themeFillTint="66"/>
      </w:tcPr>
    </w:tblStylePr>
    <w:tblStylePr w:type="band1Horz">
      <w:tblPr/>
      <w:tcPr>
        <w:shd w:val="clear" w:color="auto" w:fill="F8B29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C63303"/>
    <w:rPr>
      <w:color w:val="000000" w:themeColor="text1"/>
    </w:rPr>
    <w:tblPr>
      <w:tblStyleRowBandSize w:val="1"/>
      <w:tblStyleColBandSize w:val="1"/>
      <w:tblBorders>
        <w:top w:val="single" w:sz="24" w:space="0" w:color="F7A67D" w:themeColor="accent2"/>
        <w:left w:val="single" w:sz="4" w:space="0" w:color="F7A67D" w:themeColor="accent2"/>
        <w:bottom w:val="single" w:sz="4" w:space="0" w:color="F7A67D" w:themeColor="accent2"/>
        <w:right w:val="single" w:sz="4" w:space="0" w:color="F7A67D" w:themeColor="accent2"/>
        <w:insideH w:val="single" w:sz="4" w:space="0" w:color="FFFFFF" w:themeColor="background1"/>
        <w:insideV w:val="single" w:sz="4" w:space="0" w:color="FFFFFF" w:themeColor="background1"/>
      </w:tblBorders>
    </w:tblPr>
    <w:tcPr>
      <w:shd w:val="clear" w:color="auto" w:fill="FEF6F2"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7A67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24E0D" w:themeFill="accent2" w:themeFillShade="99"/>
      </w:tcPr>
    </w:tblStylePr>
    <w:tblStylePr w:type="firstCol">
      <w:rPr>
        <w:color w:val="FFFFFF" w:themeColor="background1"/>
      </w:rPr>
      <w:tblPr/>
      <w:tcPr>
        <w:tcBorders>
          <w:top w:val="nil"/>
          <w:left w:val="nil"/>
          <w:bottom w:val="nil"/>
          <w:right w:val="nil"/>
          <w:insideH w:val="single" w:sz="4" w:space="0" w:color="D24E0D" w:themeColor="accent2" w:themeShade="99"/>
          <w:insideV w:val="nil"/>
        </w:tcBorders>
        <w:shd w:val="clear" w:color="auto" w:fill="D24E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24E0D" w:themeFill="accent2" w:themeFillShade="99"/>
      </w:tcPr>
    </w:tblStylePr>
    <w:tblStylePr w:type="band1Vert">
      <w:tblPr/>
      <w:tcPr>
        <w:shd w:val="clear" w:color="auto" w:fill="FBDBCA" w:themeFill="accent2" w:themeFillTint="66"/>
      </w:tcPr>
    </w:tblStylePr>
    <w:tblStylePr w:type="band1Horz">
      <w:tblPr/>
      <w:tcPr>
        <w:shd w:val="clear" w:color="auto" w:fill="FBD2B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C63303"/>
    <w:rPr>
      <w:color w:val="000000" w:themeColor="text1"/>
    </w:rPr>
    <w:tblPr>
      <w:tblStyleRowBandSize w:val="1"/>
      <w:tblStyleColBandSize w:val="1"/>
      <w:tblBorders>
        <w:top w:val="single" w:sz="24" w:space="0" w:color="E7F1F5" w:themeColor="accent4"/>
        <w:left w:val="single" w:sz="4" w:space="0" w:color="D3E5ED" w:themeColor="accent3"/>
        <w:bottom w:val="single" w:sz="4" w:space="0" w:color="D3E5ED" w:themeColor="accent3"/>
        <w:right w:val="single" w:sz="4" w:space="0" w:color="D3E5ED" w:themeColor="accent3"/>
        <w:insideH w:val="single" w:sz="4" w:space="0" w:color="FFFFFF" w:themeColor="background1"/>
        <w:insideV w:val="single" w:sz="4" w:space="0" w:color="FFFFFF" w:themeColor="background1"/>
      </w:tblBorders>
    </w:tblPr>
    <w:tcPr>
      <w:shd w:val="clear" w:color="auto" w:fill="FAFCFD"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E7F1F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99B9" w:themeFill="accent3" w:themeFillShade="99"/>
      </w:tcPr>
    </w:tblStylePr>
    <w:tblStylePr w:type="firstCol">
      <w:rPr>
        <w:color w:val="FFFFFF" w:themeColor="background1"/>
      </w:rPr>
      <w:tblPr/>
      <w:tcPr>
        <w:tcBorders>
          <w:top w:val="nil"/>
          <w:left w:val="nil"/>
          <w:bottom w:val="nil"/>
          <w:right w:val="nil"/>
          <w:insideH w:val="single" w:sz="4" w:space="0" w:color="5399B9" w:themeColor="accent3" w:themeShade="99"/>
          <w:insideV w:val="nil"/>
        </w:tcBorders>
        <w:shd w:val="clear" w:color="auto" w:fill="5399B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399B9" w:themeFill="accent3" w:themeFillShade="99"/>
      </w:tcPr>
    </w:tblStylePr>
    <w:tblStylePr w:type="band1Vert">
      <w:tblPr/>
      <w:tcPr>
        <w:shd w:val="clear" w:color="auto" w:fill="EDF4F7" w:themeFill="accent3" w:themeFillTint="66"/>
      </w:tcPr>
    </w:tblStylePr>
    <w:tblStylePr w:type="band1Horz">
      <w:tblPr/>
      <w:tcPr>
        <w:shd w:val="clear" w:color="auto" w:fill="E9F1F6" w:themeFill="accent3" w:themeFillTint="7F"/>
      </w:tcPr>
    </w:tblStylePr>
  </w:style>
  <w:style w:type="table" w:styleId="ColorfulShading-Accent4">
    <w:name w:val="Colorful Shading Accent 4"/>
    <w:basedOn w:val="TableNormal"/>
    <w:uiPriority w:val="98"/>
    <w:rsid w:val="00C63303"/>
    <w:rPr>
      <w:color w:val="000000" w:themeColor="text1"/>
    </w:rPr>
    <w:tblPr>
      <w:tblStyleRowBandSize w:val="1"/>
      <w:tblStyleColBandSize w:val="1"/>
      <w:tblBorders>
        <w:top w:val="single" w:sz="24" w:space="0" w:color="D3E5ED" w:themeColor="accent3"/>
        <w:left w:val="single" w:sz="4" w:space="0" w:color="E7F1F5" w:themeColor="accent4"/>
        <w:bottom w:val="single" w:sz="4" w:space="0" w:color="E7F1F5" w:themeColor="accent4"/>
        <w:right w:val="single" w:sz="4" w:space="0" w:color="E7F1F5" w:themeColor="accent4"/>
        <w:insideH w:val="single" w:sz="4" w:space="0" w:color="FFFFFF" w:themeColor="background1"/>
        <w:insideV w:val="single" w:sz="4" w:space="0" w:color="FFFFFF" w:themeColor="background1"/>
      </w:tblBorders>
    </w:tblPr>
    <w:tcPr>
      <w:shd w:val="clear" w:color="auto" w:fill="FCFDFE"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D3E5E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A2BD" w:themeFill="accent4" w:themeFillShade="99"/>
      </w:tcPr>
    </w:tblStylePr>
    <w:tblStylePr w:type="firstCol">
      <w:rPr>
        <w:color w:val="FFFFFF" w:themeColor="background1"/>
      </w:rPr>
      <w:tblPr/>
      <w:tcPr>
        <w:tcBorders>
          <w:top w:val="nil"/>
          <w:left w:val="nil"/>
          <w:bottom w:val="nil"/>
          <w:right w:val="nil"/>
          <w:insideH w:val="single" w:sz="4" w:space="0" w:color="60A2BD" w:themeColor="accent4" w:themeShade="99"/>
          <w:insideV w:val="nil"/>
        </w:tcBorders>
        <w:shd w:val="clear" w:color="auto" w:fill="60A2B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A2BD" w:themeFill="accent4" w:themeFillShade="99"/>
      </w:tcPr>
    </w:tblStylePr>
    <w:tblStylePr w:type="band1Vert">
      <w:tblPr/>
      <w:tcPr>
        <w:shd w:val="clear" w:color="auto" w:fill="F5F9FB" w:themeFill="accent4" w:themeFillTint="66"/>
      </w:tcPr>
    </w:tblStylePr>
    <w:tblStylePr w:type="band1Horz">
      <w:tblPr/>
      <w:tcPr>
        <w:shd w:val="clear" w:color="auto" w:fill="F3F7F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C63303"/>
    <w:rPr>
      <w:color w:val="000000" w:themeColor="text1"/>
    </w:rPr>
    <w:tblPr>
      <w:tblStyleRowBandSize w:val="1"/>
      <w:tblStyleColBandSize w:val="1"/>
      <w:tblBorders>
        <w:top w:val="single" w:sz="24" w:space="0" w:color="F26522" w:themeColor="accent6"/>
        <w:left w:val="single" w:sz="4" w:space="0" w:color="77923B" w:themeColor="accent5"/>
        <w:bottom w:val="single" w:sz="4" w:space="0" w:color="77923B" w:themeColor="accent5"/>
        <w:right w:val="single" w:sz="4" w:space="0" w:color="77923B" w:themeColor="accent5"/>
        <w:insideH w:val="single" w:sz="4" w:space="0" w:color="FFFFFF" w:themeColor="background1"/>
        <w:insideV w:val="single" w:sz="4" w:space="0" w:color="FFFFFF" w:themeColor="background1"/>
      </w:tblBorders>
    </w:tblPr>
    <w:tcPr>
      <w:shd w:val="clear" w:color="auto" w:fill="F2F6E9"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265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5723" w:themeFill="accent5" w:themeFillShade="99"/>
      </w:tcPr>
    </w:tblStylePr>
    <w:tblStylePr w:type="firstCol">
      <w:rPr>
        <w:color w:val="FFFFFF" w:themeColor="background1"/>
      </w:rPr>
      <w:tblPr/>
      <w:tcPr>
        <w:tcBorders>
          <w:top w:val="nil"/>
          <w:left w:val="nil"/>
          <w:bottom w:val="nil"/>
          <w:right w:val="nil"/>
          <w:insideH w:val="single" w:sz="4" w:space="0" w:color="475723" w:themeColor="accent5" w:themeShade="99"/>
          <w:insideV w:val="nil"/>
        </w:tcBorders>
        <w:shd w:val="clear" w:color="auto" w:fill="47572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75723" w:themeFill="accent5" w:themeFillShade="99"/>
      </w:tcPr>
    </w:tblStylePr>
    <w:tblStylePr w:type="band1Vert">
      <w:tblPr/>
      <w:tcPr>
        <w:shd w:val="clear" w:color="auto" w:fill="CBDCA8" w:themeFill="accent5" w:themeFillTint="66"/>
      </w:tcPr>
    </w:tblStylePr>
    <w:tblStylePr w:type="band1Horz">
      <w:tblPr/>
      <w:tcPr>
        <w:shd w:val="clear" w:color="auto" w:fill="BFD39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C63303"/>
    <w:rPr>
      <w:color w:val="000000" w:themeColor="text1"/>
    </w:rPr>
    <w:tblPr>
      <w:tblStyleRowBandSize w:val="1"/>
      <w:tblStyleColBandSize w:val="1"/>
      <w:tblBorders>
        <w:top w:val="single" w:sz="24" w:space="0" w:color="77923B" w:themeColor="accent5"/>
        <w:left w:val="single" w:sz="4" w:space="0" w:color="F26522" w:themeColor="accent6"/>
        <w:bottom w:val="single" w:sz="4" w:space="0" w:color="F26522" w:themeColor="accent6"/>
        <w:right w:val="single" w:sz="4" w:space="0" w:color="F26522" w:themeColor="accent6"/>
        <w:insideH w:val="single" w:sz="4" w:space="0" w:color="FFFFFF" w:themeColor="background1"/>
        <w:insideV w:val="single" w:sz="4" w:space="0" w:color="FFFFFF" w:themeColor="background1"/>
      </w:tblBorders>
    </w:tblPr>
    <w:tcPr>
      <w:shd w:val="clear" w:color="auto" w:fill="FDEFE9"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77923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C3809" w:themeFill="accent6" w:themeFillShade="99"/>
      </w:tcPr>
    </w:tblStylePr>
    <w:tblStylePr w:type="firstCol">
      <w:rPr>
        <w:color w:val="FFFFFF" w:themeColor="background1"/>
      </w:rPr>
      <w:tblPr/>
      <w:tcPr>
        <w:tcBorders>
          <w:top w:val="nil"/>
          <w:left w:val="nil"/>
          <w:bottom w:val="nil"/>
          <w:right w:val="nil"/>
          <w:insideH w:val="single" w:sz="4" w:space="0" w:color="9C3809" w:themeColor="accent6" w:themeShade="99"/>
          <w:insideV w:val="nil"/>
        </w:tcBorders>
        <w:shd w:val="clear" w:color="auto" w:fill="9C38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C3809" w:themeFill="accent6" w:themeFillShade="99"/>
      </w:tcPr>
    </w:tblStylePr>
    <w:tblStylePr w:type="band1Vert">
      <w:tblPr/>
      <w:tcPr>
        <w:shd w:val="clear" w:color="auto" w:fill="F9C1A6" w:themeFill="accent6" w:themeFillTint="66"/>
      </w:tcPr>
    </w:tblStylePr>
    <w:tblStylePr w:type="band1Horz">
      <w:tblPr/>
      <w:tcPr>
        <w:shd w:val="clear" w:color="auto" w:fill="F8B29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C63303"/>
    <w:rPr>
      <w:rFonts w:asciiTheme="minorHAnsi" w:hAnsiTheme="minorHAnsi" w:cstheme="minorHAnsi"/>
      <w:sz w:val="16"/>
      <w:szCs w:val="16"/>
    </w:rPr>
  </w:style>
  <w:style w:type="paragraph" w:styleId="CommentText">
    <w:name w:val="annotation text"/>
    <w:basedOn w:val="Normal"/>
    <w:link w:val="CommentTextChar"/>
    <w:semiHidden/>
    <w:rsid w:val="00C63303"/>
  </w:style>
  <w:style w:type="character" w:customStyle="1" w:styleId="CommentTextChar">
    <w:name w:val="Comment Text Char"/>
    <w:basedOn w:val="DefaultParagraphFont"/>
    <w:link w:val="CommentText"/>
    <w:semiHidden/>
    <w:rsid w:val="00D20874"/>
    <w:rPr>
      <w:rFonts w:ascii="Calibri" w:eastAsia="MS Mincho" w:hAnsi="Calibri"/>
      <w:snapToGrid w:val="0"/>
      <w:color w:val="000000" w:themeColor="text2"/>
      <w:lang w:val="en-AU" w:eastAsia="ja-JP"/>
    </w:rPr>
  </w:style>
  <w:style w:type="paragraph" w:styleId="CommentSubject">
    <w:name w:val="annotation subject"/>
    <w:basedOn w:val="CommentText"/>
    <w:next w:val="CommentText"/>
    <w:link w:val="CommentSubjectChar"/>
    <w:semiHidden/>
    <w:rsid w:val="00C63303"/>
    <w:rPr>
      <w:b/>
      <w:bCs/>
    </w:rPr>
  </w:style>
  <w:style w:type="character" w:customStyle="1" w:styleId="CommentSubjectChar">
    <w:name w:val="Comment Subject Char"/>
    <w:basedOn w:val="CommentTextChar"/>
    <w:link w:val="CommentSubject"/>
    <w:semiHidden/>
    <w:rsid w:val="00D20874"/>
    <w:rPr>
      <w:rFonts w:ascii="Calibri" w:eastAsia="MS Mincho" w:hAnsi="Calibri"/>
      <w:b/>
      <w:bCs/>
      <w:snapToGrid w:val="0"/>
      <w:color w:val="000000" w:themeColor="text2"/>
      <w:lang w:val="en-AU" w:eastAsia="ja-JP"/>
    </w:rPr>
  </w:style>
  <w:style w:type="table" w:styleId="DarkList">
    <w:name w:val="Dark List"/>
    <w:basedOn w:val="TableNormal"/>
    <w:uiPriority w:val="98"/>
    <w:rsid w:val="00C6330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C63303"/>
    <w:rPr>
      <w:color w:val="FFFFFF" w:themeColor="background1"/>
    </w:rPr>
    <w:tblPr>
      <w:tblStyleRowBandSize w:val="1"/>
      <w:tblStyleColBandSize w:val="1"/>
    </w:tblPr>
    <w:tcPr>
      <w:shd w:val="clear" w:color="auto" w:fill="F26522"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2E0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3460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3460B" w:themeFill="accent1" w:themeFillShade="BF"/>
      </w:tcPr>
    </w:tblStylePr>
    <w:tblStylePr w:type="band1Vert">
      <w:tblPr/>
      <w:tcPr>
        <w:tcBorders>
          <w:top w:val="nil"/>
          <w:left w:val="nil"/>
          <w:bottom w:val="nil"/>
          <w:right w:val="nil"/>
          <w:insideH w:val="nil"/>
          <w:insideV w:val="nil"/>
        </w:tcBorders>
        <w:shd w:val="clear" w:color="auto" w:fill="C3460B" w:themeFill="accent1" w:themeFillShade="BF"/>
      </w:tcPr>
    </w:tblStylePr>
    <w:tblStylePr w:type="band1Horz">
      <w:tblPr/>
      <w:tcPr>
        <w:tcBorders>
          <w:top w:val="nil"/>
          <w:left w:val="nil"/>
          <w:bottom w:val="nil"/>
          <w:right w:val="nil"/>
          <w:insideH w:val="nil"/>
          <w:insideV w:val="nil"/>
        </w:tcBorders>
        <w:shd w:val="clear" w:color="auto" w:fill="C3460B" w:themeFill="accent1" w:themeFillShade="BF"/>
      </w:tcPr>
    </w:tblStylePr>
  </w:style>
  <w:style w:type="table" w:styleId="DarkList-Accent2">
    <w:name w:val="Dark List Accent 2"/>
    <w:basedOn w:val="TableNormal"/>
    <w:uiPriority w:val="98"/>
    <w:rsid w:val="00C63303"/>
    <w:rPr>
      <w:color w:val="FFFFFF" w:themeColor="background1"/>
    </w:rPr>
    <w:tblPr>
      <w:tblStyleRowBandSize w:val="1"/>
      <w:tblStyleColBandSize w:val="1"/>
    </w:tblPr>
    <w:tcPr>
      <w:shd w:val="clear" w:color="auto" w:fill="F7A67D"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E410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1692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16924" w:themeFill="accent2" w:themeFillShade="BF"/>
      </w:tcPr>
    </w:tblStylePr>
    <w:tblStylePr w:type="band1Vert">
      <w:tblPr/>
      <w:tcPr>
        <w:tcBorders>
          <w:top w:val="nil"/>
          <w:left w:val="nil"/>
          <w:bottom w:val="nil"/>
          <w:right w:val="nil"/>
          <w:insideH w:val="nil"/>
          <w:insideV w:val="nil"/>
        </w:tcBorders>
        <w:shd w:val="clear" w:color="auto" w:fill="F16924" w:themeFill="accent2" w:themeFillShade="BF"/>
      </w:tcPr>
    </w:tblStylePr>
    <w:tblStylePr w:type="band1Horz">
      <w:tblPr/>
      <w:tcPr>
        <w:tcBorders>
          <w:top w:val="nil"/>
          <w:left w:val="nil"/>
          <w:bottom w:val="nil"/>
          <w:right w:val="nil"/>
          <w:insideH w:val="nil"/>
          <w:insideV w:val="nil"/>
        </w:tcBorders>
        <w:shd w:val="clear" w:color="auto" w:fill="F16924" w:themeFill="accent2" w:themeFillShade="BF"/>
      </w:tcPr>
    </w:tblStylePr>
  </w:style>
  <w:style w:type="table" w:styleId="DarkList-Accent3">
    <w:name w:val="Dark List Accent 3"/>
    <w:basedOn w:val="TableNormal"/>
    <w:uiPriority w:val="98"/>
    <w:rsid w:val="00C63303"/>
    <w:rPr>
      <w:color w:val="FFFFFF" w:themeColor="background1"/>
    </w:rPr>
    <w:tblPr>
      <w:tblStyleRowBandSize w:val="1"/>
      <w:tblStyleColBandSize w:val="1"/>
    </w:tblPr>
    <w:tcPr>
      <w:shd w:val="clear" w:color="auto" w:fill="D3E5ED"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819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3B5C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3B5CC" w:themeFill="accent3" w:themeFillShade="BF"/>
      </w:tcPr>
    </w:tblStylePr>
    <w:tblStylePr w:type="band1Vert">
      <w:tblPr/>
      <w:tcPr>
        <w:tcBorders>
          <w:top w:val="nil"/>
          <w:left w:val="nil"/>
          <w:bottom w:val="nil"/>
          <w:right w:val="nil"/>
          <w:insideH w:val="nil"/>
          <w:insideV w:val="nil"/>
        </w:tcBorders>
        <w:shd w:val="clear" w:color="auto" w:fill="83B5CC" w:themeFill="accent3" w:themeFillShade="BF"/>
      </w:tcPr>
    </w:tblStylePr>
    <w:tblStylePr w:type="band1Horz">
      <w:tblPr/>
      <w:tcPr>
        <w:tcBorders>
          <w:top w:val="nil"/>
          <w:left w:val="nil"/>
          <w:bottom w:val="nil"/>
          <w:right w:val="nil"/>
          <w:insideH w:val="nil"/>
          <w:insideV w:val="nil"/>
        </w:tcBorders>
        <w:shd w:val="clear" w:color="auto" w:fill="83B5CC" w:themeFill="accent3" w:themeFillShade="BF"/>
      </w:tcPr>
    </w:tblStylePr>
  </w:style>
  <w:style w:type="table" w:styleId="DarkList-Accent4">
    <w:name w:val="Dark List Accent 4"/>
    <w:basedOn w:val="TableNormal"/>
    <w:uiPriority w:val="98"/>
    <w:rsid w:val="00C63303"/>
    <w:rPr>
      <w:color w:val="FFFFFF" w:themeColor="background1"/>
    </w:rPr>
    <w:tblPr>
      <w:tblStyleRowBandSize w:val="1"/>
      <w:tblStyleColBandSize w:val="1"/>
    </w:tblPr>
    <w:tcPr>
      <w:shd w:val="clear" w:color="auto" w:fill="E7F1F5"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8BA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BFD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BFD1" w:themeFill="accent4" w:themeFillShade="BF"/>
      </w:tcPr>
    </w:tblStylePr>
    <w:tblStylePr w:type="band1Vert">
      <w:tblPr/>
      <w:tcPr>
        <w:tcBorders>
          <w:top w:val="nil"/>
          <w:left w:val="nil"/>
          <w:bottom w:val="nil"/>
          <w:right w:val="nil"/>
          <w:insideH w:val="nil"/>
          <w:insideV w:val="nil"/>
        </w:tcBorders>
        <w:shd w:val="clear" w:color="auto" w:fill="92BFD1" w:themeFill="accent4" w:themeFillShade="BF"/>
      </w:tcPr>
    </w:tblStylePr>
    <w:tblStylePr w:type="band1Horz">
      <w:tblPr/>
      <w:tcPr>
        <w:tcBorders>
          <w:top w:val="nil"/>
          <w:left w:val="nil"/>
          <w:bottom w:val="nil"/>
          <w:right w:val="nil"/>
          <w:insideH w:val="nil"/>
          <w:insideV w:val="nil"/>
        </w:tcBorders>
        <w:shd w:val="clear" w:color="auto" w:fill="92BFD1" w:themeFill="accent4" w:themeFillShade="BF"/>
      </w:tcPr>
    </w:tblStylePr>
  </w:style>
  <w:style w:type="table" w:styleId="DarkList-Accent5">
    <w:name w:val="Dark List Accent 5"/>
    <w:basedOn w:val="TableNormal"/>
    <w:uiPriority w:val="98"/>
    <w:rsid w:val="00C63303"/>
    <w:rPr>
      <w:color w:val="FFFFFF" w:themeColor="background1"/>
    </w:rPr>
    <w:tblPr>
      <w:tblStyleRowBandSize w:val="1"/>
      <w:tblStyleColBandSize w:val="1"/>
    </w:tblPr>
    <w:tcPr>
      <w:shd w:val="clear" w:color="auto" w:fill="77923B"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81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86D2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86D2C" w:themeFill="accent5" w:themeFillShade="BF"/>
      </w:tcPr>
    </w:tblStylePr>
    <w:tblStylePr w:type="band1Vert">
      <w:tblPr/>
      <w:tcPr>
        <w:tcBorders>
          <w:top w:val="nil"/>
          <w:left w:val="nil"/>
          <w:bottom w:val="nil"/>
          <w:right w:val="nil"/>
          <w:insideH w:val="nil"/>
          <w:insideV w:val="nil"/>
        </w:tcBorders>
        <w:shd w:val="clear" w:color="auto" w:fill="586D2C" w:themeFill="accent5" w:themeFillShade="BF"/>
      </w:tcPr>
    </w:tblStylePr>
    <w:tblStylePr w:type="band1Horz">
      <w:tblPr/>
      <w:tcPr>
        <w:tcBorders>
          <w:top w:val="nil"/>
          <w:left w:val="nil"/>
          <w:bottom w:val="nil"/>
          <w:right w:val="nil"/>
          <w:insideH w:val="nil"/>
          <w:insideV w:val="nil"/>
        </w:tcBorders>
        <w:shd w:val="clear" w:color="auto" w:fill="586D2C" w:themeFill="accent5" w:themeFillShade="BF"/>
      </w:tcPr>
    </w:tblStylePr>
  </w:style>
  <w:style w:type="table" w:styleId="DarkList-Accent6">
    <w:name w:val="Dark List Accent 6"/>
    <w:basedOn w:val="TableNormal"/>
    <w:uiPriority w:val="98"/>
    <w:rsid w:val="00C63303"/>
    <w:rPr>
      <w:color w:val="FFFFFF" w:themeColor="background1"/>
    </w:rPr>
    <w:tblPr>
      <w:tblStyleRowBandSize w:val="1"/>
      <w:tblStyleColBandSize w:val="1"/>
    </w:tblPr>
    <w:tcPr>
      <w:shd w:val="clear" w:color="auto" w:fill="F26522"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2E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346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3460B" w:themeFill="accent6" w:themeFillShade="BF"/>
      </w:tcPr>
    </w:tblStylePr>
    <w:tblStylePr w:type="band1Vert">
      <w:tblPr/>
      <w:tcPr>
        <w:tcBorders>
          <w:top w:val="nil"/>
          <w:left w:val="nil"/>
          <w:bottom w:val="nil"/>
          <w:right w:val="nil"/>
          <w:insideH w:val="nil"/>
          <w:insideV w:val="nil"/>
        </w:tcBorders>
        <w:shd w:val="clear" w:color="auto" w:fill="C3460B" w:themeFill="accent6" w:themeFillShade="BF"/>
      </w:tcPr>
    </w:tblStylePr>
    <w:tblStylePr w:type="band1Horz">
      <w:tblPr/>
      <w:tcPr>
        <w:tcBorders>
          <w:top w:val="nil"/>
          <w:left w:val="nil"/>
          <w:bottom w:val="nil"/>
          <w:right w:val="nil"/>
          <w:insideH w:val="nil"/>
          <w:insideV w:val="nil"/>
        </w:tcBorders>
        <w:shd w:val="clear" w:color="auto" w:fill="C3460B" w:themeFill="accent6" w:themeFillShade="BF"/>
      </w:tcPr>
    </w:tblStylePr>
  </w:style>
  <w:style w:type="paragraph" w:styleId="DocumentMap">
    <w:name w:val="Document Map"/>
    <w:basedOn w:val="Normal"/>
    <w:link w:val="DocumentMapChar"/>
    <w:semiHidden/>
    <w:rsid w:val="00C63303"/>
    <w:rPr>
      <w:sz w:val="16"/>
      <w:szCs w:val="16"/>
    </w:rPr>
  </w:style>
  <w:style w:type="character" w:customStyle="1" w:styleId="DocumentMapChar">
    <w:name w:val="Document Map Char"/>
    <w:basedOn w:val="DefaultParagraphFont"/>
    <w:link w:val="DocumentMap"/>
    <w:semiHidden/>
    <w:rsid w:val="00D20874"/>
    <w:rPr>
      <w:rFonts w:ascii="Calibri" w:eastAsia="MS Mincho" w:hAnsi="Calibri"/>
      <w:snapToGrid w:val="0"/>
      <w:color w:val="000000" w:themeColor="text2"/>
      <w:sz w:val="16"/>
      <w:szCs w:val="16"/>
      <w:lang w:val="en-AU" w:eastAsia="ja-JP"/>
    </w:rPr>
  </w:style>
  <w:style w:type="paragraph" w:styleId="E-mailSignature">
    <w:name w:val="E-mail Signature"/>
    <w:basedOn w:val="Normal"/>
    <w:link w:val="E-mailSignatureChar"/>
    <w:semiHidden/>
    <w:rsid w:val="00C63303"/>
  </w:style>
  <w:style w:type="character" w:customStyle="1" w:styleId="E-mailSignatureChar">
    <w:name w:val="E-mail Signature Char"/>
    <w:basedOn w:val="DefaultParagraphFont"/>
    <w:link w:val="E-mailSignature"/>
    <w:semiHidden/>
    <w:rsid w:val="00D20874"/>
    <w:rPr>
      <w:rFonts w:ascii="Calibri" w:eastAsia="MS Mincho" w:hAnsi="Calibri"/>
      <w:snapToGrid w:val="0"/>
      <w:color w:val="000000" w:themeColor="text2"/>
      <w:lang w:val="en-AU" w:eastAsia="ja-JP"/>
    </w:rPr>
  </w:style>
  <w:style w:type="character" w:styleId="Emphasis">
    <w:name w:val="Emphasis"/>
    <w:basedOn w:val="DefaultParagraphFont"/>
    <w:semiHidden/>
    <w:rsid w:val="00C63303"/>
    <w:rPr>
      <w:rFonts w:asciiTheme="minorHAnsi" w:hAnsiTheme="minorHAnsi" w:cstheme="minorHAnsi"/>
      <w:i/>
      <w:iCs/>
    </w:rPr>
  </w:style>
  <w:style w:type="character" w:styleId="EndnoteReference">
    <w:name w:val="endnote reference"/>
    <w:basedOn w:val="DefaultParagraphFont"/>
    <w:semiHidden/>
    <w:rsid w:val="00C63303"/>
    <w:rPr>
      <w:rFonts w:asciiTheme="minorHAnsi" w:hAnsiTheme="minorHAnsi" w:cstheme="minorHAnsi"/>
      <w:vertAlign w:val="superscript"/>
    </w:rPr>
  </w:style>
  <w:style w:type="paragraph" w:styleId="EndnoteText">
    <w:name w:val="endnote text"/>
    <w:basedOn w:val="Normal"/>
    <w:link w:val="EndnoteTextChar"/>
    <w:semiHidden/>
    <w:rsid w:val="00C63303"/>
  </w:style>
  <w:style w:type="character" w:customStyle="1" w:styleId="EndnoteTextChar">
    <w:name w:val="Endnote Text Char"/>
    <w:basedOn w:val="DefaultParagraphFont"/>
    <w:link w:val="EndnoteText"/>
    <w:semiHidden/>
    <w:rsid w:val="00D20874"/>
    <w:rPr>
      <w:rFonts w:ascii="Calibri" w:eastAsia="MS Mincho" w:hAnsi="Calibri"/>
      <w:snapToGrid w:val="0"/>
      <w:color w:val="000000" w:themeColor="text2"/>
      <w:lang w:val="en-AU" w:eastAsia="ja-JP"/>
    </w:rPr>
  </w:style>
  <w:style w:type="paragraph" w:styleId="EnvelopeAddress">
    <w:name w:val="envelope address"/>
    <w:basedOn w:val="Normal"/>
    <w:semiHidden/>
    <w:rsid w:val="00C63303"/>
    <w:pPr>
      <w:framePr w:w="7920" w:h="1980" w:hRule="exact" w:hSpace="180" w:wrap="auto" w:hAnchor="page" w:xAlign="center" w:yAlign="bottom"/>
      <w:ind w:left="2880"/>
    </w:pPr>
    <w:rPr>
      <w:rFonts w:eastAsiaTheme="majorEastAsia"/>
      <w:sz w:val="24"/>
    </w:rPr>
  </w:style>
  <w:style w:type="paragraph" w:styleId="EnvelopeReturn">
    <w:name w:val="envelope return"/>
    <w:basedOn w:val="Normal"/>
    <w:semiHidden/>
    <w:rsid w:val="00C63303"/>
    <w:rPr>
      <w:rFonts w:eastAsiaTheme="majorEastAsia"/>
    </w:rPr>
  </w:style>
  <w:style w:type="character" w:styleId="FollowedHyperlink">
    <w:name w:val="FollowedHyperlink"/>
    <w:basedOn w:val="DefaultParagraphFont"/>
    <w:semiHidden/>
    <w:rsid w:val="00C63303"/>
    <w:rPr>
      <w:rFonts w:asciiTheme="minorHAnsi" w:hAnsiTheme="minorHAnsi" w:cstheme="minorHAnsi"/>
      <w:color w:val="000000" w:themeColor="followedHyperlink"/>
      <w:u w:val="single"/>
    </w:rPr>
  </w:style>
  <w:style w:type="character" w:styleId="FootnoteReference">
    <w:name w:val="footnote reference"/>
    <w:basedOn w:val="DefaultParagraphFont"/>
    <w:semiHidden/>
    <w:rsid w:val="00C63303"/>
    <w:rPr>
      <w:rFonts w:asciiTheme="minorHAnsi" w:hAnsiTheme="minorHAnsi" w:cstheme="minorHAnsi"/>
      <w:vertAlign w:val="superscript"/>
    </w:rPr>
  </w:style>
  <w:style w:type="character" w:styleId="HTMLAcronym">
    <w:name w:val="HTML Acronym"/>
    <w:basedOn w:val="DefaultParagraphFont"/>
    <w:semiHidden/>
    <w:rsid w:val="00C63303"/>
    <w:rPr>
      <w:rFonts w:asciiTheme="minorHAnsi" w:hAnsiTheme="minorHAnsi" w:cstheme="minorHAnsi"/>
    </w:rPr>
  </w:style>
  <w:style w:type="paragraph" w:styleId="HTMLAddress">
    <w:name w:val="HTML Address"/>
    <w:basedOn w:val="Normal"/>
    <w:link w:val="HTMLAddressChar"/>
    <w:semiHidden/>
    <w:rsid w:val="00C63303"/>
    <w:rPr>
      <w:i/>
      <w:iCs/>
    </w:rPr>
  </w:style>
  <w:style w:type="character" w:customStyle="1" w:styleId="HTMLAddressChar">
    <w:name w:val="HTML Address Char"/>
    <w:basedOn w:val="DefaultParagraphFont"/>
    <w:link w:val="HTMLAddress"/>
    <w:semiHidden/>
    <w:rsid w:val="00D20874"/>
    <w:rPr>
      <w:rFonts w:ascii="Calibri" w:eastAsia="MS Mincho" w:hAnsi="Calibri"/>
      <w:i/>
      <w:iCs/>
      <w:snapToGrid w:val="0"/>
      <w:color w:val="000000" w:themeColor="text2"/>
      <w:lang w:val="en-AU" w:eastAsia="ja-JP"/>
    </w:rPr>
  </w:style>
  <w:style w:type="character" w:styleId="HTMLCite">
    <w:name w:val="HTML Cite"/>
    <w:basedOn w:val="DefaultParagraphFont"/>
    <w:semiHidden/>
    <w:rsid w:val="00C63303"/>
    <w:rPr>
      <w:rFonts w:asciiTheme="minorHAnsi" w:hAnsiTheme="minorHAnsi" w:cstheme="minorHAnsi"/>
      <w:i/>
      <w:iCs/>
    </w:rPr>
  </w:style>
  <w:style w:type="character" w:styleId="HTMLCode">
    <w:name w:val="HTML Code"/>
    <w:basedOn w:val="DefaultParagraphFont"/>
    <w:semiHidden/>
    <w:rsid w:val="00C63303"/>
    <w:rPr>
      <w:rFonts w:ascii="Consolas" w:hAnsi="Consolas" w:cs="Consolas"/>
      <w:sz w:val="20"/>
      <w:szCs w:val="20"/>
    </w:rPr>
  </w:style>
  <w:style w:type="character" w:styleId="HTMLDefinition">
    <w:name w:val="HTML Definition"/>
    <w:basedOn w:val="DefaultParagraphFont"/>
    <w:semiHidden/>
    <w:rsid w:val="00C63303"/>
    <w:rPr>
      <w:rFonts w:asciiTheme="minorHAnsi" w:hAnsiTheme="minorHAnsi" w:cstheme="minorHAnsi"/>
      <w:i/>
      <w:iCs/>
    </w:rPr>
  </w:style>
  <w:style w:type="character" w:styleId="HTMLKeyboard">
    <w:name w:val="HTML Keyboard"/>
    <w:basedOn w:val="DefaultParagraphFont"/>
    <w:semiHidden/>
    <w:rsid w:val="00C63303"/>
    <w:rPr>
      <w:rFonts w:ascii="Consolas" w:hAnsi="Consolas" w:cs="Consolas"/>
      <w:sz w:val="20"/>
      <w:szCs w:val="20"/>
    </w:rPr>
  </w:style>
  <w:style w:type="paragraph" w:styleId="HTMLPreformatted">
    <w:name w:val="HTML Preformatted"/>
    <w:basedOn w:val="Normal"/>
    <w:link w:val="HTMLPreformattedChar"/>
    <w:semiHidden/>
    <w:rsid w:val="00C63303"/>
  </w:style>
  <w:style w:type="character" w:customStyle="1" w:styleId="HTMLPreformattedChar">
    <w:name w:val="HTML Preformatted Char"/>
    <w:basedOn w:val="DefaultParagraphFont"/>
    <w:link w:val="HTMLPreformatted"/>
    <w:semiHidden/>
    <w:rsid w:val="00D20874"/>
    <w:rPr>
      <w:rFonts w:ascii="Calibri" w:eastAsia="MS Mincho" w:hAnsi="Calibri"/>
      <w:snapToGrid w:val="0"/>
      <w:color w:val="000000" w:themeColor="text2"/>
      <w:lang w:val="en-AU" w:eastAsia="ja-JP"/>
    </w:rPr>
  </w:style>
  <w:style w:type="character" w:styleId="HTMLSample">
    <w:name w:val="HTML Sample"/>
    <w:basedOn w:val="DefaultParagraphFont"/>
    <w:semiHidden/>
    <w:rsid w:val="00C63303"/>
    <w:rPr>
      <w:rFonts w:ascii="Consolas" w:hAnsi="Consolas" w:cs="Consolas"/>
      <w:sz w:val="24"/>
      <w:szCs w:val="24"/>
    </w:rPr>
  </w:style>
  <w:style w:type="character" w:styleId="HTMLTypewriter">
    <w:name w:val="HTML Typewriter"/>
    <w:basedOn w:val="DefaultParagraphFont"/>
    <w:semiHidden/>
    <w:rsid w:val="00C63303"/>
    <w:rPr>
      <w:rFonts w:ascii="Consolas" w:hAnsi="Consolas" w:cs="Consolas"/>
      <w:sz w:val="20"/>
      <w:szCs w:val="20"/>
    </w:rPr>
  </w:style>
  <w:style w:type="character" w:styleId="HTMLVariable">
    <w:name w:val="HTML Variable"/>
    <w:basedOn w:val="DefaultParagraphFont"/>
    <w:semiHidden/>
    <w:rsid w:val="00C63303"/>
    <w:rPr>
      <w:rFonts w:asciiTheme="minorHAnsi" w:hAnsiTheme="minorHAnsi" w:cstheme="minorHAnsi"/>
      <w:i/>
      <w:iCs/>
    </w:rPr>
  </w:style>
  <w:style w:type="character" w:styleId="Hyperlink">
    <w:name w:val="Hyperlink"/>
    <w:basedOn w:val="DefaultParagraphFont"/>
    <w:rsid w:val="003C19E9"/>
    <w:rPr>
      <w:rFonts w:ascii="Calibri" w:hAnsi="Calibri" w:cstheme="minorHAnsi"/>
      <w:color w:val="F26522" w:themeColor="accent1"/>
      <w:sz w:val="20"/>
      <w:u w:val="single"/>
    </w:rPr>
  </w:style>
  <w:style w:type="paragraph" w:styleId="Index1">
    <w:name w:val="index 1"/>
    <w:basedOn w:val="Normal"/>
    <w:next w:val="Normal"/>
    <w:autoRedefine/>
    <w:semiHidden/>
    <w:rsid w:val="00C63303"/>
    <w:pPr>
      <w:ind w:left="200" w:hanging="200"/>
    </w:pPr>
  </w:style>
  <w:style w:type="paragraph" w:styleId="Index2">
    <w:name w:val="index 2"/>
    <w:basedOn w:val="Normal"/>
    <w:next w:val="Normal"/>
    <w:autoRedefine/>
    <w:semiHidden/>
    <w:rsid w:val="00C63303"/>
    <w:pPr>
      <w:ind w:left="400" w:hanging="200"/>
    </w:pPr>
  </w:style>
  <w:style w:type="paragraph" w:styleId="Index3">
    <w:name w:val="index 3"/>
    <w:basedOn w:val="Normal"/>
    <w:next w:val="Normal"/>
    <w:autoRedefine/>
    <w:semiHidden/>
    <w:rsid w:val="00C63303"/>
    <w:pPr>
      <w:ind w:left="600" w:hanging="200"/>
    </w:pPr>
  </w:style>
  <w:style w:type="paragraph" w:styleId="Index4">
    <w:name w:val="index 4"/>
    <w:basedOn w:val="Normal"/>
    <w:next w:val="Normal"/>
    <w:autoRedefine/>
    <w:semiHidden/>
    <w:rsid w:val="00C63303"/>
    <w:pPr>
      <w:ind w:left="800" w:hanging="200"/>
    </w:pPr>
  </w:style>
  <w:style w:type="paragraph" w:styleId="Index5">
    <w:name w:val="index 5"/>
    <w:basedOn w:val="Normal"/>
    <w:next w:val="Normal"/>
    <w:autoRedefine/>
    <w:semiHidden/>
    <w:rsid w:val="00C63303"/>
    <w:pPr>
      <w:ind w:left="1000" w:hanging="200"/>
    </w:pPr>
  </w:style>
  <w:style w:type="paragraph" w:styleId="Index6">
    <w:name w:val="index 6"/>
    <w:basedOn w:val="Normal"/>
    <w:next w:val="Normal"/>
    <w:autoRedefine/>
    <w:semiHidden/>
    <w:rsid w:val="00C63303"/>
    <w:pPr>
      <w:ind w:left="1200" w:hanging="200"/>
    </w:pPr>
  </w:style>
  <w:style w:type="paragraph" w:styleId="Index7">
    <w:name w:val="index 7"/>
    <w:basedOn w:val="Normal"/>
    <w:next w:val="Normal"/>
    <w:autoRedefine/>
    <w:semiHidden/>
    <w:rsid w:val="00C63303"/>
    <w:pPr>
      <w:ind w:left="1400" w:hanging="200"/>
    </w:pPr>
  </w:style>
  <w:style w:type="paragraph" w:styleId="Index8">
    <w:name w:val="index 8"/>
    <w:basedOn w:val="Normal"/>
    <w:next w:val="Normal"/>
    <w:autoRedefine/>
    <w:semiHidden/>
    <w:rsid w:val="00C63303"/>
    <w:pPr>
      <w:ind w:left="1600" w:hanging="200"/>
    </w:pPr>
  </w:style>
  <w:style w:type="paragraph" w:styleId="Index9">
    <w:name w:val="index 9"/>
    <w:basedOn w:val="Normal"/>
    <w:next w:val="Normal"/>
    <w:autoRedefine/>
    <w:semiHidden/>
    <w:rsid w:val="00C63303"/>
    <w:pPr>
      <w:ind w:left="1800" w:hanging="200"/>
    </w:pPr>
  </w:style>
  <w:style w:type="paragraph" w:styleId="IndexHeading">
    <w:name w:val="index heading"/>
    <w:basedOn w:val="Normal"/>
    <w:next w:val="Index1"/>
    <w:semiHidden/>
    <w:rsid w:val="00C63303"/>
    <w:rPr>
      <w:rFonts w:asciiTheme="majorHAnsi" w:eastAsiaTheme="majorEastAsia" w:hAnsiTheme="majorHAnsi" w:cstheme="majorHAnsi"/>
      <w:b/>
      <w:bCs/>
    </w:rPr>
  </w:style>
  <w:style w:type="character" w:styleId="IntenseEmphasis">
    <w:name w:val="Intense Emphasis"/>
    <w:basedOn w:val="DefaultParagraphFont"/>
    <w:semiHidden/>
    <w:rsid w:val="00C63303"/>
    <w:rPr>
      <w:rFonts w:asciiTheme="minorHAnsi" w:hAnsiTheme="minorHAnsi" w:cstheme="minorHAnsi"/>
      <w:b/>
      <w:bCs/>
      <w:i/>
      <w:iCs/>
      <w:color w:val="F26522" w:themeColor="accent1"/>
    </w:rPr>
  </w:style>
  <w:style w:type="paragraph" w:styleId="IntenseQuote">
    <w:name w:val="Intense Quote"/>
    <w:basedOn w:val="Normal"/>
    <w:next w:val="Normal"/>
    <w:link w:val="IntenseQuoteChar"/>
    <w:semiHidden/>
    <w:rsid w:val="00C63303"/>
    <w:pPr>
      <w:pBdr>
        <w:bottom w:val="single" w:sz="4" w:space="4" w:color="F26522" w:themeColor="accent1"/>
      </w:pBdr>
      <w:spacing w:before="200"/>
      <w:ind w:left="936" w:right="936"/>
    </w:pPr>
    <w:rPr>
      <w:b/>
      <w:bCs/>
      <w:i/>
      <w:iCs/>
      <w:color w:val="F26522" w:themeColor="accent1"/>
    </w:rPr>
  </w:style>
  <w:style w:type="character" w:customStyle="1" w:styleId="IntenseQuoteChar">
    <w:name w:val="Intense Quote Char"/>
    <w:basedOn w:val="DefaultParagraphFont"/>
    <w:link w:val="IntenseQuote"/>
    <w:semiHidden/>
    <w:rsid w:val="00D20874"/>
    <w:rPr>
      <w:rFonts w:ascii="Calibri" w:eastAsia="MS Mincho" w:hAnsi="Calibri"/>
      <w:b/>
      <w:bCs/>
      <w:i/>
      <w:iCs/>
      <w:snapToGrid w:val="0"/>
      <w:color w:val="F26522" w:themeColor="accent1"/>
      <w:lang w:val="en-AU" w:eastAsia="ja-JP"/>
    </w:rPr>
  </w:style>
  <w:style w:type="character" w:styleId="IntenseReference">
    <w:name w:val="Intense Reference"/>
    <w:basedOn w:val="DefaultParagraphFont"/>
    <w:semiHidden/>
    <w:rsid w:val="00C63303"/>
    <w:rPr>
      <w:rFonts w:asciiTheme="minorHAnsi" w:hAnsiTheme="minorHAnsi" w:cstheme="minorHAnsi"/>
      <w:b/>
      <w:bCs/>
      <w:smallCaps/>
      <w:color w:val="F7A67D" w:themeColor="accent2"/>
      <w:spacing w:val="5"/>
      <w:u w:val="single"/>
    </w:rPr>
  </w:style>
  <w:style w:type="table" w:styleId="LightGrid">
    <w:name w:val="Light Grid"/>
    <w:basedOn w:val="TableNormal"/>
    <w:uiPriority w:val="98"/>
    <w:rsid w:val="00C6330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C63303"/>
    <w:tblPr>
      <w:tblStyleRowBandSize w:val="1"/>
      <w:tblStyleColBandSize w:val="1"/>
      <w:tblBorders>
        <w:top w:val="single" w:sz="8" w:space="0" w:color="F26522" w:themeColor="accent1"/>
        <w:left w:val="single" w:sz="8" w:space="0" w:color="F26522" w:themeColor="accent1"/>
        <w:bottom w:val="single" w:sz="8" w:space="0" w:color="F26522" w:themeColor="accent1"/>
        <w:right w:val="single" w:sz="8" w:space="0" w:color="F26522" w:themeColor="accent1"/>
        <w:insideH w:val="single" w:sz="8" w:space="0" w:color="F26522" w:themeColor="accent1"/>
        <w:insideV w:val="single" w:sz="8" w:space="0" w:color="F26522"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F26522" w:themeColor="accent1"/>
          <w:left w:val="single" w:sz="8" w:space="0" w:color="F26522" w:themeColor="accent1"/>
          <w:bottom w:val="single" w:sz="18" w:space="0" w:color="F26522" w:themeColor="accent1"/>
          <w:right w:val="single" w:sz="8" w:space="0" w:color="F26522" w:themeColor="accent1"/>
          <w:insideH w:val="nil"/>
          <w:insideV w:val="single" w:sz="8" w:space="0" w:color="F2652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522" w:themeColor="accent1"/>
          <w:left w:val="single" w:sz="8" w:space="0" w:color="F26522" w:themeColor="accent1"/>
          <w:bottom w:val="single" w:sz="8" w:space="0" w:color="F26522" w:themeColor="accent1"/>
          <w:right w:val="single" w:sz="8" w:space="0" w:color="F26522" w:themeColor="accent1"/>
          <w:insideH w:val="nil"/>
          <w:insideV w:val="single" w:sz="8" w:space="0" w:color="F2652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522" w:themeColor="accent1"/>
          <w:left w:val="single" w:sz="8" w:space="0" w:color="F26522" w:themeColor="accent1"/>
          <w:bottom w:val="single" w:sz="8" w:space="0" w:color="F26522" w:themeColor="accent1"/>
          <w:right w:val="single" w:sz="8" w:space="0" w:color="F26522" w:themeColor="accent1"/>
        </w:tcBorders>
      </w:tcPr>
    </w:tblStylePr>
    <w:tblStylePr w:type="band1Vert">
      <w:tblPr/>
      <w:tcPr>
        <w:tcBorders>
          <w:top w:val="single" w:sz="8" w:space="0" w:color="F26522" w:themeColor="accent1"/>
          <w:left w:val="single" w:sz="8" w:space="0" w:color="F26522" w:themeColor="accent1"/>
          <w:bottom w:val="single" w:sz="8" w:space="0" w:color="F26522" w:themeColor="accent1"/>
          <w:right w:val="single" w:sz="8" w:space="0" w:color="F26522" w:themeColor="accent1"/>
        </w:tcBorders>
        <w:shd w:val="clear" w:color="auto" w:fill="FBD8C8" w:themeFill="accent1" w:themeFillTint="3F"/>
      </w:tcPr>
    </w:tblStylePr>
    <w:tblStylePr w:type="band1Horz">
      <w:tblPr/>
      <w:tcPr>
        <w:tcBorders>
          <w:top w:val="single" w:sz="8" w:space="0" w:color="F26522" w:themeColor="accent1"/>
          <w:left w:val="single" w:sz="8" w:space="0" w:color="F26522" w:themeColor="accent1"/>
          <w:bottom w:val="single" w:sz="8" w:space="0" w:color="F26522" w:themeColor="accent1"/>
          <w:right w:val="single" w:sz="8" w:space="0" w:color="F26522" w:themeColor="accent1"/>
          <w:insideV w:val="single" w:sz="8" w:space="0" w:color="F26522" w:themeColor="accent1"/>
        </w:tcBorders>
        <w:shd w:val="clear" w:color="auto" w:fill="FBD8C8" w:themeFill="accent1" w:themeFillTint="3F"/>
      </w:tcPr>
    </w:tblStylePr>
    <w:tblStylePr w:type="band2Horz">
      <w:tblPr/>
      <w:tcPr>
        <w:tcBorders>
          <w:top w:val="single" w:sz="8" w:space="0" w:color="F26522" w:themeColor="accent1"/>
          <w:left w:val="single" w:sz="8" w:space="0" w:color="F26522" w:themeColor="accent1"/>
          <w:bottom w:val="single" w:sz="8" w:space="0" w:color="F26522" w:themeColor="accent1"/>
          <w:right w:val="single" w:sz="8" w:space="0" w:color="F26522" w:themeColor="accent1"/>
          <w:insideV w:val="single" w:sz="8" w:space="0" w:color="F26522" w:themeColor="accent1"/>
        </w:tcBorders>
      </w:tcPr>
    </w:tblStylePr>
  </w:style>
  <w:style w:type="table" w:styleId="LightGrid-Accent2">
    <w:name w:val="Light Grid Accent 2"/>
    <w:basedOn w:val="TableNormal"/>
    <w:uiPriority w:val="98"/>
    <w:rsid w:val="00C63303"/>
    <w:tblPr>
      <w:tblStyleRowBandSize w:val="1"/>
      <w:tblStyleColBandSize w:val="1"/>
      <w:tblBorders>
        <w:top w:val="single" w:sz="8" w:space="0" w:color="F7A67D" w:themeColor="accent2"/>
        <w:left w:val="single" w:sz="8" w:space="0" w:color="F7A67D" w:themeColor="accent2"/>
        <w:bottom w:val="single" w:sz="8" w:space="0" w:color="F7A67D" w:themeColor="accent2"/>
        <w:right w:val="single" w:sz="8" w:space="0" w:color="F7A67D" w:themeColor="accent2"/>
        <w:insideH w:val="single" w:sz="8" w:space="0" w:color="F7A67D" w:themeColor="accent2"/>
        <w:insideV w:val="single" w:sz="8" w:space="0" w:color="F7A67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F7A67D" w:themeColor="accent2"/>
          <w:left w:val="single" w:sz="8" w:space="0" w:color="F7A67D" w:themeColor="accent2"/>
          <w:bottom w:val="single" w:sz="18" w:space="0" w:color="F7A67D" w:themeColor="accent2"/>
          <w:right w:val="single" w:sz="8" w:space="0" w:color="F7A67D" w:themeColor="accent2"/>
          <w:insideH w:val="nil"/>
          <w:insideV w:val="single" w:sz="8" w:space="0" w:color="F7A6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A67D" w:themeColor="accent2"/>
          <w:left w:val="single" w:sz="8" w:space="0" w:color="F7A67D" w:themeColor="accent2"/>
          <w:bottom w:val="single" w:sz="8" w:space="0" w:color="F7A67D" w:themeColor="accent2"/>
          <w:right w:val="single" w:sz="8" w:space="0" w:color="F7A67D" w:themeColor="accent2"/>
          <w:insideH w:val="nil"/>
          <w:insideV w:val="single" w:sz="8" w:space="0" w:color="F7A6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A67D" w:themeColor="accent2"/>
          <w:left w:val="single" w:sz="8" w:space="0" w:color="F7A67D" w:themeColor="accent2"/>
          <w:bottom w:val="single" w:sz="8" w:space="0" w:color="F7A67D" w:themeColor="accent2"/>
          <w:right w:val="single" w:sz="8" w:space="0" w:color="F7A67D" w:themeColor="accent2"/>
        </w:tcBorders>
      </w:tcPr>
    </w:tblStylePr>
    <w:tblStylePr w:type="band1Vert">
      <w:tblPr/>
      <w:tcPr>
        <w:tcBorders>
          <w:top w:val="single" w:sz="8" w:space="0" w:color="F7A67D" w:themeColor="accent2"/>
          <w:left w:val="single" w:sz="8" w:space="0" w:color="F7A67D" w:themeColor="accent2"/>
          <w:bottom w:val="single" w:sz="8" w:space="0" w:color="F7A67D" w:themeColor="accent2"/>
          <w:right w:val="single" w:sz="8" w:space="0" w:color="F7A67D" w:themeColor="accent2"/>
        </w:tcBorders>
        <w:shd w:val="clear" w:color="auto" w:fill="FDE8DE" w:themeFill="accent2" w:themeFillTint="3F"/>
      </w:tcPr>
    </w:tblStylePr>
    <w:tblStylePr w:type="band1Horz">
      <w:tblPr/>
      <w:tcPr>
        <w:tcBorders>
          <w:top w:val="single" w:sz="8" w:space="0" w:color="F7A67D" w:themeColor="accent2"/>
          <w:left w:val="single" w:sz="8" w:space="0" w:color="F7A67D" w:themeColor="accent2"/>
          <w:bottom w:val="single" w:sz="8" w:space="0" w:color="F7A67D" w:themeColor="accent2"/>
          <w:right w:val="single" w:sz="8" w:space="0" w:color="F7A67D" w:themeColor="accent2"/>
          <w:insideV w:val="single" w:sz="8" w:space="0" w:color="F7A67D" w:themeColor="accent2"/>
        </w:tcBorders>
        <w:shd w:val="clear" w:color="auto" w:fill="FDE8DE" w:themeFill="accent2" w:themeFillTint="3F"/>
      </w:tcPr>
    </w:tblStylePr>
    <w:tblStylePr w:type="band2Horz">
      <w:tblPr/>
      <w:tcPr>
        <w:tcBorders>
          <w:top w:val="single" w:sz="8" w:space="0" w:color="F7A67D" w:themeColor="accent2"/>
          <w:left w:val="single" w:sz="8" w:space="0" w:color="F7A67D" w:themeColor="accent2"/>
          <w:bottom w:val="single" w:sz="8" w:space="0" w:color="F7A67D" w:themeColor="accent2"/>
          <w:right w:val="single" w:sz="8" w:space="0" w:color="F7A67D" w:themeColor="accent2"/>
          <w:insideV w:val="single" w:sz="8" w:space="0" w:color="F7A67D" w:themeColor="accent2"/>
        </w:tcBorders>
      </w:tcPr>
    </w:tblStylePr>
  </w:style>
  <w:style w:type="table" w:styleId="LightGrid-Accent3">
    <w:name w:val="Light Grid Accent 3"/>
    <w:basedOn w:val="TableNormal"/>
    <w:uiPriority w:val="98"/>
    <w:rsid w:val="00C63303"/>
    <w:tblPr>
      <w:tblStyleRowBandSize w:val="1"/>
      <w:tblStyleColBandSize w:val="1"/>
      <w:tblBorders>
        <w:top w:val="single" w:sz="8" w:space="0" w:color="D3E5ED" w:themeColor="accent3"/>
        <w:left w:val="single" w:sz="8" w:space="0" w:color="D3E5ED" w:themeColor="accent3"/>
        <w:bottom w:val="single" w:sz="8" w:space="0" w:color="D3E5ED" w:themeColor="accent3"/>
        <w:right w:val="single" w:sz="8" w:space="0" w:color="D3E5ED" w:themeColor="accent3"/>
        <w:insideH w:val="single" w:sz="8" w:space="0" w:color="D3E5ED" w:themeColor="accent3"/>
        <w:insideV w:val="single" w:sz="8" w:space="0" w:color="D3E5ED"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D3E5ED" w:themeColor="accent3"/>
          <w:left w:val="single" w:sz="8" w:space="0" w:color="D3E5ED" w:themeColor="accent3"/>
          <w:bottom w:val="single" w:sz="18" w:space="0" w:color="D3E5ED" w:themeColor="accent3"/>
          <w:right w:val="single" w:sz="8" w:space="0" w:color="D3E5ED" w:themeColor="accent3"/>
          <w:insideH w:val="nil"/>
          <w:insideV w:val="single" w:sz="8" w:space="0" w:color="D3E5E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E5ED" w:themeColor="accent3"/>
          <w:left w:val="single" w:sz="8" w:space="0" w:color="D3E5ED" w:themeColor="accent3"/>
          <w:bottom w:val="single" w:sz="8" w:space="0" w:color="D3E5ED" w:themeColor="accent3"/>
          <w:right w:val="single" w:sz="8" w:space="0" w:color="D3E5ED" w:themeColor="accent3"/>
          <w:insideH w:val="nil"/>
          <w:insideV w:val="single" w:sz="8" w:space="0" w:color="D3E5E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E5ED" w:themeColor="accent3"/>
          <w:left w:val="single" w:sz="8" w:space="0" w:color="D3E5ED" w:themeColor="accent3"/>
          <w:bottom w:val="single" w:sz="8" w:space="0" w:color="D3E5ED" w:themeColor="accent3"/>
          <w:right w:val="single" w:sz="8" w:space="0" w:color="D3E5ED" w:themeColor="accent3"/>
        </w:tcBorders>
      </w:tcPr>
    </w:tblStylePr>
    <w:tblStylePr w:type="band1Vert">
      <w:tblPr/>
      <w:tcPr>
        <w:tcBorders>
          <w:top w:val="single" w:sz="8" w:space="0" w:color="D3E5ED" w:themeColor="accent3"/>
          <w:left w:val="single" w:sz="8" w:space="0" w:color="D3E5ED" w:themeColor="accent3"/>
          <w:bottom w:val="single" w:sz="8" w:space="0" w:color="D3E5ED" w:themeColor="accent3"/>
          <w:right w:val="single" w:sz="8" w:space="0" w:color="D3E5ED" w:themeColor="accent3"/>
        </w:tcBorders>
        <w:shd w:val="clear" w:color="auto" w:fill="F4F8FA" w:themeFill="accent3" w:themeFillTint="3F"/>
      </w:tcPr>
    </w:tblStylePr>
    <w:tblStylePr w:type="band1Horz">
      <w:tblPr/>
      <w:tcPr>
        <w:tcBorders>
          <w:top w:val="single" w:sz="8" w:space="0" w:color="D3E5ED" w:themeColor="accent3"/>
          <w:left w:val="single" w:sz="8" w:space="0" w:color="D3E5ED" w:themeColor="accent3"/>
          <w:bottom w:val="single" w:sz="8" w:space="0" w:color="D3E5ED" w:themeColor="accent3"/>
          <w:right w:val="single" w:sz="8" w:space="0" w:color="D3E5ED" w:themeColor="accent3"/>
          <w:insideV w:val="single" w:sz="8" w:space="0" w:color="D3E5ED" w:themeColor="accent3"/>
        </w:tcBorders>
        <w:shd w:val="clear" w:color="auto" w:fill="F4F8FA" w:themeFill="accent3" w:themeFillTint="3F"/>
      </w:tcPr>
    </w:tblStylePr>
    <w:tblStylePr w:type="band2Horz">
      <w:tblPr/>
      <w:tcPr>
        <w:tcBorders>
          <w:top w:val="single" w:sz="8" w:space="0" w:color="D3E5ED" w:themeColor="accent3"/>
          <w:left w:val="single" w:sz="8" w:space="0" w:color="D3E5ED" w:themeColor="accent3"/>
          <w:bottom w:val="single" w:sz="8" w:space="0" w:color="D3E5ED" w:themeColor="accent3"/>
          <w:right w:val="single" w:sz="8" w:space="0" w:color="D3E5ED" w:themeColor="accent3"/>
          <w:insideV w:val="single" w:sz="8" w:space="0" w:color="D3E5ED" w:themeColor="accent3"/>
        </w:tcBorders>
      </w:tcPr>
    </w:tblStylePr>
  </w:style>
  <w:style w:type="table" w:styleId="LightGrid-Accent4">
    <w:name w:val="Light Grid Accent 4"/>
    <w:basedOn w:val="TableNormal"/>
    <w:uiPriority w:val="98"/>
    <w:rsid w:val="00C63303"/>
    <w:tblPr>
      <w:tblStyleRowBandSize w:val="1"/>
      <w:tblStyleColBandSize w:val="1"/>
      <w:tblBorders>
        <w:top w:val="single" w:sz="8" w:space="0" w:color="E7F1F5" w:themeColor="accent4"/>
        <w:left w:val="single" w:sz="8" w:space="0" w:color="E7F1F5" w:themeColor="accent4"/>
        <w:bottom w:val="single" w:sz="8" w:space="0" w:color="E7F1F5" w:themeColor="accent4"/>
        <w:right w:val="single" w:sz="8" w:space="0" w:color="E7F1F5" w:themeColor="accent4"/>
        <w:insideH w:val="single" w:sz="8" w:space="0" w:color="E7F1F5" w:themeColor="accent4"/>
        <w:insideV w:val="single" w:sz="8" w:space="0" w:color="E7F1F5"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E7F1F5" w:themeColor="accent4"/>
          <w:left w:val="single" w:sz="8" w:space="0" w:color="E7F1F5" w:themeColor="accent4"/>
          <w:bottom w:val="single" w:sz="18" w:space="0" w:color="E7F1F5" w:themeColor="accent4"/>
          <w:right w:val="single" w:sz="8" w:space="0" w:color="E7F1F5" w:themeColor="accent4"/>
          <w:insideH w:val="nil"/>
          <w:insideV w:val="single" w:sz="8" w:space="0" w:color="E7F1F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F1F5" w:themeColor="accent4"/>
          <w:left w:val="single" w:sz="8" w:space="0" w:color="E7F1F5" w:themeColor="accent4"/>
          <w:bottom w:val="single" w:sz="8" w:space="0" w:color="E7F1F5" w:themeColor="accent4"/>
          <w:right w:val="single" w:sz="8" w:space="0" w:color="E7F1F5" w:themeColor="accent4"/>
          <w:insideH w:val="nil"/>
          <w:insideV w:val="single" w:sz="8" w:space="0" w:color="E7F1F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F1F5" w:themeColor="accent4"/>
          <w:left w:val="single" w:sz="8" w:space="0" w:color="E7F1F5" w:themeColor="accent4"/>
          <w:bottom w:val="single" w:sz="8" w:space="0" w:color="E7F1F5" w:themeColor="accent4"/>
          <w:right w:val="single" w:sz="8" w:space="0" w:color="E7F1F5" w:themeColor="accent4"/>
        </w:tcBorders>
      </w:tcPr>
    </w:tblStylePr>
    <w:tblStylePr w:type="band1Vert">
      <w:tblPr/>
      <w:tcPr>
        <w:tcBorders>
          <w:top w:val="single" w:sz="8" w:space="0" w:color="E7F1F5" w:themeColor="accent4"/>
          <w:left w:val="single" w:sz="8" w:space="0" w:color="E7F1F5" w:themeColor="accent4"/>
          <w:bottom w:val="single" w:sz="8" w:space="0" w:color="E7F1F5" w:themeColor="accent4"/>
          <w:right w:val="single" w:sz="8" w:space="0" w:color="E7F1F5" w:themeColor="accent4"/>
        </w:tcBorders>
        <w:shd w:val="clear" w:color="auto" w:fill="F8FBFC" w:themeFill="accent4" w:themeFillTint="3F"/>
      </w:tcPr>
    </w:tblStylePr>
    <w:tblStylePr w:type="band1Horz">
      <w:tblPr/>
      <w:tcPr>
        <w:tcBorders>
          <w:top w:val="single" w:sz="8" w:space="0" w:color="E7F1F5" w:themeColor="accent4"/>
          <w:left w:val="single" w:sz="8" w:space="0" w:color="E7F1F5" w:themeColor="accent4"/>
          <w:bottom w:val="single" w:sz="8" w:space="0" w:color="E7F1F5" w:themeColor="accent4"/>
          <w:right w:val="single" w:sz="8" w:space="0" w:color="E7F1F5" w:themeColor="accent4"/>
          <w:insideV w:val="single" w:sz="8" w:space="0" w:color="E7F1F5" w:themeColor="accent4"/>
        </w:tcBorders>
        <w:shd w:val="clear" w:color="auto" w:fill="F8FBFC" w:themeFill="accent4" w:themeFillTint="3F"/>
      </w:tcPr>
    </w:tblStylePr>
    <w:tblStylePr w:type="band2Horz">
      <w:tblPr/>
      <w:tcPr>
        <w:tcBorders>
          <w:top w:val="single" w:sz="8" w:space="0" w:color="E7F1F5" w:themeColor="accent4"/>
          <w:left w:val="single" w:sz="8" w:space="0" w:color="E7F1F5" w:themeColor="accent4"/>
          <w:bottom w:val="single" w:sz="8" w:space="0" w:color="E7F1F5" w:themeColor="accent4"/>
          <w:right w:val="single" w:sz="8" w:space="0" w:color="E7F1F5" w:themeColor="accent4"/>
          <w:insideV w:val="single" w:sz="8" w:space="0" w:color="E7F1F5" w:themeColor="accent4"/>
        </w:tcBorders>
      </w:tcPr>
    </w:tblStylePr>
  </w:style>
  <w:style w:type="table" w:styleId="LightGrid-Accent5">
    <w:name w:val="Light Grid Accent 5"/>
    <w:basedOn w:val="TableNormal"/>
    <w:uiPriority w:val="98"/>
    <w:rsid w:val="00C63303"/>
    <w:tblPr>
      <w:tblStyleRowBandSize w:val="1"/>
      <w:tblStyleColBandSize w:val="1"/>
      <w:tblBorders>
        <w:top w:val="single" w:sz="8" w:space="0" w:color="77923B" w:themeColor="accent5"/>
        <w:left w:val="single" w:sz="8" w:space="0" w:color="77923B" w:themeColor="accent5"/>
        <w:bottom w:val="single" w:sz="8" w:space="0" w:color="77923B" w:themeColor="accent5"/>
        <w:right w:val="single" w:sz="8" w:space="0" w:color="77923B" w:themeColor="accent5"/>
        <w:insideH w:val="single" w:sz="8" w:space="0" w:color="77923B" w:themeColor="accent5"/>
        <w:insideV w:val="single" w:sz="8" w:space="0" w:color="77923B"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77923B" w:themeColor="accent5"/>
          <w:left w:val="single" w:sz="8" w:space="0" w:color="77923B" w:themeColor="accent5"/>
          <w:bottom w:val="single" w:sz="18" w:space="0" w:color="77923B" w:themeColor="accent5"/>
          <w:right w:val="single" w:sz="8" w:space="0" w:color="77923B" w:themeColor="accent5"/>
          <w:insideH w:val="nil"/>
          <w:insideV w:val="single" w:sz="8" w:space="0" w:color="77923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923B" w:themeColor="accent5"/>
          <w:left w:val="single" w:sz="8" w:space="0" w:color="77923B" w:themeColor="accent5"/>
          <w:bottom w:val="single" w:sz="8" w:space="0" w:color="77923B" w:themeColor="accent5"/>
          <w:right w:val="single" w:sz="8" w:space="0" w:color="77923B" w:themeColor="accent5"/>
          <w:insideH w:val="nil"/>
          <w:insideV w:val="single" w:sz="8" w:space="0" w:color="77923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923B" w:themeColor="accent5"/>
          <w:left w:val="single" w:sz="8" w:space="0" w:color="77923B" w:themeColor="accent5"/>
          <w:bottom w:val="single" w:sz="8" w:space="0" w:color="77923B" w:themeColor="accent5"/>
          <w:right w:val="single" w:sz="8" w:space="0" w:color="77923B" w:themeColor="accent5"/>
        </w:tcBorders>
      </w:tcPr>
    </w:tblStylePr>
    <w:tblStylePr w:type="band1Vert">
      <w:tblPr/>
      <w:tcPr>
        <w:tcBorders>
          <w:top w:val="single" w:sz="8" w:space="0" w:color="77923B" w:themeColor="accent5"/>
          <w:left w:val="single" w:sz="8" w:space="0" w:color="77923B" w:themeColor="accent5"/>
          <w:bottom w:val="single" w:sz="8" w:space="0" w:color="77923B" w:themeColor="accent5"/>
          <w:right w:val="single" w:sz="8" w:space="0" w:color="77923B" w:themeColor="accent5"/>
        </w:tcBorders>
        <w:shd w:val="clear" w:color="auto" w:fill="DFE9C9" w:themeFill="accent5" w:themeFillTint="3F"/>
      </w:tcPr>
    </w:tblStylePr>
    <w:tblStylePr w:type="band1Horz">
      <w:tblPr/>
      <w:tcPr>
        <w:tcBorders>
          <w:top w:val="single" w:sz="8" w:space="0" w:color="77923B" w:themeColor="accent5"/>
          <w:left w:val="single" w:sz="8" w:space="0" w:color="77923B" w:themeColor="accent5"/>
          <w:bottom w:val="single" w:sz="8" w:space="0" w:color="77923B" w:themeColor="accent5"/>
          <w:right w:val="single" w:sz="8" w:space="0" w:color="77923B" w:themeColor="accent5"/>
          <w:insideV w:val="single" w:sz="8" w:space="0" w:color="77923B" w:themeColor="accent5"/>
        </w:tcBorders>
        <w:shd w:val="clear" w:color="auto" w:fill="DFE9C9" w:themeFill="accent5" w:themeFillTint="3F"/>
      </w:tcPr>
    </w:tblStylePr>
    <w:tblStylePr w:type="band2Horz">
      <w:tblPr/>
      <w:tcPr>
        <w:tcBorders>
          <w:top w:val="single" w:sz="8" w:space="0" w:color="77923B" w:themeColor="accent5"/>
          <w:left w:val="single" w:sz="8" w:space="0" w:color="77923B" w:themeColor="accent5"/>
          <w:bottom w:val="single" w:sz="8" w:space="0" w:color="77923B" w:themeColor="accent5"/>
          <w:right w:val="single" w:sz="8" w:space="0" w:color="77923B" w:themeColor="accent5"/>
          <w:insideV w:val="single" w:sz="8" w:space="0" w:color="77923B" w:themeColor="accent5"/>
        </w:tcBorders>
      </w:tcPr>
    </w:tblStylePr>
  </w:style>
  <w:style w:type="table" w:styleId="LightGrid-Accent6">
    <w:name w:val="Light Grid Accent 6"/>
    <w:basedOn w:val="TableNormal"/>
    <w:uiPriority w:val="98"/>
    <w:rsid w:val="00C63303"/>
    <w:tblPr>
      <w:tblStyleRowBandSize w:val="1"/>
      <w:tblStyleColBandSize w:val="1"/>
      <w:tblBorders>
        <w:top w:val="single" w:sz="8" w:space="0" w:color="F26522" w:themeColor="accent6"/>
        <w:left w:val="single" w:sz="8" w:space="0" w:color="F26522" w:themeColor="accent6"/>
        <w:bottom w:val="single" w:sz="8" w:space="0" w:color="F26522" w:themeColor="accent6"/>
        <w:right w:val="single" w:sz="8" w:space="0" w:color="F26522" w:themeColor="accent6"/>
        <w:insideH w:val="single" w:sz="8" w:space="0" w:color="F26522" w:themeColor="accent6"/>
        <w:insideV w:val="single" w:sz="8" w:space="0" w:color="F26522"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F26522" w:themeColor="accent6"/>
          <w:left w:val="single" w:sz="8" w:space="0" w:color="F26522" w:themeColor="accent6"/>
          <w:bottom w:val="single" w:sz="18" w:space="0" w:color="F26522" w:themeColor="accent6"/>
          <w:right w:val="single" w:sz="8" w:space="0" w:color="F26522" w:themeColor="accent6"/>
          <w:insideH w:val="nil"/>
          <w:insideV w:val="single" w:sz="8" w:space="0" w:color="F265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522" w:themeColor="accent6"/>
          <w:left w:val="single" w:sz="8" w:space="0" w:color="F26522" w:themeColor="accent6"/>
          <w:bottom w:val="single" w:sz="8" w:space="0" w:color="F26522" w:themeColor="accent6"/>
          <w:right w:val="single" w:sz="8" w:space="0" w:color="F26522" w:themeColor="accent6"/>
          <w:insideH w:val="nil"/>
          <w:insideV w:val="single" w:sz="8" w:space="0" w:color="F265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522" w:themeColor="accent6"/>
          <w:left w:val="single" w:sz="8" w:space="0" w:color="F26522" w:themeColor="accent6"/>
          <w:bottom w:val="single" w:sz="8" w:space="0" w:color="F26522" w:themeColor="accent6"/>
          <w:right w:val="single" w:sz="8" w:space="0" w:color="F26522" w:themeColor="accent6"/>
        </w:tcBorders>
      </w:tcPr>
    </w:tblStylePr>
    <w:tblStylePr w:type="band1Vert">
      <w:tblPr/>
      <w:tcPr>
        <w:tcBorders>
          <w:top w:val="single" w:sz="8" w:space="0" w:color="F26522" w:themeColor="accent6"/>
          <w:left w:val="single" w:sz="8" w:space="0" w:color="F26522" w:themeColor="accent6"/>
          <w:bottom w:val="single" w:sz="8" w:space="0" w:color="F26522" w:themeColor="accent6"/>
          <w:right w:val="single" w:sz="8" w:space="0" w:color="F26522" w:themeColor="accent6"/>
        </w:tcBorders>
        <w:shd w:val="clear" w:color="auto" w:fill="FBD8C8" w:themeFill="accent6" w:themeFillTint="3F"/>
      </w:tcPr>
    </w:tblStylePr>
    <w:tblStylePr w:type="band1Horz">
      <w:tblPr/>
      <w:tcPr>
        <w:tcBorders>
          <w:top w:val="single" w:sz="8" w:space="0" w:color="F26522" w:themeColor="accent6"/>
          <w:left w:val="single" w:sz="8" w:space="0" w:color="F26522" w:themeColor="accent6"/>
          <w:bottom w:val="single" w:sz="8" w:space="0" w:color="F26522" w:themeColor="accent6"/>
          <w:right w:val="single" w:sz="8" w:space="0" w:color="F26522" w:themeColor="accent6"/>
          <w:insideV w:val="single" w:sz="8" w:space="0" w:color="F26522" w:themeColor="accent6"/>
        </w:tcBorders>
        <w:shd w:val="clear" w:color="auto" w:fill="FBD8C8" w:themeFill="accent6" w:themeFillTint="3F"/>
      </w:tcPr>
    </w:tblStylePr>
    <w:tblStylePr w:type="band2Horz">
      <w:tblPr/>
      <w:tcPr>
        <w:tcBorders>
          <w:top w:val="single" w:sz="8" w:space="0" w:color="F26522" w:themeColor="accent6"/>
          <w:left w:val="single" w:sz="8" w:space="0" w:color="F26522" w:themeColor="accent6"/>
          <w:bottom w:val="single" w:sz="8" w:space="0" w:color="F26522" w:themeColor="accent6"/>
          <w:right w:val="single" w:sz="8" w:space="0" w:color="F26522" w:themeColor="accent6"/>
          <w:insideV w:val="single" w:sz="8" w:space="0" w:color="F26522" w:themeColor="accent6"/>
        </w:tcBorders>
      </w:tcPr>
    </w:tblStylePr>
  </w:style>
  <w:style w:type="table" w:styleId="LightList">
    <w:name w:val="Light List"/>
    <w:basedOn w:val="TableNormal"/>
    <w:uiPriority w:val="98"/>
    <w:rsid w:val="00C6330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C63303"/>
    <w:tblPr>
      <w:tblStyleRowBandSize w:val="1"/>
      <w:tblStyleColBandSize w:val="1"/>
      <w:tblBorders>
        <w:top w:val="single" w:sz="8" w:space="0" w:color="F26522" w:themeColor="accent1"/>
        <w:left w:val="single" w:sz="8" w:space="0" w:color="F26522" w:themeColor="accent1"/>
        <w:bottom w:val="single" w:sz="8" w:space="0" w:color="F26522" w:themeColor="accent1"/>
        <w:right w:val="single" w:sz="8" w:space="0" w:color="F26522"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F26522" w:themeFill="accent1"/>
      </w:tcPr>
    </w:tblStylePr>
    <w:tblStylePr w:type="lastRow">
      <w:pPr>
        <w:spacing w:before="0" w:after="0" w:line="240" w:lineRule="auto"/>
      </w:pPr>
      <w:rPr>
        <w:b/>
        <w:bCs/>
      </w:rPr>
      <w:tblPr/>
      <w:tcPr>
        <w:tcBorders>
          <w:top w:val="double" w:sz="6" w:space="0" w:color="F26522" w:themeColor="accent1"/>
          <w:left w:val="single" w:sz="8" w:space="0" w:color="F26522" w:themeColor="accent1"/>
          <w:bottom w:val="single" w:sz="8" w:space="0" w:color="F26522" w:themeColor="accent1"/>
          <w:right w:val="single" w:sz="8" w:space="0" w:color="F26522" w:themeColor="accent1"/>
        </w:tcBorders>
      </w:tcPr>
    </w:tblStylePr>
    <w:tblStylePr w:type="firstCol">
      <w:rPr>
        <w:b/>
        <w:bCs/>
      </w:rPr>
    </w:tblStylePr>
    <w:tblStylePr w:type="lastCol">
      <w:rPr>
        <w:b/>
        <w:bCs/>
      </w:rPr>
    </w:tblStylePr>
    <w:tblStylePr w:type="band1Vert">
      <w:tblPr/>
      <w:tcPr>
        <w:tcBorders>
          <w:top w:val="single" w:sz="8" w:space="0" w:color="F26522" w:themeColor="accent1"/>
          <w:left w:val="single" w:sz="8" w:space="0" w:color="F26522" w:themeColor="accent1"/>
          <w:bottom w:val="single" w:sz="8" w:space="0" w:color="F26522" w:themeColor="accent1"/>
          <w:right w:val="single" w:sz="8" w:space="0" w:color="F26522" w:themeColor="accent1"/>
        </w:tcBorders>
      </w:tcPr>
    </w:tblStylePr>
    <w:tblStylePr w:type="band1Horz">
      <w:tblPr/>
      <w:tcPr>
        <w:tcBorders>
          <w:top w:val="single" w:sz="8" w:space="0" w:color="F26522" w:themeColor="accent1"/>
          <w:left w:val="single" w:sz="8" w:space="0" w:color="F26522" w:themeColor="accent1"/>
          <w:bottom w:val="single" w:sz="8" w:space="0" w:color="F26522" w:themeColor="accent1"/>
          <w:right w:val="single" w:sz="8" w:space="0" w:color="F26522" w:themeColor="accent1"/>
        </w:tcBorders>
      </w:tcPr>
    </w:tblStylePr>
  </w:style>
  <w:style w:type="table" w:styleId="LightList-Accent2">
    <w:name w:val="Light List Accent 2"/>
    <w:basedOn w:val="TableNormal"/>
    <w:uiPriority w:val="98"/>
    <w:rsid w:val="00C63303"/>
    <w:tblPr>
      <w:tblStyleRowBandSize w:val="1"/>
      <w:tblStyleColBandSize w:val="1"/>
      <w:tblBorders>
        <w:top w:val="single" w:sz="8" w:space="0" w:color="F7A67D" w:themeColor="accent2"/>
        <w:left w:val="single" w:sz="8" w:space="0" w:color="F7A67D" w:themeColor="accent2"/>
        <w:bottom w:val="single" w:sz="8" w:space="0" w:color="F7A67D" w:themeColor="accent2"/>
        <w:right w:val="single" w:sz="8" w:space="0" w:color="F7A67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F7A67D" w:themeFill="accent2"/>
      </w:tcPr>
    </w:tblStylePr>
    <w:tblStylePr w:type="lastRow">
      <w:pPr>
        <w:spacing w:before="0" w:after="0" w:line="240" w:lineRule="auto"/>
      </w:pPr>
      <w:rPr>
        <w:b/>
        <w:bCs/>
      </w:rPr>
      <w:tblPr/>
      <w:tcPr>
        <w:tcBorders>
          <w:top w:val="double" w:sz="6" w:space="0" w:color="F7A67D" w:themeColor="accent2"/>
          <w:left w:val="single" w:sz="8" w:space="0" w:color="F7A67D" w:themeColor="accent2"/>
          <w:bottom w:val="single" w:sz="8" w:space="0" w:color="F7A67D" w:themeColor="accent2"/>
          <w:right w:val="single" w:sz="8" w:space="0" w:color="F7A67D" w:themeColor="accent2"/>
        </w:tcBorders>
      </w:tcPr>
    </w:tblStylePr>
    <w:tblStylePr w:type="firstCol">
      <w:rPr>
        <w:b/>
        <w:bCs/>
      </w:rPr>
    </w:tblStylePr>
    <w:tblStylePr w:type="lastCol">
      <w:rPr>
        <w:b/>
        <w:bCs/>
      </w:rPr>
    </w:tblStylePr>
    <w:tblStylePr w:type="band1Vert">
      <w:tblPr/>
      <w:tcPr>
        <w:tcBorders>
          <w:top w:val="single" w:sz="8" w:space="0" w:color="F7A67D" w:themeColor="accent2"/>
          <w:left w:val="single" w:sz="8" w:space="0" w:color="F7A67D" w:themeColor="accent2"/>
          <w:bottom w:val="single" w:sz="8" w:space="0" w:color="F7A67D" w:themeColor="accent2"/>
          <w:right w:val="single" w:sz="8" w:space="0" w:color="F7A67D" w:themeColor="accent2"/>
        </w:tcBorders>
      </w:tcPr>
    </w:tblStylePr>
    <w:tblStylePr w:type="band1Horz">
      <w:tblPr/>
      <w:tcPr>
        <w:tcBorders>
          <w:top w:val="single" w:sz="8" w:space="0" w:color="F7A67D" w:themeColor="accent2"/>
          <w:left w:val="single" w:sz="8" w:space="0" w:color="F7A67D" w:themeColor="accent2"/>
          <w:bottom w:val="single" w:sz="8" w:space="0" w:color="F7A67D" w:themeColor="accent2"/>
          <w:right w:val="single" w:sz="8" w:space="0" w:color="F7A67D" w:themeColor="accent2"/>
        </w:tcBorders>
      </w:tcPr>
    </w:tblStylePr>
  </w:style>
  <w:style w:type="table" w:styleId="LightList-Accent3">
    <w:name w:val="Light List Accent 3"/>
    <w:basedOn w:val="TableNormal"/>
    <w:uiPriority w:val="98"/>
    <w:rsid w:val="00C63303"/>
    <w:tblPr>
      <w:tblStyleRowBandSize w:val="1"/>
      <w:tblStyleColBandSize w:val="1"/>
      <w:tblBorders>
        <w:top w:val="single" w:sz="8" w:space="0" w:color="D3E5ED" w:themeColor="accent3"/>
        <w:left w:val="single" w:sz="8" w:space="0" w:color="D3E5ED" w:themeColor="accent3"/>
        <w:bottom w:val="single" w:sz="8" w:space="0" w:color="D3E5ED" w:themeColor="accent3"/>
        <w:right w:val="single" w:sz="8" w:space="0" w:color="D3E5E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D3E5ED" w:themeFill="accent3"/>
      </w:tcPr>
    </w:tblStylePr>
    <w:tblStylePr w:type="lastRow">
      <w:pPr>
        <w:spacing w:before="0" w:after="0" w:line="240" w:lineRule="auto"/>
      </w:pPr>
      <w:rPr>
        <w:b/>
        <w:bCs/>
      </w:rPr>
      <w:tblPr/>
      <w:tcPr>
        <w:tcBorders>
          <w:top w:val="double" w:sz="6" w:space="0" w:color="D3E5ED" w:themeColor="accent3"/>
          <w:left w:val="single" w:sz="8" w:space="0" w:color="D3E5ED" w:themeColor="accent3"/>
          <w:bottom w:val="single" w:sz="8" w:space="0" w:color="D3E5ED" w:themeColor="accent3"/>
          <w:right w:val="single" w:sz="8" w:space="0" w:color="D3E5ED" w:themeColor="accent3"/>
        </w:tcBorders>
      </w:tcPr>
    </w:tblStylePr>
    <w:tblStylePr w:type="firstCol">
      <w:rPr>
        <w:b/>
        <w:bCs/>
      </w:rPr>
    </w:tblStylePr>
    <w:tblStylePr w:type="lastCol">
      <w:rPr>
        <w:b/>
        <w:bCs/>
      </w:rPr>
    </w:tblStylePr>
    <w:tblStylePr w:type="band1Vert">
      <w:tblPr/>
      <w:tcPr>
        <w:tcBorders>
          <w:top w:val="single" w:sz="8" w:space="0" w:color="D3E5ED" w:themeColor="accent3"/>
          <w:left w:val="single" w:sz="8" w:space="0" w:color="D3E5ED" w:themeColor="accent3"/>
          <w:bottom w:val="single" w:sz="8" w:space="0" w:color="D3E5ED" w:themeColor="accent3"/>
          <w:right w:val="single" w:sz="8" w:space="0" w:color="D3E5ED" w:themeColor="accent3"/>
        </w:tcBorders>
      </w:tcPr>
    </w:tblStylePr>
    <w:tblStylePr w:type="band1Horz">
      <w:tblPr/>
      <w:tcPr>
        <w:tcBorders>
          <w:top w:val="single" w:sz="8" w:space="0" w:color="D3E5ED" w:themeColor="accent3"/>
          <w:left w:val="single" w:sz="8" w:space="0" w:color="D3E5ED" w:themeColor="accent3"/>
          <w:bottom w:val="single" w:sz="8" w:space="0" w:color="D3E5ED" w:themeColor="accent3"/>
          <w:right w:val="single" w:sz="8" w:space="0" w:color="D3E5ED" w:themeColor="accent3"/>
        </w:tcBorders>
      </w:tcPr>
    </w:tblStylePr>
  </w:style>
  <w:style w:type="table" w:styleId="LightList-Accent4">
    <w:name w:val="Light List Accent 4"/>
    <w:basedOn w:val="TableNormal"/>
    <w:uiPriority w:val="98"/>
    <w:rsid w:val="00C63303"/>
    <w:tblPr>
      <w:tblStyleRowBandSize w:val="1"/>
      <w:tblStyleColBandSize w:val="1"/>
      <w:tblBorders>
        <w:top w:val="single" w:sz="8" w:space="0" w:color="E7F1F5" w:themeColor="accent4"/>
        <w:left w:val="single" w:sz="8" w:space="0" w:color="E7F1F5" w:themeColor="accent4"/>
        <w:bottom w:val="single" w:sz="8" w:space="0" w:color="E7F1F5" w:themeColor="accent4"/>
        <w:right w:val="single" w:sz="8" w:space="0" w:color="E7F1F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E7F1F5" w:themeFill="accent4"/>
      </w:tcPr>
    </w:tblStylePr>
    <w:tblStylePr w:type="lastRow">
      <w:pPr>
        <w:spacing w:before="0" w:after="0" w:line="240" w:lineRule="auto"/>
      </w:pPr>
      <w:rPr>
        <w:b/>
        <w:bCs/>
      </w:rPr>
      <w:tblPr/>
      <w:tcPr>
        <w:tcBorders>
          <w:top w:val="double" w:sz="6" w:space="0" w:color="E7F1F5" w:themeColor="accent4"/>
          <w:left w:val="single" w:sz="8" w:space="0" w:color="E7F1F5" w:themeColor="accent4"/>
          <w:bottom w:val="single" w:sz="8" w:space="0" w:color="E7F1F5" w:themeColor="accent4"/>
          <w:right w:val="single" w:sz="8" w:space="0" w:color="E7F1F5" w:themeColor="accent4"/>
        </w:tcBorders>
      </w:tcPr>
    </w:tblStylePr>
    <w:tblStylePr w:type="firstCol">
      <w:rPr>
        <w:b/>
        <w:bCs/>
      </w:rPr>
    </w:tblStylePr>
    <w:tblStylePr w:type="lastCol">
      <w:rPr>
        <w:b/>
        <w:bCs/>
      </w:rPr>
    </w:tblStylePr>
    <w:tblStylePr w:type="band1Vert">
      <w:tblPr/>
      <w:tcPr>
        <w:tcBorders>
          <w:top w:val="single" w:sz="8" w:space="0" w:color="E7F1F5" w:themeColor="accent4"/>
          <w:left w:val="single" w:sz="8" w:space="0" w:color="E7F1F5" w:themeColor="accent4"/>
          <w:bottom w:val="single" w:sz="8" w:space="0" w:color="E7F1F5" w:themeColor="accent4"/>
          <w:right w:val="single" w:sz="8" w:space="0" w:color="E7F1F5" w:themeColor="accent4"/>
        </w:tcBorders>
      </w:tcPr>
    </w:tblStylePr>
    <w:tblStylePr w:type="band1Horz">
      <w:tblPr/>
      <w:tcPr>
        <w:tcBorders>
          <w:top w:val="single" w:sz="8" w:space="0" w:color="E7F1F5" w:themeColor="accent4"/>
          <w:left w:val="single" w:sz="8" w:space="0" w:color="E7F1F5" w:themeColor="accent4"/>
          <w:bottom w:val="single" w:sz="8" w:space="0" w:color="E7F1F5" w:themeColor="accent4"/>
          <w:right w:val="single" w:sz="8" w:space="0" w:color="E7F1F5" w:themeColor="accent4"/>
        </w:tcBorders>
      </w:tcPr>
    </w:tblStylePr>
  </w:style>
  <w:style w:type="table" w:styleId="LightList-Accent5">
    <w:name w:val="Light List Accent 5"/>
    <w:basedOn w:val="TableNormal"/>
    <w:uiPriority w:val="98"/>
    <w:rsid w:val="00C63303"/>
    <w:tblPr>
      <w:tblStyleRowBandSize w:val="1"/>
      <w:tblStyleColBandSize w:val="1"/>
      <w:tblBorders>
        <w:top w:val="single" w:sz="8" w:space="0" w:color="77923B" w:themeColor="accent5"/>
        <w:left w:val="single" w:sz="8" w:space="0" w:color="77923B" w:themeColor="accent5"/>
        <w:bottom w:val="single" w:sz="8" w:space="0" w:color="77923B" w:themeColor="accent5"/>
        <w:right w:val="single" w:sz="8" w:space="0" w:color="77923B"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77923B" w:themeFill="accent5"/>
      </w:tcPr>
    </w:tblStylePr>
    <w:tblStylePr w:type="lastRow">
      <w:pPr>
        <w:spacing w:before="0" w:after="0" w:line="240" w:lineRule="auto"/>
      </w:pPr>
      <w:rPr>
        <w:b/>
        <w:bCs/>
      </w:rPr>
      <w:tblPr/>
      <w:tcPr>
        <w:tcBorders>
          <w:top w:val="double" w:sz="6" w:space="0" w:color="77923B" w:themeColor="accent5"/>
          <w:left w:val="single" w:sz="8" w:space="0" w:color="77923B" w:themeColor="accent5"/>
          <w:bottom w:val="single" w:sz="8" w:space="0" w:color="77923B" w:themeColor="accent5"/>
          <w:right w:val="single" w:sz="8" w:space="0" w:color="77923B" w:themeColor="accent5"/>
        </w:tcBorders>
      </w:tcPr>
    </w:tblStylePr>
    <w:tblStylePr w:type="firstCol">
      <w:rPr>
        <w:b/>
        <w:bCs/>
      </w:rPr>
    </w:tblStylePr>
    <w:tblStylePr w:type="lastCol">
      <w:rPr>
        <w:b/>
        <w:bCs/>
      </w:rPr>
    </w:tblStylePr>
    <w:tblStylePr w:type="band1Vert">
      <w:tblPr/>
      <w:tcPr>
        <w:tcBorders>
          <w:top w:val="single" w:sz="8" w:space="0" w:color="77923B" w:themeColor="accent5"/>
          <w:left w:val="single" w:sz="8" w:space="0" w:color="77923B" w:themeColor="accent5"/>
          <w:bottom w:val="single" w:sz="8" w:space="0" w:color="77923B" w:themeColor="accent5"/>
          <w:right w:val="single" w:sz="8" w:space="0" w:color="77923B" w:themeColor="accent5"/>
        </w:tcBorders>
      </w:tcPr>
    </w:tblStylePr>
    <w:tblStylePr w:type="band1Horz">
      <w:tblPr/>
      <w:tcPr>
        <w:tcBorders>
          <w:top w:val="single" w:sz="8" w:space="0" w:color="77923B" w:themeColor="accent5"/>
          <w:left w:val="single" w:sz="8" w:space="0" w:color="77923B" w:themeColor="accent5"/>
          <w:bottom w:val="single" w:sz="8" w:space="0" w:color="77923B" w:themeColor="accent5"/>
          <w:right w:val="single" w:sz="8" w:space="0" w:color="77923B" w:themeColor="accent5"/>
        </w:tcBorders>
      </w:tcPr>
    </w:tblStylePr>
  </w:style>
  <w:style w:type="table" w:styleId="LightList-Accent6">
    <w:name w:val="Light List Accent 6"/>
    <w:basedOn w:val="TableNormal"/>
    <w:uiPriority w:val="98"/>
    <w:rsid w:val="00C63303"/>
    <w:tblPr>
      <w:tblStyleRowBandSize w:val="1"/>
      <w:tblStyleColBandSize w:val="1"/>
      <w:tblBorders>
        <w:top w:val="single" w:sz="8" w:space="0" w:color="F26522" w:themeColor="accent6"/>
        <w:left w:val="single" w:sz="8" w:space="0" w:color="F26522" w:themeColor="accent6"/>
        <w:bottom w:val="single" w:sz="8" w:space="0" w:color="F26522" w:themeColor="accent6"/>
        <w:right w:val="single" w:sz="8" w:space="0" w:color="F26522"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F26522" w:themeFill="accent6"/>
      </w:tcPr>
    </w:tblStylePr>
    <w:tblStylePr w:type="lastRow">
      <w:pPr>
        <w:spacing w:before="0" w:after="0" w:line="240" w:lineRule="auto"/>
      </w:pPr>
      <w:rPr>
        <w:b/>
        <w:bCs/>
      </w:rPr>
      <w:tblPr/>
      <w:tcPr>
        <w:tcBorders>
          <w:top w:val="double" w:sz="6" w:space="0" w:color="F26522" w:themeColor="accent6"/>
          <w:left w:val="single" w:sz="8" w:space="0" w:color="F26522" w:themeColor="accent6"/>
          <w:bottom w:val="single" w:sz="8" w:space="0" w:color="F26522" w:themeColor="accent6"/>
          <w:right w:val="single" w:sz="8" w:space="0" w:color="F26522" w:themeColor="accent6"/>
        </w:tcBorders>
      </w:tcPr>
    </w:tblStylePr>
    <w:tblStylePr w:type="firstCol">
      <w:rPr>
        <w:b/>
        <w:bCs/>
      </w:rPr>
    </w:tblStylePr>
    <w:tblStylePr w:type="lastCol">
      <w:rPr>
        <w:b/>
        <w:bCs/>
      </w:rPr>
    </w:tblStylePr>
    <w:tblStylePr w:type="band1Vert">
      <w:tblPr/>
      <w:tcPr>
        <w:tcBorders>
          <w:top w:val="single" w:sz="8" w:space="0" w:color="F26522" w:themeColor="accent6"/>
          <w:left w:val="single" w:sz="8" w:space="0" w:color="F26522" w:themeColor="accent6"/>
          <w:bottom w:val="single" w:sz="8" w:space="0" w:color="F26522" w:themeColor="accent6"/>
          <w:right w:val="single" w:sz="8" w:space="0" w:color="F26522" w:themeColor="accent6"/>
        </w:tcBorders>
      </w:tcPr>
    </w:tblStylePr>
    <w:tblStylePr w:type="band1Horz">
      <w:tblPr/>
      <w:tcPr>
        <w:tcBorders>
          <w:top w:val="single" w:sz="8" w:space="0" w:color="F26522" w:themeColor="accent6"/>
          <w:left w:val="single" w:sz="8" w:space="0" w:color="F26522" w:themeColor="accent6"/>
          <w:bottom w:val="single" w:sz="8" w:space="0" w:color="F26522" w:themeColor="accent6"/>
          <w:right w:val="single" w:sz="8" w:space="0" w:color="F26522" w:themeColor="accent6"/>
        </w:tcBorders>
      </w:tcPr>
    </w:tblStylePr>
  </w:style>
  <w:style w:type="table" w:styleId="LightShading">
    <w:name w:val="Light Shading"/>
    <w:basedOn w:val="TableNormal"/>
    <w:uiPriority w:val="98"/>
    <w:rsid w:val="00C6330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C63303"/>
    <w:rPr>
      <w:color w:val="C3460B" w:themeColor="accent1" w:themeShade="BF"/>
    </w:rPr>
    <w:tblPr>
      <w:tblStyleRowBandSize w:val="1"/>
      <w:tblStyleColBandSize w:val="1"/>
      <w:tblBorders>
        <w:top w:val="single" w:sz="8" w:space="0" w:color="F26522" w:themeColor="accent1"/>
        <w:bottom w:val="single" w:sz="8" w:space="0" w:color="F26522"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F26522" w:themeColor="accent1"/>
          <w:left w:val="nil"/>
          <w:bottom w:val="single" w:sz="8" w:space="0" w:color="F26522" w:themeColor="accent1"/>
          <w:right w:val="nil"/>
          <w:insideH w:val="nil"/>
          <w:insideV w:val="nil"/>
        </w:tcBorders>
      </w:tcPr>
    </w:tblStylePr>
    <w:tblStylePr w:type="lastRow">
      <w:pPr>
        <w:spacing w:before="0" w:after="0" w:line="240" w:lineRule="auto"/>
      </w:pPr>
      <w:rPr>
        <w:b/>
        <w:bCs/>
      </w:rPr>
      <w:tblPr/>
      <w:tcPr>
        <w:tcBorders>
          <w:top w:val="single" w:sz="8" w:space="0" w:color="F26522" w:themeColor="accent1"/>
          <w:left w:val="nil"/>
          <w:bottom w:val="single" w:sz="8" w:space="0" w:color="F2652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C8" w:themeFill="accent1" w:themeFillTint="3F"/>
      </w:tcPr>
    </w:tblStylePr>
    <w:tblStylePr w:type="band1Horz">
      <w:tblPr/>
      <w:tcPr>
        <w:tcBorders>
          <w:left w:val="nil"/>
          <w:right w:val="nil"/>
          <w:insideH w:val="nil"/>
          <w:insideV w:val="nil"/>
        </w:tcBorders>
        <w:shd w:val="clear" w:color="auto" w:fill="FBD8C8" w:themeFill="accent1" w:themeFillTint="3F"/>
      </w:tcPr>
    </w:tblStylePr>
  </w:style>
  <w:style w:type="table" w:styleId="LightShading-Accent2">
    <w:name w:val="Light Shading Accent 2"/>
    <w:basedOn w:val="TableNormal"/>
    <w:uiPriority w:val="98"/>
    <w:rsid w:val="00C63303"/>
    <w:rPr>
      <w:color w:val="F16924" w:themeColor="accent2" w:themeShade="BF"/>
    </w:rPr>
    <w:tblPr>
      <w:tblStyleRowBandSize w:val="1"/>
      <w:tblStyleColBandSize w:val="1"/>
      <w:tblBorders>
        <w:top w:val="single" w:sz="8" w:space="0" w:color="F7A67D" w:themeColor="accent2"/>
        <w:bottom w:val="single" w:sz="8" w:space="0" w:color="F7A67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F7A67D" w:themeColor="accent2"/>
          <w:left w:val="nil"/>
          <w:bottom w:val="single" w:sz="8" w:space="0" w:color="F7A67D" w:themeColor="accent2"/>
          <w:right w:val="nil"/>
          <w:insideH w:val="nil"/>
          <w:insideV w:val="nil"/>
        </w:tcBorders>
      </w:tcPr>
    </w:tblStylePr>
    <w:tblStylePr w:type="lastRow">
      <w:pPr>
        <w:spacing w:before="0" w:after="0" w:line="240" w:lineRule="auto"/>
      </w:pPr>
      <w:rPr>
        <w:b/>
        <w:bCs/>
      </w:rPr>
      <w:tblPr/>
      <w:tcPr>
        <w:tcBorders>
          <w:top w:val="single" w:sz="8" w:space="0" w:color="F7A67D" w:themeColor="accent2"/>
          <w:left w:val="nil"/>
          <w:bottom w:val="single" w:sz="8" w:space="0" w:color="F7A67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8DE" w:themeFill="accent2" w:themeFillTint="3F"/>
      </w:tcPr>
    </w:tblStylePr>
    <w:tblStylePr w:type="band1Horz">
      <w:tblPr/>
      <w:tcPr>
        <w:tcBorders>
          <w:left w:val="nil"/>
          <w:right w:val="nil"/>
          <w:insideH w:val="nil"/>
          <w:insideV w:val="nil"/>
        </w:tcBorders>
        <w:shd w:val="clear" w:color="auto" w:fill="FDE8DE" w:themeFill="accent2" w:themeFillTint="3F"/>
      </w:tcPr>
    </w:tblStylePr>
  </w:style>
  <w:style w:type="table" w:styleId="LightShading-Accent3">
    <w:name w:val="Light Shading Accent 3"/>
    <w:basedOn w:val="TableNormal"/>
    <w:uiPriority w:val="98"/>
    <w:rsid w:val="00C63303"/>
    <w:rPr>
      <w:color w:val="83B5CC" w:themeColor="accent3" w:themeShade="BF"/>
    </w:rPr>
    <w:tblPr>
      <w:tblStyleRowBandSize w:val="1"/>
      <w:tblStyleColBandSize w:val="1"/>
      <w:tblBorders>
        <w:top w:val="single" w:sz="8" w:space="0" w:color="D3E5ED" w:themeColor="accent3"/>
        <w:bottom w:val="single" w:sz="8" w:space="0" w:color="D3E5E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D3E5ED" w:themeColor="accent3"/>
          <w:left w:val="nil"/>
          <w:bottom w:val="single" w:sz="8" w:space="0" w:color="D3E5ED" w:themeColor="accent3"/>
          <w:right w:val="nil"/>
          <w:insideH w:val="nil"/>
          <w:insideV w:val="nil"/>
        </w:tcBorders>
      </w:tcPr>
    </w:tblStylePr>
    <w:tblStylePr w:type="lastRow">
      <w:pPr>
        <w:spacing w:before="0" w:after="0" w:line="240" w:lineRule="auto"/>
      </w:pPr>
      <w:rPr>
        <w:b/>
        <w:bCs/>
      </w:rPr>
      <w:tblPr/>
      <w:tcPr>
        <w:tcBorders>
          <w:top w:val="single" w:sz="8" w:space="0" w:color="D3E5ED" w:themeColor="accent3"/>
          <w:left w:val="nil"/>
          <w:bottom w:val="single" w:sz="8" w:space="0" w:color="D3E5E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8FA" w:themeFill="accent3" w:themeFillTint="3F"/>
      </w:tcPr>
    </w:tblStylePr>
    <w:tblStylePr w:type="band1Horz">
      <w:tblPr/>
      <w:tcPr>
        <w:tcBorders>
          <w:left w:val="nil"/>
          <w:right w:val="nil"/>
          <w:insideH w:val="nil"/>
          <w:insideV w:val="nil"/>
        </w:tcBorders>
        <w:shd w:val="clear" w:color="auto" w:fill="F4F8FA" w:themeFill="accent3" w:themeFillTint="3F"/>
      </w:tcPr>
    </w:tblStylePr>
  </w:style>
  <w:style w:type="table" w:styleId="LightShading-Accent4">
    <w:name w:val="Light Shading Accent 4"/>
    <w:basedOn w:val="TableNormal"/>
    <w:uiPriority w:val="98"/>
    <w:rsid w:val="00C63303"/>
    <w:rPr>
      <w:color w:val="92BFD1" w:themeColor="accent4" w:themeShade="BF"/>
    </w:rPr>
    <w:tblPr>
      <w:tblStyleRowBandSize w:val="1"/>
      <w:tblStyleColBandSize w:val="1"/>
      <w:tblBorders>
        <w:top w:val="single" w:sz="8" w:space="0" w:color="E7F1F5" w:themeColor="accent4"/>
        <w:bottom w:val="single" w:sz="8" w:space="0" w:color="E7F1F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E7F1F5" w:themeColor="accent4"/>
          <w:left w:val="nil"/>
          <w:bottom w:val="single" w:sz="8" w:space="0" w:color="E7F1F5" w:themeColor="accent4"/>
          <w:right w:val="nil"/>
          <w:insideH w:val="nil"/>
          <w:insideV w:val="nil"/>
        </w:tcBorders>
      </w:tcPr>
    </w:tblStylePr>
    <w:tblStylePr w:type="lastRow">
      <w:pPr>
        <w:spacing w:before="0" w:after="0" w:line="240" w:lineRule="auto"/>
      </w:pPr>
      <w:rPr>
        <w:b/>
        <w:bCs/>
      </w:rPr>
      <w:tblPr/>
      <w:tcPr>
        <w:tcBorders>
          <w:top w:val="single" w:sz="8" w:space="0" w:color="E7F1F5" w:themeColor="accent4"/>
          <w:left w:val="nil"/>
          <w:bottom w:val="single" w:sz="8" w:space="0" w:color="E7F1F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BFC" w:themeFill="accent4" w:themeFillTint="3F"/>
      </w:tcPr>
    </w:tblStylePr>
    <w:tblStylePr w:type="band1Horz">
      <w:tblPr/>
      <w:tcPr>
        <w:tcBorders>
          <w:left w:val="nil"/>
          <w:right w:val="nil"/>
          <w:insideH w:val="nil"/>
          <w:insideV w:val="nil"/>
        </w:tcBorders>
        <w:shd w:val="clear" w:color="auto" w:fill="F8FBFC" w:themeFill="accent4" w:themeFillTint="3F"/>
      </w:tcPr>
    </w:tblStylePr>
  </w:style>
  <w:style w:type="table" w:styleId="LightShading-Accent5">
    <w:name w:val="Light Shading Accent 5"/>
    <w:basedOn w:val="TableNormal"/>
    <w:uiPriority w:val="98"/>
    <w:rsid w:val="00C63303"/>
    <w:rPr>
      <w:color w:val="586D2C" w:themeColor="accent5" w:themeShade="BF"/>
    </w:rPr>
    <w:tblPr>
      <w:tblStyleRowBandSize w:val="1"/>
      <w:tblStyleColBandSize w:val="1"/>
      <w:tblBorders>
        <w:top w:val="single" w:sz="8" w:space="0" w:color="77923B" w:themeColor="accent5"/>
        <w:bottom w:val="single" w:sz="8" w:space="0" w:color="77923B"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77923B" w:themeColor="accent5"/>
          <w:left w:val="nil"/>
          <w:bottom w:val="single" w:sz="8" w:space="0" w:color="77923B" w:themeColor="accent5"/>
          <w:right w:val="nil"/>
          <w:insideH w:val="nil"/>
          <w:insideV w:val="nil"/>
        </w:tcBorders>
      </w:tcPr>
    </w:tblStylePr>
    <w:tblStylePr w:type="lastRow">
      <w:pPr>
        <w:spacing w:before="0" w:after="0" w:line="240" w:lineRule="auto"/>
      </w:pPr>
      <w:rPr>
        <w:b/>
        <w:bCs/>
      </w:rPr>
      <w:tblPr/>
      <w:tcPr>
        <w:tcBorders>
          <w:top w:val="single" w:sz="8" w:space="0" w:color="77923B" w:themeColor="accent5"/>
          <w:left w:val="nil"/>
          <w:bottom w:val="single" w:sz="8" w:space="0" w:color="77923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9C9" w:themeFill="accent5" w:themeFillTint="3F"/>
      </w:tcPr>
    </w:tblStylePr>
    <w:tblStylePr w:type="band1Horz">
      <w:tblPr/>
      <w:tcPr>
        <w:tcBorders>
          <w:left w:val="nil"/>
          <w:right w:val="nil"/>
          <w:insideH w:val="nil"/>
          <w:insideV w:val="nil"/>
        </w:tcBorders>
        <w:shd w:val="clear" w:color="auto" w:fill="DFE9C9" w:themeFill="accent5" w:themeFillTint="3F"/>
      </w:tcPr>
    </w:tblStylePr>
  </w:style>
  <w:style w:type="table" w:styleId="LightShading-Accent6">
    <w:name w:val="Light Shading Accent 6"/>
    <w:basedOn w:val="TableNormal"/>
    <w:uiPriority w:val="98"/>
    <w:rsid w:val="00C63303"/>
    <w:rPr>
      <w:color w:val="C3460B" w:themeColor="accent6" w:themeShade="BF"/>
    </w:rPr>
    <w:tblPr>
      <w:tblStyleRowBandSize w:val="1"/>
      <w:tblStyleColBandSize w:val="1"/>
      <w:tblBorders>
        <w:top w:val="single" w:sz="8" w:space="0" w:color="F26522" w:themeColor="accent6"/>
        <w:bottom w:val="single" w:sz="8" w:space="0" w:color="F26522"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F26522" w:themeColor="accent6"/>
          <w:left w:val="nil"/>
          <w:bottom w:val="single" w:sz="8" w:space="0" w:color="F26522" w:themeColor="accent6"/>
          <w:right w:val="nil"/>
          <w:insideH w:val="nil"/>
          <w:insideV w:val="nil"/>
        </w:tcBorders>
      </w:tcPr>
    </w:tblStylePr>
    <w:tblStylePr w:type="lastRow">
      <w:pPr>
        <w:spacing w:before="0" w:after="0" w:line="240" w:lineRule="auto"/>
      </w:pPr>
      <w:rPr>
        <w:b/>
        <w:bCs/>
      </w:rPr>
      <w:tblPr/>
      <w:tcPr>
        <w:tcBorders>
          <w:top w:val="single" w:sz="8" w:space="0" w:color="F26522" w:themeColor="accent6"/>
          <w:left w:val="nil"/>
          <w:bottom w:val="single" w:sz="8" w:space="0" w:color="F265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C8" w:themeFill="accent6" w:themeFillTint="3F"/>
      </w:tcPr>
    </w:tblStylePr>
    <w:tblStylePr w:type="band1Horz">
      <w:tblPr/>
      <w:tcPr>
        <w:tcBorders>
          <w:left w:val="nil"/>
          <w:right w:val="nil"/>
          <w:insideH w:val="nil"/>
          <w:insideV w:val="nil"/>
        </w:tcBorders>
        <w:shd w:val="clear" w:color="auto" w:fill="FBD8C8" w:themeFill="accent6" w:themeFillTint="3F"/>
      </w:tcPr>
    </w:tblStylePr>
  </w:style>
  <w:style w:type="character" w:styleId="LineNumber">
    <w:name w:val="line number"/>
    <w:basedOn w:val="DefaultParagraphFont"/>
    <w:semiHidden/>
    <w:rsid w:val="00C63303"/>
    <w:rPr>
      <w:rFonts w:asciiTheme="minorHAnsi" w:hAnsiTheme="minorHAnsi" w:cstheme="minorHAnsi"/>
    </w:rPr>
  </w:style>
  <w:style w:type="paragraph" w:styleId="List">
    <w:name w:val="List"/>
    <w:basedOn w:val="Normal"/>
    <w:semiHidden/>
    <w:rsid w:val="00C63303"/>
    <w:pPr>
      <w:ind w:left="283" w:hanging="283"/>
      <w:contextualSpacing/>
    </w:pPr>
  </w:style>
  <w:style w:type="paragraph" w:styleId="List2">
    <w:name w:val="List 2"/>
    <w:basedOn w:val="Normal"/>
    <w:semiHidden/>
    <w:rsid w:val="00C63303"/>
    <w:pPr>
      <w:ind w:left="566" w:hanging="283"/>
      <w:contextualSpacing/>
    </w:pPr>
  </w:style>
  <w:style w:type="paragraph" w:styleId="List3">
    <w:name w:val="List 3"/>
    <w:basedOn w:val="Normal"/>
    <w:semiHidden/>
    <w:rsid w:val="00C63303"/>
    <w:pPr>
      <w:ind w:left="849" w:hanging="283"/>
      <w:contextualSpacing/>
    </w:pPr>
  </w:style>
  <w:style w:type="paragraph" w:styleId="List4">
    <w:name w:val="List 4"/>
    <w:basedOn w:val="Normal"/>
    <w:semiHidden/>
    <w:rsid w:val="00C63303"/>
    <w:pPr>
      <w:ind w:left="1132" w:hanging="283"/>
      <w:contextualSpacing/>
    </w:pPr>
  </w:style>
  <w:style w:type="numbering" w:customStyle="1" w:styleId="ListNumbers">
    <w:name w:val="ListNumbers"/>
    <w:uiPriority w:val="99"/>
    <w:rsid w:val="004F46BC"/>
    <w:pPr>
      <w:numPr>
        <w:numId w:val="9"/>
      </w:numPr>
    </w:pPr>
  </w:style>
  <w:style w:type="paragraph" w:styleId="ListBullet2">
    <w:name w:val="List Bullet 2"/>
    <w:basedOn w:val="Normal"/>
    <w:uiPriority w:val="5"/>
    <w:qFormat/>
    <w:rsid w:val="0071412D"/>
    <w:pPr>
      <w:numPr>
        <w:ilvl w:val="1"/>
        <w:numId w:val="17"/>
      </w:numPr>
      <w:tabs>
        <w:tab w:val="left" w:pos="907"/>
      </w:tabs>
    </w:pPr>
  </w:style>
  <w:style w:type="paragraph" w:styleId="ListBullet4">
    <w:name w:val="List Bullet 4"/>
    <w:basedOn w:val="Normal"/>
    <w:semiHidden/>
    <w:rsid w:val="00C63303"/>
    <w:pPr>
      <w:numPr>
        <w:numId w:val="1"/>
      </w:numPr>
      <w:contextualSpacing/>
    </w:pPr>
  </w:style>
  <w:style w:type="paragraph" w:styleId="ListBullet5">
    <w:name w:val="List Bullet 5"/>
    <w:basedOn w:val="Normal"/>
    <w:semiHidden/>
    <w:rsid w:val="00C63303"/>
    <w:pPr>
      <w:numPr>
        <w:numId w:val="2"/>
      </w:numPr>
      <w:contextualSpacing/>
    </w:pPr>
  </w:style>
  <w:style w:type="paragraph" w:styleId="ListContinue">
    <w:name w:val="List Continue"/>
    <w:basedOn w:val="Normal"/>
    <w:semiHidden/>
    <w:rsid w:val="00C63303"/>
    <w:pPr>
      <w:ind w:left="283"/>
      <w:contextualSpacing/>
    </w:pPr>
  </w:style>
  <w:style w:type="paragraph" w:styleId="ListContinue2">
    <w:name w:val="List Continue 2"/>
    <w:basedOn w:val="Normal"/>
    <w:semiHidden/>
    <w:rsid w:val="00C63303"/>
    <w:pPr>
      <w:ind w:left="566"/>
      <w:contextualSpacing/>
    </w:pPr>
  </w:style>
  <w:style w:type="paragraph" w:styleId="ListContinue3">
    <w:name w:val="List Continue 3"/>
    <w:basedOn w:val="Normal"/>
    <w:semiHidden/>
    <w:rsid w:val="00C63303"/>
    <w:pPr>
      <w:ind w:left="849"/>
      <w:contextualSpacing/>
    </w:pPr>
  </w:style>
  <w:style w:type="paragraph" w:styleId="ListContinue4">
    <w:name w:val="List Continue 4"/>
    <w:basedOn w:val="Normal"/>
    <w:semiHidden/>
    <w:rsid w:val="00C63303"/>
    <w:pPr>
      <w:ind w:left="1132"/>
      <w:contextualSpacing/>
    </w:pPr>
  </w:style>
  <w:style w:type="paragraph" w:styleId="ListContinue5">
    <w:name w:val="List Continue 5"/>
    <w:basedOn w:val="Normal"/>
    <w:semiHidden/>
    <w:rsid w:val="00C63303"/>
    <w:pPr>
      <w:ind w:left="1415"/>
      <w:contextualSpacing/>
    </w:pPr>
  </w:style>
  <w:style w:type="paragraph" w:styleId="ListNumber2">
    <w:name w:val="List Number 2"/>
    <w:basedOn w:val="Normal"/>
    <w:uiPriority w:val="8"/>
    <w:qFormat/>
    <w:rsid w:val="0071412D"/>
    <w:pPr>
      <w:numPr>
        <w:ilvl w:val="1"/>
        <w:numId w:val="18"/>
      </w:numPr>
      <w:ind w:left="1060"/>
    </w:pPr>
  </w:style>
  <w:style w:type="paragraph" w:styleId="ListNumber4">
    <w:name w:val="List Number 4"/>
    <w:basedOn w:val="Normal"/>
    <w:semiHidden/>
    <w:rsid w:val="00C63303"/>
    <w:pPr>
      <w:numPr>
        <w:numId w:val="3"/>
      </w:numPr>
      <w:contextualSpacing/>
    </w:pPr>
  </w:style>
  <w:style w:type="paragraph" w:styleId="ListNumber5">
    <w:name w:val="List Number 5"/>
    <w:basedOn w:val="Normal"/>
    <w:semiHidden/>
    <w:rsid w:val="00C63303"/>
    <w:pPr>
      <w:numPr>
        <w:numId w:val="4"/>
      </w:numPr>
      <w:contextualSpacing/>
    </w:pPr>
  </w:style>
  <w:style w:type="paragraph" w:styleId="MacroText">
    <w:name w:val="macro"/>
    <w:link w:val="MacroTextChar"/>
    <w:semiHidden/>
    <w:rsid w:val="00C63303"/>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kern w:val="20"/>
      <w:lang w:val="en-AU" w:eastAsia="zh-CN"/>
    </w:rPr>
  </w:style>
  <w:style w:type="character" w:customStyle="1" w:styleId="MacroTextChar">
    <w:name w:val="Macro Text Char"/>
    <w:basedOn w:val="DefaultParagraphFont"/>
    <w:link w:val="MacroText"/>
    <w:semiHidden/>
    <w:rsid w:val="00D20874"/>
    <w:rPr>
      <w:rFonts w:asciiTheme="minorHAnsi" w:hAnsiTheme="minorHAnsi" w:cstheme="minorHAnsi"/>
      <w:kern w:val="20"/>
      <w:lang w:val="en-AU" w:eastAsia="zh-CN"/>
    </w:rPr>
  </w:style>
  <w:style w:type="table" w:styleId="MediumGrid1">
    <w:name w:val="Medium Grid 1"/>
    <w:basedOn w:val="TableNormal"/>
    <w:uiPriority w:val="98"/>
    <w:rsid w:val="00C6330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C63303"/>
    <w:tblPr>
      <w:tblStyleRowBandSize w:val="1"/>
      <w:tblStyleColBandSize w:val="1"/>
      <w:tblBorders>
        <w:top w:val="single" w:sz="8" w:space="0" w:color="F58B59" w:themeColor="accent1" w:themeTint="BF"/>
        <w:left w:val="single" w:sz="8" w:space="0" w:color="F58B59" w:themeColor="accent1" w:themeTint="BF"/>
        <w:bottom w:val="single" w:sz="8" w:space="0" w:color="F58B59" w:themeColor="accent1" w:themeTint="BF"/>
        <w:right w:val="single" w:sz="8" w:space="0" w:color="F58B59" w:themeColor="accent1" w:themeTint="BF"/>
        <w:insideH w:val="single" w:sz="8" w:space="0" w:color="F58B59" w:themeColor="accent1" w:themeTint="BF"/>
        <w:insideV w:val="single" w:sz="8" w:space="0" w:color="F58B59" w:themeColor="accent1" w:themeTint="BF"/>
      </w:tblBorders>
    </w:tblPr>
    <w:tcPr>
      <w:shd w:val="clear" w:color="auto" w:fill="FBD8C8"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F58B59" w:themeColor="accent1" w:themeTint="BF"/>
        </w:tcBorders>
      </w:tcPr>
    </w:tblStylePr>
    <w:tblStylePr w:type="firstCol">
      <w:rPr>
        <w:b/>
        <w:bCs/>
      </w:rPr>
    </w:tblStylePr>
    <w:tblStylePr w:type="lastCol">
      <w:rPr>
        <w:b/>
        <w:bCs/>
      </w:rPr>
    </w:tblStylePr>
    <w:tblStylePr w:type="band1Vert">
      <w:tblPr/>
      <w:tcPr>
        <w:shd w:val="clear" w:color="auto" w:fill="F8B290" w:themeFill="accent1" w:themeFillTint="7F"/>
      </w:tcPr>
    </w:tblStylePr>
    <w:tblStylePr w:type="band1Horz">
      <w:tblPr/>
      <w:tcPr>
        <w:shd w:val="clear" w:color="auto" w:fill="F8B290" w:themeFill="accent1" w:themeFillTint="7F"/>
      </w:tcPr>
    </w:tblStylePr>
  </w:style>
  <w:style w:type="table" w:styleId="MediumGrid1-Accent2">
    <w:name w:val="Medium Grid 1 Accent 2"/>
    <w:basedOn w:val="TableNormal"/>
    <w:uiPriority w:val="98"/>
    <w:rsid w:val="00C63303"/>
    <w:tblPr>
      <w:tblStyleRowBandSize w:val="1"/>
      <w:tblStyleColBandSize w:val="1"/>
      <w:tblBorders>
        <w:top w:val="single" w:sz="8" w:space="0" w:color="F9BB9D" w:themeColor="accent2" w:themeTint="BF"/>
        <w:left w:val="single" w:sz="8" w:space="0" w:color="F9BB9D" w:themeColor="accent2" w:themeTint="BF"/>
        <w:bottom w:val="single" w:sz="8" w:space="0" w:color="F9BB9D" w:themeColor="accent2" w:themeTint="BF"/>
        <w:right w:val="single" w:sz="8" w:space="0" w:color="F9BB9D" w:themeColor="accent2" w:themeTint="BF"/>
        <w:insideH w:val="single" w:sz="8" w:space="0" w:color="F9BB9D" w:themeColor="accent2" w:themeTint="BF"/>
        <w:insideV w:val="single" w:sz="8" w:space="0" w:color="F9BB9D" w:themeColor="accent2" w:themeTint="BF"/>
      </w:tblBorders>
    </w:tblPr>
    <w:tcPr>
      <w:shd w:val="clear" w:color="auto" w:fill="FDE8DE"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F9BB9D" w:themeColor="accent2" w:themeTint="BF"/>
        </w:tcBorders>
      </w:tcPr>
    </w:tblStylePr>
    <w:tblStylePr w:type="firstCol">
      <w:rPr>
        <w:b/>
        <w:bCs/>
      </w:rPr>
    </w:tblStylePr>
    <w:tblStylePr w:type="lastCol">
      <w:rPr>
        <w:b/>
        <w:bCs/>
      </w:rPr>
    </w:tblStylePr>
    <w:tblStylePr w:type="band1Vert">
      <w:tblPr/>
      <w:tcPr>
        <w:shd w:val="clear" w:color="auto" w:fill="FBD2BE" w:themeFill="accent2" w:themeFillTint="7F"/>
      </w:tcPr>
    </w:tblStylePr>
    <w:tblStylePr w:type="band1Horz">
      <w:tblPr/>
      <w:tcPr>
        <w:shd w:val="clear" w:color="auto" w:fill="FBD2BE" w:themeFill="accent2" w:themeFillTint="7F"/>
      </w:tcPr>
    </w:tblStylePr>
  </w:style>
  <w:style w:type="table" w:styleId="MediumGrid1-Accent3">
    <w:name w:val="Medium Grid 1 Accent 3"/>
    <w:basedOn w:val="TableNormal"/>
    <w:uiPriority w:val="98"/>
    <w:rsid w:val="00C63303"/>
    <w:tblPr>
      <w:tblStyleRowBandSize w:val="1"/>
      <w:tblStyleColBandSize w:val="1"/>
      <w:tblBorders>
        <w:top w:val="single" w:sz="8" w:space="0" w:color="DDEBF1" w:themeColor="accent3" w:themeTint="BF"/>
        <w:left w:val="single" w:sz="8" w:space="0" w:color="DDEBF1" w:themeColor="accent3" w:themeTint="BF"/>
        <w:bottom w:val="single" w:sz="8" w:space="0" w:color="DDEBF1" w:themeColor="accent3" w:themeTint="BF"/>
        <w:right w:val="single" w:sz="8" w:space="0" w:color="DDEBF1" w:themeColor="accent3" w:themeTint="BF"/>
        <w:insideH w:val="single" w:sz="8" w:space="0" w:color="DDEBF1" w:themeColor="accent3" w:themeTint="BF"/>
        <w:insideV w:val="single" w:sz="8" w:space="0" w:color="DDEBF1" w:themeColor="accent3" w:themeTint="BF"/>
      </w:tblBorders>
    </w:tblPr>
    <w:tcPr>
      <w:shd w:val="clear" w:color="auto" w:fill="F4F8FA"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DDEBF1" w:themeColor="accent3" w:themeTint="BF"/>
        </w:tcBorders>
      </w:tcPr>
    </w:tblStylePr>
    <w:tblStylePr w:type="firstCol">
      <w:rPr>
        <w:b/>
        <w:bCs/>
      </w:rPr>
    </w:tblStylePr>
    <w:tblStylePr w:type="lastCol">
      <w:rPr>
        <w:b/>
        <w:bCs/>
      </w:rPr>
    </w:tblStylePr>
    <w:tblStylePr w:type="band1Vert">
      <w:tblPr/>
      <w:tcPr>
        <w:shd w:val="clear" w:color="auto" w:fill="E9F1F6" w:themeFill="accent3" w:themeFillTint="7F"/>
      </w:tcPr>
    </w:tblStylePr>
    <w:tblStylePr w:type="band1Horz">
      <w:tblPr/>
      <w:tcPr>
        <w:shd w:val="clear" w:color="auto" w:fill="E9F1F6" w:themeFill="accent3" w:themeFillTint="7F"/>
      </w:tcPr>
    </w:tblStylePr>
  </w:style>
  <w:style w:type="table" w:styleId="MediumGrid1-Accent4">
    <w:name w:val="Medium Grid 1 Accent 4"/>
    <w:basedOn w:val="TableNormal"/>
    <w:uiPriority w:val="98"/>
    <w:rsid w:val="00C63303"/>
    <w:tblPr>
      <w:tblStyleRowBandSize w:val="1"/>
      <w:tblStyleColBandSize w:val="1"/>
      <w:tblBorders>
        <w:top w:val="single" w:sz="8" w:space="0" w:color="ECF4F7" w:themeColor="accent4" w:themeTint="BF"/>
        <w:left w:val="single" w:sz="8" w:space="0" w:color="ECF4F7" w:themeColor="accent4" w:themeTint="BF"/>
        <w:bottom w:val="single" w:sz="8" w:space="0" w:color="ECF4F7" w:themeColor="accent4" w:themeTint="BF"/>
        <w:right w:val="single" w:sz="8" w:space="0" w:color="ECF4F7" w:themeColor="accent4" w:themeTint="BF"/>
        <w:insideH w:val="single" w:sz="8" w:space="0" w:color="ECF4F7" w:themeColor="accent4" w:themeTint="BF"/>
        <w:insideV w:val="single" w:sz="8" w:space="0" w:color="ECF4F7" w:themeColor="accent4" w:themeTint="BF"/>
      </w:tblBorders>
    </w:tblPr>
    <w:tcPr>
      <w:shd w:val="clear" w:color="auto" w:fill="F8FBFC"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ECF4F7" w:themeColor="accent4" w:themeTint="BF"/>
        </w:tcBorders>
      </w:tcPr>
    </w:tblStylePr>
    <w:tblStylePr w:type="firstCol">
      <w:rPr>
        <w:b/>
        <w:bCs/>
      </w:rPr>
    </w:tblStylePr>
    <w:tblStylePr w:type="lastCol">
      <w:rPr>
        <w:b/>
        <w:bCs/>
      </w:rPr>
    </w:tblStylePr>
    <w:tblStylePr w:type="band1Vert">
      <w:tblPr/>
      <w:tcPr>
        <w:shd w:val="clear" w:color="auto" w:fill="F3F7FA" w:themeFill="accent4" w:themeFillTint="7F"/>
      </w:tcPr>
    </w:tblStylePr>
    <w:tblStylePr w:type="band1Horz">
      <w:tblPr/>
      <w:tcPr>
        <w:shd w:val="clear" w:color="auto" w:fill="F3F7FA" w:themeFill="accent4" w:themeFillTint="7F"/>
      </w:tcPr>
    </w:tblStylePr>
  </w:style>
  <w:style w:type="table" w:styleId="MediumGrid1-Accent5">
    <w:name w:val="Medium Grid 1 Accent 5"/>
    <w:basedOn w:val="TableNormal"/>
    <w:uiPriority w:val="98"/>
    <w:rsid w:val="00C63303"/>
    <w:tblPr>
      <w:tblStyleRowBandSize w:val="1"/>
      <w:tblStyleColBandSize w:val="1"/>
      <w:tblBorders>
        <w:top w:val="single" w:sz="8" w:space="0" w:color="9EBD5C" w:themeColor="accent5" w:themeTint="BF"/>
        <w:left w:val="single" w:sz="8" w:space="0" w:color="9EBD5C" w:themeColor="accent5" w:themeTint="BF"/>
        <w:bottom w:val="single" w:sz="8" w:space="0" w:color="9EBD5C" w:themeColor="accent5" w:themeTint="BF"/>
        <w:right w:val="single" w:sz="8" w:space="0" w:color="9EBD5C" w:themeColor="accent5" w:themeTint="BF"/>
        <w:insideH w:val="single" w:sz="8" w:space="0" w:color="9EBD5C" w:themeColor="accent5" w:themeTint="BF"/>
        <w:insideV w:val="single" w:sz="8" w:space="0" w:color="9EBD5C" w:themeColor="accent5" w:themeTint="BF"/>
      </w:tblBorders>
    </w:tblPr>
    <w:tcPr>
      <w:shd w:val="clear" w:color="auto" w:fill="DFE9C9"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9EBD5C" w:themeColor="accent5" w:themeTint="BF"/>
        </w:tcBorders>
      </w:tcPr>
    </w:tblStylePr>
    <w:tblStylePr w:type="firstCol">
      <w:rPr>
        <w:b/>
        <w:bCs/>
      </w:rPr>
    </w:tblStylePr>
    <w:tblStylePr w:type="lastCol">
      <w:rPr>
        <w:b/>
        <w:bCs/>
      </w:rPr>
    </w:tblStylePr>
    <w:tblStylePr w:type="band1Vert">
      <w:tblPr/>
      <w:tcPr>
        <w:shd w:val="clear" w:color="auto" w:fill="BFD392" w:themeFill="accent5" w:themeFillTint="7F"/>
      </w:tcPr>
    </w:tblStylePr>
    <w:tblStylePr w:type="band1Horz">
      <w:tblPr/>
      <w:tcPr>
        <w:shd w:val="clear" w:color="auto" w:fill="BFD392" w:themeFill="accent5" w:themeFillTint="7F"/>
      </w:tcPr>
    </w:tblStylePr>
  </w:style>
  <w:style w:type="table" w:styleId="MediumGrid1-Accent6">
    <w:name w:val="Medium Grid 1 Accent 6"/>
    <w:basedOn w:val="TableNormal"/>
    <w:uiPriority w:val="98"/>
    <w:rsid w:val="00C63303"/>
    <w:tblPr>
      <w:tblStyleRowBandSize w:val="1"/>
      <w:tblStyleColBandSize w:val="1"/>
      <w:tblBorders>
        <w:top w:val="single" w:sz="8" w:space="0" w:color="F58B59" w:themeColor="accent6" w:themeTint="BF"/>
        <w:left w:val="single" w:sz="8" w:space="0" w:color="F58B59" w:themeColor="accent6" w:themeTint="BF"/>
        <w:bottom w:val="single" w:sz="8" w:space="0" w:color="F58B59" w:themeColor="accent6" w:themeTint="BF"/>
        <w:right w:val="single" w:sz="8" w:space="0" w:color="F58B59" w:themeColor="accent6" w:themeTint="BF"/>
        <w:insideH w:val="single" w:sz="8" w:space="0" w:color="F58B59" w:themeColor="accent6" w:themeTint="BF"/>
        <w:insideV w:val="single" w:sz="8" w:space="0" w:color="F58B59" w:themeColor="accent6" w:themeTint="BF"/>
      </w:tblBorders>
    </w:tblPr>
    <w:tcPr>
      <w:shd w:val="clear" w:color="auto" w:fill="FBD8C8"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F58B59" w:themeColor="accent6" w:themeTint="BF"/>
        </w:tcBorders>
      </w:tcPr>
    </w:tblStylePr>
    <w:tblStylePr w:type="firstCol">
      <w:rPr>
        <w:b/>
        <w:bCs/>
      </w:rPr>
    </w:tblStylePr>
    <w:tblStylePr w:type="lastCol">
      <w:rPr>
        <w:b/>
        <w:bCs/>
      </w:rPr>
    </w:tblStylePr>
    <w:tblStylePr w:type="band1Vert">
      <w:tblPr/>
      <w:tcPr>
        <w:shd w:val="clear" w:color="auto" w:fill="F8B290" w:themeFill="accent6" w:themeFillTint="7F"/>
      </w:tcPr>
    </w:tblStylePr>
    <w:tblStylePr w:type="band1Horz">
      <w:tblPr/>
      <w:tcPr>
        <w:shd w:val="clear" w:color="auto" w:fill="F8B290" w:themeFill="accent6" w:themeFillTint="7F"/>
      </w:tcPr>
    </w:tblStylePr>
  </w:style>
  <w:style w:type="table" w:styleId="MediumGrid2">
    <w:name w:val="Medium Grid 2"/>
    <w:basedOn w:val="TableNormal"/>
    <w:uiPriority w:val="98"/>
    <w:rsid w:val="00C63303"/>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C63303"/>
    <w:rPr>
      <w:rFonts w:eastAsiaTheme="majorEastAsia"/>
      <w:color w:val="000000" w:themeColor="text1"/>
    </w:rPr>
    <w:tblPr>
      <w:tblStyleRowBandSize w:val="1"/>
      <w:tblStyleColBandSize w:val="1"/>
      <w:tblBorders>
        <w:top w:val="single" w:sz="8" w:space="0" w:color="F26522" w:themeColor="accent1"/>
        <w:left w:val="single" w:sz="8" w:space="0" w:color="F26522" w:themeColor="accent1"/>
        <w:bottom w:val="single" w:sz="8" w:space="0" w:color="F26522" w:themeColor="accent1"/>
        <w:right w:val="single" w:sz="8" w:space="0" w:color="F26522" w:themeColor="accent1"/>
        <w:insideH w:val="single" w:sz="8" w:space="0" w:color="F26522" w:themeColor="accent1"/>
        <w:insideV w:val="single" w:sz="8" w:space="0" w:color="F26522" w:themeColor="accent1"/>
      </w:tblBorders>
    </w:tblPr>
    <w:tcPr>
      <w:shd w:val="clear" w:color="auto" w:fill="FBD8C8"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DEF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0D2" w:themeFill="accent1" w:themeFillTint="33"/>
      </w:tcPr>
    </w:tblStylePr>
    <w:tblStylePr w:type="band1Vert">
      <w:tblPr/>
      <w:tcPr>
        <w:shd w:val="clear" w:color="auto" w:fill="F8B290" w:themeFill="accent1" w:themeFillTint="7F"/>
      </w:tcPr>
    </w:tblStylePr>
    <w:tblStylePr w:type="band1Horz">
      <w:tblPr/>
      <w:tcPr>
        <w:tcBorders>
          <w:insideH w:val="single" w:sz="6" w:space="0" w:color="F26522" w:themeColor="accent1"/>
          <w:insideV w:val="single" w:sz="6" w:space="0" w:color="F26522" w:themeColor="accent1"/>
        </w:tcBorders>
        <w:shd w:val="clear" w:color="auto" w:fill="F8B29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C63303"/>
    <w:rPr>
      <w:rFonts w:eastAsiaTheme="majorEastAsia"/>
      <w:color w:val="000000" w:themeColor="text1"/>
    </w:rPr>
    <w:tblPr>
      <w:tblStyleRowBandSize w:val="1"/>
      <w:tblStyleColBandSize w:val="1"/>
      <w:tblBorders>
        <w:top w:val="single" w:sz="8" w:space="0" w:color="F7A67D" w:themeColor="accent2"/>
        <w:left w:val="single" w:sz="8" w:space="0" w:color="F7A67D" w:themeColor="accent2"/>
        <w:bottom w:val="single" w:sz="8" w:space="0" w:color="F7A67D" w:themeColor="accent2"/>
        <w:right w:val="single" w:sz="8" w:space="0" w:color="F7A67D" w:themeColor="accent2"/>
        <w:insideH w:val="single" w:sz="8" w:space="0" w:color="F7A67D" w:themeColor="accent2"/>
        <w:insideV w:val="single" w:sz="8" w:space="0" w:color="F7A67D" w:themeColor="accent2"/>
      </w:tblBorders>
    </w:tblPr>
    <w:tcPr>
      <w:shd w:val="clear" w:color="auto" w:fill="FDE8DE"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EF6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DE4" w:themeFill="accent2" w:themeFillTint="33"/>
      </w:tcPr>
    </w:tblStylePr>
    <w:tblStylePr w:type="band1Vert">
      <w:tblPr/>
      <w:tcPr>
        <w:shd w:val="clear" w:color="auto" w:fill="FBD2BE" w:themeFill="accent2" w:themeFillTint="7F"/>
      </w:tcPr>
    </w:tblStylePr>
    <w:tblStylePr w:type="band1Horz">
      <w:tblPr/>
      <w:tcPr>
        <w:tcBorders>
          <w:insideH w:val="single" w:sz="6" w:space="0" w:color="F7A67D" w:themeColor="accent2"/>
          <w:insideV w:val="single" w:sz="6" w:space="0" w:color="F7A67D" w:themeColor="accent2"/>
        </w:tcBorders>
        <w:shd w:val="clear" w:color="auto" w:fill="FBD2B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C63303"/>
    <w:rPr>
      <w:rFonts w:eastAsiaTheme="majorEastAsia"/>
      <w:color w:val="000000" w:themeColor="text1"/>
    </w:rPr>
    <w:tblPr>
      <w:tblStyleRowBandSize w:val="1"/>
      <w:tblStyleColBandSize w:val="1"/>
      <w:tblBorders>
        <w:top w:val="single" w:sz="8" w:space="0" w:color="D3E5ED" w:themeColor="accent3"/>
        <w:left w:val="single" w:sz="8" w:space="0" w:color="D3E5ED" w:themeColor="accent3"/>
        <w:bottom w:val="single" w:sz="8" w:space="0" w:color="D3E5ED" w:themeColor="accent3"/>
        <w:right w:val="single" w:sz="8" w:space="0" w:color="D3E5ED" w:themeColor="accent3"/>
        <w:insideH w:val="single" w:sz="8" w:space="0" w:color="D3E5ED" w:themeColor="accent3"/>
        <w:insideV w:val="single" w:sz="8" w:space="0" w:color="D3E5ED" w:themeColor="accent3"/>
      </w:tblBorders>
    </w:tblPr>
    <w:tcPr>
      <w:shd w:val="clear" w:color="auto" w:fill="F4F8FA"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AFC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9FB" w:themeFill="accent3" w:themeFillTint="33"/>
      </w:tcPr>
    </w:tblStylePr>
    <w:tblStylePr w:type="band1Vert">
      <w:tblPr/>
      <w:tcPr>
        <w:shd w:val="clear" w:color="auto" w:fill="E9F1F6" w:themeFill="accent3" w:themeFillTint="7F"/>
      </w:tcPr>
    </w:tblStylePr>
    <w:tblStylePr w:type="band1Horz">
      <w:tblPr/>
      <w:tcPr>
        <w:tcBorders>
          <w:insideH w:val="single" w:sz="6" w:space="0" w:color="D3E5ED" w:themeColor="accent3"/>
          <w:insideV w:val="single" w:sz="6" w:space="0" w:color="D3E5ED" w:themeColor="accent3"/>
        </w:tcBorders>
        <w:shd w:val="clear" w:color="auto" w:fill="E9F1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C63303"/>
    <w:rPr>
      <w:rFonts w:eastAsiaTheme="majorEastAsia"/>
      <w:color w:val="000000" w:themeColor="text1"/>
    </w:rPr>
    <w:tblPr>
      <w:tblStyleRowBandSize w:val="1"/>
      <w:tblStyleColBandSize w:val="1"/>
      <w:tblBorders>
        <w:top w:val="single" w:sz="8" w:space="0" w:color="E7F1F5" w:themeColor="accent4"/>
        <w:left w:val="single" w:sz="8" w:space="0" w:color="E7F1F5" w:themeColor="accent4"/>
        <w:bottom w:val="single" w:sz="8" w:space="0" w:color="E7F1F5" w:themeColor="accent4"/>
        <w:right w:val="single" w:sz="8" w:space="0" w:color="E7F1F5" w:themeColor="accent4"/>
        <w:insideH w:val="single" w:sz="8" w:space="0" w:color="E7F1F5" w:themeColor="accent4"/>
        <w:insideV w:val="single" w:sz="8" w:space="0" w:color="E7F1F5" w:themeColor="accent4"/>
      </w:tblBorders>
    </w:tblPr>
    <w:tcPr>
      <w:shd w:val="clear" w:color="auto" w:fill="F8FBFC"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CFDF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CFD" w:themeFill="accent4" w:themeFillTint="33"/>
      </w:tcPr>
    </w:tblStylePr>
    <w:tblStylePr w:type="band1Vert">
      <w:tblPr/>
      <w:tcPr>
        <w:shd w:val="clear" w:color="auto" w:fill="F3F7FA" w:themeFill="accent4" w:themeFillTint="7F"/>
      </w:tcPr>
    </w:tblStylePr>
    <w:tblStylePr w:type="band1Horz">
      <w:tblPr/>
      <w:tcPr>
        <w:tcBorders>
          <w:insideH w:val="single" w:sz="6" w:space="0" w:color="E7F1F5" w:themeColor="accent4"/>
          <w:insideV w:val="single" w:sz="6" w:space="0" w:color="E7F1F5" w:themeColor="accent4"/>
        </w:tcBorders>
        <w:shd w:val="clear" w:color="auto" w:fill="F3F7F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C63303"/>
    <w:rPr>
      <w:rFonts w:eastAsiaTheme="majorEastAsia"/>
      <w:color w:val="000000" w:themeColor="text1"/>
    </w:rPr>
    <w:tblPr>
      <w:tblStyleRowBandSize w:val="1"/>
      <w:tblStyleColBandSize w:val="1"/>
      <w:tblBorders>
        <w:top w:val="single" w:sz="8" w:space="0" w:color="77923B" w:themeColor="accent5"/>
        <w:left w:val="single" w:sz="8" w:space="0" w:color="77923B" w:themeColor="accent5"/>
        <w:bottom w:val="single" w:sz="8" w:space="0" w:color="77923B" w:themeColor="accent5"/>
        <w:right w:val="single" w:sz="8" w:space="0" w:color="77923B" w:themeColor="accent5"/>
        <w:insideH w:val="single" w:sz="8" w:space="0" w:color="77923B" w:themeColor="accent5"/>
        <w:insideV w:val="single" w:sz="8" w:space="0" w:color="77923B" w:themeColor="accent5"/>
      </w:tblBorders>
    </w:tblPr>
    <w:tcPr>
      <w:shd w:val="clear" w:color="auto" w:fill="DFE9C9"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2F6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DD3" w:themeFill="accent5" w:themeFillTint="33"/>
      </w:tcPr>
    </w:tblStylePr>
    <w:tblStylePr w:type="band1Vert">
      <w:tblPr/>
      <w:tcPr>
        <w:shd w:val="clear" w:color="auto" w:fill="BFD392" w:themeFill="accent5" w:themeFillTint="7F"/>
      </w:tcPr>
    </w:tblStylePr>
    <w:tblStylePr w:type="band1Horz">
      <w:tblPr/>
      <w:tcPr>
        <w:tcBorders>
          <w:insideH w:val="single" w:sz="6" w:space="0" w:color="77923B" w:themeColor="accent5"/>
          <w:insideV w:val="single" w:sz="6" w:space="0" w:color="77923B" w:themeColor="accent5"/>
        </w:tcBorders>
        <w:shd w:val="clear" w:color="auto" w:fill="BFD39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C63303"/>
    <w:rPr>
      <w:rFonts w:eastAsiaTheme="majorEastAsia"/>
      <w:color w:val="000000" w:themeColor="text1"/>
    </w:rPr>
    <w:tblPr>
      <w:tblStyleRowBandSize w:val="1"/>
      <w:tblStyleColBandSize w:val="1"/>
      <w:tblBorders>
        <w:top w:val="single" w:sz="8" w:space="0" w:color="F26522" w:themeColor="accent6"/>
        <w:left w:val="single" w:sz="8" w:space="0" w:color="F26522" w:themeColor="accent6"/>
        <w:bottom w:val="single" w:sz="8" w:space="0" w:color="F26522" w:themeColor="accent6"/>
        <w:right w:val="single" w:sz="8" w:space="0" w:color="F26522" w:themeColor="accent6"/>
        <w:insideH w:val="single" w:sz="8" w:space="0" w:color="F26522" w:themeColor="accent6"/>
        <w:insideV w:val="single" w:sz="8" w:space="0" w:color="F26522" w:themeColor="accent6"/>
      </w:tblBorders>
    </w:tblPr>
    <w:tcPr>
      <w:shd w:val="clear" w:color="auto" w:fill="FBD8C8"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DEF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0D2" w:themeFill="accent6" w:themeFillTint="33"/>
      </w:tcPr>
    </w:tblStylePr>
    <w:tblStylePr w:type="band1Vert">
      <w:tblPr/>
      <w:tcPr>
        <w:shd w:val="clear" w:color="auto" w:fill="F8B290" w:themeFill="accent6" w:themeFillTint="7F"/>
      </w:tcPr>
    </w:tblStylePr>
    <w:tblStylePr w:type="band1Horz">
      <w:tblPr/>
      <w:tcPr>
        <w:tcBorders>
          <w:insideH w:val="single" w:sz="6" w:space="0" w:color="F26522" w:themeColor="accent6"/>
          <w:insideV w:val="single" w:sz="6" w:space="0" w:color="F26522" w:themeColor="accent6"/>
        </w:tcBorders>
        <w:shd w:val="clear" w:color="auto" w:fill="F8B29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C8"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52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52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52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52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29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290" w:themeFill="accent1" w:themeFillTint="7F"/>
      </w:tcPr>
    </w:tblStylePr>
  </w:style>
  <w:style w:type="table" w:styleId="MediumGrid3-Accent2">
    <w:name w:val="Medium Grid 3 Accent 2"/>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8DE"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A67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A67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A67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A67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2B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2BE" w:themeFill="accent2" w:themeFillTint="7F"/>
      </w:tcPr>
    </w:tblStylePr>
  </w:style>
  <w:style w:type="table" w:styleId="MediumGrid3-Accent3">
    <w:name w:val="Medium Grid 3 Accent 3"/>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8FA"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E5E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E5E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E5E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E5E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F1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F1F6" w:themeFill="accent3" w:themeFillTint="7F"/>
      </w:tcPr>
    </w:tblStylePr>
  </w:style>
  <w:style w:type="table" w:styleId="MediumGrid3-Accent4">
    <w:name w:val="Medium Grid 3 Accent 4"/>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BFC"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F1F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F1F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F1F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F1F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F7F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F7FA" w:themeFill="accent4" w:themeFillTint="7F"/>
      </w:tcPr>
    </w:tblStylePr>
  </w:style>
  <w:style w:type="table" w:styleId="MediumGrid3-Accent5">
    <w:name w:val="Medium Grid 3 Accent 5"/>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9C9"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7923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7923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7923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7923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39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392" w:themeFill="accent5" w:themeFillTint="7F"/>
      </w:tcPr>
    </w:tblStylePr>
  </w:style>
  <w:style w:type="table" w:styleId="MediumGrid3-Accent6">
    <w:name w:val="Medium Grid 3 Accent 6"/>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C8"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5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5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5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5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29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290" w:themeFill="accent6" w:themeFillTint="7F"/>
      </w:tcPr>
    </w:tblStylePr>
  </w:style>
  <w:style w:type="table" w:styleId="MediumList1">
    <w:name w:val="Medium List 1"/>
    <w:basedOn w:val="TableNormal"/>
    <w:uiPriority w:val="98"/>
    <w:rsid w:val="00C6330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C63303"/>
    <w:rPr>
      <w:color w:val="000000" w:themeColor="text1"/>
    </w:rPr>
    <w:tblPr>
      <w:tblStyleRowBandSize w:val="1"/>
      <w:tblStyleColBandSize w:val="1"/>
      <w:tblBorders>
        <w:top w:val="single" w:sz="8" w:space="0" w:color="F26522" w:themeColor="accent1"/>
        <w:bottom w:val="single" w:sz="8" w:space="0" w:color="F26522"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F26522" w:themeColor="accent1"/>
        </w:tcBorders>
      </w:tcPr>
    </w:tblStylePr>
    <w:tblStylePr w:type="lastRow">
      <w:rPr>
        <w:b/>
        <w:bCs/>
        <w:color w:val="000000" w:themeColor="text2"/>
      </w:rPr>
      <w:tblPr/>
      <w:tcPr>
        <w:tcBorders>
          <w:top w:val="single" w:sz="8" w:space="0" w:color="F26522" w:themeColor="accent1"/>
          <w:bottom w:val="single" w:sz="8" w:space="0" w:color="F26522" w:themeColor="accent1"/>
        </w:tcBorders>
      </w:tcPr>
    </w:tblStylePr>
    <w:tblStylePr w:type="firstCol">
      <w:rPr>
        <w:b/>
        <w:bCs/>
      </w:rPr>
    </w:tblStylePr>
    <w:tblStylePr w:type="lastCol">
      <w:rPr>
        <w:b/>
        <w:bCs/>
      </w:rPr>
      <w:tblPr/>
      <w:tcPr>
        <w:tcBorders>
          <w:top w:val="single" w:sz="8" w:space="0" w:color="F26522" w:themeColor="accent1"/>
          <w:bottom w:val="single" w:sz="8" w:space="0" w:color="F26522" w:themeColor="accent1"/>
        </w:tcBorders>
      </w:tcPr>
    </w:tblStylePr>
    <w:tblStylePr w:type="band1Vert">
      <w:tblPr/>
      <w:tcPr>
        <w:shd w:val="clear" w:color="auto" w:fill="FBD8C8" w:themeFill="accent1" w:themeFillTint="3F"/>
      </w:tcPr>
    </w:tblStylePr>
    <w:tblStylePr w:type="band1Horz">
      <w:tblPr/>
      <w:tcPr>
        <w:shd w:val="clear" w:color="auto" w:fill="FBD8C8" w:themeFill="accent1" w:themeFillTint="3F"/>
      </w:tcPr>
    </w:tblStylePr>
  </w:style>
  <w:style w:type="table" w:styleId="MediumList1-Accent2">
    <w:name w:val="Medium List 1 Accent 2"/>
    <w:basedOn w:val="TableNormal"/>
    <w:uiPriority w:val="98"/>
    <w:rsid w:val="00C63303"/>
    <w:rPr>
      <w:color w:val="000000" w:themeColor="text1"/>
    </w:rPr>
    <w:tblPr>
      <w:tblStyleRowBandSize w:val="1"/>
      <w:tblStyleColBandSize w:val="1"/>
      <w:tblBorders>
        <w:top w:val="single" w:sz="8" w:space="0" w:color="F7A67D" w:themeColor="accent2"/>
        <w:bottom w:val="single" w:sz="8" w:space="0" w:color="F7A67D"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F7A67D" w:themeColor="accent2"/>
        </w:tcBorders>
      </w:tcPr>
    </w:tblStylePr>
    <w:tblStylePr w:type="lastRow">
      <w:rPr>
        <w:b/>
        <w:bCs/>
        <w:color w:val="000000" w:themeColor="text2"/>
      </w:rPr>
      <w:tblPr/>
      <w:tcPr>
        <w:tcBorders>
          <w:top w:val="single" w:sz="8" w:space="0" w:color="F7A67D" w:themeColor="accent2"/>
          <w:bottom w:val="single" w:sz="8" w:space="0" w:color="F7A67D" w:themeColor="accent2"/>
        </w:tcBorders>
      </w:tcPr>
    </w:tblStylePr>
    <w:tblStylePr w:type="firstCol">
      <w:rPr>
        <w:b/>
        <w:bCs/>
      </w:rPr>
    </w:tblStylePr>
    <w:tblStylePr w:type="lastCol">
      <w:rPr>
        <w:b/>
        <w:bCs/>
      </w:rPr>
      <w:tblPr/>
      <w:tcPr>
        <w:tcBorders>
          <w:top w:val="single" w:sz="8" w:space="0" w:color="F7A67D" w:themeColor="accent2"/>
          <w:bottom w:val="single" w:sz="8" w:space="0" w:color="F7A67D" w:themeColor="accent2"/>
        </w:tcBorders>
      </w:tcPr>
    </w:tblStylePr>
    <w:tblStylePr w:type="band1Vert">
      <w:tblPr/>
      <w:tcPr>
        <w:shd w:val="clear" w:color="auto" w:fill="FDE8DE" w:themeFill="accent2" w:themeFillTint="3F"/>
      </w:tcPr>
    </w:tblStylePr>
    <w:tblStylePr w:type="band1Horz">
      <w:tblPr/>
      <w:tcPr>
        <w:shd w:val="clear" w:color="auto" w:fill="FDE8DE" w:themeFill="accent2" w:themeFillTint="3F"/>
      </w:tcPr>
    </w:tblStylePr>
  </w:style>
  <w:style w:type="table" w:styleId="MediumList1-Accent3">
    <w:name w:val="Medium List 1 Accent 3"/>
    <w:basedOn w:val="TableNormal"/>
    <w:uiPriority w:val="98"/>
    <w:rsid w:val="00C63303"/>
    <w:rPr>
      <w:color w:val="000000" w:themeColor="text1"/>
    </w:rPr>
    <w:tblPr>
      <w:tblStyleRowBandSize w:val="1"/>
      <w:tblStyleColBandSize w:val="1"/>
      <w:tblBorders>
        <w:top w:val="single" w:sz="8" w:space="0" w:color="D3E5ED" w:themeColor="accent3"/>
        <w:bottom w:val="single" w:sz="8" w:space="0" w:color="D3E5ED"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D3E5ED" w:themeColor="accent3"/>
        </w:tcBorders>
      </w:tcPr>
    </w:tblStylePr>
    <w:tblStylePr w:type="lastRow">
      <w:rPr>
        <w:b/>
        <w:bCs/>
        <w:color w:val="000000" w:themeColor="text2"/>
      </w:rPr>
      <w:tblPr/>
      <w:tcPr>
        <w:tcBorders>
          <w:top w:val="single" w:sz="8" w:space="0" w:color="D3E5ED" w:themeColor="accent3"/>
          <w:bottom w:val="single" w:sz="8" w:space="0" w:color="D3E5ED" w:themeColor="accent3"/>
        </w:tcBorders>
      </w:tcPr>
    </w:tblStylePr>
    <w:tblStylePr w:type="firstCol">
      <w:rPr>
        <w:b/>
        <w:bCs/>
      </w:rPr>
    </w:tblStylePr>
    <w:tblStylePr w:type="lastCol">
      <w:rPr>
        <w:b/>
        <w:bCs/>
      </w:rPr>
      <w:tblPr/>
      <w:tcPr>
        <w:tcBorders>
          <w:top w:val="single" w:sz="8" w:space="0" w:color="D3E5ED" w:themeColor="accent3"/>
          <w:bottom w:val="single" w:sz="8" w:space="0" w:color="D3E5ED" w:themeColor="accent3"/>
        </w:tcBorders>
      </w:tcPr>
    </w:tblStylePr>
    <w:tblStylePr w:type="band1Vert">
      <w:tblPr/>
      <w:tcPr>
        <w:shd w:val="clear" w:color="auto" w:fill="F4F8FA" w:themeFill="accent3" w:themeFillTint="3F"/>
      </w:tcPr>
    </w:tblStylePr>
    <w:tblStylePr w:type="band1Horz">
      <w:tblPr/>
      <w:tcPr>
        <w:shd w:val="clear" w:color="auto" w:fill="F4F8FA" w:themeFill="accent3" w:themeFillTint="3F"/>
      </w:tcPr>
    </w:tblStylePr>
  </w:style>
  <w:style w:type="table" w:styleId="MediumList1-Accent4">
    <w:name w:val="Medium List 1 Accent 4"/>
    <w:basedOn w:val="TableNormal"/>
    <w:uiPriority w:val="98"/>
    <w:rsid w:val="00C63303"/>
    <w:rPr>
      <w:color w:val="000000" w:themeColor="text1"/>
    </w:rPr>
    <w:tblPr>
      <w:tblStyleRowBandSize w:val="1"/>
      <w:tblStyleColBandSize w:val="1"/>
      <w:tblBorders>
        <w:top w:val="single" w:sz="8" w:space="0" w:color="E7F1F5" w:themeColor="accent4"/>
        <w:bottom w:val="single" w:sz="8" w:space="0" w:color="E7F1F5"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E7F1F5" w:themeColor="accent4"/>
        </w:tcBorders>
      </w:tcPr>
    </w:tblStylePr>
    <w:tblStylePr w:type="lastRow">
      <w:rPr>
        <w:b/>
        <w:bCs/>
        <w:color w:val="000000" w:themeColor="text2"/>
      </w:rPr>
      <w:tblPr/>
      <w:tcPr>
        <w:tcBorders>
          <w:top w:val="single" w:sz="8" w:space="0" w:color="E7F1F5" w:themeColor="accent4"/>
          <w:bottom w:val="single" w:sz="8" w:space="0" w:color="E7F1F5" w:themeColor="accent4"/>
        </w:tcBorders>
      </w:tcPr>
    </w:tblStylePr>
    <w:tblStylePr w:type="firstCol">
      <w:rPr>
        <w:b/>
        <w:bCs/>
      </w:rPr>
    </w:tblStylePr>
    <w:tblStylePr w:type="lastCol">
      <w:rPr>
        <w:b/>
        <w:bCs/>
      </w:rPr>
      <w:tblPr/>
      <w:tcPr>
        <w:tcBorders>
          <w:top w:val="single" w:sz="8" w:space="0" w:color="E7F1F5" w:themeColor="accent4"/>
          <w:bottom w:val="single" w:sz="8" w:space="0" w:color="E7F1F5" w:themeColor="accent4"/>
        </w:tcBorders>
      </w:tcPr>
    </w:tblStylePr>
    <w:tblStylePr w:type="band1Vert">
      <w:tblPr/>
      <w:tcPr>
        <w:shd w:val="clear" w:color="auto" w:fill="F8FBFC" w:themeFill="accent4" w:themeFillTint="3F"/>
      </w:tcPr>
    </w:tblStylePr>
    <w:tblStylePr w:type="band1Horz">
      <w:tblPr/>
      <w:tcPr>
        <w:shd w:val="clear" w:color="auto" w:fill="F8FBFC" w:themeFill="accent4" w:themeFillTint="3F"/>
      </w:tcPr>
    </w:tblStylePr>
  </w:style>
  <w:style w:type="table" w:styleId="MediumList1-Accent5">
    <w:name w:val="Medium List 1 Accent 5"/>
    <w:basedOn w:val="TableNormal"/>
    <w:uiPriority w:val="98"/>
    <w:rsid w:val="00C63303"/>
    <w:rPr>
      <w:color w:val="000000" w:themeColor="text1"/>
    </w:rPr>
    <w:tblPr>
      <w:tblStyleRowBandSize w:val="1"/>
      <w:tblStyleColBandSize w:val="1"/>
      <w:tblBorders>
        <w:top w:val="single" w:sz="8" w:space="0" w:color="77923B" w:themeColor="accent5"/>
        <w:bottom w:val="single" w:sz="8" w:space="0" w:color="77923B"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77923B" w:themeColor="accent5"/>
        </w:tcBorders>
      </w:tcPr>
    </w:tblStylePr>
    <w:tblStylePr w:type="lastRow">
      <w:rPr>
        <w:b/>
        <w:bCs/>
        <w:color w:val="000000" w:themeColor="text2"/>
      </w:rPr>
      <w:tblPr/>
      <w:tcPr>
        <w:tcBorders>
          <w:top w:val="single" w:sz="8" w:space="0" w:color="77923B" w:themeColor="accent5"/>
          <w:bottom w:val="single" w:sz="8" w:space="0" w:color="77923B" w:themeColor="accent5"/>
        </w:tcBorders>
      </w:tcPr>
    </w:tblStylePr>
    <w:tblStylePr w:type="firstCol">
      <w:rPr>
        <w:b/>
        <w:bCs/>
      </w:rPr>
    </w:tblStylePr>
    <w:tblStylePr w:type="lastCol">
      <w:rPr>
        <w:b/>
        <w:bCs/>
      </w:rPr>
      <w:tblPr/>
      <w:tcPr>
        <w:tcBorders>
          <w:top w:val="single" w:sz="8" w:space="0" w:color="77923B" w:themeColor="accent5"/>
          <w:bottom w:val="single" w:sz="8" w:space="0" w:color="77923B" w:themeColor="accent5"/>
        </w:tcBorders>
      </w:tcPr>
    </w:tblStylePr>
    <w:tblStylePr w:type="band1Vert">
      <w:tblPr/>
      <w:tcPr>
        <w:shd w:val="clear" w:color="auto" w:fill="DFE9C9" w:themeFill="accent5" w:themeFillTint="3F"/>
      </w:tcPr>
    </w:tblStylePr>
    <w:tblStylePr w:type="band1Horz">
      <w:tblPr/>
      <w:tcPr>
        <w:shd w:val="clear" w:color="auto" w:fill="DFE9C9" w:themeFill="accent5" w:themeFillTint="3F"/>
      </w:tcPr>
    </w:tblStylePr>
  </w:style>
  <w:style w:type="table" w:styleId="MediumList1-Accent6">
    <w:name w:val="Medium List 1 Accent 6"/>
    <w:basedOn w:val="TableNormal"/>
    <w:uiPriority w:val="98"/>
    <w:rsid w:val="00C63303"/>
    <w:rPr>
      <w:color w:val="000000" w:themeColor="text1"/>
    </w:rPr>
    <w:tblPr>
      <w:tblStyleRowBandSize w:val="1"/>
      <w:tblStyleColBandSize w:val="1"/>
      <w:tblBorders>
        <w:top w:val="single" w:sz="8" w:space="0" w:color="F26522" w:themeColor="accent6"/>
        <w:bottom w:val="single" w:sz="8" w:space="0" w:color="F26522"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F26522" w:themeColor="accent6"/>
        </w:tcBorders>
      </w:tcPr>
    </w:tblStylePr>
    <w:tblStylePr w:type="lastRow">
      <w:rPr>
        <w:b/>
        <w:bCs/>
        <w:color w:val="000000" w:themeColor="text2"/>
      </w:rPr>
      <w:tblPr/>
      <w:tcPr>
        <w:tcBorders>
          <w:top w:val="single" w:sz="8" w:space="0" w:color="F26522" w:themeColor="accent6"/>
          <w:bottom w:val="single" w:sz="8" w:space="0" w:color="F26522" w:themeColor="accent6"/>
        </w:tcBorders>
      </w:tcPr>
    </w:tblStylePr>
    <w:tblStylePr w:type="firstCol">
      <w:rPr>
        <w:b/>
        <w:bCs/>
      </w:rPr>
    </w:tblStylePr>
    <w:tblStylePr w:type="lastCol">
      <w:rPr>
        <w:b/>
        <w:bCs/>
      </w:rPr>
      <w:tblPr/>
      <w:tcPr>
        <w:tcBorders>
          <w:top w:val="single" w:sz="8" w:space="0" w:color="F26522" w:themeColor="accent6"/>
          <w:bottom w:val="single" w:sz="8" w:space="0" w:color="F26522" w:themeColor="accent6"/>
        </w:tcBorders>
      </w:tcPr>
    </w:tblStylePr>
    <w:tblStylePr w:type="band1Vert">
      <w:tblPr/>
      <w:tcPr>
        <w:shd w:val="clear" w:color="auto" w:fill="FBD8C8" w:themeFill="accent6" w:themeFillTint="3F"/>
      </w:tcPr>
    </w:tblStylePr>
    <w:tblStylePr w:type="band1Horz">
      <w:tblPr/>
      <w:tcPr>
        <w:shd w:val="clear" w:color="auto" w:fill="FBD8C8" w:themeFill="accent6" w:themeFillTint="3F"/>
      </w:tcPr>
    </w:tblStylePr>
  </w:style>
  <w:style w:type="table" w:styleId="MediumList2">
    <w:name w:val="Medium List 2"/>
    <w:basedOn w:val="TableNormal"/>
    <w:uiPriority w:val="98"/>
    <w:rsid w:val="00C63303"/>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C63303"/>
    <w:rPr>
      <w:rFonts w:eastAsiaTheme="majorEastAsia"/>
      <w:color w:val="000000" w:themeColor="text1"/>
    </w:rPr>
    <w:tblPr>
      <w:tblStyleRowBandSize w:val="1"/>
      <w:tblStyleColBandSize w:val="1"/>
      <w:tblBorders>
        <w:top w:val="single" w:sz="8" w:space="0" w:color="F26522" w:themeColor="accent1"/>
        <w:left w:val="single" w:sz="8" w:space="0" w:color="F26522" w:themeColor="accent1"/>
        <w:bottom w:val="single" w:sz="8" w:space="0" w:color="F26522" w:themeColor="accent1"/>
        <w:right w:val="single" w:sz="8" w:space="0" w:color="F26522"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F26522" w:themeColor="accent1"/>
          <w:right w:val="nil"/>
          <w:insideH w:val="nil"/>
          <w:insideV w:val="nil"/>
        </w:tcBorders>
        <w:shd w:val="clear" w:color="auto" w:fill="FFFFFF" w:themeFill="background1"/>
      </w:tcPr>
    </w:tblStylePr>
    <w:tblStylePr w:type="lastRow">
      <w:tblPr/>
      <w:tcPr>
        <w:tcBorders>
          <w:top w:val="single" w:sz="8" w:space="0" w:color="F2652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522" w:themeColor="accent1"/>
          <w:insideH w:val="nil"/>
          <w:insideV w:val="nil"/>
        </w:tcBorders>
        <w:shd w:val="clear" w:color="auto" w:fill="FFFFFF" w:themeFill="background1"/>
      </w:tcPr>
    </w:tblStylePr>
    <w:tblStylePr w:type="lastCol">
      <w:tblPr/>
      <w:tcPr>
        <w:tcBorders>
          <w:top w:val="nil"/>
          <w:left w:val="single" w:sz="8" w:space="0" w:color="F2652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C8" w:themeFill="accent1" w:themeFillTint="3F"/>
      </w:tcPr>
    </w:tblStylePr>
    <w:tblStylePr w:type="band1Horz">
      <w:tblPr/>
      <w:tcPr>
        <w:tcBorders>
          <w:top w:val="nil"/>
          <w:bottom w:val="nil"/>
          <w:insideH w:val="nil"/>
          <w:insideV w:val="nil"/>
        </w:tcBorders>
        <w:shd w:val="clear" w:color="auto" w:fill="FBD8C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C63303"/>
    <w:rPr>
      <w:rFonts w:eastAsiaTheme="majorEastAsia"/>
      <w:color w:val="000000" w:themeColor="text1"/>
    </w:rPr>
    <w:tblPr>
      <w:tblStyleRowBandSize w:val="1"/>
      <w:tblStyleColBandSize w:val="1"/>
      <w:tblBorders>
        <w:top w:val="single" w:sz="8" w:space="0" w:color="F7A67D" w:themeColor="accent2"/>
        <w:left w:val="single" w:sz="8" w:space="0" w:color="F7A67D" w:themeColor="accent2"/>
        <w:bottom w:val="single" w:sz="8" w:space="0" w:color="F7A67D" w:themeColor="accent2"/>
        <w:right w:val="single" w:sz="8" w:space="0" w:color="F7A67D"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F7A67D" w:themeColor="accent2"/>
          <w:right w:val="nil"/>
          <w:insideH w:val="nil"/>
          <w:insideV w:val="nil"/>
        </w:tcBorders>
        <w:shd w:val="clear" w:color="auto" w:fill="FFFFFF" w:themeFill="background1"/>
      </w:tcPr>
    </w:tblStylePr>
    <w:tblStylePr w:type="lastRow">
      <w:tblPr/>
      <w:tcPr>
        <w:tcBorders>
          <w:top w:val="single" w:sz="8" w:space="0" w:color="F7A67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A67D" w:themeColor="accent2"/>
          <w:insideH w:val="nil"/>
          <w:insideV w:val="nil"/>
        </w:tcBorders>
        <w:shd w:val="clear" w:color="auto" w:fill="FFFFFF" w:themeFill="background1"/>
      </w:tcPr>
    </w:tblStylePr>
    <w:tblStylePr w:type="lastCol">
      <w:tblPr/>
      <w:tcPr>
        <w:tcBorders>
          <w:top w:val="nil"/>
          <w:left w:val="single" w:sz="8" w:space="0" w:color="F7A67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8DE" w:themeFill="accent2" w:themeFillTint="3F"/>
      </w:tcPr>
    </w:tblStylePr>
    <w:tblStylePr w:type="band1Horz">
      <w:tblPr/>
      <w:tcPr>
        <w:tcBorders>
          <w:top w:val="nil"/>
          <w:bottom w:val="nil"/>
          <w:insideH w:val="nil"/>
          <w:insideV w:val="nil"/>
        </w:tcBorders>
        <w:shd w:val="clear" w:color="auto" w:fill="FDE8D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C63303"/>
    <w:rPr>
      <w:rFonts w:eastAsiaTheme="majorEastAsia"/>
      <w:color w:val="000000" w:themeColor="text1"/>
    </w:rPr>
    <w:tblPr>
      <w:tblStyleRowBandSize w:val="1"/>
      <w:tblStyleColBandSize w:val="1"/>
      <w:tblBorders>
        <w:top w:val="single" w:sz="8" w:space="0" w:color="D3E5ED" w:themeColor="accent3"/>
        <w:left w:val="single" w:sz="8" w:space="0" w:color="D3E5ED" w:themeColor="accent3"/>
        <w:bottom w:val="single" w:sz="8" w:space="0" w:color="D3E5ED" w:themeColor="accent3"/>
        <w:right w:val="single" w:sz="8" w:space="0" w:color="D3E5ED"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D3E5ED" w:themeColor="accent3"/>
          <w:right w:val="nil"/>
          <w:insideH w:val="nil"/>
          <w:insideV w:val="nil"/>
        </w:tcBorders>
        <w:shd w:val="clear" w:color="auto" w:fill="FFFFFF" w:themeFill="background1"/>
      </w:tcPr>
    </w:tblStylePr>
    <w:tblStylePr w:type="lastRow">
      <w:tblPr/>
      <w:tcPr>
        <w:tcBorders>
          <w:top w:val="single" w:sz="8" w:space="0" w:color="D3E5E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E5ED" w:themeColor="accent3"/>
          <w:insideH w:val="nil"/>
          <w:insideV w:val="nil"/>
        </w:tcBorders>
        <w:shd w:val="clear" w:color="auto" w:fill="FFFFFF" w:themeFill="background1"/>
      </w:tcPr>
    </w:tblStylePr>
    <w:tblStylePr w:type="lastCol">
      <w:tblPr/>
      <w:tcPr>
        <w:tcBorders>
          <w:top w:val="nil"/>
          <w:left w:val="single" w:sz="8" w:space="0" w:color="D3E5E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8FA" w:themeFill="accent3" w:themeFillTint="3F"/>
      </w:tcPr>
    </w:tblStylePr>
    <w:tblStylePr w:type="band1Horz">
      <w:tblPr/>
      <w:tcPr>
        <w:tcBorders>
          <w:top w:val="nil"/>
          <w:bottom w:val="nil"/>
          <w:insideH w:val="nil"/>
          <w:insideV w:val="nil"/>
        </w:tcBorders>
        <w:shd w:val="clear" w:color="auto" w:fill="F4F8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C63303"/>
    <w:rPr>
      <w:rFonts w:eastAsiaTheme="majorEastAsia"/>
      <w:color w:val="000000" w:themeColor="text1"/>
    </w:rPr>
    <w:tblPr>
      <w:tblStyleRowBandSize w:val="1"/>
      <w:tblStyleColBandSize w:val="1"/>
      <w:tblBorders>
        <w:top w:val="single" w:sz="8" w:space="0" w:color="E7F1F5" w:themeColor="accent4"/>
        <w:left w:val="single" w:sz="8" w:space="0" w:color="E7F1F5" w:themeColor="accent4"/>
        <w:bottom w:val="single" w:sz="8" w:space="0" w:color="E7F1F5" w:themeColor="accent4"/>
        <w:right w:val="single" w:sz="8" w:space="0" w:color="E7F1F5"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E7F1F5" w:themeColor="accent4"/>
          <w:right w:val="nil"/>
          <w:insideH w:val="nil"/>
          <w:insideV w:val="nil"/>
        </w:tcBorders>
        <w:shd w:val="clear" w:color="auto" w:fill="FFFFFF" w:themeFill="background1"/>
      </w:tcPr>
    </w:tblStylePr>
    <w:tblStylePr w:type="lastRow">
      <w:tblPr/>
      <w:tcPr>
        <w:tcBorders>
          <w:top w:val="single" w:sz="8" w:space="0" w:color="E7F1F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F1F5" w:themeColor="accent4"/>
          <w:insideH w:val="nil"/>
          <w:insideV w:val="nil"/>
        </w:tcBorders>
        <w:shd w:val="clear" w:color="auto" w:fill="FFFFFF" w:themeFill="background1"/>
      </w:tcPr>
    </w:tblStylePr>
    <w:tblStylePr w:type="lastCol">
      <w:tblPr/>
      <w:tcPr>
        <w:tcBorders>
          <w:top w:val="nil"/>
          <w:left w:val="single" w:sz="8" w:space="0" w:color="E7F1F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BFC" w:themeFill="accent4" w:themeFillTint="3F"/>
      </w:tcPr>
    </w:tblStylePr>
    <w:tblStylePr w:type="band1Horz">
      <w:tblPr/>
      <w:tcPr>
        <w:tcBorders>
          <w:top w:val="nil"/>
          <w:bottom w:val="nil"/>
          <w:insideH w:val="nil"/>
          <w:insideV w:val="nil"/>
        </w:tcBorders>
        <w:shd w:val="clear" w:color="auto" w:fill="F8FBF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C63303"/>
    <w:rPr>
      <w:rFonts w:eastAsiaTheme="majorEastAsia"/>
      <w:color w:val="000000" w:themeColor="text1"/>
    </w:rPr>
    <w:tblPr>
      <w:tblStyleRowBandSize w:val="1"/>
      <w:tblStyleColBandSize w:val="1"/>
      <w:tblBorders>
        <w:top w:val="single" w:sz="8" w:space="0" w:color="77923B" w:themeColor="accent5"/>
        <w:left w:val="single" w:sz="8" w:space="0" w:color="77923B" w:themeColor="accent5"/>
        <w:bottom w:val="single" w:sz="8" w:space="0" w:color="77923B" w:themeColor="accent5"/>
        <w:right w:val="single" w:sz="8" w:space="0" w:color="77923B"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77923B" w:themeColor="accent5"/>
          <w:right w:val="nil"/>
          <w:insideH w:val="nil"/>
          <w:insideV w:val="nil"/>
        </w:tcBorders>
        <w:shd w:val="clear" w:color="auto" w:fill="FFFFFF" w:themeFill="background1"/>
      </w:tcPr>
    </w:tblStylePr>
    <w:tblStylePr w:type="lastRow">
      <w:tblPr/>
      <w:tcPr>
        <w:tcBorders>
          <w:top w:val="single" w:sz="8" w:space="0" w:color="77923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7923B" w:themeColor="accent5"/>
          <w:insideH w:val="nil"/>
          <w:insideV w:val="nil"/>
        </w:tcBorders>
        <w:shd w:val="clear" w:color="auto" w:fill="FFFFFF" w:themeFill="background1"/>
      </w:tcPr>
    </w:tblStylePr>
    <w:tblStylePr w:type="lastCol">
      <w:tblPr/>
      <w:tcPr>
        <w:tcBorders>
          <w:top w:val="nil"/>
          <w:left w:val="single" w:sz="8" w:space="0" w:color="77923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9C9" w:themeFill="accent5" w:themeFillTint="3F"/>
      </w:tcPr>
    </w:tblStylePr>
    <w:tblStylePr w:type="band1Horz">
      <w:tblPr/>
      <w:tcPr>
        <w:tcBorders>
          <w:top w:val="nil"/>
          <w:bottom w:val="nil"/>
          <w:insideH w:val="nil"/>
          <w:insideV w:val="nil"/>
        </w:tcBorders>
        <w:shd w:val="clear" w:color="auto" w:fill="DFE9C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C63303"/>
    <w:rPr>
      <w:rFonts w:eastAsiaTheme="majorEastAsia"/>
      <w:color w:val="000000" w:themeColor="text1"/>
    </w:rPr>
    <w:tblPr>
      <w:tblStyleRowBandSize w:val="1"/>
      <w:tblStyleColBandSize w:val="1"/>
      <w:tblBorders>
        <w:top w:val="single" w:sz="8" w:space="0" w:color="F26522" w:themeColor="accent6"/>
        <w:left w:val="single" w:sz="8" w:space="0" w:color="F26522" w:themeColor="accent6"/>
        <w:bottom w:val="single" w:sz="8" w:space="0" w:color="F26522" w:themeColor="accent6"/>
        <w:right w:val="single" w:sz="8" w:space="0" w:color="F26522"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F26522" w:themeColor="accent6"/>
          <w:right w:val="nil"/>
          <w:insideH w:val="nil"/>
          <w:insideV w:val="nil"/>
        </w:tcBorders>
        <w:shd w:val="clear" w:color="auto" w:fill="FFFFFF" w:themeFill="background1"/>
      </w:tcPr>
    </w:tblStylePr>
    <w:tblStylePr w:type="lastRow">
      <w:tblPr/>
      <w:tcPr>
        <w:tcBorders>
          <w:top w:val="single" w:sz="8" w:space="0" w:color="F2652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522" w:themeColor="accent6"/>
          <w:insideH w:val="nil"/>
          <w:insideV w:val="nil"/>
        </w:tcBorders>
        <w:shd w:val="clear" w:color="auto" w:fill="FFFFFF" w:themeFill="background1"/>
      </w:tcPr>
    </w:tblStylePr>
    <w:tblStylePr w:type="lastCol">
      <w:tblPr/>
      <w:tcPr>
        <w:tcBorders>
          <w:top w:val="nil"/>
          <w:left w:val="single" w:sz="8" w:space="0" w:color="F265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C8" w:themeFill="accent6" w:themeFillTint="3F"/>
      </w:tcPr>
    </w:tblStylePr>
    <w:tblStylePr w:type="band1Horz">
      <w:tblPr/>
      <w:tcPr>
        <w:tcBorders>
          <w:top w:val="nil"/>
          <w:bottom w:val="nil"/>
          <w:insideH w:val="nil"/>
          <w:insideV w:val="nil"/>
        </w:tcBorders>
        <w:shd w:val="clear" w:color="auto" w:fill="FBD8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C6330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C63303"/>
    <w:tblPr>
      <w:tblStyleRowBandSize w:val="1"/>
      <w:tblStyleColBandSize w:val="1"/>
      <w:tblBorders>
        <w:top w:val="single" w:sz="8" w:space="0" w:color="F58B59" w:themeColor="accent1" w:themeTint="BF"/>
        <w:left w:val="single" w:sz="8" w:space="0" w:color="F58B59" w:themeColor="accent1" w:themeTint="BF"/>
        <w:bottom w:val="single" w:sz="8" w:space="0" w:color="F58B59" w:themeColor="accent1" w:themeTint="BF"/>
        <w:right w:val="single" w:sz="8" w:space="0" w:color="F58B59" w:themeColor="accent1" w:themeTint="BF"/>
        <w:insideH w:val="single" w:sz="8" w:space="0" w:color="F58B59"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F58B59" w:themeColor="accent1" w:themeTint="BF"/>
          <w:left w:val="single" w:sz="8" w:space="0" w:color="F58B59" w:themeColor="accent1" w:themeTint="BF"/>
          <w:bottom w:val="single" w:sz="8" w:space="0" w:color="F58B59" w:themeColor="accent1" w:themeTint="BF"/>
          <w:right w:val="single" w:sz="8" w:space="0" w:color="F58B59" w:themeColor="accent1" w:themeTint="BF"/>
          <w:insideH w:val="nil"/>
          <w:insideV w:val="nil"/>
        </w:tcBorders>
        <w:shd w:val="clear" w:color="auto" w:fill="F26522" w:themeFill="accent1"/>
      </w:tcPr>
    </w:tblStylePr>
    <w:tblStylePr w:type="lastRow">
      <w:pPr>
        <w:spacing w:before="0" w:after="0" w:line="240" w:lineRule="auto"/>
      </w:pPr>
      <w:rPr>
        <w:b/>
        <w:bCs/>
      </w:rPr>
      <w:tblPr/>
      <w:tcPr>
        <w:tcBorders>
          <w:top w:val="double" w:sz="6" w:space="0" w:color="F58B59" w:themeColor="accent1" w:themeTint="BF"/>
          <w:left w:val="single" w:sz="8" w:space="0" w:color="F58B59" w:themeColor="accent1" w:themeTint="BF"/>
          <w:bottom w:val="single" w:sz="8" w:space="0" w:color="F58B59" w:themeColor="accent1" w:themeTint="BF"/>
          <w:right w:val="single" w:sz="8" w:space="0" w:color="F58B5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8C8" w:themeFill="accent1" w:themeFillTint="3F"/>
      </w:tcPr>
    </w:tblStylePr>
    <w:tblStylePr w:type="band1Horz">
      <w:tblPr/>
      <w:tcPr>
        <w:tcBorders>
          <w:insideH w:val="nil"/>
          <w:insideV w:val="nil"/>
        </w:tcBorders>
        <w:shd w:val="clear" w:color="auto" w:fill="FBD8C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C63303"/>
    <w:tblPr>
      <w:tblStyleRowBandSize w:val="1"/>
      <w:tblStyleColBandSize w:val="1"/>
      <w:tblBorders>
        <w:top w:val="single" w:sz="8" w:space="0" w:color="F9BB9D" w:themeColor="accent2" w:themeTint="BF"/>
        <w:left w:val="single" w:sz="8" w:space="0" w:color="F9BB9D" w:themeColor="accent2" w:themeTint="BF"/>
        <w:bottom w:val="single" w:sz="8" w:space="0" w:color="F9BB9D" w:themeColor="accent2" w:themeTint="BF"/>
        <w:right w:val="single" w:sz="8" w:space="0" w:color="F9BB9D" w:themeColor="accent2" w:themeTint="BF"/>
        <w:insideH w:val="single" w:sz="8" w:space="0" w:color="F9BB9D"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F9BB9D" w:themeColor="accent2" w:themeTint="BF"/>
          <w:left w:val="single" w:sz="8" w:space="0" w:color="F9BB9D" w:themeColor="accent2" w:themeTint="BF"/>
          <w:bottom w:val="single" w:sz="8" w:space="0" w:color="F9BB9D" w:themeColor="accent2" w:themeTint="BF"/>
          <w:right w:val="single" w:sz="8" w:space="0" w:color="F9BB9D" w:themeColor="accent2" w:themeTint="BF"/>
          <w:insideH w:val="nil"/>
          <w:insideV w:val="nil"/>
        </w:tcBorders>
        <w:shd w:val="clear" w:color="auto" w:fill="F7A67D" w:themeFill="accent2"/>
      </w:tcPr>
    </w:tblStylePr>
    <w:tblStylePr w:type="lastRow">
      <w:pPr>
        <w:spacing w:before="0" w:after="0" w:line="240" w:lineRule="auto"/>
      </w:pPr>
      <w:rPr>
        <w:b/>
        <w:bCs/>
      </w:rPr>
      <w:tblPr/>
      <w:tcPr>
        <w:tcBorders>
          <w:top w:val="double" w:sz="6" w:space="0" w:color="F9BB9D" w:themeColor="accent2" w:themeTint="BF"/>
          <w:left w:val="single" w:sz="8" w:space="0" w:color="F9BB9D" w:themeColor="accent2" w:themeTint="BF"/>
          <w:bottom w:val="single" w:sz="8" w:space="0" w:color="F9BB9D" w:themeColor="accent2" w:themeTint="BF"/>
          <w:right w:val="single" w:sz="8" w:space="0" w:color="F9BB9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E8DE" w:themeFill="accent2" w:themeFillTint="3F"/>
      </w:tcPr>
    </w:tblStylePr>
    <w:tblStylePr w:type="band1Horz">
      <w:tblPr/>
      <w:tcPr>
        <w:tcBorders>
          <w:insideH w:val="nil"/>
          <w:insideV w:val="nil"/>
        </w:tcBorders>
        <w:shd w:val="clear" w:color="auto" w:fill="FDE8D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C63303"/>
    <w:tblPr>
      <w:tblStyleRowBandSize w:val="1"/>
      <w:tblStyleColBandSize w:val="1"/>
      <w:tblBorders>
        <w:top w:val="single" w:sz="8" w:space="0" w:color="DDEBF1" w:themeColor="accent3" w:themeTint="BF"/>
        <w:left w:val="single" w:sz="8" w:space="0" w:color="DDEBF1" w:themeColor="accent3" w:themeTint="BF"/>
        <w:bottom w:val="single" w:sz="8" w:space="0" w:color="DDEBF1" w:themeColor="accent3" w:themeTint="BF"/>
        <w:right w:val="single" w:sz="8" w:space="0" w:color="DDEBF1" w:themeColor="accent3" w:themeTint="BF"/>
        <w:insideH w:val="single" w:sz="8" w:space="0" w:color="DDEBF1"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DDEBF1" w:themeColor="accent3" w:themeTint="BF"/>
          <w:left w:val="single" w:sz="8" w:space="0" w:color="DDEBF1" w:themeColor="accent3" w:themeTint="BF"/>
          <w:bottom w:val="single" w:sz="8" w:space="0" w:color="DDEBF1" w:themeColor="accent3" w:themeTint="BF"/>
          <w:right w:val="single" w:sz="8" w:space="0" w:color="DDEBF1" w:themeColor="accent3" w:themeTint="BF"/>
          <w:insideH w:val="nil"/>
          <w:insideV w:val="nil"/>
        </w:tcBorders>
        <w:shd w:val="clear" w:color="auto" w:fill="D3E5ED" w:themeFill="accent3"/>
      </w:tcPr>
    </w:tblStylePr>
    <w:tblStylePr w:type="lastRow">
      <w:pPr>
        <w:spacing w:before="0" w:after="0" w:line="240" w:lineRule="auto"/>
      </w:pPr>
      <w:rPr>
        <w:b/>
        <w:bCs/>
      </w:rPr>
      <w:tblPr/>
      <w:tcPr>
        <w:tcBorders>
          <w:top w:val="double" w:sz="6" w:space="0" w:color="DDEBF1" w:themeColor="accent3" w:themeTint="BF"/>
          <w:left w:val="single" w:sz="8" w:space="0" w:color="DDEBF1" w:themeColor="accent3" w:themeTint="BF"/>
          <w:bottom w:val="single" w:sz="8" w:space="0" w:color="DDEBF1" w:themeColor="accent3" w:themeTint="BF"/>
          <w:right w:val="single" w:sz="8" w:space="0" w:color="DDEB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8FA" w:themeFill="accent3" w:themeFillTint="3F"/>
      </w:tcPr>
    </w:tblStylePr>
    <w:tblStylePr w:type="band1Horz">
      <w:tblPr/>
      <w:tcPr>
        <w:tcBorders>
          <w:insideH w:val="nil"/>
          <w:insideV w:val="nil"/>
        </w:tcBorders>
        <w:shd w:val="clear" w:color="auto" w:fill="F4F8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C63303"/>
    <w:tblPr>
      <w:tblStyleRowBandSize w:val="1"/>
      <w:tblStyleColBandSize w:val="1"/>
      <w:tblBorders>
        <w:top w:val="single" w:sz="8" w:space="0" w:color="ECF4F7" w:themeColor="accent4" w:themeTint="BF"/>
        <w:left w:val="single" w:sz="8" w:space="0" w:color="ECF4F7" w:themeColor="accent4" w:themeTint="BF"/>
        <w:bottom w:val="single" w:sz="8" w:space="0" w:color="ECF4F7" w:themeColor="accent4" w:themeTint="BF"/>
        <w:right w:val="single" w:sz="8" w:space="0" w:color="ECF4F7" w:themeColor="accent4" w:themeTint="BF"/>
        <w:insideH w:val="single" w:sz="8" w:space="0" w:color="ECF4F7"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ECF4F7" w:themeColor="accent4" w:themeTint="BF"/>
          <w:left w:val="single" w:sz="8" w:space="0" w:color="ECF4F7" w:themeColor="accent4" w:themeTint="BF"/>
          <w:bottom w:val="single" w:sz="8" w:space="0" w:color="ECF4F7" w:themeColor="accent4" w:themeTint="BF"/>
          <w:right w:val="single" w:sz="8" w:space="0" w:color="ECF4F7" w:themeColor="accent4" w:themeTint="BF"/>
          <w:insideH w:val="nil"/>
          <w:insideV w:val="nil"/>
        </w:tcBorders>
        <w:shd w:val="clear" w:color="auto" w:fill="E7F1F5" w:themeFill="accent4"/>
      </w:tcPr>
    </w:tblStylePr>
    <w:tblStylePr w:type="lastRow">
      <w:pPr>
        <w:spacing w:before="0" w:after="0" w:line="240" w:lineRule="auto"/>
      </w:pPr>
      <w:rPr>
        <w:b/>
        <w:bCs/>
      </w:rPr>
      <w:tblPr/>
      <w:tcPr>
        <w:tcBorders>
          <w:top w:val="double" w:sz="6" w:space="0" w:color="ECF4F7" w:themeColor="accent4" w:themeTint="BF"/>
          <w:left w:val="single" w:sz="8" w:space="0" w:color="ECF4F7" w:themeColor="accent4" w:themeTint="BF"/>
          <w:bottom w:val="single" w:sz="8" w:space="0" w:color="ECF4F7" w:themeColor="accent4" w:themeTint="BF"/>
          <w:right w:val="single" w:sz="8" w:space="0" w:color="ECF4F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8FBFC" w:themeFill="accent4" w:themeFillTint="3F"/>
      </w:tcPr>
    </w:tblStylePr>
    <w:tblStylePr w:type="band1Horz">
      <w:tblPr/>
      <w:tcPr>
        <w:tcBorders>
          <w:insideH w:val="nil"/>
          <w:insideV w:val="nil"/>
        </w:tcBorders>
        <w:shd w:val="clear" w:color="auto" w:fill="F8FBF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C63303"/>
    <w:tblPr>
      <w:tblStyleRowBandSize w:val="1"/>
      <w:tblStyleColBandSize w:val="1"/>
      <w:tblBorders>
        <w:top w:val="single" w:sz="8" w:space="0" w:color="9EBD5C" w:themeColor="accent5" w:themeTint="BF"/>
        <w:left w:val="single" w:sz="8" w:space="0" w:color="9EBD5C" w:themeColor="accent5" w:themeTint="BF"/>
        <w:bottom w:val="single" w:sz="8" w:space="0" w:color="9EBD5C" w:themeColor="accent5" w:themeTint="BF"/>
        <w:right w:val="single" w:sz="8" w:space="0" w:color="9EBD5C" w:themeColor="accent5" w:themeTint="BF"/>
        <w:insideH w:val="single" w:sz="8" w:space="0" w:color="9EBD5C"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9EBD5C" w:themeColor="accent5" w:themeTint="BF"/>
          <w:left w:val="single" w:sz="8" w:space="0" w:color="9EBD5C" w:themeColor="accent5" w:themeTint="BF"/>
          <w:bottom w:val="single" w:sz="8" w:space="0" w:color="9EBD5C" w:themeColor="accent5" w:themeTint="BF"/>
          <w:right w:val="single" w:sz="8" w:space="0" w:color="9EBD5C" w:themeColor="accent5" w:themeTint="BF"/>
          <w:insideH w:val="nil"/>
          <w:insideV w:val="nil"/>
        </w:tcBorders>
        <w:shd w:val="clear" w:color="auto" w:fill="77923B" w:themeFill="accent5"/>
      </w:tcPr>
    </w:tblStylePr>
    <w:tblStylePr w:type="lastRow">
      <w:pPr>
        <w:spacing w:before="0" w:after="0" w:line="240" w:lineRule="auto"/>
      </w:pPr>
      <w:rPr>
        <w:b/>
        <w:bCs/>
      </w:rPr>
      <w:tblPr/>
      <w:tcPr>
        <w:tcBorders>
          <w:top w:val="double" w:sz="6" w:space="0" w:color="9EBD5C" w:themeColor="accent5" w:themeTint="BF"/>
          <w:left w:val="single" w:sz="8" w:space="0" w:color="9EBD5C" w:themeColor="accent5" w:themeTint="BF"/>
          <w:bottom w:val="single" w:sz="8" w:space="0" w:color="9EBD5C" w:themeColor="accent5" w:themeTint="BF"/>
          <w:right w:val="single" w:sz="8" w:space="0" w:color="9EBD5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E9C9" w:themeFill="accent5" w:themeFillTint="3F"/>
      </w:tcPr>
    </w:tblStylePr>
    <w:tblStylePr w:type="band1Horz">
      <w:tblPr/>
      <w:tcPr>
        <w:tcBorders>
          <w:insideH w:val="nil"/>
          <w:insideV w:val="nil"/>
        </w:tcBorders>
        <w:shd w:val="clear" w:color="auto" w:fill="DFE9C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C63303"/>
    <w:tblPr>
      <w:tblStyleRowBandSize w:val="1"/>
      <w:tblStyleColBandSize w:val="1"/>
      <w:tblBorders>
        <w:top w:val="single" w:sz="8" w:space="0" w:color="F58B59" w:themeColor="accent6" w:themeTint="BF"/>
        <w:left w:val="single" w:sz="8" w:space="0" w:color="F58B59" w:themeColor="accent6" w:themeTint="BF"/>
        <w:bottom w:val="single" w:sz="8" w:space="0" w:color="F58B59" w:themeColor="accent6" w:themeTint="BF"/>
        <w:right w:val="single" w:sz="8" w:space="0" w:color="F58B59" w:themeColor="accent6" w:themeTint="BF"/>
        <w:insideH w:val="single" w:sz="8" w:space="0" w:color="F58B59"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F58B59" w:themeColor="accent6" w:themeTint="BF"/>
          <w:left w:val="single" w:sz="8" w:space="0" w:color="F58B59" w:themeColor="accent6" w:themeTint="BF"/>
          <w:bottom w:val="single" w:sz="8" w:space="0" w:color="F58B59" w:themeColor="accent6" w:themeTint="BF"/>
          <w:right w:val="single" w:sz="8" w:space="0" w:color="F58B59" w:themeColor="accent6" w:themeTint="BF"/>
          <w:insideH w:val="nil"/>
          <w:insideV w:val="nil"/>
        </w:tcBorders>
        <w:shd w:val="clear" w:color="auto" w:fill="F26522" w:themeFill="accent6"/>
      </w:tcPr>
    </w:tblStylePr>
    <w:tblStylePr w:type="lastRow">
      <w:pPr>
        <w:spacing w:before="0" w:after="0" w:line="240" w:lineRule="auto"/>
      </w:pPr>
      <w:rPr>
        <w:b/>
        <w:bCs/>
      </w:rPr>
      <w:tblPr/>
      <w:tcPr>
        <w:tcBorders>
          <w:top w:val="double" w:sz="6" w:space="0" w:color="F58B59" w:themeColor="accent6" w:themeTint="BF"/>
          <w:left w:val="single" w:sz="8" w:space="0" w:color="F58B59" w:themeColor="accent6" w:themeTint="BF"/>
          <w:bottom w:val="single" w:sz="8" w:space="0" w:color="F58B59" w:themeColor="accent6" w:themeTint="BF"/>
          <w:right w:val="single" w:sz="8" w:space="0" w:color="F58B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D8C8" w:themeFill="accent6" w:themeFillTint="3F"/>
      </w:tcPr>
    </w:tblStylePr>
    <w:tblStylePr w:type="band1Horz">
      <w:tblPr/>
      <w:tcPr>
        <w:tcBorders>
          <w:insideH w:val="nil"/>
          <w:insideV w:val="nil"/>
        </w:tcBorders>
        <w:shd w:val="clear" w:color="auto" w:fill="FBD8C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2652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6522" w:themeFill="accent1"/>
      </w:tcPr>
    </w:tblStylePr>
    <w:tblStylePr w:type="lastCol">
      <w:rPr>
        <w:b/>
        <w:bCs/>
        <w:color w:val="FFFFFF" w:themeColor="background1"/>
      </w:rPr>
      <w:tblPr/>
      <w:tcPr>
        <w:tcBorders>
          <w:left w:val="nil"/>
          <w:right w:val="nil"/>
          <w:insideH w:val="nil"/>
          <w:insideV w:val="nil"/>
        </w:tcBorders>
        <w:shd w:val="clear" w:color="auto" w:fill="F2652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A67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A67D" w:themeFill="accent2"/>
      </w:tcPr>
    </w:tblStylePr>
    <w:tblStylePr w:type="lastCol">
      <w:rPr>
        <w:b/>
        <w:bCs/>
        <w:color w:val="FFFFFF" w:themeColor="background1"/>
      </w:rPr>
      <w:tblPr/>
      <w:tcPr>
        <w:tcBorders>
          <w:left w:val="nil"/>
          <w:right w:val="nil"/>
          <w:insideH w:val="nil"/>
          <w:insideV w:val="nil"/>
        </w:tcBorders>
        <w:shd w:val="clear" w:color="auto" w:fill="F7A67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3E5E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3E5ED" w:themeFill="accent3"/>
      </w:tcPr>
    </w:tblStylePr>
    <w:tblStylePr w:type="lastCol">
      <w:rPr>
        <w:b/>
        <w:bCs/>
        <w:color w:val="FFFFFF" w:themeColor="background1"/>
      </w:rPr>
      <w:tblPr/>
      <w:tcPr>
        <w:tcBorders>
          <w:left w:val="nil"/>
          <w:right w:val="nil"/>
          <w:insideH w:val="nil"/>
          <w:insideV w:val="nil"/>
        </w:tcBorders>
        <w:shd w:val="clear" w:color="auto" w:fill="D3E5E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7F1F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F1F5" w:themeFill="accent4"/>
      </w:tcPr>
    </w:tblStylePr>
    <w:tblStylePr w:type="lastCol">
      <w:rPr>
        <w:b/>
        <w:bCs/>
        <w:color w:val="FFFFFF" w:themeColor="background1"/>
      </w:rPr>
      <w:tblPr/>
      <w:tcPr>
        <w:tcBorders>
          <w:left w:val="nil"/>
          <w:right w:val="nil"/>
          <w:insideH w:val="nil"/>
          <w:insideV w:val="nil"/>
        </w:tcBorders>
        <w:shd w:val="clear" w:color="auto" w:fill="E7F1F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77923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7923B" w:themeFill="accent5"/>
      </w:tcPr>
    </w:tblStylePr>
    <w:tblStylePr w:type="lastCol">
      <w:rPr>
        <w:b/>
        <w:bCs/>
        <w:color w:val="FFFFFF" w:themeColor="background1"/>
      </w:rPr>
      <w:tblPr/>
      <w:tcPr>
        <w:tcBorders>
          <w:left w:val="nil"/>
          <w:right w:val="nil"/>
          <w:insideH w:val="nil"/>
          <w:insideV w:val="nil"/>
        </w:tcBorders>
        <w:shd w:val="clear" w:color="auto" w:fill="77923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265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6522" w:themeFill="accent6"/>
      </w:tcPr>
    </w:tblStylePr>
    <w:tblStylePr w:type="lastCol">
      <w:rPr>
        <w:b/>
        <w:bCs/>
        <w:color w:val="FFFFFF" w:themeColor="background1"/>
      </w:rPr>
      <w:tblPr/>
      <w:tcPr>
        <w:tcBorders>
          <w:left w:val="nil"/>
          <w:right w:val="nil"/>
          <w:insideH w:val="nil"/>
          <w:insideV w:val="nil"/>
        </w:tcBorders>
        <w:shd w:val="clear" w:color="auto" w:fill="F265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C6330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rPr>
  </w:style>
  <w:style w:type="character" w:customStyle="1" w:styleId="MessageHeaderChar">
    <w:name w:val="Message Header Char"/>
    <w:basedOn w:val="DefaultParagraphFont"/>
    <w:link w:val="MessageHeader"/>
    <w:semiHidden/>
    <w:rsid w:val="00D20874"/>
    <w:rPr>
      <w:rFonts w:ascii="Calibri" w:eastAsiaTheme="majorEastAsia" w:hAnsi="Calibri"/>
      <w:snapToGrid w:val="0"/>
      <w:color w:val="000000" w:themeColor="text2"/>
      <w:sz w:val="24"/>
      <w:shd w:val="pct20" w:color="auto" w:fill="auto"/>
      <w:lang w:val="en-AU" w:eastAsia="ja-JP"/>
    </w:rPr>
  </w:style>
  <w:style w:type="paragraph" w:styleId="NormalWeb">
    <w:name w:val="Normal (Web)"/>
    <w:basedOn w:val="Normal"/>
    <w:uiPriority w:val="99"/>
    <w:semiHidden/>
    <w:rsid w:val="00C63303"/>
    <w:rPr>
      <w:sz w:val="24"/>
    </w:rPr>
  </w:style>
  <w:style w:type="paragraph" w:styleId="NormalIndent">
    <w:name w:val="Normal Indent"/>
    <w:basedOn w:val="Normal"/>
    <w:semiHidden/>
    <w:rsid w:val="00C63303"/>
    <w:pPr>
      <w:ind w:left="720"/>
    </w:pPr>
  </w:style>
  <w:style w:type="paragraph" w:styleId="NoteHeading">
    <w:name w:val="Note Heading"/>
    <w:basedOn w:val="Normal"/>
    <w:next w:val="Normal"/>
    <w:link w:val="NoteHeadingChar"/>
    <w:semiHidden/>
    <w:rsid w:val="00C63303"/>
    <w:rPr>
      <w:rFonts w:asciiTheme="majorHAnsi" w:hAnsiTheme="majorHAnsi" w:cstheme="majorHAnsi"/>
    </w:rPr>
  </w:style>
  <w:style w:type="character" w:customStyle="1" w:styleId="NoteHeadingChar">
    <w:name w:val="Note Heading Char"/>
    <w:basedOn w:val="DefaultParagraphFont"/>
    <w:link w:val="NoteHeading"/>
    <w:semiHidden/>
    <w:rsid w:val="00D20874"/>
    <w:rPr>
      <w:rFonts w:asciiTheme="majorHAnsi" w:eastAsia="MS Mincho" w:hAnsiTheme="majorHAnsi" w:cstheme="majorHAnsi"/>
      <w:snapToGrid w:val="0"/>
      <w:color w:val="000000" w:themeColor="text2"/>
      <w:lang w:val="en-AU" w:eastAsia="ja-JP"/>
    </w:rPr>
  </w:style>
  <w:style w:type="character" w:styleId="PlaceholderText">
    <w:name w:val="Placeholder Text"/>
    <w:basedOn w:val="DefaultParagraphFont"/>
    <w:semiHidden/>
    <w:rsid w:val="00C63303"/>
    <w:rPr>
      <w:rFonts w:asciiTheme="minorHAnsi" w:hAnsiTheme="minorHAnsi" w:cstheme="minorHAnsi"/>
      <w:color w:val="808080"/>
    </w:rPr>
  </w:style>
  <w:style w:type="paragraph" w:styleId="PlainText">
    <w:name w:val="Plain Text"/>
    <w:basedOn w:val="Normal"/>
    <w:link w:val="PlainTextChar"/>
    <w:semiHidden/>
    <w:rsid w:val="00C63303"/>
    <w:rPr>
      <w:sz w:val="21"/>
      <w:szCs w:val="21"/>
    </w:rPr>
  </w:style>
  <w:style w:type="character" w:customStyle="1" w:styleId="PlainTextChar">
    <w:name w:val="Plain Text Char"/>
    <w:basedOn w:val="DefaultParagraphFont"/>
    <w:link w:val="PlainText"/>
    <w:semiHidden/>
    <w:rsid w:val="00D20874"/>
    <w:rPr>
      <w:rFonts w:ascii="Calibri" w:eastAsia="MS Mincho" w:hAnsi="Calibri"/>
      <w:snapToGrid w:val="0"/>
      <w:color w:val="000000" w:themeColor="text2"/>
      <w:sz w:val="21"/>
      <w:szCs w:val="21"/>
      <w:lang w:val="en-AU" w:eastAsia="ja-JP"/>
    </w:rPr>
  </w:style>
  <w:style w:type="paragraph" w:styleId="Salutation">
    <w:name w:val="Salutation"/>
    <w:basedOn w:val="Normal"/>
    <w:next w:val="Normal"/>
    <w:link w:val="SalutationChar"/>
    <w:semiHidden/>
    <w:rsid w:val="00C63303"/>
  </w:style>
  <w:style w:type="character" w:customStyle="1" w:styleId="SalutationChar">
    <w:name w:val="Salutation Char"/>
    <w:basedOn w:val="DefaultParagraphFont"/>
    <w:link w:val="Salutation"/>
    <w:semiHidden/>
    <w:rsid w:val="00D20874"/>
    <w:rPr>
      <w:rFonts w:ascii="Calibri" w:eastAsia="MS Mincho" w:hAnsi="Calibri"/>
      <w:snapToGrid w:val="0"/>
      <w:color w:val="000000" w:themeColor="text2"/>
      <w:lang w:val="en-AU" w:eastAsia="ja-JP"/>
    </w:rPr>
  </w:style>
  <w:style w:type="paragraph" w:styleId="Signature">
    <w:name w:val="Signature"/>
    <w:basedOn w:val="Normal"/>
    <w:link w:val="SignatureChar"/>
    <w:semiHidden/>
    <w:rsid w:val="00C63303"/>
    <w:pPr>
      <w:ind w:left="4252"/>
    </w:pPr>
  </w:style>
  <w:style w:type="character" w:customStyle="1" w:styleId="SignatureChar">
    <w:name w:val="Signature Char"/>
    <w:basedOn w:val="DefaultParagraphFont"/>
    <w:link w:val="Signature"/>
    <w:semiHidden/>
    <w:rsid w:val="00D20874"/>
    <w:rPr>
      <w:rFonts w:ascii="Calibri" w:eastAsia="MS Mincho" w:hAnsi="Calibri"/>
      <w:snapToGrid w:val="0"/>
      <w:color w:val="000000" w:themeColor="text2"/>
      <w:lang w:val="en-AU" w:eastAsia="ja-JP"/>
    </w:rPr>
  </w:style>
  <w:style w:type="character" w:styleId="Strong">
    <w:name w:val="Strong"/>
    <w:basedOn w:val="DefaultParagraphFont"/>
    <w:semiHidden/>
    <w:rsid w:val="00C63303"/>
    <w:rPr>
      <w:rFonts w:asciiTheme="minorHAnsi" w:hAnsiTheme="minorHAnsi" w:cstheme="minorHAnsi"/>
      <w:b/>
      <w:bCs/>
    </w:rPr>
  </w:style>
  <w:style w:type="paragraph" w:styleId="Subtitle">
    <w:name w:val="Subtitle"/>
    <w:basedOn w:val="Normal"/>
    <w:next w:val="Normal"/>
    <w:link w:val="SubtitleChar"/>
    <w:rsid w:val="00314C10"/>
    <w:pPr>
      <w:numPr>
        <w:ilvl w:val="1"/>
      </w:numPr>
    </w:pPr>
    <w:rPr>
      <w:rFonts w:eastAsiaTheme="majorEastAsia"/>
      <w:b/>
      <w:iCs/>
      <w:color w:val="F26522" w:themeColor="accent1"/>
      <w:sz w:val="40"/>
    </w:rPr>
  </w:style>
  <w:style w:type="character" w:customStyle="1" w:styleId="SubtitleChar">
    <w:name w:val="Subtitle Char"/>
    <w:basedOn w:val="DefaultParagraphFont"/>
    <w:link w:val="Subtitle"/>
    <w:rsid w:val="00314C10"/>
    <w:rPr>
      <w:rFonts w:ascii="Calibri" w:eastAsiaTheme="majorEastAsia" w:hAnsi="Calibri"/>
      <w:b/>
      <w:iCs/>
      <w:snapToGrid w:val="0"/>
      <w:color w:val="F26522" w:themeColor="accent1"/>
      <w:sz w:val="40"/>
      <w:lang w:val="en-AU" w:eastAsia="ja-JP"/>
    </w:rPr>
  </w:style>
  <w:style w:type="character" w:styleId="SubtleEmphasis">
    <w:name w:val="Subtle Emphasis"/>
    <w:basedOn w:val="DefaultParagraphFont"/>
    <w:semiHidden/>
    <w:rsid w:val="00C63303"/>
    <w:rPr>
      <w:rFonts w:asciiTheme="minorHAnsi" w:hAnsiTheme="minorHAnsi" w:cstheme="minorHAnsi"/>
      <w:i/>
      <w:iCs/>
      <w:color w:val="808080" w:themeColor="text1" w:themeTint="7F"/>
    </w:rPr>
  </w:style>
  <w:style w:type="character" w:styleId="SubtleReference">
    <w:name w:val="Subtle Reference"/>
    <w:basedOn w:val="DefaultParagraphFont"/>
    <w:semiHidden/>
    <w:rsid w:val="00C63303"/>
    <w:rPr>
      <w:rFonts w:asciiTheme="minorHAnsi" w:hAnsiTheme="minorHAnsi" w:cstheme="minorHAnsi"/>
      <w:smallCaps/>
      <w:color w:val="F7A67D" w:themeColor="accent2"/>
      <w:u w:val="single"/>
    </w:rPr>
  </w:style>
  <w:style w:type="table" w:styleId="Table3Deffects1">
    <w:name w:val="Table 3D effects 1"/>
    <w:basedOn w:val="TableNormal"/>
    <w:uiPriority w:val="98"/>
    <w:rsid w:val="00C63303"/>
    <w:pPr>
      <w:adjustRightInd w:val="0"/>
      <w:snapToGrid w:val="0"/>
      <w:spacing w:after="80" w:line="240" w:lineRule="atLeast"/>
    </w:pP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C63303"/>
    <w:pPr>
      <w:adjustRightInd w:val="0"/>
      <w:snapToGrid w:val="0"/>
      <w:spacing w:after="80" w:line="240" w:lineRule="atLeast"/>
    </w:pPr>
    <w:tblPr>
      <w:tblStyleRowBandSize w:val="1"/>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C63303"/>
    <w:pPr>
      <w:adjustRightInd w:val="0"/>
      <w:snapToGrid w:val="0"/>
      <w:spacing w:after="80" w:line="240" w:lineRule="atLeast"/>
    </w:pPr>
    <w:tblPr>
      <w:tblStyleRowBandSize w:val="1"/>
      <w:tblStyleColBandSize w:val="1"/>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C63303"/>
    <w:pPr>
      <w:adjustRightInd w:val="0"/>
      <w:snapToGrid w:val="0"/>
      <w:spacing w:after="80"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C63303"/>
    <w:pPr>
      <w:adjustRightInd w:val="0"/>
      <w:snapToGrid w:val="0"/>
      <w:spacing w:after="80"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C63303"/>
    <w:pPr>
      <w:adjustRightInd w:val="0"/>
      <w:snapToGrid w:val="0"/>
      <w:spacing w:after="8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C63303"/>
    <w:pPr>
      <w:adjustRightInd w:val="0"/>
      <w:snapToGrid w:val="0"/>
      <w:spacing w:after="8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C63303"/>
    <w:pPr>
      <w:adjustRightInd w:val="0"/>
      <w:snapToGrid w:val="0"/>
      <w:spacing w:after="8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C63303"/>
    <w:pPr>
      <w:adjustRightInd w:val="0"/>
      <w:snapToGrid w:val="0"/>
      <w:spacing w:after="80" w:line="240" w:lineRule="atLeast"/>
    </w:p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C63303"/>
    <w:pPr>
      <w:adjustRightInd w:val="0"/>
      <w:snapToGrid w:val="0"/>
      <w:spacing w:after="8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C63303"/>
    <w:pPr>
      <w:adjustRightInd w:val="0"/>
      <w:snapToGrid w:val="0"/>
      <w:spacing w:after="8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C63303"/>
    <w:pPr>
      <w:adjustRightInd w:val="0"/>
      <w:snapToGrid w:val="0"/>
      <w:spacing w:after="80" w:line="240" w:lineRule="atLeast"/>
    </w:pPr>
    <w:rPr>
      <w:b/>
      <w:bCs/>
    </w:r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C63303"/>
    <w:pPr>
      <w:adjustRightInd w:val="0"/>
      <w:snapToGrid w:val="0"/>
      <w:spacing w:after="8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C63303"/>
    <w:pPr>
      <w:adjustRightInd w:val="0"/>
      <w:snapToGrid w:val="0"/>
      <w:spacing w:after="80" w:line="240" w:lineRule="atLeast"/>
    </w:p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C63303"/>
    <w:pPr>
      <w:adjustRightInd w:val="0"/>
      <w:snapToGrid w:val="0"/>
      <w:spacing w:after="8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C63303"/>
    <w:pPr>
      <w:adjustRightInd w:val="0"/>
      <w:snapToGrid w:val="0"/>
      <w:spacing w:after="80" w:line="240" w:lineRule="atLeast"/>
    </w:p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C63303"/>
    <w:pPr>
      <w:adjustRightInd w:val="0"/>
      <w:snapToGrid w:val="0"/>
      <w:spacing w:after="8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C63303"/>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C63303"/>
    <w:pPr>
      <w:adjustRightInd w:val="0"/>
      <w:snapToGrid w:val="0"/>
      <w:spacing w:after="80" w:line="240" w:lineRule="atLeast"/>
    </w:p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C63303"/>
    <w:pPr>
      <w:adjustRightInd w:val="0"/>
      <w:snapToGrid w:val="0"/>
      <w:spacing w:after="8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C63303"/>
    <w:pPr>
      <w:adjustRightInd w:val="0"/>
      <w:snapToGrid w:val="0"/>
      <w:spacing w:after="8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C63303"/>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C63303"/>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C63303"/>
    <w:pPr>
      <w:adjustRightInd w:val="0"/>
      <w:snapToGrid w:val="0"/>
      <w:spacing w:after="8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C63303"/>
    <w:pPr>
      <w:adjustRightInd w:val="0"/>
      <w:snapToGrid w:val="0"/>
      <w:spacing w:after="8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C63303"/>
    <w:pPr>
      <w:adjustRightInd w:val="0"/>
      <w:snapToGrid w:val="0"/>
      <w:spacing w:after="80"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C63303"/>
    <w:pPr>
      <w:adjustRightInd w:val="0"/>
      <w:snapToGrid w:val="0"/>
      <w:spacing w:after="80"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C63303"/>
    <w:pPr>
      <w:adjustRightInd w:val="0"/>
      <w:snapToGrid w:val="0"/>
      <w:spacing w:after="80"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C63303"/>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C63303"/>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C63303"/>
    <w:pPr>
      <w:adjustRightInd w:val="0"/>
      <w:snapToGrid w:val="0"/>
      <w:spacing w:after="8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C63303"/>
    <w:pPr>
      <w:adjustRightInd w:val="0"/>
      <w:snapToGrid w:val="0"/>
      <w:spacing w:after="8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C63303"/>
    <w:pPr>
      <w:adjustRightInd w:val="0"/>
      <w:snapToGrid w:val="0"/>
      <w:spacing w:after="8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63303"/>
    <w:pPr>
      <w:ind w:left="200" w:hanging="200"/>
    </w:pPr>
  </w:style>
  <w:style w:type="table" w:styleId="TableProfessional">
    <w:name w:val="Table Professional"/>
    <w:basedOn w:val="TableNormal"/>
    <w:uiPriority w:val="98"/>
    <w:rsid w:val="00C63303"/>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C63303"/>
    <w:pPr>
      <w:adjustRightInd w:val="0"/>
      <w:snapToGrid w:val="0"/>
      <w:spacing w:after="80"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C63303"/>
    <w:pPr>
      <w:adjustRightInd w:val="0"/>
      <w:snapToGrid w:val="0"/>
      <w:spacing w:after="80"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C63303"/>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C63303"/>
    <w:pPr>
      <w:adjustRightInd w:val="0"/>
      <w:snapToGrid w:val="0"/>
      <w:spacing w:after="80"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C63303"/>
    <w:pPr>
      <w:adjustRightInd w:val="0"/>
      <w:snapToGrid w:val="0"/>
      <w:spacing w:after="80"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C63303"/>
    <w:pPr>
      <w:adjustRightInd w:val="0"/>
      <w:snapToGrid w:val="0"/>
      <w:spacing w:after="8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C63303"/>
    <w:pPr>
      <w:adjustRightInd w:val="0"/>
      <w:snapToGrid w:val="0"/>
      <w:spacing w:after="8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C63303"/>
    <w:pPr>
      <w:adjustRightInd w:val="0"/>
      <w:snapToGrid w:val="0"/>
      <w:spacing w:after="8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C63303"/>
    <w:pPr>
      <w:adjustRightInd w:val="0"/>
      <w:snapToGrid w:val="0"/>
      <w:spacing w:after="8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TOAHeading">
    <w:name w:val="toa heading"/>
    <w:basedOn w:val="Normal"/>
    <w:next w:val="Normal"/>
    <w:semiHidden/>
    <w:rsid w:val="00C63303"/>
    <w:rPr>
      <w:rFonts w:asciiTheme="majorHAnsi" w:eastAsiaTheme="majorEastAsia" w:hAnsiTheme="majorHAnsi" w:cstheme="majorHAnsi"/>
      <w:b/>
      <w:bCs/>
      <w:sz w:val="24"/>
    </w:rPr>
  </w:style>
  <w:style w:type="paragraph" w:styleId="TOC5">
    <w:name w:val="toc 5"/>
    <w:basedOn w:val="Normal"/>
    <w:next w:val="Normal"/>
    <w:autoRedefine/>
    <w:semiHidden/>
    <w:rsid w:val="00C63303"/>
    <w:pPr>
      <w:spacing w:after="100"/>
      <w:ind w:left="800"/>
    </w:pPr>
  </w:style>
  <w:style w:type="paragraph" w:styleId="TOC6">
    <w:name w:val="toc 6"/>
    <w:basedOn w:val="Normal"/>
    <w:next w:val="Normal"/>
    <w:autoRedefine/>
    <w:semiHidden/>
    <w:rsid w:val="00C63303"/>
    <w:pPr>
      <w:spacing w:after="100"/>
      <w:ind w:left="1000"/>
    </w:pPr>
  </w:style>
  <w:style w:type="paragraph" w:styleId="TOC7">
    <w:name w:val="toc 7"/>
    <w:basedOn w:val="Normal"/>
    <w:next w:val="Normal"/>
    <w:autoRedefine/>
    <w:semiHidden/>
    <w:rsid w:val="00C63303"/>
    <w:pPr>
      <w:spacing w:after="100"/>
      <w:ind w:left="1200"/>
    </w:pPr>
  </w:style>
  <w:style w:type="paragraph" w:styleId="TOC8">
    <w:name w:val="toc 8"/>
    <w:basedOn w:val="Normal"/>
    <w:next w:val="Normal"/>
    <w:autoRedefine/>
    <w:semiHidden/>
    <w:rsid w:val="00C63303"/>
    <w:pPr>
      <w:spacing w:after="100"/>
      <w:ind w:left="1400"/>
    </w:pPr>
  </w:style>
  <w:style w:type="paragraph" w:styleId="TOC9">
    <w:name w:val="toc 9"/>
    <w:basedOn w:val="Normal"/>
    <w:next w:val="Normal"/>
    <w:autoRedefine/>
    <w:semiHidden/>
    <w:rsid w:val="00C63303"/>
    <w:pPr>
      <w:spacing w:after="100"/>
      <w:ind w:left="1600"/>
    </w:pPr>
  </w:style>
  <w:style w:type="table" w:customStyle="1" w:styleId="LayoutGrid">
    <w:name w:val="Layout Grid"/>
    <w:basedOn w:val="TableNormal"/>
    <w:uiPriority w:val="99"/>
    <w:rsid w:val="00EE3284"/>
    <w:rPr>
      <w:rFonts w:asciiTheme="minorHAnsi" w:hAnsiTheme="minorHAnsi"/>
    </w:rPr>
    <w:tblPr>
      <w:tblCellMar>
        <w:left w:w="0" w:type="dxa"/>
        <w:right w:w="0" w:type="dxa"/>
      </w:tblCellMar>
    </w:tblPr>
  </w:style>
  <w:style w:type="character" w:customStyle="1" w:styleId="HeaderChar">
    <w:name w:val="Header Char"/>
    <w:basedOn w:val="DefaultParagraphFont"/>
    <w:link w:val="Header"/>
    <w:uiPriority w:val="9"/>
    <w:rsid w:val="00D20874"/>
    <w:rPr>
      <w:rFonts w:ascii="Calibri" w:eastAsia="MS Mincho" w:hAnsi="Calibri"/>
      <w:snapToGrid w:val="0"/>
      <w:sz w:val="16"/>
      <w:lang w:val="en-AU" w:eastAsia="ja-JP"/>
    </w:rPr>
  </w:style>
  <w:style w:type="paragraph" w:customStyle="1" w:styleId="Headline">
    <w:name w:val="Headline"/>
    <w:basedOn w:val="Normal"/>
    <w:next w:val="Normal"/>
    <w:semiHidden/>
    <w:qFormat/>
    <w:rsid w:val="008112BE"/>
    <w:pPr>
      <w:framePr w:w="10206" w:h="1758" w:hRule="exact" w:vSpace="284" w:wrap="around" w:vAnchor="text" w:hAnchor="text" w:y="1"/>
      <w:pBdr>
        <w:top w:val="dotted" w:sz="12" w:space="15" w:color="000000" w:themeColor="text2"/>
        <w:bottom w:val="dotted" w:sz="12" w:space="0" w:color="000000" w:themeColor="text2"/>
      </w:pBdr>
    </w:pPr>
    <w:rPr>
      <w:caps/>
      <w:sz w:val="50"/>
    </w:rPr>
  </w:style>
  <w:style w:type="paragraph" w:customStyle="1" w:styleId="BoldText">
    <w:name w:val="Bold Text"/>
    <w:basedOn w:val="Normal"/>
    <w:qFormat/>
    <w:rsid w:val="00F36DD6"/>
    <w:pPr>
      <w:tabs>
        <w:tab w:val="left" w:pos="397"/>
      </w:tabs>
    </w:pPr>
    <w:rPr>
      <w:rFonts w:cstheme="majorHAnsi"/>
      <w:b/>
    </w:rPr>
  </w:style>
  <w:style w:type="numbering" w:customStyle="1" w:styleId="ListBullets">
    <w:name w:val="ListBullets"/>
    <w:uiPriority w:val="99"/>
    <w:rsid w:val="00FC6CDB"/>
    <w:pPr>
      <w:numPr>
        <w:numId w:val="10"/>
      </w:numPr>
    </w:pPr>
  </w:style>
  <w:style w:type="numbering" w:customStyle="1" w:styleId="AppendixList">
    <w:name w:val="Appendix List"/>
    <w:uiPriority w:val="99"/>
    <w:rsid w:val="00A52CF9"/>
    <w:pPr>
      <w:numPr>
        <w:numId w:val="11"/>
      </w:numPr>
    </w:pPr>
  </w:style>
  <w:style w:type="numbering" w:customStyle="1" w:styleId="TableList">
    <w:name w:val="TableList"/>
    <w:uiPriority w:val="99"/>
    <w:rsid w:val="00EE693E"/>
    <w:pPr>
      <w:numPr>
        <w:numId w:val="12"/>
      </w:numPr>
    </w:pPr>
  </w:style>
  <w:style w:type="character" w:customStyle="1" w:styleId="Mention1">
    <w:name w:val="Mention1"/>
    <w:basedOn w:val="DefaultParagraphFont"/>
    <w:semiHidden/>
    <w:unhideWhenUsed/>
    <w:rsid w:val="00CF4088"/>
    <w:rPr>
      <w:color w:val="2B579A"/>
      <w:shd w:val="clear" w:color="auto" w:fill="E6E6E6"/>
    </w:rPr>
  </w:style>
  <w:style w:type="paragraph" w:customStyle="1" w:styleId="FooterTextBold">
    <w:name w:val="Footer Text Bold"/>
    <w:basedOn w:val="Footer"/>
    <w:link w:val="FooterTextBoldChar"/>
    <w:uiPriority w:val="11"/>
    <w:qFormat/>
    <w:rsid w:val="007F7265"/>
    <w:pPr>
      <w:adjustRightInd w:val="0"/>
      <w:snapToGrid w:val="0"/>
    </w:pPr>
    <w:rPr>
      <w:rFonts w:cstheme="majorHAnsi"/>
      <w:b/>
    </w:rPr>
  </w:style>
  <w:style w:type="numbering" w:customStyle="1" w:styleId="NumberedHeadings">
    <w:name w:val="Numbered Headings"/>
    <w:uiPriority w:val="99"/>
    <w:rsid w:val="00176E3C"/>
    <w:pPr>
      <w:numPr>
        <w:numId w:val="14"/>
      </w:numPr>
    </w:pPr>
  </w:style>
  <w:style w:type="paragraph" w:customStyle="1" w:styleId="IntroCopy">
    <w:name w:val="IntroCopy"/>
    <w:basedOn w:val="Normal"/>
    <w:semiHidden/>
    <w:rsid w:val="00ED28D2"/>
    <w:pPr>
      <w:framePr w:w="10206" w:vSpace="57" w:wrap="around" w:hAnchor="margin" w:y="1362" w:anchorLock="1"/>
      <w:spacing w:after="1100" w:line="360" w:lineRule="atLeast"/>
      <w:ind w:right="1701"/>
      <w:contextualSpacing/>
    </w:pPr>
    <w:rPr>
      <w:color w:val="F26522" w:themeColor="accent1"/>
      <w:sz w:val="28"/>
    </w:rPr>
  </w:style>
  <w:style w:type="paragraph" w:customStyle="1" w:styleId="WebAddress">
    <w:name w:val="Web Address"/>
    <w:basedOn w:val="Normal"/>
    <w:link w:val="WebAddressChar"/>
    <w:uiPriority w:val="12"/>
    <w:qFormat/>
    <w:rsid w:val="008D2EFB"/>
    <w:pPr>
      <w:jc w:val="center"/>
    </w:pPr>
    <w:rPr>
      <w:rFonts w:cstheme="majorHAnsi"/>
      <w:b/>
      <w:sz w:val="28"/>
    </w:rPr>
  </w:style>
  <w:style w:type="character" w:customStyle="1" w:styleId="FooterChar">
    <w:name w:val="Footer Char"/>
    <w:link w:val="Footer"/>
    <w:uiPriority w:val="10"/>
    <w:rsid w:val="00D20874"/>
    <w:rPr>
      <w:rFonts w:ascii="Calibri" w:eastAsia="MS Mincho" w:hAnsi="Calibri"/>
      <w:snapToGrid w:val="0"/>
      <w:color w:val="000000" w:themeColor="text2"/>
      <w:sz w:val="18"/>
      <w:lang w:val="en-AU" w:eastAsia="ja-JP"/>
    </w:rPr>
  </w:style>
  <w:style w:type="numbering" w:customStyle="1" w:styleId="TableBulletList">
    <w:name w:val="TableBullet List"/>
    <w:uiPriority w:val="99"/>
    <w:rsid w:val="00250974"/>
    <w:pPr>
      <w:numPr>
        <w:numId w:val="15"/>
      </w:numPr>
    </w:pPr>
  </w:style>
  <w:style w:type="paragraph" w:styleId="Date">
    <w:name w:val="Date"/>
    <w:basedOn w:val="Normal"/>
    <w:next w:val="Normal"/>
    <w:link w:val="DateChar"/>
    <w:uiPriority w:val="4"/>
    <w:qFormat/>
    <w:rsid w:val="008D2EFB"/>
    <w:pPr>
      <w:contextualSpacing/>
    </w:pPr>
    <w:rPr>
      <w:b/>
      <w:color w:val="auto"/>
      <w:sz w:val="28"/>
    </w:rPr>
  </w:style>
  <w:style w:type="character" w:customStyle="1" w:styleId="DateChar">
    <w:name w:val="Date Char"/>
    <w:basedOn w:val="DefaultParagraphFont"/>
    <w:link w:val="Date"/>
    <w:uiPriority w:val="4"/>
    <w:rsid w:val="008D2EFB"/>
    <w:rPr>
      <w:rFonts w:ascii="Calibri" w:eastAsia="MS Mincho" w:hAnsi="Calibri"/>
      <w:b/>
      <w:snapToGrid w:val="0"/>
      <w:sz w:val="28"/>
      <w:lang w:val="en-AU" w:eastAsia="ja-JP"/>
    </w:rPr>
  </w:style>
  <w:style w:type="character" w:customStyle="1" w:styleId="FooterTextBoldChar">
    <w:name w:val="Footer Text Bold Char"/>
    <w:basedOn w:val="FooterChar"/>
    <w:link w:val="FooterTextBold"/>
    <w:uiPriority w:val="11"/>
    <w:rsid w:val="00D20874"/>
    <w:rPr>
      <w:rFonts w:ascii="Calibri" w:eastAsia="MS Mincho" w:hAnsi="Calibri" w:cstheme="majorHAnsi"/>
      <w:b/>
      <w:snapToGrid w:val="0"/>
      <w:color w:val="000000" w:themeColor="text2"/>
      <w:sz w:val="18"/>
      <w:lang w:val="en-AU" w:eastAsia="ja-JP"/>
    </w:rPr>
  </w:style>
  <w:style w:type="character" w:customStyle="1" w:styleId="WebAddressChar">
    <w:name w:val="Web Address Char"/>
    <w:basedOn w:val="FooterChar"/>
    <w:link w:val="WebAddress"/>
    <w:uiPriority w:val="12"/>
    <w:rsid w:val="008D2EFB"/>
    <w:rPr>
      <w:rFonts w:ascii="Calibri" w:eastAsia="MS Mincho" w:hAnsi="Calibri" w:cstheme="majorHAnsi"/>
      <w:b/>
      <w:snapToGrid w:val="0"/>
      <w:color w:val="000000" w:themeColor="text2"/>
      <w:sz w:val="28"/>
      <w:lang w:val="en-AU" w:eastAsia="ja-JP"/>
    </w:rPr>
  </w:style>
  <w:style w:type="paragraph" w:styleId="Title">
    <w:name w:val="Title"/>
    <w:basedOn w:val="Normal"/>
    <w:next w:val="Normal"/>
    <w:link w:val="TitleChar"/>
    <w:rsid w:val="008D2EFB"/>
    <w:rPr>
      <w:rFonts w:eastAsiaTheme="majorEastAsia" w:cstheme="majorBidi"/>
      <w:b/>
      <w:color w:val="F26522" w:themeColor="accent1"/>
      <w:kern w:val="28"/>
      <w:sz w:val="56"/>
      <w:szCs w:val="56"/>
    </w:rPr>
  </w:style>
  <w:style w:type="character" w:customStyle="1" w:styleId="TitleChar">
    <w:name w:val="Title Char"/>
    <w:basedOn w:val="DefaultParagraphFont"/>
    <w:link w:val="Title"/>
    <w:rsid w:val="008D2EFB"/>
    <w:rPr>
      <w:rFonts w:ascii="Calibri" w:eastAsiaTheme="majorEastAsia" w:hAnsi="Calibri" w:cstheme="majorBidi"/>
      <w:b/>
      <w:snapToGrid w:val="0"/>
      <w:color w:val="F26522" w:themeColor="accent1"/>
      <w:kern w:val="28"/>
      <w:sz w:val="56"/>
      <w:szCs w:val="56"/>
      <w:lang w:val="en-AU" w:eastAsia="ja-JP"/>
    </w:rPr>
  </w:style>
  <w:style w:type="paragraph" w:customStyle="1" w:styleId="Address">
    <w:name w:val="Address"/>
    <w:basedOn w:val="Normal"/>
    <w:qFormat/>
    <w:rsid w:val="008D2EFB"/>
    <w:rPr>
      <w:rFonts w:cstheme="majorHAnsi"/>
    </w:rPr>
  </w:style>
  <w:style w:type="character" w:styleId="UnresolvedMention">
    <w:name w:val="Unresolved Mention"/>
    <w:basedOn w:val="DefaultParagraphFont"/>
    <w:uiPriority w:val="99"/>
    <w:semiHidden/>
    <w:unhideWhenUsed/>
    <w:rsid w:val="00484EFD"/>
    <w:rPr>
      <w:color w:val="808080"/>
      <w:shd w:val="clear" w:color="auto" w:fill="E6E6E6"/>
    </w:rPr>
  </w:style>
  <w:style w:type="paragraph" w:customStyle="1" w:styleId="Details">
    <w:name w:val="Details"/>
    <w:basedOn w:val="Normal"/>
    <w:qFormat/>
    <w:rsid w:val="004C7604"/>
    <w:rPr>
      <w:b/>
      <w:color w:val="F26522" w:themeColor="accent1"/>
      <w:sz w:val="28"/>
    </w:rPr>
  </w:style>
  <w:style w:type="table" w:styleId="TableGridLight">
    <w:name w:val="Grid Table Light"/>
    <w:basedOn w:val="TableNormal"/>
    <w:uiPriority w:val="40"/>
    <w:rsid w:val="006E58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20465"/>
    <w:pPr>
      <w:adjustRightInd/>
      <w:snapToGrid/>
      <w:spacing w:after="200"/>
      <w:ind w:left="720"/>
      <w:contextualSpacing/>
    </w:pPr>
    <w:rPr>
      <w:rFonts w:asciiTheme="minorHAnsi" w:eastAsiaTheme="minorHAnsi" w:hAnsiTheme="minorHAnsi" w:cstheme="minorBidi"/>
      <w:snapToGrid/>
      <w:color w:val="auto"/>
      <w:sz w:val="24"/>
      <w:szCs w:val="24"/>
      <w:lang w:val="en-US" w:eastAsia="en-US"/>
    </w:rPr>
  </w:style>
  <w:style w:type="paragraph" w:customStyle="1" w:styleId="textbox">
    <w:name w:val="textbox"/>
    <w:basedOn w:val="Normal"/>
    <w:rsid w:val="00D20465"/>
    <w:pPr>
      <w:adjustRightInd/>
      <w:snapToGrid/>
      <w:spacing w:beforeLines="1"/>
    </w:pPr>
    <w:rPr>
      <w:rFonts w:ascii="Times" w:eastAsiaTheme="minorHAnsi" w:hAnsi="Times" w:cstheme="minorBidi"/>
      <w:snapToGrid/>
      <w:color w:val="auto"/>
      <w:szCs w:val="24"/>
      <w:lang w:eastAsia="en-US"/>
    </w:rPr>
  </w:style>
  <w:style w:type="paragraph" w:customStyle="1" w:styleId="Default">
    <w:name w:val="Default"/>
    <w:rsid w:val="00EC450D"/>
    <w:pPr>
      <w:autoSpaceDE w:val="0"/>
      <w:autoSpaceDN w:val="0"/>
      <w:adjustRightInd w:val="0"/>
    </w:pPr>
    <w:rPr>
      <w:rFonts w:ascii="Calibri" w:hAnsi="Calibri" w:cs="Calibri"/>
      <w:color w:val="000000"/>
      <w:sz w:val="24"/>
      <w:szCs w:val="24"/>
      <w:lang w:val="en-AU"/>
    </w:rPr>
  </w:style>
  <w:style w:type="character" w:customStyle="1" w:styleId="A7">
    <w:name w:val="A7"/>
    <w:uiPriority w:val="99"/>
    <w:rsid w:val="00954F47"/>
    <w:rPr>
      <w:rFonts w:cs="BentonSans Book"/>
      <w:color w:val="000000"/>
      <w:sz w:val="11"/>
      <w:szCs w:val="11"/>
    </w:rPr>
  </w:style>
  <w:style w:type="paragraph" w:customStyle="1" w:styleId="hidden-xs">
    <w:name w:val="hidden-xs"/>
    <w:basedOn w:val="Normal"/>
    <w:rsid w:val="00453C42"/>
    <w:pPr>
      <w:adjustRightInd/>
      <w:snapToGrid/>
      <w:spacing w:before="100" w:beforeAutospacing="1" w:after="100" w:afterAutospacing="1"/>
    </w:pPr>
    <w:rPr>
      <w:rFonts w:ascii="Times New Roman" w:eastAsia="Times New Roman" w:hAnsi="Times New Roman"/>
      <w:snapToGrid/>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485466">
      <w:bodyDiv w:val="1"/>
      <w:marLeft w:val="0"/>
      <w:marRight w:val="0"/>
      <w:marTop w:val="0"/>
      <w:marBottom w:val="0"/>
      <w:divBdr>
        <w:top w:val="none" w:sz="0" w:space="0" w:color="auto"/>
        <w:left w:val="none" w:sz="0" w:space="0" w:color="auto"/>
        <w:bottom w:val="none" w:sz="0" w:space="0" w:color="auto"/>
        <w:right w:val="none" w:sz="0" w:space="0" w:color="auto"/>
      </w:divBdr>
    </w:div>
    <w:div w:id="912397748">
      <w:bodyDiv w:val="1"/>
      <w:marLeft w:val="0"/>
      <w:marRight w:val="0"/>
      <w:marTop w:val="0"/>
      <w:marBottom w:val="0"/>
      <w:divBdr>
        <w:top w:val="none" w:sz="0" w:space="0" w:color="auto"/>
        <w:left w:val="none" w:sz="0" w:space="0" w:color="auto"/>
        <w:bottom w:val="none" w:sz="0" w:space="0" w:color="auto"/>
        <w:right w:val="none" w:sz="0" w:space="0" w:color="auto"/>
      </w:divBdr>
    </w:div>
    <w:div w:id="1096559490">
      <w:bodyDiv w:val="1"/>
      <w:marLeft w:val="0"/>
      <w:marRight w:val="0"/>
      <w:marTop w:val="0"/>
      <w:marBottom w:val="0"/>
      <w:divBdr>
        <w:top w:val="none" w:sz="0" w:space="0" w:color="auto"/>
        <w:left w:val="none" w:sz="0" w:space="0" w:color="auto"/>
        <w:bottom w:val="none" w:sz="0" w:space="0" w:color="auto"/>
        <w:right w:val="none" w:sz="0" w:space="0" w:color="auto"/>
      </w:divBdr>
    </w:div>
    <w:div w:id="209442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customXml" Target="../customXml/item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www.afao.org.au/our-work/hiv-bluepr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afao.org.au/our-work/hiv-blueprint/" TargetMode="Externa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afao.org.au" TargetMode="Externa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orer\Dropbox%20(AFAO)\AFAO%20team%20folder\Templates\2018%20Templates%20to%20be%20approved\Round%202\Submission_AFAO.dotm" TargetMode="External"/></Relationships>
</file>

<file path=word/theme/theme1.xml><?xml version="1.0" encoding="utf-8"?>
<a:theme xmlns:a="http://schemas.openxmlformats.org/drawingml/2006/main" name="Office Theme">
  <a:themeElements>
    <a:clrScheme name="AFAO_Colours">
      <a:dk1>
        <a:srgbClr val="000000"/>
      </a:dk1>
      <a:lt1>
        <a:srgbClr val="FFFFFF"/>
      </a:lt1>
      <a:dk2>
        <a:srgbClr val="000000"/>
      </a:dk2>
      <a:lt2>
        <a:srgbClr val="FFFFFF"/>
      </a:lt2>
      <a:accent1>
        <a:srgbClr val="F26522"/>
      </a:accent1>
      <a:accent2>
        <a:srgbClr val="F7A67D"/>
      </a:accent2>
      <a:accent3>
        <a:srgbClr val="D3E5ED"/>
      </a:accent3>
      <a:accent4>
        <a:srgbClr val="E7F1F5"/>
      </a:accent4>
      <a:accent5>
        <a:srgbClr val="77923B"/>
      </a:accent5>
      <a:accent6>
        <a:srgbClr val="F26522"/>
      </a:accent6>
      <a:hlink>
        <a:srgbClr val="000000"/>
      </a:hlink>
      <a:folHlink>
        <a:srgbClr val="000000"/>
      </a:folHlink>
    </a:clrScheme>
    <a:fontScheme name="AFAO_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AFAO" insertBeforeMso="TabHome">
        <group id="customGroup" label="Styles">
          <button idMso="StylesPane" label="View Styles" size="large" imageMso="ChangeStylesMenu"/>
          <separator id="styleSep"/>
          <button idMso="StyleNormal" visible="true" size="large" label="Normal" imageMso="AlignLeft"/>
          <separator id="separator1"/>
          <button idMso="Heading1Apply" size="normal" label="Heading 1" imageMso="_1"/>
          <button idMso="Heading2Apply" size="normal" label="Heading 2" imageMso="_2"/>
          <menu id="MenuStyles" label="Other Styles" size="normal" imageMso="Bullets">
            <toggleButton idMso="Bold" label="Bold" imageMso="Bold"/>
            <toggleButton idMso="Italic" label="Italic" imageMso="Italic"/>
            <toggleButton idMso="Underline" label="Underline" imageMso="Underline"/>
          </menu>
          <separator id="test"/>
          <menu id="SplitMenuBullet" label="Bullets" size="normal" imageMso="Bullets">
            <button id="Style_List_Bullet_1" label="Bullets Level 1" onAction="RibbonXOnAction" tag="ApplyStyle_List_Bullet" imageMso="Bullets"/>
            <button id="Style_List_Bullet_2" label="Bullets Level 2" onAction="RibbonXOnAction" tag="ApplyStyle_List_Bullet_2" imageMso="Bullets"/>
          </menu>
          <menu id="SplitMenuNumber" label="Numbers" size="normal" imageMso="Numbering">
            <button id="Style_List_Number_1" label="Numbers Level 1" onAction="RibbonXOnAction" tag="ApplyStyle_List_Number" imageMso="Numbering"/>
            <button id="Style_List_Number_2" label="Numbers Level 2" onAction="RibbonXOnAction" tag="ApplyStyle_List_Number_2" imageMso="Numbering"/>
          </menu>
          <button id="Style_Hyperlink" label="Hyperlink" onAction="RibbonXOnAction" tag="ApplyStyle_Hyperlink" imageMso="Hyperlink"/>
          <dialogBoxLauncher>
            <button idMso="StylesPane"/>
          </dialogBoxLauncher>
        </group>
        <group id="customGroup3" label="Tools">
          <button id="PasteUnformatted" label="Paste Unformatted" size="large" onAction="PasteUnformatted"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reasury Document" ma:contentTypeID="0x010100C1F664D0940F85469AA434981483399000F4DE3D0581DC214CAE2C0C5F81A0F4A1" ma:contentTypeVersion="17664" ma:contentTypeDescription="" ma:contentTypeScope="" ma:versionID="0efec51d07866157077ea6209c21a3eb">
  <xsd:schema xmlns:xsd="http://www.w3.org/2001/XMLSchema" xmlns:xs="http://www.w3.org/2001/XMLSchema" xmlns:p="http://schemas.microsoft.com/office/2006/metadata/properties" xmlns:ns1="http://schemas.microsoft.com/sharepoint/v3" xmlns:ns2="0f563589-9cf9-4143-b1eb-fb0534803d38" xmlns:ns3="768d4202-dccb-4ec8-a008-7abfadedbb89" targetNamespace="http://schemas.microsoft.com/office/2006/metadata/properties" ma:root="true" ma:fieldsID="8d642d00000b9e0bea28e7de4a21388a" ns1:_="" ns2:_="" ns3:_="">
    <xsd:import namespace="http://schemas.microsoft.com/sharepoint/v3"/>
    <xsd:import namespace="0f563589-9cf9-4143-b1eb-fb0534803d38"/>
    <xsd:import namespace="768d4202-dccb-4ec8-a008-7abfadedbb89"/>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744a181c-ef96-49fb-bb25-caaa70f3be67}" ma:internalName="TaxCatchAll" ma:showField="CatchAllData" ma:web="768d4202-dccb-4ec8-a008-7abfadedbb8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44a181c-ef96-49fb-bb25-caaa70f3be67}" ma:internalName="TaxCatchAllLabel" ma:readOnly="true" ma:showField="CatchAllDataLabel" ma:web="768d4202-dccb-4ec8-a008-7abfadedbb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8d4202-dccb-4ec8-a008-7abfadedbb89"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8733 - Destroy 10 years after action completed|18609896-7c96-418c-bbc1-db3751e97ee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C1F664D0940F85469AA4349814833990|1757814118" UniqueId="99e9c385-4551-4564-9f26-636b8fa6da1c">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768d4202-dccb-4ec8-a008-7abfadedbb89">
      <Terms xmlns="http://schemas.microsoft.com/office/infopath/2007/PartnerControls">
        <TermInfo xmlns="http://schemas.microsoft.com/office/infopath/2007/PartnerControls">
          <TermName xmlns="http://schemas.microsoft.com/office/infopath/2007/PartnerControls">TSY RA-8733 - Destroy 10 years after action completed</TermName>
          <TermId xmlns="http://schemas.microsoft.com/office/infopath/2007/PartnerControls">18609896-7c96-418c-bbc1-db3751e97ee3</TermId>
        </TermInfo>
      </Terms>
    </lb508a4dc5e84436a0fe496b536466aa>
    <_dlc_DocId xmlns="0f563589-9cf9-4143-b1eb-fb0534803d38">2019MINS-957875958-25</_dlc_DocId>
    <TaxCatchAll xmlns="0f563589-9cf9-4143-b1eb-fb0534803d38">
      <Value>2</Value>
    </TaxCatchAll>
    <_dlc_DocIdUrl xmlns="0f563589-9cf9-4143-b1eb-fb0534803d38">
      <Url>http://tweb/sites/mins/activity/prebudget/_layouts/15/DocIdRedir.aspx?ID=2019MINS-957875958-25</Url>
      <Description>2019MINS-957875958-25</Description>
    </_dlc_DocIdUrl>
  </documentManagement>
</p:properties>
</file>

<file path=customXml/itemProps1.xml><?xml version="1.0" encoding="utf-8"?>
<ds:datastoreItem xmlns:ds="http://schemas.openxmlformats.org/officeDocument/2006/customXml" ds:itemID="{119370F2-11D4-4DD1-8E3D-2209738764BE}">
  <ds:schemaRefs>
    <ds:schemaRef ds:uri="http://schemas.openxmlformats.org/officeDocument/2006/bibliography"/>
  </ds:schemaRefs>
</ds:datastoreItem>
</file>

<file path=customXml/itemProps2.xml><?xml version="1.0" encoding="utf-8"?>
<ds:datastoreItem xmlns:ds="http://schemas.openxmlformats.org/officeDocument/2006/customXml" ds:itemID="{B3E80411-A1B9-4B93-B5C5-5E768DBCE140}"/>
</file>

<file path=customXml/itemProps3.xml><?xml version="1.0" encoding="utf-8"?>
<ds:datastoreItem xmlns:ds="http://schemas.openxmlformats.org/officeDocument/2006/customXml" ds:itemID="{99CFBE29-2974-4A3A-A38F-AEC6787A15DA}"/>
</file>

<file path=customXml/itemProps4.xml><?xml version="1.0" encoding="utf-8"?>
<ds:datastoreItem xmlns:ds="http://schemas.openxmlformats.org/officeDocument/2006/customXml" ds:itemID="{BF08AE16-599C-4829-A255-6504F731F2A0}"/>
</file>

<file path=customXml/itemProps5.xml><?xml version="1.0" encoding="utf-8"?>
<ds:datastoreItem xmlns:ds="http://schemas.openxmlformats.org/officeDocument/2006/customXml" ds:itemID="{819F590E-01F4-4160-BA55-4FBEF74C9D60}"/>
</file>

<file path=customXml/itemProps6.xml><?xml version="1.0" encoding="utf-8"?>
<ds:datastoreItem xmlns:ds="http://schemas.openxmlformats.org/officeDocument/2006/customXml" ds:itemID="{15302794-88FC-4BC5-8B87-06E1D4BB0E56}"/>
</file>

<file path=docProps/app.xml><?xml version="1.0" encoding="utf-8"?>
<Properties xmlns="http://schemas.openxmlformats.org/officeDocument/2006/extended-properties" xmlns:vt="http://schemas.openxmlformats.org/officeDocument/2006/docPropsVTypes">
  <Template>Submission_AFAO</Template>
  <TotalTime>0</TotalTime>
  <Pages>23</Pages>
  <Words>7407</Words>
  <Characters>42223</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AFAO</Company>
  <LinksUpToDate>false</LinksUpToDate>
  <CharactersWithSpaces>49531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Storer</dc:creator>
  <cp:lastModifiedBy>Daniel Storer</cp:lastModifiedBy>
  <cp:revision>2</cp:revision>
  <cp:lastPrinted>2018-12-19T22:08:00Z</cp:lastPrinted>
  <dcterms:created xsi:type="dcterms:W3CDTF">2018-12-19T22:08:00Z</dcterms:created>
  <dcterms:modified xsi:type="dcterms:W3CDTF">2018-12-19T22:08:00Z</dcterms:modified>
  <cp:category>Submission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ct_AFAO_Name">
    <vt:lpwstr>Darryl O'Donnell</vt:lpwstr>
  </property>
  <property fmtid="{D5CDD505-2E9C-101B-9397-08002B2CF9AE}" pid="3" name="Contact_AFAO_Address">
    <vt:lpwstr>Level 1, 222 King St Newtown NSW 2042</vt:lpwstr>
  </property>
  <property fmtid="{D5CDD505-2E9C-101B-9397-08002B2CF9AE}" pid="4" name="Contact_AFAO_Telephone">
    <vt:lpwstr>+61 2 9557 9399</vt:lpwstr>
  </property>
  <property fmtid="{D5CDD505-2E9C-101B-9397-08002B2CF9AE}" pid="5" name="Contact_AFAO_Fax">
    <vt:lpwstr>Fax</vt:lpwstr>
  </property>
  <property fmtid="{D5CDD505-2E9C-101B-9397-08002B2CF9AE}" pid="6" name="Contact_AFAO_Email">
    <vt:lpwstr>darryl.o'donnell@afao.org.au</vt:lpwstr>
  </property>
  <property fmtid="{D5CDD505-2E9C-101B-9397-08002B2CF9AE}" pid="7" name="Contact_NAPWHA_Name">
    <vt:lpwstr>Full Name</vt:lpwstr>
  </property>
  <property fmtid="{D5CDD505-2E9C-101B-9397-08002B2CF9AE}" pid="8" name="Contact_NAPWHA_Address">
    <vt:lpwstr>Address</vt:lpwstr>
  </property>
  <property fmtid="{D5CDD505-2E9C-101B-9397-08002B2CF9AE}" pid="9" name="Contact_NAPWHA_Telephone">
    <vt:lpwstr>Telephone</vt:lpwstr>
  </property>
  <property fmtid="{D5CDD505-2E9C-101B-9397-08002B2CF9AE}" pid="10" name="Contact_NAPWHA_Fax">
    <vt:lpwstr>Fax</vt:lpwstr>
  </property>
  <property fmtid="{D5CDD505-2E9C-101B-9397-08002B2CF9AE}" pid="11" name="Contact_NAPWHA_Email">
    <vt:lpwstr>Email</vt:lpwstr>
  </property>
  <property fmtid="{D5CDD505-2E9C-101B-9397-08002B2CF9AE}" pid="12" name="Contact_NAPWHA_URL">
    <vt:lpwstr>URL</vt:lpwstr>
  </property>
  <property fmtid="{D5CDD505-2E9C-101B-9397-08002B2CF9AE}" pid="13" name="Contact_CoBrand_Name">
    <vt:lpwstr>Name</vt:lpwstr>
  </property>
  <property fmtid="{D5CDD505-2E9C-101B-9397-08002B2CF9AE}" pid="14" name="Contact_CoBrand_Address">
    <vt:lpwstr>Address</vt:lpwstr>
  </property>
  <property fmtid="{D5CDD505-2E9C-101B-9397-08002B2CF9AE}" pid="15" name="Contact_CoBrand_Telephone">
    <vt:lpwstr>Telephone</vt:lpwstr>
  </property>
  <property fmtid="{D5CDD505-2E9C-101B-9397-08002B2CF9AE}" pid="16" name="Contact_CoBrand_Fax">
    <vt:lpwstr>Fax</vt:lpwstr>
  </property>
  <property fmtid="{D5CDD505-2E9C-101B-9397-08002B2CF9AE}" pid="17" name="Contact_CoBrand_Email">
    <vt:lpwstr>Email</vt:lpwstr>
  </property>
  <property fmtid="{D5CDD505-2E9C-101B-9397-08002B2CF9AE}" pid="18" name="Contact_CoBrand_URL">
    <vt:lpwstr>URL</vt:lpwstr>
  </property>
  <property fmtid="{D5CDD505-2E9C-101B-9397-08002B2CF9AE}" pid="19" name="Contact_CoBrand_CompanyName">
    <vt:lpwstr>CoBrand Company Name</vt:lpwstr>
  </property>
  <property fmtid="{D5CDD505-2E9C-101B-9397-08002B2CF9AE}" pid="20" name="Contact_CoBrand_About">
    <vt:lpwstr>About</vt:lpwstr>
  </property>
  <property fmtid="{D5CDD505-2E9C-101B-9397-08002B2CF9AE}" pid="21" name="_AdHocReviewCycleID">
    <vt:i4>1376106882</vt:i4>
  </property>
  <property fmtid="{D5CDD505-2E9C-101B-9397-08002B2CF9AE}" pid="22" name="_NewReviewCycle">
    <vt:lpwstr/>
  </property>
  <property fmtid="{D5CDD505-2E9C-101B-9397-08002B2CF9AE}" pid="23" name="_EmailSubject">
    <vt:lpwstr>Batch 1 - Pre-budget submissions for approval to publish [DLM=For-Official-Use-Only]</vt:lpwstr>
  </property>
  <property fmtid="{D5CDD505-2E9C-101B-9397-08002B2CF9AE}" pid="24" name="_AuthorEmail">
    <vt:lpwstr>Daniel.Craig@TREASURY.GOV.AU</vt:lpwstr>
  </property>
  <property fmtid="{D5CDD505-2E9C-101B-9397-08002B2CF9AE}" pid="25" name="_AuthorEmailDisplayName">
    <vt:lpwstr>Craig, Daniel</vt:lpwstr>
  </property>
  <property fmtid="{D5CDD505-2E9C-101B-9397-08002B2CF9AE}" pid="26" name="ContentTypeId">
    <vt:lpwstr>0x010100C1F664D0940F85469AA434981483399000F4DE3D0581DC214CAE2C0C5F81A0F4A1</vt:lpwstr>
  </property>
  <property fmtid="{D5CDD505-2E9C-101B-9397-08002B2CF9AE}" pid="27" name="TSYRecordClass">
    <vt:lpwstr>2;#TSY RA-8733 - Destroy 10 years after action completed|18609896-7c96-418c-bbc1-db3751e97ee3</vt:lpwstr>
  </property>
  <property fmtid="{D5CDD505-2E9C-101B-9397-08002B2CF9AE}" pid="28" name="_dlc_DocIdItemGuid">
    <vt:lpwstr>e1906768-5f09-4bc8-9edb-a059e1dc8171</vt:lpwstr>
  </property>
</Properties>
</file>