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9998F" w14:textId="7573EE70" w:rsidR="006F78BF" w:rsidRPr="00F82DA9" w:rsidRDefault="006652CD" w:rsidP="006F78BF">
      <w:pPr>
        <w:jc w:val="center"/>
        <w:rPr>
          <w:caps/>
        </w:rPr>
      </w:pPr>
      <w:r w:rsidRPr="006652CD">
        <w:rPr>
          <w:caps/>
          <w:noProof/>
        </w:rPr>
        <w:drawing>
          <wp:inline distT="0" distB="0" distL="0" distR="0" wp14:anchorId="73D1D90F" wp14:editId="7A2CC69F">
            <wp:extent cx="1548000" cy="798400"/>
            <wp:effectExtent l="0" t="0" r="0" b="1905"/>
            <wp:docPr id="305" name="Picture 305" descr="http://dfat.gov.au/about-us/corporate/PublishingImages/aus-gov-logo-stacked-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fat.gov.au/about-us/corporate/PublishingImages/aus-gov-logo-stacked-bla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8000" cy="798400"/>
                    </a:xfrm>
                    <a:prstGeom prst="rect">
                      <a:avLst/>
                    </a:prstGeom>
                    <a:noFill/>
                    <a:ln>
                      <a:noFill/>
                    </a:ln>
                  </pic:spPr>
                </pic:pic>
              </a:graphicData>
            </a:graphic>
          </wp:inline>
        </w:drawing>
      </w:r>
    </w:p>
    <w:p w14:paraId="0A7FFFD0" w14:textId="6E5AF7BC" w:rsidR="004D00D5" w:rsidRPr="00471B7D" w:rsidRDefault="006652CD" w:rsidP="00F87B50">
      <w:pPr>
        <w:pStyle w:val="Title"/>
        <w:spacing w:before="600" w:after="0"/>
        <w:rPr>
          <w:sz w:val="44"/>
          <w:szCs w:val="44"/>
        </w:rPr>
      </w:pPr>
      <w:r w:rsidRPr="00471B7D">
        <w:rPr>
          <w:sz w:val="44"/>
          <w:szCs w:val="44"/>
        </w:rPr>
        <w:t>Council on Federal Financial Relations</w:t>
      </w:r>
    </w:p>
    <w:p w14:paraId="0F8E02FD" w14:textId="77777777" w:rsidR="003270C2" w:rsidRPr="00FF7B5D" w:rsidRDefault="003270C2" w:rsidP="00FF57B8">
      <w:pPr>
        <w:spacing w:after="120"/>
      </w:pPr>
    </w:p>
    <w:p w14:paraId="1F9B60DB" w14:textId="77777777" w:rsidR="00E51884" w:rsidRPr="00F40639" w:rsidRDefault="00E51884" w:rsidP="00FF57B8">
      <w:pPr>
        <w:spacing w:after="120"/>
      </w:pPr>
    </w:p>
    <w:p w14:paraId="6B858E40" w14:textId="2D145ABA" w:rsidR="004D00D5" w:rsidRPr="00F40639" w:rsidRDefault="00743907" w:rsidP="00FF57B8">
      <w:pPr>
        <w:pStyle w:val="Title"/>
        <w:spacing w:before="0" w:after="140"/>
        <w:rPr>
          <w:b/>
        </w:rPr>
      </w:pPr>
      <w:r>
        <w:rPr>
          <w:b/>
        </w:rPr>
        <w:t>Supporting the implementation of a</w:t>
      </w:r>
      <w:r w:rsidR="00816E40">
        <w:rPr>
          <w:b/>
        </w:rPr>
        <w:t>n</w:t>
      </w:r>
      <w:r>
        <w:rPr>
          <w:b/>
        </w:rPr>
        <w:t xml:space="preserve"> </w:t>
      </w:r>
      <w:r w:rsidR="00816E40">
        <w:rPr>
          <w:b/>
        </w:rPr>
        <w:t xml:space="preserve">affordable </w:t>
      </w:r>
      <w:r>
        <w:rPr>
          <w:b/>
        </w:rPr>
        <w:t xml:space="preserve">housing bond aggregator </w:t>
      </w:r>
    </w:p>
    <w:p w14:paraId="4EE32599" w14:textId="77777777" w:rsidR="00A311E1" w:rsidRDefault="00A311E1" w:rsidP="002B6FE5">
      <w:pPr>
        <w:pStyle w:val="Subtitle"/>
        <w:rPr>
          <w:b/>
          <w:color w:val="FFFFFF" w:themeColor="background1"/>
          <w:sz w:val="36"/>
          <w:szCs w:val="36"/>
        </w:rPr>
      </w:pPr>
    </w:p>
    <w:p w14:paraId="2AE317A8" w14:textId="77777777" w:rsidR="00471B7D" w:rsidRPr="00FF57B8" w:rsidRDefault="00471B7D" w:rsidP="00FF57B8">
      <w:pPr>
        <w:spacing w:after="360"/>
      </w:pPr>
    </w:p>
    <w:p w14:paraId="16DC9FB5" w14:textId="487DF421" w:rsidR="006652CD" w:rsidRPr="002B6FE5" w:rsidRDefault="003304BC" w:rsidP="00F87B50">
      <w:pPr>
        <w:pStyle w:val="Subtitle"/>
        <w:spacing w:before="0"/>
        <w:rPr>
          <w:sz w:val="42"/>
        </w:rPr>
      </w:pPr>
      <w:r>
        <w:rPr>
          <w:b/>
          <w:color w:val="FFFFFF" w:themeColor="background1"/>
          <w:sz w:val="30"/>
          <w:szCs w:val="36"/>
        </w:rPr>
        <w:t>September</w:t>
      </w:r>
      <w:r w:rsidR="0081521F">
        <w:rPr>
          <w:b/>
          <w:color w:val="FFFFFF" w:themeColor="background1"/>
          <w:sz w:val="30"/>
          <w:szCs w:val="36"/>
        </w:rPr>
        <w:t xml:space="preserve"> </w:t>
      </w:r>
      <w:r w:rsidR="0088072A">
        <w:rPr>
          <w:b/>
          <w:color w:val="FFFFFF" w:themeColor="background1"/>
          <w:sz w:val="30"/>
          <w:szCs w:val="36"/>
        </w:rPr>
        <w:t>2017</w:t>
      </w:r>
    </w:p>
    <w:p w14:paraId="4575F771" w14:textId="77777777" w:rsidR="00E51884" w:rsidRPr="00F40639" w:rsidRDefault="00E51884" w:rsidP="002B6FE5"/>
    <w:p w14:paraId="7E7650FE" w14:textId="77777777" w:rsidR="00E51884" w:rsidRPr="00F40639" w:rsidRDefault="00E51884" w:rsidP="002B6FE5"/>
    <w:p w14:paraId="2E8BD26C" w14:textId="724B0427" w:rsidR="00185B05" w:rsidRPr="002B6FE5" w:rsidRDefault="00185B05" w:rsidP="002B6FE5"/>
    <w:p w14:paraId="3B6A9979" w14:textId="77777777" w:rsidR="00E51884" w:rsidRPr="002B6FE5" w:rsidRDefault="00E51884" w:rsidP="002B6FE5"/>
    <w:p w14:paraId="7E545706" w14:textId="77777777" w:rsidR="00E51884" w:rsidRPr="002B6FE5" w:rsidRDefault="00E51884" w:rsidP="002B6FE5"/>
    <w:p w14:paraId="7CCDCD5D" w14:textId="6B31E77E" w:rsidR="00E51884" w:rsidRPr="00265C0B" w:rsidRDefault="00E51884" w:rsidP="00265C0B">
      <w:pPr>
        <w:ind w:left="720" w:hanging="720"/>
        <w:jc w:val="right"/>
        <w:rPr>
          <w:b/>
          <w:color w:val="FFFFFF" w:themeColor="background1"/>
          <w:sz w:val="44"/>
          <w:szCs w:val="48"/>
        </w:rPr>
      </w:pPr>
      <w:r w:rsidRPr="00265C0B">
        <w:rPr>
          <w:b/>
          <w:color w:val="FFFFFF" w:themeColor="background1"/>
          <w:sz w:val="44"/>
          <w:szCs w:val="48"/>
        </w:rPr>
        <w:t>Affordable Housing Working Group</w:t>
      </w:r>
    </w:p>
    <w:p w14:paraId="7B7F0AE2" w14:textId="77777777" w:rsidR="00185B05" w:rsidRDefault="004D00D5" w:rsidP="00265C0B">
      <w:pPr>
        <w:pStyle w:val="Subtitle"/>
        <w:spacing w:before="0"/>
        <w:rPr>
          <w:b/>
          <w:color w:val="FFFFFF" w:themeColor="background1"/>
          <w:sz w:val="36"/>
          <w:szCs w:val="36"/>
        </w:rPr>
        <w:sectPr w:rsidR="00185B05" w:rsidSect="00D85841">
          <w:footerReference w:type="default" r:id="rId15"/>
          <w:headerReference w:type="first" r:id="rId16"/>
          <w:pgSz w:w="11906" w:h="16838"/>
          <w:pgMar w:top="1440" w:right="1440" w:bottom="1440" w:left="1440" w:header="708" w:footer="708" w:gutter="0"/>
          <w:cols w:space="708"/>
          <w:titlePg/>
          <w:docGrid w:linePitch="360"/>
        </w:sectPr>
      </w:pPr>
      <w:r>
        <w:rPr>
          <w:b/>
          <w:color w:val="FFFFFF" w:themeColor="background1"/>
          <w:sz w:val="36"/>
          <w:szCs w:val="36"/>
        </w:rPr>
        <w:t>Report to Heads of Treasuries</w:t>
      </w:r>
    </w:p>
    <w:p w14:paraId="1FDC2BB6" w14:textId="3CFE3E9E" w:rsidR="00185B05" w:rsidRPr="00185B05" w:rsidRDefault="00185B05" w:rsidP="00862B49">
      <w:pPr>
        <w:spacing w:before="240"/>
      </w:pPr>
      <w:r w:rsidRPr="00185B05">
        <w:lastRenderedPageBreak/>
        <w:t>© Commonwealth of Australia 201</w:t>
      </w:r>
      <w:r w:rsidR="00864EF8">
        <w:t>7</w:t>
      </w:r>
    </w:p>
    <w:p w14:paraId="5C85A3E8" w14:textId="22EC85E4" w:rsidR="00185B05" w:rsidRPr="00185B05" w:rsidRDefault="00185B05" w:rsidP="00862B49">
      <w:pPr>
        <w:spacing w:before="240"/>
      </w:pPr>
      <w:r w:rsidRPr="00A95C2B">
        <w:t xml:space="preserve">ISBN </w:t>
      </w:r>
      <w:r w:rsidR="001C369C" w:rsidRPr="00A95C2B">
        <w:t>978-1-925504-10-1</w:t>
      </w:r>
    </w:p>
    <w:p w14:paraId="0DEDDD5E" w14:textId="14024B84" w:rsidR="00185B05" w:rsidRPr="00185B05" w:rsidRDefault="00185B05" w:rsidP="00862B49">
      <w:pPr>
        <w:tabs>
          <w:tab w:val="left" w:pos="1650"/>
        </w:tabs>
        <w:spacing w:before="240"/>
        <w:rPr>
          <w:rFonts w:cstheme="minorBidi"/>
          <w:color w:val="000000"/>
          <w:sz w:val="24"/>
          <w:szCs w:val="24"/>
        </w:rPr>
      </w:pPr>
      <w:r w:rsidRPr="00185B05">
        <w:t>This publication is available for your use under a</w:t>
      </w:r>
      <w:r w:rsidRPr="00185B05">
        <w:rPr>
          <w:rFonts w:cstheme="minorHAnsi"/>
          <w:color w:val="000000"/>
          <w:sz w:val="24"/>
          <w:szCs w:val="24"/>
        </w:rPr>
        <w:t xml:space="preserve"> </w:t>
      </w:r>
      <w:hyperlink r:id="rId17" w:history="1">
        <w:r w:rsidRPr="002B6FE5">
          <w:rPr>
            <w:rStyle w:val="Hyperlink"/>
          </w:rPr>
          <w:t>Creative Commons Attribution 3.0 Australia</w:t>
        </w:r>
      </w:hyperlink>
      <w:r w:rsidRPr="00185B05">
        <w:rPr>
          <w:rFonts w:cstheme="minorHAnsi"/>
          <w:color w:val="000000"/>
          <w:sz w:val="24"/>
          <w:szCs w:val="24"/>
        </w:rPr>
        <w:t xml:space="preserve"> </w:t>
      </w:r>
      <w:r w:rsidRPr="00185B05">
        <w:t>licence, with the exception of the Commonwealth Coat of Arms, the Treasury logo, photographs, images, signatures and where otherwise stated. The full licence terms are available from</w:t>
      </w:r>
      <w:r w:rsidRPr="00185B05">
        <w:rPr>
          <w:rFonts w:cstheme="minorHAnsi"/>
          <w:color w:val="000000"/>
          <w:sz w:val="24"/>
          <w:szCs w:val="24"/>
        </w:rPr>
        <w:t xml:space="preserve"> </w:t>
      </w:r>
      <w:hyperlink r:id="rId18" w:history="1">
        <w:r w:rsidRPr="002B6FE5">
          <w:rPr>
            <w:rStyle w:val="Hyperlink"/>
          </w:rPr>
          <w:t>http://creativecommons.org/licenses/by/3.0/au/legalcode</w:t>
        </w:r>
      </w:hyperlink>
      <w:r w:rsidRPr="000F4BE1">
        <w:rPr>
          <w:color w:val="0000FF" w:themeColor="hyperlink"/>
        </w:rPr>
        <w:t>.</w:t>
      </w:r>
    </w:p>
    <w:p w14:paraId="795209B4" w14:textId="77777777" w:rsidR="00185B05" w:rsidRPr="00185B05" w:rsidRDefault="00185B05" w:rsidP="00862B49">
      <w:pPr>
        <w:tabs>
          <w:tab w:val="left" w:pos="1650"/>
        </w:tabs>
        <w:spacing w:before="240"/>
        <w:rPr>
          <w:rFonts w:cstheme="minorHAnsi"/>
          <w:color w:val="000000"/>
          <w:sz w:val="24"/>
          <w:szCs w:val="24"/>
        </w:rPr>
      </w:pPr>
      <w:r w:rsidRPr="00185B05">
        <w:rPr>
          <w:rFonts w:cstheme="minorHAnsi"/>
          <w:noProof/>
          <w:color w:val="000000"/>
          <w:sz w:val="24"/>
          <w:szCs w:val="24"/>
        </w:rPr>
        <w:drawing>
          <wp:inline distT="0" distB="0" distL="0" distR="0" wp14:anchorId="5E4D30E8" wp14:editId="1228CE57">
            <wp:extent cx="809625" cy="285750"/>
            <wp:effectExtent l="19050" t="0" r="9525" b="0"/>
            <wp:docPr id="50" name="Picture 50"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9"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B4B452F" w14:textId="22F36FAC" w:rsidR="00185B05" w:rsidRPr="00185B05" w:rsidRDefault="00185B05" w:rsidP="00862B49">
      <w:pPr>
        <w:tabs>
          <w:tab w:val="left" w:pos="1650"/>
        </w:tabs>
        <w:spacing w:before="240"/>
      </w:pPr>
      <w:r w:rsidRPr="00185B05">
        <w:t>Use of Australian Government material under a</w:t>
      </w:r>
      <w:r w:rsidRPr="00185B05">
        <w:rPr>
          <w:rFonts w:cstheme="minorHAnsi"/>
          <w:color w:val="000000"/>
          <w:sz w:val="24"/>
          <w:szCs w:val="24"/>
        </w:rPr>
        <w:t xml:space="preserve"> </w:t>
      </w:r>
      <w:hyperlink r:id="rId20" w:history="1">
        <w:r w:rsidRPr="002B6FE5">
          <w:rPr>
            <w:rStyle w:val="Hyperlink"/>
          </w:rPr>
          <w:t>Creative Commons Attribution 3.0 Australia</w:t>
        </w:r>
      </w:hyperlink>
      <w:r w:rsidRPr="00185B05">
        <w:rPr>
          <w:color w:val="0000FF" w:themeColor="hyperlink"/>
          <w:u w:val="single"/>
        </w:rPr>
        <w:t xml:space="preserve"> </w:t>
      </w:r>
      <w:r w:rsidRPr="00185B05">
        <w:t>licence requires you to attribute the work (but not in any way that suggests that the Australian Government endorse</w:t>
      </w:r>
      <w:r>
        <w:t>s you or your use of the work).</w:t>
      </w:r>
    </w:p>
    <w:p w14:paraId="71AA1395" w14:textId="77777777" w:rsidR="00185B05" w:rsidRPr="00185B05" w:rsidRDefault="00185B05" w:rsidP="00862B49">
      <w:pPr>
        <w:spacing w:before="240"/>
        <w:rPr>
          <w:b/>
        </w:rPr>
      </w:pPr>
      <w:r w:rsidRPr="00185B05">
        <w:rPr>
          <w:b/>
        </w:rPr>
        <w:t>Australian Government material used ‘as supplied’</w:t>
      </w:r>
    </w:p>
    <w:p w14:paraId="24BE3078" w14:textId="42BE279B" w:rsidR="00185B05" w:rsidRPr="00185B05" w:rsidRDefault="00185B05" w:rsidP="00862B49">
      <w:pPr>
        <w:spacing w:before="240"/>
      </w:pPr>
      <w:r w:rsidRPr="00185B05">
        <w:t>Provided you have not modified or transformed Australian Government material in any way including, for example, by changing the Australian Government text; calculating percentage changes; graphing or charting data; or deriving new statistics from published Australian Government statistics — then the Australian Government prefers t</w:t>
      </w:r>
      <w:r>
        <w:t>he following attribution:</w:t>
      </w:r>
    </w:p>
    <w:p w14:paraId="2F56304E" w14:textId="2AFCF69B" w:rsidR="00185B05" w:rsidRPr="00185B05" w:rsidRDefault="00185B05" w:rsidP="00862B49">
      <w:pPr>
        <w:spacing w:before="240"/>
        <w:ind w:firstLine="720"/>
      </w:pPr>
      <w:r w:rsidRPr="00185B05">
        <w:rPr>
          <w:i/>
        </w:rPr>
        <w:t xml:space="preserve">Source: The </w:t>
      </w:r>
      <w:r>
        <w:rPr>
          <w:i/>
          <w:iCs/>
        </w:rPr>
        <w:t>Australian Government</w:t>
      </w:r>
    </w:p>
    <w:p w14:paraId="1887E978" w14:textId="77777777" w:rsidR="00185B05" w:rsidRPr="00185B05" w:rsidRDefault="00185B05" w:rsidP="00862B49">
      <w:pPr>
        <w:spacing w:before="240"/>
        <w:rPr>
          <w:b/>
        </w:rPr>
      </w:pPr>
      <w:r w:rsidRPr="00185B05">
        <w:rPr>
          <w:b/>
        </w:rPr>
        <w:t>Derivative material</w:t>
      </w:r>
    </w:p>
    <w:p w14:paraId="31145EDC" w14:textId="5E77EC71" w:rsidR="00185B05" w:rsidRPr="00185B05" w:rsidRDefault="00185B05" w:rsidP="00862B49">
      <w:pPr>
        <w:spacing w:before="240"/>
      </w:pPr>
      <w:r w:rsidRPr="00185B05">
        <w:t>If you have modified or transformed Australian Government material, or derived new material from those of the Australian Government in any way, then the Australian Government pre</w:t>
      </w:r>
      <w:r>
        <w:t>fers the following attribution:</w:t>
      </w:r>
    </w:p>
    <w:p w14:paraId="7587F596" w14:textId="39B689D6" w:rsidR="00185B05" w:rsidRPr="00185B05" w:rsidRDefault="00185B05" w:rsidP="00862B49">
      <w:pPr>
        <w:spacing w:before="240"/>
        <w:ind w:firstLine="720"/>
      </w:pPr>
      <w:r w:rsidRPr="00185B05">
        <w:rPr>
          <w:i/>
        </w:rPr>
        <w:t>Based on Australian Government data</w:t>
      </w:r>
    </w:p>
    <w:p w14:paraId="7BE56942" w14:textId="77777777" w:rsidR="00185B05" w:rsidRPr="00185B05" w:rsidRDefault="00185B05" w:rsidP="00862B49">
      <w:pPr>
        <w:spacing w:before="240"/>
        <w:rPr>
          <w:b/>
        </w:rPr>
      </w:pPr>
      <w:r w:rsidRPr="00185B05">
        <w:rPr>
          <w:b/>
        </w:rPr>
        <w:t>Use of the Coat of Arms</w:t>
      </w:r>
    </w:p>
    <w:p w14:paraId="2B040D3A" w14:textId="49234068" w:rsidR="00185B05" w:rsidRPr="00185B05" w:rsidRDefault="00185B05" w:rsidP="00862B49">
      <w:pPr>
        <w:spacing w:before="240"/>
      </w:pPr>
      <w:r w:rsidRPr="00185B05">
        <w:t>The terms under which the Coat of Arms can be used are set out on the It’s an Honour website (</w:t>
      </w:r>
      <w:r w:rsidR="00471B7D" w:rsidRPr="00185B05">
        <w:t>see</w:t>
      </w:r>
      <w:r w:rsidR="00471B7D">
        <w:t> </w:t>
      </w:r>
      <w:hyperlink r:id="rId21" w:history="1">
        <w:r w:rsidRPr="00FF57B8">
          <w:rPr>
            <w:rStyle w:val="Hyperlink"/>
          </w:rPr>
          <w:t>www.itsanhonour.gov.au</w:t>
        </w:r>
      </w:hyperlink>
      <w:r w:rsidRPr="00185B05">
        <w:t>)</w:t>
      </w:r>
      <w:r>
        <w:t>.</w:t>
      </w:r>
    </w:p>
    <w:p w14:paraId="557C3479" w14:textId="77777777" w:rsidR="00185B05" w:rsidRPr="00185B05" w:rsidRDefault="00185B05" w:rsidP="00862B49">
      <w:pPr>
        <w:spacing w:before="240"/>
        <w:rPr>
          <w:b/>
        </w:rPr>
      </w:pPr>
      <w:r w:rsidRPr="00185B05">
        <w:rPr>
          <w:b/>
        </w:rPr>
        <w:t>Other uses</w:t>
      </w:r>
    </w:p>
    <w:p w14:paraId="18F5EDF6" w14:textId="77777777" w:rsidR="00185B05" w:rsidRPr="00185B05" w:rsidRDefault="00185B05" w:rsidP="00862B49">
      <w:pPr>
        <w:spacing w:before="240"/>
      </w:pPr>
      <w:r w:rsidRPr="00185B05">
        <w:t>Enquiries regarding this licence and any other use of this document are welcome at:</w:t>
      </w:r>
    </w:p>
    <w:p w14:paraId="7C97E9C4" w14:textId="03337AFD" w:rsidR="004D00D5" w:rsidRPr="002B6FE5" w:rsidRDefault="00185B05" w:rsidP="00862B49">
      <w:pPr>
        <w:spacing w:before="240"/>
        <w:ind w:left="720"/>
        <w:jc w:val="left"/>
      </w:pPr>
      <w:r w:rsidRPr="00185B05">
        <w:t>Manager</w:t>
      </w:r>
      <w:r w:rsidRPr="00185B05">
        <w:br/>
      </w:r>
      <w:r>
        <w:t>Communications</w:t>
      </w:r>
      <w:r w:rsidRPr="00185B05">
        <w:br/>
        <w:t>The Treasury</w:t>
      </w:r>
      <w:r w:rsidRPr="00185B05">
        <w:br/>
      </w:r>
      <w:r>
        <w:t>Langton Crescent</w:t>
      </w:r>
      <w:r w:rsidRPr="00185B05">
        <w:br/>
      </w:r>
      <w:proofErr w:type="gramStart"/>
      <w:r w:rsidRPr="00185B05">
        <w:t>Parkes  ACT</w:t>
      </w:r>
      <w:proofErr w:type="gramEnd"/>
      <w:r w:rsidRPr="00185B05">
        <w:t xml:space="preserve">  2600</w:t>
      </w:r>
      <w:r>
        <w:br/>
      </w:r>
      <w:r w:rsidRPr="00185B05">
        <w:t xml:space="preserve">Email: </w:t>
      </w:r>
      <w:hyperlink r:id="rId22" w:history="1">
        <w:r w:rsidRPr="002B6FE5">
          <w:rPr>
            <w:rStyle w:val="Hyperlink"/>
          </w:rPr>
          <w:t>medialiaison@treasury.gov.au</w:t>
        </w:r>
      </w:hyperlink>
    </w:p>
    <w:p w14:paraId="48413B7E" w14:textId="0ED2778E" w:rsidR="00983427" w:rsidRPr="002B6FE5" w:rsidRDefault="00983427" w:rsidP="002B6FE5"/>
    <w:p w14:paraId="451439F9" w14:textId="77777777" w:rsidR="002B6FE5" w:rsidRPr="002B6FE5" w:rsidRDefault="002B6FE5" w:rsidP="002B6FE5">
      <w:pPr>
        <w:sectPr w:rsidR="002B6FE5" w:rsidRPr="002B6FE5" w:rsidSect="00D85841">
          <w:headerReference w:type="first" r:id="rId23"/>
          <w:footerReference w:type="first" r:id="rId24"/>
          <w:pgSz w:w="11906" w:h="16838"/>
          <w:pgMar w:top="1440" w:right="1440" w:bottom="1440" w:left="1440" w:header="708" w:footer="708" w:gutter="0"/>
          <w:cols w:space="708"/>
          <w:titlePg/>
          <w:docGrid w:linePitch="360"/>
        </w:sectPr>
      </w:pPr>
    </w:p>
    <w:sdt>
      <w:sdtPr>
        <w:rPr>
          <w:rFonts w:ascii="Times New Roman" w:eastAsia="Times New Roman" w:hAnsi="Times New Roman" w:cs="Times New Roman"/>
          <w:noProof/>
          <w:color w:val="auto"/>
          <w:spacing w:val="0"/>
          <w:sz w:val="24"/>
          <w:szCs w:val="20"/>
          <w:lang w:bidi="ar-SA"/>
        </w:rPr>
        <w:id w:val="249175577"/>
        <w:docPartObj>
          <w:docPartGallery w:val="Table of Contents"/>
          <w:docPartUnique/>
        </w:docPartObj>
      </w:sdtPr>
      <w:sdtEndPr>
        <w:rPr>
          <w:rFonts w:ascii="Calibri Light" w:hAnsi="Calibri Light"/>
          <w:b w:val="0"/>
          <w:bCs w:val="0"/>
          <w:caps w:val="0"/>
          <w:noProof w:val="0"/>
          <w:color w:val="000000" w:themeColor="text1"/>
          <w:sz w:val="22"/>
        </w:rPr>
      </w:sdtEndPr>
      <w:sdtContent>
        <w:p w14:paraId="09943A5A" w14:textId="77777777" w:rsidR="00FA055F" w:rsidRPr="00BF7D38" w:rsidRDefault="00FA055F" w:rsidP="00BC33F1">
          <w:pPr>
            <w:pStyle w:val="TOCHeading"/>
          </w:pPr>
          <w:r w:rsidRPr="00BF7D38">
            <w:t>Contents</w:t>
          </w:r>
        </w:p>
        <w:p w14:paraId="0B4A26D7" w14:textId="77777777" w:rsidR="004F53F2" w:rsidRDefault="003C3B8B" w:rsidP="0046224F">
          <w:pPr>
            <w:pStyle w:val="TOC1"/>
            <w:rPr>
              <w:rFonts w:asciiTheme="minorHAnsi" w:eastAsiaTheme="minorEastAsia" w:hAnsiTheme="minorHAnsi" w:cstheme="minorBidi"/>
              <w:color w:val="auto"/>
              <w:szCs w:val="22"/>
            </w:rPr>
          </w:pPr>
          <w:r>
            <w:rPr>
              <w:bCs/>
            </w:rPr>
            <w:fldChar w:fldCharType="begin"/>
          </w:r>
          <w:r>
            <w:rPr>
              <w:bCs/>
            </w:rPr>
            <w:instrText xml:space="preserve"> TOC \o "1-2" \h \z \u </w:instrText>
          </w:r>
          <w:r>
            <w:rPr>
              <w:bCs/>
            </w:rPr>
            <w:fldChar w:fldCharType="separate"/>
          </w:r>
          <w:hyperlink w:anchor="_Toc493848956" w:history="1">
            <w:r w:rsidR="004F53F2" w:rsidRPr="00895F85">
              <w:rPr>
                <w:rStyle w:val="Hyperlink"/>
              </w:rPr>
              <w:t>Executive summary</w:t>
            </w:r>
            <w:r w:rsidR="004F53F2">
              <w:rPr>
                <w:webHidden/>
              </w:rPr>
              <w:tab/>
            </w:r>
            <w:r w:rsidR="004F53F2">
              <w:rPr>
                <w:webHidden/>
              </w:rPr>
              <w:fldChar w:fldCharType="begin"/>
            </w:r>
            <w:r w:rsidR="004F53F2">
              <w:rPr>
                <w:webHidden/>
              </w:rPr>
              <w:instrText xml:space="preserve"> PAGEREF _Toc493848956 \h </w:instrText>
            </w:r>
            <w:r w:rsidR="004F53F2">
              <w:rPr>
                <w:webHidden/>
              </w:rPr>
            </w:r>
            <w:r w:rsidR="004F53F2">
              <w:rPr>
                <w:webHidden/>
              </w:rPr>
              <w:fldChar w:fldCharType="separate"/>
            </w:r>
            <w:r w:rsidR="004F53F2">
              <w:rPr>
                <w:webHidden/>
              </w:rPr>
              <w:t>1</w:t>
            </w:r>
            <w:r w:rsidR="004F53F2">
              <w:rPr>
                <w:webHidden/>
              </w:rPr>
              <w:fldChar w:fldCharType="end"/>
            </w:r>
          </w:hyperlink>
        </w:p>
        <w:p w14:paraId="36C0BCCE" w14:textId="77777777" w:rsidR="004F53F2" w:rsidRDefault="004F53F2" w:rsidP="0046224F">
          <w:pPr>
            <w:pStyle w:val="TOC1"/>
            <w:rPr>
              <w:rFonts w:asciiTheme="minorHAnsi" w:eastAsiaTheme="minorEastAsia" w:hAnsiTheme="minorHAnsi" w:cstheme="minorBidi"/>
              <w:color w:val="auto"/>
              <w:szCs w:val="22"/>
            </w:rPr>
          </w:pPr>
          <w:hyperlink w:anchor="_Toc493848957" w:history="1">
            <w:r w:rsidRPr="00895F85">
              <w:rPr>
                <w:rStyle w:val="Hyperlink"/>
              </w:rPr>
              <w:t>Recommendations</w:t>
            </w:r>
            <w:r>
              <w:rPr>
                <w:webHidden/>
              </w:rPr>
              <w:tab/>
            </w:r>
            <w:r>
              <w:rPr>
                <w:webHidden/>
              </w:rPr>
              <w:fldChar w:fldCharType="begin"/>
            </w:r>
            <w:r>
              <w:rPr>
                <w:webHidden/>
              </w:rPr>
              <w:instrText xml:space="preserve"> PAGEREF _Toc493848957 \h </w:instrText>
            </w:r>
            <w:r>
              <w:rPr>
                <w:webHidden/>
              </w:rPr>
            </w:r>
            <w:r>
              <w:rPr>
                <w:webHidden/>
              </w:rPr>
              <w:fldChar w:fldCharType="separate"/>
            </w:r>
            <w:r>
              <w:rPr>
                <w:webHidden/>
              </w:rPr>
              <w:t>2</w:t>
            </w:r>
            <w:r>
              <w:rPr>
                <w:webHidden/>
              </w:rPr>
              <w:fldChar w:fldCharType="end"/>
            </w:r>
          </w:hyperlink>
        </w:p>
        <w:p w14:paraId="1B17F53E" w14:textId="77777777" w:rsidR="004F53F2" w:rsidRDefault="004F53F2" w:rsidP="0046224F">
          <w:pPr>
            <w:pStyle w:val="TOC1"/>
            <w:rPr>
              <w:rFonts w:asciiTheme="minorHAnsi" w:eastAsiaTheme="minorEastAsia" w:hAnsiTheme="minorHAnsi" w:cstheme="minorBidi"/>
              <w:color w:val="auto"/>
              <w:szCs w:val="22"/>
            </w:rPr>
          </w:pPr>
          <w:hyperlink w:anchor="_Toc493848958" w:history="1">
            <w:r w:rsidRPr="00895F85">
              <w:rPr>
                <w:rStyle w:val="Hyperlink"/>
              </w:rPr>
              <w:t>1.</w:t>
            </w:r>
            <w:r>
              <w:rPr>
                <w:rFonts w:asciiTheme="minorHAnsi" w:eastAsiaTheme="minorEastAsia" w:hAnsiTheme="minorHAnsi" w:cstheme="minorBidi"/>
                <w:color w:val="auto"/>
                <w:szCs w:val="22"/>
              </w:rPr>
              <w:tab/>
            </w:r>
            <w:r w:rsidRPr="00895F85">
              <w:rPr>
                <w:rStyle w:val="Hyperlink"/>
              </w:rPr>
              <w:t>Introduction</w:t>
            </w:r>
            <w:r>
              <w:rPr>
                <w:webHidden/>
              </w:rPr>
              <w:tab/>
            </w:r>
            <w:r>
              <w:rPr>
                <w:webHidden/>
              </w:rPr>
              <w:fldChar w:fldCharType="begin"/>
            </w:r>
            <w:r>
              <w:rPr>
                <w:webHidden/>
              </w:rPr>
              <w:instrText xml:space="preserve"> PAGEREF _Toc493848958 \h </w:instrText>
            </w:r>
            <w:r>
              <w:rPr>
                <w:webHidden/>
              </w:rPr>
            </w:r>
            <w:r>
              <w:rPr>
                <w:webHidden/>
              </w:rPr>
              <w:fldChar w:fldCharType="separate"/>
            </w:r>
            <w:r>
              <w:rPr>
                <w:webHidden/>
              </w:rPr>
              <w:t>4</w:t>
            </w:r>
            <w:r>
              <w:rPr>
                <w:webHidden/>
              </w:rPr>
              <w:fldChar w:fldCharType="end"/>
            </w:r>
          </w:hyperlink>
        </w:p>
        <w:p w14:paraId="01280D2A" w14:textId="77777777" w:rsidR="004F53F2" w:rsidRDefault="004F53F2">
          <w:pPr>
            <w:pStyle w:val="TOC2"/>
            <w:rPr>
              <w:rFonts w:asciiTheme="minorHAnsi" w:eastAsiaTheme="minorEastAsia" w:hAnsiTheme="minorHAnsi" w:cstheme="minorBidi"/>
              <w:color w:val="auto"/>
              <w:szCs w:val="22"/>
            </w:rPr>
          </w:pPr>
          <w:hyperlink w:anchor="_Toc493848959" w:history="1">
            <w:r w:rsidRPr="00895F85">
              <w:rPr>
                <w:rStyle w:val="Hyperlink"/>
              </w:rPr>
              <w:t>Background</w:t>
            </w:r>
            <w:r>
              <w:rPr>
                <w:webHidden/>
              </w:rPr>
              <w:tab/>
            </w:r>
            <w:r>
              <w:rPr>
                <w:webHidden/>
              </w:rPr>
              <w:fldChar w:fldCharType="begin"/>
            </w:r>
            <w:r>
              <w:rPr>
                <w:webHidden/>
              </w:rPr>
              <w:instrText xml:space="preserve"> PAGEREF _Toc493848959 \h </w:instrText>
            </w:r>
            <w:r>
              <w:rPr>
                <w:webHidden/>
              </w:rPr>
            </w:r>
            <w:r>
              <w:rPr>
                <w:webHidden/>
              </w:rPr>
              <w:fldChar w:fldCharType="separate"/>
            </w:r>
            <w:r>
              <w:rPr>
                <w:webHidden/>
              </w:rPr>
              <w:t>4</w:t>
            </w:r>
            <w:r>
              <w:rPr>
                <w:webHidden/>
              </w:rPr>
              <w:fldChar w:fldCharType="end"/>
            </w:r>
          </w:hyperlink>
        </w:p>
        <w:p w14:paraId="788DBC3A" w14:textId="77777777" w:rsidR="004F53F2" w:rsidRDefault="004F53F2" w:rsidP="0046224F">
          <w:pPr>
            <w:pStyle w:val="TOC1"/>
            <w:rPr>
              <w:rFonts w:asciiTheme="minorHAnsi" w:eastAsiaTheme="minorEastAsia" w:hAnsiTheme="minorHAnsi" w:cstheme="minorBidi"/>
              <w:color w:val="auto"/>
              <w:szCs w:val="22"/>
            </w:rPr>
          </w:pPr>
          <w:hyperlink w:anchor="_Toc493848960" w:history="1">
            <w:r w:rsidRPr="00895F85">
              <w:rPr>
                <w:rStyle w:val="Hyperlink"/>
              </w:rPr>
              <w:t>2.</w:t>
            </w:r>
            <w:r>
              <w:rPr>
                <w:rFonts w:asciiTheme="minorHAnsi" w:eastAsiaTheme="minorEastAsia" w:hAnsiTheme="minorHAnsi" w:cstheme="minorBidi"/>
                <w:color w:val="auto"/>
                <w:szCs w:val="22"/>
              </w:rPr>
              <w:tab/>
            </w:r>
            <w:r w:rsidRPr="00895F85">
              <w:rPr>
                <w:rStyle w:val="Hyperlink"/>
              </w:rPr>
              <w:t>The community housing sector</w:t>
            </w:r>
            <w:r>
              <w:rPr>
                <w:webHidden/>
              </w:rPr>
              <w:tab/>
            </w:r>
            <w:r>
              <w:rPr>
                <w:webHidden/>
              </w:rPr>
              <w:fldChar w:fldCharType="begin"/>
            </w:r>
            <w:r>
              <w:rPr>
                <w:webHidden/>
              </w:rPr>
              <w:instrText xml:space="preserve"> PAGEREF _Toc493848960 \h </w:instrText>
            </w:r>
            <w:r>
              <w:rPr>
                <w:webHidden/>
              </w:rPr>
            </w:r>
            <w:r>
              <w:rPr>
                <w:webHidden/>
              </w:rPr>
              <w:fldChar w:fldCharType="separate"/>
            </w:r>
            <w:r>
              <w:rPr>
                <w:webHidden/>
              </w:rPr>
              <w:t>6</w:t>
            </w:r>
            <w:r>
              <w:rPr>
                <w:webHidden/>
              </w:rPr>
              <w:fldChar w:fldCharType="end"/>
            </w:r>
          </w:hyperlink>
        </w:p>
        <w:p w14:paraId="707AF135" w14:textId="77777777" w:rsidR="004F53F2" w:rsidRDefault="004F53F2">
          <w:pPr>
            <w:pStyle w:val="TOC2"/>
            <w:rPr>
              <w:rFonts w:asciiTheme="minorHAnsi" w:eastAsiaTheme="minorEastAsia" w:hAnsiTheme="minorHAnsi" w:cstheme="minorBidi"/>
              <w:color w:val="auto"/>
              <w:szCs w:val="22"/>
            </w:rPr>
          </w:pPr>
          <w:hyperlink w:anchor="_Toc493848961" w:history="1">
            <w:r w:rsidRPr="00895F85">
              <w:rPr>
                <w:rStyle w:val="Hyperlink"/>
              </w:rPr>
              <w:t>CHPs and the Private</w:t>
            </w:r>
            <w:r w:rsidRPr="00895F85">
              <w:rPr>
                <w:rStyle w:val="Hyperlink"/>
                <w:rFonts w:ascii="Arial" w:hAnsi="Arial"/>
                <w:i/>
                <w:lang w:eastAsia="en-US"/>
              </w:rPr>
              <w:t xml:space="preserve"> </w:t>
            </w:r>
            <w:r w:rsidRPr="00895F85">
              <w:rPr>
                <w:rStyle w:val="Hyperlink"/>
              </w:rPr>
              <w:t>Sector</w:t>
            </w:r>
            <w:r>
              <w:rPr>
                <w:webHidden/>
              </w:rPr>
              <w:tab/>
            </w:r>
            <w:r>
              <w:rPr>
                <w:webHidden/>
              </w:rPr>
              <w:fldChar w:fldCharType="begin"/>
            </w:r>
            <w:r>
              <w:rPr>
                <w:webHidden/>
              </w:rPr>
              <w:instrText xml:space="preserve"> PAGEREF _Toc493848961 \h </w:instrText>
            </w:r>
            <w:r>
              <w:rPr>
                <w:webHidden/>
              </w:rPr>
            </w:r>
            <w:r>
              <w:rPr>
                <w:webHidden/>
              </w:rPr>
              <w:fldChar w:fldCharType="separate"/>
            </w:r>
            <w:r>
              <w:rPr>
                <w:webHidden/>
              </w:rPr>
              <w:t>7</w:t>
            </w:r>
            <w:r>
              <w:rPr>
                <w:webHidden/>
              </w:rPr>
              <w:fldChar w:fldCharType="end"/>
            </w:r>
          </w:hyperlink>
        </w:p>
        <w:p w14:paraId="37847876" w14:textId="77777777" w:rsidR="004F53F2" w:rsidRDefault="004F53F2">
          <w:pPr>
            <w:pStyle w:val="TOC2"/>
            <w:rPr>
              <w:rFonts w:asciiTheme="minorHAnsi" w:eastAsiaTheme="minorEastAsia" w:hAnsiTheme="minorHAnsi" w:cstheme="minorBidi"/>
              <w:color w:val="auto"/>
              <w:szCs w:val="22"/>
            </w:rPr>
          </w:pPr>
          <w:hyperlink w:anchor="_Toc493848962" w:history="1">
            <w:r w:rsidRPr="00895F85">
              <w:rPr>
                <w:rStyle w:val="Hyperlink"/>
              </w:rPr>
              <w:t>The Affordable Housing Bond Aggregator</w:t>
            </w:r>
            <w:r>
              <w:rPr>
                <w:webHidden/>
              </w:rPr>
              <w:tab/>
            </w:r>
            <w:r>
              <w:rPr>
                <w:webHidden/>
              </w:rPr>
              <w:fldChar w:fldCharType="begin"/>
            </w:r>
            <w:r>
              <w:rPr>
                <w:webHidden/>
              </w:rPr>
              <w:instrText xml:space="preserve"> PAGEREF _Toc493848962 \h </w:instrText>
            </w:r>
            <w:r>
              <w:rPr>
                <w:webHidden/>
              </w:rPr>
            </w:r>
            <w:r>
              <w:rPr>
                <w:webHidden/>
              </w:rPr>
              <w:fldChar w:fldCharType="separate"/>
            </w:r>
            <w:r>
              <w:rPr>
                <w:webHidden/>
              </w:rPr>
              <w:t>10</w:t>
            </w:r>
            <w:r>
              <w:rPr>
                <w:webHidden/>
              </w:rPr>
              <w:fldChar w:fldCharType="end"/>
            </w:r>
          </w:hyperlink>
        </w:p>
        <w:p w14:paraId="700E2A98" w14:textId="77777777" w:rsidR="004F53F2" w:rsidRDefault="004F53F2">
          <w:pPr>
            <w:pStyle w:val="TOC2"/>
            <w:rPr>
              <w:rFonts w:asciiTheme="minorHAnsi" w:eastAsiaTheme="minorEastAsia" w:hAnsiTheme="minorHAnsi" w:cstheme="minorBidi"/>
              <w:color w:val="auto"/>
              <w:szCs w:val="22"/>
            </w:rPr>
          </w:pPr>
          <w:hyperlink w:anchor="_Toc493848963" w:history="1">
            <w:r w:rsidRPr="00895F85">
              <w:rPr>
                <w:rStyle w:val="Hyperlink"/>
              </w:rPr>
              <w:t>The funding gap</w:t>
            </w:r>
            <w:r>
              <w:rPr>
                <w:webHidden/>
              </w:rPr>
              <w:tab/>
            </w:r>
            <w:r>
              <w:rPr>
                <w:webHidden/>
              </w:rPr>
              <w:fldChar w:fldCharType="begin"/>
            </w:r>
            <w:r>
              <w:rPr>
                <w:webHidden/>
              </w:rPr>
              <w:instrText xml:space="preserve"> PAGEREF _Toc493848963 \h </w:instrText>
            </w:r>
            <w:r>
              <w:rPr>
                <w:webHidden/>
              </w:rPr>
            </w:r>
            <w:r>
              <w:rPr>
                <w:webHidden/>
              </w:rPr>
              <w:fldChar w:fldCharType="separate"/>
            </w:r>
            <w:r>
              <w:rPr>
                <w:webHidden/>
              </w:rPr>
              <w:t>10</w:t>
            </w:r>
            <w:r>
              <w:rPr>
                <w:webHidden/>
              </w:rPr>
              <w:fldChar w:fldCharType="end"/>
            </w:r>
          </w:hyperlink>
        </w:p>
        <w:p w14:paraId="6A85005A" w14:textId="77777777" w:rsidR="004F53F2" w:rsidRPr="0046224F" w:rsidRDefault="004F53F2" w:rsidP="0046224F">
          <w:pPr>
            <w:pStyle w:val="TOC1"/>
            <w:rPr>
              <w:rFonts w:eastAsiaTheme="minorEastAsia"/>
            </w:rPr>
          </w:pPr>
          <w:hyperlink w:anchor="_Toc493848964" w:history="1">
            <w:r w:rsidRPr="0046224F">
              <w:rPr>
                <w:rStyle w:val="Hyperlink"/>
                <w:b/>
                <w:color w:val="18424D" w:themeColor="accent6" w:themeShade="80"/>
              </w:rPr>
              <w:t>3.</w:t>
            </w:r>
            <w:r w:rsidRPr="0046224F">
              <w:rPr>
                <w:rFonts w:eastAsiaTheme="minorEastAsia"/>
              </w:rPr>
              <w:tab/>
            </w:r>
            <w:r w:rsidRPr="0046224F">
              <w:rPr>
                <w:rStyle w:val="Hyperlink"/>
                <w:b/>
                <w:color w:val="18424D" w:themeColor="accent6" w:themeShade="80"/>
              </w:rPr>
              <w:t>Complementary reforms to develop the capacity and scale of the community housing sector</w:t>
            </w:r>
            <w:r w:rsidRPr="0046224F">
              <w:rPr>
                <w:webHidden/>
              </w:rPr>
              <w:tab/>
            </w:r>
            <w:r w:rsidRPr="0046224F">
              <w:rPr>
                <w:webHidden/>
              </w:rPr>
              <w:fldChar w:fldCharType="begin"/>
            </w:r>
            <w:r w:rsidRPr="0046224F">
              <w:rPr>
                <w:webHidden/>
              </w:rPr>
              <w:instrText xml:space="preserve"> PAGEREF _Toc493848964 \h </w:instrText>
            </w:r>
            <w:r w:rsidRPr="0046224F">
              <w:rPr>
                <w:webHidden/>
              </w:rPr>
            </w:r>
            <w:r w:rsidRPr="0046224F">
              <w:rPr>
                <w:webHidden/>
              </w:rPr>
              <w:fldChar w:fldCharType="separate"/>
            </w:r>
            <w:r w:rsidRPr="0046224F">
              <w:rPr>
                <w:webHidden/>
              </w:rPr>
              <w:t>14</w:t>
            </w:r>
            <w:r w:rsidRPr="0046224F">
              <w:rPr>
                <w:webHidden/>
              </w:rPr>
              <w:fldChar w:fldCharType="end"/>
            </w:r>
          </w:hyperlink>
        </w:p>
        <w:p w14:paraId="0B6B758F" w14:textId="77777777" w:rsidR="004F53F2" w:rsidRDefault="004F53F2">
          <w:pPr>
            <w:pStyle w:val="TOC2"/>
            <w:rPr>
              <w:rFonts w:asciiTheme="minorHAnsi" w:eastAsiaTheme="minorEastAsia" w:hAnsiTheme="minorHAnsi" w:cstheme="minorBidi"/>
              <w:color w:val="auto"/>
              <w:szCs w:val="22"/>
            </w:rPr>
          </w:pPr>
          <w:hyperlink w:anchor="_Toc493848965" w:history="1">
            <w:r w:rsidRPr="00895F85">
              <w:rPr>
                <w:rStyle w:val="Hyperlink"/>
              </w:rPr>
              <w:t>Better use of social and affordable housing assets</w:t>
            </w:r>
            <w:r>
              <w:rPr>
                <w:webHidden/>
              </w:rPr>
              <w:tab/>
            </w:r>
            <w:r>
              <w:rPr>
                <w:webHidden/>
              </w:rPr>
              <w:fldChar w:fldCharType="begin"/>
            </w:r>
            <w:r>
              <w:rPr>
                <w:webHidden/>
              </w:rPr>
              <w:instrText xml:space="preserve"> PAGEREF _Toc493848965 \h </w:instrText>
            </w:r>
            <w:r>
              <w:rPr>
                <w:webHidden/>
              </w:rPr>
            </w:r>
            <w:r>
              <w:rPr>
                <w:webHidden/>
              </w:rPr>
              <w:fldChar w:fldCharType="separate"/>
            </w:r>
            <w:r>
              <w:rPr>
                <w:webHidden/>
              </w:rPr>
              <w:t>14</w:t>
            </w:r>
            <w:r>
              <w:rPr>
                <w:webHidden/>
              </w:rPr>
              <w:fldChar w:fldCharType="end"/>
            </w:r>
          </w:hyperlink>
        </w:p>
        <w:p w14:paraId="3489A1E7" w14:textId="77777777" w:rsidR="004F53F2" w:rsidRDefault="004F53F2">
          <w:pPr>
            <w:pStyle w:val="TOC2"/>
            <w:rPr>
              <w:rFonts w:asciiTheme="minorHAnsi" w:eastAsiaTheme="minorEastAsia" w:hAnsiTheme="minorHAnsi" w:cstheme="minorBidi"/>
              <w:color w:val="auto"/>
              <w:szCs w:val="22"/>
            </w:rPr>
          </w:pPr>
          <w:hyperlink w:anchor="_Toc493848966" w:history="1">
            <w:r w:rsidRPr="00895F85">
              <w:rPr>
                <w:rStyle w:val="Hyperlink"/>
              </w:rPr>
              <w:t>Government support for affordable housing</w:t>
            </w:r>
            <w:r>
              <w:rPr>
                <w:webHidden/>
              </w:rPr>
              <w:tab/>
            </w:r>
            <w:r>
              <w:rPr>
                <w:webHidden/>
              </w:rPr>
              <w:fldChar w:fldCharType="begin"/>
            </w:r>
            <w:r>
              <w:rPr>
                <w:webHidden/>
              </w:rPr>
              <w:instrText xml:space="preserve"> PAGEREF _Toc493848966 \h </w:instrText>
            </w:r>
            <w:r>
              <w:rPr>
                <w:webHidden/>
              </w:rPr>
            </w:r>
            <w:r>
              <w:rPr>
                <w:webHidden/>
              </w:rPr>
              <w:fldChar w:fldCharType="separate"/>
            </w:r>
            <w:r>
              <w:rPr>
                <w:webHidden/>
              </w:rPr>
              <w:t>18</w:t>
            </w:r>
            <w:r>
              <w:rPr>
                <w:webHidden/>
              </w:rPr>
              <w:fldChar w:fldCharType="end"/>
            </w:r>
          </w:hyperlink>
        </w:p>
        <w:p w14:paraId="1F14E22D" w14:textId="77777777" w:rsidR="004F53F2" w:rsidRPr="004F53F2" w:rsidRDefault="004F53F2" w:rsidP="0046224F">
          <w:pPr>
            <w:pStyle w:val="TOC1"/>
            <w:rPr>
              <w:rFonts w:eastAsiaTheme="minorEastAsia"/>
            </w:rPr>
          </w:pPr>
          <w:hyperlink w:anchor="_Toc493848967" w:history="1">
            <w:r w:rsidRPr="004F53F2">
              <w:rPr>
                <w:rStyle w:val="Hyperlink"/>
                <w:b/>
                <w:color w:val="18424D" w:themeColor="accent6" w:themeShade="80"/>
              </w:rPr>
              <w:t>4.</w:t>
            </w:r>
            <w:r w:rsidRPr="004F53F2">
              <w:rPr>
                <w:rFonts w:eastAsiaTheme="minorEastAsia"/>
              </w:rPr>
              <w:tab/>
            </w:r>
            <w:r w:rsidRPr="004F53F2">
              <w:rPr>
                <w:rStyle w:val="Hyperlink"/>
                <w:b/>
                <w:color w:val="18424D" w:themeColor="accent6" w:themeShade="80"/>
              </w:rPr>
              <w:t>Strengthening the regulatory framework for community housing</w:t>
            </w:r>
            <w:r w:rsidRPr="004F53F2">
              <w:rPr>
                <w:webHidden/>
              </w:rPr>
              <w:tab/>
            </w:r>
            <w:r w:rsidRPr="004F53F2">
              <w:rPr>
                <w:webHidden/>
              </w:rPr>
              <w:fldChar w:fldCharType="begin"/>
            </w:r>
            <w:r w:rsidRPr="004F53F2">
              <w:rPr>
                <w:webHidden/>
              </w:rPr>
              <w:instrText xml:space="preserve"> PAGEREF _Toc493848967 \h </w:instrText>
            </w:r>
            <w:r w:rsidRPr="004F53F2">
              <w:rPr>
                <w:webHidden/>
              </w:rPr>
            </w:r>
            <w:r w:rsidRPr="004F53F2">
              <w:rPr>
                <w:webHidden/>
              </w:rPr>
              <w:fldChar w:fldCharType="separate"/>
            </w:r>
            <w:r w:rsidRPr="004F53F2">
              <w:rPr>
                <w:webHidden/>
              </w:rPr>
              <w:t>20</w:t>
            </w:r>
            <w:r w:rsidRPr="004F53F2">
              <w:rPr>
                <w:webHidden/>
              </w:rPr>
              <w:fldChar w:fldCharType="end"/>
            </w:r>
          </w:hyperlink>
        </w:p>
        <w:p w14:paraId="7F35A838" w14:textId="77777777" w:rsidR="004F53F2" w:rsidRDefault="004F53F2">
          <w:pPr>
            <w:pStyle w:val="TOC2"/>
            <w:rPr>
              <w:rFonts w:asciiTheme="minorHAnsi" w:eastAsiaTheme="minorEastAsia" w:hAnsiTheme="minorHAnsi" w:cstheme="minorBidi"/>
              <w:color w:val="auto"/>
              <w:szCs w:val="22"/>
            </w:rPr>
          </w:pPr>
          <w:hyperlink w:anchor="_Toc493848968" w:history="1">
            <w:r w:rsidRPr="00895F85">
              <w:rPr>
                <w:rStyle w:val="Hyperlink"/>
              </w:rPr>
              <w:t>Current regulatory settings</w:t>
            </w:r>
            <w:r>
              <w:rPr>
                <w:webHidden/>
              </w:rPr>
              <w:tab/>
            </w:r>
            <w:r>
              <w:rPr>
                <w:webHidden/>
              </w:rPr>
              <w:fldChar w:fldCharType="begin"/>
            </w:r>
            <w:r>
              <w:rPr>
                <w:webHidden/>
              </w:rPr>
              <w:instrText xml:space="preserve"> PAGEREF _Toc493848968 \h </w:instrText>
            </w:r>
            <w:r>
              <w:rPr>
                <w:webHidden/>
              </w:rPr>
            </w:r>
            <w:r>
              <w:rPr>
                <w:webHidden/>
              </w:rPr>
              <w:fldChar w:fldCharType="separate"/>
            </w:r>
            <w:r>
              <w:rPr>
                <w:webHidden/>
              </w:rPr>
              <w:t>20</w:t>
            </w:r>
            <w:r>
              <w:rPr>
                <w:webHidden/>
              </w:rPr>
              <w:fldChar w:fldCharType="end"/>
            </w:r>
          </w:hyperlink>
        </w:p>
        <w:p w14:paraId="48835E4F" w14:textId="77777777" w:rsidR="004F53F2" w:rsidRDefault="004F53F2">
          <w:pPr>
            <w:pStyle w:val="TOC2"/>
            <w:rPr>
              <w:rFonts w:asciiTheme="minorHAnsi" w:eastAsiaTheme="minorEastAsia" w:hAnsiTheme="minorHAnsi" w:cstheme="minorBidi"/>
              <w:color w:val="auto"/>
              <w:szCs w:val="22"/>
            </w:rPr>
          </w:pPr>
          <w:hyperlink w:anchor="_Toc493848969" w:history="1">
            <w:r w:rsidRPr="00895F85">
              <w:rPr>
                <w:rStyle w:val="Hyperlink"/>
              </w:rPr>
              <w:t>The nature of the regulatory problem</w:t>
            </w:r>
            <w:r>
              <w:rPr>
                <w:webHidden/>
              </w:rPr>
              <w:tab/>
            </w:r>
            <w:r>
              <w:rPr>
                <w:webHidden/>
              </w:rPr>
              <w:fldChar w:fldCharType="begin"/>
            </w:r>
            <w:r>
              <w:rPr>
                <w:webHidden/>
              </w:rPr>
              <w:instrText xml:space="preserve"> PAGEREF _Toc493848969 \h </w:instrText>
            </w:r>
            <w:r>
              <w:rPr>
                <w:webHidden/>
              </w:rPr>
            </w:r>
            <w:r>
              <w:rPr>
                <w:webHidden/>
              </w:rPr>
              <w:fldChar w:fldCharType="separate"/>
            </w:r>
            <w:r>
              <w:rPr>
                <w:webHidden/>
              </w:rPr>
              <w:t>21</w:t>
            </w:r>
            <w:r>
              <w:rPr>
                <w:webHidden/>
              </w:rPr>
              <w:fldChar w:fldCharType="end"/>
            </w:r>
          </w:hyperlink>
        </w:p>
        <w:p w14:paraId="72C5E12D" w14:textId="77777777" w:rsidR="004F53F2" w:rsidRDefault="004F53F2">
          <w:pPr>
            <w:pStyle w:val="TOC2"/>
            <w:rPr>
              <w:rFonts w:asciiTheme="minorHAnsi" w:eastAsiaTheme="minorEastAsia" w:hAnsiTheme="minorHAnsi" w:cstheme="minorBidi"/>
              <w:color w:val="auto"/>
              <w:szCs w:val="22"/>
            </w:rPr>
          </w:pPr>
          <w:hyperlink w:anchor="_Toc493848970" w:history="1">
            <w:r w:rsidRPr="00895F85">
              <w:rPr>
                <w:rStyle w:val="Hyperlink"/>
              </w:rPr>
              <w:t>Options for reform</w:t>
            </w:r>
            <w:r>
              <w:rPr>
                <w:webHidden/>
              </w:rPr>
              <w:tab/>
            </w:r>
            <w:r>
              <w:rPr>
                <w:webHidden/>
              </w:rPr>
              <w:fldChar w:fldCharType="begin"/>
            </w:r>
            <w:r>
              <w:rPr>
                <w:webHidden/>
              </w:rPr>
              <w:instrText xml:space="preserve"> PAGEREF _Toc493848970 \h </w:instrText>
            </w:r>
            <w:r>
              <w:rPr>
                <w:webHidden/>
              </w:rPr>
            </w:r>
            <w:r>
              <w:rPr>
                <w:webHidden/>
              </w:rPr>
              <w:fldChar w:fldCharType="separate"/>
            </w:r>
            <w:r>
              <w:rPr>
                <w:webHidden/>
              </w:rPr>
              <w:t>24</w:t>
            </w:r>
            <w:r>
              <w:rPr>
                <w:webHidden/>
              </w:rPr>
              <w:fldChar w:fldCharType="end"/>
            </w:r>
          </w:hyperlink>
        </w:p>
        <w:p w14:paraId="2C5C6B71" w14:textId="77777777" w:rsidR="004F53F2" w:rsidRDefault="004F53F2">
          <w:pPr>
            <w:pStyle w:val="TOC2"/>
            <w:rPr>
              <w:rFonts w:asciiTheme="minorHAnsi" w:eastAsiaTheme="minorEastAsia" w:hAnsiTheme="minorHAnsi" w:cstheme="minorBidi"/>
              <w:color w:val="auto"/>
              <w:szCs w:val="22"/>
            </w:rPr>
          </w:pPr>
          <w:hyperlink w:anchor="_Toc493848971" w:history="1">
            <w:r w:rsidRPr="00895F85">
              <w:rPr>
                <w:rStyle w:val="Hyperlink"/>
              </w:rPr>
              <w:t>A path to a stronger, nationally consistent framework</w:t>
            </w:r>
            <w:r>
              <w:rPr>
                <w:webHidden/>
              </w:rPr>
              <w:tab/>
            </w:r>
            <w:r>
              <w:rPr>
                <w:webHidden/>
              </w:rPr>
              <w:fldChar w:fldCharType="begin"/>
            </w:r>
            <w:r>
              <w:rPr>
                <w:webHidden/>
              </w:rPr>
              <w:instrText xml:space="preserve"> PAGEREF _Toc493848971 \h </w:instrText>
            </w:r>
            <w:r>
              <w:rPr>
                <w:webHidden/>
              </w:rPr>
            </w:r>
            <w:r>
              <w:rPr>
                <w:webHidden/>
              </w:rPr>
              <w:fldChar w:fldCharType="separate"/>
            </w:r>
            <w:r>
              <w:rPr>
                <w:webHidden/>
              </w:rPr>
              <w:t>26</w:t>
            </w:r>
            <w:r>
              <w:rPr>
                <w:webHidden/>
              </w:rPr>
              <w:fldChar w:fldCharType="end"/>
            </w:r>
          </w:hyperlink>
        </w:p>
        <w:p w14:paraId="70929DB2" w14:textId="77777777" w:rsidR="004F53F2" w:rsidRDefault="004F53F2" w:rsidP="0046224F">
          <w:pPr>
            <w:pStyle w:val="TOC1"/>
            <w:rPr>
              <w:rFonts w:asciiTheme="minorHAnsi" w:eastAsiaTheme="minorEastAsia" w:hAnsiTheme="minorHAnsi" w:cstheme="minorBidi"/>
              <w:color w:val="auto"/>
              <w:szCs w:val="22"/>
            </w:rPr>
          </w:pPr>
          <w:hyperlink w:anchor="_Toc493848972" w:history="1">
            <w:r w:rsidRPr="00895F85">
              <w:rPr>
                <w:rStyle w:val="Hyperlink"/>
              </w:rPr>
              <w:t>5.</w:t>
            </w:r>
            <w:r>
              <w:rPr>
                <w:rFonts w:asciiTheme="minorHAnsi" w:eastAsiaTheme="minorEastAsia" w:hAnsiTheme="minorHAnsi" w:cstheme="minorBidi"/>
                <w:color w:val="auto"/>
                <w:szCs w:val="22"/>
              </w:rPr>
              <w:tab/>
            </w:r>
            <w:r w:rsidRPr="00895F85">
              <w:rPr>
                <w:rStyle w:val="Hyperlink"/>
              </w:rPr>
              <w:t>Broader reforms to assist housing affordability</w:t>
            </w:r>
            <w:r>
              <w:rPr>
                <w:webHidden/>
              </w:rPr>
              <w:tab/>
            </w:r>
            <w:r>
              <w:rPr>
                <w:webHidden/>
              </w:rPr>
              <w:fldChar w:fldCharType="begin"/>
            </w:r>
            <w:r>
              <w:rPr>
                <w:webHidden/>
              </w:rPr>
              <w:instrText xml:space="preserve"> PAGEREF _Toc493848972 \h </w:instrText>
            </w:r>
            <w:r>
              <w:rPr>
                <w:webHidden/>
              </w:rPr>
            </w:r>
            <w:r>
              <w:rPr>
                <w:webHidden/>
              </w:rPr>
              <w:fldChar w:fldCharType="separate"/>
            </w:r>
            <w:r>
              <w:rPr>
                <w:webHidden/>
              </w:rPr>
              <w:t>28</w:t>
            </w:r>
            <w:r>
              <w:rPr>
                <w:webHidden/>
              </w:rPr>
              <w:fldChar w:fldCharType="end"/>
            </w:r>
          </w:hyperlink>
        </w:p>
        <w:p w14:paraId="43B8B917" w14:textId="77777777" w:rsidR="004F53F2" w:rsidRDefault="004F53F2">
          <w:pPr>
            <w:pStyle w:val="TOC2"/>
            <w:rPr>
              <w:rFonts w:asciiTheme="minorHAnsi" w:eastAsiaTheme="minorEastAsia" w:hAnsiTheme="minorHAnsi" w:cstheme="minorBidi"/>
              <w:color w:val="auto"/>
              <w:szCs w:val="22"/>
            </w:rPr>
          </w:pPr>
          <w:hyperlink w:anchor="_Toc493848973" w:history="1">
            <w:r w:rsidRPr="00895F85">
              <w:rPr>
                <w:rStyle w:val="Hyperlink"/>
              </w:rPr>
              <w:t>Planning and zoning</w:t>
            </w:r>
            <w:r>
              <w:rPr>
                <w:webHidden/>
              </w:rPr>
              <w:tab/>
            </w:r>
            <w:r>
              <w:rPr>
                <w:webHidden/>
              </w:rPr>
              <w:fldChar w:fldCharType="begin"/>
            </w:r>
            <w:r>
              <w:rPr>
                <w:webHidden/>
              </w:rPr>
              <w:instrText xml:space="preserve"> PAGEREF _Toc493848973 \h </w:instrText>
            </w:r>
            <w:r>
              <w:rPr>
                <w:webHidden/>
              </w:rPr>
            </w:r>
            <w:r>
              <w:rPr>
                <w:webHidden/>
              </w:rPr>
              <w:fldChar w:fldCharType="separate"/>
            </w:r>
            <w:r>
              <w:rPr>
                <w:webHidden/>
              </w:rPr>
              <w:t>28</w:t>
            </w:r>
            <w:r>
              <w:rPr>
                <w:webHidden/>
              </w:rPr>
              <w:fldChar w:fldCharType="end"/>
            </w:r>
          </w:hyperlink>
        </w:p>
        <w:p w14:paraId="20A171C3" w14:textId="77777777" w:rsidR="004F53F2" w:rsidRDefault="004F53F2">
          <w:pPr>
            <w:pStyle w:val="TOC2"/>
            <w:rPr>
              <w:rFonts w:asciiTheme="minorHAnsi" w:eastAsiaTheme="minorEastAsia" w:hAnsiTheme="minorHAnsi" w:cstheme="minorBidi"/>
              <w:color w:val="auto"/>
              <w:szCs w:val="22"/>
            </w:rPr>
          </w:pPr>
          <w:hyperlink w:anchor="_Toc493848974" w:history="1">
            <w:r w:rsidRPr="00895F85">
              <w:rPr>
                <w:rStyle w:val="Hyperlink"/>
              </w:rPr>
              <w:t>Efficient use of resources</w:t>
            </w:r>
            <w:r>
              <w:rPr>
                <w:webHidden/>
              </w:rPr>
              <w:tab/>
            </w:r>
            <w:r>
              <w:rPr>
                <w:webHidden/>
              </w:rPr>
              <w:fldChar w:fldCharType="begin"/>
            </w:r>
            <w:r>
              <w:rPr>
                <w:webHidden/>
              </w:rPr>
              <w:instrText xml:space="preserve"> PAGEREF _Toc493848974 \h </w:instrText>
            </w:r>
            <w:r>
              <w:rPr>
                <w:webHidden/>
              </w:rPr>
            </w:r>
            <w:r>
              <w:rPr>
                <w:webHidden/>
              </w:rPr>
              <w:fldChar w:fldCharType="separate"/>
            </w:r>
            <w:r>
              <w:rPr>
                <w:webHidden/>
              </w:rPr>
              <w:t>29</w:t>
            </w:r>
            <w:r>
              <w:rPr>
                <w:webHidden/>
              </w:rPr>
              <w:fldChar w:fldCharType="end"/>
            </w:r>
          </w:hyperlink>
        </w:p>
        <w:p w14:paraId="6C96077A" w14:textId="77777777" w:rsidR="004F53F2" w:rsidRDefault="004F53F2" w:rsidP="0046224F">
          <w:pPr>
            <w:pStyle w:val="TOC1"/>
            <w:rPr>
              <w:rFonts w:asciiTheme="minorHAnsi" w:eastAsiaTheme="minorEastAsia" w:hAnsiTheme="minorHAnsi" w:cstheme="minorBidi"/>
              <w:color w:val="auto"/>
              <w:szCs w:val="22"/>
            </w:rPr>
          </w:pPr>
          <w:hyperlink w:anchor="_Toc493848975" w:history="1">
            <w:r w:rsidRPr="00895F85">
              <w:rPr>
                <w:rStyle w:val="Hyperlink"/>
              </w:rPr>
              <w:t>6.</w:t>
            </w:r>
            <w:r>
              <w:rPr>
                <w:rFonts w:asciiTheme="minorHAnsi" w:eastAsiaTheme="minorEastAsia" w:hAnsiTheme="minorHAnsi" w:cstheme="minorBidi"/>
                <w:color w:val="auto"/>
                <w:szCs w:val="22"/>
              </w:rPr>
              <w:tab/>
            </w:r>
            <w:r w:rsidRPr="00895F85">
              <w:rPr>
                <w:rStyle w:val="Hyperlink"/>
              </w:rPr>
              <w:t>The need for a collaborative approach</w:t>
            </w:r>
            <w:r>
              <w:rPr>
                <w:webHidden/>
              </w:rPr>
              <w:tab/>
            </w:r>
            <w:r>
              <w:rPr>
                <w:webHidden/>
              </w:rPr>
              <w:fldChar w:fldCharType="begin"/>
            </w:r>
            <w:r>
              <w:rPr>
                <w:webHidden/>
              </w:rPr>
              <w:instrText xml:space="preserve"> PAGEREF _Toc493848975 \h </w:instrText>
            </w:r>
            <w:r>
              <w:rPr>
                <w:webHidden/>
              </w:rPr>
            </w:r>
            <w:r>
              <w:rPr>
                <w:webHidden/>
              </w:rPr>
              <w:fldChar w:fldCharType="separate"/>
            </w:r>
            <w:r>
              <w:rPr>
                <w:webHidden/>
              </w:rPr>
              <w:t>31</w:t>
            </w:r>
            <w:r>
              <w:rPr>
                <w:webHidden/>
              </w:rPr>
              <w:fldChar w:fldCharType="end"/>
            </w:r>
          </w:hyperlink>
        </w:p>
        <w:p w14:paraId="52A9B1A7" w14:textId="77777777" w:rsidR="004F53F2" w:rsidRDefault="004F53F2" w:rsidP="0046224F">
          <w:pPr>
            <w:pStyle w:val="TOC1"/>
            <w:rPr>
              <w:rFonts w:asciiTheme="minorHAnsi" w:eastAsiaTheme="minorEastAsia" w:hAnsiTheme="minorHAnsi" w:cstheme="minorBidi"/>
              <w:color w:val="auto"/>
              <w:szCs w:val="22"/>
            </w:rPr>
          </w:pPr>
          <w:hyperlink w:anchor="_Toc493848976" w:history="1">
            <w:r w:rsidRPr="00895F85">
              <w:rPr>
                <w:rStyle w:val="Hyperlink"/>
              </w:rPr>
              <w:t>References</w:t>
            </w:r>
            <w:r>
              <w:rPr>
                <w:webHidden/>
              </w:rPr>
              <w:tab/>
            </w:r>
            <w:r>
              <w:rPr>
                <w:webHidden/>
              </w:rPr>
              <w:fldChar w:fldCharType="begin"/>
            </w:r>
            <w:r>
              <w:rPr>
                <w:webHidden/>
              </w:rPr>
              <w:instrText xml:space="preserve"> PAGEREF _Toc493848976 \h </w:instrText>
            </w:r>
            <w:r>
              <w:rPr>
                <w:webHidden/>
              </w:rPr>
            </w:r>
            <w:r>
              <w:rPr>
                <w:webHidden/>
              </w:rPr>
              <w:fldChar w:fldCharType="separate"/>
            </w:r>
            <w:r>
              <w:rPr>
                <w:webHidden/>
              </w:rPr>
              <w:t>32</w:t>
            </w:r>
            <w:r>
              <w:rPr>
                <w:webHidden/>
              </w:rPr>
              <w:fldChar w:fldCharType="end"/>
            </w:r>
          </w:hyperlink>
        </w:p>
        <w:p w14:paraId="531147E2" w14:textId="77777777" w:rsidR="004F53F2" w:rsidRDefault="004F53F2" w:rsidP="0046224F">
          <w:pPr>
            <w:pStyle w:val="TOC1"/>
            <w:rPr>
              <w:rFonts w:asciiTheme="minorHAnsi" w:eastAsiaTheme="minorEastAsia" w:hAnsiTheme="minorHAnsi" w:cstheme="minorBidi"/>
              <w:color w:val="auto"/>
              <w:szCs w:val="22"/>
            </w:rPr>
          </w:pPr>
          <w:hyperlink w:anchor="_Toc493848977" w:history="1">
            <w:r w:rsidRPr="00895F85">
              <w:rPr>
                <w:rStyle w:val="Hyperlink"/>
              </w:rPr>
              <w:t>Annex 1:</w:t>
            </w:r>
            <w:r>
              <w:rPr>
                <w:rFonts w:asciiTheme="minorHAnsi" w:eastAsiaTheme="minorEastAsia" w:hAnsiTheme="minorHAnsi" w:cstheme="minorBidi"/>
                <w:color w:val="auto"/>
                <w:szCs w:val="22"/>
              </w:rPr>
              <w:tab/>
            </w:r>
            <w:r w:rsidRPr="00895F85">
              <w:rPr>
                <w:rStyle w:val="Hyperlink"/>
              </w:rPr>
              <w:t>Potential Partnership Models to Deliver Mixed Tenure, Integrated Affordable Housing Projects</w:t>
            </w:r>
            <w:r>
              <w:rPr>
                <w:webHidden/>
              </w:rPr>
              <w:tab/>
            </w:r>
            <w:r>
              <w:rPr>
                <w:webHidden/>
              </w:rPr>
              <w:fldChar w:fldCharType="begin"/>
            </w:r>
            <w:r>
              <w:rPr>
                <w:webHidden/>
              </w:rPr>
              <w:instrText xml:space="preserve"> PAGEREF _Toc493848977 \h </w:instrText>
            </w:r>
            <w:r>
              <w:rPr>
                <w:webHidden/>
              </w:rPr>
            </w:r>
            <w:r>
              <w:rPr>
                <w:webHidden/>
              </w:rPr>
              <w:fldChar w:fldCharType="separate"/>
            </w:r>
            <w:r>
              <w:rPr>
                <w:webHidden/>
              </w:rPr>
              <w:t>33</w:t>
            </w:r>
            <w:r>
              <w:rPr>
                <w:webHidden/>
              </w:rPr>
              <w:fldChar w:fldCharType="end"/>
            </w:r>
          </w:hyperlink>
        </w:p>
        <w:p w14:paraId="58FF7860" w14:textId="77777777" w:rsidR="004F53F2" w:rsidRDefault="004F53F2" w:rsidP="0046224F">
          <w:pPr>
            <w:pStyle w:val="TOC1"/>
            <w:rPr>
              <w:rFonts w:asciiTheme="minorHAnsi" w:eastAsiaTheme="minorEastAsia" w:hAnsiTheme="minorHAnsi" w:cstheme="minorBidi"/>
              <w:color w:val="auto"/>
              <w:szCs w:val="22"/>
            </w:rPr>
          </w:pPr>
          <w:hyperlink w:anchor="_Toc493848978" w:history="1">
            <w:r w:rsidRPr="00895F85">
              <w:rPr>
                <w:rStyle w:val="Hyperlink"/>
              </w:rPr>
              <w:t>Annex 2:</w:t>
            </w:r>
            <w:r>
              <w:rPr>
                <w:rFonts w:asciiTheme="minorHAnsi" w:eastAsiaTheme="minorEastAsia" w:hAnsiTheme="minorHAnsi" w:cstheme="minorBidi"/>
                <w:color w:val="auto"/>
                <w:szCs w:val="22"/>
              </w:rPr>
              <w:tab/>
            </w:r>
            <w:r w:rsidRPr="00895F85">
              <w:rPr>
                <w:rStyle w:val="Hyperlink"/>
              </w:rPr>
              <w:t>Project Summary: ONE ON ABERDEEN Northbridge</w:t>
            </w:r>
            <w:r>
              <w:rPr>
                <w:webHidden/>
              </w:rPr>
              <w:tab/>
            </w:r>
            <w:r>
              <w:rPr>
                <w:webHidden/>
              </w:rPr>
              <w:fldChar w:fldCharType="begin"/>
            </w:r>
            <w:r>
              <w:rPr>
                <w:webHidden/>
              </w:rPr>
              <w:instrText xml:space="preserve"> PAGEREF _Toc493848978 \h </w:instrText>
            </w:r>
            <w:r>
              <w:rPr>
                <w:webHidden/>
              </w:rPr>
            </w:r>
            <w:r>
              <w:rPr>
                <w:webHidden/>
              </w:rPr>
              <w:fldChar w:fldCharType="separate"/>
            </w:r>
            <w:r>
              <w:rPr>
                <w:webHidden/>
              </w:rPr>
              <w:t>35</w:t>
            </w:r>
            <w:r>
              <w:rPr>
                <w:webHidden/>
              </w:rPr>
              <w:fldChar w:fldCharType="end"/>
            </w:r>
          </w:hyperlink>
        </w:p>
        <w:p w14:paraId="5BB9DB75" w14:textId="77777777" w:rsidR="004F53F2" w:rsidRDefault="004F53F2" w:rsidP="0046224F">
          <w:pPr>
            <w:pStyle w:val="TOC1"/>
            <w:rPr>
              <w:rFonts w:asciiTheme="minorHAnsi" w:eastAsiaTheme="minorEastAsia" w:hAnsiTheme="minorHAnsi" w:cstheme="minorBidi"/>
              <w:color w:val="auto"/>
              <w:szCs w:val="22"/>
            </w:rPr>
          </w:pPr>
          <w:hyperlink w:anchor="_Toc493848979" w:history="1">
            <w:r w:rsidRPr="00895F85">
              <w:rPr>
                <w:rStyle w:val="Hyperlink"/>
              </w:rPr>
              <w:t>Annex 3:</w:t>
            </w:r>
            <w:r>
              <w:rPr>
                <w:rFonts w:asciiTheme="minorHAnsi" w:eastAsiaTheme="minorEastAsia" w:hAnsiTheme="minorHAnsi" w:cstheme="minorBidi"/>
                <w:color w:val="auto"/>
                <w:szCs w:val="22"/>
              </w:rPr>
              <w:tab/>
            </w:r>
            <w:r w:rsidRPr="00895F85">
              <w:rPr>
                <w:rStyle w:val="Hyperlink"/>
              </w:rPr>
              <w:t>Principles for meeting investor needs</w:t>
            </w:r>
            <w:r>
              <w:rPr>
                <w:webHidden/>
              </w:rPr>
              <w:tab/>
            </w:r>
            <w:r>
              <w:rPr>
                <w:webHidden/>
              </w:rPr>
              <w:fldChar w:fldCharType="begin"/>
            </w:r>
            <w:r>
              <w:rPr>
                <w:webHidden/>
              </w:rPr>
              <w:instrText xml:space="preserve"> PAGEREF _Toc493848979 \h </w:instrText>
            </w:r>
            <w:r>
              <w:rPr>
                <w:webHidden/>
              </w:rPr>
            </w:r>
            <w:r>
              <w:rPr>
                <w:webHidden/>
              </w:rPr>
              <w:fldChar w:fldCharType="separate"/>
            </w:r>
            <w:r>
              <w:rPr>
                <w:webHidden/>
              </w:rPr>
              <w:t>37</w:t>
            </w:r>
            <w:r>
              <w:rPr>
                <w:webHidden/>
              </w:rPr>
              <w:fldChar w:fldCharType="end"/>
            </w:r>
          </w:hyperlink>
        </w:p>
        <w:p w14:paraId="0424F684" w14:textId="77777777" w:rsidR="004F53F2" w:rsidRDefault="004F53F2" w:rsidP="0046224F">
          <w:pPr>
            <w:pStyle w:val="TOC1"/>
            <w:rPr>
              <w:rFonts w:asciiTheme="minorHAnsi" w:eastAsiaTheme="minorEastAsia" w:hAnsiTheme="minorHAnsi" w:cstheme="minorBidi"/>
              <w:color w:val="auto"/>
              <w:szCs w:val="22"/>
            </w:rPr>
          </w:pPr>
          <w:hyperlink w:anchor="_Toc493848980" w:history="1">
            <w:r w:rsidRPr="00895F85">
              <w:rPr>
                <w:rStyle w:val="Hyperlink"/>
              </w:rPr>
              <w:t>Annex 4:</w:t>
            </w:r>
            <w:r>
              <w:rPr>
                <w:rFonts w:asciiTheme="minorHAnsi" w:eastAsiaTheme="minorEastAsia" w:hAnsiTheme="minorHAnsi" w:cstheme="minorBidi"/>
                <w:color w:val="auto"/>
                <w:szCs w:val="22"/>
              </w:rPr>
              <w:tab/>
            </w:r>
            <w:r w:rsidRPr="00895F85">
              <w:rPr>
                <w:rStyle w:val="Hyperlink"/>
              </w:rPr>
              <w:t>Community housing sector regulation</w:t>
            </w:r>
            <w:r>
              <w:rPr>
                <w:webHidden/>
              </w:rPr>
              <w:tab/>
            </w:r>
            <w:r>
              <w:rPr>
                <w:webHidden/>
              </w:rPr>
              <w:fldChar w:fldCharType="begin"/>
            </w:r>
            <w:r>
              <w:rPr>
                <w:webHidden/>
              </w:rPr>
              <w:instrText xml:space="preserve"> PAGEREF _Toc493848980 \h </w:instrText>
            </w:r>
            <w:r>
              <w:rPr>
                <w:webHidden/>
              </w:rPr>
            </w:r>
            <w:r>
              <w:rPr>
                <w:webHidden/>
              </w:rPr>
              <w:fldChar w:fldCharType="separate"/>
            </w:r>
            <w:r>
              <w:rPr>
                <w:webHidden/>
              </w:rPr>
              <w:t>41</w:t>
            </w:r>
            <w:r>
              <w:rPr>
                <w:webHidden/>
              </w:rPr>
              <w:fldChar w:fldCharType="end"/>
            </w:r>
          </w:hyperlink>
        </w:p>
        <w:p w14:paraId="1911E5B8" w14:textId="77777777" w:rsidR="004F53F2" w:rsidRDefault="004F53F2">
          <w:pPr>
            <w:pStyle w:val="TOC2"/>
            <w:rPr>
              <w:rFonts w:asciiTheme="minorHAnsi" w:eastAsiaTheme="minorEastAsia" w:hAnsiTheme="minorHAnsi" w:cstheme="minorBidi"/>
              <w:color w:val="auto"/>
              <w:szCs w:val="22"/>
            </w:rPr>
          </w:pPr>
          <w:hyperlink w:anchor="_Toc493848981" w:history="1">
            <w:r w:rsidRPr="00895F85">
              <w:rPr>
                <w:rStyle w:val="Hyperlink"/>
              </w:rPr>
              <w:t>Reporting financial viability</w:t>
            </w:r>
            <w:r>
              <w:rPr>
                <w:webHidden/>
              </w:rPr>
              <w:tab/>
            </w:r>
            <w:r>
              <w:rPr>
                <w:webHidden/>
              </w:rPr>
              <w:fldChar w:fldCharType="begin"/>
            </w:r>
            <w:r>
              <w:rPr>
                <w:webHidden/>
              </w:rPr>
              <w:instrText xml:space="preserve"> PAGEREF _Toc493848981 \h </w:instrText>
            </w:r>
            <w:r>
              <w:rPr>
                <w:webHidden/>
              </w:rPr>
            </w:r>
            <w:r>
              <w:rPr>
                <w:webHidden/>
              </w:rPr>
              <w:fldChar w:fldCharType="separate"/>
            </w:r>
            <w:r>
              <w:rPr>
                <w:webHidden/>
              </w:rPr>
              <w:t>42</w:t>
            </w:r>
            <w:r>
              <w:rPr>
                <w:webHidden/>
              </w:rPr>
              <w:fldChar w:fldCharType="end"/>
            </w:r>
          </w:hyperlink>
        </w:p>
        <w:p w14:paraId="5EA68D6C" w14:textId="77777777" w:rsidR="004F53F2" w:rsidRDefault="004F53F2">
          <w:pPr>
            <w:pStyle w:val="TOC2"/>
            <w:rPr>
              <w:rFonts w:asciiTheme="minorHAnsi" w:eastAsiaTheme="minorEastAsia" w:hAnsiTheme="minorHAnsi" w:cstheme="minorBidi"/>
              <w:color w:val="auto"/>
              <w:szCs w:val="22"/>
            </w:rPr>
          </w:pPr>
          <w:hyperlink w:anchor="_Toc493848982" w:history="1">
            <w:r w:rsidRPr="00895F85">
              <w:rPr>
                <w:rStyle w:val="Hyperlink"/>
              </w:rPr>
              <w:t>Reporting asset management performance</w:t>
            </w:r>
            <w:r>
              <w:rPr>
                <w:webHidden/>
              </w:rPr>
              <w:tab/>
            </w:r>
            <w:r>
              <w:rPr>
                <w:webHidden/>
              </w:rPr>
              <w:fldChar w:fldCharType="begin"/>
            </w:r>
            <w:r>
              <w:rPr>
                <w:webHidden/>
              </w:rPr>
              <w:instrText xml:space="preserve"> PAGEREF _Toc493848982 \h </w:instrText>
            </w:r>
            <w:r>
              <w:rPr>
                <w:webHidden/>
              </w:rPr>
            </w:r>
            <w:r>
              <w:rPr>
                <w:webHidden/>
              </w:rPr>
              <w:fldChar w:fldCharType="separate"/>
            </w:r>
            <w:r>
              <w:rPr>
                <w:webHidden/>
              </w:rPr>
              <w:t>42</w:t>
            </w:r>
            <w:r>
              <w:rPr>
                <w:webHidden/>
              </w:rPr>
              <w:fldChar w:fldCharType="end"/>
            </w:r>
          </w:hyperlink>
        </w:p>
        <w:p w14:paraId="6F786AAC" w14:textId="63920E7C" w:rsidR="00742C4D" w:rsidRDefault="003C3B8B" w:rsidP="00F87B50">
          <w:pPr>
            <w:pStyle w:val="Singleparagraph"/>
            <w:rPr>
              <w:b/>
            </w:rPr>
          </w:pPr>
          <w:r>
            <w:fldChar w:fldCharType="end"/>
          </w:r>
        </w:p>
      </w:sdtContent>
    </w:sdt>
    <w:bookmarkStart w:id="0" w:name="_Toc441481235" w:displacedByCustomXml="prev"/>
    <w:bookmarkStart w:id="1" w:name="_Toc441133915" w:displacedByCustomXml="prev"/>
    <w:bookmarkStart w:id="2" w:name="_Toc441821602" w:displacedByCustomXml="prev"/>
    <w:p w14:paraId="75429837" w14:textId="24231A44" w:rsidR="00742C4D" w:rsidRDefault="00742C4D" w:rsidP="00742C4D"/>
    <w:p w14:paraId="71B3672F" w14:textId="7D565564" w:rsidR="00742C4D" w:rsidRDefault="00742C4D" w:rsidP="00742C4D">
      <w:pPr>
        <w:tabs>
          <w:tab w:val="left" w:pos="2095"/>
        </w:tabs>
      </w:pPr>
    </w:p>
    <w:p w14:paraId="5DFD4B9D" w14:textId="34360352" w:rsidR="006E7E99" w:rsidRPr="00742C4D" w:rsidRDefault="006E7E99" w:rsidP="00742C4D">
      <w:pPr>
        <w:sectPr w:rsidR="006E7E99" w:rsidRPr="00742C4D" w:rsidSect="002F3F5F">
          <w:headerReference w:type="default" r:id="rId25"/>
          <w:footerReference w:type="default" r:id="rId26"/>
          <w:headerReference w:type="first" r:id="rId27"/>
          <w:footerReference w:type="first" r:id="rId28"/>
          <w:type w:val="oddPage"/>
          <w:pgSz w:w="11906" w:h="16838"/>
          <w:pgMar w:top="1440" w:right="1440" w:bottom="1440" w:left="1440" w:header="567" w:footer="708" w:gutter="0"/>
          <w:pgNumType w:start="1"/>
          <w:cols w:space="708"/>
          <w:docGrid w:linePitch="360"/>
        </w:sectPr>
      </w:pPr>
    </w:p>
    <w:p w14:paraId="79A136A0" w14:textId="2ED5CAC3" w:rsidR="006E7E99" w:rsidRDefault="006E7E99" w:rsidP="00BC33F1">
      <w:pPr>
        <w:pStyle w:val="Heading1"/>
        <w:rPr>
          <w:color w:val="246373"/>
        </w:rPr>
      </w:pPr>
      <w:bookmarkStart w:id="3" w:name="_Toc454454049"/>
      <w:bookmarkStart w:id="4" w:name="_Toc454464195"/>
      <w:bookmarkStart w:id="5" w:name="_Toc454554450"/>
      <w:bookmarkStart w:id="6" w:name="_Toc454796822"/>
      <w:bookmarkStart w:id="7" w:name="_Toc454814849"/>
      <w:bookmarkStart w:id="8" w:name="_Toc454877595"/>
      <w:bookmarkStart w:id="9" w:name="_Toc454895592"/>
      <w:bookmarkStart w:id="10" w:name="_Toc454898971"/>
      <w:bookmarkStart w:id="11" w:name="_Toc454961214"/>
      <w:bookmarkStart w:id="12" w:name="_Toc454977979"/>
      <w:bookmarkStart w:id="13" w:name="_Toc454979626"/>
      <w:bookmarkStart w:id="14" w:name="_Toc456193748"/>
      <w:bookmarkStart w:id="15" w:name="_Toc456362947"/>
      <w:bookmarkStart w:id="16" w:name="_Toc456713868"/>
      <w:bookmarkStart w:id="17" w:name="_Toc456887679"/>
      <w:bookmarkStart w:id="18" w:name="_Toc463519427"/>
      <w:bookmarkStart w:id="19" w:name="_Toc485750935"/>
      <w:bookmarkStart w:id="20" w:name="_Toc487814088"/>
      <w:bookmarkStart w:id="21" w:name="_Toc493848956"/>
      <w:r>
        <w:lastRenderedPageBreak/>
        <w:t xml:space="preserve">Executive </w:t>
      </w:r>
      <w:r w:rsidR="00455369">
        <w:rPr>
          <w:color w:val="246373"/>
        </w:rPr>
        <w:t>s</w:t>
      </w:r>
      <w:r w:rsidRPr="005F72F6">
        <w:rPr>
          <w:color w:val="246373"/>
        </w:rPr>
        <w:t>u</w:t>
      </w:r>
      <w:r w:rsidRPr="00F40639">
        <w:rPr>
          <w:color w:val="246373"/>
        </w:rPr>
        <w:t>m</w:t>
      </w:r>
      <w:r w:rsidRPr="005F72F6">
        <w:rPr>
          <w:color w:val="246373"/>
        </w:rPr>
        <w:t>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65EF87C7" w14:textId="77777777" w:rsidR="003B0EBF" w:rsidRPr="00C71E32" w:rsidRDefault="003B0EBF" w:rsidP="00372A2A">
      <w:bookmarkStart w:id="22" w:name="_Toc454814850"/>
      <w:bookmarkStart w:id="23" w:name="_Toc454877596"/>
      <w:bookmarkStart w:id="24" w:name="_Toc454895593"/>
      <w:bookmarkStart w:id="25" w:name="_Toc454898972"/>
      <w:bookmarkStart w:id="26" w:name="_Toc454961215"/>
      <w:bookmarkStart w:id="27" w:name="_Toc454977980"/>
      <w:bookmarkStart w:id="28" w:name="_Toc454979627"/>
      <w:bookmarkStart w:id="29" w:name="_Toc456193749"/>
      <w:bookmarkStart w:id="30" w:name="_Toc454454050"/>
      <w:bookmarkStart w:id="31" w:name="_Toc454464196"/>
      <w:bookmarkStart w:id="32" w:name="_Toc454554451"/>
      <w:r w:rsidRPr="00C71E32">
        <w:t>A bond aggregator is a financial intermediary that matches the financing requirements of affordable housing providers (in this case, the community housing sector) with the investment preferences of institutional investors. It collects and aggregates the debt of community housing providers (CHPs) and periodically issues bonds through wholesale debt markets to large scale investors.</w:t>
      </w:r>
    </w:p>
    <w:p w14:paraId="3138D76D" w14:textId="07F5D927" w:rsidR="003B0EBF" w:rsidRPr="00C71E32" w:rsidRDefault="003B0EBF" w:rsidP="00372A2A">
      <w:r w:rsidRPr="00C71E32">
        <w:t xml:space="preserve">The bond aggregator </w:t>
      </w:r>
      <w:r w:rsidR="00F35BC7" w:rsidRPr="00C71E32">
        <w:t>helps address one of</w:t>
      </w:r>
      <w:r w:rsidRPr="00C71E32">
        <w:t xml:space="preserve"> the major challenges in</w:t>
      </w:r>
      <w:r w:rsidR="00F35BC7" w:rsidRPr="00C71E32">
        <w:t xml:space="preserve"> the Australian housing system –</w:t>
      </w:r>
      <w:r w:rsidRPr="00C71E32">
        <w:t xml:space="preserve"> access </w:t>
      </w:r>
      <w:r w:rsidR="00F35BC7" w:rsidRPr="00C71E32">
        <w:t xml:space="preserve">to </w:t>
      </w:r>
      <w:r w:rsidRPr="00C71E32">
        <w:t xml:space="preserve">capital markets for the purposes of affordable housing.  </w:t>
      </w:r>
      <w:r w:rsidR="00CC1477" w:rsidRPr="00C71E32">
        <w:t xml:space="preserve">It </w:t>
      </w:r>
      <w:r w:rsidRPr="00C71E32">
        <w:t xml:space="preserve">helps </w:t>
      </w:r>
      <w:r w:rsidR="00CC1477" w:rsidRPr="00C71E32">
        <w:t xml:space="preserve">to </w:t>
      </w:r>
      <w:r w:rsidRPr="00C71E32">
        <w:t>address one of the challenges facing CHPs – the inability of the sector to access cheaper, longer tenor financing. If implemented effectively, a bond aggregator will lower the operational and capital costs for many providers, with these efficiencies available for reinvestment</w:t>
      </w:r>
      <w:bookmarkStart w:id="33" w:name="_GoBack"/>
      <w:bookmarkEnd w:id="33"/>
      <w:r w:rsidRPr="00C71E32">
        <w:t xml:space="preserve"> into further social and affordable housing. Importantly a bond aggregator will help support the creation and retention of housing specifically for households on low incomes. </w:t>
      </w:r>
    </w:p>
    <w:p w14:paraId="6CAD4D48" w14:textId="77777777" w:rsidR="003B0EBF" w:rsidRPr="00C71E32" w:rsidRDefault="003B0EBF" w:rsidP="00372A2A">
      <w:r w:rsidRPr="00C71E32">
        <w:t xml:space="preserve">Complementary reforms will be required to support the bond aggregator. Some of these reforms are necessary to ensure that it is able to perform its functions effectively. Others work with or alongside the bond aggregator in the pursuit of more fundamental concerns — the need for greater scale and capability in the community housing sector and the broader need for better housing outcomes. </w:t>
      </w:r>
    </w:p>
    <w:p w14:paraId="4F7AB772" w14:textId="7DB948FC" w:rsidR="003B0EBF" w:rsidRPr="00C71E32" w:rsidRDefault="003B0EBF" w:rsidP="00372A2A">
      <w:r w:rsidRPr="00C71E32">
        <w:t xml:space="preserve">Since the bond aggregator is simply a vehicle for achieving cheaper and longer tenor financing, the bond aggregator </w:t>
      </w:r>
      <w:r w:rsidRPr="00C71E32">
        <w:rPr>
          <w:i/>
        </w:rPr>
        <w:t>by itself</w:t>
      </w:r>
      <w:r w:rsidRPr="00C71E32">
        <w:t xml:space="preserve"> will not lead to substantial growth in affordable housing. Reforms that address the funding gap (or the disparity between the </w:t>
      </w:r>
      <w:proofErr w:type="gramStart"/>
      <w:r w:rsidRPr="00C71E32">
        <w:t>cost</w:t>
      </w:r>
      <w:proofErr w:type="gramEnd"/>
      <w:r w:rsidRPr="00C71E32">
        <w:t xml:space="preserve"> of providing affordable housing, compared to the returns which can be generated) will help providers to increase the scale of their activities and create a pipeline of supply for the bond aggregator, and expansion of the community housing sector as a pathway beyond public housing.  The most promising of these reforms include the regeneration of public housing stock, better use of planning tools, affordable housing levies as well as government capital and operational assistance for the sector, and build-to-rent and mixed rental or </w:t>
      </w:r>
      <w:r w:rsidR="006E0CE2" w:rsidRPr="00C71E32">
        <w:t xml:space="preserve">mixed </w:t>
      </w:r>
      <w:r w:rsidRPr="00C71E32">
        <w:t>tenure models.</w:t>
      </w:r>
    </w:p>
    <w:p w14:paraId="31DC66A8" w14:textId="77777777" w:rsidR="003B0EBF" w:rsidRPr="00C71E32" w:rsidRDefault="003B0EBF" w:rsidP="00372A2A">
      <w:r w:rsidRPr="00C71E32">
        <w:t xml:space="preserve">To facilitate the successful introduction of the bond aggregator, there is a need to strengthen and achieve national consistency of the regulatory framework for community housing. To the extent that a revised regulatory framework for community housing features appropriate regulation of CHP governance and financial activities (without weakening its oversight of tenancy management activities), it will provide a stronger signal to institutional investors of the viability of the sector and promote the expansion of CHP activities in Australia. </w:t>
      </w:r>
    </w:p>
    <w:p w14:paraId="6F5B177D" w14:textId="77777777" w:rsidR="003B0EBF" w:rsidRDefault="003B0EBF" w:rsidP="00372A2A">
      <w:r w:rsidRPr="00C71E32">
        <w:t>There are also a number of reforms aimed at improving housing affordability. While these reforms do not target policy settings exclusive to the community housing sector, they reduce pressure across the housing spectrum by contributing to increased housing supply and downward pressure on prices. Not only can this help reduce pressure on public and community housing, but it can make it easier for CHPs to expand their operations. These reforms include modifying planning systems to deliver simple and consistent planning processes and improved zoning outcomes, a better use of surplus land and a switch from stamp duty to a broad-based land tax.</w:t>
      </w:r>
    </w:p>
    <w:p w14:paraId="73916BBE" w14:textId="77777777" w:rsidR="0041385E" w:rsidRPr="00FF57B8" w:rsidRDefault="0041385E" w:rsidP="00B14AFE">
      <w:pPr>
        <w:pStyle w:val="Bullet"/>
        <w:numPr>
          <w:ilvl w:val="0"/>
          <w:numId w:val="0"/>
        </w:numPr>
        <w:sectPr w:rsidR="0041385E" w:rsidRPr="00FF57B8" w:rsidSect="00F87B50">
          <w:footerReference w:type="default" r:id="rId29"/>
          <w:footerReference w:type="first" r:id="rId30"/>
          <w:type w:val="oddPage"/>
          <w:pgSz w:w="11906" w:h="16838" w:code="277"/>
          <w:pgMar w:top="1440" w:right="1440" w:bottom="1440" w:left="1440" w:header="709" w:footer="709" w:gutter="0"/>
          <w:pgNumType w:start="1"/>
          <w:cols w:space="708"/>
          <w:docGrid w:linePitch="360"/>
        </w:sectPr>
      </w:pPr>
    </w:p>
    <w:p w14:paraId="5D816C4E" w14:textId="22F33E16" w:rsidR="00470DFC" w:rsidRPr="00BF7D38" w:rsidRDefault="00470DFC" w:rsidP="00BC33F1">
      <w:pPr>
        <w:pStyle w:val="Heading1"/>
      </w:pPr>
      <w:bookmarkStart w:id="34" w:name="_Toc464738294"/>
      <w:bookmarkStart w:id="35" w:name="_Toc464738364"/>
      <w:bookmarkStart w:id="36" w:name="_Toc464738295"/>
      <w:bookmarkStart w:id="37" w:name="_Toc464738365"/>
      <w:bookmarkStart w:id="38" w:name="_Toc464738296"/>
      <w:bookmarkStart w:id="39" w:name="_Toc464738366"/>
      <w:bookmarkStart w:id="40" w:name="_Toc464738302"/>
      <w:bookmarkStart w:id="41" w:name="_Toc464738372"/>
      <w:bookmarkStart w:id="42" w:name="_Toc487814089"/>
      <w:bookmarkStart w:id="43" w:name="_Toc482176699"/>
      <w:bookmarkStart w:id="44" w:name="_Toc485750937"/>
      <w:bookmarkStart w:id="45" w:name="_Toc441481240"/>
      <w:bookmarkStart w:id="46" w:name="_Toc441821606"/>
      <w:bookmarkStart w:id="47" w:name="_Toc493848957"/>
      <w:bookmarkEnd w:id="22"/>
      <w:bookmarkEnd w:id="23"/>
      <w:bookmarkEnd w:id="24"/>
      <w:bookmarkEnd w:id="25"/>
      <w:bookmarkEnd w:id="26"/>
      <w:bookmarkEnd w:id="27"/>
      <w:bookmarkEnd w:id="28"/>
      <w:bookmarkEnd w:id="29"/>
      <w:bookmarkEnd w:id="30"/>
      <w:bookmarkEnd w:id="31"/>
      <w:bookmarkEnd w:id="32"/>
      <w:bookmarkEnd w:id="34"/>
      <w:bookmarkEnd w:id="35"/>
      <w:bookmarkEnd w:id="36"/>
      <w:bookmarkEnd w:id="37"/>
      <w:bookmarkEnd w:id="38"/>
      <w:bookmarkEnd w:id="39"/>
      <w:bookmarkEnd w:id="40"/>
      <w:bookmarkEnd w:id="41"/>
      <w:bookmarkEnd w:id="2"/>
      <w:bookmarkEnd w:id="1"/>
      <w:bookmarkEnd w:id="0"/>
      <w:r w:rsidRPr="00BF7D38">
        <w:lastRenderedPageBreak/>
        <w:t>Recommendations</w:t>
      </w:r>
      <w:bookmarkEnd w:id="42"/>
      <w:bookmarkEnd w:id="47"/>
    </w:p>
    <w:p w14:paraId="498D758C" w14:textId="77777777" w:rsidR="000706D6" w:rsidRPr="00492540" w:rsidRDefault="000706D6" w:rsidP="00BF7D38">
      <w:pPr>
        <w:pStyle w:val="Heading2-NoTOC"/>
      </w:pPr>
      <w:r w:rsidRPr="00492540">
        <w:t>Recommendation 1</w:t>
      </w:r>
    </w:p>
    <w:p w14:paraId="30D33E1F" w14:textId="4CEB7097" w:rsidR="00ED3F4B" w:rsidRPr="001A7530" w:rsidRDefault="00ED3F4B" w:rsidP="00BF7D38">
      <w:pPr>
        <w:pStyle w:val="Normal-Recommendation"/>
      </w:pPr>
      <w:r w:rsidRPr="001A7530">
        <w:t xml:space="preserve">The </w:t>
      </w:r>
      <w:r w:rsidR="00866275">
        <w:t xml:space="preserve">Affordable Housing </w:t>
      </w:r>
      <w:r w:rsidRPr="001A7530">
        <w:t xml:space="preserve">Working Group recommends that the Commonwealth and State and Territory governments progress initiatives aimed at closing the funding gap, including through examining the levels of direct subsidy </w:t>
      </w:r>
      <w:r>
        <w:t xml:space="preserve">needed </w:t>
      </w:r>
      <w:r w:rsidRPr="001A7530">
        <w:t xml:space="preserve">for affordable </w:t>
      </w:r>
      <w:r>
        <w:t xml:space="preserve">low-income </w:t>
      </w:r>
      <w:r w:rsidRPr="001A7530">
        <w:t xml:space="preserve">rental housing, </w:t>
      </w:r>
      <w:r>
        <w:t xml:space="preserve">along with </w:t>
      </w:r>
      <w:r w:rsidRPr="001A7530">
        <w:t xml:space="preserve">the use of affordable housing targets, </w:t>
      </w:r>
      <w:r w:rsidRPr="003B0EBF">
        <w:t xml:space="preserve">planning mechanisms, tax </w:t>
      </w:r>
      <w:r w:rsidR="003B0EBF" w:rsidRPr="003B0EBF">
        <w:t>settings, value-adding contributions from affordable housing providers and innovative developments to create and retain stock.</w:t>
      </w:r>
    </w:p>
    <w:p w14:paraId="48FC9B3B" w14:textId="2E6D3EF5" w:rsidR="003B0EBF" w:rsidRDefault="003B0EBF" w:rsidP="00372A2A">
      <w:pPr>
        <w:rPr>
          <w:b/>
        </w:rPr>
      </w:pPr>
      <w:r w:rsidRPr="003B0EBF">
        <w:rPr>
          <w:lang w:eastAsia="en-US"/>
        </w:rPr>
        <w:t xml:space="preserve">Creating and maintaining a rental housing portfolio targeted to people on low incomes requires explicit ongoing </w:t>
      </w:r>
      <w:r w:rsidRPr="004C7FE4">
        <w:rPr>
          <w:lang w:eastAsia="en-US"/>
        </w:rPr>
        <w:t xml:space="preserve">subsidies to bridge the gap between operating costs (including debt servicing) and rental incomes. </w:t>
      </w:r>
      <w:r w:rsidRPr="004C7FE4">
        <w:t xml:space="preserve">This is a feature of overseas models, </w:t>
      </w:r>
      <w:r w:rsidR="004C7FE4" w:rsidRPr="004C7FE4">
        <w:t xml:space="preserve">supported by </w:t>
      </w:r>
      <w:r w:rsidRPr="004C7FE4">
        <w:t>research to date in Australia and evidence from actual projects. The size of this gap increases depending on where user groups sit along the housing continuum, requiring more support (in various forms) from governments</w:t>
      </w:r>
      <w:r w:rsidR="004C7FE4" w:rsidRPr="004C7FE4">
        <w:t>,</w:t>
      </w:r>
      <w:r w:rsidRPr="004C7FE4">
        <w:t xml:space="preserve"> the lower the income profile and complexity of need.</w:t>
      </w:r>
    </w:p>
    <w:p w14:paraId="4AFC32D2" w14:textId="17C9075A" w:rsidR="0023767C" w:rsidRDefault="0023767C" w:rsidP="00372A2A">
      <w:pPr>
        <w:rPr>
          <w:b/>
        </w:rPr>
      </w:pPr>
      <w:r w:rsidRPr="00002E5B">
        <w:t xml:space="preserve">The specific reforms </w:t>
      </w:r>
      <w:r w:rsidR="00AD044E" w:rsidRPr="00002E5B">
        <w:t xml:space="preserve">that jurisdictions </w:t>
      </w:r>
      <w:r w:rsidR="00E47C94">
        <w:t xml:space="preserve">may </w:t>
      </w:r>
      <w:r w:rsidR="00AD044E" w:rsidRPr="00002E5B">
        <w:t xml:space="preserve">choose to pursue </w:t>
      </w:r>
      <w:r w:rsidRPr="00002E5B">
        <w:t>to close the funding gap will vary, according to their priorities, preferred approaches and particular challenges.</w:t>
      </w:r>
    </w:p>
    <w:p w14:paraId="7A27153E" w14:textId="45F6609D" w:rsidR="009C2954" w:rsidRDefault="009C2954" w:rsidP="00BF7D38">
      <w:pPr>
        <w:pStyle w:val="Heading2-NoTOC"/>
      </w:pPr>
      <w:r w:rsidRPr="00B14AFE">
        <w:t>Recommendation 2</w:t>
      </w:r>
    </w:p>
    <w:p w14:paraId="5BA68BC5" w14:textId="77777777" w:rsidR="00ED3F4B" w:rsidRPr="00B14AFE" w:rsidRDefault="00ED3F4B" w:rsidP="00BF7D38">
      <w:pPr>
        <w:pStyle w:val="Normal-Recommendation"/>
      </w:pPr>
      <w:r w:rsidRPr="00B14AFE">
        <w:t>The Affordable Housing Working Group recommends that the Commonwealth</w:t>
      </w:r>
      <w:r>
        <w:t xml:space="preserve"> and </w:t>
      </w:r>
      <w:r w:rsidRPr="00B14AFE">
        <w:t>State and Territor</w:t>
      </w:r>
      <w:r>
        <w:t>y governments</w:t>
      </w:r>
      <w:r w:rsidRPr="00B14AFE">
        <w:t xml:space="preserve"> and the community housing sector work together to </w:t>
      </w:r>
      <w:r>
        <w:t xml:space="preserve">develop and implement a uniform and nationally applied </w:t>
      </w:r>
      <w:r w:rsidRPr="00B14AFE">
        <w:t xml:space="preserve">regulatory </w:t>
      </w:r>
      <w:r>
        <w:t>framework that</w:t>
      </w:r>
      <w:r w:rsidRPr="00B14AFE">
        <w:t xml:space="preserve"> supports the implementation of a bond aggregator as well as the growth of the sector nationally.</w:t>
      </w:r>
    </w:p>
    <w:p w14:paraId="1F4CE620" w14:textId="77777777" w:rsidR="00ED3F4B" w:rsidRPr="00B14AFE" w:rsidRDefault="00ED3F4B" w:rsidP="00372A2A">
      <w:pPr>
        <w:rPr>
          <w:b/>
          <w:lang w:eastAsia="en-US"/>
        </w:rPr>
      </w:pPr>
      <w:r>
        <w:rPr>
          <w:lang w:eastAsia="en-US"/>
        </w:rPr>
        <w:t xml:space="preserve">A common regulatory framework that is consistently applied across all jurisdictions and provides certainty for CHPs operating across States and Territories will assist the growth of the CHP sector and provide confidence to </w:t>
      </w:r>
      <w:r w:rsidRPr="00B14AFE">
        <w:rPr>
          <w:lang w:eastAsia="en-US"/>
        </w:rPr>
        <w:t>potential investors</w:t>
      </w:r>
      <w:r>
        <w:rPr>
          <w:lang w:eastAsia="en-US"/>
        </w:rPr>
        <w:t>.</w:t>
      </w:r>
    </w:p>
    <w:p w14:paraId="64252021" w14:textId="77777777" w:rsidR="00ED3F4B" w:rsidRPr="00B14AFE" w:rsidRDefault="00ED3F4B" w:rsidP="00372A2A">
      <w:pPr>
        <w:rPr>
          <w:b/>
          <w:lang w:eastAsia="en-US"/>
        </w:rPr>
      </w:pPr>
      <w:r w:rsidRPr="00B14AFE">
        <w:rPr>
          <w:lang w:eastAsia="en-US"/>
        </w:rPr>
        <w:t>To achieve this, the Working Group recommends that the Council on Federal Financial Relations develop proposals</w:t>
      </w:r>
      <w:r>
        <w:rPr>
          <w:lang w:eastAsia="en-US"/>
        </w:rPr>
        <w:t xml:space="preserve"> in consultation with relevant Housing Ministers</w:t>
      </w:r>
      <w:r w:rsidRPr="00B14AFE">
        <w:rPr>
          <w:lang w:eastAsia="en-US"/>
        </w:rPr>
        <w:t xml:space="preserve"> for:</w:t>
      </w:r>
    </w:p>
    <w:p w14:paraId="7F4E8F44" w14:textId="5F8AFD10" w:rsidR="00ED3F4B" w:rsidRPr="00B14AFE" w:rsidRDefault="00ED3F4B" w:rsidP="003F36CE">
      <w:pPr>
        <w:pStyle w:val="Numberedlist"/>
        <w:rPr>
          <w:lang w:eastAsia="en-US"/>
        </w:rPr>
      </w:pPr>
      <w:r>
        <w:rPr>
          <w:lang w:eastAsia="en-US"/>
        </w:rPr>
        <w:t>strengthened</w:t>
      </w:r>
      <w:r w:rsidRPr="00B14AFE">
        <w:rPr>
          <w:lang w:eastAsia="en-US"/>
        </w:rPr>
        <w:t xml:space="preserve"> governance and financial reporting and risk management policies for </w:t>
      </w:r>
      <w:r w:rsidR="004C7FE4">
        <w:rPr>
          <w:lang w:eastAsia="en-US"/>
        </w:rPr>
        <w:t>CHPs which</w:t>
      </w:r>
      <w:r>
        <w:rPr>
          <w:lang w:eastAsia="en-US"/>
        </w:rPr>
        <w:t xml:space="preserve"> are seeking access to the bond aggregator</w:t>
      </w:r>
      <w:r w:rsidRPr="00B14AFE">
        <w:rPr>
          <w:lang w:eastAsia="en-US"/>
        </w:rPr>
        <w:t>;</w:t>
      </w:r>
    </w:p>
    <w:p w14:paraId="03DB1885" w14:textId="2C1E99A2" w:rsidR="00ED3F4B" w:rsidRPr="00B14AFE" w:rsidRDefault="00ED3F4B" w:rsidP="003F36CE">
      <w:pPr>
        <w:pStyle w:val="Numberedlist"/>
        <w:rPr>
          <w:lang w:eastAsia="en-US"/>
        </w:rPr>
      </w:pPr>
      <w:r w:rsidRPr="00B14AFE">
        <w:rPr>
          <w:lang w:eastAsia="en-US"/>
        </w:rPr>
        <w:t xml:space="preserve">the entry of Western Australia and Victoria </w:t>
      </w:r>
      <w:r w:rsidRPr="00002E5B">
        <w:rPr>
          <w:lang w:eastAsia="en-US"/>
        </w:rPr>
        <w:t xml:space="preserve">into </w:t>
      </w:r>
      <w:r w:rsidR="003E739A" w:rsidRPr="00002E5B">
        <w:rPr>
          <w:lang w:eastAsia="en-US"/>
        </w:rPr>
        <w:t>a suitably strengthened</w:t>
      </w:r>
      <w:r w:rsidRPr="00002E5B">
        <w:rPr>
          <w:lang w:eastAsia="en-US"/>
        </w:rPr>
        <w:t xml:space="preserve"> National</w:t>
      </w:r>
      <w:r w:rsidRPr="00B14AFE">
        <w:rPr>
          <w:lang w:eastAsia="en-US"/>
        </w:rPr>
        <w:t xml:space="preserve"> Regulatory System for Community Housing</w:t>
      </w:r>
      <w:r>
        <w:rPr>
          <w:lang w:eastAsia="en-US"/>
        </w:rPr>
        <w:t xml:space="preserve"> to the extent required to enable the bond aggregator to lend into those jurisdictions in a way that </w:t>
      </w:r>
      <w:r w:rsidRPr="00866275">
        <w:rPr>
          <w:lang w:eastAsia="en-US"/>
        </w:rPr>
        <w:t>maximises investor confidence; and</w:t>
      </w:r>
    </w:p>
    <w:p w14:paraId="074860B0" w14:textId="77777777" w:rsidR="00ED3F4B" w:rsidRPr="00B14AFE" w:rsidRDefault="00ED3F4B" w:rsidP="003F36CE">
      <w:pPr>
        <w:pStyle w:val="Numberedlist"/>
        <w:rPr>
          <w:lang w:eastAsia="en-US"/>
        </w:rPr>
      </w:pPr>
      <w:proofErr w:type="gramStart"/>
      <w:r w:rsidRPr="00B14AFE">
        <w:rPr>
          <w:lang w:eastAsia="en-US"/>
        </w:rPr>
        <w:t>consistent</w:t>
      </w:r>
      <w:proofErr w:type="gramEnd"/>
      <w:r w:rsidRPr="00B14AFE">
        <w:rPr>
          <w:lang w:eastAsia="en-US"/>
        </w:rPr>
        <w:t xml:space="preserve"> application of the regulatory framework and</w:t>
      </w:r>
      <w:r>
        <w:rPr>
          <w:lang w:eastAsia="en-US"/>
        </w:rPr>
        <w:t xml:space="preserve"> consistent regulatory</w:t>
      </w:r>
      <w:r w:rsidRPr="00B14AFE">
        <w:rPr>
          <w:lang w:eastAsia="en-US"/>
        </w:rPr>
        <w:t xml:space="preserve"> policy settings</w:t>
      </w:r>
      <w:r>
        <w:rPr>
          <w:lang w:eastAsia="en-US"/>
        </w:rPr>
        <w:t xml:space="preserve"> across jurisdictions, such as the way in which jurisdictions contract with CHPs.</w:t>
      </w:r>
      <w:r w:rsidRPr="00B14AFE">
        <w:rPr>
          <w:lang w:eastAsia="en-US"/>
        </w:rPr>
        <w:t xml:space="preserve"> </w:t>
      </w:r>
    </w:p>
    <w:p w14:paraId="7EB20684" w14:textId="77777777" w:rsidR="00ED3F4B" w:rsidRPr="00B14AFE" w:rsidRDefault="00ED3F4B" w:rsidP="00372A2A">
      <w:pPr>
        <w:rPr>
          <w:b/>
          <w:lang w:eastAsia="en-US"/>
        </w:rPr>
      </w:pPr>
      <w:r w:rsidRPr="00B14AFE">
        <w:rPr>
          <w:lang w:eastAsia="en-US"/>
        </w:rPr>
        <w:t xml:space="preserve">Implementation of these proposals should occur by 1 July 2018 to support the commencement of the bond aggregator. </w:t>
      </w:r>
    </w:p>
    <w:p w14:paraId="116390BB" w14:textId="77777777" w:rsidR="00BF7D38" w:rsidRDefault="00BF7D38">
      <w:pPr>
        <w:spacing w:after="200" w:line="276" w:lineRule="auto"/>
        <w:jc w:val="left"/>
        <w:rPr>
          <w:lang w:eastAsia="en-US"/>
        </w:rPr>
      </w:pPr>
      <w:r>
        <w:rPr>
          <w:lang w:eastAsia="en-US"/>
        </w:rPr>
        <w:br w:type="page"/>
      </w:r>
    </w:p>
    <w:p w14:paraId="71349319" w14:textId="7094A3FA" w:rsidR="00AF0288" w:rsidRDefault="00ED3F4B" w:rsidP="00372A2A">
      <w:r w:rsidRPr="00B14AFE">
        <w:rPr>
          <w:lang w:eastAsia="en-US"/>
        </w:rPr>
        <w:lastRenderedPageBreak/>
        <w:t xml:space="preserve">The Affordable Housing Working Group also notes the importance of the Review of the National Regulatory System for Community Housing scheduled for 2018 </w:t>
      </w:r>
      <w:r w:rsidR="004C7FE4">
        <w:rPr>
          <w:lang w:eastAsia="en-US"/>
        </w:rPr>
        <w:t>for</w:t>
      </w:r>
      <w:r w:rsidRPr="00B14AFE">
        <w:rPr>
          <w:lang w:eastAsia="en-US"/>
        </w:rPr>
        <w:t xml:space="preserve"> examining and improving the broader framework of community housing regulation (including tenancy management) to ensure that </w:t>
      </w:r>
      <w:r>
        <w:rPr>
          <w:lang w:eastAsia="en-US"/>
        </w:rPr>
        <w:t>the regulatory system</w:t>
      </w:r>
      <w:r w:rsidRPr="00B14AFE">
        <w:rPr>
          <w:lang w:eastAsia="en-US"/>
        </w:rPr>
        <w:t xml:space="preserve"> </w:t>
      </w:r>
      <w:r>
        <w:rPr>
          <w:lang w:eastAsia="en-US"/>
        </w:rPr>
        <w:t>supports</w:t>
      </w:r>
      <w:r w:rsidRPr="00B14AFE">
        <w:rPr>
          <w:lang w:eastAsia="en-US"/>
        </w:rPr>
        <w:t xml:space="preserve"> future growth in the sector. </w:t>
      </w:r>
      <w:r>
        <w:rPr>
          <w:lang w:eastAsia="en-US"/>
        </w:rPr>
        <w:t>The review should also consider any changes to the policy settings that</w:t>
      </w:r>
      <w:r w:rsidR="004C7FE4">
        <w:rPr>
          <w:lang w:eastAsia="en-US"/>
        </w:rPr>
        <w:t xml:space="preserve"> will</w:t>
      </w:r>
      <w:r>
        <w:rPr>
          <w:lang w:eastAsia="en-US"/>
        </w:rPr>
        <w:t xml:space="preserve"> improve the capability of the sector and whether moving to a single national regulator is appropriate. </w:t>
      </w:r>
    </w:p>
    <w:p w14:paraId="541420AB" w14:textId="1CD5E227" w:rsidR="009C2954" w:rsidRPr="00B14AFE" w:rsidRDefault="009C2954" w:rsidP="00BF7D38">
      <w:pPr>
        <w:pStyle w:val="Heading2-NoTOC"/>
      </w:pPr>
      <w:r w:rsidRPr="00B14AFE">
        <w:t>Recommendation 3</w:t>
      </w:r>
    </w:p>
    <w:p w14:paraId="1FA8811A" w14:textId="1F0607FA" w:rsidR="00ED3F4B" w:rsidRDefault="00ED3F4B" w:rsidP="00BF7D38">
      <w:pPr>
        <w:pStyle w:val="Normal-Recommendation"/>
      </w:pPr>
      <w:r>
        <w:t>T</w:t>
      </w:r>
      <w:r w:rsidRPr="00C015F0">
        <w:t xml:space="preserve">he </w:t>
      </w:r>
      <w:r w:rsidR="00866275">
        <w:t xml:space="preserve">Affordable Housing </w:t>
      </w:r>
      <w:r w:rsidRPr="00C015F0">
        <w:t>Working Group recommends</w:t>
      </w:r>
      <w:r>
        <w:t xml:space="preserve"> that the </w:t>
      </w:r>
      <w:r w:rsidRPr="00866275">
        <w:rPr>
          <w:i/>
        </w:rPr>
        <w:t>National Industry Development Framework for Community Housing</w:t>
      </w:r>
      <w:r>
        <w:t xml:space="preserve"> be revised and updated to reflect</w:t>
      </w:r>
      <w:r w:rsidRPr="00111B43">
        <w:t xml:space="preserve"> </w:t>
      </w:r>
      <w:r>
        <w:t>findings and recommendations from</w:t>
      </w:r>
      <w:r w:rsidRPr="001F3843">
        <w:t xml:space="preserve"> the Review of the National Regulatory System for Community Housing</w:t>
      </w:r>
      <w:r w:rsidR="00866275">
        <w:t>.</w:t>
      </w:r>
    </w:p>
    <w:p w14:paraId="1D45083A" w14:textId="77777777" w:rsidR="00372A2A" w:rsidRDefault="00ED3F4B" w:rsidP="00372A2A">
      <w:pPr>
        <w:rPr>
          <w:lang w:eastAsia="en-US"/>
        </w:rPr>
      </w:pPr>
      <w:r>
        <w:rPr>
          <w:lang w:eastAsia="en-US"/>
        </w:rPr>
        <w:t>In order to leverage the finance provided through the bond aggregator, it is important to ensure that the community housing sector has the necessary financial, asset and risk management expertise.</w:t>
      </w:r>
    </w:p>
    <w:p w14:paraId="78EF20D9" w14:textId="7C595FA6" w:rsidR="00470DFC" w:rsidRPr="00B14AFE" w:rsidRDefault="00470DFC" w:rsidP="00021F56">
      <w:pPr>
        <w:rPr>
          <w:rFonts w:ascii="Calibri" w:eastAsiaTheme="majorEastAsia" w:hAnsi="Calibri" w:cstheme="majorBidi"/>
          <w:b/>
          <w:bCs/>
          <w:color w:val="246373" w:themeColor="accent6" w:themeShade="BF"/>
          <w:spacing w:val="4"/>
          <w:sz w:val="40"/>
          <w:szCs w:val="28"/>
        </w:rPr>
      </w:pPr>
      <w:r w:rsidRPr="00B14AFE">
        <w:rPr>
          <w:b/>
        </w:rPr>
        <w:br w:type="page"/>
      </w:r>
    </w:p>
    <w:p w14:paraId="15735101" w14:textId="35E5D632" w:rsidR="00C961E0" w:rsidRPr="005A7B6F" w:rsidRDefault="005B396E" w:rsidP="00BC33F1">
      <w:pPr>
        <w:pStyle w:val="Heading1"/>
      </w:pPr>
      <w:bookmarkStart w:id="48" w:name="_Toc487814090"/>
      <w:bookmarkStart w:id="49" w:name="_Toc493848958"/>
      <w:r>
        <w:lastRenderedPageBreak/>
        <w:t>1.</w:t>
      </w:r>
      <w:r w:rsidR="00BC33F1">
        <w:tab/>
      </w:r>
      <w:r w:rsidR="00C961E0" w:rsidRPr="005A7B6F">
        <w:t>Introduction</w:t>
      </w:r>
      <w:bookmarkEnd w:id="43"/>
      <w:bookmarkEnd w:id="44"/>
      <w:bookmarkEnd w:id="48"/>
      <w:bookmarkEnd w:id="49"/>
    </w:p>
    <w:p w14:paraId="03F74D83" w14:textId="77777777" w:rsidR="00C961E0" w:rsidRDefault="00C961E0" w:rsidP="00C961E0">
      <w:pPr>
        <w:pStyle w:val="Heading2"/>
      </w:pPr>
      <w:bookmarkStart w:id="50" w:name="_Toc454454051"/>
      <w:bookmarkStart w:id="51" w:name="_Toc454464197"/>
      <w:bookmarkStart w:id="52" w:name="_Toc454554452"/>
      <w:bookmarkStart w:id="53" w:name="_Toc454796824"/>
      <w:bookmarkStart w:id="54" w:name="_Toc454814852"/>
      <w:bookmarkStart w:id="55" w:name="_Toc454877598"/>
      <w:bookmarkStart w:id="56" w:name="_Toc454895595"/>
      <w:bookmarkStart w:id="57" w:name="_Toc454898974"/>
      <w:bookmarkStart w:id="58" w:name="_Toc454961217"/>
      <w:bookmarkStart w:id="59" w:name="_Toc454977982"/>
      <w:bookmarkStart w:id="60" w:name="_Toc454979629"/>
      <w:bookmarkStart w:id="61" w:name="_Toc456193751"/>
      <w:bookmarkStart w:id="62" w:name="_Toc456362950"/>
      <w:bookmarkStart w:id="63" w:name="_Toc456713871"/>
      <w:bookmarkStart w:id="64" w:name="_Toc456887682"/>
      <w:bookmarkStart w:id="65" w:name="_Toc463519430"/>
      <w:bookmarkStart w:id="66" w:name="_Toc482176700"/>
      <w:bookmarkStart w:id="67" w:name="_Toc485750938"/>
      <w:bookmarkStart w:id="68" w:name="_Toc487814091"/>
      <w:bookmarkStart w:id="69" w:name="_Toc493848959"/>
      <w:r>
        <w:t>Background</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41C50072" w14:textId="77777777" w:rsidR="00531048" w:rsidRDefault="00C961E0" w:rsidP="00372A2A">
      <w:bookmarkStart w:id="70" w:name="_Toc441481236"/>
      <w:r>
        <w:t xml:space="preserve">On 16 October 2015, the Council on Federal Financial Relations (CFFR) </w:t>
      </w:r>
      <w:r w:rsidR="00852D5F">
        <w:t xml:space="preserve">requested </w:t>
      </w:r>
      <w:r w:rsidR="00D00E7D">
        <w:t>further work be undertaken</w:t>
      </w:r>
      <w:r w:rsidR="00852D5F">
        <w:t xml:space="preserve"> on housing affordability </w:t>
      </w:r>
      <w:r w:rsidR="00223438" w:rsidRPr="00F43674">
        <w:t xml:space="preserve">with a focus on solutions </w:t>
      </w:r>
      <w:r w:rsidR="00223438">
        <w:t>to improve</w:t>
      </w:r>
      <w:r>
        <w:t xml:space="preserve"> the </w:t>
      </w:r>
      <w:r w:rsidRPr="00F43674">
        <w:t>supply and provision of social housing</w:t>
      </w:r>
      <w:r w:rsidR="0063106A">
        <w:t xml:space="preserve"> (Morrison, 2016)</w:t>
      </w:r>
      <w:r>
        <w:t>.</w:t>
      </w:r>
      <w:r w:rsidR="00852D5F">
        <w:t xml:space="preserve"> </w:t>
      </w:r>
    </w:p>
    <w:p w14:paraId="662BB6F3" w14:textId="688F4CA2" w:rsidR="00C961E0" w:rsidRDefault="00852D5F" w:rsidP="00372A2A">
      <w:r>
        <w:t xml:space="preserve">In response, the Commonwealth </w:t>
      </w:r>
      <w:r w:rsidR="00C961E0">
        <w:t>establish</w:t>
      </w:r>
      <w:r>
        <w:t>ed</w:t>
      </w:r>
      <w:r w:rsidR="00C961E0">
        <w:t xml:space="preserve"> an Affordable Housing Working Group (‘the Working Group’) to investigate innovative ways to improve the availability of affordable</w:t>
      </w:r>
      <w:r w:rsidR="00D36BD9">
        <w:t xml:space="preserve"> </w:t>
      </w:r>
      <w:r w:rsidR="00C961E0">
        <w:t>housing</w:t>
      </w:r>
      <w:r w:rsidR="00D00E7D">
        <w:t>.</w:t>
      </w:r>
      <w:r w:rsidR="00C961E0">
        <w:t xml:space="preserve"> The Working Group comprised members of the Commonwealth Treasury and Department of Social Services as well as members from the New South Wales, Victorian and West</w:t>
      </w:r>
      <w:r w:rsidR="008339C4">
        <w:t>ern</w:t>
      </w:r>
      <w:r w:rsidR="00D36BD9">
        <w:t xml:space="preserve"> Australian g</w:t>
      </w:r>
      <w:r w:rsidR="00C961E0">
        <w:t>overnments.</w:t>
      </w:r>
    </w:p>
    <w:p w14:paraId="57D21259" w14:textId="28DCCE44" w:rsidR="00D00E7D" w:rsidRDefault="00223438" w:rsidP="00372A2A">
      <w:r>
        <w:t>The</w:t>
      </w:r>
      <w:r w:rsidR="00852D5F">
        <w:t xml:space="preserve"> </w:t>
      </w:r>
      <w:r w:rsidR="00C961E0">
        <w:t xml:space="preserve">Working Group </w:t>
      </w:r>
      <w:r>
        <w:t>delivered its report to Heads of Trea</w:t>
      </w:r>
      <w:r w:rsidR="005C47F7">
        <w:t>suries on 3 November 2016 and this</w:t>
      </w:r>
      <w:r>
        <w:t xml:space="preserve"> was considered by Treasurers at the </w:t>
      </w:r>
      <w:r w:rsidRPr="008F5C24">
        <w:t>C</w:t>
      </w:r>
      <w:r>
        <w:t>FFR meeting on 2 December 2016.</w:t>
      </w:r>
      <w:r w:rsidR="00852D5F">
        <w:t xml:space="preserve"> </w:t>
      </w:r>
      <w:r>
        <w:t>T</w:t>
      </w:r>
      <w:r w:rsidR="00852D5F">
        <w:t xml:space="preserve">he </w:t>
      </w:r>
      <w:r w:rsidR="005C47F7">
        <w:t xml:space="preserve">report </w:t>
      </w:r>
      <w:r w:rsidR="00852D5F">
        <w:t>made four</w:t>
      </w:r>
      <w:r w:rsidR="00BF7D38">
        <w:t> </w:t>
      </w:r>
      <w:r w:rsidR="00852D5F">
        <w:t>recommendations</w:t>
      </w:r>
      <w:r w:rsidR="00C961E0">
        <w:t xml:space="preserve"> </w:t>
      </w:r>
      <w:r w:rsidR="00531048">
        <w:t>(see B</w:t>
      </w:r>
      <w:r w:rsidR="00852D5F">
        <w:t>ox 1.1)</w:t>
      </w:r>
      <w:r w:rsidR="00C961E0">
        <w:t xml:space="preserve">, </w:t>
      </w:r>
      <w:r w:rsidR="005C47F7">
        <w:t xml:space="preserve">which were all agreed by CFFR. </w:t>
      </w:r>
    </w:p>
    <w:p w14:paraId="2A281A09" w14:textId="77777777" w:rsidR="00D00E7D" w:rsidRDefault="00D00E7D" w:rsidP="00BF7D38">
      <w:pPr>
        <w:pStyle w:val="BoxMainHeading-Outside"/>
      </w:pPr>
      <w:r>
        <w:t>Box 1.1: Recommendations from the Working Group Report 2016</w:t>
      </w:r>
    </w:p>
    <w:tbl>
      <w:tblPr>
        <w:tblStyle w:val="TableGrid"/>
        <w:tblW w:w="9322" w:type="dxa"/>
        <w:shd w:val="clear" w:color="auto" w:fill="F2F2F2" w:themeFill="background1" w:themeFillShade="F2"/>
        <w:tblLook w:val="04A0" w:firstRow="1" w:lastRow="0" w:firstColumn="1" w:lastColumn="0" w:noHBand="0" w:noVBand="1"/>
      </w:tblPr>
      <w:tblGrid>
        <w:gridCol w:w="9322"/>
      </w:tblGrid>
      <w:tr w:rsidR="00BF7D38" w14:paraId="7AFD3D44" w14:textId="77777777" w:rsidTr="00862B49">
        <w:tc>
          <w:tcPr>
            <w:tcW w:w="9322" w:type="dxa"/>
            <w:shd w:val="clear" w:color="auto" w:fill="F2F2F2" w:themeFill="background1" w:themeFillShade="F2"/>
          </w:tcPr>
          <w:p w14:paraId="3D9A018D" w14:textId="77777777" w:rsidR="00BF7D38" w:rsidRPr="00BF7D38" w:rsidRDefault="00BF7D38" w:rsidP="00BF7D38">
            <w:pPr>
              <w:pStyle w:val="BoxText-UnBold"/>
            </w:pPr>
            <w:r w:rsidRPr="00BF7D38">
              <w:rPr>
                <w:b/>
              </w:rPr>
              <w:t>Recommendation 1:</w:t>
            </w:r>
            <w:r w:rsidRPr="00BF7D38">
              <w:t xml:space="preserve"> The Working Group recommends the establishment of an expert taskforce to design a proof of concept for a bond aggregator model to provide for greater private and institutional investment in affordable housing. The taskforce should determine the design features and an implementation plan of the proof of concept and report their findings to Heads of Treasuries by mid</w:t>
            </w:r>
            <w:r w:rsidRPr="00BF7D38">
              <w:noBreakHyphen/>
              <w:t>2017.</w:t>
            </w:r>
          </w:p>
          <w:p w14:paraId="583A5D9B" w14:textId="77777777" w:rsidR="00BF7D38" w:rsidRPr="00BF7D38" w:rsidRDefault="00BF7D38" w:rsidP="00BF7D38">
            <w:pPr>
              <w:pStyle w:val="BoxText-UnBold"/>
            </w:pPr>
            <w:r w:rsidRPr="00BF7D38">
              <w:rPr>
                <w:b/>
              </w:rPr>
              <w:t>Recommendation 2:</w:t>
            </w:r>
            <w:r w:rsidRPr="00BF7D38">
              <w:t xml:space="preserve"> The Working Group recommends that Heads of Treasuries note that government support is required to efficiently leverage long-term institutional investment for affordable housing and provide greater value for government expenditure.</w:t>
            </w:r>
          </w:p>
          <w:p w14:paraId="5225E5EA" w14:textId="77777777" w:rsidR="00BF7D38" w:rsidRPr="00BF7D38" w:rsidRDefault="00BF7D38" w:rsidP="00BF7D38">
            <w:pPr>
              <w:pStyle w:val="BoxText-UnBold"/>
            </w:pPr>
            <w:r w:rsidRPr="00BF7D38">
              <w:rPr>
                <w:b/>
              </w:rPr>
              <w:t>Recommendation 3:</w:t>
            </w:r>
            <w:r w:rsidRPr="00BF7D38">
              <w:t xml:space="preserve">  The Working Group recommends that jurisdictions investigate whether and how existing and future housing policies and practices can be utilised, expanded or redesigned to support the effective implementation of a housing bond aggregator.</w:t>
            </w:r>
          </w:p>
          <w:p w14:paraId="41808864" w14:textId="43EFFC39" w:rsidR="00BF7D38" w:rsidRDefault="00BF7D38" w:rsidP="00BF7D38">
            <w:pPr>
              <w:pStyle w:val="BoxText-UnBold"/>
            </w:pPr>
            <w:r w:rsidRPr="00BF7D38">
              <w:rPr>
                <w:b/>
              </w:rPr>
              <w:t>Recommendation 4:</w:t>
            </w:r>
            <w:r w:rsidRPr="00BF7D38">
              <w:t xml:space="preserve"> The Working Group recommends that governments consider complementary reforms to enhance the ability for a housing bond aggregator model to boost the supply of affordable housing.</w:t>
            </w:r>
          </w:p>
        </w:tc>
      </w:tr>
    </w:tbl>
    <w:p w14:paraId="5C0B9637" w14:textId="77777777" w:rsidR="00BF7D38" w:rsidRPr="00BF7D38" w:rsidRDefault="00BF7D38" w:rsidP="00BF7D38">
      <w:pPr>
        <w:pStyle w:val="Singleparagraph"/>
      </w:pPr>
    </w:p>
    <w:p w14:paraId="73554ECD" w14:textId="77777777" w:rsidR="00852D5F" w:rsidRPr="00BF7D38" w:rsidRDefault="00852D5F" w:rsidP="00BF7D38">
      <w:pPr>
        <w:pStyle w:val="Heading3"/>
      </w:pPr>
      <w:r w:rsidRPr="00BF7D38">
        <w:t>Affordable Housing Implementation Taskforce</w:t>
      </w:r>
    </w:p>
    <w:p w14:paraId="700FC7F6" w14:textId="44EC3045" w:rsidR="00D00E7D" w:rsidRDefault="00D00E7D" w:rsidP="00372A2A">
      <w:r>
        <w:t>The Commonwealth Treasury has progressed Recommendation 1 of the report through the establishment of the Affordable Housing Implementation Taskforce (Taskforce) to design a proof of concept for a bond aggregator model</w:t>
      </w:r>
      <w:r w:rsidRPr="008F5C24">
        <w:t>.</w:t>
      </w:r>
      <w:r w:rsidR="008339C4">
        <w:t xml:space="preserve"> </w:t>
      </w:r>
    </w:p>
    <w:p w14:paraId="27E0000B" w14:textId="77777777" w:rsidR="000951E7" w:rsidRDefault="00852D5F" w:rsidP="00372A2A">
      <w:r>
        <w:t>The Taskforce</w:t>
      </w:r>
      <w:r w:rsidR="002C00C7">
        <w:t xml:space="preserve"> investigated </w:t>
      </w:r>
      <w:r w:rsidRPr="00816241">
        <w:t xml:space="preserve">ways to harness private sector investment through the design of a bond aggregator that would </w:t>
      </w:r>
      <w:r w:rsidR="008339C4">
        <w:t xml:space="preserve">aggregate the borrowing requirements of CHPs and issue bonds to the wholesale market at a lower cost and longer tenor than traditional bank finance. </w:t>
      </w:r>
    </w:p>
    <w:p w14:paraId="3E2CD1D0" w14:textId="77777777" w:rsidR="00BF7D38" w:rsidRDefault="00BF7D38">
      <w:pPr>
        <w:spacing w:after="200" w:line="276" w:lineRule="auto"/>
        <w:jc w:val="left"/>
      </w:pPr>
      <w:r>
        <w:br w:type="page"/>
      </w:r>
    </w:p>
    <w:p w14:paraId="2ABD156C" w14:textId="1087A0B4" w:rsidR="00852D5F" w:rsidRDefault="00852D5F" w:rsidP="00372A2A">
      <w:r>
        <w:lastRenderedPageBreak/>
        <w:t xml:space="preserve">In determining the ongoing viability of the bond aggregator, the Taskforce </w:t>
      </w:r>
      <w:r w:rsidR="006A00D3">
        <w:t>has examined</w:t>
      </w:r>
      <w:r>
        <w:t>:</w:t>
      </w:r>
    </w:p>
    <w:p w14:paraId="518CEC59" w14:textId="3B4AEC1E" w:rsidR="00852D5F" w:rsidRDefault="00D94317" w:rsidP="00A14BB9">
      <w:pPr>
        <w:pStyle w:val="Bullet"/>
        <w:spacing w:after="120"/>
      </w:pPr>
      <w:r w:rsidRPr="00D94317">
        <w:t>the ability</w:t>
      </w:r>
      <w:r>
        <w:t xml:space="preserve"> of the affordable housing sector to sustain an affordable housing bond aggregator;</w:t>
      </w:r>
    </w:p>
    <w:p w14:paraId="1D2F5134" w14:textId="50F41DB8" w:rsidR="00D94317" w:rsidRDefault="00D94317" w:rsidP="00A14BB9">
      <w:pPr>
        <w:pStyle w:val="Bullet"/>
        <w:spacing w:after="120"/>
      </w:pPr>
      <w:r>
        <w:t>options for the structure of the bond aggregator;</w:t>
      </w:r>
    </w:p>
    <w:p w14:paraId="40250053" w14:textId="4C16A0D4" w:rsidR="00D94317" w:rsidRDefault="00D94317" w:rsidP="00A14BB9">
      <w:pPr>
        <w:pStyle w:val="Bullet"/>
        <w:spacing w:after="120"/>
      </w:pPr>
      <w:r>
        <w:t>the nature and profile of the bonds to be issued;</w:t>
      </w:r>
    </w:p>
    <w:p w14:paraId="162E0584" w14:textId="7E964F6C" w:rsidR="0088567E" w:rsidRDefault="0088567E" w:rsidP="00A14BB9">
      <w:pPr>
        <w:pStyle w:val="Bullet"/>
        <w:spacing w:after="120"/>
      </w:pPr>
      <w:r>
        <w:t>the financial viability of affordable housing providers to sustain a bond issuance program; and</w:t>
      </w:r>
    </w:p>
    <w:p w14:paraId="1D93D9C8" w14:textId="155A479A" w:rsidR="00D94317" w:rsidRPr="00D94317" w:rsidRDefault="004A6E98" w:rsidP="00A14BB9">
      <w:pPr>
        <w:pStyle w:val="Bullet"/>
        <w:spacing w:after="120"/>
      </w:pPr>
      <w:proofErr w:type="gramStart"/>
      <w:r>
        <w:t>the</w:t>
      </w:r>
      <w:proofErr w:type="gramEnd"/>
      <w:r>
        <w:t xml:space="preserve"> nature and form </w:t>
      </w:r>
      <w:r w:rsidR="00EE62C2">
        <w:t>o</w:t>
      </w:r>
      <w:r>
        <w:t>f any government support, including a guarantee</w:t>
      </w:r>
      <w:r w:rsidR="0088567E">
        <w:t>.</w:t>
      </w:r>
    </w:p>
    <w:p w14:paraId="2653F41E" w14:textId="21FC2721" w:rsidR="00852D5F" w:rsidRDefault="00852D5F" w:rsidP="00372A2A">
      <w:r>
        <w:t xml:space="preserve">This report therefore does not directly address these issues. </w:t>
      </w:r>
    </w:p>
    <w:p w14:paraId="6305C1EE" w14:textId="63EE584C" w:rsidR="00852D5F" w:rsidRPr="00852D5F" w:rsidRDefault="00852D5F" w:rsidP="005B396E">
      <w:pPr>
        <w:pStyle w:val="Heading3"/>
        <w:rPr>
          <w:lang w:eastAsia="en-US"/>
        </w:rPr>
      </w:pPr>
      <w:r>
        <w:rPr>
          <w:lang w:eastAsia="en-US"/>
        </w:rPr>
        <w:t>Affordable Housing</w:t>
      </w:r>
      <w:r w:rsidRPr="00852D5F">
        <w:rPr>
          <w:lang w:eastAsia="en-US"/>
        </w:rPr>
        <w:t xml:space="preserve"> Working Group</w:t>
      </w:r>
    </w:p>
    <w:p w14:paraId="01440DA7" w14:textId="1AD4792A" w:rsidR="00852D5F" w:rsidRDefault="00173A48" w:rsidP="00372A2A">
      <w:bookmarkStart w:id="71" w:name="_Toc440968897"/>
      <w:r>
        <w:t>The Affordable Housing Working Group has</w:t>
      </w:r>
      <w:r w:rsidR="00D00E7D">
        <w:t xml:space="preserve"> progress</w:t>
      </w:r>
      <w:r>
        <w:t>ed</w:t>
      </w:r>
      <w:r w:rsidR="000B4F9A">
        <w:t xml:space="preserve"> R</w:t>
      </w:r>
      <w:r w:rsidR="00D00E7D">
        <w:t>ecommendations 3 and 4</w:t>
      </w:r>
      <w:r>
        <w:t xml:space="preserve">, </w:t>
      </w:r>
      <w:r w:rsidR="00852D5F">
        <w:t>examin</w:t>
      </w:r>
      <w:r>
        <w:t>ing</w:t>
      </w:r>
      <w:r w:rsidR="00852D5F">
        <w:t xml:space="preserve"> how existing</w:t>
      </w:r>
      <w:r w:rsidR="002C00C7">
        <w:t xml:space="preserve"> housing</w:t>
      </w:r>
      <w:r w:rsidR="00852D5F">
        <w:t xml:space="preserve"> policy and regulatory settings</w:t>
      </w:r>
      <w:r w:rsidR="00852D5F" w:rsidRPr="00BA3B46">
        <w:t xml:space="preserve"> could be </w:t>
      </w:r>
      <w:r>
        <w:t>reformed</w:t>
      </w:r>
      <w:r w:rsidRPr="00BA3B46">
        <w:t xml:space="preserve"> </w:t>
      </w:r>
      <w:r w:rsidR="00852D5F" w:rsidRPr="00BA3B46">
        <w:t>to assist with</w:t>
      </w:r>
      <w:r w:rsidR="003C3276">
        <w:t xml:space="preserve"> achieving the policy outcomes desired through</w:t>
      </w:r>
      <w:r w:rsidR="00852D5F" w:rsidRPr="00BA3B46">
        <w:t xml:space="preserve"> the impleme</w:t>
      </w:r>
      <w:r w:rsidR="00852D5F">
        <w:t>ntation of a bond aggregator</w:t>
      </w:r>
      <w:r>
        <w:t>. The Working Group has also examined</w:t>
      </w:r>
      <w:r w:rsidR="00852D5F">
        <w:t xml:space="preserve"> </w:t>
      </w:r>
      <w:r>
        <w:t>reforms that</w:t>
      </w:r>
      <w:r w:rsidR="00B70634">
        <w:t xml:space="preserve"> </w:t>
      </w:r>
      <w:r>
        <w:t>could</w:t>
      </w:r>
      <w:r w:rsidR="00B70634">
        <w:t xml:space="preserve"> be made </w:t>
      </w:r>
      <w:r w:rsidR="00852D5F" w:rsidRPr="00BA3B46">
        <w:t xml:space="preserve">to maximise the impact of a bond aggregator on the supply </w:t>
      </w:r>
      <w:r w:rsidR="00AA3A3D">
        <w:t xml:space="preserve">and retention </w:t>
      </w:r>
      <w:r w:rsidR="00852D5F" w:rsidRPr="00BA3B46">
        <w:t xml:space="preserve">of affordable housing. </w:t>
      </w:r>
      <w:bookmarkEnd w:id="71"/>
      <w:r w:rsidR="001A3052">
        <w:t>This included</w:t>
      </w:r>
      <w:r w:rsidR="006A00D3">
        <w:t xml:space="preserve"> </w:t>
      </w:r>
      <w:r w:rsidR="00B27F76">
        <w:t>the recognition</w:t>
      </w:r>
      <w:r w:rsidR="006A00D3">
        <w:t xml:space="preserve"> that sub-market </w:t>
      </w:r>
      <w:r w:rsidR="004A6E98">
        <w:t xml:space="preserve">rental </w:t>
      </w:r>
      <w:r w:rsidR="006A00D3">
        <w:t>housing requires government support to obtain scale and that current policy settings may need to be</w:t>
      </w:r>
      <w:r w:rsidR="00862B49">
        <w:br/>
      </w:r>
      <w:r w:rsidR="006A00D3">
        <w:t>re-evaluated given</w:t>
      </w:r>
      <w:r w:rsidR="002C00C7">
        <w:t xml:space="preserve"> t</w:t>
      </w:r>
      <w:r w:rsidR="006A00D3">
        <w:t>he advent of the bond aggregator</w:t>
      </w:r>
      <w:r w:rsidR="002C00C7">
        <w:t xml:space="preserve">. </w:t>
      </w:r>
    </w:p>
    <w:p w14:paraId="31374BC5" w14:textId="463ACE42" w:rsidR="00852D5F" w:rsidRPr="00852D5F" w:rsidRDefault="00852D5F" w:rsidP="00372A2A">
      <w:r w:rsidRPr="00852D5F">
        <w:t>Th</w:t>
      </w:r>
      <w:r w:rsidR="00DF0D3D">
        <w:t>e</w:t>
      </w:r>
      <w:r w:rsidRPr="00852D5F">
        <w:t xml:space="preserve"> complementary reforms</w:t>
      </w:r>
      <w:r w:rsidR="00DF0D3D">
        <w:t xml:space="preserve"> examined in this report are categorised in three ways</w:t>
      </w:r>
      <w:r w:rsidRPr="00852D5F">
        <w:t xml:space="preserve">. </w:t>
      </w:r>
    </w:p>
    <w:p w14:paraId="31629378" w14:textId="42DB1084" w:rsidR="00852D5F" w:rsidRPr="00852D5F" w:rsidRDefault="00173A48" w:rsidP="00A14BB9">
      <w:pPr>
        <w:pStyle w:val="Bullet"/>
        <w:spacing w:after="120"/>
      </w:pPr>
      <w:r>
        <w:t xml:space="preserve">Chapter 3 </w:t>
      </w:r>
      <w:r w:rsidR="00D4507E">
        <w:t>discusses r</w:t>
      </w:r>
      <w:r w:rsidR="00D4507E" w:rsidRPr="00852D5F">
        <w:t xml:space="preserve">eforms that </w:t>
      </w:r>
      <w:r w:rsidR="00D4507E">
        <w:t xml:space="preserve">will </w:t>
      </w:r>
      <w:r w:rsidR="00D4507E" w:rsidRPr="00852D5F">
        <w:t>help the community housing sector</w:t>
      </w:r>
      <w:r w:rsidR="00D4507E">
        <w:t xml:space="preserve"> achieve scale through leveraging funds channelled through a bond aggregator for social and affordable housing.</w:t>
      </w:r>
    </w:p>
    <w:p w14:paraId="2DC02056" w14:textId="0E9587F4" w:rsidR="00852D5F" w:rsidRPr="00852D5F" w:rsidRDefault="00173A48" w:rsidP="00A14BB9">
      <w:pPr>
        <w:pStyle w:val="Bullet"/>
        <w:spacing w:after="120"/>
      </w:pPr>
      <w:r>
        <w:t xml:space="preserve">Chapter 4 </w:t>
      </w:r>
      <w:r w:rsidR="00D4507E">
        <w:t>discusses r</w:t>
      </w:r>
      <w:r w:rsidR="00D4507E" w:rsidRPr="00852D5F">
        <w:t>eform</w:t>
      </w:r>
      <w:r w:rsidR="00D4507E">
        <w:t xml:space="preserve"> to the regulatory framework for community housing, </w:t>
      </w:r>
      <w:r w:rsidR="00C62F7D">
        <w:t xml:space="preserve">which will contribute </w:t>
      </w:r>
      <w:r w:rsidR="00D4507E">
        <w:t>to creating the right operating environment to maximise the success and the effectiveness</w:t>
      </w:r>
      <w:r w:rsidR="00D4507E" w:rsidRPr="00852D5F">
        <w:t xml:space="preserve"> of the bond aggregator</w:t>
      </w:r>
      <w:r w:rsidR="00D4507E">
        <w:t xml:space="preserve"> as a financial intermediary. </w:t>
      </w:r>
    </w:p>
    <w:p w14:paraId="394AAC44" w14:textId="5998102F" w:rsidR="00D4507E" w:rsidRDefault="00173A48" w:rsidP="00C62F7D">
      <w:pPr>
        <w:pStyle w:val="Bullet"/>
        <w:spacing w:after="120"/>
      </w:pPr>
      <w:r>
        <w:t xml:space="preserve">Chapter 5 discusses </w:t>
      </w:r>
      <w:r w:rsidR="00151EE5">
        <w:t>r</w:t>
      </w:r>
      <w:r w:rsidR="00852D5F" w:rsidRPr="00852D5F">
        <w:t xml:space="preserve">eforms that </w:t>
      </w:r>
      <w:r w:rsidR="002C00C7">
        <w:t xml:space="preserve">will </w:t>
      </w:r>
      <w:r w:rsidR="009A052A">
        <w:t>assist in</w:t>
      </w:r>
      <w:r w:rsidR="00DF0D3D">
        <w:t xml:space="preserve"> </w:t>
      </w:r>
      <w:r w:rsidR="00852D5F" w:rsidRPr="00852D5F">
        <w:t>boost</w:t>
      </w:r>
      <w:r w:rsidR="009A052A">
        <w:t>ing</w:t>
      </w:r>
      <w:r w:rsidR="00852D5F" w:rsidRPr="00852D5F">
        <w:t xml:space="preserve"> the supply of affordable housing</w:t>
      </w:r>
      <w:r w:rsidR="00EA0C83">
        <w:t xml:space="preserve"> and may therefore contribute to housing affordability</w:t>
      </w:r>
      <w:r w:rsidR="00852D5F" w:rsidRPr="00852D5F">
        <w:t xml:space="preserve">. </w:t>
      </w:r>
    </w:p>
    <w:p w14:paraId="65ACEB7C" w14:textId="005E21F4" w:rsidR="00DF0D3D" w:rsidRDefault="00151EE5" w:rsidP="00372A2A">
      <w:r>
        <w:t>As tasked by CFFR at their 24 March 2017 meeting, t</w:t>
      </w:r>
      <w:r w:rsidR="002C00C7">
        <w:t xml:space="preserve">his report also </w:t>
      </w:r>
      <w:r>
        <w:t>investigates</w:t>
      </w:r>
      <w:r w:rsidR="002C00C7" w:rsidRPr="004925B6">
        <w:t xml:space="preserve"> the state </w:t>
      </w:r>
      <w:r>
        <w:t>of the community h</w:t>
      </w:r>
      <w:r w:rsidR="00DF0D3D">
        <w:t>ousing</w:t>
      </w:r>
      <w:r>
        <w:t xml:space="preserve"> </w:t>
      </w:r>
      <w:r w:rsidR="002C00C7" w:rsidRPr="004925B6">
        <w:t xml:space="preserve">sector, including </w:t>
      </w:r>
      <w:r w:rsidR="001B4766">
        <w:t>community housing providers’</w:t>
      </w:r>
      <w:r w:rsidR="002C00C7" w:rsidRPr="004925B6">
        <w:t xml:space="preserve"> ability to support joint ventures with</w:t>
      </w:r>
      <w:r w:rsidR="002C00C7">
        <w:t xml:space="preserve"> the private sector</w:t>
      </w:r>
      <w:r w:rsidR="00DF0D3D">
        <w:t>.</w:t>
      </w:r>
    </w:p>
    <w:p w14:paraId="06ABAD3E" w14:textId="77777777" w:rsidR="00DF0D3D" w:rsidRDefault="00DF0D3D" w:rsidP="00DF0D3D"/>
    <w:p w14:paraId="17A11E28" w14:textId="283CBF0D" w:rsidR="00852D5F" w:rsidRDefault="00852D5F" w:rsidP="00DF0D3D"/>
    <w:p w14:paraId="7CD4697F" w14:textId="792B2BA7" w:rsidR="00C961E0" w:rsidRDefault="00C961E0" w:rsidP="00C961E0">
      <w:pPr>
        <w:sectPr w:rsidR="00C961E0" w:rsidSect="00FF57B8">
          <w:pgSz w:w="11906" w:h="16838"/>
          <w:pgMar w:top="1440" w:right="1440" w:bottom="1440" w:left="1440" w:header="708" w:footer="708" w:gutter="0"/>
          <w:cols w:space="708"/>
          <w:docGrid w:linePitch="360"/>
        </w:sectPr>
      </w:pPr>
      <w:bookmarkStart w:id="72" w:name="_Toc441133917"/>
      <w:bookmarkEnd w:id="70"/>
    </w:p>
    <w:p w14:paraId="7BE02C70" w14:textId="2976EF4A" w:rsidR="00C961E0" w:rsidRPr="005A7B6F" w:rsidRDefault="005B396E" w:rsidP="00BC33F1">
      <w:pPr>
        <w:pStyle w:val="Heading1"/>
      </w:pPr>
      <w:bookmarkStart w:id="73" w:name="_Toc485750939"/>
      <w:bookmarkStart w:id="74" w:name="_Toc487814092"/>
      <w:bookmarkStart w:id="75" w:name="_Toc493848960"/>
      <w:bookmarkEnd w:id="72"/>
      <w:r>
        <w:lastRenderedPageBreak/>
        <w:t>2.</w:t>
      </w:r>
      <w:r w:rsidR="00BC33F1">
        <w:tab/>
      </w:r>
      <w:r w:rsidR="00B70DE5">
        <w:t>The community h</w:t>
      </w:r>
      <w:r w:rsidR="00612EA5">
        <w:t xml:space="preserve">ousing </w:t>
      </w:r>
      <w:r w:rsidR="00B70DE5">
        <w:t>s</w:t>
      </w:r>
      <w:r w:rsidR="00612EA5">
        <w:t>ector</w:t>
      </w:r>
      <w:bookmarkEnd w:id="73"/>
      <w:bookmarkEnd w:id="74"/>
      <w:bookmarkEnd w:id="75"/>
    </w:p>
    <w:p w14:paraId="64E821EC" w14:textId="7A2A7185" w:rsidR="00E10E3F" w:rsidRDefault="001F02AA" w:rsidP="00372A2A">
      <w:bookmarkStart w:id="76" w:name="_Toc454214676"/>
      <w:bookmarkStart w:id="77" w:name="_Toc454961223"/>
      <w:bookmarkStart w:id="78" w:name="_Toc454977988"/>
      <w:bookmarkStart w:id="79" w:name="_Toc454979635"/>
      <w:bookmarkStart w:id="80" w:name="_Toc456193757"/>
      <w:r>
        <w:t xml:space="preserve">The provision of housing to eligible renters at </w:t>
      </w:r>
      <w:r w:rsidR="008F0A09">
        <w:t>below-</w:t>
      </w:r>
      <w:r>
        <w:t xml:space="preserve">market </w:t>
      </w:r>
      <w:r w:rsidR="008F0A09">
        <w:t>pricing</w:t>
      </w:r>
      <w:r>
        <w:t xml:space="preserve"> by community housing providers (CHPs) forms a substantial part of the affo</w:t>
      </w:r>
      <w:r w:rsidR="001B4766">
        <w:t>rdable housing system (see B</w:t>
      </w:r>
      <w:r w:rsidR="00B117BA">
        <w:t>ox 2.1</w:t>
      </w:r>
      <w:r>
        <w:t xml:space="preserve">). </w:t>
      </w:r>
      <w:r w:rsidR="00F83250">
        <w:t>R</w:t>
      </w:r>
      <w:r w:rsidR="009C2954">
        <w:t xml:space="preserve">ecent </w:t>
      </w:r>
      <w:r>
        <w:t>report</w:t>
      </w:r>
      <w:r w:rsidR="009C2954">
        <w:t>s published</w:t>
      </w:r>
      <w:r>
        <w:t xml:space="preserve"> by the Australian Housing and Urban Research Institute (AHURI) investigating the </w:t>
      </w:r>
      <w:r w:rsidR="00EA0C83">
        <w:t xml:space="preserve">potential </w:t>
      </w:r>
      <w:r>
        <w:t xml:space="preserve">of </w:t>
      </w:r>
      <w:r w:rsidR="00F83250">
        <w:t xml:space="preserve">the CHP </w:t>
      </w:r>
      <w:r w:rsidR="007819CE">
        <w:t>sector</w:t>
      </w:r>
      <w:r>
        <w:t xml:space="preserve"> to achieve greater scale and </w:t>
      </w:r>
      <w:r w:rsidR="00EA0C83">
        <w:t xml:space="preserve">capacity </w:t>
      </w:r>
      <w:r>
        <w:t>(and, in the process, generate new affordable housing supply, facilitate stock renewal and improve service quality) outlined both the character</w:t>
      </w:r>
      <w:r w:rsidR="005F679A">
        <w:t>ist</w:t>
      </w:r>
      <w:r>
        <w:t>ics of the community housing sector a</w:t>
      </w:r>
      <w:r w:rsidR="005F679A">
        <w:t>s well as some of the constraints on its growth</w:t>
      </w:r>
      <w:r w:rsidR="0063106A">
        <w:t xml:space="preserve"> (Milligan, et al 2017; Milligan, et al 2016)</w:t>
      </w:r>
      <w:r>
        <w:t>.</w:t>
      </w:r>
    </w:p>
    <w:p w14:paraId="0CD9441F" w14:textId="3ABC529A" w:rsidR="00E10E3F" w:rsidRDefault="00E23915" w:rsidP="00372A2A">
      <w:r>
        <w:t>AHURI</w:t>
      </w:r>
      <w:r w:rsidR="00E10E3F">
        <w:t xml:space="preserve"> found that there are currently 323 mainstream registered CHPs that manage the majority of long-term community housing</w:t>
      </w:r>
      <w:r w:rsidR="00833E62">
        <w:t xml:space="preserve"> in Australia</w:t>
      </w:r>
      <w:r w:rsidR="00E10E3F">
        <w:t xml:space="preserve">. </w:t>
      </w:r>
      <w:r>
        <w:t>Additionally, there are</w:t>
      </w:r>
      <w:r w:rsidR="00E10E3F">
        <w:t xml:space="preserve"> around 200 Indigenous housing organisations and 55 private for-profit organisations (that have </w:t>
      </w:r>
      <w:r w:rsidR="00E87A42">
        <w:t>mainly</w:t>
      </w:r>
      <w:r w:rsidR="00E10E3F">
        <w:t xml:space="preserve"> developed homes under the National Rental Affordability Scheme</w:t>
      </w:r>
      <w:r w:rsidR="00833E62">
        <w:t xml:space="preserve"> (NRAS)</w:t>
      </w:r>
      <w:r w:rsidR="00E10E3F">
        <w:t xml:space="preserve">). </w:t>
      </w:r>
    </w:p>
    <w:p w14:paraId="06170267" w14:textId="447F6FF7" w:rsidR="00E10E3F" w:rsidRDefault="00E10E3F" w:rsidP="00372A2A">
      <w:r>
        <w:t>Australia-wide, over three quarters of all CHP-managed homes are</w:t>
      </w:r>
      <w:r w:rsidR="00833E62">
        <w:t xml:space="preserve"> managed</w:t>
      </w:r>
      <w:r>
        <w:t xml:space="preserve"> </w:t>
      </w:r>
      <w:r w:rsidR="005D735B">
        <w:t>through</w:t>
      </w:r>
      <w:r>
        <w:t xml:space="preserve"> 40 large providers. While the stock of dwellings managed by CHPs includes assets they own themselves and assets they manage on behalf of private investors, the majority of CHP managed homes are still owned by State and Territory governments. </w:t>
      </w:r>
    </w:p>
    <w:p w14:paraId="3BC3D22E" w14:textId="7EBAE064" w:rsidR="00E10E3F" w:rsidRDefault="00E10E3F" w:rsidP="00372A2A">
      <w:r>
        <w:t xml:space="preserve">The sector has grown over time. Between 2010 and 2015, the value of the dwellings owned by these large CHPs increased by 74 per cent to $7.5 billion and the number of homes </w:t>
      </w:r>
      <w:r w:rsidR="00E87A42">
        <w:t>managed by CHPs has grown by 81 per cent</w:t>
      </w:r>
      <w:r>
        <w:t xml:space="preserve"> since 2010. A large share of this increase can be attributed to new development under Commonwealth programs such as the Social Housing Initiative and </w:t>
      </w:r>
      <w:r w:rsidR="00833E62">
        <w:t>NRAS</w:t>
      </w:r>
      <w:r>
        <w:t xml:space="preserve"> </w:t>
      </w:r>
      <w:r w:rsidR="00FC4AAD">
        <w:t>as well as</w:t>
      </w:r>
      <w:r>
        <w:t xml:space="preserve"> transfers of public housing stock to CHPs by State and Territory governments. </w:t>
      </w:r>
    </w:p>
    <w:p w14:paraId="6263015B" w14:textId="26D0BCB1" w:rsidR="00E10E3F" w:rsidRPr="00D70B18" w:rsidRDefault="00E10E3F" w:rsidP="00372A2A">
      <w:pPr>
        <w:rPr>
          <w:color w:val="auto"/>
        </w:rPr>
      </w:pPr>
      <w:r>
        <w:t>Despite this, the sector remains relatively small. There are only around 80</w:t>
      </w:r>
      <w:r w:rsidR="00AA1469">
        <w:t>,</w:t>
      </w:r>
      <w:r>
        <w:t>000 dwellings in total under the management of the community housing sector</w:t>
      </w:r>
      <w:r w:rsidR="009C2954">
        <w:t>, compared to approximately 310</w:t>
      </w:r>
      <w:r w:rsidR="00AA1469">
        <w:t>,</w:t>
      </w:r>
      <w:r w:rsidR="009C2954">
        <w:t>000 dwellings available for public housing</w:t>
      </w:r>
      <w:r w:rsidR="00E87A42">
        <w:t xml:space="preserve"> (Productivity Commission, 2017)</w:t>
      </w:r>
      <w:r>
        <w:t xml:space="preserve">. Community housing makes up just under 0.9 per cent of all dwellings in Australia, while </w:t>
      </w:r>
      <w:r w:rsidR="00AA1469">
        <w:t xml:space="preserve">the </w:t>
      </w:r>
      <w:r>
        <w:t xml:space="preserve">social and affordable housing </w:t>
      </w:r>
      <w:r w:rsidR="00AE13BB">
        <w:t xml:space="preserve">sector </w:t>
      </w:r>
      <w:r>
        <w:t xml:space="preserve">(including for Indigenous </w:t>
      </w:r>
      <w:r w:rsidR="00AE13BB">
        <w:t>specific housing</w:t>
      </w:r>
      <w:r>
        <w:t>) comprises around 4.</w:t>
      </w:r>
      <w:r w:rsidR="001B2D65">
        <w:t>3</w:t>
      </w:r>
      <w:r>
        <w:t xml:space="preserve"> per cent</w:t>
      </w:r>
      <w:r w:rsidR="00E87A42">
        <w:t xml:space="preserve"> (ABS, 2016)</w:t>
      </w:r>
      <w:r>
        <w:t>.</w:t>
      </w:r>
      <w:r w:rsidR="00E87A42">
        <w:t xml:space="preserve"> </w:t>
      </w:r>
    </w:p>
    <w:p w14:paraId="27766675" w14:textId="77777777" w:rsidR="00BF7D38" w:rsidRPr="007863DF" w:rsidRDefault="00BF7D38" w:rsidP="00BF7D38">
      <w:pPr>
        <w:pStyle w:val="BoxMainHeading-Outside"/>
      </w:pPr>
      <w:r>
        <w:t>Box 2.1: The Affordable Housing System</w:t>
      </w:r>
    </w:p>
    <w:tbl>
      <w:tblPr>
        <w:tblStyle w:val="TableGrid"/>
        <w:tblW w:w="9322" w:type="dxa"/>
        <w:shd w:val="clear" w:color="auto" w:fill="D0E9F0" w:themeFill="accent6" w:themeFillTint="33"/>
        <w:tblLook w:val="04A0" w:firstRow="1" w:lastRow="0" w:firstColumn="1" w:lastColumn="0" w:noHBand="0" w:noVBand="1"/>
      </w:tblPr>
      <w:tblGrid>
        <w:gridCol w:w="9322"/>
      </w:tblGrid>
      <w:tr w:rsidR="00BF7D38" w14:paraId="5931D91D" w14:textId="77777777" w:rsidTr="00862B49">
        <w:tc>
          <w:tcPr>
            <w:tcW w:w="9322" w:type="dxa"/>
            <w:shd w:val="clear" w:color="auto" w:fill="D0E9F0" w:themeFill="accent6" w:themeFillTint="33"/>
          </w:tcPr>
          <w:p w14:paraId="03A68A41" w14:textId="77777777" w:rsidR="00BF7D38" w:rsidRPr="00511B6A" w:rsidRDefault="00BF7D38" w:rsidP="00B523D1">
            <w:pPr>
              <w:pStyle w:val="BoxText-UnBold"/>
              <w:rPr>
                <w:color w:val="auto"/>
              </w:rPr>
            </w:pPr>
            <w:r>
              <w:t>There are a number of definitions of affordable housing. For the purposes of this report, affordable housing is defined as: ‘</w:t>
            </w:r>
            <w:r w:rsidRPr="00B523D1">
              <w:rPr>
                <w:i/>
              </w:rPr>
              <w:t xml:space="preserve">housing that reduces or eliminates housing stress for low-income and disadvantaged families and individuals in order to assist them with meeting other essential basic needs on a sustainable basis, while balancing the need for housing to be of a minimum appropriate </w:t>
            </w:r>
            <w:r w:rsidRPr="00B523D1">
              <w:rPr>
                <w:i/>
                <w:color w:val="auto"/>
              </w:rPr>
              <w:t>standard and accessible to employment and services.</w:t>
            </w:r>
            <w:r w:rsidRPr="00511B6A">
              <w:rPr>
                <w:color w:val="auto"/>
              </w:rPr>
              <w:t>’</w:t>
            </w:r>
            <w:r>
              <w:rPr>
                <w:color w:val="auto"/>
              </w:rPr>
              <w:t xml:space="preserve"> </w:t>
            </w:r>
            <w:r w:rsidRPr="00511B6A">
              <w:rPr>
                <w:color w:val="auto"/>
              </w:rPr>
              <w:t>This definition captures the fact that housing stress is not necessarily defined as a set proportion of a household’s income and can at times be temporary.</w:t>
            </w:r>
          </w:p>
          <w:p w14:paraId="27129125" w14:textId="77777777" w:rsidR="00BF7D38" w:rsidRPr="00511B6A" w:rsidRDefault="00BF7D38" w:rsidP="00B523D1">
            <w:pPr>
              <w:pStyle w:val="BoxText-UnBold"/>
              <w:rPr>
                <w:color w:val="auto"/>
              </w:rPr>
            </w:pPr>
            <w:r w:rsidRPr="00511B6A">
              <w:rPr>
                <w:color w:val="auto"/>
              </w:rPr>
              <w:t xml:space="preserve">The affordable housing system more broadly has </w:t>
            </w:r>
            <w:r>
              <w:rPr>
                <w:color w:val="auto"/>
              </w:rPr>
              <w:t>several</w:t>
            </w:r>
            <w:r w:rsidRPr="00511B6A">
              <w:rPr>
                <w:color w:val="auto"/>
              </w:rPr>
              <w:t xml:space="preserve"> components. These include:</w:t>
            </w:r>
          </w:p>
          <w:p w14:paraId="07AB7EF3" w14:textId="1A4D3204" w:rsidR="00BF7D38" w:rsidRDefault="00B523D1" w:rsidP="003F36CE">
            <w:pPr>
              <w:pStyle w:val="BoxText-UnBold"/>
            </w:pPr>
            <w:r w:rsidRPr="00511B6A">
              <w:rPr>
                <w:b/>
              </w:rPr>
              <w:t>Sub-market private rental</w:t>
            </w:r>
            <w:r>
              <w:rPr>
                <w:b/>
              </w:rPr>
              <w:t xml:space="preserve"> (or ‘affordable’ rental)</w:t>
            </w:r>
            <w:r w:rsidRPr="00511B6A">
              <w:rPr>
                <w:b/>
              </w:rPr>
              <w:t xml:space="preserve">: </w:t>
            </w:r>
            <w:r w:rsidRPr="00511B6A">
              <w:t>housing that is provide</w:t>
            </w:r>
            <w:r>
              <w:t>d by the private market for low- to moderate</w:t>
            </w:r>
            <w:r>
              <w:noBreakHyphen/>
            </w:r>
            <w:r w:rsidRPr="00511B6A">
              <w:t>income households at rents which are discounted from the market rate</w:t>
            </w:r>
            <w:r>
              <w:t xml:space="preserve"> — usually 75</w:t>
            </w:r>
            <w:r w:rsidR="003F36CE">
              <w:t> </w:t>
            </w:r>
            <w:r>
              <w:t>to 80 per cent of market rents</w:t>
            </w:r>
            <w:r w:rsidRPr="00511B6A">
              <w:t>. Allocation is usually governed by eligibility criteria</w:t>
            </w:r>
            <w:r>
              <w:t>,</w:t>
            </w:r>
            <w:r w:rsidRPr="00511B6A">
              <w:t xml:space="preserve"> </w:t>
            </w:r>
            <w:r>
              <w:t>often</w:t>
            </w:r>
            <w:r w:rsidRPr="00511B6A">
              <w:t xml:space="preserve"> at the discretion of the provider. There is no accurate measure of the number of dwellings in this sector.</w:t>
            </w:r>
          </w:p>
        </w:tc>
      </w:tr>
    </w:tbl>
    <w:p w14:paraId="21B1A4F7" w14:textId="77777777" w:rsidR="00B523D1" w:rsidRDefault="00B523D1">
      <w:r>
        <w:br w:type="page"/>
      </w:r>
    </w:p>
    <w:p w14:paraId="5E884E53" w14:textId="58A7EF9D" w:rsidR="00B523D1" w:rsidRDefault="00B523D1" w:rsidP="00B523D1">
      <w:pPr>
        <w:pStyle w:val="BoxMainHeading-Outside"/>
      </w:pPr>
      <w:r>
        <w:lastRenderedPageBreak/>
        <w:t>Box 2.1: The Affordable Housing System (continued)</w:t>
      </w:r>
    </w:p>
    <w:tbl>
      <w:tblPr>
        <w:tblStyle w:val="TableGrid"/>
        <w:tblW w:w="9322" w:type="dxa"/>
        <w:shd w:val="clear" w:color="auto" w:fill="D0E9F0" w:themeFill="accent6" w:themeFillTint="33"/>
        <w:tblLook w:val="04A0" w:firstRow="1" w:lastRow="0" w:firstColumn="1" w:lastColumn="0" w:noHBand="0" w:noVBand="1"/>
      </w:tblPr>
      <w:tblGrid>
        <w:gridCol w:w="9322"/>
      </w:tblGrid>
      <w:tr w:rsidR="00BF7D38" w14:paraId="3A161FEF" w14:textId="77777777" w:rsidTr="00862B49">
        <w:tc>
          <w:tcPr>
            <w:tcW w:w="9322" w:type="dxa"/>
            <w:shd w:val="clear" w:color="auto" w:fill="D0E9F0" w:themeFill="accent6" w:themeFillTint="33"/>
          </w:tcPr>
          <w:p w14:paraId="5AE634E7" w14:textId="36D90109" w:rsidR="00B523D1" w:rsidRPr="00511B6A" w:rsidRDefault="00B523D1" w:rsidP="00B523D1">
            <w:pPr>
              <w:pStyle w:val="BoxText-UnBold"/>
            </w:pPr>
            <w:r w:rsidRPr="00511B6A">
              <w:rPr>
                <w:b/>
              </w:rPr>
              <w:t>Public housing</w:t>
            </w:r>
            <w:r w:rsidRPr="00511B6A">
              <w:t>: rental housing that is owned and managed by State and Territory government agencies and allocated to very low- and low-income households in accordance with eligibility and prioritisation policies. Allocation is the responsibility of State and Territory government agencies and generally gives priority to those in greatest need</w:t>
            </w:r>
            <w:r>
              <w:t>, usually tenants on income support,</w:t>
            </w:r>
            <w:r w:rsidRPr="00511B6A">
              <w:t xml:space="preserve"> but the implementation of this varies across jurisdictions. </w:t>
            </w:r>
            <w:r>
              <w:t xml:space="preserve">Rents are generally set as a proportion of income — 25 to 30 per cent. </w:t>
            </w:r>
            <w:r w:rsidRPr="00511B6A">
              <w:t>There were approximately 312</w:t>
            </w:r>
            <w:r>
              <w:t>,</w:t>
            </w:r>
            <w:r w:rsidRPr="00511B6A">
              <w:t>219 households in public housing at 30</w:t>
            </w:r>
            <w:r>
              <w:t> </w:t>
            </w:r>
            <w:r w:rsidRPr="00511B6A">
              <w:t>June</w:t>
            </w:r>
            <w:r>
              <w:t> </w:t>
            </w:r>
            <w:r w:rsidRPr="00511B6A">
              <w:t>2016.</w:t>
            </w:r>
          </w:p>
          <w:p w14:paraId="39BC3B9C" w14:textId="77777777" w:rsidR="00B523D1" w:rsidRPr="00511B6A" w:rsidRDefault="00B523D1" w:rsidP="00B523D1">
            <w:pPr>
              <w:pStyle w:val="BoxText-UnBold"/>
              <w:rPr>
                <w:b/>
              </w:rPr>
            </w:pPr>
            <w:r w:rsidRPr="00511B6A">
              <w:rPr>
                <w:b/>
              </w:rPr>
              <w:t xml:space="preserve">Community housing: </w:t>
            </w:r>
            <w:r w:rsidRPr="00511B6A">
              <w:t xml:space="preserve">rental housing that is owned and/or managed by not-for-profit organisations and generally allocated to lower income households </w:t>
            </w:r>
            <w:r>
              <w:t xml:space="preserve">on either income-linked or ‘affordable’ rents </w:t>
            </w:r>
            <w:r w:rsidRPr="00511B6A">
              <w:t xml:space="preserve">in accordance with </w:t>
            </w:r>
            <w:r>
              <w:t xml:space="preserve">the </w:t>
            </w:r>
            <w:r w:rsidRPr="00511B6A">
              <w:t>eligibility and prioritisation policies</w:t>
            </w:r>
            <w:r>
              <w:t xml:space="preserve"> of each State/</w:t>
            </w:r>
            <w:proofErr w:type="spellStart"/>
            <w:r>
              <w:t>Territoy</w:t>
            </w:r>
            <w:proofErr w:type="spellEnd"/>
            <w:r>
              <w:t xml:space="preserve"> or CHP</w:t>
            </w:r>
            <w:r w:rsidRPr="00511B6A">
              <w:t>. Allocation is the responsibility of individual providers in accordance with their not-for-profit status and any other conditions, such as those imposed by governments</w:t>
            </w:r>
            <w:r>
              <w:t>,</w:t>
            </w:r>
            <w:r w:rsidRPr="00511B6A">
              <w:t xml:space="preserve"> in providing assistance. There were approximately 72,410 households in community housing at 30 June 2016.</w:t>
            </w:r>
          </w:p>
          <w:p w14:paraId="68630726" w14:textId="242A4B10" w:rsidR="00BF7D38" w:rsidRDefault="00B523D1" w:rsidP="00B523D1">
            <w:pPr>
              <w:pStyle w:val="BoxText-UnBold"/>
            </w:pPr>
            <w:r w:rsidRPr="00F07420">
              <w:t>Income-linked rental properties</w:t>
            </w:r>
            <w:r>
              <w:t>, whether offered by public or community housing providers,</w:t>
            </w:r>
            <w:r w:rsidRPr="00F07420">
              <w:t xml:space="preserve"> are also referred to as</w:t>
            </w:r>
            <w:r>
              <w:rPr>
                <w:b/>
              </w:rPr>
              <w:t xml:space="preserve"> social housing. </w:t>
            </w:r>
            <w:r w:rsidRPr="00511B6A">
              <w:t>In addition to these types of rental tenures the affordable housing system incorporates a number of shared</w:t>
            </w:r>
            <w:r w:rsidRPr="00511B6A">
              <w:noBreakHyphen/>
              <w:t>equity programmes ru</w:t>
            </w:r>
            <w:r>
              <w:t>n by individual S</w:t>
            </w:r>
            <w:r w:rsidRPr="00511B6A">
              <w:t xml:space="preserve">tate and </w:t>
            </w:r>
            <w:r>
              <w:t>T</w:t>
            </w:r>
            <w:r w:rsidRPr="00511B6A">
              <w:t>erritory governments to help support home ownership for eligible low</w:t>
            </w:r>
            <w:r>
              <w:t>-</w:t>
            </w:r>
            <w:r w:rsidRPr="00511B6A">
              <w:t>income Australians</w:t>
            </w:r>
            <w:r>
              <w:t>.</w:t>
            </w:r>
          </w:p>
        </w:tc>
      </w:tr>
    </w:tbl>
    <w:p w14:paraId="5207B5E0" w14:textId="77777777" w:rsidR="00E10E3F" w:rsidRPr="00BF7D38" w:rsidRDefault="00E10E3F" w:rsidP="00B523D1">
      <w:pPr>
        <w:pStyle w:val="Singleparagraph"/>
      </w:pPr>
    </w:p>
    <w:p w14:paraId="5A8315D3" w14:textId="0057C242" w:rsidR="005D2EF0" w:rsidRPr="00B14AFE" w:rsidRDefault="004B5E7A" w:rsidP="00B523D1">
      <w:pPr>
        <w:pStyle w:val="Heading2"/>
        <w:rPr>
          <w:i/>
        </w:rPr>
      </w:pPr>
      <w:bookmarkStart w:id="81" w:name="_Toc493848961"/>
      <w:r w:rsidRPr="00B14AFE">
        <w:t>CHPs and the Private</w:t>
      </w:r>
      <w:r w:rsidR="005D2EF0" w:rsidRPr="005D2EF0">
        <w:rPr>
          <w:rFonts w:ascii="Arial" w:hAnsi="Arial"/>
          <w:i/>
          <w:color w:val="246373"/>
          <w:lang w:eastAsia="en-US"/>
        </w:rPr>
        <w:t xml:space="preserve"> </w:t>
      </w:r>
      <w:r w:rsidR="005D2EF0" w:rsidRPr="00B14AFE">
        <w:t>Sector</w:t>
      </w:r>
      <w:bookmarkEnd w:id="81"/>
    </w:p>
    <w:p w14:paraId="2E667DB9" w14:textId="49107FF9" w:rsidR="0036248B" w:rsidRDefault="004577B6" w:rsidP="00372A2A">
      <w:r>
        <w:t>It is i</w:t>
      </w:r>
      <w:r w:rsidR="000D4454">
        <w:t>mportan</w:t>
      </w:r>
      <w:r>
        <w:t>t to recognise the role</w:t>
      </w:r>
      <w:r w:rsidR="000D4454">
        <w:t xml:space="preserve"> of </w:t>
      </w:r>
      <w:r w:rsidR="004F27F2">
        <w:t xml:space="preserve">the private sector </w:t>
      </w:r>
      <w:r w:rsidR="00EE6984">
        <w:t>to the community housing sector</w:t>
      </w:r>
      <w:r w:rsidR="000D4454">
        <w:t>. L</w:t>
      </w:r>
      <w:r w:rsidR="00532B7B">
        <w:t xml:space="preserve">onger </w:t>
      </w:r>
      <w:r w:rsidR="000D4454">
        <w:t xml:space="preserve">term </w:t>
      </w:r>
      <w:r w:rsidR="00532B7B">
        <w:t xml:space="preserve">growth </w:t>
      </w:r>
      <w:r w:rsidR="000D4454">
        <w:t xml:space="preserve">will require the </w:t>
      </w:r>
      <w:r w:rsidR="00D624BA">
        <w:t>construction</w:t>
      </w:r>
      <w:r w:rsidR="000D4454">
        <w:t xml:space="preserve"> of new stock as well as </w:t>
      </w:r>
      <w:r w:rsidR="00D624BA">
        <w:t>improved utilisation of the</w:t>
      </w:r>
      <w:r w:rsidR="000D4454">
        <w:t xml:space="preserve"> existing stock of community housing.</w:t>
      </w:r>
      <w:r w:rsidR="00D25490">
        <w:rPr>
          <w:rStyle w:val="FootnoteReference"/>
        </w:rPr>
        <w:footnoteReference w:id="2"/>
      </w:r>
      <w:r w:rsidR="000D4454">
        <w:t xml:space="preserve"> Since both of these tasks are undertaken (on a limited scale) by only a few CHPs, the ongoing involvement of the private sector — through investors and developers — is integral</w:t>
      </w:r>
      <w:r w:rsidR="00B22F40">
        <w:t xml:space="preserve"> to future growth</w:t>
      </w:r>
      <w:r w:rsidR="000D4454">
        <w:t>.</w:t>
      </w:r>
      <w:r w:rsidR="00532B7B">
        <w:t xml:space="preserve"> </w:t>
      </w:r>
    </w:p>
    <w:p w14:paraId="190F9C3C" w14:textId="62335358" w:rsidR="0036248B" w:rsidRDefault="003F419C" w:rsidP="00B523D1">
      <w:r>
        <w:t>While there are a number of examples of CHPs partnering with the private sector</w:t>
      </w:r>
      <w:r w:rsidR="006B1579">
        <w:t xml:space="preserve"> (including the Housing Construction Jobs Program in Queensland and the </w:t>
      </w:r>
      <w:r w:rsidR="006B1579" w:rsidRPr="006B1579">
        <w:t>One on Aberdeen and Abode developments in Western Australia)</w:t>
      </w:r>
      <w:r w:rsidR="00B9652E">
        <w:t xml:space="preserve">, </w:t>
      </w:r>
      <w:r w:rsidR="00D624BA">
        <w:t xml:space="preserve">to date </w:t>
      </w:r>
      <w:r w:rsidR="00B9652E">
        <w:t>this</w:t>
      </w:r>
      <w:r>
        <w:t xml:space="preserve"> </w:t>
      </w:r>
      <w:r w:rsidR="00443FEE">
        <w:t xml:space="preserve">has not </w:t>
      </w:r>
      <w:r w:rsidR="00C93D36">
        <w:t>resulted in</w:t>
      </w:r>
      <w:r w:rsidR="00865D2A">
        <w:t xml:space="preserve"> </w:t>
      </w:r>
      <w:r>
        <w:t>substantial</w:t>
      </w:r>
      <w:r w:rsidR="00C93D36">
        <w:t xml:space="preserve"> and sustained</w:t>
      </w:r>
      <w:r>
        <w:t xml:space="preserve"> increase</w:t>
      </w:r>
      <w:r w:rsidR="00C93D36">
        <w:t>s</w:t>
      </w:r>
      <w:r>
        <w:t xml:space="preserve"> in the </w:t>
      </w:r>
      <w:r w:rsidR="00865D2A">
        <w:t>stock</w:t>
      </w:r>
      <w:r>
        <w:t xml:space="preserve"> of social and affordable housing.</w:t>
      </w:r>
      <w:r w:rsidR="00D624BA">
        <w:t xml:space="preserve"> </w:t>
      </w:r>
    </w:p>
    <w:p w14:paraId="67D20463" w14:textId="60BF9DCF" w:rsidR="00D624BA" w:rsidRDefault="00D624BA" w:rsidP="00B523D1">
      <w:r>
        <w:t xml:space="preserve">There are a number of factors contributing to the subdued growth of the </w:t>
      </w:r>
      <w:proofErr w:type="gramStart"/>
      <w:r>
        <w:t>sector,</w:t>
      </w:r>
      <w:proofErr w:type="gramEnd"/>
      <w:r>
        <w:t xml:space="preserve"> however there is little or no evidence </w:t>
      </w:r>
      <w:r w:rsidR="0002324D">
        <w:t>linking</w:t>
      </w:r>
      <w:r>
        <w:t xml:space="preserve"> this to impediments to CHPs entering into agreements or partnerships with the private sector.</w:t>
      </w:r>
      <w:r w:rsidR="0002324D">
        <w:t xml:space="preserve"> </w:t>
      </w:r>
      <w:r w:rsidR="00D25490">
        <w:t>Rather, the major challenges are more fundamental (and outlined in the following section).</w:t>
      </w:r>
      <w:r w:rsidR="0002324D">
        <w:t xml:space="preserve"> </w:t>
      </w:r>
      <w:r>
        <w:t xml:space="preserve">  </w:t>
      </w:r>
    </w:p>
    <w:p w14:paraId="7AD68B43" w14:textId="77777777" w:rsidR="00B523D1" w:rsidRDefault="00B523D1" w:rsidP="00B523D1">
      <w:pPr>
        <w:rPr>
          <w:rFonts w:ascii="Calibri" w:eastAsiaTheme="majorEastAsia" w:hAnsi="Calibri" w:cstheme="majorBidi"/>
          <w:b/>
          <w:bCs/>
          <w:i/>
          <w:color w:val="246373" w:themeColor="accent6" w:themeShade="BF"/>
          <w:sz w:val="26"/>
          <w:szCs w:val="24"/>
        </w:rPr>
      </w:pPr>
      <w:r>
        <w:br w:type="page"/>
      </w:r>
    </w:p>
    <w:p w14:paraId="7D7A48A1" w14:textId="6EA63F47" w:rsidR="002A3CEC" w:rsidRPr="00B14AFE" w:rsidRDefault="002A3CEC" w:rsidP="00B14AFE">
      <w:pPr>
        <w:pStyle w:val="Heading3"/>
        <w:rPr>
          <w:b w:val="0"/>
          <w:i w:val="0"/>
        </w:rPr>
      </w:pPr>
      <w:r w:rsidRPr="00B14AFE">
        <w:lastRenderedPageBreak/>
        <w:t>Challenges facing the Community Housing Sector</w:t>
      </w:r>
    </w:p>
    <w:p w14:paraId="5816F13C" w14:textId="2ED62490" w:rsidR="00546597" w:rsidRDefault="00B50877" w:rsidP="00B523D1">
      <w:r>
        <w:t>T</w:t>
      </w:r>
      <w:r w:rsidR="00125C19">
        <w:t xml:space="preserve">he </w:t>
      </w:r>
      <w:r>
        <w:t>community housing</w:t>
      </w:r>
      <w:r w:rsidR="00125C19">
        <w:t xml:space="preserve"> sector faces</w:t>
      </w:r>
      <w:r w:rsidR="001F02AA">
        <w:t xml:space="preserve"> </w:t>
      </w:r>
      <w:r w:rsidR="00E45590">
        <w:t>substantial challenges.</w:t>
      </w:r>
      <w:r w:rsidR="00125C19" w:rsidRPr="00125C19">
        <w:t xml:space="preserve"> </w:t>
      </w:r>
      <w:r w:rsidR="00546597">
        <w:t xml:space="preserve">While Australia’s population has continued to grow, the stock of social housing has remained virtually static. </w:t>
      </w:r>
      <w:r w:rsidR="00C068D6">
        <w:t>While this is not considered a target rate, e</w:t>
      </w:r>
      <w:r w:rsidR="00546597">
        <w:t xml:space="preserve">ven ensuring that social housing remains as a constant proportion </w:t>
      </w:r>
      <w:r w:rsidR="0004175F">
        <w:t xml:space="preserve">– </w:t>
      </w:r>
      <w:r w:rsidR="00546597">
        <w:t>4.</w:t>
      </w:r>
      <w:r w:rsidR="00E87A42">
        <w:t>3</w:t>
      </w:r>
      <w:r w:rsidR="00C068D6">
        <w:t> per </w:t>
      </w:r>
      <w:r w:rsidR="00E87A42">
        <w:t>cent</w:t>
      </w:r>
      <w:r w:rsidR="00546597">
        <w:t xml:space="preserve"> of total dwellings </w:t>
      </w:r>
      <w:r w:rsidR="0004175F">
        <w:t xml:space="preserve">– </w:t>
      </w:r>
      <w:r w:rsidR="0051724B">
        <w:t>is a substantial challenge</w:t>
      </w:r>
      <w:r w:rsidR="00546597">
        <w:t>.</w:t>
      </w:r>
    </w:p>
    <w:p w14:paraId="6FCE3B95" w14:textId="55D0AE6D" w:rsidR="00B523D1" w:rsidRPr="007863DF" w:rsidRDefault="00B523D1" w:rsidP="00B523D1">
      <w:pPr>
        <w:pStyle w:val="BoxMainHeading-Outside"/>
      </w:pPr>
      <w:r>
        <w:t>Box 2.2: The Scale of the Challenge</w:t>
      </w:r>
    </w:p>
    <w:tbl>
      <w:tblPr>
        <w:tblStyle w:val="TableGrid"/>
        <w:tblW w:w="9322" w:type="dxa"/>
        <w:shd w:val="clear" w:color="auto" w:fill="D0E9F0" w:themeFill="accent6" w:themeFillTint="33"/>
        <w:tblLook w:val="04A0" w:firstRow="1" w:lastRow="0" w:firstColumn="1" w:lastColumn="0" w:noHBand="0" w:noVBand="1"/>
      </w:tblPr>
      <w:tblGrid>
        <w:gridCol w:w="9322"/>
      </w:tblGrid>
      <w:tr w:rsidR="00B523D1" w14:paraId="5D920869" w14:textId="77777777" w:rsidTr="003F36CE">
        <w:tc>
          <w:tcPr>
            <w:tcW w:w="9322" w:type="dxa"/>
            <w:shd w:val="clear" w:color="auto" w:fill="D0E9F0" w:themeFill="accent6" w:themeFillTint="33"/>
          </w:tcPr>
          <w:p w14:paraId="54B3E255" w14:textId="77777777" w:rsidR="00B523D1" w:rsidRDefault="00B523D1" w:rsidP="00B523D1">
            <w:pPr>
              <w:pStyle w:val="BoxText-UnBold"/>
            </w:pPr>
            <w:r>
              <w:t xml:space="preserve">Projections from the 2015 Intergenerational Report suggest that Australia’s population will reach 39.7 million in 2055. If combined with the current average of 2.6 people per household — a figure which has remained relatively stable over the last few Censuses — there will be approximately 15.3 million households. This equates to an increase of over 5 million dwellings required across Australia from the night of Census 2016. </w:t>
            </w:r>
          </w:p>
          <w:p w14:paraId="13FEBAD6" w14:textId="77777777" w:rsidR="00B523D1" w:rsidRDefault="00B523D1" w:rsidP="00B523D1">
            <w:pPr>
              <w:pStyle w:val="BoxText-UnBold"/>
            </w:pPr>
            <w:r>
              <w:t>Social housing comprises only a small proportion of total dwellings, which currently number approximately 9.9 million</w:t>
            </w:r>
            <w:r>
              <w:rPr>
                <w:rStyle w:val="FootnoteReference"/>
                <w:color w:val="auto"/>
              </w:rPr>
              <w:footnoteReference w:id="3"/>
            </w:r>
            <w:r>
              <w:t>. At 30 June 2016, there were 400,266 dwellings used for public and community housing. When dwellings reserved for Indigenous Australians are included, this number increases to 427,682 dwellings</w:t>
            </w:r>
            <w:r>
              <w:rPr>
                <w:rStyle w:val="FootnoteReference"/>
                <w:color w:val="auto"/>
              </w:rPr>
              <w:footnoteReference w:id="4"/>
            </w:r>
            <w:r>
              <w:t xml:space="preserve">. These represent 4.0 and 4.3 per cent of the total housing stock respectively. </w:t>
            </w:r>
          </w:p>
          <w:p w14:paraId="2E52630F" w14:textId="77777777" w:rsidR="00B523D1" w:rsidRDefault="00B523D1" w:rsidP="00B523D1">
            <w:pPr>
              <w:pStyle w:val="BoxText-UnBold"/>
            </w:pPr>
            <w:r>
              <w:t>As an illustrative example, for social housing to remain at 4.3 per cent of the total housing stock, over 230,000 new dwellings will need to be built over the period to 2055. This is an increase of 54 per cent in the total stock of social housing dwellings over current levels and would require the production of over 6,000 new dwellings per year.</w:t>
            </w:r>
          </w:p>
          <w:p w14:paraId="31031038" w14:textId="7FA1A51D" w:rsidR="00B523D1" w:rsidRDefault="00B523D1" w:rsidP="00B523D1">
            <w:pPr>
              <w:pStyle w:val="BoxText-UnBold"/>
            </w:pPr>
            <w:r>
              <w:t>Taking into account the fact that housing depreciates over time, a large proportion of the existing stock will also need to be replaced. These numbers do not account for the fact that there are high levels of unmet demand evidenced by long waiting lists for social housing.</w:t>
            </w:r>
          </w:p>
        </w:tc>
      </w:tr>
    </w:tbl>
    <w:p w14:paraId="3D300752" w14:textId="77777777" w:rsidR="00B523D1" w:rsidRDefault="00B523D1" w:rsidP="00B523D1">
      <w:pPr>
        <w:pStyle w:val="Singleparagraph"/>
      </w:pPr>
    </w:p>
    <w:p w14:paraId="611B1788" w14:textId="3BFB7AEE" w:rsidR="000E3174" w:rsidRDefault="00407554" w:rsidP="00B523D1">
      <w:r>
        <w:t>Currently, t</w:t>
      </w:r>
      <w:r w:rsidR="00546597">
        <w:t>h</w:t>
      </w:r>
      <w:r>
        <w:t xml:space="preserve">ere are </w:t>
      </w:r>
      <w:r w:rsidR="00546597">
        <w:t xml:space="preserve">large numbers of households with unmet social and affordable housing needs. </w:t>
      </w:r>
      <w:r w:rsidR="001F02AA">
        <w:t>Estimates suggest that t</w:t>
      </w:r>
      <w:r w:rsidR="00125C19">
        <w:t>he national shortage of private rental dwellings available to</w:t>
      </w:r>
      <w:r w:rsidR="00AE13BB">
        <w:t>,</w:t>
      </w:r>
      <w:r w:rsidR="00125C19">
        <w:t xml:space="preserve"> and affordable for</w:t>
      </w:r>
      <w:r w:rsidR="00AE13BB">
        <w:t>,</w:t>
      </w:r>
      <w:r w:rsidR="00125C19">
        <w:t xml:space="preserve"> households with very low incomes (lowest 20</w:t>
      </w:r>
      <w:r w:rsidR="002A6ED3">
        <w:t xml:space="preserve"> per cent</w:t>
      </w:r>
      <w:r w:rsidR="00125C19">
        <w:t>) increased from 150,000 to 271,000 homes between 1996 and 2011.</w:t>
      </w:r>
      <w:r w:rsidR="00210FBD">
        <w:rPr>
          <w:rStyle w:val="FootnoteReference"/>
        </w:rPr>
        <w:footnoteReference w:id="5"/>
      </w:r>
      <w:r w:rsidR="001F02AA">
        <w:t xml:space="preserve"> As a result, access has been increasingly restricted to ‘highest need’ applicants</w:t>
      </w:r>
      <w:r w:rsidR="005D16D4">
        <w:t>.</w:t>
      </w:r>
      <w:r w:rsidR="00A15CAD">
        <w:rPr>
          <w:rStyle w:val="FootnoteReference"/>
        </w:rPr>
        <w:footnoteReference w:id="6"/>
      </w:r>
      <w:r w:rsidR="001F02AA" w:rsidRPr="001F02AA">
        <w:t xml:space="preserve"> </w:t>
      </w:r>
      <w:r w:rsidR="001F02AA">
        <w:t>Growing numbers of low</w:t>
      </w:r>
      <w:r w:rsidR="00B22F40">
        <w:t>-</w:t>
      </w:r>
      <w:r w:rsidR="00002E5B">
        <w:t>income private tenants face</w:t>
      </w:r>
      <w:r w:rsidR="00B27F76">
        <w:t xml:space="preserve"> rents</w:t>
      </w:r>
      <w:r w:rsidR="001F02AA">
        <w:t xml:space="preserve"> equating to more than 30</w:t>
      </w:r>
      <w:r w:rsidR="00B523D1">
        <w:t> </w:t>
      </w:r>
      <w:r w:rsidR="00E451CE">
        <w:t>per</w:t>
      </w:r>
      <w:r w:rsidR="00B523D1">
        <w:t> </w:t>
      </w:r>
      <w:r w:rsidR="00E451CE">
        <w:t>cent of gross</w:t>
      </w:r>
      <w:r w:rsidR="00FE28B9">
        <w:t xml:space="preserve"> </w:t>
      </w:r>
      <w:r w:rsidR="002A6ED3">
        <w:t xml:space="preserve">household </w:t>
      </w:r>
      <w:r w:rsidR="00E451CE">
        <w:t>income</w:t>
      </w:r>
      <w:r w:rsidR="001F02AA">
        <w:t xml:space="preserve">. </w:t>
      </w:r>
    </w:p>
    <w:p w14:paraId="776D72CA" w14:textId="77777777" w:rsidR="00B523D1" w:rsidRDefault="00B523D1">
      <w:pPr>
        <w:spacing w:after="200" w:line="276" w:lineRule="auto"/>
        <w:jc w:val="left"/>
      </w:pPr>
      <w:r>
        <w:br w:type="page"/>
      </w:r>
    </w:p>
    <w:p w14:paraId="07016475" w14:textId="39A7DA46" w:rsidR="001C0E91" w:rsidRDefault="00B27F76" w:rsidP="00B523D1">
      <w:r>
        <w:lastRenderedPageBreak/>
        <w:t xml:space="preserve">However there are barriers to the sector achieving the scale and </w:t>
      </w:r>
      <w:r w:rsidR="00B22F40">
        <w:t xml:space="preserve">capability </w:t>
      </w:r>
      <w:r>
        <w:t>necessary to meet current and projected demand for community housing.</w:t>
      </w:r>
      <w:r w:rsidR="000C0020">
        <w:t xml:space="preserve"> In a recent study,</w:t>
      </w:r>
      <w:r>
        <w:t xml:space="preserve"> </w:t>
      </w:r>
      <w:r w:rsidR="000C0020">
        <w:t>AHURI</w:t>
      </w:r>
      <w:r w:rsidR="000B68D2">
        <w:rPr>
          <w:rStyle w:val="FootnoteReference"/>
        </w:rPr>
        <w:footnoteReference w:id="7"/>
      </w:r>
      <w:r w:rsidR="000C0020">
        <w:t xml:space="preserve"> identified a numb</w:t>
      </w:r>
      <w:r w:rsidR="00CB477F">
        <w:t>er of these barriers, including:</w:t>
      </w:r>
    </w:p>
    <w:p w14:paraId="72D9106B" w14:textId="32763EF8" w:rsidR="00CB477F" w:rsidRPr="00B523D1" w:rsidRDefault="000B68D2" w:rsidP="00B523D1">
      <w:pPr>
        <w:pStyle w:val="Bullet"/>
      </w:pPr>
      <w:r w:rsidRPr="00B523D1">
        <w:t xml:space="preserve">the </w:t>
      </w:r>
      <w:r w:rsidR="00CB477F" w:rsidRPr="00B523D1">
        <w:t>restricted resource capacity</w:t>
      </w:r>
      <w:r w:rsidRPr="00B523D1">
        <w:t xml:space="preserve"> of CHPs</w:t>
      </w:r>
      <w:r w:rsidR="00CB477F" w:rsidRPr="00B523D1">
        <w:t xml:space="preserve"> due to public subsidy and private financing constraints;</w:t>
      </w:r>
    </w:p>
    <w:p w14:paraId="7920D894" w14:textId="17561DD8" w:rsidR="00CB477F" w:rsidRPr="00B523D1" w:rsidRDefault="000B68D2" w:rsidP="00B523D1">
      <w:pPr>
        <w:pStyle w:val="Bullet"/>
      </w:pPr>
      <w:r w:rsidRPr="00B523D1">
        <w:t>the limitations of supporting institutions and frameworks, such as the need to improve the national regulatory framework and the lack of publically available data and information on the industry’s profile and performance; and</w:t>
      </w:r>
    </w:p>
    <w:p w14:paraId="612FBDDB" w14:textId="533A411D" w:rsidR="000B68D2" w:rsidRPr="00B523D1" w:rsidRDefault="006B2398" w:rsidP="00B523D1">
      <w:pPr>
        <w:pStyle w:val="Bullet"/>
      </w:pPr>
      <w:proofErr w:type="gramStart"/>
      <w:r w:rsidRPr="00B523D1">
        <w:t>the</w:t>
      </w:r>
      <w:proofErr w:type="gramEnd"/>
      <w:r w:rsidRPr="00B523D1">
        <w:t xml:space="preserve"> need to enhance industry-specific competencies such as specialist property development, development finance and complex tenancy management abilities. </w:t>
      </w:r>
    </w:p>
    <w:p w14:paraId="31D6041D" w14:textId="6EADACCD" w:rsidR="004F51A0" w:rsidRDefault="004F51A0" w:rsidP="00372A2A">
      <w:r>
        <w:t xml:space="preserve">The </w:t>
      </w:r>
      <w:r w:rsidRPr="00710DDB">
        <w:rPr>
          <w:i/>
        </w:rPr>
        <w:t>National Indu</w:t>
      </w:r>
      <w:r w:rsidR="00710DDB" w:rsidRPr="00710DDB">
        <w:rPr>
          <w:i/>
        </w:rPr>
        <w:t>stry Development Framework for C</w:t>
      </w:r>
      <w:r w:rsidRPr="00710DDB">
        <w:rPr>
          <w:i/>
        </w:rPr>
        <w:t xml:space="preserve">ommunity </w:t>
      </w:r>
      <w:r w:rsidR="00710DDB" w:rsidRPr="00710DDB">
        <w:rPr>
          <w:i/>
        </w:rPr>
        <w:t>H</w:t>
      </w:r>
      <w:r w:rsidRPr="00710DDB">
        <w:rPr>
          <w:i/>
        </w:rPr>
        <w:t>ousing</w:t>
      </w:r>
      <w:r>
        <w:rPr>
          <w:rStyle w:val="FootnoteReference"/>
        </w:rPr>
        <w:footnoteReference w:id="8"/>
      </w:r>
      <w:r>
        <w:t xml:space="preserve"> </w:t>
      </w:r>
      <w:r w:rsidR="00584D8E">
        <w:t>provides high-level guidance for governments, CHPs and mediating peak organisations, providing recommendations within f</w:t>
      </w:r>
      <w:r>
        <w:t xml:space="preserve">ive key areas of development that </w:t>
      </w:r>
      <w:r w:rsidR="00332871">
        <w:t>will build the scale and capability of the community housing sector:</w:t>
      </w:r>
    </w:p>
    <w:p w14:paraId="273E31F3" w14:textId="63A7DCD7" w:rsidR="00332871" w:rsidRPr="00B523D1" w:rsidRDefault="00332871" w:rsidP="00B523D1">
      <w:pPr>
        <w:pStyle w:val="OutlineNumbered1"/>
      </w:pPr>
      <w:r w:rsidRPr="00B523D1">
        <w:t>Governance, risk management, and strategic planning;</w:t>
      </w:r>
    </w:p>
    <w:p w14:paraId="7D23DB7A" w14:textId="386E77BE" w:rsidR="00332871" w:rsidRPr="00B523D1" w:rsidRDefault="00332871" w:rsidP="00B523D1">
      <w:pPr>
        <w:pStyle w:val="OutlineNumbered1"/>
      </w:pPr>
      <w:r w:rsidRPr="00B523D1">
        <w:t xml:space="preserve">Construction and development; </w:t>
      </w:r>
    </w:p>
    <w:p w14:paraId="77454B80" w14:textId="3118F47C" w:rsidR="00332871" w:rsidRPr="00B523D1" w:rsidRDefault="00332871" w:rsidP="00B523D1">
      <w:pPr>
        <w:pStyle w:val="OutlineNumbered1"/>
      </w:pPr>
      <w:r w:rsidRPr="00B523D1">
        <w:t>Finance;</w:t>
      </w:r>
    </w:p>
    <w:p w14:paraId="10192E7C" w14:textId="0CAED32F" w:rsidR="00332871" w:rsidRPr="00B523D1" w:rsidRDefault="00332871" w:rsidP="00B523D1">
      <w:pPr>
        <w:pStyle w:val="OutlineNumbered1"/>
      </w:pPr>
      <w:r w:rsidRPr="00B523D1">
        <w:t>Regulation – meeting requirements of the National Regulatory Code; and</w:t>
      </w:r>
    </w:p>
    <w:p w14:paraId="78FCA912" w14:textId="12666A1A" w:rsidR="00332871" w:rsidRPr="00B523D1" w:rsidRDefault="00332871" w:rsidP="00B523D1">
      <w:pPr>
        <w:pStyle w:val="OutlineNumbered1"/>
      </w:pPr>
      <w:r w:rsidRPr="00B523D1">
        <w:t xml:space="preserve">Workforce development. </w:t>
      </w:r>
    </w:p>
    <w:tbl>
      <w:tblPr>
        <w:tblStyle w:val="TableGrid"/>
        <w:tblW w:w="9322" w:type="dxa"/>
        <w:shd w:val="clear" w:color="auto" w:fill="F2F2F2" w:themeFill="background1" w:themeFillShade="F2"/>
        <w:tblLook w:val="04A0" w:firstRow="1" w:lastRow="0" w:firstColumn="1" w:lastColumn="0" w:noHBand="0" w:noVBand="1"/>
      </w:tblPr>
      <w:tblGrid>
        <w:gridCol w:w="9322"/>
      </w:tblGrid>
      <w:tr w:rsidR="00B523D1" w14:paraId="6A21B688" w14:textId="77777777" w:rsidTr="003F36CE">
        <w:tc>
          <w:tcPr>
            <w:tcW w:w="9322" w:type="dxa"/>
            <w:shd w:val="clear" w:color="auto" w:fill="F2F2F2" w:themeFill="background1" w:themeFillShade="F2"/>
          </w:tcPr>
          <w:p w14:paraId="5B2D81C0" w14:textId="77777777" w:rsidR="00B523D1" w:rsidRPr="00B14AFE" w:rsidRDefault="00B523D1" w:rsidP="00B523D1">
            <w:pPr>
              <w:pStyle w:val="BoxHeading"/>
            </w:pPr>
            <w:r w:rsidRPr="00B14AFE">
              <w:t>Recommendation 3</w:t>
            </w:r>
          </w:p>
          <w:p w14:paraId="619BA114" w14:textId="77777777" w:rsidR="00B523D1" w:rsidRPr="00C71E32" w:rsidRDefault="00B523D1" w:rsidP="00B523D1">
            <w:pPr>
              <w:pStyle w:val="BoxText"/>
              <w:rPr>
                <w:lang w:eastAsia="en-US"/>
              </w:rPr>
            </w:pPr>
            <w:r w:rsidRPr="00C71E32">
              <w:rPr>
                <w:lang w:eastAsia="en-US"/>
              </w:rPr>
              <w:t xml:space="preserve">The Affordable Housing Working Group recommends that the </w:t>
            </w:r>
            <w:r w:rsidRPr="00C71E32">
              <w:rPr>
                <w:i/>
                <w:lang w:eastAsia="en-US"/>
              </w:rPr>
              <w:t>National Industry Development Framework for Community Housing</w:t>
            </w:r>
            <w:r w:rsidRPr="00C71E32">
              <w:rPr>
                <w:lang w:eastAsia="en-US"/>
              </w:rPr>
              <w:t xml:space="preserve"> be revised and updated to reflect findings and recommendations from the Review of the National Regulatory System for Community Housing.</w:t>
            </w:r>
          </w:p>
          <w:p w14:paraId="793E67D1" w14:textId="2A7F63AC" w:rsidR="00B523D1" w:rsidRDefault="00B523D1" w:rsidP="00B523D1">
            <w:pPr>
              <w:pStyle w:val="BoxText-UnBold"/>
            </w:pPr>
            <w:r w:rsidRPr="00C71E32">
              <w:rPr>
                <w:lang w:eastAsia="en-US"/>
              </w:rPr>
              <w:t>In order to leverage the finance provided through the bond aggregator, it is important to ensure that the community housing sector has the necessary financial, asset and risk management expertise.</w:t>
            </w:r>
          </w:p>
        </w:tc>
      </w:tr>
    </w:tbl>
    <w:p w14:paraId="33D9C2BC" w14:textId="5292840B" w:rsidR="00DB2474" w:rsidRPr="00B523D1" w:rsidRDefault="00DB2474" w:rsidP="00B523D1"/>
    <w:p w14:paraId="1DCFBED1" w14:textId="77777777" w:rsidR="00B523D1" w:rsidRPr="00B523D1" w:rsidRDefault="00B523D1" w:rsidP="00B523D1"/>
    <w:p w14:paraId="2C5E567A" w14:textId="09AE2A10" w:rsidR="00DB2474" w:rsidRDefault="00DB2474">
      <w:pPr>
        <w:spacing w:after="200" w:line="276" w:lineRule="auto"/>
        <w:rPr>
          <w:rFonts w:ascii="Calibri" w:eastAsiaTheme="majorEastAsia" w:hAnsi="Calibri" w:cstheme="majorBidi"/>
          <w:b/>
          <w:bCs/>
          <w:color w:val="005A70"/>
          <w:spacing w:val="4"/>
          <w:sz w:val="30"/>
          <w:szCs w:val="26"/>
        </w:rPr>
      </w:pPr>
      <w:r>
        <w:br w:type="page"/>
      </w:r>
    </w:p>
    <w:p w14:paraId="0BC65063" w14:textId="0CC0DDC2" w:rsidR="003413C8" w:rsidRPr="003413C8" w:rsidRDefault="003413C8" w:rsidP="003413C8">
      <w:pPr>
        <w:pStyle w:val="Heading2"/>
        <w:rPr>
          <w:szCs w:val="30"/>
        </w:rPr>
      </w:pPr>
      <w:bookmarkStart w:id="82" w:name="_Toc485750941"/>
      <w:bookmarkStart w:id="83" w:name="_Toc487814094"/>
      <w:bookmarkStart w:id="84" w:name="_Toc493848962"/>
      <w:r w:rsidRPr="003413C8">
        <w:rPr>
          <w:szCs w:val="30"/>
        </w:rPr>
        <w:lastRenderedPageBreak/>
        <w:t>The Affordable Housing Bond Aggregator</w:t>
      </w:r>
      <w:bookmarkEnd w:id="82"/>
      <w:bookmarkEnd w:id="83"/>
      <w:bookmarkEnd w:id="84"/>
    </w:p>
    <w:p w14:paraId="706AB893" w14:textId="77777777" w:rsidR="00614CBF" w:rsidRDefault="00597BA2" w:rsidP="00B523D1">
      <w:r>
        <w:t>In the 2017-18 Budget, the Commonwealth Government announced the establishment of the National Housing Finance and Investment Corporation (NHFIC) to operate an affordable housing bond aggregator</w:t>
      </w:r>
      <w:r w:rsidR="00D3638C">
        <w:t xml:space="preserve">. </w:t>
      </w:r>
    </w:p>
    <w:p w14:paraId="6CDAEA0D" w14:textId="5649FA5D" w:rsidR="004E68E1" w:rsidRDefault="00D3638C" w:rsidP="00B523D1">
      <w:r>
        <w:t xml:space="preserve">The bond aggregator </w:t>
      </w:r>
      <w:r w:rsidR="009D1986">
        <w:t>has the potential to</w:t>
      </w:r>
      <w:r w:rsidR="0031220C">
        <w:t xml:space="preserve"> provide cheaper and longer term finance </w:t>
      </w:r>
      <w:r w:rsidR="006607AE">
        <w:t>to support the development and retention of affordable housing. It will do this</w:t>
      </w:r>
      <w:r w:rsidR="0031220C">
        <w:t xml:space="preserve"> by aggregating the borrowing requirements </w:t>
      </w:r>
      <w:r w:rsidR="006607AE">
        <w:t xml:space="preserve">of </w:t>
      </w:r>
      <w:r>
        <w:t>community housing providers</w:t>
      </w:r>
      <w:r>
        <w:rPr>
          <w:rStyle w:val="FootnoteReference"/>
        </w:rPr>
        <w:footnoteReference w:id="9"/>
      </w:r>
      <w:r w:rsidR="006607AE">
        <w:t xml:space="preserve"> </w:t>
      </w:r>
      <w:r w:rsidR="0031220C">
        <w:t>and issuing bonds to the wholesale market at a lower cost and lo</w:t>
      </w:r>
      <w:r w:rsidR="00597BA2">
        <w:t xml:space="preserve">nger tenor than </w:t>
      </w:r>
      <w:r w:rsidR="00A15CAD">
        <w:t xml:space="preserve">traditional </w:t>
      </w:r>
      <w:r w:rsidR="00597BA2">
        <w:t>bank finance.</w:t>
      </w:r>
      <w:r w:rsidR="003C79A4">
        <w:rPr>
          <w:rStyle w:val="FootnoteReference"/>
        </w:rPr>
        <w:footnoteReference w:id="10"/>
      </w:r>
      <w:r w:rsidR="00597BA2">
        <w:t xml:space="preserve"> </w:t>
      </w:r>
      <w:r w:rsidR="00614CBF">
        <w:t>This</w:t>
      </w:r>
      <w:r w:rsidR="004E68E1">
        <w:t xml:space="preserve"> will lower the operational and capital costs for many </w:t>
      </w:r>
      <w:r w:rsidR="006607AE">
        <w:t>providers</w:t>
      </w:r>
      <w:r w:rsidR="004E68E1">
        <w:t xml:space="preserve">, </w:t>
      </w:r>
      <w:r w:rsidR="00A15CAD">
        <w:t xml:space="preserve">with these efficiencies </w:t>
      </w:r>
      <w:r w:rsidR="00210FBD">
        <w:t>available for reinvestment</w:t>
      </w:r>
      <w:r w:rsidR="00A15CAD">
        <w:t xml:space="preserve"> into further </w:t>
      </w:r>
      <w:r w:rsidR="006607AE">
        <w:t>social and affordable</w:t>
      </w:r>
      <w:r w:rsidR="004E68E1">
        <w:t xml:space="preserve"> housing.</w:t>
      </w:r>
      <w:r w:rsidR="00614CBF" w:rsidRPr="00614CBF">
        <w:t xml:space="preserve"> </w:t>
      </w:r>
      <w:r w:rsidR="00614CBF">
        <w:t>An implementation plan for the bond aggregator forms the basis of the Affordable Housing Implementation Taskforce</w:t>
      </w:r>
      <w:r w:rsidR="00614CBF" w:rsidRPr="00CC0D97">
        <w:t xml:space="preserve"> </w:t>
      </w:r>
      <w:r w:rsidR="00614CBF">
        <w:t>report.</w:t>
      </w:r>
    </w:p>
    <w:p w14:paraId="3C3A485F" w14:textId="2764EFA5" w:rsidR="008C1EA3" w:rsidRDefault="00F310CD" w:rsidP="00B523D1">
      <w:r>
        <w:t>However the bond aggregator by itself cannot propel the</w:t>
      </w:r>
      <w:r w:rsidR="00A40399">
        <w:t xml:space="preserve"> CHP</w:t>
      </w:r>
      <w:r>
        <w:t xml:space="preserve"> sector to significantly greater scale and </w:t>
      </w:r>
      <w:r w:rsidR="00D37550">
        <w:t>capability</w:t>
      </w:r>
      <w:r>
        <w:t xml:space="preserve">. </w:t>
      </w:r>
      <w:r w:rsidR="00CC0D97">
        <w:t xml:space="preserve">While it will </w:t>
      </w:r>
      <w:r w:rsidR="00CE7475">
        <w:t>help</w:t>
      </w:r>
      <w:r>
        <w:t xml:space="preserve"> address </w:t>
      </w:r>
      <w:r w:rsidR="00CC0D97">
        <w:t>the challenge of accessing cost-eff</w:t>
      </w:r>
      <w:r>
        <w:t>ective private finance at scale</w:t>
      </w:r>
      <w:r w:rsidR="00053E76">
        <w:t xml:space="preserve"> in the community housing sector</w:t>
      </w:r>
      <w:r w:rsidR="00CC0D97">
        <w:t>,</w:t>
      </w:r>
      <w:r w:rsidR="005F679A">
        <w:t xml:space="preserve"> </w:t>
      </w:r>
      <w:r w:rsidR="008C1EA3">
        <w:t>it will not address the other barriers identified by AHURI.</w:t>
      </w:r>
    </w:p>
    <w:p w14:paraId="266790E7" w14:textId="7A0D7118" w:rsidR="00A1189B" w:rsidRPr="00A1189B" w:rsidRDefault="00C4620D" w:rsidP="005B396E">
      <w:pPr>
        <w:pStyle w:val="Heading2"/>
      </w:pPr>
      <w:bookmarkStart w:id="85" w:name="_Toc493848963"/>
      <w:r>
        <w:t>The f</w:t>
      </w:r>
      <w:r w:rsidR="00A1189B" w:rsidRPr="00A1189B">
        <w:t xml:space="preserve">unding </w:t>
      </w:r>
      <w:r>
        <w:t>g</w:t>
      </w:r>
      <w:r w:rsidR="00A1189B" w:rsidRPr="00A1189B">
        <w:t>ap</w:t>
      </w:r>
      <w:bookmarkEnd w:id="85"/>
    </w:p>
    <w:p w14:paraId="6B3042B5" w14:textId="0AC6682F" w:rsidR="00140824" w:rsidRDefault="00A63A93" w:rsidP="00372A2A">
      <w:r>
        <w:t>One of the more</w:t>
      </w:r>
      <w:bookmarkEnd w:id="76"/>
      <w:bookmarkEnd w:id="77"/>
      <w:bookmarkEnd w:id="78"/>
      <w:bookmarkEnd w:id="79"/>
      <w:bookmarkEnd w:id="80"/>
      <w:r w:rsidR="00FF2520">
        <w:t xml:space="preserve"> </w:t>
      </w:r>
      <w:r w:rsidR="00614CBF">
        <w:t xml:space="preserve">substantial </w:t>
      </w:r>
      <w:r w:rsidR="00140824">
        <w:t>barrier</w:t>
      </w:r>
      <w:r>
        <w:t>s</w:t>
      </w:r>
      <w:r w:rsidR="00140824">
        <w:t xml:space="preserve"> to growth in affordable housing is the funding gap (as distinct from the financing gap</w:t>
      </w:r>
      <w:r w:rsidR="00140824">
        <w:rPr>
          <w:rStyle w:val="FootnoteReference"/>
        </w:rPr>
        <w:footnoteReference w:id="11"/>
      </w:r>
      <w:r w:rsidR="00140824">
        <w:t xml:space="preserve">). The funding gap is the difference between the costs of delivering new supply of affordable housing (such as the costs associated with </w:t>
      </w:r>
      <w:proofErr w:type="spellStart"/>
      <w:r w:rsidR="00140824">
        <w:t>with</w:t>
      </w:r>
      <w:proofErr w:type="spellEnd"/>
      <w:r w:rsidR="00140824">
        <w:t xml:space="preserve"> acquiring new stock, managing tenancies, </w:t>
      </w:r>
      <w:r w:rsidR="00D37550">
        <w:t xml:space="preserve">dwelling </w:t>
      </w:r>
      <w:r w:rsidR="00140824">
        <w:t xml:space="preserve">maintenance and depreciation) and the income received (from concessional rents and Commonwealth Rent Assistance). </w:t>
      </w:r>
    </w:p>
    <w:p w14:paraId="357C1AB5" w14:textId="1FC94F7F" w:rsidR="00140824" w:rsidRDefault="00140824" w:rsidP="00372A2A">
      <w:r>
        <w:t xml:space="preserve">By design, affordable housing providers charge rents that are below market rates in order to assist tenants with their costs of living. This reduces the </w:t>
      </w:r>
      <w:r w:rsidR="00A40399">
        <w:t>returns that CHPs are able to</w:t>
      </w:r>
      <w:r>
        <w:t xml:space="preserve"> receive. Since </w:t>
      </w:r>
      <w:r w:rsidR="00A40399">
        <w:t>CHPs</w:t>
      </w:r>
      <w:r>
        <w:t xml:space="preserve"> also typically aim to provide tenants with security of tenure</w:t>
      </w:r>
      <w:r w:rsidR="00D37550">
        <w:t>,</w:t>
      </w:r>
      <w:r>
        <w:t xml:space="preserve"> and</w:t>
      </w:r>
      <w:r w:rsidR="00D37550">
        <w:t xml:space="preserve"> are therefore</w:t>
      </w:r>
      <w:r>
        <w:t xml:space="preserve"> unlikely to readily sell a dwelling, providers are also less able to realise the capital gains associated with growth in dwelling prices. These facts combined mean that </w:t>
      </w:r>
      <w:r w:rsidR="006D459B">
        <w:t xml:space="preserve">potential </w:t>
      </w:r>
      <w:r>
        <w:t>investors are able to obtain better returns (for the same level of risk) elsewhere. Without measures to reduce (or even eliminate) this funding gap, the provision of affordable housing by the non-government sector will most likely remain restrained, even with the advent of the bond aggregator</w:t>
      </w:r>
      <w:r w:rsidR="00D37550">
        <w:t xml:space="preserve">, and thus there is a need for the complementary reforms outlined in this paper. </w:t>
      </w:r>
    </w:p>
    <w:p w14:paraId="422BC87C" w14:textId="77777777" w:rsidR="00B523D1" w:rsidRDefault="00B523D1">
      <w:pPr>
        <w:spacing w:after="200" w:line="276" w:lineRule="auto"/>
        <w:jc w:val="left"/>
        <w:rPr>
          <w:rFonts w:ascii="Calibri" w:eastAsiaTheme="majorEastAsia" w:hAnsi="Calibri" w:cstheme="majorBidi"/>
          <w:b/>
          <w:bCs/>
          <w:i/>
          <w:color w:val="246373" w:themeColor="accent6" w:themeShade="BF"/>
          <w:sz w:val="26"/>
          <w:szCs w:val="24"/>
        </w:rPr>
      </w:pPr>
      <w:r>
        <w:br w:type="page"/>
      </w:r>
    </w:p>
    <w:p w14:paraId="01D4674E" w14:textId="1DD9A8C1" w:rsidR="009318CA" w:rsidRPr="00A1189B" w:rsidRDefault="00AE3540" w:rsidP="009318CA">
      <w:pPr>
        <w:pStyle w:val="Heading3"/>
      </w:pPr>
      <w:r>
        <w:lastRenderedPageBreak/>
        <w:t>Addressing the f</w:t>
      </w:r>
      <w:r w:rsidR="009318CA" w:rsidRPr="00A1189B">
        <w:t xml:space="preserve">unding </w:t>
      </w:r>
      <w:r>
        <w:t>g</w:t>
      </w:r>
      <w:r w:rsidR="009318CA" w:rsidRPr="00A1189B">
        <w:t xml:space="preserve">ap </w:t>
      </w:r>
    </w:p>
    <w:p w14:paraId="4F7C0FA0" w14:textId="12484EF3" w:rsidR="009318CA" w:rsidRDefault="009318CA" w:rsidP="00372A2A">
      <w:r>
        <w:t>Creating and maintaining a rental housing portfolio targeted to people on very low to low incomes requires explicit ongoing subsidies to bridge the gap between operating costs (including debt servicing) and rental incomes. This is a feature of overseas models</w:t>
      </w:r>
      <w:r>
        <w:rPr>
          <w:rStyle w:val="FootnoteReference"/>
        </w:rPr>
        <w:footnoteReference w:id="12"/>
      </w:r>
      <w:r w:rsidR="00FA4406">
        <w:t xml:space="preserve"> and is confirmed by</w:t>
      </w:r>
      <w:r>
        <w:t xml:space="preserve"> research and evidence from actual projects</w:t>
      </w:r>
      <w:r w:rsidR="00BE0737">
        <w:t xml:space="preserve"> in Australia</w:t>
      </w:r>
      <w:r>
        <w:t xml:space="preserve">. The size of this gap increases along the housing continuum, </w:t>
      </w:r>
      <w:r w:rsidR="00BE0737">
        <w:t xml:space="preserve">where a lower income profile and increase complexity of need requires more support from </w:t>
      </w:r>
      <w:proofErr w:type="spellStart"/>
      <w:r w:rsidR="00BE0737">
        <w:t>governents</w:t>
      </w:r>
      <w:proofErr w:type="spellEnd"/>
      <w:r w:rsidR="00BE0737">
        <w:t xml:space="preserve"> </w:t>
      </w:r>
      <w:r w:rsidR="00FA4406">
        <w:t>– s</w:t>
      </w:r>
      <w:r>
        <w:t xml:space="preserve">ee </w:t>
      </w:r>
      <w:r w:rsidR="002164E6" w:rsidRPr="002164E6">
        <w:rPr>
          <w:b/>
        </w:rPr>
        <w:t>Figure 1</w:t>
      </w:r>
      <w:r>
        <w:t xml:space="preserve"> below.  </w:t>
      </w:r>
    </w:p>
    <w:p w14:paraId="7ED75C24" w14:textId="765AB2D4" w:rsidR="009318CA" w:rsidRDefault="001C060C" w:rsidP="009318CA">
      <w:pPr>
        <w:spacing w:after="200" w:line="276" w:lineRule="auto"/>
      </w:pPr>
      <w:r>
        <w:rPr>
          <w:noProof/>
        </w:rPr>
        <mc:AlternateContent>
          <mc:Choice Requires="wps">
            <w:drawing>
              <wp:anchor distT="0" distB="0" distL="114300" distR="114300" simplePos="0" relativeHeight="251658257" behindDoc="0" locked="0" layoutInCell="1" allowOverlap="1" wp14:anchorId="3A679FDE" wp14:editId="6D7B45CA">
                <wp:simplePos x="0" y="0"/>
                <wp:positionH relativeFrom="column">
                  <wp:posOffset>2978781</wp:posOffset>
                </wp:positionH>
                <wp:positionV relativeFrom="paragraph">
                  <wp:posOffset>615712</wp:posOffset>
                </wp:positionV>
                <wp:extent cx="457200" cy="323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23850"/>
                        </a:xfrm>
                        <a:prstGeom prst="rect">
                          <a:avLst/>
                        </a:prstGeom>
                        <a:noFill/>
                        <a:ln w="6350">
                          <a:noFill/>
                        </a:ln>
                        <a:effectLst/>
                      </wps:spPr>
                      <wps:txbx>
                        <w:txbxContent>
                          <w:p w14:paraId="41198841" w14:textId="62D27696" w:rsidR="00862B49" w:rsidRDefault="00862B49">
                            <w:r w:rsidRPr="006B7789">
                              <w:rPr>
                                <w:rFonts w:asciiTheme="minorHAnsi" w:hAnsi="Calibri" w:cstheme="minorBidi"/>
                                <w:b/>
                                <w:bCs/>
                                <w:kern w:val="24"/>
                                <w:sz w:val="21"/>
                                <w:szCs w:val="21"/>
                              </w:rPr>
                              <w:t>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4.55pt;margin-top:48.5pt;width:36pt;height:2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" filled="f" stroked="f" strokeweight=".5pt">
                <v:textbox>
                  <w:txbxContent>
                    <w:p w14:paraId="41198841" w14:textId="62D27696" w:rsidR="00862B49" w:rsidRDefault="00862B49">
                      <w:r w:rsidRPr="006B7789">
                        <w:rPr>
                          <w:rFonts w:asciiTheme="minorHAnsi" w:hAnsi="Calibri" w:cstheme="minorBidi"/>
                          <w:b/>
                          <w:bCs/>
                          <w:kern w:val="24"/>
                          <w:sz w:val="21"/>
                          <w:szCs w:val="21"/>
                        </w:rPr>
                        <w:t>Gap</w:t>
                      </w:r>
                    </w:p>
                  </w:txbxContent>
                </v:textbox>
              </v:shape>
            </w:pict>
          </mc:Fallback>
        </mc:AlternateContent>
      </w:r>
      <w:r w:rsidR="009318CA">
        <w:rPr>
          <w:noProof/>
        </w:rPr>
        <mc:AlternateContent>
          <mc:Choice Requires="wpg">
            <w:drawing>
              <wp:inline distT="0" distB="0" distL="0" distR="0" wp14:anchorId="3801012A" wp14:editId="204C6DDF">
                <wp:extent cx="5773406" cy="3786502"/>
                <wp:effectExtent l="0" t="0" r="0" b="5080"/>
                <wp:docPr id="356" name="Group 356"/>
                <wp:cNvGraphicFramePr/>
                <a:graphic xmlns:a="http://schemas.openxmlformats.org/drawingml/2006/main">
                  <a:graphicData uri="http://schemas.microsoft.com/office/word/2010/wordprocessingGroup">
                    <wpg:wgp>
                      <wpg:cNvGrpSpPr/>
                      <wpg:grpSpPr>
                        <a:xfrm>
                          <a:off x="0" y="0"/>
                          <a:ext cx="5773406" cy="3786502"/>
                          <a:chOff x="-2" y="0"/>
                          <a:chExt cx="5603877" cy="3786502"/>
                        </a:xfrm>
                      </wpg:grpSpPr>
                      <wps:wsp>
                        <wps:cNvPr id="332" name="Rounded Rectangle 332"/>
                        <wps:cNvSpPr/>
                        <wps:spPr>
                          <a:xfrm>
                            <a:off x="933450" y="904875"/>
                            <a:ext cx="975133" cy="585157"/>
                          </a:xfrm>
                          <a:prstGeom prst="roundRect">
                            <a:avLst/>
                          </a:prstGeom>
                          <a:solidFill>
                            <a:srgbClr val="2C5C86"/>
                          </a:solidFill>
                          <a:ln w="12700" cap="flat" cmpd="sng" algn="ctr">
                            <a:solidFill>
                              <a:srgbClr val="2C5C86"/>
                            </a:solidFill>
                            <a:prstDash val="solid"/>
                            <a:miter lim="800000"/>
                          </a:ln>
                          <a:effectLst>
                            <a:outerShdw blurRad="50800" dist="38100" dir="8100000" algn="tr" rotWithShape="0">
                              <a:prstClr val="black">
                                <a:alpha val="40000"/>
                              </a:prstClr>
                            </a:outerShdw>
                          </a:effectLst>
                        </wps:spPr>
                        <wps:txbx>
                          <w:txbxContent>
                            <w:p w14:paraId="5293A05F" w14:textId="77777777" w:rsidR="00862B49" w:rsidRPr="00144B23" w:rsidRDefault="00862B49" w:rsidP="009318CA">
                              <w:pPr>
                                <w:pStyle w:val="NormalWeb"/>
                                <w:spacing w:before="0" w:after="0"/>
                                <w:jc w:val="center"/>
                                <w:rPr>
                                  <w:sz w:val="18"/>
                                  <w:szCs w:val="18"/>
                                </w:rPr>
                              </w:pPr>
                              <w:r w:rsidRPr="00144B23">
                                <w:rPr>
                                  <w:rFonts w:asciiTheme="minorHAnsi" w:hAnsi="Calibri" w:cstheme="minorBidi"/>
                                  <w:color w:val="FFFFFF" w:themeColor="light1"/>
                                  <w:kern w:val="24"/>
                                  <w:sz w:val="18"/>
                                  <w:szCs w:val="18"/>
                                </w:rPr>
                                <w:t xml:space="preserve">Affordable Home Ownership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Rounded Rectangle 333"/>
                        <wps:cNvSpPr/>
                        <wps:spPr>
                          <a:xfrm>
                            <a:off x="933450" y="1514475"/>
                            <a:ext cx="975133" cy="585157"/>
                          </a:xfrm>
                          <a:prstGeom prst="roundRect">
                            <a:avLst/>
                          </a:prstGeom>
                          <a:solidFill>
                            <a:srgbClr val="2C5C86"/>
                          </a:solidFill>
                          <a:ln w="12700" cap="flat" cmpd="sng" algn="ctr">
                            <a:solidFill>
                              <a:srgbClr val="2C5C86"/>
                            </a:solidFill>
                            <a:prstDash val="solid"/>
                            <a:miter lim="800000"/>
                          </a:ln>
                          <a:effectLst>
                            <a:outerShdw blurRad="50800" dist="38100" dir="8100000" algn="tr" rotWithShape="0">
                              <a:prstClr val="black">
                                <a:alpha val="40000"/>
                              </a:prstClr>
                            </a:outerShdw>
                          </a:effectLst>
                        </wps:spPr>
                        <wps:txbx>
                          <w:txbxContent>
                            <w:p w14:paraId="047C4784" w14:textId="77777777" w:rsidR="00862B49" w:rsidRPr="001C060C" w:rsidRDefault="00862B49" w:rsidP="009318CA">
                              <w:pPr>
                                <w:pStyle w:val="NormalWeb"/>
                                <w:spacing w:before="0" w:after="0"/>
                                <w:jc w:val="center"/>
                                <w:rPr>
                                  <w:b/>
                                  <w:sz w:val="18"/>
                                  <w:szCs w:val="18"/>
                                </w:rPr>
                              </w:pPr>
                              <w:r w:rsidRPr="001C060C">
                                <w:rPr>
                                  <w:rFonts w:asciiTheme="minorHAnsi" w:hAnsi="Calibri" w:cstheme="minorBidi"/>
                                  <w:b/>
                                  <w:color w:val="FFFFFF" w:themeColor="light1"/>
                                  <w:kern w:val="24"/>
                                  <w:sz w:val="18"/>
                                  <w:szCs w:val="18"/>
                                </w:rPr>
                                <w:t>Market Rental Housing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Rounded Rectangle 334"/>
                        <wps:cNvSpPr/>
                        <wps:spPr>
                          <a:xfrm>
                            <a:off x="933450" y="2133600"/>
                            <a:ext cx="975133" cy="585157"/>
                          </a:xfrm>
                          <a:prstGeom prst="roundRect">
                            <a:avLst/>
                          </a:prstGeom>
                          <a:solidFill>
                            <a:srgbClr val="2C5C86"/>
                          </a:solidFill>
                          <a:ln w="12700" cap="flat" cmpd="sng" algn="ctr">
                            <a:solidFill>
                              <a:srgbClr val="2C5C86"/>
                            </a:solidFill>
                            <a:prstDash val="solid"/>
                            <a:miter lim="800000"/>
                          </a:ln>
                          <a:effectLst>
                            <a:outerShdw blurRad="50800" dist="38100" dir="8100000" algn="tr" rotWithShape="0">
                              <a:prstClr val="black">
                                <a:alpha val="40000"/>
                              </a:prstClr>
                            </a:outerShdw>
                          </a:effectLst>
                        </wps:spPr>
                        <wps:txbx>
                          <w:txbxContent>
                            <w:p w14:paraId="2ED03D24" w14:textId="77777777" w:rsidR="00862B49" w:rsidRPr="00144B23" w:rsidRDefault="00862B49" w:rsidP="009318CA">
                              <w:pPr>
                                <w:pStyle w:val="NormalWeb"/>
                                <w:spacing w:before="0" w:after="0"/>
                                <w:jc w:val="center"/>
                                <w:rPr>
                                  <w:sz w:val="18"/>
                                  <w:szCs w:val="18"/>
                                </w:rPr>
                              </w:pPr>
                              <w:r w:rsidRPr="00144B23">
                                <w:rPr>
                                  <w:rFonts w:asciiTheme="minorHAnsi" w:hAnsi="Calibri" w:cstheme="minorBidi"/>
                                  <w:color w:val="FFFFFF" w:themeColor="light1"/>
                                  <w:kern w:val="24"/>
                                  <w:sz w:val="18"/>
                                  <w:szCs w:val="18"/>
                                </w:rPr>
                                <w:t>Affordable Rental Housing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5" name="Rounded Rectangle 335"/>
                        <wps:cNvSpPr/>
                        <wps:spPr>
                          <a:xfrm>
                            <a:off x="933450" y="2733675"/>
                            <a:ext cx="975133" cy="585157"/>
                          </a:xfrm>
                          <a:prstGeom prst="roundRect">
                            <a:avLst/>
                          </a:prstGeom>
                          <a:solidFill>
                            <a:srgbClr val="2C5C86"/>
                          </a:solidFill>
                          <a:ln w="12700" cap="flat" cmpd="sng" algn="ctr">
                            <a:solidFill>
                              <a:srgbClr val="2C5C86"/>
                            </a:solidFill>
                            <a:prstDash val="solid"/>
                            <a:miter lim="800000"/>
                          </a:ln>
                          <a:effectLst>
                            <a:outerShdw blurRad="50800" dist="38100" dir="8100000" algn="tr" rotWithShape="0">
                              <a:prstClr val="black">
                                <a:alpha val="40000"/>
                              </a:prstClr>
                            </a:outerShdw>
                          </a:effectLst>
                        </wps:spPr>
                        <wps:txbx>
                          <w:txbxContent>
                            <w:p w14:paraId="05C64BAC" w14:textId="77777777" w:rsidR="00862B49" w:rsidRPr="00144B23" w:rsidRDefault="00862B49" w:rsidP="009318CA">
                              <w:pPr>
                                <w:pStyle w:val="NormalWeb"/>
                                <w:spacing w:before="0" w:after="0"/>
                                <w:jc w:val="center"/>
                                <w:rPr>
                                  <w:sz w:val="18"/>
                                  <w:szCs w:val="18"/>
                                </w:rPr>
                              </w:pPr>
                              <w:r w:rsidRPr="00144B23">
                                <w:rPr>
                                  <w:rFonts w:asciiTheme="minorHAnsi" w:hAnsi="Calibri" w:cstheme="minorBidi"/>
                                  <w:color w:val="FFFFFF" w:themeColor="light1"/>
                                  <w:kern w:val="24"/>
                                  <w:sz w:val="18"/>
                                  <w:szCs w:val="18"/>
                                </w:rPr>
                                <w:t>Social Rental Housing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6" name="Rounded Rectangle 336"/>
                        <wps:cNvSpPr/>
                        <wps:spPr>
                          <a:xfrm>
                            <a:off x="2028825" y="904875"/>
                            <a:ext cx="946781" cy="585157"/>
                          </a:xfrm>
                          <a:prstGeom prst="roundRect">
                            <a:avLst/>
                          </a:prstGeom>
                          <a:solidFill>
                            <a:srgbClr val="A6D6D8"/>
                          </a:solidFill>
                          <a:ln w="12700" cap="flat" cmpd="sng" algn="ctr">
                            <a:solidFill>
                              <a:srgbClr val="59BBC8"/>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Rounded Rectangle 337"/>
                        <wps:cNvSpPr/>
                        <wps:spPr>
                          <a:xfrm>
                            <a:off x="2019300" y="1514475"/>
                            <a:ext cx="959798" cy="585157"/>
                          </a:xfrm>
                          <a:prstGeom prst="roundRect">
                            <a:avLst/>
                          </a:prstGeom>
                          <a:solidFill>
                            <a:srgbClr val="A6D6D8"/>
                          </a:solidFill>
                          <a:ln w="12700" cap="flat" cmpd="sng" algn="ctr">
                            <a:solidFill>
                              <a:srgbClr val="59BBC8"/>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Rounded Rectangle 338"/>
                        <wps:cNvSpPr/>
                        <wps:spPr>
                          <a:xfrm>
                            <a:off x="2047875" y="2743200"/>
                            <a:ext cx="483548" cy="585157"/>
                          </a:xfrm>
                          <a:prstGeom prst="roundRect">
                            <a:avLst/>
                          </a:prstGeom>
                          <a:solidFill>
                            <a:srgbClr val="A6D6D8"/>
                          </a:solidFill>
                          <a:ln w="12700" cap="flat" cmpd="sng" algn="ctr">
                            <a:solidFill>
                              <a:srgbClr val="59BBC8"/>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Rounded Rectangle 339"/>
                        <wps:cNvSpPr/>
                        <wps:spPr>
                          <a:xfrm>
                            <a:off x="2038350" y="2124075"/>
                            <a:ext cx="807397" cy="585157"/>
                          </a:xfrm>
                          <a:prstGeom prst="roundRect">
                            <a:avLst/>
                          </a:prstGeom>
                          <a:solidFill>
                            <a:srgbClr val="A6D6D8"/>
                          </a:solidFill>
                          <a:ln w="12700" cap="flat" cmpd="sng" algn="ctr">
                            <a:solidFill>
                              <a:srgbClr val="59BBC8"/>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Rounded Rectangle 340"/>
                        <wps:cNvSpPr/>
                        <wps:spPr>
                          <a:xfrm>
                            <a:off x="3009900" y="904875"/>
                            <a:ext cx="337678" cy="585157"/>
                          </a:xfrm>
                          <a:prstGeom prst="roundRect">
                            <a:avLst/>
                          </a:prstGeom>
                          <a:solidFill>
                            <a:srgbClr val="59BBC8"/>
                          </a:solidFill>
                          <a:ln w="12700" cap="flat" cmpd="sng" algn="ctr">
                            <a:solidFill>
                              <a:srgbClr val="379AA7"/>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Rounded Rectangle 341"/>
                        <wps:cNvSpPr/>
                        <wps:spPr>
                          <a:xfrm>
                            <a:off x="3009900" y="1524000"/>
                            <a:ext cx="347203" cy="556184"/>
                          </a:xfrm>
                          <a:prstGeom prst="roundRect">
                            <a:avLst/>
                          </a:prstGeom>
                          <a:solidFill>
                            <a:srgbClr val="59BBC8"/>
                          </a:solidFill>
                          <a:ln w="12700" cap="flat" cmpd="sng" algn="ctr">
                            <a:solidFill>
                              <a:srgbClr val="379AA7"/>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Rounded Rectangle 342"/>
                        <wps:cNvSpPr/>
                        <wps:spPr>
                          <a:xfrm>
                            <a:off x="2876550" y="2133600"/>
                            <a:ext cx="480552" cy="585157"/>
                          </a:xfrm>
                          <a:prstGeom prst="roundRect">
                            <a:avLst/>
                          </a:prstGeom>
                          <a:solidFill>
                            <a:srgbClr val="59BBC8"/>
                          </a:solidFill>
                          <a:ln w="12700" cap="flat" cmpd="sng" algn="ctr">
                            <a:solidFill>
                              <a:srgbClr val="379AA7"/>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Rounded Rectangle 343"/>
                        <wps:cNvSpPr/>
                        <wps:spPr>
                          <a:xfrm>
                            <a:off x="2562225" y="2743200"/>
                            <a:ext cx="785351" cy="585157"/>
                          </a:xfrm>
                          <a:prstGeom prst="roundRect">
                            <a:avLst/>
                          </a:prstGeom>
                          <a:solidFill>
                            <a:srgbClr val="59BBC8"/>
                          </a:solidFill>
                          <a:ln w="12700" cap="flat" cmpd="sng" algn="ctr">
                            <a:solidFill>
                              <a:srgbClr val="379AA7"/>
                            </a:solidFill>
                            <a:prstDash val="solid"/>
                            <a:miter lim="800000"/>
                          </a:ln>
                          <a:effectLst>
                            <a:outerShdw blurRad="50800" dist="38100" dir="8100000" algn="tr" rotWithShape="0">
                              <a:prstClr val="black">
                                <a:alpha val="40000"/>
                              </a:prst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Straight Connector 344"/>
                        <wps:cNvCnPr/>
                        <wps:spPr>
                          <a:xfrm>
                            <a:off x="1962150" y="847725"/>
                            <a:ext cx="2347" cy="2609388"/>
                          </a:xfrm>
                          <a:prstGeom prst="line">
                            <a:avLst/>
                          </a:prstGeom>
                          <a:noFill/>
                          <a:ln w="50800" cap="flat" cmpd="sng" algn="ctr">
                            <a:solidFill>
                              <a:srgbClr val="2C5C86"/>
                            </a:solidFill>
                            <a:prstDash val="solid"/>
                            <a:miter lim="800000"/>
                          </a:ln>
                          <a:effectLst/>
                        </wps:spPr>
                        <wps:bodyPr/>
                      </wps:wsp>
                      <wps:wsp>
                        <wps:cNvPr id="345" name="Oval 345"/>
                        <wps:cNvSpPr/>
                        <wps:spPr>
                          <a:xfrm>
                            <a:off x="1914525" y="3429000"/>
                            <a:ext cx="97513" cy="97526"/>
                          </a:xfrm>
                          <a:prstGeom prst="ellipse">
                            <a:avLst/>
                          </a:prstGeom>
                          <a:solidFill>
                            <a:srgbClr val="2C5C86"/>
                          </a:solidFill>
                          <a:ln w="12700" cap="flat" cmpd="sng" algn="ctr">
                            <a:solidFill>
                              <a:srgbClr val="2C5C86"/>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Straight Connector 346"/>
                        <wps:cNvCnPr/>
                        <wps:spPr>
                          <a:xfrm flipH="1">
                            <a:off x="1962150" y="3467100"/>
                            <a:ext cx="1702827" cy="0"/>
                          </a:xfrm>
                          <a:prstGeom prst="line">
                            <a:avLst/>
                          </a:prstGeom>
                          <a:noFill/>
                          <a:ln w="50800" cap="flat" cmpd="sng" algn="ctr">
                            <a:solidFill>
                              <a:srgbClr val="2C5C86"/>
                            </a:solidFill>
                            <a:prstDash val="solid"/>
                            <a:miter lim="800000"/>
                            <a:headEnd type="triangle"/>
                            <a:tailEnd type="none"/>
                          </a:ln>
                          <a:effectLst/>
                        </wps:spPr>
                        <wps:bodyPr/>
                      </wps:wsp>
                      <wps:wsp>
                        <wps:cNvPr id="347" name="TextBox 23"/>
                        <wps:cNvSpPr txBox="1"/>
                        <wps:spPr>
                          <a:xfrm>
                            <a:off x="942975" y="657225"/>
                            <a:ext cx="929005" cy="254000"/>
                          </a:xfrm>
                          <a:prstGeom prst="rect">
                            <a:avLst/>
                          </a:prstGeom>
                          <a:solidFill>
                            <a:sysClr val="window" lastClr="FFFFFF">
                              <a:alpha val="15000"/>
                            </a:sysClr>
                          </a:solidFill>
                        </wps:spPr>
                        <wps:txbx>
                          <w:txbxContent>
                            <w:p w14:paraId="2351C4CD" w14:textId="77777777" w:rsidR="00862B49" w:rsidRPr="006B7789" w:rsidRDefault="00862B49" w:rsidP="009318CA">
                              <w:pPr>
                                <w:pStyle w:val="NormalWeb"/>
                                <w:spacing w:before="0" w:after="0"/>
                                <w:rPr>
                                  <w:sz w:val="21"/>
                                  <w:szCs w:val="21"/>
                                </w:rPr>
                              </w:pPr>
                              <w:r w:rsidRPr="006B7789">
                                <w:rPr>
                                  <w:rFonts w:asciiTheme="minorHAnsi" w:hAnsi="Calibri" w:cstheme="minorBidi"/>
                                  <w:b/>
                                  <w:bCs/>
                                  <w:kern w:val="24"/>
                                  <w:sz w:val="21"/>
                                  <w:szCs w:val="21"/>
                                </w:rPr>
                                <w:t>Housing Type</w:t>
                              </w:r>
                            </w:p>
                          </w:txbxContent>
                        </wps:txbx>
                        <wps:bodyPr wrap="square" rtlCol="0">
                          <a:noAutofit/>
                        </wps:bodyPr>
                      </wps:wsp>
                      <wps:wsp>
                        <wps:cNvPr id="348" name="TextBox 24"/>
                        <wps:cNvSpPr txBox="1"/>
                        <wps:spPr>
                          <a:xfrm>
                            <a:off x="1914525" y="304800"/>
                            <a:ext cx="1189355" cy="579755"/>
                          </a:xfrm>
                          <a:prstGeom prst="rect">
                            <a:avLst/>
                          </a:prstGeom>
                          <a:solidFill>
                            <a:sysClr val="window" lastClr="FFFFFF">
                              <a:alpha val="35000"/>
                            </a:sysClr>
                          </a:solidFill>
                        </wps:spPr>
                        <wps:txbx>
                          <w:txbxContent>
                            <w:p w14:paraId="12F7B29C" w14:textId="7C72E208" w:rsidR="00862B49" w:rsidRPr="006B7789" w:rsidRDefault="00862B49" w:rsidP="009318CA">
                              <w:pPr>
                                <w:pStyle w:val="NormalWeb"/>
                                <w:spacing w:before="0" w:after="0"/>
                                <w:jc w:val="center"/>
                                <w:rPr>
                                  <w:sz w:val="21"/>
                                  <w:szCs w:val="21"/>
                                </w:rPr>
                              </w:pPr>
                              <w:r w:rsidRPr="006B7789">
                                <w:rPr>
                                  <w:rFonts w:asciiTheme="minorHAnsi" w:hAnsi="Calibri" w:cstheme="minorBidi"/>
                                  <w:b/>
                                  <w:bCs/>
                                  <w:kern w:val="24"/>
                                  <w:sz w:val="21"/>
                                  <w:szCs w:val="21"/>
                                </w:rPr>
                                <w:t xml:space="preserve">Costs serviceable through income (sale, rent) </w:t>
                              </w:r>
                            </w:p>
                          </w:txbxContent>
                        </wps:txbx>
                        <wps:bodyPr wrap="square" rtlCol="0">
                          <a:noAutofit/>
                        </wps:bodyPr>
                      </wps:wsp>
                      <wps:wsp>
                        <wps:cNvPr id="349" name="TextBox 25"/>
                        <wps:cNvSpPr txBox="1"/>
                        <wps:spPr>
                          <a:xfrm>
                            <a:off x="3486150" y="600075"/>
                            <a:ext cx="2117725" cy="254000"/>
                          </a:xfrm>
                          <a:prstGeom prst="rect">
                            <a:avLst/>
                          </a:prstGeom>
                          <a:solidFill>
                            <a:sysClr val="window" lastClr="FFFFFF">
                              <a:alpha val="25000"/>
                            </a:sysClr>
                          </a:solidFill>
                        </wps:spPr>
                        <wps:txbx>
                          <w:txbxContent>
                            <w:p w14:paraId="438BBEBF" w14:textId="248EA736" w:rsidR="00862B49" w:rsidRPr="006B7789" w:rsidRDefault="00862B49" w:rsidP="009318CA">
                              <w:pPr>
                                <w:pStyle w:val="NormalWeb"/>
                                <w:spacing w:before="0" w:after="0"/>
                                <w:rPr>
                                  <w:sz w:val="21"/>
                                  <w:szCs w:val="21"/>
                                </w:rPr>
                              </w:pPr>
                              <w:r>
                                <w:rPr>
                                  <w:rFonts w:asciiTheme="minorHAnsi" w:hAnsi="Calibri" w:cstheme="minorBidi"/>
                                  <w:b/>
                                  <w:bCs/>
                                  <w:kern w:val="24"/>
                                  <w:sz w:val="21"/>
                                  <w:szCs w:val="21"/>
                                </w:rPr>
                                <w:t>Additional s</w:t>
                              </w:r>
                              <w:r w:rsidRPr="006B7789">
                                <w:rPr>
                                  <w:rFonts w:asciiTheme="minorHAnsi" w:hAnsi="Calibri" w:cstheme="minorBidi"/>
                                  <w:b/>
                                  <w:bCs/>
                                  <w:kern w:val="24"/>
                                  <w:sz w:val="21"/>
                                  <w:szCs w:val="21"/>
                                </w:rPr>
                                <w:t>upport</w:t>
                              </w:r>
                              <w:r>
                                <w:rPr>
                                  <w:rFonts w:asciiTheme="minorHAnsi" w:hAnsi="Calibri" w:cstheme="minorBidi"/>
                                  <w:b/>
                                  <w:bCs/>
                                  <w:kern w:val="24"/>
                                  <w:sz w:val="21"/>
                                  <w:szCs w:val="21"/>
                                </w:rPr>
                                <w:t xml:space="preserve"> to fill the gap</w:t>
                              </w:r>
                            </w:p>
                          </w:txbxContent>
                        </wps:txbx>
                        <wps:bodyPr wrap="square" rtlCol="0">
                          <a:noAutofit/>
                        </wps:bodyPr>
                      </wps:wsp>
                      <wps:wsp>
                        <wps:cNvPr id="350" name="TextBox 26"/>
                        <wps:cNvSpPr txBox="1"/>
                        <wps:spPr>
                          <a:xfrm>
                            <a:off x="3486150" y="942348"/>
                            <a:ext cx="1755940" cy="486402"/>
                          </a:xfrm>
                          <a:prstGeom prst="rect">
                            <a:avLst/>
                          </a:prstGeom>
                          <a:solidFill>
                            <a:sysClr val="window" lastClr="FFFFFF">
                              <a:alpha val="25000"/>
                            </a:sysClr>
                          </a:solidFill>
                        </wps:spPr>
                        <wps:txbx>
                          <w:txbxContent>
                            <w:p w14:paraId="63218871" w14:textId="49526C33" w:rsidR="00862B49" w:rsidRPr="00862B49" w:rsidRDefault="00862B49" w:rsidP="00BF0608">
                              <w:pPr>
                                <w:pStyle w:val="NormalWeb"/>
                                <w:spacing w:before="0" w:after="0"/>
                                <w:jc w:val="left"/>
                                <w:rPr>
                                  <w:rFonts w:asciiTheme="minorHAnsi" w:hAnsiTheme="minorHAnsi"/>
                                  <w:i/>
                                  <w:sz w:val="16"/>
                                  <w:szCs w:val="16"/>
                                </w:rPr>
                              </w:pPr>
                              <w:proofErr w:type="gramStart"/>
                              <w:r w:rsidRPr="00862B49">
                                <w:rPr>
                                  <w:rFonts w:asciiTheme="minorHAnsi" w:hAnsiTheme="minorHAnsi"/>
                                  <w:i/>
                                  <w:sz w:val="16"/>
                                  <w:szCs w:val="16"/>
                                </w:rPr>
                                <w:t>for</w:t>
                              </w:r>
                              <w:proofErr w:type="gramEnd"/>
                              <w:r w:rsidRPr="00862B49">
                                <w:rPr>
                                  <w:rFonts w:asciiTheme="minorHAnsi" w:hAnsiTheme="minorHAnsi"/>
                                  <w:i/>
                                  <w:sz w:val="16"/>
                                  <w:szCs w:val="16"/>
                                </w:rPr>
                                <w:t xml:space="preserve"> example, </w:t>
                              </w:r>
                              <w:r w:rsidRPr="00862B49">
                                <w:rPr>
                                  <w:rFonts w:asciiTheme="minorHAnsi" w:hAnsiTheme="minorHAnsi" w:cstheme="minorBidi"/>
                                  <w:i/>
                                  <w:iCs/>
                                  <w:kern w:val="24"/>
                                  <w:sz w:val="16"/>
                                  <w:szCs w:val="16"/>
                                </w:rPr>
                                <w:t>First Home Owner Grants, Stamp Duty exemptions / concessions, low deposit loans, shared equity</w:t>
                              </w:r>
                            </w:p>
                          </w:txbxContent>
                        </wps:txbx>
                        <wps:bodyPr wrap="square" rtlCol="0">
                          <a:noAutofit/>
                        </wps:bodyPr>
                      </wps:wsp>
                      <wps:wsp>
                        <wps:cNvPr id="351" name="TextBox 27"/>
                        <wps:cNvSpPr txBox="1"/>
                        <wps:spPr>
                          <a:xfrm>
                            <a:off x="3505200" y="1633156"/>
                            <a:ext cx="1736889" cy="357570"/>
                          </a:xfrm>
                          <a:prstGeom prst="rect">
                            <a:avLst/>
                          </a:prstGeom>
                          <a:solidFill>
                            <a:sysClr val="window" lastClr="FFFFFF">
                              <a:alpha val="25000"/>
                            </a:sysClr>
                          </a:solidFill>
                        </wps:spPr>
                        <wps:txbx>
                          <w:txbxContent>
                            <w:p w14:paraId="187C35D6" w14:textId="5132FE65" w:rsidR="00862B49" w:rsidRPr="00862B49" w:rsidRDefault="00862B49" w:rsidP="009318CA">
                              <w:pPr>
                                <w:pStyle w:val="NormalWeb"/>
                                <w:spacing w:before="0" w:after="0"/>
                                <w:rPr>
                                  <w:rFonts w:asciiTheme="minorHAnsi" w:hAnsiTheme="minorHAnsi"/>
                                  <w:i/>
                                  <w:sz w:val="16"/>
                                  <w:szCs w:val="16"/>
                                </w:rPr>
                              </w:pPr>
                              <w:proofErr w:type="gramStart"/>
                              <w:r w:rsidRPr="00862B49">
                                <w:rPr>
                                  <w:rFonts w:asciiTheme="minorHAnsi" w:hAnsiTheme="minorHAnsi"/>
                                  <w:i/>
                                  <w:sz w:val="16"/>
                                  <w:szCs w:val="16"/>
                                </w:rPr>
                                <w:t>for</w:t>
                              </w:r>
                              <w:proofErr w:type="gramEnd"/>
                              <w:r w:rsidRPr="00862B49">
                                <w:rPr>
                                  <w:rFonts w:asciiTheme="minorHAnsi" w:hAnsiTheme="minorHAnsi"/>
                                  <w:i/>
                                  <w:sz w:val="16"/>
                                  <w:szCs w:val="16"/>
                                </w:rPr>
                                <w:t xml:space="preserve"> example, </w:t>
                              </w:r>
                              <w:r w:rsidRPr="00862B49">
                                <w:rPr>
                                  <w:rFonts w:asciiTheme="minorHAnsi" w:hAnsiTheme="minorHAnsi" w:cstheme="minorBidi"/>
                                  <w:i/>
                                  <w:iCs/>
                                  <w:kern w:val="24"/>
                                  <w:sz w:val="16"/>
                                  <w:szCs w:val="16"/>
                                </w:rPr>
                                <w:t>Income support (Commonwealth Rent Assistance)</w:t>
                              </w:r>
                            </w:p>
                          </w:txbxContent>
                        </wps:txbx>
                        <wps:bodyPr wrap="square" rtlCol="0">
                          <a:noAutofit/>
                        </wps:bodyPr>
                      </wps:wsp>
                      <wps:wsp>
                        <wps:cNvPr id="352" name="TextBox 28"/>
                        <wps:cNvSpPr txBox="1"/>
                        <wps:spPr>
                          <a:xfrm>
                            <a:off x="3505200" y="2239566"/>
                            <a:ext cx="1573530" cy="339725"/>
                          </a:xfrm>
                          <a:prstGeom prst="rect">
                            <a:avLst/>
                          </a:prstGeom>
                          <a:solidFill>
                            <a:sysClr val="window" lastClr="FFFFFF">
                              <a:alpha val="25000"/>
                            </a:sysClr>
                          </a:solidFill>
                        </wps:spPr>
                        <wps:txbx>
                          <w:txbxContent>
                            <w:p w14:paraId="702A23F6" w14:textId="05CCFB5D" w:rsidR="00862B49" w:rsidRPr="00862B49" w:rsidRDefault="00862B49" w:rsidP="009318CA">
                              <w:pPr>
                                <w:pStyle w:val="NormalWeb"/>
                                <w:spacing w:before="0" w:after="0"/>
                                <w:rPr>
                                  <w:rFonts w:asciiTheme="minorHAnsi" w:hAnsiTheme="minorHAnsi"/>
                                  <w:i/>
                                  <w:sz w:val="16"/>
                                  <w:szCs w:val="16"/>
                                </w:rPr>
                              </w:pPr>
                              <w:proofErr w:type="gramStart"/>
                              <w:r w:rsidRPr="00862B49">
                                <w:rPr>
                                  <w:rFonts w:asciiTheme="minorHAnsi" w:hAnsiTheme="minorHAnsi"/>
                                  <w:i/>
                                  <w:sz w:val="16"/>
                                  <w:szCs w:val="16"/>
                                </w:rPr>
                                <w:t>for</w:t>
                              </w:r>
                              <w:proofErr w:type="gramEnd"/>
                              <w:r w:rsidRPr="00862B49">
                                <w:rPr>
                                  <w:rFonts w:asciiTheme="minorHAnsi" w:hAnsiTheme="minorHAnsi"/>
                                  <w:i/>
                                  <w:sz w:val="16"/>
                                  <w:szCs w:val="16"/>
                                </w:rPr>
                                <w:t xml:space="preserve"> example, </w:t>
                              </w:r>
                              <w:r w:rsidRPr="00862B49">
                                <w:rPr>
                                  <w:rFonts w:asciiTheme="minorHAnsi" w:hAnsiTheme="minorHAnsi" w:cstheme="minorBidi"/>
                                  <w:i/>
                                  <w:iCs/>
                                  <w:kern w:val="24"/>
                                  <w:sz w:val="16"/>
                                  <w:szCs w:val="16"/>
                                </w:rPr>
                                <w:t xml:space="preserve">Operating subsidies, income support, grants, tax concessions </w:t>
                              </w:r>
                            </w:p>
                          </w:txbxContent>
                        </wps:txbx>
                        <wps:bodyPr wrap="square" rtlCol="0">
                          <a:noAutofit/>
                        </wps:bodyPr>
                      </wps:wsp>
                      <wps:wsp>
                        <wps:cNvPr id="353" name="TextBox 29"/>
                        <wps:cNvSpPr txBox="1"/>
                        <wps:spPr>
                          <a:xfrm>
                            <a:off x="3486150" y="2714625"/>
                            <a:ext cx="1619885" cy="527331"/>
                          </a:xfrm>
                          <a:prstGeom prst="rect">
                            <a:avLst/>
                          </a:prstGeom>
                          <a:solidFill>
                            <a:sysClr val="window" lastClr="FFFFFF">
                              <a:alpha val="25000"/>
                            </a:sysClr>
                          </a:solidFill>
                        </wps:spPr>
                        <wps:txbx>
                          <w:txbxContent>
                            <w:p w14:paraId="1BB290AD" w14:textId="11C5B40A" w:rsidR="00862B49" w:rsidRPr="00862B49" w:rsidRDefault="00862B49" w:rsidP="009318CA">
                              <w:pPr>
                                <w:pStyle w:val="NormalWeb"/>
                                <w:spacing w:before="0" w:after="0"/>
                                <w:rPr>
                                  <w:rFonts w:asciiTheme="minorHAnsi" w:hAnsiTheme="minorHAnsi"/>
                                  <w:i/>
                                  <w:sz w:val="16"/>
                                  <w:szCs w:val="16"/>
                                </w:rPr>
                              </w:pPr>
                              <w:proofErr w:type="gramStart"/>
                              <w:r w:rsidRPr="00862B49">
                                <w:rPr>
                                  <w:rFonts w:asciiTheme="minorHAnsi" w:hAnsiTheme="minorHAnsi"/>
                                  <w:i/>
                                  <w:sz w:val="16"/>
                                  <w:szCs w:val="16"/>
                                </w:rPr>
                                <w:t>for</w:t>
                              </w:r>
                              <w:proofErr w:type="gramEnd"/>
                              <w:r w:rsidRPr="00862B49">
                                <w:rPr>
                                  <w:rFonts w:asciiTheme="minorHAnsi" w:hAnsiTheme="minorHAnsi"/>
                                  <w:i/>
                                  <w:sz w:val="16"/>
                                  <w:szCs w:val="16"/>
                                </w:rPr>
                                <w:t xml:space="preserve"> example, </w:t>
                              </w:r>
                              <w:r w:rsidRPr="00862B49">
                                <w:rPr>
                                  <w:rFonts w:asciiTheme="minorHAnsi" w:hAnsiTheme="minorHAnsi" w:cstheme="minorBidi"/>
                                  <w:i/>
                                  <w:iCs/>
                                  <w:kern w:val="24"/>
                                  <w:sz w:val="16"/>
                                  <w:szCs w:val="16"/>
                                </w:rPr>
                                <w:t>deep operating subsidies, income support, capital grants, land, support services</w:t>
                              </w:r>
                            </w:p>
                          </w:txbxContent>
                        </wps:txbx>
                        <wps:bodyPr wrap="square" rtlCol="0">
                          <a:noAutofit/>
                        </wps:bodyPr>
                      </wps:wsp>
                      <wps:wsp>
                        <wps:cNvPr id="354" name="TextBox 30"/>
                        <wps:cNvSpPr txBox="1"/>
                        <wps:spPr>
                          <a:xfrm>
                            <a:off x="2028825" y="3524250"/>
                            <a:ext cx="1508760" cy="262252"/>
                          </a:xfrm>
                          <a:prstGeom prst="rect">
                            <a:avLst/>
                          </a:prstGeom>
                          <a:solidFill>
                            <a:sysClr val="window" lastClr="FFFFFF">
                              <a:alpha val="25000"/>
                            </a:sysClr>
                          </a:solidFill>
                        </wps:spPr>
                        <wps:txbx>
                          <w:txbxContent>
                            <w:p w14:paraId="2C64FD83" w14:textId="77777777" w:rsidR="00862B49" w:rsidRPr="00144B23" w:rsidRDefault="00862B49" w:rsidP="009318CA">
                              <w:pPr>
                                <w:pStyle w:val="NormalWeb"/>
                                <w:spacing w:before="0" w:after="0"/>
                                <w:rPr>
                                  <w:szCs w:val="22"/>
                                </w:rPr>
                              </w:pPr>
                              <w:r w:rsidRPr="00144B23">
                                <w:rPr>
                                  <w:rFonts w:asciiTheme="minorHAnsi" w:hAnsi="Calibri" w:cstheme="minorBidi"/>
                                  <w:b/>
                                  <w:bCs/>
                                  <w:kern w:val="24"/>
                                  <w:szCs w:val="22"/>
                                </w:rPr>
                                <w:t>Total cost of provision</w:t>
                              </w:r>
                            </w:p>
                          </w:txbxContent>
                        </wps:txbx>
                        <wps:bodyPr wrap="square" rtlCol="0">
                          <a:noAutofit/>
                        </wps:bodyPr>
                      </wps:wsp>
                      <wps:wsp>
                        <wps:cNvPr id="355" name="TextBox 31"/>
                        <wps:cNvSpPr txBox="1"/>
                        <wps:spPr>
                          <a:xfrm flipH="1">
                            <a:off x="-2" y="0"/>
                            <a:ext cx="5603876" cy="300355"/>
                          </a:xfrm>
                          <a:prstGeom prst="rect">
                            <a:avLst/>
                          </a:prstGeom>
                          <a:noFill/>
                        </wps:spPr>
                        <wps:txbx>
                          <w:txbxContent>
                            <w:p w14:paraId="395E5B10" w14:textId="05A68EBA" w:rsidR="00862B49" w:rsidRPr="00BF0608" w:rsidRDefault="00862B49" w:rsidP="00BF0608">
                              <w:pPr>
                                <w:pStyle w:val="Figureheading"/>
                                <w:jc w:val="center"/>
                              </w:pPr>
                              <w:r w:rsidRPr="00BF0608">
                                <w:t>Figure 1: Illustrative Costs and Funding Gaps for Different Housing Types</w:t>
                              </w:r>
                            </w:p>
                          </w:txbxContent>
                        </wps:txbx>
                        <wps:bodyPr wrap="square" rtlCol="0">
                          <a:noAutofit/>
                        </wps:bodyPr>
                      </wps:wsp>
                      <wps:wsp>
                        <wps:cNvPr id="27" name="Text Box 2"/>
                        <wps:cNvSpPr txBox="1">
                          <a:spLocks noChangeArrowheads="1"/>
                        </wps:cNvSpPr>
                        <wps:spPr bwMode="auto">
                          <a:xfrm rot="16200000">
                            <a:off x="180975" y="990600"/>
                            <a:ext cx="765175" cy="511175"/>
                          </a:xfrm>
                          <a:prstGeom prst="rect">
                            <a:avLst/>
                          </a:prstGeom>
                          <a:noFill/>
                          <a:ln w="9525">
                            <a:noFill/>
                            <a:miter lim="800000"/>
                            <a:headEnd/>
                            <a:tailEnd/>
                          </a:ln>
                        </wps:spPr>
                        <wps:txbx>
                          <w:txbxContent>
                            <w:p w14:paraId="7D524FA5" w14:textId="77777777" w:rsidR="00862B49" w:rsidRDefault="00862B49" w:rsidP="009318CA">
                              <w:r>
                                <w:t>Median Income</w:t>
                              </w:r>
                            </w:p>
                          </w:txbxContent>
                        </wps:txbx>
                        <wps:bodyPr rot="0" vert="horz" wrap="square" lIns="91440" tIns="45720" rIns="91440" bIns="45720" anchor="t" anchorCtr="0">
                          <a:noAutofit/>
                        </wps:bodyPr>
                      </wps:wsp>
                      <wps:wsp>
                        <wps:cNvPr id="217" name="Text Box 2"/>
                        <wps:cNvSpPr txBox="1">
                          <a:spLocks noChangeArrowheads="1"/>
                        </wps:cNvSpPr>
                        <wps:spPr bwMode="auto">
                          <a:xfrm rot="16200000">
                            <a:off x="200025" y="2695575"/>
                            <a:ext cx="732155" cy="499745"/>
                          </a:xfrm>
                          <a:prstGeom prst="rect">
                            <a:avLst/>
                          </a:prstGeom>
                          <a:noFill/>
                          <a:ln w="9525">
                            <a:noFill/>
                            <a:miter lim="800000"/>
                            <a:headEnd/>
                            <a:tailEnd/>
                          </a:ln>
                        </wps:spPr>
                        <wps:txbx>
                          <w:txbxContent>
                            <w:p w14:paraId="48FDEA98" w14:textId="77777777" w:rsidR="00862B49" w:rsidRDefault="00862B49" w:rsidP="009318CA">
                              <w:r>
                                <w:t>Very Low Income</w:t>
                              </w:r>
                            </w:p>
                          </w:txbxContent>
                        </wps:txbx>
                        <wps:bodyPr rot="0" vert="horz" wrap="square" lIns="91440" tIns="45720" rIns="91440" bIns="45720" anchor="t" anchorCtr="0">
                          <a:noAutofit/>
                        </wps:bodyPr>
                      </wps:wsp>
                      <wps:wsp>
                        <wps:cNvPr id="28" name="Straight Arrow Connector 28"/>
                        <wps:cNvCnPr/>
                        <wps:spPr>
                          <a:xfrm flipH="1" flipV="1">
                            <a:off x="819150" y="828675"/>
                            <a:ext cx="0" cy="2513127"/>
                          </a:xfrm>
                          <a:prstGeom prst="straightConnector1">
                            <a:avLst/>
                          </a:prstGeom>
                          <a:ln w="57150">
                            <a:solidFill>
                              <a:schemeClr val="bg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356" o:spid="_x0000_s1027" style="width:454.6pt;height:298.15pt;mso-position-horizontal-relative:char;mso-position-vertical-relative:line" coordorigin="" coordsize="56038,3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">
                <v:roundrect id="Rounded Rectangle 332" o:spid="_x0000_s1028" style="position:absolute;left:9334;top:9048;width:9751;height:5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U7cUA&#10;AADcAAAADwAAAGRycy9kb3ducmV2LnhtbESPT2sCMRTE74LfITzBm2ZVKLIaRW2leiioK54fm7d/&#10;dPOybFLd+umbQsHjMDO/YebL1lTiTo0rLSsYDSMQxKnVJecKzsl2MAXhPLLGyjIp+CEHy0W3M8dY&#10;2wcf6X7yuQgQdjEqKLyvYyldWpBBN7Q1cfAy2xj0QTa51A0+AtxUchxFb9JgyWGhwJo2BaW307dR&#10;sLquk2z3ebBf2UVO9Uf6nuD+qVS/165mIDy1/hX+b++0gslkDH9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xTtxQAAANwAAAAPAAAAAAAAAAAAAAAAAJgCAABkcnMv&#10;ZG93bnJldi54bWxQSwUGAAAAAAQABAD1AAAAigMAAAAA&#10;" fillcolor="#2c5c86" strokecolor="#2c5c86" strokeweight="1pt">
                  <v:stroke joinstyle="miter"/>
                  <v:shadow on="t" color="black" opacity="26214f" origin=".5,-.5" offset="-.74836mm,.74836mm"/>
                  <v:textbox>
                    <w:txbxContent>
                      <w:p w14:paraId="5293A05F" w14:textId="77777777" w:rsidR="00862B49" w:rsidRPr="00144B23" w:rsidRDefault="00862B49" w:rsidP="009318CA">
                        <w:pPr>
                          <w:pStyle w:val="NormalWeb"/>
                          <w:spacing w:before="0" w:after="0"/>
                          <w:jc w:val="center"/>
                          <w:rPr>
                            <w:sz w:val="18"/>
                            <w:szCs w:val="18"/>
                          </w:rPr>
                        </w:pPr>
                        <w:r w:rsidRPr="00144B23">
                          <w:rPr>
                            <w:rFonts w:asciiTheme="minorHAnsi" w:hAnsi="Calibri" w:cstheme="minorBidi"/>
                            <w:color w:val="FFFFFF" w:themeColor="light1"/>
                            <w:kern w:val="24"/>
                            <w:sz w:val="18"/>
                            <w:szCs w:val="18"/>
                          </w:rPr>
                          <w:t xml:space="preserve">Affordable Home Ownership </w:t>
                        </w:r>
                      </w:p>
                    </w:txbxContent>
                  </v:textbox>
                </v:roundrect>
                <v:roundrect id="Rounded Rectangle 333" o:spid="_x0000_s1029" style="position:absolute;left:9334;top:15144;width:9751;height:5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dsUA&#10;AADcAAAADwAAAGRycy9kb3ducmV2LnhtbESPT2vCQBTE70K/w/IK3nRTA0Wiq9hW0R4ENeL5kX35&#10;o9m3Ibtq2k/fLQgeh5n5DTOdd6YWN2pdZVnB2zACQZxZXXGh4JiuBmMQziNrrC2Tgh9yMJ+99KaY&#10;aHvnPd0OvhABwi5BBaX3TSKly0oy6Ia2IQ5ebluDPsi2kLrFe4CbWo6i6F0arDgslNjQZ0nZ5XA1&#10;ChbnjzTfrHd2m5/kWC+zrxS/f5Xqv3aLCQhPnX+GH+2NVhDHM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7F2xQAAANwAAAAPAAAAAAAAAAAAAAAAAJgCAABkcnMv&#10;ZG93bnJldi54bWxQSwUGAAAAAAQABAD1AAAAigMAAAAA&#10;" fillcolor="#2c5c86" strokecolor="#2c5c86" strokeweight="1pt">
                  <v:stroke joinstyle="miter"/>
                  <v:shadow on="t" color="black" opacity="26214f" origin=".5,-.5" offset="-.74836mm,.74836mm"/>
                  <v:textbox>
                    <w:txbxContent>
                      <w:p w14:paraId="047C4784" w14:textId="77777777" w:rsidR="00862B49" w:rsidRPr="001C060C" w:rsidRDefault="00862B49" w:rsidP="009318CA">
                        <w:pPr>
                          <w:pStyle w:val="NormalWeb"/>
                          <w:spacing w:before="0" w:after="0"/>
                          <w:jc w:val="center"/>
                          <w:rPr>
                            <w:b/>
                            <w:sz w:val="18"/>
                            <w:szCs w:val="18"/>
                          </w:rPr>
                        </w:pPr>
                        <w:r w:rsidRPr="001C060C">
                          <w:rPr>
                            <w:rFonts w:asciiTheme="minorHAnsi" w:hAnsi="Calibri" w:cstheme="minorBidi"/>
                            <w:b/>
                            <w:color w:val="FFFFFF" w:themeColor="light1"/>
                            <w:kern w:val="24"/>
                            <w:sz w:val="18"/>
                            <w:szCs w:val="18"/>
                          </w:rPr>
                          <w:t>Market Rental Housing</w:t>
                        </w:r>
                      </w:p>
                    </w:txbxContent>
                  </v:textbox>
                </v:roundrect>
                <v:roundrect id="Rounded Rectangle 334" o:spid="_x0000_s1030" style="position:absolute;left:9334;top:21336;width:9751;height:5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pAsYA&#10;AADcAAAADwAAAGRycy9kb3ducmV2LnhtbESPT2vCQBTE74V+h+UVvNWNWkSia0htRXsQqhHPj+zL&#10;H5t9G7Krpv303YLQ4zAzv2EWSW8acaXO1ZYVjIYRCOLc6ppLBcds/TwD4TyyxsYyKfgmB8ny8WGB&#10;sbY33tP14EsRIOxiVFB538ZSurwig25oW+LgFbYz6IPsSqk7vAW4aeQ4iqbSYM1hocKWVhXlX4eL&#10;UZCeX7Niu/m0u+IkZ/o9f8vw40epwVOfzkF46v1/+N7eagWTyQ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pAsYAAADcAAAADwAAAAAAAAAAAAAAAACYAgAAZHJz&#10;L2Rvd25yZXYueG1sUEsFBgAAAAAEAAQA9QAAAIsDAAAAAA==&#10;" fillcolor="#2c5c86" strokecolor="#2c5c86" strokeweight="1pt">
                  <v:stroke joinstyle="miter"/>
                  <v:shadow on="t" color="black" opacity="26214f" origin=".5,-.5" offset="-.74836mm,.74836mm"/>
                  <v:textbox>
                    <w:txbxContent>
                      <w:p w14:paraId="2ED03D24" w14:textId="77777777" w:rsidR="00862B49" w:rsidRPr="00144B23" w:rsidRDefault="00862B49" w:rsidP="009318CA">
                        <w:pPr>
                          <w:pStyle w:val="NormalWeb"/>
                          <w:spacing w:before="0" w:after="0"/>
                          <w:jc w:val="center"/>
                          <w:rPr>
                            <w:sz w:val="18"/>
                            <w:szCs w:val="18"/>
                          </w:rPr>
                        </w:pPr>
                        <w:r w:rsidRPr="00144B23">
                          <w:rPr>
                            <w:rFonts w:asciiTheme="minorHAnsi" w:hAnsi="Calibri" w:cstheme="minorBidi"/>
                            <w:color w:val="FFFFFF" w:themeColor="light1"/>
                            <w:kern w:val="24"/>
                            <w:sz w:val="18"/>
                            <w:szCs w:val="18"/>
                          </w:rPr>
                          <w:t>Affordable Rental Housing</w:t>
                        </w:r>
                      </w:p>
                    </w:txbxContent>
                  </v:textbox>
                </v:roundrect>
                <v:roundrect id="Rounded Rectangle 335" o:spid="_x0000_s1031" style="position:absolute;left:9334;top:27336;width:9751;height:5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MmcYA&#10;AADcAAAADwAAAGRycy9kb3ducmV2LnhtbESPT2vCQBTE74V+h+UVvNWNSkWia0htRXsQqhHPj+zL&#10;H5t9G7Krpv303YLQ4zAzv2EWSW8acaXO1ZYVjIYRCOLc6ppLBcds/TwD4TyyxsYyKfgmB8ny8WGB&#10;sbY33tP14EsRIOxiVFB538ZSurwig25oW+LgFbYz6IPsSqk7vAW4aeQ4iqbSYM1hocKWVhXlX4eL&#10;UZCeX7Niu/m0u+IkZ/o9f8vw40epwVOfzkF46v1/+N7eagWTyQ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qMmcYAAADcAAAADwAAAAAAAAAAAAAAAACYAgAAZHJz&#10;L2Rvd25yZXYueG1sUEsFBgAAAAAEAAQA9QAAAIsDAAAAAA==&#10;" fillcolor="#2c5c86" strokecolor="#2c5c86" strokeweight="1pt">
                  <v:stroke joinstyle="miter"/>
                  <v:shadow on="t" color="black" opacity="26214f" origin=".5,-.5" offset="-.74836mm,.74836mm"/>
                  <v:textbox>
                    <w:txbxContent>
                      <w:p w14:paraId="05C64BAC" w14:textId="77777777" w:rsidR="00862B49" w:rsidRPr="00144B23" w:rsidRDefault="00862B49" w:rsidP="009318CA">
                        <w:pPr>
                          <w:pStyle w:val="NormalWeb"/>
                          <w:spacing w:before="0" w:after="0"/>
                          <w:jc w:val="center"/>
                          <w:rPr>
                            <w:sz w:val="18"/>
                            <w:szCs w:val="18"/>
                          </w:rPr>
                        </w:pPr>
                        <w:r w:rsidRPr="00144B23">
                          <w:rPr>
                            <w:rFonts w:asciiTheme="minorHAnsi" w:hAnsi="Calibri" w:cstheme="minorBidi"/>
                            <w:color w:val="FFFFFF" w:themeColor="light1"/>
                            <w:kern w:val="24"/>
                            <w:sz w:val="18"/>
                            <w:szCs w:val="18"/>
                          </w:rPr>
                          <w:t>Social Rental Housing</w:t>
                        </w:r>
                      </w:p>
                    </w:txbxContent>
                  </v:textbox>
                </v:roundrect>
                <v:roundrect id="Rounded Rectangle 336" o:spid="_x0000_s1032" style="position:absolute;left:20288;top:9048;width:9468;height:5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tcscA&#10;AADcAAAADwAAAGRycy9kb3ducmV2LnhtbESP3WrCQBSE74W+w3IKvdONWkSiq5SqRWKhGH+uD9lj&#10;EsyeDdlV0z59VxC8HGbmG2Y6b00lrtS40rKCfi8CQZxZXXKuYL9bdccgnEfWWFkmBb/kYD576Uwx&#10;1vbGW7qmPhcBwi5GBYX3dSylywoy6Hq2Jg7eyTYGfZBNLnWDtwA3lRxE0UgaLDksFFjTZ0HZOb0Y&#10;BT+X4yZZLb4GyXs/Ocnv9flvd1gq9fbafkxAeGr9M/xor7WC4XAE9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pLXLHAAAA3AAAAA8AAAAAAAAAAAAAAAAAmAIAAGRy&#10;cy9kb3ducmV2LnhtbFBLBQYAAAAABAAEAPUAAACMAwAAAAA=&#10;" fillcolor="#a6d6d8" strokecolor="#59bbc8" strokeweight="1pt">
                  <v:stroke joinstyle="miter"/>
                  <v:shadow on="t" color="black" opacity="26214f" origin=".5,-.5" offset="-.74836mm,.74836mm"/>
                </v:roundrect>
                <v:roundrect id="Rounded Rectangle 337" o:spid="_x0000_s1033" style="position:absolute;left:20193;top:15144;width:9597;height:5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I6ccA&#10;AADcAAAADwAAAGRycy9kb3ducmV2LnhtbESP3WrCQBSE7wXfYTlC73SjllpSVxF/ikRBqm2vD9lj&#10;EsyeDdlVo0/fLQheDjPzDTOeNqYUF6pdYVlBvxeBIE6tLjhT8H1Ydd9BOI+ssbRMCm7kYDppt8YY&#10;a3vlL7rsfSYChF2MCnLvq1hKl+Zk0PVsRRy8o60N+iDrTOoarwFuSjmIojdpsOCwkGNF85zS0/5s&#10;FOzOv5tktfgcJK/95Ci369P98LNU6qXTzD5AeGr8M/xor7WC4XAE/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iOnHAAAA3AAAAA8AAAAAAAAAAAAAAAAAmAIAAGRy&#10;cy9kb3ducmV2LnhtbFBLBQYAAAAABAAEAPUAAACMAwAAAAA=&#10;" fillcolor="#a6d6d8" strokecolor="#59bbc8" strokeweight="1pt">
                  <v:stroke joinstyle="miter"/>
                  <v:shadow on="t" color="black" opacity="26214f" origin=".5,-.5" offset="-.74836mm,.74836mm"/>
                </v:roundrect>
                <v:roundrect id="Rounded Rectangle 338" o:spid="_x0000_s1034" style="position:absolute;left:20478;top:27432;width:4836;height:5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cm8IA&#10;AADcAAAADwAAAGRycy9kb3ducmV2LnhtbERPy4rCMBTdC/5DuIK7MfXBINUo4owinYHB5/rSXNti&#10;c1OaqNWvN4sBl4fzns4bU4ob1a6wrKDfi0AQp1YXnCk47FcfYxDOI2ssLZOCBzmYz9qtKcba3nlL&#10;t53PRAhhF6OC3PsqltKlORl0PVsRB+5sa4M+wDqTusZ7CDelHETRpzRYcGjIsaJlTulldzUK/q6n&#10;n2T1tR4ko35ylr+by3N//Faq22kWExCeGv8W/7s3WsFwGNaG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hybwgAAANwAAAAPAAAAAAAAAAAAAAAAAJgCAABkcnMvZG93&#10;bnJldi54bWxQSwUGAAAAAAQABAD1AAAAhwMAAAAA&#10;" fillcolor="#a6d6d8" strokecolor="#59bbc8" strokeweight="1pt">
                  <v:stroke joinstyle="miter"/>
                  <v:shadow on="t" color="black" opacity="26214f" origin=".5,-.5" offset="-.74836mm,.74836mm"/>
                </v:roundrect>
                <v:roundrect id="Rounded Rectangle 339" o:spid="_x0000_s1035" style="position:absolute;left:20383;top:21240;width:8074;height:5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5AMcA&#10;AADcAAAADwAAAGRycy9kb3ducmV2LnhtbESP3WrCQBSE7wXfYTlC73SjlmJTVxF/ikRBqm2vD9lj&#10;EsyeDdlVo0/fLQheDjPzDTOeNqYUF6pdYVlBvxeBIE6tLjhT8H1YdUcgnEfWWFomBTdyMJ20W2OM&#10;tb3yF132PhMBwi5GBbn3VSylS3My6Hq2Ig7e0dYGfZB1JnWN1wA3pRxE0Zs0WHBYyLGieU7paX82&#10;Cnbn302yWnwOktd+cpTb9el++Fkq9dJpZh8gPDX+GX6011rBcPgO/2fC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2uQDHAAAA3AAAAA8AAAAAAAAAAAAAAAAAmAIAAGRy&#10;cy9kb3ducmV2LnhtbFBLBQYAAAAABAAEAPUAAACMAwAAAAA=&#10;" fillcolor="#a6d6d8" strokecolor="#59bbc8" strokeweight="1pt">
                  <v:stroke joinstyle="miter"/>
                  <v:shadow on="t" color="black" opacity="26214f" origin=".5,-.5" offset="-.74836mm,.74836mm"/>
                </v:roundrect>
                <v:roundrect id="Rounded Rectangle 340" o:spid="_x0000_s1036" style="position:absolute;left:30099;top:9048;width:3376;height:58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5sEA&#10;AADcAAAADwAAAGRycy9kb3ducmV2LnhtbERPy2rCQBTdF/yH4Qrd1YkPVKKjaGmh3QRMdH/JXJNo&#10;5k6cmWr8+86i0OXhvNfb3rTiTs43lhWMRwkI4tLqhisFx+LzbQnCB2SNrWVS8CQP283gZY2ptg8+&#10;0D0PlYgh7FNUUIfQpVL6siaDfmQ74sidrTMYInSV1A4fMdy0cpIkc2mw4dhQY0fvNZXX/McomE/3&#10;H9n37rLIuMBs71x+Km65Uq/DfrcCEagP/+I/95dWMJ3F+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9ObBAAAA3AAAAA8AAAAAAAAAAAAAAAAAmAIAAGRycy9kb3du&#10;cmV2LnhtbFBLBQYAAAAABAAEAPUAAACGAwAAAAA=&#10;" fillcolor="#59bbc8" strokecolor="#379aa7" strokeweight="1pt">
                  <v:stroke joinstyle="miter"/>
                  <v:shadow on="t" color="black" opacity="26214f" origin=".5,-.5" offset="-.74836mm,.74836mm"/>
                </v:roundrect>
                <v:roundrect id="Rounded Rectangle 341" o:spid="_x0000_s1037" style="position:absolute;left:30099;top:15240;width:3472;height:55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RfcQA&#10;AADcAAAADwAAAGRycy9kb3ducmV2LnhtbESPQWvCQBSE7wX/w/IEb3WjFivRVbRYaC+BJnp/ZJ9J&#10;NPs23d1q/PduodDjMDPfMKtNb1pxJecbywom4wQEcWl1w5WCQ/H+vADhA7LG1jIpuJOHzXrwtMJU&#10;2xt/0TUPlYgQ9ikqqEPoUil9WZNBP7YdcfRO1hkMUbpKaoe3CDetnCbJXBpsOC7U2NFbTeUl/zEK&#10;5rPdPvvcnl8zLjDbOZcfi+9cqdGw3y5BBOrDf/iv/aEVzF4m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UX3EAAAA3AAAAA8AAAAAAAAAAAAAAAAAmAIAAGRycy9k&#10;b3ducmV2LnhtbFBLBQYAAAAABAAEAPUAAACJAwAAAAA=&#10;" fillcolor="#59bbc8" strokecolor="#379aa7" strokeweight="1pt">
                  <v:stroke joinstyle="miter"/>
                  <v:shadow on="t" color="black" opacity="26214f" origin=".5,-.5" offset="-.74836mm,.74836mm"/>
                </v:roundrect>
                <v:roundrect id="Rounded Rectangle 342" o:spid="_x0000_s1038" style="position:absolute;left:28765;top:21336;width:4806;height:5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PCsQA&#10;AADcAAAADwAAAGRycy9kb3ducmV2LnhtbESPQWvCQBSE74L/YXlCb3WjFivRVVRaaC+BJnp/ZJ9J&#10;NPs27m41/ffdQsHjMDPfMKtNb1pxI+cbywom4wQEcWl1w5WCQ/H+vADhA7LG1jIp+CEPm/VwsMJU&#10;2zt/0S0PlYgQ9ikqqEPoUil9WZNBP7YdcfRO1hkMUbpKaof3CDetnCbJXBpsOC7U2NG+pvKSfxsF&#10;89nuLfvcnl8zLjDbOZcfi2uu1NOo3y5BBOrDI/zf/tAKZi9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zwrEAAAA3AAAAA8AAAAAAAAAAAAAAAAAmAIAAGRycy9k&#10;b3ducmV2LnhtbFBLBQYAAAAABAAEAPUAAACJAwAAAAA=&#10;" fillcolor="#59bbc8" strokecolor="#379aa7" strokeweight="1pt">
                  <v:stroke joinstyle="miter"/>
                  <v:shadow on="t" color="black" opacity="26214f" origin=".5,-.5" offset="-.74836mm,.74836mm"/>
                </v:roundrect>
                <v:roundrect id="Rounded Rectangle 343" o:spid="_x0000_s1039" style="position:absolute;left:25622;top:27432;width:7853;height:58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qkcQA&#10;AADcAAAADwAAAGRycy9kb3ducmV2LnhtbESPQWvCQBSE74L/YXmF3uqmptiSuopKhXoJmLT3R/Y1&#10;SZt9G3dXjf/eFQoeh5n5hpkvB9OJEznfWlbwPElAEFdWt1wr+Cq3T28gfEDW2FkmBRfysFyMR3PM&#10;tD3znk5FqEWEsM9QQRNCn0npq4YM+ontiaP3Y53BEKWrpXZ4jnDTyWmSzKTBluNCgz1tGqr+iqNR&#10;MEvXH/lu9fuac4n52rniuzwUSj0+DKt3EIGGcA//tz+1gvQlhduZe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apHEAAAA3AAAAA8AAAAAAAAAAAAAAAAAmAIAAGRycy9k&#10;b3ducmV2LnhtbFBLBQYAAAAABAAEAPUAAACJAwAAAAA=&#10;" fillcolor="#59bbc8" strokecolor="#379aa7" strokeweight="1pt">
                  <v:stroke joinstyle="miter"/>
                  <v:shadow on="t" color="black" opacity="26214f" origin=".5,-.5" offset="-.74836mm,.74836mm"/>
                </v:roundrect>
                <v:line id="Straight Connector 344" o:spid="_x0000_s1040" style="position:absolute;visibility:visible;mso-wrap-style:square" from="19621,8477" to="19644,3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DasUAAADcAAAADwAAAGRycy9kb3ducmV2LnhtbESPUWvCMBSF34X9h3AHvmm6WmR0RhFl&#10;zgfBzfkDLs1dU9bclCSznb9+GQg+Hs453+EsVoNtxYV8aBwreJpmIIgrpxuuFZw/XyfPIEJE1tg6&#10;JgW/FGC1fBgtsNSu5w+6nGItEoRDiQpMjF0pZagMWQxT1xEn78t5izFJX0vtsU9w28o8y+bSYsNp&#10;wWBHG0PV9+nHKsgOZvd+OL/lQ3/crouQu+vMO6XGj8P6BUSkId7Dt/ZeK5gVB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ODasUAAADcAAAADwAAAAAAAAAA&#10;AAAAAAChAgAAZHJzL2Rvd25yZXYueG1sUEsFBgAAAAAEAAQA+QAAAJMDAAAAAA==&#10;" strokecolor="#2c5c86" strokeweight="4pt">
                  <v:stroke joinstyle="miter"/>
                </v:line>
                <v:oval id="Oval 345" o:spid="_x0000_s1041" style="position:absolute;left:19145;top:34290;width:975;height: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94FcIA&#10;AADcAAAADwAAAGRycy9kb3ducmV2LnhtbESP3YrCMBSE7wXfIRzBO039RatRRJAVlmVZFa8PzbEt&#10;NieliTX79mZhwcthZr5h1ttgKtFS40rLCkbDBARxZnXJuYLL+TBYgHAeWWNlmRT8koPtpttZY6rt&#10;k3+oPflcRAi7FBUU3teplC4ryKAb2po4ejfbGPRRNrnUDT4j3FRynCRzabDkuFBgTfuCsvvpYRRI&#10;uQtf9sOH0ky/70usrp+tuyrV74XdCoSn4N/h//ZRK5hMZ/B3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3gVwgAAANwAAAAPAAAAAAAAAAAAAAAAAJgCAABkcnMvZG93&#10;bnJldi54bWxQSwUGAAAAAAQABAD1AAAAhwMAAAAA&#10;" fillcolor="#2c5c86" strokecolor="#2c5c86" strokeweight="1pt">
                  <v:stroke joinstyle="miter"/>
                </v:oval>
                <v:line id="Straight Connector 346" o:spid="_x0000_s1042" style="position:absolute;flip:x;visibility:visible;mso-wrap-style:square" from="19621,34671" to="36649,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fx8QAAADcAAAADwAAAGRycy9kb3ducmV2LnhtbESPT2vCQBTE70K/w/IKvUjdtYp/Ulcp&#10;FsGrifT8mn1Notm3Mbtq/PauIPQ4zMxvmMWqs7W4UOsrxxqGAwWCOHem4kLDPtu8z0D4gGywdkwa&#10;buRhtXzpLTAx7so7uqShEBHCPkENZQhNIqXPS7LoB64hjt6fay2GKNtCmhavEW5r+aHURFqsOC6U&#10;2NC6pPyYnq0G1f+eV5n6Oe1+19Pp/pCZ9Nw3Wr+9dl+fIAJ14T/8bG+NhtF4Ao8z8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x/HxAAAANwAAAAPAAAAAAAAAAAA&#10;AAAAAKECAABkcnMvZG93bnJldi54bWxQSwUGAAAAAAQABAD5AAAAkgMAAAAA&#10;" strokecolor="#2c5c86" strokeweight="4pt">
                  <v:stroke startarrow="block" joinstyle="miter"/>
                </v:line>
                <v:shape id="TextBox 23" o:spid="_x0000_s1043" type="#_x0000_t202" style="position:absolute;left:9429;top:6572;width:929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w8MgA&#10;AADcAAAADwAAAGRycy9kb3ducmV2LnhtbESP3WoCMRSE7wt9h3AK3tWsrVjdGsUWqlJF8Qekd4fN&#10;6e7SzcmSZHV9+6Yg9HKYmW+Y8bQ1lTiT86VlBb1uAoI4s7rkXMHx8PE4BOEDssbKMim4kofp5P5u&#10;jKm2F97ReR9yESHsU1RQhFCnUvqsIIO+a2vi6H1bZzBE6XKpHV4i3FTyKUkG0mDJcaHAmt4Lyn72&#10;jVEwd9VmvfpaLd5OdfM5miVZ09uuleo8tLNXEIHa8B++tZdawXP/Bf7OxCM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HDwyAAAANwAAAAPAAAAAAAAAAAAAAAAAJgCAABk&#10;cnMvZG93bnJldi54bWxQSwUGAAAAAAQABAD1AAAAjQMAAAAA&#10;" fillcolor="window" stroked="f">
                  <v:fill opacity="9766f"/>
                  <v:textbox>
                    <w:txbxContent>
                      <w:p w14:paraId="2351C4CD" w14:textId="77777777" w:rsidR="00862B49" w:rsidRPr="006B7789" w:rsidRDefault="00862B49" w:rsidP="009318CA">
                        <w:pPr>
                          <w:pStyle w:val="NormalWeb"/>
                          <w:spacing w:before="0" w:after="0"/>
                          <w:rPr>
                            <w:sz w:val="21"/>
                            <w:szCs w:val="21"/>
                          </w:rPr>
                        </w:pPr>
                        <w:r w:rsidRPr="006B7789">
                          <w:rPr>
                            <w:rFonts w:asciiTheme="minorHAnsi" w:hAnsi="Calibri" w:cstheme="minorBidi"/>
                            <w:b/>
                            <w:bCs/>
                            <w:kern w:val="24"/>
                            <w:sz w:val="21"/>
                            <w:szCs w:val="21"/>
                          </w:rPr>
                          <w:t>Housing Type</w:t>
                        </w:r>
                      </w:p>
                    </w:txbxContent>
                  </v:textbox>
                </v:shape>
                <v:shape id="TextBox 24" o:spid="_x0000_s1044" type="#_x0000_t202" style="position:absolute;left:19145;top:3048;width:11893;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7d8QA&#10;AADcAAAADwAAAGRycy9kb3ducmV2LnhtbERPz2vCMBS+D/Y/hDfwNlOnm64ziijKQD207uLt0by1&#10;Yc1LaWJb//vlMNjx4/u9XA+2Fh213jhWMBknIIgLpw2XCr4u++cFCB+QNdaOScGdPKxXjw9LTLXr&#10;OaMuD6WIIexTVFCF0KRS+qIii37sGuLIfbvWYoiwLaVusY/htpYvSfImLRqODRU2tK2o+MlvVoGZ&#10;TzODr6fj9jq5bk7n4bB7Px6UGj0Nmw8QgYbwL/5zf2oF01lcG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3fEAAAA3AAAAA8AAAAAAAAAAAAAAAAAmAIAAGRycy9k&#10;b3ducmV2LnhtbFBLBQYAAAAABAAEAPUAAACJAwAAAAA=&#10;" fillcolor="window" stroked="f">
                  <v:fill opacity="22873f"/>
                  <v:textbox>
                    <w:txbxContent>
                      <w:p w14:paraId="12F7B29C" w14:textId="7C72E208" w:rsidR="00862B49" w:rsidRPr="006B7789" w:rsidRDefault="00862B49" w:rsidP="009318CA">
                        <w:pPr>
                          <w:pStyle w:val="NormalWeb"/>
                          <w:spacing w:before="0" w:after="0"/>
                          <w:jc w:val="center"/>
                          <w:rPr>
                            <w:sz w:val="21"/>
                            <w:szCs w:val="21"/>
                          </w:rPr>
                        </w:pPr>
                        <w:r w:rsidRPr="006B7789">
                          <w:rPr>
                            <w:rFonts w:asciiTheme="minorHAnsi" w:hAnsi="Calibri" w:cstheme="minorBidi"/>
                            <w:b/>
                            <w:bCs/>
                            <w:kern w:val="24"/>
                            <w:sz w:val="21"/>
                            <w:szCs w:val="21"/>
                          </w:rPr>
                          <w:t xml:space="preserve">Costs serviceable through income (sale, rent) </w:t>
                        </w:r>
                      </w:p>
                    </w:txbxContent>
                  </v:textbox>
                </v:shape>
                <v:shape id="TextBox 25" o:spid="_x0000_s1045" type="#_x0000_t202" style="position:absolute;left:34861;top:6000;width:2117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9JcYA&#10;AADcAAAADwAAAGRycy9kb3ducmV2LnhtbESPT2vCQBTE70K/w/IEL6KbWv9GVynSggcvGg96e2af&#10;SWj2bchuY/rt3YLgcZiZ3zCrTWtK0VDtCssK3ocRCOLU6oIzBafkezAH4TyyxtIyKfgjB5v1W2eF&#10;sbZ3PlBz9JkIEHYxKsi9r2IpXZqTQTe0FXHwbrY26IOsM6lrvAe4KeUoiqbSYMFhIceKtjmlP8df&#10;o+BrVm77+2uS7CensbOXZpdms7NSvW77uQThqfWv8LO90wo+xgv4Px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9JcYAAADcAAAADwAAAAAAAAAAAAAAAACYAgAAZHJz&#10;L2Rvd25yZXYueG1sUEsFBgAAAAAEAAQA9QAAAIsDAAAAAA==&#10;" fillcolor="window" stroked="f">
                  <v:fill opacity="16448f"/>
                  <v:textbox>
                    <w:txbxContent>
                      <w:p w14:paraId="438BBEBF" w14:textId="248EA736" w:rsidR="00862B49" w:rsidRPr="006B7789" w:rsidRDefault="00862B49" w:rsidP="009318CA">
                        <w:pPr>
                          <w:pStyle w:val="NormalWeb"/>
                          <w:spacing w:before="0" w:after="0"/>
                          <w:rPr>
                            <w:sz w:val="21"/>
                            <w:szCs w:val="21"/>
                          </w:rPr>
                        </w:pPr>
                        <w:r>
                          <w:rPr>
                            <w:rFonts w:asciiTheme="minorHAnsi" w:hAnsi="Calibri" w:cstheme="minorBidi"/>
                            <w:b/>
                            <w:bCs/>
                            <w:kern w:val="24"/>
                            <w:sz w:val="21"/>
                            <w:szCs w:val="21"/>
                          </w:rPr>
                          <w:t>Additional s</w:t>
                        </w:r>
                        <w:r w:rsidRPr="006B7789">
                          <w:rPr>
                            <w:rFonts w:asciiTheme="minorHAnsi" w:hAnsi="Calibri" w:cstheme="minorBidi"/>
                            <w:b/>
                            <w:bCs/>
                            <w:kern w:val="24"/>
                            <w:sz w:val="21"/>
                            <w:szCs w:val="21"/>
                          </w:rPr>
                          <w:t>upport</w:t>
                        </w:r>
                        <w:r>
                          <w:rPr>
                            <w:rFonts w:asciiTheme="minorHAnsi" w:hAnsi="Calibri" w:cstheme="minorBidi"/>
                            <w:b/>
                            <w:bCs/>
                            <w:kern w:val="24"/>
                            <w:sz w:val="21"/>
                            <w:szCs w:val="21"/>
                          </w:rPr>
                          <w:t xml:space="preserve"> to fill the gap</w:t>
                        </w:r>
                      </w:p>
                    </w:txbxContent>
                  </v:textbox>
                </v:shape>
                <v:shape id="TextBox 26" o:spid="_x0000_s1046" type="#_x0000_t202" style="position:absolute;left:34861;top:9423;width:17559;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CZcIA&#10;AADcAAAADwAAAGRycy9kb3ducmV2LnhtbERPy4rCMBTdC/5DuIIbGVN1fFCNIqLgwo3WxczuTnNt&#10;i81NaWKtf28WAy4P573atKYUDdWusKxgNIxAEKdWF5wpuCaHrwUI55E1lpZJwYscbNbdzgpjbZ98&#10;pubiMxFC2MWoIPe+iqV0aU4G3dBWxIG72dqgD7DOpK7xGcJNKcdRNJMGCw4NOVa0yym9Xx5GwX5e&#10;7ganvyQ5Ta/fzv42xzSb/yjV77XbJQhPrf+I/91HrWAyDfPDmXA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YJlwgAAANwAAAAPAAAAAAAAAAAAAAAAAJgCAABkcnMvZG93&#10;bnJldi54bWxQSwUGAAAAAAQABAD1AAAAhwMAAAAA&#10;" fillcolor="window" stroked="f">
                  <v:fill opacity="16448f"/>
                  <v:textbox>
                    <w:txbxContent>
                      <w:p w14:paraId="63218871" w14:textId="49526C33" w:rsidR="00862B49" w:rsidRPr="00862B49" w:rsidRDefault="00862B49" w:rsidP="00BF0608">
                        <w:pPr>
                          <w:pStyle w:val="NormalWeb"/>
                          <w:spacing w:before="0" w:after="0"/>
                          <w:jc w:val="left"/>
                          <w:rPr>
                            <w:rFonts w:asciiTheme="minorHAnsi" w:hAnsiTheme="minorHAnsi"/>
                            <w:i/>
                            <w:sz w:val="16"/>
                            <w:szCs w:val="16"/>
                          </w:rPr>
                        </w:pPr>
                        <w:proofErr w:type="gramStart"/>
                        <w:r w:rsidRPr="00862B49">
                          <w:rPr>
                            <w:rFonts w:asciiTheme="minorHAnsi" w:hAnsiTheme="minorHAnsi"/>
                            <w:i/>
                            <w:sz w:val="16"/>
                            <w:szCs w:val="16"/>
                          </w:rPr>
                          <w:t>for</w:t>
                        </w:r>
                        <w:proofErr w:type="gramEnd"/>
                        <w:r w:rsidRPr="00862B49">
                          <w:rPr>
                            <w:rFonts w:asciiTheme="minorHAnsi" w:hAnsiTheme="minorHAnsi"/>
                            <w:i/>
                            <w:sz w:val="16"/>
                            <w:szCs w:val="16"/>
                          </w:rPr>
                          <w:t xml:space="preserve"> example, </w:t>
                        </w:r>
                        <w:r w:rsidRPr="00862B49">
                          <w:rPr>
                            <w:rFonts w:asciiTheme="minorHAnsi" w:hAnsiTheme="minorHAnsi" w:cstheme="minorBidi"/>
                            <w:i/>
                            <w:iCs/>
                            <w:kern w:val="24"/>
                            <w:sz w:val="16"/>
                            <w:szCs w:val="16"/>
                          </w:rPr>
                          <w:t>First Home Owner Grants, Stamp Duty exemptions / concessions, low deposit loans, shared equity</w:t>
                        </w:r>
                      </w:p>
                    </w:txbxContent>
                  </v:textbox>
                </v:shape>
                <v:shape id="TextBox 27" o:spid="_x0000_s1047" type="#_x0000_t202" style="position:absolute;left:35052;top:16331;width:17368;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n/scA&#10;AADcAAAADwAAAGRycy9kb3ducmV2LnhtbESPQWvCQBSE74L/YXlCL1I3tk2V1FVKUMjBS42Hentm&#10;n0lo9m3IbpP033cLBY/DzHzDbHajaURPnastK1guIhDEhdU1lwrO+eFxDcJ5ZI2NZVLwQw522+lk&#10;g4m2A39Qf/KlCBB2CSqovG8TKV1RkUG3sC1x8G62M+iD7EqpOxwC3DTyKYpepcGaw0KFLaUVFV+n&#10;b6Ngv2rS+fGa58f4/OLspc+KcvWp1MNsfH8D4Wn09/B/O9MKnuMl/J0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pJ/7HAAAA3AAAAA8AAAAAAAAAAAAAAAAAmAIAAGRy&#10;cy9kb3ducmV2LnhtbFBLBQYAAAAABAAEAPUAAACMAwAAAAA=&#10;" fillcolor="window" stroked="f">
                  <v:fill opacity="16448f"/>
                  <v:textbox>
                    <w:txbxContent>
                      <w:p w14:paraId="187C35D6" w14:textId="5132FE65" w:rsidR="00862B49" w:rsidRPr="00862B49" w:rsidRDefault="00862B49" w:rsidP="009318CA">
                        <w:pPr>
                          <w:pStyle w:val="NormalWeb"/>
                          <w:spacing w:before="0" w:after="0"/>
                          <w:rPr>
                            <w:rFonts w:asciiTheme="minorHAnsi" w:hAnsiTheme="minorHAnsi"/>
                            <w:i/>
                            <w:sz w:val="16"/>
                            <w:szCs w:val="16"/>
                          </w:rPr>
                        </w:pPr>
                        <w:proofErr w:type="gramStart"/>
                        <w:r w:rsidRPr="00862B49">
                          <w:rPr>
                            <w:rFonts w:asciiTheme="minorHAnsi" w:hAnsiTheme="minorHAnsi"/>
                            <w:i/>
                            <w:sz w:val="16"/>
                            <w:szCs w:val="16"/>
                          </w:rPr>
                          <w:t>for</w:t>
                        </w:r>
                        <w:proofErr w:type="gramEnd"/>
                        <w:r w:rsidRPr="00862B49">
                          <w:rPr>
                            <w:rFonts w:asciiTheme="minorHAnsi" w:hAnsiTheme="minorHAnsi"/>
                            <w:i/>
                            <w:sz w:val="16"/>
                            <w:szCs w:val="16"/>
                          </w:rPr>
                          <w:t xml:space="preserve"> example, </w:t>
                        </w:r>
                        <w:r w:rsidRPr="00862B49">
                          <w:rPr>
                            <w:rFonts w:asciiTheme="minorHAnsi" w:hAnsiTheme="minorHAnsi" w:cstheme="minorBidi"/>
                            <w:i/>
                            <w:iCs/>
                            <w:kern w:val="24"/>
                            <w:sz w:val="16"/>
                            <w:szCs w:val="16"/>
                          </w:rPr>
                          <w:t>Income support (Commonwealth Rent Assistance)</w:t>
                        </w:r>
                      </w:p>
                    </w:txbxContent>
                  </v:textbox>
                </v:shape>
                <v:shape id="TextBox 28" o:spid="_x0000_s1048" type="#_x0000_t202" style="position:absolute;left:35052;top:22395;width:1573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5icUA&#10;AADcAAAADwAAAGRycy9kb3ducmV2LnhtbESPT4vCMBTE7wv7HcJb2Muiqf+XahQRBQ9etB709mze&#10;tsXmpTTZWr+9EQSPw8z8hpktWlOKhmpXWFbQ60YgiFOrC84UHJNN5xeE88gaS8uk4E4OFvPPjxnG&#10;2t54T83BZyJA2MWoIPe+iqV0aU4GXddWxMH7s7VBH2SdSV3jLcBNKftRNJYGCw4LOVa0yim9Hv6N&#10;gvWkXP3sLkmyGx2Hzp6bbZpNTkp9f7XLKQhPrX+HX+2tVjAY9e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mJxQAAANwAAAAPAAAAAAAAAAAAAAAAAJgCAABkcnMv&#10;ZG93bnJldi54bWxQSwUGAAAAAAQABAD1AAAAigMAAAAA&#10;" fillcolor="window" stroked="f">
                  <v:fill opacity="16448f"/>
                  <v:textbox>
                    <w:txbxContent>
                      <w:p w14:paraId="702A23F6" w14:textId="05CCFB5D" w:rsidR="00862B49" w:rsidRPr="00862B49" w:rsidRDefault="00862B49" w:rsidP="009318CA">
                        <w:pPr>
                          <w:pStyle w:val="NormalWeb"/>
                          <w:spacing w:before="0" w:after="0"/>
                          <w:rPr>
                            <w:rFonts w:asciiTheme="minorHAnsi" w:hAnsiTheme="minorHAnsi"/>
                            <w:i/>
                            <w:sz w:val="16"/>
                            <w:szCs w:val="16"/>
                          </w:rPr>
                        </w:pPr>
                        <w:proofErr w:type="gramStart"/>
                        <w:r w:rsidRPr="00862B49">
                          <w:rPr>
                            <w:rFonts w:asciiTheme="minorHAnsi" w:hAnsiTheme="minorHAnsi"/>
                            <w:i/>
                            <w:sz w:val="16"/>
                            <w:szCs w:val="16"/>
                          </w:rPr>
                          <w:t>for</w:t>
                        </w:r>
                        <w:proofErr w:type="gramEnd"/>
                        <w:r w:rsidRPr="00862B49">
                          <w:rPr>
                            <w:rFonts w:asciiTheme="minorHAnsi" w:hAnsiTheme="minorHAnsi"/>
                            <w:i/>
                            <w:sz w:val="16"/>
                            <w:szCs w:val="16"/>
                          </w:rPr>
                          <w:t xml:space="preserve"> example, </w:t>
                        </w:r>
                        <w:r w:rsidRPr="00862B49">
                          <w:rPr>
                            <w:rFonts w:asciiTheme="minorHAnsi" w:hAnsiTheme="minorHAnsi" w:cstheme="minorBidi"/>
                            <w:i/>
                            <w:iCs/>
                            <w:kern w:val="24"/>
                            <w:sz w:val="16"/>
                            <w:szCs w:val="16"/>
                          </w:rPr>
                          <w:t xml:space="preserve">Operating subsidies, income support, grants, tax concessions </w:t>
                        </w:r>
                      </w:p>
                    </w:txbxContent>
                  </v:textbox>
                </v:shape>
                <v:shape id="TextBox 29" o:spid="_x0000_s1049" type="#_x0000_t202" style="position:absolute;left:34861;top:27146;width:16199;height:5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cEscA&#10;AADcAAAADwAAAGRycy9kb3ducmV2LnhtbESPQWvCQBSE74L/YXlCL1I3bWqV1DWUUMGDlxoP9fbM&#10;PpPQ7NuQ3Sbx33cLBY/DzHzDbNLRNKKnztWWFTwtIhDEhdU1lwpO+e5xDcJ5ZI2NZVJwIwfpdjrZ&#10;YKLtwJ/UH30pAoRdggoq79tESldUZNAtbEscvKvtDPogu1LqDocAN418jqJXabDmsFBhS1lFxffx&#10;xyj4WDXZ/HDJ88Py9OLsud8X5epLqYfZ+P4GwtPo7+H/9l4riJcx/J0JR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3HBLHAAAA3AAAAA8AAAAAAAAAAAAAAAAAmAIAAGRy&#10;cy9kb3ducmV2LnhtbFBLBQYAAAAABAAEAPUAAACMAwAAAAA=&#10;" fillcolor="window" stroked="f">
                  <v:fill opacity="16448f"/>
                  <v:textbox>
                    <w:txbxContent>
                      <w:p w14:paraId="1BB290AD" w14:textId="11C5B40A" w:rsidR="00862B49" w:rsidRPr="00862B49" w:rsidRDefault="00862B49" w:rsidP="009318CA">
                        <w:pPr>
                          <w:pStyle w:val="NormalWeb"/>
                          <w:spacing w:before="0" w:after="0"/>
                          <w:rPr>
                            <w:rFonts w:asciiTheme="minorHAnsi" w:hAnsiTheme="minorHAnsi"/>
                            <w:i/>
                            <w:sz w:val="16"/>
                            <w:szCs w:val="16"/>
                          </w:rPr>
                        </w:pPr>
                        <w:proofErr w:type="gramStart"/>
                        <w:r w:rsidRPr="00862B49">
                          <w:rPr>
                            <w:rFonts w:asciiTheme="minorHAnsi" w:hAnsiTheme="minorHAnsi"/>
                            <w:i/>
                            <w:sz w:val="16"/>
                            <w:szCs w:val="16"/>
                          </w:rPr>
                          <w:t>for</w:t>
                        </w:r>
                        <w:proofErr w:type="gramEnd"/>
                        <w:r w:rsidRPr="00862B49">
                          <w:rPr>
                            <w:rFonts w:asciiTheme="minorHAnsi" w:hAnsiTheme="minorHAnsi"/>
                            <w:i/>
                            <w:sz w:val="16"/>
                            <w:szCs w:val="16"/>
                          </w:rPr>
                          <w:t xml:space="preserve"> example, </w:t>
                        </w:r>
                        <w:r w:rsidRPr="00862B49">
                          <w:rPr>
                            <w:rFonts w:asciiTheme="minorHAnsi" w:hAnsiTheme="minorHAnsi" w:cstheme="minorBidi"/>
                            <w:i/>
                            <w:iCs/>
                            <w:kern w:val="24"/>
                            <w:sz w:val="16"/>
                            <w:szCs w:val="16"/>
                          </w:rPr>
                          <w:t>deep operating subsidies, income support, capital grants, land, support services</w:t>
                        </w:r>
                      </w:p>
                    </w:txbxContent>
                  </v:textbox>
                </v:shape>
                <v:shape id="TextBox 30" o:spid="_x0000_s1050" type="#_x0000_t202" style="position:absolute;left:20288;top:35242;width:15087;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EZsUA&#10;AADcAAAADwAAAGRycy9kb3ducmV2LnhtbESPT4vCMBTE7wv7HcJb8LJouv5dqlEWUfDgRetBb8/m&#10;bVtsXkoTa/32RhA8DjPzG2a2aE0pGqpdYVnBTy8CQZxaXXCm4JCsu78gnEfWWFomBXdysJh/fsww&#10;1vbGO2r2PhMBwi5GBbn3VSylS3My6Hq2Ig7ev60N+iDrTOoabwFuStmPorE0WHBYyLGiZU7pZX81&#10;ClaTcvm9PSfJdnQYOntqNmk2OSrV+Wr/piA8tf4dfrU3WsFgNIT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oRmxQAAANwAAAAPAAAAAAAAAAAAAAAAAJgCAABkcnMv&#10;ZG93bnJldi54bWxQSwUGAAAAAAQABAD1AAAAigMAAAAA&#10;" fillcolor="window" stroked="f">
                  <v:fill opacity="16448f"/>
                  <v:textbox>
                    <w:txbxContent>
                      <w:p w14:paraId="2C64FD83" w14:textId="77777777" w:rsidR="00862B49" w:rsidRPr="00144B23" w:rsidRDefault="00862B49" w:rsidP="009318CA">
                        <w:pPr>
                          <w:pStyle w:val="NormalWeb"/>
                          <w:spacing w:before="0" w:after="0"/>
                          <w:rPr>
                            <w:szCs w:val="22"/>
                          </w:rPr>
                        </w:pPr>
                        <w:r w:rsidRPr="00144B23">
                          <w:rPr>
                            <w:rFonts w:asciiTheme="minorHAnsi" w:hAnsi="Calibri" w:cstheme="minorBidi"/>
                            <w:b/>
                            <w:bCs/>
                            <w:kern w:val="24"/>
                            <w:szCs w:val="22"/>
                          </w:rPr>
                          <w:t>Total cost of provision</w:t>
                        </w:r>
                      </w:p>
                    </w:txbxContent>
                  </v:textbox>
                </v:shape>
                <v:shape id="TextBox 31" o:spid="_x0000_s1051" type="#_x0000_t202" style="position:absolute;width:56038;height:30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YZMUA&#10;AADcAAAADwAAAGRycy9kb3ducmV2LnhtbESPQWvCQBSE7wX/w/KE3nRjbapEV5GC4CEtNQp6fGSf&#10;2WD2bchuNf333YLQ4zAz3zDLdW8bcaPO144VTMYJCOLS6ZorBcfDdjQH4QOyxsYxKfghD+vV4GmJ&#10;mXZ33tOtCJWIEPYZKjAhtJmUvjRk0Y9dSxy9i+sshii7SuoO7xFuG/mSJG/SYs1xwWBL74bKa/Ft&#10;Fej8dEpn1zbfm/PrZdd86rz4+lDqedhvFiAC9eE//GjvtIJpms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thkxQAAANwAAAAPAAAAAAAAAAAAAAAAAJgCAABkcnMv&#10;ZG93bnJldi54bWxQSwUGAAAAAAQABAD1AAAAigMAAAAA&#10;" filled="f" stroked="f">
                  <v:textbox>
                    <w:txbxContent>
                      <w:p w14:paraId="395E5B10" w14:textId="05A68EBA" w:rsidR="00862B49" w:rsidRPr="00BF0608" w:rsidRDefault="00862B49" w:rsidP="00BF0608">
                        <w:pPr>
                          <w:pStyle w:val="Figureheading"/>
                          <w:jc w:val="center"/>
                        </w:pPr>
                        <w:r w:rsidRPr="00BF0608">
                          <w:t>Figure 1: Illustrative Costs and Funding Gaps for Different Housing Types</w:t>
                        </w:r>
                      </w:p>
                    </w:txbxContent>
                  </v:textbox>
                </v:shape>
                <v:shape id="Text Box 2" o:spid="_x0000_s1052" type="#_x0000_t202" style="position:absolute;left:1809;top:9906;width:7651;height:51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7NsEA&#10;AADbAAAADwAAAGRycy9kb3ducmV2LnhtbESPW2vCQBSE34X+h+UU+iJ1o2Atqat4oeCrUd8P2ZML&#10;zZ4N2aNJ/n23IPRxmJlvmPV2cI16UBdqzwbmswQUce5tzaWB6+X7/RNUEGSLjWcyMFKA7eZlssbU&#10;+p7P9MikVBHCIUUDlUibah3yihyGmW+Jo1f4zqFE2ZXadthHuGv0Ikk+tMOa40KFLR0qyn+yuzMg&#10;R6m9vU2Twp/75X48ZUG70Zi312H3BUpokP/ws32yBhYr+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NezbBAAAA2wAAAA8AAAAAAAAAAAAAAAAAmAIAAGRycy9kb3du&#10;cmV2LnhtbFBLBQYAAAAABAAEAPUAAACGAwAAAAA=&#10;" filled="f" stroked="f">
                  <v:textbox>
                    <w:txbxContent>
                      <w:p w14:paraId="7D524FA5" w14:textId="77777777" w:rsidR="00862B49" w:rsidRDefault="00862B49" w:rsidP="009318CA">
                        <w:r>
                          <w:t>Median Income</w:t>
                        </w:r>
                      </w:p>
                    </w:txbxContent>
                  </v:textbox>
                </v:shape>
                <v:shape id="Text Box 2" o:spid="_x0000_s1053" type="#_x0000_t202" style="position:absolute;left:2000;top:26955;width:7322;height:49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3JqsIA&#10;AADcAAAADwAAAGRycy9kb3ducmV2LnhtbESPS2vDMBCE74H8B7GFXkIiO9CmOFFC2lLINU56X6z1&#10;g1orY239+PdVodDjMDPfMIfT5Fo1UB8azwbSTQKKuPC24crA/faxfgEVBNli65kMzBTgdFwuDphZ&#10;P/KVhlwqFSEcMjRQi3SZ1qGoyWHY+I44eqXvHUqUfaVtj2OEu1Zvk+RZO2w4LtTY0VtNxVf+7QzI&#10;uzTefq6S0l/Hp9f5kgftZmMeH6bzHpTQJP/hv/bFGtimO/g9E4+AP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cmqwgAAANwAAAAPAAAAAAAAAAAAAAAAAJgCAABkcnMvZG93&#10;bnJldi54bWxQSwUGAAAAAAQABAD1AAAAhwMAAAAA&#10;" filled="f" stroked="f">
                  <v:textbox>
                    <w:txbxContent>
                      <w:p w14:paraId="48FDEA98" w14:textId="77777777" w:rsidR="00862B49" w:rsidRDefault="00862B49" w:rsidP="009318CA">
                        <w:r>
                          <w:t>Very Low Income</w:t>
                        </w:r>
                      </w:p>
                    </w:txbxContent>
                  </v:textbox>
                </v:shape>
                <v:shapetype id="_x0000_t32" coordsize="21600,21600" o:spt="32" o:oned="t" path="m,l21600,21600e" filled="f">
                  <v:path arrowok="t" fillok="f" o:connecttype="none"/>
                  <o:lock v:ext="edit" shapetype="t"/>
                </v:shapetype>
                <v:shape id="Straight Arrow Connector 28" o:spid="_x0000_s1054" type="#_x0000_t32" style="position:absolute;left:8191;top:8286;width:0;height:251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4Cx8EAAADbAAAADwAAAGRycy9kb3ducmV2LnhtbERPy4rCMBTdD/gP4QruxlRBZ6hGEaHi&#10;QgfHx/7SXJtqc1OaqNWvnyyEWR7OezpvbSXu1PjSsYJBPwFBnDtdcqHgeMg+v0H4gKyxckwKnuRh&#10;Put8TDHV7sG/dN+HQsQQ9ikqMCHUqZQ+N2TR911NHLmzayyGCJtC6gYfMdxWcpgkY2mx5NhgsKal&#10;ofy6v1kF5ddrtT2NVkW2NdnO/1SvTTa6KNXrtosJiEBt+Be/3WutYBjHxi/xB8j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gLHwQAAANsAAAAPAAAAAAAAAAAAAAAA&#10;AKECAABkcnMvZG93bnJldi54bWxQSwUGAAAAAAQABAD5AAAAjwMAAAAA&#10;" strokecolor="#c4bc96 [2414]" strokeweight="4.5pt">
                  <v:stroke endarrow="block"/>
                </v:shape>
                <w10:anchorlock/>
              </v:group>
            </w:pict>
          </mc:Fallback>
        </mc:AlternateContent>
      </w:r>
    </w:p>
    <w:p w14:paraId="7FCEF228" w14:textId="7C14D47E" w:rsidR="009318CA" w:rsidRDefault="006064BD" w:rsidP="004B042E">
      <w:pPr>
        <w:spacing w:after="200"/>
      </w:pPr>
      <w:r>
        <w:t>T</w:t>
      </w:r>
      <w:r w:rsidR="009318CA">
        <w:t>here are a number of roles government</w:t>
      </w:r>
      <w:r w:rsidR="00BE0737">
        <w:t>s</w:t>
      </w:r>
      <w:r w:rsidR="009318CA">
        <w:t xml:space="preserve"> and providers can play to reduce the size of the</w:t>
      </w:r>
      <w:r w:rsidR="008472BE">
        <w:t xml:space="preserve"> funding</w:t>
      </w:r>
      <w:r w:rsidR="009318CA">
        <w:t xml:space="preserve"> gap, </w:t>
      </w:r>
      <w:r w:rsidR="008472BE">
        <w:t xml:space="preserve">and this is further discussed in </w:t>
      </w:r>
      <w:r w:rsidR="008472BE">
        <w:rPr>
          <w:i/>
        </w:rPr>
        <w:t xml:space="preserve">Chapter </w:t>
      </w:r>
      <w:r w:rsidR="00103800">
        <w:rPr>
          <w:i/>
        </w:rPr>
        <w:t>3</w:t>
      </w:r>
      <w:r w:rsidR="009318CA">
        <w:t xml:space="preserve">. These mainly relate to the </w:t>
      </w:r>
      <w:r w:rsidR="00FA4406">
        <w:t xml:space="preserve">asset creation (supply stage). </w:t>
      </w:r>
      <w:r w:rsidR="009318CA">
        <w:t>However,</w:t>
      </w:r>
      <w:r w:rsidR="00904FA1">
        <w:t xml:space="preserve"> there is limited national data or </w:t>
      </w:r>
      <w:r w:rsidR="009318CA">
        <w:t>evidence about the costs of reta</w:t>
      </w:r>
      <w:r w:rsidR="00FA4406">
        <w:t>ining assets over the long term</w:t>
      </w:r>
      <w:r w:rsidR="009318CA">
        <w:t xml:space="preserve"> for the purposes of housing people on low incomes.</w:t>
      </w:r>
    </w:p>
    <w:p w14:paraId="412CF399" w14:textId="3DE74334" w:rsidR="009318CA" w:rsidRDefault="004D356F" w:rsidP="004B042E">
      <w:pPr>
        <w:spacing w:before="60"/>
      </w:pPr>
      <w:r>
        <w:t>E</w:t>
      </w:r>
      <w:r w:rsidR="009318CA" w:rsidRPr="00581EF0">
        <w:t>xisting</w:t>
      </w:r>
      <w:r>
        <w:t xml:space="preserve"> affordable housing</w:t>
      </w:r>
      <w:r w:rsidR="009318CA" w:rsidRPr="00581EF0">
        <w:t xml:space="preserve"> projects </w:t>
      </w:r>
      <w:r w:rsidR="009318CA">
        <w:t xml:space="preserve">can </w:t>
      </w:r>
      <w:r w:rsidR="009318CA" w:rsidRPr="00581EF0">
        <w:t xml:space="preserve">provide a portfolio ‘base case’ and indicative track record: </w:t>
      </w:r>
      <w:r w:rsidR="009318CA" w:rsidRPr="00A27B0C">
        <w:t xml:space="preserve"> Western Australia has implemented </w:t>
      </w:r>
      <w:r w:rsidR="009318CA" w:rsidRPr="00581EF0">
        <w:rPr>
          <w:i/>
        </w:rPr>
        <w:t>project financing trials</w:t>
      </w:r>
      <w:r w:rsidR="00AE36D1">
        <w:t xml:space="preserve"> (with</w:t>
      </w:r>
      <w:r w:rsidR="009318CA" w:rsidRPr="00A27B0C">
        <w:t xml:space="preserve"> the H</w:t>
      </w:r>
      <w:r w:rsidR="009318CA">
        <w:t>ousing Authority</w:t>
      </w:r>
      <w:r w:rsidR="009318CA" w:rsidRPr="00A27B0C">
        <w:t xml:space="preserve"> providing land, the </w:t>
      </w:r>
      <w:r w:rsidR="009318CA">
        <w:t>partner (</w:t>
      </w:r>
      <w:r w:rsidR="009318CA" w:rsidRPr="00A27B0C">
        <w:t>private sector</w:t>
      </w:r>
      <w:r w:rsidR="009318CA">
        <w:t>)</w:t>
      </w:r>
      <w:r w:rsidR="009318CA" w:rsidRPr="00A27B0C">
        <w:t xml:space="preserve"> providing equity and debt and the </w:t>
      </w:r>
      <w:r w:rsidR="00AE36D1">
        <w:t xml:space="preserve">Housing </w:t>
      </w:r>
      <w:r w:rsidR="009318CA">
        <w:t>Authority</w:t>
      </w:r>
      <w:r w:rsidR="009318CA" w:rsidRPr="00A27B0C">
        <w:t xml:space="preserve"> reinvesting its equity return into retained units) and </w:t>
      </w:r>
      <w:r w:rsidR="009318CA" w:rsidRPr="00581EF0">
        <w:rPr>
          <w:i/>
        </w:rPr>
        <w:t>self-financing trials</w:t>
      </w:r>
      <w:r w:rsidR="009318CA" w:rsidRPr="00A27B0C">
        <w:t xml:space="preserve"> (based on </w:t>
      </w:r>
      <w:r w:rsidR="00AE36D1">
        <w:t xml:space="preserve">a </w:t>
      </w:r>
      <w:r w:rsidR="009318CA" w:rsidRPr="00A27B0C">
        <w:t>mix of sales, graduated affordable rentals and social housing covering operating costs and paying back capital over time).  These mixed tenure projects</w:t>
      </w:r>
      <w:r w:rsidR="009318CA">
        <w:t xml:space="preserve">, </w:t>
      </w:r>
      <w:r w:rsidR="009318CA" w:rsidRPr="00A27B0C">
        <w:t>yielding over 500 apartments</w:t>
      </w:r>
      <w:r w:rsidR="009318CA">
        <w:t xml:space="preserve"> in Perth,</w:t>
      </w:r>
      <w:r w:rsidR="009318CA" w:rsidRPr="00A27B0C">
        <w:t xml:space="preserve"> provide </w:t>
      </w:r>
      <w:r w:rsidR="00A0581C">
        <w:t>some</w:t>
      </w:r>
      <w:r w:rsidR="009318CA" w:rsidRPr="00A27B0C">
        <w:t xml:space="preserve"> understanding of the commercial and policy outcomes that are possible when government plays certain roles within structured transactions.  </w:t>
      </w:r>
    </w:p>
    <w:p w14:paraId="353836D5" w14:textId="77777777" w:rsidR="0052218E" w:rsidRDefault="0052218E">
      <w:pPr>
        <w:spacing w:after="200" w:line="276" w:lineRule="auto"/>
        <w:rPr>
          <w:rFonts w:ascii="Calibri" w:eastAsiaTheme="majorEastAsia" w:hAnsi="Calibri" w:cstheme="majorBidi"/>
          <w:b/>
          <w:bCs/>
          <w:i/>
          <w:color w:val="246373" w:themeColor="accent6" w:themeShade="BF"/>
          <w:sz w:val="26"/>
          <w:szCs w:val="24"/>
        </w:rPr>
      </w:pPr>
      <w:r>
        <w:br w:type="page"/>
      </w:r>
    </w:p>
    <w:p w14:paraId="748A1337" w14:textId="4E304ECD" w:rsidR="009318CA" w:rsidRPr="00BF0608" w:rsidRDefault="009318CA" w:rsidP="00BF0608">
      <w:pPr>
        <w:pStyle w:val="Heading3"/>
        <w:rPr>
          <w:spacing w:val="-2"/>
        </w:rPr>
      </w:pPr>
      <w:r w:rsidRPr="00BF0608">
        <w:rPr>
          <w:spacing w:val="-2"/>
        </w:rPr>
        <w:lastRenderedPageBreak/>
        <w:t>Indicative fu</w:t>
      </w:r>
      <w:r w:rsidR="00AE36D1" w:rsidRPr="00BF0608">
        <w:rPr>
          <w:spacing w:val="-2"/>
        </w:rPr>
        <w:t>nding gap for affordable rental and social rental housing</w:t>
      </w:r>
      <w:r w:rsidR="00BE0737" w:rsidRPr="00BF0608">
        <w:rPr>
          <w:spacing w:val="-2"/>
        </w:rPr>
        <w:t xml:space="preserve"> (WA example)</w:t>
      </w:r>
    </w:p>
    <w:p w14:paraId="2C34AC51" w14:textId="301917EE" w:rsidR="009318CA" w:rsidRDefault="009318CA" w:rsidP="00BF0608">
      <w:pPr>
        <w:tabs>
          <w:tab w:val="left" w:pos="567"/>
        </w:tabs>
        <w:spacing w:after="120"/>
        <w:ind w:left="567" w:hanging="567"/>
        <w:rPr>
          <w:b/>
        </w:rPr>
      </w:pPr>
      <w:r>
        <w:rPr>
          <w:b/>
        </w:rPr>
        <w:t>1.</w:t>
      </w:r>
      <w:r w:rsidR="00BF0608">
        <w:rPr>
          <w:b/>
        </w:rPr>
        <w:tab/>
      </w:r>
      <w:r>
        <w:rPr>
          <w:b/>
        </w:rPr>
        <w:t xml:space="preserve">Development Phase </w:t>
      </w:r>
      <w:r w:rsidRPr="00A52721">
        <w:rPr>
          <w:b/>
          <w:color w:val="0070C0"/>
        </w:rPr>
        <w:t>(asset creation</w:t>
      </w:r>
      <w:r>
        <w:rPr>
          <w:b/>
          <w:color w:val="0070C0"/>
        </w:rPr>
        <w:t>/supply</w:t>
      </w:r>
      <w:r w:rsidRPr="00A52721">
        <w:rPr>
          <w:b/>
          <w:color w:val="0070C0"/>
        </w:rPr>
        <w:t xml:space="preserve"> stage)</w:t>
      </w:r>
    </w:p>
    <w:p w14:paraId="7BC35DFD" w14:textId="26437823" w:rsidR="009318CA" w:rsidRPr="00BC5B92" w:rsidRDefault="009318CA" w:rsidP="00BF0608">
      <w:pPr>
        <w:spacing w:after="120"/>
        <w:ind w:left="567"/>
      </w:pPr>
      <w:r w:rsidRPr="00BC5B92">
        <w:rPr>
          <w:i/>
        </w:rPr>
        <w:t>Assumes: cost o</w:t>
      </w:r>
      <w:r w:rsidR="00616605">
        <w:rPr>
          <w:i/>
        </w:rPr>
        <w:t>f producing each new apartment is</w:t>
      </w:r>
      <w:r w:rsidRPr="00BC5B92">
        <w:rPr>
          <w:i/>
        </w:rPr>
        <w:t xml:space="preserve"> $275</w:t>
      </w:r>
      <w:r w:rsidR="00616605">
        <w:rPr>
          <w:i/>
        </w:rPr>
        <w:t>,000</w:t>
      </w:r>
    </w:p>
    <w:tbl>
      <w:tblPr>
        <w:tblStyle w:val="TableGrid"/>
        <w:tblW w:w="0" w:type="auto"/>
        <w:tblInd w:w="675" w:type="dxa"/>
        <w:tblLook w:val="04A0" w:firstRow="1" w:lastRow="0" w:firstColumn="1" w:lastColumn="0" w:noHBand="0" w:noVBand="1"/>
      </w:tblPr>
      <w:tblGrid>
        <w:gridCol w:w="7088"/>
        <w:gridCol w:w="1417"/>
      </w:tblGrid>
      <w:tr w:rsidR="009318CA" w14:paraId="0B49057F" w14:textId="77777777" w:rsidTr="003F36CE">
        <w:trPr>
          <w:trHeight w:val="901"/>
        </w:trPr>
        <w:tc>
          <w:tcPr>
            <w:tcW w:w="7088" w:type="dxa"/>
          </w:tcPr>
          <w:p w14:paraId="10F9A674" w14:textId="44A23DBB" w:rsidR="009318CA" w:rsidRPr="00A33FA2" w:rsidRDefault="00C821EF" w:rsidP="00BF0608">
            <w:pPr>
              <w:pStyle w:val="Tabletextleft"/>
            </w:pPr>
            <w:r>
              <w:rPr>
                <w:b/>
              </w:rPr>
              <w:t>Model A: CHP</w:t>
            </w:r>
            <w:r w:rsidR="009318CA">
              <w:rPr>
                <w:b/>
              </w:rPr>
              <w:t xml:space="preserve"> developer </w:t>
            </w:r>
            <w:r w:rsidR="009318CA" w:rsidRPr="00A33FA2">
              <w:t>(100% of new supply</w:t>
            </w:r>
            <w:r w:rsidR="009318CA">
              <w:t xml:space="preserve"> retained for affordable housing -</w:t>
            </w:r>
            <w:r w:rsidR="003F36CE">
              <w:br/>
            </w:r>
            <w:r w:rsidR="009318CA">
              <w:t>build &amp; rent model</w:t>
            </w:r>
            <w:r w:rsidR="009318CA" w:rsidRPr="00A33FA2">
              <w:t>)</w:t>
            </w:r>
          </w:p>
          <w:p w14:paraId="54736710" w14:textId="7B56FA13" w:rsidR="009318CA" w:rsidRPr="0075383A" w:rsidRDefault="00BF0608" w:rsidP="00BF0608">
            <w:pPr>
              <w:pStyle w:val="Tabletextleft"/>
            </w:pPr>
            <w:r>
              <w:t xml:space="preserve">- </w:t>
            </w:r>
            <w:r w:rsidR="009318CA" w:rsidRPr="0075383A">
              <w:t>Gov</w:t>
            </w:r>
            <w:r w:rsidR="00A936FB">
              <w:t>ernmen</w:t>
            </w:r>
            <w:r w:rsidR="00BE0737">
              <w:t>t l</w:t>
            </w:r>
            <w:r w:rsidR="009318CA" w:rsidRPr="0075383A">
              <w:t xml:space="preserve">and contribution </w:t>
            </w:r>
            <w:r w:rsidR="009318CA">
              <w:t>per apartment</w:t>
            </w:r>
          </w:p>
          <w:p w14:paraId="6A45B01E" w14:textId="278D91D0" w:rsidR="009318CA" w:rsidRPr="0075383A" w:rsidRDefault="00BF0608" w:rsidP="00BF0608">
            <w:pPr>
              <w:pStyle w:val="Tabletextleft"/>
            </w:pPr>
            <w:r>
              <w:t xml:space="preserve">- </w:t>
            </w:r>
            <w:r w:rsidR="00C821EF">
              <w:t>Gov</w:t>
            </w:r>
            <w:r w:rsidR="00A936FB">
              <w:t>ernmen</w:t>
            </w:r>
            <w:r w:rsidR="00C821EF">
              <w:t>t or CHP</w:t>
            </w:r>
            <w:r w:rsidR="009318CA" w:rsidRPr="0075383A">
              <w:t xml:space="preserve"> </w:t>
            </w:r>
            <w:r w:rsidR="00BE0737">
              <w:t>e</w:t>
            </w:r>
            <w:r w:rsidR="009318CA" w:rsidRPr="0075383A">
              <w:t xml:space="preserve">quity contribution </w:t>
            </w:r>
            <w:r w:rsidR="009318CA">
              <w:t>per apartment</w:t>
            </w:r>
          </w:p>
          <w:p w14:paraId="0E8270E7" w14:textId="1B26E130" w:rsidR="009318CA" w:rsidRPr="0075383A" w:rsidRDefault="00BF0608" w:rsidP="00BF0608">
            <w:pPr>
              <w:pStyle w:val="Tabletextleft"/>
              <w:rPr>
                <w:i/>
              </w:rPr>
            </w:pPr>
            <w:r>
              <w:t xml:space="preserve">- </w:t>
            </w:r>
            <w:r w:rsidR="009318CA" w:rsidRPr="0075383A">
              <w:t>Debt</w:t>
            </w:r>
            <w:r w:rsidR="009318CA" w:rsidRPr="00EB1664">
              <w:t xml:space="preserve"> f</w:t>
            </w:r>
            <w:r w:rsidR="009318CA" w:rsidRPr="0075383A">
              <w:t>or construction</w:t>
            </w:r>
            <w:r w:rsidR="009318CA">
              <w:t xml:space="preserve"> per apartment</w:t>
            </w:r>
          </w:p>
        </w:tc>
        <w:tc>
          <w:tcPr>
            <w:tcW w:w="1417" w:type="dxa"/>
          </w:tcPr>
          <w:p w14:paraId="4343E7AA" w14:textId="6D4497D2" w:rsidR="009318CA" w:rsidRDefault="00616605" w:rsidP="003F36CE">
            <w:pPr>
              <w:pStyle w:val="Tabletextleft"/>
              <w:jc w:val="left"/>
            </w:pPr>
            <w:r>
              <w:t>$275,000</w:t>
            </w:r>
            <w:r w:rsidR="00BF0608">
              <w:br/>
            </w:r>
          </w:p>
          <w:p w14:paraId="1F1B3BFA" w14:textId="273286C1" w:rsidR="009318CA" w:rsidRPr="00EB1664" w:rsidRDefault="009318CA" w:rsidP="003F36CE">
            <w:pPr>
              <w:pStyle w:val="Tabletextleft"/>
              <w:jc w:val="left"/>
            </w:pPr>
            <w:r>
              <w:t>$</w:t>
            </w:r>
            <w:r w:rsidR="00616605">
              <w:t>35,000</w:t>
            </w:r>
          </w:p>
          <w:p w14:paraId="72D8A9C7" w14:textId="32109A11" w:rsidR="009318CA" w:rsidRPr="00EB1664" w:rsidRDefault="00616605" w:rsidP="003F36CE">
            <w:pPr>
              <w:pStyle w:val="Tabletextleft"/>
              <w:jc w:val="left"/>
            </w:pPr>
            <w:r>
              <w:t>$15,000</w:t>
            </w:r>
          </w:p>
          <w:p w14:paraId="7CF62DD3" w14:textId="0E9E45DB" w:rsidR="009318CA" w:rsidRPr="00EF35A4" w:rsidRDefault="009318CA" w:rsidP="003F36CE">
            <w:pPr>
              <w:pStyle w:val="Tabletextleft"/>
              <w:jc w:val="left"/>
            </w:pPr>
            <w:r w:rsidRPr="00EB1664">
              <w:t>$225</w:t>
            </w:r>
            <w:r w:rsidR="00616605">
              <w:t>,000</w:t>
            </w:r>
          </w:p>
        </w:tc>
      </w:tr>
    </w:tbl>
    <w:p w14:paraId="0B6486C6" w14:textId="77777777" w:rsidR="009318CA" w:rsidRPr="0075383A" w:rsidRDefault="009318CA" w:rsidP="00BF0608">
      <w:pPr>
        <w:pStyle w:val="Singleparagraph"/>
      </w:pPr>
    </w:p>
    <w:tbl>
      <w:tblPr>
        <w:tblStyle w:val="TableGrid"/>
        <w:tblW w:w="0" w:type="auto"/>
        <w:tblInd w:w="675" w:type="dxa"/>
        <w:tblLook w:val="04A0" w:firstRow="1" w:lastRow="0" w:firstColumn="1" w:lastColumn="0" w:noHBand="0" w:noVBand="1"/>
      </w:tblPr>
      <w:tblGrid>
        <w:gridCol w:w="7088"/>
        <w:gridCol w:w="1417"/>
      </w:tblGrid>
      <w:tr w:rsidR="009318CA" w14:paraId="21430BA7" w14:textId="77777777" w:rsidTr="003F36CE">
        <w:trPr>
          <w:trHeight w:val="882"/>
        </w:trPr>
        <w:tc>
          <w:tcPr>
            <w:tcW w:w="7088" w:type="dxa"/>
          </w:tcPr>
          <w:p w14:paraId="2A92FECC" w14:textId="5B002BC3" w:rsidR="009318CA" w:rsidRPr="00A33FA2" w:rsidRDefault="00616605" w:rsidP="00BF0608">
            <w:pPr>
              <w:pStyle w:val="Tabletextleft"/>
            </w:pPr>
            <w:r>
              <w:rPr>
                <w:b/>
              </w:rPr>
              <w:t>Model B: Private d</w:t>
            </w:r>
            <w:r w:rsidR="009318CA">
              <w:rPr>
                <w:b/>
              </w:rPr>
              <w:t xml:space="preserve">eveloper </w:t>
            </w:r>
            <w:r w:rsidR="009318CA" w:rsidRPr="00A33FA2">
              <w:t>(15% of new supply</w:t>
            </w:r>
            <w:r w:rsidR="009318CA">
              <w:t xml:space="preserve"> dedicated to affordable housing </w:t>
            </w:r>
            <w:r w:rsidR="009318CA" w:rsidRPr="00A33FA2">
              <w:t>)</w:t>
            </w:r>
          </w:p>
          <w:p w14:paraId="644599AB" w14:textId="3CD07C32" w:rsidR="009318CA" w:rsidRPr="00103C76" w:rsidRDefault="009318CA" w:rsidP="00BF0608">
            <w:pPr>
              <w:pStyle w:val="Tabletextleft"/>
              <w:rPr>
                <w:i/>
              </w:rPr>
            </w:pPr>
            <w:r>
              <w:t>Planning incentives and mandated affordable housing targets on gov</w:t>
            </w:r>
            <w:r w:rsidR="00A936FB">
              <w:t>ernmen</w:t>
            </w:r>
            <w:r>
              <w:t xml:space="preserve">t land developed by the private sector which require </w:t>
            </w:r>
            <w:r w:rsidR="00C26112">
              <w:rPr>
                <w:b/>
              </w:rPr>
              <w:t>15</w:t>
            </w:r>
            <w:r w:rsidR="00A936FB">
              <w:rPr>
                <w:b/>
              </w:rPr>
              <w:t xml:space="preserve"> </w:t>
            </w:r>
            <w:r w:rsidR="00C26112">
              <w:rPr>
                <w:b/>
              </w:rPr>
              <w:t>per cent</w:t>
            </w:r>
            <w:r>
              <w:t xml:space="preserve"> of new supply to be sold to Affordable Housing Providers </w:t>
            </w:r>
            <w:r w:rsidRPr="00910350">
              <w:rPr>
                <w:i/>
              </w:rPr>
              <w:t>at construction cost</w:t>
            </w:r>
            <w:r>
              <w:t xml:space="preserve"> (not market value)</w:t>
            </w:r>
          </w:p>
        </w:tc>
        <w:tc>
          <w:tcPr>
            <w:tcW w:w="1417" w:type="dxa"/>
          </w:tcPr>
          <w:p w14:paraId="771CA717" w14:textId="33DDAE27" w:rsidR="009318CA" w:rsidRPr="00EF35A4" w:rsidRDefault="009318CA" w:rsidP="003F36CE">
            <w:pPr>
              <w:pStyle w:val="Tabletextleft"/>
              <w:jc w:val="left"/>
            </w:pPr>
            <w:r w:rsidRPr="00A75BE3">
              <w:t>$</w:t>
            </w:r>
            <w:r w:rsidRPr="00910350">
              <w:t>250</w:t>
            </w:r>
            <w:r w:rsidR="00616605">
              <w:t xml:space="preserve">,000 </w:t>
            </w:r>
            <w:r w:rsidRPr="00910350">
              <w:t>-</w:t>
            </w:r>
            <w:r w:rsidR="00616605">
              <w:t xml:space="preserve"> $275,000</w:t>
            </w:r>
          </w:p>
        </w:tc>
      </w:tr>
    </w:tbl>
    <w:p w14:paraId="2422C788" w14:textId="77777777" w:rsidR="009318CA" w:rsidRDefault="009318CA" w:rsidP="009318CA">
      <w:pPr>
        <w:spacing w:after="60"/>
      </w:pPr>
    </w:p>
    <w:p w14:paraId="7A3AE840" w14:textId="5ADA8A30" w:rsidR="009318CA" w:rsidRPr="00A52721" w:rsidRDefault="009318CA" w:rsidP="00BF0608">
      <w:pPr>
        <w:tabs>
          <w:tab w:val="left" w:pos="567"/>
        </w:tabs>
        <w:spacing w:after="160" w:line="259" w:lineRule="auto"/>
        <w:ind w:left="567" w:hanging="567"/>
        <w:rPr>
          <w:b/>
          <w:color w:val="0070C0"/>
        </w:rPr>
      </w:pPr>
      <w:r>
        <w:rPr>
          <w:b/>
        </w:rPr>
        <w:t>2.</w:t>
      </w:r>
      <w:r w:rsidR="00BF0608">
        <w:rPr>
          <w:b/>
        </w:rPr>
        <w:tab/>
      </w:r>
      <w:r>
        <w:rPr>
          <w:b/>
        </w:rPr>
        <w:t xml:space="preserve">Operating Phase </w:t>
      </w:r>
      <w:r w:rsidRPr="00A52721">
        <w:rPr>
          <w:b/>
          <w:color w:val="0070C0"/>
        </w:rPr>
        <w:t>(asset hold stage)</w:t>
      </w:r>
    </w:p>
    <w:p w14:paraId="40ECDFC1" w14:textId="49E95CDB" w:rsidR="009318CA" w:rsidRDefault="00C26112" w:rsidP="00BF0608">
      <w:pPr>
        <w:spacing w:after="120"/>
        <w:ind w:left="567"/>
        <w:rPr>
          <w:i/>
        </w:rPr>
      </w:pPr>
      <w:r>
        <w:rPr>
          <w:i/>
        </w:rPr>
        <w:t>Assumes: $225,000 ‘take out’ finance at 60 per cent</w:t>
      </w:r>
      <w:r w:rsidR="009318CA" w:rsidRPr="00BC5B92">
        <w:rPr>
          <w:i/>
        </w:rPr>
        <w:t xml:space="preserve"> </w:t>
      </w:r>
      <w:r w:rsidR="00BE0737">
        <w:rPr>
          <w:i/>
        </w:rPr>
        <w:t xml:space="preserve">loan to value ratio (LVR) </w:t>
      </w:r>
      <w:r w:rsidR="009318CA" w:rsidRPr="00BC5B92">
        <w:rPr>
          <w:i/>
        </w:rPr>
        <w:t>(market value $375</w:t>
      </w:r>
      <w:r>
        <w:rPr>
          <w:i/>
        </w:rPr>
        <w:t>,000</w:t>
      </w:r>
      <w:r w:rsidR="009318CA" w:rsidRPr="00BC5B92">
        <w:rPr>
          <w:i/>
        </w:rPr>
        <w:t>) to hold and manage asset</w:t>
      </w:r>
    </w:p>
    <w:tbl>
      <w:tblPr>
        <w:tblStyle w:val="TableGrid"/>
        <w:tblW w:w="8505" w:type="dxa"/>
        <w:tblInd w:w="675" w:type="dxa"/>
        <w:tblLook w:val="04A0" w:firstRow="1" w:lastRow="0" w:firstColumn="1" w:lastColumn="0" w:noHBand="0" w:noVBand="1"/>
      </w:tblPr>
      <w:tblGrid>
        <w:gridCol w:w="3119"/>
        <w:gridCol w:w="2693"/>
        <w:gridCol w:w="2693"/>
      </w:tblGrid>
      <w:tr w:rsidR="009318CA" w14:paraId="3BA6C1C5" w14:textId="77777777" w:rsidTr="00BC33F1">
        <w:tc>
          <w:tcPr>
            <w:tcW w:w="3119" w:type="dxa"/>
            <w:shd w:val="clear" w:color="auto" w:fill="D9D9D9" w:themeFill="background1" w:themeFillShade="D9"/>
          </w:tcPr>
          <w:p w14:paraId="65712A62" w14:textId="3B3AC6C0" w:rsidR="009318CA" w:rsidRPr="0038771B" w:rsidRDefault="009318CA" w:rsidP="00BF0608">
            <w:pPr>
              <w:pStyle w:val="Tabletextleft"/>
              <w:jc w:val="left"/>
            </w:pPr>
            <w:r w:rsidRPr="00BC5B92">
              <w:t xml:space="preserve"> </w:t>
            </w:r>
          </w:p>
        </w:tc>
        <w:tc>
          <w:tcPr>
            <w:tcW w:w="2693" w:type="dxa"/>
            <w:shd w:val="clear" w:color="auto" w:fill="D9D9D9" w:themeFill="background1" w:themeFillShade="D9"/>
          </w:tcPr>
          <w:p w14:paraId="4173E391" w14:textId="4F288D1E" w:rsidR="009318CA" w:rsidRPr="00BF0608" w:rsidRDefault="009318CA" w:rsidP="00BF0608">
            <w:pPr>
              <w:pStyle w:val="Tabletextleft"/>
              <w:jc w:val="left"/>
              <w:rPr>
                <w:b/>
              </w:rPr>
            </w:pPr>
            <w:r w:rsidRPr="00BF0608">
              <w:rPr>
                <w:b/>
              </w:rPr>
              <w:t>Affordable Rental</w:t>
            </w:r>
            <w:r w:rsidR="00BF0608">
              <w:rPr>
                <w:b/>
              </w:rPr>
              <w:t xml:space="preserve"> Model</w:t>
            </w:r>
          </w:p>
          <w:p w14:paraId="15EE1615" w14:textId="69CBA874" w:rsidR="009318CA" w:rsidRPr="00EF35A4" w:rsidRDefault="009318CA" w:rsidP="00BF0608">
            <w:pPr>
              <w:pStyle w:val="Tabletextleft"/>
              <w:jc w:val="left"/>
            </w:pPr>
            <w:r w:rsidRPr="00EF35A4">
              <w:t>Assumes</w:t>
            </w:r>
            <w:r>
              <w:t xml:space="preserve"> </w:t>
            </w:r>
            <w:r w:rsidR="00C26112">
              <w:t>75%</w:t>
            </w:r>
            <w:r w:rsidRPr="00EF35A4">
              <w:t xml:space="preserve"> of market rent</w:t>
            </w:r>
            <w:r>
              <w:t xml:space="preserve"> </w:t>
            </w:r>
            <w:r w:rsidR="00C26112">
              <w:t xml:space="preserve">– </w:t>
            </w:r>
            <w:r>
              <w:t xml:space="preserve"> needing </w:t>
            </w:r>
            <w:r w:rsidRPr="00EF35A4">
              <w:t>household income of $47,500</w:t>
            </w:r>
            <w:r>
              <w:t xml:space="preserve"> at 30% of income</w:t>
            </w:r>
            <w:r>
              <w:rPr>
                <w:rStyle w:val="FootnoteReference"/>
              </w:rPr>
              <w:footnoteReference w:id="13"/>
            </w:r>
          </w:p>
        </w:tc>
        <w:tc>
          <w:tcPr>
            <w:tcW w:w="2693" w:type="dxa"/>
            <w:shd w:val="clear" w:color="auto" w:fill="D9D9D9" w:themeFill="background1" w:themeFillShade="D9"/>
          </w:tcPr>
          <w:p w14:paraId="69D1E663" w14:textId="696757A4" w:rsidR="009318CA" w:rsidRPr="00BF0608" w:rsidRDefault="009318CA" w:rsidP="00BF0608">
            <w:pPr>
              <w:pStyle w:val="Tabletextleft"/>
              <w:jc w:val="left"/>
              <w:rPr>
                <w:b/>
              </w:rPr>
            </w:pPr>
            <w:r w:rsidRPr="00BF0608">
              <w:rPr>
                <w:b/>
              </w:rPr>
              <w:t>Social Housing Rental Model</w:t>
            </w:r>
          </w:p>
          <w:p w14:paraId="34805E19" w14:textId="26299644" w:rsidR="009318CA" w:rsidRPr="008821C9" w:rsidRDefault="009318CA" w:rsidP="00BF0608">
            <w:pPr>
              <w:pStyle w:val="Tabletextleft"/>
              <w:jc w:val="left"/>
            </w:pPr>
            <w:r w:rsidRPr="00EF35A4">
              <w:t>Assu</w:t>
            </w:r>
            <w:r w:rsidR="00C26112">
              <w:t>mes $30,000 household income per</w:t>
            </w:r>
            <w:r w:rsidR="00BF0608">
              <w:t> </w:t>
            </w:r>
            <w:r w:rsidR="00C26112">
              <w:t>year</w:t>
            </w:r>
            <w:r w:rsidRPr="00EF35A4">
              <w:rPr>
                <w:rStyle w:val="FootnoteReference"/>
              </w:rPr>
              <w:footnoteReference w:id="14"/>
            </w:r>
            <w:r>
              <w:t xml:space="preserve"> paying 25% of income in rent</w:t>
            </w:r>
          </w:p>
        </w:tc>
      </w:tr>
      <w:tr w:rsidR="009318CA" w:rsidRPr="00BF0608" w14:paraId="59A71964" w14:textId="77777777" w:rsidTr="00BC33F1">
        <w:tc>
          <w:tcPr>
            <w:tcW w:w="3119" w:type="dxa"/>
            <w:shd w:val="clear" w:color="auto" w:fill="F2F2F2" w:themeFill="background1" w:themeFillShade="F2"/>
          </w:tcPr>
          <w:p w14:paraId="0764707F" w14:textId="466447FE" w:rsidR="009318CA" w:rsidRPr="00BF0608" w:rsidRDefault="00BF0608" w:rsidP="00BF0608">
            <w:pPr>
              <w:pStyle w:val="Tabletextleft"/>
              <w:rPr>
                <w:b/>
                <w:highlight w:val="yellow"/>
              </w:rPr>
            </w:pPr>
            <w:r w:rsidRPr="00BF0608">
              <w:rPr>
                <w:b/>
              </w:rPr>
              <w:t>COSTS</w:t>
            </w:r>
          </w:p>
        </w:tc>
        <w:tc>
          <w:tcPr>
            <w:tcW w:w="2693" w:type="dxa"/>
            <w:shd w:val="clear" w:color="auto" w:fill="F2F2F2" w:themeFill="background1" w:themeFillShade="F2"/>
          </w:tcPr>
          <w:p w14:paraId="333C6804" w14:textId="77777777" w:rsidR="009318CA" w:rsidRPr="00BF0608" w:rsidRDefault="009318CA" w:rsidP="00BF0608">
            <w:pPr>
              <w:pStyle w:val="Tabletextleft"/>
              <w:rPr>
                <w:b/>
                <w:highlight w:val="yellow"/>
              </w:rPr>
            </w:pPr>
          </w:p>
        </w:tc>
        <w:tc>
          <w:tcPr>
            <w:tcW w:w="2693" w:type="dxa"/>
            <w:shd w:val="clear" w:color="auto" w:fill="F2F2F2" w:themeFill="background1" w:themeFillShade="F2"/>
          </w:tcPr>
          <w:p w14:paraId="2F6F3DEA" w14:textId="77777777" w:rsidR="009318CA" w:rsidRPr="00BF0608" w:rsidRDefault="009318CA" w:rsidP="00BF0608">
            <w:pPr>
              <w:pStyle w:val="Tabletextleft"/>
              <w:rPr>
                <w:b/>
                <w:highlight w:val="yellow"/>
              </w:rPr>
            </w:pPr>
          </w:p>
        </w:tc>
      </w:tr>
      <w:tr w:rsidR="009318CA" w14:paraId="34D8F31C" w14:textId="77777777" w:rsidTr="00BF0608">
        <w:tc>
          <w:tcPr>
            <w:tcW w:w="3119" w:type="dxa"/>
          </w:tcPr>
          <w:p w14:paraId="7A85F3EE" w14:textId="1C759830" w:rsidR="009318CA" w:rsidRPr="00910350" w:rsidRDefault="009318CA" w:rsidP="00BF0608">
            <w:pPr>
              <w:pStyle w:val="Tabletextleft"/>
              <w:jc w:val="left"/>
            </w:pPr>
            <w:r w:rsidRPr="00910350">
              <w:t>Debt payments (P&amp;I, 30 y</w:t>
            </w:r>
            <w:r w:rsidR="00C26112">
              <w:t>ea</w:t>
            </w:r>
            <w:r w:rsidRPr="00910350">
              <w:t xml:space="preserve">rs, 4.5%) on $225,000 </w:t>
            </w:r>
          </w:p>
        </w:tc>
        <w:tc>
          <w:tcPr>
            <w:tcW w:w="2693" w:type="dxa"/>
          </w:tcPr>
          <w:p w14:paraId="7FEBF329" w14:textId="77777777" w:rsidR="009318CA" w:rsidRPr="00910350" w:rsidRDefault="009318CA" w:rsidP="00BF0608">
            <w:pPr>
              <w:pStyle w:val="Tabletextleft"/>
              <w:jc w:val="left"/>
            </w:pPr>
            <w:r w:rsidRPr="00910350">
              <w:t xml:space="preserve">$13,700 </w:t>
            </w:r>
          </w:p>
        </w:tc>
        <w:tc>
          <w:tcPr>
            <w:tcW w:w="2693" w:type="dxa"/>
          </w:tcPr>
          <w:p w14:paraId="19DC55EC" w14:textId="77777777" w:rsidR="009318CA" w:rsidRPr="00910350" w:rsidRDefault="009318CA" w:rsidP="00BF0608">
            <w:pPr>
              <w:pStyle w:val="Tabletextleft"/>
              <w:jc w:val="left"/>
            </w:pPr>
            <w:r w:rsidRPr="00910350">
              <w:t>$13,700</w:t>
            </w:r>
          </w:p>
        </w:tc>
      </w:tr>
      <w:tr w:rsidR="009318CA" w14:paraId="502FF624" w14:textId="77777777" w:rsidTr="00BF0608">
        <w:tc>
          <w:tcPr>
            <w:tcW w:w="3119" w:type="dxa"/>
          </w:tcPr>
          <w:p w14:paraId="01F351BE" w14:textId="77777777" w:rsidR="009318CA" w:rsidRDefault="009318CA" w:rsidP="00BF0608">
            <w:pPr>
              <w:pStyle w:val="Tabletextleft"/>
              <w:jc w:val="left"/>
            </w:pPr>
            <w:r>
              <w:t>Body Corporate</w:t>
            </w:r>
          </w:p>
        </w:tc>
        <w:tc>
          <w:tcPr>
            <w:tcW w:w="2693" w:type="dxa"/>
          </w:tcPr>
          <w:p w14:paraId="6E938DF5" w14:textId="77777777" w:rsidR="009318CA" w:rsidRDefault="009318CA" w:rsidP="00BF0608">
            <w:pPr>
              <w:pStyle w:val="Tabletextleft"/>
              <w:jc w:val="left"/>
            </w:pPr>
            <w:r>
              <w:t>$2,500</w:t>
            </w:r>
          </w:p>
        </w:tc>
        <w:tc>
          <w:tcPr>
            <w:tcW w:w="2693" w:type="dxa"/>
          </w:tcPr>
          <w:p w14:paraId="2DB9E918" w14:textId="77777777" w:rsidR="009318CA" w:rsidRDefault="009318CA" w:rsidP="00BF0608">
            <w:pPr>
              <w:pStyle w:val="Tabletextleft"/>
              <w:jc w:val="left"/>
            </w:pPr>
            <w:r>
              <w:t>$2,500</w:t>
            </w:r>
          </w:p>
        </w:tc>
      </w:tr>
      <w:tr w:rsidR="009318CA" w14:paraId="063ADCE0" w14:textId="77777777" w:rsidTr="00BF0608">
        <w:tc>
          <w:tcPr>
            <w:tcW w:w="3119" w:type="dxa"/>
          </w:tcPr>
          <w:p w14:paraId="5B02944D" w14:textId="77777777" w:rsidR="009318CA" w:rsidRDefault="009318CA" w:rsidP="00BF0608">
            <w:pPr>
              <w:pStyle w:val="Tabletextleft"/>
              <w:jc w:val="left"/>
            </w:pPr>
            <w:r>
              <w:t>Property &amp; Tenancy Management</w:t>
            </w:r>
          </w:p>
        </w:tc>
        <w:tc>
          <w:tcPr>
            <w:tcW w:w="2693" w:type="dxa"/>
          </w:tcPr>
          <w:p w14:paraId="0D0023EB" w14:textId="77777777" w:rsidR="009318CA" w:rsidRDefault="009318CA" w:rsidP="00BF0608">
            <w:pPr>
              <w:pStyle w:val="Tabletextleft"/>
              <w:jc w:val="left"/>
            </w:pPr>
            <w:r>
              <w:t>$1,900</w:t>
            </w:r>
          </w:p>
        </w:tc>
        <w:tc>
          <w:tcPr>
            <w:tcW w:w="2693" w:type="dxa"/>
          </w:tcPr>
          <w:p w14:paraId="596EAEF5" w14:textId="77777777" w:rsidR="009318CA" w:rsidRDefault="009318CA" w:rsidP="00BF0608">
            <w:pPr>
              <w:pStyle w:val="Tabletextleft"/>
              <w:jc w:val="left"/>
            </w:pPr>
            <w:r>
              <w:t>$1,900</w:t>
            </w:r>
          </w:p>
        </w:tc>
      </w:tr>
      <w:tr w:rsidR="009318CA" w14:paraId="0008E388" w14:textId="77777777" w:rsidTr="00BF0608">
        <w:tc>
          <w:tcPr>
            <w:tcW w:w="3119" w:type="dxa"/>
          </w:tcPr>
          <w:p w14:paraId="1B38381F" w14:textId="77777777" w:rsidR="009318CA" w:rsidRDefault="009318CA" w:rsidP="00BF0608">
            <w:pPr>
              <w:pStyle w:val="Tabletextleft"/>
              <w:jc w:val="left"/>
            </w:pPr>
            <w:r>
              <w:t xml:space="preserve">Maintenance </w:t>
            </w:r>
          </w:p>
        </w:tc>
        <w:tc>
          <w:tcPr>
            <w:tcW w:w="2693" w:type="dxa"/>
          </w:tcPr>
          <w:p w14:paraId="56CDC052" w14:textId="77777777" w:rsidR="009318CA" w:rsidRDefault="009318CA" w:rsidP="00BF0608">
            <w:pPr>
              <w:pStyle w:val="Tabletextleft"/>
              <w:jc w:val="left"/>
            </w:pPr>
            <w:r>
              <w:t>$750</w:t>
            </w:r>
          </w:p>
        </w:tc>
        <w:tc>
          <w:tcPr>
            <w:tcW w:w="2693" w:type="dxa"/>
          </w:tcPr>
          <w:p w14:paraId="2E57F96F" w14:textId="77777777" w:rsidR="009318CA" w:rsidRDefault="009318CA" w:rsidP="00BF0608">
            <w:pPr>
              <w:pStyle w:val="Tabletextleft"/>
              <w:jc w:val="left"/>
            </w:pPr>
            <w:r>
              <w:t>$750</w:t>
            </w:r>
          </w:p>
        </w:tc>
      </w:tr>
      <w:tr w:rsidR="009318CA" w:rsidRPr="00BF0608" w14:paraId="369E032A" w14:textId="77777777" w:rsidTr="00BF0608">
        <w:tc>
          <w:tcPr>
            <w:tcW w:w="3119" w:type="dxa"/>
          </w:tcPr>
          <w:p w14:paraId="700D8177" w14:textId="77777777" w:rsidR="009318CA" w:rsidRPr="00BF0608" w:rsidRDefault="009318CA" w:rsidP="00BF0608">
            <w:pPr>
              <w:pStyle w:val="Tabletextleft"/>
              <w:rPr>
                <w:i/>
              </w:rPr>
            </w:pPr>
            <w:r w:rsidRPr="00BF0608">
              <w:rPr>
                <w:i/>
              </w:rPr>
              <w:t>Total Costs</w:t>
            </w:r>
          </w:p>
        </w:tc>
        <w:tc>
          <w:tcPr>
            <w:tcW w:w="2693" w:type="dxa"/>
          </w:tcPr>
          <w:p w14:paraId="512CA0C0" w14:textId="77777777" w:rsidR="009318CA" w:rsidRPr="00BF0608" w:rsidRDefault="009318CA" w:rsidP="00BF0608">
            <w:pPr>
              <w:pStyle w:val="Tabletextleft"/>
              <w:rPr>
                <w:i/>
              </w:rPr>
            </w:pPr>
            <w:r w:rsidRPr="00BF0608">
              <w:rPr>
                <w:i/>
              </w:rPr>
              <w:t>$18,850</w:t>
            </w:r>
          </w:p>
        </w:tc>
        <w:tc>
          <w:tcPr>
            <w:tcW w:w="2693" w:type="dxa"/>
          </w:tcPr>
          <w:p w14:paraId="381FCA3B" w14:textId="77777777" w:rsidR="009318CA" w:rsidRPr="00BF0608" w:rsidRDefault="009318CA" w:rsidP="00BF0608">
            <w:pPr>
              <w:pStyle w:val="Tabletextleft"/>
              <w:rPr>
                <w:i/>
              </w:rPr>
            </w:pPr>
            <w:r w:rsidRPr="00BF0608">
              <w:rPr>
                <w:i/>
              </w:rPr>
              <w:t>$18,850</w:t>
            </w:r>
          </w:p>
        </w:tc>
      </w:tr>
      <w:tr w:rsidR="009318CA" w:rsidRPr="00BF0608" w14:paraId="5BCE5483" w14:textId="77777777" w:rsidTr="00BC33F1">
        <w:tc>
          <w:tcPr>
            <w:tcW w:w="3119" w:type="dxa"/>
            <w:shd w:val="clear" w:color="auto" w:fill="F2F2F2" w:themeFill="background1" w:themeFillShade="F2"/>
          </w:tcPr>
          <w:p w14:paraId="66EC31E8" w14:textId="09B99B58" w:rsidR="009318CA" w:rsidRPr="00BF0608" w:rsidRDefault="00BF0608" w:rsidP="00BF0608">
            <w:pPr>
              <w:pStyle w:val="Tabletextleft"/>
              <w:rPr>
                <w:b/>
              </w:rPr>
            </w:pPr>
            <w:r w:rsidRPr="00BF0608">
              <w:rPr>
                <w:b/>
              </w:rPr>
              <w:t>REVENUE</w:t>
            </w:r>
          </w:p>
        </w:tc>
        <w:tc>
          <w:tcPr>
            <w:tcW w:w="2693" w:type="dxa"/>
            <w:shd w:val="clear" w:color="auto" w:fill="F2F2F2" w:themeFill="background1" w:themeFillShade="F2"/>
          </w:tcPr>
          <w:p w14:paraId="0E436E58" w14:textId="77777777" w:rsidR="009318CA" w:rsidRPr="00BF0608" w:rsidRDefault="009318CA" w:rsidP="00BF0608">
            <w:pPr>
              <w:pStyle w:val="Tabletextleft"/>
              <w:rPr>
                <w:b/>
              </w:rPr>
            </w:pPr>
          </w:p>
        </w:tc>
        <w:tc>
          <w:tcPr>
            <w:tcW w:w="2693" w:type="dxa"/>
            <w:shd w:val="clear" w:color="auto" w:fill="F2F2F2" w:themeFill="background1" w:themeFillShade="F2"/>
          </w:tcPr>
          <w:p w14:paraId="4BECF05F" w14:textId="77777777" w:rsidR="009318CA" w:rsidRPr="00BF0608" w:rsidRDefault="009318CA" w:rsidP="00BF0608">
            <w:pPr>
              <w:pStyle w:val="Tabletextleft"/>
              <w:rPr>
                <w:b/>
              </w:rPr>
            </w:pPr>
          </w:p>
        </w:tc>
      </w:tr>
      <w:tr w:rsidR="009318CA" w14:paraId="5F08F4EA" w14:textId="77777777" w:rsidTr="00BF0608">
        <w:tc>
          <w:tcPr>
            <w:tcW w:w="3119" w:type="dxa"/>
          </w:tcPr>
          <w:p w14:paraId="158D03ED" w14:textId="77777777" w:rsidR="009318CA" w:rsidRDefault="009318CA" w:rsidP="00BF0608">
            <w:pPr>
              <w:pStyle w:val="Tabletextleft"/>
              <w:jc w:val="left"/>
            </w:pPr>
            <w:r>
              <w:t>Rent</w:t>
            </w:r>
          </w:p>
        </w:tc>
        <w:tc>
          <w:tcPr>
            <w:tcW w:w="2693" w:type="dxa"/>
          </w:tcPr>
          <w:p w14:paraId="5DDC68DF" w14:textId="77777777" w:rsidR="009318CA" w:rsidRDefault="009318CA" w:rsidP="00BF0608">
            <w:pPr>
              <w:pStyle w:val="Tabletextleft"/>
              <w:jc w:val="left"/>
            </w:pPr>
            <w:r>
              <w:t xml:space="preserve">$14,250 </w:t>
            </w:r>
          </w:p>
        </w:tc>
        <w:tc>
          <w:tcPr>
            <w:tcW w:w="2693" w:type="dxa"/>
          </w:tcPr>
          <w:p w14:paraId="6BB021AE" w14:textId="77777777" w:rsidR="009318CA" w:rsidRDefault="009318CA" w:rsidP="00BF0608">
            <w:pPr>
              <w:pStyle w:val="Tabletextleft"/>
              <w:jc w:val="left"/>
            </w:pPr>
            <w:r>
              <w:t>$7,500</w:t>
            </w:r>
          </w:p>
        </w:tc>
      </w:tr>
      <w:tr w:rsidR="009318CA" w14:paraId="0E009AD2" w14:textId="77777777" w:rsidTr="00BF0608">
        <w:tc>
          <w:tcPr>
            <w:tcW w:w="3119" w:type="dxa"/>
          </w:tcPr>
          <w:p w14:paraId="75A893A4" w14:textId="77777777" w:rsidR="009318CA" w:rsidRDefault="009318CA" w:rsidP="00BF0608">
            <w:pPr>
              <w:pStyle w:val="Tabletextleft"/>
              <w:jc w:val="left"/>
            </w:pPr>
            <w:r>
              <w:t>CRA</w:t>
            </w:r>
          </w:p>
        </w:tc>
        <w:tc>
          <w:tcPr>
            <w:tcW w:w="2693" w:type="dxa"/>
          </w:tcPr>
          <w:p w14:paraId="5F34E43A" w14:textId="77777777" w:rsidR="009318CA" w:rsidRDefault="009318CA" w:rsidP="00BF0608">
            <w:pPr>
              <w:pStyle w:val="Tabletextleft"/>
              <w:jc w:val="left"/>
            </w:pPr>
            <w:r>
              <w:t>$1,500</w:t>
            </w:r>
          </w:p>
        </w:tc>
        <w:tc>
          <w:tcPr>
            <w:tcW w:w="2693" w:type="dxa"/>
          </w:tcPr>
          <w:p w14:paraId="0B246342" w14:textId="77777777" w:rsidR="009318CA" w:rsidRDefault="009318CA" w:rsidP="00BF0608">
            <w:pPr>
              <w:pStyle w:val="Tabletextleft"/>
              <w:jc w:val="left"/>
            </w:pPr>
            <w:r>
              <w:t>$2,500</w:t>
            </w:r>
          </w:p>
        </w:tc>
      </w:tr>
      <w:tr w:rsidR="009318CA" w:rsidRPr="00BF0608" w14:paraId="76441748" w14:textId="77777777" w:rsidTr="00BF0608">
        <w:tc>
          <w:tcPr>
            <w:tcW w:w="3119" w:type="dxa"/>
          </w:tcPr>
          <w:p w14:paraId="48401479" w14:textId="77777777" w:rsidR="009318CA" w:rsidRPr="00BF0608" w:rsidRDefault="009318CA" w:rsidP="00BF0608">
            <w:pPr>
              <w:pStyle w:val="Tabletextleft"/>
              <w:rPr>
                <w:i/>
              </w:rPr>
            </w:pPr>
            <w:r w:rsidRPr="00BF0608">
              <w:rPr>
                <w:i/>
              </w:rPr>
              <w:t>Total Revenue</w:t>
            </w:r>
          </w:p>
        </w:tc>
        <w:tc>
          <w:tcPr>
            <w:tcW w:w="2693" w:type="dxa"/>
          </w:tcPr>
          <w:p w14:paraId="5D5E49E9" w14:textId="77777777" w:rsidR="009318CA" w:rsidRPr="00BF0608" w:rsidRDefault="009318CA" w:rsidP="00BF0608">
            <w:pPr>
              <w:pStyle w:val="Tabletextleft"/>
              <w:rPr>
                <w:i/>
              </w:rPr>
            </w:pPr>
            <w:r w:rsidRPr="00BF0608">
              <w:rPr>
                <w:i/>
              </w:rPr>
              <w:t>$15,750</w:t>
            </w:r>
          </w:p>
        </w:tc>
        <w:tc>
          <w:tcPr>
            <w:tcW w:w="2693" w:type="dxa"/>
          </w:tcPr>
          <w:p w14:paraId="05465553" w14:textId="77777777" w:rsidR="009318CA" w:rsidRPr="00BF0608" w:rsidRDefault="009318CA" w:rsidP="00BF0608">
            <w:pPr>
              <w:pStyle w:val="Tabletextleft"/>
              <w:rPr>
                <w:i/>
              </w:rPr>
            </w:pPr>
            <w:r w:rsidRPr="00BF0608">
              <w:rPr>
                <w:i/>
              </w:rPr>
              <w:t>$10,000</w:t>
            </w:r>
          </w:p>
        </w:tc>
      </w:tr>
      <w:tr w:rsidR="009318CA" w:rsidRPr="00BF0608" w14:paraId="6910C1E8" w14:textId="77777777" w:rsidTr="00BF0608">
        <w:tc>
          <w:tcPr>
            <w:tcW w:w="3119" w:type="dxa"/>
            <w:shd w:val="clear" w:color="auto" w:fill="D9D9D9" w:themeFill="background1" w:themeFillShade="D9"/>
          </w:tcPr>
          <w:p w14:paraId="2D3E25F6" w14:textId="3EC6CB8F" w:rsidR="009318CA" w:rsidRPr="00BF0608" w:rsidRDefault="00BF0608" w:rsidP="00BF0608">
            <w:pPr>
              <w:pStyle w:val="Tabletextleft"/>
              <w:rPr>
                <w:b/>
              </w:rPr>
            </w:pPr>
            <w:r w:rsidRPr="00BF0608">
              <w:rPr>
                <w:b/>
              </w:rPr>
              <w:t>SHORTFALL</w:t>
            </w:r>
          </w:p>
        </w:tc>
        <w:tc>
          <w:tcPr>
            <w:tcW w:w="2693" w:type="dxa"/>
            <w:shd w:val="clear" w:color="auto" w:fill="D9D9D9" w:themeFill="background1" w:themeFillShade="D9"/>
          </w:tcPr>
          <w:p w14:paraId="44430B22" w14:textId="60DB2996" w:rsidR="009318CA" w:rsidRPr="00BF0608" w:rsidRDefault="00BF0608" w:rsidP="00BF0608">
            <w:pPr>
              <w:pStyle w:val="Tabletextleft"/>
              <w:rPr>
                <w:b/>
              </w:rPr>
            </w:pPr>
            <w:r w:rsidRPr="00BF0608">
              <w:rPr>
                <w:b/>
              </w:rPr>
              <w:t>$3,100</w:t>
            </w:r>
          </w:p>
        </w:tc>
        <w:tc>
          <w:tcPr>
            <w:tcW w:w="2693" w:type="dxa"/>
            <w:shd w:val="clear" w:color="auto" w:fill="D9D9D9" w:themeFill="background1" w:themeFillShade="D9"/>
          </w:tcPr>
          <w:p w14:paraId="5B0EFD1A" w14:textId="28E41F57" w:rsidR="009318CA" w:rsidRPr="00BF0608" w:rsidRDefault="00BF0608" w:rsidP="00BF0608">
            <w:pPr>
              <w:pStyle w:val="Tabletextleft"/>
              <w:rPr>
                <w:b/>
              </w:rPr>
            </w:pPr>
            <w:r w:rsidRPr="00BF0608">
              <w:rPr>
                <w:b/>
              </w:rPr>
              <w:t>$8,850</w:t>
            </w:r>
          </w:p>
        </w:tc>
      </w:tr>
    </w:tbl>
    <w:p w14:paraId="6726DF69" w14:textId="77777777" w:rsidR="00BF0608" w:rsidRDefault="00BF0608" w:rsidP="00BF0608">
      <w:pPr>
        <w:pStyle w:val="Singleparagraph"/>
      </w:pPr>
    </w:p>
    <w:p w14:paraId="2562C7BC" w14:textId="77777777" w:rsidR="003F36CE" w:rsidRDefault="003F36CE">
      <w:pPr>
        <w:spacing w:after="200" w:line="276" w:lineRule="auto"/>
        <w:jc w:val="left"/>
      </w:pPr>
      <w:r>
        <w:br w:type="page"/>
      </w:r>
    </w:p>
    <w:p w14:paraId="26B301D4" w14:textId="41E911F5" w:rsidR="0052218E" w:rsidRDefault="0052218E" w:rsidP="00BF0608">
      <w:r w:rsidRPr="008D3785">
        <w:t xml:space="preserve">In relation to the funding gap in the operating phase, these projects, along with </w:t>
      </w:r>
      <w:r>
        <w:t xml:space="preserve">basic </w:t>
      </w:r>
      <w:r w:rsidRPr="008D3785">
        <w:t>indicative modelling shows that even</w:t>
      </w:r>
      <w:r>
        <w:t xml:space="preserve"> </w:t>
      </w:r>
      <w:r w:rsidR="00BE0737">
        <w:t>under</w:t>
      </w:r>
      <w:r w:rsidRPr="008D3785">
        <w:t xml:space="preserve"> an </w:t>
      </w:r>
      <w:r w:rsidRPr="00F74480">
        <w:rPr>
          <w:b/>
        </w:rPr>
        <w:t>affordable rental</w:t>
      </w:r>
      <w:r w:rsidRPr="008D3785">
        <w:t xml:space="preserve"> model, focussed on tenants earning </w:t>
      </w:r>
      <w:r>
        <w:t>an average of $47,500 per year (at a level</w:t>
      </w:r>
      <w:r w:rsidRPr="008D3785">
        <w:t xml:space="preserve"> above minimum wages and pensions</w:t>
      </w:r>
      <w:r>
        <w:t>),</w:t>
      </w:r>
      <w:r w:rsidRPr="008D3785">
        <w:t xml:space="preserve"> an operating subsidy of </w:t>
      </w:r>
      <w:r w:rsidRPr="00F74480">
        <w:rPr>
          <w:b/>
        </w:rPr>
        <w:t>$3,</w:t>
      </w:r>
      <w:r>
        <w:rPr>
          <w:b/>
        </w:rPr>
        <w:t>1</w:t>
      </w:r>
      <w:r w:rsidRPr="00F74480">
        <w:rPr>
          <w:b/>
        </w:rPr>
        <w:t>00</w:t>
      </w:r>
      <w:r w:rsidR="00BF0608">
        <w:rPr>
          <w:b/>
        </w:rPr>
        <w:t> </w:t>
      </w:r>
      <w:r w:rsidRPr="00F74480">
        <w:rPr>
          <w:b/>
        </w:rPr>
        <w:t>per dwelling per year</w:t>
      </w:r>
      <w:r>
        <w:rPr>
          <w:b/>
        </w:rPr>
        <w:t xml:space="preserve"> </w:t>
      </w:r>
      <w:r>
        <w:t>is required</w:t>
      </w:r>
      <w:r w:rsidRPr="008D3785">
        <w:t xml:space="preserve">. </w:t>
      </w:r>
    </w:p>
    <w:p w14:paraId="3C59F14A" w14:textId="77777777" w:rsidR="0052218E" w:rsidRDefault="0052218E" w:rsidP="0052218E">
      <w:pPr>
        <w:spacing w:after="120"/>
      </w:pPr>
      <w:r w:rsidRPr="008D3785">
        <w:lastRenderedPageBreak/>
        <w:t xml:space="preserve">When considering the funding gap for </w:t>
      </w:r>
      <w:r>
        <w:t>the general</w:t>
      </w:r>
      <w:r w:rsidRPr="008D3785">
        <w:t xml:space="preserve"> </w:t>
      </w:r>
      <w:r w:rsidRPr="00F74480">
        <w:rPr>
          <w:b/>
        </w:rPr>
        <w:t>social housing</w:t>
      </w:r>
      <w:r w:rsidRPr="008D3785">
        <w:t xml:space="preserve"> cohort (people in the bottom income quintile</w:t>
      </w:r>
      <w:r>
        <w:t>, earning around $30,000 per year and paying 25 per cent of income in rent</w:t>
      </w:r>
      <w:r w:rsidRPr="008D3785">
        <w:t xml:space="preserve">) the required operational subsidy deepens to be </w:t>
      </w:r>
      <w:r w:rsidRPr="00F74480">
        <w:rPr>
          <w:b/>
        </w:rPr>
        <w:t>$</w:t>
      </w:r>
      <w:r>
        <w:rPr>
          <w:b/>
        </w:rPr>
        <w:t>8</w:t>
      </w:r>
      <w:r w:rsidRPr="00F74480">
        <w:rPr>
          <w:b/>
        </w:rPr>
        <w:t>,</w:t>
      </w:r>
      <w:r>
        <w:rPr>
          <w:b/>
        </w:rPr>
        <w:t>8</w:t>
      </w:r>
      <w:r w:rsidRPr="00F74480">
        <w:rPr>
          <w:b/>
        </w:rPr>
        <w:t>50 per dwelling per year.</w:t>
      </w:r>
      <w:r>
        <w:t xml:space="preserve"> </w:t>
      </w:r>
    </w:p>
    <w:p w14:paraId="50C541BA" w14:textId="77777777" w:rsidR="008F4A2A" w:rsidRDefault="008F4A2A" w:rsidP="00BC33F1">
      <w:r>
        <w:t xml:space="preserve">This translates to a funding gap of $3.1 million per thousand dwellings and $8.9 million per thousand dwellings respectively each year. </w:t>
      </w:r>
    </w:p>
    <w:p w14:paraId="618A8477" w14:textId="4857293F" w:rsidR="0052218E" w:rsidRDefault="0052218E" w:rsidP="00BC33F1">
      <w:r w:rsidRPr="008D3785">
        <w:t xml:space="preserve">This takes into account the existing ability of </w:t>
      </w:r>
      <w:r>
        <w:t>affordable housing providers</w:t>
      </w:r>
      <w:r w:rsidRPr="008D3785">
        <w:t xml:space="preserve"> to collect </w:t>
      </w:r>
      <w:r w:rsidR="00BE0737">
        <w:t>Commonwealth Rent Assistance (</w:t>
      </w:r>
      <w:r w:rsidRPr="008D3785">
        <w:t>CRA</w:t>
      </w:r>
      <w:r w:rsidR="00BE0737">
        <w:t>)</w:t>
      </w:r>
      <w:r>
        <w:t>,</w:t>
      </w:r>
      <w:r w:rsidRPr="008D3785">
        <w:t xml:space="preserve"> the benefits of scale available to larger entities</w:t>
      </w:r>
      <w:r>
        <w:t>, and a very low cost of production ($275,000 per apartment) to keep the purchase/take out costs low</w:t>
      </w:r>
      <w:r w:rsidRPr="008D3785">
        <w:t xml:space="preserve">. </w:t>
      </w:r>
      <w:r>
        <w:t xml:space="preserve">Funding for purchase/take out of the newly built apartments </w:t>
      </w:r>
      <w:r w:rsidRPr="008D3785">
        <w:t>also assumes access to long term finance at interest rates</w:t>
      </w:r>
      <w:r>
        <w:t xml:space="preserve"> of circa 4.5 per cent at 60 per cent LVR </w:t>
      </w:r>
      <w:r w:rsidRPr="008D3785">
        <w:t>and an asset base which is able to sustain such borrowing on appropriate risk terms.</w:t>
      </w:r>
      <w:r>
        <w:t xml:space="preserve"> Further detail on the capital and operating costs and revenues are provided below.</w:t>
      </w:r>
    </w:p>
    <w:p w14:paraId="1A08A83E" w14:textId="77777777" w:rsidR="0052218E" w:rsidRDefault="0052218E" w:rsidP="00BC33F1">
      <w:r>
        <w:t>While these are simple models based only on development in Perth, they illustrate both:</w:t>
      </w:r>
    </w:p>
    <w:p w14:paraId="592B1249" w14:textId="77777777" w:rsidR="0052218E" w:rsidRDefault="0052218E" w:rsidP="0052218E">
      <w:pPr>
        <w:pStyle w:val="Bullet"/>
        <w:spacing w:after="120"/>
      </w:pPr>
      <w:r>
        <w:t>the role governments may need to play to help facilitate the efficient creation of new assets (development/supply phase); and</w:t>
      </w:r>
    </w:p>
    <w:p w14:paraId="64696A76" w14:textId="77777777" w:rsidR="0052218E" w:rsidRDefault="0052218E" w:rsidP="0052218E">
      <w:pPr>
        <w:pStyle w:val="Bullet"/>
        <w:spacing w:after="120"/>
      </w:pPr>
      <w:proofErr w:type="gramStart"/>
      <w:r>
        <w:t>the</w:t>
      </w:r>
      <w:proofErr w:type="gramEnd"/>
      <w:r>
        <w:t xml:space="preserve"> funding that may be needed to ensure assets are preserved in the long term for people on low incomes (operating phase).</w:t>
      </w:r>
    </w:p>
    <w:p w14:paraId="3B2618F1" w14:textId="77777777" w:rsidR="0052218E" w:rsidRPr="0075383A" w:rsidRDefault="0052218E" w:rsidP="00372A2A">
      <w:r w:rsidRPr="0075383A">
        <w:t xml:space="preserve">Both </w:t>
      </w:r>
      <w:r>
        <w:t xml:space="preserve">approaches (and others) </w:t>
      </w:r>
      <w:r w:rsidRPr="0075383A">
        <w:t>are used in WA</w:t>
      </w:r>
      <w:r>
        <w:t>. In regard to Model B, the Metropolitan Redevelopment Authority in WA requires 12 per cent affordable housing to be provided in developments within its planning precinct control areas (both on lots owned by government and on Development Applications granted on privately owned land). This provides the Housing Authority (or registered CHPs) with the option of purchasing stock at cost – well below market value – on the condition it is used in perpetuity for affordable housing.</w:t>
      </w:r>
    </w:p>
    <w:p w14:paraId="48F2B292" w14:textId="0F644407" w:rsidR="00952C56" w:rsidRPr="00DB2474" w:rsidRDefault="00A8716B" w:rsidP="00372A2A">
      <w:r w:rsidRPr="00A8716B">
        <w:rPr>
          <w:i/>
        </w:rPr>
        <w:t xml:space="preserve">Chapter </w:t>
      </w:r>
      <w:r w:rsidR="003E3FC8">
        <w:rPr>
          <w:i/>
        </w:rPr>
        <w:t>3</w:t>
      </w:r>
      <w:r>
        <w:rPr>
          <w:i/>
        </w:rPr>
        <w:t xml:space="preserve"> </w:t>
      </w:r>
      <w:r>
        <w:t xml:space="preserve">outlines some of the complementary reforms and measures which can be undertaken by governments in order to address the funding gap. </w:t>
      </w:r>
    </w:p>
    <w:p w14:paraId="573CA8A8" w14:textId="77777777" w:rsidR="006D459B" w:rsidRDefault="006D459B">
      <w:pPr>
        <w:spacing w:after="200" w:line="276" w:lineRule="auto"/>
        <w:rPr>
          <w:rFonts w:ascii="Calibri" w:eastAsiaTheme="majorEastAsia" w:hAnsi="Calibri" w:cstheme="majorBidi"/>
          <w:bCs/>
          <w:color w:val="246373" w:themeColor="accent6" w:themeShade="BF"/>
          <w:spacing w:val="4"/>
          <w:sz w:val="40"/>
          <w:szCs w:val="28"/>
        </w:rPr>
      </w:pPr>
      <w:r>
        <w:br w:type="page"/>
      </w:r>
    </w:p>
    <w:p w14:paraId="4E3ADD7F" w14:textId="6AE892A1" w:rsidR="003E3FC8" w:rsidRPr="00131104" w:rsidRDefault="003E3FC8" w:rsidP="00BC33F1">
      <w:pPr>
        <w:pStyle w:val="Heading1"/>
      </w:pPr>
      <w:bookmarkStart w:id="86" w:name="_Toc487814950"/>
      <w:bookmarkStart w:id="87" w:name="_Toc487814992"/>
      <w:bookmarkStart w:id="88" w:name="_Toc487815034"/>
      <w:bookmarkStart w:id="89" w:name="_Toc487815076"/>
      <w:bookmarkStart w:id="90" w:name="_Toc487815117"/>
      <w:bookmarkStart w:id="91" w:name="_Toc487814951"/>
      <w:bookmarkStart w:id="92" w:name="_Toc487814993"/>
      <w:bookmarkStart w:id="93" w:name="_Toc487815035"/>
      <w:bookmarkStart w:id="94" w:name="_Toc487815077"/>
      <w:bookmarkStart w:id="95" w:name="_Toc487815118"/>
      <w:bookmarkStart w:id="96" w:name="_Toc487814952"/>
      <w:bookmarkStart w:id="97" w:name="_Toc487814994"/>
      <w:bookmarkStart w:id="98" w:name="_Toc487815036"/>
      <w:bookmarkStart w:id="99" w:name="_Toc487815078"/>
      <w:bookmarkStart w:id="100" w:name="_Toc487815119"/>
      <w:bookmarkStart w:id="101" w:name="_Toc487814953"/>
      <w:bookmarkStart w:id="102" w:name="_Toc487814995"/>
      <w:bookmarkStart w:id="103" w:name="_Toc487815037"/>
      <w:bookmarkStart w:id="104" w:name="_Toc487815079"/>
      <w:bookmarkStart w:id="105" w:name="_Toc487815120"/>
      <w:bookmarkStart w:id="106" w:name="_Toc487814954"/>
      <w:bookmarkStart w:id="107" w:name="_Toc487814996"/>
      <w:bookmarkStart w:id="108" w:name="_Toc487815038"/>
      <w:bookmarkStart w:id="109" w:name="_Toc487815080"/>
      <w:bookmarkStart w:id="110" w:name="_Toc487815121"/>
      <w:bookmarkStart w:id="111" w:name="_Toc487814960"/>
      <w:bookmarkStart w:id="112" w:name="_Toc487815002"/>
      <w:bookmarkStart w:id="113" w:name="_Toc487815044"/>
      <w:bookmarkStart w:id="114" w:name="_Toc487815086"/>
      <w:bookmarkStart w:id="115" w:name="_Toc487815127"/>
      <w:bookmarkStart w:id="116" w:name="_Toc487814961"/>
      <w:bookmarkStart w:id="117" w:name="_Toc487815003"/>
      <w:bookmarkStart w:id="118" w:name="_Toc487815045"/>
      <w:bookmarkStart w:id="119" w:name="_Toc487815087"/>
      <w:bookmarkStart w:id="120" w:name="_Toc487815128"/>
      <w:bookmarkStart w:id="121" w:name="_Toc487814963"/>
      <w:bookmarkStart w:id="122" w:name="_Toc487815005"/>
      <w:bookmarkStart w:id="123" w:name="_Toc487815047"/>
      <w:bookmarkStart w:id="124" w:name="_Toc487815089"/>
      <w:bookmarkStart w:id="125" w:name="_Toc487815130"/>
      <w:bookmarkStart w:id="126" w:name="_Toc487814965"/>
      <w:bookmarkStart w:id="127" w:name="_Toc487815007"/>
      <w:bookmarkStart w:id="128" w:name="_Toc487815049"/>
      <w:bookmarkStart w:id="129" w:name="_Toc487815091"/>
      <w:bookmarkStart w:id="130" w:name="_Toc487815132"/>
      <w:bookmarkStart w:id="131" w:name="_Toc487814966"/>
      <w:bookmarkStart w:id="132" w:name="_Toc487815008"/>
      <w:bookmarkStart w:id="133" w:name="_Toc487815050"/>
      <w:bookmarkStart w:id="134" w:name="_Toc487815092"/>
      <w:bookmarkStart w:id="135" w:name="_Toc487815133"/>
      <w:bookmarkStart w:id="136" w:name="_Toc487814967"/>
      <w:bookmarkStart w:id="137" w:name="_Toc487815009"/>
      <w:bookmarkStart w:id="138" w:name="_Toc487815051"/>
      <w:bookmarkStart w:id="139" w:name="_Toc487815093"/>
      <w:bookmarkStart w:id="140" w:name="_Toc487815134"/>
      <w:bookmarkStart w:id="141" w:name="_Toc485750947"/>
      <w:bookmarkStart w:id="142" w:name="_Toc487814099"/>
      <w:bookmarkStart w:id="143" w:name="_Toc485750943"/>
      <w:bookmarkStart w:id="144" w:name="_Toc487814095"/>
      <w:bookmarkStart w:id="145" w:name="_Toc49384896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lastRenderedPageBreak/>
        <w:t>3.</w:t>
      </w:r>
      <w:r w:rsidR="00BC33F1">
        <w:tab/>
      </w:r>
      <w:r>
        <w:t xml:space="preserve">Complementary reforms to develop the capacity and scale </w:t>
      </w:r>
      <w:r w:rsidRPr="00BC33F1">
        <w:t>of</w:t>
      </w:r>
      <w:r>
        <w:t xml:space="preserve"> the community housing sector</w:t>
      </w:r>
      <w:bookmarkEnd w:id="141"/>
      <w:bookmarkEnd w:id="142"/>
      <w:bookmarkEnd w:id="145"/>
    </w:p>
    <w:p w14:paraId="4350292D" w14:textId="77777777" w:rsidR="003E3FC8" w:rsidRDefault="003E3FC8" w:rsidP="00372A2A">
      <w:r>
        <w:t xml:space="preserve">While the bond aggregator will assist with providing cheaper and longer-term financing to community housing providers, complementary reforms are required to ensure growth in the stock of affordable housing. </w:t>
      </w:r>
    </w:p>
    <w:p w14:paraId="75488D98" w14:textId="35BDBE52" w:rsidR="003E3FC8" w:rsidRDefault="003E3FC8" w:rsidP="00372A2A">
      <w:r>
        <w:t xml:space="preserve">In order to grow the stock of affordable housing, all levels of government need to consider and implement further reforms, particularly those that address the funding gap. The most promising of these reforms can be broadly split into a better use of current social and affordable housing assets (including better use of </w:t>
      </w:r>
      <w:r w:rsidRPr="006378F9">
        <w:t xml:space="preserve">land and dwelling assets currently </w:t>
      </w:r>
      <w:r>
        <w:t>owned by governments, such as through inclusionary zoning, stock transfers to CHPs</w:t>
      </w:r>
      <w:r w:rsidR="006257F4">
        <w:t>, supporting build-to-rent models</w:t>
      </w:r>
      <w:r>
        <w:t xml:space="preserve"> and the use of affordable housing targets or levies) and government subsidies (such as incentives for affordable housing and potential reform to </w:t>
      </w:r>
      <w:r w:rsidR="00801839">
        <w:t>CRA</w:t>
      </w:r>
      <w:r>
        <w:t xml:space="preserve">). </w:t>
      </w:r>
    </w:p>
    <w:p w14:paraId="7B6CEFC9" w14:textId="77777777" w:rsidR="003E3FC8" w:rsidRDefault="003E3FC8" w:rsidP="00372A2A">
      <w:r>
        <w:t xml:space="preserve">These reforms are each important in their own right because they have the capacity to drive growth in the sector. They would also create a pipeline of deals for the bond aggregator which would in turn accentuate the benefits of the reforms, and drive further improvements and efficiencies in the sector. </w:t>
      </w:r>
    </w:p>
    <w:p w14:paraId="1D37DDB2" w14:textId="77777777" w:rsidR="003E3FC8" w:rsidRDefault="003E3FC8" w:rsidP="00372A2A">
      <w:r>
        <w:t>There are also costs associated with these reforms. To address the funding gap (and make the provision of housing at sub-market rents more attractive to private investors), the sector will require greater contributions from all levels of government (and, by implication, taxpayers) or the private sector. Since each of these reforms allocates the cost burden differently, pursuing a combination of these reforms not only increases the likelihood of growth in the sector, but ensures that the costs of achieving meaningful change are spread widely.</w:t>
      </w:r>
    </w:p>
    <w:p w14:paraId="23BB2759" w14:textId="4D7F0277" w:rsidR="00100FF1" w:rsidRDefault="00100FF1" w:rsidP="00372A2A">
      <w:r w:rsidRPr="00002E5B">
        <w:t xml:space="preserve">The reforms in this chapter comprise a non-exhaustive survey of the ways that a jurisdiction might choose to address the funding gap. Since they have different priorities, preferred approaches and policy challenges, there is likely to be some variation in the actual reforms </w:t>
      </w:r>
      <w:r w:rsidR="00AD044E" w:rsidRPr="00002E5B">
        <w:t>that jurisdictions may choose to pursue.</w:t>
      </w:r>
    </w:p>
    <w:p w14:paraId="0340A9E5" w14:textId="77777777" w:rsidR="003E3FC8" w:rsidRPr="001B39B3" w:rsidRDefault="003E3FC8" w:rsidP="003E3FC8">
      <w:pPr>
        <w:pStyle w:val="Heading2"/>
      </w:pPr>
      <w:bookmarkStart w:id="146" w:name="_Toc485750948"/>
      <w:bookmarkStart w:id="147" w:name="_Toc487814100"/>
      <w:bookmarkStart w:id="148" w:name="_Toc493848965"/>
      <w:r w:rsidRPr="001B39B3">
        <w:t xml:space="preserve">Better use of </w:t>
      </w:r>
      <w:r>
        <w:t>social and affordable housing assets</w:t>
      </w:r>
      <w:bookmarkEnd w:id="146"/>
      <w:bookmarkEnd w:id="147"/>
      <w:bookmarkEnd w:id="148"/>
    </w:p>
    <w:p w14:paraId="62C25A74" w14:textId="77777777" w:rsidR="003E3FC8" w:rsidRDefault="003E3FC8" w:rsidP="003E3FC8">
      <w:pPr>
        <w:pStyle w:val="Heading3"/>
      </w:pPr>
      <w:r>
        <w:t>Regeneration of public housing stock</w:t>
      </w:r>
    </w:p>
    <w:p w14:paraId="5515110C" w14:textId="77777777" w:rsidR="003E3FC8" w:rsidRPr="001B39B3" w:rsidRDefault="003E3FC8" w:rsidP="00372A2A">
      <w:pPr>
        <w:rPr>
          <w:rFonts w:eastAsia="Calibri"/>
        </w:rPr>
      </w:pPr>
      <w:r w:rsidRPr="001B39B3">
        <w:rPr>
          <w:rFonts w:eastAsia="Calibri"/>
        </w:rPr>
        <w:t xml:space="preserve">States and </w:t>
      </w:r>
      <w:r>
        <w:rPr>
          <w:rFonts w:eastAsia="Calibri"/>
        </w:rPr>
        <w:t>T</w:t>
      </w:r>
      <w:r w:rsidRPr="001B39B3">
        <w:rPr>
          <w:rFonts w:eastAsia="Calibri"/>
        </w:rPr>
        <w:t xml:space="preserve">erritories continue to redevelop their existing public housing portfolios to update stock, reduce maintenance costs and ensure they are appropriate for a changing tenant mix. </w:t>
      </w:r>
      <w:r>
        <w:rPr>
          <w:rFonts w:eastAsia="Calibri"/>
        </w:rPr>
        <w:t>Moreover, r</w:t>
      </w:r>
      <w:r w:rsidRPr="001B39B3">
        <w:rPr>
          <w:rFonts w:eastAsia="Calibri"/>
        </w:rPr>
        <w:t>edevelopments are increasingly making use of mixed tenure developments.</w:t>
      </w:r>
    </w:p>
    <w:p w14:paraId="243BE256" w14:textId="6DBF0846" w:rsidR="003E3FC8" w:rsidRPr="008B6727" w:rsidRDefault="003E3FC8" w:rsidP="00372A2A">
      <w:pPr>
        <w:rPr>
          <w:rFonts w:eastAsiaTheme="minorEastAsia"/>
        </w:rPr>
      </w:pPr>
      <w:r w:rsidRPr="008B6727">
        <w:rPr>
          <w:rFonts w:eastAsia="Calibri"/>
        </w:rPr>
        <w:t xml:space="preserve">Mixed tenure developments provide an opportunity to integrate social and affordable housing into market-facing developments, while also delivering returns that can be reinvested into the </w:t>
      </w:r>
      <w:r w:rsidRPr="008B6727">
        <w:rPr>
          <w:rFonts w:eastAsiaTheme="minorEastAsia"/>
        </w:rPr>
        <w:t>acquisition and operation of social and affordable housing stock. This approach has a number of benefits including reducing the concentration of disadvantaged communities and enabling</w:t>
      </w:r>
      <w:r>
        <w:rPr>
          <w:rFonts w:eastAsiaTheme="minorEastAsia"/>
        </w:rPr>
        <w:t xml:space="preserve"> the</w:t>
      </w:r>
      <w:r w:rsidRPr="008B6727">
        <w:rPr>
          <w:rFonts w:eastAsiaTheme="minorEastAsia"/>
        </w:rPr>
        <w:t xml:space="preserve"> cross subsidisation of</w:t>
      </w:r>
      <w:r>
        <w:rPr>
          <w:rFonts w:eastAsiaTheme="minorEastAsia"/>
        </w:rPr>
        <w:t xml:space="preserve"> social and affordable</w:t>
      </w:r>
      <w:r w:rsidRPr="008B6727">
        <w:rPr>
          <w:rFonts w:eastAsiaTheme="minorEastAsia"/>
        </w:rPr>
        <w:t xml:space="preserve"> housing </w:t>
      </w:r>
      <w:r>
        <w:rPr>
          <w:rFonts w:eastAsiaTheme="minorEastAsia"/>
        </w:rPr>
        <w:t>through income from the sale or rent of market-priced housing</w:t>
      </w:r>
      <w:r w:rsidRPr="008B6727">
        <w:rPr>
          <w:rFonts w:eastAsiaTheme="minorEastAsia"/>
        </w:rPr>
        <w:t>.</w:t>
      </w:r>
    </w:p>
    <w:p w14:paraId="2866C314" w14:textId="77777777" w:rsidR="003E3FC8" w:rsidRPr="008B6727" w:rsidRDefault="003E3FC8" w:rsidP="00372A2A">
      <w:pPr>
        <w:rPr>
          <w:rFonts w:eastAsiaTheme="minorEastAsia"/>
        </w:rPr>
      </w:pPr>
      <w:r w:rsidRPr="008B6727">
        <w:rPr>
          <w:rFonts w:eastAsiaTheme="minorEastAsia"/>
        </w:rPr>
        <w:lastRenderedPageBreak/>
        <w:t xml:space="preserve">This approach is currently being implemented in NSW under the Communities Plus re-development program where </w:t>
      </w:r>
      <w:r>
        <w:rPr>
          <w:rFonts w:eastAsiaTheme="minorEastAsia"/>
        </w:rPr>
        <w:t>select</w:t>
      </w:r>
      <w:r w:rsidRPr="008B6727">
        <w:rPr>
          <w:rFonts w:eastAsiaTheme="minorEastAsia"/>
        </w:rPr>
        <w:t xml:space="preserve"> social housing estates are being redeveloped to increase and renew social housing stock by capturing value uplift available in targeted areas. Under this program, the NSW Government is partnering with the private and not for profit sectors to fast track the redevelopment of sites in metropolitan Sydney and regional NSW. On these sites, new mixed communities will be developed where social housing blends in with private and affordable housing, with better access to transport and employment, improved community facilities and open spaces.</w:t>
      </w:r>
    </w:p>
    <w:p w14:paraId="095694D6" w14:textId="1BC49FAA" w:rsidR="003E3FC8" w:rsidRPr="008B6727" w:rsidRDefault="003E3FC8" w:rsidP="00372A2A">
      <w:pPr>
        <w:rPr>
          <w:rFonts w:eastAsia="Calibri"/>
        </w:rPr>
      </w:pPr>
      <w:r w:rsidRPr="008B6727">
        <w:rPr>
          <w:rFonts w:eastAsia="Calibri"/>
        </w:rPr>
        <w:t xml:space="preserve">Western Australia has implemented project financing trials (based on the </w:t>
      </w:r>
      <w:r>
        <w:rPr>
          <w:rFonts w:eastAsia="Calibri"/>
        </w:rPr>
        <w:t>Department of Communities</w:t>
      </w:r>
      <w:r w:rsidRPr="008B6727">
        <w:rPr>
          <w:rFonts w:eastAsia="Calibri"/>
        </w:rPr>
        <w:t xml:space="preserve"> providing land, the private sector providing equity and debt and the </w:t>
      </w:r>
      <w:r>
        <w:rPr>
          <w:rFonts w:eastAsia="Calibri"/>
        </w:rPr>
        <w:t>Department</w:t>
      </w:r>
      <w:r w:rsidRPr="008B6727">
        <w:rPr>
          <w:rFonts w:eastAsia="Calibri"/>
        </w:rPr>
        <w:t xml:space="preserve"> reinvesting its equity return into retained units) and self-financing trials (based on mix of sales, graduated affordable rentals and social housing covering operating costs and paying back capital over time).  Examples include the One </w:t>
      </w:r>
      <w:r>
        <w:rPr>
          <w:rFonts w:eastAsia="Calibri"/>
        </w:rPr>
        <w:t xml:space="preserve">on Aberdeen and Abode projects, </w:t>
      </w:r>
      <w:r w:rsidRPr="008B6727">
        <w:rPr>
          <w:rFonts w:eastAsia="Calibri"/>
        </w:rPr>
        <w:t xml:space="preserve">each of which saw the </w:t>
      </w:r>
      <w:r>
        <w:rPr>
          <w:rFonts w:eastAsia="Calibri"/>
        </w:rPr>
        <w:t xml:space="preserve">Department of Communities </w:t>
      </w:r>
      <w:r w:rsidRPr="008B6727">
        <w:rPr>
          <w:rFonts w:eastAsia="Calibri"/>
        </w:rPr>
        <w:t xml:space="preserve">contribute land as equity into a project with a private partner, who provided equity, debt and project delivery. In return for the investment of its land, the </w:t>
      </w:r>
      <w:r>
        <w:rPr>
          <w:rFonts w:eastAsia="Calibri"/>
        </w:rPr>
        <w:t xml:space="preserve">Department of Communities </w:t>
      </w:r>
      <w:r w:rsidRPr="008B6727">
        <w:rPr>
          <w:rFonts w:eastAsia="Calibri"/>
        </w:rPr>
        <w:t xml:space="preserve">received dwellings for social housing and shared equity programs, as well as a financial return. Additional affordable housing (NRAS, key worker sales, </w:t>
      </w:r>
      <w:proofErr w:type="spellStart"/>
      <w:r w:rsidRPr="008B6727">
        <w:rPr>
          <w:rFonts w:eastAsia="Calibri"/>
        </w:rPr>
        <w:t>Keystart</w:t>
      </w:r>
      <w:proofErr w:type="spellEnd"/>
      <w:r w:rsidRPr="008B6727">
        <w:rPr>
          <w:rFonts w:eastAsia="Calibri"/>
        </w:rPr>
        <w:t xml:space="preserve"> loans, low cost studio product</w:t>
      </w:r>
      <w:r>
        <w:rPr>
          <w:rFonts w:eastAsia="Calibri"/>
        </w:rPr>
        <w:t>s</w:t>
      </w:r>
      <w:r w:rsidRPr="008B6727">
        <w:rPr>
          <w:rFonts w:eastAsia="Calibri"/>
        </w:rPr>
        <w:t>) were incorporated into eac</w:t>
      </w:r>
      <w:r w:rsidR="002011D6">
        <w:rPr>
          <w:rFonts w:eastAsia="Calibri"/>
        </w:rPr>
        <w:t>h project, resulting in 28 per cent</w:t>
      </w:r>
      <w:r w:rsidRPr="008B6727">
        <w:rPr>
          <w:rFonts w:eastAsia="Calibri"/>
        </w:rPr>
        <w:t xml:space="preserve"> and 50</w:t>
      </w:r>
      <w:r w:rsidR="002011D6">
        <w:rPr>
          <w:rFonts w:eastAsia="Calibri"/>
        </w:rPr>
        <w:t xml:space="preserve"> per cent</w:t>
      </w:r>
      <w:r w:rsidRPr="008B6727">
        <w:rPr>
          <w:rFonts w:eastAsia="Calibri"/>
        </w:rPr>
        <w:t xml:space="preserve"> affordable housing at Abode and One on Aberdeen respectively.</w:t>
      </w:r>
    </w:p>
    <w:p w14:paraId="59987C8E" w14:textId="3180B156" w:rsidR="003E3FC8" w:rsidRPr="008B6727" w:rsidRDefault="003E3FC8" w:rsidP="003E3FC8">
      <w:pPr>
        <w:rPr>
          <w:rFonts w:eastAsiaTheme="minorEastAsia"/>
        </w:rPr>
      </w:pPr>
      <w:r w:rsidRPr="008B6727">
        <w:rPr>
          <w:rFonts w:eastAsiaTheme="minorEastAsia"/>
        </w:rPr>
        <w:t xml:space="preserve">Projects such as One on Aberdeen and Abode can deliver housing and financial outcomes for Government, but do require land (or other assets) to be invested in the first instance. They also carry the </w:t>
      </w:r>
      <w:r w:rsidR="002011D6">
        <w:rPr>
          <w:rFonts w:eastAsiaTheme="minorEastAsia"/>
        </w:rPr>
        <w:t>usual</w:t>
      </w:r>
      <w:r w:rsidRPr="008B6727">
        <w:rPr>
          <w:rFonts w:eastAsiaTheme="minorEastAsia"/>
        </w:rPr>
        <w:t xml:space="preserve"> risks associated with property development, requiring a high level of commercial acumen on Government’s behalf to negotiate effective terms with private sector partners, and ensure that projects are delivered and managed in a commercially-responsible and responsive manner. </w:t>
      </w:r>
    </w:p>
    <w:p w14:paraId="49EF30DF" w14:textId="77777777" w:rsidR="003E3FC8" w:rsidRDefault="003E3FC8" w:rsidP="003E3FC8">
      <w:pPr>
        <w:rPr>
          <w:rFonts w:eastAsia="Calibri" w:cs="Calibri"/>
        </w:rPr>
      </w:pPr>
      <w:r w:rsidRPr="001B39B3">
        <w:rPr>
          <w:rFonts w:eastAsia="Calibri" w:cs="Calibri"/>
        </w:rPr>
        <w:t xml:space="preserve">The mix of dwelling types allows for access to private finance but also allows for governments to provide more choice with respect to the accommodation available to </w:t>
      </w:r>
      <w:r>
        <w:rPr>
          <w:rFonts w:eastAsia="Calibri" w:cs="Calibri"/>
        </w:rPr>
        <w:t xml:space="preserve">tenants with </w:t>
      </w:r>
      <w:r w:rsidRPr="001B39B3">
        <w:rPr>
          <w:rFonts w:eastAsia="Calibri" w:cs="Calibri"/>
        </w:rPr>
        <w:t xml:space="preserve">low </w:t>
      </w:r>
      <w:r>
        <w:rPr>
          <w:rFonts w:eastAsia="Calibri" w:cs="Calibri"/>
        </w:rPr>
        <w:t>to</w:t>
      </w:r>
      <w:r w:rsidRPr="001B39B3">
        <w:rPr>
          <w:rFonts w:eastAsia="Calibri" w:cs="Calibri"/>
        </w:rPr>
        <w:t xml:space="preserve"> moderate income</w:t>
      </w:r>
      <w:r>
        <w:rPr>
          <w:rFonts w:eastAsia="Calibri" w:cs="Calibri"/>
        </w:rPr>
        <w:t>s</w:t>
      </w:r>
      <w:r w:rsidRPr="001B39B3">
        <w:rPr>
          <w:rFonts w:eastAsia="Calibri" w:cs="Calibri"/>
        </w:rPr>
        <w:t xml:space="preserve">.  Planning and zoning conditions as well as the uplift in land value generated from the redevelopment can play a significant role in supporting the development </w:t>
      </w:r>
      <w:r>
        <w:rPr>
          <w:rFonts w:eastAsia="Calibri" w:cs="Calibri"/>
        </w:rPr>
        <w:t>of</w:t>
      </w:r>
      <w:r w:rsidRPr="001B39B3">
        <w:rPr>
          <w:rFonts w:eastAsia="Calibri" w:cs="Calibri"/>
        </w:rPr>
        <w:t xml:space="preserve"> new </w:t>
      </w:r>
      <w:r>
        <w:rPr>
          <w:rFonts w:eastAsia="Calibri" w:cs="Calibri"/>
        </w:rPr>
        <w:t>affordable</w:t>
      </w:r>
      <w:r w:rsidRPr="001B39B3">
        <w:rPr>
          <w:rFonts w:eastAsia="Calibri" w:cs="Calibri"/>
        </w:rPr>
        <w:t xml:space="preserve"> housing stock.</w:t>
      </w:r>
    </w:p>
    <w:p w14:paraId="7832BA51" w14:textId="68364466" w:rsidR="003E3FC8" w:rsidRDefault="003E3FC8" w:rsidP="003E3FC8">
      <w:pPr>
        <w:rPr>
          <w:rFonts w:eastAsia="Calibri" w:cs="Calibri"/>
        </w:rPr>
      </w:pPr>
      <w:r>
        <w:rPr>
          <w:rFonts w:eastAsia="Calibri" w:cs="Calibri"/>
        </w:rPr>
        <w:t xml:space="preserve">The 2016 </w:t>
      </w:r>
      <w:r w:rsidRPr="001B39B3">
        <w:rPr>
          <w:rFonts w:eastAsia="Calibri" w:cs="Calibri"/>
        </w:rPr>
        <w:t xml:space="preserve">Working Group </w:t>
      </w:r>
      <w:r>
        <w:rPr>
          <w:rFonts w:eastAsia="Calibri" w:cs="Calibri"/>
        </w:rPr>
        <w:t xml:space="preserve">report </w:t>
      </w:r>
      <w:r w:rsidRPr="001B39B3">
        <w:rPr>
          <w:rFonts w:eastAsia="Calibri" w:cs="Calibri"/>
        </w:rPr>
        <w:t xml:space="preserve">noted that the asset base of public housing </w:t>
      </w:r>
      <w:r w:rsidR="002011D6">
        <w:rPr>
          <w:rFonts w:eastAsia="Calibri" w:cs="Calibri"/>
        </w:rPr>
        <w:t>across Australia</w:t>
      </w:r>
      <w:r w:rsidRPr="001B39B3">
        <w:rPr>
          <w:rFonts w:eastAsia="Calibri" w:cs="Calibri"/>
        </w:rPr>
        <w:t xml:space="preserve"> is estimated to be around $100 billion.  While not all of this stock will be suitable for redevelopment</w:t>
      </w:r>
      <w:r>
        <w:rPr>
          <w:rFonts w:eastAsia="Calibri" w:cs="Calibri"/>
        </w:rPr>
        <w:t>,</w:t>
      </w:r>
      <w:r w:rsidRPr="001B39B3">
        <w:rPr>
          <w:rFonts w:eastAsia="Calibri" w:cs="Calibri"/>
        </w:rPr>
        <w:t xml:space="preserve"> the regeneration of a significant portion of this stock utilising private finance sourced through a national bond aggregator would ensure the scale sought by institutional investors.</w:t>
      </w:r>
    </w:p>
    <w:p w14:paraId="4D22B76D" w14:textId="21AC3C64" w:rsidR="003E3FC8" w:rsidRPr="001B39B3" w:rsidRDefault="003E3FC8" w:rsidP="003E3FC8">
      <w:pPr>
        <w:rPr>
          <w:rFonts w:eastAsia="Calibri" w:cs="Calibri"/>
        </w:rPr>
      </w:pPr>
      <w:r>
        <w:rPr>
          <w:rFonts w:eastAsia="Calibri" w:cs="Calibri"/>
        </w:rPr>
        <w:t xml:space="preserve">CHPs may seek finance </w:t>
      </w:r>
      <w:r w:rsidRPr="001B39B3">
        <w:rPr>
          <w:rFonts w:eastAsia="Calibri" w:cs="Calibri"/>
        </w:rPr>
        <w:t xml:space="preserve">as part of joint ventures and for the purchase of stock </w:t>
      </w:r>
      <w:r>
        <w:rPr>
          <w:rFonts w:eastAsia="Calibri" w:cs="Calibri"/>
        </w:rPr>
        <w:t>following</w:t>
      </w:r>
      <w:r w:rsidRPr="001B39B3">
        <w:rPr>
          <w:rFonts w:eastAsia="Calibri" w:cs="Calibri"/>
        </w:rPr>
        <w:t xml:space="preserve"> redevelopment to be let as community housing. Where management of the new stock was transferred to </w:t>
      </w:r>
      <w:r w:rsidR="002011D6">
        <w:rPr>
          <w:rFonts w:eastAsia="Calibri" w:cs="Calibri"/>
        </w:rPr>
        <w:t>CHPs</w:t>
      </w:r>
      <w:r>
        <w:rPr>
          <w:rFonts w:eastAsia="Calibri" w:cs="Calibri"/>
        </w:rPr>
        <w:t>,</w:t>
      </w:r>
      <w:r w:rsidRPr="001B39B3">
        <w:rPr>
          <w:rFonts w:eastAsia="Calibri" w:cs="Calibri"/>
        </w:rPr>
        <w:t xml:space="preserve"> finance could also be sought to build additional stock.  </w:t>
      </w:r>
    </w:p>
    <w:p w14:paraId="47E3B022" w14:textId="4BD3F3C2" w:rsidR="003E3FC8" w:rsidRDefault="003E3FC8" w:rsidP="003E3FC8">
      <w:pPr>
        <w:rPr>
          <w:rFonts w:eastAsia="Calibri" w:cs="Calibri"/>
        </w:rPr>
      </w:pPr>
      <w:r w:rsidRPr="001B39B3">
        <w:rPr>
          <w:rFonts w:eastAsia="Calibri" w:cs="Calibri"/>
        </w:rPr>
        <w:t xml:space="preserve">While jurisdictions are currently engaging in a number of regeneration projects, the majority of public housing stock has not been redeveloped. </w:t>
      </w:r>
      <w:r>
        <w:rPr>
          <w:rFonts w:eastAsia="Calibri" w:cs="Calibri"/>
        </w:rPr>
        <w:t>Further redevelopment of stock could leverage opportunities under a</w:t>
      </w:r>
      <w:r w:rsidR="00816E40">
        <w:rPr>
          <w:rFonts w:eastAsia="Calibri" w:cs="Calibri"/>
        </w:rPr>
        <w:t>n affordable</w:t>
      </w:r>
      <w:r>
        <w:rPr>
          <w:rFonts w:eastAsia="Calibri" w:cs="Calibri"/>
        </w:rPr>
        <w:t xml:space="preserve"> housing bond aggregator</w:t>
      </w:r>
      <w:r w:rsidRPr="001B39B3">
        <w:rPr>
          <w:rFonts w:eastAsia="Calibri" w:cs="Calibri"/>
        </w:rPr>
        <w:t>.</w:t>
      </w:r>
    </w:p>
    <w:p w14:paraId="04E8D289" w14:textId="77777777" w:rsidR="003E3FC8" w:rsidRPr="001B39B3" w:rsidRDefault="003E3FC8" w:rsidP="003E3FC8">
      <w:pPr>
        <w:rPr>
          <w:rFonts w:eastAsia="Calibri" w:cs="Calibri"/>
        </w:rPr>
      </w:pPr>
      <w:r>
        <w:t xml:space="preserve">Redevelopment of public housing stock may benefit from significant private capital. Partnerships with community or sub-market providers will allow these CHPs to access capital through the bond aggregator, reducing the need to borrow against government balance sheets.  In addition to redevelopment, new developments may present opportunities for providers to purchase and/or manage stock on behalf of governments. The implementation of a bond aggregator should improve access to cheaper, longer term finance for providers, increasing their ability to participate in such partnerships. </w:t>
      </w:r>
    </w:p>
    <w:p w14:paraId="72E17E80" w14:textId="77777777" w:rsidR="003E3FC8" w:rsidRPr="009E0B58" w:rsidRDefault="003E3FC8" w:rsidP="003E3FC8">
      <w:pPr>
        <w:pStyle w:val="Heading3"/>
      </w:pPr>
      <w:r>
        <w:lastRenderedPageBreak/>
        <w:t>Better use of planning tools</w:t>
      </w:r>
    </w:p>
    <w:p w14:paraId="4FBEDF32" w14:textId="77777777" w:rsidR="003E3FC8" w:rsidRDefault="003E3FC8" w:rsidP="00372A2A">
      <w:r w:rsidRPr="008A7291">
        <w:t xml:space="preserve">Planning systems can be used to encourage the development of affordable housing stock, either on private or publicly owned land. While they </w:t>
      </w:r>
      <w:r w:rsidRPr="00153328">
        <w:t>“</w:t>
      </w:r>
      <w:r w:rsidRPr="00153328">
        <w:rPr>
          <w:iCs/>
        </w:rPr>
        <w:t>do not replace the need for dedicated funding for affordable housing supply, planning levers can maximise the outcomes of this expenditure and complement other financial incentives or subsidies to support affordable housing development”</w:t>
      </w:r>
      <w:r>
        <w:rPr>
          <w:iCs/>
        </w:rPr>
        <w:t xml:space="preserve"> (</w:t>
      </w:r>
      <w:proofErr w:type="spellStart"/>
      <w:r>
        <w:rPr>
          <w:iCs/>
        </w:rPr>
        <w:t>Gurran</w:t>
      </w:r>
      <w:proofErr w:type="spellEnd"/>
      <w:r>
        <w:rPr>
          <w:iCs/>
        </w:rPr>
        <w:t xml:space="preserve">, et al. </w:t>
      </w:r>
      <w:r w:rsidRPr="00B14AFE">
        <w:rPr>
          <w:iCs/>
        </w:rPr>
        <w:t>2007, p. 5)</w:t>
      </w:r>
      <w:r>
        <w:rPr>
          <w:iCs/>
        </w:rPr>
        <w:t>.</w:t>
      </w:r>
      <w:r w:rsidRPr="008A7291">
        <w:rPr>
          <w:iCs/>
        </w:rPr>
        <w:t xml:space="preserve"> They can be particularly effective </w:t>
      </w:r>
      <w:r w:rsidRPr="008A7291">
        <w:t>when government investment or rezoning leads to a significant uplift in land value, some of which can be ‘captured’ to fund social infrastructure, including affordable housing.</w:t>
      </w:r>
    </w:p>
    <w:p w14:paraId="62C6DB94" w14:textId="0E32982C" w:rsidR="003E3FC8" w:rsidRDefault="003E3FC8" w:rsidP="00372A2A">
      <w:r>
        <w:t xml:space="preserve">The introduction of planning tools for affordable housing relies on the powers enabled under relevant legislation and planning frameworks in each State or Territory. The wider regulatory context for planning and development should be considered and attempts made to, as much as possible, to minimise the time, cost or complexity it introduces to the development process. </w:t>
      </w:r>
    </w:p>
    <w:p w14:paraId="71DD0EBF" w14:textId="77777777" w:rsidR="003E3FC8" w:rsidRDefault="003E3FC8" w:rsidP="00372A2A">
      <w:r>
        <w:t xml:space="preserve">Options include instruments that require a certain percentage of housing development to be allocated to </w:t>
      </w:r>
      <w:r w:rsidRPr="00A27379">
        <w:t>the development of affordable housing stock</w:t>
      </w:r>
      <w:r>
        <w:t xml:space="preserve"> (sometimes called inclusionary zoning), and incentives that offer increased development yield or other benefits to developers in return for the delivery or retention of affordable housing. Affordable housing incentives and requirements can be applied on private land through the planning system or on government land through planning or contractual mechanisms. </w:t>
      </w:r>
    </w:p>
    <w:p w14:paraId="318BD880" w14:textId="533B818D" w:rsidR="003E3FC8" w:rsidRDefault="003E3FC8" w:rsidP="00372A2A">
      <w:r>
        <w:t>Different approaches have been</w:t>
      </w:r>
      <w:r w:rsidRPr="008B6727">
        <w:t xml:space="preserve"> adopted in </w:t>
      </w:r>
      <w:r>
        <w:t>different S</w:t>
      </w:r>
      <w:r w:rsidRPr="008B6727">
        <w:t xml:space="preserve">tates and </w:t>
      </w:r>
      <w:r>
        <w:t>T</w:t>
      </w:r>
      <w:r w:rsidRPr="008B6727">
        <w:t>erritories. For example, the South</w:t>
      </w:r>
      <w:r w:rsidR="00BC33F1">
        <w:t> </w:t>
      </w:r>
      <w:r w:rsidRPr="008B6727">
        <w:t>Australian Housing Strategy commi</w:t>
      </w:r>
      <w:r>
        <w:t>ts to ensuring that at least 15 </w:t>
      </w:r>
      <w:r w:rsidRPr="008B6727">
        <w:t>per</w:t>
      </w:r>
      <w:r w:rsidR="002011D6">
        <w:t xml:space="preserve"> </w:t>
      </w:r>
      <w:r w:rsidRPr="008B6727">
        <w:t xml:space="preserve">cent of all new housing (government and private land developments) in significant developments is affordable to low and moderate income households. </w:t>
      </w:r>
    </w:p>
    <w:p w14:paraId="0079E617" w14:textId="7A84BAAE" w:rsidR="003E3FC8" w:rsidRDefault="003E3FC8" w:rsidP="00372A2A">
      <w:r w:rsidRPr="008B6727">
        <w:t>In Western Australia, the Metropolitan Redevelopment Authority uses its planning powers to require 12</w:t>
      </w:r>
      <w:r>
        <w:t xml:space="preserve"> per cent</w:t>
      </w:r>
      <w:r w:rsidRPr="008B6727">
        <w:t xml:space="preserve"> dedicated affordable housing in some of its redevelopment areas, which assists in creating and retaining affordable housing within those locations. Developers must sell affordable dwellings at a discounted “cost” price to affordable housing providers (primarily the </w:t>
      </w:r>
      <w:r>
        <w:t>Department of Communities</w:t>
      </w:r>
      <w:r w:rsidRPr="008B6727">
        <w:t>). The majority of dwellings are then on-sold to purchasers under shared equity arrangements, which enables the housing provider to recoup the price they paid for the dwelling (</w:t>
      </w:r>
      <w:r w:rsidR="00BC33F1">
        <w:t xml:space="preserve">that is, </w:t>
      </w:r>
      <w:r w:rsidRPr="008B6727">
        <w:t xml:space="preserve">no net cost), and retain an equity share in perpetuity (preserving affordability). Others have been retained for social housing. </w:t>
      </w:r>
    </w:p>
    <w:p w14:paraId="4B6E022F" w14:textId="77777777" w:rsidR="003E3FC8" w:rsidRDefault="003E3FC8" w:rsidP="00372A2A">
      <w:r>
        <w:t xml:space="preserve">The effective use of planning tools can result in the inclusion of </w:t>
      </w:r>
      <w:r w:rsidRPr="004246B8">
        <w:t xml:space="preserve">affordable housing in developments </w:t>
      </w:r>
      <w:r>
        <w:t xml:space="preserve">where it </w:t>
      </w:r>
      <w:r w:rsidRPr="004246B8">
        <w:t xml:space="preserve">would otherwise have been </w:t>
      </w:r>
      <w:r>
        <w:t>ex</w:t>
      </w:r>
      <w:r w:rsidRPr="004246B8">
        <w:t xml:space="preserve">cluded.  </w:t>
      </w:r>
      <w:r>
        <w:t>Tools such as i</w:t>
      </w:r>
      <w:r w:rsidRPr="004246B8">
        <w:t xml:space="preserve">nclusionary zoning </w:t>
      </w:r>
      <w:r>
        <w:t xml:space="preserve">are most effective when used </w:t>
      </w:r>
      <w:r w:rsidRPr="004246B8">
        <w:t>as a form of ‘value capture’ in cases where it seeks to reclaim some of the gain accruing to developers from changes in zoning</w:t>
      </w:r>
      <w:r>
        <w:t>, or when Government is the landowner and can absorb any cost in return for affordable housing outcomes</w:t>
      </w:r>
      <w:r w:rsidRPr="004246B8">
        <w:t>.</w:t>
      </w:r>
      <w:r>
        <w:t xml:space="preserve"> If used in the wrong circumstances, they can result in additional costs being imposed on developers which, depending on market conditions, can erode development feasibility and constrain wider supply.</w:t>
      </w:r>
    </w:p>
    <w:p w14:paraId="55ECF3BA" w14:textId="77777777" w:rsidR="003E3FC8" w:rsidRPr="004246B8" w:rsidRDefault="003E3FC8" w:rsidP="00372A2A">
      <w:pPr>
        <w:rPr>
          <w:rFonts w:eastAsiaTheme="minorEastAsia"/>
        </w:rPr>
      </w:pPr>
      <w:r>
        <w:rPr>
          <w:rFonts w:eastAsiaTheme="minorEastAsia"/>
        </w:rPr>
        <w:t xml:space="preserve">Planning tools can increase </w:t>
      </w:r>
      <w:r w:rsidRPr="004246B8">
        <w:rPr>
          <w:rFonts w:eastAsiaTheme="minorEastAsia"/>
        </w:rPr>
        <w:t>the opportunities for sub-market rental and community housing providers to access stock in new</w:t>
      </w:r>
      <w:r>
        <w:rPr>
          <w:rFonts w:eastAsiaTheme="minorEastAsia"/>
        </w:rPr>
        <w:t>,</w:t>
      </w:r>
      <w:r w:rsidRPr="004246B8">
        <w:rPr>
          <w:rFonts w:eastAsiaTheme="minorEastAsia"/>
        </w:rPr>
        <w:t xml:space="preserve"> well located areas.  The purchase of these properties for rent to eligible tenants provides an opportunity for these providers to access finance from a national bond aggregator. </w:t>
      </w:r>
    </w:p>
    <w:p w14:paraId="7E4F16E2" w14:textId="77777777" w:rsidR="003E3FC8" w:rsidRDefault="003E3FC8" w:rsidP="00372A2A">
      <w:r w:rsidRPr="004246B8">
        <w:rPr>
          <w:rFonts w:eastAsiaTheme="minorEastAsia"/>
        </w:rPr>
        <w:t xml:space="preserve">If changes are made to expand </w:t>
      </w:r>
      <w:r>
        <w:rPr>
          <w:rFonts w:eastAsiaTheme="minorEastAsia"/>
        </w:rPr>
        <w:t>the use of planning tools for affordable housing,</w:t>
      </w:r>
      <w:r w:rsidRPr="004246B8">
        <w:rPr>
          <w:rFonts w:eastAsiaTheme="minorEastAsia"/>
        </w:rPr>
        <w:t xml:space="preserve"> the opportunities available to sub-market rental providers and community housing providers will also increase, in turn potentially increasing demand for </w:t>
      </w:r>
      <w:r>
        <w:rPr>
          <w:rFonts w:eastAsiaTheme="minorEastAsia"/>
        </w:rPr>
        <w:t>lower cost,</w:t>
      </w:r>
      <w:r w:rsidRPr="004246B8">
        <w:rPr>
          <w:rFonts w:eastAsiaTheme="minorEastAsia"/>
        </w:rPr>
        <w:t xml:space="preserve"> long term finance from a national bond aggregator.</w:t>
      </w:r>
    </w:p>
    <w:p w14:paraId="3B2DE705" w14:textId="77777777" w:rsidR="003E3FC8" w:rsidRDefault="003E3FC8" w:rsidP="003E3FC8">
      <w:pPr>
        <w:pStyle w:val="Heading3"/>
      </w:pPr>
      <w:r w:rsidRPr="005424A1">
        <w:lastRenderedPageBreak/>
        <w:t xml:space="preserve">Affordable housing levies </w:t>
      </w:r>
    </w:p>
    <w:p w14:paraId="6B047B83" w14:textId="77777777" w:rsidR="003E3FC8" w:rsidRDefault="003E3FC8" w:rsidP="00372A2A">
      <w:r w:rsidRPr="008B6727">
        <w:t>An alternative approach</w:t>
      </w:r>
      <w:r>
        <w:t xml:space="preserve"> to inclusionary zoning</w:t>
      </w:r>
      <w:r w:rsidRPr="008B6727">
        <w:t xml:space="preserve"> is the application of affordable housing levies. </w:t>
      </w:r>
      <w:r>
        <w:t xml:space="preserve">Often applied at the local government level, developers are obliged to make a contribution as a part of receiving approval for a project, with the </w:t>
      </w:r>
      <w:r w:rsidRPr="008B6727">
        <w:t xml:space="preserve">revenue </w:t>
      </w:r>
      <w:r>
        <w:t>generated</w:t>
      </w:r>
      <w:r w:rsidRPr="008B6727">
        <w:t xml:space="preserve"> then be</w:t>
      </w:r>
      <w:r>
        <w:t>ing</w:t>
      </w:r>
      <w:r w:rsidRPr="008B6727">
        <w:t xml:space="preserve"> us</w:t>
      </w:r>
      <w:r>
        <w:t>ed to provide housing assistance</w:t>
      </w:r>
      <w:r w:rsidRPr="008B6727">
        <w:t xml:space="preserve">. </w:t>
      </w:r>
    </w:p>
    <w:p w14:paraId="661A461E" w14:textId="77777777" w:rsidR="003E3FC8" w:rsidRDefault="003E3FC8" w:rsidP="00372A2A">
      <w:r w:rsidRPr="008B6727">
        <w:t>The benefit of apply</w:t>
      </w:r>
      <w:r>
        <w:t>ing</w:t>
      </w:r>
      <w:r w:rsidRPr="008B6727">
        <w:t xml:space="preserve"> a levy rather than mandating supply delivery is that it can be simple to apply and enables a flexible approach to delivering assistance</w:t>
      </w:r>
      <w:r>
        <w:t xml:space="preserve"> — it</w:t>
      </w:r>
      <w:r w:rsidRPr="008B6727">
        <w:t xml:space="preserve"> could be used to deliver a range of housing assistance measures, such as temporary rental assistance or supporting new supply through land purchase, construction or spot</w:t>
      </w:r>
      <w:r>
        <w:t>-</w:t>
      </w:r>
      <w:r w:rsidRPr="008B6727">
        <w:t xml:space="preserve">purchasing opportunities to better target client outcomes. </w:t>
      </w:r>
      <w:r>
        <w:t xml:space="preserve">Alternatively, the proceeds of a levy could be used to bolster the revenues of community housing providers or add to their capital base through the provision of subsidised dwellings. Each of these would increase the ability of providers to meet borrowing requirements which, in turn, enables them to further develop stock. </w:t>
      </w:r>
    </w:p>
    <w:p w14:paraId="50BD90D6" w14:textId="77777777" w:rsidR="003E3FC8" w:rsidRDefault="003E3FC8" w:rsidP="00372A2A">
      <w:r>
        <w:t>Affordable housing levies are also a more practical method for pursuing social and affordable housing outcomes in high value areas than inclusionary zoning (where it may be less feasible to have low income tenants in costly developments). In circumstances like these, local governments may be able to redirect the revenues raised by the levy to other developments or areas, or even to alternative forms of housing assistance.</w:t>
      </w:r>
    </w:p>
    <w:p w14:paraId="6E70E9CE" w14:textId="77777777" w:rsidR="003E3FC8" w:rsidRPr="00E63441" w:rsidRDefault="003E3FC8" w:rsidP="003E3FC8">
      <w:pPr>
        <w:pStyle w:val="Heading3"/>
      </w:pPr>
      <w:bookmarkStart w:id="149" w:name="_Toc485750949"/>
      <w:bookmarkStart w:id="150" w:name="_Toc487814101"/>
      <w:r w:rsidRPr="00E63441">
        <w:t>Mixed Tenure and Mixed Rental Models</w:t>
      </w:r>
    </w:p>
    <w:p w14:paraId="7CC67E91" w14:textId="77777777" w:rsidR="003E3FC8" w:rsidRDefault="003E3FC8" w:rsidP="00372A2A">
      <w:r>
        <w:t>Analysis of the funding gaps</w:t>
      </w:r>
      <w:r w:rsidRPr="00C30C35">
        <w:t xml:space="preserve"> shows that housing providers will either need very deep government operating subsidies to plug the gap in cash flows if portfolios are entirely affordable and social rentals, or need portfolios that offer a range of affordable and market housing types to generate the </w:t>
      </w:r>
      <w:proofErr w:type="spellStart"/>
      <w:r w:rsidRPr="00C30C35">
        <w:t>cashflows</w:t>
      </w:r>
      <w:proofErr w:type="spellEnd"/>
      <w:r w:rsidRPr="00C30C35">
        <w:t xml:space="preserve"> needed to service their loans.  </w:t>
      </w:r>
    </w:p>
    <w:p w14:paraId="65F26EBE" w14:textId="77777777" w:rsidR="003E3FC8" w:rsidRPr="00C30C35" w:rsidRDefault="003E3FC8" w:rsidP="00372A2A">
      <w:r w:rsidRPr="00C30C35">
        <w:t xml:space="preserve">A balance may be found in including a mix of low deposit and shared equity sales (in WA’s case through </w:t>
      </w:r>
      <w:proofErr w:type="spellStart"/>
      <w:r w:rsidRPr="00C30C35">
        <w:t>Keystart</w:t>
      </w:r>
      <w:proofErr w:type="spellEnd"/>
      <w:r w:rsidRPr="00C30C35">
        <w:t xml:space="preserve"> and the Housing Authority to eligible low-moderate income households), as well as a mix of affordable and social rental options within broader developments or acquisitions that cater to a range of household and income profiles.</w:t>
      </w:r>
    </w:p>
    <w:p w14:paraId="208F68C9" w14:textId="67AF55FD" w:rsidR="003E3FC8" w:rsidRPr="00C30C35" w:rsidRDefault="003E3FC8" w:rsidP="00372A2A">
      <w:r>
        <w:t>S</w:t>
      </w:r>
      <w:r w:rsidRPr="00C30C35">
        <w:t xml:space="preserve">ales enable providers to recoup some of their acquisition costs soon after project completion.  This can be used to pay down a portion of their loan, leaving a lower balance </w:t>
      </w:r>
      <w:r>
        <w:t>to</w:t>
      </w:r>
      <w:r w:rsidRPr="00C30C35">
        <w:t xml:space="preserve"> be serviced over time with rental income.  Rental options can include surplus-generating affordable rental options (</w:t>
      </w:r>
      <w:proofErr w:type="spellStart"/>
      <w:r w:rsidRPr="00C30C35">
        <w:t>e.g</w:t>
      </w:r>
      <w:proofErr w:type="spellEnd"/>
      <w:r w:rsidRPr="00C30C35">
        <w:t xml:space="preserve"> for people on the upper end of low incomes</w:t>
      </w:r>
      <w:r>
        <w:t>) to</w:t>
      </w:r>
      <w:r w:rsidRPr="00C30C35">
        <w:t xml:space="preserve"> help offset the cost of providing housing that requires deeper subsidies (</w:t>
      </w:r>
      <w:r w:rsidR="00862B49">
        <w:t>for example,</w:t>
      </w:r>
      <w:r w:rsidR="00862B49" w:rsidRPr="00862B49">
        <w:t xml:space="preserve"> </w:t>
      </w:r>
      <w:r w:rsidRPr="00C30C35">
        <w:t>social housing).</w:t>
      </w:r>
    </w:p>
    <w:p w14:paraId="38B3A0DD" w14:textId="77777777" w:rsidR="003E3FC8" w:rsidRPr="00910350" w:rsidRDefault="003E3FC8" w:rsidP="00372A2A">
      <w:r w:rsidRPr="00C30C35">
        <w:t>This model achieves two important outcomes.  Firstly, it provides a sound financial outcome for the housing provider, helping to service the</w:t>
      </w:r>
      <w:r>
        <w:t xml:space="preserve"> potential</w:t>
      </w:r>
      <w:r w:rsidRPr="00C30C35">
        <w:t xml:space="preserve"> loan from the </w:t>
      </w:r>
      <w:r>
        <w:t>bond aggregator</w:t>
      </w:r>
      <w:r w:rsidRPr="00C30C35">
        <w:t xml:space="preserve">.  Secondly, it creates a mix of tenure options, both within individual projects and the broader portfolio.  This mix helps to build more sustainable social outcomes by avoiding concentrations of low income tenants in one location.  It also enables providers to offer a range of affordable housing options within their portfolios, enabling clients to transition between different options as their needs </w:t>
      </w:r>
      <w:r w:rsidRPr="00910350">
        <w:t xml:space="preserve">change and to manage their assets in a flexible, responsive and sustainable manner. </w:t>
      </w:r>
    </w:p>
    <w:p w14:paraId="5E2F20D0" w14:textId="77777777" w:rsidR="003E3FC8" w:rsidRDefault="003E3FC8" w:rsidP="003E3FC8">
      <w:pPr>
        <w:spacing w:before="60"/>
      </w:pPr>
      <w:r w:rsidRPr="00910350">
        <w:t xml:space="preserve">By way of illustration, WA’s ‘Living Space’ apartment project in a transit oriented development 20 </w:t>
      </w:r>
      <w:proofErr w:type="spellStart"/>
      <w:r w:rsidRPr="00910350">
        <w:t>kms</w:t>
      </w:r>
      <w:proofErr w:type="spellEnd"/>
      <w:r w:rsidRPr="00910350">
        <w:t xml:space="preserve"> from the CBD contains 130 apartments and 6 commercial units.  </w:t>
      </w:r>
      <w:r w:rsidRPr="004258D2">
        <w:t>This construction was fully funded by government capital.</w:t>
      </w:r>
      <w:r w:rsidRPr="00910350">
        <w:t xml:space="preserve"> A combination of early sales (29), key worker sales and leases (23) and mixed tenure rentals including commercial (6), affordable (52) and social (26) provides the cash flow required to meet operating costs and support the repayment of capital over time.</w:t>
      </w:r>
    </w:p>
    <w:p w14:paraId="25661951" w14:textId="77777777" w:rsidR="003E3FC8" w:rsidRPr="00E63441" w:rsidRDefault="003E3FC8" w:rsidP="003E3FC8">
      <w:pPr>
        <w:pStyle w:val="Heading3"/>
      </w:pPr>
      <w:r w:rsidRPr="00E63441">
        <w:lastRenderedPageBreak/>
        <w:t>Build-to-Rent Models</w:t>
      </w:r>
    </w:p>
    <w:p w14:paraId="0C5D77A1" w14:textId="3C327376" w:rsidR="003E3FC8" w:rsidRDefault="003E3FC8" w:rsidP="00372A2A">
      <w:r w:rsidRPr="00B26268">
        <w:t>Another emerging model in Australia (</w:t>
      </w:r>
      <w:r w:rsidR="002011D6">
        <w:t>more</w:t>
      </w:r>
      <w:r w:rsidRPr="00B26268">
        <w:t xml:space="preserve"> common elsewhere in the world) </w:t>
      </w:r>
      <w:r>
        <w:t>is institutionally financed</w:t>
      </w:r>
      <w:r w:rsidRPr="00B26268">
        <w:t xml:space="preserve"> ‘build-to-rent’ models.</w:t>
      </w:r>
      <w:r>
        <w:t xml:space="preserve"> </w:t>
      </w:r>
      <w:r w:rsidRPr="000F7D30">
        <w:t xml:space="preserve">Build-to-rent relies on a developer (or consortium) building homes with the express intention of </w:t>
      </w:r>
      <w:proofErr w:type="spellStart"/>
      <w:r w:rsidRPr="000F7D30">
        <w:t>leasing</w:t>
      </w:r>
      <w:proofErr w:type="spellEnd"/>
      <w:r w:rsidRPr="000F7D30">
        <w:t xml:space="preserve"> them out </w:t>
      </w:r>
      <w:r>
        <w:t>long-term. Build-</w:t>
      </w:r>
      <w:r w:rsidRPr="000F7D30">
        <w:t>to</w:t>
      </w:r>
      <w:r>
        <w:t>-</w:t>
      </w:r>
      <w:r w:rsidRPr="000F7D30">
        <w:t xml:space="preserve">rent </w:t>
      </w:r>
      <w:r>
        <w:t>models</w:t>
      </w:r>
      <w:r w:rsidRPr="000F7D30">
        <w:t xml:space="preserve"> are used in many countries</w:t>
      </w:r>
      <w:r>
        <w:t>, including in the United Kingdom and United States,</w:t>
      </w:r>
      <w:r w:rsidRPr="000F7D30">
        <w:t xml:space="preserve"> to pro</w:t>
      </w:r>
      <w:r>
        <w:t>vide affordable housing for</w:t>
      </w:r>
      <w:r w:rsidR="00BC33F1">
        <w:br/>
      </w:r>
      <w:r>
        <w:t>low-</w:t>
      </w:r>
      <w:r w:rsidRPr="000F7D30">
        <w:t>income households. For example</w:t>
      </w:r>
      <w:r>
        <w:t>,</w:t>
      </w:r>
      <w:r w:rsidRPr="000F7D30">
        <w:t xml:space="preserve"> the United States’ Low-Income Housing Tax Credit program which encourages private investment in affordable housing by conveying ‘tax credits’ on investors taxable income. In return for these credits, the projects must set aside a proportion of homes f</w:t>
      </w:r>
      <w:r w:rsidR="002011D6">
        <w:t>or rent to people earning 50 to 60 per cent</w:t>
      </w:r>
      <w:r w:rsidRPr="000F7D30">
        <w:t xml:space="preserve"> less than the area median income. This model relies on both State and Federal subsidies.</w:t>
      </w:r>
    </w:p>
    <w:p w14:paraId="700D7549" w14:textId="0286AA39" w:rsidR="003E3FC8" w:rsidRPr="003D5970" w:rsidRDefault="003E3FC8" w:rsidP="00372A2A">
      <w:r w:rsidRPr="003D5970">
        <w:t>In the</w:t>
      </w:r>
      <w:r>
        <w:t xml:space="preserve"> UK, large and sophisticated CHP</w:t>
      </w:r>
      <w:r w:rsidRPr="003D5970">
        <w:t>s have structured build-to-rent deals directly with large property funds. For example, the Stratford Halo development comprises</w:t>
      </w:r>
      <w:r w:rsidRPr="003D5970">
        <w:rPr>
          <w:lang w:val="en"/>
        </w:rPr>
        <w:t xml:space="preserve"> over 700 properties, housing a mixture of affordable rental and shared ownership as well as retail, commercial and leisure space. Community housing group and developer Genesis retained 299 units, selling the remaining 401 units to property fund M&amp;G. Genesis then leased back the units for a term of 35 years managing the properties for a fee, paying M&amp;G rent indexed annually by </w:t>
      </w:r>
      <w:r w:rsidRPr="003D5970">
        <w:t>inflation, linking cash flows to their liabilities</w:t>
      </w:r>
      <w:r w:rsidRPr="003D5970">
        <w:rPr>
          <w:rStyle w:val="FootnoteReference"/>
          <w:color w:val="auto"/>
        </w:rPr>
        <w:footnoteReference w:id="15"/>
      </w:r>
      <w:r w:rsidRPr="003D5970">
        <w:t xml:space="preserve">. </w:t>
      </w:r>
    </w:p>
    <w:p w14:paraId="4F59632F" w14:textId="1430BB97" w:rsidR="003E3FC8" w:rsidRPr="00B26268" w:rsidRDefault="003E3FC8" w:rsidP="00372A2A">
      <w:r>
        <w:t xml:space="preserve">However, as </w:t>
      </w:r>
      <w:r w:rsidR="0023637A">
        <w:t xml:space="preserve">demonstrated in </w:t>
      </w:r>
      <w:r w:rsidR="0023637A" w:rsidRPr="0023637A">
        <w:rPr>
          <w:i/>
        </w:rPr>
        <w:t>Chapter 2</w:t>
      </w:r>
      <w:r>
        <w:t xml:space="preserve">, </w:t>
      </w:r>
      <w:r w:rsidRPr="00C2240D">
        <w:t xml:space="preserve">truly affordable rents for Australia's low-income households cannot cover the combined cost of building and operating </w:t>
      </w:r>
      <w:r>
        <w:t>housing portfolios</w:t>
      </w:r>
      <w:r w:rsidRPr="00C2240D">
        <w:t xml:space="preserve">, even </w:t>
      </w:r>
      <w:r w:rsidR="00002E5B">
        <w:t xml:space="preserve">with </w:t>
      </w:r>
      <w:r>
        <w:t>modest return expectations</w:t>
      </w:r>
      <w:r w:rsidRPr="003D5970">
        <w:t>.</w:t>
      </w:r>
      <w:r>
        <w:t xml:space="preserve">  As such, it is unlikely that these private sector ‘built-to-rent’ models will deliver options for people on very low and low incomes without government support in the form of equity, operating subsidy and/or tax concessions.  This is an area worthy of exploration as to its cost-benefit relative to other models. The New South Wales’ Treasurer recently announced the establishment of a working group to examine the viability of build-to-rent models in New South Wales. </w:t>
      </w:r>
    </w:p>
    <w:p w14:paraId="10B20D37" w14:textId="77777777" w:rsidR="003E3FC8" w:rsidRDefault="003E3FC8" w:rsidP="003E3FC8">
      <w:pPr>
        <w:pStyle w:val="Heading2"/>
      </w:pPr>
      <w:bookmarkStart w:id="151" w:name="_Toc493848966"/>
      <w:r>
        <w:t>Government support for affordable housing</w:t>
      </w:r>
      <w:bookmarkEnd w:id="149"/>
      <w:bookmarkEnd w:id="150"/>
      <w:bookmarkEnd w:id="151"/>
    </w:p>
    <w:p w14:paraId="19B19EC5" w14:textId="77777777" w:rsidR="003E3FC8" w:rsidRDefault="003E3FC8" w:rsidP="003E3FC8">
      <w:pPr>
        <w:pStyle w:val="Heading3"/>
      </w:pPr>
      <w:r>
        <w:t>Incentives for Affordable Housing</w:t>
      </w:r>
    </w:p>
    <w:p w14:paraId="4E24B05A" w14:textId="77777777" w:rsidR="003E3FC8" w:rsidRDefault="003E3FC8" w:rsidP="00372A2A">
      <w:r>
        <w:t xml:space="preserve">In the 2017-18 Budget, the Commonwealth Government announced a number of tax concessions for investors in affordable housing. These include an increase to </w:t>
      </w:r>
      <w:r w:rsidRPr="004749AE">
        <w:t xml:space="preserve">the </w:t>
      </w:r>
      <w:r>
        <w:t>capital gains tax (</w:t>
      </w:r>
      <w:r w:rsidRPr="004749AE">
        <w:t>CGT</w:t>
      </w:r>
      <w:r>
        <w:t>)</w:t>
      </w:r>
      <w:r w:rsidRPr="004749AE">
        <w:t xml:space="preserve"> discount from 50 per cent</w:t>
      </w:r>
      <w:r>
        <w:t xml:space="preserve"> to </w:t>
      </w:r>
      <w:r w:rsidRPr="004749AE">
        <w:t xml:space="preserve">60 per cent for </w:t>
      </w:r>
      <w:r>
        <w:t xml:space="preserve">individuals renting </w:t>
      </w:r>
      <w:r w:rsidRPr="004749AE">
        <w:t>qualifying affordable housing</w:t>
      </w:r>
      <w:r>
        <w:t xml:space="preserve"> as well as </w:t>
      </w:r>
      <w:r w:rsidRPr="004749AE">
        <w:t xml:space="preserve">tax incentives to encourage Managed Investment Trusts </w:t>
      </w:r>
      <w:r>
        <w:t xml:space="preserve">(MITs) </w:t>
      </w:r>
      <w:r w:rsidRPr="004749AE">
        <w:t xml:space="preserve">to acquire, construct or redevelop affordable housing to hold for </w:t>
      </w:r>
      <w:r>
        <w:t xml:space="preserve">long-term </w:t>
      </w:r>
      <w:r w:rsidRPr="004749AE">
        <w:t>rent</w:t>
      </w:r>
      <w:r>
        <w:t>.</w:t>
      </w:r>
    </w:p>
    <w:p w14:paraId="1BBF1842" w14:textId="3CBBD93A" w:rsidR="003E3FC8" w:rsidRDefault="003E3FC8" w:rsidP="00372A2A">
      <w:r>
        <w:t xml:space="preserve">These changes to tax policy will increase the after tax return to investments in affordable housing and offer a targeted approach to reducing the financing gap in the community housing sector. If appropriately targeted, these changes can further sharpen investor incentives to purchase or develop affordable housing to rent at sub-market rates through a registered </w:t>
      </w:r>
      <w:r w:rsidR="002011D6">
        <w:t>CHP</w:t>
      </w:r>
      <w:r>
        <w:t xml:space="preserve">.  </w:t>
      </w:r>
    </w:p>
    <w:p w14:paraId="0D124DA8" w14:textId="77777777" w:rsidR="003E3FC8" w:rsidRDefault="003E3FC8" w:rsidP="003E3FC8">
      <w:pPr>
        <w:pStyle w:val="Heading3"/>
      </w:pPr>
      <w:r>
        <w:t>Reform</w:t>
      </w:r>
      <w:r w:rsidRPr="00BE7FF1">
        <w:t xml:space="preserve"> of Commonwealth Rent Assistance</w:t>
      </w:r>
    </w:p>
    <w:p w14:paraId="1239E9EB" w14:textId="77777777" w:rsidR="003E3FC8" w:rsidRDefault="003E3FC8" w:rsidP="00372A2A">
      <w:r>
        <w:t xml:space="preserve">Greater rental subsidies would go some of the way to closing the funding gap and stimulating investment in affordable housing. This would provide additional cash flow increasing the ability of housing providers to meet loan repayments and hence lenders’ willingness to provide finance. </w:t>
      </w:r>
      <w:proofErr w:type="gramStart"/>
      <w:r>
        <w:t>Yet the more significant the increase, the more substantial the cost, particularly in a constrained fiscal environment.</w:t>
      </w:r>
      <w:proofErr w:type="gramEnd"/>
    </w:p>
    <w:p w14:paraId="52CFA593" w14:textId="5D6FFC4B" w:rsidR="003E3FC8" w:rsidRDefault="003E3FC8" w:rsidP="00372A2A">
      <w:r>
        <w:lastRenderedPageBreak/>
        <w:t>The Productivity Commission’s (PC) draft inquiry report into Human Services proposed increasing and expanding Commonwealth support for housing provided through CRA. It also propose</w:t>
      </w:r>
      <w:r w:rsidR="002011D6">
        <w:t>s</w:t>
      </w:r>
      <w:r>
        <w:t xml:space="preserve"> that States and Territories augment CRA with high-cost housing payments</w:t>
      </w:r>
      <w:r w:rsidR="002011D6">
        <w:t>,</w:t>
      </w:r>
      <w:r>
        <w:t xml:space="preserve"> where necessary</w:t>
      </w:r>
      <w:r w:rsidR="002011D6">
        <w:t>,</w:t>
      </w:r>
      <w:r>
        <w:t xml:space="preserve"> to address more specific needs. </w:t>
      </w:r>
    </w:p>
    <w:tbl>
      <w:tblPr>
        <w:tblStyle w:val="RecommendationBox"/>
        <w:tblW w:w="9322" w:type="dxa"/>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shd w:val="clear" w:color="auto" w:fill="F2F2F2" w:themeFill="background1" w:themeFillShade="F2"/>
        <w:tblLook w:val="04A0" w:firstRow="1" w:lastRow="0" w:firstColumn="1" w:lastColumn="0" w:noHBand="0" w:noVBand="1"/>
      </w:tblPr>
      <w:tblGrid>
        <w:gridCol w:w="9322"/>
      </w:tblGrid>
      <w:tr w:rsidR="003E3FC8" w14:paraId="007D1DE0" w14:textId="77777777" w:rsidTr="003F36CE">
        <w:tc>
          <w:tcPr>
            <w:tcW w:w="9322" w:type="dxa"/>
            <w:tcBorders>
              <w:top w:val="single" w:sz="4" w:space="0" w:color="246373"/>
              <w:left w:val="single" w:sz="4" w:space="0" w:color="246373"/>
              <w:bottom w:val="single" w:sz="4" w:space="0" w:color="246373"/>
              <w:right w:val="single" w:sz="4" w:space="0" w:color="246373"/>
            </w:tcBorders>
            <w:shd w:val="clear" w:color="auto" w:fill="F2F2F2" w:themeFill="background1" w:themeFillShade="F2"/>
            <w:hideMark/>
          </w:tcPr>
          <w:p w14:paraId="030FE401" w14:textId="77777777" w:rsidR="003E3FC8" w:rsidRPr="00BC33F1" w:rsidRDefault="003E3FC8" w:rsidP="00BC33F1">
            <w:pPr>
              <w:pStyle w:val="BoxHeading"/>
            </w:pPr>
            <w:r w:rsidRPr="00BC33F1">
              <w:t>Recommendation 1</w:t>
            </w:r>
          </w:p>
          <w:p w14:paraId="24442D7D" w14:textId="77777777" w:rsidR="00C71E32" w:rsidRPr="00BC33F1" w:rsidRDefault="00C71E32" w:rsidP="00BC33F1">
            <w:pPr>
              <w:pStyle w:val="BoxText"/>
            </w:pPr>
            <w:r w:rsidRPr="00BC33F1">
              <w:t>The Affordable Housing Working Group recommends that the Commonwealth and State and Territory governments progress initiatives aimed at closing the funding gap, including through examining the levels of direct subsidy needed for affordable low-income rental housing, along with the use of affordable housing targets, planning mechanisms, tax settings, value-adding contributions from affordable housing providers and innovative developments to create and retain stock.</w:t>
            </w:r>
          </w:p>
          <w:p w14:paraId="46DC4738" w14:textId="77777777" w:rsidR="00F6548B" w:rsidRPr="00BC33F1" w:rsidRDefault="00C71E32" w:rsidP="00BC33F1">
            <w:pPr>
              <w:pStyle w:val="BoxText-UnBold"/>
            </w:pPr>
            <w:r w:rsidRPr="00BC33F1">
              <w:t>Creating and maintaining a rental housing portfolio targeted to people on low incomes requires explicit ongoing subsidies to bridge the gap between operating costs (including debt servicing) and rental incomes. This is a feature of overseas models, supported by research to date in Australia and evidence from actual projects. The size of this gap increases depending on where user groups sit along the housing continuum, requiring more support (in various forms) from governments, the lower the income profile and complexity of need.</w:t>
            </w:r>
          </w:p>
          <w:p w14:paraId="14EA6DA5" w14:textId="7479A220" w:rsidR="006F0F8E" w:rsidRPr="00C71E32" w:rsidRDefault="00D32766" w:rsidP="00BC33F1">
            <w:pPr>
              <w:pStyle w:val="BoxText-UnBold"/>
              <w:rPr>
                <w:b/>
              </w:rPr>
            </w:pPr>
            <w:r w:rsidRPr="00BC33F1">
              <w:t xml:space="preserve">The specific reforms </w:t>
            </w:r>
            <w:r w:rsidR="00AD044E" w:rsidRPr="00BC33F1">
              <w:t>that jurisdictions may choose to pursue</w:t>
            </w:r>
            <w:r w:rsidRPr="00BC33F1">
              <w:t xml:space="preserve"> to c</w:t>
            </w:r>
            <w:r w:rsidR="00147363" w:rsidRPr="00BC33F1">
              <w:t xml:space="preserve">lose the funding gap will vary, </w:t>
            </w:r>
            <w:r w:rsidRPr="00BC33F1">
              <w:t>according to their priorities, preferred approaches and particular challenges.</w:t>
            </w:r>
            <w:r>
              <w:rPr>
                <w:b/>
              </w:rPr>
              <w:t xml:space="preserve"> </w:t>
            </w:r>
          </w:p>
        </w:tc>
      </w:tr>
    </w:tbl>
    <w:p w14:paraId="5AEFC010" w14:textId="77777777" w:rsidR="003E3FC8" w:rsidRDefault="003E3FC8" w:rsidP="003E3FC8"/>
    <w:p w14:paraId="78C373CD" w14:textId="7140A473" w:rsidR="009E0B58" w:rsidRPr="009E0B58" w:rsidRDefault="003E3FC8" w:rsidP="00BC33F1">
      <w:pPr>
        <w:pStyle w:val="Heading1"/>
      </w:pPr>
      <w:bookmarkStart w:id="152" w:name="_Toc482972963"/>
      <w:bookmarkEnd w:id="152"/>
      <w:r>
        <w:br w:type="page"/>
      </w:r>
      <w:bookmarkStart w:id="153" w:name="_Toc493848967"/>
      <w:r>
        <w:lastRenderedPageBreak/>
        <w:t>4</w:t>
      </w:r>
      <w:r w:rsidR="005B396E">
        <w:t>.</w:t>
      </w:r>
      <w:r w:rsidR="00BC33F1">
        <w:tab/>
      </w:r>
      <w:r>
        <w:t>Strengthening</w:t>
      </w:r>
      <w:r w:rsidR="001712FE">
        <w:t xml:space="preserve"> </w:t>
      </w:r>
      <w:r w:rsidR="00C05CA8">
        <w:t xml:space="preserve">the regulatory framework for </w:t>
      </w:r>
      <w:r w:rsidR="001712FE">
        <w:t>community housing</w:t>
      </w:r>
      <w:bookmarkEnd w:id="153"/>
      <w:r w:rsidR="001712FE">
        <w:t xml:space="preserve"> </w:t>
      </w:r>
      <w:bookmarkEnd w:id="143"/>
      <w:bookmarkEnd w:id="144"/>
    </w:p>
    <w:p w14:paraId="6DA2EAFA" w14:textId="4D106BA1" w:rsidR="004D0986" w:rsidRPr="008B6727" w:rsidRDefault="00390190" w:rsidP="00372A2A">
      <w:r>
        <w:t xml:space="preserve">One of the complementary reforms that </w:t>
      </w:r>
      <w:proofErr w:type="gramStart"/>
      <w:r>
        <w:t>is</w:t>
      </w:r>
      <w:proofErr w:type="gramEnd"/>
      <w:r>
        <w:t xml:space="preserve"> likely to have the </w:t>
      </w:r>
      <w:r w:rsidR="00CC4638">
        <w:t>greatest impact</w:t>
      </w:r>
      <w:r>
        <w:t xml:space="preserve"> on the efficacy of the bond aggregator is the </w:t>
      </w:r>
      <w:r w:rsidR="006D459B">
        <w:t>strengthening</w:t>
      </w:r>
      <w:r w:rsidR="006D4B15">
        <w:t xml:space="preserve"> </w:t>
      </w:r>
      <w:r w:rsidR="00DE0B51">
        <w:t xml:space="preserve">of </w:t>
      </w:r>
      <w:r>
        <w:t>regulation of the community housing sector.</w:t>
      </w:r>
      <w:r w:rsidR="00AC220C" w:rsidRPr="008B6727">
        <w:t xml:space="preserve"> </w:t>
      </w:r>
      <w:r w:rsidR="004D0986" w:rsidRPr="008B6727">
        <w:t>An effective regulatory regime will give potential investors confidence that</w:t>
      </w:r>
      <w:r>
        <w:t xml:space="preserve"> the CHPs</w:t>
      </w:r>
      <w:r w:rsidR="004D0986" w:rsidRPr="008B6727">
        <w:t xml:space="preserve"> </w:t>
      </w:r>
      <w:r w:rsidR="00C435C5">
        <w:t>accessing finance through</w:t>
      </w:r>
      <w:r>
        <w:t xml:space="preserve"> the bond aggregator are</w:t>
      </w:r>
      <w:r w:rsidR="004D0986" w:rsidRPr="008B6727">
        <w:t xml:space="preserve"> well </w:t>
      </w:r>
      <w:r w:rsidR="00DE0B51">
        <w:t>governed</w:t>
      </w:r>
      <w:r w:rsidR="00331327">
        <w:t>, capable of meeting their debt obligations</w:t>
      </w:r>
      <w:r w:rsidR="004D0986" w:rsidRPr="008B6727">
        <w:t xml:space="preserve"> and</w:t>
      </w:r>
      <w:r w:rsidR="003F3CE7">
        <w:t xml:space="preserve"> that</w:t>
      </w:r>
      <w:r w:rsidR="004D0986" w:rsidRPr="008B6727">
        <w:t xml:space="preserve"> </w:t>
      </w:r>
      <w:r w:rsidR="004943B6">
        <w:t xml:space="preserve">financial and operational </w:t>
      </w:r>
      <w:r w:rsidR="003F3CE7">
        <w:t>risks are</w:t>
      </w:r>
      <w:r w:rsidR="00D525CB">
        <w:t xml:space="preserve"> appropriately</w:t>
      </w:r>
      <w:r w:rsidR="003F3CE7">
        <w:t xml:space="preserve"> managed</w:t>
      </w:r>
      <w:r w:rsidR="004D0986" w:rsidRPr="008B6727">
        <w:t xml:space="preserve">. </w:t>
      </w:r>
      <w:r w:rsidR="00D525CB">
        <w:t xml:space="preserve">By way of contrast, inadequate regulation could prompt doubts about the sector’s viability </w:t>
      </w:r>
      <w:r w:rsidR="005708D6">
        <w:t>and jeopardise</w:t>
      </w:r>
      <w:r w:rsidR="00D525CB">
        <w:t xml:space="preserve"> investors</w:t>
      </w:r>
      <w:r w:rsidR="005825AA">
        <w:t>’</w:t>
      </w:r>
      <w:r w:rsidR="00D525CB">
        <w:t xml:space="preserve"> willingness to invest.  </w:t>
      </w:r>
      <w:r w:rsidR="003F3CE7">
        <w:t xml:space="preserve"> </w:t>
      </w:r>
      <w:r w:rsidR="004D0986" w:rsidRPr="008B6727">
        <w:t xml:space="preserve"> </w:t>
      </w:r>
    </w:p>
    <w:p w14:paraId="1E1D7C79" w14:textId="0C401051" w:rsidR="004D0986" w:rsidRPr="008B6727" w:rsidRDefault="004D0986" w:rsidP="0088343E">
      <w:r w:rsidRPr="008B6727">
        <w:t xml:space="preserve">The effectiveness of the regulatory regime will be particularly important in the early days of the bond aggregator when potential investors </w:t>
      </w:r>
      <w:r w:rsidR="00185D86">
        <w:t xml:space="preserve">may </w:t>
      </w:r>
      <w:r w:rsidRPr="008B6727">
        <w:t xml:space="preserve">have little knowledge of the sector. The community housing sector, through the bond aggregator, will need to compete with other asset classes to attract funds from institutional investors. </w:t>
      </w:r>
      <w:r w:rsidR="00693E22">
        <w:t>I</w:t>
      </w:r>
      <w:r w:rsidRPr="008B6727">
        <w:t xml:space="preserve">nstitutional investors will have a greater familiarity with these other asset classes and have a better appreciation of their risks and returns compared with bonds issued by the aggregator. </w:t>
      </w:r>
    </w:p>
    <w:p w14:paraId="22993C8E" w14:textId="6D335E68" w:rsidR="001712FE" w:rsidRDefault="001712FE" w:rsidP="0088343E">
      <w:proofErr w:type="gramStart"/>
      <w:r>
        <w:t>In the 2017-18 Federal Budget,</w:t>
      </w:r>
      <w:proofErr w:type="gramEnd"/>
      <w:r>
        <w:t xml:space="preserve"> the Commonwealth Government announced </w:t>
      </w:r>
      <w:r w:rsidR="004440AF">
        <w:t xml:space="preserve">that </w:t>
      </w:r>
      <w:r w:rsidR="004943B6">
        <w:t xml:space="preserve">it </w:t>
      </w:r>
      <w:r w:rsidR="004440AF">
        <w:t xml:space="preserve">would </w:t>
      </w:r>
      <w:r>
        <w:t>work with State and Territory government</w:t>
      </w:r>
      <w:r w:rsidR="004943B6">
        <w:t>s</w:t>
      </w:r>
      <w:r>
        <w:t xml:space="preserve"> to strengthen the national regulatory framework for </w:t>
      </w:r>
      <w:r w:rsidR="00693E22">
        <w:t>CHPs</w:t>
      </w:r>
      <w:r>
        <w:t xml:space="preserve"> in order to provide institutional investors with confidence to invest in the sector and reduce red tape for community housing prov</w:t>
      </w:r>
      <w:r w:rsidR="00B71151">
        <w:t>iders that operate in multiple S</w:t>
      </w:r>
      <w:r>
        <w:t>tates</w:t>
      </w:r>
      <w:r w:rsidR="00693E22">
        <w:t xml:space="preserve"> and/or </w:t>
      </w:r>
      <w:r w:rsidR="00B71151">
        <w:t>T</w:t>
      </w:r>
      <w:r w:rsidR="00693E22">
        <w:t>erritories</w:t>
      </w:r>
      <w:r>
        <w:t xml:space="preserve">.  </w:t>
      </w:r>
    </w:p>
    <w:p w14:paraId="6C3CE6FA" w14:textId="77777777" w:rsidR="004D0986" w:rsidRPr="008B6727" w:rsidRDefault="004D0986" w:rsidP="0088343E">
      <w:r w:rsidRPr="008B6727">
        <w:t xml:space="preserve">This chapter provides an overview of the current regulatory framework for the community housing sector and suggests reforms that would facilitate the successful introduction of a bond aggregator in Australia. </w:t>
      </w:r>
    </w:p>
    <w:p w14:paraId="7775E76C" w14:textId="1A3A3356" w:rsidR="004D0986" w:rsidRPr="00131104" w:rsidRDefault="004D0986" w:rsidP="004D0986">
      <w:pPr>
        <w:pStyle w:val="Heading2"/>
      </w:pPr>
      <w:bookmarkStart w:id="154" w:name="_Toc485750944"/>
      <w:bookmarkStart w:id="155" w:name="_Toc487814096"/>
      <w:bookmarkStart w:id="156" w:name="_Toc493848968"/>
      <w:r w:rsidRPr="00131104">
        <w:t xml:space="preserve">Current regulatory </w:t>
      </w:r>
      <w:r w:rsidR="00AC220C">
        <w:t>s</w:t>
      </w:r>
      <w:r w:rsidR="005708D6">
        <w:t>ettings</w:t>
      </w:r>
      <w:bookmarkEnd w:id="154"/>
      <w:bookmarkEnd w:id="155"/>
      <w:bookmarkEnd w:id="156"/>
    </w:p>
    <w:p w14:paraId="60A0C3CD" w14:textId="757C166F" w:rsidR="004D0986" w:rsidRDefault="004D0986" w:rsidP="00372A2A">
      <w:r w:rsidRPr="008B6727">
        <w:t xml:space="preserve">The National Regulatory System for Community Housing (NRSCH) </w:t>
      </w:r>
      <w:r w:rsidR="00196A5C">
        <w:t xml:space="preserve">was established </w:t>
      </w:r>
      <w:r w:rsidR="00BB64F5">
        <w:t xml:space="preserve">in 2014 </w:t>
      </w:r>
      <w:r w:rsidR="00196A5C">
        <w:t>to p</w:t>
      </w:r>
      <w:r w:rsidRPr="00925A1B">
        <w:t>rovide a consistent regulatory environment to support the growth and development of the community housing sector</w:t>
      </w:r>
      <w:r w:rsidR="00196A5C">
        <w:t>, p</w:t>
      </w:r>
      <w:r w:rsidRPr="00196A5C">
        <w:t>ave the way for future housing development</w:t>
      </w:r>
      <w:r w:rsidR="00196A5C">
        <w:t>, r</w:t>
      </w:r>
      <w:r w:rsidRPr="00196A5C">
        <w:t>educe the regulatory burden on housing providers working across jurisdictions</w:t>
      </w:r>
      <w:r w:rsidR="00196A5C">
        <w:t xml:space="preserve"> and p</w:t>
      </w:r>
      <w:r w:rsidRPr="00196A5C">
        <w:t>rovide a level playing field for providers seeking to enter n</w:t>
      </w:r>
      <w:r w:rsidR="00196A5C">
        <w:t xml:space="preserve">ew jurisdictions. </w:t>
      </w:r>
    </w:p>
    <w:p w14:paraId="0301D30F" w14:textId="51687565" w:rsidR="007405FA" w:rsidRDefault="007405FA" w:rsidP="00372A2A">
      <w:r>
        <w:t xml:space="preserve">The NRSCH is underpinned by the National Regulatory Code which sets out the performance requirements that registered housing providers must comply with in providing community housing under the National Law. </w:t>
      </w:r>
      <w:r w:rsidR="00196A5C" w:rsidRPr="00196A5C">
        <w:t xml:space="preserve">Under the </w:t>
      </w:r>
      <w:r w:rsidR="00C435C5">
        <w:t>NRSCH most of</w:t>
      </w:r>
      <w:r w:rsidR="00196A5C" w:rsidRPr="00196A5C">
        <w:t xml:space="preserve"> the States and Territories have adopt</w:t>
      </w:r>
      <w:r w:rsidR="00C435C5">
        <w:t xml:space="preserve">ed </w:t>
      </w:r>
      <w:r>
        <w:t>the National Regulatory</w:t>
      </w:r>
      <w:r w:rsidR="00C435C5">
        <w:t xml:space="preserve"> </w:t>
      </w:r>
      <w:proofErr w:type="gramStart"/>
      <w:r>
        <w:t>C</w:t>
      </w:r>
      <w:r w:rsidR="00C435C5">
        <w:t>ode</w:t>
      </w:r>
      <w:r>
        <w:t>,</w:t>
      </w:r>
      <w:proofErr w:type="gramEnd"/>
      <w:r>
        <w:t xml:space="preserve"> however </w:t>
      </w:r>
      <w:r w:rsidR="00196A5C" w:rsidRPr="00196A5C">
        <w:t>Victoria and Western Australia have retained the</w:t>
      </w:r>
      <w:r w:rsidR="00B45282">
        <w:t>ir</w:t>
      </w:r>
      <w:r w:rsidR="00196A5C" w:rsidRPr="00196A5C">
        <w:t xml:space="preserve"> own regulation. </w:t>
      </w:r>
    </w:p>
    <w:p w14:paraId="5AB23D9D" w14:textId="780A8B29" w:rsidR="00196A5C" w:rsidRDefault="00196A5C" w:rsidP="00372A2A">
      <w:r w:rsidRPr="00196A5C">
        <w:t>Each jurisdiction also has their own regulators (or Registrars), although Tasmania has referred their regulator</w:t>
      </w:r>
      <w:r w:rsidR="007D404C">
        <w:t>y</w:t>
      </w:r>
      <w:r w:rsidRPr="00196A5C">
        <w:t xml:space="preserve"> powers to the NSW Registrar. </w:t>
      </w:r>
      <w:r w:rsidR="004945A5">
        <w:t>These Registrars have the power to register providers, monitor provider</w:t>
      </w:r>
      <w:r w:rsidR="009E77EB">
        <w:t>s’</w:t>
      </w:r>
      <w:r w:rsidR="004945A5">
        <w:t xml:space="preserve"> </w:t>
      </w:r>
      <w:r w:rsidR="004943B6">
        <w:t xml:space="preserve">financial and tenancy management </w:t>
      </w:r>
      <w:r w:rsidR="004945A5">
        <w:t>performance, intervene when non-compliance occurs, and to cancel the registration of non-compliant providers.</w:t>
      </w:r>
    </w:p>
    <w:p w14:paraId="77722795" w14:textId="77777777" w:rsidR="00BC33F1" w:rsidRDefault="00BC33F1">
      <w:pPr>
        <w:spacing w:after="200" w:line="276" w:lineRule="auto"/>
        <w:jc w:val="left"/>
      </w:pPr>
      <w:r>
        <w:br w:type="page"/>
      </w:r>
    </w:p>
    <w:p w14:paraId="36C816B2" w14:textId="4096E23D" w:rsidR="007D404C" w:rsidRPr="00196A5C" w:rsidRDefault="007D404C" w:rsidP="00372A2A">
      <w:r>
        <w:lastRenderedPageBreak/>
        <w:t xml:space="preserve">The coverage </w:t>
      </w:r>
      <w:r w:rsidR="00922982">
        <w:t xml:space="preserve">under the NRSCH </w:t>
      </w:r>
      <w:r>
        <w:t xml:space="preserve">is </w:t>
      </w:r>
      <w:r w:rsidR="006D36EF">
        <w:t>limited to registered providers, with registration</w:t>
      </w:r>
      <w:r w:rsidRPr="008B6727">
        <w:t xml:space="preserve"> </w:t>
      </w:r>
      <w:r w:rsidR="004943B6">
        <w:t xml:space="preserve">being </w:t>
      </w:r>
      <w:r w:rsidRPr="008B6727">
        <w:t>voluntary</w:t>
      </w:r>
      <w:r>
        <w:t>.</w:t>
      </w:r>
      <w:r w:rsidR="006D36EF">
        <w:t xml:space="preserve"> While the majority of providers (in the participating States and Territories) are registered, there </w:t>
      </w:r>
      <w:r w:rsidR="00922982">
        <w:t>are</w:t>
      </w:r>
      <w:r w:rsidR="006D36EF">
        <w:t xml:space="preserve"> </w:t>
      </w:r>
      <w:r w:rsidR="00922982">
        <w:t>significant numbers of u</w:t>
      </w:r>
      <w:r w:rsidR="00616AE4">
        <w:t>nregistered organisations provid</w:t>
      </w:r>
      <w:r w:rsidR="00922982">
        <w:t xml:space="preserve">ing affordable housing, either through </w:t>
      </w:r>
      <w:r w:rsidR="00693E22">
        <w:t>the provision of community and I</w:t>
      </w:r>
      <w:r w:rsidR="00922982">
        <w:t>ndigenous</w:t>
      </w:r>
      <w:r w:rsidR="006D36EF">
        <w:t xml:space="preserve"> </w:t>
      </w:r>
      <w:r w:rsidR="00922982">
        <w:t>housing or private rental properties supp</w:t>
      </w:r>
      <w:r w:rsidR="00616AE4">
        <w:t>orted by N</w:t>
      </w:r>
      <w:r w:rsidR="00922982">
        <w:t>RAS.</w:t>
      </w:r>
    </w:p>
    <w:p w14:paraId="7E4A2267" w14:textId="427C54A5" w:rsidR="004D0986" w:rsidRPr="00925A1B" w:rsidRDefault="00C435C5" w:rsidP="00372A2A">
      <w:r>
        <w:t>T</w:t>
      </w:r>
      <w:r w:rsidR="004D0986" w:rsidRPr="008B6727">
        <w:t xml:space="preserve">he National Regulatory Code sets out the performance requirements </w:t>
      </w:r>
      <w:r w:rsidR="007D404C">
        <w:t>of</w:t>
      </w:r>
      <w:r w:rsidR="004D0986" w:rsidRPr="008B6727">
        <w:t xml:space="preserve"> </w:t>
      </w:r>
      <w:r>
        <w:t>CHP</w:t>
      </w:r>
      <w:r w:rsidR="004D0986" w:rsidRPr="008B6727">
        <w:t xml:space="preserve">s under the </w:t>
      </w:r>
      <w:r w:rsidRPr="008B6727">
        <w:t>NRSCH</w:t>
      </w:r>
      <w:r w:rsidR="004D0986" w:rsidRPr="008B6727">
        <w:t xml:space="preserve">. It does not prescribe how providers should run their businesses but rather focuses on the </w:t>
      </w:r>
      <w:r w:rsidR="004D0986" w:rsidRPr="00925A1B">
        <w:t>achievement of outcomes in the following areas:</w:t>
      </w:r>
    </w:p>
    <w:p w14:paraId="7D16BA08" w14:textId="1D7DDFFB" w:rsidR="004D0986" w:rsidRPr="00E923B0" w:rsidRDefault="004D0986" w:rsidP="00B14AFE">
      <w:pPr>
        <w:pStyle w:val="Bullet"/>
        <w:spacing w:after="120"/>
      </w:pPr>
      <w:r w:rsidRPr="00C70E33">
        <w:t>Tenant and housing services</w:t>
      </w:r>
      <w:r w:rsidR="009E77EB">
        <w:t>;</w:t>
      </w:r>
    </w:p>
    <w:p w14:paraId="6BEBC568" w14:textId="48D29D14" w:rsidR="004D0986" w:rsidRPr="00DF1A8D" w:rsidRDefault="004D0986" w:rsidP="00B14AFE">
      <w:pPr>
        <w:pStyle w:val="Bullet"/>
        <w:spacing w:after="120"/>
      </w:pPr>
      <w:r w:rsidRPr="00710B56">
        <w:t>Housing assets</w:t>
      </w:r>
      <w:r w:rsidR="009E77EB">
        <w:t>;</w:t>
      </w:r>
    </w:p>
    <w:p w14:paraId="4F011467" w14:textId="52E0E819" w:rsidR="004D0986" w:rsidRPr="00581C29" w:rsidRDefault="004D0986" w:rsidP="00B14AFE">
      <w:pPr>
        <w:pStyle w:val="Bullet"/>
        <w:spacing w:after="120"/>
      </w:pPr>
      <w:r w:rsidRPr="0049130F">
        <w:t>Community engagement</w:t>
      </w:r>
      <w:r w:rsidR="009E77EB">
        <w:t>;</w:t>
      </w:r>
    </w:p>
    <w:p w14:paraId="7778835D" w14:textId="4D50CE59" w:rsidR="004D0986" w:rsidRPr="00581C29" w:rsidRDefault="004D0986" w:rsidP="00B14AFE">
      <w:pPr>
        <w:pStyle w:val="Bullet"/>
        <w:spacing w:after="120"/>
      </w:pPr>
      <w:r w:rsidRPr="00E55F09">
        <w:t>Governance</w:t>
      </w:r>
      <w:r w:rsidR="009E77EB">
        <w:t>;</w:t>
      </w:r>
    </w:p>
    <w:p w14:paraId="65547FB8" w14:textId="6E02193D" w:rsidR="004D0986" w:rsidRPr="00581C29" w:rsidRDefault="004D0986" w:rsidP="00B14AFE">
      <w:pPr>
        <w:pStyle w:val="Bullet"/>
        <w:spacing w:after="120"/>
      </w:pPr>
      <w:r w:rsidRPr="00E55F09">
        <w:t>Probity</w:t>
      </w:r>
      <w:r w:rsidR="009E77EB">
        <w:t>;</w:t>
      </w:r>
    </w:p>
    <w:p w14:paraId="75B49620" w14:textId="4FEDA02D" w:rsidR="004D0986" w:rsidRPr="00581C29" w:rsidRDefault="004D0986" w:rsidP="00B14AFE">
      <w:pPr>
        <w:pStyle w:val="Bullet"/>
        <w:spacing w:after="120"/>
      </w:pPr>
      <w:r w:rsidRPr="00E55F09">
        <w:t>Management</w:t>
      </w:r>
      <w:r w:rsidR="009E77EB">
        <w:t>; and</w:t>
      </w:r>
    </w:p>
    <w:p w14:paraId="2BF03320" w14:textId="77777777" w:rsidR="004D0986" w:rsidRPr="00FC79FC" w:rsidRDefault="004D0986" w:rsidP="00B14AFE">
      <w:pPr>
        <w:pStyle w:val="Bullet"/>
      </w:pPr>
      <w:r w:rsidRPr="00E55F09">
        <w:t>Financial vi</w:t>
      </w:r>
      <w:r w:rsidRPr="008877AC">
        <w:t>ability.</w:t>
      </w:r>
    </w:p>
    <w:p w14:paraId="73FEDF10" w14:textId="4F5D7623" w:rsidR="00D30EFD" w:rsidRDefault="00372B14" w:rsidP="00372A2A">
      <w:r>
        <w:t>Under the NRS</w:t>
      </w:r>
      <w:r w:rsidR="004D0986" w:rsidRPr="008B6727">
        <w:t>CH</w:t>
      </w:r>
      <w:r w:rsidR="00843B24">
        <w:t>,</w:t>
      </w:r>
      <w:r w:rsidR="004D0986" w:rsidRPr="008B6727">
        <w:t xml:space="preserve"> registered housin</w:t>
      </w:r>
      <w:r w:rsidR="00A076F2">
        <w:t xml:space="preserve">g providers are </w:t>
      </w:r>
      <w:r w:rsidR="00B647EA">
        <w:t>ordered in</w:t>
      </w:r>
      <w:r w:rsidR="00A076F2">
        <w:t xml:space="preserve"> t</w:t>
      </w:r>
      <w:r w:rsidR="004D0986" w:rsidRPr="008B6727">
        <w:t>ier</w:t>
      </w:r>
      <w:r w:rsidR="00A076F2">
        <w:t>s</w:t>
      </w:r>
      <w:r w:rsidR="004D0986" w:rsidRPr="008B6727">
        <w:t xml:space="preserve"> according to the scale and complexity of their </w:t>
      </w:r>
      <w:r w:rsidR="00362003">
        <w:t xml:space="preserve">tenancy and property management and development </w:t>
      </w:r>
      <w:r w:rsidR="004D0986" w:rsidRPr="008B6727">
        <w:t>acti</w:t>
      </w:r>
      <w:r w:rsidR="00362003">
        <w:t xml:space="preserve">vities. </w:t>
      </w:r>
      <w:r w:rsidR="00D30EFD">
        <w:t>While there is some flexibility, t</w:t>
      </w:r>
      <w:r w:rsidR="00362003">
        <w:t>ier 1 CHPs</w:t>
      </w:r>
      <w:r w:rsidR="004D0986" w:rsidRPr="008B6727">
        <w:t xml:space="preserve"> </w:t>
      </w:r>
      <w:r w:rsidR="00362003">
        <w:t>typically either manage more than 350 properties or have the capacity to undertake ongoing development activities at scale</w:t>
      </w:r>
      <w:r w:rsidR="00D30EFD">
        <w:t>, t</w:t>
      </w:r>
      <w:r w:rsidR="00362003">
        <w:t>ier 2 providers are generally responsible for between 50 and 500 dwellings and/or smal</w:t>
      </w:r>
      <w:r w:rsidR="00D30EFD">
        <w:t>l scale development activities and t</w:t>
      </w:r>
      <w:r w:rsidR="004D0986" w:rsidRPr="008B6727">
        <w:t xml:space="preserve">ier 3 providers </w:t>
      </w:r>
      <w:r w:rsidR="00B647EA">
        <w:t>support</w:t>
      </w:r>
      <w:r w:rsidR="00362003">
        <w:t xml:space="preserve"> less than 100 properties and</w:t>
      </w:r>
      <w:r w:rsidR="00D30EFD">
        <w:t>/or</w:t>
      </w:r>
      <w:r w:rsidR="00362003">
        <w:t xml:space="preserve"> </w:t>
      </w:r>
      <w:r w:rsidR="004D0986" w:rsidRPr="008B6727">
        <w:t xml:space="preserve">are typically involved in </w:t>
      </w:r>
      <w:r w:rsidR="00362003">
        <w:t xml:space="preserve">very </w:t>
      </w:r>
      <w:r w:rsidR="004D0986" w:rsidRPr="008B6727">
        <w:t xml:space="preserve">small-scale </w:t>
      </w:r>
      <w:r w:rsidR="00362003">
        <w:t xml:space="preserve">(if any) development </w:t>
      </w:r>
      <w:r w:rsidR="004D0986" w:rsidRPr="008B6727">
        <w:t xml:space="preserve">activities. </w:t>
      </w:r>
    </w:p>
    <w:p w14:paraId="38E622E0" w14:textId="01B166E4" w:rsidR="004D0986" w:rsidRDefault="004D0986" w:rsidP="00372A2A">
      <w:r w:rsidRPr="008B6727">
        <w:t xml:space="preserve">As </w:t>
      </w:r>
      <w:r w:rsidR="00B647EA">
        <w:t>at</w:t>
      </w:r>
      <w:r w:rsidR="00A076F2">
        <w:t xml:space="preserve"> mid-2017</w:t>
      </w:r>
      <w:r w:rsidRPr="008B6727">
        <w:t>, th</w:t>
      </w:r>
      <w:r w:rsidR="00A076F2">
        <w:t xml:space="preserve">ere </w:t>
      </w:r>
      <w:r w:rsidR="0015009A">
        <w:t>are</w:t>
      </w:r>
      <w:r w:rsidR="00A076F2">
        <w:t xml:space="preserve"> 30 Tier 1 providers, 34</w:t>
      </w:r>
      <w:r w:rsidRPr="008B6727">
        <w:t xml:space="preserve"> Tier 2 providers and </w:t>
      </w:r>
      <w:r w:rsidR="00A076F2">
        <w:t>203</w:t>
      </w:r>
      <w:r w:rsidRPr="008B6727">
        <w:t xml:space="preserve"> Tier 3 providers registere</w:t>
      </w:r>
      <w:r w:rsidR="00362003">
        <w:t>d under the NRSCH (NRSCH 2017).</w:t>
      </w:r>
    </w:p>
    <w:p w14:paraId="0B9325CB" w14:textId="0F07390C" w:rsidR="00C435C5" w:rsidRDefault="00C435C5" w:rsidP="004D0986">
      <w:pPr>
        <w:pStyle w:val="Heading2"/>
      </w:pPr>
      <w:bookmarkStart w:id="157" w:name="_Toc485750945"/>
      <w:bookmarkStart w:id="158" w:name="_Toc487814097"/>
      <w:bookmarkStart w:id="159" w:name="_Toc493848969"/>
      <w:r>
        <w:t xml:space="preserve">The nature of the </w:t>
      </w:r>
      <w:r w:rsidR="00DF4357">
        <w:t xml:space="preserve">regulatory </w:t>
      </w:r>
      <w:r>
        <w:t>problem</w:t>
      </w:r>
      <w:bookmarkEnd w:id="157"/>
      <w:bookmarkEnd w:id="158"/>
      <w:bookmarkEnd w:id="159"/>
      <w:r w:rsidR="00C30816">
        <w:rPr>
          <w:rFonts w:eastAsia="Times New Roman"/>
        </w:rPr>
        <w:t xml:space="preserve"> </w:t>
      </w:r>
    </w:p>
    <w:p w14:paraId="4C78543E" w14:textId="630AC148" w:rsidR="00DE0D0D" w:rsidRDefault="00DE0D0D" w:rsidP="00372A2A">
      <w:r>
        <w:t xml:space="preserve">One of the preliminary aims of the NRSCH was to develop a culture of registration and compliance in order to reduce risk and promote effectiveness and efficiency in the sector. This was an essential part of responding to the then needs of the CHP sector, government, and the broader community and </w:t>
      </w:r>
      <w:r w:rsidR="003C24C5">
        <w:t>improving the</w:t>
      </w:r>
      <w:r>
        <w:t xml:space="preserve"> </w:t>
      </w:r>
      <w:proofErr w:type="spellStart"/>
      <w:r>
        <w:t>professionalisation</w:t>
      </w:r>
      <w:proofErr w:type="spellEnd"/>
      <w:r>
        <w:t xml:space="preserve"> of</w:t>
      </w:r>
      <w:r w:rsidR="003C24C5">
        <w:t xml:space="preserve"> the</w:t>
      </w:r>
      <w:r>
        <w:t xml:space="preserve"> community housing</w:t>
      </w:r>
      <w:r w:rsidR="003C24C5">
        <w:t xml:space="preserve"> sector</w:t>
      </w:r>
      <w:r>
        <w:t xml:space="preserve">. However, as the sector has matured, there is a need to shift </w:t>
      </w:r>
      <w:r w:rsidR="003C24C5">
        <w:t>the</w:t>
      </w:r>
      <w:r>
        <w:t xml:space="preserve"> </w:t>
      </w:r>
      <w:r w:rsidR="00E923B0">
        <w:t>emphasis from</w:t>
      </w:r>
      <w:r>
        <w:t xml:space="preserve"> compliance to </w:t>
      </w:r>
      <w:r w:rsidR="00E923B0">
        <w:t>the</w:t>
      </w:r>
      <w:r>
        <w:t xml:space="preserve"> delivery of quality service</w:t>
      </w:r>
      <w:r w:rsidR="00E923B0">
        <w:t>s</w:t>
      </w:r>
      <w:r>
        <w:t xml:space="preserve">, ongoing growth and greater financial sustainability. </w:t>
      </w:r>
    </w:p>
    <w:p w14:paraId="3F44BB52" w14:textId="3D53474A" w:rsidR="00DE0D0D" w:rsidRDefault="00DE0D0D" w:rsidP="00372A2A">
      <w:r>
        <w:t xml:space="preserve">Notwithstanding its many </w:t>
      </w:r>
      <w:r w:rsidR="00C94C4C">
        <w:t>attributes, there are concerns that the NRSCH has lost tracti</w:t>
      </w:r>
      <w:r>
        <w:t>on</w:t>
      </w:r>
      <w:r w:rsidR="00C94C4C">
        <w:t xml:space="preserve">. Some of its </w:t>
      </w:r>
      <w:r w:rsidR="00E923B0">
        <w:t>acknowledged shortcomings</w:t>
      </w:r>
      <w:r w:rsidR="00C94C4C">
        <w:t xml:space="preserve"> include:</w:t>
      </w:r>
    </w:p>
    <w:p w14:paraId="4AD308BD" w14:textId="3EE2AB2A" w:rsidR="00DE0D0D" w:rsidRDefault="00C94C4C" w:rsidP="00B14AFE">
      <w:pPr>
        <w:pStyle w:val="Bullet"/>
        <w:spacing w:after="120"/>
      </w:pPr>
      <w:r>
        <w:t>a</w:t>
      </w:r>
      <w:r w:rsidR="00DE0D0D">
        <w:t xml:space="preserve"> focus on compliance rather than capacity building</w:t>
      </w:r>
      <w:r w:rsidR="00FC52A5">
        <w:t>;</w:t>
      </w:r>
    </w:p>
    <w:p w14:paraId="1D030D3C" w14:textId="18CD3676" w:rsidR="00DE0D0D" w:rsidRDefault="00C94C4C" w:rsidP="00B14AFE">
      <w:pPr>
        <w:pStyle w:val="Bullet"/>
        <w:spacing w:after="120"/>
      </w:pPr>
      <w:r>
        <w:t>p</w:t>
      </w:r>
      <w:r w:rsidR="00DE0D0D">
        <w:t>oor quality and availability of sector data</w:t>
      </w:r>
      <w:r w:rsidR="0051637A">
        <w:t>; and</w:t>
      </w:r>
    </w:p>
    <w:p w14:paraId="191F70B8" w14:textId="13AF1C4B" w:rsidR="00DE0D0D" w:rsidRDefault="00C94C4C" w:rsidP="00B14AFE">
      <w:pPr>
        <w:pStyle w:val="Bullet"/>
      </w:pPr>
      <w:proofErr w:type="gramStart"/>
      <w:r>
        <w:t>l</w:t>
      </w:r>
      <w:r w:rsidR="00DE0D0D">
        <w:t>ack</w:t>
      </w:r>
      <w:proofErr w:type="gramEnd"/>
      <w:r w:rsidR="00DE0D0D">
        <w:t xml:space="preserve"> of measures for tenant outcomes</w:t>
      </w:r>
      <w:r w:rsidR="00FC52A5">
        <w:t>.</w:t>
      </w:r>
    </w:p>
    <w:p w14:paraId="6ED3C351" w14:textId="77777777" w:rsidR="00BC33F1" w:rsidRDefault="00BC33F1">
      <w:pPr>
        <w:spacing w:after="200" w:line="276" w:lineRule="auto"/>
        <w:jc w:val="left"/>
      </w:pPr>
      <w:r>
        <w:br w:type="page"/>
      </w:r>
    </w:p>
    <w:p w14:paraId="011B499B" w14:textId="4428DDDA" w:rsidR="00C94C4C" w:rsidRPr="00E00A4D" w:rsidRDefault="00C94C4C" w:rsidP="00372A2A">
      <w:pPr>
        <w:rPr>
          <w:i/>
        </w:rPr>
      </w:pPr>
      <w:r>
        <w:lastRenderedPageBreak/>
        <w:t>A recent research report</w:t>
      </w:r>
      <w:r w:rsidR="00DE0D0D">
        <w:t xml:space="preserve"> on Australia’s affordable housing industry identified revitalisation of industry regulation and standards as a core priority for developing the capacity and scale of the industry (Milligan, et al., 2017). </w:t>
      </w:r>
      <w:r>
        <w:t xml:space="preserve">It found that </w:t>
      </w:r>
      <w:r w:rsidRPr="00F70AF9">
        <w:rPr>
          <w:i/>
        </w:rPr>
        <w:t xml:space="preserve">‘national regulation has so far failed to achieve Australia-wide coverage, lost all momentum, and become isolated from policy developments. A thorough review of the system is therefore timely. This should encompass the system’s governance arrangements and its proper remit, as well as performance standards, compliance guidance, and ‘tiers’ framework. </w:t>
      </w:r>
      <w:r>
        <w:rPr>
          <w:i/>
        </w:rPr>
        <w:t>Also relevant is the growing administrative burden experienced by some providers due to contractual requirements being overlaid on formal regulation.</w:t>
      </w:r>
      <w:r>
        <w:rPr>
          <w:rStyle w:val="FootnoteReference"/>
          <w:i/>
        </w:rPr>
        <w:footnoteReference w:id="16"/>
      </w:r>
      <w:r>
        <w:rPr>
          <w:i/>
        </w:rPr>
        <w:t xml:space="preserve"> Perceived organisational capacity limitations within housing registrar offices need to be addressed.’</w:t>
      </w:r>
      <w:r w:rsidR="00D5710E">
        <w:rPr>
          <w:i/>
        </w:rPr>
        <w:t xml:space="preserve"> </w:t>
      </w:r>
      <w:r w:rsidR="00D5710E" w:rsidRPr="00B14AFE">
        <w:t>(Milligan et al. 2016)</w:t>
      </w:r>
    </w:p>
    <w:p w14:paraId="0501EAF6" w14:textId="5E085EE2" w:rsidR="00F50626" w:rsidRDefault="00044C8F" w:rsidP="00372A2A">
      <w:r w:rsidRPr="00044C8F">
        <w:t>Th</w:t>
      </w:r>
      <w:r>
        <w:t xml:space="preserve">e </w:t>
      </w:r>
      <w:r w:rsidR="00F50626">
        <w:t>establishment of a</w:t>
      </w:r>
      <w:r>
        <w:t xml:space="preserve"> bond aggregator</w:t>
      </w:r>
      <w:r w:rsidR="00F50626">
        <w:t xml:space="preserve"> adds a new dimension to the regulatory challenge</w:t>
      </w:r>
      <w:r>
        <w:t>.</w:t>
      </w:r>
      <w:r w:rsidR="00F50626">
        <w:t xml:space="preserve"> The current </w:t>
      </w:r>
      <w:r w:rsidR="003A6E38">
        <w:t xml:space="preserve">regulatory </w:t>
      </w:r>
      <w:r w:rsidR="00F50626">
        <w:t xml:space="preserve">system </w:t>
      </w:r>
      <w:r w:rsidR="00E26905">
        <w:t>has largely been sufficient</w:t>
      </w:r>
      <w:r w:rsidR="00F50626">
        <w:t xml:space="preserve"> for</w:t>
      </w:r>
      <w:r w:rsidR="00AE6EBF">
        <w:t xml:space="preserve"> the majority of</w:t>
      </w:r>
      <w:r w:rsidR="00F50626">
        <w:t xml:space="preserve"> CHPs that </w:t>
      </w:r>
      <w:r w:rsidR="00AE6EBF">
        <w:t>are</w:t>
      </w:r>
      <w:r w:rsidR="00F50626">
        <w:t xml:space="preserve"> relatively small in scale</w:t>
      </w:r>
      <w:r w:rsidR="00E26905">
        <w:t>, focused on tenancy management</w:t>
      </w:r>
      <w:r w:rsidR="00F50626">
        <w:t xml:space="preserve"> and localised in their activities</w:t>
      </w:r>
      <w:r w:rsidR="00AE6EBF">
        <w:t>. However, for larger CHPs that are involved in proper</w:t>
      </w:r>
      <w:r w:rsidR="000F1F55">
        <w:t>ty</w:t>
      </w:r>
      <w:r w:rsidR="00AE6EBF">
        <w:t xml:space="preserve"> development and ventures beyond tenancy management, the NRSCH is unable to offer either government</w:t>
      </w:r>
      <w:r w:rsidR="004943B6">
        <w:t>s</w:t>
      </w:r>
      <w:r w:rsidR="00AE6EBF">
        <w:t xml:space="preserve"> o</w:t>
      </w:r>
      <w:r w:rsidR="00A66E4D">
        <w:t>r</w:t>
      </w:r>
      <w:r w:rsidR="00AE6EBF">
        <w:t xml:space="preserve"> potential investors with the confidence they require. Additionally</w:t>
      </w:r>
      <w:proofErr w:type="gramStart"/>
      <w:r w:rsidR="00AE6EBF">
        <w:t xml:space="preserve">, </w:t>
      </w:r>
      <w:r w:rsidR="00E26905">
        <w:t xml:space="preserve"> given</w:t>
      </w:r>
      <w:proofErr w:type="gramEnd"/>
      <w:r w:rsidR="00E26905">
        <w:t xml:space="preserve"> that the sector will </w:t>
      </w:r>
      <w:r w:rsidR="00686865">
        <w:t xml:space="preserve">soon </w:t>
      </w:r>
      <w:r w:rsidR="00E26905">
        <w:t xml:space="preserve">be linked to debt </w:t>
      </w:r>
      <w:r w:rsidR="003A6E38">
        <w:t xml:space="preserve">capital </w:t>
      </w:r>
      <w:r w:rsidR="00E26905">
        <w:t>markets</w:t>
      </w:r>
      <w:r w:rsidR="00E26905" w:rsidRPr="00F50626">
        <w:t xml:space="preserve"> </w:t>
      </w:r>
      <w:r w:rsidR="00E26905">
        <w:t xml:space="preserve">via </w:t>
      </w:r>
      <w:r w:rsidR="00B71151">
        <w:t>the bond aggregator</w:t>
      </w:r>
      <w:r w:rsidR="003A6E38">
        <w:t>,</w:t>
      </w:r>
      <w:r w:rsidR="00B71151">
        <w:t xml:space="preserve"> </w:t>
      </w:r>
      <w:r w:rsidR="00BA2B6A">
        <w:t>the regulatory settings</w:t>
      </w:r>
      <w:r w:rsidR="00E26905">
        <w:t xml:space="preserve"> need to be re-examined.</w:t>
      </w:r>
    </w:p>
    <w:p w14:paraId="2BE6EE85" w14:textId="2BB59D84" w:rsidR="00546597" w:rsidRDefault="009F7E83" w:rsidP="00372A2A">
      <w:r>
        <w:t xml:space="preserve">At the very least, </w:t>
      </w:r>
      <w:r w:rsidR="00BA2B6A">
        <w:t xml:space="preserve">in assessing what changes </w:t>
      </w:r>
      <w:r w:rsidR="00B71151">
        <w:t>may</w:t>
      </w:r>
      <w:r w:rsidR="00BA2B6A">
        <w:t xml:space="preserve"> need to be</w:t>
      </w:r>
      <w:r w:rsidR="0010123E">
        <w:t xml:space="preserve"> made to the current </w:t>
      </w:r>
      <w:r w:rsidR="003A6E38">
        <w:t xml:space="preserve">regulatory </w:t>
      </w:r>
      <w:r w:rsidR="0010123E">
        <w:t>framework</w:t>
      </w:r>
      <w:r>
        <w:t>, consideration needs to be given to the extent to which p</w:t>
      </w:r>
      <w:r w:rsidR="00BA2B6A">
        <w:t>otential investors</w:t>
      </w:r>
      <w:r>
        <w:t xml:space="preserve"> are</w:t>
      </w:r>
      <w:r w:rsidR="0010123E">
        <w:t xml:space="preserve"> reassured</w:t>
      </w:r>
      <w:r w:rsidR="00BA2B6A">
        <w:t xml:space="preserve"> of the financial viability of the CHPs</w:t>
      </w:r>
      <w:r w:rsidR="0010123E">
        <w:t xml:space="preserve"> they are ultimately lending to, a</w:t>
      </w:r>
      <w:r w:rsidR="006D4EA2">
        <w:t>s well as</w:t>
      </w:r>
      <w:r w:rsidR="0010123E">
        <w:t xml:space="preserve"> the </w:t>
      </w:r>
      <w:r>
        <w:t>sector as a whole</w:t>
      </w:r>
      <w:r w:rsidR="00924CB8">
        <w:t>.</w:t>
      </w:r>
      <w:r w:rsidR="0010123E" w:rsidRPr="009F7E83">
        <w:rPr>
          <w:vertAlign w:val="superscript"/>
        </w:rPr>
        <w:footnoteReference w:id="17"/>
      </w:r>
      <w:r>
        <w:t xml:space="preserve"> </w:t>
      </w:r>
      <w:r w:rsidR="00E923B0">
        <w:t>This will likely require</w:t>
      </w:r>
      <w:r>
        <w:t xml:space="preserve"> augment</w:t>
      </w:r>
      <w:r w:rsidR="00E923B0">
        <w:t>ing</w:t>
      </w:r>
      <w:r>
        <w:t xml:space="preserve"> regulatory instruments (such as the National Regulatory Code) to </w:t>
      </w:r>
      <w:r w:rsidR="007508B4">
        <w:t>allow</w:t>
      </w:r>
      <w:r>
        <w:t xml:space="preserve"> greater scrutiny of CHPs</w:t>
      </w:r>
      <w:r w:rsidR="005968A1">
        <w:t>’</w:t>
      </w:r>
      <w:r>
        <w:t xml:space="preserve"> governance and financial activities</w:t>
      </w:r>
      <w:r w:rsidR="00E923B0">
        <w:t xml:space="preserve"> (see box 3.1)</w:t>
      </w:r>
      <w:r>
        <w:t xml:space="preserve">, </w:t>
      </w:r>
      <w:r w:rsidR="00DF4357">
        <w:t xml:space="preserve">noting the importance of maintaining standards on </w:t>
      </w:r>
      <w:r>
        <w:t xml:space="preserve">the quality of service </w:t>
      </w:r>
      <w:r w:rsidR="001B7EFF">
        <w:t>provided</w:t>
      </w:r>
      <w:r>
        <w:t xml:space="preserve"> to </w:t>
      </w:r>
      <w:r w:rsidR="001B7EFF">
        <w:t>people living</w:t>
      </w:r>
      <w:r>
        <w:t xml:space="preserve"> in community housing.</w:t>
      </w:r>
    </w:p>
    <w:p w14:paraId="00A2D5CB" w14:textId="47C667B3" w:rsidR="00E923B0" w:rsidRDefault="00E923B0" w:rsidP="00924CB8">
      <w:pPr>
        <w:pStyle w:val="BoxMainHeading-Outside"/>
      </w:pPr>
      <w:r>
        <w:t xml:space="preserve">Box </w:t>
      </w:r>
      <w:r w:rsidR="00456838">
        <w:t>3</w:t>
      </w:r>
      <w:r>
        <w:t>.</w:t>
      </w:r>
      <w:r w:rsidR="00456838">
        <w:t>1</w:t>
      </w:r>
      <w:r>
        <w:t>: Changes to the regulation of financial activities</w:t>
      </w:r>
    </w:p>
    <w:tbl>
      <w:tblPr>
        <w:tblStyle w:val="TableGrid"/>
        <w:tblW w:w="9322" w:type="dxa"/>
        <w:tblLook w:val="04A0" w:firstRow="1" w:lastRow="0" w:firstColumn="1" w:lastColumn="0" w:noHBand="0" w:noVBand="1"/>
      </w:tblPr>
      <w:tblGrid>
        <w:gridCol w:w="9322"/>
      </w:tblGrid>
      <w:tr w:rsidR="00BC33F1" w14:paraId="5647FE38" w14:textId="77777777" w:rsidTr="003F36CE">
        <w:tc>
          <w:tcPr>
            <w:tcW w:w="9322" w:type="dxa"/>
          </w:tcPr>
          <w:p w14:paraId="133D120D" w14:textId="77777777" w:rsidR="00BC33F1" w:rsidRDefault="00BC33F1" w:rsidP="00BC33F1">
            <w:pPr>
              <w:pStyle w:val="BoxText-UnBold"/>
            </w:pPr>
            <w:r>
              <w:t xml:space="preserve">In strengthening CHP regulation, it will be important that investors are provided with the assurance that the sector is viable and sustainable. Research on stakeholder views highlights six key principles (refer to </w:t>
            </w:r>
            <w:hyperlink r:id="rId31" w:anchor="_Annex_4:_Principles" w:history="1">
              <w:r>
                <w:rPr>
                  <w:rStyle w:val="Hyperlink"/>
                </w:rPr>
                <w:t>Annex 4</w:t>
              </w:r>
            </w:hyperlink>
            <w:r>
              <w:t xml:space="preserve"> for more detail) for boosting investor confidence in a bond aggregator model (Lawson et al., 2014). This includes:</w:t>
            </w:r>
          </w:p>
          <w:p w14:paraId="6B3CFEC3" w14:textId="77777777" w:rsidR="00BC33F1" w:rsidRDefault="00BC33F1" w:rsidP="00BC33F1">
            <w:pPr>
              <w:pStyle w:val="BoxText-Bullet"/>
            </w:pPr>
            <w:r>
              <w:rPr>
                <w:b/>
              </w:rPr>
              <w:t>Boundaries</w:t>
            </w:r>
            <w:r>
              <w:t xml:space="preserve"> for the entire system that are clear and easy to implement; </w:t>
            </w:r>
          </w:p>
          <w:p w14:paraId="1E067B4C" w14:textId="77777777" w:rsidR="00BC33F1" w:rsidRDefault="00BC33F1" w:rsidP="00BC33F1">
            <w:pPr>
              <w:pStyle w:val="BoxText-Bullet"/>
            </w:pPr>
            <w:r>
              <w:rPr>
                <w:b/>
              </w:rPr>
              <w:t>Lowering risk</w:t>
            </w:r>
            <w:r>
              <w:t xml:space="preserve">, which is achieved through strengthened regulation and government commitment; </w:t>
            </w:r>
          </w:p>
          <w:p w14:paraId="5EB2A2D1" w14:textId="77777777" w:rsidR="00BC33F1" w:rsidRPr="00BC33F1" w:rsidRDefault="00BC33F1" w:rsidP="00BC33F1">
            <w:pPr>
              <w:pStyle w:val="BoxText-Bullet"/>
            </w:pPr>
            <w:r w:rsidRPr="00BC33F1">
              <w:rPr>
                <w:b/>
              </w:rPr>
              <w:t>Transparency and commitment</w:t>
            </w:r>
            <w:r w:rsidRPr="00BC33F1">
              <w:t xml:space="preserve"> from the government and through regulatory systems which give investors visibility of system performance;</w:t>
            </w:r>
          </w:p>
          <w:p w14:paraId="061D12BB" w14:textId="77777777" w:rsidR="00BC33F1" w:rsidRPr="00BC33F1" w:rsidRDefault="00BC33F1" w:rsidP="00BC33F1">
            <w:pPr>
              <w:pStyle w:val="BoxText-Bullet"/>
            </w:pPr>
            <w:r w:rsidRPr="00BC33F1">
              <w:rPr>
                <w:b/>
              </w:rPr>
              <w:t>Expert intermediary</w:t>
            </w:r>
            <w:r w:rsidRPr="00BC33F1">
              <w:t xml:space="preserve">, that is effectively resourced to bridge investor, government and sector needs; </w:t>
            </w:r>
          </w:p>
          <w:p w14:paraId="24644B81" w14:textId="77777777" w:rsidR="00BC33F1" w:rsidRPr="00BC33F1" w:rsidRDefault="00BC33F1" w:rsidP="00BC33F1">
            <w:pPr>
              <w:pStyle w:val="BoxText-Bullet"/>
            </w:pPr>
            <w:r w:rsidRPr="00BC33F1">
              <w:rPr>
                <w:b/>
              </w:rPr>
              <w:t>Scale and frequency</w:t>
            </w:r>
            <w:r w:rsidRPr="00BC33F1">
              <w:t xml:space="preserve"> that is responsive to the market and builds on financial sector expertise; and</w:t>
            </w:r>
          </w:p>
          <w:p w14:paraId="67FFAACA" w14:textId="4E846CBB" w:rsidR="00BC33F1" w:rsidRDefault="00BC33F1" w:rsidP="00BC33F1">
            <w:pPr>
              <w:pStyle w:val="BoxText-Bullet"/>
            </w:pPr>
            <w:r w:rsidRPr="00BC33F1">
              <w:rPr>
                <w:b/>
              </w:rPr>
              <w:t>Adequate structure</w:t>
            </w:r>
            <w:r w:rsidRPr="00BC33F1">
              <w:t xml:space="preserve"> that ensures the system is</w:t>
            </w:r>
            <w:r w:rsidR="00924CB8">
              <w:t xml:space="preserve"> sustainable and has longevity.</w:t>
            </w:r>
          </w:p>
        </w:tc>
      </w:tr>
    </w:tbl>
    <w:p w14:paraId="312C2D28" w14:textId="77777777" w:rsidR="00BC33F1" w:rsidRDefault="00BC33F1">
      <w:r>
        <w:br w:type="page"/>
      </w:r>
    </w:p>
    <w:p w14:paraId="5C4DDD00" w14:textId="69AD1A89" w:rsidR="00BC33F1" w:rsidRPr="00BC33F1" w:rsidRDefault="00BC33F1" w:rsidP="00924CB8">
      <w:pPr>
        <w:pStyle w:val="BoxMainHeading-Outside"/>
      </w:pPr>
      <w:r>
        <w:lastRenderedPageBreak/>
        <w:t>Box 3.1: Changes to the regulation of financial activities (continued)</w:t>
      </w:r>
    </w:p>
    <w:tbl>
      <w:tblPr>
        <w:tblStyle w:val="TableGrid"/>
        <w:tblW w:w="9322" w:type="dxa"/>
        <w:tblLook w:val="04A0" w:firstRow="1" w:lastRow="0" w:firstColumn="1" w:lastColumn="0" w:noHBand="0" w:noVBand="1"/>
      </w:tblPr>
      <w:tblGrid>
        <w:gridCol w:w="9322"/>
      </w:tblGrid>
      <w:tr w:rsidR="00BC33F1" w14:paraId="00848B52" w14:textId="77777777" w:rsidTr="003F36CE">
        <w:tc>
          <w:tcPr>
            <w:tcW w:w="9322" w:type="dxa"/>
          </w:tcPr>
          <w:p w14:paraId="2D9E03E7" w14:textId="77777777" w:rsidR="00924CB8" w:rsidRDefault="00924CB8" w:rsidP="00BC33F1">
            <w:pPr>
              <w:pStyle w:val="BoxText-UnBold"/>
            </w:pPr>
            <w:r>
              <w:t>These principles emphasise the roles of governments and regulators in the success of a bond aggregator. There is a need for strong stewardship and transparency to gain investor confidence.</w:t>
            </w:r>
          </w:p>
          <w:p w14:paraId="7E3EA0AB" w14:textId="220890DB" w:rsidR="00BC33F1" w:rsidRDefault="00BC33F1" w:rsidP="00BC33F1">
            <w:pPr>
              <w:pStyle w:val="BoxText-UnBold"/>
            </w:pPr>
            <w:r>
              <w:t xml:space="preserve">Governments have to ensure there is policy stability which is clear and supportive, and that social policy and supply targets are well defined and feasible (Lawson et al., 2014). This could be facilitated through a nationally consistent NRSCH and the National Housing and Homelessness Agreement (NHHA) negotiations. </w:t>
            </w:r>
          </w:p>
          <w:p w14:paraId="43A6B370" w14:textId="77777777" w:rsidR="00BC33F1" w:rsidRDefault="00BC33F1" w:rsidP="00BC33F1">
            <w:pPr>
              <w:pStyle w:val="BoxText-UnBold"/>
            </w:pPr>
            <w:r>
              <w:t xml:space="preserve">Investors also require a regulatory system that promotes CHP excellence and efficiency, with accompanying provisions to enforce compliance (Lawson et al., 2014). Registrars of community housing will have to: </w:t>
            </w:r>
          </w:p>
          <w:p w14:paraId="0F25C87B" w14:textId="77777777" w:rsidR="00BC33F1" w:rsidRDefault="00BC33F1" w:rsidP="00BC33F1">
            <w:pPr>
              <w:pStyle w:val="BoxText-Bullet"/>
            </w:pPr>
            <w:r>
              <w:t>work closely with the bond aggregator financial intermediary to reduce financial risks and ensure compliance that is fit for purpose for the scale of reforms occurring nationally;</w:t>
            </w:r>
          </w:p>
          <w:p w14:paraId="3788D28D" w14:textId="77777777" w:rsidR="00BC33F1" w:rsidRDefault="00BC33F1" w:rsidP="00BC33F1">
            <w:pPr>
              <w:pStyle w:val="BoxText-Bullet"/>
            </w:pPr>
            <w:r>
              <w:t>clearly identify vulnerable CHPs and respond through capacity building or through enforcement; and</w:t>
            </w:r>
          </w:p>
          <w:p w14:paraId="17024A16" w14:textId="77777777" w:rsidR="00BC33F1" w:rsidRDefault="00BC33F1" w:rsidP="00BC33F1">
            <w:pPr>
              <w:pStyle w:val="BoxText-Bullet"/>
            </w:pPr>
            <w:proofErr w:type="gramStart"/>
            <w:r>
              <w:t>report</w:t>
            </w:r>
            <w:proofErr w:type="gramEnd"/>
            <w:r>
              <w:t xml:space="preserve"> publicly and regularly on CHP activity and performance. </w:t>
            </w:r>
          </w:p>
          <w:p w14:paraId="39BC71B8" w14:textId="77777777" w:rsidR="00BC33F1" w:rsidRDefault="00BC33F1" w:rsidP="00BC33F1">
            <w:pPr>
              <w:pStyle w:val="BoxText-UnBold"/>
            </w:pPr>
            <w:r>
              <w:t xml:space="preserve">The current NRSCH provides a system to build upon. There are existing measures and process which can be leveraged and enhanced to ensure the system meets the needs of all stakeholders, particularly investors. </w:t>
            </w:r>
          </w:p>
          <w:p w14:paraId="60E22290" w14:textId="28FC22F7" w:rsidR="00BC33F1" w:rsidRDefault="00BC33F1" w:rsidP="00BC33F1">
            <w:pPr>
              <w:pStyle w:val="BoxHeading"/>
            </w:pPr>
            <w:r>
              <w:t>Public reporting to boost investor confidence</w:t>
            </w:r>
          </w:p>
          <w:p w14:paraId="5E54D663" w14:textId="2B31C9FF" w:rsidR="00BC33F1" w:rsidRDefault="00BC33F1" w:rsidP="00BC33F1">
            <w:pPr>
              <w:pStyle w:val="BoxText-UnBold"/>
            </w:pPr>
            <w:r>
              <w:t>Recent research by AHURI highlights that CHP industry performance information, and in particular financial data, is not available for public scrutiny at an individual provider level (Milligan, et al., 2017). As the community housing sector grows in both assets and service delivery, this presents an accountability gap.</w:t>
            </w:r>
          </w:p>
          <w:p w14:paraId="77B17944" w14:textId="5E2D133F" w:rsidR="00BC33F1" w:rsidRDefault="00BC33F1" w:rsidP="00BC33F1">
            <w:pPr>
              <w:pStyle w:val="BoxText-UnBold"/>
            </w:pPr>
            <w:r>
              <w:t>It will be important to consider whether confidence in the CHP sector is based on actual performance and/or significant capability gap or whether it is due to the lack of visibility of provider data. There do not appear to be legislative restrictions for publicly reporting individual service provider performance data, and this provides an opportunity for enhancing the current system.</w:t>
            </w:r>
          </w:p>
          <w:p w14:paraId="22F08755" w14:textId="4DBEFC15" w:rsidR="00BC33F1" w:rsidRDefault="00BC33F1" w:rsidP="00BC33F1">
            <w:pPr>
              <w:pStyle w:val="BoxText-UnBold"/>
            </w:pPr>
            <w:r>
              <w:t xml:space="preserve">For more information on NRSCH compliance activities and performance measures refer to </w:t>
            </w:r>
            <w:hyperlink r:id="rId32" w:anchor="_Annex_5:Community_housing" w:history="1">
              <w:r>
                <w:rPr>
                  <w:rStyle w:val="Hyperlink"/>
                </w:rPr>
                <w:t>Annex 5</w:t>
              </w:r>
            </w:hyperlink>
            <w:r>
              <w:t>.</w:t>
            </w:r>
          </w:p>
        </w:tc>
      </w:tr>
    </w:tbl>
    <w:p w14:paraId="5F145CA6" w14:textId="1E09860D" w:rsidR="00BC33F1" w:rsidRPr="00BC33F1" w:rsidRDefault="00BC33F1" w:rsidP="00924CB8">
      <w:pPr>
        <w:pStyle w:val="Singleparagraph"/>
      </w:pPr>
    </w:p>
    <w:p w14:paraId="32DCCF23" w14:textId="6FD613FD" w:rsidR="009F1217" w:rsidRDefault="0003075E" w:rsidP="00372A2A">
      <w:r>
        <w:t>I</w:t>
      </w:r>
      <w:r w:rsidR="00357DF1">
        <w:t xml:space="preserve">t is unlikely that merely providing additional requirements around CHPs’ governance and finances in the context of the NRSCH as currently constituted will </w:t>
      </w:r>
      <w:r w:rsidR="00C66BC1">
        <w:t xml:space="preserve">wholly </w:t>
      </w:r>
      <w:r w:rsidR="00357DF1">
        <w:t xml:space="preserve">satisfy </w:t>
      </w:r>
      <w:r w:rsidR="00F31B44">
        <w:t xml:space="preserve">either </w:t>
      </w:r>
      <w:r w:rsidR="00357DF1">
        <w:t>investors</w:t>
      </w:r>
      <w:r w:rsidR="00F31B44">
        <w:t xml:space="preserve"> or the CHPs being regulated</w:t>
      </w:r>
      <w:r w:rsidR="00357DF1">
        <w:t>. When paired with concerns that</w:t>
      </w:r>
      <w:r w:rsidR="009F7E83">
        <w:t xml:space="preserve"> the </w:t>
      </w:r>
      <w:r w:rsidR="00357DF1">
        <w:t>current system</w:t>
      </w:r>
      <w:r w:rsidR="009F7E83">
        <w:t xml:space="preserve"> </w:t>
      </w:r>
      <w:r w:rsidR="000971AF">
        <w:t>does not adequately support the</w:t>
      </w:r>
      <w:r w:rsidR="00D65843">
        <w:t xml:space="preserve"> ambitions</w:t>
      </w:r>
      <w:r w:rsidR="00357DF1">
        <w:t xml:space="preserve"> of CHPs</w:t>
      </w:r>
      <w:r w:rsidR="00D65843">
        <w:t xml:space="preserve"> that seek</w:t>
      </w:r>
      <w:r w:rsidR="00357DF1">
        <w:t xml:space="preserve"> to work across jurisdictions</w:t>
      </w:r>
      <w:r w:rsidR="00D65843">
        <w:t>, the</w:t>
      </w:r>
      <w:r w:rsidR="00B71151">
        <w:t>re may be merit in a broader re</w:t>
      </w:r>
      <w:r w:rsidR="00B71151">
        <w:noBreakHyphen/>
      </w:r>
      <w:r w:rsidR="00D65843">
        <w:t>examination of the NRSCH</w:t>
      </w:r>
      <w:r w:rsidR="00357DF1">
        <w:t>.</w:t>
      </w:r>
    </w:p>
    <w:p w14:paraId="57531BAB" w14:textId="52C01B30" w:rsidR="00EA2EFB" w:rsidRDefault="009B0021" w:rsidP="00372A2A">
      <w:r>
        <w:t>These concerns emanate from the fact that</w:t>
      </w:r>
      <w:r w:rsidR="00D65843">
        <w:t xml:space="preserve"> the NRSCH is not truly national. As noted previously, Victoria and Western Australia remain outside the national system</w:t>
      </w:r>
      <w:r w:rsidR="00B83858">
        <w:t xml:space="preserve"> </w:t>
      </w:r>
      <w:r w:rsidR="0003075E">
        <w:t xml:space="preserve">and </w:t>
      </w:r>
      <w:r w:rsidR="00D65843">
        <w:t>even the participating States and Territories</w:t>
      </w:r>
      <w:r>
        <w:t xml:space="preserve"> </w:t>
      </w:r>
      <w:r w:rsidR="00D65843">
        <w:t xml:space="preserve">interpret and enforce the National Regulatory Law and Code </w:t>
      </w:r>
      <w:r w:rsidR="001F7027">
        <w:t>differently</w:t>
      </w:r>
      <w:r w:rsidR="00D65843">
        <w:t>.</w:t>
      </w:r>
      <w:r w:rsidR="007508B4">
        <w:t xml:space="preserve"> </w:t>
      </w:r>
    </w:p>
    <w:p w14:paraId="11DA8463" w14:textId="5F8BF0F9" w:rsidR="00E94BCF" w:rsidRPr="00B14AFE" w:rsidRDefault="007508B4" w:rsidP="00372A2A">
      <w:r>
        <w:t xml:space="preserve">This means that there </w:t>
      </w:r>
      <w:r w:rsidR="001F7027">
        <w:t xml:space="preserve">are </w:t>
      </w:r>
      <w:r>
        <w:t>practical differences in the way CHPs are regulated from one jurisdiction to the next</w:t>
      </w:r>
      <w:r w:rsidR="00986144">
        <w:t xml:space="preserve">, </w:t>
      </w:r>
      <w:r w:rsidR="000436F7">
        <w:t>and</w:t>
      </w:r>
      <w:r w:rsidR="00986144">
        <w:t xml:space="preserve"> that a </w:t>
      </w:r>
      <w:r w:rsidR="000436F7">
        <w:t>CHP operating</w:t>
      </w:r>
      <w:r w:rsidR="00986144">
        <w:t xml:space="preserve"> across jurisdictions face</w:t>
      </w:r>
      <w:r w:rsidR="001F7027">
        <w:t>s</w:t>
      </w:r>
      <w:r w:rsidR="00986144">
        <w:t xml:space="preserve"> multiple regulatory systems with differing compliance </w:t>
      </w:r>
      <w:r w:rsidR="001F7027">
        <w:t>requirements</w:t>
      </w:r>
      <w:r w:rsidR="00986144">
        <w:t>.</w:t>
      </w:r>
      <w:r w:rsidR="00E0298B">
        <w:t xml:space="preserve"> </w:t>
      </w:r>
    </w:p>
    <w:p w14:paraId="1C6F7895" w14:textId="77777777" w:rsidR="00924CB8" w:rsidRDefault="00924CB8">
      <w:pPr>
        <w:spacing w:after="200" w:line="276" w:lineRule="auto"/>
        <w:jc w:val="left"/>
      </w:pPr>
      <w:r>
        <w:br w:type="page"/>
      </w:r>
    </w:p>
    <w:p w14:paraId="72431E4D" w14:textId="37503E36" w:rsidR="001C4E02" w:rsidRDefault="000436F7" w:rsidP="00372A2A">
      <w:r>
        <w:lastRenderedPageBreak/>
        <w:t>O</w:t>
      </w:r>
      <w:r w:rsidR="005F3284">
        <w:t xml:space="preserve">ne of the tensions around the </w:t>
      </w:r>
      <w:r>
        <w:t>concept</w:t>
      </w:r>
      <w:r w:rsidR="005F3284">
        <w:t xml:space="preserve"> of a centralised system </w:t>
      </w:r>
      <w:r w:rsidR="00F303D1">
        <w:t xml:space="preserve">is </w:t>
      </w:r>
      <w:r w:rsidR="001C4E02">
        <w:t xml:space="preserve">that States and Territories retain a prominent role in the sector. Not only do </w:t>
      </w:r>
      <w:r w:rsidR="005F3284">
        <w:t xml:space="preserve">States and Territories </w:t>
      </w:r>
      <w:r w:rsidR="001C4E02">
        <w:t>have a</w:t>
      </w:r>
      <w:r w:rsidR="00D25490">
        <w:t xml:space="preserve"> responsibility</w:t>
      </w:r>
      <w:r w:rsidR="001C4E02">
        <w:t xml:space="preserve"> to ensure that quality services are extended to those who live in community housing, but they retain</w:t>
      </w:r>
      <w:r w:rsidR="007F4D8F">
        <w:t xml:space="preserve"> a substantial financial interest</w:t>
      </w:r>
      <w:r w:rsidR="001C4E02">
        <w:t xml:space="preserve"> in the assets that CHPs use to provide these services. </w:t>
      </w:r>
      <w:r w:rsidR="001C5912">
        <w:t>States and Territories</w:t>
      </w:r>
      <w:r w:rsidR="001C4E02">
        <w:t xml:space="preserve"> often transfer or lease public housing stock to CHPs, or pay </w:t>
      </w:r>
      <w:r w:rsidR="00E6787F">
        <w:t xml:space="preserve">CHPs </w:t>
      </w:r>
      <w:r w:rsidR="001C4E02">
        <w:t xml:space="preserve">to manage the stock and provide a service on </w:t>
      </w:r>
      <w:r w:rsidR="001C5912">
        <w:t>their behalf</w:t>
      </w:r>
      <w:r w:rsidR="001C4E02">
        <w:t xml:space="preserve">. </w:t>
      </w:r>
      <w:r w:rsidR="00E923B0">
        <w:t>This</w:t>
      </w:r>
      <w:r w:rsidR="007F4D8F">
        <w:t xml:space="preserve"> </w:t>
      </w:r>
      <w:r w:rsidR="00125AEF">
        <w:t>adds complexity to</w:t>
      </w:r>
      <w:r w:rsidR="007F4D8F">
        <w:t xml:space="preserve"> the financing arrangements of CHPs, as</w:t>
      </w:r>
      <w:r w:rsidR="00E6787F">
        <w:t xml:space="preserve"> financiers </w:t>
      </w:r>
      <w:r w:rsidR="007F4D8F">
        <w:t xml:space="preserve">often have to enter into tripartite agreements with the CHP and the relevant State or Territory </w:t>
      </w:r>
      <w:r w:rsidR="001F0142">
        <w:t xml:space="preserve">Government </w:t>
      </w:r>
      <w:r w:rsidR="007F4D8F">
        <w:t xml:space="preserve">in order to procure collateral or security to underpin </w:t>
      </w:r>
      <w:r w:rsidR="00472429">
        <w:t>loans</w:t>
      </w:r>
      <w:r w:rsidR="007F4D8F">
        <w:t xml:space="preserve"> provide</w:t>
      </w:r>
      <w:r w:rsidR="00E6787F">
        <w:t>d</w:t>
      </w:r>
      <w:r w:rsidR="007F4D8F">
        <w:t xml:space="preserve">, with the ultimate effect of </w:t>
      </w:r>
      <w:r w:rsidR="00472429">
        <w:t>limiting the debt finance that CHPs</w:t>
      </w:r>
      <w:r w:rsidR="007F4D8F">
        <w:t xml:space="preserve"> can access. </w:t>
      </w:r>
      <w:r w:rsidR="001C5912">
        <w:t xml:space="preserve"> </w:t>
      </w:r>
    </w:p>
    <w:p w14:paraId="2C5244A1" w14:textId="148C170D" w:rsidR="0001590F" w:rsidRDefault="00CC5D48" w:rsidP="00372A2A">
      <w:r>
        <w:t>Greater oversight of the governance and financial activities of CHPs in a regulatory framework that ensures national consistency is required t</w:t>
      </w:r>
      <w:r w:rsidR="009B0021">
        <w:t xml:space="preserve">o </w:t>
      </w:r>
      <w:r>
        <w:t>provide</w:t>
      </w:r>
      <w:r w:rsidR="009B0021">
        <w:t xml:space="preserve"> investors </w:t>
      </w:r>
      <w:r>
        <w:t xml:space="preserve">with the confidence to invest in the bonds issued by the bond aggregator </w:t>
      </w:r>
      <w:r w:rsidR="009B0021">
        <w:t xml:space="preserve">and </w:t>
      </w:r>
      <w:r>
        <w:t xml:space="preserve">to </w:t>
      </w:r>
      <w:r w:rsidR="00B71151">
        <w:t>maximise the benefits of</w:t>
      </w:r>
      <w:r w:rsidR="009B0021">
        <w:t xml:space="preserve"> the</w:t>
      </w:r>
      <w:r w:rsidR="00663032">
        <w:t xml:space="preserve"> bond aggregator</w:t>
      </w:r>
      <w:r>
        <w:t>.</w:t>
      </w:r>
    </w:p>
    <w:p w14:paraId="60596FE8" w14:textId="5D5D05D8" w:rsidR="004D0986" w:rsidRPr="00131104" w:rsidRDefault="005D615C" w:rsidP="004D0986">
      <w:pPr>
        <w:pStyle w:val="Heading2"/>
      </w:pPr>
      <w:bookmarkStart w:id="160" w:name="_Toc485750946"/>
      <w:bookmarkStart w:id="161" w:name="_Toc487814098"/>
      <w:bookmarkStart w:id="162" w:name="_Toc493848970"/>
      <w:r>
        <w:t>Options for</w:t>
      </w:r>
      <w:r w:rsidR="005968A1">
        <w:t xml:space="preserve"> reform</w:t>
      </w:r>
      <w:bookmarkEnd w:id="160"/>
      <w:bookmarkEnd w:id="161"/>
      <w:bookmarkEnd w:id="162"/>
    </w:p>
    <w:p w14:paraId="5D9995A1" w14:textId="0F8A07DB" w:rsidR="001D28A6" w:rsidRDefault="005E60CF" w:rsidP="00372A2A">
      <w:r>
        <w:t xml:space="preserve">A stronger, nationally consistent regulatory framework will need to be implemented via changes to the </w:t>
      </w:r>
      <w:r w:rsidR="001F0142">
        <w:t>National L</w:t>
      </w:r>
      <w:r w:rsidR="00355629">
        <w:t>aw (including</w:t>
      </w:r>
      <w:r>
        <w:t xml:space="preserve"> legislation</w:t>
      </w:r>
      <w:r w:rsidR="00355629">
        <w:t>, regulations or a</w:t>
      </w:r>
      <w:r>
        <w:t xml:space="preserve"> regulatory code) and </w:t>
      </w:r>
      <w:r w:rsidR="00341BC7">
        <w:t>its application</w:t>
      </w:r>
      <w:r>
        <w:t xml:space="preserve">. </w:t>
      </w:r>
    </w:p>
    <w:p w14:paraId="06CBFD7F" w14:textId="017CD432" w:rsidR="001D28A6" w:rsidRDefault="00E923B0" w:rsidP="00372A2A">
      <w:r>
        <w:t>Given that the bond aggregator</w:t>
      </w:r>
      <w:r w:rsidR="001D28A6">
        <w:t>’s first issuance may occur as soon as late</w:t>
      </w:r>
      <w:r>
        <w:t xml:space="preserve"> 2018, a</w:t>
      </w:r>
      <w:r w:rsidR="00DF4357">
        <w:t>n immediate</w:t>
      </w:r>
      <w:r>
        <w:t xml:space="preserve"> priority is </w:t>
      </w:r>
      <w:r w:rsidR="00743172">
        <w:t>for</w:t>
      </w:r>
      <w:r w:rsidR="005E60CF">
        <w:t xml:space="preserve"> </w:t>
      </w:r>
      <w:r w:rsidR="00B82431">
        <w:t xml:space="preserve">regulatory reform to ensure </w:t>
      </w:r>
      <w:r w:rsidR="005E60CF">
        <w:t xml:space="preserve">stronger financial </w:t>
      </w:r>
      <w:r w:rsidR="00743172">
        <w:t xml:space="preserve">reporting and risk management from CHPs, as well as </w:t>
      </w:r>
      <w:r w:rsidR="005E60CF">
        <w:t>oversight of governance arrangements</w:t>
      </w:r>
      <w:r w:rsidR="00743172">
        <w:t>.</w:t>
      </w:r>
      <w:r w:rsidR="001D28A6">
        <w:t xml:space="preserve"> </w:t>
      </w:r>
      <w:r w:rsidR="00B82431">
        <w:t>Additionally,</w:t>
      </w:r>
      <w:r w:rsidR="001D28A6">
        <w:t xml:space="preserve"> </w:t>
      </w:r>
      <w:r w:rsidR="00B82431">
        <w:t>regulatory changes</w:t>
      </w:r>
      <w:r w:rsidR="001D28A6">
        <w:t xml:space="preserve"> that ensure con</w:t>
      </w:r>
      <w:r w:rsidR="001F0142">
        <w:t>sistency of application of the L</w:t>
      </w:r>
      <w:r w:rsidR="001D28A6">
        <w:t>aw across jurisdictions</w:t>
      </w:r>
      <w:r w:rsidR="00B82431">
        <w:t xml:space="preserve"> will</w:t>
      </w:r>
      <w:r w:rsidR="006021C9">
        <w:t xml:space="preserve"> guide the actions of </w:t>
      </w:r>
      <w:proofErr w:type="gramStart"/>
      <w:r w:rsidR="006021C9">
        <w:t>CHP</w:t>
      </w:r>
      <w:r w:rsidR="00663032">
        <w:t>s</w:t>
      </w:r>
      <w:r w:rsidR="001D28A6">
        <w:t>,</w:t>
      </w:r>
      <w:proofErr w:type="gramEnd"/>
      <w:r w:rsidR="001D28A6">
        <w:t xml:space="preserve"> </w:t>
      </w:r>
      <w:r w:rsidR="006021C9">
        <w:t>shape the activities of the regulator</w:t>
      </w:r>
      <w:r w:rsidR="001D28A6">
        <w:t xml:space="preserve"> and give confidence to potential investors</w:t>
      </w:r>
      <w:r w:rsidR="00E311EC">
        <w:t xml:space="preserve">. </w:t>
      </w:r>
    </w:p>
    <w:p w14:paraId="08CF9944" w14:textId="485943D0" w:rsidR="00710B56" w:rsidRDefault="00710B56" w:rsidP="00372A2A">
      <w:r>
        <w:t xml:space="preserve">However it is important to recognise that </w:t>
      </w:r>
      <w:r w:rsidR="00EC4E05">
        <w:t xml:space="preserve">while they will support the implementation of a bond aggregator, </w:t>
      </w:r>
      <w:r>
        <w:t xml:space="preserve">these changes </w:t>
      </w:r>
      <w:r w:rsidR="001F0142">
        <w:t>will not</w:t>
      </w:r>
      <w:r>
        <w:t xml:space="preserve"> address the</w:t>
      </w:r>
      <w:r w:rsidR="00FC050D">
        <w:t xml:space="preserve"> deficiencies in the</w:t>
      </w:r>
      <w:r>
        <w:t xml:space="preserve"> regulatory </w:t>
      </w:r>
      <w:r w:rsidR="00FC050D">
        <w:t>framework alluded to by Milligan et al., (2017) among others</w:t>
      </w:r>
      <w:r>
        <w:t>.</w:t>
      </w:r>
      <w:r w:rsidR="00FC050D">
        <w:t xml:space="preserve"> It may be that the advent of the bond aggregator and a renewed focus on enabling scale and sophistication in the provision of community housing presents an</w:t>
      </w:r>
      <w:r>
        <w:t xml:space="preserve"> opportunity to reorient and modernise the </w:t>
      </w:r>
      <w:r w:rsidR="00027BB8">
        <w:t>regulatory framework</w:t>
      </w:r>
      <w:r>
        <w:t xml:space="preserve"> to respond to the significant growth, maturity </w:t>
      </w:r>
      <w:r w:rsidR="00FC050D">
        <w:t xml:space="preserve">and developments within the </w:t>
      </w:r>
      <w:r w:rsidR="00027BB8">
        <w:t xml:space="preserve">CHP </w:t>
      </w:r>
      <w:r>
        <w:t xml:space="preserve">sector.  This will better position the regulatory </w:t>
      </w:r>
      <w:r w:rsidR="00027BB8">
        <w:t>framework</w:t>
      </w:r>
      <w:r>
        <w:t xml:space="preserve"> to assist CHPs to meet the needs of government, clients and private investors.</w:t>
      </w:r>
    </w:p>
    <w:p w14:paraId="174D48E3" w14:textId="1FDB18B7" w:rsidR="00A2593D" w:rsidRDefault="00A2593D" w:rsidP="00372A2A">
      <w:r>
        <w:t>These dual objectives — ensuring the regulatory framework can support a bond aggregator and is configured to the broader needs of the sector — need not be advanced simultaneously, but they</w:t>
      </w:r>
      <w:r w:rsidR="002A202E">
        <w:t xml:space="preserve"> will</w:t>
      </w:r>
      <w:r>
        <w:t xml:space="preserve"> ultimately need </w:t>
      </w:r>
      <w:r w:rsidR="002A202E">
        <w:t>to characterise</w:t>
      </w:r>
      <w:r>
        <w:t xml:space="preserve"> the regulat</w:t>
      </w:r>
      <w:r w:rsidR="00027BB8">
        <w:t>ion of CHPs</w:t>
      </w:r>
      <w:r>
        <w:t>.</w:t>
      </w:r>
    </w:p>
    <w:p w14:paraId="733474CE" w14:textId="334FEEBC" w:rsidR="00A319D7" w:rsidRDefault="00581C29" w:rsidP="00B14AFE">
      <w:pPr>
        <w:pStyle w:val="Heading3"/>
      </w:pPr>
      <w:r>
        <w:t>Improving</w:t>
      </w:r>
      <w:r w:rsidR="002A202E">
        <w:t xml:space="preserve"> the NRSCH</w:t>
      </w:r>
    </w:p>
    <w:p w14:paraId="43E9A285" w14:textId="0D3ED835" w:rsidR="001A11B2" w:rsidRPr="008B6727" w:rsidRDefault="001A11B2" w:rsidP="00372A2A">
      <w:r>
        <w:t xml:space="preserve">Reviewing and reforming the NRSCH has a number of advantages. </w:t>
      </w:r>
      <w:r w:rsidR="00EC4E05">
        <w:t xml:space="preserve">The </w:t>
      </w:r>
      <w:r w:rsidR="005623C0">
        <w:t>current NRSCH</w:t>
      </w:r>
      <w:r w:rsidR="00EC4E05">
        <w:t xml:space="preserve"> is agreed to and understood by each jurisdiction and those in the sector. </w:t>
      </w:r>
      <w:r w:rsidR="00D624AC">
        <w:t>Additionally,</w:t>
      </w:r>
      <w:r w:rsidR="00EC4E05">
        <w:t xml:space="preserve"> b</w:t>
      </w:r>
      <w:r>
        <w:t xml:space="preserve">uilding on an established structure allows resources to be devoted to directly targeting its deficiencies. </w:t>
      </w:r>
    </w:p>
    <w:p w14:paraId="675BF7BA" w14:textId="73E479B8" w:rsidR="001A11B2" w:rsidRDefault="001A11B2" w:rsidP="00372A2A">
      <w:r>
        <w:t xml:space="preserve">In the short term, </w:t>
      </w:r>
      <w:r w:rsidR="00EC4E05">
        <w:t xml:space="preserve">reforming the current </w:t>
      </w:r>
      <w:r w:rsidR="005623C0">
        <w:t>NRSCH</w:t>
      </w:r>
      <w:r>
        <w:t xml:space="preserve"> would require negotiation with the States and Territories with the priority being to build stronger standards around CHPs’ finances into the National Regulatory Code, and to facilitate Victoria and Western Australia’s entry into the scheme.</w:t>
      </w:r>
    </w:p>
    <w:p w14:paraId="34F186C1" w14:textId="77777777" w:rsidR="00924CB8" w:rsidRPr="00924CB8" w:rsidRDefault="00924CB8" w:rsidP="00924CB8">
      <w:r w:rsidRPr="00924CB8">
        <w:br w:type="page"/>
      </w:r>
    </w:p>
    <w:p w14:paraId="2394890D" w14:textId="1C95ABEE" w:rsidR="001A11B2" w:rsidRPr="008B6727" w:rsidRDefault="001A11B2" w:rsidP="00372A2A">
      <w:r>
        <w:lastRenderedPageBreak/>
        <w:t>However, this would not address a weakness with the current NRSCH — a lack of national consistency in application — given that it is administered independently and interacts differently with policy settings i</w:t>
      </w:r>
      <w:r w:rsidR="00BD0D6D">
        <w:t>n each jurisdic</w:t>
      </w:r>
      <w:r>
        <w:t xml:space="preserve">tion. (The clearest examples of this are the tripartite agreements between jurisdiction, CHP and financier which </w:t>
      </w:r>
      <w:r w:rsidR="005623C0">
        <w:t>add complexity to</w:t>
      </w:r>
      <w:r>
        <w:t xml:space="preserve"> the process of offering security and, as a result, the ability of CHPs to obtain debt financing.) </w:t>
      </w:r>
      <w:r w:rsidR="00DF4357">
        <w:t>A lack</w:t>
      </w:r>
      <w:r w:rsidR="005D615C">
        <w:t xml:space="preserve"> of consensus across jurisdictions on these issues i</w:t>
      </w:r>
      <w:r>
        <w:t xml:space="preserve">s </w:t>
      </w:r>
      <w:r w:rsidR="005142C7">
        <w:t>likely to prompt uncertainties among</w:t>
      </w:r>
      <w:r>
        <w:t xml:space="preserve"> potential investors about the viability of the sector. Moreover, the prospect of </w:t>
      </w:r>
      <w:r w:rsidRPr="008B6727">
        <w:t>differing regulatory re</w:t>
      </w:r>
      <w:r>
        <w:t>quirements and processes may dissuade CHPs</w:t>
      </w:r>
      <w:r w:rsidRPr="008B6727">
        <w:t xml:space="preserve"> </w:t>
      </w:r>
      <w:r>
        <w:t>from operating</w:t>
      </w:r>
      <w:r w:rsidRPr="008B6727">
        <w:t xml:space="preserve"> across jurisdictions</w:t>
      </w:r>
      <w:r>
        <w:t>, or at a minimum create additional compliance costs in doing so</w:t>
      </w:r>
      <w:r w:rsidRPr="008B6727">
        <w:t xml:space="preserve">. </w:t>
      </w:r>
    </w:p>
    <w:p w14:paraId="69883730" w14:textId="007F8931" w:rsidR="002A202E" w:rsidRDefault="00EC4E05" w:rsidP="00372A2A">
      <w:r>
        <w:t xml:space="preserve">There are mechanisms for addressing these weaknesses, and for </w:t>
      </w:r>
      <w:r w:rsidR="00122094">
        <w:t>ensuring the NRSCH aligns with the needs of the sector</w:t>
      </w:r>
      <w:r>
        <w:t xml:space="preserve">. </w:t>
      </w:r>
      <w:r w:rsidR="002A202E">
        <w:t>A legislated review of the Community Housing Providers National Law is due in 2018 to determine whether the policy objectives of the Act remain valid and serve public interest. The review provides an opportunity to strengthen regulation and rebuild the system so it achieves nationally agreed social and affordable housing objectives</w:t>
      </w:r>
      <w:r w:rsidR="005142C7">
        <w:t xml:space="preserve"> (including the attraction of private investment)</w:t>
      </w:r>
      <w:r w:rsidR="002A202E">
        <w:t xml:space="preserve"> in the most efficient and effective way.</w:t>
      </w:r>
      <w:r w:rsidR="00BD0D6D">
        <w:t xml:space="preserve">  </w:t>
      </w:r>
    </w:p>
    <w:p w14:paraId="24858B60" w14:textId="4A8CF255" w:rsidR="00B50877" w:rsidRPr="00B14AFE" w:rsidRDefault="002A202E" w:rsidP="00B14AFE">
      <w:pPr>
        <w:pStyle w:val="Heading3"/>
        <w:rPr>
          <w:b w:val="0"/>
          <w:i w:val="0"/>
        </w:rPr>
      </w:pPr>
      <w:r>
        <w:t>Building a new, national system</w:t>
      </w:r>
    </w:p>
    <w:p w14:paraId="6F5D9B54" w14:textId="266280B2" w:rsidR="00B50877" w:rsidRDefault="00B50877" w:rsidP="00372A2A">
      <w:r>
        <w:t xml:space="preserve">One way of ensuring that regulation is applied consistently across jurisdictions is for </w:t>
      </w:r>
      <w:r w:rsidR="004318AD">
        <w:t xml:space="preserve">a single </w:t>
      </w:r>
      <w:r w:rsidR="00A17919">
        <w:t>regulator</w:t>
      </w:r>
      <w:r>
        <w:t xml:space="preserve"> to assume responsibility for the regulation of the sector.</w:t>
      </w:r>
      <w:r w:rsidR="00A17919">
        <w:t xml:space="preserve"> </w:t>
      </w:r>
      <w:r w:rsidR="004318AD">
        <w:t xml:space="preserve">A single </w:t>
      </w:r>
      <w:r w:rsidR="00A17919">
        <w:t>regulator may</w:t>
      </w:r>
      <w:r w:rsidR="00002E5B">
        <w:t xml:space="preserve"> be</w:t>
      </w:r>
      <w:r w:rsidR="00A17919">
        <w:t xml:space="preserve"> </w:t>
      </w:r>
      <w:r w:rsidR="00002E5B">
        <w:t>(</w:t>
      </w:r>
      <w:r w:rsidR="00A17919">
        <w:t xml:space="preserve">but </w:t>
      </w:r>
      <w:r w:rsidR="00002E5B">
        <w:t>does not necessarily need to be)</w:t>
      </w:r>
      <w:r w:rsidR="00A17919">
        <w:t xml:space="preserve"> a new Commonwealth regulator. </w:t>
      </w:r>
    </w:p>
    <w:p w14:paraId="3240AF5A" w14:textId="6E7B9E0F" w:rsidR="00B50877" w:rsidRDefault="00B50877" w:rsidP="00372A2A">
      <w:r w:rsidRPr="008B6727">
        <w:t xml:space="preserve">The advantage of this approach is that the same regulatory system, including powers of the regulator, enforcement activities and reporting requirements would apply nation-wide. </w:t>
      </w:r>
      <w:r>
        <w:t>CHPs</w:t>
      </w:r>
      <w:r w:rsidRPr="008B6727">
        <w:t xml:space="preserve"> operating across several jurisdictions would not need to comply with different regula</w:t>
      </w:r>
      <w:r w:rsidR="002A7A1A">
        <w:t>tory requirements or processes. It avoids regulatory overlap and the need for multiple regulators and systems and clarifies where the authority to step in and support, wind-up or merge CHPs that operate across jurisdictional borders lies.</w:t>
      </w:r>
    </w:p>
    <w:p w14:paraId="7165468F" w14:textId="77777777" w:rsidR="003B0997" w:rsidRDefault="003B0997" w:rsidP="00372A2A">
      <w:r>
        <w:t xml:space="preserve">This option is likely to be the most complementary to the operations of the </w:t>
      </w:r>
      <w:proofErr w:type="gramStart"/>
      <w:r>
        <w:t>bond  aggregator</w:t>
      </w:r>
      <w:proofErr w:type="gramEnd"/>
      <w:r>
        <w:t xml:space="preserve">. It provides the most confidence to institutional investors and the strongest signal of the viability of the sector. It ensures that all CHPs operate under a single regulatory code that is applied in the same way. </w:t>
      </w:r>
    </w:p>
    <w:p w14:paraId="16CB04AC" w14:textId="11C15A61" w:rsidR="005142C7" w:rsidRDefault="002A7A1A" w:rsidP="00372A2A">
      <w:r>
        <w:t xml:space="preserve">One of the challenges associated with this approach is that it </w:t>
      </w:r>
      <w:r w:rsidRPr="008B6727">
        <w:t>would require all jurisdictions to agree to place the regulation of their co</w:t>
      </w:r>
      <w:r>
        <w:t>mmunity housing sector under a single national regulator with the power to ensure consistent application of the regulations, with governance arrangements to be agreed by the States and Territories.</w:t>
      </w:r>
      <w:r w:rsidR="00C45548">
        <w:t xml:space="preserve"> </w:t>
      </w:r>
      <w:r w:rsidR="00DE031A">
        <w:t>This would represent a subst</w:t>
      </w:r>
      <w:r w:rsidR="000B27FA">
        <w:t>antial change for jurisdictions. Some may see value in maintaining a degree of control (currently through their Registrars) over the regulation of CHPs, given their</w:t>
      </w:r>
      <w:r w:rsidR="0088619C">
        <w:t xml:space="preserve"> interest in the quality of service provided</w:t>
      </w:r>
      <w:r w:rsidR="004A343A">
        <w:t>, tenant outcomes</w:t>
      </w:r>
      <w:r w:rsidR="0088619C">
        <w:t xml:space="preserve"> and their</w:t>
      </w:r>
      <w:r w:rsidR="000B27FA">
        <w:t xml:space="preserve"> substantial and ongoing investments in the stock of community housing</w:t>
      </w:r>
      <w:r w:rsidR="00DE031A">
        <w:t xml:space="preserve"> (particularly if the income or subsidies associated with these assets were then leveraged to provide services in other jurisdictions.)</w:t>
      </w:r>
    </w:p>
    <w:p w14:paraId="71BC70CE" w14:textId="6316D4A0" w:rsidR="00724525" w:rsidRDefault="003B0997" w:rsidP="00372A2A">
      <w:r>
        <w:t xml:space="preserve">If </w:t>
      </w:r>
      <w:r w:rsidR="0088619C">
        <w:t>a national regulator</w:t>
      </w:r>
      <w:r>
        <w:t xml:space="preserve"> were to be established a</w:t>
      </w:r>
      <w:r w:rsidR="0088619C">
        <w:t>t the Commonwealth level</w:t>
      </w:r>
      <w:r w:rsidR="00B7059C">
        <w:t xml:space="preserve">, there </w:t>
      </w:r>
      <w:r>
        <w:t>would also be further</w:t>
      </w:r>
      <w:r w:rsidR="00B7059C">
        <w:t xml:space="preserve"> </w:t>
      </w:r>
      <w:r w:rsidR="00991BD2">
        <w:t>complexities</w:t>
      </w:r>
      <w:r w:rsidR="00B7059C">
        <w:t xml:space="preserve"> </w:t>
      </w:r>
      <w:r>
        <w:t>as i</w:t>
      </w:r>
      <w:r w:rsidR="00871A16">
        <w:t>t</w:t>
      </w:r>
      <w:r>
        <w:t xml:space="preserve"> would</w:t>
      </w:r>
      <w:r w:rsidR="00871A16">
        <w:t xml:space="preserve"> </w:t>
      </w:r>
      <w:r w:rsidR="00B7059C">
        <w:t xml:space="preserve">represent a substantial expansion of the </w:t>
      </w:r>
      <w:r w:rsidR="00871A16">
        <w:t xml:space="preserve">Commonwealth’s role in the sector, including into aspects where it has </w:t>
      </w:r>
      <w:r w:rsidR="007E7CF2">
        <w:t>traditionally had no role (such as the management of CHPs’ tenancy activities</w:t>
      </w:r>
      <w:r w:rsidR="004A343A">
        <w:t>, tenancy support services and complaints management</w:t>
      </w:r>
      <w:r w:rsidR="007E7CF2">
        <w:t>)</w:t>
      </w:r>
      <w:r w:rsidR="00871A16">
        <w:t>.</w:t>
      </w:r>
      <w:r w:rsidR="007E7CF2">
        <w:t xml:space="preserve"> </w:t>
      </w:r>
    </w:p>
    <w:p w14:paraId="6094D8C4" w14:textId="77777777" w:rsidR="00924CB8" w:rsidRDefault="00924CB8">
      <w:pPr>
        <w:spacing w:after="200" w:line="276" w:lineRule="auto"/>
        <w:jc w:val="left"/>
        <w:rPr>
          <w:rFonts w:ascii="Calibri" w:eastAsiaTheme="majorEastAsia" w:hAnsi="Calibri" w:cstheme="majorBidi"/>
          <w:b/>
          <w:bCs/>
          <w:smallCaps/>
          <w:color w:val="005A70"/>
          <w:spacing w:val="4"/>
          <w:sz w:val="36"/>
          <w:szCs w:val="26"/>
        </w:rPr>
      </w:pPr>
      <w:r>
        <w:br w:type="page"/>
      </w:r>
    </w:p>
    <w:p w14:paraId="47EE318E" w14:textId="0855D9E5" w:rsidR="00724525" w:rsidRDefault="00D549A1" w:rsidP="00B14AFE">
      <w:pPr>
        <w:pStyle w:val="Heading2"/>
      </w:pPr>
      <w:bookmarkStart w:id="163" w:name="_Toc493848971"/>
      <w:r>
        <w:lastRenderedPageBreak/>
        <w:t>A</w:t>
      </w:r>
      <w:r w:rsidR="00724525">
        <w:t xml:space="preserve"> </w:t>
      </w:r>
      <w:r w:rsidR="005B396E">
        <w:t>p</w:t>
      </w:r>
      <w:r w:rsidR="00AD1132">
        <w:t xml:space="preserve">ath to </w:t>
      </w:r>
      <w:r w:rsidR="005B396E">
        <w:t>a stronger, nationally consistent f</w:t>
      </w:r>
      <w:r>
        <w:t>ramework</w:t>
      </w:r>
      <w:bookmarkEnd w:id="163"/>
    </w:p>
    <w:p w14:paraId="1D1F01BC" w14:textId="36118EF5" w:rsidR="00605F65" w:rsidRDefault="00F85550" w:rsidP="00372A2A">
      <w:r>
        <w:t xml:space="preserve">The major difference between these options is the scale of </w:t>
      </w:r>
      <w:r w:rsidR="00002E5B">
        <w:t xml:space="preserve">the </w:t>
      </w:r>
      <w:r>
        <w:t>task. Prosecuting either of these options will</w:t>
      </w:r>
      <w:r w:rsidR="00605F65">
        <w:t xml:space="preserve"> require substantial negotiation between the Commonwealth and the States and Territories</w:t>
      </w:r>
      <w:r>
        <w:t xml:space="preserve">. But where reforming the NRSCH will feature discussions aimed at addressing the </w:t>
      </w:r>
      <w:r w:rsidR="002735FE">
        <w:t>limitations</w:t>
      </w:r>
      <w:r w:rsidR="001F0142">
        <w:t xml:space="preserve"> of the current system</w:t>
      </w:r>
      <w:r>
        <w:t>, t</w:t>
      </w:r>
      <w:r w:rsidR="002735FE">
        <w:t xml:space="preserve">he alternative — </w:t>
      </w:r>
      <w:r w:rsidR="00605F65">
        <w:t>building a new, n</w:t>
      </w:r>
      <w:r w:rsidR="002735FE">
        <w:t>ational system</w:t>
      </w:r>
      <w:r>
        <w:t xml:space="preserve"> — will </w:t>
      </w:r>
      <w:r w:rsidR="002735FE">
        <w:t>require</w:t>
      </w:r>
      <w:r w:rsidR="001F0142">
        <w:t xml:space="preserve"> cons</w:t>
      </w:r>
      <w:r w:rsidR="00605F65">
        <w:t>ensus across a</w:t>
      </w:r>
      <w:r w:rsidR="00E441BC">
        <w:t xml:space="preserve"> ra</w:t>
      </w:r>
      <w:r w:rsidR="001F0142">
        <w:t>nge</w:t>
      </w:r>
      <w:r w:rsidR="00E441BC">
        <w:t xml:space="preserve"> of other issu</w:t>
      </w:r>
      <w:r w:rsidR="002735FE">
        <w:t>es,</w:t>
      </w:r>
      <w:r w:rsidR="00E441BC">
        <w:t xml:space="preserve"> including many that</w:t>
      </w:r>
      <w:r w:rsidR="00605F65">
        <w:t xml:space="preserve"> have </w:t>
      </w:r>
      <w:r>
        <w:t>previously</w:t>
      </w:r>
      <w:r w:rsidR="00605F65">
        <w:t xml:space="preserve"> been </w:t>
      </w:r>
      <w:r w:rsidR="00E441BC">
        <w:t>negotiated</w:t>
      </w:r>
      <w:r w:rsidR="00605F65">
        <w:t xml:space="preserve"> and form part of the NRSCH.</w:t>
      </w:r>
      <w:r w:rsidR="00E441BC">
        <w:t xml:space="preserve"> </w:t>
      </w:r>
      <w:r w:rsidR="00605F65">
        <w:t xml:space="preserve">In this sense, </w:t>
      </w:r>
      <w:r>
        <w:t>establishing a new, national system</w:t>
      </w:r>
      <w:r w:rsidR="00605F65">
        <w:t xml:space="preserve"> is likely to be significantly</w:t>
      </w:r>
      <w:r w:rsidR="002735FE">
        <w:t xml:space="preserve"> more</w:t>
      </w:r>
      <w:r w:rsidR="00605F65">
        <w:t xml:space="preserve"> resource and time intensive.</w:t>
      </w:r>
    </w:p>
    <w:p w14:paraId="6796C5ED" w14:textId="10D1CD57" w:rsidR="00CC1B77" w:rsidRDefault="00F85550" w:rsidP="00372A2A">
      <w:r>
        <w:t>A more viable approach would be to focus on im</w:t>
      </w:r>
      <w:r w:rsidR="00AD1132">
        <w:t>proving the NRSCH. Then, if it cannot be re-purposed to support a bond aggregator and to address some of the deficiencies described earlier in the chapter, the development of a new, national regulator can still be canvassed</w:t>
      </w:r>
      <w:r w:rsidR="001F0142">
        <w:t>, at a future date</w:t>
      </w:r>
      <w:r w:rsidR="00AD1132">
        <w:t>.</w:t>
      </w:r>
    </w:p>
    <w:p w14:paraId="3AF23FD4" w14:textId="20153818" w:rsidR="008A1A9F" w:rsidRDefault="0032250C" w:rsidP="00372A2A">
      <w:r>
        <w:t xml:space="preserve">Implementing these changes is complicated by the likelihood that the </w:t>
      </w:r>
      <w:r w:rsidR="00D549A1">
        <w:t xml:space="preserve">bond aggregator will </w:t>
      </w:r>
      <w:r>
        <w:t xml:space="preserve">issue its first bonds in late 2018.  </w:t>
      </w:r>
      <w:r w:rsidR="008A1A9F">
        <w:t>However,</w:t>
      </w:r>
      <w:r>
        <w:t xml:space="preserve"> the convening of a Senior Officials Working Group</w:t>
      </w:r>
      <w:r w:rsidR="00812780">
        <w:t xml:space="preserve"> (SOWG)</w:t>
      </w:r>
      <w:r>
        <w:t xml:space="preserve"> (to progress the </w:t>
      </w:r>
      <w:r w:rsidR="00816EEB">
        <w:t xml:space="preserve">housing-related </w:t>
      </w:r>
      <w:r>
        <w:t>initiatives announced by the Commonwealth Treasurer at</w:t>
      </w:r>
      <w:r w:rsidR="00924CB8">
        <w:br/>
      </w:r>
      <w:r>
        <w:t xml:space="preserve">Budget 2017-18) and the review of the NRSCH scheduled for 2018 mean that there are processes in place to </w:t>
      </w:r>
      <w:r w:rsidR="008A1A9F">
        <w:t xml:space="preserve">progress potential </w:t>
      </w:r>
      <w:r w:rsidR="00816EEB">
        <w:t>enhancements</w:t>
      </w:r>
      <w:r>
        <w:t>.</w:t>
      </w:r>
    </w:p>
    <w:p w14:paraId="282870E6" w14:textId="4D44BFA0" w:rsidR="00D549A1" w:rsidRDefault="008A1A9F" w:rsidP="00372A2A">
      <w:r>
        <w:t xml:space="preserve">A possible program for modernising the framework could include using the </w:t>
      </w:r>
      <w:r w:rsidR="00812780">
        <w:t>SOWG</w:t>
      </w:r>
      <w:r>
        <w:t xml:space="preserve"> to consult with all jurisdictions, the community housing sector and potential investors and to propose a blueprint for the regulation of the governance and financial activities of CHPs</w:t>
      </w:r>
      <w:r w:rsidR="00812780">
        <w:t>, with special regard to the fact that the</w:t>
      </w:r>
      <w:r>
        <w:t xml:space="preserve"> operating environment </w:t>
      </w:r>
      <w:r w:rsidR="00812780">
        <w:t>will soon</w:t>
      </w:r>
      <w:r>
        <w:t xml:space="preserve"> in</w:t>
      </w:r>
      <w:r w:rsidR="00812780">
        <w:t>clude</w:t>
      </w:r>
      <w:r>
        <w:t xml:space="preserve"> a bond aggregator.</w:t>
      </w:r>
      <w:r w:rsidR="00EC6751">
        <w:t xml:space="preserve"> </w:t>
      </w:r>
      <w:r w:rsidR="008E7B98">
        <w:t>As a part of this, t</w:t>
      </w:r>
      <w:r w:rsidR="00BA7214">
        <w:t xml:space="preserve">he SOWG </w:t>
      </w:r>
      <w:r w:rsidR="00EC6751">
        <w:t xml:space="preserve">could also </w:t>
      </w:r>
      <w:r w:rsidR="00816EEB">
        <w:t>facilitate broader discussions</w:t>
      </w:r>
      <w:r w:rsidR="00EC6751">
        <w:t xml:space="preserve"> with</w:t>
      </w:r>
      <w:r w:rsidR="00BA7214">
        <w:t xml:space="preserve"> Victoria and Western Australia</w:t>
      </w:r>
      <w:r w:rsidR="00E54BFD">
        <w:t xml:space="preserve"> on</w:t>
      </w:r>
      <w:r w:rsidR="008E7B98">
        <w:t xml:space="preserve"> the prospect of joining the NRSCH</w:t>
      </w:r>
      <w:r w:rsidR="00EC6751">
        <w:t xml:space="preserve"> </w:t>
      </w:r>
      <w:r w:rsidR="00E54BFD">
        <w:t>including</w:t>
      </w:r>
      <w:r w:rsidR="008E7B98">
        <w:t xml:space="preserve"> a plan </w:t>
      </w:r>
      <w:r w:rsidR="00E54BFD">
        <w:t xml:space="preserve">for </w:t>
      </w:r>
      <w:r w:rsidR="008E7B98">
        <w:t xml:space="preserve">welcoming them into the </w:t>
      </w:r>
      <w:r w:rsidR="00EC6751">
        <w:t xml:space="preserve">national system. </w:t>
      </w:r>
      <w:r w:rsidR="00BA7214">
        <w:t xml:space="preserve">  </w:t>
      </w:r>
    </w:p>
    <w:p w14:paraId="08693CE9" w14:textId="40B3B4D0" w:rsidR="00531F09" w:rsidRDefault="00E54BFD" w:rsidP="00372A2A">
      <w:r>
        <w:t>T</w:t>
      </w:r>
      <w:r w:rsidR="00A43E91">
        <w:t>hese</w:t>
      </w:r>
      <w:r w:rsidR="00531F09">
        <w:t xml:space="preserve"> </w:t>
      </w:r>
      <w:r w:rsidR="00A43E91">
        <w:t xml:space="preserve">changes </w:t>
      </w:r>
      <w:r w:rsidR="00531F09">
        <w:t xml:space="preserve">alone </w:t>
      </w:r>
      <w:r w:rsidR="00A43E91">
        <w:t>would not be sufficient to</w:t>
      </w:r>
      <w:r w:rsidR="00531F09">
        <w:t xml:space="preserve"> ensure national consistency.</w:t>
      </w:r>
      <w:r w:rsidR="00A43E91">
        <w:t xml:space="preserve"> Disparities in the way in which Registrars enforce the regulations could persist. So too might inconsistencies in the way </w:t>
      </w:r>
      <w:r>
        <w:t>j</w:t>
      </w:r>
      <w:r w:rsidR="00A43E91">
        <w:t>urisdictions contract with CHPs, with ongoing implications for financiers seeking collateral or security. For these</w:t>
      </w:r>
      <w:r>
        <w:t xml:space="preserve"> reasons, the task of the SOWG c</w:t>
      </w:r>
      <w:r w:rsidR="00A43E91">
        <w:t xml:space="preserve">ould include </w:t>
      </w:r>
      <w:r w:rsidR="007B7952">
        <w:t xml:space="preserve">determining the scope for </w:t>
      </w:r>
      <w:r w:rsidR="00A43E91">
        <w:t>national standards</w:t>
      </w:r>
      <w:r w:rsidR="007B7952">
        <w:t xml:space="preserve"> to mitigate these </w:t>
      </w:r>
      <w:r>
        <w:t>issues</w:t>
      </w:r>
      <w:r w:rsidR="007B7952">
        <w:t xml:space="preserve">. </w:t>
      </w:r>
    </w:p>
    <w:p w14:paraId="1E0D4B05" w14:textId="4C9CFBC8" w:rsidR="00656455" w:rsidRDefault="00531F09" w:rsidP="00372A2A">
      <w:r>
        <w:t xml:space="preserve">If successful, these </w:t>
      </w:r>
      <w:r w:rsidR="00A43E91">
        <w:t>improvements</w:t>
      </w:r>
      <w:r>
        <w:t xml:space="preserve"> would re</w:t>
      </w:r>
      <w:r w:rsidR="00002E5B">
        <w:t>present substantial</w:t>
      </w:r>
      <w:r>
        <w:t xml:space="preserve"> strides towards ensuring the regulatory system </w:t>
      </w:r>
      <w:r w:rsidR="00E54BFD">
        <w:t xml:space="preserve">will </w:t>
      </w:r>
      <w:r>
        <w:t>support a bond aggregator. But they would not address the broader question of whether the regulatory framework is able facilitate future growth in the sector. For this re</w:t>
      </w:r>
      <w:r w:rsidR="0085762C">
        <w:t>ason, the review of the NRSCH by mid-</w:t>
      </w:r>
      <w:r w:rsidR="00924CB8">
        <w:t>2018 is crucial.</w:t>
      </w:r>
    </w:p>
    <w:tbl>
      <w:tblPr>
        <w:tblStyle w:val="TableGrid"/>
        <w:tblW w:w="9322" w:type="dxa"/>
        <w:shd w:val="clear" w:color="auto" w:fill="F2F2F2" w:themeFill="background1" w:themeFillShade="F2"/>
        <w:tblLook w:val="04A0" w:firstRow="1" w:lastRow="0" w:firstColumn="1" w:lastColumn="0" w:noHBand="0" w:noVBand="1"/>
      </w:tblPr>
      <w:tblGrid>
        <w:gridCol w:w="9322"/>
      </w:tblGrid>
      <w:tr w:rsidR="00924CB8" w14:paraId="0A7ED46A" w14:textId="77777777" w:rsidTr="003F36CE">
        <w:tc>
          <w:tcPr>
            <w:tcW w:w="9322" w:type="dxa"/>
            <w:shd w:val="clear" w:color="auto" w:fill="F2F2F2" w:themeFill="background1" w:themeFillShade="F2"/>
          </w:tcPr>
          <w:p w14:paraId="6C0C6682" w14:textId="77777777" w:rsidR="00924CB8" w:rsidRPr="00924CB8" w:rsidRDefault="00924CB8" w:rsidP="00924CB8">
            <w:pPr>
              <w:pStyle w:val="BoxHeading"/>
            </w:pPr>
            <w:r w:rsidRPr="00924CB8">
              <w:t>Recommendation 2</w:t>
            </w:r>
          </w:p>
          <w:p w14:paraId="32C577E6" w14:textId="77777777" w:rsidR="00924CB8" w:rsidRPr="00924CB8" w:rsidRDefault="00924CB8" w:rsidP="00924CB8">
            <w:pPr>
              <w:pStyle w:val="BoxText"/>
            </w:pPr>
            <w:r w:rsidRPr="00924CB8">
              <w:t>The Affordable Housing Working Group recommends that the Commonwealth and State and Territory governments and the community housing sector work together to develop and implement a uniform and nationally applied regulatory framework that supports the implementation of a bond aggregator as well as the growth of the sector nationally.</w:t>
            </w:r>
          </w:p>
          <w:p w14:paraId="49603284" w14:textId="6C1BBFB2" w:rsidR="00924CB8" w:rsidRDefault="00924CB8" w:rsidP="00924CB8">
            <w:pPr>
              <w:pStyle w:val="BoxText-UnBold"/>
              <w:rPr>
                <w:lang w:eastAsia="en-US"/>
              </w:rPr>
            </w:pPr>
            <w:r>
              <w:rPr>
                <w:lang w:eastAsia="en-US"/>
              </w:rPr>
              <w:t xml:space="preserve">A common regulatory framework that is consistently applied across all jurisdictions and provides certainty for CHPs operating across States and Territories will assist the growth of the CHP sector and provide confidence to </w:t>
            </w:r>
            <w:r w:rsidRPr="00B14AFE">
              <w:rPr>
                <w:lang w:eastAsia="en-US"/>
              </w:rPr>
              <w:t>potential investors</w:t>
            </w:r>
            <w:r>
              <w:rPr>
                <w:lang w:eastAsia="en-US"/>
              </w:rPr>
              <w:t>.</w:t>
            </w:r>
          </w:p>
        </w:tc>
      </w:tr>
    </w:tbl>
    <w:p w14:paraId="36EC3770" w14:textId="77777777" w:rsidR="00924CB8" w:rsidRDefault="00924CB8">
      <w:r>
        <w:br w:type="page"/>
      </w:r>
    </w:p>
    <w:tbl>
      <w:tblPr>
        <w:tblStyle w:val="RecommendationBox"/>
        <w:tblW w:w="9322" w:type="dxa"/>
        <w:tblBorders>
          <w:top w:val="single" w:sz="4" w:space="0" w:color="246373"/>
          <w:left w:val="single" w:sz="4" w:space="0" w:color="246373"/>
          <w:bottom w:val="single" w:sz="4" w:space="0" w:color="246373"/>
          <w:right w:val="single" w:sz="4" w:space="0" w:color="246373"/>
          <w:insideH w:val="single" w:sz="4" w:space="0" w:color="246373"/>
          <w:insideV w:val="single" w:sz="4" w:space="0" w:color="246373"/>
        </w:tblBorders>
        <w:shd w:val="clear" w:color="auto" w:fill="F2F2F2" w:themeFill="background1" w:themeFillShade="F2"/>
        <w:tblLook w:val="04A0" w:firstRow="1" w:lastRow="0" w:firstColumn="1" w:lastColumn="0" w:noHBand="0" w:noVBand="1"/>
      </w:tblPr>
      <w:tblGrid>
        <w:gridCol w:w="9322"/>
      </w:tblGrid>
      <w:tr w:rsidR="00656455" w14:paraId="1952DBFD" w14:textId="77777777" w:rsidTr="003F36CE">
        <w:trPr>
          <w:trHeight w:val="5093"/>
        </w:trPr>
        <w:tc>
          <w:tcPr>
            <w:tcW w:w="9322" w:type="dxa"/>
            <w:tcBorders>
              <w:top w:val="single" w:sz="4" w:space="0" w:color="246373"/>
              <w:left w:val="single" w:sz="4" w:space="0" w:color="246373"/>
              <w:bottom w:val="single" w:sz="4" w:space="0" w:color="246373"/>
              <w:right w:val="single" w:sz="4" w:space="0" w:color="246373"/>
            </w:tcBorders>
            <w:shd w:val="clear" w:color="auto" w:fill="F2F2F2" w:themeFill="background1" w:themeFillShade="F2"/>
            <w:hideMark/>
          </w:tcPr>
          <w:p w14:paraId="1EE0CFAC" w14:textId="7ED3870D" w:rsidR="00924CB8" w:rsidRPr="00924CB8" w:rsidRDefault="00924CB8" w:rsidP="00924CB8">
            <w:pPr>
              <w:pStyle w:val="BoxHeading"/>
            </w:pPr>
            <w:r w:rsidRPr="00924CB8">
              <w:lastRenderedPageBreak/>
              <w:t>Recommendation 2</w:t>
            </w:r>
            <w:r>
              <w:t xml:space="preserve"> (continued)</w:t>
            </w:r>
          </w:p>
          <w:p w14:paraId="6BA94194" w14:textId="77777777" w:rsidR="00C71E32" w:rsidRPr="00B14AFE" w:rsidRDefault="00C71E32" w:rsidP="00924CB8">
            <w:pPr>
              <w:pStyle w:val="BoxText-UnBold"/>
              <w:rPr>
                <w:lang w:eastAsia="en-US"/>
              </w:rPr>
            </w:pPr>
            <w:r w:rsidRPr="00B14AFE">
              <w:rPr>
                <w:lang w:eastAsia="en-US"/>
              </w:rPr>
              <w:t>To achieve this, the Working Group recommends that the Council on Federal Financial Relations develop proposals</w:t>
            </w:r>
            <w:r>
              <w:rPr>
                <w:lang w:eastAsia="en-US"/>
              </w:rPr>
              <w:t xml:space="preserve"> in consultation with relevant Housing Ministers</w:t>
            </w:r>
            <w:r w:rsidRPr="00B14AFE">
              <w:rPr>
                <w:lang w:eastAsia="en-US"/>
              </w:rPr>
              <w:t xml:space="preserve"> for:</w:t>
            </w:r>
          </w:p>
          <w:p w14:paraId="5745BA42" w14:textId="77777777" w:rsidR="00C71E32" w:rsidRPr="00B14AFE" w:rsidRDefault="00C71E32" w:rsidP="00924CB8">
            <w:pPr>
              <w:pStyle w:val="BoxText-Bullet"/>
              <w:rPr>
                <w:lang w:eastAsia="en-US"/>
              </w:rPr>
            </w:pPr>
            <w:r>
              <w:rPr>
                <w:lang w:eastAsia="en-US"/>
              </w:rPr>
              <w:t>strengthened</w:t>
            </w:r>
            <w:r w:rsidRPr="00B14AFE">
              <w:rPr>
                <w:lang w:eastAsia="en-US"/>
              </w:rPr>
              <w:t xml:space="preserve"> governance and financial reporting and risk management policies for </w:t>
            </w:r>
            <w:r>
              <w:rPr>
                <w:lang w:eastAsia="en-US"/>
              </w:rPr>
              <w:t>CHPs which are seeking access to the bond aggregator</w:t>
            </w:r>
            <w:r w:rsidRPr="00B14AFE">
              <w:rPr>
                <w:lang w:eastAsia="en-US"/>
              </w:rPr>
              <w:t>;</w:t>
            </w:r>
          </w:p>
          <w:p w14:paraId="29075A9B" w14:textId="17A06C17" w:rsidR="00C71E32" w:rsidRPr="00B14AFE" w:rsidRDefault="00C71E32" w:rsidP="00924CB8">
            <w:pPr>
              <w:pStyle w:val="BoxText-Bullet"/>
              <w:rPr>
                <w:lang w:eastAsia="en-US"/>
              </w:rPr>
            </w:pPr>
            <w:r w:rsidRPr="00B14AFE">
              <w:rPr>
                <w:lang w:eastAsia="en-US"/>
              </w:rPr>
              <w:t xml:space="preserve">the entry of Western Australia and Victoria into </w:t>
            </w:r>
            <w:r w:rsidR="006F0F8E" w:rsidRPr="00002E5B">
              <w:rPr>
                <w:lang w:eastAsia="en-US"/>
              </w:rPr>
              <w:t>a suitably strengthened</w:t>
            </w:r>
            <w:r w:rsidRPr="00002E5B">
              <w:rPr>
                <w:lang w:eastAsia="en-US"/>
              </w:rPr>
              <w:t xml:space="preserve"> National Regulatory System for Community Housing to the extent required to enable the bond</w:t>
            </w:r>
            <w:r>
              <w:rPr>
                <w:lang w:eastAsia="en-US"/>
              </w:rPr>
              <w:t xml:space="preserve"> aggregator to lend into those jurisdictions in a way that </w:t>
            </w:r>
            <w:r w:rsidRPr="00866275">
              <w:rPr>
                <w:lang w:eastAsia="en-US"/>
              </w:rPr>
              <w:t>maximises investor confidence; and</w:t>
            </w:r>
          </w:p>
          <w:p w14:paraId="1A2BC3FA" w14:textId="77777777" w:rsidR="00C71E32" w:rsidRPr="00B14AFE" w:rsidRDefault="00C71E32" w:rsidP="00924CB8">
            <w:pPr>
              <w:pStyle w:val="BoxText-Bullet"/>
              <w:rPr>
                <w:lang w:eastAsia="en-US"/>
              </w:rPr>
            </w:pPr>
            <w:proofErr w:type="gramStart"/>
            <w:r w:rsidRPr="00B14AFE">
              <w:rPr>
                <w:lang w:eastAsia="en-US"/>
              </w:rPr>
              <w:t>consistent</w:t>
            </w:r>
            <w:proofErr w:type="gramEnd"/>
            <w:r w:rsidRPr="00B14AFE">
              <w:rPr>
                <w:lang w:eastAsia="en-US"/>
              </w:rPr>
              <w:t xml:space="preserve"> application of the regulatory framework and</w:t>
            </w:r>
            <w:r>
              <w:rPr>
                <w:lang w:eastAsia="en-US"/>
              </w:rPr>
              <w:t xml:space="preserve"> consistent regulatory</w:t>
            </w:r>
            <w:r w:rsidRPr="00B14AFE">
              <w:rPr>
                <w:lang w:eastAsia="en-US"/>
              </w:rPr>
              <w:t xml:space="preserve"> policy settings</w:t>
            </w:r>
            <w:r>
              <w:rPr>
                <w:lang w:eastAsia="en-US"/>
              </w:rPr>
              <w:t xml:space="preserve"> across jurisdictions, such as the way in which jurisdictions contract with CHPs.</w:t>
            </w:r>
            <w:r w:rsidRPr="00B14AFE">
              <w:rPr>
                <w:lang w:eastAsia="en-US"/>
              </w:rPr>
              <w:t xml:space="preserve"> </w:t>
            </w:r>
          </w:p>
          <w:p w14:paraId="1C0A153B" w14:textId="77777777" w:rsidR="00C71E32" w:rsidRPr="00B14AFE" w:rsidRDefault="00C71E32" w:rsidP="00924CB8">
            <w:pPr>
              <w:pStyle w:val="BoxText-UnBold"/>
              <w:rPr>
                <w:lang w:eastAsia="en-US"/>
              </w:rPr>
            </w:pPr>
            <w:r w:rsidRPr="00B14AFE">
              <w:rPr>
                <w:lang w:eastAsia="en-US"/>
              </w:rPr>
              <w:t xml:space="preserve">Implementation of these proposals should occur by 1 July 2018 to support the commencement of the bond aggregator. </w:t>
            </w:r>
          </w:p>
          <w:p w14:paraId="10E0C0D8" w14:textId="3BA283C9" w:rsidR="00C71E32" w:rsidRDefault="00C71E32" w:rsidP="00924CB8">
            <w:pPr>
              <w:pStyle w:val="BoxText-UnBold"/>
            </w:pPr>
            <w:r w:rsidRPr="00B14AFE">
              <w:rPr>
                <w:lang w:eastAsia="en-US"/>
              </w:rPr>
              <w:t xml:space="preserve">The Affordable Housing Working Group also notes the importance of the Review of the National Regulatory System for Community Housing scheduled for 2018 </w:t>
            </w:r>
            <w:r>
              <w:rPr>
                <w:lang w:eastAsia="en-US"/>
              </w:rPr>
              <w:t>for</w:t>
            </w:r>
            <w:r w:rsidRPr="00B14AFE">
              <w:rPr>
                <w:lang w:eastAsia="en-US"/>
              </w:rPr>
              <w:t xml:space="preserve"> examining and improving the broader framework of community housing regulation (including tenancy management) to ensure that </w:t>
            </w:r>
            <w:r>
              <w:rPr>
                <w:lang w:eastAsia="en-US"/>
              </w:rPr>
              <w:t>the regulatory system</w:t>
            </w:r>
            <w:r w:rsidRPr="00B14AFE">
              <w:rPr>
                <w:lang w:eastAsia="en-US"/>
              </w:rPr>
              <w:t xml:space="preserve"> </w:t>
            </w:r>
            <w:r>
              <w:rPr>
                <w:lang w:eastAsia="en-US"/>
              </w:rPr>
              <w:t>supports</w:t>
            </w:r>
            <w:r w:rsidRPr="00B14AFE">
              <w:rPr>
                <w:lang w:eastAsia="en-US"/>
              </w:rPr>
              <w:t xml:space="preserve"> future growth in the sector. </w:t>
            </w:r>
            <w:r>
              <w:rPr>
                <w:lang w:eastAsia="en-US"/>
              </w:rPr>
              <w:t>The review should also consider any changes to the policy settings that will improve the capability of the sector and whether moving to a single nat</w:t>
            </w:r>
            <w:r w:rsidR="00924CB8">
              <w:rPr>
                <w:lang w:eastAsia="en-US"/>
              </w:rPr>
              <w:t>ional regulator is appropriate.</w:t>
            </w:r>
          </w:p>
        </w:tc>
      </w:tr>
    </w:tbl>
    <w:p w14:paraId="7F533144" w14:textId="44D37E9C" w:rsidR="00C22382" w:rsidRDefault="00C22382">
      <w:pPr>
        <w:spacing w:after="200" w:line="276" w:lineRule="auto"/>
        <w:rPr>
          <w:rFonts w:ascii="Calibri" w:eastAsiaTheme="majorEastAsia" w:hAnsi="Calibri" w:cstheme="majorBidi"/>
          <w:bCs/>
          <w:color w:val="246373" w:themeColor="accent6" w:themeShade="BF"/>
          <w:spacing w:val="4"/>
          <w:sz w:val="40"/>
          <w:szCs w:val="28"/>
        </w:rPr>
      </w:pPr>
      <w:r>
        <w:br w:type="page"/>
      </w:r>
    </w:p>
    <w:p w14:paraId="32E01847" w14:textId="17ED67FF" w:rsidR="007863DF" w:rsidRPr="007863DF" w:rsidRDefault="005B396E" w:rsidP="00BC33F1">
      <w:pPr>
        <w:pStyle w:val="Heading1"/>
      </w:pPr>
      <w:bookmarkStart w:id="164" w:name="_Toc485750950"/>
      <w:bookmarkStart w:id="165" w:name="_Toc487814102"/>
      <w:bookmarkStart w:id="166" w:name="_Toc493848972"/>
      <w:r>
        <w:lastRenderedPageBreak/>
        <w:t>5.</w:t>
      </w:r>
      <w:r w:rsidR="00924CB8">
        <w:tab/>
      </w:r>
      <w:r w:rsidR="0053303C">
        <w:t>Broader</w:t>
      </w:r>
      <w:r w:rsidR="004222BF">
        <w:t xml:space="preserve"> reforms to </w:t>
      </w:r>
      <w:r w:rsidR="00DF1A8D">
        <w:t>assist housing affordability</w:t>
      </w:r>
      <w:bookmarkEnd w:id="164"/>
      <w:bookmarkEnd w:id="165"/>
      <w:bookmarkEnd w:id="166"/>
    </w:p>
    <w:p w14:paraId="557EB62E" w14:textId="39B5CC07" w:rsidR="004222BF" w:rsidRDefault="0085762C" w:rsidP="00372A2A">
      <w:r>
        <w:t>While the</w:t>
      </w:r>
      <w:r w:rsidR="00E02D02">
        <w:t xml:space="preserve"> focus of this report </w:t>
      </w:r>
      <w:r w:rsidR="00DF1A8D">
        <w:t>has been</w:t>
      </w:r>
      <w:r w:rsidR="00E02D02">
        <w:t xml:space="preserve"> on</w:t>
      </w:r>
      <w:r w:rsidR="00DF1A8D">
        <w:t xml:space="preserve"> reforms </w:t>
      </w:r>
      <w:r w:rsidR="004C04C6">
        <w:t xml:space="preserve">targeted to </w:t>
      </w:r>
      <w:r w:rsidR="00DF1A8D">
        <w:t>assist the</w:t>
      </w:r>
      <w:r w:rsidR="00E02D02">
        <w:t xml:space="preserve"> affordable housing</w:t>
      </w:r>
      <w:r w:rsidR="00DF1A8D">
        <w:t xml:space="preserve"> sector</w:t>
      </w:r>
      <w:r>
        <w:t>,</w:t>
      </w:r>
      <w:r w:rsidR="00DF1A8D">
        <w:t xml:space="preserve"> </w:t>
      </w:r>
      <w:r>
        <w:t>this is</w:t>
      </w:r>
      <w:r w:rsidR="00B4069F">
        <w:t xml:space="preserve"> linked</w:t>
      </w:r>
      <w:r w:rsidR="00E02D02">
        <w:t xml:space="preserve"> </w:t>
      </w:r>
      <w:r>
        <w:t xml:space="preserve">with the broader </w:t>
      </w:r>
      <w:r w:rsidR="00E02D02">
        <w:t xml:space="preserve">spectrum of housing need </w:t>
      </w:r>
      <w:r w:rsidR="00B4069F">
        <w:t>across the community. Accordingly, r</w:t>
      </w:r>
      <w:r w:rsidR="00E02D02">
        <w:t xml:space="preserve">eforms </w:t>
      </w:r>
      <w:r w:rsidR="00DF1A8D">
        <w:t>that</w:t>
      </w:r>
      <w:r w:rsidR="004222BF">
        <w:t xml:space="preserve"> </w:t>
      </w:r>
      <w:r w:rsidR="00B4069F">
        <w:t xml:space="preserve">increase the supply of housing more broadly </w:t>
      </w:r>
      <w:r w:rsidR="004222BF">
        <w:t xml:space="preserve">have the capacity to </w:t>
      </w:r>
      <w:r w:rsidR="00B4069F">
        <w:t>improve</w:t>
      </w:r>
      <w:r w:rsidR="004222BF">
        <w:t xml:space="preserve"> housing affordability</w:t>
      </w:r>
      <w:r w:rsidR="00B4069F">
        <w:t xml:space="preserve"> and alleviate some of the pressure on the community housing sector.</w:t>
      </w:r>
    </w:p>
    <w:p w14:paraId="4F3EB7FB" w14:textId="7ACC9849" w:rsidR="00DF1A8D" w:rsidRDefault="00DF1A8D" w:rsidP="00372A2A">
      <w:r>
        <w:t>Whilst not an exhaustive list, this chapter discusses</w:t>
      </w:r>
      <w:r w:rsidR="0049130F">
        <w:t xml:space="preserve"> possible</w:t>
      </w:r>
      <w:r>
        <w:t xml:space="preserve"> reforms including </w:t>
      </w:r>
      <w:r w:rsidR="0049130F">
        <w:t>improved</w:t>
      </w:r>
      <w:r>
        <w:t xml:space="preserve"> planning systems to deliver simple and consistent outcomes, a better use of surplus land and a switch from stamp duty to a broad-based land tax</w:t>
      </w:r>
      <w:r w:rsidR="0085762C">
        <w:t xml:space="preserve"> as reforms which would have an impact on broader housing supply</w:t>
      </w:r>
      <w:r>
        <w:t>.</w:t>
      </w:r>
    </w:p>
    <w:p w14:paraId="46A4ECD3" w14:textId="0FB394E6" w:rsidR="00E55F09" w:rsidRDefault="00B13A4F" w:rsidP="00B14AFE">
      <w:pPr>
        <w:pStyle w:val="Heading2"/>
      </w:pPr>
      <w:bookmarkStart w:id="167" w:name="_Toc493848973"/>
      <w:r>
        <w:t>Planning and z</w:t>
      </w:r>
      <w:r w:rsidR="00E55F09">
        <w:t>oning</w:t>
      </w:r>
      <w:bookmarkEnd w:id="167"/>
    </w:p>
    <w:p w14:paraId="78FA8D41" w14:textId="77777777" w:rsidR="00925A1B" w:rsidRPr="009E0B58" w:rsidRDefault="00925A1B" w:rsidP="00925A1B">
      <w:pPr>
        <w:pStyle w:val="Heading3"/>
      </w:pPr>
      <w:r w:rsidRPr="008B6727">
        <w:t>Improved planning processes to increase system efficiency</w:t>
      </w:r>
    </w:p>
    <w:p w14:paraId="6D43E0EC" w14:textId="240FD3C0" w:rsidR="00F04066" w:rsidRDefault="0049130F" w:rsidP="00372A2A">
      <w:r>
        <w:t xml:space="preserve">The </w:t>
      </w:r>
      <w:r w:rsidR="00E55F09">
        <w:t>way in which planning system</w:t>
      </w:r>
      <w:r w:rsidR="00380141">
        <w:t>s function</w:t>
      </w:r>
      <w:r w:rsidR="00E55F09">
        <w:t xml:space="preserve"> can have major implications for </w:t>
      </w:r>
      <w:r>
        <w:t>housing</w:t>
      </w:r>
      <w:r w:rsidR="00F04066">
        <w:t xml:space="preserve"> supply</w:t>
      </w:r>
      <w:r>
        <w:t xml:space="preserve">. </w:t>
      </w:r>
      <w:r w:rsidR="0035172B">
        <w:t>A</w:t>
      </w:r>
      <w:r w:rsidR="00B4069F">
        <w:t xml:space="preserve"> recent study </w:t>
      </w:r>
      <w:r w:rsidR="009D096A">
        <w:t>de</w:t>
      </w:r>
      <w:r w:rsidR="00B4069F">
        <w:t xml:space="preserve">monstrated </w:t>
      </w:r>
      <w:r w:rsidR="009D096A">
        <w:t>direct link</w:t>
      </w:r>
      <w:r w:rsidR="00B4069F">
        <w:t>s</w:t>
      </w:r>
      <w:r w:rsidR="009D096A">
        <w:t xml:space="preserve"> between planning controls and supply </w:t>
      </w:r>
      <w:proofErr w:type="gramStart"/>
      <w:r w:rsidR="009D096A">
        <w:t>responsiveness</w:t>
      </w:r>
      <w:proofErr w:type="gramEnd"/>
      <w:r w:rsidR="00924CB8">
        <w:br/>
      </w:r>
      <w:r w:rsidR="009D096A">
        <w:t>(Ong et al. 2017). Others</w:t>
      </w:r>
      <w:r w:rsidR="009D096A" w:rsidRPr="008B6727">
        <w:t xml:space="preserve"> </w:t>
      </w:r>
      <w:r w:rsidR="009D096A">
        <w:t xml:space="preserve">have </w:t>
      </w:r>
      <w:r w:rsidR="009D096A" w:rsidRPr="008B6727">
        <w:t>highlight</w:t>
      </w:r>
      <w:r w:rsidR="009D096A">
        <w:t>ed</w:t>
      </w:r>
      <w:r w:rsidR="009D096A" w:rsidRPr="008B6727">
        <w:t xml:space="preserve"> the need to reform planning and zoning rules across jurisdictions to increase competition and improve productivity</w:t>
      </w:r>
      <w:r w:rsidR="00B4069F">
        <w:t xml:space="preserve"> (PC 2011</w:t>
      </w:r>
      <w:r w:rsidR="00E55F09">
        <w:t>;</w:t>
      </w:r>
      <w:r w:rsidR="00B4069F">
        <w:t xml:space="preserve"> Harper 2015)</w:t>
      </w:r>
      <w:r w:rsidR="009D096A" w:rsidRPr="008B6727">
        <w:t>.</w:t>
      </w:r>
      <w:r w:rsidR="009D096A">
        <w:t xml:space="preserve"> </w:t>
      </w:r>
      <w:r w:rsidR="00925A1B" w:rsidRPr="008B6727">
        <w:t>Inefficiencies in the planning system are estimated to cost Australia’s economy billions of dollars each year, contributing to lower growth and living standards</w:t>
      </w:r>
      <w:r w:rsidR="00724525">
        <w:t>.</w:t>
      </w:r>
      <w:r w:rsidR="00925A1B" w:rsidRPr="008B6727">
        <w:t xml:space="preserve"> </w:t>
      </w:r>
      <w:r w:rsidR="009D096A">
        <w:t xml:space="preserve">A report by the </w:t>
      </w:r>
      <w:r w:rsidR="00925A1B" w:rsidRPr="008B6727">
        <w:t>Centre for International Economics estimated t</w:t>
      </w:r>
      <w:r w:rsidR="00724525">
        <w:t>he</w:t>
      </w:r>
      <w:r w:rsidR="00925A1B" w:rsidRPr="008B6727">
        <w:t xml:space="preserve"> cost of inefficiencies in NSW alone to be between $1 and $2 billion per year. </w:t>
      </w:r>
    </w:p>
    <w:p w14:paraId="3F09DD6A" w14:textId="1F805568" w:rsidR="00925A1B" w:rsidRDefault="00EA1CA2" w:rsidP="00372A2A">
      <w:r>
        <w:t>P</w:t>
      </w:r>
      <w:r w:rsidRPr="008B6727">
        <w:t>lanning and zoning laws and regulat</w:t>
      </w:r>
      <w:r>
        <w:t>ions are the</w:t>
      </w:r>
      <w:r w:rsidR="00380141">
        <w:t xml:space="preserve"> sole</w:t>
      </w:r>
      <w:r>
        <w:t xml:space="preserve"> responsibility of S</w:t>
      </w:r>
      <w:r w:rsidRPr="008B6727">
        <w:t xml:space="preserve">tate and </w:t>
      </w:r>
      <w:r>
        <w:t>T</w:t>
      </w:r>
      <w:r w:rsidRPr="008B6727">
        <w:t>erritory and local governments.</w:t>
      </w:r>
      <w:r w:rsidR="00B4069F">
        <w:t xml:space="preserve"> </w:t>
      </w:r>
      <w:r w:rsidR="00F04066">
        <w:t>T</w:t>
      </w:r>
      <w:r w:rsidR="007E79A1">
        <w:t>he most common approach to</w:t>
      </w:r>
      <w:r w:rsidR="00F04066">
        <w:t xml:space="preserve"> i</w:t>
      </w:r>
      <w:r w:rsidR="00925A1B" w:rsidRPr="008B6727">
        <w:t>mprov</w:t>
      </w:r>
      <w:r w:rsidR="007E79A1">
        <w:t>ing</w:t>
      </w:r>
      <w:r w:rsidR="00F04066">
        <w:t xml:space="preserve"> the</w:t>
      </w:r>
      <w:r w:rsidR="00925A1B" w:rsidRPr="008B6727">
        <w:t xml:space="preserve"> efficiency of planning systems</w:t>
      </w:r>
      <w:r w:rsidR="00F04066" w:rsidRPr="008B6727">
        <w:t xml:space="preserve"> </w:t>
      </w:r>
      <w:r w:rsidR="007E79A1">
        <w:t xml:space="preserve">is to </w:t>
      </w:r>
      <w:r w:rsidR="002E2156">
        <w:t xml:space="preserve">minimise unnecessary planning regulations/compliance costs, and to </w:t>
      </w:r>
      <w:r w:rsidR="00925A1B" w:rsidRPr="008B6727">
        <w:t>reduc</w:t>
      </w:r>
      <w:r w:rsidR="007E79A1">
        <w:t>e</w:t>
      </w:r>
      <w:r w:rsidR="00925A1B" w:rsidRPr="008B6727">
        <w:t xml:space="preserve"> </w:t>
      </w:r>
      <w:r w:rsidR="00F04066">
        <w:t xml:space="preserve">the </w:t>
      </w:r>
      <w:r w:rsidR="00925A1B" w:rsidRPr="008B6727">
        <w:t xml:space="preserve">costs associated with planning application processes and associated delays (such as administration, unnecessary duplication and holding costs). </w:t>
      </w:r>
    </w:p>
    <w:p w14:paraId="63906B09" w14:textId="599BDE6D" w:rsidR="00925A1B" w:rsidRDefault="00925A1B" w:rsidP="00372A2A">
      <w:r w:rsidRPr="00925A1B">
        <w:t>The Productivity Commission</w:t>
      </w:r>
      <w:r w:rsidR="00EA1352">
        <w:t>’</w:t>
      </w:r>
      <w:r w:rsidRPr="00925A1B">
        <w:t xml:space="preserve">s </w:t>
      </w:r>
      <w:r w:rsidRPr="00EA1352">
        <w:rPr>
          <w:i/>
        </w:rPr>
        <w:t>Performance Benchmarking of Australian Business Regulation: Planning, Zoning and Development Assessments</w:t>
      </w:r>
      <w:r w:rsidRPr="00925A1B">
        <w:t xml:space="preserve"> (2011) identified leading practices to improve planning, zoning and assessment</w:t>
      </w:r>
      <w:r w:rsidR="00E55F09">
        <w:t>. These include</w:t>
      </w:r>
      <w:r w:rsidRPr="00925A1B">
        <w:t>:</w:t>
      </w:r>
    </w:p>
    <w:p w14:paraId="366720F2" w14:textId="0B3B1F05" w:rsidR="00925A1B" w:rsidRPr="003D1C78" w:rsidRDefault="00925A1B" w:rsidP="00B14AFE">
      <w:pPr>
        <w:pStyle w:val="Bullet"/>
      </w:pPr>
      <w:r w:rsidRPr="00E55F09">
        <w:t>providing clear guidance and targets in strategic plans while allowing flexibility to adjust to changing circumstances and innovation (so</w:t>
      </w:r>
      <w:r w:rsidRPr="008877AC">
        <w:t xml:space="preserve"> long as good engagement, transparency and probity provisions are in place)</w:t>
      </w:r>
      <w:r w:rsidR="00F04066" w:rsidRPr="00FC79FC">
        <w:t>;</w:t>
      </w:r>
    </w:p>
    <w:p w14:paraId="7E7A5735" w14:textId="3CF624E7" w:rsidR="00925A1B" w:rsidRPr="00B14AFE" w:rsidRDefault="00925A1B" w:rsidP="00B14AFE">
      <w:pPr>
        <w:pStyle w:val="Bullet"/>
        <w:spacing w:after="120"/>
      </w:pPr>
      <w:r w:rsidRPr="00B14AFE">
        <w:t>broad and simple land use controls to: reduce red tape, enhance competition, help free up urban land for a range of uses</w:t>
      </w:r>
      <w:r w:rsidR="00F575B9" w:rsidRPr="00B14AFE">
        <w:t>;</w:t>
      </w:r>
    </w:p>
    <w:p w14:paraId="14A9EE9F" w14:textId="380D780C" w:rsidR="00925A1B" w:rsidRPr="00B14AFE" w:rsidRDefault="00925A1B" w:rsidP="00B14AFE">
      <w:pPr>
        <w:pStyle w:val="Bullet"/>
        <w:spacing w:after="120"/>
      </w:pPr>
      <w:r w:rsidRPr="00B14AFE">
        <w:t>risk-based and electronic development assessment</w:t>
      </w:r>
      <w:r w:rsidR="00F575B9" w:rsidRPr="00B14AFE">
        <w:t>;</w:t>
      </w:r>
    </w:p>
    <w:p w14:paraId="56340867" w14:textId="306A24A6" w:rsidR="00925A1B" w:rsidRPr="00B14AFE" w:rsidRDefault="00925A1B" w:rsidP="00B14AFE">
      <w:pPr>
        <w:pStyle w:val="Bullet"/>
        <w:spacing w:after="120"/>
      </w:pPr>
      <w:r w:rsidRPr="00B14AFE">
        <w:t>timeframes for referrals, structure</w:t>
      </w:r>
      <w:r w:rsidR="004976A0">
        <w:t>d</w:t>
      </w:r>
      <w:r w:rsidRPr="00B14AFE">
        <w:t xml:space="preserve"> planning and rezoning</w:t>
      </w:r>
      <w:r w:rsidR="00F575B9" w:rsidRPr="00B14AFE">
        <w:t>; and</w:t>
      </w:r>
    </w:p>
    <w:p w14:paraId="4566F27B" w14:textId="25D5E649" w:rsidR="00925A1B" w:rsidRPr="00E55F09" w:rsidRDefault="00925A1B" w:rsidP="00B14AFE">
      <w:pPr>
        <w:pStyle w:val="Bullet"/>
        <w:spacing w:after="120"/>
      </w:pPr>
      <w:proofErr w:type="gramStart"/>
      <w:r w:rsidRPr="00B14AFE">
        <w:t>collecting</w:t>
      </w:r>
      <w:proofErr w:type="gramEnd"/>
      <w:r w:rsidRPr="00B14AFE">
        <w:t xml:space="preserve"> and publishing data on land supply, development assessment and appeals.</w:t>
      </w:r>
    </w:p>
    <w:p w14:paraId="11A890B2" w14:textId="77777777" w:rsidR="00924CB8" w:rsidRDefault="00924CB8">
      <w:pPr>
        <w:spacing w:after="200" w:line="276" w:lineRule="auto"/>
        <w:jc w:val="left"/>
      </w:pPr>
      <w:r>
        <w:br w:type="page"/>
      </w:r>
    </w:p>
    <w:p w14:paraId="0055B872" w14:textId="0E3B3D3A" w:rsidR="00925A1B" w:rsidRDefault="004D30E8" w:rsidP="00372A2A">
      <w:r>
        <w:lastRenderedPageBreak/>
        <w:t>T</w:t>
      </w:r>
      <w:r w:rsidR="00925A1B" w:rsidRPr="008B6727">
        <w:t xml:space="preserve">he </w:t>
      </w:r>
      <w:r w:rsidR="001003C2">
        <w:t xml:space="preserve">2015 </w:t>
      </w:r>
      <w:r w:rsidR="00925A1B" w:rsidRPr="008B6727">
        <w:t xml:space="preserve">Competition Policy </w:t>
      </w:r>
      <w:r w:rsidR="00EA1CA2">
        <w:t xml:space="preserve">(Harper) </w:t>
      </w:r>
      <w:r w:rsidR="00925A1B" w:rsidRPr="008B6727">
        <w:t>Review</w:t>
      </w:r>
      <w:r>
        <w:t xml:space="preserve"> </w:t>
      </w:r>
      <w:r w:rsidR="00131381">
        <w:t xml:space="preserve">also </w:t>
      </w:r>
      <w:r>
        <w:t>recommended that</w:t>
      </w:r>
      <w:r w:rsidR="00EA1CA2">
        <w:t xml:space="preserve"> jurisdictions </w:t>
      </w:r>
      <w:r w:rsidR="00925A1B" w:rsidRPr="008B6727">
        <w:t xml:space="preserve">implement reforms to ensure the rules do not unnecessarily restrict competition. </w:t>
      </w:r>
      <w:r w:rsidR="00AD044E">
        <w:t>C</w:t>
      </w:r>
      <w:r w:rsidR="00925A1B" w:rsidRPr="008B6727">
        <w:t xml:space="preserve">ollaboration across jurisdictions can assist in developing ‘best practice’ guidelines that each government can adopt in line with its own local considerations. </w:t>
      </w:r>
    </w:p>
    <w:p w14:paraId="32DF1322" w14:textId="068ADC29" w:rsidR="00925A1B" w:rsidRPr="008B6727" w:rsidRDefault="00925A1B" w:rsidP="00372A2A">
      <w:r w:rsidRPr="008B6727">
        <w:t xml:space="preserve">Noting the large amount of work required to undertake systematic planning reform, a targeted approach would </w:t>
      </w:r>
      <w:r w:rsidR="004976A0">
        <w:t xml:space="preserve">need to </w:t>
      </w:r>
      <w:r w:rsidRPr="008B6727">
        <w:t>be develop</w:t>
      </w:r>
      <w:r w:rsidR="004976A0">
        <w:t>ed to</w:t>
      </w:r>
      <w:r w:rsidRPr="008B6727">
        <w:t xml:space="preserve"> fast</w:t>
      </w:r>
      <w:r w:rsidR="00EA1352">
        <w:t>-</w:t>
      </w:r>
      <w:r w:rsidRPr="008B6727">
        <w:t>track processes to apply specifically to affordable housing developments, with wider market based reform to follow.</w:t>
      </w:r>
      <w:r w:rsidR="00131381">
        <w:t xml:space="preserve"> </w:t>
      </w:r>
    </w:p>
    <w:p w14:paraId="6A9DB3DE" w14:textId="09954F48" w:rsidR="00925A1B" w:rsidRPr="009E0B58" w:rsidRDefault="00E55F09" w:rsidP="00925A1B">
      <w:pPr>
        <w:pStyle w:val="Heading3"/>
      </w:pPr>
      <w:r>
        <w:t>Re</w:t>
      </w:r>
      <w:r w:rsidR="00925A1B" w:rsidRPr="008B6727">
        <w:t>zoning</w:t>
      </w:r>
      <w:r>
        <w:t xml:space="preserve"> to allow greater density</w:t>
      </w:r>
    </w:p>
    <w:p w14:paraId="08D21DB2" w14:textId="224DC294" w:rsidR="00E522F8" w:rsidRDefault="006E1F29" w:rsidP="00372A2A">
      <w:r>
        <w:t>O</w:t>
      </w:r>
      <w:r w:rsidR="00E522F8">
        <w:t>ne of the most effective ways of promoting greater housing supply</w:t>
      </w:r>
      <w:r>
        <w:t xml:space="preserve"> is to rezone land.</w:t>
      </w:r>
      <w:r w:rsidR="00E522F8">
        <w:t xml:space="preserve"> </w:t>
      </w:r>
      <w:r>
        <w:t>Rezoning can be used to change how land is used (for example, from commercial or industrial to residential), or to</w:t>
      </w:r>
      <w:r w:rsidR="00E522F8">
        <w:t xml:space="preserve"> </w:t>
      </w:r>
      <w:r>
        <w:t>allow more dwellings to be built on any given parcel of residential land.</w:t>
      </w:r>
    </w:p>
    <w:p w14:paraId="43F7A984" w14:textId="2F98B8DA" w:rsidR="005143B3" w:rsidRDefault="00131381" w:rsidP="00372A2A">
      <w:r>
        <w:t>R</w:t>
      </w:r>
      <w:r w:rsidR="00925A1B" w:rsidRPr="008B6727">
        <w:t xml:space="preserve">ezoning </w:t>
      </w:r>
      <w:r w:rsidR="0042202E">
        <w:t xml:space="preserve">often occurs when a city expands and new suburbs are created on the urban fringe. For example, as a part of the Homes for Victorians initiative, the </w:t>
      </w:r>
      <w:r w:rsidR="005143B3">
        <w:t xml:space="preserve">Victorian Government has committed to rezoning enough land to develop 100,000 homes (and 17 new suburbs) over the next two years. Initiatives like this have a pronounced effect on housing supply, but they </w:t>
      </w:r>
      <w:r w:rsidR="004976A0">
        <w:t>do not</w:t>
      </w:r>
      <w:r w:rsidR="005143B3">
        <w:t xml:space="preserve"> satisfy the unmet housing needs of the entire community, and there are costs (like additional infrastructure requirements and the time costs of residents that face longer commutes) associated with a sprawling city.</w:t>
      </w:r>
    </w:p>
    <w:p w14:paraId="693E38A2" w14:textId="25641287" w:rsidR="0061465A" w:rsidRDefault="0061465A" w:rsidP="00372A2A">
      <w:r>
        <w:t>Higher density</w:t>
      </w:r>
      <w:r w:rsidR="005143B3">
        <w:t xml:space="preserve"> </w:t>
      </w:r>
      <w:r>
        <w:t xml:space="preserve">living </w:t>
      </w:r>
      <w:r w:rsidR="005143B3">
        <w:t>in the inner rings of a city can o</w:t>
      </w:r>
      <w:r>
        <w:t>ffer substantial</w:t>
      </w:r>
      <w:r w:rsidR="005143B3">
        <w:t xml:space="preserve"> benefits</w:t>
      </w:r>
      <w:r>
        <w:t xml:space="preserve">. It can alleviate the unmet housing needs in specific parts of the city, with the greater supply contributing to increased affordability. Managing urban growth through greater density </w:t>
      </w:r>
      <w:r w:rsidR="00DC02FF">
        <w:t>can also make providing infrastructure like public transport more economical and offer residents greater choice and opportunity to locate near work opportunities or amenities.</w:t>
      </w:r>
    </w:p>
    <w:p w14:paraId="17E03C9B" w14:textId="4BA0DCA5" w:rsidR="005143B3" w:rsidRDefault="00DC02FF" w:rsidP="00372A2A">
      <w:r>
        <w:t>Despite these benefits,</w:t>
      </w:r>
      <w:r w:rsidR="005143B3">
        <w:t xml:space="preserve"> it can often be challenging</w:t>
      </w:r>
      <w:r w:rsidR="00D97537" w:rsidRPr="00D97537">
        <w:t xml:space="preserve"> </w:t>
      </w:r>
      <w:r w:rsidR="00D97537">
        <w:t>for the l</w:t>
      </w:r>
      <w:r w:rsidR="00D97537" w:rsidRPr="008B6727">
        <w:t xml:space="preserve">ocal and </w:t>
      </w:r>
      <w:r w:rsidR="00D97537">
        <w:t>S</w:t>
      </w:r>
      <w:r w:rsidR="00D97537" w:rsidRPr="008B6727">
        <w:t>tate</w:t>
      </w:r>
      <w:r w:rsidR="00D97537">
        <w:t xml:space="preserve"> and Territory</w:t>
      </w:r>
      <w:r w:rsidR="00D97537" w:rsidRPr="008B6727">
        <w:t xml:space="preserve"> governments </w:t>
      </w:r>
      <w:r>
        <w:t xml:space="preserve">to implement </w:t>
      </w:r>
      <w:r w:rsidR="004976A0">
        <w:t>increased</w:t>
      </w:r>
      <w:r>
        <w:t xml:space="preserve"> density</w:t>
      </w:r>
      <w:r w:rsidR="005143B3">
        <w:t xml:space="preserve">. </w:t>
      </w:r>
      <w:r w:rsidR="00D97537">
        <w:t xml:space="preserve">While changing the use of land (like the rezoning of industrial land in the City of Sydney for commercial or residential use) is generally less contested, increasing the density in residential areas often meets with </w:t>
      </w:r>
      <w:r w:rsidR="004976A0">
        <w:t xml:space="preserve">local </w:t>
      </w:r>
      <w:r w:rsidR="00D97537">
        <w:t>resistance. This is particularly the case where r</w:t>
      </w:r>
      <w:r w:rsidR="005143B3">
        <w:t xml:space="preserve">esidents </w:t>
      </w:r>
      <w:r w:rsidR="00D97537">
        <w:t xml:space="preserve">believe </w:t>
      </w:r>
      <w:r w:rsidR="005143B3">
        <w:t>that</w:t>
      </w:r>
      <w:r w:rsidR="00D97537">
        <w:t xml:space="preserve"> increased density will change the</w:t>
      </w:r>
      <w:r w:rsidR="005143B3">
        <w:t xml:space="preserve"> </w:t>
      </w:r>
      <w:r w:rsidR="00D97537">
        <w:t xml:space="preserve">nature of the </w:t>
      </w:r>
      <w:r w:rsidR="005143B3">
        <w:t>urban environment around them (even if it increases the value of their land holdings).</w:t>
      </w:r>
    </w:p>
    <w:p w14:paraId="7872CC73" w14:textId="178C7755" w:rsidR="00E55F09" w:rsidRPr="00924CB8" w:rsidRDefault="000706D6" w:rsidP="00924CB8">
      <w:pPr>
        <w:pStyle w:val="Heading2"/>
      </w:pPr>
      <w:bookmarkStart w:id="168" w:name="_Toc493848974"/>
      <w:r w:rsidRPr="00924CB8">
        <w:t>Efficient</w:t>
      </w:r>
      <w:r w:rsidR="00162FA6" w:rsidRPr="00924CB8">
        <w:t xml:space="preserve"> use of resources</w:t>
      </w:r>
      <w:bookmarkEnd w:id="168"/>
    </w:p>
    <w:p w14:paraId="1331B5A5" w14:textId="73346667" w:rsidR="00925A1B" w:rsidRPr="00924CB8" w:rsidRDefault="00925A1B" w:rsidP="00924CB8">
      <w:pPr>
        <w:pStyle w:val="Heading3"/>
      </w:pPr>
      <w:r w:rsidRPr="00924CB8">
        <w:t>Better utilisation of surplus land</w:t>
      </w:r>
    </w:p>
    <w:p w14:paraId="75122DD1" w14:textId="7E679DEC" w:rsidR="00925A1B" w:rsidRDefault="00077539" w:rsidP="00372A2A">
      <w:r>
        <w:t>A</w:t>
      </w:r>
      <w:r w:rsidR="00925A1B" w:rsidRPr="008B6727">
        <w:t xml:space="preserve">ll levels of government have holdings of land which </w:t>
      </w:r>
      <w:r w:rsidR="003D286F">
        <w:t>are</w:t>
      </w:r>
      <w:r w:rsidR="00925A1B" w:rsidRPr="008B6727">
        <w:t xml:space="preserve"> not utilised or </w:t>
      </w:r>
      <w:r w:rsidR="003D286F">
        <w:t>are</w:t>
      </w:r>
      <w:r w:rsidR="003D286F" w:rsidRPr="008B6727">
        <w:t xml:space="preserve"> </w:t>
      </w:r>
      <w:r w:rsidR="00925A1B" w:rsidRPr="008B6727">
        <w:t xml:space="preserve">underutilised. While some of this land is </w:t>
      </w:r>
      <w:r>
        <w:t>marked</w:t>
      </w:r>
      <w:r w:rsidR="00925A1B" w:rsidRPr="008B6727">
        <w:t xml:space="preserve"> for future </w:t>
      </w:r>
      <w:r>
        <w:t>use and</w:t>
      </w:r>
      <w:r w:rsidR="00925A1B" w:rsidRPr="008B6727">
        <w:t xml:space="preserve"> biodiversity offsets</w:t>
      </w:r>
      <w:r w:rsidR="008258BC">
        <w:t>,</w:t>
      </w:r>
      <w:r w:rsidR="00925A1B" w:rsidRPr="008B6727">
        <w:t xml:space="preserve"> </w:t>
      </w:r>
      <w:r w:rsidR="003D286F">
        <w:t>consideration should be</w:t>
      </w:r>
      <w:r>
        <w:t xml:space="preserve"> given to</w:t>
      </w:r>
      <w:r w:rsidR="003D286F">
        <w:t xml:space="preserve"> whether</w:t>
      </w:r>
      <w:r w:rsidR="00925A1B" w:rsidRPr="008B6727">
        <w:t xml:space="preserve"> </w:t>
      </w:r>
      <w:r w:rsidR="003D286F">
        <w:t xml:space="preserve">it </w:t>
      </w:r>
      <w:r>
        <w:t>may</w:t>
      </w:r>
      <w:r w:rsidR="00925A1B" w:rsidRPr="008B6727">
        <w:t xml:space="preserve"> be considered surplus</w:t>
      </w:r>
      <w:r w:rsidR="00E55F09">
        <w:t xml:space="preserve"> and redirected to an alternative </w:t>
      </w:r>
      <w:r>
        <w:t>purpose</w:t>
      </w:r>
      <w:r w:rsidR="00925A1B" w:rsidRPr="008B6727">
        <w:t>.</w:t>
      </w:r>
    </w:p>
    <w:p w14:paraId="1BD4ADC9" w14:textId="68226CC7" w:rsidR="00DB0CD5" w:rsidRDefault="00DB0CD5" w:rsidP="00372A2A">
      <w:r>
        <w:t xml:space="preserve">In the 2017-18 Budget, the Commonwealth Government </w:t>
      </w:r>
      <w:r w:rsidR="00F53D47">
        <w:t xml:space="preserve">announced </w:t>
      </w:r>
      <w:r w:rsidR="003D286F">
        <w:t xml:space="preserve">that </w:t>
      </w:r>
      <w:r w:rsidR="00F53D47">
        <w:t xml:space="preserve">it </w:t>
      </w:r>
      <w:r>
        <w:t xml:space="preserve">is developing a public, online registry of its land holdings, which will allow other levels of government, private businesses and community groups to bring forward proposals to put the land to better use, including for housing development. </w:t>
      </w:r>
    </w:p>
    <w:p w14:paraId="09C6877F" w14:textId="77777777" w:rsidR="00924CB8" w:rsidRDefault="00924CB8">
      <w:pPr>
        <w:spacing w:after="200" w:line="276" w:lineRule="auto"/>
        <w:jc w:val="left"/>
      </w:pPr>
      <w:r>
        <w:br w:type="page"/>
      </w:r>
    </w:p>
    <w:p w14:paraId="3E7B6095" w14:textId="21F687DA" w:rsidR="00925A1B" w:rsidRPr="005424A1" w:rsidRDefault="00E4013F" w:rsidP="00372A2A">
      <w:r>
        <w:lastRenderedPageBreak/>
        <w:t>Opportunities may occur at the</w:t>
      </w:r>
      <w:r w:rsidR="005D1745">
        <w:t xml:space="preserve"> State, Territory </w:t>
      </w:r>
      <w:r>
        <w:t xml:space="preserve">or </w:t>
      </w:r>
      <w:r w:rsidR="005D1745">
        <w:t>local government</w:t>
      </w:r>
      <w:r>
        <w:t xml:space="preserve"> level</w:t>
      </w:r>
      <w:r w:rsidR="005D1745">
        <w:t xml:space="preserve"> to follow this example </w:t>
      </w:r>
      <w:r w:rsidR="003D286F">
        <w:t xml:space="preserve">as </w:t>
      </w:r>
      <w:r w:rsidR="005D1745">
        <w:t>u</w:t>
      </w:r>
      <w:r w:rsidR="00925A1B" w:rsidRPr="008B6727">
        <w:t>nlocking land for development opportunities would assist in the delivery of housing supply</w:t>
      </w:r>
      <w:r w:rsidR="005D1745">
        <w:t xml:space="preserve"> and</w:t>
      </w:r>
      <w:r w:rsidR="00925A1B" w:rsidRPr="008B6727">
        <w:t xml:space="preserve"> </w:t>
      </w:r>
      <w:r w:rsidR="003D286F">
        <w:t xml:space="preserve">may </w:t>
      </w:r>
      <w:proofErr w:type="gramStart"/>
      <w:r w:rsidR="003D286F">
        <w:t>assist</w:t>
      </w:r>
      <w:proofErr w:type="gramEnd"/>
      <w:r w:rsidR="003D286F">
        <w:t xml:space="preserve"> affordability</w:t>
      </w:r>
      <w:r w:rsidR="00925A1B" w:rsidRPr="008B6727">
        <w:t xml:space="preserve">. Further, it could reduce the input price of developable land if sold at a discount to a builder with an obligation to build affordable housing. To the extent that surplus land is well located with good existing infrastructure, there is potential for limited infrastructure contributions to be required, further reducing the cost of delivering new developments. </w:t>
      </w:r>
    </w:p>
    <w:p w14:paraId="1BE22DA3" w14:textId="77777777" w:rsidR="00925A1B" w:rsidRPr="009E0B58" w:rsidRDefault="00925A1B" w:rsidP="00925A1B">
      <w:pPr>
        <w:pStyle w:val="Heading3"/>
      </w:pPr>
      <w:r w:rsidRPr="008B6727">
        <w:t>Land tax – stamp duty reform</w:t>
      </w:r>
    </w:p>
    <w:p w14:paraId="4EFD8FB8" w14:textId="76234B87" w:rsidR="00925A1B" w:rsidRPr="008B6727" w:rsidRDefault="00925A1B" w:rsidP="00372A2A">
      <w:r w:rsidRPr="008B6727">
        <w:t xml:space="preserve">Assuming revenue neutrality, replacement of </w:t>
      </w:r>
      <w:r w:rsidR="004546B9">
        <w:t>stamp</w:t>
      </w:r>
      <w:r w:rsidRPr="008B6727">
        <w:t xml:space="preserve"> duty with land tax is </w:t>
      </w:r>
      <w:r w:rsidR="008E3AA5">
        <w:t>likely</w:t>
      </w:r>
      <w:r w:rsidRPr="008B6727">
        <w:t xml:space="preserve"> to make a positive contribution to housing affordability. As both taxes are capitalised into land values, tax-inclusive prices will be largely unchanged. Removal of </w:t>
      </w:r>
      <w:r w:rsidR="004546B9">
        <w:t>stamp</w:t>
      </w:r>
      <w:r w:rsidRPr="008B6727">
        <w:t xml:space="preserve"> duty may modestly increase the effective supply by allowing a more efficient allocation of existing housing stock. </w:t>
      </w:r>
    </w:p>
    <w:p w14:paraId="4AB9FFBF" w14:textId="0495250D" w:rsidR="00925A1B" w:rsidRPr="008B6727" w:rsidRDefault="00925A1B" w:rsidP="00372A2A">
      <w:r w:rsidRPr="008B6727">
        <w:t xml:space="preserve">The primary advantage of land tax over </w:t>
      </w:r>
      <w:r w:rsidR="005C68F9">
        <w:t>stamp</w:t>
      </w:r>
      <w:r w:rsidRPr="008B6727">
        <w:t xml:space="preserve"> duty is economic efficiency</w:t>
      </w:r>
      <w:r w:rsidR="008E3AA5" w:rsidRPr="008E3AA5">
        <w:rPr>
          <w:vertAlign w:val="superscript"/>
        </w:rPr>
        <w:footnoteReference w:id="18"/>
      </w:r>
      <w:r w:rsidRPr="008B6727">
        <w:t xml:space="preserve">. </w:t>
      </w:r>
      <w:r w:rsidR="004546B9">
        <w:t>Stamp</w:t>
      </w:r>
      <w:r w:rsidRPr="008B6727">
        <w:t xml:space="preserve"> duties reduce beneficial transactions and distort capital improvements, leading to a misallocation of housing and capital. In contrast, taxes on unimproved land value have minimal effect on land usage decisions.</w:t>
      </w:r>
      <w:r w:rsidR="0055130B">
        <w:t xml:space="preserve"> In addition, </w:t>
      </w:r>
      <w:r w:rsidR="004546B9">
        <w:t>stamp</w:t>
      </w:r>
      <w:r w:rsidR="0055130B">
        <w:t xml:space="preserve"> duties can be an undesirable deterrent to employment transfer, inhibiting the flow of skills across the labour market. </w:t>
      </w:r>
    </w:p>
    <w:p w14:paraId="5E68DA40" w14:textId="30F25C45" w:rsidR="00925A1B" w:rsidRDefault="00925A1B" w:rsidP="00372A2A">
      <w:r w:rsidRPr="008B6727">
        <w:t xml:space="preserve">Removing </w:t>
      </w:r>
      <w:r w:rsidR="004546B9">
        <w:t>stamp</w:t>
      </w:r>
      <w:r w:rsidRPr="008B6727">
        <w:t xml:space="preserve"> duty would increase mobility and allow a better allocation of housing stock, reducing the number of households that occupy ‘large’ homes relative to their current needs</w:t>
      </w:r>
      <w:r w:rsidR="00277A7B">
        <w:t xml:space="preserve">, or hold houses which are vacant. </w:t>
      </w:r>
      <w:r w:rsidRPr="008B6727">
        <w:t xml:space="preserve">Abolishing </w:t>
      </w:r>
      <w:r w:rsidR="004546B9">
        <w:t>stamp</w:t>
      </w:r>
      <w:r w:rsidRPr="008B6727">
        <w:t xml:space="preserve"> duty would therefore free up supply from the </w:t>
      </w:r>
      <w:r w:rsidR="00002E5B">
        <w:t xml:space="preserve">existing </w:t>
      </w:r>
      <w:r w:rsidRPr="008B6727">
        <w:t xml:space="preserve">stock of homes, placing downward pressure on market prices. </w:t>
      </w:r>
    </w:p>
    <w:p w14:paraId="166A3FC6" w14:textId="458AE611" w:rsidR="00D32766" w:rsidRPr="008B6727" w:rsidRDefault="00F17911" w:rsidP="00372A2A">
      <w:r w:rsidRPr="00002E5B">
        <w:t>A number of challenges</w:t>
      </w:r>
      <w:r w:rsidR="00D32766" w:rsidRPr="00002E5B">
        <w:t xml:space="preserve"> complicate any potential switch from stamp duty</w:t>
      </w:r>
      <w:r w:rsidRPr="00002E5B">
        <w:t xml:space="preserve"> to land tax. These include the </w:t>
      </w:r>
      <w:r w:rsidR="003663AB" w:rsidRPr="00002E5B">
        <w:t>difficulties associated with</w:t>
      </w:r>
      <w:r w:rsidRPr="00002E5B">
        <w:t xml:space="preserve"> </w:t>
      </w:r>
      <w:r w:rsidR="003663AB" w:rsidRPr="00002E5B">
        <w:t xml:space="preserve">forcing home owners (rather than home buyers) </w:t>
      </w:r>
      <w:r w:rsidR="006660D4" w:rsidRPr="00002E5B">
        <w:t xml:space="preserve">to </w:t>
      </w:r>
      <w:r w:rsidR="003663AB" w:rsidRPr="00002E5B">
        <w:t>bear the tax</w:t>
      </w:r>
      <w:r w:rsidR="0023767C" w:rsidRPr="00002E5B">
        <w:t>; the need to balance setting the tax at a level that, in the long term, replaces the revenues from stamp duty without being overly onerous</w:t>
      </w:r>
      <w:r w:rsidR="006660D4" w:rsidRPr="00002E5B">
        <w:t>;</w:t>
      </w:r>
      <w:r w:rsidR="0023767C" w:rsidRPr="00002E5B">
        <w:t xml:space="preserve"> </w:t>
      </w:r>
      <w:r w:rsidR="003663AB" w:rsidRPr="00002E5B">
        <w:t>a</w:t>
      </w:r>
      <w:r w:rsidR="0023767C" w:rsidRPr="00002E5B">
        <w:t xml:space="preserve">s well as the short-term budgetary impacts of </w:t>
      </w:r>
      <w:r w:rsidR="00390359" w:rsidRPr="00002E5B">
        <w:t>a switch</w:t>
      </w:r>
      <w:r w:rsidR="0023767C" w:rsidRPr="00002E5B">
        <w:t>.</w:t>
      </w:r>
      <w:r w:rsidR="00390359" w:rsidRPr="00002E5B">
        <w:t xml:space="preserve"> These challenges w</w:t>
      </w:r>
      <w:r w:rsidR="006660D4" w:rsidRPr="00002E5B">
        <w:t>ould</w:t>
      </w:r>
      <w:r w:rsidR="00390359" w:rsidRPr="00002E5B">
        <w:t xml:space="preserve"> need to be considered and managed as part of any transition. </w:t>
      </w:r>
      <w:r w:rsidR="00D32766" w:rsidRPr="00002E5B">
        <w:t xml:space="preserve">   </w:t>
      </w:r>
    </w:p>
    <w:p w14:paraId="27DBAD93" w14:textId="77777777" w:rsidR="0053303C" w:rsidRDefault="0053303C">
      <w:pPr>
        <w:spacing w:after="200" w:line="276" w:lineRule="auto"/>
        <w:rPr>
          <w:rFonts w:ascii="Calibri" w:eastAsiaTheme="majorEastAsia" w:hAnsi="Calibri" w:cstheme="majorBidi"/>
          <w:bCs/>
          <w:color w:val="246373" w:themeColor="accent6" w:themeShade="BF"/>
          <w:spacing w:val="4"/>
          <w:sz w:val="40"/>
          <w:szCs w:val="28"/>
          <w:highlight w:val="yellow"/>
        </w:rPr>
      </w:pPr>
      <w:bookmarkStart w:id="169" w:name="_Toc485740050"/>
      <w:r>
        <w:rPr>
          <w:highlight w:val="yellow"/>
        </w:rPr>
        <w:br w:type="page"/>
      </w:r>
    </w:p>
    <w:p w14:paraId="00959174" w14:textId="69639CFA" w:rsidR="007863DF" w:rsidRPr="0053303C" w:rsidRDefault="005B396E" w:rsidP="00BC33F1">
      <w:pPr>
        <w:pStyle w:val="Heading1"/>
      </w:pPr>
      <w:bookmarkStart w:id="170" w:name="_Toc485750951"/>
      <w:bookmarkStart w:id="171" w:name="_Toc487814103"/>
      <w:bookmarkStart w:id="172" w:name="_Toc493848975"/>
      <w:bookmarkEnd w:id="169"/>
      <w:r>
        <w:lastRenderedPageBreak/>
        <w:t>6.</w:t>
      </w:r>
      <w:r w:rsidR="00924CB8">
        <w:tab/>
      </w:r>
      <w:r w:rsidR="0053303C" w:rsidRPr="0053303C">
        <w:t>The need for a collaborative approach</w:t>
      </w:r>
      <w:bookmarkEnd w:id="170"/>
      <w:bookmarkEnd w:id="171"/>
      <w:bookmarkEnd w:id="172"/>
    </w:p>
    <w:p w14:paraId="48B863EA" w14:textId="71F0777D" w:rsidR="002E1C78" w:rsidRDefault="0053303C" w:rsidP="00372A2A">
      <w:r>
        <w:t>One of the defining characteristics of h</w:t>
      </w:r>
      <w:r w:rsidR="00A83E8D">
        <w:t>ousing is that</w:t>
      </w:r>
      <w:r>
        <w:t xml:space="preserve"> </w:t>
      </w:r>
      <w:r w:rsidR="00A83E8D">
        <w:t>the policy levers are shared across all</w:t>
      </w:r>
      <w:r w:rsidR="00A83E8D" w:rsidRPr="00A83E8D">
        <w:t xml:space="preserve"> </w:t>
      </w:r>
      <w:r w:rsidR="00A83E8D">
        <w:t xml:space="preserve">levels of government. </w:t>
      </w:r>
      <w:r w:rsidR="002E1C78">
        <w:t>This means that meaningful change require</w:t>
      </w:r>
      <w:r w:rsidR="00EC259A">
        <w:t>s</w:t>
      </w:r>
      <w:r w:rsidR="002E1C78">
        <w:t xml:space="preserve"> collaboration between the Commonwealth, States and Territories and local governments</w:t>
      </w:r>
      <w:r w:rsidR="00EC259A">
        <w:t>,</w:t>
      </w:r>
      <w:r w:rsidR="002E1C78">
        <w:t xml:space="preserve"> with CHPs and the private sector.</w:t>
      </w:r>
    </w:p>
    <w:p w14:paraId="3E000C57" w14:textId="06CDEB11" w:rsidR="00EA1352" w:rsidRDefault="002E1C78" w:rsidP="00372A2A">
      <w:r>
        <w:t xml:space="preserve">While all levels of governments aim for better housing outcomes, in a number of circumstances their incentives do not align. For example, while there are considerable aggregate economic and social benefits associated with urban infill and higher density developments, many of the costs of these initiatives — </w:t>
      </w:r>
      <w:r w:rsidRPr="008B6727">
        <w:t>pressure on local infrastructure</w:t>
      </w:r>
      <w:r>
        <w:t xml:space="preserve">, increased congestion and higher service or maintenance costs — are felt at the local level, diminishing </w:t>
      </w:r>
      <w:r w:rsidRPr="008B6727">
        <w:t xml:space="preserve">community and </w:t>
      </w:r>
      <w:r w:rsidR="00EC259A">
        <w:t>local government</w:t>
      </w:r>
      <w:r w:rsidRPr="008B6727">
        <w:t xml:space="preserve"> </w:t>
      </w:r>
      <w:r w:rsidRPr="005424A1">
        <w:t xml:space="preserve">support for new residential </w:t>
      </w:r>
      <w:r w:rsidR="00EC259A">
        <w:t>development</w:t>
      </w:r>
      <w:r w:rsidRPr="005424A1">
        <w:t xml:space="preserve">. </w:t>
      </w:r>
      <w:r>
        <w:t>Ultimately, for better housing outcomes to be delivered, all levels of government need to work with (and not against) each other to achieve greater</w:t>
      </w:r>
      <w:r w:rsidR="00EC259A">
        <w:t xml:space="preserve"> coordination of effort</w:t>
      </w:r>
      <w:r w:rsidR="00EA1352">
        <w:t xml:space="preserve"> and consistency in policy settings. </w:t>
      </w:r>
    </w:p>
    <w:p w14:paraId="2EDA1317" w14:textId="77777777" w:rsidR="00220847" w:rsidRDefault="00220847" w:rsidP="007863DF">
      <w:pPr>
        <w:pStyle w:val="Bullet"/>
        <w:numPr>
          <w:ilvl w:val="0"/>
          <w:numId w:val="0"/>
        </w:numPr>
        <w:rPr>
          <w:i/>
        </w:rPr>
      </w:pPr>
    </w:p>
    <w:p w14:paraId="234AEEBF" w14:textId="66B6CB7E" w:rsidR="007863DF" w:rsidRPr="008B6727" w:rsidRDefault="007863DF" w:rsidP="007863DF">
      <w:pPr>
        <w:rPr>
          <w:u w:val="single"/>
        </w:rPr>
      </w:pPr>
    </w:p>
    <w:p w14:paraId="5A02EF89" w14:textId="5A170B32" w:rsidR="007863DF" w:rsidRDefault="007863DF">
      <w:pPr>
        <w:spacing w:after="200" w:line="276" w:lineRule="auto"/>
        <w:rPr>
          <w:sz w:val="20"/>
        </w:rPr>
      </w:pPr>
      <w:r>
        <w:rPr>
          <w:sz w:val="20"/>
        </w:rPr>
        <w:br w:type="page"/>
      </w:r>
    </w:p>
    <w:p w14:paraId="4908B183" w14:textId="7631C3E8" w:rsidR="007863DF" w:rsidRPr="005666FE" w:rsidRDefault="007863DF" w:rsidP="00BC33F1">
      <w:pPr>
        <w:pStyle w:val="Heading1"/>
      </w:pPr>
      <w:bookmarkStart w:id="173" w:name="_Toc485750952"/>
      <w:bookmarkStart w:id="174" w:name="_Toc487814104"/>
      <w:bookmarkStart w:id="175" w:name="_Toc493848976"/>
      <w:r w:rsidRPr="00B14AFE">
        <w:lastRenderedPageBreak/>
        <w:t>References</w:t>
      </w:r>
      <w:bookmarkEnd w:id="173"/>
      <w:bookmarkEnd w:id="174"/>
      <w:bookmarkEnd w:id="175"/>
    </w:p>
    <w:p w14:paraId="6D8EDC95" w14:textId="3DC83698" w:rsidR="007863DF" w:rsidRPr="008B6727" w:rsidRDefault="007863DF" w:rsidP="007863DF">
      <w:r w:rsidRPr="008B6727">
        <w:t xml:space="preserve">Heywood, Andrew (2016) Investing in affordable housing, The Housing Finance Corporation, </w:t>
      </w:r>
      <w:hyperlink r:id="rId33" w:history="1">
        <w:r w:rsidR="007401C8" w:rsidRPr="000D79AA">
          <w:rPr>
            <w:rStyle w:val="Hyperlink"/>
          </w:rPr>
          <w:t>https://www.thfcorp.com/_uploads/downloads/InvestinginAffordableHousingdowngradefinal.pdf</w:t>
        </w:r>
      </w:hyperlink>
      <w:r w:rsidR="00924CB8">
        <w:t>.</w:t>
      </w:r>
    </w:p>
    <w:p w14:paraId="1CB132D9" w14:textId="302ADE51" w:rsidR="007863DF" w:rsidRPr="008B6727" w:rsidRDefault="007863DF" w:rsidP="007863DF">
      <w:proofErr w:type="gramStart"/>
      <w:r w:rsidRPr="008B6727">
        <w:t xml:space="preserve">Homes and Communities Agency (2015) A guide to regulation of registered providers, </w:t>
      </w:r>
      <w:hyperlink r:id="rId34" w:history="1">
        <w:r w:rsidR="007401C8" w:rsidRPr="000D79AA">
          <w:rPr>
            <w:rStyle w:val="Hyperlink"/>
          </w:rPr>
          <w:t>https://www.gov.uk/government/publications/a-guide-to-regulation-of-registered-providers/a-guide-to-regulation-of-registered-providers</w:t>
        </w:r>
      </w:hyperlink>
      <w:r w:rsidR="00924CB8">
        <w:t>.</w:t>
      </w:r>
      <w:proofErr w:type="gramEnd"/>
    </w:p>
    <w:p w14:paraId="3D043F8C" w14:textId="6030E5AB" w:rsidR="007401C8" w:rsidRDefault="007401C8" w:rsidP="007401C8">
      <w:proofErr w:type="gramStart"/>
      <w:r w:rsidRPr="007401C8">
        <w:t xml:space="preserve">Lawson, J., Berry, M., Hamilton, C. and Pawson, H. (2014) </w:t>
      </w:r>
      <w:r w:rsidRPr="007401C8">
        <w:rPr>
          <w:i/>
          <w:iCs/>
        </w:rPr>
        <w:t>Enhancing affordable rental housing investment via an intermediary and guarantee</w:t>
      </w:r>
      <w:r w:rsidRPr="007401C8">
        <w:t>, AHURI Final Report No.220.</w:t>
      </w:r>
      <w:proofErr w:type="gramEnd"/>
      <w:r w:rsidRPr="007401C8">
        <w:t xml:space="preserve"> Melbourne: Australian Housing and Urban Research Institute. Available from: </w:t>
      </w:r>
      <w:hyperlink r:id="rId35" w:history="1">
        <w:r w:rsidR="00924CB8" w:rsidRPr="0026140D">
          <w:rPr>
            <w:rStyle w:val="Hyperlink"/>
          </w:rPr>
          <w:t>http://www.ahuri.edu.au/</w:t>
        </w:r>
        <w:r w:rsidR="00924CB8" w:rsidRPr="0026140D">
          <w:rPr>
            <w:rStyle w:val="Hyperlink"/>
          </w:rPr>
          <w:br/>
          <w:t>publications/projects/p53019</w:t>
        </w:r>
      </w:hyperlink>
      <w:r>
        <w:t xml:space="preserve">. </w:t>
      </w:r>
      <w:proofErr w:type="spellStart"/>
      <w:proofErr w:type="gramStart"/>
      <w:r w:rsidRPr="007401C8">
        <w:t>Accesed</w:t>
      </w:r>
      <w:proofErr w:type="spellEnd"/>
      <w:r w:rsidRPr="007401C8">
        <w:rPr>
          <w:i/>
          <w:iCs/>
        </w:rPr>
        <w:t xml:space="preserve"> </w:t>
      </w:r>
      <w:r w:rsidR="00924CB8">
        <w:t>13.07.2017.</w:t>
      </w:r>
      <w:proofErr w:type="gramEnd"/>
    </w:p>
    <w:p w14:paraId="54F865E7" w14:textId="5DCBAA8D" w:rsidR="007863DF" w:rsidRPr="008B6727" w:rsidRDefault="007863DF" w:rsidP="007863DF">
      <w:r w:rsidRPr="008B6727">
        <w:t xml:space="preserve">Milligan, V., Pawson, H., Phillips, R. and Martin, C. with Elton Consulting (2017a) Developing the scale and capacity of Australia’s affordable housing industry, AHURI Final Report No. 278, Australian Housing and Urban Research Institute Limited, Melbourne, </w:t>
      </w:r>
      <w:hyperlink r:id="rId36" w:history="1">
        <w:r w:rsidR="007401C8" w:rsidRPr="000D79AA">
          <w:rPr>
            <w:rStyle w:val="Hyperlink"/>
          </w:rPr>
          <w:t>http://www.ahuri.edu.au/research/final-reports/278</w:t>
        </w:r>
      </w:hyperlink>
      <w:r w:rsidR="007401C8">
        <w:t xml:space="preserve"> </w:t>
      </w:r>
      <w:r w:rsidRPr="008B6727">
        <w:t>, doi:10.18408/ahuri-7108402</w:t>
      </w:r>
      <w:r w:rsidR="00924CB8">
        <w:t>.</w:t>
      </w:r>
    </w:p>
    <w:p w14:paraId="586A3C2A" w14:textId="2549556A" w:rsidR="007863DF" w:rsidRDefault="007863DF" w:rsidP="007863DF">
      <w:proofErr w:type="gramStart"/>
      <w:r w:rsidRPr="008B6727">
        <w:t>Milligan, V., Pawson, H., Phillips, R. and Martin, C. with Elton Consulting (2017b) Ready for growth?</w:t>
      </w:r>
      <w:proofErr w:type="gramEnd"/>
      <w:r w:rsidRPr="008B6727">
        <w:t xml:space="preserve"> </w:t>
      </w:r>
      <w:proofErr w:type="gramStart"/>
      <w:r w:rsidRPr="008B6727">
        <w:t xml:space="preserve">Inquiry into Australia’s affordable housing industry capacity, Visual Report, Australian Housing and Urban Research Institute Limited, Melbourne, </w:t>
      </w:r>
      <w:hyperlink r:id="rId37" w:history="1">
        <w:r w:rsidR="00924CB8" w:rsidRPr="0026140D">
          <w:rPr>
            <w:rStyle w:val="Hyperlink"/>
          </w:rPr>
          <w:t>https://www.ahuri.edu.au/__data/assets/pdf_file/</w:t>
        </w:r>
        <w:r w:rsidR="00924CB8" w:rsidRPr="0026140D">
          <w:rPr>
            <w:rStyle w:val="Hyperlink"/>
          </w:rPr>
          <w:br/>
          <w:t>0016/12832/Ready-for-growth-Inquiry-into-Australias-affordable-housing-industry-capacity-Visual-Report.pdf</w:t>
        </w:r>
      </w:hyperlink>
      <w:r w:rsidR="00924CB8" w:rsidRPr="00924CB8">
        <w:t>.</w:t>
      </w:r>
      <w:proofErr w:type="gramEnd"/>
    </w:p>
    <w:p w14:paraId="4DE2C525" w14:textId="0F03902A" w:rsidR="0063106A" w:rsidRPr="008B6727" w:rsidRDefault="0063106A" w:rsidP="007863DF">
      <w:r>
        <w:t xml:space="preserve">AHURI Final Report 268, August 2016, </w:t>
      </w:r>
      <w:r w:rsidRPr="00D8798C">
        <w:t>Milligan</w:t>
      </w:r>
      <w:r>
        <w:t xml:space="preserve"> V, </w:t>
      </w:r>
      <w:r w:rsidRPr="00D8798C">
        <w:t>Martin</w:t>
      </w:r>
      <w:r>
        <w:t xml:space="preserve"> C, </w:t>
      </w:r>
      <w:r w:rsidRPr="00D8798C">
        <w:t>Phillips</w:t>
      </w:r>
      <w:r>
        <w:t xml:space="preserve">, R, </w:t>
      </w:r>
      <w:r w:rsidRPr="00D8798C">
        <w:t>Liu</w:t>
      </w:r>
      <w:r>
        <w:t xml:space="preserve"> E, </w:t>
      </w:r>
      <w:r w:rsidRPr="00D8798C">
        <w:t>Pawson</w:t>
      </w:r>
      <w:r>
        <w:t xml:space="preserve"> H,</w:t>
      </w:r>
      <w:r w:rsidRPr="00D8798C">
        <w:t xml:space="preserve"> Spinney</w:t>
      </w:r>
      <w:r>
        <w:t xml:space="preserve"> A, ‘Profiling Australia’s Affordable Housing Industry’. Available at: </w:t>
      </w:r>
      <w:hyperlink r:id="rId38" w:history="1">
        <w:r w:rsidR="00924CB8" w:rsidRPr="0026140D">
          <w:rPr>
            <w:rStyle w:val="Hyperlink"/>
          </w:rPr>
          <w:t>http://www.ahuri.edu.au/</w:t>
        </w:r>
        <w:r w:rsidR="00924CB8" w:rsidRPr="0026140D">
          <w:rPr>
            <w:rStyle w:val="Hyperlink"/>
          </w:rPr>
          <w:br/>
          <w:t>research/final-reports/268</w:t>
        </w:r>
      </w:hyperlink>
      <w:r w:rsidR="00924CB8">
        <w:t>.</w:t>
      </w:r>
    </w:p>
    <w:p w14:paraId="4AA450DC" w14:textId="07B9BEF5" w:rsidR="0063106A" w:rsidRDefault="0063106A" w:rsidP="007863DF">
      <w:r w:rsidRPr="00881562">
        <w:t>The Hon Scott Morrison MP, Press Release, ‘</w:t>
      </w:r>
      <w:r w:rsidRPr="002B6FE5">
        <w:rPr>
          <w:i/>
        </w:rPr>
        <w:t>Council on Federal Financial Relations</w:t>
      </w:r>
      <w:r w:rsidRPr="00881562">
        <w:t>’, 16 October 2016.</w:t>
      </w:r>
      <w:r>
        <w:t xml:space="preserve"> </w:t>
      </w:r>
      <w:proofErr w:type="gramStart"/>
      <w:r w:rsidRPr="00881562">
        <w:t>Available at </w:t>
      </w:r>
      <w:hyperlink r:id="rId39" w:history="1">
        <w:r w:rsidRPr="00881562">
          <w:rPr>
            <w:rStyle w:val="Hyperlink"/>
          </w:rPr>
          <w:t>http://sjm.ministers.treasury.gov.au/media-release/005-2015/</w:t>
        </w:r>
      </w:hyperlink>
      <w:r>
        <w:t>.</w:t>
      </w:r>
      <w:proofErr w:type="gramEnd"/>
    </w:p>
    <w:p w14:paraId="7E92EAA6" w14:textId="6365CB09" w:rsidR="007863DF" w:rsidRPr="008B6727" w:rsidRDefault="007863DF" w:rsidP="007863DF">
      <w:r w:rsidRPr="008B6727">
        <w:t xml:space="preserve">NRSCH (2017) NRSCH Sector Snapshot: Mid-year review December 2016, </w:t>
      </w:r>
      <w:hyperlink r:id="rId40" w:history="1">
        <w:r w:rsidR="007401C8" w:rsidRPr="000D79AA">
          <w:rPr>
            <w:rStyle w:val="Hyperlink"/>
          </w:rPr>
          <w:t>http://www.nrsch.gov.au/__data/assets/file/0005/410675/DOCUMENT-Report-NRSCH-Sector-snapshot-report-Mid-year-July-December....pdf</w:t>
        </w:r>
      </w:hyperlink>
      <w:r w:rsidR="00924CB8">
        <w:t>.</w:t>
      </w:r>
    </w:p>
    <w:p w14:paraId="6540E8E0" w14:textId="733C46CA" w:rsidR="007863DF" w:rsidRPr="008B6727" w:rsidRDefault="007863DF" w:rsidP="007863DF">
      <w:r w:rsidRPr="008B6727">
        <w:t xml:space="preserve">NRSCH (2014) </w:t>
      </w:r>
      <w:proofErr w:type="gramStart"/>
      <w:r w:rsidRPr="008B6727">
        <w:t>Frequently</w:t>
      </w:r>
      <w:proofErr w:type="gramEnd"/>
      <w:r w:rsidRPr="008B6727">
        <w:t xml:space="preserve"> asked questions for investors and financiers, </w:t>
      </w:r>
      <w:hyperlink r:id="rId41" w:history="1">
        <w:r w:rsidR="007401C8" w:rsidRPr="000D79AA">
          <w:rPr>
            <w:rStyle w:val="Hyperlink"/>
          </w:rPr>
          <w:t>http://www.nrsch.gov.au/__data/assets/file/0009/285849/Investor_FAQs.pdf</w:t>
        </w:r>
      </w:hyperlink>
      <w:r w:rsidR="00924CB8">
        <w:t>.</w:t>
      </w:r>
    </w:p>
    <w:p w14:paraId="0632BBE9" w14:textId="7444AB77" w:rsidR="007863DF" w:rsidRPr="008B6727" w:rsidRDefault="007863DF" w:rsidP="007863DF">
      <w:r w:rsidRPr="008B6727">
        <w:t xml:space="preserve">SGS Economics and Planning (2016) Submission to Affordable Housing Working Group Issues Paper, March 2016, </w:t>
      </w:r>
      <w:hyperlink r:id="rId42" w:history="1">
        <w:r w:rsidR="00924CB8" w:rsidRPr="0026140D">
          <w:rPr>
            <w:rStyle w:val="Hyperlink"/>
          </w:rPr>
          <w:t>http://www.treasury.gov.au/~/media/Treasury/Consultations%20and%20Reviews/</w:t>
        </w:r>
        <w:r w:rsidR="00924CB8" w:rsidRPr="0026140D">
          <w:rPr>
            <w:rStyle w:val="Hyperlink"/>
          </w:rPr>
          <w:br/>
          <w:t>Consultations/2016/CFFR%20Affordable%20Housing%20Working%20Group/Submissions/PDF/SGS_Economics_and_Planning.ashx</w:t>
        </w:r>
      </w:hyperlink>
      <w:r w:rsidR="007401C8">
        <w:t xml:space="preserve"> </w:t>
      </w:r>
    </w:p>
    <w:p w14:paraId="62E3D95F" w14:textId="6619B2EF" w:rsidR="007863DF" w:rsidRPr="008B6727" w:rsidRDefault="007863DF" w:rsidP="007863DF">
      <w:r w:rsidRPr="008B6727">
        <w:t xml:space="preserve">Social Ventures Australia and Macquarie Group Limited (2016) Joint Submission to the Council on Federal Financial Relations Affordable Housing Working Group 18 March 2016, </w:t>
      </w:r>
      <w:hyperlink r:id="rId43" w:history="1">
        <w:r w:rsidR="007401C8" w:rsidRPr="000D79AA">
          <w:rPr>
            <w:rStyle w:val="Hyperlink"/>
          </w:rPr>
          <w:t>http://www.treasury.gov.au/~/media/Treasury/Consultations%20and%20Reviews/Consultations/2016/CFFR%20Affordable%20Housing%20Working%20Group/Submissions/PDF/SVA_Macquarie.ashx</w:t>
        </w:r>
      </w:hyperlink>
      <w:r w:rsidR="007401C8">
        <w:t xml:space="preserve"> </w:t>
      </w:r>
      <w:r w:rsidRPr="008B6727">
        <w:t xml:space="preserve"> </w:t>
      </w:r>
      <w:r w:rsidRPr="008B6727">
        <w:cr/>
      </w:r>
    </w:p>
    <w:p w14:paraId="26E5FDA7" w14:textId="2AFEE740" w:rsidR="006D7BC9" w:rsidRPr="00FA0298" w:rsidRDefault="006D7BC9" w:rsidP="00B14AFE">
      <w:pPr>
        <w:spacing w:after="200" w:line="276" w:lineRule="auto"/>
        <w:rPr>
          <w:rFonts w:ascii="Calibri" w:eastAsiaTheme="majorEastAsia" w:hAnsi="Calibri" w:cstheme="majorBidi"/>
          <w:color w:val="005A70"/>
          <w:spacing w:val="4"/>
          <w:sz w:val="30"/>
          <w:szCs w:val="26"/>
        </w:rPr>
        <w:sectPr w:rsidR="006D7BC9" w:rsidRPr="00FA0298" w:rsidSect="00FF57B8">
          <w:pgSz w:w="11906" w:h="16838"/>
          <w:pgMar w:top="1440" w:right="1440" w:bottom="1440" w:left="1440" w:header="708" w:footer="708" w:gutter="0"/>
          <w:cols w:space="708"/>
          <w:docGrid w:linePitch="360"/>
        </w:sectPr>
      </w:pPr>
    </w:p>
    <w:p w14:paraId="1C5094F8" w14:textId="20073B24" w:rsidR="005925F4" w:rsidRPr="005B396E" w:rsidRDefault="00622771" w:rsidP="00924CB8">
      <w:pPr>
        <w:pStyle w:val="Heading1"/>
        <w:tabs>
          <w:tab w:val="clear" w:pos="567"/>
          <w:tab w:val="left" w:pos="1843"/>
        </w:tabs>
        <w:ind w:left="1843" w:hanging="1843"/>
      </w:pPr>
      <w:bookmarkStart w:id="176" w:name="_Toc493848977"/>
      <w:bookmarkEnd w:id="45"/>
      <w:bookmarkEnd w:id="46"/>
      <w:r w:rsidRPr="005B396E">
        <w:lastRenderedPageBreak/>
        <w:t>Annex 1:</w:t>
      </w:r>
      <w:bookmarkStart w:id="177" w:name="_Toc485750955"/>
      <w:bookmarkStart w:id="178" w:name="_Toc487814107"/>
      <w:r w:rsidR="00924CB8">
        <w:tab/>
      </w:r>
      <w:r w:rsidR="005925F4" w:rsidRPr="005B396E">
        <w:t>Potential Partnership Models to Deliver Mixed Tenure, Integrated Affordable Housing Projects</w:t>
      </w:r>
      <w:bookmarkEnd w:id="177"/>
      <w:bookmarkEnd w:id="178"/>
      <w:bookmarkEnd w:id="176"/>
    </w:p>
    <w:p w14:paraId="5A6FB1AE" w14:textId="12EEE5AB" w:rsidR="005925F4" w:rsidRPr="00D21E93" w:rsidRDefault="005925F4" w:rsidP="00372A2A">
      <w:r w:rsidRPr="00D21E93">
        <w:rPr>
          <w:b/>
        </w:rPr>
        <w:t>Incorporated joint ventures</w:t>
      </w:r>
      <w:r w:rsidRPr="00D21E93">
        <w:t xml:space="preserve">, where a separate company is established to deliver a project. The Authority and its partners each contribute equity to establish the joint venture company. The Authority usually provides land, with </w:t>
      </w:r>
      <w:r w:rsidR="00002E5B">
        <w:t>access to finance</w:t>
      </w:r>
      <w:r w:rsidRPr="00D21E93">
        <w:t xml:space="preserve"> contributed by the private partner.  Profits are shared between the partners on a risk-return basis, and the Housing Authority receives access to sites for its social and affordable housing programs, which are integrated into the wider development.  Examples include </w:t>
      </w:r>
      <w:proofErr w:type="spellStart"/>
      <w:r w:rsidRPr="00D21E93">
        <w:t>Ellenbrook</w:t>
      </w:r>
      <w:proofErr w:type="spellEnd"/>
      <w:r w:rsidRPr="00D21E93">
        <w:t xml:space="preserve"> in the eastern corridor, one of Australia’s most successful </w:t>
      </w:r>
      <w:proofErr w:type="gramStart"/>
      <w:r w:rsidRPr="00D21E93">
        <w:t>greenfield</w:t>
      </w:r>
      <w:proofErr w:type="gramEnd"/>
      <w:r w:rsidRPr="00D21E93">
        <w:t xml:space="preserve"> developments and home to 30,000 people, Brighton in Perth’s north, and the transit oriented development at Wellard in the south. </w:t>
      </w:r>
    </w:p>
    <w:p w14:paraId="0A0033E9" w14:textId="09DA8411" w:rsidR="005925F4" w:rsidRPr="00D21E93" w:rsidRDefault="005925F4" w:rsidP="00372A2A">
      <w:r w:rsidRPr="00D21E93">
        <w:rPr>
          <w:b/>
        </w:rPr>
        <w:t>Development agreements</w:t>
      </w:r>
      <w:r w:rsidRPr="00D21E93">
        <w:t xml:space="preserve"> where the Housing Authority provides land and a private sector party is engaged to undertake the development.  The private sector partner provides all development funding (often supported by their own finance), and </w:t>
      </w:r>
      <w:r w:rsidR="00002E5B">
        <w:t xml:space="preserve">the </w:t>
      </w:r>
      <w:r w:rsidRPr="00D21E93">
        <w:t xml:space="preserve">Housing </w:t>
      </w:r>
      <w:r w:rsidR="00002E5B">
        <w:t xml:space="preserve">Authority </w:t>
      </w:r>
      <w:r w:rsidRPr="00D21E93">
        <w:t xml:space="preserve">receives a share of the net profit, as well as sites for social and affordable housing.  Successful projects include the </w:t>
      </w:r>
      <w:proofErr w:type="spellStart"/>
      <w:r w:rsidRPr="00D21E93">
        <w:t>Somerly</w:t>
      </w:r>
      <w:proofErr w:type="spellEnd"/>
      <w:r w:rsidRPr="00D21E93">
        <w:t xml:space="preserve"> development at Clarkson, north of Perth and </w:t>
      </w:r>
      <w:proofErr w:type="spellStart"/>
      <w:r w:rsidRPr="00D21E93">
        <w:t>Mevé</w:t>
      </w:r>
      <w:proofErr w:type="spellEnd"/>
      <w:r w:rsidRPr="00D21E93">
        <w:t xml:space="preserve"> at </w:t>
      </w:r>
      <w:proofErr w:type="spellStart"/>
      <w:r w:rsidRPr="00D21E93">
        <w:t>Beeliar</w:t>
      </w:r>
      <w:proofErr w:type="spellEnd"/>
      <w:r w:rsidRPr="00D21E93">
        <w:t xml:space="preserve"> in Perth’s southern suburbs.   </w:t>
      </w:r>
    </w:p>
    <w:p w14:paraId="44D42100" w14:textId="77777777" w:rsidR="005925F4" w:rsidRPr="00D21E93" w:rsidRDefault="005925F4" w:rsidP="00372A2A">
      <w:proofErr w:type="gramStart"/>
      <w:r w:rsidRPr="00D21E93">
        <w:rPr>
          <w:b/>
        </w:rPr>
        <w:t>Limited recourse project financing structures</w:t>
      </w:r>
      <w:r w:rsidRPr="00D21E93">
        <w:t>.</w:t>
      </w:r>
      <w:proofErr w:type="gramEnd"/>
      <w:r w:rsidRPr="00D21E93">
        <w:t xml:space="preserve"> In recent years, the Authority has expanded its partnering model from </w:t>
      </w:r>
      <w:proofErr w:type="gramStart"/>
      <w:r w:rsidRPr="00D21E93">
        <w:t>greenfield</w:t>
      </w:r>
      <w:proofErr w:type="gramEnd"/>
      <w:r w:rsidRPr="00D21E93">
        <w:t xml:space="preserve"> land projects to deliver medium and high-density housing.  A number of inner and middle-ring sites have been put to market and attracted private sector partners who have brought equity, development finance and project management to deliver a project.  Each project includes a mix of social housing, affordable rental, shared and low deposit ownership options, as well as full market sales.  Attention is always given to ensure that an appropriate mix of tenures and dwelling types is provided to ensure a balanced, well-functioning community is established.  The Authority’s return on its equity investment is translated into retained social housing dwellings, equity (in shared equity properties) and development profit.   </w:t>
      </w:r>
    </w:p>
    <w:p w14:paraId="1902CF0D" w14:textId="77777777" w:rsidR="005925F4" w:rsidRPr="00D21E93" w:rsidRDefault="005925F4" w:rsidP="00372A2A">
      <w:pPr>
        <w:pStyle w:val="Bullet"/>
      </w:pPr>
      <w:r w:rsidRPr="00D21E93">
        <w:t xml:space="preserve">The One on Aberdeen project in Perth’s inner city saw the Housing Authority leverage more than $48m in private sector debt and equity to deliver a $73m, 161 apartment </w:t>
      </w:r>
      <w:proofErr w:type="gramStart"/>
      <w:r w:rsidRPr="00D21E93">
        <w:t>development</w:t>
      </w:r>
      <w:proofErr w:type="gramEnd"/>
      <w:r w:rsidRPr="00D21E93">
        <w:t xml:space="preserve">, off the back of a $6m site.  By being an active equity partner rather than a passive seller of the land: </w:t>
      </w:r>
    </w:p>
    <w:p w14:paraId="1BCDD53B" w14:textId="37C1E304" w:rsidR="005925F4" w:rsidRPr="00D21E93" w:rsidRDefault="005925F4" w:rsidP="00372A2A">
      <w:pPr>
        <w:pStyle w:val="Dash"/>
      </w:pPr>
      <w:r w:rsidRPr="00D21E93">
        <w:t>50% of the 161 apartments were delivered at price points affordable to people on</w:t>
      </w:r>
      <w:r w:rsidR="003F36CE">
        <w:br/>
      </w:r>
      <w:r w:rsidRPr="00D21E93">
        <w:t xml:space="preserve">low-moderate incomes; </w:t>
      </w:r>
    </w:p>
    <w:p w14:paraId="4279F20E" w14:textId="6A12821C" w:rsidR="005925F4" w:rsidRPr="00D21E93" w:rsidRDefault="005925F4" w:rsidP="00372A2A">
      <w:pPr>
        <w:pStyle w:val="Dash"/>
      </w:pPr>
      <w:r w:rsidRPr="00D21E93">
        <w:t>40% were for targeted groups including social housing, NRAS, key worker</w:t>
      </w:r>
      <w:r w:rsidR="003F36CE">
        <w:br/>
      </w:r>
      <w:r w:rsidRPr="00D21E93">
        <w:t xml:space="preserve">owner-occupiers and shared equity homebuyers; and </w:t>
      </w:r>
    </w:p>
    <w:p w14:paraId="5B47D0B6" w14:textId="77777777" w:rsidR="005925F4" w:rsidRPr="00D21E93" w:rsidRDefault="005925F4" w:rsidP="00372A2A">
      <w:pPr>
        <w:pStyle w:val="Dash"/>
      </w:pPr>
      <w:r w:rsidRPr="00D21E93">
        <w:t xml:space="preserve">32% are retained in the long term for social and affordable housing (social housing, NRAS, and co-owned shared equity apartments) and 22% in perpetuity (social housing and shared equity). </w:t>
      </w:r>
    </w:p>
    <w:p w14:paraId="295EC6F3" w14:textId="77777777" w:rsidR="006701A2" w:rsidRDefault="006701A2">
      <w:pPr>
        <w:spacing w:after="200" w:line="276" w:lineRule="auto"/>
        <w:jc w:val="left"/>
        <w:rPr>
          <w:szCs w:val="22"/>
        </w:rPr>
      </w:pPr>
      <w:r>
        <w:rPr>
          <w:szCs w:val="22"/>
        </w:rPr>
        <w:br w:type="page"/>
      </w:r>
    </w:p>
    <w:p w14:paraId="6D1EB6D9" w14:textId="56FC553C" w:rsidR="005925F4" w:rsidRPr="00D21E93" w:rsidRDefault="005925F4" w:rsidP="005925F4">
      <w:pPr>
        <w:pStyle w:val="NormalWeb"/>
        <w:rPr>
          <w:b/>
          <w:szCs w:val="22"/>
        </w:rPr>
      </w:pPr>
      <w:r w:rsidRPr="00D21E93">
        <w:rPr>
          <w:szCs w:val="22"/>
        </w:rPr>
        <w:t xml:space="preserve">* </w:t>
      </w:r>
      <w:r w:rsidRPr="00D21E93">
        <w:rPr>
          <w:b/>
          <w:szCs w:val="22"/>
        </w:rPr>
        <w:t xml:space="preserve">Ongoing Expression of Interest  </w:t>
      </w:r>
    </w:p>
    <w:p w14:paraId="4E598FC7" w14:textId="55A44EC8" w:rsidR="005925F4" w:rsidRPr="00D21E93" w:rsidRDefault="005925F4" w:rsidP="00372A2A">
      <w:r w:rsidRPr="00D21E93">
        <w:t xml:space="preserve">The WA Housing Authority has established an ongoing Expression of Interest process that delivers new affordable housing and supports entry level supply to the market.  The Authority uses its working </w:t>
      </w:r>
      <w:r w:rsidRPr="00D21E93">
        <w:lastRenderedPageBreak/>
        <w:t xml:space="preserve">capital to procure new dwellings at scale, enabling it to obtain significant discounts from market prices.  The homes are on-sold to moderate-income purchasers under a shared equity arrangement, with the discount becoming the Authority’s equity share (effectively at no cost).  The program is flexible and responsive to market conditions, which influence the value of the discount that can be obtained. An independent evaluation of the scheme by Ernst and Young found that it “makes a sustained, substantial difference to the financial well-being of lower-income households and delivers a positive rate of return for government.” </w:t>
      </w:r>
    </w:p>
    <w:p w14:paraId="5CEDA32D" w14:textId="77777777" w:rsidR="005925F4" w:rsidRPr="008B6727" w:rsidRDefault="005925F4" w:rsidP="005925F4">
      <w:pPr>
        <w:sectPr w:rsidR="005925F4" w:rsidRPr="008B6727" w:rsidSect="00872AF2">
          <w:headerReference w:type="default" r:id="rId44"/>
          <w:pgSz w:w="11906" w:h="16838"/>
          <w:pgMar w:top="1440" w:right="1440" w:bottom="1440" w:left="1440" w:header="708" w:footer="708" w:gutter="0"/>
          <w:cols w:space="708"/>
          <w:docGrid w:linePitch="360"/>
        </w:sectPr>
      </w:pPr>
    </w:p>
    <w:p w14:paraId="24875562" w14:textId="155BD222" w:rsidR="005925F4" w:rsidRPr="008B6727" w:rsidRDefault="00622771" w:rsidP="00F0105B">
      <w:pPr>
        <w:pStyle w:val="Heading1"/>
        <w:tabs>
          <w:tab w:val="clear" w:pos="567"/>
          <w:tab w:val="left" w:pos="1843"/>
        </w:tabs>
        <w:ind w:left="1843" w:hanging="1843"/>
        <w:sectPr w:rsidR="005925F4" w:rsidRPr="008B6727" w:rsidSect="00134C3B">
          <w:pgSz w:w="11906" w:h="16838"/>
          <w:pgMar w:top="1440" w:right="1440" w:bottom="1440" w:left="1440" w:header="709" w:footer="709" w:gutter="0"/>
          <w:cols w:space="708"/>
          <w:docGrid w:linePitch="360"/>
        </w:sectPr>
      </w:pPr>
      <w:bookmarkStart w:id="179" w:name="_Toc485750956"/>
      <w:bookmarkStart w:id="180" w:name="_Toc487814108"/>
      <w:bookmarkStart w:id="181" w:name="_Toc493848978"/>
      <w:r w:rsidRPr="003304BC">
        <w:lastRenderedPageBreak/>
        <w:t>Annex</w:t>
      </w:r>
      <w:r>
        <w:t xml:space="preserve"> 2:</w:t>
      </w:r>
      <w:r w:rsidR="00F0105B">
        <w:tab/>
      </w:r>
      <w:r w:rsidR="005925F4" w:rsidRPr="008B6727">
        <w:t>Project Summar</w:t>
      </w:r>
      <w:bookmarkEnd w:id="179"/>
      <w:bookmarkEnd w:id="180"/>
      <w:r w:rsidR="009F6F73">
        <w:t xml:space="preserve">y: </w:t>
      </w:r>
      <w:bookmarkStart w:id="182" w:name="_Toc485750957"/>
      <w:bookmarkStart w:id="183" w:name="_Toc487814109"/>
      <w:r w:rsidR="005925F4" w:rsidRPr="008B6727">
        <w:t>ONE ON ABERDEEN Northbridge</w:t>
      </w:r>
      <w:bookmarkEnd w:id="182"/>
      <w:bookmarkEnd w:id="183"/>
      <w:bookmarkEnd w:id="181"/>
    </w:p>
    <w:p w14:paraId="72559DB1" w14:textId="6D20FEFC" w:rsidR="00F0105B" w:rsidRPr="009F6F73" w:rsidRDefault="00F0105B" w:rsidP="00F0105B">
      <w:pPr>
        <w:rPr>
          <w:spacing w:val="-6"/>
        </w:rPr>
      </w:pPr>
      <w:r w:rsidRPr="008B6727">
        <w:rPr>
          <w:noProof/>
        </w:rPr>
        <w:lastRenderedPageBreak/>
        <w:drawing>
          <wp:anchor distT="0" distB="180340" distL="180340" distR="180340" simplePos="0" relativeHeight="251659281" behindDoc="0" locked="0" layoutInCell="1" allowOverlap="0" wp14:anchorId="2490DA2C" wp14:editId="28A2B241">
            <wp:simplePos x="0" y="0"/>
            <wp:positionH relativeFrom="column">
              <wp:posOffset>0</wp:posOffset>
            </wp:positionH>
            <wp:positionV relativeFrom="paragraph">
              <wp:posOffset>5080</wp:posOffset>
            </wp:positionV>
            <wp:extent cx="3621600" cy="2505600"/>
            <wp:effectExtent l="0" t="0" r="0" b="9525"/>
            <wp:wrapSquare wrapText="bothSides"/>
            <wp:docPr id="52" name="Picture 52" descr="G:\C&amp;M Photos\One on Aberdeen - July 2014\depthousing_ONE__web\IMG_4050-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amp;M Photos\One on Aberdeen - July 2014\depthousing_ONE__web\IMG_4050-Edi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1600" cy="25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6F73">
        <w:rPr>
          <w:rFonts w:cstheme="minorHAnsi"/>
          <w:spacing w:val="-6"/>
        </w:rPr>
        <w:t xml:space="preserve">The </w:t>
      </w:r>
      <w:r w:rsidRPr="009F6F73">
        <w:rPr>
          <w:rFonts w:cstheme="minorHAnsi"/>
          <w:i/>
          <w:spacing w:val="-6"/>
        </w:rPr>
        <w:t>Affordable Housing Strategy</w:t>
      </w:r>
      <w:r w:rsidRPr="009F6F73">
        <w:rPr>
          <w:rFonts w:cstheme="minorHAnsi"/>
          <w:spacing w:val="-6"/>
        </w:rPr>
        <w:t xml:space="preserve"> challenged the Housing Authority to efficiently use government land to leverage external capital and generate additional social and affordable housing. Through changing from a passive seller of land, to an active equity participant on commercial terms, the HA has engaged differently with the market to deliver innovative partnered developments such as </w:t>
      </w:r>
      <w:r w:rsidRPr="009F6F73">
        <w:rPr>
          <w:rFonts w:cstheme="minorHAnsi"/>
          <w:i/>
          <w:spacing w:val="-6"/>
        </w:rPr>
        <w:t>One on Aberdeen</w:t>
      </w:r>
      <w:r w:rsidRPr="009F6F73">
        <w:rPr>
          <w:rFonts w:cstheme="minorHAnsi"/>
          <w:spacing w:val="-6"/>
        </w:rPr>
        <w:t xml:space="preserve"> in Northbridge – with a strategic focus on infill and smaller affordable dwellings.</w:t>
      </w:r>
    </w:p>
    <w:p w14:paraId="653AC3D7" w14:textId="0E59D835" w:rsidR="005925F4" w:rsidRPr="008B6727" w:rsidRDefault="005925F4" w:rsidP="00F0105B">
      <w:r w:rsidRPr="008B6727">
        <w:t>After a two-stage tender process, the HA partnered with a private sector developer to facilitate delivery of a high quality 161-unit apartment building in Northbridge on an under-utilised site (previously a carpark). The private sector partner funded the planning, site preparation and sales and marketing. Land was committed by the HA in a limited resource project finance structure once presales and conditions precedent were met.  This helped facilitate debt finance for construction. The HA’s commercial return was converted to apartments and cash.  Because of the role the HA played, the policy outcome was that 66 apartments were specifically sold or rented to people on</w:t>
      </w:r>
      <w:r w:rsidR="00EA4BE1">
        <w:br/>
      </w:r>
      <w:r w:rsidRPr="008B6727">
        <w:t>low-moderate incomes.</w:t>
      </w:r>
    </w:p>
    <w:p w14:paraId="1A77EC65" w14:textId="77777777" w:rsidR="005925F4" w:rsidRPr="008B6727" w:rsidRDefault="005925F4" w:rsidP="00F0105B">
      <w:pPr>
        <w:pStyle w:val="Figureheading"/>
        <w:jc w:val="center"/>
        <w:rPr>
          <w:smallCaps/>
        </w:rPr>
      </w:pPr>
      <w:r w:rsidRPr="008B6727">
        <w:t>Housing Authority (HA) Investment/Return</w:t>
      </w:r>
    </w:p>
    <w:p w14:paraId="05B497A4" w14:textId="152ED7B8" w:rsidR="005925F4" w:rsidRPr="008B6727" w:rsidRDefault="00E73E21" w:rsidP="005925F4">
      <w:pPr>
        <w:spacing w:after="40"/>
      </w:pPr>
      <w:r>
        <w:rPr>
          <w:noProof/>
        </w:rPr>
        <mc:AlternateContent>
          <mc:Choice Requires="wpg">
            <w:drawing>
              <wp:anchor distT="0" distB="0" distL="114300" distR="114300" simplePos="0" relativeHeight="251658256" behindDoc="0" locked="0" layoutInCell="1" allowOverlap="1" wp14:anchorId="41166E0F" wp14:editId="2ED0C560">
                <wp:simplePos x="0" y="0"/>
                <wp:positionH relativeFrom="column">
                  <wp:posOffset>-38100</wp:posOffset>
                </wp:positionH>
                <wp:positionV relativeFrom="paragraph">
                  <wp:posOffset>170180</wp:posOffset>
                </wp:positionV>
                <wp:extent cx="5772150" cy="1257300"/>
                <wp:effectExtent l="0" t="0" r="19050" b="19050"/>
                <wp:wrapNone/>
                <wp:docPr id="11" name="Group 11"/>
                <wp:cNvGraphicFramePr/>
                <a:graphic xmlns:a="http://schemas.openxmlformats.org/drawingml/2006/main">
                  <a:graphicData uri="http://schemas.microsoft.com/office/word/2010/wordprocessingGroup">
                    <wpg:wgp>
                      <wpg:cNvGrpSpPr/>
                      <wpg:grpSpPr>
                        <a:xfrm>
                          <a:off x="0" y="0"/>
                          <a:ext cx="5772150" cy="1257300"/>
                          <a:chOff x="0" y="0"/>
                          <a:chExt cx="5772150" cy="1257300"/>
                        </a:xfrm>
                      </wpg:grpSpPr>
                      <wps:wsp>
                        <wps:cNvPr id="42" name="Rectangle 42"/>
                        <wps:cNvSpPr/>
                        <wps:spPr>
                          <a:xfrm>
                            <a:off x="0" y="819150"/>
                            <a:ext cx="1314450" cy="38100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E95D7" w14:textId="37B23A45" w:rsidR="00862B49" w:rsidRPr="005677BD" w:rsidRDefault="00862B49" w:rsidP="00F0105B">
                              <w:pPr>
                                <w:jc w:val="center"/>
                                <w:rPr>
                                  <w:rFonts w:cstheme="minorHAnsi"/>
                                  <w:sz w:val="20"/>
                                </w:rPr>
                              </w:pPr>
                              <w:r w:rsidRPr="005677BD">
                                <w:rPr>
                                  <w:rFonts w:cstheme="minorHAnsi"/>
                                  <w:sz w:val="20"/>
                                </w:rPr>
                                <w:t>Negotiated</w:t>
                              </w:r>
                              <w:r w:rsidRPr="00BB6F5D">
                                <w:rPr>
                                  <w:rFonts w:cstheme="minorHAnsi"/>
                                  <w:sz w:val="20"/>
                                </w:rPr>
                                <w:t xml:space="preserve"> </w:t>
                              </w:r>
                              <w:r w:rsidRPr="005677BD">
                                <w:rPr>
                                  <w:rFonts w:cstheme="minorHAnsi"/>
                                  <w:sz w:val="20"/>
                                </w:rPr>
                                <w:t xml:space="preserve">Value </w:t>
                              </w:r>
                              <w:r>
                                <w:rPr>
                                  <w:rFonts w:cstheme="minorHAnsi"/>
                                  <w:sz w:val="20"/>
                                </w:rPr>
                                <w:t xml:space="preserve">of </w:t>
                              </w:r>
                              <w:r w:rsidRPr="005677BD">
                                <w:rPr>
                                  <w:rFonts w:cstheme="minorHAnsi"/>
                                  <w:sz w:val="20"/>
                                </w:rPr>
                                <w:t>Equity into Transaction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0" name="Group 10"/>
                        <wpg:cNvGrpSpPr/>
                        <wpg:grpSpPr>
                          <a:xfrm>
                            <a:off x="28575" y="0"/>
                            <a:ext cx="5743575" cy="1257300"/>
                            <a:chOff x="0" y="0"/>
                            <a:chExt cx="5743575" cy="1257300"/>
                          </a:xfrm>
                        </wpg:grpSpPr>
                        <wps:wsp>
                          <wps:cNvPr id="38" name="Text Box 11"/>
                          <wps:cNvSpPr txBox="1">
                            <a:spLocks noChangeArrowheads="1"/>
                          </wps:cNvSpPr>
                          <wps:spPr bwMode="auto">
                            <a:xfrm>
                              <a:off x="0" y="0"/>
                              <a:ext cx="1243965" cy="361950"/>
                            </a:xfrm>
                            <a:prstGeom prst="rect">
                              <a:avLst/>
                            </a:prstGeom>
                            <a:solidFill>
                              <a:schemeClr val="accent6">
                                <a:lumMod val="75000"/>
                              </a:schemeClr>
                            </a:solidFill>
                            <a:ln w="12700">
                              <a:solidFill>
                                <a:schemeClr val="lt1">
                                  <a:lumMod val="95000"/>
                                  <a:lumOff val="0"/>
                                </a:schemeClr>
                              </a:solidFill>
                              <a:miter lim="800000"/>
                              <a:headEnd/>
                              <a:tailEnd/>
                            </a:ln>
                            <a:effectLst/>
                          </wps:spPr>
                          <wps:txbx>
                            <w:txbxContent>
                              <w:p w14:paraId="15B7535A" w14:textId="77777777" w:rsidR="00862B49" w:rsidRPr="00F0105B" w:rsidRDefault="00862B49" w:rsidP="00F0105B">
                                <w:pPr>
                                  <w:spacing w:before="80" w:after="80"/>
                                  <w:jc w:val="center"/>
                                  <w:rPr>
                                    <w:rFonts w:ascii="Calibri" w:hAnsi="Calibri"/>
                                    <w:b/>
                                    <w:color w:val="FFFFFF" w:themeColor="background1"/>
                                  </w:rPr>
                                </w:pPr>
                                <w:r w:rsidRPr="00F0105B">
                                  <w:rPr>
                                    <w:rFonts w:ascii="Calibri" w:hAnsi="Calibri"/>
                                    <w:b/>
                                    <w:color w:val="FFFFFF" w:themeColor="background1"/>
                                  </w:rPr>
                                  <w:t>Land Asset</w:t>
                                </w:r>
                              </w:p>
                            </w:txbxContent>
                          </wps:txbx>
                          <wps:bodyPr rot="0" vert="horz" wrap="square" lIns="91440" tIns="45720" rIns="91440" bIns="45720" anchor="t" anchorCtr="0" upright="1">
                            <a:noAutofit/>
                          </wps:bodyPr>
                        </wps:wsp>
                        <wps:wsp>
                          <wps:cNvPr id="35" name="Text Box 15"/>
                          <wps:cNvSpPr txBox="1">
                            <a:spLocks noChangeArrowheads="1"/>
                          </wps:cNvSpPr>
                          <wps:spPr bwMode="auto">
                            <a:xfrm>
                              <a:off x="4105275" y="0"/>
                              <a:ext cx="1638300" cy="838200"/>
                            </a:xfrm>
                            <a:prstGeom prst="rect">
                              <a:avLst/>
                            </a:prstGeom>
                            <a:solidFill>
                              <a:schemeClr val="accent6">
                                <a:lumMod val="75000"/>
                              </a:schemeClr>
                            </a:solidFill>
                            <a:ln w="12700">
                              <a:solidFill>
                                <a:schemeClr val="lt1">
                                  <a:lumMod val="95000"/>
                                  <a:lumOff val="0"/>
                                </a:schemeClr>
                              </a:solidFill>
                              <a:miter lim="800000"/>
                              <a:headEnd/>
                              <a:tailEnd/>
                            </a:ln>
                            <a:effectLst/>
                          </wps:spPr>
                          <wps:txbx>
                            <w:txbxContent>
                              <w:p w14:paraId="4D97E330" w14:textId="72E774B0" w:rsidR="00862B49" w:rsidRPr="00F0105B" w:rsidRDefault="00862B49" w:rsidP="00EA4BE1">
                                <w:pPr>
                                  <w:spacing w:before="80" w:after="80"/>
                                  <w:ind w:left="142"/>
                                  <w:jc w:val="left"/>
                                  <w:rPr>
                                    <w:rFonts w:ascii="Calibri" w:hAnsi="Calibri"/>
                                    <w:b/>
                                    <w:color w:val="FFFFFF"/>
                                  </w:rPr>
                                </w:pPr>
                                <w:r w:rsidRPr="00F0105B">
                                  <w:rPr>
                                    <w:rFonts w:ascii="Calibri" w:hAnsi="Calibri"/>
                                    <w:b/>
                                    <w:color w:val="FFFFFF"/>
                                  </w:rPr>
                                  <w:t>17 Social Housing units</w:t>
                                </w:r>
                                <w:r>
                                  <w:rPr>
                                    <w:rFonts w:ascii="Calibri" w:hAnsi="Calibri"/>
                                    <w:b/>
                                    <w:color w:val="FFFFFF"/>
                                  </w:rPr>
                                  <w:br/>
                                </w:r>
                                <w:r w:rsidRPr="00F0105B">
                                  <w:rPr>
                                    <w:rFonts w:ascii="Calibri" w:hAnsi="Calibri"/>
                                    <w:b/>
                                    <w:color w:val="FFFFFF"/>
                                  </w:rPr>
                                  <w:t>18 Shared equity</w:t>
                                </w:r>
                                <w:r>
                                  <w:rPr>
                                    <w:rFonts w:ascii="Calibri" w:hAnsi="Calibri"/>
                                    <w:b/>
                                    <w:color w:val="FFFFFF"/>
                                  </w:rPr>
                                  <w:br/>
                                </w:r>
                                <w:r w:rsidRPr="00F0105B">
                                  <w:rPr>
                                    <w:rFonts w:ascii="Calibri" w:hAnsi="Calibri"/>
                                    <w:b/>
                                    <w:color w:val="FFFFFF"/>
                                  </w:rPr>
                                  <w:t>14 Essential Worker</w:t>
                                </w:r>
                                <w:r>
                                  <w:rPr>
                                    <w:rFonts w:ascii="Calibri" w:hAnsi="Calibri"/>
                                    <w:b/>
                                    <w:color w:val="FFFFFF"/>
                                  </w:rPr>
                                  <w:br/>
                                </w:r>
                                <w:r w:rsidRPr="00F0105B">
                                  <w:rPr>
                                    <w:rFonts w:ascii="Calibri" w:hAnsi="Calibri"/>
                                    <w:b/>
                                    <w:color w:val="FFFFFF"/>
                                  </w:rPr>
                                  <w:t>$2.3m Cash</w:t>
                                </w:r>
                              </w:p>
                              <w:p w14:paraId="56F37503" w14:textId="77777777" w:rsidR="00862B49" w:rsidRPr="00F0105B" w:rsidRDefault="00862B49" w:rsidP="00F0105B">
                                <w:pPr>
                                  <w:spacing w:before="80" w:after="80"/>
                                  <w:jc w:val="left"/>
                                  <w:rPr>
                                    <w:rFonts w:ascii="Calibri" w:hAnsi="Calibri"/>
                                    <w:b/>
                                    <w:color w:val="FFFFFF"/>
                                    <w:sz w:val="20"/>
                                  </w:rPr>
                                </w:pPr>
                              </w:p>
                            </w:txbxContent>
                          </wps:txbx>
                          <wps:bodyPr rot="0" vert="horz" wrap="square" lIns="72000" tIns="18000" rIns="72000" bIns="18000" anchor="t" anchorCtr="0" upright="1">
                            <a:noAutofit/>
                          </wps:bodyPr>
                        </wps:wsp>
                        <wps:wsp>
                          <wps:cNvPr id="37" name="Text Box 2"/>
                          <wps:cNvSpPr txBox="1">
                            <a:spLocks noChangeArrowheads="1"/>
                          </wps:cNvSpPr>
                          <wps:spPr bwMode="auto">
                            <a:xfrm>
                              <a:off x="3543300" y="9525"/>
                              <a:ext cx="359410" cy="447675"/>
                            </a:xfrm>
                            <a:prstGeom prst="rect">
                              <a:avLst/>
                            </a:prstGeom>
                            <a:noFill/>
                            <a:ln w="9525">
                              <a:noFill/>
                              <a:miter lim="800000"/>
                              <a:headEnd/>
                              <a:tailEnd/>
                            </a:ln>
                          </wps:spPr>
                          <wps:txbx>
                            <w:txbxContent>
                              <w:p w14:paraId="3377CB19" w14:textId="77777777" w:rsidR="00862B49" w:rsidRPr="00F0105B" w:rsidRDefault="00862B49" w:rsidP="00EA4BE1">
                                <w:pPr>
                                  <w:spacing w:after="80"/>
                                  <w:rPr>
                                    <w:b/>
                                    <w:color w:val="246373" w:themeColor="accent6" w:themeShade="BF"/>
                                    <w:sz w:val="48"/>
                                    <w:szCs w:val="48"/>
                                  </w:rPr>
                                </w:pPr>
                                <w:r w:rsidRPr="00F0105B">
                                  <w:rPr>
                                    <w:b/>
                                    <w:color w:val="246373" w:themeColor="accent6" w:themeShade="BF"/>
                                    <w:sz w:val="48"/>
                                    <w:szCs w:val="48"/>
                                  </w:rPr>
                                  <w:t>≡</w:t>
                                </w:r>
                              </w:p>
                            </w:txbxContent>
                          </wps:txbx>
                          <wps:bodyPr rot="0" vert="horz" wrap="square" lIns="91440" tIns="45720" rIns="91440" bIns="45720" anchor="t" anchorCtr="0">
                            <a:noAutofit/>
                          </wps:bodyPr>
                        </wps:wsp>
                        <wps:wsp>
                          <wps:cNvPr id="40" name="Straight Arrow Connector 40"/>
                          <wps:cNvCnPr/>
                          <wps:spPr>
                            <a:xfrm flipV="1">
                              <a:off x="619125" y="428625"/>
                              <a:ext cx="0" cy="360000"/>
                            </a:xfrm>
                            <a:prstGeom prst="straightConnector1">
                              <a:avLst/>
                            </a:prstGeom>
                            <a:ln w="28575">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362075" y="180975"/>
                              <a:ext cx="719455" cy="0"/>
                            </a:xfrm>
                            <a:prstGeom prst="straightConnector1">
                              <a:avLst/>
                            </a:prstGeom>
                            <a:ln w="381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Text Box 137"/>
                          <wps:cNvSpPr txBox="1">
                            <a:spLocks noChangeArrowheads="1"/>
                          </wps:cNvSpPr>
                          <wps:spPr bwMode="auto">
                            <a:xfrm>
                              <a:off x="2190750" y="0"/>
                              <a:ext cx="1143000" cy="561975"/>
                            </a:xfrm>
                            <a:prstGeom prst="rect">
                              <a:avLst/>
                            </a:prstGeom>
                            <a:solidFill>
                              <a:schemeClr val="accent6">
                                <a:lumMod val="75000"/>
                              </a:schemeClr>
                            </a:solidFill>
                            <a:ln w="12700">
                              <a:solidFill>
                                <a:schemeClr val="lt1">
                                  <a:lumMod val="95000"/>
                                  <a:lumOff val="0"/>
                                </a:schemeClr>
                              </a:solidFill>
                              <a:miter lim="800000"/>
                              <a:headEnd/>
                              <a:tailEnd/>
                            </a:ln>
                            <a:effectLst/>
                          </wps:spPr>
                          <wps:txbx>
                            <w:txbxContent>
                              <w:p w14:paraId="397E0AF9" w14:textId="421AADE5" w:rsidR="00862B49" w:rsidRPr="00F0105B" w:rsidRDefault="00862B49" w:rsidP="00F0105B">
                                <w:pPr>
                                  <w:spacing w:before="80" w:after="80"/>
                                  <w:jc w:val="center"/>
                                  <w:rPr>
                                    <w:rFonts w:ascii="Calibri" w:hAnsi="Calibri"/>
                                    <w:b/>
                                    <w:color w:val="FFFFFF" w:themeColor="background1"/>
                                  </w:rPr>
                                </w:pPr>
                                <w:r>
                                  <w:rPr>
                                    <w:rFonts w:ascii="Calibri" w:hAnsi="Calibri"/>
                                    <w:b/>
                                    <w:color w:val="FFFFFF" w:themeColor="background1"/>
                                  </w:rPr>
                                  <w:t>Return on</w:t>
                                </w:r>
                                <w:r>
                                  <w:rPr>
                                    <w:rFonts w:ascii="Calibri" w:hAnsi="Calibri"/>
                                    <w:b/>
                                    <w:color w:val="FFFFFF" w:themeColor="background1"/>
                                  </w:rPr>
                                  <w:br/>
                                </w:r>
                                <w:r w:rsidRPr="00F0105B">
                                  <w:rPr>
                                    <w:rFonts w:ascii="Calibri" w:hAnsi="Calibri"/>
                                    <w:b/>
                                    <w:color w:val="FFFFFF" w:themeColor="background1"/>
                                  </w:rPr>
                                  <w:t>Investment</w:t>
                                </w:r>
                              </w:p>
                            </w:txbxContent>
                          </wps:txbx>
                          <wps:bodyPr rot="0" vert="horz" wrap="square" lIns="91440" tIns="45720" rIns="91440" bIns="45720" anchor="t" anchorCtr="0" upright="1">
                            <a:noAutofit/>
                          </wps:bodyPr>
                        </wps:wsp>
                        <wps:wsp>
                          <wps:cNvPr id="41" name="Text Box 11"/>
                          <wps:cNvSpPr txBox="1">
                            <a:spLocks noChangeArrowheads="1"/>
                          </wps:cNvSpPr>
                          <wps:spPr bwMode="auto">
                            <a:xfrm>
                              <a:off x="4105275" y="904875"/>
                              <a:ext cx="1243965" cy="352425"/>
                            </a:xfrm>
                            <a:prstGeom prst="rect">
                              <a:avLst/>
                            </a:prstGeom>
                            <a:solidFill>
                              <a:schemeClr val="accent6">
                                <a:lumMod val="75000"/>
                              </a:schemeClr>
                            </a:solidFill>
                            <a:ln w="12700">
                              <a:solidFill>
                                <a:schemeClr val="lt1">
                                  <a:lumMod val="95000"/>
                                  <a:lumOff val="0"/>
                                </a:schemeClr>
                              </a:solidFill>
                              <a:miter lim="800000"/>
                              <a:headEnd/>
                              <a:tailEnd/>
                            </a:ln>
                            <a:effectLst/>
                          </wps:spPr>
                          <wps:txbx>
                            <w:txbxContent>
                              <w:p w14:paraId="3505724C" w14:textId="77777777" w:rsidR="00862B49" w:rsidRPr="00F0105B" w:rsidRDefault="00862B49" w:rsidP="00EA4BE1">
                                <w:pPr>
                                  <w:spacing w:before="80" w:after="80"/>
                                  <w:ind w:left="142"/>
                                  <w:rPr>
                                    <w:rFonts w:ascii="Calibri" w:hAnsi="Calibri"/>
                                    <w:b/>
                                    <w:color w:val="FFFFFF" w:themeColor="background1"/>
                                  </w:rPr>
                                </w:pPr>
                                <w:r w:rsidRPr="00F0105B">
                                  <w:rPr>
                                    <w:rFonts w:ascii="Calibri" w:hAnsi="Calibri"/>
                                    <w:b/>
                                    <w:color w:val="FFFFFF" w:themeColor="background1"/>
                                  </w:rPr>
                                  <w:t>+ 17 NRAS</w:t>
                                </w:r>
                              </w:p>
                            </w:txbxContent>
                          </wps:txbx>
                          <wps:bodyPr rot="0" vert="horz" wrap="square" lIns="91440" tIns="36000" rIns="91440" bIns="36000" anchor="t" anchorCtr="0" upright="1">
                            <a:noAutofit/>
                          </wps:bodyPr>
                        </wps:wsp>
                      </wpg:grpSp>
                    </wpg:wgp>
                  </a:graphicData>
                </a:graphic>
              </wp:anchor>
            </w:drawing>
          </mc:Choice>
          <mc:Fallback>
            <w:pict>
              <v:group id="Group 11" o:spid="_x0000_s1055" style="position:absolute;left:0;text-align:left;margin-left:-3pt;margin-top:13.4pt;width:454.5pt;height:99pt;z-index:251658256;mso-position-horizontal-relative:text;mso-position-vertical-relative:text" coordsize="57721,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">
                <v:rect id="Rectangle 42" o:spid="_x0000_s1056" style="position:absolute;top:8191;width:1314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eRMQA&#10;AADbAAAADwAAAGRycy9kb3ducmV2LnhtbESPQWvCQBSE7wX/w/KE3pqNIkXSrCJFS3OSRBGPj+xr&#10;Epp9G7JrTPPr3UKhx2FmvmHS7WhaMVDvGssKFlEMgri0uuFKwfl0eFmDcB5ZY2uZFPyQg+1m9pRi&#10;ou2dcxoKX4kAYZeggtr7LpHSlTUZdJHtiIP3ZXuDPsi+krrHe4CbVi7j+FUabDgs1NjRe03ld3Ez&#10;CqaPS7bKrgXb9SI772+7oZjyo1LP83H3BsLT6P/Df+1PrWC1hN8v4Q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XkTEAAAA2wAAAA8AAAAAAAAAAAAAAAAAmAIAAGRycy9k&#10;b3ducmV2LnhtbFBLBQYAAAAABAAEAPUAAACJAwAAAAA=&#10;" filled="f" stroked="f" strokeweight="1pt">
                  <v:textbox inset="0,0,0,0">
                    <w:txbxContent>
                      <w:p w14:paraId="2CFE95D7" w14:textId="37B23A45" w:rsidR="00862B49" w:rsidRPr="005677BD" w:rsidRDefault="00862B49" w:rsidP="00F0105B">
                        <w:pPr>
                          <w:jc w:val="center"/>
                          <w:rPr>
                            <w:rFonts w:cstheme="minorHAnsi"/>
                            <w:sz w:val="20"/>
                          </w:rPr>
                        </w:pPr>
                        <w:r w:rsidRPr="005677BD">
                          <w:rPr>
                            <w:rFonts w:cstheme="minorHAnsi"/>
                            <w:sz w:val="20"/>
                          </w:rPr>
                          <w:t>Negotiated</w:t>
                        </w:r>
                        <w:r w:rsidRPr="00BB6F5D">
                          <w:rPr>
                            <w:rFonts w:cstheme="minorHAnsi"/>
                            <w:sz w:val="20"/>
                          </w:rPr>
                          <w:t xml:space="preserve"> </w:t>
                        </w:r>
                        <w:r w:rsidRPr="005677BD">
                          <w:rPr>
                            <w:rFonts w:cstheme="minorHAnsi"/>
                            <w:sz w:val="20"/>
                          </w:rPr>
                          <w:t xml:space="preserve">Value </w:t>
                        </w:r>
                        <w:r>
                          <w:rPr>
                            <w:rFonts w:cstheme="minorHAnsi"/>
                            <w:sz w:val="20"/>
                          </w:rPr>
                          <w:t xml:space="preserve">of </w:t>
                        </w:r>
                        <w:r w:rsidRPr="005677BD">
                          <w:rPr>
                            <w:rFonts w:cstheme="minorHAnsi"/>
                            <w:sz w:val="20"/>
                          </w:rPr>
                          <w:t>Equity into Transaction</w:t>
                        </w:r>
                      </w:p>
                    </w:txbxContent>
                  </v:textbox>
                </v:rect>
                <v:group id="Group 10" o:spid="_x0000_s1057" style="position:absolute;left:285;width:57436;height:12573" coordsize="57435,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11" o:spid="_x0000_s1058" type="#_x0000_t202" style="position:absolute;width:1243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Dpr8A&#10;AADbAAAADwAAAGRycy9kb3ducmV2LnhtbERPy2oCMRTdC/2HcAvdORlbWmRqHEQszNapgsvbyXWe&#10;uQlJqtO/bxaFLg/nvSlnM4kb+dBbVrDKchDEjdU9twpOnx/LNYgQkTVOlknBDwUotw+LDRba3vlI&#10;tzq2IoVwKFBBF6MrpAxNRwZDZh1x4q7WG4wJ+lZqj/cUbib5nOdv0mDPqaFDR/uOmrH+Ngp2o5sG&#10;P1RH/ZW7qj4M1evpfFHq6XHevYOINMd/8Z+70gpe0tj0Jf0A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7YOmvwAAANsAAAAPAAAAAAAAAAAAAAAAAJgCAABkcnMvZG93bnJl&#10;di54bWxQSwUGAAAAAAQABAD1AAAAhAMAAAAA&#10;" fillcolor="#246373 [2409]" strokecolor="#f2f2f2 [3041]" strokeweight="1pt">
                    <v:textbox>
                      <w:txbxContent>
                        <w:p w14:paraId="15B7535A" w14:textId="77777777" w:rsidR="00862B49" w:rsidRPr="00F0105B" w:rsidRDefault="00862B49" w:rsidP="00F0105B">
                          <w:pPr>
                            <w:spacing w:before="80" w:after="80"/>
                            <w:jc w:val="center"/>
                            <w:rPr>
                              <w:rFonts w:ascii="Calibri" w:hAnsi="Calibri"/>
                              <w:b/>
                              <w:color w:val="FFFFFF" w:themeColor="background1"/>
                            </w:rPr>
                          </w:pPr>
                          <w:r w:rsidRPr="00F0105B">
                            <w:rPr>
                              <w:rFonts w:ascii="Calibri" w:hAnsi="Calibri"/>
                              <w:b/>
                              <w:color w:val="FFFFFF" w:themeColor="background1"/>
                            </w:rPr>
                            <w:t>Land Asset</w:t>
                          </w:r>
                        </w:p>
                      </w:txbxContent>
                    </v:textbox>
                  </v:shape>
                  <v:shape id="Text Box 15" o:spid="_x0000_s1059" type="#_x0000_t202" style="position:absolute;left:41052;width:16383;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M28YA&#10;AADbAAAADwAAAGRycy9kb3ducmV2LnhtbESPQWvCQBSE7wX/w/KE3upGS0uNrkG0hRQ91OjB4yP7&#10;TEKyb0N2G5N/3y0Uehxm5htmnQymET11rrKsYD6LQBDnVldcKLicP57eQDiPrLGxTApGcpBsJg9r&#10;jLW984n6zBciQNjFqKD0vo2ldHlJBt3MtsTBu9nOoA+yK6Tu8B7gppGLKHqVBisOCyW2tCspr7Nv&#10;o+BreegPF3nNjvP9+L7fpdlnnVdKPU6H7QqEp8H/h//aqVbw/AK/X8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XM28YAAADbAAAADwAAAAAAAAAAAAAAAACYAgAAZHJz&#10;L2Rvd25yZXYueG1sUEsFBgAAAAAEAAQA9QAAAIsDAAAAAA==&#10;" fillcolor="#246373 [2409]" strokecolor="#f2f2f2 [3041]" strokeweight="1pt">
                    <v:textbox inset="2mm,.5mm,2mm,.5mm">
                      <w:txbxContent>
                        <w:p w14:paraId="4D97E330" w14:textId="72E774B0" w:rsidR="00862B49" w:rsidRPr="00F0105B" w:rsidRDefault="00862B49" w:rsidP="00EA4BE1">
                          <w:pPr>
                            <w:spacing w:before="80" w:after="80"/>
                            <w:ind w:left="142"/>
                            <w:jc w:val="left"/>
                            <w:rPr>
                              <w:rFonts w:ascii="Calibri" w:hAnsi="Calibri"/>
                              <w:b/>
                              <w:color w:val="FFFFFF"/>
                            </w:rPr>
                          </w:pPr>
                          <w:r w:rsidRPr="00F0105B">
                            <w:rPr>
                              <w:rFonts w:ascii="Calibri" w:hAnsi="Calibri"/>
                              <w:b/>
                              <w:color w:val="FFFFFF"/>
                            </w:rPr>
                            <w:t>17 Social Housing units</w:t>
                          </w:r>
                          <w:r>
                            <w:rPr>
                              <w:rFonts w:ascii="Calibri" w:hAnsi="Calibri"/>
                              <w:b/>
                              <w:color w:val="FFFFFF"/>
                            </w:rPr>
                            <w:br/>
                          </w:r>
                          <w:r w:rsidRPr="00F0105B">
                            <w:rPr>
                              <w:rFonts w:ascii="Calibri" w:hAnsi="Calibri"/>
                              <w:b/>
                              <w:color w:val="FFFFFF"/>
                            </w:rPr>
                            <w:t>18 Shared equity</w:t>
                          </w:r>
                          <w:r>
                            <w:rPr>
                              <w:rFonts w:ascii="Calibri" w:hAnsi="Calibri"/>
                              <w:b/>
                              <w:color w:val="FFFFFF"/>
                            </w:rPr>
                            <w:br/>
                          </w:r>
                          <w:r w:rsidRPr="00F0105B">
                            <w:rPr>
                              <w:rFonts w:ascii="Calibri" w:hAnsi="Calibri"/>
                              <w:b/>
                              <w:color w:val="FFFFFF"/>
                            </w:rPr>
                            <w:t>14 Essential Worker</w:t>
                          </w:r>
                          <w:r>
                            <w:rPr>
                              <w:rFonts w:ascii="Calibri" w:hAnsi="Calibri"/>
                              <w:b/>
                              <w:color w:val="FFFFFF"/>
                            </w:rPr>
                            <w:br/>
                          </w:r>
                          <w:r w:rsidRPr="00F0105B">
                            <w:rPr>
                              <w:rFonts w:ascii="Calibri" w:hAnsi="Calibri"/>
                              <w:b/>
                              <w:color w:val="FFFFFF"/>
                            </w:rPr>
                            <w:t>$2.3m Cash</w:t>
                          </w:r>
                        </w:p>
                        <w:p w14:paraId="56F37503" w14:textId="77777777" w:rsidR="00862B49" w:rsidRPr="00F0105B" w:rsidRDefault="00862B49" w:rsidP="00F0105B">
                          <w:pPr>
                            <w:spacing w:before="80" w:after="80"/>
                            <w:jc w:val="left"/>
                            <w:rPr>
                              <w:rFonts w:ascii="Calibri" w:hAnsi="Calibri"/>
                              <w:b/>
                              <w:color w:val="FFFFFF"/>
                              <w:sz w:val="20"/>
                            </w:rPr>
                          </w:pPr>
                        </w:p>
                      </w:txbxContent>
                    </v:textbox>
                  </v:shape>
                  <v:shape id="Text Box 2" o:spid="_x0000_s1060" type="#_x0000_t202" style="position:absolute;left:35433;top:95;width:359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377CB19" w14:textId="77777777" w:rsidR="00862B49" w:rsidRPr="00F0105B" w:rsidRDefault="00862B49" w:rsidP="00EA4BE1">
                          <w:pPr>
                            <w:spacing w:after="80"/>
                            <w:rPr>
                              <w:b/>
                              <w:color w:val="246373" w:themeColor="accent6" w:themeShade="BF"/>
                              <w:sz w:val="48"/>
                              <w:szCs w:val="48"/>
                            </w:rPr>
                          </w:pPr>
                          <w:r w:rsidRPr="00F0105B">
                            <w:rPr>
                              <w:b/>
                              <w:color w:val="246373" w:themeColor="accent6" w:themeShade="BF"/>
                              <w:sz w:val="48"/>
                              <w:szCs w:val="48"/>
                            </w:rPr>
                            <w:t>≡</w:t>
                          </w:r>
                        </w:p>
                      </w:txbxContent>
                    </v:textbox>
                  </v:shape>
                  <v:shape id="Straight Arrow Connector 40" o:spid="_x0000_s1061" type="#_x0000_t32" style="position:absolute;left:6191;top:4286;width:0;height:3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X8MAAADbAAAADwAAAGRycy9kb3ducmV2LnhtbERPz2vCMBS+C/sfwhvspunGkFmNZTgE&#10;d1G0wnZ8NM+mtXmpTVa7/fXmMPD48f1eZINtRE+drxwreJ4kIIgLpysuFRzz9fgNhA/IGhvHpOCX&#10;PGTLh9ECU+2uvKf+EEoRQ9inqMCE0KZS+sKQRT9xLXHkTq6zGCLsSqk7vMZw28iXJJlKixXHBoMt&#10;rQwV58OPVdCv6ov//JiZr6G+VLvvU761uz+lnh6H9zmIQEO4i//dG63gNa6PX+IP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1Il/DAAAA2wAAAA8AAAAAAAAAAAAA&#10;AAAAoQIAAGRycy9kb3ducmV2LnhtbFBLBQYAAAAABAAEAPkAAACRAwAAAAA=&#10;" strokecolor="#246373 [2409]" strokeweight="2.25pt">
                    <v:stroke endarrow="open"/>
                  </v:shape>
                  <v:shape id="Straight Arrow Connector 39" o:spid="_x0000_s1062" type="#_x0000_t32" style="position:absolute;left:13620;top:1809;width:7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sQAAADbAAAADwAAAGRycy9kb3ducmV2LnhtbESPQWvCQBSE74X+h+UJ3nRj1VZTV2kF&#10;wYMHmwp6fGRfsqHZtyG7avz3riD0OMzMN8xi1dlaXKj1lWMFo2ECgjh3uuJSweF3M5iB8AFZY+2Y&#10;FNzIw2r5+rLAVLsr/9AlC6WIEPYpKjAhNKmUPjdk0Q9dQxy9wrUWQ5RtKXWL1wi3tXxLkndpseK4&#10;YLChtaH8LztbBVWg4rw2p7y4nT6m+2w3kcfvrVL9Xvf1CSJQF/7Dz/ZWKxjP4f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ZP+xAAAANsAAAAPAAAAAAAAAAAA&#10;AAAAAKECAABkcnMvZG93bnJldi54bWxQSwUGAAAAAAQABAD5AAAAkgMAAAAA&#10;" strokecolor="#246373 [2409]" strokeweight="3pt">
                    <v:stroke endarrow="open"/>
                  </v:shape>
                  <v:shape id="Text Box 137" o:spid="_x0000_s1063" type="#_x0000_t202" style="position:absolute;left:21907;width:11430;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6yT8IA&#10;AADbAAAADwAAAGRycy9kb3ducmV2LnhtbESPT2sCMRTE74V+h/AKvdVsLYpsjSJiYa+uCh5fN6/7&#10;x81LSKJuv70RBI/DzPyGmS8H04sL+dBaVvA5ykAQV1a3XCvY734+ZiBCRNbYWyYF/xRguXh9mWOu&#10;7ZW3dCljLRKEQ44KmhhdLmWoGjIYRtYRJ+/PeoMxSV9L7fGa4KaX4yybSoMtp4UGHa0bqk7l2ShY&#10;nVzf+a7Y6t/MFeWmKyb7w1Gp97dh9Q0i0hCf4Ue70Aq+pnD/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rJPwgAAANsAAAAPAAAAAAAAAAAAAAAAAJgCAABkcnMvZG93&#10;bnJldi54bWxQSwUGAAAAAAQABAD1AAAAhwMAAAAA&#10;" fillcolor="#246373 [2409]" strokecolor="#f2f2f2 [3041]" strokeweight="1pt">
                    <v:textbox>
                      <w:txbxContent>
                        <w:p w14:paraId="397E0AF9" w14:textId="421AADE5" w:rsidR="00862B49" w:rsidRPr="00F0105B" w:rsidRDefault="00862B49" w:rsidP="00F0105B">
                          <w:pPr>
                            <w:spacing w:before="80" w:after="80"/>
                            <w:jc w:val="center"/>
                            <w:rPr>
                              <w:rFonts w:ascii="Calibri" w:hAnsi="Calibri"/>
                              <w:b/>
                              <w:color w:val="FFFFFF" w:themeColor="background1"/>
                            </w:rPr>
                          </w:pPr>
                          <w:r>
                            <w:rPr>
                              <w:rFonts w:ascii="Calibri" w:hAnsi="Calibri"/>
                              <w:b/>
                              <w:color w:val="FFFFFF" w:themeColor="background1"/>
                            </w:rPr>
                            <w:t>Return on</w:t>
                          </w:r>
                          <w:r>
                            <w:rPr>
                              <w:rFonts w:ascii="Calibri" w:hAnsi="Calibri"/>
                              <w:b/>
                              <w:color w:val="FFFFFF" w:themeColor="background1"/>
                            </w:rPr>
                            <w:br/>
                          </w:r>
                          <w:r w:rsidRPr="00F0105B">
                            <w:rPr>
                              <w:rFonts w:ascii="Calibri" w:hAnsi="Calibri"/>
                              <w:b/>
                              <w:color w:val="FFFFFF" w:themeColor="background1"/>
                            </w:rPr>
                            <w:t>Investment</w:t>
                          </w:r>
                        </w:p>
                      </w:txbxContent>
                    </v:textbox>
                  </v:shape>
                  <v:shape id="Text Box 11" o:spid="_x0000_s1064" type="#_x0000_t202" style="position:absolute;left:41052;top:9048;width:1244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06MYA&#10;AADbAAAADwAAAGRycy9kb3ducmV2LnhtbESPS2vDMBCE74X8B7GBXkojp5SSOFZCHoQWcqpjct5a&#10;6wexVsZSbKe/vioUehxm5hsm2YymET11rrasYD6LQBDnVtdcKsjOx+cFCOeRNTaWScGdHGzWk4cE&#10;Y20H/qQ+9aUIEHYxKqi8b2MpXV6RQTezLXHwCtsZ9EF2pdQdDgFuGvkSRW/SYM1hocKW9hXl1/Rm&#10;FLyfsuXlyV2+TsMBF9n92H/vroVSj9NxuwLhafT/4b/2h1bwOof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a06MYAAADbAAAADwAAAAAAAAAAAAAAAACYAgAAZHJz&#10;L2Rvd25yZXYueG1sUEsFBgAAAAAEAAQA9QAAAIsDAAAAAA==&#10;" fillcolor="#246373 [2409]" strokecolor="#f2f2f2 [3041]" strokeweight="1pt">
                    <v:textbox inset=",1mm,,1mm">
                      <w:txbxContent>
                        <w:p w14:paraId="3505724C" w14:textId="77777777" w:rsidR="00862B49" w:rsidRPr="00F0105B" w:rsidRDefault="00862B49" w:rsidP="00EA4BE1">
                          <w:pPr>
                            <w:spacing w:before="80" w:after="80"/>
                            <w:ind w:left="142"/>
                            <w:rPr>
                              <w:rFonts w:ascii="Calibri" w:hAnsi="Calibri"/>
                              <w:b/>
                              <w:color w:val="FFFFFF" w:themeColor="background1"/>
                            </w:rPr>
                          </w:pPr>
                          <w:r w:rsidRPr="00F0105B">
                            <w:rPr>
                              <w:rFonts w:ascii="Calibri" w:hAnsi="Calibri"/>
                              <w:b/>
                              <w:color w:val="FFFFFF" w:themeColor="background1"/>
                            </w:rPr>
                            <w:t>+ 17 NRAS</w:t>
                          </w:r>
                        </w:p>
                      </w:txbxContent>
                    </v:textbox>
                  </v:shape>
                </v:group>
              </v:group>
            </w:pict>
          </mc:Fallback>
        </mc:AlternateContent>
      </w:r>
    </w:p>
    <w:p w14:paraId="7C2A23D9" w14:textId="798BFA4F" w:rsidR="005925F4" w:rsidRPr="008B6727" w:rsidRDefault="005925F4" w:rsidP="005925F4">
      <w:pPr>
        <w:spacing w:after="40"/>
      </w:pPr>
    </w:p>
    <w:p w14:paraId="77AE41A7" w14:textId="02A00E44" w:rsidR="005925F4" w:rsidRPr="008B6727" w:rsidRDefault="005925F4" w:rsidP="005925F4">
      <w:pPr>
        <w:spacing w:after="40"/>
        <w:rPr>
          <w:smallCaps/>
        </w:rPr>
      </w:pPr>
    </w:p>
    <w:p w14:paraId="73198D3D" w14:textId="4890E41D" w:rsidR="005925F4" w:rsidRPr="008B6727" w:rsidRDefault="005925F4" w:rsidP="005925F4">
      <w:pPr>
        <w:spacing w:after="40"/>
      </w:pPr>
    </w:p>
    <w:p w14:paraId="364C5AD1" w14:textId="6E825B75" w:rsidR="005925F4" w:rsidRPr="008B6727" w:rsidRDefault="005925F4" w:rsidP="005925F4">
      <w:pPr>
        <w:spacing w:after="40"/>
      </w:pPr>
    </w:p>
    <w:p w14:paraId="2A44CEEE" w14:textId="415320EE" w:rsidR="005925F4" w:rsidRPr="008B6727" w:rsidRDefault="005925F4" w:rsidP="005925F4">
      <w:pPr>
        <w:spacing w:after="40"/>
      </w:pPr>
    </w:p>
    <w:p w14:paraId="51C0866A" w14:textId="0F890E43" w:rsidR="00F0105B" w:rsidRDefault="00F0105B">
      <w:pPr>
        <w:spacing w:after="200" w:line="276" w:lineRule="auto"/>
        <w:jc w:val="left"/>
        <w:rPr>
          <w:b/>
        </w:rPr>
      </w:pPr>
      <w:r>
        <w:rPr>
          <w:b/>
        </w:rPr>
        <w:br w:type="page"/>
      </w:r>
    </w:p>
    <w:p w14:paraId="2CC3537C" w14:textId="04C9ED42" w:rsidR="005925F4" w:rsidRPr="008B6727" w:rsidRDefault="005925F4" w:rsidP="00EA4BE1">
      <w:pPr>
        <w:pStyle w:val="Figureheading"/>
        <w:jc w:val="center"/>
        <w:rPr>
          <w:smallCaps/>
        </w:rPr>
      </w:pPr>
      <w:r w:rsidRPr="008B6727">
        <w:lastRenderedPageBreak/>
        <w:t>Direct Market Impact - Leverage - Benefit</w:t>
      </w:r>
    </w:p>
    <w:p w14:paraId="5C667969" w14:textId="756EB047" w:rsidR="005925F4" w:rsidRPr="008B6727" w:rsidRDefault="00134C3B" w:rsidP="005925F4">
      <w:pPr>
        <w:spacing w:after="40"/>
      </w:pPr>
      <w:r>
        <w:rPr>
          <w:noProof/>
        </w:rPr>
        <mc:AlternateContent>
          <mc:Choice Requires="wpg">
            <w:drawing>
              <wp:anchor distT="0" distB="0" distL="114300" distR="114300" simplePos="0" relativeHeight="251660305" behindDoc="0" locked="0" layoutInCell="1" allowOverlap="1" wp14:anchorId="4C4D753B" wp14:editId="7750A14C">
                <wp:simplePos x="0" y="0"/>
                <wp:positionH relativeFrom="column">
                  <wp:align>center</wp:align>
                </wp:positionH>
                <wp:positionV relativeFrom="paragraph">
                  <wp:posOffset>162560</wp:posOffset>
                </wp:positionV>
                <wp:extent cx="4579200" cy="2865600"/>
                <wp:effectExtent l="0" t="0" r="12065" b="11430"/>
                <wp:wrapSquare wrapText="bothSides"/>
                <wp:docPr id="13" name="Group 13"/>
                <wp:cNvGraphicFramePr/>
                <a:graphic xmlns:a="http://schemas.openxmlformats.org/drawingml/2006/main">
                  <a:graphicData uri="http://schemas.microsoft.com/office/word/2010/wordprocessingGroup">
                    <wpg:wgp>
                      <wpg:cNvGrpSpPr/>
                      <wpg:grpSpPr>
                        <a:xfrm>
                          <a:off x="0" y="0"/>
                          <a:ext cx="4579200" cy="2865600"/>
                          <a:chOff x="0" y="0"/>
                          <a:chExt cx="4578350" cy="2865120"/>
                        </a:xfrm>
                      </wpg:grpSpPr>
                      <wps:wsp>
                        <wps:cNvPr id="43" name="Text Box 137"/>
                        <wps:cNvSpPr txBox="1">
                          <a:spLocks noChangeArrowheads="1"/>
                        </wps:cNvSpPr>
                        <wps:spPr bwMode="auto">
                          <a:xfrm>
                            <a:off x="1685925" y="0"/>
                            <a:ext cx="1188000" cy="558000"/>
                          </a:xfrm>
                          <a:prstGeom prst="rect">
                            <a:avLst/>
                          </a:prstGeom>
                          <a:solidFill>
                            <a:schemeClr val="accent6">
                              <a:lumMod val="75000"/>
                            </a:schemeClr>
                          </a:solidFill>
                          <a:ln w="12700">
                            <a:solidFill>
                              <a:schemeClr val="lt1">
                                <a:lumMod val="95000"/>
                                <a:lumOff val="0"/>
                              </a:schemeClr>
                            </a:solidFill>
                            <a:miter lim="800000"/>
                            <a:headEnd/>
                            <a:tailEnd/>
                          </a:ln>
                          <a:effectLst/>
                        </wps:spPr>
                        <wps:txbx>
                          <w:txbxContent>
                            <w:p w14:paraId="1E8FB8DD" w14:textId="15E3C49E" w:rsidR="00862B49" w:rsidRPr="00EA4BE1" w:rsidRDefault="00862B49" w:rsidP="00E73E21">
                              <w:pPr>
                                <w:spacing w:before="80" w:after="80"/>
                                <w:jc w:val="center"/>
                                <w:rPr>
                                  <w:rFonts w:ascii="Calibri" w:hAnsi="Calibri"/>
                                  <w:b/>
                                  <w:color w:val="FFFFFF" w:themeColor="background1"/>
                                </w:rPr>
                              </w:pPr>
                              <w:r w:rsidRPr="00EA4BE1">
                                <w:rPr>
                                  <w:rFonts w:ascii="Calibri" w:hAnsi="Calibri"/>
                                  <w:b/>
                                  <w:color w:val="FFFFFF" w:themeColor="background1"/>
                                </w:rPr>
                                <w:t>HA Land</w:t>
                              </w:r>
                              <w:r>
                                <w:rPr>
                                  <w:rFonts w:ascii="Calibri" w:hAnsi="Calibri"/>
                                  <w:b/>
                                  <w:color w:val="FFFFFF" w:themeColor="background1"/>
                                </w:rPr>
                                <w:br/>
                              </w:r>
                              <w:r w:rsidRPr="00EA4BE1">
                                <w:rPr>
                                  <w:rFonts w:ascii="Calibri" w:hAnsi="Calibri"/>
                                  <w:b/>
                                  <w:color w:val="FFFFFF" w:themeColor="background1"/>
                                </w:rPr>
                                <w:t>Asset</w:t>
                              </w:r>
                            </w:p>
                          </w:txbxContent>
                        </wps:txbx>
                        <wps:bodyPr rot="0" vert="horz" wrap="square" lIns="91440" tIns="45720" rIns="91440" bIns="45720" anchor="t" anchorCtr="0" upright="1">
                          <a:noAutofit/>
                        </wps:bodyPr>
                      </wps:wsp>
                      <wps:wsp>
                        <wps:cNvPr id="47" name="Text Box 138"/>
                        <wps:cNvSpPr txBox="1">
                          <a:spLocks noChangeArrowheads="1"/>
                        </wps:cNvSpPr>
                        <wps:spPr bwMode="auto">
                          <a:xfrm>
                            <a:off x="0" y="762000"/>
                            <a:ext cx="1187450" cy="557530"/>
                          </a:xfrm>
                          <a:prstGeom prst="rect">
                            <a:avLst/>
                          </a:prstGeom>
                          <a:solidFill>
                            <a:schemeClr val="accent6">
                              <a:lumMod val="75000"/>
                            </a:schemeClr>
                          </a:solidFill>
                          <a:ln w="12700">
                            <a:solidFill>
                              <a:schemeClr val="lt1">
                                <a:lumMod val="95000"/>
                                <a:lumOff val="0"/>
                              </a:schemeClr>
                            </a:solidFill>
                            <a:miter lim="800000"/>
                            <a:headEnd/>
                            <a:tailEnd/>
                          </a:ln>
                          <a:effectLst/>
                        </wps:spPr>
                        <wps:txbx>
                          <w:txbxContent>
                            <w:p w14:paraId="2BD494DF" w14:textId="088B31AF" w:rsidR="00862B49" w:rsidRPr="00EA4BE1" w:rsidRDefault="00862B49" w:rsidP="00E73E21">
                              <w:pPr>
                                <w:spacing w:before="80" w:after="80"/>
                                <w:jc w:val="center"/>
                                <w:rPr>
                                  <w:rFonts w:ascii="Calibri" w:hAnsi="Calibri"/>
                                  <w:b/>
                                  <w:color w:val="FFFFFF"/>
                                </w:rPr>
                              </w:pPr>
                              <w:r w:rsidRPr="00EA4BE1">
                                <w:rPr>
                                  <w:rFonts w:ascii="Calibri" w:hAnsi="Calibri"/>
                                  <w:b/>
                                  <w:color w:val="FFFFFF"/>
                                </w:rPr>
                                <w:t>$6.3 million</w:t>
                              </w:r>
                              <w:r>
                                <w:rPr>
                                  <w:rFonts w:ascii="Calibri" w:hAnsi="Calibri"/>
                                  <w:b/>
                                  <w:color w:val="FFFFFF"/>
                                </w:rPr>
                                <w:br/>
                              </w:r>
                              <w:r w:rsidRPr="00EA4BE1">
                                <w:rPr>
                                  <w:rFonts w:ascii="Calibri" w:hAnsi="Calibri"/>
                                  <w:b/>
                                  <w:color w:val="FFFFFF"/>
                                </w:rPr>
                                <w:t>Private Equity</w:t>
                              </w:r>
                            </w:p>
                          </w:txbxContent>
                        </wps:txbx>
                        <wps:bodyPr rot="0" vert="horz" wrap="square" lIns="91440" tIns="45720" rIns="91440" bIns="45720" anchor="t" anchorCtr="0" upright="1">
                          <a:noAutofit/>
                        </wps:bodyPr>
                      </wps:wsp>
                      <wps:wsp>
                        <wps:cNvPr id="49" name="Text Box 139"/>
                        <wps:cNvSpPr txBox="1">
                          <a:spLocks noChangeArrowheads="1"/>
                        </wps:cNvSpPr>
                        <wps:spPr bwMode="auto">
                          <a:xfrm>
                            <a:off x="3390900" y="762000"/>
                            <a:ext cx="1187450" cy="557530"/>
                          </a:xfrm>
                          <a:prstGeom prst="rect">
                            <a:avLst/>
                          </a:prstGeom>
                          <a:solidFill>
                            <a:schemeClr val="accent6">
                              <a:lumMod val="75000"/>
                            </a:schemeClr>
                          </a:solidFill>
                          <a:ln w="12700">
                            <a:solidFill>
                              <a:schemeClr val="lt1">
                                <a:lumMod val="95000"/>
                                <a:lumOff val="0"/>
                              </a:schemeClr>
                            </a:solidFill>
                            <a:miter lim="800000"/>
                            <a:headEnd/>
                            <a:tailEnd/>
                          </a:ln>
                          <a:effectLst/>
                        </wps:spPr>
                        <wps:txbx>
                          <w:txbxContent>
                            <w:p w14:paraId="1F716E2E" w14:textId="7714A7D7" w:rsidR="00862B49" w:rsidRPr="00EA4BE1" w:rsidRDefault="00862B49" w:rsidP="00E73E21">
                              <w:pPr>
                                <w:spacing w:before="80" w:after="80"/>
                                <w:jc w:val="center"/>
                                <w:rPr>
                                  <w:rFonts w:ascii="Calibri" w:hAnsi="Calibri"/>
                                  <w:b/>
                                  <w:color w:val="FFFFFF"/>
                                </w:rPr>
                              </w:pPr>
                              <w:r w:rsidRPr="00EA4BE1">
                                <w:rPr>
                                  <w:rFonts w:ascii="Calibri" w:hAnsi="Calibri"/>
                                  <w:b/>
                                  <w:color w:val="FFFFFF"/>
                                </w:rPr>
                                <w:t>$42.1 million</w:t>
                              </w:r>
                              <w:r>
                                <w:rPr>
                                  <w:rFonts w:ascii="Calibri" w:hAnsi="Calibri"/>
                                  <w:b/>
                                  <w:color w:val="FFFFFF"/>
                                </w:rPr>
                                <w:br/>
                              </w:r>
                              <w:r w:rsidRPr="00EA4BE1">
                                <w:rPr>
                                  <w:rFonts w:ascii="Calibri" w:hAnsi="Calibri"/>
                                  <w:b/>
                                  <w:color w:val="FFFFFF"/>
                                </w:rPr>
                                <w:t>Private Debt</w:t>
                              </w:r>
                            </w:p>
                          </w:txbxContent>
                        </wps:txbx>
                        <wps:bodyPr rot="0" vert="horz" wrap="square" lIns="91440" tIns="45720" rIns="91440" bIns="45720" anchor="t" anchorCtr="0" upright="1">
                          <a:noAutofit/>
                        </wps:bodyPr>
                      </wps:wsp>
                      <wps:wsp>
                        <wps:cNvPr id="51" name="Text Box 140"/>
                        <wps:cNvSpPr txBox="1">
                          <a:spLocks noChangeArrowheads="1"/>
                        </wps:cNvSpPr>
                        <wps:spPr bwMode="auto">
                          <a:xfrm>
                            <a:off x="1266825" y="1533525"/>
                            <a:ext cx="2035810" cy="1331595"/>
                          </a:xfrm>
                          <a:prstGeom prst="rect">
                            <a:avLst/>
                          </a:prstGeom>
                          <a:solidFill>
                            <a:schemeClr val="accent6">
                              <a:lumMod val="75000"/>
                            </a:schemeClr>
                          </a:solidFill>
                          <a:ln w="12700">
                            <a:solidFill>
                              <a:srgbClr val="F2F2F2"/>
                            </a:solidFill>
                            <a:miter lim="800000"/>
                            <a:headEnd/>
                            <a:tailEnd/>
                          </a:ln>
                          <a:effectLst/>
                        </wps:spPr>
                        <wps:txbx>
                          <w:txbxContent>
                            <w:p w14:paraId="5E2F2942" w14:textId="20CE8196" w:rsidR="00862B49" w:rsidRPr="00EA4BE1" w:rsidRDefault="00862B49" w:rsidP="00E73E21">
                              <w:pPr>
                                <w:spacing w:before="80" w:after="80"/>
                                <w:jc w:val="center"/>
                                <w:rPr>
                                  <w:rFonts w:ascii="Calibri" w:hAnsi="Calibri"/>
                                  <w:b/>
                                  <w:color w:val="FFFFFF"/>
                                </w:rPr>
                              </w:pPr>
                              <w:r w:rsidRPr="00EA4BE1">
                                <w:rPr>
                                  <w:rFonts w:ascii="Calibri" w:hAnsi="Calibri"/>
                                  <w:b/>
                                  <w:color w:val="FFFFFF"/>
                                </w:rPr>
                                <w:t>$72.62 million development</w:t>
                              </w:r>
                              <w:r>
                                <w:rPr>
                                  <w:rFonts w:ascii="Calibri" w:hAnsi="Calibri"/>
                                  <w:b/>
                                  <w:color w:val="FFFFFF"/>
                                </w:rPr>
                                <w:br/>
                              </w:r>
                              <w:r w:rsidRPr="00EA4BE1">
                                <w:rPr>
                                  <w:rFonts w:ascii="Calibri" w:hAnsi="Calibri"/>
                                  <w:b/>
                                  <w:color w:val="FFFFFF"/>
                                </w:rPr>
                                <w:t>161 units into supply side</w:t>
                              </w:r>
                            </w:p>
                            <w:p w14:paraId="524EAC1B" w14:textId="77777777" w:rsidR="00862B49" w:rsidRPr="00EA4BE1" w:rsidRDefault="00862B49" w:rsidP="00E73E21">
                              <w:pPr>
                                <w:spacing w:before="80" w:after="80"/>
                                <w:jc w:val="center"/>
                                <w:rPr>
                                  <w:rFonts w:ascii="Calibri" w:hAnsi="Calibri"/>
                                  <w:b/>
                                  <w:color w:val="FFFFFF"/>
                                </w:rPr>
                              </w:pPr>
                              <w:r w:rsidRPr="00EA4BE1">
                                <w:rPr>
                                  <w:rFonts w:ascii="Calibri" w:hAnsi="Calibri"/>
                                  <w:b/>
                                  <w:color w:val="FFFFFF"/>
                                </w:rPr>
                                <w:t>=</w:t>
                              </w:r>
                            </w:p>
                            <w:p w14:paraId="78238AD2" w14:textId="4A08614B" w:rsidR="00862B49" w:rsidRPr="00EA4BE1" w:rsidRDefault="00862B49" w:rsidP="00E73E21">
                              <w:pPr>
                                <w:spacing w:before="80" w:after="80"/>
                                <w:jc w:val="center"/>
                                <w:rPr>
                                  <w:rFonts w:ascii="Calibri" w:hAnsi="Calibri"/>
                                  <w:b/>
                                  <w:color w:val="FFFFFF"/>
                                </w:rPr>
                              </w:pPr>
                              <w:r w:rsidRPr="00EA4BE1">
                                <w:rPr>
                                  <w:rFonts w:ascii="Calibri" w:hAnsi="Calibri"/>
                                  <w:b/>
                                  <w:color w:val="FFFFFF"/>
                                </w:rPr>
                                <w:t>POLICY OUTCOME</w:t>
                              </w:r>
                              <w:r>
                                <w:rPr>
                                  <w:rFonts w:ascii="Calibri" w:hAnsi="Calibri"/>
                                  <w:b/>
                                  <w:color w:val="FFFFFF"/>
                                </w:rPr>
                                <w:br/>
                              </w:r>
                              <w:r w:rsidRPr="00EA4BE1">
                                <w:rPr>
                                  <w:rFonts w:ascii="Calibri" w:hAnsi="Calibri"/>
                                  <w:b/>
                                  <w:color w:val="FFFFFF"/>
                                </w:rPr>
                                <w:t xml:space="preserve">50% </w:t>
                              </w:r>
                              <w:proofErr w:type="gramStart"/>
                              <w:r w:rsidRPr="00EA4BE1">
                                <w:rPr>
                                  <w:rFonts w:ascii="Calibri" w:hAnsi="Calibri"/>
                                  <w:b/>
                                  <w:color w:val="FFFFFF"/>
                                </w:rPr>
                                <w:t>affordable</w:t>
                              </w:r>
                              <w:proofErr w:type="gramEnd"/>
                              <w:r>
                                <w:rPr>
                                  <w:rFonts w:ascii="Calibri" w:hAnsi="Calibri"/>
                                  <w:b/>
                                  <w:color w:val="FFFFFF"/>
                                </w:rPr>
                                <w:br/>
                              </w:r>
                              <w:r w:rsidRPr="00EA4BE1">
                                <w:rPr>
                                  <w:rFonts w:ascii="Calibri" w:hAnsi="Calibri"/>
                                  <w:b/>
                                  <w:color w:val="FFFFFF"/>
                                </w:rPr>
                                <w:t>(11% social housing)</w:t>
                              </w:r>
                            </w:p>
                          </w:txbxContent>
                        </wps:txbx>
                        <wps:bodyPr rot="0" vert="horz" wrap="square" lIns="91440" tIns="0" rIns="91440" bIns="18000" anchor="ctr" anchorCtr="0" upright="1">
                          <a:noAutofit/>
                        </wps:bodyPr>
                      </wps:wsp>
                      <wps:wsp>
                        <wps:cNvPr id="46" name="Freeform 46"/>
                        <wps:cNvSpPr/>
                        <wps:spPr>
                          <a:xfrm>
                            <a:off x="2819400" y="276225"/>
                            <a:ext cx="1160145" cy="514350"/>
                          </a:xfrm>
                          <a:custGeom>
                            <a:avLst/>
                            <a:gdLst>
                              <a:gd name="connsiteX0" fmla="*/ 0 w 923925"/>
                              <a:gd name="connsiteY0" fmla="*/ 0 h 104775"/>
                              <a:gd name="connsiteX1" fmla="*/ 923925 w 923925"/>
                              <a:gd name="connsiteY1" fmla="*/ 0 h 104775"/>
                              <a:gd name="connsiteX2" fmla="*/ 923925 w 923925"/>
                              <a:gd name="connsiteY2" fmla="*/ 104775 h 104775"/>
                            </a:gdLst>
                            <a:ahLst/>
                            <a:cxnLst>
                              <a:cxn ang="0">
                                <a:pos x="connsiteX0" y="connsiteY0"/>
                              </a:cxn>
                              <a:cxn ang="0">
                                <a:pos x="connsiteX1" y="connsiteY1"/>
                              </a:cxn>
                              <a:cxn ang="0">
                                <a:pos x="connsiteX2" y="connsiteY2"/>
                              </a:cxn>
                            </a:cxnLst>
                            <a:rect l="l" t="t" r="r" b="b"/>
                            <a:pathLst>
                              <a:path w="923925" h="104775">
                                <a:moveTo>
                                  <a:pt x="0" y="0"/>
                                </a:moveTo>
                                <a:lnTo>
                                  <a:pt x="923925" y="0"/>
                                </a:lnTo>
                                <a:lnTo>
                                  <a:pt x="923925" y="104775"/>
                                </a:lnTo>
                              </a:path>
                            </a:pathLst>
                          </a:custGeom>
                          <a:noFill/>
                          <a:ln w="38100">
                            <a:solidFill>
                              <a:schemeClr val="accent6">
                                <a:lumMod val="75000"/>
                              </a:schemeClr>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45"/>
                        <wps:cNvSpPr/>
                        <wps:spPr>
                          <a:xfrm flipH="1">
                            <a:off x="600075" y="276225"/>
                            <a:ext cx="1143000" cy="514350"/>
                          </a:xfrm>
                          <a:custGeom>
                            <a:avLst/>
                            <a:gdLst>
                              <a:gd name="connsiteX0" fmla="*/ 0 w 923925"/>
                              <a:gd name="connsiteY0" fmla="*/ 0 h 104775"/>
                              <a:gd name="connsiteX1" fmla="*/ 923925 w 923925"/>
                              <a:gd name="connsiteY1" fmla="*/ 0 h 104775"/>
                              <a:gd name="connsiteX2" fmla="*/ 923925 w 923925"/>
                              <a:gd name="connsiteY2" fmla="*/ 104775 h 104775"/>
                            </a:gdLst>
                            <a:ahLst/>
                            <a:cxnLst>
                              <a:cxn ang="0">
                                <a:pos x="connsiteX0" y="connsiteY0"/>
                              </a:cxn>
                              <a:cxn ang="0">
                                <a:pos x="connsiteX1" y="connsiteY1"/>
                              </a:cxn>
                              <a:cxn ang="0">
                                <a:pos x="connsiteX2" y="connsiteY2"/>
                              </a:cxn>
                            </a:cxnLst>
                            <a:rect l="l" t="t" r="r" b="b"/>
                            <a:pathLst>
                              <a:path w="923925" h="104775">
                                <a:moveTo>
                                  <a:pt x="0" y="0"/>
                                </a:moveTo>
                                <a:lnTo>
                                  <a:pt x="923925" y="0"/>
                                </a:lnTo>
                                <a:lnTo>
                                  <a:pt x="923925" y="104775"/>
                                </a:lnTo>
                              </a:path>
                            </a:pathLst>
                          </a:custGeom>
                          <a:noFill/>
                          <a:ln w="38100">
                            <a:solidFill>
                              <a:schemeClr val="accent6">
                                <a:lumMod val="75000"/>
                              </a:schemeClr>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reeform 48"/>
                        <wps:cNvSpPr>
                          <a:spLocks/>
                        </wps:cNvSpPr>
                        <wps:spPr>
                          <a:xfrm>
                            <a:off x="600075" y="1323975"/>
                            <a:ext cx="683895" cy="885825"/>
                          </a:xfrm>
                          <a:custGeom>
                            <a:avLst/>
                            <a:gdLst>
                              <a:gd name="connsiteX0" fmla="*/ 0 w 485775"/>
                              <a:gd name="connsiteY0" fmla="*/ 0 h 495300"/>
                              <a:gd name="connsiteX1" fmla="*/ 0 w 485775"/>
                              <a:gd name="connsiteY1" fmla="*/ 495300 h 495300"/>
                              <a:gd name="connsiteX2" fmla="*/ 485775 w 485775"/>
                              <a:gd name="connsiteY2" fmla="*/ 495300 h 495300"/>
                            </a:gdLst>
                            <a:ahLst/>
                            <a:cxnLst>
                              <a:cxn ang="0">
                                <a:pos x="connsiteX0" y="connsiteY0"/>
                              </a:cxn>
                              <a:cxn ang="0">
                                <a:pos x="connsiteX1" y="connsiteY1"/>
                              </a:cxn>
                              <a:cxn ang="0">
                                <a:pos x="connsiteX2" y="connsiteY2"/>
                              </a:cxn>
                            </a:cxnLst>
                            <a:rect l="l" t="t" r="r" b="b"/>
                            <a:pathLst>
                              <a:path w="485775" h="495300">
                                <a:moveTo>
                                  <a:pt x="0" y="0"/>
                                </a:moveTo>
                                <a:lnTo>
                                  <a:pt x="0" y="495300"/>
                                </a:lnTo>
                                <a:lnTo>
                                  <a:pt x="485775" y="495300"/>
                                </a:lnTo>
                              </a:path>
                            </a:pathLst>
                          </a:custGeom>
                          <a:noFill/>
                          <a:ln w="38100">
                            <a:solidFill>
                              <a:schemeClr val="accent6">
                                <a:lumMod val="75000"/>
                              </a:schemeClr>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a:spLocks/>
                        </wps:cNvSpPr>
                        <wps:spPr>
                          <a:xfrm flipH="1">
                            <a:off x="3295650" y="1323975"/>
                            <a:ext cx="683895" cy="885825"/>
                          </a:xfrm>
                          <a:custGeom>
                            <a:avLst/>
                            <a:gdLst>
                              <a:gd name="connsiteX0" fmla="*/ 0 w 485775"/>
                              <a:gd name="connsiteY0" fmla="*/ 0 h 495300"/>
                              <a:gd name="connsiteX1" fmla="*/ 0 w 485775"/>
                              <a:gd name="connsiteY1" fmla="*/ 495300 h 495300"/>
                              <a:gd name="connsiteX2" fmla="*/ 485775 w 485775"/>
                              <a:gd name="connsiteY2" fmla="*/ 495300 h 495300"/>
                            </a:gdLst>
                            <a:ahLst/>
                            <a:cxnLst>
                              <a:cxn ang="0">
                                <a:pos x="connsiteX0" y="connsiteY0"/>
                              </a:cxn>
                              <a:cxn ang="0">
                                <a:pos x="connsiteX1" y="connsiteY1"/>
                              </a:cxn>
                              <a:cxn ang="0">
                                <a:pos x="connsiteX2" y="connsiteY2"/>
                              </a:cxn>
                            </a:cxnLst>
                            <a:rect l="l" t="t" r="r" b="b"/>
                            <a:pathLst>
                              <a:path w="485775" h="495300">
                                <a:moveTo>
                                  <a:pt x="0" y="0"/>
                                </a:moveTo>
                                <a:lnTo>
                                  <a:pt x="0" y="495300"/>
                                </a:lnTo>
                                <a:lnTo>
                                  <a:pt x="485775" y="495300"/>
                                </a:lnTo>
                              </a:path>
                            </a:pathLst>
                          </a:custGeom>
                          <a:noFill/>
                          <a:ln w="38100">
                            <a:solidFill>
                              <a:schemeClr val="accent6">
                                <a:lumMod val="75000"/>
                              </a:schemeClr>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65" style="position:absolute;left:0;text-align:left;margin-left:0;margin-top:12.8pt;width:360.55pt;height:225.65pt;z-index:251660305;mso-position-horizontal:center;mso-position-horizontal-relative:text;mso-position-vertical-relative:text;mso-width-relative:margin;mso-height-relative:margin" coordsize="45783,2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">
                <v:shape id="Text Box 137" o:spid="_x0000_s1066" type="#_x0000_t202" style="position:absolute;left:16859;width:1188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iqsIA&#10;AADbAAAADwAAAGRycy9kb3ducmV2LnhtbESPW2sCMRSE3wv+h3CEvtWsvYisRhGpsK9uFXw8bo57&#10;cXMSkqjbf98UCn0cZuYbZrkeTC/u5ENrWcF0koEgrqxuuVZw+Nq9zEGEiKyxt0wKvinAejV6WmKu&#10;7YP3dC9jLRKEQ44KmhhdLmWoGjIYJtYRJ+9ivcGYpK+l9vhIcNPL1yybSYMtp4UGHW0bqq7lzSjY&#10;XF3f+a7Y63PmivKzKz4Ox5NSz+NhswARaYj/4b92oRW8v8H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2KqwgAAANsAAAAPAAAAAAAAAAAAAAAAAJgCAABkcnMvZG93&#10;bnJldi54bWxQSwUGAAAAAAQABAD1AAAAhwMAAAAA&#10;" fillcolor="#246373 [2409]" strokecolor="#f2f2f2 [3041]" strokeweight="1pt">
                  <v:textbox>
                    <w:txbxContent>
                      <w:p w14:paraId="1E8FB8DD" w14:textId="15E3C49E" w:rsidR="00862B49" w:rsidRPr="00EA4BE1" w:rsidRDefault="00862B49" w:rsidP="00E73E21">
                        <w:pPr>
                          <w:spacing w:before="80" w:after="80"/>
                          <w:jc w:val="center"/>
                          <w:rPr>
                            <w:rFonts w:ascii="Calibri" w:hAnsi="Calibri"/>
                            <w:b/>
                            <w:color w:val="FFFFFF" w:themeColor="background1"/>
                          </w:rPr>
                        </w:pPr>
                        <w:r w:rsidRPr="00EA4BE1">
                          <w:rPr>
                            <w:rFonts w:ascii="Calibri" w:hAnsi="Calibri"/>
                            <w:b/>
                            <w:color w:val="FFFFFF" w:themeColor="background1"/>
                          </w:rPr>
                          <w:t>HA Land</w:t>
                        </w:r>
                        <w:r>
                          <w:rPr>
                            <w:rFonts w:ascii="Calibri" w:hAnsi="Calibri"/>
                            <w:b/>
                            <w:color w:val="FFFFFF" w:themeColor="background1"/>
                          </w:rPr>
                          <w:br/>
                        </w:r>
                        <w:r w:rsidRPr="00EA4BE1">
                          <w:rPr>
                            <w:rFonts w:ascii="Calibri" w:hAnsi="Calibri"/>
                            <w:b/>
                            <w:color w:val="FFFFFF" w:themeColor="background1"/>
                          </w:rPr>
                          <w:t>Asset</w:t>
                        </w:r>
                      </w:p>
                    </w:txbxContent>
                  </v:textbox>
                </v:shape>
                <v:shape id="Text Box 138" o:spid="_x0000_s1067" type="#_x0000_t202" style="position:absolute;top:7620;width:11874;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kqcIA&#10;AADbAAAADwAAAGRycy9kb3ducmV2LnhtbESPT2sCMRTE7wW/Q3hCbzVraausRhGpsFe3Ch6fm+f+&#10;cfMSkqjbb98UCj0OM/MbZrkeTC/u5ENrWcF0koEgrqxuuVZw+Nq9zEGEiKyxt0wKvinAejV6WmKu&#10;7YP3dC9jLRKEQ44KmhhdLmWoGjIYJtYRJ+9ivcGYpK+l9vhIcNPL1yz7kAZbTgsNOto2VF3Lm1Gw&#10;ubq+812x1+fMFeVnV7wfjielnsfDZgEi0hD/w3/tQit4m8H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GSpwgAAANsAAAAPAAAAAAAAAAAAAAAAAJgCAABkcnMvZG93&#10;bnJldi54bWxQSwUGAAAAAAQABAD1AAAAhwMAAAAA&#10;" fillcolor="#246373 [2409]" strokecolor="#f2f2f2 [3041]" strokeweight="1pt">
                  <v:textbox>
                    <w:txbxContent>
                      <w:p w14:paraId="2BD494DF" w14:textId="088B31AF" w:rsidR="00862B49" w:rsidRPr="00EA4BE1" w:rsidRDefault="00862B49" w:rsidP="00E73E21">
                        <w:pPr>
                          <w:spacing w:before="80" w:after="80"/>
                          <w:jc w:val="center"/>
                          <w:rPr>
                            <w:rFonts w:ascii="Calibri" w:hAnsi="Calibri"/>
                            <w:b/>
                            <w:color w:val="FFFFFF"/>
                          </w:rPr>
                        </w:pPr>
                        <w:r w:rsidRPr="00EA4BE1">
                          <w:rPr>
                            <w:rFonts w:ascii="Calibri" w:hAnsi="Calibri"/>
                            <w:b/>
                            <w:color w:val="FFFFFF"/>
                          </w:rPr>
                          <w:t>$6.3 million</w:t>
                        </w:r>
                        <w:r>
                          <w:rPr>
                            <w:rFonts w:ascii="Calibri" w:hAnsi="Calibri"/>
                            <w:b/>
                            <w:color w:val="FFFFFF"/>
                          </w:rPr>
                          <w:br/>
                        </w:r>
                        <w:r w:rsidRPr="00EA4BE1">
                          <w:rPr>
                            <w:rFonts w:ascii="Calibri" w:hAnsi="Calibri"/>
                            <w:b/>
                            <w:color w:val="FFFFFF"/>
                          </w:rPr>
                          <w:t>Private Equity</w:t>
                        </w:r>
                      </w:p>
                    </w:txbxContent>
                  </v:textbox>
                </v:shape>
                <v:shape id="Text Box 139" o:spid="_x0000_s1068" type="#_x0000_t202" style="position:absolute;left:33909;top:7620;width:11874;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VQMIA&#10;AADbAAAADwAAAGRycy9kb3ducmV2LnhtbESPT2sCMRTE7wW/Q3hCbzVraYuuRhGpsFe3Ch6fm+f+&#10;cfMSkqjbb98UCj0OM/MbZrkeTC/u5ENrWcF0koEgrqxuuVZw+Nq9zECEiKyxt0wKvinAejV6WmKu&#10;7YP3dC9jLRKEQ44KmhhdLmWoGjIYJtYRJ+9ivcGYpK+l9vhIcNPL1yz7kAZbTgsNOto2VF3Lm1Gw&#10;ubq+812x1+fMFeVnV7wfjielnsfDZgEi0hD/w3/tQit4m8P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1VAwgAAANsAAAAPAAAAAAAAAAAAAAAAAJgCAABkcnMvZG93&#10;bnJldi54bWxQSwUGAAAAAAQABAD1AAAAhwMAAAAA&#10;" fillcolor="#246373 [2409]" strokecolor="#f2f2f2 [3041]" strokeweight="1pt">
                  <v:textbox>
                    <w:txbxContent>
                      <w:p w14:paraId="1F716E2E" w14:textId="7714A7D7" w:rsidR="00862B49" w:rsidRPr="00EA4BE1" w:rsidRDefault="00862B49" w:rsidP="00E73E21">
                        <w:pPr>
                          <w:spacing w:before="80" w:after="80"/>
                          <w:jc w:val="center"/>
                          <w:rPr>
                            <w:rFonts w:ascii="Calibri" w:hAnsi="Calibri"/>
                            <w:b/>
                            <w:color w:val="FFFFFF"/>
                          </w:rPr>
                        </w:pPr>
                        <w:r w:rsidRPr="00EA4BE1">
                          <w:rPr>
                            <w:rFonts w:ascii="Calibri" w:hAnsi="Calibri"/>
                            <w:b/>
                            <w:color w:val="FFFFFF"/>
                          </w:rPr>
                          <w:t>$42.1 million</w:t>
                        </w:r>
                        <w:r>
                          <w:rPr>
                            <w:rFonts w:ascii="Calibri" w:hAnsi="Calibri"/>
                            <w:b/>
                            <w:color w:val="FFFFFF"/>
                          </w:rPr>
                          <w:br/>
                        </w:r>
                        <w:r w:rsidRPr="00EA4BE1">
                          <w:rPr>
                            <w:rFonts w:ascii="Calibri" w:hAnsi="Calibri"/>
                            <w:b/>
                            <w:color w:val="FFFFFF"/>
                          </w:rPr>
                          <w:t>Private Debt</w:t>
                        </w:r>
                      </w:p>
                    </w:txbxContent>
                  </v:textbox>
                </v:shape>
                <v:shape id="Text Box 140" o:spid="_x0000_s1069" type="#_x0000_t202" style="position:absolute;left:12668;top:15335;width:20358;height:13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FrsEA&#10;AADbAAAADwAAAGRycy9kb3ducmV2LnhtbESPQYvCMBSE7wv+h/CEvSyaKlSkGkWExR5dFfT4aJ5N&#10;sXkpTdZ2/fVmQfA4zMw3zHLd21rcqfWVYwWTcQKCuHC64lLB6fg9moPwAVlj7ZgU/JGH9WrwscRM&#10;u45/6H4IpYgQ9hkqMCE0mZS+MGTRj11DHL2ray2GKNtS6ha7CLe1nCbJTFqsOC4YbGhrqLgdfq0C&#10;2ps+zy+75uth9iWl5Lr07JT6HPabBYhAfXiHX+1cK0gn8P8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6xa7BAAAA2wAAAA8AAAAAAAAAAAAAAAAAmAIAAGRycy9kb3du&#10;cmV2LnhtbFBLBQYAAAAABAAEAPUAAACGAwAAAAA=&#10;" fillcolor="#246373 [2409]" strokecolor="#f2f2f2" strokeweight="1pt">
                  <v:textbox inset=",0,,.5mm">
                    <w:txbxContent>
                      <w:p w14:paraId="5E2F2942" w14:textId="20CE8196" w:rsidR="00862B49" w:rsidRPr="00EA4BE1" w:rsidRDefault="00862B49" w:rsidP="00E73E21">
                        <w:pPr>
                          <w:spacing w:before="80" w:after="80"/>
                          <w:jc w:val="center"/>
                          <w:rPr>
                            <w:rFonts w:ascii="Calibri" w:hAnsi="Calibri"/>
                            <w:b/>
                            <w:color w:val="FFFFFF"/>
                          </w:rPr>
                        </w:pPr>
                        <w:r w:rsidRPr="00EA4BE1">
                          <w:rPr>
                            <w:rFonts w:ascii="Calibri" w:hAnsi="Calibri"/>
                            <w:b/>
                            <w:color w:val="FFFFFF"/>
                          </w:rPr>
                          <w:t>$72.62 million development</w:t>
                        </w:r>
                        <w:r>
                          <w:rPr>
                            <w:rFonts w:ascii="Calibri" w:hAnsi="Calibri"/>
                            <w:b/>
                            <w:color w:val="FFFFFF"/>
                          </w:rPr>
                          <w:br/>
                        </w:r>
                        <w:r w:rsidRPr="00EA4BE1">
                          <w:rPr>
                            <w:rFonts w:ascii="Calibri" w:hAnsi="Calibri"/>
                            <w:b/>
                            <w:color w:val="FFFFFF"/>
                          </w:rPr>
                          <w:t>161 units into supply side</w:t>
                        </w:r>
                      </w:p>
                      <w:p w14:paraId="524EAC1B" w14:textId="77777777" w:rsidR="00862B49" w:rsidRPr="00EA4BE1" w:rsidRDefault="00862B49" w:rsidP="00E73E21">
                        <w:pPr>
                          <w:spacing w:before="80" w:after="80"/>
                          <w:jc w:val="center"/>
                          <w:rPr>
                            <w:rFonts w:ascii="Calibri" w:hAnsi="Calibri"/>
                            <w:b/>
                            <w:color w:val="FFFFFF"/>
                          </w:rPr>
                        </w:pPr>
                        <w:r w:rsidRPr="00EA4BE1">
                          <w:rPr>
                            <w:rFonts w:ascii="Calibri" w:hAnsi="Calibri"/>
                            <w:b/>
                            <w:color w:val="FFFFFF"/>
                          </w:rPr>
                          <w:t>=</w:t>
                        </w:r>
                      </w:p>
                      <w:p w14:paraId="78238AD2" w14:textId="4A08614B" w:rsidR="00862B49" w:rsidRPr="00EA4BE1" w:rsidRDefault="00862B49" w:rsidP="00E73E21">
                        <w:pPr>
                          <w:spacing w:before="80" w:after="80"/>
                          <w:jc w:val="center"/>
                          <w:rPr>
                            <w:rFonts w:ascii="Calibri" w:hAnsi="Calibri"/>
                            <w:b/>
                            <w:color w:val="FFFFFF"/>
                          </w:rPr>
                        </w:pPr>
                        <w:r w:rsidRPr="00EA4BE1">
                          <w:rPr>
                            <w:rFonts w:ascii="Calibri" w:hAnsi="Calibri"/>
                            <w:b/>
                            <w:color w:val="FFFFFF"/>
                          </w:rPr>
                          <w:t>POLICY OUTCOME</w:t>
                        </w:r>
                        <w:r>
                          <w:rPr>
                            <w:rFonts w:ascii="Calibri" w:hAnsi="Calibri"/>
                            <w:b/>
                            <w:color w:val="FFFFFF"/>
                          </w:rPr>
                          <w:br/>
                        </w:r>
                        <w:r w:rsidRPr="00EA4BE1">
                          <w:rPr>
                            <w:rFonts w:ascii="Calibri" w:hAnsi="Calibri"/>
                            <w:b/>
                            <w:color w:val="FFFFFF"/>
                          </w:rPr>
                          <w:t xml:space="preserve">50% </w:t>
                        </w:r>
                        <w:proofErr w:type="gramStart"/>
                        <w:r w:rsidRPr="00EA4BE1">
                          <w:rPr>
                            <w:rFonts w:ascii="Calibri" w:hAnsi="Calibri"/>
                            <w:b/>
                            <w:color w:val="FFFFFF"/>
                          </w:rPr>
                          <w:t>affordable</w:t>
                        </w:r>
                        <w:proofErr w:type="gramEnd"/>
                        <w:r>
                          <w:rPr>
                            <w:rFonts w:ascii="Calibri" w:hAnsi="Calibri"/>
                            <w:b/>
                            <w:color w:val="FFFFFF"/>
                          </w:rPr>
                          <w:br/>
                        </w:r>
                        <w:r w:rsidRPr="00EA4BE1">
                          <w:rPr>
                            <w:rFonts w:ascii="Calibri" w:hAnsi="Calibri"/>
                            <w:b/>
                            <w:color w:val="FFFFFF"/>
                          </w:rPr>
                          <w:t>(11% social housing)</w:t>
                        </w:r>
                      </w:p>
                    </w:txbxContent>
                  </v:textbox>
                </v:shape>
                <v:shape id="Freeform 46" o:spid="_x0000_s1070" style="position:absolute;left:28194;top:2762;width:11601;height:5143;visibility:visible;mso-wrap-style:square;v-text-anchor:middle" coordsize="9239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zocUA&#10;AADbAAAADwAAAGRycy9kb3ducmV2LnhtbESPQU/CQBSE7yb+h80z8SZbFElTWIgWTTgqEBJuj+6j&#10;rXTflu4Tqr/eNTHxOJmZbzLTee8adaYu1J4NDAcJKOLC25pLA5v1610KKgiyxcYzGfiiAPPZ9dUU&#10;M+sv/E7nlZQqQjhkaKASaTOtQ1GRwzDwLXH0Dr5zKFF2pbYdXiLcNfo+ScbaYc1xocKW8oqK4+rT&#10;GTjxx5u87LfP8v14zB92ebodLlJjbm/6pwkooV7+w3/tpTUwGsPvl/gD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fOhxQAAANsAAAAPAAAAAAAAAAAAAAAAAJgCAABkcnMv&#10;ZG93bnJldi54bWxQSwUGAAAAAAQABAD1AAAAigMAAAAA&#10;" path="m,l923925,r,104775e" filled="f" strokecolor="#246373 [2409]" strokeweight="3pt">
                  <v:stroke endarrow="open"/>
                  <v:path arrowok="t" o:connecttype="custom" o:connectlocs="0,0;1160145,0;1160145,514350" o:connectangles="0,0,0"/>
                </v:shape>
                <v:shape id="Freeform 45" o:spid="_x0000_s1071" style="position:absolute;left:6000;top:2762;width:11430;height:5143;flip:x;visibility:visible;mso-wrap-style:square;v-text-anchor:middle" coordsize="923925,10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isUA&#10;AADbAAAADwAAAGRycy9kb3ducmV2LnhtbESPX0vDMBTF3wW/Q7jC3lyqUxndslHUgQNhuD+wx0tz&#10;bUObm5Jkbf32RhD2eDjn/A5nuR5tK3rywThW8DDNQBCXThuuFBwPm/s5iBCRNbaOScEPBVivbm+W&#10;mGs38Bf1+1iJBOGQo4I6xi6XMpQ1WQxT1xEn79t5izFJX0ntcUhw28rHLHuRFg2nhRo7eq2pbPYX&#10;q8BvP9+LcmfecHZumt2Jiq3pB6Umd2OxABFpjNfwf/tDK3h6hr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T+KxQAAANsAAAAPAAAAAAAAAAAAAAAAAJgCAABkcnMv&#10;ZG93bnJldi54bWxQSwUGAAAAAAQABAD1AAAAigMAAAAA&#10;" path="m,l923925,r,104775e" filled="f" strokecolor="#246373 [2409]" strokeweight="3pt">
                  <v:stroke endarrow="open"/>
                  <v:path arrowok="t" o:connecttype="custom" o:connectlocs="0,0;1143000,0;1143000,514350" o:connectangles="0,0,0"/>
                </v:shape>
                <v:shape id="Freeform 48" o:spid="_x0000_s1072" style="position:absolute;left:6000;top:13239;width:6839;height:8859;visibility:visible;mso-wrap-style:square;v-text-anchor:middle" coordsize="48577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XDsEA&#10;AADbAAAADwAAAGRycy9kb3ducmV2LnhtbERPTYvCMBC9L/gfwgjeNHURKdUooigquMtWDx6HZmyr&#10;zaTbRK3/fnMQ9vh439N5ayrxoMaVlhUMBxEI4szqknMFp+O6H4NwHlljZZkUvMjBfNb5mGKi7ZN/&#10;6JH6XIQQdgkqKLyvEyldVpBBN7A1ceAutjHoA2xyqRt8hnBTyc8oGkuDJYeGAmtaFpTd0rtRgPtT&#10;jcdDHF++F/H+d3e+ft03K6V63XYxAeGp9f/it3urFYzC2PAl/A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NFw7BAAAA2wAAAA8AAAAAAAAAAAAAAAAAmAIAAGRycy9kb3du&#10;cmV2LnhtbFBLBQYAAAAABAAEAPUAAACGAwAAAAA=&#10;" path="m,l,495300r485775,e" filled="f" strokecolor="#246373 [2409]" strokeweight="3pt">
                  <v:stroke endarrow="open"/>
                  <v:path arrowok="t" o:connecttype="custom" o:connectlocs="0,0;0,885825;683895,885825" o:connectangles="0,0,0"/>
                </v:shape>
                <v:shape id="Freeform 44" o:spid="_x0000_s1073" style="position:absolute;left:32956;top:13239;width:6839;height:8859;flip:x;visibility:visible;mso-wrap-style:square;v-text-anchor:middle" coordsize="485775,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Mh8UA&#10;AADbAAAADwAAAGRycy9kb3ducmV2LnhtbESP0WrCQBRE3wv9h+UW+lKaTSXEEl3FCoIPhdSYD7hk&#10;r0kwezdmV03z9d1CoY/DzJxhluvRdOJGg2stK3iLYhDEldUt1wrK4+71HYTzyBo7y6TgmxysV48P&#10;S8y0vfOBboWvRYCwy1BB432fSemqhgy6yPbEwTvZwaAPcqilHvAe4KaTszhOpcGWw0KDPW0bqs7F&#10;1SgY2aTlx2Rl/jJ97tN5mZ+/LrlSz0/jZgHC0+j/w3/tvVaQJP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oyHxQAAANsAAAAPAAAAAAAAAAAAAAAAAJgCAABkcnMv&#10;ZG93bnJldi54bWxQSwUGAAAAAAQABAD1AAAAigMAAAAA&#10;" path="m,l,495300r485775,e" filled="f" strokecolor="#246373 [2409]" strokeweight="3pt">
                  <v:stroke endarrow="open"/>
                  <v:path arrowok="t" o:connecttype="custom" o:connectlocs="0,0;0,885825;683895,885825" o:connectangles="0,0,0"/>
                </v:shape>
                <w10:wrap type="square"/>
              </v:group>
            </w:pict>
          </mc:Fallback>
        </mc:AlternateContent>
      </w:r>
    </w:p>
    <w:p w14:paraId="624CA847" w14:textId="2DDB8D19" w:rsidR="005925F4" w:rsidRPr="00134C3B" w:rsidRDefault="005925F4" w:rsidP="00134C3B"/>
    <w:p w14:paraId="31E0A4A7" w14:textId="1F0E134B" w:rsidR="005925F4" w:rsidRPr="00134C3B" w:rsidRDefault="005925F4" w:rsidP="00134C3B"/>
    <w:p w14:paraId="121973FC" w14:textId="7CDDA16C" w:rsidR="005925F4" w:rsidRPr="00134C3B" w:rsidRDefault="005925F4" w:rsidP="00134C3B"/>
    <w:p w14:paraId="758351CD" w14:textId="5E162ED2" w:rsidR="005925F4" w:rsidRPr="00134C3B" w:rsidRDefault="005925F4" w:rsidP="00134C3B"/>
    <w:p w14:paraId="49E61BB6" w14:textId="7D9E250A" w:rsidR="005925F4" w:rsidRDefault="005925F4" w:rsidP="00134C3B"/>
    <w:p w14:paraId="40D5112A" w14:textId="77777777" w:rsidR="00134C3B" w:rsidRDefault="00134C3B" w:rsidP="00134C3B"/>
    <w:p w14:paraId="4F74642C" w14:textId="77777777" w:rsidR="00134C3B" w:rsidRDefault="00134C3B" w:rsidP="00134C3B"/>
    <w:p w14:paraId="77A78211" w14:textId="77777777" w:rsidR="00134C3B" w:rsidRDefault="00134C3B" w:rsidP="00134C3B"/>
    <w:p w14:paraId="1035D847" w14:textId="77777777" w:rsidR="00134C3B" w:rsidRDefault="00134C3B" w:rsidP="00134C3B"/>
    <w:p w14:paraId="2C7C8018" w14:textId="77777777" w:rsidR="00134C3B" w:rsidRDefault="00134C3B" w:rsidP="00134C3B"/>
    <w:p w14:paraId="7DDC7CB2" w14:textId="77777777" w:rsidR="00134C3B" w:rsidRDefault="00134C3B" w:rsidP="00134C3B"/>
    <w:p w14:paraId="0A185172" w14:textId="77777777" w:rsidR="00134C3B" w:rsidRPr="00134C3B" w:rsidRDefault="00134C3B" w:rsidP="00134C3B"/>
    <w:p w14:paraId="77D6D73F" w14:textId="18FAA075" w:rsidR="005925F4" w:rsidRPr="00134C3B" w:rsidRDefault="005925F4" w:rsidP="00134C3B">
      <w:pPr>
        <w:sectPr w:rsidR="005925F4" w:rsidRPr="00134C3B" w:rsidSect="00134C3B">
          <w:type w:val="continuous"/>
          <w:pgSz w:w="11906" w:h="16838"/>
          <w:pgMar w:top="1440" w:right="1440" w:bottom="1440" w:left="1440" w:header="709" w:footer="709" w:gutter="0"/>
          <w:cols w:space="708"/>
          <w:docGrid w:linePitch="360"/>
        </w:sectPr>
      </w:pPr>
    </w:p>
    <w:p w14:paraId="6A5928B2" w14:textId="16689337" w:rsidR="00622771" w:rsidRPr="00134C3B" w:rsidRDefault="00622771" w:rsidP="006701A2">
      <w:pPr>
        <w:pStyle w:val="Heading1"/>
        <w:tabs>
          <w:tab w:val="clear" w:pos="567"/>
          <w:tab w:val="left" w:pos="1843"/>
        </w:tabs>
        <w:spacing w:after="400"/>
        <w:ind w:left="1843" w:hanging="1843"/>
      </w:pPr>
      <w:bookmarkStart w:id="184" w:name="_Toc485750958"/>
      <w:bookmarkStart w:id="185" w:name="_Toc487814110"/>
      <w:bookmarkStart w:id="186" w:name="_Toc493848979"/>
      <w:r w:rsidRPr="00134C3B">
        <w:rPr>
          <w:rStyle w:val="Heading1Char"/>
          <w:b/>
          <w:bCs/>
          <w:caps/>
        </w:rPr>
        <w:lastRenderedPageBreak/>
        <w:t>Annex 3:</w:t>
      </w:r>
      <w:r w:rsidR="00134C3B">
        <w:rPr>
          <w:rStyle w:val="Heading1Char"/>
          <w:b/>
          <w:bCs/>
          <w:caps/>
        </w:rPr>
        <w:tab/>
      </w:r>
      <w:r w:rsidRPr="00134C3B">
        <w:rPr>
          <w:rStyle w:val="Heading1Char"/>
          <w:b/>
          <w:bCs/>
          <w:caps/>
        </w:rPr>
        <w:t>Principles for meeting investor needs</w:t>
      </w:r>
      <w:r w:rsidRPr="00134C3B">
        <w:rPr>
          <w:rStyle w:val="FootnoteReference"/>
        </w:rPr>
        <w:footnoteReference w:id="19"/>
      </w:r>
      <w:bookmarkEnd w:id="186"/>
    </w:p>
    <w:tbl>
      <w:tblPr>
        <w:tblW w:w="4729" w:type="pct"/>
        <w:tblBorders>
          <w:top w:val="single" w:sz="4" w:space="0" w:color="246373" w:themeColor="accent6" w:themeShade="BF"/>
          <w:left w:val="single" w:sz="4" w:space="0" w:color="246373" w:themeColor="accent6" w:themeShade="BF"/>
          <w:bottom w:val="single" w:sz="4" w:space="0" w:color="246373" w:themeColor="accent6" w:themeShade="BF"/>
          <w:right w:val="single" w:sz="4" w:space="0" w:color="246373" w:themeColor="accent6" w:themeShade="BF"/>
          <w:insideH w:val="single" w:sz="4" w:space="0" w:color="246373" w:themeColor="accent6" w:themeShade="BF"/>
          <w:insideV w:val="single" w:sz="4" w:space="0" w:color="246373" w:themeColor="accent6" w:themeShade="BF"/>
        </w:tblBorders>
        <w:tblLook w:val="04A0" w:firstRow="1" w:lastRow="0" w:firstColumn="1" w:lastColumn="0" w:noHBand="0" w:noVBand="1"/>
      </w:tblPr>
      <w:tblGrid>
        <w:gridCol w:w="1455"/>
        <w:gridCol w:w="3643"/>
        <w:gridCol w:w="3643"/>
      </w:tblGrid>
      <w:tr w:rsidR="00622771" w:rsidRPr="006701A2" w14:paraId="4092196E" w14:textId="77777777" w:rsidTr="006701A2">
        <w:trPr>
          <w:trHeight w:val="208"/>
        </w:trPr>
        <w:tc>
          <w:tcPr>
            <w:tcW w:w="832" w:type="pct"/>
            <w:shd w:val="clear" w:color="auto" w:fill="246373" w:themeFill="accent6" w:themeFillShade="BF"/>
            <w:hideMark/>
          </w:tcPr>
          <w:p w14:paraId="797B2534" w14:textId="77777777" w:rsidR="00622771" w:rsidRPr="006701A2" w:rsidRDefault="00622771" w:rsidP="006701A2">
            <w:pPr>
              <w:pStyle w:val="Tablecolumnheadingleft-white"/>
            </w:pPr>
            <w:r w:rsidRPr="006701A2">
              <w:t>Principles:</w:t>
            </w:r>
          </w:p>
        </w:tc>
        <w:tc>
          <w:tcPr>
            <w:tcW w:w="2084" w:type="pct"/>
            <w:shd w:val="clear" w:color="auto" w:fill="246373" w:themeFill="accent6" w:themeFillShade="BF"/>
            <w:hideMark/>
          </w:tcPr>
          <w:p w14:paraId="044F355A" w14:textId="77777777" w:rsidR="00622771" w:rsidRPr="006701A2" w:rsidRDefault="00622771" w:rsidP="006701A2">
            <w:pPr>
              <w:pStyle w:val="Tablecolumnheadingleft-white"/>
            </w:pPr>
            <w:r w:rsidRPr="006701A2">
              <w:t>What might this look like:</w:t>
            </w:r>
          </w:p>
        </w:tc>
        <w:tc>
          <w:tcPr>
            <w:tcW w:w="2084" w:type="pct"/>
            <w:shd w:val="clear" w:color="auto" w:fill="246373" w:themeFill="accent6" w:themeFillShade="BF"/>
            <w:hideMark/>
          </w:tcPr>
          <w:p w14:paraId="6DBE821A" w14:textId="77777777" w:rsidR="00622771" w:rsidRPr="006701A2" w:rsidRDefault="00622771" w:rsidP="006701A2">
            <w:pPr>
              <w:pStyle w:val="Tablecolumnheadingleft-white"/>
            </w:pPr>
            <w:r w:rsidRPr="006701A2">
              <w:t>How this could be achieved:</w:t>
            </w:r>
          </w:p>
        </w:tc>
      </w:tr>
      <w:tr w:rsidR="00622771" w14:paraId="67C5693E" w14:textId="77777777" w:rsidTr="006701A2">
        <w:trPr>
          <w:trHeight w:val="208"/>
        </w:trPr>
        <w:tc>
          <w:tcPr>
            <w:tcW w:w="832" w:type="pct"/>
            <w:hideMark/>
          </w:tcPr>
          <w:p w14:paraId="3FE65FB6" w14:textId="235CB5C3" w:rsidR="00622771" w:rsidRPr="00134C3B" w:rsidRDefault="00134C3B" w:rsidP="00134C3B">
            <w:pPr>
              <w:pStyle w:val="Tabletextleft-Bold"/>
            </w:pPr>
            <w:r>
              <w:t>Boundaries</w:t>
            </w:r>
          </w:p>
        </w:tc>
        <w:tc>
          <w:tcPr>
            <w:tcW w:w="2084" w:type="pct"/>
            <w:hideMark/>
          </w:tcPr>
          <w:p w14:paraId="03F29F4A" w14:textId="77777777" w:rsidR="00622771" w:rsidRDefault="00622771" w:rsidP="00134C3B">
            <w:pPr>
              <w:pStyle w:val="Tabletextleft-Bullet"/>
            </w:pPr>
            <w:r>
              <w:t>defined characteristics of eligible projects for guarantee</w:t>
            </w:r>
          </w:p>
          <w:p w14:paraId="0DD58904" w14:textId="77777777" w:rsidR="00622771" w:rsidRDefault="00622771" w:rsidP="00134C3B">
            <w:pPr>
              <w:pStyle w:val="Tabletextleft-Bullet"/>
            </w:pPr>
            <w:r>
              <w:t xml:space="preserve">overall and project-related borrowing volume cap (and contingent liability for government) </w:t>
            </w:r>
          </w:p>
          <w:p w14:paraId="53F61B98" w14:textId="77777777" w:rsidR="00622771" w:rsidRDefault="00622771" w:rsidP="00134C3B">
            <w:pPr>
              <w:pStyle w:val="Tabletextleft-Bullet"/>
            </w:pPr>
            <w:r>
              <w:t xml:space="preserve">competitive allocation process for guarantee certificates </w:t>
            </w:r>
          </w:p>
          <w:p w14:paraId="238D7874" w14:textId="7E176C07" w:rsidR="00622771" w:rsidRDefault="00622771" w:rsidP="00134C3B">
            <w:pPr>
              <w:pStyle w:val="Tabletextleft-Bullet"/>
            </w:pPr>
            <w:r>
              <w:t>long-term policy commitment to sustainable business model by all stakeholders, including equity and revenue support arrangements</w:t>
            </w:r>
          </w:p>
        </w:tc>
        <w:tc>
          <w:tcPr>
            <w:tcW w:w="2084" w:type="pct"/>
            <w:hideMark/>
          </w:tcPr>
          <w:p w14:paraId="0552B2A4" w14:textId="77777777" w:rsidR="00622771" w:rsidRDefault="00622771" w:rsidP="00134C3B">
            <w:pPr>
              <w:pStyle w:val="Tabletextleft-Bullet"/>
            </w:pPr>
            <w:r>
              <w:t>Targeted to investments in affordable rental housing for low and moderate income households.</w:t>
            </w:r>
          </w:p>
          <w:p w14:paraId="509BEF68" w14:textId="4002CBB3" w:rsidR="00622771" w:rsidRDefault="00622771" w:rsidP="00134C3B">
            <w:pPr>
              <w:pStyle w:val="Tabletextleft-Bullet"/>
            </w:pPr>
            <w:r>
              <w:t>Allows for differentiation of targets to meet regional needs and policy goals (</w:t>
            </w:r>
            <w:r w:rsidR="00862B49">
              <w:t>for example,</w:t>
            </w:r>
            <w:r w:rsidR="00862B49" w:rsidRPr="00862B49">
              <w:t xml:space="preserve"> </w:t>
            </w:r>
            <w:r>
              <w:t>sustainability, inclusion, renewal, key worker)</w:t>
            </w:r>
          </w:p>
          <w:p w14:paraId="093C3A9B" w14:textId="77777777" w:rsidR="00622771" w:rsidRDefault="00622771" w:rsidP="00134C3B">
            <w:pPr>
              <w:pStyle w:val="Tabletextleft-Bullet"/>
            </w:pPr>
            <w:r>
              <w:t>Contestable, competitive allocation of guarantee certificates to promote transparency, innovation and efficiencies, between Tier 1 CHPs and strong Tier 2 CHPs with consolidating development expertise.</w:t>
            </w:r>
          </w:p>
          <w:p w14:paraId="66A10D45" w14:textId="77777777" w:rsidR="00622771" w:rsidRDefault="00622771" w:rsidP="00134C3B">
            <w:pPr>
              <w:pStyle w:val="Tabletextleft-Bullet"/>
            </w:pPr>
            <w:r>
              <w:t>Defined and regular process for competitive allocation of guaranteed bonds, underpinning a pipeline of investment opportunities and justifying long-term investor interest.</w:t>
            </w:r>
          </w:p>
          <w:p w14:paraId="4B86FC6A" w14:textId="77777777" w:rsidR="00622771" w:rsidRDefault="00622771" w:rsidP="00134C3B">
            <w:pPr>
              <w:pStyle w:val="Tabletextleft-Bullet"/>
            </w:pPr>
            <w:r>
              <w:t>Clear debt coverage ratios for project-related borrowing to protect investors and borrowers, informed by specialist understanding of CHP business models.</w:t>
            </w:r>
          </w:p>
          <w:p w14:paraId="148E3B03" w14:textId="77777777" w:rsidR="00622771" w:rsidRDefault="00622771" w:rsidP="00134C3B">
            <w:pPr>
              <w:pStyle w:val="Tabletextleft-Bullet"/>
            </w:pPr>
            <w:r>
              <w:t>Guarantee agreement defining overall volume cap (and hence contingent liability) for government, providing a pipeline and giving certainty to investors.</w:t>
            </w:r>
          </w:p>
          <w:p w14:paraId="2F7AA706" w14:textId="77777777" w:rsidR="00622771" w:rsidRDefault="00622771" w:rsidP="00134C3B">
            <w:pPr>
              <w:pStyle w:val="Tabletextleft-Bullet"/>
            </w:pPr>
            <w:r>
              <w:t>Guarantee only provided separately on each issue up to an agreed cap for an agreed period, maximising incentives for individual borrowers to meet their commitments.</w:t>
            </w:r>
          </w:p>
          <w:p w14:paraId="0F666F38" w14:textId="77777777" w:rsidR="00622771" w:rsidRDefault="00622771" w:rsidP="00134C3B">
            <w:pPr>
              <w:pStyle w:val="Tabletextleft-Bullet"/>
            </w:pPr>
            <w:r>
              <w:t>Long term policy commitment to co-financing and revenue arrangements to provide equity and secure revenue.</w:t>
            </w:r>
          </w:p>
        </w:tc>
      </w:tr>
      <w:tr w:rsidR="00622771" w:rsidRPr="00372A2A" w14:paraId="5D000C29" w14:textId="77777777" w:rsidTr="006701A2">
        <w:trPr>
          <w:trHeight w:val="208"/>
        </w:trPr>
        <w:tc>
          <w:tcPr>
            <w:tcW w:w="832" w:type="pct"/>
            <w:hideMark/>
          </w:tcPr>
          <w:p w14:paraId="1B636EAE" w14:textId="336214FF" w:rsidR="00622771" w:rsidRPr="00134C3B" w:rsidRDefault="00134C3B" w:rsidP="00134C3B">
            <w:pPr>
              <w:pStyle w:val="Tabletextleft-Bold"/>
            </w:pPr>
            <w:r>
              <w:t>Lowering risk</w:t>
            </w:r>
          </w:p>
        </w:tc>
        <w:tc>
          <w:tcPr>
            <w:tcW w:w="2084" w:type="pct"/>
            <w:hideMark/>
          </w:tcPr>
          <w:p w14:paraId="5099C60D" w14:textId="77777777" w:rsidR="00622771" w:rsidRPr="00372A2A" w:rsidRDefault="00622771" w:rsidP="00134C3B">
            <w:pPr>
              <w:pStyle w:val="Tabletextleft-Bullet"/>
            </w:pPr>
            <w:r w:rsidRPr="00372A2A">
              <w:t>expert management and regular professional reports</w:t>
            </w:r>
          </w:p>
          <w:p w14:paraId="364FCD72" w14:textId="77777777" w:rsidR="00622771" w:rsidRPr="00372A2A" w:rsidRDefault="00622771" w:rsidP="00134C3B">
            <w:pPr>
              <w:pStyle w:val="Tabletextleft-Bullet"/>
            </w:pPr>
            <w:r w:rsidRPr="00372A2A">
              <w:t xml:space="preserve">appropriate regulation and enforceable compliance </w:t>
            </w:r>
          </w:p>
          <w:p w14:paraId="2E895765" w14:textId="77777777" w:rsidR="00622771" w:rsidRPr="00372A2A" w:rsidRDefault="00622771" w:rsidP="00134C3B">
            <w:pPr>
              <w:pStyle w:val="Tabletextleft-Bullet"/>
            </w:pPr>
            <w:r w:rsidRPr="00372A2A">
              <w:t xml:space="preserve">sufficient equity and revenue base </w:t>
            </w:r>
          </w:p>
          <w:p w14:paraId="65EA9462" w14:textId="77777777" w:rsidR="00622771" w:rsidRPr="00372A2A" w:rsidRDefault="00622771" w:rsidP="00134C3B">
            <w:pPr>
              <w:pStyle w:val="Tabletextleft-Bullet"/>
            </w:pPr>
            <w:r w:rsidRPr="00372A2A">
              <w:t xml:space="preserve">back stop role of government </w:t>
            </w:r>
          </w:p>
        </w:tc>
        <w:tc>
          <w:tcPr>
            <w:tcW w:w="2084" w:type="pct"/>
            <w:hideMark/>
          </w:tcPr>
          <w:p w14:paraId="26671E3F" w14:textId="79E789FB" w:rsidR="00622771" w:rsidRPr="00372A2A" w:rsidRDefault="00622771" w:rsidP="00862B49">
            <w:pPr>
              <w:pStyle w:val="Tabletextleft-Bullet"/>
            </w:pPr>
            <w:r w:rsidRPr="00372A2A">
              <w:t>Addresses investor information asymmetry by the bond aggregator agency providing specialist credit assessment expertise to ensure CHPs have sufficient equity and revenue base to service debt,</w:t>
            </w:r>
            <w:r w:rsidR="00862B49">
              <w:t xml:space="preserve"> before any investment is made.</w:t>
            </w:r>
          </w:p>
        </w:tc>
      </w:tr>
      <w:tr w:rsidR="00862B49" w14:paraId="19E655AB" w14:textId="77777777" w:rsidTr="006701A2">
        <w:trPr>
          <w:trHeight w:val="208"/>
        </w:trPr>
        <w:tc>
          <w:tcPr>
            <w:tcW w:w="832" w:type="pct"/>
            <w:shd w:val="clear" w:color="auto" w:fill="246373" w:themeFill="accent6" w:themeFillShade="BF"/>
            <w:hideMark/>
          </w:tcPr>
          <w:p w14:paraId="594B3A35" w14:textId="77777777" w:rsidR="00862B49" w:rsidRDefault="00862B49" w:rsidP="006701A2">
            <w:pPr>
              <w:pStyle w:val="Tablecolumnheadingleft-white"/>
            </w:pPr>
            <w:r>
              <w:lastRenderedPageBreak/>
              <w:t>Principles:</w:t>
            </w:r>
          </w:p>
        </w:tc>
        <w:tc>
          <w:tcPr>
            <w:tcW w:w="2084" w:type="pct"/>
            <w:shd w:val="clear" w:color="auto" w:fill="246373" w:themeFill="accent6" w:themeFillShade="BF"/>
            <w:hideMark/>
          </w:tcPr>
          <w:p w14:paraId="3604F260" w14:textId="77777777" w:rsidR="00862B49" w:rsidRDefault="00862B49" w:rsidP="006701A2">
            <w:pPr>
              <w:pStyle w:val="Tablecolumnheadingleft-white"/>
            </w:pPr>
            <w:r>
              <w:t>What might this look like:</w:t>
            </w:r>
          </w:p>
        </w:tc>
        <w:tc>
          <w:tcPr>
            <w:tcW w:w="2084" w:type="pct"/>
            <w:shd w:val="clear" w:color="auto" w:fill="246373" w:themeFill="accent6" w:themeFillShade="BF"/>
            <w:hideMark/>
          </w:tcPr>
          <w:p w14:paraId="76D30EA9" w14:textId="77777777" w:rsidR="00862B49" w:rsidRDefault="00862B49" w:rsidP="006701A2">
            <w:pPr>
              <w:pStyle w:val="Tablecolumnheadingleft-white"/>
            </w:pPr>
            <w:r>
              <w:t>How this could be achieved:</w:t>
            </w:r>
          </w:p>
        </w:tc>
      </w:tr>
      <w:tr w:rsidR="00134C3B" w14:paraId="2F2D87EE" w14:textId="77777777" w:rsidTr="006701A2">
        <w:trPr>
          <w:trHeight w:val="208"/>
        </w:trPr>
        <w:tc>
          <w:tcPr>
            <w:tcW w:w="832" w:type="pct"/>
          </w:tcPr>
          <w:p w14:paraId="782AF9E0" w14:textId="2C26B3EE" w:rsidR="00134C3B" w:rsidRPr="00134C3B" w:rsidRDefault="00134C3B" w:rsidP="00134C3B">
            <w:pPr>
              <w:pStyle w:val="Tabletextleft-Bold"/>
            </w:pPr>
            <w:r>
              <w:t>Lowering risk (continued)</w:t>
            </w:r>
          </w:p>
        </w:tc>
        <w:tc>
          <w:tcPr>
            <w:tcW w:w="2084" w:type="pct"/>
          </w:tcPr>
          <w:p w14:paraId="23C0F6EB" w14:textId="77777777" w:rsidR="00134C3B" w:rsidRDefault="00134C3B" w:rsidP="00862B49">
            <w:pPr>
              <w:pStyle w:val="Tabletextleft"/>
            </w:pPr>
          </w:p>
        </w:tc>
        <w:tc>
          <w:tcPr>
            <w:tcW w:w="2084" w:type="pct"/>
          </w:tcPr>
          <w:p w14:paraId="2CE0D145" w14:textId="77777777" w:rsidR="00134C3B" w:rsidRDefault="00134C3B" w:rsidP="00134C3B">
            <w:pPr>
              <w:pStyle w:val="Tabletextleft-Bullet"/>
              <w:rPr>
                <w:sz w:val="22"/>
                <w:lang w:eastAsia="en-AU"/>
              </w:rPr>
            </w:pPr>
            <w:r w:rsidRPr="00372A2A">
              <w:t>Investors' commitments are protected by government guarantee, which in turn is backed by credit assessment expertise of financial intermediary, credit assessment of rating agency, maturity of successful CHPs, monitoring and step-in powers of regulatory systems and the reserve funds accumulated b</w:t>
            </w:r>
            <w:r>
              <w:t>y the intermediary (see below).</w:t>
            </w:r>
          </w:p>
          <w:p w14:paraId="2BFA0F7C" w14:textId="77777777" w:rsidR="00134C3B" w:rsidRPr="00372A2A" w:rsidRDefault="00134C3B" w:rsidP="00134C3B">
            <w:pPr>
              <w:pStyle w:val="Tabletextleft-Bullet"/>
            </w:pPr>
            <w:r w:rsidRPr="00372A2A">
              <w:t>Ensures that the likelihood of default is minimised, preventing any call on the back stop role provided by government.</w:t>
            </w:r>
          </w:p>
          <w:p w14:paraId="3330E170" w14:textId="77777777" w:rsidR="00134C3B" w:rsidRPr="00372A2A" w:rsidRDefault="00134C3B" w:rsidP="00134C3B">
            <w:pPr>
              <w:pStyle w:val="Tabletextleft-Bullet"/>
            </w:pPr>
            <w:r w:rsidRPr="00372A2A">
              <w:t>Promotes excellence and efficiency in regulation.</w:t>
            </w:r>
          </w:p>
          <w:p w14:paraId="754553E9" w14:textId="77777777" w:rsidR="00134C3B" w:rsidRPr="00372A2A" w:rsidRDefault="00134C3B" w:rsidP="00134C3B">
            <w:pPr>
              <w:pStyle w:val="Tabletextleft-Bullet"/>
            </w:pPr>
            <w:r w:rsidRPr="00372A2A">
              <w:t>Draws on but does not duplicate regular professional reports to National Regulatory System and state-based regulatory systems.</w:t>
            </w:r>
          </w:p>
          <w:p w14:paraId="3CCD6878" w14:textId="7FB103C2" w:rsidR="00134C3B" w:rsidRDefault="00134C3B" w:rsidP="00134C3B">
            <w:pPr>
              <w:pStyle w:val="Tabletextleft-Bullet"/>
              <w:rPr>
                <w:color w:val="000000"/>
              </w:rPr>
            </w:pPr>
            <w:r w:rsidRPr="00372A2A">
              <w:t>Builds effective links with Regulators to provide early warning systems to bond aggregator agency and makes use of their provisions to enforce compliance.</w:t>
            </w:r>
          </w:p>
        </w:tc>
      </w:tr>
      <w:tr w:rsidR="00622771" w14:paraId="6EABE0C6" w14:textId="77777777" w:rsidTr="006701A2">
        <w:trPr>
          <w:trHeight w:val="208"/>
        </w:trPr>
        <w:tc>
          <w:tcPr>
            <w:tcW w:w="832" w:type="pct"/>
            <w:hideMark/>
          </w:tcPr>
          <w:p w14:paraId="65DF605A" w14:textId="77777777" w:rsidR="00622771" w:rsidRPr="00134C3B" w:rsidRDefault="00622771" w:rsidP="00134C3B">
            <w:pPr>
              <w:pStyle w:val="Tabletextleft-Bold"/>
            </w:pPr>
            <w:r w:rsidRPr="00134C3B">
              <w:t xml:space="preserve">Transparency and commitment </w:t>
            </w:r>
          </w:p>
        </w:tc>
        <w:tc>
          <w:tcPr>
            <w:tcW w:w="2084" w:type="pct"/>
            <w:hideMark/>
          </w:tcPr>
          <w:p w14:paraId="45804645" w14:textId="059A2DAF" w:rsidR="00622771" w:rsidRDefault="00862B49" w:rsidP="00134C3B">
            <w:pPr>
              <w:pStyle w:val="Tabletextleft-Bullet"/>
              <w:rPr>
                <w:color w:val="000000"/>
              </w:rPr>
            </w:pPr>
            <w:proofErr w:type="gramStart"/>
            <w:r>
              <w:rPr>
                <w:color w:val="000000"/>
              </w:rPr>
              <w:t>clear</w:t>
            </w:r>
            <w:proofErr w:type="gramEnd"/>
            <w:r>
              <w:rPr>
                <w:color w:val="000000"/>
              </w:rPr>
              <w:t xml:space="preserve"> mission.</w:t>
            </w:r>
          </w:p>
          <w:p w14:paraId="65149C48" w14:textId="547FD161" w:rsidR="00622771" w:rsidRDefault="00622771" w:rsidP="00134C3B">
            <w:pPr>
              <w:pStyle w:val="Tabletextleft-Bullet"/>
              <w:rPr>
                <w:color w:val="000000"/>
              </w:rPr>
            </w:pPr>
            <w:proofErr w:type="gramStart"/>
            <w:r>
              <w:rPr>
                <w:color w:val="000000"/>
              </w:rPr>
              <w:t>professional</w:t>
            </w:r>
            <w:proofErr w:type="gramEnd"/>
            <w:r>
              <w:rPr>
                <w:color w:val="000000"/>
              </w:rPr>
              <w:t xml:space="preserve"> financial management and accountin</w:t>
            </w:r>
            <w:r w:rsidR="00862B49">
              <w:rPr>
                <w:color w:val="000000"/>
              </w:rPr>
              <w:t>g standards.</w:t>
            </w:r>
          </w:p>
          <w:p w14:paraId="62BC607A" w14:textId="351DB71A" w:rsidR="00622771" w:rsidRDefault="00622771" w:rsidP="00134C3B">
            <w:pPr>
              <w:pStyle w:val="Tabletextleft-Bullet"/>
              <w:rPr>
                <w:color w:val="000000"/>
              </w:rPr>
            </w:pPr>
            <w:proofErr w:type="gramStart"/>
            <w:r>
              <w:rPr>
                <w:color w:val="000000"/>
              </w:rPr>
              <w:t>commitment</w:t>
            </w:r>
            <w:proofErr w:type="gramEnd"/>
            <w:r>
              <w:rPr>
                <w:color w:val="000000"/>
              </w:rPr>
              <w:t xml:space="preserve"> to a sustainable business</w:t>
            </w:r>
            <w:r w:rsidR="00862B49">
              <w:rPr>
                <w:color w:val="000000"/>
              </w:rPr>
              <w:t xml:space="preserve"> model by relevant stakeholders.</w:t>
            </w:r>
          </w:p>
          <w:p w14:paraId="6FCE1EDB" w14:textId="090035A4" w:rsidR="00622771" w:rsidRDefault="00622771" w:rsidP="00134C3B">
            <w:pPr>
              <w:pStyle w:val="Tabletextleft-Bullet"/>
              <w:rPr>
                <w:color w:val="000000"/>
              </w:rPr>
            </w:pPr>
            <w:proofErr w:type="gramStart"/>
            <w:r>
              <w:rPr>
                <w:color w:val="000000"/>
              </w:rPr>
              <w:t>approp</w:t>
            </w:r>
            <w:r w:rsidR="00862B49">
              <w:rPr>
                <w:color w:val="000000"/>
              </w:rPr>
              <w:t>riate</w:t>
            </w:r>
            <w:proofErr w:type="gramEnd"/>
            <w:r w:rsidR="00862B49">
              <w:rPr>
                <w:color w:val="000000"/>
              </w:rPr>
              <w:t xml:space="preserve"> information for investors.</w:t>
            </w:r>
          </w:p>
          <w:p w14:paraId="51829F09" w14:textId="0FE1B7F3" w:rsidR="00622771" w:rsidRDefault="00622771" w:rsidP="00134C3B">
            <w:pPr>
              <w:pStyle w:val="Tabletextleft-Bullet"/>
              <w:rPr>
                <w:color w:val="000000"/>
              </w:rPr>
            </w:pPr>
            <w:proofErr w:type="gramStart"/>
            <w:r>
              <w:rPr>
                <w:color w:val="000000"/>
              </w:rPr>
              <w:t>governing</w:t>
            </w:r>
            <w:proofErr w:type="gramEnd"/>
            <w:r>
              <w:rPr>
                <w:color w:val="000000"/>
              </w:rPr>
              <w:t xml:space="preserve"> guarantee agreeme</w:t>
            </w:r>
            <w:r w:rsidR="00862B49">
              <w:rPr>
                <w:color w:val="000000"/>
              </w:rPr>
              <w:t>nt and joint marketing strategy.</w:t>
            </w:r>
          </w:p>
        </w:tc>
        <w:tc>
          <w:tcPr>
            <w:tcW w:w="2084" w:type="pct"/>
            <w:hideMark/>
          </w:tcPr>
          <w:p w14:paraId="1B1BF044" w14:textId="77777777" w:rsidR="00622771" w:rsidRDefault="00622771" w:rsidP="00134C3B">
            <w:pPr>
              <w:pStyle w:val="Tabletextleft-Bullet"/>
              <w:rPr>
                <w:color w:val="000000"/>
              </w:rPr>
            </w:pPr>
            <w:r>
              <w:rPr>
                <w:color w:val="000000"/>
              </w:rPr>
              <w:t>Commitment by government to provide adequate equity and revenue support to not-for-profit, below market rent providers of rental housing, including the establishment of equity support (grant, public loan, planning contribution) and refinements to improve adequacy of CRA and NRAS.</w:t>
            </w:r>
          </w:p>
          <w:p w14:paraId="19DD2BEF" w14:textId="77777777" w:rsidR="00622771" w:rsidRDefault="00622771" w:rsidP="00134C3B">
            <w:pPr>
              <w:pStyle w:val="Tabletextleft-Bullet"/>
              <w:rPr>
                <w:color w:val="000000"/>
              </w:rPr>
            </w:pPr>
            <w:r>
              <w:rPr>
                <w:color w:val="000000"/>
              </w:rPr>
              <w:t>Strongly promotes government commitment to an enforceable and appropriate regulatory system, appropriate NRAS and ATO rules.</w:t>
            </w:r>
          </w:p>
          <w:p w14:paraId="54EB3163" w14:textId="77777777" w:rsidR="00622771" w:rsidRDefault="00622771" w:rsidP="00134C3B">
            <w:pPr>
              <w:pStyle w:val="Tabletextleft-Bullet"/>
              <w:rPr>
                <w:color w:val="000000"/>
              </w:rPr>
            </w:pPr>
            <w:r>
              <w:rPr>
                <w:color w:val="000000"/>
              </w:rPr>
              <w:t>Clearly defined guarantee, offering investors the full faith and credit of the government.</w:t>
            </w:r>
          </w:p>
          <w:p w14:paraId="5DD27A54" w14:textId="77777777" w:rsidR="00622771" w:rsidRDefault="00622771" w:rsidP="00134C3B">
            <w:pPr>
              <w:pStyle w:val="Tabletextleft-Bullet"/>
              <w:rPr>
                <w:color w:val="000000"/>
              </w:rPr>
            </w:pPr>
            <w:r>
              <w:rPr>
                <w:color w:val="000000"/>
              </w:rPr>
              <w:t>Appropriate joint marketing strategy by all stakeholders involved.</w:t>
            </w:r>
          </w:p>
        </w:tc>
      </w:tr>
      <w:tr w:rsidR="00622771" w14:paraId="34E049AF" w14:textId="77777777" w:rsidTr="006701A2">
        <w:trPr>
          <w:trHeight w:val="208"/>
        </w:trPr>
        <w:tc>
          <w:tcPr>
            <w:tcW w:w="832" w:type="pct"/>
            <w:hideMark/>
          </w:tcPr>
          <w:p w14:paraId="52DAFA39" w14:textId="77777777" w:rsidR="00622771" w:rsidRPr="00134C3B" w:rsidRDefault="00622771" w:rsidP="00134C3B">
            <w:pPr>
              <w:pStyle w:val="Tabletextleft-Bold"/>
            </w:pPr>
            <w:r w:rsidRPr="00134C3B">
              <w:t xml:space="preserve">Expert intermediary </w:t>
            </w:r>
          </w:p>
        </w:tc>
        <w:tc>
          <w:tcPr>
            <w:tcW w:w="2084" w:type="pct"/>
            <w:hideMark/>
          </w:tcPr>
          <w:p w14:paraId="35BE44EF" w14:textId="3645CD58" w:rsidR="00622771" w:rsidRDefault="00622771" w:rsidP="00134C3B">
            <w:pPr>
              <w:pStyle w:val="Tabletextleft-Bullet"/>
              <w:rPr>
                <w:color w:val="000000"/>
              </w:rPr>
            </w:pPr>
            <w:proofErr w:type="gramStart"/>
            <w:r>
              <w:rPr>
                <w:color w:val="000000"/>
              </w:rPr>
              <w:t>vetting</w:t>
            </w:r>
            <w:proofErr w:type="gramEnd"/>
            <w:r>
              <w:rPr>
                <w:color w:val="000000"/>
              </w:rPr>
              <w:t xml:space="preserve"> and a</w:t>
            </w:r>
            <w:r w:rsidR="00862B49">
              <w:rPr>
                <w:color w:val="000000"/>
              </w:rPr>
              <w:t>ggregating CHP investment needs.</w:t>
            </w:r>
          </w:p>
          <w:p w14:paraId="5F6751B3" w14:textId="377FEC77" w:rsidR="00622771" w:rsidRDefault="00622771" w:rsidP="00134C3B">
            <w:pPr>
              <w:pStyle w:val="Tabletextleft-Bullet"/>
              <w:rPr>
                <w:color w:val="000000"/>
              </w:rPr>
            </w:pPr>
            <w:proofErr w:type="gramStart"/>
            <w:r>
              <w:rPr>
                <w:color w:val="000000"/>
              </w:rPr>
              <w:t>independent</w:t>
            </w:r>
            <w:proofErr w:type="gramEnd"/>
            <w:r>
              <w:rPr>
                <w:color w:val="000000"/>
              </w:rPr>
              <w:t xml:space="preserve"> and expert management,</w:t>
            </w:r>
            <w:r w:rsidR="00862B49">
              <w:rPr>
                <w:color w:val="000000"/>
              </w:rPr>
              <w:t xml:space="preserve"> skill base to assess proposals.</w:t>
            </w:r>
          </w:p>
          <w:p w14:paraId="19B627CE" w14:textId="062800AD" w:rsidR="00622771" w:rsidRDefault="00622771" w:rsidP="00134C3B">
            <w:pPr>
              <w:pStyle w:val="Tabletextleft-Bullet"/>
              <w:rPr>
                <w:color w:val="000000"/>
              </w:rPr>
            </w:pPr>
            <w:proofErr w:type="gramStart"/>
            <w:r>
              <w:rPr>
                <w:color w:val="000000"/>
              </w:rPr>
              <w:t>risks</w:t>
            </w:r>
            <w:proofErr w:type="gramEnd"/>
            <w:r>
              <w:rPr>
                <w:color w:val="000000"/>
              </w:rPr>
              <w:t xml:space="preserve"> and enforce regula</w:t>
            </w:r>
            <w:r w:rsidR="00862B49">
              <w:rPr>
                <w:color w:val="000000"/>
              </w:rPr>
              <w:t>tory compliance among borrowers.</w:t>
            </w:r>
          </w:p>
        </w:tc>
        <w:tc>
          <w:tcPr>
            <w:tcW w:w="2084" w:type="pct"/>
            <w:hideMark/>
          </w:tcPr>
          <w:p w14:paraId="7C21D343" w14:textId="77777777" w:rsidR="00622771" w:rsidRDefault="00622771" w:rsidP="00134C3B">
            <w:pPr>
              <w:pStyle w:val="Tabletextleft-Bullet"/>
              <w:rPr>
                <w:color w:val="000000"/>
              </w:rPr>
            </w:pPr>
            <w:r>
              <w:rPr>
                <w:color w:val="000000"/>
              </w:rPr>
              <w:t>Establishment of an independent bond aggregator agency, governed by an expert Board of Directors, served by a professional credit management team.</w:t>
            </w:r>
          </w:p>
          <w:p w14:paraId="6C55DBDB" w14:textId="666677DE" w:rsidR="00622771" w:rsidRPr="00862B49" w:rsidRDefault="00622771" w:rsidP="00862B49">
            <w:pPr>
              <w:pStyle w:val="Tabletextleft-Bullet"/>
              <w:rPr>
                <w:color w:val="000000"/>
              </w:rPr>
            </w:pPr>
          </w:p>
        </w:tc>
      </w:tr>
    </w:tbl>
    <w:p w14:paraId="526D66E4" w14:textId="77777777" w:rsidR="006701A2" w:rsidRDefault="006701A2">
      <w:r>
        <w:rPr>
          <w:b/>
        </w:rPr>
        <w:lastRenderedPageBreak/>
        <w:br w:type="page"/>
      </w:r>
    </w:p>
    <w:tbl>
      <w:tblPr>
        <w:tblW w:w="4729" w:type="pct"/>
        <w:tblBorders>
          <w:top w:val="single" w:sz="4" w:space="0" w:color="246373" w:themeColor="accent6" w:themeShade="BF"/>
          <w:left w:val="single" w:sz="4" w:space="0" w:color="246373" w:themeColor="accent6" w:themeShade="BF"/>
          <w:bottom w:val="single" w:sz="4" w:space="0" w:color="246373" w:themeColor="accent6" w:themeShade="BF"/>
          <w:right w:val="single" w:sz="4" w:space="0" w:color="246373" w:themeColor="accent6" w:themeShade="BF"/>
          <w:insideH w:val="single" w:sz="4" w:space="0" w:color="246373" w:themeColor="accent6" w:themeShade="BF"/>
          <w:insideV w:val="single" w:sz="4" w:space="0" w:color="246373" w:themeColor="accent6" w:themeShade="BF"/>
        </w:tblBorders>
        <w:tblLook w:val="04A0" w:firstRow="1" w:lastRow="0" w:firstColumn="1" w:lastColumn="0" w:noHBand="0" w:noVBand="1"/>
      </w:tblPr>
      <w:tblGrid>
        <w:gridCol w:w="1455"/>
        <w:gridCol w:w="3643"/>
        <w:gridCol w:w="3643"/>
      </w:tblGrid>
      <w:tr w:rsidR="00862B49" w14:paraId="5F69E396" w14:textId="77777777" w:rsidTr="006701A2">
        <w:trPr>
          <w:trHeight w:val="208"/>
        </w:trPr>
        <w:tc>
          <w:tcPr>
            <w:tcW w:w="832" w:type="pct"/>
            <w:shd w:val="clear" w:color="auto" w:fill="246373" w:themeFill="accent6" w:themeFillShade="BF"/>
            <w:hideMark/>
          </w:tcPr>
          <w:p w14:paraId="789845C6" w14:textId="5486CCD8" w:rsidR="00862B49" w:rsidRDefault="00862B49" w:rsidP="006701A2">
            <w:pPr>
              <w:pStyle w:val="Tablecolumnheadingleft-white"/>
            </w:pPr>
            <w:r>
              <w:t>Principles:</w:t>
            </w:r>
          </w:p>
        </w:tc>
        <w:tc>
          <w:tcPr>
            <w:tcW w:w="2084" w:type="pct"/>
            <w:shd w:val="clear" w:color="auto" w:fill="246373" w:themeFill="accent6" w:themeFillShade="BF"/>
            <w:hideMark/>
          </w:tcPr>
          <w:p w14:paraId="04B9ABE7" w14:textId="77777777" w:rsidR="00862B49" w:rsidRDefault="00862B49" w:rsidP="006701A2">
            <w:pPr>
              <w:pStyle w:val="Tablecolumnheadingleft-white"/>
            </w:pPr>
            <w:r>
              <w:t>What might this look like:</w:t>
            </w:r>
          </w:p>
        </w:tc>
        <w:tc>
          <w:tcPr>
            <w:tcW w:w="2084" w:type="pct"/>
            <w:shd w:val="clear" w:color="auto" w:fill="246373" w:themeFill="accent6" w:themeFillShade="BF"/>
            <w:hideMark/>
          </w:tcPr>
          <w:p w14:paraId="620470D7" w14:textId="77777777" w:rsidR="00862B49" w:rsidRDefault="00862B49" w:rsidP="006701A2">
            <w:pPr>
              <w:pStyle w:val="Tablecolumnheadingleft-white"/>
            </w:pPr>
            <w:r>
              <w:t>How this could be achieved:</w:t>
            </w:r>
          </w:p>
        </w:tc>
      </w:tr>
      <w:tr w:rsidR="00862B49" w14:paraId="2151594D" w14:textId="77777777" w:rsidTr="006701A2">
        <w:trPr>
          <w:trHeight w:val="208"/>
        </w:trPr>
        <w:tc>
          <w:tcPr>
            <w:tcW w:w="832" w:type="pct"/>
          </w:tcPr>
          <w:p w14:paraId="64DA9E3A" w14:textId="013EAEFE" w:rsidR="00862B49" w:rsidRPr="00134C3B" w:rsidRDefault="00862B49" w:rsidP="00134C3B">
            <w:pPr>
              <w:pStyle w:val="Tabletextleft-Bold"/>
            </w:pPr>
            <w:r w:rsidRPr="00134C3B">
              <w:t>Expert intermediary</w:t>
            </w:r>
            <w:r>
              <w:t xml:space="preserve"> (continued)</w:t>
            </w:r>
          </w:p>
        </w:tc>
        <w:tc>
          <w:tcPr>
            <w:tcW w:w="2084" w:type="pct"/>
          </w:tcPr>
          <w:p w14:paraId="31F50EBB" w14:textId="77777777" w:rsidR="00862B49" w:rsidRDefault="00862B49" w:rsidP="00134C3B">
            <w:pPr>
              <w:pStyle w:val="Tabletextleft-Bullet"/>
              <w:rPr>
                <w:color w:val="000000"/>
              </w:rPr>
            </w:pPr>
          </w:p>
        </w:tc>
        <w:tc>
          <w:tcPr>
            <w:tcW w:w="2084" w:type="pct"/>
          </w:tcPr>
          <w:p w14:paraId="06F2BA70" w14:textId="77777777" w:rsidR="006701A2" w:rsidRDefault="006701A2" w:rsidP="006701A2">
            <w:pPr>
              <w:pStyle w:val="Tabletextleft-Bullet"/>
              <w:rPr>
                <w:color w:val="000000"/>
              </w:rPr>
            </w:pPr>
            <w:r>
              <w:rPr>
                <w:color w:val="000000"/>
              </w:rPr>
              <w:t>Not-for-profit intermediary efficiently managed to reduce fees and commissions charged to both investors and borrowers.</w:t>
            </w:r>
          </w:p>
          <w:p w14:paraId="28E6FE94" w14:textId="77777777" w:rsidR="006701A2" w:rsidRDefault="006701A2" w:rsidP="006701A2">
            <w:pPr>
              <w:pStyle w:val="Tabletextleft-Bullet"/>
              <w:rPr>
                <w:color w:val="000000"/>
              </w:rPr>
            </w:pPr>
            <w:r>
              <w:rPr>
                <w:color w:val="000000"/>
              </w:rPr>
              <w:t>Vets and herds CHP investment needs, assesses proposals and their risks.</w:t>
            </w:r>
          </w:p>
          <w:p w14:paraId="40C14DD4" w14:textId="77777777" w:rsidR="006701A2" w:rsidRDefault="006701A2" w:rsidP="006701A2">
            <w:pPr>
              <w:pStyle w:val="Tabletextleft-Bullet"/>
              <w:rPr>
                <w:color w:val="000000"/>
              </w:rPr>
            </w:pPr>
            <w:r>
              <w:rPr>
                <w:color w:val="000000"/>
              </w:rPr>
              <w:t>Has financial expertise to manage the assessment, pooling, rating and issuance process.</w:t>
            </w:r>
          </w:p>
          <w:p w14:paraId="61208D59" w14:textId="77777777" w:rsidR="006701A2" w:rsidRDefault="006701A2" w:rsidP="006701A2">
            <w:pPr>
              <w:pStyle w:val="Tabletextleft-Bullet"/>
              <w:rPr>
                <w:color w:val="000000"/>
              </w:rPr>
            </w:pPr>
            <w:r>
              <w:rPr>
                <w:color w:val="000000"/>
              </w:rPr>
              <w:t>Builds up sufficient reserves to cover potential and unexpected contingencies, while maximising cost efficiencies for investors and borrowers.</w:t>
            </w:r>
          </w:p>
          <w:p w14:paraId="2142F8D9" w14:textId="38DB6A39" w:rsidR="00862B49" w:rsidRDefault="00862B49" w:rsidP="006701A2">
            <w:pPr>
              <w:pStyle w:val="Tabletextleft-Bullet"/>
              <w:rPr>
                <w:color w:val="000000"/>
              </w:rPr>
            </w:pPr>
            <w:r>
              <w:rPr>
                <w:color w:val="000000"/>
              </w:rPr>
              <w:t>Works closely with Regulators to enforce compliance among borrowers, and provide early warning to bond aggregator agency.</w:t>
            </w:r>
          </w:p>
        </w:tc>
      </w:tr>
      <w:tr w:rsidR="00622771" w14:paraId="52AD4ABA" w14:textId="77777777" w:rsidTr="006701A2">
        <w:trPr>
          <w:trHeight w:val="208"/>
        </w:trPr>
        <w:tc>
          <w:tcPr>
            <w:tcW w:w="832" w:type="pct"/>
            <w:hideMark/>
          </w:tcPr>
          <w:p w14:paraId="1B77926C" w14:textId="77777777" w:rsidR="00622771" w:rsidRPr="00134C3B" w:rsidRDefault="00622771" w:rsidP="00134C3B">
            <w:pPr>
              <w:pStyle w:val="Tabletextleft-Bold"/>
            </w:pPr>
            <w:r w:rsidRPr="00134C3B">
              <w:t xml:space="preserve">Scale and frequency </w:t>
            </w:r>
          </w:p>
        </w:tc>
        <w:tc>
          <w:tcPr>
            <w:tcW w:w="2084" w:type="pct"/>
            <w:hideMark/>
          </w:tcPr>
          <w:p w14:paraId="5538F686" w14:textId="77777777" w:rsidR="00622771" w:rsidRDefault="00622771" w:rsidP="00134C3B">
            <w:pPr>
              <w:pStyle w:val="Tabletextleft-Bullet"/>
              <w:rPr>
                <w:color w:val="000000"/>
              </w:rPr>
            </w:pPr>
            <w:r>
              <w:rPr>
                <w:color w:val="000000"/>
              </w:rPr>
              <w:t>pool multiple smaller borrowing demands to achieve efficient scale</w:t>
            </w:r>
          </w:p>
          <w:p w14:paraId="055662DA" w14:textId="77777777" w:rsidR="00622771" w:rsidRDefault="00622771" w:rsidP="00134C3B">
            <w:pPr>
              <w:pStyle w:val="Tabletextleft-Bullet"/>
              <w:rPr>
                <w:color w:val="000000"/>
              </w:rPr>
            </w:pPr>
            <w:r>
              <w:rPr>
                <w:color w:val="000000"/>
              </w:rPr>
              <w:t xml:space="preserve"> regular bond issues to sustain market interest</w:t>
            </w:r>
          </w:p>
          <w:p w14:paraId="5E1AF573" w14:textId="4E03D3C0" w:rsidR="00622771" w:rsidRDefault="00622771" w:rsidP="00134C3B">
            <w:pPr>
              <w:pStyle w:val="Tabletextleft-Bullet"/>
              <w:rPr>
                <w:color w:val="000000"/>
              </w:rPr>
            </w:pPr>
            <w:r>
              <w:rPr>
                <w:color w:val="000000"/>
              </w:rPr>
              <w:t xml:space="preserve">involvement of lead bank </w:t>
            </w:r>
            <w:r w:rsidR="00862B49">
              <w:rPr>
                <w:color w:val="000000"/>
              </w:rPr>
              <w:t>with investor liaison</w:t>
            </w:r>
          </w:p>
        </w:tc>
        <w:tc>
          <w:tcPr>
            <w:tcW w:w="2084" w:type="pct"/>
            <w:hideMark/>
          </w:tcPr>
          <w:p w14:paraId="4B4715B8" w14:textId="77777777" w:rsidR="00622771" w:rsidRDefault="00622771" w:rsidP="00134C3B">
            <w:pPr>
              <w:pStyle w:val="Tabletextleft-Bullet"/>
              <w:rPr>
                <w:color w:val="000000"/>
              </w:rPr>
            </w:pPr>
            <w:r>
              <w:rPr>
                <w:color w:val="000000"/>
              </w:rPr>
              <w:t>Pooling converts multiple smaller borrowing demands to achieve efficient scale for investors.</w:t>
            </w:r>
          </w:p>
          <w:p w14:paraId="0118FEA0" w14:textId="77777777" w:rsidR="00622771" w:rsidRDefault="00622771" w:rsidP="00134C3B">
            <w:pPr>
              <w:pStyle w:val="Tabletextleft-Bullet"/>
              <w:rPr>
                <w:color w:val="000000"/>
              </w:rPr>
            </w:pPr>
            <w:r>
              <w:rPr>
                <w:color w:val="000000"/>
              </w:rPr>
              <w:t>Regular bond issues to sustain market interest.</w:t>
            </w:r>
          </w:p>
          <w:p w14:paraId="36ECFE3E" w14:textId="77777777" w:rsidR="00622771" w:rsidRDefault="00622771" w:rsidP="00134C3B">
            <w:pPr>
              <w:pStyle w:val="Tabletextleft-Bullet"/>
              <w:rPr>
                <w:color w:val="000000"/>
              </w:rPr>
            </w:pPr>
            <w:r>
              <w:rPr>
                <w:color w:val="000000"/>
              </w:rPr>
              <w:t>Bond issues are individually rated.</w:t>
            </w:r>
          </w:p>
          <w:p w14:paraId="3CE25A41" w14:textId="77777777" w:rsidR="00622771" w:rsidRDefault="00622771" w:rsidP="00134C3B">
            <w:pPr>
              <w:pStyle w:val="Tabletextleft-Bullet"/>
              <w:rPr>
                <w:color w:val="000000"/>
              </w:rPr>
            </w:pPr>
            <w:r>
              <w:rPr>
                <w:color w:val="000000"/>
              </w:rPr>
              <w:t>Lead banks, with expertise in bond issues, bring issues to market and facilitate liquidity of bonds.</w:t>
            </w:r>
          </w:p>
        </w:tc>
      </w:tr>
      <w:tr w:rsidR="00622771" w14:paraId="233BC710" w14:textId="77777777" w:rsidTr="006701A2">
        <w:trPr>
          <w:trHeight w:val="208"/>
        </w:trPr>
        <w:tc>
          <w:tcPr>
            <w:tcW w:w="832" w:type="pct"/>
            <w:hideMark/>
          </w:tcPr>
          <w:p w14:paraId="5D18969D" w14:textId="77777777" w:rsidR="00622771" w:rsidRPr="00134C3B" w:rsidRDefault="00622771" w:rsidP="00134C3B">
            <w:pPr>
              <w:pStyle w:val="Tabletextleft-Bold"/>
            </w:pPr>
            <w:r w:rsidRPr="00134C3B">
              <w:t xml:space="preserve">Adequate structure </w:t>
            </w:r>
          </w:p>
        </w:tc>
        <w:tc>
          <w:tcPr>
            <w:tcW w:w="2084" w:type="pct"/>
            <w:hideMark/>
          </w:tcPr>
          <w:p w14:paraId="1356E519" w14:textId="77777777" w:rsidR="00622771" w:rsidRDefault="00622771" w:rsidP="00134C3B">
            <w:pPr>
              <w:pStyle w:val="Tabletextleft-Bullet"/>
              <w:rPr>
                <w:color w:val="000000"/>
              </w:rPr>
            </w:pPr>
            <w:r>
              <w:rPr>
                <w:color w:val="000000"/>
              </w:rPr>
              <w:t>clear and agreed structure including targets</w:t>
            </w:r>
          </w:p>
          <w:p w14:paraId="079F9E51" w14:textId="77777777" w:rsidR="00622771" w:rsidRDefault="00622771" w:rsidP="00134C3B">
            <w:pPr>
              <w:pStyle w:val="Tabletextleft-Bullet"/>
              <w:rPr>
                <w:color w:val="000000"/>
              </w:rPr>
            </w:pPr>
            <w:r>
              <w:rPr>
                <w:color w:val="000000"/>
              </w:rPr>
              <w:t xml:space="preserve">volume cap, </w:t>
            </w:r>
          </w:p>
          <w:p w14:paraId="11893FAD" w14:textId="77777777" w:rsidR="00622771" w:rsidRDefault="00622771" w:rsidP="00134C3B">
            <w:pPr>
              <w:pStyle w:val="Tabletextleft-Bullet"/>
              <w:rPr>
                <w:color w:val="000000"/>
              </w:rPr>
            </w:pPr>
            <w:r>
              <w:rPr>
                <w:color w:val="000000"/>
              </w:rPr>
              <w:t xml:space="preserve">contestable allocation </w:t>
            </w:r>
          </w:p>
          <w:p w14:paraId="595C96CE" w14:textId="77777777" w:rsidR="00622771" w:rsidRDefault="00622771" w:rsidP="00134C3B">
            <w:pPr>
              <w:pStyle w:val="Tabletextleft-Bullet"/>
              <w:rPr>
                <w:color w:val="000000"/>
              </w:rPr>
            </w:pPr>
            <w:r>
              <w:rPr>
                <w:color w:val="000000"/>
              </w:rPr>
              <w:t>on-going compliance process and ‘trigger points’</w:t>
            </w:r>
          </w:p>
          <w:p w14:paraId="50123733" w14:textId="77777777" w:rsidR="00622771" w:rsidRDefault="00622771" w:rsidP="00134C3B">
            <w:pPr>
              <w:pStyle w:val="Tabletextleft-Bullet"/>
              <w:rPr>
                <w:color w:val="000000"/>
              </w:rPr>
            </w:pPr>
            <w:r>
              <w:rPr>
                <w:color w:val="000000"/>
              </w:rPr>
              <w:t xml:space="preserve"> practical lines of defence against default</w:t>
            </w:r>
          </w:p>
          <w:p w14:paraId="65DC7B9D" w14:textId="77777777" w:rsidR="00622771" w:rsidRDefault="00622771" w:rsidP="00134C3B">
            <w:pPr>
              <w:pStyle w:val="Tabletextleft-Bullet"/>
              <w:rPr>
                <w:color w:val="000000"/>
              </w:rPr>
            </w:pPr>
            <w:r>
              <w:rPr>
                <w:color w:val="000000"/>
              </w:rPr>
              <w:t>mechanism to build up contingency reserves</w:t>
            </w:r>
          </w:p>
          <w:p w14:paraId="567F18F1" w14:textId="77777777" w:rsidR="00622771" w:rsidRDefault="00622771" w:rsidP="00134C3B">
            <w:pPr>
              <w:pStyle w:val="Tabletextleft-Bullet"/>
              <w:rPr>
                <w:color w:val="000000"/>
              </w:rPr>
            </w:pPr>
            <w:r>
              <w:rPr>
                <w:color w:val="000000"/>
              </w:rPr>
              <w:t xml:space="preserve">agreed loss sharing arrangements </w:t>
            </w:r>
          </w:p>
        </w:tc>
        <w:tc>
          <w:tcPr>
            <w:tcW w:w="2084" w:type="pct"/>
            <w:hideMark/>
          </w:tcPr>
          <w:p w14:paraId="64ECA665" w14:textId="77777777" w:rsidR="00622771" w:rsidRDefault="00622771" w:rsidP="00134C3B">
            <w:pPr>
              <w:pStyle w:val="Tabletextleft-Bullet"/>
              <w:rPr>
                <w:color w:val="000000"/>
              </w:rPr>
            </w:pPr>
            <w:r>
              <w:rPr>
                <w:color w:val="000000"/>
              </w:rPr>
              <w:t>Last resort government guarantee reduces investment costs and offers investors full guarantee of principle and coupon in the event of default.</w:t>
            </w:r>
          </w:p>
          <w:p w14:paraId="65B87084" w14:textId="77777777" w:rsidR="00622771" w:rsidRDefault="00622771" w:rsidP="00134C3B">
            <w:pPr>
              <w:pStyle w:val="Tabletextleft-Bullet"/>
              <w:rPr>
                <w:color w:val="000000"/>
              </w:rPr>
            </w:pPr>
            <w:r>
              <w:rPr>
                <w:color w:val="000000"/>
              </w:rPr>
              <w:t>Guarantee agreement identifies trigger points for an early warning system to prevent defaults, harmonised with Regulators.</w:t>
            </w:r>
          </w:p>
          <w:p w14:paraId="6FC17382" w14:textId="77777777" w:rsidR="00622771" w:rsidRDefault="00622771" w:rsidP="00134C3B">
            <w:pPr>
              <w:pStyle w:val="Tabletextleft-Bullet"/>
              <w:rPr>
                <w:color w:val="000000"/>
              </w:rPr>
            </w:pPr>
            <w:r>
              <w:rPr>
                <w:color w:val="000000"/>
              </w:rPr>
              <w:t>Bond aggregator agency builds up two reserve funds via pass through of the capital loan to CHPs and a premium on the interest paid.</w:t>
            </w:r>
          </w:p>
          <w:p w14:paraId="6B793038" w14:textId="77777777" w:rsidR="00622771" w:rsidRDefault="00622771" w:rsidP="00134C3B">
            <w:pPr>
              <w:pStyle w:val="Tabletextleft-Bullet"/>
              <w:rPr>
                <w:color w:val="000000"/>
              </w:rPr>
            </w:pPr>
            <w:r>
              <w:rPr>
                <w:color w:val="000000"/>
              </w:rPr>
              <w:t>Guarantee is only drawn on following the exhaustion of bond aggregator agency funds and CHP debt recovery process.</w:t>
            </w:r>
          </w:p>
        </w:tc>
      </w:tr>
    </w:tbl>
    <w:p w14:paraId="475067E2" w14:textId="77777777" w:rsidR="00622771" w:rsidRDefault="00622771" w:rsidP="00622771">
      <w:pPr>
        <w:spacing w:after="200" w:line="276" w:lineRule="auto"/>
      </w:pPr>
    </w:p>
    <w:p w14:paraId="758AB160" w14:textId="77777777" w:rsidR="00134C3B" w:rsidRDefault="00134C3B" w:rsidP="00622771">
      <w:pPr>
        <w:spacing w:after="200" w:line="276" w:lineRule="auto"/>
        <w:sectPr w:rsidR="00134C3B" w:rsidSect="0008292A">
          <w:pgSz w:w="11906" w:h="16838"/>
          <w:pgMar w:top="1440" w:right="1440" w:bottom="1440" w:left="1440" w:header="708" w:footer="708" w:gutter="0"/>
          <w:cols w:space="708"/>
          <w:docGrid w:linePitch="360"/>
        </w:sectPr>
      </w:pPr>
    </w:p>
    <w:p w14:paraId="2067C7BB" w14:textId="0D873CCD" w:rsidR="00622771" w:rsidRPr="00862B49" w:rsidRDefault="00622771" w:rsidP="00862B49">
      <w:pPr>
        <w:pStyle w:val="Heading1"/>
        <w:tabs>
          <w:tab w:val="clear" w:pos="567"/>
          <w:tab w:val="left" w:pos="1843"/>
        </w:tabs>
        <w:ind w:left="1843" w:hanging="1843"/>
      </w:pPr>
      <w:bookmarkStart w:id="187" w:name="_Annex_5:Community_housing"/>
      <w:bookmarkStart w:id="188" w:name="_Toc493848980"/>
      <w:bookmarkEnd w:id="187"/>
      <w:r w:rsidRPr="00862B49">
        <w:rPr>
          <w:rStyle w:val="Heading1Char"/>
          <w:b/>
          <w:bCs/>
          <w:caps/>
        </w:rPr>
        <w:lastRenderedPageBreak/>
        <w:t>Annex 4:</w:t>
      </w:r>
      <w:r w:rsidR="00862B49">
        <w:rPr>
          <w:rStyle w:val="Heading1Char"/>
          <w:b/>
          <w:bCs/>
          <w:caps/>
        </w:rPr>
        <w:tab/>
      </w:r>
      <w:r w:rsidRPr="00862B49">
        <w:rPr>
          <w:rStyle w:val="Heading1Char"/>
          <w:b/>
          <w:bCs/>
          <w:caps/>
        </w:rPr>
        <w:t>Community housing sector regulation</w:t>
      </w:r>
      <w:r w:rsidRPr="00862B49">
        <w:rPr>
          <w:vertAlign w:val="superscript"/>
        </w:rPr>
        <w:footnoteReference w:id="20"/>
      </w:r>
      <w:bookmarkEnd w:id="188"/>
      <w:r w:rsidRPr="00862B49">
        <w:rPr>
          <w:vertAlign w:val="superscript"/>
        </w:rPr>
        <w:t xml:space="preserve"> </w:t>
      </w:r>
    </w:p>
    <w:p w14:paraId="48660ADA" w14:textId="3E347725" w:rsidR="00622771" w:rsidRDefault="00622771" w:rsidP="00372A2A">
      <w:r>
        <w:t xml:space="preserve">All providers registered under the </w:t>
      </w:r>
      <w:r w:rsidR="00B437D2">
        <w:t>National Regulatory System for Community Housing (</w:t>
      </w:r>
      <w:r>
        <w:t>NRSCH</w:t>
      </w:r>
      <w:r w:rsidR="00B437D2">
        <w:t>)</w:t>
      </w:r>
      <w:r>
        <w:t xml:space="preserve"> must comply with the National Regulatory Code contained in the Community Housing Providers National Law and are assessed on their compliance with the performance requirements set out in the Code. The </w:t>
      </w:r>
      <w:r w:rsidR="00B437D2">
        <w:t>seven</w:t>
      </w:r>
      <w:r>
        <w:t xml:space="preserve"> performance requirements set out in the Code are:</w:t>
      </w:r>
    </w:p>
    <w:p w14:paraId="0DBB36B3" w14:textId="77777777" w:rsidR="00622771" w:rsidRDefault="00622771" w:rsidP="00862B49">
      <w:pPr>
        <w:pStyle w:val="OutlineNumbered1"/>
        <w:numPr>
          <w:ilvl w:val="0"/>
          <w:numId w:val="16"/>
        </w:numPr>
        <w:tabs>
          <w:tab w:val="clear" w:pos="1040"/>
          <w:tab w:val="num" w:pos="567"/>
        </w:tabs>
        <w:ind w:left="567" w:hanging="567"/>
      </w:pPr>
      <w:r w:rsidRPr="00862B49">
        <w:rPr>
          <w:b/>
        </w:rPr>
        <w:t xml:space="preserve">Tenant and housing services </w:t>
      </w:r>
      <w:r>
        <w:t>– the CHP must be fair, transparent and responsive in delivering housing assistance to tenants, residents and other clients</w:t>
      </w:r>
    </w:p>
    <w:p w14:paraId="622E1AE9" w14:textId="77777777" w:rsidR="00622771" w:rsidRDefault="00622771" w:rsidP="00862B49">
      <w:pPr>
        <w:pStyle w:val="OutlineNumbered1"/>
      </w:pPr>
      <w:r>
        <w:rPr>
          <w:b/>
        </w:rPr>
        <w:t>Housing assets</w:t>
      </w:r>
      <w:r>
        <w:t xml:space="preserve"> – the CHP must manage its community housing assets in a manner that ensure suitable properties are available at present and in the future</w:t>
      </w:r>
    </w:p>
    <w:p w14:paraId="1DCB4B17" w14:textId="77777777" w:rsidR="00622771" w:rsidRDefault="00622771" w:rsidP="00862B49">
      <w:pPr>
        <w:pStyle w:val="OutlineNumbered1"/>
      </w:pPr>
      <w:r>
        <w:rPr>
          <w:b/>
        </w:rPr>
        <w:t>Community engagement</w:t>
      </w:r>
      <w:r>
        <w:t xml:space="preserve"> – the CHP must work in partnership with relevant organisations to promote community housing and to contribute to socially inclusive communities</w:t>
      </w:r>
    </w:p>
    <w:p w14:paraId="1B0C8128" w14:textId="77777777" w:rsidR="00622771" w:rsidRDefault="00622771" w:rsidP="00862B49">
      <w:pPr>
        <w:pStyle w:val="OutlineNumbered1"/>
      </w:pPr>
      <w:r>
        <w:rPr>
          <w:b/>
        </w:rPr>
        <w:t xml:space="preserve">Governance </w:t>
      </w:r>
      <w:r>
        <w:t>– the CHP must be well governed to support the aims and intended outcomes of its business</w:t>
      </w:r>
    </w:p>
    <w:p w14:paraId="49C3A02A" w14:textId="77777777" w:rsidR="00622771" w:rsidRDefault="00622771" w:rsidP="00862B49">
      <w:pPr>
        <w:pStyle w:val="OutlineNumbered1"/>
      </w:pPr>
      <w:r>
        <w:rPr>
          <w:b/>
        </w:rPr>
        <w:t>Probity</w:t>
      </w:r>
      <w:r>
        <w:t xml:space="preserve"> – the CHP is expected to maintain high standards of probity relating to the business of the provider</w:t>
      </w:r>
    </w:p>
    <w:p w14:paraId="70E453C8" w14:textId="77777777" w:rsidR="00622771" w:rsidRDefault="00622771" w:rsidP="00862B49">
      <w:pPr>
        <w:pStyle w:val="OutlineNumbered1"/>
      </w:pPr>
      <w:r>
        <w:rPr>
          <w:b/>
        </w:rPr>
        <w:t xml:space="preserve">Management </w:t>
      </w:r>
      <w:r>
        <w:t>– the CHP must manage its resources to achieve the intended outcomes of its business in a cost effective manner</w:t>
      </w:r>
    </w:p>
    <w:p w14:paraId="026F0869" w14:textId="77777777" w:rsidR="00622771" w:rsidRDefault="00622771" w:rsidP="00862B49">
      <w:pPr>
        <w:pStyle w:val="OutlineNumbered1"/>
      </w:pPr>
      <w:r>
        <w:rPr>
          <w:b/>
        </w:rPr>
        <w:t>Financial viability</w:t>
      </w:r>
      <w:r>
        <w:t xml:space="preserve"> – the CHP is required to be financially viable at all times.</w:t>
      </w:r>
    </w:p>
    <w:p w14:paraId="78A25512" w14:textId="22FA38BA" w:rsidR="00622771" w:rsidRDefault="00622771" w:rsidP="00372A2A">
      <w:r>
        <w:t>The</w:t>
      </w:r>
      <w:r w:rsidR="008E3744">
        <w:t xml:space="preserve"> state-based</w:t>
      </w:r>
      <w:r>
        <w:t xml:space="preserve"> Registrar actively monitors compliance by registered providers using a risk based approach. This involves a combination of periodic formal compliance assessments and ad hoc compliance assessments that may be triggered by events and other information received by the Registrar. </w:t>
      </w:r>
    </w:p>
    <w:p w14:paraId="3D42C25C" w14:textId="47E5107F" w:rsidR="00622771" w:rsidRDefault="00622771" w:rsidP="00372A2A">
      <w:r>
        <w:t xml:space="preserve">Under the national </w:t>
      </w:r>
      <w:r w:rsidR="008E3744">
        <w:t>system</w:t>
      </w:r>
      <w:r>
        <w:t xml:space="preserve"> CHPs are registered in one of three tiers, based on the scale and scope of their </w:t>
      </w:r>
      <w:proofErr w:type="gramStart"/>
      <w:r>
        <w:t>organisation  and</w:t>
      </w:r>
      <w:proofErr w:type="gramEnd"/>
      <w:r>
        <w:t xml:space="preserve"> business model (number of tenants, assets and developments). Tier 1 providers have ‘high performance requirements and regulatory engagement’. These providers take on high levels of risk. Tier 2 </w:t>
      </w:r>
      <w:proofErr w:type="gramStart"/>
      <w:r>
        <w:t>and  Tier</w:t>
      </w:r>
      <w:proofErr w:type="gramEnd"/>
      <w:r>
        <w:t xml:space="preserve"> 3 providers </w:t>
      </w:r>
      <w:r w:rsidR="008E3744">
        <w:t>are</w:t>
      </w:r>
      <w:r>
        <w:t xml:space="preserve"> moderate and smaller scale providers, including specialist housing providers. </w:t>
      </w:r>
    </w:p>
    <w:p w14:paraId="45271B3D" w14:textId="39B6C562" w:rsidR="00622771" w:rsidRDefault="00622771" w:rsidP="00372A2A">
      <w:r>
        <w:t>The frequency of compliance assessment is determined by the CHP’s tier of registration. Tier 1 and Tier 2 CHPs may be subject to annual compliance assessments, while Tier 3 CHPs are assessed on a biennial cycle.</w:t>
      </w:r>
    </w:p>
    <w:p w14:paraId="54570C79" w14:textId="77777777" w:rsidR="00862B49" w:rsidRDefault="00862B49">
      <w:pPr>
        <w:spacing w:after="200" w:line="276" w:lineRule="auto"/>
        <w:jc w:val="left"/>
      </w:pPr>
      <w:r>
        <w:br w:type="page"/>
      </w:r>
    </w:p>
    <w:p w14:paraId="084CC882" w14:textId="5F9AE52E" w:rsidR="00622771" w:rsidRDefault="00622771" w:rsidP="00372A2A">
      <w:r>
        <w:t>At present, the tier structure, regulatory code and corresponding evidence guidelines largely emphasise asset and financial performance measures. CHPs are required to submit additional schedules to support compliance in these areas. These are two areas of performance which are particularly important for the implementation of a bond aggregator model and would potentially be beneficial for investors to have greater visibility of.</w:t>
      </w:r>
    </w:p>
    <w:p w14:paraId="04B4D26F" w14:textId="77777777" w:rsidR="00622771" w:rsidRDefault="00622771" w:rsidP="00372A2A">
      <w:pPr>
        <w:pStyle w:val="Heading2"/>
      </w:pPr>
      <w:bookmarkStart w:id="189" w:name="_Toc493848981"/>
      <w:r>
        <w:lastRenderedPageBreak/>
        <w:t>Reporting financial viability</w:t>
      </w:r>
      <w:bookmarkEnd w:id="189"/>
    </w:p>
    <w:p w14:paraId="27F9B070" w14:textId="77777777" w:rsidR="00622771" w:rsidRDefault="00622771" w:rsidP="006B2888">
      <w:r>
        <w:t>Financial analysis of CHP viability is conducted through the financial performance report (FPR) to produce ratio and trend analysis. The analysis covers assessments of cash flow, operating margins and debt serviceability. The FPR is segmented to give an individual revenue stream and consolidated view of viability, and the ability to compare the potential impact of changes originating from a particular revenue stream. The FPR is submitted in addition to other evidence of financial viability which can include:</w:t>
      </w:r>
    </w:p>
    <w:p w14:paraId="30F2706F" w14:textId="77777777" w:rsidR="00622771" w:rsidRPr="00862B49" w:rsidRDefault="00622771" w:rsidP="00862B49">
      <w:pPr>
        <w:pStyle w:val="Bullet"/>
      </w:pPr>
      <w:r w:rsidRPr="00862B49">
        <w:t>audited financial statements</w:t>
      </w:r>
    </w:p>
    <w:p w14:paraId="5FD0318E" w14:textId="77777777" w:rsidR="00622771" w:rsidRPr="00862B49" w:rsidRDefault="00622771" w:rsidP="00862B49">
      <w:pPr>
        <w:pStyle w:val="Bullet"/>
      </w:pPr>
      <w:r w:rsidRPr="00862B49">
        <w:t>financial performance reports</w:t>
      </w:r>
    </w:p>
    <w:p w14:paraId="510A0F9E" w14:textId="77777777" w:rsidR="00622771" w:rsidRPr="00862B49" w:rsidRDefault="00622771" w:rsidP="00862B49">
      <w:pPr>
        <w:pStyle w:val="Bullet"/>
      </w:pPr>
      <w:r w:rsidRPr="00862B49">
        <w:t xml:space="preserve">strategic/business plans </w:t>
      </w:r>
    </w:p>
    <w:p w14:paraId="0A0603FB" w14:textId="77777777" w:rsidR="00622771" w:rsidRPr="00862B49" w:rsidRDefault="00622771" w:rsidP="00862B49">
      <w:pPr>
        <w:pStyle w:val="Bullet"/>
      </w:pPr>
      <w:r w:rsidRPr="00862B49">
        <w:t>risk management plans</w:t>
      </w:r>
    </w:p>
    <w:p w14:paraId="23D37706" w14:textId="77777777" w:rsidR="00622771" w:rsidRPr="00862B49" w:rsidRDefault="00622771" w:rsidP="00862B49">
      <w:pPr>
        <w:pStyle w:val="Bullet"/>
      </w:pPr>
      <w:r w:rsidRPr="00862B49">
        <w:t>historical and forecast data</w:t>
      </w:r>
    </w:p>
    <w:p w14:paraId="0289D58F" w14:textId="77777777" w:rsidR="00622771" w:rsidRPr="00862B49" w:rsidRDefault="00622771" w:rsidP="00862B49">
      <w:pPr>
        <w:pStyle w:val="Bullet"/>
      </w:pPr>
      <w:r w:rsidRPr="00862B49">
        <w:t>asset management and maintenance plans</w:t>
      </w:r>
    </w:p>
    <w:p w14:paraId="7CD28126" w14:textId="77777777" w:rsidR="00622771" w:rsidRPr="00862B49" w:rsidRDefault="00622771" w:rsidP="00862B49">
      <w:pPr>
        <w:pStyle w:val="Bullet"/>
      </w:pPr>
      <w:r w:rsidRPr="00862B49">
        <w:t>group structures and partnerships</w:t>
      </w:r>
    </w:p>
    <w:p w14:paraId="32B18379" w14:textId="77777777" w:rsidR="00622771" w:rsidRPr="00862B49" w:rsidRDefault="00622771" w:rsidP="00862B49">
      <w:pPr>
        <w:pStyle w:val="Bullet"/>
      </w:pPr>
      <w:r w:rsidRPr="00862B49">
        <w:t>levels of involvement in support housing activities</w:t>
      </w:r>
    </w:p>
    <w:p w14:paraId="5F0D7C51" w14:textId="77777777" w:rsidR="00622771" w:rsidRPr="00862B49" w:rsidRDefault="00622771" w:rsidP="00862B49">
      <w:pPr>
        <w:pStyle w:val="Bullet"/>
      </w:pPr>
      <w:r w:rsidRPr="00862B49">
        <w:t>levels of involvement in diverse business activities</w:t>
      </w:r>
    </w:p>
    <w:p w14:paraId="23671495" w14:textId="77777777" w:rsidR="00622771" w:rsidRPr="00862B49" w:rsidRDefault="00622771" w:rsidP="00862B49">
      <w:pPr>
        <w:pStyle w:val="Bullet"/>
      </w:pPr>
      <w:r w:rsidRPr="00862B49">
        <w:t>levels of involvement in contract income</w:t>
      </w:r>
    </w:p>
    <w:p w14:paraId="448D53D9" w14:textId="77777777" w:rsidR="00622771" w:rsidRPr="00862B49" w:rsidRDefault="00622771" w:rsidP="00862B49">
      <w:pPr>
        <w:pStyle w:val="Bullet"/>
      </w:pPr>
      <w:r w:rsidRPr="00862B49">
        <w:t>levels of involvement in property development</w:t>
      </w:r>
    </w:p>
    <w:p w14:paraId="7CD67CC0" w14:textId="77777777" w:rsidR="00622771" w:rsidRPr="00862B49" w:rsidRDefault="00622771" w:rsidP="00862B49">
      <w:pPr>
        <w:pStyle w:val="Bullet"/>
      </w:pPr>
      <w:proofErr w:type="gramStart"/>
      <w:r w:rsidRPr="00862B49">
        <w:t>the</w:t>
      </w:r>
      <w:proofErr w:type="gramEnd"/>
      <w:r w:rsidRPr="00862B49">
        <w:t xml:space="preserve"> number and nature of any affiliated entities’ financial policies and procedures.</w:t>
      </w:r>
    </w:p>
    <w:p w14:paraId="4B7CD88C" w14:textId="77777777" w:rsidR="00622771" w:rsidRDefault="00622771" w:rsidP="006B2888">
      <w:pPr>
        <w:pStyle w:val="Heading2"/>
      </w:pPr>
      <w:bookmarkStart w:id="190" w:name="_Toc493848982"/>
      <w:r>
        <w:t>Reporting asset management performance</w:t>
      </w:r>
      <w:bookmarkEnd w:id="190"/>
    </w:p>
    <w:p w14:paraId="6041F119" w14:textId="77777777" w:rsidR="00622771" w:rsidRDefault="00622771" w:rsidP="00862B49">
      <w:r>
        <w:t xml:space="preserve">Under the code providers are required to provide evidence that they are: </w:t>
      </w:r>
    </w:p>
    <w:p w14:paraId="5CCB3B93" w14:textId="77777777" w:rsidR="00622771" w:rsidRDefault="00622771" w:rsidP="006701A2">
      <w:pPr>
        <w:pStyle w:val="Numberedlist"/>
        <w:numPr>
          <w:ilvl w:val="0"/>
          <w:numId w:val="17"/>
        </w:numPr>
      </w:pPr>
      <w:r>
        <w:t>determining changing housing needs and planning asset acquisitions, disposals and reconfiguration to respond (strategic asset management)</w:t>
      </w:r>
    </w:p>
    <w:p w14:paraId="7BB95B07" w14:textId="77777777" w:rsidR="00622771" w:rsidRDefault="00622771" w:rsidP="00862B49">
      <w:pPr>
        <w:pStyle w:val="Numberedlist"/>
      </w:pPr>
      <w:r>
        <w:t>setting and meeting relevant property condition standards</w:t>
      </w:r>
    </w:p>
    <w:p w14:paraId="3EE03F1B" w14:textId="33EDAAD6" w:rsidR="008E3744" w:rsidRDefault="00622771" w:rsidP="00862B49">
      <w:pPr>
        <w:pStyle w:val="Numberedlist"/>
      </w:pPr>
      <w:r>
        <w:t>planning and undertaking responsive, cyclical and life-cycle</w:t>
      </w:r>
      <w:r w:rsidR="00002E5B">
        <w:t xml:space="preserve"> </w:t>
      </w:r>
      <w:r>
        <w:t>maintenance to maintain property</w:t>
      </w:r>
      <w:r w:rsidR="008E3744">
        <w:t xml:space="preserve"> conditions (asset maintenance)</w:t>
      </w:r>
    </w:p>
    <w:p w14:paraId="666FE3CF" w14:textId="3BE1D756" w:rsidR="00622771" w:rsidRDefault="00622771" w:rsidP="00862B49">
      <w:pPr>
        <w:pStyle w:val="Numberedlist"/>
      </w:pPr>
      <w:proofErr w:type="gramStart"/>
      <w:r>
        <w:t>planning</w:t>
      </w:r>
      <w:proofErr w:type="gramEnd"/>
      <w:r>
        <w:t xml:space="preserve"> and delivering its housing development program (asset development).</w:t>
      </w:r>
    </w:p>
    <w:p w14:paraId="6D835A02" w14:textId="77777777" w:rsidR="00622771" w:rsidRDefault="00622771" w:rsidP="00622771">
      <w:pPr>
        <w:autoSpaceDE w:val="0"/>
        <w:autoSpaceDN w:val="0"/>
        <w:adjustRightInd w:val="0"/>
        <w:spacing w:after="0"/>
      </w:pPr>
    </w:p>
    <w:p w14:paraId="6320E873" w14:textId="11DBD85A" w:rsidR="00622771" w:rsidRDefault="00622771" w:rsidP="00862B49">
      <w:r>
        <w:t>Sources of evidence that can be used to demonstrate compliance include:</w:t>
      </w:r>
    </w:p>
    <w:p w14:paraId="00826902" w14:textId="77777777" w:rsidR="00622771" w:rsidRPr="00862B49" w:rsidRDefault="00622771" w:rsidP="00862B49">
      <w:pPr>
        <w:pStyle w:val="Bullet"/>
      </w:pPr>
      <w:r w:rsidRPr="00862B49">
        <w:t>Business plan</w:t>
      </w:r>
    </w:p>
    <w:p w14:paraId="2603346A" w14:textId="77777777" w:rsidR="00622771" w:rsidRPr="00862B49" w:rsidRDefault="00622771" w:rsidP="00862B49">
      <w:pPr>
        <w:pStyle w:val="Bullet"/>
      </w:pPr>
      <w:r w:rsidRPr="00862B49">
        <w:t>Annual report</w:t>
      </w:r>
    </w:p>
    <w:p w14:paraId="63FE934F" w14:textId="77777777" w:rsidR="00622771" w:rsidRPr="00862B49" w:rsidRDefault="00622771" w:rsidP="00862B49">
      <w:pPr>
        <w:pStyle w:val="Bullet"/>
      </w:pPr>
      <w:r w:rsidRPr="00862B49">
        <w:t>Provider website</w:t>
      </w:r>
    </w:p>
    <w:p w14:paraId="38662A02" w14:textId="77777777" w:rsidR="00622771" w:rsidRPr="00862B49" w:rsidRDefault="00622771" w:rsidP="00862B49">
      <w:pPr>
        <w:pStyle w:val="Bullet"/>
      </w:pPr>
      <w:r w:rsidRPr="00862B49">
        <w:t>NRS financial performance report and financial planning and forecasting</w:t>
      </w:r>
    </w:p>
    <w:p w14:paraId="42666AF7" w14:textId="77777777" w:rsidR="00622771" w:rsidRPr="00862B49" w:rsidRDefault="00622771" w:rsidP="00862B49">
      <w:pPr>
        <w:pStyle w:val="Bullet"/>
      </w:pPr>
      <w:r w:rsidRPr="00862B49">
        <w:t>Strategic asset management plan</w:t>
      </w:r>
    </w:p>
    <w:p w14:paraId="6E225035" w14:textId="77777777" w:rsidR="00622771" w:rsidRPr="00862B49" w:rsidRDefault="00622771" w:rsidP="00862B49">
      <w:pPr>
        <w:pStyle w:val="Bullet"/>
      </w:pPr>
      <w:r w:rsidRPr="00862B49">
        <w:t>Record of current and future housing needs analysis</w:t>
      </w:r>
    </w:p>
    <w:p w14:paraId="356BF039" w14:textId="77777777" w:rsidR="00622771" w:rsidRPr="00862B49" w:rsidRDefault="00622771" w:rsidP="00862B49">
      <w:pPr>
        <w:pStyle w:val="Bullet"/>
      </w:pPr>
      <w:r w:rsidRPr="00862B49">
        <w:t>Asset management policies, procedures and reports</w:t>
      </w:r>
    </w:p>
    <w:p w14:paraId="08EB9500" w14:textId="77777777" w:rsidR="00622771" w:rsidRPr="00862B49" w:rsidRDefault="00622771" w:rsidP="00862B49">
      <w:pPr>
        <w:pStyle w:val="Bullet"/>
      </w:pPr>
      <w:r w:rsidRPr="00862B49">
        <w:t>Maintenance data</w:t>
      </w:r>
    </w:p>
    <w:p w14:paraId="50BFCFC1" w14:textId="77777777" w:rsidR="00622771" w:rsidRPr="00862B49" w:rsidRDefault="00622771" w:rsidP="00862B49">
      <w:pPr>
        <w:pStyle w:val="Bullet"/>
      </w:pPr>
      <w:r w:rsidRPr="00862B49">
        <w:t>Complaints data</w:t>
      </w:r>
    </w:p>
    <w:p w14:paraId="69920623" w14:textId="77777777" w:rsidR="00622771" w:rsidRPr="00862B49" w:rsidRDefault="00622771" w:rsidP="00862B49">
      <w:pPr>
        <w:pStyle w:val="Bullet"/>
      </w:pPr>
      <w:r w:rsidRPr="00862B49">
        <w:t>Appeals data</w:t>
      </w:r>
    </w:p>
    <w:p w14:paraId="2202638E" w14:textId="77777777" w:rsidR="00622771" w:rsidRPr="00862B49" w:rsidRDefault="00622771" w:rsidP="00862B49">
      <w:pPr>
        <w:pStyle w:val="Bullet"/>
      </w:pPr>
      <w:r w:rsidRPr="00862B49">
        <w:t>Certification to the specific legal and policy requirements relevant to its jurisdiction</w:t>
      </w:r>
    </w:p>
    <w:p w14:paraId="50B1F535" w14:textId="77777777" w:rsidR="00622771" w:rsidRPr="00862B49" w:rsidRDefault="00622771" w:rsidP="00862B49">
      <w:pPr>
        <w:pStyle w:val="Bullet"/>
      </w:pPr>
      <w:r w:rsidRPr="00862B49">
        <w:t>Maintenance procurement processes and contracts</w:t>
      </w:r>
    </w:p>
    <w:p w14:paraId="5618DC0D" w14:textId="77777777" w:rsidR="00622771" w:rsidRPr="00862B49" w:rsidRDefault="00622771" w:rsidP="00862B49">
      <w:pPr>
        <w:pStyle w:val="Bullet"/>
      </w:pPr>
      <w:r w:rsidRPr="00862B49">
        <w:t>Communications to residents/tenants (such as newsletters)</w:t>
      </w:r>
    </w:p>
    <w:p w14:paraId="12BECAD9" w14:textId="10E564D1" w:rsidR="00622771" w:rsidRPr="00862B49" w:rsidRDefault="00622771" w:rsidP="00862B49">
      <w:pPr>
        <w:pStyle w:val="Bullet"/>
      </w:pPr>
      <w:r w:rsidRPr="00862B49">
        <w:t>Records of tenant/resident feedback (</w:t>
      </w:r>
      <w:r w:rsidR="00862B49">
        <w:t>for example,</w:t>
      </w:r>
      <w:r w:rsidRPr="00862B49">
        <w:t xml:space="preserve"> tenant/resident meetings, consultations) and actions taken as a result</w:t>
      </w:r>
    </w:p>
    <w:p w14:paraId="3C789E6E" w14:textId="77777777" w:rsidR="00622771" w:rsidRPr="00862B49" w:rsidRDefault="00622771" w:rsidP="00862B49">
      <w:pPr>
        <w:pStyle w:val="Bullet"/>
      </w:pPr>
      <w:r w:rsidRPr="00862B49">
        <w:t>Risk management plan and register</w:t>
      </w:r>
    </w:p>
    <w:p w14:paraId="7A62B341" w14:textId="77777777" w:rsidR="00622771" w:rsidRPr="00862B49" w:rsidRDefault="00622771" w:rsidP="00862B49">
      <w:pPr>
        <w:pStyle w:val="Bullet"/>
      </w:pPr>
      <w:r w:rsidRPr="00862B49">
        <w:t>Industry partnership engagements, contracts and agreements</w:t>
      </w:r>
    </w:p>
    <w:p w14:paraId="3783C7E3" w14:textId="77777777" w:rsidR="00622771" w:rsidRPr="00862B49" w:rsidRDefault="00622771" w:rsidP="00862B49">
      <w:pPr>
        <w:pStyle w:val="Bullet"/>
      </w:pPr>
      <w:r w:rsidRPr="00862B49">
        <w:lastRenderedPageBreak/>
        <w:t>Project progress reports and closure reports</w:t>
      </w:r>
    </w:p>
    <w:p w14:paraId="5598324B" w14:textId="77777777" w:rsidR="00622771" w:rsidRPr="00862B49" w:rsidRDefault="00622771" w:rsidP="00862B49">
      <w:pPr>
        <w:pStyle w:val="Bullet"/>
      </w:pPr>
      <w:r w:rsidRPr="00862B49">
        <w:t>Strategic/development/growth plans and data</w:t>
      </w:r>
    </w:p>
    <w:p w14:paraId="4ACE577D" w14:textId="77777777" w:rsidR="00622771" w:rsidRPr="00862B49" w:rsidRDefault="00622771" w:rsidP="00862B49">
      <w:pPr>
        <w:pStyle w:val="Bullet"/>
      </w:pPr>
      <w:r w:rsidRPr="00862B49">
        <w:t>Scenario planning or stress testing</w:t>
      </w:r>
    </w:p>
    <w:p w14:paraId="68FF33FE" w14:textId="77777777" w:rsidR="00622771" w:rsidRPr="00862B49" w:rsidRDefault="00622771" w:rsidP="00862B49">
      <w:pPr>
        <w:pStyle w:val="Bullet"/>
      </w:pPr>
      <w:r w:rsidRPr="00862B49">
        <w:t>Debt financing arrangements and covenants</w:t>
      </w:r>
    </w:p>
    <w:p w14:paraId="217A9275" w14:textId="77777777" w:rsidR="00622771" w:rsidRPr="00862B49" w:rsidRDefault="00622771" w:rsidP="00862B49">
      <w:pPr>
        <w:pStyle w:val="Bullet"/>
      </w:pPr>
      <w:r w:rsidRPr="00862B49">
        <w:t>Capital structure</w:t>
      </w:r>
    </w:p>
    <w:p w14:paraId="2A82D6FD" w14:textId="21D79233" w:rsidR="00622771" w:rsidRDefault="00622771" w:rsidP="006B2888">
      <w:r>
        <w:t xml:space="preserve">To further meet asset requirements under </w:t>
      </w:r>
      <w:r w:rsidR="008E3744">
        <w:t>the N</w:t>
      </w:r>
      <w:r>
        <w:t xml:space="preserve">ational </w:t>
      </w:r>
      <w:r w:rsidR="008E3744">
        <w:t>L</w:t>
      </w:r>
      <w:r>
        <w:t>aw</w:t>
      </w:r>
      <w:r w:rsidR="008E3744">
        <w:t>,</w:t>
      </w:r>
      <w:r>
        <w:t xml:space="preserve"> CHPs must complete the </w:t>
      </w:r>
      <w:r>
        <w:rPr>
          <w:i/>
        </w:rPr>
        <w:t>Community Housing Asset Summary and Performance Report</w:t>
      </w:r>
      <w:r>
        <w:t xml:space="preserve"> and provide the following details about all of the community housing assets they hold under the system:</w:t>
      </w:r>
    </w:p>
    <w:p w14:paraId="787E8365" w14:textId="77777777" w:rsidR="00622771" w:rsidRPr="00862B49" w:rsidRDefault="00622771" w:rsidP="00862B49">
      <w:pPr>
        <w:pStyle w:val="Bullet"/>
      </w:pPr>
      <w:r w:rsidRPr="00862B49">
        <w:t>property numbers;</w:t>
      </w:r>
    </w:p>
    <w:p w14:paraId="2883B194" w14:textId="77777777" w:rsidR="00622771" w:rsidRPr="00862B49" w:rsidRDefault="00622771" w:rsidP="00862B49">
      <w:pPr>
        <w:pStyle w:val="Bullet"/>
      </w:pPr>
      <w:r w:rsidRPr="00862B49">
        <w:t xml:space="preserve">location; </w:t>
      </w:r>
    </w:p>
    <w:p w14:paraId="5F404638" w14:textId="77777777" w:rsidR="00622771" w:rsidRPr="00862B49" w:rsidRDefault="00622771" w:rsidP="00862B49">
      <w:pPr>
        <w:pStyle w:val="Bullet"/>
      </w:pPr>
      <w:r w:rsidRPr="00862B49">
        <w:t>characteristics (ownership, interests, housing use type, asset class)</w:t>
      </w:r>
    </w:p>
    <w:p w14:paraId="3FD2A8D0" w14:textId="77777777" w:rsidR="00622771" w:rsidRPr="00862B49" w:rsidRDefault="00622771" w:rsidP="00862B49">
      <w:pPr>
        <w:pStyle w:val="Bullet"/>
      </w:pPr>
      <w:r w:rsidRPr="00862B49">
        <w:t xml:space="preserve">maintenance liabilities, and </w:t>
      </w:r>
    </w:p>
    <w:p w14:paraId="0FA2FE92" w14:textId="77777777" w:rsidR="00622771" w:rsidRPr="00862B49" w:rsidRDefault="00622771" w:rsidP="00862B49">
      <w:pPr>
        <w:pStyle w:val="Bullet"/>
      </w:pPr>
      <w:proofErr w:type="gramStart"/>
      <w:r w:rsidRPr="00862B49">
        <w:t>scope</w:t>
      </w:r>
      <w:proofErr w:type="gramEnd"/>
      <w:r w:rsidRPr="00862B49">
        <w:t xml:space="preserve"> and scale of CHP property development activity, where applicable.  </w:t>
      </w:r>
    </w:p>
    <w:p w14:paraId="36223765" w14:textId="77777777" w:rsidR="00622771" w:rsidRDefault="00622771" w:rsidP="006B2888">
      <w:pPr>
        <w:rPr>
          <w:b/>
        </w:rPr>
      </w:pPr>
      <w:r>
        <w:t>These community housing assets would then be the subject of the wind-up condition of registration, which provides for the redistribution of relevant assets to government or another registered CHP in the event of organisational wind-up.</w:t>
      </w:r>
    </w:p>
    <w:p w14:paraId="59B3EE8A" w14:textId="77777777" w:rsidR="00622771" w:rsidRPr="00862B49" w:rsidRDefault="00622771" w:rsidP="00862B49"/>
    <w:bookmarkEnd w:id="184"/>
    <w:bookmarkEnd w:id="185"/>
    <w:p w14:paraId="393A8590" w14:textId="1D3487D0" w:rsidR="005D0815" w:rsidRPr="00862B49" w:rsidRDefault="005D0815" w:rsidP="00862B49"/>
    <w:sectPr w:rsidR="005D0815" w:rsidRPr="00862B49" w:rsidSect="00134C3B">
      <w:type w:val="oddPag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88566" w14:textId="77777777" w:rsidR="00862B49" w:rsidRDefault="00862B49" w:rsidP="00ED26F3">
      <w:pPr>
        <w:spacing w:after="0"/>
      </w:pPr>
      <w:r>
        <w:separator/>
      </w:r>
    </w:p>
  </w:endnote>
  <w:endnote w:type="continuationSeparator" w:id="0">
    <w:p w14:paraId="5CD359C5" w14:textId="77777777" w:rsidR="00862B49" w:rsidRDefault="00862B49" w:rsidP="00ED26F3">
      <w:pPr>
        <w:spacing w:after="0"/>
      </w:pPr>
      <w:r>
        <w:continuationSeparator/>
      </w:r>
    </w:p>
  </w:endnote>
  <w:endnote w:type="continuationNotice" w:id="1">
    <w:p w14:paraId="1668DE23" w14:textId="77777777" w:rsidR="00862B49" w:rsidRDefault="00862B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174432"/>
      <w:docPartObj>
        <w:docPartGallery w:val="Page Numbers (Bottom of Page)"/>
        <w:docPartUnique/>
      </w:docPartObj>
    </w:sdtPr>
    <w:sdtContent>
      <w:p w14:paraId="24093C01" w14:textId="77777777" w:rsidR="00862B49" w:rsidRDefault="00862B49" w:rsidP="0004370A">
        <w:pPr>
          <w:pStyle w:val="Footer"/>
        </w:pPr>
        <w:r>
          <w:drawing>
            <wp:anchor distT="0" distB="0" distL="114300" distR="114300" simplePos="0" relativeHeight="251658241" behindDoc="1" locked="0" layoutInCell="1" allowOverlap="1" wp14:anchorId="5428F7F5" wp14:editId="3ECF602B">
              <wp:simplePos x="0" y="0"/>
              <wp:positionH relativeFrom="column">
                <wp:posOffset>-914400</wp:posOffset>
              </wp:positionH>
              <wp:positionV relativeFrom="paragraph">
                <wp:posOffset>-166370</wp:posOffset>
              </wp:positionV>
              <wp:extent cx="7596000" cy="803698"/>
              <wp:effectExtent l="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803698"/>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F747D" w14:textId="77777777" w:rsidR="00862B49" w:rsidRDefault="00862B49" w:rsidP="000437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1CC7C" w14:textId="1BA0FF21" w:rsidR="00862B49" w:rsidRDefault="00862B49">
    <w:pPr>
      <w:pStyle w:val="Footer"/>
    </w:pPr>
  </w:p>
  <w:p w14:paraId="740A1A5B" w14:textId="5585C921" w:rsidR="00862B49" w:rsidRDefault="00862B49" w:rsidP="000437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B5C7C" w14:textId="77777777" w:rsidR="00862B49" w:rsidRDefault="00862B49" w:rsidP="0004370A">
    <w:pPr>
      <w:pStyle w:val="Footer"/>
    </w:pPr>
  </w:p>
  <w:p w14:paraId="7677BF4F" w14:textId="77777777" w:rsidR="00862B49" w:rsidRDefault="00862B49">
    <w:r>
      <w:rPr>
        <w:noProof/>
      </w:rPr>
      <w:drawing>
        <wp:anchor distT="0" distB="0" distL="114300" distR="114300" simplePos="0" relativeHeight="251658243" behindDoc="1" locked="0" layoutInCell="1" allowOverlap="1" wp14:anchorId="3B24F738" wp14:editId="55A525B0">
          <wp:simplePos x="0" y="0"/>
          <wp:positionH relativeFrom="column">
            <wp:posOffset>-923925</wp:posOffset>
          </wp:positionH>
          <wp:positionV relativeFrom="paragraph">
            <wp:posOffset>226060</wp:posOffset>
          </wp:positionV>
          <wp:extent cx="7595870" cy="80327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803275"/>
                  </a:xfrm>
                  <a:prstGeom prst="rect">
                    <a:avLst/>
                  </a:prstGeom>
                </pic:spPr>
              </pic:pic>
            </a:graphicData>
          </a:graphic>
          <wp14:sizeRelH relativeFrom="page">
            <wp14:pctWidth>0</wp14:pctWidth>
          </wp14:sizeRelH>
          <wp14:sizeRelV relativeFrom="page">
            <wp14:pctHeight>0</wp14:pctHeight>
          </wp14:sizeRelV>
        </wp:anchor>
      </w:drawing>
    </w:r>
  </w:p>
  <w:p w14:paraId="6AF337BA" w14:textId="77777777" w:rsidR="00862B49" w:rsidRDefault="00862B4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6439213"/>
      <w:docPartObj>
        <w:docPartGallery w:val="Page Numbers (Bottom of Page)"/>
        <w:docPartUnique/>
      </w:docPartObj>
    </w:sdtPr>
    <w:sdtContent>
      <w:p w14:paraId="18EB8F7E" w14:textId="570A6C46" w:rsidR="00862B49" w:rsidRDefault="00862B49" w:rsidP="0004370A">
        <w:pPr>
          <w:pStyle w:val="Footer"/>
        </w:pPr>
        <w:r w:rsidRPr="00274AD1">
          <w:drawing>
            <wp:anchor distT="0" distB="0" distL="114300" distR="114300" simplePos="0" relativeHeight="251658240" behindDoc="1" locked="0" layoutInCell="1" allowOverlap="1" wp14:anchorId="1E09BE9C" wp14:editId="43F486E5">
              <wp:simplePos x="0" y="0"/>
              <wp:positionH relativeFrom="column">
                <wp:posOffset>-902335</wp:posOffset>
              </wp:positionH>
              <wp:positionV relativeFrom="paragraph">
                <wp:posOffset>-182245</wp:posOffset>
              </wp:positionV>
              <wp:extent cx="7596000" cy="803698"/>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6000" cy="803698"/>
                      </a:xfrm>
                      <a:prstGeom prst="rect">
                        <a:avLst/>
                      </a:prstGeom>
                    </pic:spPr>
                  </pic:pic>
                </a:graphicData>
              </a:graphic>
              <wp14:sizeRelH relativeFrom="page">
                <wp14:pctWidth>0</wp14:pctWidth>
              </wp14:sizeRelH>
              <wp14:sizeRelV relativeFrom="page">
                <wp14:pctHeight>0</wp14:pctHeight>
              </wp14:sizeRelV>
            </wp:anchor>
          </w:drawing>
        </w:r>
        <w:r w:rsidRPr="00FF57B8">
          <w:fldChar w:fldCharType="begin"/>
        </w:r>
        <w:r w:rsidRPr="00FF57B8">
          <w:instrText xml:space="preserve"> PAGE   \* MERGEFORMAT </w:instrText>
        </w:r>
        <w:r w:rsidRPr="00FF57B8">
          <w:fldChar w:fldCharType="separate"/>
        </w:r>
        <w:r w:rsidR="000219F8">
          <w:t>1</w:t>
        </w:r>
        <w:r w:rsidRPr="00FF57B8">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0897A" w14:textId="77777777" w:rsidR="00862B49" w:rsidRDefault="00862B49" w:rsidP="0004370A">
    <w:pPr>
      <w:pStyle w:val="Footer"/>
    </w:pPr>
    <w:r>
      <w:drawing>
        <wp:anchor distT="0" distB="0" distL="114300" distR="114300" simplePos="0" relativeHeight="251658244" behindDoc="1" locked="0" layoutInCell="1" allowOverlap="1" wp14:anchorId="5B962F87" wp14:editId="14C0D917">
          <wp:simplePos x="0" y="0"/>
          <wp:positionH relativeFrom="column">
            <wp:posOffset>-923925</wp:posOffset>
          </wp:positionH>
          <wp:positionV relativeFrom="paragraph">
            <wp:posOffset>-183251</wp:posOffset>
          </wp:positionV>
          <wp:extent cx="7595870" cy="803275"/>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bann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80327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t>xii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43813" w14:textId="77777777" w:rsidR="00862B49" w:rsidRDefault="00862B49" w:rsidP="00ED26F3">
      <w:pPr>
        <w:spacing w:after="0"/>
      </w:pPr>
      <w:r>
        <w:separator/>
      </w:r>
    </w:p>
  </w:footnote>
  <w:footnote w:type="continuationSeparator" w:id="0">
    <w:p w14:paraId="48E58218" w14:textId="77777777" w:rsidR="00862B49" w:rsidRDefault="00862B49" w:rsidP="00ED26F3">
      <w:pPr>
        <w:spacing w:after="0"/>
      </w:pPr>
      <w:r>
        <w:continuationSeparator/>
      </w:r>
    </w:p>
  </w:footnote>
  <w:footnote w:type="continuationNotice" w:id="1">
    <w:p w14:paraId="0A99AE1E" w14:textId="77777777" w:rsidR="00862B49" w:rsidRDefault="00862B49">
      <w:pPr>
        <w:spacing w:after="0"/>
      </w:pPr>
    </w:p>
  </w:footnote>
  <w:footnote w:id="2">
    <w:p w14:paraId="53AFD7FC" w14:textId="6DF2B153"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 xml:space="preserve">CHPs use a variety of models to increase the number of properties they manage. This includes entering into contracts to manage and rent out dwellings on behalf of others, such as investors or State and Territory governments. They also purchase properties from the private market, while the largest CHPs have the ability to develop their own projects, often in partnership with the private sector. </w:t>
      </w:r>
    </w:p>
  </w:footnote>
  <w:footnote w:id="3">
    <w:p w14:paraId="391CBA91" w14:textId="04BE193C"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Source: Australian Bureau of Statistics, Census of Population and Housing, 2016.</w:t>
      </w:r>
    </w:p>
  </w:footnote>
  <w:footnote w:id="4">
    <w:p w14:paraId="1E2E2FBC" w14:textId="5D6A4E36"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Source: Productivity Commission, Report on Government Services, 2017.</w:t>
      </w:r>
    </w:p>
  </w:footnote>
  <w:footnote w:id="5">
    <w:p w14:paraId="02C4941B" w14:textId="52475CCF"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Source: Australian Housing and Urban Research Institute, Supply shortages and affordability outcomes in the private rental sector: short and longer term trends, June 2015, page 15.</w:t>
      </w:r>
    </w:p>
  </w:footnote>
  <w:footnote w:id="6">
    <w:p w14:paraId="1409A179" w14:textId="2EC952AD"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This is also referred to as ‘</w:t>
      </w:r>
      <w:proofErr w:type="spellStart"/>
      <w:r w:rsidRPr="003F36CE">
        <w:t>residualisation</w:t>
      </w:r>
      <w:proofErr w:type="spellEnd"/>
      <w:r w:rsidRPr="003F36CE">
        <w:t>’ of the housing stock. For a description, see CFFR (2016), page 16.</w:t>
      </w:r>
    </w:p>
  </w:footnote>
  <w:footnote w:id="7">
    <w:p w14:paraId="7E05265E" w14:textId="7C757C74"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 xml:space="preserve">Source: Australian Housing and Urban Research Institute, Ready for growth? Inquiry into Australia’s affordable housing industry capacity, April 2017. </w:t>
      </w:r>
    </w:p>
  </w:footnote>
  <w:footnote w:id="8">
    <w:p w14:paraId="6FC83697" w14:textId="2415F84B"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 xml:space="preserve">Source: National Regulatory System for Community Housing Project Directorate, National Industry Development Framework for community housing, January 2014. </w:t>
      </w:r>
    </w:p>
  </w:footnote>
  <w:footnote w:id="9">
    <w:p w14:paraId="5A0C384F" w14:textId="746A7FBA"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While the stated aim of the bond aggregator is to provide greater private and institutional investment in affordable housing more broadly, community housing providers are likely to be the primary vehicle to channel the investment it attracts into social and affordable housing.</w:t>
      </w:r>
    </w:p>
  </w:footnote>
  <w:footnote w:id="10">
    <w:p w14:paraId="6F16B7CB" w14:textId="5B2CD240"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The availability of tenor for non</w:t>
      </w:r>
      <w:r w:rsidRPr="003F36CE">
        <w:noBreakHyphen/>
        <w:t xml:space="preserve">financial corporate bond issuances is improving, but is still, on </w:t>
      </w:r>
      <w:proofErr w:type="spellStart"/>
      <w:r w:rsidRPr="003F36CE">
        <w:t>average</w:t>
      </w:r>
      <w:proofErr w:type="gramStart"/>
      <w:r w:rsidRPr="003F36CE">
        <w:t>,not</w:t>
      </w:r>
      <w:proofErr w:type="spellEnd"/>
      <w:proofErr w:type="gramEnd"/>
      <w:r w:rsidRPr="003F36CE">
        <w:t xml:space="preserve"> as long as in countries like the USA or UK. The introduction of a bond aggregator represents a substantial improvement in this regard. </w:t>
      </w:r>
    </w:p>
  </w:footnote>
  <w:footnote w:id="11">
    <w:p w14:paraId="75195C74" w14:textId="618AD35D"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The ‘Financing Gap’ was described in the Affordable Housing Working Group’s paper on Innovative Financing Models to Improve the Supply of Affordable Housing (CFFR, 2016, page 14) as the difference between the low rates of return available on affordable housing investments compared to market returns available on alternative investments with similar risk profiles.</w:t>
      </w:r>
    </w:p>
  </w:footnote>
  <w:footnote w:id="12">
    <w:p w14:paraId="1DCEBB8E" w14:textId="14975CC0"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 xml:space="preserve">Characteristics of overseas models include: a) efficiently priced long-term debt b) affordable housing providers who can use their tax status and ability to leverage other resources and efficiencies to support affordability outcomes and c) government augmentation such as capital contributions and operating subsidies (land, tax credits and cash). </w:t>
      </w:r>
    </w:p>
  </w:footnote>
  <w:footnote w:id="13">
    <w:p w14:paraId="6DAF09CB" w14:textId="37982F89"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$47,500 is just above 50% of median income in WA and 35% above the minimum wage of $35,000.</w:t>
      </w:r>
    </w:p>
  </w:footnote>
  <w:footnote w:id="14">
    <w:p w14:paraId="6F17B25F" w14:textId="0A5D20F1"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$35,000 is $5,000 below the minimum wage in WA, well above the single pension, and just above a couple’s aged pension.</w:t>
      </w:r>
    </w:p>
  </w:footnote>
  <w:footnote w:id="15">
    <w:p w14:paraId="7B3AB7C2" w14:textId="67E99363"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rPr>
          <w:rStyle w:val="Hyperlink"/>
        </w:rPr>
        <w:t>http://www.mandg.co.uk/media-centre/~/media/EBB09E1499AB42EAA0E09E3AD6CC39B4.ashx</w:t>
      </w:r>
      <w:r w:rsidR="003F36CE">
        <w:t>.</w:t>
      </w:r>
    </w:p>
  </w:footnote>
  <w:footnote w:id="16">
    <w:p w14:paraId="0EE360CE" w14:textId="1B6D2F64"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For example, CHPs in NSW that have a relationship with the Department of Family and Community Services are also regulated through contracts – partly as a response to the perceived shortfalls of the NRSCH.</w:t>
      </w:r>
    </w:p>
  </w:footnote>
  <w:footnote w:id="17">
    <w:p w14:paraId="59122727" w14:textId="2387A4EF"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 xml:space="preserve">This is also directly related to the nature of any Commonwealth Government guarantee of the issuances of the </w:t>
      </w:r>
      <w:r w:rsidR="003F36CE">
        <w:t>bond aggregator.</w:t>
      </w:r>
    </w:p>
  </w:footnote>
  <w:footnote w:id="18">
    <w:p w14:paraId="0CBC0EFB" w14:textId="71E70CF1"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t xml:space="preserve">The Henry Tax Review, Commonwealth Tax White Paper </w:t>
      </w:r>
      <w:proofErr w:type="spellStart"/>
      <w:r w:rsidRPr="003F36CE">
        <w:t>Re</w:t>
      </w:r>
      <w:proofErr w:type="gramStart"/>
      <w:r w:rsidRPr="003F36CE">
        <w:t>:Think</w:t>
      </w:r>
      <w:proofErr w:type="spellEnd"/>
      <w:proofErr w:type="gramEnd"/>
      <w:r w:rsidRPr="003F36CE">
        <w:t xml:space="preserve">, and work by industry participants such as Deloitte Access Economics </w:t>
      </w:r>
      <w:r w:rsidRPr="003F36CE">
        <w:rPr>
          <w:i/>
        </w:rPr>
        <w:t>The economic impact of stamp duty: Three reform options</w:t>
      </w:r>
      <w:r w:rsidRPr="003F36CE">
        <w:t>, (2015) all provide evidence that stamp duty is less efficient than land tax.</w:t>
      </w:r>
    </w:p>
  </w:footnote>
  <w:footnote w:id="19">
    <w:p w14:paraId="66D2FD98" w14:textId="253A928C" w:rsidR="00862B49" w:rsidRPr="003F36CE" w:rsidRDefault="00862B49" w:rsidP="003F36CE">
      <w:pPr>
        <w:pStyle w:val="FootnoteText"/>
      </w:pPr>
      <w:r w:rsidRPr="003F36CE">
        <w:rPr>
          <w:rStyle w:val="FootnoteReference"/>
          <w:vertAlign w:val="baseline"/>
        </w:rPr>
        <w:footnoteRef/>
      </w:r>
      <w:r w:rsidRPr="003F36CE">
        <w:t xml:space="preserve"> </w:t>
      </w:r>
      <w:r w:rsidR="003F36CE">
        <w:tab/>
      </w:r>
      <w:proofErr w:type="gramStart"/>
      <w:r w:rsidRPr="003F36CE">
        <w:t>(Lawson et al., 2014).</w:t>
      </w:r>
      <w:proofErr w:type="gramEnd"/>
    </w:p>
  </w:footnote>
  <w:footnote w:id="20">
    <w:p w14:paraId="4757ABC6" w14:textId="28C4E965" w:rsidR="00862B49" w:rsidRPr="003F36CE" w:rsidRDefault="00862B49" w:rsidP="003F36CE">
      <w:pPr>
        <w:pStyle w:val="FootnoteText"/>
      </w:pPr>
      <w:r w:rsidRPr="003F36CE">
        <w:rPr>
          <w:rStyle w:val="FootnoteReference"/>
          <w:vertAlign w:val="baseline"/>
        </w:rPr>
        <w:footnoteRef/>
      </w:r>
      <w:r w:rsidRPr="003F36CE">
        <w:t xml:space="preserve"> </w:t>
      </w:r>
      <w:r w:rsidR="003F36CE">
        <w:tab/>
      </w:r>
      <w:r w:rsidRPr="003F36CE">
        <w:rPr>
          <w:i/>
        </w:rPr>
        <w:t>Regulatory Reform and Relationships in the (NSW) Community Housing Provider Sector</w:t>
      </w:r>
      <w:r w:rsidRPr="003F36CE">
        <w:t xml:space="preserve">, Options Paper April 2017. </w:t>
      </w:r>
      <w:proofErr w:type="gramStart"/>
      <w:r w:rsidRPr="003F36CE">
        <w:t>NSW Department of Family and Community Services.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8D05C" w14:textId="77777777" w:rsidR="00862B49" w:rsidRDefault="00862B49">
    <w:pPr>
      <w:pStyle w:val="Header"/>
    </w:pPr>
    <w:r>
      <w:rPr>
        <w:noProof/>
      </w:rPr>
      <w:drawing>
        <wp:anchor distT="0" distB="0" distL="114300" distR="114300" simplePos="0" relativeHeight="251658242" behindDoc="1" locked="0" layoutInCell="1" allowOverlap="1" wp14:anchorId="770D015B" wp14:editId="34A9155B">
          <wp:simplePos x="0" y="0"/>
          <wp:positionH relativeFrom="column">
            <wp:posOffset>-933714</wp:posOffset>
          </wp:positionH>
          <wp:positionV relativeFrom="paragraph">
            <wp:posOffset>3538855</wp:posOffset>
          </wp:positionV>
          <wp:extent cx="7595870" cy="6934200"/>
          <wp:effectExtent l="0" t="0" r="508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WG-issues-paper-cov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870" cy="6934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C21B8" w14:textId="5E69212E" w:rsidR="00862B49" w:rsidRDefault="00862B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7334E" w14:textId="0256C99B" w:rsidR="00862B49" w:rsidRDefault="00862B49" w:rsidP="00443C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BAFE5" w14:textId="77777777" w:rsidR="00862B49" w:rsidRPr="00496D89" w:rsidRDefault="00862B49" w:rsidP="00496D8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97F2C" w14:textId="28738404" w:rsidR="00862B49" w:rsidRDefault="00862B49" w:rsidP="00443C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29CA"/>
    <w:multiLevelType w:val="multilevel"/>
    <w:tmpl w:val="0694D3D0"/>
    <w:lvl w:ilvl="0">
      <w:numFmt w:val="bullet"/>
      <w:pStyle w:val="Bullet"/>
      <w:lvlText w:val="•"/>
      <w:lvlJc w:val="left"/>
      <w:pPr>
        <w:tabs>
          <w:tab w:val="num" w:pos="425"/>
        </w:tabs>
        <w:ind w:left="425" w:hanging="425"/>
      </w:pPr>
      <w:rPr>
        <w:rFonts w:ascii="Times New Roman" w:hAnsi="Times New Roman" w:cs="Times New Roman" w:hint="default"/>
      </w:rPr>
    </w:lvl>
    <w:lvl w:ilvl="1">
      <w:numFmt w:val="bullet"/>
      <w:pStyle w:val="Dash"/>
      <w:lvlText w:val="–"/>
      <w:lvlJc w:val="left"/>
      <w:pPr>
        <w:tabs>
          <w:tab w:val="num" w:pos="1134"/>
        </w:tabs>
        <w:ind w:left="1134" w:hanging="567"/>
      </w:pPr>
      <w:rPr>
        <w:rFonts w:ascii="Times New Roman" w:hAnsi="Times New Roman" w:cs="Times New Roman" w:hint="default"/>
      </w:rPr>
    </w:lvl>
    <w:lvl w:ilvl="2">
      <w:numFmt w:val="bullet"/>
      <w:pStyle w:val="DoubleDot"/>
      <w:lvlText w:val=":"/>
      <w:lvlJc w:val="left"/>
      <w:pPr>
        <w:tabs>
          <w:tab w:val="num" w:pos="1701"/>
        </w:tabs>
        <w:ind w:left="1701" w:hanging="56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7CE2017"/>
    <w:multiLevelType w:val="hybridMultilevel"/>
    <w:tmpl w:val="150853B2"/>
    <w:lvl w:ilvl="0" w:tplc="5CEC3BA0">
      <w:start w:val="1"/>
      <w:numFmt w:val="decimal"/>
      <w:pStyle w:val="Heading1-Numbered"/>
      <w:lvlText w:val="%1."/>
      <w:lvlJc w:val="left"/>
      <w:pPr>
        <w:ind w:left="1636" w:hanging="360"/>
      </w:pPr>
      <w:rPr>
        <w:rFonts w:ascii="Calibri" w:hAnsi="Calibri" w:hint="default"/>
        <w:color w:val="246373"/>
        <w:sz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B057C90"/>
    <w:multiLevelType w:val="multilevel"/>
    <w:tmpl w:val="D3785DE2"/>
    <w:lvl w:ilvl="0">
      <w:start w:val="1"/>
      <w:numFmt w:val="lowerLetter"/>
      <w:lvlText w:val="%1)"/>
      <w:lvlJc w:val="left"/>
      <w:pPr>
        <w:tabs>
          <w:tab w:val="num" w:pos="1040"/>
        </w:tabs>
        <w:ind w:left="1040" w:hanging="520"/>
      </w:pPr>
      <w:rPr>
        <w:b w:val="0"/>
      </w:rPr>
    </w:lvl>
    <w:lvl w:ilvl="1">
      <w:start w:val="1"/>
      <w:numFmt w:val="decimal"/>
      <w:lvlText w:val="%1.%2."/>
      <w:lvlJc w:val="left"/>
      <w:pPr>
        <w:tabs>
          <w:tab w:val="num" w:pos="1560"/>
        </w:tabs>
        <w:ind w:left="1560" w:hanging="520"/>
      </w:pPr>
    </w:lvl>
    <w:lvl w:ilvl="2">
      <w:start w:val="1"/>
      <w:numFmt w:val="decimal"/>
      <w:lvlText w:val="%1.%2.%3."/>
      <w:lvlJc w:val="left"/>
      <w:pPr>
        <w:tabs>
          <w:tab w:val="num" w:pos="2080"/>
        </w:tabs>
        <w:ind w:left="2080" w:hanging="520"/>
      </w:p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3">
    <w:nsid w:val="0DB21C99"/>
    <w:multiLevelType w:val="hybridMultilevel"/>
    <w:tmpl w:val="642C8B96"/>
    <w:lvl w:ilvl="0" w:tplc="6324C12A">
      <w:start w:val="1"/>
      <w:numFmt w:val="lowerLetter"/>
      <w:pStyle w:val="Numberedlist"/>
      <w:lvlText w:val="%1."/>
      <w:lvlJc w:val="left"/>
      <w:pPr>
        <w:tabs>
          <w:tab w:val="num" w:pos="567"/>
        </w:tabs>
        <w:ind w:left="567" w:hanging="567"/>
      </w:pPr>
      <w:rPr>
        <w:rFonts w:ascii="Calibri Light" w:hAnsi="Calibri Light" w:hint="default"/>
        <w:b w:val="0"/>
        <w:i w:val="0"/>
        <w:color w:val="000000" w:themeColor="text1"/>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D45304"/>
    <w:multiLevelType w:val="hybridMultilevel"/>
    <w:tmpl w:val="306AB1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F0593B"/>
    <w:multiLevelType w:val="multilevel"/>
    <w:tmpl w:val="F984D82C"/>
    <w:lvl w:ilvl="0">
      <w:start w:val="1"/>
      <w:numFmt w:val="decimal"/>
      <w:lvlText w:val="%1."/>
      <w:lvlJc w:val="left"/>
      <w:pPr>
        <w:tabs>
          <w:tab w:val="num" w:pos="284"/>
        </w:tabs>
        <w:ind w:left="284" w:hanging="284"/>
      </w:pPr>
      <w:rPr>
        <w:rFonts w:hint="default"/>
        <w:b w:val="0"/>
        <w:i w:val="0"/>
        <w:color w:val="auto"/>
        <w:sz w:val="20"/>
      </w:rPr>
    </w:lvl>
    <w:lvl w:ilvl="1">
      <w:start w:val="1"/>
      <w:numFmt w:val="bullet"/>
      <w:lvlText w:val="&gt;"/>
      <w:lvlJc w:val="left"/>
      <w:pPr>
        <w:tabs>
          <w:tab w:val="num" w:pos="567"/>
        </w:tabs>
        <w:ind w:left="567" w:hanging="283"/>
      </w:pPr>
      <w:rPr>
        <w:rFonts w:ascii="Arial" w:hAnsi="Arial" w:hint="default"/>
        <w:color w:val="000000" w:themeColor="text1"/>
        <w:sz w:val="18"/>
      </w:rPr>
    </w:lvl>
    <w:lvl w:ilvl="2">
      <w:start w:val="1"/>
      <w:numFmt w:val="bullet"/>
      <w:lvlText w:val="–"/>
      <w:lvlJc w:val="left"/>
      <w:pPr>
        <w:tabs>
          <w:tab w:val="num" w:pos="851"/>
        </w:tabs>
        <w:ind w:left="851" w:hanging="284"/>
      </w:pPr>
      <w:rPr>
        <w:rFonts w:ascii="Calibri" w:hAnsi="Calibri" w:hint="default"/>
        <w:color w:val="auto"/>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nsid w:val="19CC5CE2"/>
    <w:multiLevelType w:val="multilevel"/>
    <w:tmpl w:val="561E3C8E"/>
    <w:name w:val="StandardNumberedList"/>
    <w:lvl w:ilvl="0">
      <w:start w:val="1"/>
      <w:numFmt w:val="decimal"/>
      <w:lvlText w:val="%1."/>
      <w:lvlJc w:val="left"/>
      <w:pPr>
        <w:tabs>
          <w:tab w:val="num" w:pos="520"/>
        </w:tabs>
        <w:ind w:left="520" w:hanging="520"/>
      </w:pPr>
      <w:rPr>
        <w:b w:val="0"/>
        <w:sz w:val="22"/>
        <w:szCs w:val="22"/>
      </w:rPr>
    </w:lvl>
    <w:lvl w:ilvl="1">
      <w:start w:val="1"/>
      <w:numFmt w:val="decimal"/>
      <w:lvlText w:val="%1.%2."/>
      <w:lvlJc w:val="left"/>
      <w:pPr>
        <w:tabs>
          <w:tab w:val="num" w:pos="1040"/>
        </w:tabs>
        <w:ind w:left="1040" w:hanging="520"/>
      </w:pPr>
      <w:rPr>
        <w:b w:val="0"/>
        <w:i w:val="0"/>
        <w:sz w:val="22"/>
        <w:szCs w:val="22"/>
      </w:r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3F065A6"/>
    <w:multiLevelType w:val="hybridMultilevel"/>
    <w:tmpl w:val="D8B66C9E"/>
    <w:lvl w:ilvl="0" w:tplc="1F2C645A">
      <w:start w:val="1"/>
      <w:numFmt w:val="bullet"/>
      <w:pStyle w:val="Tabletextleft-Bullet"/>
      <w:lvlText w:val="•"/>
      <w:lvlJc w:val="left"/>
      <w:pPr>
        <w:ind w:left="720" w:hanging="360"/>
      </w:pPr>
      <w:rPr>
        <w:rFonts w:ascii="Calibri Light" w:hAnsi="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F064470"/>
    <w:multiLevelType w:val="hybridMultilevel"/>
    <w:tmpl w:val="39002862"/>
    <w:lvl w:ilvl="0" w:tplc="9DFE8B86">
      <w:start w:val="1"/>
      <w:numFmt w:val="bullet"/>
      <w:pStyle w:val="bullet0"/>
      <w:lvlText w:val=""/>
      <w:lvlJc w:val="left"/>
      <w:pPr>
        <w:ind w:left="720" w:hanging="360"/>
      </w:pPr>
      <w:rPr>
        <w:rFonts w:ascii="Symbol" w:hAnsi="Symbol"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ACE2C4D"/>
    <w:multiLevelType w:val="multilevel"/>
    <w:tmpl w:val="3EEC5026"/>
    <w:styleLink w:val="Style1"/>
    <w:lvl w:ilvl="0">
      <w:start w:val="1"/>
      <w:numFmt w:val="decimal"/>
      <w:lvlText w:val="%1."/>
      <w:lvlJc w:val="left"/>
      <w:pPr>
        <w:tabs>
          <w:tab w:val="num" w:pos="284"/>
        </w:tabs>
        <w:ind w:left="284" w:hanging="284"/>
      </w:pPr>
      <w:rPr>
        <w:rFonts w:ascii="Calibri" w:hAnsi="Calibri" w:hint="default"/>
        <w:b w:val="0"/>
        <w:i w:val="0"/>
        <w:color w:val="246373"/>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D9F2E9B"/>
    <w:multiLevelType w:val="hybridMultilevel"/>
    <w:tmpl w:val="23C0DA7A"/>
    <w:lvl w:ilvl="0" w:tplc="29E6E97C">
      <w:start w:val="1"/>
      <w:numFmt w:val="bullet"/>
      <w:pStyle w:val="ListBullet"/>
      <w:lvlText w:val="•"/>
      <w:lvlJc w:val="left"/>
      <w:pPr>
        <w:ind w:left="360" w:hanging="360"/>
      </w:pPr>
      <w:rPr>
        <w:rFonts w:ascii="Arial" w:hAnsi="Arial" w:hint="default"/>
        <w:color w:val="134A6D"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5824251"/>
    <w:multiLevelType w:val="hybridMultilevel"/>
    <w:tmpl w:val="306AB1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7473A8A"/>
    <w:multiLevelType w:val="multilevel"/>
    <w:tmpl w:val="A2B0B572"/>
    <w:lvl w:ilvl="0">
      <w:start w:val="1"/>
      <w:numFmt w:val="decimal"/>
      <w:pStyle w:val="OutlineNumbered1"/>
      <w:lvlText w:val="%1."/>
      <w:lvlJc w:val="left"/>
      <w:pPr>
        <w:tabs>
          <w:tab w:val="num" w:pos="1040"/>
        </w:tabs>
        <w:ind w:left="1040" w:hanging="520"/>
      </w:pPr>
      <w:rPr>
        <w:b w:val="0"/>
      </w:rPr>
    </w:lvl>
    <w:lvl w:ilvl="1">
      <w:start w:val="1"/>
      <w:numFmt w:val="decimal"/>
      <w:pStyle w:val="OutlineNumbered2"/>
      <w:lvlText w:val="%1.%2."/>
      <w:lvlJc w:val="left"/>
      <w:pPr>
        <w:tabs>
          <w:tab w:val="num" w:pos="1560"/>
        </w:tabs>
        <w:ind w:left="1560" w:hanging="520"/>
      </w:pPr>
    </w:lvl>
    <w:lvl w:ilvl="2">
      <w:start w:val="1"/>
      <w:numFmt w:val="decimal"/>
      <w:pStyle w:val="OutlineNumbered3"/>
      <w:lvlText w:val="%1.%2.%3."/>
      <w:lvlJc w:val="left"/>
      <w:pPr>
        <w:tabs>
          <w:tab w:val="num" w:pos="2080"/>
        </w:tabs>
        <w:ind w:left="2080" w:hanging="520"/>
      </w:p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13">
    <w:nsid w:val="4C1E5621"/>
    <w:multiLevelType w:val="multilevel"/>
    <w:tmpl w:val="4AF2B808"/>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94D2CBB"/>
    <w:multiLevelType w:val="hybridMultilevel"/>
    <w:tmpl w:val="07E43130"/>
    <w:lvl w:ilvl="0" w:tplc="459250E4">
      <w:start w:val="1"/>
      <w:numFmt w:val="bullet"/>
      <w:pStyle w:val="BoxText-Bullet"/>
      <w:lvlText w:val=""/>
      <w:lvlJc w:val="left"/>
      <w:pPr>
        <w:tabs>
          <w:tab w:val="num" w:pos="284"/>
        </w:tabs>
        <w:ind w:left="284" w:hanging="284"/>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0393997"/>
    <w:multiLevelType w:val="hybridMultilevel"/>
    <w:tmpl w:val="060C6E56"/>
    <w:lvl w:ilvl="0" w:tplc="4F2837C2">
      <w:start w:val="1"/>
      <w:numFmt w:val="lowerLetter"/>
      <w:pStyle w:val="Tabletextleft-alpha"/>
      <w:lvlText w:val="%1)"/>
      <w:lvlJc w:val="left"/>
      <w:pPr>
        <w:tabs>
          <w:tab w:val="num" w:pos="227"/>
        </w:tabs>
        <w:ind w:left="227" w:hanging="227"/>
      </w:pPr>
      <w:rPr>
        <w:rFonts w:ascii="Calibri Light" w:hAnsi="Calibri Light" w:hint="default"/>
        <w:b w:val="0"/>
        <w:i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5AF268C"/>
    <w:multiLevelType w:val="hybridMultilevel"/>
    <w:tmpl w:val="1744F956"/>
    <w:lvl w:ilvl="0" w:tplc="93C6AE74">
      <w:start w:val="1"/>
      <w:numFmt w:val="decimal"/>
      <w:pStyle w:val="Tabletextleft-numbered"/>
      <w:lvlText w:val="%1."/>
      <w:lvlJc w:val="left"/>
      <w:pPr>
        <w:tabs>
          <w:tab w:val="num" w:pos="284"/>
        </w:tabs>
        <w:ind w:left="284" w:hanging="284"/>
      </w:pPr>
      <w:rPr>
        <w:rFonts w:ascii="Calibri" w:hAnsi="Calibri" w:hint="default"/>
        <w:b w:val="0"/>
        <w:i w:val="0"/>
        <w:color w:val="auto"/>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3"/>
  </w:num>
  <w:num w:numId="3">
    <w:abstractNumId w:val="12"/>
  </w:num>
  <w:num w:numId="4">
    <w:abstractNumId w:val="0"/>
  </w:num>
  <w:num w:numId="5">
    <w:abstractNumId w:val="9"/>
  </w:num>
  <w:num w:numId="6">
    <w:abstractNumId w:val="1"/>
  </w:num>
  <w:num w:numId="7">
    <w:abstractNumId w:val="14"/>
  </w:num>
  <w:num w:numId="8">
    <w:abstractNumId w:val="15"/>
  </w:num>
  <w:num w:numId="9">
    <w:abstractNumId w:val="16"/>
  </w:num>
  <w:num w:numId="10">
    <w:abstractNumId w:val="10"/>
  </w:num>
  <w:num w:numId="11">
    <w:abstractNumId w:val="4"/>
  </w:num>
  <w:num w:numId="12">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 w:numId="15">
    <w:abstractNumId w:val="7"/>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defaultTabStop w:val="720"/>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934"/>
    <w:rsid w:val="0000123F"/>
    <w:rsid w:val="00001395"/>
    <w:rsid w:val="000015CD"/>
    <w:rsid w:val="0000174E"/>
    <w:rsid w:val="00001934"/>
    <w:rsid w:val="000021F1"/>
    <w:rsid w:val="0000237D"/>
    <w:rsid w:val="00002442"/>
    <w:rsid w:val="00002971"/>
    <w:rsid w:val="00002E5B"/>
    <w:rsid w:val="00002F74"/>
    <w:rsid w:val="00003916"/>
    <w:rsid w:val="000041E5"/>
    <w:rsid w:val="000043CF"/>
    <w:rsid w:val="00004DAB"/>
    <w:rsid w:val="00004EB2"/>
    <w:rsid w:val="0000669A"/>
    <w:rsid w:val="00006D67"/>
    <w:rsid w:val="00006D78"/>
    <w:rsid w:val="0000737E"/>
    <w:rsid w:val="00007494"/>
    <w:rsid w:val="0000764D"/>
    <w:rsid w:val="0000767C"/>
    <w:rsid w:val="00010482"/>
    <w:rsid w:val="000108E2"/>
    <w:rsid w:val="0001129E"/>
    <w:rsid w:val="0001177E"/>
    <w:rsid w:val="000120CF"/>
    <w:rsid w:val="00012546"/>
    <w:rsid w:val="00012D6E"/>
    <w:rsid w:val="00013014"/>
    <w:rsid w:val="0001305F"/>
    <w:rsid w:val="00013A23"/>
    <w:rsid w:val="00013B74"/>
    <w:rsid w:val="000148AE"/>
    <w:rsid w:val="000148F9"/>
    <w:rsid w:val="00014ACC"/>
    <w:rsid w:val="00014C9F"/>
    <w:rsid w:val="000150CB"/>
    <w:rsid w:val="00015627"/>
    <w:rsid w:val="000157EF"/>
    <w:rsid w:val="0001590F"/>
    <w:rsid w:val="00015C77"/>
    <w:rsid w:val="00015F72"/>
    <w:rsid w:val="00016AF4"/>
    <w:rsid w:val="00016C61"/>
    <w:rsid w:val="0001713A"/>
    <w:rsid w:val="000172C5"/>
    <w:rsid w:val="000179D4"/>
    <w:rsid w:val="00017EA6"/>
    <w:rsid w:val="000200E6"/>
    <w:rsid w:val="00020592"/>
    <w:rsid w:val="00020F92"/>
    <w:rsid w:val="00021294"/>
    <w:rsid w:val="000219F8"/>
    <w:rsid w:val="00021D07"/>
    <w:rsid w:val="00021F56"/>
    <w:rsid w:val="00022209"/>
    <w:rsid w:val="0002244A"/>
    <w:rsid w:val="000226B0"/>
    <w:rsid w:val="0002293A"/>
    <w:rsid w:val="00022C24"/>
    <w:rsid w:val="0002324D"/>
    <w:rsid w:val="00023283"/>
    <w:rsid w:val="000232FE"/>
    <w:rsid w:val="000233C4"/>
    <w:rsid w:val="00023921"/>
    <w:rsid w:val="00023923"/>
    <w:rsid w:val="00023E45"/>
    <w:rsid w:val="00023FBE"/>
    <w:rsid w:val="000240F5"/>
    <w:rsid w:val="0002412B"/>
    <w:rsid w:val="000245EA"/>
    <w:rsid w:val="000258E0"/>
    <w:rsid w:val="00025BDF"/>
    <w:rsid w:val="00025C5B"/>
    <w:rsid w:val="00026C4C"/>
    <w:rsid w:val="00026F78"/>
    <w:rsid w:val="00026FD2"/>
    <w:rsid w:val="00027095"/>
    <w:rsid w:val="0002741D"/>
    <w:rsid w:val="00027BB8"/>
    <w:rsid w:val="0003006B"/>
    <w:rsid w:val="0003075E"/>
    <w:rsid w:val="00030AF1"/>
    <w:rsid w:val="00030D55"/>
    <w:rsid w:val="00030DA4"/>
    <w:rsid w:val="00030EA6"/>
    <w:rsid w:val="00030EEE"/>
    <w:rsid w:val="0003132D"/>
    <w:rsid w:val="00031EA5"/>
    <w:rsid w:val="00032578"/>
    <w:rsid w:val="000327ED"/>
    <w:rsid w:val="000329A2"/>
    <w:rsid w:val="0003396E"/>
    <w:rsid w:val="00033C15"/>
    <w:rsid w:val="00033D2F"/>
    <w:rsid w:val="00035B7B"/>
    <w:rsid w:val="00036387"/>
    <w:rsid w:val="00037804"/>
    <w:rsid w:val="000378E5"/>
    <w:rsid w:val="00037B65"/>
    <w:rsid w:val="00040089"/>
    <w:rsid w:val="00040343"/>
    <w:rsid w:val="00040B06"/>
    <w:rsid w:val="00040C0C"/>
    <w:rsid w:val="00040F4F"/>
    <w:rsid w:val="00041145"/>
    <w:rsid w:val="00041584"/>
    <w:rsid w:val="0004175F"/>
    <w:rsid w:val="00041C8D"/>
    <w:rsid w:val="00041F74"/>
    <w:rsid w:val="000420C0"/>
    <w:rsid w:val="00043055"/>
    <w:rsid w:val="000431E2"/>
    <w:rsid w:val="000436F7"/>
    <w:rsid w:val="0004370A"/>
    <w:rsid w:val="00043E7F"/>
    <w:rsid w:val="00043F8A"/>
    <w:rsid w:val="00044959"/>
    <w:rsid w:val="00044C8F"/>
    <w:rsid w:val="0004502F"/>
    <w:rsid w:val="00045126"/>
    <w:rsid w:val="000457AA"/>
    <w:rsid w:val="0004586B"/>
    <w:rsid w:val="000463F3"/>
    <w:rsid w:val="00046F13"/>
    <w:rsid w:val="00047024"/>
    <w:rsid w:val="000471CB"/>
    <w:rsid w:val="000472D7"/>
    <w:rsid w:val="00047BCD"/>
    <w:rsid w:val="00047BF9"/>
    <w:rsid w:val="00047D28"/>
    <w:rsid w:val="00050358"/>
    <w:rsid w:val="000503B0"/>
    <w:rsid w:val="00050499"/>
    <w:rsid w:val="00050582"/>
    <w:rsid w:val="00050817"/>
    <w:rsid w:val="00050908"/>
    <w:rsid w:val="00050966"/>
    <w:rsid w:val="0005096A"/>
    <w:rsid w:val="00050F52"/>
    <w:rsid w:val="0005108B"/>
    <w:rsid w:val="000513FB"/>
    <w:rsid w:val="00051DA4"/>
    <w:rsid w:val="00052549"/>
    <w:rsid w:val="000527D5"/>
    <w:rsid w:val="00053E76"/>
    <w:rsid w:val="00054392"/>
    <w:rsid w:val="0005446E"/>
    <w:rsid w:val="00054B70"/>
    <w:rsid w:val="00054D83"/>
    <w:rsid w:val="000555D8"/>
    <w:rsid w:val="000558F8"/>
    <w:rsid w:val="000567F4"/>
    <w:rsid w:val="00056848"/>
    <w:rsid w:val="000572AA"/>
    <w:rsid w:val="0005758F"/>
    <w:rsid w:val="00057F69"/>
    <w:rsid w:val="0006032B"/>
    <w:rsid w:val="0006033F"/>
    <w:rsid w:val="0006088F"/>
    <w:rsid w:val="00060C40"/>
    <w:rsid w:val="00060FEE"/>
    <w:rsid w:val="00061195"/>
    <w:rsid w:val="0006128F"/>
    <w:rsid w:val="00061298"/>
    <w:rsid w:val="000613DA"/>
    <w:rsid w:val="00061655"/>
    <w:rsid w:val="00062077"/>
    <w:rsid w:val="000628C5"/>
    <w:rsid w:val="00062C28"/>
    <w:rsid w:val="0006311F"/>
    <w:rsid w:val="0006359D"/>
    <w:rsid w:val="0006370D"/>
    <w:rsid w:val="00063B13"/>
    <w:rsid w:val="00063BBD"/>
    <w:rsid w:val="000640D5"/>
    <w:rsid w:val="000648DA"/>
    <w:rsid w:val="00064C53"/>
    <w:rsid w:val="00064E6A"/>
    <w:rsid w:val="0006565D"/>
    <w:rsid w:val="00066131"/>
    <w:rsid w:val="0006696F"/>
    <w:rsid w:val="00067A2E"/>
    <w:rsid w:val="00067A89"/>
    <w:rsid w:val="00067E1B"/>
    <w:rsid w:val="00067EE4"/>
    <w:rsid w:val="00070147"/>
    <w:rsid w:val="000706D6"/>
    <w:rsid w:val="0007108F"/>
    <w:rsid w:val="000712D8"/>
    <w:rsid w:val="000719B8"/>
    <w:rsid w:val="00071CC9"/>
    <w:rsid w:val="000721D3"/>
    <w:rsid w:val="00072625"/>
    <w:rsid w:val="0007265D"/>
    <w:rsid w:val="00072D0E"/>
    <w:rsid w:val="00072D9B"/>
    <w:rsid w:val="000735FC"/>
    <w:rsid w:val="000738DD"/>
    <w:rsid w:val="00073AAC"/>
    <w:rsid w:val="00073F73"/>
    <w:rsid w:val="00075735"/>
    <w:rsid w:val="000759C3"/>
    <w:rsid w:val="00076675"/>
    <w:rsid w:val="0007729F"/>
    <w:rsid w:val="00077539"/>
    <w:rsid w:val="0007765B"/>
    <w:rsid w:val="00080461"/>
    <w:rsid w:val="00080D5D"/>
    <w:rsid w:val="00080DC9"/>
    <w:rsid w:val="0008107E"/>
    <w:rsid w:val="00081BAF"/>
    <w:rsid w:val="00081DE5"/>
    <w:rsid w:val="0008213F"/>
    <w:rsid w:val="00082782"/>
    <w:rsid w:val="0008292A"/>
    <w:rsid w:val="00083671"/>
    <w:rsid w:val="0008411F"/>
    <w:rsid w:val="00084B32"/>
    <w:rsid w:val="0008545A"/>
    <w:rsid w:val="0008567A"/>
    <w:rsid w:val="000856AB"/>
    <w:rsid w:val="00085BB1"/>
    <w:rsid w:val="00085C3F"/>
    <w:rsid w:val="00085D8B"/>
    <w:rsid w:val="00085F52"/>
    <w:rsid w:val="00086AFC"/>
    <w:rsid w:val="00087333"/>
    <w:rsid w:val="00087D3C"/>
    <w:rsid w:val="0009006C"/>
    <w:rsid w:val="00090280"/>
    <w:rsid w:val="000903A6"/>
    <w:rsid w:val="0009133A"/>
    <w:rsid w:val="0009154D"/>
    <w:rsid w:val="00091841"/>
    <w:rsid w:val="00091EFA"/>
    <w:rsid w:val="0009236D"/>
    <w:rsid w:val="0009285F"/>
    <w:rsid w:val="00093F3B"/>
    <w:rsid w:val="000947A0"/>
    <w:rsid w:val="00094FB7"/>
    <w:rsid w:val="000951E7"/>
    <w:rsid w:val="000957C0"/>
    <w:rsid w:val="000959E5"/>
    <w:rsid w:val="00095B51"/>
    <w:rsid w:val="00095C3F"/>
    <w:rsid w:val="0009648B"/>
    <w:rsid w:val="000971AF"/>
    <w:rsid w:val="00097AF6"/>
    <w:rsid w:val="000A0239"/>
    <w:rsid w:val="000A1112"/>
    <w:rsid w:val="000A19D6"/>
    <w:rsid w:val="000A2034"/>
    <w:rsid w:val="000A2700"/>
    <w:rsid w:val="000A2F4D"/>
    <w:rsid w:val="000A3BC5"/>
    <w:rsid w:val="000A3C81"/>
    <w:rsid w:val="000A3FBE"/>
    <w:rsid w:val="000A47C6"/>
    <w:rsid w:val="000A494A"/>
    <w:rsid w:val="000A49CE"/>
    <w:rsid w:val="000A4D4D"/>
    <w:rsid w:val="000A5181"/>
    <w:rsid w:val="000A54AE"/>
    <w:rsid w:val="000A633A"/>
    <w:rsid w:val="000A678C"/>
    <w:rsid w:val="000A6851"/>
    <w:rsid w:val="000A7354"/>
    <w:rsid w:val="000A7961"/>
    <w:rsid w:val="000A79EB"/>
    <w:rsid w:val="000A7A1B"/>
    <w:rsid w:val="000A7C29"/>
    <w:rsid w:val="000A7CFD"/>
    <w:rsid w:val="000A7FB0"/>
    <w:rsid w:val="000B0311"/>
    <w:rsid w:val="000B03B4"/>
    <w:rsid w:val="000B1287"/>
    <w:rsid w:val="000B1DD4"/>
    <w:rsid w:val="000B1ED2"/>
    <w:rsid w:val="000B24EB"/>
    <w:rsid w:val="000B27FA"/>
    <w:rsid w:val="000B2F88"/>
    <w:rsid w:val="000B31D3"/>
    <w:rsid w:val="000B3B32"/>
    <w:rsid w:val="000B3D30"/>
    <w:rsid w:val="000B3D5C"/>
    <w:rsid w:val="000B4E79"/>
    <w:rsid w:val="000B4F9A"/>
    <w:rsid w:val="000B4FB6"/>
    <w:rsid w:val="000B5887"/>
    <w:rsid w:val="000B5983"/>
    <w:rsid w:val="000B5A10"/>
    <w:rsid w:val="000B5BBA"/>
    <w:rsid w:val="000B68D2"/>
    <w:rsid w:val="000B6C4C"/>
    <w:rsid w:val="000B735C"/>
    <w:rsid w:val="000B7983"/>
    <w:rsid w:val="000C0020"/>
    <w:rsid w:val="000C0293"/>
    <w:rsid w:val="000C06EC"/>
    <w:rsid w:val="000C0E6D"/>
    <w:rsid w:val="000C16D0"/>
    <w:rsid w:val="000C23EB"/>
    <w:rsid w:val="000C2535"/>
    <w:rsid w:val="000C2C2B"/>
    <w:rsid w:val="000C36C1"/>
    <w:rsid w:val="000C401B"/>
    <w:rsid w:val="000C48B4"/>
    <w:rsid w:val="000C4A47"/>
    <w:rsid w:val="000C4A8A"/>
    <w:rsid w:val="000C4F71"/>
    <w:rsid w:val="000C4F98"/>
    <w:rsid w:val="000C56CF"/>
    <w:rsid w:val="000C5FB0"/>
    <w:rsid w:val="000C72E7"/>
    <w:rsid w:val="000C7F23"/>
    <w:rsid w:val="000D13DA"/>
    <w:rsid w:val="000D2912"/>
    <w:rsid w:val="000D2DE0"/>
    <w:rsid w:val="000D30BD"/>
    <w:rsid w:val="000D4454"/>
    <w:rsid w:val="000D4DFB"/>
    <w:rsid w:val="000D517D"/>
    <w:rsid w:val="000D55A2"/>
    <w:rsid w:val="000D5625"/>
    <w:rsid w:val="000D57BD"/>
    <w:rsid w:val="000D5811"/>
    <w:rsid w:val="000D599E"/>
    <w:rsid w:val="000D59BA"/>
    <w:rsid w:val="000D6361"/>
    <w:rsid w:val="000D6C71"/>
    <w:rsid w:val="000D6F3C"/>
    <w:rsid w:val="000D7722"/>
    <w:rsid w:val="000D7AF2"/>
    <w:rsid w:val="000D7B0A"/>
    <w:rsid w:val="000D7E1C"/>
    <w:rsid w:val="000E048C"/>
    <w:rsid w:val="000E0982"/>
    <w:rsid w:val="000E1345"/>
    <w:rsid w:val="000E1699"/>
    <w:rsid w:val="000E1729"/>
    <w:rsid w:val="000E178C"/>
    <w:rsid w:val="000E1845"/>
    <w:rsid w:val="000E1F88"/>
    <w:rsid w:val="000E203C"/>
    <w:rsid w:val="000E20AF"/>
    <w:rsid w:val="000E24C2"/>
    <w:rsid w:val="000E2A56"/>
    <w:rsid w:val="000E2D7F"/>
    <w:rsid w:val="000E3174"/>
    <w:rsid w:val="000E3A68"/>
    <w:rsid w:val="000E3E42"/>
    <w:rsid w:val="000E3F2A"/>
    <w:rsid w:val="000E42F7"/>
    <w:rsid w:val="000E4B2F"/>
    <w:rsid w:val="000E56FA"/>
    <w:rsid w:val="000E57EF"/>
    <w:rsid w:val="000E5FE4"/>
    <w:rsid w:val="000E6087"/>
    <w:rsid w:val="000E61FC"/>
    <w:rsid w:val="000E65DC"/>
    <w:rsid w:val="000E6AC0"/>
    <w:rsid w:val="000E6E4A"/>
    <w:rsid w:val="000E7239"/>
    <w:rsid w:val="000E7671"/>
    <w:rsid w:val="000E76B3"/>
    <w:rsid w:val="000F006B"/>
    <w:rsid w:val="000F09E1"/>
    <w:rsid w:val="000F12C6"/>
    <w:rsid w:val="000F143D"/>
    <w:rsid w:val="000F1F30"/>
    <w:rsid w:val="000F1F55"/>
    <w:rsid w:val="000F2232"/>
    <w:rsid w:val="000F2263"/>
    <w:rsid w:val="000F3908"/>
    <w:rsid w:val="000F3C94"/>
    <w:rsid w:val="000F3DB7"/>
    <w:rsid w:val="000F3FB2"/>
    <w:rsid w:val="000F439F"/>
    <w:rsid w:val="000F4BE1"/>
    <w:rsid w:val="000F4D87"/>
    <w:rsid w:val="000F4DBD"/>
    <w:rsid w:val="000F52B2"/>
    <w:rsid w:val="000F5A83"/>
    <w:rsid w:val="000F5B1A"/>
    <w:rsid w:val="000F5D18"/>
    <w:rsid w:val="000F5E83"/>
    <w:rsid w:val="000F64E2"/>
    <w:rsid w:val="000F71D6"/>
    <w:rsid w:val="000F7B6B"/>
    <w:rsid w:val="001003C2"/>
    <w:rsid w:val="0010049D"/>
    <w:rsid w:val="001008BC"/>
    <w:rsid w:val="00100A97"/>
    <w:rsid w:val="00100CA2"/>
    <w:rsid w:val="00100D4D"/>
    <w:rsid w:val="00100F6A"/>
    <w:rsid w:val="00100FF1"/>
    <w:rsid w:val="00101071"/>
    <w:rsid w:val="0010123E"/>
    <w:rsid w:val="001015C0"/>
    <w:rsid w:val="00101886"/>
    <w:rsid w:val="00101EDC"/>
    <w:rsid w:val="001021B9"/>
    <w:rsid w:val="00102D3C"/>
    <w:rsid w:val="0010335A"/>
    <w:rsid w:val="00103440"/>
    <w:rsid w:val="001034FA"/>
    <w:rsid w:val="001035A0"/>
    <w:rsid w:val="00103800"/>
    <w:rsid w:val="001039DF"/>
    <w:rsid w:val="001040EF"/>
    <w:rsid w:val="001041A3"/>
    <w:rsid w:val="00104795"/>
    <w:rsid w:val="00104A1A"/>
    <w:rsid w:val="00104DC7"/>
    <w:rsid w:val="00105A9D"/>
    <w:rsid w:val="00106EC4"/>
    <w:rsid w:val="001077A7"/>
    <w:rsid w:val="00107FCE"/>
    <w:rsid w:val="00110A8A"/>
    <w:rsid w:val="00110B97"/>
    <w:rsid w:val="00111380"/>
    <w:rsid w:val="00111AD7"/>
    <w:rsid w:val="00111FE3"/>
    <w:rsid w:val="001120AF"/>
    <w:rsid w:val="00112DEB"/>
    <w:rsid w:val="001134BC"/>
    <w:rsid w:val="00114252"/>
    <w:rsid w:val="001142FF"/>
    <w:rsid w:val="001143CB"/>
    <w:rsid w:val="0011480B"/>
    <w:rsid w:val="00114CFD"/>
    <w:rsid w:val="00116B4D"/>
    <w:rsid w:val="00117128"/>
    <w:rsid w:val="001171B7"/>
    <w:rsid w:val="00117314"/>
    <w:rsid w:val="001179DE"/>
    <w:rsid w:val="001207E0"/>
    <w:rsid w:val="0012082B"/>
    <w:rsid w:val="00120A15"/>
    <w:rsid w:val="00121518"/>
    <w:rsid w:val="0012173E"/>
    <w:rsid w:val="00122094"/>
    <w:rsid w:val="0012218E"/>
    <w:rsid w:val="001224D6"/>
    <w:rsid w:val="00122AB4"/>
    <w:rsid w:val="00123277"/>
    <w:rsid w:val="00123315"/>
    <w:rsid w:val="00123E39"/>
    <w:rsid w:val="00123EA3"/>
    <w:rsid w:val="0012415C"/>
    <w:rsid w:val="00124E25"/>
    <w:rsid w:val="00125A15"/>
    <w:rsid w:val="00125AEF"/>
    <w:rsid w:val="00125C19"/>
    <w:rsid w:val="0012661E"/>
    <w:rsid w:val="00126E3B"/>
    <w:rsid w:val="0012744A"/>
    <w:rsid w:val="001276CD"/>
    <w:rsid w:val="00127C8E"/>
    <w:rsid w:val="00127F3A"/>
    <w:rsid w:val="00131104"/>
    <w:rsid w:val="00131230"/>
    <w:rsid w:val="00131298"/>
    <w:rsid w:val="00131381"/>
    <w:rsid w:val="00131607"/>
    <w:rsid w:val="001329EA"/>
    <w:rsid w:val="00133806"/>
    <w:rsid w:val="00133D21"/>
    <w:rsid w:val="00133E77"/>
    <w:rsid w:val="00134C3B"/>
    <w:rsid w:val="00134C3F"/>
    <w:rsid w:val="00135176"/>
    <w:rsid w:val="001353CF"/>
    <w:rsid w:val="001364C6"/>
    <w:rsid w:val="00136C17"/>
    <w:rsid w:val="00137496"/>
    <w:rsid w:val="00137699"/>
    <w:rsid w:val="001403C1"/>
    <w:rsid w:val="00140405"/>
    <w:rsid w:val="001405DF"/>
    <w:rsid w:val="00140824"/>
    <w:rsid w:val="00140FAA"/>
    <w:rsid w:val="0014131D"/>
    <w:rsid w:val="0014288B"/>
    <w:rsid w:val="00142D7B"/>
    <w:rsid w:val="001432B0"/>
    <w:rsid w:val="00143659"/>
    <w:rsid w:val="00143A4F"/>
    <w:rsid w:val="001442EC"/>
    <w:rsid w:val="001443DD"/>
    <w:rsid w:val="00144546"/>
    <w:rsid w:val="0014475A"/>
    <w:rsid w:val="00144AF5"/>
    <w:rsid w:val="00146B7E"/>
    <w:rsid w:val="00146DE4"/>
    <w:rsid w:val="001471B3"/>
    <w:rsid w:val="00147363"/>
    <w:rsid w:val="0015007A"/>
    <w:rsid w:val="0015009A"/>
    <w:rsid w:val="001500F4"/>
    <w:rsid w:val="00150594"/>
    <w:rsid w:val="001507D2"/>
    <w:rsid w:val="00150859"/>
    <w:rsid w:val="001508AF"/>
    <w:rsid w:val="00150A89"/>
    <w:rsid w:val="0015138E"/>
    <w:rsid w:val="0015159B"/>
    <w:rsid w:val="00151762"/>
    <w:rsid w:val="00151EE5"/>
    <w:rsid w:val="0015304D"/>
    <w:rsid w:val="0015304F"/>
    <w:rsid w:val="001530CB"/>
    <w:rsid w:val="00153328"/>
    <w:rsid w:val="00153FC3"/>
    <w:rsid w:val="00154BB7"/>
    <w:rsid w:val="00155196"/>
    <w:rsid w:val="001552F5"/>
    <w:rsid w:val="00155605"/>
    <w:rsid w:val="001558AE"/>
    <w:rsid w:val="00155AA6"/>
    <w:rsid w:val="00156A71"/>
    <w:rsid w:val="00156FFA"/>
    <w:rsid w:val="00157036"/>
    <w:rsid w:val="00157318"/>
    <w:rsid w:val="00157EA4"/>
    <w:rsid w:val="00160CCF"/>
    <w:rsid w:val="001610EF"/>
    <w:rsid w:val="00161A39"/>
    <w:rsid w:val="00162760"/>
    <w:rsid w:val="00162DF5"/>
    <w:rsid w:val="00162FA6"/>
    <w:rsid w:val="00164C2C"/>
    <w:rsid w:val="00164D21"/>
    <w:rsid w:val="00165265"/>
    <w:rsid w:val="00165535"/>
    <w:rsid w:val="0016622D"/>
    <w:rsid w:val="00166849"/>
    <w:rsid w:val="00166A02"/>
    <w:rsid w:val="0016725F"/>
    <w:rsid w:val="0016736A"/>
    <w:rsid w:val="00167A56"/>
    <w:rsid w:val="00167A6E"/>
    <w:rsid w:val="0017017B"/>
    <w:rsid w:val="001703E7"/>
    <w:rsid w:val="00170B4D"/>
    <w:rsid w:val="00170FE4"/>
    <w:rsid w:val="001712FE"/>
    <w:rsid w:val="00171D35"/>
    <w:rsid w:val="00171F3E"/>
    <w:rsid w:val="001723D2"/>
    <w:rsid w:val="001728FB"/>
    <w:rsid w:val="00173A48"/>
    <w:rsid w:val="00173EE2"/>
    <w:rsid w:val="001748DE"/>
    <w:rsid w:val="00174BFF"/>
    <w:rsid w:val="00175325"/>
    <w:rsid w:val="00175D6F"/>
    <w:rsid w:val="00175E0F"/>
    <w:rsid w:val="00175E5B"/>
    <w:rsid w:val="0017634A"/>
    <w:rsid w:val="001773B6"/>
    <w:rsid w:val="0017760C"/>
    <w:rsid w:val="00177B5F"/>
    <w:rsid w:val="001800A1"/>
    <w:rsid w:val="001802F3"/>
    <w:rsid w:val="00181013"/>
    <w:rsid w:val="00181F88"/>
    <w:rsid w:val="001822D4"/>
    <w:rsid w:val="0018278D"/>
    <w:rsid w:val="00182925"/>
    <w:rsid w:val="00182B33"/>
    <w:rsid w:val="0018307B"/>
    <w:rsid w:val="00183186"/>
    <w:rsid w:val="001831FE"/>
    <w:rsid w:val="00183419"/>
    <w:rsid w:val="00183E77"/>
    <w:rsid w:val="001841FC"/>
    <w:rsid w:val="00184826"/>
    <w:rsid w:val="00185436"/>
    <w:rsid w:val="001857C6"/>
    <w:rsid w:val="00185B05"/>
    <w:rsid w:val="00185D86"/>
    <w:rsid w:val="00186667"/>
    <w:rsid w:val="001901AE"/>
    <w:rsid w:val="0019023F"/>
    <w:rsid w:val="00190342"/>
    <w:rsid w:val="001905F9"/>
    <w:rsid w:val="00190C34"/>
    <w:rsid w:val="00190EAB"/>
    <w:rsid w:val="00190F66"/>
    <w:rsid w:val="00191AFD"/>
    <w:rsid w:val="00191C96"/>
    <w:rsid w:val="001927FF"/>
    <w:rsid w:val="00193559"/>
    <w:rsid w:val="00193738"/>
    <w:rsid w:val="00193887"/>
    <w:rsid w:val="00193A04"/>
    <w:rsid w:val="00193D2B"/>
    <w:rsid w:val="001951FD"/>
    <w:rsid w:val="0019522B"/>
    <w:rsid w:val="00195416"/>
    <w:rsid w:val="001957C1"/>
    <w:rsid w:val="001959D3"/>
    <w:rsid w:val="00196563"/>
    <w:rsid w:val="00196801"/>
    <w:rsid w:val="00196A5C"/>
    <w:rsid w:val="001973B3"/>
    <w:rsid w:val="0019740A"/>
    <w:rsid w:val="0019793D"/>
    <w:rsid w:val="00197977"/>
    <w:rsid w:val="001A06A1"/>
    <w:rsid w:val="001A11AD"/>
    <w:rsid w:val="001A11B2"/>
    <w:rsid w:val="001A166D"/>
    <w:rsid w:val="001A1B11"/>
    <w:rsid w:val="001A1BBF"/>
    <w:rsid w:val="001A1C45"/>
    <w:rsid w:val="001A1EEF"/>
    <w:rsid w:val="001A2A3C"/>
    <w:rsid w:val="001A3052"/>
    <w:rsid w:val="001A3C74"/>
    <w:rsid w:val="001A43C7"/>
    <w:rsid w:val="001A440D"/>
    <w:rsid w:val="001A45A0"/>
    <w:rsid w:val="001A46AC"/>
    <w:rsid w:val="001A4934"/>
    <w:rsid w:val="001A5015"/>
    <w:rsid w:val="001A56B0"/>
    <w:rsid w:val="001A57A5"/>
    <w:rsid w:val="001A5FFA"/>
    <w:rsid w:val="001A644E"/>
    <w:rsid w:val="001A6E43"/>
    <w:rsid w:val="001A7530"/>
    <w:rsid w:val="001B0051"/>
    <w:rsid w:val="001B075A"/>
    <w:rsid w:val="001B0EBD"/>
    <w:rsid w:val="001B10E6"/>
    <w:rsid w:val="001B1251"/>
    <w:rsid w:val="001B145F"/>
    <w:rsid w:val="001B1641"/>
    <w:rsid w:val="001B1DCF"/>
    <w:rsid w:val="001B208A"/>
    <w:rsid w:val="001B2D65"/>
    <w:rsid w:val="001B39B3"/>
    <w:rsid w:val="001B3C35"/>
    <w:rsid w:val="001B43FE"/>
    <w:rsid w:val="001B4766"/>
    <w:rsid w:val="001B4F4C"/>
    <w:rsid w:val="001B505D"/>
    <w:rsid w:val="001B584A"/>
    <w:rsid w:val="001B5A19"/>
    <w:rsid w:val="001B62E3"/>
    <w:rsid w:val="001B63D9"/>
    <w:rsid w:val="001B7759"/>
    <w:rsid w:val="001B79AD"/>
    <w:rsid w:val="001B7EFF"/>
    <w:rsid w:val="001C0602"/>
    <w:rsid w:val="001C060C"/>
    <w:rsid w:val="001C0B1F"/>
    <w:rsid w:val="001C0C4F"/>
    <w:rsid w:val="001C0E91"/>
    <w:rsid w:val="001C186B"/>
    <w:rsid w:val="001C1F8C"/>
    <w:rsid w:val="001C2443"/>
    <w:rsid w:val="001C24BF"/>
    <w:rsid w:val="001C3397"/>
    <w:rsid w:val="001C3467"/>
    <w:rsid w:val="001C3640"/>
    <w:rsid w:val="001C369C"/>
    <w:rsid w:val="001C4278"/>
    <w:rsid w:val="001C4C8D"/>
    <w:rsid w:val="001C4E02"/>
    <w:rsid w:val="001C5912"/>
    <w:rsid w:val="001C59F1"/>
    <w:rsid w:val="001C59F4"/>
    <w:rsid w:val="001C5CFB"/>
    <w:rsid w:val="001C609F"/>
    <w:rsid w:val="001C60B3"/>
    <w:rsid w:val="001C6D79"/>
    <w:rsid w:val="001C7FA3"/>
    <w:rsid w:val="001D02F8"/>
    <w:rsid w:val="001D0B6C"/>
    <w:rsid w:val="001D0DBF"/>
    <w:rsid w:val="001D114A"/>
    <w:rsid w:val="001D1E9E"/>
    <w:rsid w:val="001D28A6"/>
    <w:rsid w:val="001D3873"/>
    <w:rsid w:val="001D42CF"/>
    <w:rsid w:val="001D4563"/>
    <w:rsid w:val="001D4641"/>
    <w:rsid w:val="001D4D54"/>
    <w:rsid w:val="001D51BA"/>
    <w:rsid w:val="001D6165"/>
    <w:rsid w:val="001D61BC"/>
    <w:rsid w:val="001D68B8"/>
    <w:rsid w:val="001D6934"/>
    <w:rsid w:val="001D6AA5"/>
    <w:rsid w:val="001D731D"/>
    <w:rsid w:val="001D7A81"/>
    <w:rsid w:val="001D7C5C"/>
    <w:rsid w:val="001E00EE"/>
    <w:rsid w:val="001E04F1"/>
    <w:rsid w:val="001E066C"/>
    <w:rsid w:val="001E114A"/>
    <w:rsid w:val="001E126A"/>
    <w:rsid w:val="001E199C"/>
    <w:rsid w:val="001E2A6D"/>
    <w:rsid w:val="001E3790"/>
    <w:rsid w:val="001E3D18"/>
    <w:rsid w:val="001E3D98"/>
    <w:rsid w:val="001E47DC"/>
    <w:rsid w:val="001E596D"/>
    <w:rsid w:val="001E5C5A"/>
    <w:rsid w:val="001E5E96"/>
    <w:rsid w:val="001E679F"/>
    <w:rsid w:val="001E6F21"/>
    <w:rsid w:val="001E6FD6"/>
    <w:rsid w:val="001E7871"/>
    <w:rsid w:val="001E7DB4"/>
    <w:rsid w:val="001F0142"/>
    <w:rsid w:val="001F02AA"/>
    <w:rsid w:val="001F1302"/>
    <w:rsid w:val="001F167D"/>
    <w:rsid w:val="001F21A1"/>
    <w:rsid w:val="001F21DB"/>
    <w:rsid w:val="001F2BA3"/>
    <w:rsid w:val="001F2FC4"/>
    <w:rsid w:val="001F2FD7"/>
    <w:rsid w:val="001F3125"/>
    <w:rsid w:val="001F32E1"/>
    <w:rsid w:val="001F39CE"/>
    <w:rsid w:val="001F3C84"/>
    <w:rsid w:val="001F4975"/>
    <w:rsid w:val="001F4F2C"/>
    <w:rsid w:val="001F5010"/>
    <w:rsid w:val="001F5E3F"/>
    <w:rsid w:val="001F61DB"/>
    <w:rsid w:val="001F6A41"/>
    <w:rsid w:val="001F6A76"/>
    <w:rsid w:val="001F7027"/>
    <w:rsid w:val="001F7234"/>
    <w:rsid w:val="001F7A36"/>
    <w:rsid w:val="001F7F30"/>
    <w:rsid w:val="00200354"/>
    <w:rsid w:val="002005CF"/>
    <w:rsid w:val="002008A4"/>
    <w:rsid w:val="0020093F"/>
    <w:rsid w:val="002011D6"/>
    <w:rsid w:val="002019A8"/>
    <w:rsid w:val="00201C9E"/>
    <w:rsid w:val="00201F29"/>
    <w:rsid w:val="0020254B"/>
    <w:rsid w:val="00204A12"/>
    <w:rsid w:val="00205B77"/>
    <w:rsid w:val="002062C5"/>
    <w:rsid w:val="0020637B"/>
    <w:rsid w:val="002063D7"/>
    <w:rsid w:val="00207E4D"/>
    <w:rsid w:val="002103D8"/>
    <w:rsid w:val="00210E47"/>
    <w:rsid w:val="00210FBD"/>
    <w:rsid w:val="002111D7"/>
    <w:rsid w:val="00211369"/>
    <w:rsid w:val="002113F6"/>
    <w:rsid w:val="002120B7"/>
    <w:rsid w:val="002124D0"/>
    <w:rsid w:val="002125DE"/>
    <w:rsid w:val="00212625"/>
    <w:rsid w:val="00213003"/>
    <w:rsid w:val="00213433"/>
    <w:rsid w:val="0021376B"/>
    <w:rsid w:val="00213CDE"/>
    <w:rsid w:val="00213DC3"/>
    <w:rsid w:val="00214988"/>
    <w:rsid w:val="00215536"/>
    <w:rsid w:val="002155E5"/>
    <w:rsid w:val="00215C9F"/>
    <w:rsid w:val="00216164"/>
    <w:rsid w:val="002162CA"/>
    <w:rsid w:val="002164E6"/>
    <w:rsid w:val="002165E6"/>
    <w:rsid w:val="00216D63"/>
    <w:rsid w:val="00217718"/>
    <w:rsid w:val="00217817"/>
    <w:rsid w:val="00220091"/>
    <w:rsid w:val="00220847"/>
    <w:rsid w:val="00220A9A"/>
    <w:rsid w:val="00221153"/>
    <w:rsid w:val="002222B1"/>
    <w:rsid w:val="00222930"/>
    <w:rsid w:val="00222FB2"/>
    <w:rsid w:val="00223438"/>
    <w:rsid w:val="0022350F"/>
    <w:rsid w:val="00223703"/>
    <w:rsid w:val="0022402A"/>
    <w:rsid w:val="00224988"/>
    <w:rsid w:val="002258C2"/>
    <w:rsid w:val="00225990"/>
    <w:rsid w:val="00225999"/>
    <w:rsid w:val="00225AB3"/>
    <w:rsid w:val="00225B85"/>
    <w:rsid w:val="0022650C"/>
    <w:rsid w:val="00226596"/>
    <w:rsid w:val="00226CDB"/>
    <w:rsid w:val="00226CE5"/>
    <w:rsid w:val="002271A4"/>
    <w:rsid w:val="00227936"/>
    <w:rsid w:val="00227C48"/>
    <w:rsid w:val="002301A5"/>
    <w:rsid w:val="002305EF"/>
    <w:rsid w:val="002310DE"/>
    <w:rsid w:val="00231704"/>
    <w:rsid w:val="00231F9F"/>
    <w:rsid w:val="00232A8E"/>
    <w:rsid w:val="00232BC2"/>
    <w:rsid w:val="00233222"/>
    <w:rsid w:val="00233FE7"/>
    <w:rsid w:val="0023410A"/>
    <w:rsid w:val="002341DD"/>
    <w:rsid w:val="0023508D"/>
    <w:rsid w:val="0023513A"/>
    <w:rsid w:val="0023528E"/>
    <w:rsid w:val="00235384"/>
    <w:rsid w:val="002353EE"/>
    <w:rsid w:val="002359AE"/>
    <w:rsid w:val="00235AA7"/>
    <w:rsid w:val="0023637A"/>
    <w:rsid w:val="0023657B"/>
    <w:rsid w:val="00236CE2"/>
    <w:rsid w:val="002371A4"/>
    <w:rsid w:val="002372FC"/>
    <w:rsid w:val="00237544"/>
    <w:rsid w:val="0023767C"/>
    <w:rsid w:val="00237EC9"/>
    <w:rsid w:val="00237F38"/>
    <w:rsid w:val="00240262"/>
    <w:rsid w:val="0024054F"/>
    <w:rsid w:val="0024058D"/>
    <w:rsid w:val="0024061F"/>
    <w:rsid w:val="00240AC6"/>
    <w:rsid w:val="00240CE1"/>
    <w:rsid w:val="002410EF"/>
    <w:rsid w:val="00241786"/>
    <w:rsid w:val="002417F6"/>
    <w:rsid w:val="00241CD7"/>
    <w:rsid w:val="002420D8"/>
    <w:rsid w:val="00242314"/>
    <w:rsid w:val="002424D0"/>
    <w:rsid w:val="0024295A"/>
    <w:rsid w:val="00242A79"/>
    <w:rsid w:val="00243D9E"/>
    <w:rsid w:val="00244612"/>
    <w:rsid w:val="002449BF"/>
    <w:rsid w:val="002449D5"/>
    <w:rsid w:val="00244B82"/>
    <w:rsid w:val="00244EFE"/>
    <w:rsid w:val="00245041"/>
    <w:rsid w:val="00245357"/>
    <w:rsid w:val="002457C0"/>
    <w:rsid w:val="00245B03"/>
    <w:rsid w:val="00246193"/>
    <w:rsid w:val="002467DE"/>
    <w:rsid w:val="0024696B"/>
    <w:rsid w:val="00246A72"/>
    <w:rsid w:val="00250032"/>
    <w:rsid w:val="00250245"/>
    <w:rsid w:val="002506CA"/>
    <w:rsid w:val="0025087E"/>
    <w:rsid w:val="00250E55"/>
    <w:rsid w:val="00251ADB"/>
    <w:rsid w:val="002522D5"/>
    <w:rsid w:val="0025275A"/>
    <w:rsid w:val="00253C79"/>
    <w:rsid w:val="00253D44"/>
    <w:rsid w:val="00253D7E"/>
    <w:rsid w:val="00254363"/>
    <w:rsid w:val="002549C8"/>
    <w:rsid w:val="00254C90"/>
    <w:rsid w:val="0025559D"/>
    <w:rsid w:val="002562B4"/>
    <w:rsid w:val="002570C4"/>
    <w:rsid w:val="0025748A"/>
    <w:rsid w:val="00257AD6"/>
    <w:rsid w:val="00260290"/>
    <w:rsid w:val="0026045F"/>
    <w:rsid w:val="00260D8C"/>
    <w:rsid w:val="00260E5C"/>
    <w:rsid w:val="00261440"/>
    <w:rsid w:val="00261782"/>
    <w:rsid w:val="00261B1B"/>
    <w:rsid w:val="00262250"/>
    <w:rsid w:val="0026237E"/>
    <w:rsid w:val="002628F6"/>
    <w:rsid w:val="00262A07"/>
    <w:rsid w:val="0026337D"/>
    <w:rsid w:val="00263EB9"/>
    <w:rsid w:val="00263ED2"/>
    <w:rsid w:val="00264795"/>
    <w:rsid w:val="00264B46"/>
    <w:rsid w:val="00264DF3"/>
    <w:rsid w:val="00264E3A"/>
    <w:rsid w:val="00264E52"/>
    <w:rsid w:val="002652A6"/>
    <w:rsid w:val="002652B1"/>
    <w:rsid w:val="002656EC"/>
    <w:rsid w:val="002656EE"/>
    <w:rsid w:val="00265C0B"/>
    <w:rsid w:val="00266429"/>
    <w:rsid w:val="00267825"/>
    <w:rsid w:val="00267C47"/>
    <w:rsid w:val="0027081E"/>
    <w:rsid w:val="00271E83"/>
    <w:rsid w:val="00272076"/>
    <w:rsid w:val="00272687"/>
    <w:rsid w:val="00272B9B"/>
    <w:rsid w:val="00272C0E"/>
    <w:rsid w:val="00272D8B"/>
    <w:rsid w:val="002735FE"/>
    <w:rsid w:val="002745D7"/>
    <w:rsid w:val="00274AD1"/>
    <w:rsid w:val="0027536D"/>
    <w:rsid w:val="0027606C"/>
    <w:rsid w:val="00276194"/>
    <w:rsid w:val="00276246"/>
    <w:rsid w:val="00276393"/>
    <w:rsid w:val="00276FA5"/>
    <w:rsid w:val="00277615"/>
    <w:rsid w:val="00277A7B"/>
    <w:rsid w:val="00277DC3"/>
    <w:rsid w:val="00277E28"/>
    <w:rsid w:val="002800CA"/>
    <w:rsid w:val="00280475"/>
    <w:rsid w:val="0028129E"/>
    <w:rsid w:val="002813A4"/>
    <w:rsid w:val="00281DF9"/>
    <w:rsid w:val="00281E21"/>
    <w:rsid w:val="002820C5"/>
    <w:rsid w:val="002826DD"/>
    <w:rsid w:val="002828E2"/>
    <w:rsid w:val="00282B98"/>
    <w:rsid w:val="00283938"/>
    <w:rsid w:val="00283B02"/>
    <w:rsid w:val="00284087"/>
    <w:rsid w:val="002849D7"/>
    <w:rsid w:val="00284DA0"/>
    <w:rsid w:val="002855A2"/>
    <w:rsid w:val="00285951"/>
    <w:rsid w:val="00286485"/>
    <w:rsid w:val="002864DA"/>
    <w:rsid w:val="00290151"/>
    <w:rsid w:val="00291433"/>
    <w:rsid w:val="0029155B"/>
    <w:rsid w:val="0029193B"/>
    <w:rsid w:val="00291BFD"/>
    <w:rsid w:val="00291C0E"/>
    <w:rsid w:val="00291DF7"/>
    <w:rsid w:val="00292088"/>
    <w:rsid w:val="0029273E"/>
    <w:rsid w:val="00292BBB"/>
    <w:rsid w:val="00292C69"/>
    <w:rsid w:val="00292DAB"/>
    <w:rsid w:val="00292F51"/>
    <w:rsid w:val="00294258"/>
    <w:rsid w:val="002948B9"/>
    <w:rsid w:val="00295F82"/>
    <w:rsid w:val="0029611B"/>
    <w:rsid w:val="002963D1"/>
    <w:rsid w:val="0029646B"/>
    <w:rsid w:val="00296666"/>
    <w:rsid w:val="00296695"/>
    <w:rsid w:val="002967B7"/>
    <w:rsid w:val="00297DB2"/>
    <w:rsid w:val="002A0571"/>
    <w:rsid w:val="002A0827"/>
    <w:rsid w:val="002A0A8A"/>
    <w:rsid w:val="002A0CF0"/>
    <w:rsid w:val="002A0D3C"/>
    <w:rsid w:val="002A1136"/>
    <w:rsid w:val="002A1C5F"/>
    <w:rsid w:val="002A1CC0"/>
    <w:rsid w:val="002A1D03"/>
    <w:rsid w:val="002A2016"/>
    <w:rsid w:val="002A202E"/>
    <w:rsid w:val="002A2538"/>
    <w:rsid w:val="002A30F2"/>
    <w:rsid w:val="002A331E"/>
    <w:rsid w:val="002A36B4"/>
    <w:rsid w:val="002A37D3"/>
    <w:rsid w:val="002A3CEC"/>
    <w:rsid w:val="002A552B"/>
    <w:rsid w:val="002A5631"/>
    <w:rsid w:val="002A5F12"/>
    <w:rsid w:val="002A6A8E"/>
    <w:rsid w:val="002A6C8C"/>
    <w:rsid w:val="002A6ED3"/>
    <w:rsid w:val="002A78C2"/>
    <w:rsid w:val="002A7A1A"/>
    <w:rsid w:val="002B0251"/>
    <w:rsid w:val="002B071D"/>
    <w:rsid w:val="002B0992"/>
    <w:rsid w:val="002B0B0C"/>
    <w:rsid w:val="002B0FF8"/>
    <w:rsid w:val="002B1B9C"/>
    <w:rsid w:val="002B1DFF"/>
    <w:rsid w:val="002B21EE"/>
    <w:rsid w:val="002B26C6"/>
    <w:rsid w:val="002B2EDB"/>
    <w:rsid w:val="002B380B"/>
    <w:rsid w:val="002B44FC"/>
    <w:rsid w:val="002B460F"/>
    <w:rsid w:val="002B48AC"/>
    <w:rsid w:val="002B4F23"/>
    <w:rsid w:val="002B590F"/>
    <w:rsid w:val="002B6588"/>
    <w:rsid w:val="002B6FE5"/>
    <w:rsid w:val="002B707E"/>
    <w:rsid w:val="002B7FE5"/>
    <w:rsid w:val="002C00C7"/>
    <w:rsid w:val="002C117F"/>
    <w:rsid w:val="002C167C"/>
    <w:rsid w:val="002C1B33"/>
    <w:rsid w:val="002C263E"/>
    <w:rsid w:val="002C2AAE"/>
    <w:rsid w:val="002C30DD"/>
    <w:rsid w:val="002C3229"/>
    <w:rsid w:val="002C33FF"/>
    <w:rsid w:val="002C356F"/>
    <w:rsid w:val="002C3AA2"/>
    <w:rsid w:val="002C3F27"/>
    <w:rsid w:val="002C482F"/>
    <w:rsid w:val="002C4AC7"/>
    <w:rsid w:val="002C4F7C"/>
    <w:rsid w:val="002C4FAC"/>
    <w:rsid w:val="002C54E0"/>
    <w:rsid w:val="002C5A70"/>
    <w:rsid w:val="002C604D"/>
    <w:rsid w:val="002C6379"/>
    <w:rsid w:val="002C66FA"/>
    <w:rsid w:val="002C6734"/>
    <w:rsid w:val="002C6E39"/>
    <w:rsid w:val="002C6FB9"/>
    <w:rsid w:val="002C78B2"/>
    <w:rsid w:val="002C7C14"/>
    <w:rsid w:val="002D114B"/>
    <w:rsid w:val="002D1BD5"/>
    <w:rsid w:val="002D1CD1"/>
    <w:rsid w:val="002D1E2E"/>
    <w:rsid w:val="002D212C"/>
    <w:rsid w:val="002D22B3"/>
    <w:rsid w:val="002D2AD9"/>
    <w:rsid w:val="002D2D4B"/>
    <w:rsid w:val="002D32E6"/>
    <w:rsid w:val="002D3478"/>
    <w:rsid w:val="002D38D3"/>
    <w:rsid w:val="002D4CDB"/>
    <w:rsid w:val="002D4F67"/>
    <w:rsid w:val="002D4FDB"/>
    <w:rsid w:val="002D57E1"/>
    <w:rsid w:val="002D5C54"/>
    <w:rsid w:val="002D6C1B"/>
    <w:rsid w:val="002D6F0E"/>
    <w:rsid w:val="002E0135"/>
    <w:rsid w:val="002E060A"/>
    <w:rsid w:val="002E0EEE"/>
    <w:rsid w:val="002E0F45"/>
    <w:rsid w:val="002E1026"/>
    <w:rsid w:val="002E1135"/>
    <w:rsid w:val="002E129F"/>
    <w:rsid w:val="002E18CD"/>
    <w:rsid w:val="002E1C78"/>
    <w:rsid w:val="002E1EBE"/>
    <w:rsid w:val="002E2156"/>
    <w:rsid w:val="002E298F"/>
    <w:rsid w:val="002E2BB2"/>
    <w:rsid w:val="002E2C26"/>
    <w:rsid w:val="002E2F71"/>
    <w:rsid w:val="002E371C"/>
    <w:rsid w:val="002E3CF0"/>
    <w:rsid w:val="002E428D"/>
    <w:rsid w:val="002E4751"/>
    <w:rsid w:val="002E4EC6"/>
    <w:rsid w:val="002E521A"/>
    <w:rsid w:val="002E53C9"/>
    <w:rsid w:val="002E5767"/>
    <w:rsid w:val="002E5B31"/>
    <w:rsid w:val="002E690E"/>
    <w:rsid w:val="002E735E"/>
    <w:rsid w:val="002E7DA4"/>
    <w:rsid w:val="002F01C8"/>
    <w:rsid w:val="002F0724"/>
    <w:rsid w:val="002F0C5A"/>
    <w:rsid w:val="002F1560"/>
    <w:rsid w:val="002F1C10"/>
    <w:rsid w:val="002F23B2"/>
    <w:rsid w:val="002F24E6"/>
    <w:rsid w:val="002F2887"/>
    <w:rsid w:val="002F2971"/>
    <w:rsid w:val="002F2DCA"/>
    <w:rsid w:val="002F3309"/>
    <w:rsid w:val="002F35B8"/>
    <w:rsid w:val="002F3F5F"/>
    <w:rsid w:val="002F4440"/>
    <w:rsid w:val="002F4688"/>
    <w:rsid w:val="002F4B85"/>
    <w:rsid w:val="002F4DB6"/>
    <w:rsid w:val="002F4F87"/>
    <w:rsid w:val="002F53B4"/>
    <w:rsid w:val="002F5C66"/>
    <w:rsid w:val="002F69A2"/>
    <w:rsid w:val="002F6B52"/>
    <w:rsid w:val="002F6E32"/>
    <w:rsid w:val="002F7FCF"/>
    <w:rsid w:val="00300042"/>
    <w:rsid w:val="00300D61"/>
    <w:rsid w:val="00300D8B"/>
    <w:rsid w:val="003012E0"/>
    <w:rsid w:val="003013D8"/>
    <w:rsid w:val="0030140B"/>
    <w:rsid w:val="00301D71"/>
    <w:rsid w:val="003025D5"/>
    <w:rsid w:val="003026D6"/>
    <w:rsid w:val="00302EF0"/>
    <w:rsid w:val="00302F6E"/>
    <w:rsid w:val="0030324C"/>
    <w:rsid w:val="00303E07"/>
    <w:rsid w:val="003046EA"/>
    <w:rsid w:val="0030538C"/>
    <w:rsid w:val="00305628"/>
    <w:rsid w:val="0030562B"/>
    <w:rsid w:val="00305997"/>
    <w:rsid w:val="00305CD4"/>
    <w:rsid w:val="0030715C"/>
    <w:rsid w:val="003078EF"/>
    <w:rsid w:val="00307F77"/>
    <w:rsid w:val="00310813"/>
    <w:rsid w:val="003108B6"/>
    <w:rsid w:val="003108F2"/>
    <w:rsid w:val="00310EFA"/>
    <w:rsid w:val="003110D9"/>
    <w:rsid w:val="00311360"/>
    <w:rsid w:val="00311A5C"/>
    <w:rsid w:val="00312064"/>
    <w:rsid w:val="0031220C"/>
    <w:rsid w:val="00312516"/>
    <w:rsid w:val="00312BBC"/>
    <w:rsid w:val="00312C49"/>
    <w:rsid w:val="00313066"/>
    <w:rsid w:val="0031354D"/>
    <w:rsid w:val="0031364A"/>
    <w:rsid w:val="0031366E"/>
    <w:rsid w:val="003149C7"/>
    <w:rsid w:val="00315657"/>
    <w:rsid w:val="003156DC"/>
    <w:rsid w:val="00316020"/>
    <w:rsid w:val="003161F8"/>
    <w:rsid w:val="003164FC"/>
    <w:rsid w:val="00316B9C"/>
    <w:rsid w:val="00316C28"/>
    <w:rsid w:val="00316D2D"/>
    <w:rsid w:val="00317829"/>
    <w:rsid w:val="00320A26"/>
    <w:rsid w:val="00320D6E"/>
    <w:rsid w:val="003216AF"/>
    <w:rsid w:val="0032201C"/>
    <w:rsid w:val="0032250C"/>
    <w:rsid w:val="00322926"/>
    <w:rsid w:val="003232BB"/>
    <w:rsid w:val="003232FF"/>
    <w:rsid w:val="00324B34"/>
    <w:rsid w:val="00325524"/>
    <w:rsid w:val="00325F4A"/>
    <w:rsid w:val="00325FC4"/>
    <w:rsid w:val="0032604D"/>
    <w:rsid w:val="00326163"/>
    <w:rsid w:val="00326814"/>
    <w:rsid w:val="0032689D"/>
    <w:rsid w:val="00326963"/>
    <w:rsid w:val="00326D43"/>
    <w:rsid w:val="003270C2"/>
    <w:rsid w:val="00327715"/>
    <w:rsid w:val="0032793A"/>
    <w:rsid w:val="00330210"/>
    <w:rsid w:val="003304BC"/>
    <w:rsid w:val="00330974"/>
    <w:rsid w:val="00331327"/>
    <w:rsid w:val="0033141A"/>
    <w:rsid w:val="00331D65"/>
    <w:rsid w:val="0033221F"/>
    <w:rsid w:val="00332871"/>
    <w:rsid w:val="00332A4A"/>
    <w:rsid w:val="00332D23"/>
    <w:rsid w:val="00333369"/>
    <w:rsid w:val="00334289"/>
    <w:rsid w:val="0033514B"/>
    <w:rsid w:val="0033567A"/>
    <w:rsid w:val="00335BB7"/>
    <w:rsid w:val="00336419"/>
    <w:rsid w:val="003364B7"/>
    <w:rsid w:val="003365AF"/>
    <w:rsid w:val="003367AF"/>
    <w:rsid w:val="00336933"/>
    <w:rsid w:val="003371FA"/>
    <w:rsid w:val="0033785D"/>
    <w:rsid w:val="00337BCC"/>
    <w:rsid w:val="00340104"/>
    <w:rsid w:val="003406F6"/>
    <w:rsid w:val="0034120F"/>
    <w:rsid w:val="003413C8"/>
    <w:rsid w:val="003419A4"/>
    <w:rsid w:val="00341BC7"/>
    <w:rsid w:val="0034242E"/>
    <w:rsid w:val="003431EC"/>
    <w:rsid w:val="00343457"/>
    <w:rsid w:val="00343891"/>
    <w:rsid w:val="00343F5F"/>
    <w:rsid w:val="003442BB"/>
    <w:rsid w:val="003451C8"/>
    <w:rsid w:val="00345B72"/>
    <w:rsid w:val="00345CFE"/>
    <w:rsid w:val="00346405"/>
    <w:rsid w:val="00346BF0"/>
    <w:rsid w:val="003472FE"/>
    <w:rsid w:val="00347838"/>
    <w:rsid w:val="003479CD"/>
    <w:rsid w:val="00347BCB"/>
    <w:rsid w:val="00350192"/>
    <w:rsid w:val="00350504"/>
    <w:rsid w:val="00350EC5"/>
    <w:rsid w:val="003512F5"/>
    <w:rsid w:val="00351428"/>
    <w:rsid w:val="0035172B"/>
    <w:rsid w:val="00351A90"/>
    <w:rsid w:val="0035237A"/>
    <w:rsid w:val="00352921"/>
    <w:rsid w:val="00352B10"/>
    <w:rsid w:val="00352BEC"/>
    <w:rsid w:val="00353E48"/>
    <w:rsid w:val="00354223"/>
    <w:rsid w:val="00354751"/>
    <w:rsid w:val="00354BA7"/>
    <w:rsid w:val="00354FE9"/>
    <w:rsid w:val="00355148"/>
    <w:rsid w:val="003554A7"/>
    <w:rsid w:val="00355629"/>
    <w:rsid w:val="00355E4C"/>
    <w:rsid w:val="00355F70"/>
    <w:rsid w:val="003563DA"/>
    <w:rsid w:val="00356646"/>
    <w:rsid w:val="0035665C"/>
    <w:rsid w:val="0035674C"/>
    <w:rsid w:val="00356779"/>
    <w:rsid w:val="00356DED"/>
    <w:rsid w:val="00357BC7"/>
    <w:rsid w:val="00357DF1"/>
    <w:rsid w:val="00360492"/>
    <w:rsid w:val="003618EF"/>
    <w:rsid w:val="00362003"/>
    <w:rsid w:val="00362018"/>
    <w:rsid w:val="00362226"/>
    <w:rsid w:val="0036248B"/>
    <w:rsid w:val="003624E0"/>
    <w:rsid w:val="00362C64"/>
    <w:rsid w:val="00362CF8"/>
    <w:rsid w:val="00362ED4"/>
    <w:rsid w:val="00363208"/>
    <w:rsid w:val="00363533"/>
    <w:rsid w:val="00363984"/>
    <w:rsid w:val="00363BB9"/>
    <w:rsid w:val="003641E6"/>
    <w:rsid w:val="0036427B"/>
    <w:rsid w:val="0036636F"/>
    <w:rsid w:val="003663AB"/>
    <w:rsid w:val="003666D8"/>
    <w:rsid w:val="00366B16"/>
    <w:rsid w:val="00366D0B"/>
    <w:rsid w:val="003675A9"/>
    <w:rsid w:val="00367733"/>
    <w:rsid w:val="00367B3D"/>
    <w:rsid w:val="00367EAA"/>
    <w:rsid w:val="00367FE1"/>
    <w:rsid w:val="003700CA"/>
    <w:rsid w:val="00370154"/>
    <w:rsid w:val="003703EE"/>
    <w:rsid w:val="00370479"/>
    <w:rsid w:val="00371378"/>
    <w:rsid w:val="00371F09"/>
    <w:rsid w:val="00372323"/>
    <w:rsid w:val="0037264F"/>
    <w:rsid w:val="00372A2A"/>
    <w:rsid w:val="00372B14"/>
    <w:rsid w:val="00372B73"/>
    <w:rsid w:val="00373424"/>
    <w:rsid w:val="0037377A"/>
    <w:rsid w:val="0037511B"/>
    <w:rsid w:val="003755FC"/>
    <w:rsid w:val="00375A05"/>
    <w:rsid w:val="0037647B"/>
    <w:rsid w:val="0037662C"/>
    <w:rsid w:val="00377442"/>
    <w:rsid w:val="003775B7"/>
    <w:rsid w:val="00377F4C"/>
    <w:rsid w:val="00380141"/>
    <w:rsid w:val="003801BA"/>
    <w:rsid w:val="00380735"/>
    <w:rsid w:val="00380B29"/>
    <w:rsid w:val="00380FBF"/>
    <w:rsid w:val="00380FDE"/>
    <w:rsid w:val="00381453"/>
    <w:rsid w:val="00381DA5"/>
    <w:rsid w:val="0038207A"/>
    <w:rsid w:val="00382169"/>
    <w:rsid w:val="00382354"/>
    <w:rsid w:val="00383938"/>
    <w:rsid w:val="003839EE"/>
    <w:rsid w:val="00383A19"/>
    <w:rsid w:val="00383D59"/>
    <w:rsid w:val="003840D7"/>
    <w:rsid w:val="003843BA"/>
    <w:rsid w:val="003849AF"/>
    <w:rsid w:val="003851A6"/>
    <w:rsid w:val="003853EC"/>
    <w:rsid w:val="0038558D"/>
    <w:rsid w:val="00386AB2"/>
    <w:rsid w:val="00387375"/>
    <w:rsid w:val="003873A8"/>
    <w:rsid w:val="003876B1"/>
    <w:rsid w:val="00390190"/>
    <w:rsid w:val="003902BD"/>
    <w:rsid w:val="00390359"/>
    <w:rsid w:val="00391258"/>
    <w:rsid w:val="00391C6F"/>
    <w:rsid w:val="00391E60"/>
    <w:rsid w:val="00392294"/>
    <w:rsid w:val="003928D4"/>
    <w:rsid w:val="003929C4"/>
    <w:rsid w:val="00392AAE"/>
    <w:rsid w:val="00392D04"/>
    <w:rsid w:val="00393374"/>
    <w:rsid w:val="00393A4D"/>
    <w:rsid w:val="00393AC1"/>
    <w:rsid w:val="00393BAD"/>
    <w:rsid w:val="0039403B"/>
    <w:rsid w:val="00395089"/>
    <w:rsid w:val="00395469"/>
    <w:rsid w:val="00396503"/>
    <w:rsid w:val="00396681"/>
    <w:rsid w:val="003966C8"/>
    <w:rsid w:val="0039690C"/>
    <w:rsid w:val="003A0224"/>
    <w:rsid w:val="003A0573"/>
    <w:rsid w:val="003A2030"/>
    <w:rsid w:val="003A2656"/>
    <w:rsid w:val="003A2A69"/>
    <w:rsid w:val="003A2CC4"/>
    <w:rsid w:val="003A2F59"/>
    <w:rsid w:val="003A3A87"/>
    <w:rsid w:val="003A3E01"/>
    <w:rsid w:val="003A488E"/>
    <w:rsid w:val="003A4B5A"/>
    <w:rsid w:val="003A4C82"/>
    <w:rsid w:val="003A4CCE"/>
    <w:rsid w:val="003A5579"/>
    <w:rsid w:val="003A557A"/>
    <w:rsid w:val="003A648D"/>
    <w:rsid w:val="003A67A7"/>
    <w:rsid w:val="003A6E38"/>
    <w:rsid w:val="003A733B"/>
    <w:rsid w:val="003A7A46"/>
    <w:rsid w:val="003A7B3C"/>
    <w:rsid w:val="003B031B"/>
    <w:rsid w:val="003B0997"/>
    <w:rsid w:val="003B09A2"/>
    <w:rsid w:val="003B0EBF"/>
    <w:rsid w:val="003B1B93"/>
    <w:rsid w:val="003B1CDC"/>
    <w:rsid w:val="003B2611"/>
    <w:rsid w:val="003B27C5"/>
    <w:rsid w:val="003B2BA5"/>
    <w:rsid w:val="003B2CF1"/>
    <w:rsid w:val="003B2D2A"/>
    <w:rsid w:val="003B3702"/>
    <w:rsid w:val="003B391E"/>
    <w:rsid w:val="003B3AF5"/>
    <w:rsid w:val="003B3D4A"/>
    <w:rsid w:val="003B3E98"/>
    <w:rsid w:val="003B42F5"/>
    <w:rsid w:val="003B477F"/>
    <w:rsid w:val="003B491F"/>
    <w:rsid w:val="003B5C0D"/>
    <w:rsid w:val="003B5D55"/>
    <w:rsid w:val="003B6536"/>
    <w:rsid w:val="003B66DF"/>
    <w:rsid w:val="003B7FB6"/>
    <w:rsid w:val="003C0041"/>
    <w:rsid w:val="003C012C"/>
    <w:rsid w:val="003C04F5"/>
    <w:rsid w:val="003C0E57"/>
    <w:rsid w:val="003C1D52"/>
    <w:rsid w:val="003C1FAE"/>
    <w:rsid w:val="003C24C5"/>
    <w:rsid w:val="003C24FC"/>
    <w:rsid w:val="003C2719"/>
    <w:rsid w:val="003C2A35"/>
    <w:rsid w:val="003C2ADA"/>
    <w:rsid w:val="003C302A"/>
    <w:rsid w:val="003C3257"/>
    <w:rsid w:val="003C3276"/>
    <w:rsid w:val="003C384D"/>
    <w:rsid w:val="003C3851"/>
    <w:rsid w:val="003C3B8B"/>
    <w:rsid w:val="003C3D29"/>
    <w:rsid w:val="003C3DA7"/>
    <w:rsid w:val="003C4968"/>
    <w:rsid w:val="003C4CE0"/>
    <w:rsid w:val="003C4E25"/>
    <w:rsid w:val="003C5215"/>
    <w:rsid w:val="003C56B0"/>
    <w:rsid w:val="003C5CD0"/>
    <w:rsid w:val="003C79A4"/>
    <w:rsid w:val="003C7D8C"/>
    <w:rsid w:val="003C7E51"/>
    <w:rsid w:val="003C7E62"/>
    <w:rsid w:val="003D0F33"/>
    <w:rsid w:val="003D12FB"/>
    <w:rsid w:val="003D13BB"/>
    <w:rsid w:val="003D1842"/>
    <w:rsid w:val="003D1BA9"/>
    <w:rsid w:val="003D1C78"/>
    <w:rsid w:val="003D1E7A"/>
    <w:rsid w:val="003D1F27"/>
    <w:rsid w:val="003D2176"/>
    <w:rsid w:val="003D286F"/>
    <w:rsid w:val="003D3020"/>
    <w:rsid w:val="003D326D"/>
    <w:rsid w:val="003D345F"/>
    <w:rsid w:val="003D3818"/>
    <w:rsid w:val="003D39EC"/>
    <w:rsid w:val="003D3B3C"/>
    <w:rsid w:val="003D522E"/>
    <w:rsid w:val="003D5251"/>
    <w:rsid w:val="003D561F"/>
    <w:rsid w:val="003D582B"/>
    <w:rsid w:val="003D5A41"/>
    <w:rsid w:val="003D5D27"/>
    <w:rsid w:val="003D6AFD"/>
    <w:rsid w:val="003D6BD5"/>
    <w:rsid w:val="003D6F67"/>
    <w:rsid w:val="003D779B"/>
    <w:rsid w:val="003D7C62"/>
    <w:rsid w:val="003E004C"/>
    <w:rsid w:val="003E088D"/>
    <w:rsid w:val="003E0CC7"/>
    <w:rsid w:val="003E11DB"/>
    <w:rsid w:val="003E1252"/>
    <w:rsid w:val="003E14CE"/>
    <w:rsid w:val="003E15F7"/>
    <w:rsid w:val="003E1981"/>
    <w:rsid w:val="003E1CC0"/>
    <w:rsid w:val="003E1E65"/>
    <w:rsid w:val="003E267A"/>
    <w:rsid w:val="003E293D"/>
    <w:rsid w:val="003E2C66"/>
    <w:rsid w:val="003E35C7"/>
    <w:rsid w:val="003E35F1"/>
    <w:rsid w:val="003E3702"/>
    <w:rsid w:val="003E37A7"/>
    <w:rsid w:val="003E3A16"/>
    <w:rsid w:val="003E3CE5"/>
    <w:rsid w:val="003E3FC8"/>
    <w:rsid w:val="003E4122"/>
    <w:rsid w:val="003E4B49"/>
    <w:rsid w:val="003E4B8E"/>
    <w:rsid w:val="003E4CC6"/>
    <w:rsid w:val="003E4EB7"/>
    <w:rsid w:val="003E558D"/>
    <w:rsid w:val="003E5CD9"/>
    <w:rsid w:val="003E614C"/>
    <w:rsid w:val="003E6EF5"/>
    <w:rsid w:val="003E739A"/>
    <w:rsid w:val="003F005B"/>
    <w:rsid w:val="003F0D1E"/>
    <w:rsid w:val="003F0EE3"/>
    <w:rsid w:val="003F100C"/>
    <w:rsid w:val="003F1684"/>
    <w:rsid w:val="003F16C2"/>
    <w:rsid w:val="003F18B7"/>
    <w:rsid w:val="003F1AEA"/>
    <w:rsid w:val="003F256B"/>
    <w:rsid w:val="003F26A5"/>
    <w:rsid w:val="003F29F9"/>
    <w:rsid w:val="003F2AC6"/>
    <w:rsid w:val="003F2B1B"/>
    <w:rsid w:val="003F2EA5"/>
    <w:rsid w:val="003F35F3"/>
    <w:rsid w:val="003F36CE"/>
    <w:rsid w:val="003F389C"/>
    <w:rsid w:val="003F3CE7"/>
    <w:rsid w:val="003F419C"/>
    <w:rsid w:val="003F4C37"/>
    <w:rsid w:val="003F4CB3"/>
    <w:rsid w:val="003F51DA"/>
    <w:rsid w:val="003F52D8"/>
    <w:rsid w:val="003F58FA"/>
    <w:rsid w:val="003F6312"/>
    <w:rsid w:val="003F6428"/>
    <w:rsid w:val="003F687D"/>
    <w:rsid w:val="003F6B28"/>
    <w:rsid w:val="003F6C6B"/>
    <w:rsid w:val="003F6F13"/>
    <w:rsid w:val="003F7A78"/>
    <w:rsid w:val="003F7D96"/>
    <w:rsid w:val="00400165"/>
    <w:rsid w:val="004005DE"/>
    <w:rsid w:val="0040087D"/>
    <w:rsid w:val="00400E92"/>
    <w:rsid w:val="00400EA3"/>
    <w:rsid w:val="00401E42"/>
    <w:rsid w:val="00402F8F"/>
    <w:rsid w:val="00403201"/>
    <w:rsid w:val="0040401F"/>
    <w:rsid w:val="00404F5C"/>
    <w:rsid w:val="00404F6D"/>
    <w:rsid w:val="00405BB1"/>
    <w:rsid w:val="00406107"/>
    <w:rsid w:val="00407226"/>
    <w:rsid w:val="00407554"/>
    <w:rsid w:val="00407CC4"/>
    <w:rsid w:val="00410A6D"/>
    <w:rsid w:val="004111E0"/>
    <w:rsid w:val="004113F8"/>
    <w:rsid w:val="0041159E"/>
    <w:rsid w:val="00411C14"/>
    <w:rsid w:val="004137A9"/>
    <w:rsid w:val="0041385E"/>
    <w:rsid w:val="00413EAF"/>
    <w:rsid w:val="00414D46"/>
    <w:rsid w:val="00415074"/>
    <w:rsid w:val="00415F17"/>
    <w:rsid w:val="004166E1"/>
    <w:rsid w:val="00416ACA"/>
    <w:rsid w:val="00416DB8"/>
    <w:rsid w:val="00416DDD"/>
    <w:rsid w:val="0041779E"/>
    <w:rsid w:val="00417BA2"/>
    <w:rsid w:val="00420868"/>
    <w:rsid w:val="00420B1A"/>
    <w:rsid w:val="004214DA"/>
    <w:rsid w:val="0042202E"/>
    <w:rsid w:val="004222BF"/>
    <w:rsid w:val="00422B45"/>
    <w:rsid w:val="0042347F"/>
    <w:rsid w:val="00423FB7"/>
    <w:rsid w:val="004246B8"/>
    <w:rsid w:val="004246E5"/>
    <w:rsid w:val="00424EDD"/>
    <w:rsid w:val="004255DE"/>
    <w:rsid w:val="0042578E"/>
    <w:rsid w:val="004257D8"/>
    <w:rsid w:val="00425886"/>
    <w:rsid w:val="004258D2"/>
    <w:rsid w:val="00425EB2"/>
    <w:rsid w:val="00425F39"/>
    <w:rsid w:val="004261EC"/>
    <w:rsid w:val="0042688D"/>
    <w:rsid w:val="00426AD7"/>
    <w:rsid w:val="00426DCB"/>
    <w:rsid w:val="00427C19"/>
    <w:rsid w:val="00427CF4"/>
    <w:rsid w:val="004302ED"/>
    <w:rsid w:val="004305D9"/>
    <w:rsid w:val="00430670"/>
    <w:rsid w:val="00430D67"/>
    <w:rsid w:val="004318AD"/>
    <w:rsid w:val="004326A5"/>
    <w:rsid w:val="00433822"/>
    <w:rsid w:val="00433B45"/>
    <w:rsid w:val="00433C7C"/>
    <w:rsid w:val="00433D00"/>
    <w:rsid w:val="00434570"/>
    <w:rsid w:val="00434FA0"/>
    <w:rsid w:val="004351F0"/>
    <w:rsid w:val="004360E1"/>
    <w:rsid w:val="00436143"/>
    <w:rsid w:val="004372CA"/>
    <w:rsid w:val="00437314"/>
    <w:rsid w:val="0043733A"/>
    <w:rsid w:val="00437805"/>
    <w:rsid w:val="004401E4"/>
    <w:rsid w:val="00440603"/>
    <w:rsid w:val="00440AAD"/>
    <w:rsid w:val="004419F3"/>
    <w:rsid w:val="004420A2"/>
    <w:rsid w:val="00443417"/>
    <w:rsid w:val="00443A95"/>
    <w:rsid w:val="00443C3C"/>
    <w:rsid w:val="00443F68"/>
    <w:rsid w:val="00443F86"/>
    <w:rsid w:val="00443FEE"/>
    <w:rsid w:val="004440AF"/>
    <w:rsid w:val="00444682"/>
    <w:rsid w:val="00445B31"/>
    <w:rsid w:val="0044611D"/>
    <w:rsid w:val="0044637A"/>
    <w:rsid w:val="00446E94"/>
    <w:rsid w:val="00447107"/>
    <w:rsid w:val="00447C67"/>
    <w:rsid w:val="00447EFC"/>
    <w:rsid w:val="00450500"/>
    <w:rsid w:val="00450AC7"/>
    <w:rsid w:val="00450D54"/>
    <w:rsid w:val="00450D82"/>
    <w:rsid w:val="00451173"/>
    <w:rsid w:val="0045137E"/>
    <w:rsid w:val="0045186C"/>
    <w:rsid w:val="00451FBF"/>
    <w:rsid w:val="004524AF"/>
    <w:rsid w:val="00453237"/>
    <w:rsid w:val="004532DD"/>
    <w:rsid w:val="00453626"/>
    <w:rsid w:val="00454648"/>
    <w:rsid w:val="004546B9"/>
    <w:rsid w:val="004546F1"/>
    <w:rsid w:val="0045477B"/>
    <w:rsid w:val="00454FAF"/>
    <w:rsid w:val="00455369"/>
    <w:rsid w:val="004553EE"/>
    <w:rsid w:val="00455B92"/>
    <w:rsid w:val="00455C76"/>
    <w:rsid w:val="00456838"/>
    <w:rsid w:val="00456DCF"/>
    <w:rsid w:val="00456FB6"/>
    <w:rsid w:val="004573FD"/>
    <w:rsid w:val="0045767A"/>
    <w:rsid w:val="004577B6"/>
    <w:rsid w:val="00457C43"/>
    <w:rsid w:val="004602B6"/>
    <w:rsid w:val="00460C65"/>
    <w:rsid w:val="00461A8F"/>
    <w:rsid w:val="00461D13"/>
    <w:rsid w:val="0046224F"/>
    <w:rsid w:val="00462A03"/>
    <w:rsid w:val="00462D65"/>
    <w:rsid w:val="00462D6F"/>
    <w:rsid w:val="00463853"/>
    <w:rsid w:val="0046392F"/>
    <w:rsid w:val="00463BAD"/>
    <w:rsid w:val="00463F04"/>
    <w:rsid w:val="00464408"/>
    <w:rsid w:val="004649BF"/>
    <w:rsid w:val="00464B43"/>
    <w:rsid w:val="00465167"/>
    <w:rsid w:val="00465E78"/>
    <w:rsid w:val="00466279"/>
    <w:rsid w:val="00466531"/>
    <w:rsid w:val="0046775E"/>
    <w:rsid w:val="004679E7"/>
    <w:rsid w:val="0047046D"/>
    <w:rsid w:val="0047075D"/>
    <w:rsid w:val="00470769"/>
    <w:rsid w:val="00470DFC"/>
    <w:rsid w:val="004714AF"/>
    <w:rsid w:val="00471AF8"/>
    <w:rsid w:val="00471B7D"/>
    <w:rsid w:val="00472429"/>
    <w:rsid w:val="00472644"/>
    <w:rsid w:val="004727FF"/>
    <w:rsid w:val="00472843"/>
    <w:rsid w:val="00472F67"/>
    <w:rsid w:val="00473868"/>
    <w:rsid w:val="004742D3"/>
    <w:rsid w:val="00474309"/>
    <w:rsid w:val="00474415"/>
    <w:rsid w:val="004747F9"/>
    <w:rsid w:val="00474931"/>
    <w:rsid w:val="00474A60"/>
    <w:rsid w:val="00474DDE"/>
    <w:rsid w:val="004765A7"/>
    <w:rsid w:val="004767D7"/>
    <w:rsid w:val="00477233"/>
    <w:rsid w:val="0047758D"/>
    <w:rsid w:val="00477F9A"/>
    <w:rsid w:val="004802D8"/>
    <w:rsid w:val="0048056E"/>
    <w:rsid w:val="00480704"/>
    <w:rsid w:val="0048081E"/>
    <w:rsid w:val="00480DD1"/>
    <w:rsid w:val="00480E1C"/>
    <w:rsid w:val="00480F03"/>
    <w:rsid w:val="004811B0"/>
    <w:rsid w:val="00481667"/>
    <w:rsid w:val="004818BA"/>
    <w:rsid w:val="00481F95"/>
    <w:rsid w:val="00481FD0"/>
    <w:rsid w:val="004827B1"/>
    <w:rsid w:val="0048410D"/>
    <w:rsid w:val="0048429C"/>
    <w:rsid w:val="004843D8"/>
    <w:rsid w:val="004844F0"/>
    <w:rsid w:val="0048481D"/>
    <w:rsid w:val="0048487B"/>
    <w:rsid w:val="004849A0"/>
    <w:rsid w:val="00484F20"/>
    <w:rsid w:val="004857FE"/>
    <w:rsid w:val="00486180"/>
    <w:rsid w:val="004862B5"/>
    <w:rsid w:val="00486637"/>
    <w:rsid w:val="00486867"/>
    <w:rsid w:val="00487387"/>
    <w:rsid w:val="004874E5"/>
    <w:rsid w:val="00487E53"/>
    <w:rsid w:val="00490295"/>
    <w:rsid w:val="00490307"/>
    <w:rsid w:val="00490341"/>
    <w:rsid w:val="004906B7"/>
    <w:rsid w:val="004907CC"/>
    <w:rsid w:val="00490CC4"/>
    <w:rsid w:val="00490F30"/>
    <w:rsid w:val="0049130F"/>
    <w:rsid w:val="00491F95"/>
    <w:rsid w:val="00492540"/>
    <w:rsid w:val="004925B6"/>
    <w:rsid w:val="00492628"/>
    <w:rsid w:val="004927EC"/>
    <w:rsid w:val="00492AED"/>
    <w:rsid w:val="00493220"/>
    <w:rsid w:val="00493A31"/>
    <w:rsid w:val="00493E57"/>
    <w:rsid w:val="0049407C"/>
    <w:rsid w:val="004943B6"/>
    <w:rsid w:val="004943CE"/>
    <w:rsid w:val="004945A5"/>
    <w:rsid w:val="00494DAA"/>
    <w:rsid w:val="00494E53"/>
    <w:rsid w:val="00494FCB"/>
    <w:rsid w:val="00495786"/>
    <w:rsid w:val="00495B08"/>
    <w:rsid w:val="0049602B"/>
    <w:rsid w:val="00496622"/>
    <w:rsid w:val="0049698B"/>
    <w:rsid w:val="00496C84"/>
    <w:rsid w:val="00496D89"/>
    <w:rsid w:val="004976A0"/>
    <w:rsid w:val="004978B3"/>
    <w:rsid w:val="004A033F"/>
    <w:rsid w:val="004A0748"/>
    <w:rsid w:val="004A10B2"/>
    <w:rsid w:val="004A1247"/>
    <w:rsid w:val="004A1591"/>
    <w:rsid w:val="004A1A9A"/>
    <w:rsid w:val="004A2289"/>
    <w:rsid w:val="004A2A0B"/>
    <w:rsid w:val="004A2D22"/>
    <w:rsid w:val="004A2F7D"/>
    <w:rsid w:val="004A331E"/>
    <w:rsid w:val="004A343A"/>
    <w:rsid w:val="004A355F"/>
    <w:rsid w:val="004A3569"/>
    <w:rsid w:val="004A37CD"/>
    <w:rsid w:val="004A3ACA"/>
    <w:rsid w:val="004A3D88"/>
    <w:rsid w:val="004A3F46"/>
    <w:rsid w:val="004A52AE"/>
    <w:rsid w:val="004A54DA"/>
    <w:rsid w:val="004A5820"/>
    <w:rsid w:val="004A6E10"/>
    <w:rsid w:val="004A6E98"/>
    <w:rsid w:val="004A6F35"/>
    <w:rsid w:val="004A73C6"/>
    <w:rsid w:val="004A7F3B"/>
    <w:rsid w:val="004B042E"/>
    <w:rsid w:val="004B046C"/>
    <w:rsid w:val="004B077B"/>
    <w:rsid w:val="004B0BE7"/>
    <w:rsid w:val="004B0CB5"/>
    <w:rsid w:val="004B0CC0"/>
    <w:rsid w:val="004B157D"/>
    <w:rsid w:val="004B1CA5"/>
    <w:rsid w:val="004B1D2F"/>
    <w:rsid w:val="004B2253"/>
    <w:rsid w:val="004B2564"/>
    <w:rsid w:val="004B285D"/>
    <w:rsid w:val="004B28E9"/>
    <w:rsid w:val="004B30A0"/>
    <w:rsid w:val="004B379F"/>
    <w:rsid w:val="004B420E"/>
    <w:rsid w:val="004B4EA3"/>
    <w:rsid w:val="004B59E2"/>
    <w:rsid w:val="004B5ABE"/>
    <w:rsid w:val="004B5B73"/>
    <w:rsid w:val="004B5E7A"/>
    <w:rsid w:val="004B65EC"/>
    <w:rsid w:val="004B6EB5"/>
    <w:rsid w:val="004B6F08"/>
    <w:rsid w:val="004B7103"/>
    <w:rsid w:val="004B7480"/>
    <w:rsid w:val="004B754D"/>
    <w:rsid w:val="004B78A7"/>
    <w:rsid w:val="004B7D62"/>
    <w:rsid w:val="004B7DDF"/>
    <w:rsid w:val="004C04A7"/>
    <w:rsid w:val="004C04C6"/>
    <w:rsid w:val="004C0987"/>
    <w:rsid w:val="004C11D9"/>
    <w:rsid w:val="004C12BA"/>
    <w:rsid w:val="004C1D1C"/>
    <w:rsid w:val="004C1DE4"/>
    <w:rsid w:val="004C1E52"/>
    <w:rsid w:val="004C2134"/>
    <w:rsid w:val="004C2B17"/>
    <w:rsid w:val="004C31D9"/>
    <w:rsid w:val="004C4334"/>
    <w:rsid w:val="004C4473"/>
    <w:rsid w:val="004C451F"/>
    <w:rsid w:val="004C4A8E"/>
    <w:rsid w:val="004C5342"/>
    <w:rsid w:val="004C597D"/>
    <w:rsid w:val="004C5B81"/>
    <w:rsid w:val="004C620C"/>
    <w:rsid w:val="004C6803"/>
    <w:rsid w:val="004C6BE0"/>
    <w:rsid w:val="004C7138"/>
    <w:rsid w:val="004C728C"/>
    <w:rsid w:val="004C75F2"/>
    <w:rsid w:val="004C7DD2"/>
    <w:rsid w:val="004C7FE4"/>
    <w:rsid w:val="004D00D5"/>
    <w:rsid w:val="004D03DF"/>
    <w:rsid w:val="004D0986"/>
    <w:rsid w:val="004D0ECE"/>
    <w:rsid w:val="004D0F64"/>
    <w:rsid w:val="004D1A6B"/>
    <w:rsid w:val="004D1CC2"/>
    <w:rsid w:val="004D30E8"/>
    <w:rsid w:val="004D32A4"/>
    <w:rsid w:val="004D356F"/>
    <w:rsid w:val="004D4175"/>
    <w:rsid w:val="004D4679"/>
    <w:rsid w:val="004D4F9F"/>
    <w:rsid w:val="004D5926"/>
    <w:rsid w:val="004D5AB2"/>
    <w:rsid w:val="004D61BF"/>
    <w:rsid w:val="004D67D9"/>
    <w:rsid w:val="004D738A"/>
    <w:rsid w:val="004D73DF"/>
    <w:rsid w:val="004D7634"/>
    <w:rsid w:val="004E0474"/>
    <w:rsid w:val="004E09AD"/>
    <w:rsid w:val="004E1E1F"/>
    <w:rsid w:val="004E1EC9"/>
    <w:rsid w:val="004E2CFB"/>
    <w:rsid w:val="004E352F"/>
    <w:rsid w:val="004E3EEF"/>
    <w:rsid w:val="004E3FB2"/>
    <w:rsid w:val="004E4537"/>
    <w:rsid w:val="004E45C1"/>
    <w:rsid w:val="004E49F0"/>
    <w:rsid w:val="004E501F"/>
    <w:rsid w:val="004E5C7C"/>
    <w:rsid w:val="004E611E"/>
    <w:rsid w:val="004E6420"/>
    <w:rsid w:val="004E68E1"/>
    <w:rsid w:val="004E693E"/>
    <w:rsid w:val="004E6E54"/>
    <w:rsid w:val="004E71FA"/>
    <w:rsid w:val="004F07AB"/>
    <w:rsid w:val="004F0D6F"/>
    <w:rsid w:val="004F131E"/>
    <w:rsid w:val="004F13D5"/>
    <w:rsid w:val="004F1631"/>
    <w:rsid w:val="004F19F8"/>
    <w:rsid w:val="004F1AE7"/>
    <w:rsid w:val="004F1EF9"/>
    <w:rsid w:val="004F2165"/>
    <w:rsid w:val="004F26D0"/>
    <w:rsid w:val="004F27F2"/>
    <w:rsid w:val="004F31DF"/>
    <w:rsid w:val="004F339B"/>
    <w:rsid w:val="004F34CA"/>
    <w:rsid w:val="004F422F"/>
    <w:rsid w:val="004F474E"/>
    <w:rsid w:val="004F515A"/>
    <w:rsid w:val="004F51A0"/>
    <w:rsid w:val="004F53F2"/>
    <w:rsid w:val="004F5B69"/>
    <w:rsid w:val="004F5C41"/>
    <w:rsid w:val="004F658E"/>
    <w:rsid w:val="004F7395"/>
    <w:rsid w:val="00500651"/>
    <w:rsid w:val="00500849"/>
    <w:rsid w:val="00500D95"/>
    <w:rsid w:val="0050107B"/>
    <w:rsid w:val="00501168"/>
    <w:rsid w:val="00501385"/>
    <w:rsid w:val="005017EF"/>
    <w:rsid w:val="00501AD1"/>
    <w:rsid w:val="0050252B"/>
    <w:rsid w:val="00502656"/>
    <w:rsid w:val="00502D4C"/>
    <w:rsid w:val="00502F52"/>
    <w:rsid w:val="0050374A"/>
    <w:rsid w:val="005037F7"/>
    <w:rsid w:val="00503901"/>
    <w:rsid w:val="00503D54"/>
    <w:rsid w:val="00503D95"/>
    <w:rsid w:val="00504069"/>
    <w:rsid w:val="00504F69"/>
    <w:rsid w:val="005051BE"/>
    <w:rsid w:val="00505205"/>
    <w:rsid w:val="00505398"/>
    <w:rsid w:val="0050566C"/>
    <w:rsid w:val="0050627C"/>
    <w:rsid w:val="005063DB"/>
    <w:rsid w:val="00506827"/>
    <w:rsid w:val="00507195"/>
    <w:rsid w:val="005072E6"/>
    <w:rsid w:val="00507DF6"/>
    <w:rsid w:val="00510180"/>
    <w:rsid w:val="005108C2"/>
    <w:rsid w:val="00510E84"/>
    <w:rsid w:val="00511B6A"/>
    <w:rsid w:val="00511D1D"/>
    <w:rsid w:val="00511E43"/>
    <w:rsid w:val="005122EF"/>
    <w:rsid w:val="00512A20"/>
    <w:rsid w:val="005133E3"/>
    <w:rsid w:val="00513760"/>
    <w:rsid w:val="00514213"/>
    <w:rsid w:val="005142C7"/>
    <w:rsid w:val="005143B3"/>
    <w:rsid w:val="00514C43"/>
    <w:rsid w:val="005153AB"/>
    <w:rsid w:val="00515AA5"/>
    <w:rsid w:val="00515DF4"/>
    <w:rsid w:val="00515EA6"/>
    <w:rsid w:val="0051637A"/>
    <w:rsid w:val="00516693"/>
    <w:rsid w:val="0051724B"/>
    <w:rsid w:val="00517273"/>
    <w:rsid w:val="005172FE"/>
    <w:rsid w:val="00517B9C"/>
    <w:rsid w:val="00517C3E"/>
    <w:rsid w:val="00517F0C"/>
    <w:rsid w:val="005208A5"/>
    <w:rsid w:val="00520E18"/>
    <w:rsid w:val="00520E79"/>
    <w:rsid w:val="0052116D"/>
    <w:rsid w:val="005213EE"/>
    <w:rsid w:val="00521734"/>
    <w:rsid w:val="005218C8"/>
    <w:rsid w:val="00521D3A"/>
    <w:rsid w:val="0052218E"/>
    <w:rsid w:val="0052255B"/>
    <w:rsid w:val="00522981"/>
    <w:rsid w:val="00523EF5"/>
    <w:rsid w:val="00524985"/>
    <w:rsid w:val="00524B2F"/>
    <w:rsid w:val="00524B5C"/>
    <w:rsid w:val="0052557F"/>
    <w:rsid w:val="0052575D"/>
    <w:rsid w:val="00526EBA"/>
    <w:rsid w:val="00527156"/>
    <w:rsid w:val="0052732D"/>
    <w:rsid w:val="00527BB3"/>
    <w:rsid w:val="00527D28"/>
    <w:rsid w:val="00527F8E"/>
    <w:rsid w:val="005301EF"/>
    <w:rsid w:val="005305BD"/>
    <w:rsid w:val="00531048"/>
    <w:rsid w:val="0053145D"/>
    <w:rsid w:val="0053178B"/>
    <w:rsid w:val="00531C4F"/>
    <w:rsid w:val="00531CF7"/>
    <w:rsid w:val="00531E43"/>
    <w:rsid w:val="00531F09"/>
    <w:rsid w:val="00532184"/>
    <w:rsid w:val="00532367"/>
    <w:rsid w:val="00532A47"/>
    <w:rsid w:val="00532B7B"/>
    <w:rsid w:val="00532BCB"/>
    <w:rsid w:val="0053303C"/>
    <w:rsid w:val="00533721"/>
    <w:rsid w:val="00533A1A"/>
    <w:rsid w:val="00534153"/>
    <w:rsid w:val="0053418C"/>
    <w:rsid w:val="0053452F"/>
    <w:rsid w:val="00534A17"/>
    <w:rsid w:val="0053531E"/>
    <w:rsid w:val="00535947"/>
    <w:rsid w:val="00535E0A"/>
    <w:rsid w:val="00536179"/>
    <w:rsid w:val="0053624A"/>
    <w:rsid w:val="00536283"/>
    <w:rsid w:val="00536951"/>
    <w:rsid w:val="00536B9F"/>
    <w:rsid w:val="005377FB"/>
    <w:rsid w:val="00537ACC"/>
    <w:rsid w:val="00540090"/>
    <w:rsid w:val="0054053A"/>
    <w:rsid w:val="00541079"/>
    <w:rsid w:val="00541A1E"/>
    <w:rsid w:val="0054259C"/>
    <w:rsid w:val="00542966"/>
    <w:rsid w:val="005433C1"/>
    <w:rsid w:val="005433ED"/>
    <w:rsid w:val="0054343F"/>
    <w:rsid w:val="00543521"/>
    <w:rsid w:val="0054366C"/>
    <w:rsid w:val="005443FA"/>
    <w:rsid w:val="00544B2E"/>
    <w:rsid w:val="00544B97"/>
    <w:rsid w:val="00544BF0"/>
    <w:rsid w:val="00544CAD"/>
    <w:rsid w:val="0054539D"/>
    <w:rsid w:val="00545EC6"/>
    <w:rsid w:val="0054658E"/>
    <w:rsid w:val="00546597"/>
    <w:rsid w:val="005470BC"/>
    <w:rsid w:val="00547724"/>
    <w:rsid w:val="00547939"/>
    <w:rsid w:val="00547AE5"/>
    <w:rsid w:val="0055130B"/>
    <w:rsid w:val="005533B1"/>
    <w:rsid w:val="00553640"/>
    <w:rsid w:val="00553AC9"/>
    <w:rsid w:val="00554468"/>
    <w:rsid w:val="00554C5F"/>
    <w:rsid w:val="00554D50"/>
    <w:rsid w:val="00554F7D"/>
    <w:rsid w:val="00556D54"/>
    <w:rsid w:val="00556F48"/>
    <w:rsid w:val="00557524"/>
    <w:rsid w:val="00557791"/>
    <w:rsid w:val="005605CA"/>
    <w:rsid w:val="005608AB"/>
    <w:rsid w:val="00561497"/>
    <w:rsid w:val="005623C0"/>
    <w:rsid w:val="00562B2F"/>
    <w:rsid w:val="0056302E"/>
    <w:rsid w:val="00563A24"/>
    <w:rsid w:val="0056460B"/>
    <w:rsid w:val="00564A0C"/>
    <w:rsid w:val="00565085"/>
    <w:rsid w:val="005655A4"/>
    <w:rsid w:val="00565788"/>
    <w:rsid w:val="005658B4"/>
    <w:rsid w:val="00565A76"/>
    <w:rsid w:val="005666FE"/>
    <w:rsid w:val="00567327"/>
    <w:rsid w:val="00567425"/>
    <w:rsid w:val="00567433"/>
    <w:rsid w:val="00567544"/>
    <w:rsid w:val="00567668"/>
    <w:rsid w:val="00567ACA"/>
    <w:rsid w:val="00567B55"/>
    <w:rsid w:val="00567DCB"/>
    <w:rsid w:val="005707F1"/>
    <w:rsid w:val="005708D6"/>
    <w:rsid w:val="0057138C"/>
    <w:rsid w:val="00572399"/>
    <w:rsid w:val="005729EE"/>
    <w:rsid w:val="00572CC7"/>
    <w:rsid w:val="00573489"/>
    <w:rsid w:val="005735EF"/>
    <w:rsid w:val="00573979"/>
    <w:rsid w:val="00574225"/>
    <w:rsid w:val="005745F5"/>
    <w:rsid w:val="00575679"/>
    <w:rsid w:val="00575909"/>
    <w:rsid w:val="005778C3"/>
    <w:rsid w:val="00577D28"/>
    <w:rsid w:val="00580172"/>
    <w:rsid w:val="00580784"/>
    <w:rsid w:val="005816ED"/>
    <w:rsid w:val="00581852"/>
    <w:rsid w:val="00581C29"/>
    <w:rsid w:val="00581F66"/>
    <w:rsid w:val="005825AA"/>
    <w:rsid w:val="00582659"/>
    <w:rsid w:val="00582CCF"/>
    <w:rsid w:val="00583433"/>
    <w:rsid w:val="00583A47"/>
    <w:rsid w:val="00583A7F"/>
    <w:rsid w:val="00583B92"/>
    <w:rsid w:val="00583DB6"/>
    <w:rsid w:val="00583E05"/>
    <w:rsid w:val="00583E4A"/>
    <w:rsid w:val="00583E86"/>
    <w:rsid w:val="00584109"/>
    <w:rsid w:val="00584517"/>
    <w:rsid w:val="00584920"/>
    <w:rsid w:val="00584979"/>
    <w:rsid w:val="00584D8E"/>
    <w:rsid w:val="00584EE0"/>
    <w:rsid w:val="00585951"/>
    <w:rsid w:val="0058603B"/>
    <w:rsid w:val="00586206"/>
    <w:rsid w:val="005862B0"/>
    <w:rsid w:val="005867A2"/>
    <w:rsid w:val="00586886"/>
    <w:rsid w:val="00586E9A"/>
    <w:rsid w:val="005872E6"/>
    <w:rsid w:val="00587B44"/>
    <w:rsid w:val="00587EA2"/>
    <w:rsid w:val="00590074"/>
    <w:rsid w:val="00590131"/>
    <w:rsid w:val="00590647"/>
    <w:rsid w:val="00591FC3"/>
    <w:rsid w:val="005925F4"/>
    <w:rsid w:val="00592B5F"/>
    <w:rsid w:val="00592E2D"/>
    <w:rsid w:val="005932D6"/>
    <w:rsid w:val="00594246"/>
    <w:rsid w:val="005945B5"/>
    <w:rsid w:val="005945C4"/>
    <w:rsid w:val="00594640"/>
    <w:rsid w:val="00594A47"/>
    <w:rsid w:val="00594B41"/>
    <w:rsid w:val="00595025"/>
    <w:rsid w:val="005953EC"/>
    <w:rsid w:val="0059585D"/>
    <w:rsid w:val="00595FBA"/>
    <w:rsid w:val="0059660B"/>
    <w:rsid w:val="005968A1"/>
    <w:rsid w:val="00597BA2"/>
    <w:rsid w:val="00597BB6"/>
    <w:rsid w:val="00597C8B"/>
    <w:rsid w:val="005A02CA"/>
    <w:rsid w:val="005A04BC"/>
    <w:rsid w:val="005A0601"/>
    <w:rsid w:val="005A0674"/>
    <w:rsid w:val="005A0753"/>
    <w:rsid w:val="005A0B7C"/>
    <w:rsid w:val="005A12D6"/>
    <w:rsid w:val="005A1A39"/>
    <w:rsid w:val="005A1D84"/>
    <w:rsid w:val="005A2085"/>
    <w:rsid w:val="005A2B6F"/>
    <w:rsid w:val="005A2CFB"/>
    <w:rsid w:val="005A369E"/>
    <w:rsid w:val="005A3D45"/>
    <w:rsid w:val="005A3FFA"/>
    <w:rsid w:val="005A478E"/>
    <w:rsid w:val="005A675E"/>
    <w:rsid w:val="005A72BA"/>
    <w:rsid w:val="005A758A"/>
    <w:rsid w:val="005A7618"/>
    <w:rsid w:val="005A7A99"/>
    <w:rsid w:val="005A7B6F"/>
    <w:rsid w:val="005A7E1F"/>
    <w:rsid w:val="005A7E57"/>
    <w:rsid w:val="005B1394"/>
    <w:rsid w:val="005B13E9"/>
    <w:rsid w:val="005B1C13"/>
    <w:rsid w:val="005B1F16"/>
    <w:rsid w:val="005B2006"/>
    <w:rsid w:val="005B29C2"/>
    <w:rsid w:val="005B396E"/>
    <w:rsid w:val="005B3B99"/>
    <w:rsid w:val="005B3FEB"/>
    <w:rsid w:val="005B42DB"/>
    <w:rsid w:val="005B42DC"/>
    <w:rsid w:val="005B44CD"/>
    <w:rsid w:val="005B498D"/>
    <w:rsid w:val="005B4C39"/>
    <w:rsid w:val="005B4E7F"/>
    <w:rsid w:val="005B57B5"/>
    <w:rsid w:val="005B5FC0"/>
    <w:rsid w:val="005B6478"/>
    <w:rsid w:val="005B6743"/>
    <w:rsid w:val="005B6995"/>
    <w:rsid w:val="005B714D"/>
    <w:rsid w:val="005C18A1"/>
    <w:rsid w:val="005C1AF0"/>
    <w:rsid w:val="005C1DA2"/>
    <w:rsid w:val="005C213B"/>
    <w:rsid w:val="005C23E0"/>
    <w:rsid w:val="005C25E1"/>
    <w:rsid w:val="005C2819"/>
    <w:rsid w:val="005C3A43"/>
    <w:rsid w:val="005C3C9C"/>
    <w:rsid w:val="005C47DD"/>
    <w:rsid w:val="005C47F7"/>
    <w:rsid w:val="005C5349"/>
    <w:rsid w:val="005C5C47"/>
    <w:rsid w:val="005C5EC1"/>
    <w:rsid w:val="005C671E"/>
    <w:rsid w:val="005C68F9"/>
    <w:rsid w:val="005C6B85"/>
    <w:rsid w:val="005C7567"/>
    <w:rsid w:val="005C75B2"/>
    <w:rsid w:val="005D0144"/>
    <w:rsid w:val="005D046A"/>
    <w:rsid w:val="005D0815"/>
    <w:rsid w:val="005D08C7"/>
    <w:rsid w:val="005D0D30"/>
    <w:rsid w:val="005D12D7"/>
    <w:rsid w:val="005D16D4"/>
    <w:rsid w:val="005D1745"/>
    <w:rsid w:val="005D1C06"/>
    <w:rsid w:val="005D1D09"/>
    <w:rsid w:val="005D2080"/>
    <w:rsid w:val="005D2151"/>
    <w:rsid w:val="005D2428"/>
    <w:rsid w:val="005D2432"/>
    <w:rsid w:val="005D285D"/>
    <w:rsid w:val="005D2EF0"/>
    <w:rsid w:val="005D3287"/>
    <w:rsid w:val="005D3801"/>
    <w:rsid w:val="005D455A"/>
    <w:rsid w:val="005D4D7E"/>
    <w:rsid w:val="005D5257"/>
    <w:rsid w:val="005D545B"/>
    <w:rsid w:val="005D58A6"/>
    <w:rsid w:val="005D5D25"/>
    <w:rsid w:val="005D5EEE"/>
    <w:rsid w:val="005D6140"/>
    <w:rsid w:val="005D615C"/>
    <w:rsid w:val="005D6F26"/>
    <w:rsid w:val="005D735B"/>
    <w:rsid w:val="005D7593"/>
    <w:rsid w:val="005E03FE"/>
    <w:rsid w:val="005E0B77"/>
    <w:rsid w:val="005E1D79"/>
    <w:rsid w:val="005E1E2D"/>
    <w:rsid w:val="005E281B"/>
    <w:rsid w:val="005E3332"/>
    <w:rsid w:val="005E369E"/>
    <w:rsid w:val="005E36B2"/>
    <w:rsid w:val="005E3F4A"/>
    <w:rsid w:val="005E46C6"/>
    <w:rsid w:val="005E47D1"/>
    <w:rsid w:val="005E49F9"/>
    <w:rsid w:val="005E4A5E"/>
    <w:rsid w:val="005E5054"/>
    <w:rsid w:val="005E57FA"/>
    <w:rsid w:val="005E5E85"/>
    <w:rsid w:val="005E60CF"/>
    <w:rsid w:val="005E647B"/>
    <w:rsid w:val="005E651C"/>
    <w:rsid w:val="005E6FF8"/>
    <w:rsid w:val="005E736B"/>
    <w:rsid w:val="005E741C"/>
    <w:rsid w:val="005E74BA"/>
    <w:rsid w:val="005E78F2"/>
    <w:rsid w:val="005E7C4E"/>
    <w:rsid w:val="005F082E"/>
    <w:rsid w:val="005F269F"/>
    <w:rsid w:val="005F2B92"/>
    <w:rsid w:val="005F3250"/>
    <w:rsid w:val="005F3284"/>
    <w:rsid w:val="005F353F"/>
    <w:rsid w:val="005F4265"/>
    <w:rsid w:val="005F4F44"/>
    <w:rsid w:val="005F5033"/>
    <w:rsid w:val="005F5887"/>
    <w:rsid w:val="005F66AB"/>
    <w:rsid w:val="005F679A"/>
    <w:rsid w:val="005F72F6"/>
    <w:rsid w:val="005F7D29"/>
    <w:rsid w:val="005F7EA1"/>
    <w:rsid w:val="006001E7"/>
    <w:rsid w:val="006006EB"/>
    <w:rsid w:val="00600D47"/>
    <w:rsid w:val="006015F1"/>
    <w:rsid w:val="00601B64"/>
    <w:rsid w:val="00601D23"/>
    <w:rsid w:val="00601EBA"/>
    <w:rsid w:val="006021C9"/>
    <w:rsid w:val="006025DD"/>
    <w:rsid w:val="0060295A"/>
    <w:rsid w:val="00602D19"/>
    <w:rsid w:val="00602F34"/>
    <w:rsid w:val="0060303F"/>
    <w:rsid w:val="00603262"/>
    <w:rsid w:val="0060395A"/>
    <w:rsid w:val="00603AF1"/>
    <w:rsid w:val="00604559"/>
    <w:rsid w:val="00604628"/>
    <w:rsid w:val="00605392"/>
    <w:rsid w:val="006053BA"/>
    <w:rsid w:val="00605BBB"/>
    <w:rsid w:val="00605F65"/>
    <w:rsid w:val="00606140"/>
    <w:rsid w:val="00606441"/>
    <w:rsid w:val="006064BD"/>
    <w:rsid w:val="00606C01"/>
    <w:rsid w:val="00607033"/>
    <w:rsid w:val="006073B4"/>
    <w:rsid w:val="0060772D"/>
    <w:rsid w:val="0061009B"/>
    <w:rsid w:val="006102E9"/>
    <w:rsid w:val="00610748"/>
    <w:rsid w:val="006108CB"/>
    <w:rsid w:val="00610C46"/>
    <w:rsid w:val="00611086"/>
    <w:rsid w:val="00611261"/>
    <w:rsid w:val="006124AC"/>
    <w:rsid w:val="006127FA"/>
    <w:rsid w:val="0061292F"/>
    <w:rsid w:val="00612C70"/>
    <w:rsid w:val="00612EA5"/>
    <w:rsid w:val="00613F8A"/>
    <w:rsid w:val="00614368"/>
    <w:rsid w:val="0061465A"/>
    <w:rsid w:val="00614842"/>
    <w:rsid w:val="00614CBF"/>
    <w:rsid w:val="006150E7"/>
    <w:rsid w:val="006151C5"/>
    <w:rsid w:val="006165A2"/>
    <w:rsid w:val="00616605"/>
    <w:rsid w:val="00616723"/>
    <w:rsid w:val="00616909"/>
    <w:rsid w:val="00616AE4"/>
    <w:rsid w:val="00616D0A"/>
    <w:rsid w:val="00616E50"/>
    <w:rsid w:val="00616F9F"/>
    <w:rsid w:val="00616FD9"/>
    <w:rsid w:val="00617152"/>
    <w:rsid w:val="006172B1"/>
    <w:rsid w:val="006203D2"/>
    <w:rsid w:val="00620B96"/>
    <w:rsid w:val="00621113"/>
    <w:rsid w:val="0062209D"/>
    <w:rsid w:val="00622771"/>
    <w:rsid w:val="00623387"/>
    <w:rsid w:val="00623B0A"/>
    <w:rsid w:val="00624D61"/>
    <w:rsid w:val="00625205"/>
    <w:rsid w:val="006252B3"/>
    <w:rsid w:val="006257F4"/>
    <w:rsid w:val="00625EC8"/>
    <w:rsid w:val="00625F95"/>
    <w:rsid w:val="006262E0"/>
    <w:rsid w:val="00626827"/>
    <w:rsid w:val="00627336"/>
    <w:rsid w:val="0063002E"/>
    <w:rsid w:val="006301E6"/>
    <w:rsid w:val="006309EE"/>
    <w:rsid w:val="0063106A"/>
    <w:rsid w:val="006310ED"/>
    <w:rsid w:val="0063127D"/>
    <w:rsid w:val="00631A51"/>
    <w:rsid w:val="00631BB8"/>
    <w:rsid w:val="006324B5"/>
    <w:rsid w:val="006324FF"/>
    <w:rsid w:val="006328B7"/>
    <w:rsid w:val="00632BFE"/>
    <w:rsid w:val="00632C4F"/>
    <w:rsid w:val="00632E23"/>
    <w:rsid w:val="006333D4"/>
    <w:rsid w:val="00634E6D"/>
    <w:rsid w:val="0063599D"/>
    <w:rsid w:val="00635F44"/>
    <w:rsid w:val="00636073"/>
    <w:rsid w:val="006375BC"/>
    <w:rsid w:val="006378F9"/>
    <w:rsid w:val="00637979"/>
    <w:rsid w:val="00637C6C"/>
    <w:rsid w:val="00640144"/>
    <w:rsid w:val="006402A2"/>
    <w:rsid w:val="00640392"/>
    <w:rsid w:val="006404C7"/>
    <w:rsid w:val="00640AF4"/>
    <w:rsid w:val="00641582"/>
    <w:rsid w:val="00641E9F"/>
    <w:rsid w:val="006420DD"/>
    <w:rsid w:val="006422AC"/>
    <w:rsid w:val="006424AC"/>
    <w:rsid w:val="0064369E"/>
    <w:rsid w:val="00643890"/>
    <w:rsid w:val="00643BDE"/>
    <w:rsid w:val="006445A5"/>
    <w:rsid w:val="00644D36"/>
    <w:rsid w:val="00645631"/>
    <w:rsid w:val="0064605B"/>
    <w:rsid w:val="00646406"/>
    <w:rsid w:val="00647086"/>
    <w:rsid w:val="006473C0"/>
    <w:rsid w:val="00647A1D"/>
    <w:rsid w:val="00647EFA"/>
    <w:rsid w:val="006507AD"/>
    <w:rsid w:val="00650EF9"/>
    <w:rsid w:val="00651058"/>
    <w:rsid w:val="006516D7"/>
    <w:rsid w:val="006519B4"/>
    <w:rsid w:val="006519D2"/>
    <w:rsid w:val="00651C1E"/>
    <w:rsid w:val="00651C50"/>
    <w:rsid w:val="00652107"/>
    <w:rsid w:val="00653119"/>
    <w:rsid w:val="006532AF"/>
    <w:rsid w:val="00654008"/>
    <w:rsid w:val="00654463"/>
    <w:rsid w:val="0065472A"/>
    <w:rsid w:val="00654F4A"/>
    <w:rsid w:val="00655796"/>
    <w:rsid w:val="00655EF8"/>
    <w:rsid w:val="00656455"/>
    <w:rsid w:val="00656DED"/>
    <w:rsid w:val="00656EFC"/>
    <w:rsid w:val="006572EB"/>
    <w:rsid w:val="00657598"/>
    <w:rsid w:val="0065769E"/>
    <w:rsid w:val="00657B0A"/>
    <w:rsid w:val="00657D19"/>
    <w:rsid w:val="00657FB1"/>
    <w:rsid w:val="006601FB"/>
    <w:rsid w:val="006605B1"/>
    <w:rsid w:val="006607AE"/>
    <w:rsid w:val="0066107D"/>
    <w:rsid w:val="0066132B"/>
    <w:rsid w:val="006613FD"/>
    <w:rsid w:val="006621B3"/>
    <w:rsid w:val="006622B6"/>
    <w:rsid w:val="00662340"/>
    <w:rsid w:val="00662D17"/>
    <w:rsid w:val="00662EC8"/>
    <w:rsid w:val="00662F85"/>
    <w:rsid w:val="00663032"/>
    <w:rsid w:val="006640E2"/>
    <w:rsid w:val="0066445C"/>
    <w:rsid w:val="00664673"/>
    <w:rsid w:val="0066501B"/>
    <w:rsid w:val="006650C4"/>
    <w:rsid w:val="006651DB"/>
    <w:rsid w:val="006652CD"/>
    <w:rsid w:val="00665641"/>
    <w:rsid w:val="006656BE"/>
    <w:rsid w:val="00665B28"/>
    <w:rsid w:val="00665D30"/>
    <w:rsid w:val="00665DA2"/>
    <w:rsid w:val="006660D4"/>
    <w:rsid w:val="006664EB"/>
    <w:rsid w:val="0066766D"/>
    <w:rsid w:val="006676B1"/>
    <w:rsid w:val="00667AE9"/>
    <w:rsid w:val="006701A2"/>
    <w:rsid w:val="00670D13"/>
    <w:rsid w:val="00671146"/>
    <w:rsid w:val="00671736"/>
    <w:rsid w:val="00671770"/>
    <w:rsid w:val="0067186E"/>
    <w:rsid w:val="00671C65"/>
    <w:rsid w:val="00673D52"/>
    <w:rsid w:val="006741D2"/>
    <w:rsid w:val="006752C1"/>
    <w:rsid w:val="00675549"/>
    <w:rsid w:val="006760B1"/>
    <w:rsid w:val="0067654D"/>
    <w:rsid w:val="00676F0E"/>
    <w:rsid w:val="006771E5"/>
    <w:rsid w:val="00677913"/>
    <w:rsid w:val="00680016"/>
    <w:rsid w:val="006802B9"/>
    <w:rsid w:val="00680721"/>
    <w:rsid w:val="00680813"/>
    <w:rsid w:val="00680FC9"/>
    <w:rsid w:val="006810E3"/>
    <w:rsid w:val="00681508"/>
    <w:rsid w:val="006815FC"/>
    <w:rsid w:val="0068227A"/>
    <w:rsid w:val="00682358"/>
    <w:rsid w:val="006823B7"/>
    <w:rsid w:val="006826D2"/>
    <w:rsid w:val="0068277B"/>
    <w:rsid w:val="006828D4"/>
    <w:rsid w:val="00683591"/>
    <w:rsid w:val="006837EF"/>
    <w:rsid w:val="00683A79"/>
    <w:rsid w:val="00684CDB"/>
    <w:rsid w:val="006853AE"/>
    <w:rsid w:val="00685F1B"/>
    <w:rsid w:val="00686525"/>
    <w:rsid w:val="0068663B"/>
    <w:rsid w:val="00686865"/>
    <w:rsid w:val="00686D4E"/>
    <w:rsid w:val="006877BB"/>
    <w:rsid w:val="00687894"/>
    <w:rsid w:val="0069000A"/>
    <w:rsid w:val="00690160"/>
    <w:rsid w:val="0069031F"/>
    <w:rsid w:val="006903DD"/>
    <w:rsid w:val="00690E33"/>
    <w:rsid w:val="00691024"/>
    <w:rsid w:val="00691028"/>
    <w:rsid w:val="006912FB"/>
    <w:rsid w:val="0069195A"/>
    <w:rsid w:val="00692106"/>
    <w:rsid w:val="00692131"/>
    <w:rsid w:val="0069257D"/>
    <w:rsid w:val="00692FDD"/>
    <w:rsid w:val="00693E22"/>
    <w:rsid w:val="00693FD9"/>
    <w:rsid w:val="0069403A"/>
    <w:rsid w:val="006942CC"/>
    <w:rsid w:val="00694411"/>
    <w:rsid w:val="00694473"/>
    <w:rsid w:val="00694A52"/>
    <w:rsid w:val="00694F42"/>
    <w:rsid w:val="006952EB"/>
    <w:rsid w:val="00695E91"/>
    <w:rsid w:val="0069635B"/>
    <w:rsid w:val="006965ED"/>
    <w:rsid w:val="0069675D"/>
    <w:rsid w:val="0069690F"/>
    <w:rsid w:val="006969EF"/>
    <w:rsid w:val="00696B5D"/>
    <w:rsid w:val="006974D4"/>
    <w:rsid w:val="006A00D3"/>
    <w:rsid w:val="006A01F9"/>
    <w:rsid w:val="006A132D"/>
    <w:rsid w:val="006A1337"/>
    <w:rsid w:val="006A1BDE"/>
    <w:rsid w:val="006A24A1"/>
    <w:rsid w:val="006A2506"/>
    <w:rsid w:val="006A259C"/>
    <w:rsid w:val="006A3C59"/>
    <w:rsid w:val="006A4428"/>
    <w:rsid w:val="006A4BCB"/>
    <w:rsid w:val="006A4C9B"/>
    <w:rsid w:val="006A5074"/>
    <w:rsid w:val="006A57F7"/>
    <w:rsid w:val="006A5D6E"/>
    <w:rsid w:val="006A6400"/>
    <w:rsid w:val="006A6402"/>
    <w:rsid w:val="006A666B"/>
    <w:rsid w:val="006A6AD9"/>
    <w:rsid w:val="006B06CD"/>
    <w:rsid w:val="006B08E0"/>
    <w:rsid w:val="006B0E05"/>
    <w:rsid w:val="006B1579"/>
    <w:rsid w:val="006B188F"/>
    <w:rsid w:val="006B20DE"/>
    <w:rsid w:val="006B2398"/>
    <w:rsid w:val="006B257C"/>
    <w:rsid w:val="006B268F"/>
    <w:rsid w:val="006B27DB"/>
    <w:rsid w:val="006B2888"/>
    <w:rsid w:val="006B3E99"/>
    <w:rsid w:val="006B4077"/>
    <w:rsid w:val="006B478E"/>
    <w:rsid w:val="006B4CE2"/>
    <w:rsid w:val="006B5F6B"/>
    <w:rsid w:val="006B72D6"/>
    <w:rsid w:val="006B7A23"/>
    <w:rsid w:val="006B7CFC"/>
    <w:rsid w:val="006B7D63"/>
    <w:rsid w:val="006C00BC"/>
    <w:rsid w:val="006C0188"/>
    <w:rsid w:val="006C0F3A"/>
    <w:rsid w:val="006C18E6"/>
    <w:rsid w:val="006C2003"/>
    <w:rsid w:val="006C279D"/>
    <w:rsid w:val="006C2EC4"/>
    <w:rsid w:val="006C3775"/>
    <w:rsid w:val="006C52C3"/>
    <w:rsid w:val="006C5335"/>
    <w:rsid w:val="006C5365"/>
    <w:rsid w:val="006C5742"/>
    <w:rsid w:val="006C5DA4"/>
    <w:rsid w:val="006C6721"/>
    <w:rsid w:val="006C6B60"/>
    <w:rsid w:val="006C6FD7"/>
    <w:rsid w:val="006C70BC"/>
    <w:rsid w:val="006C71AD"/>
    <w:rsid w:val="006C763F"/>
    <w:rsid w:val="006D0060"/>
    <w:rsid w:val="006D00C3"/>
    <w:rsid w:val="006D087B"/>
    <w:rsid w:val="006D10B9"/>
    <w:rsid w:val="006D1114"/>
    <w:rsid w:val="006D11B7"/>
    <w:rsid w:val="006D128D"/>
    <w:rsid w:val="006D2144"/>
    <w:rsid w:val="006D2921"/>
    <w:rsid w:val="006D3026"/>
    <w:rsid w:val="006D36EF"/>
    <w:rsid w:val="006D3F81"/>
    <w:rsid w:val="006D42A5"/>
    <w:rsid w:val="006D459B"/>
    <w:rsid w:val="006D4952"/>
    <w:rsid w:val="006D4B15"/>
    <w:rsid w:val="006D4E24"/>
    <w:rsid w:val="006D4EA2"/>
    <w:rsid w:val="006D5177"/>
    <w:rsid w:val="006D5AD8"/>
    <w:rsid w:val="006D6998"/>
    <w:rsid w:val="006D6D43"/>
    <w:rsid w:val="006D72E9"/>
    <w:rsid w:val="006D7BC9"/>
    <w:rsid w:val="006E06BE"/>
    <w:rsid w:val="006E0953"/>
    <w:rsid w:val="006E0971"/>
    <w:rsid w:val="006E0B5C"/>
    <w:rsid w:val="006E0CE2"/>
    <w:rsid w:val="006E1266"/>
    <w:rsid w:val="006E1F29"/>
    <w:rsid w:val="006E301D"/>
    <w:rsid w:val="006E3156"/>
    <w:rsid w:val="006E3A88"/>
    <w:rsid w:val="006E49A3"/>
    <w:rsid w:val="006E533D"/>
    <w:rsid w:val="006E5874"/>
    <w:rsid w:val="006E60A4"/>
    <w:rsid w:val="006E699C"/>
    <w:rsid w:val="006E6D7C"/>
    <w:rsid w:val="006E7E99"/>
    <w:rsid w:val="006F0178"/>
    <w:rsid w:val="006F0446"/>
    <w:rsid w:val="006F080A"/>
    <w:rsid w:val="006F0825"/>
    <w:rsid w:val="006F0CB8"/>
    <w:rsid w:val="006F0D25"/>
    <w:rsid w:val="006F0F8E"/>
    <w:rsid w:val="006F107C"/>
    <w:rsid w:val="006F1717"/>
    <w:rsid w:val="006F18D7"/>
    <w:rsid w:val="006F1AED"/>
    <w:rsid w:val="006F26D4"/>
    <w:rsid w:val="006F2A24"/>
    <w:rsid w:val="006F2A30"/>
    <w:rsid w:val="006F2B26"/>
    <w:rsid w:val="006F2F27"/>
    <w:rsid w:val="006F32B7"/>
    <w:rsid w:val="006F35C5"/>
    <w:rsid w:val="006F3AF4"/>
    <w:rsid w:val="006F487C"/>
    <w:rsid w:val="006F4C46"/>
    <w:rsid w:val="006F5132"/>
    <w:rsid w:val="006F5A50"/>
    <w:rsid w:val="006F6161"/>
    <w:rsid w:val="006F6847"/>
    <w:rsid w:val="006F6960"/>
    <w:rsid w:val="006F6E09"/>
    <w:rsid w:val="006F721F"/>
    <w:rsid w:val="006F74F2"/>
    <w:rsid w:val="006F78BF"/>
    <w:rsid w:val="006F79EE"/>
    <w:rsid w:val="006F7E25"/>
    <w:rsid w:val="0070042D"/>
    <w:rsid w:val="00700634"/>
    <w:rsid w:val="00700B15"/>
    <w:rsid w:val="0070193D"/>
    <w:rsid w:val="00701EC4"/>
    <w:rsid w:val="0070212A"/>
    <w:rsid w:val="00702B79"/>
    <w:rsid w:val="007038F5"/>
    <w:rsid w:val="00703E52"/>
    <w:rsid w:val="007043B9"/>
    <w:rsid w:val="00704490"/>
    <w:rsid w:val="00704683"/>
    <w:rsid w:val="007047B8"/>
    <w:rsid w:val="007048AE"/>
    <w:rsid w:val="00704E4B"/>
    <w:rsid w:val="00705C13"/>
    <w:rsid w:val="00710B56"/>
    <w:rsid w:val="00710DDB"/>
    <w:rsid w:val="00711501"/>
    <w:rsid w:val="007123FA"/>
    <w:rsid w:val="00712E68"/>
    <w:rsid w:val="007137B0"/>
    <w:rsid w:val="007141C3"/>
    <w:rsid w:val="00714720"/>
    <w:rsid w:val="007147B1"/>
    <w:rsid w:val="00714876"/>
    <w:rsid w:val="00715EFD"/>
    <w:rsid w:val="007163B0"/>
    <w:rsid w:val="00716812"/>
    <w:rsid w:val="007168A4"/>
    <w:rsid w:val="00716AFB"/>
    <w:rsid w:val="00716BFC"/>
    <w:rsid w:val="00716D34"/>
    <w:rsid w:val="00716EDF"/>
    <w:rsid w:val="007174EB"/>
    <w:rsid w:val="0071787C"/>
    <w:rsid w:val="00720929"/>
    <w:rsid w:val="00720AB2"/>
    <w:rsid w:val="00721111"/>
    <w:rsid w:val="007211CD"/>
    <w:rsid w:val="00721A8B"/>
    <w:rsid w:val="00721CF0"/>
    <w:rsid w:val="0072206C"/>
    <w:rsid w:val="00722A5C"/>
    <w:rsid w:val="0072331B"/>
    <w:rsid w:val="00723756"/>
    <w:rsid w:val="007239F8"/>
    <w:rsid w:val="00724366"/>
    <w:rsid w:val="00724525"/>
    <w:rsid w:val="00724A23"/>
    <w:rsid w:val="007257D4"/>
    <w:rsid w:val="00725DB6"/>
    <w:rsid w:val="007266D2"/>
    <w:rsid w:val="00726727"/>
    <w:rsid w:val="00726805"/>
    <w:rsid w:val="007268DE"/>
    <w:rsid w:val="00726B8D"/>
    <w:rsid w:val="007270EC"/>
    <w:rsid w:val="00727520"/>
    <w:rsid w:val="00727B0C"/>
    <w:rsid w:val="00730223"/>
    <w:rsid w:val="00730A24"/>
    <w:rsid w:val="00730BF9"/>
    <w:rsid w:val="00731666"/>
    <w:rsid w:val="007316AB"/>
    <w:rsid w:val="00731800"/>
    <w:rsid w:val="00732487"/>
    <w:rsid w:val="0073294E"/>
    <w:rsid w:val="00732B04"/>
    <w:rsid w:val="00732F51"/>
    <w:rsid w:val="0073302E"/>
    <w:rsid w:val="007332AB"/>
    <w:rsid w:val="007336A2"/>
    <w:rsid w:val="007336BD"/>
    <w:rsid w:val="00733E8C"/>
    <w:rsid w:val="0073490A"/>
    <w:rsid w:val="00735AD7"/>
    <w:rsid w:val="00735BAF"/>
    <w:rsid w:val="00736353"/>
    <w:rsid w:val="007363E1"/>
    <w:rsid w:val="00736793"/>
    <w:rsid w:val="00737BDE"/>
    <w:rsid w:val="007401C8"/>
    <w:rsid w:val="0074035C"/>
    <w:rsid w:val="007405FA"/>
    <w:rsid w:val="0074142D"/>
    <w:rsid w:val="00741F22"/>
    <w:rsid w:val="00742571"/>
    <w:rsid w:val="00742C4D"/>
    <w:rsid w:val="00743172"/>
    <w:rsid w:val="00743907"/>
    <w:rsid w:val="00743E95"/>
    <w:rsid w:val="0074491D"/>
    <w:rsid w:val="007451CB"/>
    <w:rsid w:val="00745E37"/>
    <w:rsid w:val="007460DB"/>
    <w:rsid w:val="007465F2"/>
    <w:rsid w:val="00746AD9"/>
    <w:rsid w:val="00746BBA"/>
    <w:rsid w:val="00746FD5"/>
    <w:rsid w:val="007471F4"/>
    <w:rsid w:val="00747D96"/>
    <w:rsid w:val="007508B4"/>
    <w:rsid w:val="00750AE8"/>
    <w:rsid w:val="00750D8E"/>
    <w:rsid w:val="00750E90"/>
    <w:rsid w:val="007518B9"/>
    <w:rsid w:val="00751AA4"/>
    <w:rsid w:val="00751B4B"/>
    <w:rsid w:val="00751D90"/>
    <w:rsid w:val="0075223E"/>
    <w:rsid w:val="007525E3"/>
    <w:rsid w:val="00752775"/>
    <w:rsid w:val="00752D5C"/>
    <w:rsid w:val="00753927"/>
    <w:rsid w:val="00753C1E"/>
    <w:rsid w:val="00753CEF"/>
    <w:rsid w:val="00754EAC"/>
    <w:rsid w:val="00755E4D"/>
    <w:rsid w:val="00756C2E"/>
    <w:rsid w:val="007571A7"/>
    <w:rsid w:val="007572BA"/>
    <w:rsid w:val="00757375"/>
    <w:rsid w:val="00757924"/>
    <w:rsid w:val="00757DBD"/>
    <w:rsid w:val="00757E83"/>
    <w:rsid w:val="007605F7"/>
    <w:rsid w:val="007609B1"/>
    <w:rsid w:val="007609CC"/>
    <w:rsid w:val="00762226"/>
    <w:rsid w:val="00763140"/>
    <w:rsid w:val="007636AC"/>
    <w:rsid w:val="0076441F"/>
    <w:rsid w:val="007644E6"/>
    <w:rsid w:val="00764821"/>
    <w:rsid w:val="00764C81"/>
    <w:rsid w:val="00765ADA"/>
    <w:rsid w:val="00765FCE"/>
    <w:rsid w:val="00766054"/>
    <w:rsid w:val="0076622C"/>
    <w:rsid w:val="007668BD"/>
    <w:rsid w:val="00766925"/>
    <w:rsid w:val="00766DEC"/>
    <w:rsid w:val="007673F3"/>
    <w:rsid w:val="0077006A"/>
    <w:rsid w:val="007700F1"/>
    <w:rsid w:val="00770580"/>
    <w:rsid w:val="0077082C"/>
    <w:rsid w:val="00770E9D"/>
    <w:rsid w:val="007712C3"/>
    <w:rsid w:val="00771927"/>
    <w:rsid w:val="0077192A"/>
    <w:rsid w:val="00771CA3"/>
    <w:rsid w:val="007725B1"/>
    <w:rsid w:val="00772AB4"/>
    <w:rsid w:val="00773D79"/>
    <w:rsid w:val="00773F48"/>
    <w:rsid w:val="00774D0F"/>
    <w:rsid w:val="00774E5C"/>
    <w:rsid w:val="0077505A"/>
    <w:rsid w:val="00775A1B"/>
    <w:rsid w:val="00775BE2"/>
    <w:rsid w:val="00776B0E"/>
    <w:rsid w:val="00776FBF"/>
    <w:rsid w:val="00777653"/>
    <w:rsid w:val="00777EC9"/>
    <w:rsid w:val="007805B7"/>
    <w:rsid w:val="00780AEC"/>
    <w:rsid w:val="007819CE"/>
    <w:rsid w:val="00781BD8"/>
    <w:rsid w:val="00781D86"/>
    <w:rsid w:val="00782352"/>
    <w:rsid w:val="007823D7"/>
    <w:rsid w:val="007825AC"/>
    <w:rsid w:val="007828DB"/>
    <w:rsid w:val="007835BC"/>
    <w:rsid w:val="00784853"/>
    <w:rsid w:val="00784A38"/>
    <w:rsid w:val="00784E8B"/>
    <w:rsid w:val="00785DE2"/>
    <w:rsid w:val="0078607E"/>
    <w:rsid w:val="007863DF"/>
    <w:rsid w:val="007869A4"/>
    <w:rsid w:val="00786E01"/>
    <w:rsid w:val="00787284"/>
    <w:rsid w:val="0078758A"/>
    <w:rsid w:val="00787737"/>
    <w:rsid w:val="00787A78"/>
    <w:rsid w:val="00787C79"/>
    <w:rsid w:val="00787D53"/>
    <w:rsid w:val="00790039"/>
    <w:rsid w:val="0079029B"/>
    <w:rsid w:val="00790615"/>
    <w:rsid w:val="00791145"/>
    <w:rsid w:val="007919BE"/>
    <w:rsid w:val="00791FA6"/>
    <w:rsid w:val="007926AC"/>
    <w:rsid w:val="00792AE5"/>
    <w:rsid w:val="00793299"/>
    <w:rsid w:val="0079329C"/>
    <w:rsid w:val="007935D8"/>
    <w:rsid w:val="00793AE6"/>
    <w:rsid w:val="00793C35"/>
    <w:rsid w:val="00794265"/>
    <w:rsid w:val="00794693"/>
    <w:rsid w:val="0079516D"/>
    <w:rsid w:val="00795C3B"/>
    <w:rsid w:val="00795C85"/>
    <w:rsid w:val="007970C0"/>
    <w:rsid w:val="007974A4"/>
    <w:rsid w:val="007977D1"/>
    <w:rsid w:val="00797FFC"/>
    <w:rsid w:val="007A0340"/>
    <w:rsid w:val="007A11CC"/>
    <w:rsid w:val="007A1760"/>
    <w:rsid w:val="007A18AE"/>
    <w:rsid w:val="007A238A"/>
    <w:rsid w:val="007A2CCD"/>
    <w:rsid w:val="007A2FA4"/>
    <w:rsid w:val="007A3B1F"/>
    <w:rsid w:val="007A3EAF"/>
    <w:rsid w:val="007A47E3"/>
    <w:rsid w:val="007A67A7"/>
    <w:rsid w:val="007A6BDF"/>
    <w:rsid w:val="007A7551"/>
    <w:rsid w:val="007A7B19"/>
    <w:rsid w:val="007B16CC"/>
    <w:rsid w:val="007B1B12"/>
    <w:rsid w:val="007B1E44"/>
    <w:rsid w:val="007B221B"/>
    <w:rsid w:val="007B2BD3"/>
    <w:rsid w:val="007B3385"/>
    <w:rsid w:val="007B3702"/>
    <w:rsid w:val="007B3C09"/>
    <w:rsid w:val="007B3C33"/>
    <w:rsid w:val="007B3DB7"/>
    <w:rsid w:val="007B47FC"/>
    <w:rsid w:val="007B48F5"/>
    <w:rsid w:val="007B4A3C"/>
    <w:rsid w:val="007B5A22"/>
    <w:rsid w:val="007B5F66"/>
    <w:rsid w:val="007B6209"/>
    <w:rsid w:val="007B668D"/>
    <w:rsid w:val="007B6804"/>
    <w:rsid w:val="007B6AE2"/>
    <w:rsid w:val="007B6F63"/>
    <w:rsid w:val="007B7394"/>
    <w:rsid w:val="007B7649"/>
    <w:rsid w:val="007B7952"/>
    <w:rsid w:val="007B7C24"/>
    <w:rsid w:val="007B7DD7"/>
    <w:rsid w:val="007C0061"/>
    <w:rsid w:val="007C037D"/>
    <w:rsid w:val="007C081F"/>
    <w:rsid w:val="007C1241"/>
    <w:rsid w:val="007C1CFC"/>
    <w:rsid w:val="007C27C6"/>
    <w:rsid w:val="007C2968"/>
    <w:rsid w:val="007C298D"/>
    <w:rsid w:val="007C29D3"/>
    <w:rsid w:val="007C2A3A"/>
    <w:rsid w:val="007C3638"/>
    <w:rsid w:val="007C36B0"/>
    <w:rsid w:val="007C4DB2"/>
    <w:rsid w:val="007C566B"/>
    <w:rsid w:val="007C5F9E"/>
    <w:rsid w:val="007C64E1"/>
    <w:rsid w:val="007C6AD6"/>
    <w:rsid w:val="007C6DCA"/>
    <w:rsid w:val="007C716C"/>
    <w:rsid w:val="007C7C1D"/>
    <w:rsid w:val="007C7DD2"/>
    <w:rsid w:val="007D0D44"/>
    <w:rsid w:val="007D1A45"/>
    <w:rsid w:val="007D1B9E"/>
    <w:rsid w:val="007D21D3"/>
    <w:rsid w:val="007D230D"/>
    <w:rsid w:val="007D307C"/>
    <w:rsid w:val="007D3116"/>
    <w:rsid w:val="007D3C09"/>
    <w:rsid w:val="007D404C"/>
    <w:rsid w:val="007D455A"/>
    <w:rsid w:val="007D49C8"/>
    <w:rsid w:val="007D5AEB"/>
    <w:rsid w:val="007D5C18"/>
    <w:rsid w:val="007D664A"/>
    <w:rsid w:val="007D679C"/>
    <w:rsid w:val="007D74AD"/>
    <w:rsid w:val="007D75C9"/>
    <w:rsid w:val="007D79BC"/>
    <w:rsid w:val="007D7A92"/>
    <w:rsid w:val="007D7CDE"/>
    <w:rsid w:val="007E0553"/>
    <w:rsid w:val="007E0E4A"/>
    <w:rsid w:val="007E14C5"/>
    <w:rsid w:val="007E236C"/>
    <w:rsid w:val="007E2851"/>
    <w:rsid w:val="007E37A2"/>
    <w:rsid w:val="007E3939"/>
    <w:rsid w:val="007E3BED"/>
    <w:rsid w:val="007E3CD1"/>
    <w:rsid w:val="007E4FA3"/>
    <w:rsid w:val="007E55CE"/>
    <w:rsid w:val="007E5BA5"/>
    <w:rsid w:val="007E5E72"/>
    <w:rsid w:val="007E604E"/>
    <w:rsid w:val="007E690A"/>
    <w:rsid w:val="007E6C21"/>
    <w:rsid w:val="007E70B1"/>
    <w:rsid w:val="007E74E2"/>
    <w:rsid w:val="007E79A1"/>
    <w:rsid w:val="007E7CF2"/>
    <w:rsid w:val="007F01C3"/>
    <w:rsid w:val="007F0976"/>
    <w:rsid w:val="007F0AB9"/>
    <w:rsid w:val="007F103E"/>
    <w:rsid w:val="007F1376"/>
    <w:rsid w:val="007F155C"/>
    <w:rsid w:val="007F1C92"/>
    <w:rsid w:val="007F2B7F"/>
    <w:rsid w:val="007F3155"/>
    <w:rsid w:val="007F3172"/>
    <w:rsid w:val="007F31A5"/>
    <w:rsid w:val="007F33D2"/>
    <w:rsid w:val="007F3EAB"/>
    <w:rsid w:val="007F4D8F"/>
    <w:rsid w:val="007F55C4"/>
    <w:rsid w:val="007F5E4C"/>
    <w:rsid w:val="007F6675"/>
    <w:rsid w:val="007F6759"/>
    <w:rsid w:val="007F691F"/>
    <w:rsid w:val="007F72DB"/>
    <w:rsid w:val="007F78CA"/>
    <w:rsid w:val="007F7E7D"/>
    <w:rsid w:val="00800C12"/>
    <w:rsid w:val="00800C73"/>
    <w:rsid w:val="00800CBC"/>
    <w:rsid w:val="00800EE2"/>
    <w:rsid w:val="00801839"/>
    <w:rsid w:val="0080189A"/>
    <w:rsid w:val="00801E16"/>
    <w:rsid w:val="00802720"/>
    <w:rsid w:val="008029C5"/>
    <w:rsid w:val="0080316C"/>
    <w:rsid w:val="008039F6"/>
    <w:rsid w:val="00803BFA"/>
    <w:rsid w:val="00803D97"/>
    <w:rsid w:val="00803DC8"/>
    <w:rsid w:val="00804008"/>
    <w:rsid w:val="008046C8"/>
    <w:rsid w:val="008046E9"/>
    <w:rsid w:val="008049C6"/>
    <w:rsid w:val="00804EBE"/>
    <w:rsid w:val="008054D7"/>
    <w:rsid w:val="00805599"/>
    <w:rsid w:val="008058A4"/>
    <w:rsid w:val="00806071"/>
    <w:rsid w:val="00806293"/>
    <w:rsid w:val="00807997"/>
    <w:rsid w:val="00810297"/>
    <w:rsid w:val="008103DC"/>
    <w:rsid w:val="0081097D"/>
    <w:rsid w:val="008116C9"/>
    <w:rsid w:val="00811B06"/>
    <w:rsid w:val="00811B67"/>
    <w:rsid w:val="00811C78"/>
    <w:rsid w:val="00812780"/>
    <w:rsid w:val="00812D41"/>
    <w:rsid w:val="008131E6"/>
    <w:rsid w:val="0081469C"/>
    <w:rsid w:val="008148E5"/>
    <w:rsid w:val="0081521F"/>
    <w:rsid w:val="00815872"/>
    <w:rsid w:val="00815D16"/>
    <w:rsid w:val="00815FC5"/>
    <w:rsid w:val="0081614C"/>
    <w:rsid w:val="00816241"/>
    <w:rsid w:val="00816BA4"/>
    <w:rsid w:val="00816E40"/>
    <w:rsid w:val="00816EEB"/>
    <w:rsid w:val="0081748A"/>
    <w:rsid w:val="008175B3"/>
    <w:rsid w:val="008175C9"/>
    <w:rsid w:val="008175F3"/>
    <w:rsid w:val="00817847"/>
    <w:rsid w:val="00817DB7"/>
    <w:rsid w:val="00817EDD"/>
    <w:rsid w:val="008200FA"/>
    <w:rsid w:val="00820635"/>
    <w:rsid w:val="008206D7"/>
    <w:rsid w:val="0082087D"/>
    <w:rsid w:val="00820CB2"/>
    <w:rsid w:val="008219CC"/>
    <w:rsid w:val="00821B47"/>
    <w:rsid w:val="00821BD2"/>
    <w:rsid w:val="00821FDB"/>
    <w:rsid w:val="00822580"/>
    <w:rsid w:val="00822838"/>
    <w:rsid w:val="00822F13"/>
    <w:rsid w:val="00823068"/>
    <w:rsid w:val="008232EA"/>
    <w:rsid w:val="00823AEE"/>
    <w:rsid w:val="00823E9A"/>
    <w:rsid w:val="008245FA"/>
    <w:rsid w:val="00824ACF"/>
    <w:rsid w:val="00824BCE"/>
    <w:rsid w:val="00824BFF"/>
    <w:rsid w:val="00824DF7"/>
    <w:rsid w:val="00825069"/>
    <w:rsid w:val="00825112"/>
    <w:rsid w:val="0082525F"/>
    <w:rsid w:val="00825804"/>
    <w:rsid w:val="008258BC"/>
    <w:rsid w:val="00825B56"/>
    <w:rsid w:val="008260E5"/>
    <w:rsid w:val="0082625E"/>
    <w:rsid w:val="00826434"/>
    <w:rsid w:val="0082676A"/>
    <w:rsid w:val="008272CA"/>
    <w:rsid w:val="008277BF"/>
    <w:rsid w:val="00827987"/>
    <w:rsid w:val="00827DF9"/>
    <w:rsid w:val="008303B8"/>
    <w:rsid w:val="00830BD6"/>
    <w:rsid w:val="00831B09"/>
    <w:rsid w:val="00833294"/>
    <w:rsid w:val="00833624"/>
    <w:rsid w:val="00833693"/>
    <w:rsid w:val="008339C4"/>
    <w:rsid w:val="00833BD6"/>
    <w:rsid w:val="00833E62"/>
    <w:rsid w:val="00834A7F"/>
    <w:rsid w:val="00834C60"/>
    <w:rsid w:val="00834FBE"/>
    <w:rsid w:val="00835F0A"/>
    <w:rsid w:val="00836CD5"/>
    <w:rsid w:val="00836DF4"/>
    <w:rsid w:val="00836F09"/>
    <w:rsid w:val="008376CC"/>
    <w:rsid w:val="00840295"/>
    <w:rsid w:val="00840A19"/>
    <w:rsid w:val="0084197B"/>
    <w:rsid w:val="00841C76"/>
    <w:rsid w:val="00841C77"/>
    <w:rsid w:val="00841FD7"/>
    <w:rsid w:val="00842637"/>
    <w:rsid w:val="008426C2"/>
    <w:rsid w:val="0084275A"/>
    <w:rsid w:val="00842D50"/>
    <w:rsid w:val="00842D5A"/>
    <w:rsid w:val="00843778"/>
    <w:rsid w:val="00843B24"/>
    <w:rsid w:val="00843EC7"/>
    <w:rsid w:val="00844096"/>
    <w:rsid w:val="0084438D"/>
    <w:rsid w:val="0084690C"/>
    <w:rsid w:val="008472BE"/>
    <w:rsid w:val="00847405"/>
    <w:rsid w:val="00847A1C"/>
    <w:rsid w:val="00847E29"/>
    <w:rsid w:val="008505C1"/>
    <w:rsid w:val="008507EC"/>
    <w:rsid w:val="00850F73"/>
    <w:rsid w:val="0085106A"/>
    <w:rsid w:val="00851442"/>
    <w:rsid w:val="00851520"/>
    <w:rsid w:val="00851B57"/>
    <w:rsid w:val="00851BEA"/>
    <w:rsid w:val="00851C2F"/>
    <w:rsid w:val="00851FB2"/>
    <w:rsid w:val="00852D5F"/>
    <w:rsid w:val="00853832"/>
    <w:rsid w:val="00854600"/>
    <w:rsid w:val="00854AB5"/>
    <w:rsid w:val="00856389"/>
    <w:rsid w:val="008566DA"/>
    <w:rsid w:val="008572DA"/>
    <w:rsid w:val="0085762C"/>
    <w:rsid w:val="00857768"/>
    <w:rsid w:val="00860414"/>
    <w:rsid w:val="00860580"/>
    <w:rsid w:val="0086164C"/>
    <w:rsid w:val="00862029"/>
    <w:rsid w:val="00862327"/>
    <w:rsid w:val="00862856"/>
    <w:rsid w:val="00862A4E"/>
    <w:rsid w:val="00862ACE"/>
    <w:rsid w:val="00862B47"/>
    <w:rsid w:val="00862B49"/>
    <w:rsid w:val="00862B5D"/>
    <w:rsid w:val="00863AD8"/>
    <w:rsid w:val="00863B79"/>
    <w:rsid w:val="00863B84"/>
    <w:rsid w:val="00864083"/>
    <w:rsid w:val="008647AB"/>
    <w:rsid w:val="00864EF8"/>
    <w:rsid w:val="00865567"/>
    <w:rsid w:val="0086570B"/>
    <w:rsid w:val="00865D2A"/>
    <w:rsid w:val="008661CA"/>
    <w:rsid w:val="00866275"/>
    <w:rsid w:val="0086638F"/>
    <w:rsid w:val="00866FFB"/>
    <w:rsid w:val="008670E1"/>
    <w:rsid w:val="0086752C"/>
    <w:rsid w:val="00867909"/>
    <w:rsid w:val="00867D35"/>
    <w:rsid w:val="00870506"/>
    <w:rsid w:val="00870972"/>
    <w:rsid w:val="00870AE6"/>
    <w:rsid w:val="00870B3B"/>
    <w:rsid w:val="00870E16"/>
    <w:rsid w:val="008712C7"/>
    <w:rsid w:val="00871461"/>
    <w:rsid w:val="008716FB"/>
    <w:rsid w:val="00871965"/>
    <w:rsid w:val="00871A16"/>
    <w:rsid w:val="008725F9"/>
    <w:rsid w:val="0087260A"/>
    <w:rsid w:val="00872AF2"/>
    <w:rsid w:val="008738E5"/>
    <w:rsid w:val="0087415C"/>
    <w:rsid w:val="008741C9"/>
    <w:rsid w:val="008746EF"/>
    <w:rsid w:val="00875044"/>
    <w:rsid w:val="008756A6"/>
    <w:rsid w:val="00876150"/>
    <w:rsid w:val="00876239"/>
    <w:rsid w:val="00876930"/>
    <w:rsid w:val="00877917"/>
    <w:rsid w:val="00877B3C"/>
    <w:rsid w:val="008804B0"/>
    <w:rsid w:val="0088072A"/>
    <w:rsid w:val="00880CCD"/>
    <w:rsid w:val="00880F4C"/>
    <w:rsid w:val="00881562"/>
    <w:rsid w:val="008824BE"/>
    <w:rsid w:val="0088343E"/>
    <w:rsid w:val="008835EE"/>
    <w:rsid w:val="008836D2"/>
    <w:rsid w:val="00883F38"/>
    <w:rsid w:val="0088444C"/>
    <w:rsid w:val="00884649"/>
    <w:rsid w:val="008847CC"/>
    <w:rsid w:val="0088488D"/>
    <w:rsid w:val="00884C66"/>
    <w:rsid w:val="0088567E"/>
    <w:rsid w:val="00885B6D"/>
    <w:rsid w:val="0088619C"/>
    <w:rsid w:val="008865E3"/>
    <w:rsid w:val="00886845"/>
    <w:rsid w:val="008877AC"/>
    <w:rsid w:val="00887842"/>
    <w:rsid w:val="00887880"/>
    <w:rsid w:val="00887A2E"/>
    <w:rsid w:val="008910B7"/>
    <w:rsid w:val="008919A1"/>
    <w:rsid w:val="00891B06"/>
    <w:rsid w:val="00891F06"/>
    <w:rsid w:val="00892158"/>
    <w:rsid w:val="00893326"/>
    <w:rsid w:val="00893DCF"/>
    <w:rsid w:val="00894135"/>
    <w:rsid w:val="008955BB"/>
    <w:rsid w:val="008955E8"/>
    <w:rsid w:val="00895673"/>
    <w:rsid w:val="00895FB2"/>
    <w:rsid w:val="00896202"/>
    <w:rsid w:val="00896A98"/>
    <w:rsid w:val="00897533"/>
    <w:rsid w:val="008A07C0"/>
    <w:rsid w:val="008A0A60"/>
    <w:rsid w:val="008A0FDA"/>
    <w:rsid w:val="008A1A9F"/>
    <w:rsid w:val="008A1AB2"/>
    <w:rsid w:val="008A2353"/>
    <w:rsid w:val="008A2798"/>
    <w:rsid w:val="008A29CA"/>
    <w:rsid w:val="008A2DE9"/>
    <w:rsid w:val="008A2E82"/>
    <w:rsid w:val="008A5DCC"/>
    <w:rsid w:val="008A6417"/>
    <w:rsid w:val="008A6425"/>
    <w:rsid w:val="008A67E5"/>
    <w:rsid w:val="008A6903"/>
    <w:rsid w:val="008A6B0B"/>
    <w:rsid w:val="008A6B23"/>
    <w:rsid w:val="008A6B29"/>
    <w:rsid w:val="008A6F5E"/>
    <w:rsid w:val="008A6FF1"/>
    <w:rsid w:val="008A7520"/>
    <w:rsid w:val="008A76AC"/>
    <w:rsid w:val="008A7EEF"/>
    <w:rsid w:val="008B0679"/>
    <w:rsid w:val="008B076D"/>
    <w:rsid w:val="008B0A80"/>
    <w:rsid w:val="008B0BD7"/>
    <w:rsid w:val="008B1D5B"/>
    <w:rsid w:val="008B28D7"/>
    <w:rsid w:val="008B2CFA"/>
    <w:rsid w:val="008B3891"/>
    <w:rsid w:val="008B39E5"/>
    <w:rsid w:val="008B48A1"/>
    <w:rsid w:val="008B4C85"/>
    <w:rsid w:val="008B4F00"/>
    <w:rsid w:val="008B538B"/>
    <w:rsid w:val="008B5843"/>
    <w:rsid w:val="008B58E9"/>
    <w:rsid w:val="008B5B7B"/>
    <w:rsid w:val="008B6163"/>
    <w:rsid w:val="008B6296"/>
    <w:rsid w:val="008B640B"/>
    <w:rsid w:val="008B6439"/>
    <w:rsid w:val="008B67B9"/>
    <w:rsid w:val="008B6922"/>
    <w:rsid w:val="008B6E1D"/>
    <w:rsid w:val="008B6EA6"/>
    <w:rsid w:val="008B708B"/>
    <w:rsid w:val="008B779C"/>
    <w:rsid w:val="008B7ED0"/>
    <w:rsid w:val="008B7F8E"/>
    <w:rsid w:val="008C015F"/>
    <w:rsid w:val="008C0C6B"/>
    <w:rsid w:val="008C14E9"/>
    <w:rsid w:val="008C18E2"/>
    <w:rsid w:val="008C1A60"/>
    <w:rsid w:val="008C1AF5"/>
    <w:rsid w:val="008C1CCC"/>
    <w:rsid w:val="008C1EA3"/>
    <w:rsid w:val="008C2A2B"/>
    <w:rsid w:val="008C3647"/>
    <w:rsid w:val="008C36BC"/>
    <w:rsid w:val="008C3FA3"/>
    <w:rsid w:val="008C4156"/>
    <w:rsid w:val="008C4845"/>
    <w:rsid w:val="008C5414"/>
    <w:rsid w:val="008C555A"/>
    <w:rsid w:val="008C5E54"/>
    <w:rsid w:val="008C651C"/>
    <w:rsid w:val="008C672D"/>
    <w:rsid w:val="008C6B75"/>
    <w:rsid w:val="008C73AA"/>
    <w:rsid w:val="008C7AC6"/>
    <w:rsid w:val="008C7D58"/>
    <w:rsid w:val="008D05D2"/>
    <w:rsid w:val="008D09A8"/>
    <w:rsid w:val="008D09F9"/>
    <w:rsid w:val="008D0B15"/>
    <w:rsid w:val="008D0FE6"/>
    <w:rsid w:val="008D1192"/>
    <w:rsid w:val="008D1A48"/>
    <w:rsid w:val="008D2922"/>
    <w:rsid w:val="008D2B50"/>
    <w:rsid w:val="008D2BEF"/>
    <w:rsid w:val="008D4089"/>
    <w:rsid w:val="008D4301"/>
    <w:rsid w:val="008D4975"/>
    <w:rsid w:val="008D49CF"/>
    <w:rsid w:val="008D4B50"/>
    <w:rsid w:val="008D67DB"/>
    <w:rsid w:val="008D6D14"/>
    <w:rsid w:val="008E061E"/>
    <w:rsid w:val="008E0955"/>
    <w:rsid w:val="008E0961"/>
    <w:rsid w:val="008E1282"/>
    <w:rsid w:val="008E1349"/>
    <w:rsid w:val="008E1A32"/>
    <w:rsid w:val="008E1AD4"/>
    <w:rsid w:val="008E1C6B"/>
    <w:rsid w:val="008E1F47"/>
    <w:rsid w:val="008E2119"/>
    <w:rsid w:val="008E250B"/>
    <w:rsid w:val="008E264F"/>
    <w:rsid w:val="008E33A9"/>
    <w:rsid w:val="008E3744"/>
    <w:rsid w:val="008E378E"/>
    <w:rsid w:val="008E3AA5"/>
    <w:rsid w:val="008E4114"/>
    <w:rsid w:val="008E4B83"/>
    <w:rsid w:val="008E56CC"/>
    <w:rsid w:val="008E56CD"/>
    <w:rsid w:val="008E5737"/>
    <w:rsid w:val="008E5A12"/>
    <w:rsid w:val="008E64BB"/>
    <w:rsid w:val="008E6706"/>
    <w:rsid w:val="008E6A85"/>
    <w:rsid w:val="008E7B08"/>
    <w:rsid w:val="008E7B98"/>
    <w:rsid w:val="008F0A09"/>
    <w:rsid w:val="008F0B18"/>
    <w:rsid w:val="008F1003"/>
    <w:rsid w:val="008F16A6"/>
    <w:rsid w:val="008F1A8A"/>
    <w:rsid w:val="008F1BCB"/>
    <w:rsid w:val="008F2092"/>
    <w:rsid w:val="008F24A2"/>
    <w:rsid w:val="008F2504"/>
    <w:rsid w:val="008F2B0B"/>
    <w:rsid w:val="008F33BF"/>
    <w:rsid w:val="008F3854"/>
    <w:rsid w:val="008F3D98"/>
    <w:rsid w:val="008F4322"/>
    <w:rsid w:val="008F463D"/>
    <w:rsid w:val="008F4A2A"/>
    <w:rsid w:val="008F4D04"/>
    <w:rsid w:val="008F5247"/>
    <w:rsid w:val="008F5C24"/>
    <w:rsid w:val="008F5CC0"/>
    <w:rsid w:val="008F6457"/>
    <w:rsid w:val="008F64EA"/>
    <w:rsid w:val="008F6E53"/>
    <w:rsid w:val="00900310"/>
    <w:rsid w:val="009007EB"/>
    <w:rsid w:val="009007FA"/>
    <w:rsid w:val="00901070"/>
    <w:rsid w:val="009013F3"/>
    <w:rsid w:val="0090152A"/>
    <w:rsid w:val="00901931"/>
    <w:rsid w:val="009019F0"/>
    <w:rsid w:val="00901D83"/>
    <w:rsid w:val="00902443"/>
    <w:rsid w:val="00903C32"/>
    <w:rsid w:val="00903C9D"/>
    <w:rsid w:val="0090495F"/>
    <w:rsid w:val="00904CD1"/>
    <w:rsid w:val="00904E99"/>
    <w:rsid w:val="00904F3F"/>
    <w:rsid w:val="00904FA1"/>
    <w:rsid w:val="0090526E"/>
    <w:rsid w:val="009058D5"/>
    <w:rsid w:val="00905989"/>
    <w:rsid w:val="009066A6"/>
    <w:rsid w:val="0090707B"/>
    <w:rsid w:val="00907CCE"/>
    <w:rsid w:val="00910BA6"/>
    <w:rsid w:val="00911509"/>
    <w:rsid w:val="00911925"/>
    <w:rsid w:val="00911F10"/>
    <w:rsid w:val="009122C5"/>
    <w:rsid w:val="00912A73"/>
    <w:rsid w:val="00913299"/>
    <w:rsid w:val="00913901"/>
    <w:rsid w:val="00913A83"/>
    <w:rsid w:val="009142F4"/>
    <w:rsid w:val="00914BF9"/>
    <w:rsid w:val="00914E7F"/>
    <w:rsid w:val="0091519B"/>
    <w:rsid w:val="0091529F"/>
    <w:rsid w:val="009160C0"/>
    <w:rsid w:val="009171D7"/>
    <w:rsid w:val="00917921"/>
    <w:rsid w:val="00917A1D"/>
    <w:rsid w:val="00917EFE"/>
    <w:rsid w:val="00920E81"/>
    <w:rsid w:val="009211FD"/>
    <w:rsid w:val="009212DF"/>
    <w:rsid w:val="0092184A"/>
    <w:rsid w:val="00922089"/>
    <w:rsid w:val="0092230D"/>
    <w:rsid w:val="00922463"/>
    <w:rsid w:val="00922982"/>
    <w:rsid w:val="0092345F"/>
    <w:rsid w:val="009243E0"/>
    <w:rsid w:val="00924423"/>
    <w:rsid w:val="009245CC"/>
    <w:rsid w:val="0092468A"/>
    <w:rsid w:val="00924878"/>
    <w:rsid w:val="00924CB8"/>
    <w:rsid w:val="00925A1B"/>
    <w:rsid w:val="00925ADE"/>
    <w:rsid w:val="00925FE8"/>
    <w:rsid w:val="00926147"/>
    <w:rsid w:val="009261D3"/>
    <w:rsid w:val="0092631B"/>
    <w:rsid w:val="009264FA"/>
    <w:rsid w:val="0092662D"/>
    <w:rsid w:val="00926792"/>
    <w:rsid w:val="00927438"/>
    <w:rsid w:val="00927473"/>
    <w:rsid w:val="00927503"/>
    <w:rsid w:val="00927E4A"/>
    <w:rsid w:val="0093003B"/>
    <w:rsid w:val="0093034E"/>
    <w:rsid w:val="0093059A"/>
    <w:rsid w:val="009309B8"/>
    <w:rsid w:val="00930B7E"/>
    <w:rsid w:val="00931035"/>
    <w:rsid w:val="009310B8"/>
    <w:rsid w:val="00931518"/>
    <w:rsid w:val="009318CA"/>
    <w:rsid w:val="009319BB"/>
    <w:rsid w:val="00931DC9"/>
    <w:rsid w:val="00932756"/>
    <w:rsid w:val="00932E0F"/>
    <w:rsid w:val="00933FC5"/>
    <w:rsid w:val="00934A70"/>
    <w:rsid w:val="009365B2"/>
    <w:rsid w:val="009368F1"/>
    <w:rsid w:val="00937375"/>
    <w:rsid w:val="00937A81"/>
    <w:rsid w:val="0094076A"/>
    <w:rsid w:val="009417E5"/>
    <w:rsid w:val="00941952"/>
    <w:rsid w:val="009427C3"/>
    <w:rsid w:val="009428F8"/>
    <w:rsid w:val="00942A02"/>
    <w:rsid w:val="0094335C"/>
    <w:rsid w:val="009437F5"/>
    <w:rsid w:val="00944A35"/>
    <w:rsid w:val="00944B57"/>
    <w:rsid w:val="00944E14"/>
    <w:rsid w:val="00945330"/>
    <w:rsid w:val="0094575F"/>
    <w:rsid w:val="009460E7"/>
    <w:rsid w:val="00946123"/>
    <w:rsid w:val="00946802"/>
    <w:rsid w:val="00946954"/>
    <w:rsid w:val="00946C8A"/>
    <w:rsid w:val="00946DD6"/>
    <w:rsid w:val="0094704B"/>
    <w:rsid w:val="0094716F"/>
    <w:rsid w:val="00947623"/>
    <w:rsid w:val="00947C1B"/>
    <w:rsid w:val="0095016B"/>
    <w:rsid w:val="0095027A"/>
    <w:rsid w:val="0095074F"/>
    <w:rsid w:val="00950794"/>
    <w:rsid w:val="00950A61"/>
    <w:rsid w:val="00950B09"/>
    <w:rsid w:val="00950D2F"/>
    <w:rsid w:val="00950D42"/>
    <w:rsid w:val="009516C0"/>
    <w:rsid w:val="00952C56"/>
    <w:rsid w:val="00953815"/>
    <w:rsid w:val="0095415A"/>
    <w:rsid w:val="00954841"/>
    <w:rsid w:val="009548F9"/>
    <w:rsid w:val="00954C42"/>
    <w:rsid w:val="00954DFB"/>
    <w:rsid w:val="00955C52"/>
    <w:rsid w:val="0095614F"/>
    <w:rsid w:val="009566BE"/>
    <w:rsid w:val="00956943"/>
    <w:rsid w:val="009577B4"/>
    <w:rsid w:val="009605C2"/>
    <w:rsid w:val="009608A1"/>
    <w:rsid w:val="00960C1B"/>
    <w:rsid w:val="009618EE"/>
    <w:rsid w:val="00962866"/>
    <w:rsid w:val="00962CC5"/>
    <w:rsid w:val="00963611"/>
    <w:rsid w:val="00963A7D"/>
    <w:rsid w:val="00963D19"/>
    <w:rsid w:val="00963E1F"/>
    <w:rsid w:val="00963F85"/>
    <w:rsid w:val="00964855"/>
    <w:rsid w:val="00965BB3"/>
    <w:rsid w:val="00965DF8"/>
    <w:rsid w:val="009663B1"/>
    <w:rsid w:val="009668DB"/>
    <w:rsid w:val="00966B2A"/>
    <w:rsid w:val="00967308"/>
    <w:rsid w:val="009673F9"/>
    <w:rsid w:val="00967518"/>
    <w:rsid w:val="00967704"/>
    <w:rsid w:val="00967810"/>
    <w:rsid w:val="009703E3"/>
    <w:rsid w:val="00971130"/>
    <w:rsid w:val="00971211"/>
    <w:rsid w:val="00971291"/>
    <w:rsid w:val="00971943"/>
    <w:rsid w:val="00972495"/>
    <w:rsid w:val="009736D0"/>
    <w:rsid w:val="00973991"/>
    <w:rsid w:val="009739D6"/>
    <w:rsid w:val="00973A51"/>
    <w:rsid w:val="00973A90"/>
    <w:rsid w:val="00973E36"/>
    <w:rsid w:val="0097483B"/>
    <w:rsid w:val="00974B6E"/>
    <w:rsid w:val="009750F1"/>
    <w:rsid w:val="0097594A"/>
    <w:rsid w:val="00975B2D"/>
    <w:rsid w:val="00975F03"/>
    <w:rsid w:val="00977D4A"/>
    <w:rsid w:val="00977E1B"/>
    <w:rsid w:val="00977FDD"/>
    <w:rsid w:val="00980047"/>
    <w:rsid w:val="00980170"/>
    <w:rsid w:val="00980879"/>
    <w:rsid w:val="009815C6"/>
    <w:rsid w:val="00981B36"/>
    <w:rsid w:val="00981C16"/>
    <w:rsid w:val="009821F6"/>
    <w:rsid w:val="00982C37"/>
    <w:rsid w:val="009833F1"/>
    <w:rsid w:val="00983427"/>
    <w:rsid w:val="009838C1"/>
    <w:rsid w:val="00983C24"/>
    <w:rsid w:val="009847CA"/>
    <w:rsid w:val="00984BA9"/>
    <w:rsid w:val="00984BE0"/>
    <w:rsid w:val="00984EBA"/>
    <w:rsid w:val="00985913"/>
    <w:rsid w:val="00985917"/>
    <w:rsid w:val="00985C03"/>
    <w:rsid w:val="00986144"/>
    <w:rsid w:val="00986908"/>
    <w:rsid w:val="00986E7C"/>
    <w:rsid w:val="009872C2"/>
    <w:rsid w:val="00987AE5"/>
    <w:rsid w:val="009901F2"/>
    <w:rsid w:val="009902EC"/>
    <w:rsid w:val="009903F0"/>
    <w:rsid w:val="00990AA6"/>
    <w:rsid w:val="009918D1"/>
    <w:rsid w:val="00991BD2"/>
    <w:rsid w:val="00991DF1"/>
    <w:rsid w:val="0099219F"/>
    <w:rsid w:val="009922F1"/>
    <w:rsid w:val="0099236D"/>
    <w:rsid w:val="00993298"/>
    <w:rsid w:val="0099334E"/>
    <w:rsid w:val="0099355E"/>
    <w:rsid w:val="0099374C"/>
    <w:rsid w:val="00993B14"/>
    <w:rsid w:val="00993C16"/>
    <w:rsid w:val="00993F7B"/>
    <w:rsid w:val="0099541A"/>
    <w:rsid w:val="0099599E"/>
    <w:rsid w:val="00995C2F"/>
    <w:rsid w:val="00996D59"/>
    <w:rsid w:val="00997244"/>
    <w:rsid w:val="00997312"/>
    <w:rsid w:val="009A0120"/>
    <w:rsid w:val="009A052A"/>
    <w:rsid w:val="009A072A"/>
    <w:rsid w:val="009A0844"/>
    <w:rsid w:val="009A118F"/>
    <w:rsid w:val="009A1813"/>
    <w:rsid w:val="009A23FD"/>
    <w:rsid w:val="009A2F11"/>
    <w:rsid w:val="009A3BE2"/>
    <w:rsid w:val="009A40F1"/>
    <w:rsid w:val="009A46D0"/>
    <w:rsid w:val="009A477B"/>
    <w:rsid w:val="009A4E65"/>
    <w:rsid w:val="009A4E71"/>
    <w:rsid w:val="009A4F69"/>
    <w:rsid w:val="009A50C3"/>
    <w:rsid w:val="009A5472"/>
    <w:rsid w:val="009A5489"/>
    <w:rsid w:val="009A54A1"/>
    <w:rsid w:val="009A5634"/>
    <w:rsid w:val="009A5C14"/>
    <w:rsid w:val="009A5F18"/>
    <w:rsid w:val="009A6457"/>
    <w:rsid w:val="009A646B"/>
    <w:rsid w:val="009A6C71"/>
    <w:rsid w:val="009A6F53"/>
    <w:rsid w:val="009A75CF"/>
    <w:rsid w:val="009A7CB5"/>
    <w:rsid w:val="009A7CFD"/>
    <w:rsid w:val="009B0021"/>
    <w:rsid w:val="009B14F5"/>
    <w:rsid w:val="009B1AD3"/>
    <w:rsid w:val="009B1B00"/>
    <w:rsid w:val="009B1BC0"/>
    <w:rsid w:val="009B2AEA"/>
    <w:rsid w:val="009B2B39"/>
    <w:rsid w:val="009B3556"/>
    <w:rsid w:val="009B466F"/>
    <w:rsid w:val="009B4976"/>
    <w:rsid w:val="009B4F2C"/>
    <w:rsid w:val="009B5A40"/>
    <w:rsid w:val="009B5D38"/>
    <w:rsid w:val="009B5F45"/>
    <w:rsid w:val="009B6760"/>
    <w:rsid w:val="009B6D05"/>
    <w:rsid w:val="009B70E0"/>
    <w:rsid w:val="009B7121"/>
    <w:rsid w:val="009B7437"/>
    <w:rsid w:val="009C021D"/>
    <w:rsid w:val="009C051B"/>
    <w:rsid w:val="009C06BF"/>
    <w:rsid w:val="009C126A"/>
    <w:rsid w:val="009C1396"/>
    <w:rsid w:val="009C150C"/>
    <w:rsid w:val="009C1882"/>
    <w:rsid w:val="009C1DC9"/>
    <w:rsid w:val="009C2052"/>
    <w:rsid w:val="009C2954"/>
    <w:rsid w:val="009C32BF"/>
    <w:rsid w:val="009C356D"/>
    <w:rsid w:val="009C3EC5"/>
    <w:rsid w:val="009C41BB"/>
    <w:rsid w:val="009C4D78"/>
    <w:rsid w:val="009C51D6"/>
    <w:rsid w:val="009C6B2F"/>
    <w:rsid w:val="009C6BD1"/>
    <w:rsid w:val="009C743E"/>
    <w:rsid w:val="009D030D"/>
    <w:rsid w:val="009D03A5"/>
    <w:rsid w:val="009D096A"/>
    <w:rsid w:val="009D0F28"/>
    <w:rsid w:val="009D1986"/>
    <w:rsid w:val="009D2AFD"/>
    <w:rsid w:val="009D32FD"/>
    <w:rsid w:val="009D3472"/>
    <w:rsid w:val="009D446F"/>
    <w:rsid w:val="009D472D"/>
    <w:rsid w:val="009D4DCD"/>
    <w:rsid w:val="009D4E40"/>
    <w:rsid w:val="009D520B"/>
    <w:rsid w:val="009D577D"/>
    <w:rsid w:val="009D5EB9"/>
    <w:rsid w:val="009D5FFB"/>
    <w:rsid w:val="009D62CC"/>
    <w:rsid w:val="009D63C1"/>
    <w:rsid w:val="009D676C"/>
    <w:rsid w:val="009D6C1B"/>
    <w:rsid w:val="009D73A9"/>
    <w:rsid w:val="009D77DC"/>
    <w:rsid w:val="009D7D92"/>
    <w:rsid w:val="009E0613"/>
    <w:rsid w:val="009E07AA"/>
    <w:rsid w:val="009E0B58"/>
    <w:rsid w:val="009E1143"/>
    <w:rsid w:val="009E1CFE"/>
    <w:rsid w:val="009E23B4"/>
    <w:rsid w:val="009E2CA3"/>
    <w:rsid w:val="009E2E58"/>
    <w:rsid w:val="009E3213"/>
    <w:rsid w:val="009E3A11"/>
    <w:rsid w:val="009E3C61"/>
    <w:rsid w:val="009E4570"/>
    <w:rsid w:val="009E4A46"/>
    <w:rsid w:val="009E4E6A"/>
    <w:rsid w:val="009E580F"/>
    <w:rsid w:val="009E615B"/>
    <w:rsid w:val="009E6952"/>
    <w:rsid w:val="009E6BD8"/>
    <w:rsid w:val="009E6EAA"/>
    <w:rsid w:val="009E6EE0"/>
    <w:rsid w:val="009E770B"/>
    <w:rsid w:val="009E77EB"/>
    <w:rsid w:val="009E791B"/>
    <w:rsid w:val="009E7948"/>
    <w:rsid w:val="009E7D66"/>
    <w:rsid w:val="009F003C"/>
    <w:rsid w:val="009F1217"/>
    <w:rsid w:val="009F24C9"/>
    <w:rsid w:val="009F258F"/>
    <w:rsid w:val="009F27A5"/>
    <w:rsid w:val="009F3F74"/>
    <w:rsid w:val="009F4149"/>
    <w:rsid w:val="009F449E"/>
    <w:rsid w:val="009F472F"/>
    <w:rsid w:val="009F5190"/>
    <w:rsid w:val="009F5205"/>
    <w:rsid w:val="009F6414"/>
    <w:rsid w:val="009F6A0B"/>
    <w:rsid w:val="009F6C39"/>
    <w:rsid w:val="009F6DC5"/>
    <w:rsid w:val="009F6F73"/>
    <w:rsid w:val="009F700F"/>
    <w:rsid w:val="009F7AF2"/>
    <w:rsid w:val="009F7E1B"/>
    <w:rsid w:val="009F7E83"/>
    <w:rsid w:val="00A00946"/>
    <w:rsid w:val="00A00C1B"/>
    <w:rsid w:val="00A00E19"/>
    <w:rsid w:val="00A011C9"/>
    <w:rsid w:val="00A0127D"/>
    <w:rsid w:val="00A014BC"/>
    <w:rsid w:val="00A01673"/>
    <w:rsid w:val="00A01726"/>
    <w:rsid w:val="00A0266D"/>
    <w:rsid w:val="00A028CD"/>
    <w:rsid w:val="00A02AB7"/>
    <w:rsid w:val="00A02B49"/>
    <w:rsid w:val="00A03274"/>
    <w:rsid w:val="00A0423D"/>
    <w:rsid w:val="00A04D69"/>
    <w:rsid w:val="00A05348"/>
    <w:rsid w:val="00A0581C"/>
    <w:rsid w:val="00A05D3D"/>
    <w:rsid w:val="00A0644F"/>
    <w:rsid w:val="00A0691C"/>
    <w:rsid w:val="00A06A47"/>
    <w:rsid w:val="00A06BA2"/>
    <w:rsid w:val="00A06E19"/>
    <w:rsid w:val="00A076F2"/>
    <w:rsid w:val="00A10739"/>
    <w:rsid w:val="00A10D3C"/>
    <w:rsid w:val="00A11076"/>
    <w:rsid w:val="00A1145A"/>
    <w:rsid w:val="00A1189B"/>
    <w:rsid w:val="00A11996"/>
    <w:rsid w:val="00A1250B"/>
    <w:rsid w:val="00A12926"/>
    <w:rsid w:val="00A12EED"/>
    <w:rsid w:val="00A13307"/>
    <w:rsid w:val="00A13349"/>
    <w:rsid w:val="00A14BB9"/>
    <w:rsid w:val="00A14E10"/>
    <w:rsid w:val="00A14EC6"/>
    <w:rsid w:val="00A155EE"/>
    <w:rsid w:val="00A1562B"/>
    <w:rsid w:val="00A15A41"/>
    <w:rsid w:val="00A15CAD"/>
    <w:rsid w:val="00A161EA"/>
    <w:rsid w:val="00A1775F"/>
    <w:rsid w:val="00A17919"/>
    <w:rsid w:val="00A179FE"/>
    <w:rsid w:val="00A200B8"/>
    <w:rsid w:val="00A201D8"/>
    <w:rsid w:val="00A201E1"/>
    <w:rsid w:val="00A2028C"/>
    <w:rsid w:val="00A2043D"/>
    <w:rsid w:val="00A20477"/>
    <w:rsid w:val="00A208B2"/>
    <w:rsid w:val="00A20C3B"/>
    <w:rsid w:val="00A2139A"/>
    <w:rsid w:val="00A214CD"/>
    <w:rsid w:val="00A22237"/>
    <w:rsid w:val="00A22B48"/>
    <w:rsid w:val="00A22E21"/>
    <w:rsid w:val="00A22FE6"/>
    <w:rsid w:val="00A23321"/>
    <w:rsid w:val="00A234C9"/>
    <w:rsid w:val="00A23595"/>
    <w:rsid w:val="00A23A53"/>
    <w:rsid w:val="00A23D93"/>
    <w:rsid w:val="00A24584"/>
    <w:rsid w:val="00A247E5"/>
    <w:rsid w:val="00A2498D"/>
    <w:rsid w:val="00A24C2A"/>
    <w:rsid w:val="00A24C58"/>
    <w:rsid w:val="00A2593D"/>
    <w:rsid w:val="00A25FE3"/>
    <w:rsid w:val="00A26261"/>
    <w:rsid w:val="00A263C1"/>
    <w:rsid w:val="00A26901"/>
    <w:rsid w:val="00A26967"/>
    <w:rsid w:val="00A26A31"/>
    <w:rsid w:val="00A26E35"/>
    <w:rsid w:val="00A27379"/>
    <w:rsid w:val="00A27492"/>
    <w:rsid w:val="00A27959"/>
    <w:rsid w:val="00A27E59"/>
    <w:rsid w:val="00A30E7A"/>
    <w:rsid w:val="00A3106D"/>
    <w:rsid w:val="00A311E1"/>
    <w:rsid w:val="00A318C8"/>
    <w:rsid w:val="00A31956"/>
    <w:rsid w:val="00A319D7"/>
    <w:rsid w:val="00A31C12"/>
    <w:rsid w:val="00A3249C"/>
    <w:rsid w:val="00A325C1"/>
    <w:rsid w:val="00A3270F"/>
    <w:rsid w:val="00A32781"/>
    <w:rsid w:val="00A327E6"/>
    <w:rsid w:val="00A32A5D"/>
    <w:rsid w:val="00A3325F"/>
    <w:rsid w:val="00A344D6"/>
    <w:rsid w:val="00A34757"/>
    <w:rsid w:val="00A347BC"/>
    <w:rsid w:val="00A34D33"/>
    <w:rsid w:val="00A351F9"/>
    <w:rsid w:val="00A35EFC"/>
    <w:rsid w:val="00A3649F"/>
    <w:rsid w:val="00A36729"/>
    <w:rsid w:val="00A37598"/>
    <w:rsid w:val="00A40251"/>
    <w:rsid w:val="00A40399"/>
    <w:rsid w:val="00A4078A"/>
    <w:rsid w:val="00A40D8E"/>
    <w:rsid w:val="00A40EC0"/>
    <w:rsid w:val="00A41AD4"/>
    <w:rsid w:val="00A42F4F"/>
    <w:rsid w:val="00A43B67"/>
    <w:rsid w:val="00A43E91"/>
    <w:rsid w:val="00A448F3"/>
    <w:rsid w:val="00A44AC9"/>
    <w:rsid w:val="00A451C2"/>
    <w:rsid w:val="00A453B5"/>
    <w:rsid w:val="00A457C7"/>
    <w:rsid w:val="00A45B39"/>
    <w:rsid w:val="00A462BA"/>
    <w:rsid w:val="00A46386"/>
    <w:rsid w:val="00A4647D"/>
    <w:rsid w:val="00A46916"/>
    <w:rsid w:val="00A477ED"/>
    <w:rsid w:val="00A479BC"/>
    <w:rsid w:val="00A47CE8"/>
    <w:rsid w:val="00A47D4A"/>
    <w:rsid w:val="00A5053A"/>
    <w:rsid w:val="00A51C8D"/>
    <w:rsid w:val="00A52462"/>
    <w:rsid w:val="00A52BAD"/>
    <w:rsid w:val="00A53BF2"/>
    <w:rsid w:val="00A53EFD"/>
    <w:rsid w:val="00A53FF7"/>
    <w:rsid w:val="00A54927"/>
    <w:rsid w:val="00A5507E"/>
    <w:rsid w:val="00A55760"/>
    <w:rsid w:val="00A5599F"/>
    <w:rsid w:val="00A569E2"/>
    <w:rsid w:val="00A56C41"/>
    <w:rsid w:val="00A56CE1"/>
    <w:rsid w:val="00A57654"/>
    <w:rsid w:val="00A57ACF"/>
    <w:rsid w:val="00A57B99"/>
    <w:rsid w:val="00A57BC4"/>
    <w:rsid w:val="00A6088A"/>
    <w:rsid w:val="00A60BB4"/>
    <w:rsid w:val="00A60C47"/>
    <w:rsid w:val="00A61475"/>
    <w:rsid w:val="00A61A6A"/>
    <w:rsid w:val="00A62488"/>
    <w:rsid w:val="00A62A08"/>
    <w:rsid w:val="00A62ABF"/>
    <w:rsid w:val="00A630B7"/>
    <w:rsid w:val="00A63381"/>
    <w:rsid w:val="00A63A93"/>
    <w:rsid w:val="00A63E7B"/>
    <w:rsid w:val="00A642D6"/>
    <w:rsid w:val="00A642FB"/>
    <w:rsid w:val="00A64673"/>
    <w:rsid w:val="00A6477D"/>
    <w:rsid w:val="00A64803"/>
    <w:rsid w:val="00A650D1"/>
    <w:rsid w:val="00A6548F"/>
    <w:rsid w:val="00A65918"/>
    <w:rsid w:val="00A65CC6"/>
    <w:rsid w:val="00A65E4F"/>
    <w:rsid w:val="00A66291"/>
    <w:rsid w:val="00A6660A"/>
    <w:rsid w:val="00A66BFE"/>
    <w:rsid w:val="00A66E4D"/>
    <w:rsid w:val="00A670BC"/>
    <w:rsid w:val="00A67473"/>
    <w:rsid w:val="00A677F2"/>
    <w:rsid w:val="00A67C92"/>
    <w:rsid w:val="00A67CD4"/>
    <w:rsid w:val="00A705EC"/>
    <w:rsid w:val="00A7169E"/>
    <w:rsid w:val="00A71BD9"/>
    <w:rsid w:val="00A71E98"/>
    <w:rsid w:val="00A71FF6"/>
    <w:rsid w:val="00A723E9"/>
    <w:rsid w:val="00A732D2"/>
    <w:rsid w:val="00A733F4"/>
    <w:rsid w:val="00A734FA"/>
    <w:rsid w:val="00A73636"/>
    <w:rsid w:val="00A74552"/>
    <w:rsid w:val="00A75A70"/>
    <w:rsid w:val="00A760CE"/>
    <w:rsid w:val="00A76F6C"/>
    <w:rsid w:val="00A76FEB"/>
    <w:rsid w:val="00A77134"/>
    <w:rsid w:val="00A771B9"/>
    <w:rsid w:val="00A77508"/>
    <w:rsid w:val="00A80299"/>
    <w:rsid w:val="00A807E7"/>
    <w:rsid w:val="00A812A3"/>
    <w:rsid w:val="00A816F6"/>
    <w:rsid w:val="00A8199E"/>
    <w:rsid w:val="00A819A5"/>
    <w:rsid w:val="00A81A3B"/>
    <w:rsid w:val="00A8284A"/>
    <w:rsid w:val="00A82D60"/>
    <w:rsid w:val="00A82EDC"/>
    <w:rsid w:val="00A83E8D"/>
    <w:rsid w:val="00A84974"/>
    <w:rsid w:val="00A84A64"/>
    <w:rsid w:val="00A84CCD"/>
    <w:rsid w:val="00A84D23"/>
    <w:rsid w:val="00A84F3D"/>
    <w:rsid w:val="00A85438"/>
    <w:rsid w:val="00A8716B"/>
    <w:rsid w:val="00A90055"/>
    <w:rsid w:val="00A9102B"/>
    <w:rsid w:val="00A91CDB"/>
    <w:rsid w:val="00A91E92"/>
    <w:rsid w:val="00A92502"/>
    <w:rsid w:val="00A925F6"/>
    <w:rsid w:val="00A936FB"/>
    <w:rsid w:val="00A93865"/>
    <w:rsid w:val="00A9395B"/>
    <w:rsid w:val="00A94E8C"/>
    <w:rsid w:val="00A94FAF"/>
    <w:rsid w:val="00A95308"/>
    <w:rsid w:val="00A95C2B"/>
    <w:rsid w:val="00A96516"/>
    <w:rsid w:val="00A9667D"/>
    <w:rsid w:val="00A974BA"/>
    <w:rsid w:val="00A974FC"/>
    <w:rsid w:val="00A9766F"/>
    <w:rsid w:val="00A9796B"/>
    <w:rsid w:val="00AA06A1"/>
    <w:rsid w:val="00AA0D12"/>
    <w:rsid w:val="00AA1469"/>
    <w:rsid w:val="00AA2784"/>
    <w:rsid w:val="00AA2B58"/>
    <w:rsid w:val="00AA2C74"/>
    <w:rsid w:val="00AA3661"/>
    <w:rsid w:val="00AA38ED"/>
    <w:rsid w:val="00AA3A3D"/>
    <w:rsid w:val="00AA4E31"/>
    <w:rsid w:val="00AA58E0"/>
    <w:rsid w:val="00AA61B8"/>
    <w:rsid w:val="00AA63D9"/>
    <w:rsid w:val="00AA64FA"/>
    <w:rsid w:val="00AA6A8F"/>
    <w:rsid w:val="00AA6A9F"/>
    <w:rsid w:val="00AA74E1"/>
    <w:rsid w:val="00AB0551"/>
    <w:rsid w:val="00AB07AC"/>
    <w:rsid w:val="00AB0CE8"/>
    <w:rsid w:val="00AB134F"/>
    <w:rsid w:val="00AB16EE"/>
    <w:rsid w:val="00AB1AE6"/>
    <w:rsid w:val="00AB1CBE"/>
    <w:rsid w:val="00AB257D"/>
    <w:rsid w:val="00AB2B0D"/>
    <w:rsid w:val="00AB38CA"/>
    <w:rsid w:val="00AB42D1"/>
    <w:rsid w:val="00AB4376"/>
    <w:rsid w:val="00AB46B6"/>
    <w:rsid w:val="00AB4CA6"/>
    <w:rsid w:val="00AB5894"/>
    <w:rsid w:val="00AB5F01"/>
    <w:rsid w:val="00AB5F8A"/>
    <w:rsid w:val="00AB606D"/>
    <w:rsid w:val="00AB60B6"/>
    <w:rsid w:val="00AB63E2"/>
    <w:rsid w:val="00AB78AB"/>
    <w:rsid w:val="00AB7AC4"/>
    <w:rsid w:val="00AB7B70"/>
    <w:rsid w:val="00AB7E57"/>
    <w:rsid w:val="00AC0086"/>
    <w:rsid w:val="00AC03D8"/>
    <w:rsid w:val="00AC0442"/>
    <w:rsid w:val="00AC075F"/>
    <w:rsid w:val="00AC0ACF"/>
    <w:rsid w:val="00AC0EFB"/>
    <w:rsid w:val="00AC1584"/>
    <w:rsid w:val="00AC1A52"/>
    <w:rsid w:val="00AC1C84"/>
    <w:rsid w:val="00AC1C9C"/>
    <w:rsid w:val="00AC220C"/>
    <w:rsid w:val="00AC28BC"/>
    <w:rsid w:val="00AC2D87"/>
    <w:rsid w:val="00AC3153"/>
    <w:rsid w:val="00AC3423"/>
    <w:rsid w:val="00AC37B0"/>
    <w:rsid w:val="00AC41B8"/>
    <w:rsid w:val="00AC435C"/>
    <w:rsid w:val="00AC43EA"/>
    <w:rsid w:val="00AC55E2"/>
    <w:rsid w:val="00AC58B8"/>
    <w:rsid w:val="00AC6467"/>
    <w:rsid w:val="00AC704B"/>
    <w:rsid w:val="00AD0312"/>
    <w:rsid w:val="00AD044E"/>
    <w:rsid w:val="00AD04F5"/>
    <w:rsid w:val="00AD04FE"/>
    <w:rsid w:val="00AD070F"/>
    <w:rsid w:val="00AD0873"/>
    <w:rsid w:val="00AD0943"/>
    <w:rsid w:val="00AD0D35"/>
    <w:rsid w:val="00AD0E05"/>
    <w:rsid w:val="00AD1132"/>
    <w:rsid w:val="00AD1219"/>
    <w:rsid w:val="00AD16C6"/>
    <w:rsid w:val="00AD195A"/>
    <w:rsid w:val="00AD1CE1"/>
    <w:rsid w:val="00AD1EC1"/>
    <w:rsid w:val="00AD207E"/>
    <w:rsid w:val="00AD2B06"/>
    <w:rsid w:val="00AD3558"/>
    <w:rsid w:val="00AD3612"/>
    <w:rsid w:val="00AD39B9"/>
    <w:rsid w:val="00AD3A31"/>
    <w:rsid w:val="00AD4075"/>
    <w:rsid w:val="00AD4099"/>
    <w:rsid w:val="00AD42B3"/>
    <w:rsid w:val="00AD49FA"/>
    <w:rsid w:val="00AD5484"/>
    <w:rsid w:val="00AD64F9"/>
    <w:rsid w:val="00AD685E"/>
    <w:rsid w:val="00AD6980"/>
    <w:rsid w:val="00AD6A28"/>
    <w:rsid w:val="00AD75BA"/>
    <w:rsid w:val="00AD7A39"/>
    <w:rsid w:val="00AD7B7A"/>
    <w:rsid w:val="00AD7DE9"/>
    <w:rsid w:val="00AD7F00"/>
    <w:rsid w:val="00AE0686"/>
    <w:rsid w:val="00AE0905"/>
    <w:rsid w:val="00AE1090"/>
    <w:rsid w:val="00AE13BB"/>
    <w:rsid w:val="00AE1CC7"/>
    <w:rsid w:val="00AE1ED9"/>
    <w:rsid w:val="00AE20C6"/>
    <w:rsid w:val="00AE21BC"/>
    <w:rsid w:val="00AE26BB"/>
    <w:rsid w:val="00AE2B3C"/>
    <w:rsid w:val="00AE2F75"/>
    <w:rsid w:val="00AE30EC"/>
    <w:rsid w:val="00AE346B"/>
    <w:rsid w:val="00AE3540"/>
    <w:rsid w:val="00AE35AD"/>
    <w:rsid w:val="00AE36D1"/>
    <w:rsid w:val="00AE3730"/>
    <w:rsid w:val="00AE3C43"/>
    <w:rsid w:val="00AE3DFA"/>
    <w:rsid w:val="00AE414D"/>
    <w:rsid w:val="00AE4193"/>
    <w:rsid w:val="00AE4E89"/>
    <w:rsid w:val="00AE5178"/>
    <w:rsid w:val="00AE54AD"/>
    <w:rsid w:val="00AE579B"/>
    <w:rsid w:val="00AE59E3"/>
    <w:rsid w:val="00AE66E6"/>
    <w:rsid w:val="00AE693E"/>
    <w:rsid w:val="00AE6EBF"/>
    <w:rsid w:val="00AE73AF"/>
    <w:rsid w:val="00AE76DC"/>
    <w:rsid w:val="00AE776B"/>
    <w:rsid w:val="00AE7A41"/>
    <w:rsid w:val="00AE7AE8"/>
    <w:rsid w:val="00AE7D5A"/>
    <w:rsid w:val="00AE7E2E"/>
    <w:rsid w:val="00AE7F14"/>
    <w:rsid w:val="00AF0288"/>
    <w:rsid w:val="00AF080F"/>
    <w:rsid w:val="00AF0B5D"/>
    <w:rsid w:val="00AF11B9"/>
    <w:rsid w:val="00AF1CD4"/>
    <w:rsid w:val="00AF1E14"/>
    <w:rsid w:val="00AF23E0"/>
    <w:rsid w:val="00AF2B12"/>
    <w:rsid w:val="00AF2B9D"/>
    <w:rsid w:val="00AF392A"/>
    <w:rsid w:val="00AF5289"/>
    <w:rsid w:val="00AF6082"/>
    <w:rsid w:val="00AF7B36"/>
    <w:rsid w:val="00AF7D6D"/>
    <w:rsid w:val="00B00EC2"/>
    <w:rsid w:val="00B014BD"/>
    <w:rsid w:val="00B01AFE"/>
    <w:rsid w:val="00B02A30"/>
    <w:rsid w:val="00B03582"/>
    <w:rsid w:val="00B036C1"/>
    <w:rsid w:val="00B03740"/>
    <w:rsid w:val="00B04039"/>
    <w:rsid w:val="00B042F4"/>
    <w:rsid w:val="00B045A7"/>
    <w:rsid w:val="00B045E0"/>
    <w:rsid w:val="00B0487F"/>
    <w:rsid w:val="00B04E31"/>
    <w:rsid w:val="00B0554C"/>
    <w:rsid w:val="00B06227"/>
    <w:rsid w:val="00B064A9"/>
    <w:rsid w:val="00B069D5"/>
    <w:rsid w:val="00B06CC9"/>
    <w:rsid w:val="00B06EFA"/>
    <w:rsid w:val="00B10515"/>
    <w:rsid w:val="00B10A36"/>
    <w:rsid w:val="00B11089"/>
    <w:rsid w:val="00B110F9"/>
    <w:rsid w:val="00B1117F"/>
    <w:rsid w:val="00B111F5"/>
    <w:rsid w:val="00B117BA"/>
    <w:rsid w:val="00B12186"/>
    <w:rsid w:val="00B121AB"/>
    <w:rsid w:val="00B126D5"/>
    <w:rsid w:val="00B12A76"/>
    <w:rsid w:val="00B12D34"/>
    <w:rsid w:val="00B12E7E"/>
    <w:rsid w:val="00B130AF"/>
    <w:rsid w:val="00B13312"/>
    <w:rsid w:val="00B13A4F"/>
    <w:rsid w:val="00B13CA5"/>
    <w:rsid w:val="00B1413A"/>
    <w:rsid w:val="00B14AFE"/>
    <w:rsid w:val="00B14FBE"/>
    <w:rsid w:val="00B151B2"/>
    <w:rsid w:val="00B15ACE"/>
    <w:rsid w:val="00B161C3"/>
    <w:rsid w:val="00B16C95"/>
    <w:rsid w:val="00B16D74"/>
    <w:rsid w:val="00B16DDB"/>
    <w:rsid w:val="00B16E8B"/>
    <w:rsid w:val="00B16F9A"/>
    <w:rsid w:val="00B202FE"/>
    <w:rsid w:val="00B2049E"/>
    <w:rsid w:val="00B212E8"/>
    <w:rsid w:val="00B21445"/>
    <w:rsid w:val="00B222C7"/>
    <w:rsid w:val="00B2240B"/>
    <w:rsid w:val="00B22582"/>
    <w:rsid w:val="00B2263A"/>
    <w:rsid w:val="00B22996"/>
    <w:rsid w:val="00B22A12"/>
    <w:rsid w:val="00B22F40"/>
    <w:rsid w:val="00B232B5"/>
    <w:rsid w:val="00B2340C"/>
    <w:rsid w:val="00B2382E"/>
    <w:rsid w:val="00B2423B"/>
    <w:rsid w:val="00B24B64"/>
    <w:rsid w:val="00B24B9C"/>
    <w:rsid w:val="00B24F3E"/>
    <w:rsid w:val="00B25307"/>
    <w:rsid w:val="00B2546D"/>
    <w:rsid w:val="00B25525"/>
    <w:rsid w:val="00B25B5C"/>
    <w:rsid w:val="00B25E4D"/>
    <w:rsid w:val="00B263D4"/>
    <w:rsid w:val="00B267B7"/>
    <w:rsid w:val="00B26907"/>
    <w:rsid w:val="00B26C49"/>
    <w:rsid w:val="00B26EB3"/>
    <w:rsid w:val="00B27F76"/>
    <w:rsid w:val="00B30076"/>
    <w:rsid w:val="00B301B6"/>
    <w:rsid w:val="00B301C4"/>
    <w:rsid w:val="00B30350"/>
    <w:rsid w:val="00B30956"/>
    <w:rsid w:val="00B3096F"/>
    <w:rsid w:val="00B30AC6"/>
    <w:rsid w:val="00B31072"/>
    <w:rsid w:val="00B310DB"/>
    <w:rsid w:val="00B32263"/>
    <w:rsid w:val="00B32869"/>
    <w:rsid w:val="00B32CA8"/>
    <w:rsid w:val="00B32DC5"/>
    <w:rsid w:val="00B32ECD"/>
    <w:rsid w:val="00B32FF3"/>
    <w:rsid w:val="00B33A68"/>
    <w:rsid w:val="00B34AD2"/>
    <w:rsid w:val="00B35468"/>
    <w:rsid w:val="00B35622"/>
    <w:rsid w:val="00B359C6"/>
    <w:rsid w:val="00B364A0"/>
    <w:rsid w:val="00B36653"/>
    <w:rsid w:val="00B36A32"/>
    <w:rsid w:val="00B36D63"/>
    <w:rsid w:val="00B36F01"/>
    <w:rsid w:val="00B3706B"/>
    <w:rsid w:val="00B37530"/>
    <w:rsid w:val="00B378B4"/>
    <w:rsid w:val="00B37BA0"/>
    <w:rsid w:val="00B37EEE"/>
    <w:rsid w:val="00B4051E"/>
    <w:rsid w:val="00B40591"/>
    <w:rsid w:val="00B4069F"/>
    <w:rsid w:val="00B4091E"/>
    <w:rsid w:val="00B40A25"/>
    <w:rsid w:val="00B40D97"/>
    <w:rsid w:val="00B41A73"/>
    <w:rsid w:val="00B41C1D"/>
    <w:rsid w:val="00B41FA2"/>
    <w:rsid w:val="00B423DB"/>
    <w:rsid w:val="00B42748"/>
    <w:rsid w:val="00B42C4D"/>
    <w:rsid w:val="00B42E2F"/>
    <w:rsid w:val="00B433EE"/>
    <w:rsid w:val="00B435D1"/>
    <w:rsid w:val="00B43649"/>
    <w:rsid w:val="00B437D2"/>
    <w:rsid w:val="00B437FA"/>
    <w:rsid w:val="00B43A60"/>
    <w:rsid w:val="00B43D03"/>
    <w:rsid w:val="00B43D84"/>
    <w:rsid w:val="00B44104"/>
    <w:rsid w:val="00B44D38"/>
    <w:rsid w:val="00B45147"/>
    <w:rsid w:val="00B45282"/>
    <w:rsid w:val="00B45A38"/>
    <w:rsid w:val="00B46013"/>
    <w:rsid w:val="00B4605F"/>
    <w:rsid w:val="00B466CE"/>
    <w:rsid w:val="00B46BF3"/>
    <w:rsid w:val="00B46C11"/>
    <w:rsid w:val="00B46DE0"/>
    <w:rsid w:val="00B47160"/>
    <w:rsid w:val="00B471E1"/>
    <w:rsid w:val="00B47516"/>
    <w:rsid w:val="00B500CA"/>
    <w:rsid w:val="00B503B6"/>
    <w:rsid w:val="00B504CF"/>
    <w:rsid w:val="00B504DC"/>
    <w:rsid w:val="00B50580"/>
    <w:rsid w:val="00B507DC"/>
    <w:rsid w:val="00B50877"/>
    <w:rsid w:val="00B5144C"/>
    <w:rsid w:val="00B51CCA"/>
    <w:rsid w:val="00B52217"/>
    <w:rsid w:val="00B522FC"/>
    <w:rsid w:val="00B523D1"/>
    <w:rsid w:val="00B530AD"/>
    <w:rsid w:val="00B53A13"/>
    <w:rsid w:val="00B5472D"/>
    <w:rsid w:val="00B551E0"/>
    <w:rsid w:val="00B5557C"/>
    <w:rsid w:val="00B555DD"/>
    <w:rsid w:val="00B56259"/>
    <w:rsid w:val="00B56552"/>
    <w:rsid w:val="00B56D3F"/>
    <w:rsid w:val="00B60319"/>
    <w:rsid w:val="00B6037A"/>
    <w:rsid w:val="00B61057"/>
    <w:rsid w:val="00B61417"/>
    <w:rsid w:val="00B61EBD"/>
    <w:rsid w:val="00B61FA6"/>
    <w:rsid w:val="00B636E0"/>
    <w:rsid w:val="00B63F48"/>
    <w:rsid w:val="00B640C1"/>
    <w:rsid w:val="00B64456"/>
    <w:rsid w:val="00B64463"/>
    <w:rsid w:val="00B647EA"/>
    <w:rsid w:val="00B648F0"/>
    <w:rsid w:val="00B650B4"/>
    <w:rsid w:val="00B652D7"/>
    <w:rsid w:val="00B65BAA"/>
    <w:rsid w:val="00B6606D"/>
    <w:rsid w:val="00B665CC"/>
    <w:rsid w:val="00B66BBB"/>
    <w:rsid w:val="00B66CFC"/>
    <w:rsid w:val="00B66F24"/>
    <w:rsid w:val="00B67143"/>
    <w:rsid w:val="00B67936"/>
    <w:rsid w:val="00B67C5E"/>
    <w:rsid w:val="00B67D5E"/>
    <w:rsid w:val="00B7059C"/>
    <w:rsid w:val="00B70634"/>
    <w:rsid w:val="00B70DE5"/>
    <w:rsid w:val="00B71151"/>
    <w:rsid w:val="00B7272B"/>
    <w:rsid w:val="00B729FD"/>
    <w:rsid w:val="00B7364A"/>
    <w:rsid w:val="00B7375A"/>
    <w:rsid w:val="00B73A31"/>
    <w:rsid w:val="00B74287"/>
    <w:rsid w:val="00B7497F"/>
    <w:rsid w:val="00B7507C"/>
    <w:rsid w:val="00B755E0"/>
    <w:rsid w:val="00B75698"/>
    <w:rsid w:val="00B75AE5"/>
    <w:rsid w:val="00B76B68"/>
    <w:rsid w:val="00B770ED"/>
    <w:rsid w:val="00B77193"/>
    <w:rsid w:val="00B77354"/>
    <w:rsid w:val="00B773F6"/>
    <w:rsid w:val="00B7780A"/>
    <w:rsid w:val="00B77E4A"/>
    <w:rsid w:val="00B800C6"/>
    <w:rsid w:val="00B80F34"/>
    <w:rsid w:val="00B813E8"/>
    <w:rsid w:val="00B817EC"/>
    <w:rsid w:val="00B81915"/>
    <w:rsid w:val="00B81B07"/>
    <w:rsid w:val="00B82431"/>
    <w:rsid w:val="00B825A0"/>
    <w:rsid w:val="00B82896"/>
    <w:rsid w:val="00B82E11"/>
    <w:rsid w:val="00B82FAF"/>
    <w:rsid w:val="00B83858"/>
    <w:rsid w:val="00B83C0B"/>
    <w:rsid w:val="00B83C90"/>
    <w:rsid w:val="00B84111"/>
    <w:rsid w:val="00B841E6"/>
    <w:rsid w:val="00B84399"/>
    <w:rsid w:val="00B84AF2"/>
    <w:rsid w:val="00B85391"/>
    <w:rsid w:val="00B85D68"/>
    <w:rsid w:val="00B86662"/>
    <w:rsid w:val="00B870A6"/>
    <w:rsid w:val="00B87C09"/>
    <w:rsid w:val="00B87C22"/>
    <w:rsid w:val="00B87D10"/>
    <w:rsid w:val="00B91001"/>
    <w:rsid w:val="00B9114C"/>
    <w:rsid w:val="00B9126E"/>
    <w:rsid w:val="00B91AA8"/>
    <w:rsid w:val="00B91F87"/>
    <w:rsid w:val="00B92428"/>
    <w:rsid w:val="00B92DE7"/>
    <w:rsid w:val="00B93303"/>
    <w:rsid w:val="00B9343D"/>
    <w:rsid w:val="00B93F17"/>
    <w:rsid w:val="00B946DB"/>
    <w:rsid w:val="00B94EDC"/>
    <w:rsid w:val="00B95835"/>
    <w:rsid w:val="00B95F33"/>
    <w:rsid w:val="00B9652E"/>
    <w:rsid w:val="00B96659"/>
    <w:rsid w:val="00B96AC8"/>
    <w:rsid w:val="00B96CA6"/>
    <w:rsid w:val="00B97229"/>
    <w:rsid w:val="00B97DF1"/>
    <w:rsid w:val="00BA071A"/>
    <w:rsid w:val="00BA0A94"/>
    <w:rsid w:val="00BA0DA6"/>
    <w:rsid w:val="00BA1017"/>
    <w:rsid w:val="00BA10B1"/>
    <w:rsid w:val="00BA1182"/>
    <w:rsid w:val="00BA148C"/>
    <w:rsid w:val="00BA18D4"/>
    <w:rsid w:val="00BA26EF"/>
    <w:rsid w:val="00BA2B6A"/>
    <w:rsid w:val="00BA2C08"/>
    <w:rsid w:val="00BA2DC9"/>
    <w:rsid w:val="00BA2F2A"/>
    <w:rsid w:val="00BA3B46"/>
    <w:rsid w:val="00BA465D"/>
    <w:rsid w:val="00BA5026"/>
    <w:rsid w:val="00BA5070"/>
    <w:rsid w:val="00BA50CF"/>
    <w:rsid w:val="00BA58E1"/>
    <w:rsid w:val="00BA6BF6"/>
    <w:rsid w:val="00BA6D54"/>
    <w:rsid w:val="00BA6DD6"/>
    <w:rsid w:val="00BA71BE"/>
    <w:rsid w:val="00BA7214"/>
    <w:rsid w:val="00BA7863"/>
    <w:rsid w:val="00BB0707"/>
    <w:rsid w:val="00BB09CA"/>
    <w:rsid w:val="00BB0CC2"/>
    <w:rsid w:val="00BB0F62"/>
    <w:rsid w:val="00BB136D"/>
    <w:rsid w:val="00BB1A8A"/>
    <w:rsid w:val="00BB2B3E"/>
    <w:rsid w:val="00BB2D34"/>
    <w:rsid w:val="00BB3759"/>
    <w:rsid w:val="00BB4590"/>
    <w:rsid w:val="00BB467F"/>
    <w:rsid w:val="00BB530D"/>
    <w:rsid w:val="00BB5D8E"/>
    <w:rsid w:val="00BB6225"/>
    <w:rsid w:val="00BB64B2"/>
    <w:rsid w:val="00BB64F5"/>
    <w:rsid w:val="00BB68B3"/>
    <w:rsid w:val="00BB7119"/>
    <w:rsid w:val="00BB7183"/>
    <w:rsid w:val="00BB7187"/>
    <w:rsid w:val="00BB7812"/>
    <w:rsid w:val="00BB7C94"/>
    <w:rsid w:val="00BC054F"/>
    <w:rsid w:val="00BC0C1C"/>
    <w:rsid w:val="00BC1518"/>
    <w:rsid w:val="00BC16AA"/>
    <w:rsid w:val="00BC1A08"/>
    <w:rsid w:val="00BC1F63"/>
    <w:rsid w:val="00BC239A"/>
    <w:rsid w:val="00BC2A3D"/>
    <w:rsid w:val="00BC33F1"/>
    <w:rsid w:val="00BC3501"/>
    <w:rsid w:val="00BC3580"/>
    <w:rsid w:val="00BC3EC9"/>
    <w:rsid w:val="00BC3EF0"/>
    <w:rsid w:val="00BC419C"/>
    <w:rsid w:val="00BC44EA"/>
    <w:rsid w:val="00BC4692"/>
    <w:rsid w:val="00BC514F"/>
    <w:rsid w:val="00BC52C1"/>
    <w:rsid w:val="00BC5878"/>
    <w:rsid w:val="00BC5A48"/>
    <w:rsid w:val="00BC6952"/>
    <w:rsid w:val="00BC6B29"/>
    <w:rsid w:val="00BC78E3"/>
    <w:rsid w:val="00BC797D"/>
    <w:rsid w:val="00BC7E78"/>
    <w:rsid w:val="00BC7EB2"/>
    <w:rsid w:val="00BD0340"/>
    <w:rsid w:val="00BD0D6D"/>
    <w:rsid w:val="00BD11C9"/>
    <w:rsid w:val="00BD124D"/>
    <w:rsid w:val="00BD13EF"/>
    <w:rsid w:val="00BD1B04"/>
    <w:rsid w:val="00BD1E76"/>
    <w:rsid w:val="00BD202E"/>
    <w:rsid w:val="00BD2518"/>
    <w:rsid w:val="00BD26B4"/>
    <w:rsid w:val="00BD2D3F"/>
    <w:rsid w:val="00BD3288"/>
    <w:rsid w:val="00BD3400"/>
    <w:rsid w:val="00BD3BB5"/>
    <w:rsid w:val="00BD3FD3"/>
    <w:rsid w:val="00BD46C0"/>
    <w:rsid w:val="00BD5918"/>
    <w:rsid w:val="00BD600E"/>
    <w:rsid w:val="00BD70A1"/>
    <w:rsid w:val="00BD72CD"/>
    <w:rsid w:val="00BE0617"/>
    <w:rsid w:val="00BE0737"/>
    <w:rsid w:val="00BE08B1"/>
    <w:rsid w:val="00BE0AD3"/>
    <w:rsid w:val="00BE0F8C"/>
    <w:rsid w:val="00BE1835"/>
    <w:rsid w:val="00BE1A0A"/>
    <w:rsid w:val="00BE1FC3"/>
    <w:rsid w:val="00BE266C"/>
    <w:rsid w:val="00BE2B1F"/>
    <w:rsid w:val="00BE30CE"/>
    <w:rsid w:val="00BE34DF"/>
    <w:rsid w:val="00BE36B1"/>
    <w:rsid w:val="00BE37B9"/>
    <w:rsid w:val="00BE3898"/>
    <w:rsid w:val="00BE3B34"/>
    <w:rsid w:val="00BE5503"/>
    <w:rsid w:val="00BE5FDF"/>
    <w:rsid w:val="00BE6073"/>
    <w:rsid w:val="00BE7585"/>
    <w:rsid w:val="00BE769F"/>
    <w:rsid w:val="00BE76D0"/>
    <w:rsid w:val="00BE76F5"/>
    <w:rsid w:val="00BE79C1"/>
    <w:rsid w:val="00BE7A2A"/>
    <w:rsid w:val="00BE7EA0"/>
    <w:rsid w:val="00BE7FF1"/>
    <w:rsid w:val="00BF00C1"/>
    <w:rsid w:val="00BF0559"/>
    <w:rsid w:val="00BF0608"/>
    <w:rsid w:val="00BF08F5"/>
    <w:rsid w:val="00BF0C91"/>
    <w:rsid w:val="00BF0EE9"/>
    <w:rsid w:val="00BF1575"/>
    <w:rsid w:val="00BF1CC6"/>
    <w:rsid w:val="00BF291C"/>
    <w:rsid w:val="00BF2C2E"/>
    <w:rsid w:val="00BF2F63"/>
    <w:rsid w:val="00BF3134"/>
    <w:rsid w:val="00BF35EC"/>
    <w:rsid w:val="00BF388A"/>
    <w:rsid w:val="00BF4E35"/>
    <w:rsid w:val="00BF4F09"/>
    <w:rsid w:val="00BF52E7"/>
    <w:rsid w:val="00BF5A96"/>
    <w:rsid w:val="00BF67D0"/>
    <w:rsid w:val="00BF6822"/>
    <w:rsid w:val="00BF684D"/>
    <w:rsid w:val="00BF799F"/>
    <w:rsid w:val="00BF7D38"/>
    <w:rsid w:val="00C0001A"/>
    <w:rsid w:val="00C0013E"/>
    <w:rsid w:val="00C007D1"/>
    <w:rsid w:val="00C007EF"/>
    <w:rsid w:val="00C01A78"/>
    <w:rsid w:val="00C02585"/>
    <w:rsid w:val="00C025EC"/>
    <w:rsid w:val="00C02D56"/>
    <w:rsid w:val="00C03213"/>
    <w:rsid w:val="00C032A2"/>
    <w:rsid w:val="00C03445"/>
    <w:rsid w:val="00C039D3"/>
    <w:rsid w:val="00C03CD1"/>
    <w:rsid w:val="00C04B35"/>
    <w:rsid w:val="00C04CD7"/>
    <w:rsid w:val="00C05143"/>
    <w:rsid w:val="00C051E7"/>
    <w:rsid w:val="00C05CA8"/>
    <w:rsid w:val="00C05D20"/>
    <w:rsid w:val="00C05DA0"/>
    <w:rsid w:val="00C05F0A"/>
    <w:rsid w:val="00C0604B"/>
    <w:rsid w:val="00C06877"/>
    <w:rsid w:val="00C068D6"/>
    <w:rsid w:val="00C0757C"/>
    <w:rsid w:val="00C0762A"/>
    <w:rsid w:val="00C077BE"/>
    <w:rsid w:val="00C100AA"/>
    <w:rsid w:val="00C101EA"/>
    <w:rsid w:val="00C104FB"/>
    <w:rsid w:val="00C108BD"/>
    <w:rsid w:val="00C10D3D"/>
    <w:rsid w:val="00C1153D"/>
    <w:rsid w:val="00C11567"/>
    <w:rsid w:val="00C119A5"/>
    <w:rsid w:val="00C11C2C"/>
    <w:rsid w:val="00C123F6"/>
    <w:rsid w:val="00C125DA"/>
    <w:rsid w:val="00C12EDE"/>
    <w:rsid w:val="00C13303"/>
    <w:rsid w:val="00C13F2D"/>
    <w:rsid w:val="00C145D1"/>
    <w:rsid w:val="00C1565C"/>
    <w:rsid w:val="00C15D64"/>
    <w:rsid w:val="00C160D8"/>
    <w:rsid w:val="00C1639E"/>
    <w:rsid w:val="00C1643B"/>
    <w:rsid w:val="00C16522"/>
    <w:rsid w:val="00C16D66"/>
    <w:rsid w:val="00C17A86"/>
    <w:rsid w:val="00C208D1"/>
    <w:rsid w:val="00C20B02"/>
    <w:rsid w:val="00C20E54"/>
    <w:rsid w:val="00C22382"/>
    <w:rsid w:val="00C22B32"/>
    <w:rsid w:val="00C232FD"/>
    <w:rsid w:val="00C23B1C"/>
    <w:rsid w:val="00C23F73"/>
    <w:rsid w:val="00C24940"/>
    <w:rsid w:val="00C24A04"/>
    <w:rsid w:val="00C25383"/>
    <w:rsid w:val="00C25397"/>
    <w:rsid w:val="00C255ED"/>
    <w:rsid w:val="00C25998"/>
    <w:rsid w:val="00C26112"/>
    <w:rsid w:val="00C263D0"/>
    <w:rsid w:val="00C26F5A"/>
    <w:rsid w:val="00C305C3"/>
    <w:rsid w:val="00C30816"/>
    <w:rsid w:val="00C30826"/>
    <w:rsid w:val="00C308C8"/>
    <w:rsid w:val="00C30EC1"/>
    <w:rsid w:val="00C31C13"/>
    <w:rsid w:val="00C32797"/>
    <w:rsid w:val="00C32EB6"/>
    <w:rsid w:val="00C3325C"/>
    <w:rsid w:val="00C3562C"/>
    <w:rsid w:val="00C35664"/>
    <w:rsid w:val="00C35C4B"/>
    <w:rsid w:val="00C3647C"/>
    <w:rsid w:val="00C365D7"/>
    <w:rsid w:val="00C36DFB"/>
    <w:rsid w:val="00C3726F"/>
    <w:rsid w:val="00C3747C"/>
    <w:rsid w:val="00C37AA4"/>
    <w:rsid w:val="00C37BEF"/>
    <w:rsid w:val="00C40EB3"/>
    <w:rsid w:val="00C415A9"/>
    <w:rsid w:val="00C41974"/>
    <w:rsid w:val="00C4248F"/>
    <w:rsid w:val="00C429BA"/>
    <w:rsid w:val="00C42B4C"/>
    <w:rsid w:val="00C430CD"/>
    <w:rsid w:val="00C43243"/>
    <w:rsid w:val="00C435C5"/>
    <w:rsid w:val="00C436B8"/>
    <w:rsid w:val="00C43A9D"/>
    <w:rsid w:val="00C44C6F"/>
    <w:rsid w:val="00C44D61"/>
    <w:rsid w:val="00C45084"/>
    <w:rsid w:val="00C45548"/>
    <w:rsid w:val="00C45552"/>
    <w:rsid w:val="00C4620D"/>
    <w:rsid w:val="00C4635F"/>
    <w:rsid w:val="00C46911"/>
    <w:rsid w:val="00C47535"/>
    <w:rsid w:val="00C478BC"/>
    <w:rsid w:val="00C478FD"/>
    <w:rsid w:val="00C47917"/>
    <w:rsid w:val="00C47D54"/>
    <w:rsid w:val="00C5015F"/>
    <w:rsid w:val="00C50A39"/>
    <w:rsid w:val="00C50B24"/>
    <w:rsid w:val="00C512FF"/>
    <w:rsid w:val="00C518F2"/>
    <w:rsid w:val="00C52049"/>
    <w:rsid w:val="00C520C8"/>
    <w:rsid w:val="00C5289E"/>
    <w:rsid w:val="00C52A97"/>
    <w:rsid w:val="00C53681"/>
    <w:rsid w:val="00C543CF"/>
    <w:rsid w:val="00C5446E"/>
    <w:rsid w:val="00C54608"/>
    <w:rsid w:val="00C54AB7"/>
    <w:rsid w:val="00C54AEA"/>
    <w:rsid w:val="00C55113"/>
    <w:rsid w:val="00C556D2"/>
    <w:rsid w:val="00C55F4F"/>
    <w:rsid w:val="00C5631F"/>
    <w:rsid w:val="00C5663B"/>
    <w:rsid w:val="00C57632"/>
    <w:rsid w:val="00C607CF"/>
    <w:rsid w:val="00C60960"/>
    <w:rsid w:val="00C60988"/>
    <w:rsid w:val="00C60E0C"/>
    <w:rsid w:val="00C6199E"/>
    <w:rsid w:val="00C62166"/>
    <w:rsid w:val="00C62400"/>
    <w:rsid w:val="00C6244F"/>
    <w:rsid w:val="00C627A2"/>
    <w:rsid w:val="00C62B47"/>
    <w:rsid w:val="00C62F7D"/>
    <w:rsid w:val="00C63114"/>
    <w:rsid w:val="00C63D7A"/>
    <w:rsid w:val="00C64142"/>
    <w:rsid w:val="00C6430F"/>
    <w:rsid w:val="00C647C3"/>
    <w:rsid w:val="00C65398"/>
    <w:rsid w:val="00C654FF"/>
    <w:rsid w:val="00C663BB"/>
    <w:rsid w:val="00C66BC1"/>
    <w:rsid w:val="00C67001"/>
    <w:rsid w:val="00C67551"/>
    <w:rsid w:val="00C6774A"/>
    <w:rsid w:val="00C67DA6"/>
    <w:rsid w:val="00C704E6"/>
    <w:rsid w:val="00C70E33"/>
    <w:rsid w:val="00C711F8"/>
    <w:rsid w:val="00C7136E"/>
    <w:rsid w:val="00C71E32"/>
    <w:rsid w:val="00C73A65"/>
    <w:rsid w:val="00C73AE7"/>
    <w:rsid w:val="00C74023"/>
    <w:rsid w:val="00C74716"/>
    <w:rsid w:val="00C74A4D"/>
    <w:rsid w:val="00C74E01"/>
    <w:rsid w:val="00C74E26"/>
    <w:rsid w:val="00C761CF"/>
    <w:rsid w:val="00C7650A"/>
    <w:rsid w:val="00C765B3"/>
    <w:rsid w:val="00C76CCC"/>
    <w:rsid w:val="00C77364"/>
    <w:rsid w:val="00C77682"/>
    <w:rsid w:val="00C77C58"/>
    <w:rsid w:val="00C77DF6"/>
    <w:rsid w:val="00C77E23"/>
    <w:rsid w:val="00C77FE6"/>
    <w:rsid w:val="00C8077B"/>
    <w:rsid w:val="00C80E05"/>
    <w:rsid w:val="00C80F5C"/>
    <w:rsid w:val="00C8134B"/>
    <w:rsid w:val="00C820C3"/>
    <w:rsid w:val="00C821EF"/>
    <w:rsid w:val="00C8224D"/>
    <w:rsid w:val="00C82A3A"/>
    <w:rsid w:val="00C82A77"/>
    <w:rsid w:val="00C83180"/>
    <w:rsid w:val="00C837EC"/>
    <w:rsid w:val="00C85172"/>
    <w:rsid w:val="00C863B1"/>
    <w:rsid w:val="00C86798"/>
    <w:rsid w:val="00C86890"/>
    <w:rsid w:val="00C86E3F"/>
    <w:rsid w:val="00C87006"/>
    <w:rsid w:val="00C87B98"/>
    <w:rsid w:val="00C90672"/>
    <w:rsid w:val="00C90D62"/>
    <w:rsid w:val="00C911C1"/>
    <w:rsid w:val="00C91451"/>
    <w:rsid w:val="00C91D15"/>
    <w:rsid w:val="00C9215B"/>
    <w:rsid w:val="00C927FA"/>
    <w:rsid w:val="00C928E1"/>
    <w:rsid w:val="00C929B2"/>
    <w:rsid w:val="00C93560"/>
    <w:rsid w:val="00C9370C"/>
    <w:rsid w:val="00C93D36"/>
    <w:rsid w:val="00C93F32"/>
    <w:rsid w:val="00C940B2"/>
    <w:rsid w:val="00C9422B"/>
    <w:rsid w:val="00C944AF"/>
    <w:rsid w:val="00C9491C"/>
    <w:rsid w:val="00C94C4C"/>
    <w:rsid w:val="00C94ECB"/>
    <w:rsid w:val="00C951C3"/>
    <w:rsid w:val="00C95395"/>
    <w:rsid w:val="00C95B3C"/>
    <w:rsid w:val="00C95C9E"/>
    <w:rsid w:val="00C95EE9"/>
    <w:rsid w:val="00C95F6E"/>
    <w:rsid w:val="00C961E0"/>
    <w:rsid w:val="00C96AC3"/>
    <w:rsid w:val="00C96E43"/>
    <w:rsid w:val="00C9743D"/>
    <w:rsid w:val="00C97EE3"/>
    <w:rsid w:val="00CA0942"/>
    <w:rsid w:val="00CA0D6C"/>
    <w:rsid w:val="00CA1A37"/>
    <w:rsid w:val="00CA1DC1"/>
    <w:rsid w:val="00CA2AAA"/>
    <w:rsid w:val="00CA2ADB"/>
    <w:rsid w:val="00CA308F"/>
    <w:rsid w:val="00CA3BFA"/>
    <w:rsid w:val="00CA3D12"/>
    <w:rsid w:val="00CA3F2A"/>
    <w:rsid w:val="00CA42F3"/>
    <w:rsid w:val="00CA435A"/>
    <w:rsid w:val="00CA4981"/>
    <w:rsid w:val="00CA4A44"/>
    <w:rsid w:val="00CA599E"/>
    <w:rsid w:val="00CA5DF9"/>
    <w:rsid w:val="00CA61D3"/>
    <w:rsid w:val="00CA62BB"/>
    <w:rsid w:val="00CA64A7"/>
    <w:rsid w:val="00CA6C7E"/>
    <w:rsid w:val="00CA7F17"/>
    <w:rsid w:val="00CB0262"/>
    <w:rsid w:val="00CB0641"/>
    <w:rsid w:val="00CB0DB2"/>
    <w:rsid w:val="00CB0EC5"/>
    <w:rsid w:val="00CB12DC"/>
    <w:rsid w:val="00CB1CFD"/>
    <w:rsid w:val="00CB1DD1"/>
    <w:rsid w:val="00CB1E54"/>
    <w:rsid w:val="00CB26C6"/>
    <w:rsid w:val="00CB37D9"/>
    <w:rsid w:val="00CB4173"/>
    <w:rsid w:val="00CB477F"/>
    <w:rsid w:val="00CB4B40"/>
    <w:rsid w:val="00CB540D"/>
    <w:rsid w:val="00CB64EE"/>
    <w:rsid w:val="00CB6AF5"/>
    <w:rsid w:val="00CB6D7B"/>
    <w:rsid w:val="00CB6DB3"/>
    <w:rsid w:val="00CB6DF7"/>
    <w:rsid w:val="00CB6EE7"/>
    <w:rsid w:val="00CC0843"/>
    <w:rsid w:val="00CC0D97"/>
    <w:rsid w:val="00CC12A8"/>
    <w:rsid w:val="00CC1477"/>
    <w:rsid w:val="00CC16F3"/>
    <w:rsid w:val="00CC1AB6"/>
    <w:rsid w:val="00CC1B77"/>
    <w:rsid w:val="00CC1B79"/>
    <w:rsid w:val="00CC1BEF"/>
    <w:rsid w:val="00CC1E3E"/>
    <w:rsid w:val="00CC28AC"/>
    <w:rsid w:val="00CC31CC"/>
    <w:rsid w:val="00CC3465"/>
    <w:rsid w:val="00CC3589"/>
    <w:rsid w:val="00CC3CDB"/>
    <w:rsid w:val="00CC4037"/>
    <w:rsid w:val="00CC409F"/>
    <w:rsid w:val="00CC40B7"/>
    <w:rsid w:val="00CC42AD"/>
    <w:rsid w:val="00CC45C1"/>
    <w:rsid w:val="00CC4638"/>
    <w:rsid w:val="00CC482B"/>
    <w:rsid w:val="00CC4CF2"/>
    <w:rsid w:val="00CC4DF1"/>
    <w:rsid w:val="00CC4F5C"/>
    <w:rsid w:val="00CC51A2"/>
    <w:rsid w:val="00CC546B"/>
    <w:rsid w:val="00CC5563"/>
    <w:rsid w:val="00CC5C1A"/>
    <w:rsid w:val="00CC5D48"/>
    <w:rsid w:val="00CC67EF"/>
    <w:rsid w:val="00CC6A2A"/>
    <w:rsid w:val="00CC7585"/>
    <w:rsid w:val="00CC75FB"/>
    <w:rsid w:val="00CD055A"/>
    <w:rsid w:val="00CD183B"/>
    <w:rsid w:val="00CD21AB"/>
    <w:rsid w:val="00CD21C2"/>
    <w:rsid w:val="00CD3261"/>
    <w:rsid w:val="00CD3948"/>
    <w:rsid w:val="00CD3CF5"/>
    <w:rsid w:val="00CD4657"/>
    <w:rsid w:val="00CD48DB"/>
    <w:rsid w:val="00CD4F5A"/>
    <w:rsid w:val="00CD60FB"/>
    <w:rsid w:val="00CD6C1F"/>
    <w:rsid w:val="00CD6C77"/>
    <w:rsid w:val="00CD70CC"/>
    <w:rsid w:val="00CD797E"/>
    <w:rsid w:val="00CD7BC0"/>
    <w:rsid w:val="00CE033D"/>
    <w:rsid w:val="00CE076E"/>
    <w:rsid w:val="00CE1127"/>
    <w:rsid w:val="00CE1461"/>
    <w:rsid w:val="00CE14EE"/>
    <w:rsid w:val="00CE19EE"/>
    <w:rsid w:val="00CE2887"/>
    <w:rsid w:val="00CE292C"/>
    <w:rsid w:val="00CE30A0"/>
    <w:rsid w:val="00CE340D"/>
    <w:rsid w:val="00CE3D84"/>
    <w:rsid w:val="00CE41A0"/>
    <w:rsid w:val="00CE4BB7"/>
    <w:rsid w:val="00CE4BBE"/>
    <w:rsid w:val="00CE4BDF"/>
    <w:rsid w:val="00CE5054"/>
    <w:rsid w:val="00CE5110"/>
    <w:rsid w:val="00CE5621"/>
    <w:rsid w:val="00CE562D"/>
    <w:rsid w:val="00CE5867"/>
    <w:rsid w:val="00CE596F"/>
    <w:rsid w:val="00CE5C5E"/>
    <w:rsid w:val="00CE5E14"/>
    <w:rsid w:val="00CE66AB"/>
    <w:rsid w:val="00CE6A53"/>
    <w:rsid w:val="00CE6CED"/>
    <w:rsid w:val="00CE7475"/>
    <w:rsid w:val="00CE77BB"/>
    <w:rsid w:val="00CF01DE"/>
    <w:rsid w:val="00CF12D3"/>
    <w:rsid w:val="00CF17C5"/>
    <w:rsid w:val="00CF1C12"/>
    <w:rsid w:val="00CF1FB4"/>
    <w:rsid w:val="00CF262A"/>
    <w:rsid w:val="00CF2983"/>
    <w:rsid w:val="00CF35AF"/>
    <w:rsid w:val="00CF3750"/>
    <w:rsid w:val="00CF490A"/>
    <w:rsid w:val="00CF49A0"/>
    <w:rsid w:val="00CF4A10"/>
    <w:rsid w:val="00CF5175"/>
    <w:rsid w:val="00CF59D6"/>
    <w:rsid w:val="00CF5DBE"/>
    <w:rsid w:val="00CF5EF2"/>
    <w:rsid w:val="00CF70AA"/>
    <w:rsid w:val="00CF7166"/>
    <w:rsid w:val="00D00175"/>
    <w:rsid w:val="00D005B6"/>
    <w:rsid w:val="00D009F5"/>
    <w:rsid w:val="00D00B5F"/>
    <w:rsid w:val="00D00D37"/>
    <w:rsid w:val="00D00E7D"/>
    <w:rsid w:val="00D0190E"/>
    <w:rsid w:val="00D02FF6"/>
    <w:rsid w:val="00D03670"/>
    <w:rsid w:val="00D03905"/>
    <w:rsid w:val="00D03DFD"/>
    <w:rsid w:val="00D0407C"/>
    <w:rsid w:val="00D04723"/>
    <w:rsid w:val="00D04980"/>
    <w:rsid w:val="00D04AC5"/>
    <w:rsid w:val="00D0516F"/>
    <w:rsid w:val="00D05177"/>
    <w:rsid w:val="00D0536F"/>
    <w:rsid w:val="00D05485"/>
    <w:rsid w:val="00D05DB9"/>
    <w:rsid w:val="00D05DDE"/>
    <w:rsid w:val="00D0618F"/>
    <w:rsid w:val="00D06AA7"/>
    <w:rsid w:val="00D06F86"/>
    <w:rsid w:val="00D070F4"/>
    <w:rsid w:val="00D07A7F"/>
    <w:rsid w:val="00D07C73"/>
    <w:rsid w:val="00D07C9F"/>
    <w:rsid w:val="00D07D71"/>
    <w:rsid w:val="00D07F1E"/>
    <w:rsid w:val="00D07F44"/>
    <w:rsid w:val="00D07F60"/>
    <w:rsid w:val="00D10361"/>
    <w:rsid w:val="00D110BA"/>
    <w:rsid w:val="00D11BF8"/>
    <w:rsid w:val="00D11D0A"/>
    <w:rsid w:val="00D12283"/>
    <w:rsid w:val="00D12697"/>
    <w:rsid w:val="00D12B2C"/>
    <w:rsid w:val="00D12F8C"/>
    <w:rsid w:val="00D1393F"/>
    <w:rsid w:val="00D13B33"/>
    <w:rsid w:val="00D14763"/>
    <w:rsid w:val="00D14A86"/>
    <w:rsid w:val="00D14C8D"/>
    <w:rsid w:val="00D14DCD"/>
    <w:rsid w:val="00D1566F"/>
    <w:rsid w:val="00D1569F"/>
    <w:rsid w:val="00D15DAC"/>
    <w:rsid w:val="00D16405"/>
    <w:rsid w:val="00D16B80"/>
    <w:rsid w:val="00D16F2B"/>
    <w:rsid w:val="00D20883"/>
    <w:rsid w:val="00D20ADD"/>
    <w:rsid w:val="00D20B0A"/>
    <w:rsid w:val="00D2181D"/>
    <w:rsid w:val="00D21956"/>
    <w:rsid w:val="00D21C19"/>
    <w:rsid w:val="00D21E93"/>
    <w:rsid w:val="00D22244"/>
    <w:rsid w:val="00D2234E"/>
    <w:rsid w:val="00D22AD5"/>
    <w:rsid w:val="00D22C91"/>
    <w:rsid w:val="00D22E33"/>
    <w:rsid w:val="00D23C7C"/>
    <w:rsid w:val="00D23E03"/>
    <w:rsid w:val="00D24471"/>
    <w:rsid w:val="00D248E7"/>
    <w:rsid w:val="00D24FE9"/>
    <w:rsid w:val="00D25069"/>
    <w:rsid w:val="00D25490"/>
    <w:rsid w:val="00D2605D"/>
    <w:rsid w:val="00D26534"/>
    <w:rsid w:val="00D27226"/>
    <w:rsid w:val="00D2730E"/>
    <w:rsid w:val="00D274A3"/>
    <w:rsid w:val="00D3060E"/>
    <w:rsid w:val="00D308F6"/>
    <w:rsid w:val="00D30D09"/>
    <w:rsid w:val="00D30EFD"/>
    <w:rsid w:val="00D31047"/>
    <w:rsid w:val="00D310AD"/>
    <w:rsid w:val="00D310DC"/>
    <w:rsid w:val="00D314E3"/>
    <w:rsid w:val="00D317DE"/>
    <w:rsid w:val="00D31842"/>
    <w:rsid w:val="00D31A33"/>
    <w:rsid w:val="00D31A3C"/>
    <w:rsid w:val="00D32442"/>
    <w:rsid w:val="00D32497"/>
    <w:rsid w:val="00D32759"/>
    <w:rsid w:val="00D32766"/>
    <w:rsid w:val="00D32798"/>
    <w:rsid w:val="00D327DA"/>
    <w:rsid w:val="00D32C34"/>
    <w:rsid w:val="00D32C7F"/>
    <w:rsid w:val="00D32CA4"/>
    <w:rsid w:val="00D3349C"/>
    <w:rsid w:val="00D339BA"/>
    <w:rsid w:val="00D34207"/>
    <w:rsid w:val="00D34CC0"/>
    <w:rsid w:val="00D34CE5"/>
    <w:rsid w:val="00D34FB6"/>
    <w:rsid w:val="00D34FD9"/>
    <w:rsid w:val="00D3528F"/>
    <w:rsid w:val="00D35501"/>
    <w:rsid w:val="00D35794"/>
    <w:rsid w:val="00D35DB5"/>
    <w:rsid w:val="00D36253"/>
    <w:rsid w:val="00D3638C"/>
    <w:rsid w:val="00D36538"/>
    <w:rsid w:val="00D36982"/>
    <w:rsid w:val="00D369FD"/>
    <w:rsid w:val="00D36BD9"/>
    <w:rsid w:val="00D36FF5"/>
    <w:rsid w:val="00D3701D"/>
    <w:rsid w:val="00D37550"/>
    <w:rsid w:val="00D37C86"/>
    <w:rsid w:val="00D37F09"/>
    <w:rsid w:val="00D40A75"/>
    <w:rsid w:val="00D41408"/>
    <w:rsid w:val="00D41ED1"/>
    <w:rsid w:val="00D4262B"/>
    <w:rsid w:val="00D428F5"/>
    <w:rsid w:val="00D429A4"/>
    <w:rsid w:val="00D42BF7"/>
    <w:rsid w:val="00D42DFA"/>
    <w:rsid w:val="00D4393E"/>
    <w:rsid w:val="00D44016"/>
    <w:rsid w:val="00D44D0B"/>
    <w:rsid w:val="00D4507E"/>
    <w:rsid w:val="00D45F1E"/>
    <w:rsid w:val="00D463FA"/>
    <w:rsid w:val="00D46467"/>
    <w:rsid w:val="00D467E1"/>
    <w:rsid w:val="00D47029"/>
    <w:rsid w:val="00D47718"/>
    <w:rsid w:val="00D47B2B"/>
    <w:rsid w:val="00D50F62"/>
    <w:rsid w:val="00D510F2"/>
    <w:rsid w:val="00D516B3"/>
    <w:rsid w:val="00D51948"/>
    <w:rsid w:val="00D522FD"/>
    <w:rsid w:val="00D525CB"/>
    <w:rsid w:val="00D53292"/>
    <w:rsid w:val="00D53940"/>
    <w:rsid w:val="00D53E06"/>
    <w:rsid w:val="00D549A1"/>
    <w:rsid w:val="00D552E5"/>
    <w:rsid w:val="00D55358"/>
    <w:rsid w:val="00D553B7"/>
    <w:rsid w:val="00D55FAC"/>
    <w:rsid w:val="00D56339"/>
    <w:rsid w:val="00D56512"/>
    <w:rsid w:val="00D569C8"/>
    <w:rsid w:val="00D5710E"/>
    <w:rsid w:val="00D57449"/>
    <w:rsid w:val="00D610EF"/>
    <w:rsid w:val="00D61391"/>
    <w:rsid w:val="00D613C4"/>
    <w:rsid w:val="00D619D6"/>
    <w:rsid w:val="00D62098"/>
    <w:rsid w:val="00D6226E"/>
    <w:rsid w:val="00D624AC"/>
    <w:rsid w:val="00D624BA"/>
    <w:rsid w:val="00D624ED"/>
    <w:rsid w:val="00D62966"/>
    <w:rsid w:val="00D62C35"/>
    <w:rsid w:val="00D62D4F"/>
    <w:rsid w:val="00D63005"/>
    <w:rsid w:val="00D631A3"/>
    <w:rsid w:val="00D637C1"/>
    <w:rsid w:val="00D63AB2"/>
    <w:rsid w:val="00D63D10"/>
    <w:rsid w:val="00D6426E"/>
    <w:rsid w:val="00D64750"/>
    <w:rsid w:val="00D651CD"/>
    <w:rsid w:val="00D65843"/>
    <w:rsid w:val="00D65BE7"/>
    <w:rsid w:val="00D66528"/>
    <w:rsid w:val="00D6655E"/>
    <w:rsid w:val="00D66776"/>
    <w:rsid w:val="00D66A6F"/>
    <w:rsid w:val="00D66E70"/>
    <w:rsid w:val="00D6766E"/>
    <w:rsid w:val="00D67753"/>
    <w:rsid w:val="00D67802"/>
    <w:rsid w:val="00D67B30"/>
    <w:rsid w:val="00D7059F"/>
    <w:rsid w:val="00D70B18"/>
    <w:rsid w:val="00D70CF8"/>
    <w:rsid w:val="00D71278"/>
    <w:rsid w:val="00D71376"/>
    <w:rsid w:val="00D7188E"/>
    <w:rsid w:val="00D72607"/>
    <w:rsid w:val="00D73791"/>
    <w:rsid w:val="00D73F77"/>
    <w:rsid w:val="00D75CA4"/>
    <w:rsid w:val="00D75D4E"/>
    <w:rsid w:val="00D76345"/>
    <w:rsid w:val="00D7678F"/>
    <w:rsid w:val="00D76DC2"/>
    <w:rsid w:val="00D777AC"/>
    <w:rsid w:val="00D77A17"/>
    <w:rsid w:val="00D77BDF"/>
    <w:rsid w:val="00D80028"/>
    <w:rsid w:val="00D80420"/>
    <w:rsid w:val="00D806C4"/>
    <w:rsid w:val="00D80B6F"/>
    <w:rsid w:val="00D80C0D"/>
    <w:rsid w:val="00D8141C"/>
    <w:rsid w:val="00D81FD2"/>
    <w:rsid w:val="00D821B1"/>
    <w:rsid w:val="00D82C48"/>
    <w:rsid w:val="00D82CF9"/>
    <w:rsid w:val="00D82F6E"/>
    <w:rsid w:val="00D83978"/>
    <w:rsid w:val="00D8434C"/>
    <w:rsid w:val="00D85139"/>
    <w:rsid w:val="00D85841"/>
    <w:rsid w:val="00D86198"/>
    <w:rsid w:val="00D86A32"/>
    <w:rsid w:val="00D86A3E"/>
    <w:rsid w:val="00D86B10"/>
    <w:rsid w:val="00D86D6F"/>
    <w:rsid w:val="00D875A0"/>
    <w:rsid w:val="00D8783A"/>
    <w:rsid w:val="00D87C01"/>
    <w:rsid w:val="00D9026B"/>
    <w:rsid w:val="00D90839"/>
    <w:rsid w:val="00D90C1F"/>
    <w:rsid w:val="00D90E1A"/>
    <w:rsid w:val="00D9128C"/>
    <w:rsid w:val="00D9172C"/>
    <w:rsid w:val="00D91FA9"/>
    <w:rsid w:val="00D9234C"/>
    <w:rsid w:val="00D9270B"/>
    <w:rsid w:val="00D92BFA"/>
    <w:rsid w:val="00D930FA"/>
    <w:rsid w:val="00D935D2"/>
    <w:rsid w:val="00D937DF"/>
    <w:rsid w:val="00D9383C"/>
    <w:rsid w:val="00D93E33"/>
    <w:rsid w:val="00D94317"/>
    <w:rsid w:val="00D947BB"/>
    <w:rsid w:val="00D94A48"/>
    <w:rsid w:val="00D94B1A"/>
    <w:rsid w:val="00D95102"/>
    <w:rsid w:val="00D9535D"/>
    <w:rsid w:val="00D95473"/>
    <w:rsid w:val="00D958A9"/>
    <w:rsid w:val="00D958AD"/>
    <w:rsid w:val="00D95CAC"/>
    <w:rsid w:val="00D961E9"/>
    <w:rsid w:val="00D9623C"/>
    <w:rsid w:val="00D9632C"/>
    <w:rsid w:val="00D96755"/>
    <w:rsid w:val="00D9713F"/>
    <w:rsid w:val="00D97240"/>
    <w:rsid w:val="00D97537"/>
    <w:rsid w:val="00D97A2C"/>
    <w:rsid w:val="00D97C37"/>
    <w:rsid w:val="00DA0C98"/>
    <w:rsid w:val="00DA0CD9"/>
    <w:rsid w:val="00DA180E"/>
    <w:rsid w:val="00DA2300"/>
    <w:rsid w:val="00DA244A"/>
    <w:rsid w:val="00DA26C5"/>
    <w:rsid w:val="00DA2986"/>
    <w:rsid w:val="00DA2C76"/>
    <w:rsid w:val="00DA2D09"/>
    <w:rsid w:val="00DA3090"/>
    <w:rsid w:val="00DA33F3"/>
    <w:rsid w:val="00DA39DE"/>
    <w:rsid w:val="00DA4203"/>
    <w:rsid w:val="00DA5712"/>
    <w:rsid w:val="00DA5C75"/>
    <w:rsid w:val="00DA5DEF"/>
    <w:rsid w:val="00DA6563"/>
    <w:rsid w:val="00DA6881"/>
    <w:rsid w:val="00DA692F"/>
    <w:rsid w:val="00DA6BF6"/>
    <w:rsid w:val="00DA6DB2"/>
    <w:rsid w:val="00DA70B8"/>
    <w:rsid w:val="00DB04F1"/>
    <w:rsid w:val="00DB09F7"/>
    <w:rsid w:val="00DB0CD5"/>
    <w:rsid w:val="00DB182F"/>
    <w:rsid w:val="00DB187B"/>
    <w:rsid w:val="00DB1F28"/>
    <w:rsid w:val="00DB202C"/>
    <w:rsid w:val="00DB2474"/>
    <w:rsid w:val="00DB2E7E"/>
    <w:rsid w:val="00DB2EA7"/>
    <w:rsid w:val="00DB2F06"/>
    <w:rsid w:val="00DB303D"/>
    <w:rsid w:val="00DB3A30"/>
    <w:rsid w:val="00DB3B3D"/>
    <w:rsid w:val="00DB3DE0"/>
    <w:rsid w:val="00DB4CBC"/>
    <w:rsid w:val="00DB5602"/>
    <w:rsid w:val="00DB6003"/>
    <w:rsid w:val="00DB6043"/>
    <w:rsid w:val="00DB6171"/>
    <w:rsid w:val="00DB627D"/>
    <w:rsid w:val="00DB65AD"/>
    <w:rsid w:val="00DB6988"/>
    <w:rsid w:val="00DB6A80"/>
    <w:rsid w:val="00DB6B0F"/>
    <w:rsid w:val="00DB6C55"/>
    <w:rsid w:val="00DB6E9C"/>
    <w:rsid w:val="00DB71C9"/>
    <w:rsid w:val="00DB742D"/>
    <w:rsid w:val="00DB7447"/>
    <w:rsid w:val="00DB7905"/>
    <w:rsid w:val="00DB7984"/>
    <w:rsid w:val="00DB7987"/>
    <w:rsid w:val="00DB7C35"/>
    <w:rsid w:val="00DC02FF"/>
    <w:rsid w:val="00DC0CA0"/>
    <w:rsid w:val="00DC0FA4"/>
    <w:rsid w:val="00DC1162"/>
    <w:rsid w:val="00DC14EF"/>
    <w:rsid w:val="00DC2FC0"/>
    <w:rsid w:val="00DC3A10"/>
    <w:rsid w:val="00DC42A7"/>
    <w:rsid w:val="00DC458C"/>
    <w:rsid w:val="00DC49BC"/>
    <w:rsid w:val="00DC4EE6"/>
    <w:rsid w:val="00DC50B9"/>
    <w:rsid w:val="00DC54A3"/>
    <w:rsid w:val="00DC5765"/>
    <w:rsid w:val="00DC5D82"/>
    <w:rsid w:val="00DC6114"/>
    <w:rsid w:val="00DC6434"/>
    <w:rsid w:val="00DC6E05"/>
    <w:rsid w:val="00DC73AA"/>
    <w:rsid w:val="00DC79D6"/>
    <w:rsid w:val="00DD06FC"/>
    <w:rsid w:val="00DD089B"/>
    <w:rsid w:val="00DD1799"/>
    <w:rsid w:val="00DD1B62"/>
    <w:rsid w:val="00DD1FFB"/>
    <w:rsid w:val="00DD23F7"/>
    <w:rsid w:val="00DD2CE0"/>
    <w:rsid w:val="00DD2E5E"/>
    <w:rsid w:val="00DD3582"/>
    <w:rsid w:val="00DD3AE4"/>
    <w:rsid w:val="00DD3FF3"/>
    <w:rsid w:val="00DD4583"/>
    <w:rsid w:val="00DD4F60"/>
    <w:rsid w:val="00DD5269"/>
    <w:rsid w:val="00DD53CA"/>
    <w:rsid w:val="00DD5889"/>
    <w:rsid w:val="00DD58BE"/>
    <w:rsid w:val="00DD5E30"/>
    <w:rsid w:val="00DD64C6"/>
    <w:rsid w:val="00DD6932"/>
    <w:rsid w:val="00DD6F91"/>
    <w:rsid w:val="00DD7489"/>
    <w:rsid w:val="00DD7672"/>
    <w:rsid w:val="00DD7ED7"/>
    <w:rsid w:val="00DE031A"/>
    <w:rsid w:val="00DE03B2"/>
    <w:rsid w:val="00DE05FF"/>
    <w:rsid w:val="00DE083C"/>
    <w:rsid w:val="00DE0906"/>
    <w:rsid w:val="00DE0B51"/>
    <w:rsid w:val="00DE0D0D"/>
    <w:rsid w:val="00DE10DE"/>
    <w:rsid w:val="00DE16D9"/>
    <w:rsid w:val="00DE2BFC"/>
    <w:rsid w:val="00DE30FE"/>
    <w:rsid w:val="00DE30FF"/>
    <w:rsid w:val="00DE3AF4"/>
    <w:rsid w:val="00DE4C78"/>
    <w:rsid w:val="00DE5159"/>
    <w:rsid w:val="00DE538B"/>
    <w:rsid w:val="00DE611D"/>
    <w:rsid w:val="00DE6133"/>
    <w:rsid w:val="00DE6E32"/>
    <w:rsid w:val="00DE715D"/>
    <w:rsid w:val="00DE7575"/>
    <w:rsid w:val="00DE767B"/>
    <w:rsid w:val="00DF0090"/>
    <w:rsid w:val="00DF009E"/>
    <w:rsid w:val="00DF055F"/>
    <w:rsid w:val="00DF0D3D"/>
    <w:rsid w:val="00DF0F28"/>
    <w:rsid w:val="00DF0F40"/>
    <w:rsid w:val="00DF1113"/>
    <w:rsid w:val="00DF191D"/>
    <w:rsid w:val="00DF1A8D"/>
    <w:rsid w:val="00DF1D75"/>
    <w:rsid w:val="00DF2132"/>
    <w:rsid w:val="00DF2469"/>
    <w:rsid w:val="00DF287D"/>
    <w:rsid w:val="00DF3695"/>
    <w:rsid w:val="00DF3963"/>
    <w:rsid w:val="00DF39C0"/>
    <w:rsid w:val="00DF3AC1"/>
    <w:rsid w:val="00DF4052"/>
    <w:rsid w:val="00DF41C2"/>
    <w:rsid w:val="00DF42B5"/>
    <w:rsid w:val="00DF4357"/>
    <w:rsid w:val="00DF5297"/>
    <w:rsid w:val="00DF571C"/>
    <w:rsid w:val="00DF5FA3"/>
    <w:rsid w:val="00DF6023"/>
    <w:rsid w:val="00DF66E7"/>
    <w:rsid w:val="00DF6910"/>
    <w:rsid w:val="00DF77BD"/>
    <w:rsid w:val="00DF78E0"/>
    <w:rsid w:val="00DF7E9B"/>
    <w:rsid w:val="00E0050C"/>
    <w:rsid w:val="00E00CF6"/>
    <w:rsid w:val="00E00D04"/>
    <w:rsid w:val="00E011A1"/>
    <w:rsid w:val="00E01286"/>
    <w:rsid w:val="00E0151C"/>
    <w:rsid w:val="00E02169"/>
    <w:rsid w:val="00E0298B"/>
    <w:rsid w:val="00E02CA0"/>
    <w:rsid w:val="00E02D02"/>
    <w:rsid w:val="00E02D13"/>
    <w:rsid w:val="00E032A9"/>
    <w:rsid w:val="00E03C6B"/>
    <w:rsid w:val="00E0422C"/>
    <w:rsid w:val="00E042BC"/>
    <w:rsid w:val="00E04A73"/>
    <w:rsid w:val="00E05B64"/>
    <w:rsid w:val="00E05C9F"/>
    <w:rsid w:val="00E0646B"/>
    <w:rsid w:val="00E07349"/>
    <w:rsid w:val="00E07365"/>
    <w:rsid w:val="00E10004"/>
    <w:rsid w:val="00E100AD"/>
    <w:rsid w:val="00E1030B"/>
    <w:rsid w:val="00E10E3F"/>
    <w:rsid w:val="00E111E4"/>
    <w:rsid w:val="00E11AE7"/>
    <w:rsid w:val="00E11E30"/>
    <w:rsid w:val="00E125EB"/>
    <w:rsid w:val="00E129D7"/>
    <w:rsid w:val="00E12FE9"/>
    <w:rsid w:val="00E13218"/>
    <w:rsid w:val="00E135F5"/>
    <w:rsid w:val="00E13664"/>
    <w:rsid w:val="00E1383F"/>
    <w:rsid w:val="00E13922"/>
    <w:rsid w:val="00E143CB"/>
    <w:rsid w:val="00E147A9"/>
    <w:rsid w:val="00E14834"/>
    <w:rsid w:val="00E14B13"/>
    <w:rsid w:val="00E153C3"/>
    <w:rsid w:val="00E153EC"/>
    <w:rsid w:val="00E15765"/>
    <w:rsid w:val="00E159A4"/>
    <w:rsid w:val="00E15A61"/>
    <w:rsid w:val="00E1682D"/>
    <w:rsid w:val="00E1683E"/>
    <w:rsid w:val="00E16914"/>
    <w:rsid w:val="00E16B90"/>
    <w:rsid w:val="00E16CAE"/>
    <w:rsid w:val="00E16DBE"/>
    <w:rsid w:val="00E176D0"/>
    <w:rsid w:val="00E2083F"/>
    <w:rsid w:val="00E20922"/>
    <w:rsid w:val="00E20AC6"/>
    <w:rsid w:val="00E21354"/>
    <w:rsid w:val="00E219A0"/>
    <w:rsid w:val="00E21B01"/>
    <w:rsid w:val="00E22704"/>
    <w:rsid w:val="00E22941"/>
    <w:rsid w:val="00E22F79"/>
    <w:rsid w:val="00E230BB"/>
    <w:rsid w:val="00E232F1"/>
    <w:rsid w:val="00E23809"/>
    <w:rsid w:val="00E23915"/>
    <w:rsid w:val="00E24168"/>
    <w:rsid w:val="00E2495F"/>
    <w:rsid w:val="00E24B34"/>
    <w:rsid w:val="00E25117"/>
    <w:rsid w:val="00E2557D"/>
    <w:rsid w:val="00E25A44"/>
    <w:rsid w:val="00E25C5A"/>
    <w:rsid w:val="00E263C7"/>
    <w:rsid w:val="00E2670C"/>
    <w:rsid w:val="00E26905"/>
    <w:rsid w:val="00E26BBD"/>
    <w:rsid w:val="00E26F8B"/>
    <w:rsid w:val="00E26FAA"/>
    <w:rsid w:val="00E30C7C"/>
    <w:rsid w:val="00E3112A"/>
    <w:rsid w:val="00E311EC"/>
    <w:rsid w:val="00E3122D"/>
    <w:rsid w:val="00E316FF"/>
    <w:rsid w:val="00E31B90"/>
    <w:rsid w:val="00E31ED2"/>
    <w:rsid w:val="00E32860"/>
    <w:rsid w:val="00E32C1E"/>
    <w:rsid w:val="00E3347F"/>
    <w:rsid w:val="00E33A1E"/>
    <w:rsid w:val="00E3486D"/>
    <w:rsid w:val="00E34B9F"/>
    <w:rsid w:val="00E352E5"/>
    <w:rsid w:val="00E352E7"/>
    <w:rsid w:val="00E35304"/>
    <w:rsid w:val="00E35D73"/>
    <w:rsid w:val="00E35DCC"/>
    <w:rsid w:val="00E36E92"/>
    <w:rsid w:val="00E370AF"/>
    <w:rsid w:val="00E372CF"/>
    <w:rsid w:val="00E373DA"/>
    <w:rsid w:val="00E377B6"/>
    <w:rsid w:val="00E3784E"/>
    <w:rsid w:val="00E37DF1"/>
    <w:rsid w:val="00E4013F"/>
    <w:rsid w:val="00E40839"/>
    <w:rsid w:val="00E409EE"/>
    <w:rsid w:val="00E40E01"/>
    <w:rsid w:val="00E410B1"/>
    <w:rsid w:val="00E41887"/>
    <w:rsid w:val="00E41E26"/>
    <w:rsid w:val="00E422A7"/>
    <w:rsid w:val="00E42477"/>
    <w:rsid w:val="00E42D8B"/>
    <w:rsid w:val="00E43265"/>
    <w:rsid w:val="00E441BC"/>
    <w:rsid w:val="00E44260"/>
    <w:rsid w:val="00E4467F"/>
    <w:rsid w:val="00E44B2B"/>
    <w:rsid w:val="00E451CE"/>
    <w:rsid w:val="00E454C1"/>
    <w:rsid w:val="00E45590"/>
    <w:rsid w:val="00E455F4"/>
    <w:rsid w:val="00E4643F"/>
    <w:rsid w:val="00E46A00"/>
    <w:rsid w:val="00E47B52"/>
    <w:rsid w:val="00E47C94"/>
    <w:rsid w:val="00E47D67"/>
    <w:rsid w:val="00E47EB9"/>
    <w:rsid w:val="00E5053A"/>
    <w:rsid w:val="00E5080C"/>
    <w:rsid w:val="00E51110"/>
    <w:rsid w:val="00E51229"/>
    <w:rsid w:val="00E514AF"/>
    <w:rsid w:val="00E514F4"/>
    <w:rsid w:val="00E51884"/>
    <w:rsid w:val="00E51C54"/>
    <w:rsid w:val="00E522F8"/>
    <w:rsid w:val="00E52478"/>
    <w:rsid w:val="00E5351F"/>
    <w:rsid w:val="00E53525"/>
    <w:rsid w:val="00E53A29"/>
    <w:rsid w:val="00E5427F"/>
    <w:rsid w:val="00E543E5"/>
    <w:rsid w:val="00E54BC1"/>
    <w:rsid w:val="00E54BFD"/>
    <w:rsid w:val="00E54F92"/>
    <w:rsid w:val="00E55063"/>
    <w:rsid w:val="00E55598"/>
    <w:rsid w:val="00E555B0"/>
    <w:rsid w:val="00E55630"/>
    <w:rsid w:val="00E5567F"/>
    <w:rsid w:val="00E55906"/>
    <w:rsid w:val="00E55A20"/>
    <w:rsid w:val="00E55CEB"/>
    <w:rsid w:val="00E55F09"/>
    <w:rsid w:val="00E56056"/>
    <w:rsid w:val="00E56BD8"/>
    <w:rsid w:val="00E56E4E"/>
    <w:rsid w:val="00E608F4"/>
    <w:rsid w:val="00E60FCC"/>
    <w:rsid w:val="00E618F4"/>
    <w:rsid w:val="00E6190E"/>
    <w:rsid w:val="00E61C6D"/>
    <w:rsid w:val="00E61F5D"/>
    <w:rsid w:val="00E62177"/>
    <w:rsid w:val="00E62C03"/>
    <w:rsid w:val="00E631FD"/>
    <w:rsid w:val="00E633D8"/>
    <w:rsid w:val="00E63441"/>
    <w:rsid w:val="00E63729"/>
    <w:rsid w:val="00E63A38"/>
    <w:rsid w:val="00E640AA"/>
    <w:rsid w:val="00E642A0"/>
    <w:rsid w:val="00E6455D"/>
    <w:rsid w:val="00E6459C"/>
    <w:rsid w:val="00E64B01"/>
    <w:rsid w:val="00E662C6"/>
    <w:rsid w:val="00E663AF"/>
    <w:rsid w:val="00E663B1"/>
    <w:rsid w:val="00E673D9"/>
    <w:rsid w:val="00E6787F"/>
    <w:rsid w:val="00E679E6"/>
    <w:rsid w:val="00E67CB7"/>
    <w:rsid w:val="00E67CDD"/>
    <w:rsid w:val="00E70D6E"/>
    <w:rsid w:val="00E71426"/>
    <w:rsid w:val="00E716BC"/>
    <w:rsid w:val="00E71C6A"/>
    <w:rsid w:val="00E720DA"/>
    <w:rsid w:val="00E7221E"/>
    <w:rsid w:val="00E72B79"/>
    <w:rsid w:val="00E72E4B"/>
    <w:rsid w:val="00E7380D"/>
    <w:rsid w:val="00E7387F"/>
    <w:rsid w:val="00E73C02"/>
    <w:rsid w:val="00E73E21"/>
    <w:rsid w:val="00E73FDD"/>
    <w:rsid w:val="00E74488"/>
    <w:rsid w:val="00E74ABE"/>
    <w:rsid w:val="00E74C09"/>
    <w:rsid w:val="00E7649B"/>
    <w:rsid w:val="00E7727D"/>
    <w:rsid w:val="00E772A4"/>
    <w:rsid w:val="00E7760B"/>
    <w:rsid w:val="00E778CC"/>
    <w:rsid w:val="00E77B34"/>
    <w:rsid w:val="00E77B73"/>
    <w:rsid w:val="00E77E7F"/>
    <w:rsid w:val="00E77EF3"/>
    <w:rsid w:val="00E80920"/>
    <w:rsid w:val="00E81713"/>
    <w:rsid w:val="00E81747"/>
    <w:rsid w:val="00E81F6F"/>
    <w:rsid w:val="00E82821"/>
    <w:rsid w:val="00E8380F"/>
    <w:rsid w:val="00E8394C"/>
    <w:rsid w:val="00E843EE"/>
    <w:rsid w:val="00E8481B"/>
    <w:rsid w:val="00E85188"/>
    <w:rsid w:val="00E858C4"/>
    <w:rsid w:val="00E862EC"/>
    <w:rsid w:val="00E86EC0"/>
    <w:rsid w:val="00E86F6B"/>
    <w:rsid w:val="00E8795E"/>
    <w:rsid w:val="00E87A42"/>
    <w:rsid w:val="00E87F7C"/>
    <w:rsid w:val="00E903B7"/>
    <w:rsid w:val="00E90BCC"/>
    <w:rsid w:val="00E912CD"/>
    <w:rsid w:val="00E913C3"/>
    <w:rsid w:val="00E9212D"/>
    <w:rsid w:val="00E923B0"/>
    <w:rsid w:val="00E923B5"/>
    <w:rsid w:val="00E92649"/>
    <w:rsid w:val="00E92BB5"/>
    <w:rsid w:val="00E9324A"/>
    <w:rsid w:val="00E937D7"/>
    <w:rsid w:val="00E93B61"/>
    <w:rsid w:val="00E93F90"/>
    <w:rsid w:val="00E946EE"/>
    <w:rsid w:val="00E949BE"/>
    <w:rsid w:val="00E94AA7"/>
    <w:rsid w:val="00E94BCF"/>
    <w:rsid w:val="00E94DB9"/>
    <w:rsid w:val="00E9564B"/>
    <w:rsid w:val="00E96028"/>
    <w:rsid w:val="00E966E9"/>
    <w:rsid w:val="00E96DEA"/>
    <w:rsid w:val="00E97351"/>
    <w:rsid w:val="00E977E0"/>
    <w:rsid w:val="00E978B0"/>
    <w:rsid w:val="00E97C33"/>
    <w:rsid w:val="00EA0085"/>
    <w:rsid w:val="00EA02A2"/>
    <w:rsid w:val="00EA0C83"/>
    <w:rsid w:val="00EA0DCE"/>
    <w:rsid w:val="00EA0E4C"/>
    <w:rsid w:val="00EA1352"/>
    <w:rsid w:val="00EA1492"/>
    <w:rsid w:val="00EA1CA2"/>
    <w:rsid w:val="00EA2081"/>
    <w:rsid w:val="00EA2AC8"/>
    <w:rsid w:val="00EA2EFB"/>
    <w:rsid w:val="00EA3C31"/>
    <w:rsid w:val="00EA3DC8"/>
    <w:rsid w:val="00EA46D4"/>
    <w:rsid w:val="00EA4BE1"/>
    <w:rsid w:val="00EA500E"/>
    <w:rsid w:val="00EA58DA"/>
    <w:rsid w:val="00EA6A7B"/>
    <w:rsid w:val="00EA6CDA"/>
    <w:rsid w:val="00EA6ED6"/>
    <w:rsid w:val="00EA727F"/>
    <w:rsid w:val="00EB06A5"/>
    <w:rsid w:val="00EB093F"/>
    <w:rsid w:val="00EB1297"/>
    <w:rsid w:val="00EB184D"/>
    <w:rsid w:val="00EB197C"/>
    <w:rsid w:val="00EB1E0B"/>
    <w:rsid w:val="00EB219F"/>
    <w:rsid w:val="00EB2979"/>
    <w:rsid w:val="00EB2ABA"/>
    <w:rsid w:val="00EB2B13"/>
    <w:rsid w:val="00EB35CA"/>
    <w:rsid w:val="00EB49CE"/>
    <w:rsid w:val="00EB4ECD"/>
    <w:rsid w:val="00EB5176"/>
    <w:rsid w:val="00EB536D"/>
    <w:rsid w:val="00EB5C27"/>
    <w:rsid w:val="00EB5D21"/>
    <w:rsid w:val="00EB63C8"/>
    <w:rsid w:val="00EB6F78"/>
    <w:rsid w:val="00EB756C"/>
    <w:rsid w:val="00EB769E"/>
    <w:rsid w:val="00EB7C15"/>
    <w:rsid w:val="00EB7C80"/>
    <w:rsid w:val="00EC0298"/>
    <w:rsid w:val="00EC030B"/>
    <w:rsid w:val="00EC036B"/>
    <w:rsid w:val="00EC07F9"/>
    <w:rsid w:val="00EC0A2C"/>
    <w:rsid w:val="00EC11A2"/>
    <w:rsid w:val="00EC1480"/>
    <w:rsid w:val="00EC15DC"/>
    <w:rsid w:val="00EC1D57"/>
    <w:rsid w:val="00EC20DD"/>
    <w:rsid w:val="00EC259A"/>
    <w:rsid w:val="00EC2763"/>
    <w:rsid w:val="00EC2BF8"/>
    <w:rsid w:val="00EC3B94"/>
    <w:rsid w:val="00EC4951"/>
    <w:rsid w:val="00EC4E05"/>
    <w:rsid w:val="00EC58B9"/>
    <w:rsid w:val="00EC608A"/>
    <w:rsid w:val="00EC6154"/>
    <w:rsid w:val="00EC64F4"/>
    <w:rsid w:val="00EC6653"/>
    <w:rsid w:val="00EC6751"/>
    <w:rsid w:val="00EC6DF4"/>
    <w:rsid w:val="00EC79C6"/>
    <w:rsid w:val="00EC79FF"/>
    <w:rsid w:val="00EC7E5B"/>
    <w:rsid w:val="00ED015D"/>
    <w:rsid w:val="00ED0844"/>
    <w:rsid w:val="00ED0B35"/>
    <w:rsid w:val="00ED1513"/>
    <w:rsid w:val="00ED1530"/>
    <w:rsid w:val="00ED17AF"/>
    <w:rsid w:val="00ED2114"/>
    <w:rsid w:val="00ED2428"/>
    <w:rsid w:val="00ED26F3"/>
    <w:rsid w:val="00ED273D"/>
    <w:rsid w:val="00ED2EC8"/>
    <w:rsid w:val="00ED3A66"/>
    <w:rsid w:val="00ED3F4B"/>
    <w:rsid w:val="00ED404D"/>
    <w:rsid w:val="00ED4169"/>
    <w:rsid w:val="00ED550F"/>
    <w:rsid w:val="00ED63BB"/>
    <w:rsid w:val="00ED6515"/>
    <w:rsid w:val="00ED6E0B"/>
    <w:rsid w:val="00ED7109"/>
    <w:rsid w:val="00ED7627"/>
    <w:rsid w:val="00ED7B6B"/>
    <w:rsid w:val="00EE0120"/>
    <w:rsid w:val="00EE094D"/>
    <w:rsid w:val="00EE0AED"/>
    <w:rsid w:val="00EE0B99"/>
    <w:rsid w:val="00EE1074"/>
    <w:rsid w:val="00EE10CB"/>
    <w:rsid w:val="00EE11FC"/>
    <w:rsid w:val="00EE1BA8"/>
    <w:rsid w:val="00EE1E8E"/>
    <w:rsid w:val="00EE21BC"/>
    <w:rsid w:val="00EE27E2"/>
    <w:rsid w:val="00EE3640"/>
    <w:rsid w:val="00EE3C87"/>
    <w:rsid w:val="00EE4420"/>
    <w:rsid w:val="00EE4DA3"/>
    <w:rsid w:val="00EE5088"/>
    <w:rsid w:val="00EE510C"/>
    <w:rsid w:val="00EE5287"/>
    <w:rsid w:val="00EE5A3C"/>
    <w:rsid w:val="00EE62C2"/>
    <w:rsid w:val="00EE6964"/>
    <w:rsid w:val="00EE6984"/>
    <w:rsid w:val="00EE6E49"/>
    <w:rsid w:val="00EE7055"/>
    <w:rsid w:val="00EE7573"/>
    <w:rsid w:val="00EF2718"/>
    <w:rsid w:val="00EF2886"/>
    <w:rsid w:val="00EF2AE6"/>
    <w:rsid w:val="00EF2C39"/>
    <w:rsid w:val="00EF2CB4"/>
    <w:rsid w:val="00EF2D04"/>
    <w:rsid w:val="00EF3679"/>
    <w:rsid w:val="00EF3A74"/>
    <w:rsid w:val="00EF4478"/>
    <w:rsid w:val="00EF4FDA"/>
    <w:rsid w:val="00EF5D52"/>
    <w:rsid w:val="00EF5E24"/>
    <w:rsid w:val="00EF6888"/>
    <w:rsid w:val="00EF6C6C"/>
    <w:rsid w:val="00EF6C93"/>
    <w:rsid w:val="00EF6CBA"/>
    <w:rsid w:val="00EF71A8"/>
    <w:rsid w:val="00EF7F35"/>
    <w:rsid w:val="00F00A01"/>
    <w:rsid w:val="00F00FA3"/>
    <w:rsid w:val="00F0105B"/>
    <w:rsid w:val="00F01807"/>
    <w:rsid w:val="00F022FF"/>
    <w:rsid w:val="00F02370"/>
    <w:rsid w:val="00F0290E"/>
    <w:rsid w:val="00F037BE"/>
    <w:rsid w:val="00F04066"/>
    <w:rsid w:val="00F0470F"/>
    <w:rsid w:val="00F05482"/>
    <w:rsid w:val="00F05507"/>
    <w:rsid w:val="00F059E5"/>
    <w:rsid w:val="00F069E2"/>
    <w:rsid w:val="00F07025"/>
    <w:rsid w:val="00F072C1"/>
    <w:rsid w:val="00F07420"/>
    <w:rsid w:val="00F07C38"/>
    <w:rsid w:val="00F07D95"/>
    <w:rsid w:val="00F1079B"/>
    <w:rsid w:val="00F108B8"/>
    <w:rsid w:val="00F10B3F"/>
    <w:rsid w:val="00F10F74"/>
    <w:rsid w:val="00F11978"/>
    <w:rsid w:val="00F1204D"/>
    <w:rsid w:val="00F122D7"/>
    <w:rsid w:val="00F12748"/>
    <w:rsid w:val="00F12CF7"/>
    <w:rsid w:val="00F144D1"/>
    <w:rsid w:val="00F1467B"/>
    <w:rsid w:val="00F148F6"/>
    <w:rsid w:val="00F14D4D"/>
    <w:rsid w:val="00F1541D"/>
    <w:rsid w:val="00F15665"/>
    <w:rsid w:val="00F1594D"/>
    <w:rsid w:val="00F15A37"/>
    <w:rsid w:val="00F15CF8"/>
    <w:rsid w:val="00F16E3D"/>
    <w:rsid w:val="00F17911"/>
    <w:rsid w:val="00F179F3"/>
    <w:rsid w:val="00F17F27"/>
    <w:rsid w:val="00F20BC7"/>
    <w:rsid w:val="00F212F6"/>
    <w:rsid w:val="00F217E9"/>
    <w:rsid w:val="00F222D3"/>
    <w:rsid w:val="00F22321"/>
    <w:rsid w:val="00F22552"/>
    <w:rsid w:val="00F227C9"/>
    <w:rsid w:val="00F228EF"/>
    <w:rsid w:val="00F22D68"/>
    <w:rsid w:val="00F236AE"/>
    <w:rsid w:val="00F23ABA"/>
    <w:rsid w:val="00F241B5"/>
    <w:rsid w:val="00F243FB"/>
    <w:rsid w:val="00F24A30"/>
    <w:rsid w:val="00F24C92"/>
    <w:rsid w:val="00F25995"/>
    <w:rsid w:val="00F265B3"/>
    <w:rsid w:val="00F26A0C"/>
    <w:rsid w:val="00F26A8A"/>
    <w:rsid w:val="00F26EAD"/>
    <w:rsid w:val="00F27BF0"/>
    <w:rsid w:val="00F27CF0"/>
    <w:rsid w:val="00F27D77"/>
    <w:rsid w:val="00F3016B"/>
    <w:rsid w:val="00F303D1"/>
    <w:rsid w:val="00F3093E"/>
    <w:rsid w:val="00F309F1"/>
    <w:rsid w:val="00F310CD"/>
    <w:rsid w:val="00F31B44"/>
    <w:rsid w:val="00F31BE6"/>
    <w:rsid w:val="00F32274"/>
    <w:rsid w:val="00F327B7"/>
    <w:rsid w:val="00F329DC"/>
    <w:rsid w:val="00F32F2D"/>
    <w:rsid w:val="00F33E10"/>
    <w:rsid w:val="00F33E88"/>
    <w:rsid w:val="00F33F68"/>
    <w:rsid w:val="00F34968"/>
    <w:rsid w:val="00F34BF4"/>
    <w:rsid w:val="00F34CC9"/>
    <w:rsid w:val="00F35130"/>
    <w:rsid w:val="00F3546C"/>
    <w:rsid w:val="00F355F3"/>
    <w:rsid w:val="00F3589A"/>
    <w:rsid w:val="00F359E0"/>
    <w:rsid w:val="00F35BC7"/>
    <w:rsid w:val="00F35C0D"/>
    <w:rsid w:val="00F36101"/>
    <w:rsid w:val="00F361D0"/>
    <w:rsid w:val="00F36411"/>
    <w:rsid w:val="00F3644C"/>
    <w:rsid w:val="00F36864"/>
    <w:rsid w:val="00F36AB7"/>
    <w:rsid w:val="00F36D1F"/>
    <w:rsid w:val="00F37027"/>
    <w:rsid w:val="00F37416"/>
    <w:rsid w:val="00F3765B"/>
    <w:rsid w:val="00F37CDF"/>
    <w:rsid w:val="00F4022E"/>
    <w:rsid w:val="00F40300"/>
    <w:rsid w:val="00F403B4"/>
    <w:rsid w:val="00F4049E"/>
    <w:rsid w:val="00F40639"/>
    <w:rsid w:val="00F40E32"/>
    <w:rsid w:val="00F41234"/>
    <w:rsid w:val="00F4185A"/>
    <w:rsid w:val="00F41ADC"/>
    <w:rsid w:val="00F41B7D"/>
    <w:rsid w:val="00F41F1A"/>
    <w:rsid w:val="00F41FFB"/>
    <w:rsid w:val="00F43080"/>
    <w:rsid w:val="00F431E8"/>
    <w:rsid w:val="00F431EA"/>
    <w:rsid w:val="00F4320B"/>
    <w:rsid w:val="00F4324F"/>
    <w:rsid w:val="00F43546"/>
    <w:rsid w:val="00F43674"/>
    <w:rsid w:val="00F439C3"/>
    <w:rsid w:val="00F44D89"/>
    <w:rsid w:val="00F453A9"/>
    <w:rsid w:val="00F46FA4"/>
    <w:rsid w:val="00F4783F"/>
    <w:rsid w:val="00F47A34"/>
    <w:rsid w:val="00F47DD1"/>
    <w:rsid w:val="00F502D8"/>
    <w:rsid w:val="00F50626"/>
    <w:rsid w:val="00F506DA"/>
    <w:rsid w:val="00F50717"/>
    <w:rsid w:val="00F50966"/>
    <w:rsid w:val="00F50D62"/>
    <w:rsid w:val="00F50ED0"/>
    <w:rsid w:val="00F51618"/>
    <w:rsid w:val="00F51955"/>
    <w:rsid w:val="00F522DA"/>
    <w:rsid w:val="00F52584"/>
    <w:rsid w:val="00F534C0"/>
    <w:rsid w:val="00F537F3"/>
    <w:rsid w:val="00F53D47"/>
    <w:rsid w:val="00F5470A"/>
    <w:rsid w:val="00F551CD"/>
    <w:rsid w:val="00F55CAE"/>
    <w:rsid w:val="00F56263"/>
    <w:rsid w:val="00F562E7"/>
    <w:rsid w:val="00F56B63"/>
    <w:rsid w:val="00F57141"/>
    <w:rsid w:val="00F575B9"/>
    <w:rsid w:val="00F5770B"/>
    <w:rsid w:val="00F57BB3"/>
    <w:rsid w:val="00F602C8"/>
    <w:rsid w:val="00F604E8"/>
    <w:rsid w:val="00F6058A"/>
    <w:rsid w:val="00F6058C"/>
    <w:rsid w:val="00F6149E"/>
    <w:rsid w:val="00F61A75"/>
    <w:rsid w:val="00F61FC9"/>
    <w:rsid w:val="00F62421"/>
    <w:rsid w:val="00F6243D"/>
    <w:rsid w:val="00F632D7"/>
    <w:rsid w:val="00F63EF9"/>
    <w:rsid w:val="00F63F4C"/>
    <w:rsid w:val="00F640E4"/>
    <w:rsid w:val="00F6430D"/>
    <w:rsid w:val="00F6431C"/>
    <w:rsid w:val="00F6496E"/>
    <w:rsid w:val="00F64A73"/>
    <w:rsid w:val="00F6548B"/>
    <w:rsid w:val="00F6597D"/>
    <w:rsid w:val="00F677AF"/>
    <w:rsid w:val="00F67A84"/>
    <w:rsid w:val="00F67CA8"/>
    <w:rsid w:val="00F70138"/>
    <w:rsid w:val="00F70186"/>
    <w:rsid w:val="00F70678"/>
    <w:rsid w:val="00F70AF9"/>
    <w:rsid w:val="00F70C83"/>
    <w:rsid w:val="00F71173"/>
    <w:rsid w:val="00F71553"/>
    <w:rsid w:val="00F7177F"/>
    <w:rsid w:val="00F71BEC"/>
    <w:rsid w:val="00F71D33"/>
    <w:rsid w:val="00F72554"/>
    <w:rsid w:val="00F73371"/>
    <w:rsid w:val="00F7370E"/>
    <w:rsid w:val="00F73CE7"/>
    <w:rsid w:val="00F73FFD"/>
    <w:rsid w:val="00F7472D"/>
    <w:rsid w:val="00F747E5"/>
    <w:rsid w:val="00F74881"/>
    <w:rsid w:val="00F74A99"/>
    <w:rsid w:val="00F74B55"/>
    <w:rsid w:val="00F74CD1"/>
    <w:rsid w:val="00F754FA"/>
    <w:rsid w:val="00F76331"/>
    <w:rsid w:val="00F76542"/>
    <w:rsid w:val="00F765FF"/>
    <w:rsid w:val="00F76909"/>
    <w:rsid w:val="00F80583"/>
    <w:rsid w:val="00F80F77"/>
    <w:rsid w:val="00F82C6A"/>
    <w:rsid w:val="00F82CA5"/>
    <w:rsid w:val="00F82DA9"/>
    <w:rsid w:val="00F83250"/>
    <w:rsid w:val="00F8379E"/>
    <w:rsid w:val="00F83AED"/>
    <w:rsid w:val="00F840B9"/>
    <w:rsid w:val="00F8413D"/>
    <w:rsid w:val="00F8455B"/>
    <w:rsid w:val="00F845E1"/>
    <w:rsid w:val="00F84719"/>
    <w:rsid w:val="00F8480E"/>
    <w:rsid w:val="00F85060"/>
    <w:rsid w:val="00F85550"/>
    <w:rsid w:val="00F85557"/>
    <w:rsid w:val="00F855F8"/>
    <w:rsid w:val="00F856A2"/>
    <w:rsid w:val="00F85A14"/>
    <w:rsid w:val="00F85E43"/>
    <w:rsid w:val="00F8600A"/>
    <w:rsid w:val="00F873A2"/>
    <w:rsid w:val="00F877A2"/>
    <w:rsid w:val="00F8780F"/>
    <w:rsid w:val="00F87B50"/>
    <w:rsid w:val="00F90058"/>
    <w:rsid w:val="00F900CA"/>
    <w:rsid w:val="00F90236"/>
    <w:rsid w:val="00F9034A"/>
    <w:rsid w:val="00F90417"/>
    <w:rsid w:val="00F90792"/>
    <w:rsid w:val="00F90B3C"/>
    <w:rsid w:val="00F91071"/>
    <w:rsid w:val="00F91C2E"/>
    <w:rsid w:val="00F92759"/>
    <w:rsid w:val="00F92820"/>
    <w:rsid w:val="00F92F42"/>
    <w:rsid w:val="00F94582"/>
    <w:rsid w:val="00F94B9B"/>
    <w:rsid w:val="00F94E14"/>
    <w:rsid w:val="00F95269"/>
    <w:rsid w:val="00F95382"/>
    <w:rsid w:val="00F957FD"/>
    <w:rsid w:val="00F95A59"/>
    <w:rsid w:val="00F95A77"/>
    <w:rsid w:val="00F95C60"/>
    <w:rsid w:val="00F9787C"/>
    <w:rsid w:val="00FA00DD"/>
    <w:rsid w:val="00FA0298"/>
    <w:rsid w:val="00FA055F"/>
    <w:rsid w:val="00FA11B5"/>
    <w:rsid w:val="00FA11C9"/>
    <w:rsid w:val="00FA161D"/>
    <w:rsid w:val="00FA1A3F"/>
    <w:rsid w:val="00FA2015"/>
    <w:rsid w:val="00FA267D"/>
    <w:rsid w:val="00FA2700"/>
    <w:rsid w:val="00FA2A0A"/>
    <w:rsid w:val="00FA2C32"/>
    <w:rsid w:val="00FA340B"/>
    <w:rsid w:val="00FA3536"/>
    <w:rsid w:val="00FA3A62"/>
    <w:rsid w:val="00FA40FD"/>
    <w:rsid w:val="00FA4406"/>
    <w:rsid w:val="00FA4DD6"/>
    <w:rsid w:val="00FA5833"/>
    <w:rsid w:val="00FA6674"/>
    <w:rsid w:val="00FA7205"/>
    <w:rsid w:val="00FA796E"/>
    <w:rsid w:val="00FB00FF"/>
    <w:rsid w:val="00FB0624"/>
    <w:rsid w:val="00FB0C8B"/>
    <w:rsid w:val="00FB145B"/>
    <w:rsid w:val="00FB16B2"/>
    <w:rsid w:val="00FB189C"/>
    <w:rsid w:val="00FB1A03"/>
    <w:rsid w:val="00FB1D7E"/>
    <w:rsid w:val="00FB21A8"/>
    <w:rsid w:val="00FB2282"/>
    <w:rsid w:val="00FB2722"/>
    <w:rsid w:val="00FB2B9D"/>
    <w:rsid w:val="00FB2C96"/>
    <w:rsid w:val="00FB3890"/>
    <w:rsid w:val="00FB3A88"/>
    <w:rsid w:val="00FB3E9B"/>
    <w:rsid w:val="00FB4C55"/>
    <w:rsid w:val="00FB4C62"/>
    <w:rsid w:val="00FB50E0"/>
    <w:rsid w:val="00FB570B"/>
    <w:rsid w:val="00FB59D7"/>
    <w:rsid w:val="00FB6717"/>
    <w:rsid w:val="00FB6B7D"/>
    <w:rsid w:val="00FB6C1D"/>
    <w:rsid w:val="00FB78B5"/>
    <w:rsid w:val="00FB7C2D"/>
    <w:rsid w:val="00FB7C8E"/>
    <w:rsid w:val="00FB7DDE"/>
    <w:rsid w:val="00FC015F"/>
    <w:rsid w:val="00FC02D0"/>
    <w:rsid w:val="00FC050D"/>
    <w:rsid w:val="00FC0F68"/>
    <w:rsid w:val="00FC1189"/>
    <w:rsid w:val="00FC13AC"/>
    <w:rsid w:val="00FC1CF5"/>
    <w:rsid w:val="00FC1DB5"/>
    <w:rsid w:val="00FC1DCB"/>
    <w:rsid w:val="00FC24F0"/>
    <w:rsid w:val="00FC371A"/>
    <w:rsid w:val="00FC3F88"/>
    <w:rsid w:val="00FC4624"/>
    <w:rsid w:val="00FC47A2"/>
    <w:rsid w:val="00FC4AAD"/>
    <w:rsid w:val="00FC52A5"/>
    <w:rsid w:val="00FC5E4C"/>
    <w:rsid w:val="00FC6ECB"/>
    <w:rsid w:val="00FC705D"/>
    <w:rsid w:val="00FC7915"/>
    <w:rsid w:val="00FC7994"/>
    <w:rsid w:val="00FC79FC"/>
    <w:rsid w:val="00FC7A2F"/>
    <w:rsid w:val="00FC7A65"/>
    <w:rsid w:val="00FC7E65"/>
    <w:rsid w:val="00FC7FB4"/>
    <w:rsid w:val="00FD0092"/>
    <w:rsid w:val="00FD03B8"/>
    <w:rsid w:val="00FD08C5"/>
    <w:rsid w:val="00FD0A45"/>
    <w:rsid w:val="00FD0B1C"/>
    <w:rsid w:val="00FD26DB"/>
    <w:rsid w:val="00FD2930"/>
    <w:rsid w:val="00FD2A83"/>
    <w:rsid w:val="00FD3375"/>
    <w:rsid w:val="00FD37E2"/>
    <w:rsid w:val="00FD3B80"/>
    <w:rsid w:val="00FD3D80"/>
    <w:rsid w:val="00FD3FF2"/>
    <w:rsid w:val="00FD474D"/>
    <w:rsid w:val="00FD4E49"/>
    <w:rsid w:val="00FD5482"/>
    <w:rsid w:val="00FD59CB"/>
    <w:rsid w:val="00FD5C31"/>
    <w:rsid w:val="00FD6102"/>
    <w:rsid w:val="00FD613E"/>
    <w:rsid w:val="00FD64E2"/>
    <w:rsid w:val="00FD6C13"/>
    <w:rsid w:val="00FD6F0C"/>
    <w:rsid w:val="00FD7393"/>
    <w:rsid w:val="00FD764B"/>
    <w:rsid w:val="00FD769C"/>
    <w:rsid w:val="00FD77B3"/>
    <w:rsid w:val="00FE0DEA"/>
    <w:rsid w:val="00FE0F76"/>
    <w:rsid w:val="00FE18A5"/>
    <w:rsid w:val="00FE194C"/>
    <w:rsid w:val="00FE1E83"/>
    <w:rsid w:val="00FE1F3C"/>
    <w:rsid w:val="00FE263F"/>
    <w:rsid w:val="00FE282C"/>
    <w:rsid w:val="00FE28B9"/>
    <w:rsid w:val="00FE2D19"/>
    <w:rsid w:val="00FE3393"/>
    <w:rsid w:val="00FE34C0"/>
    <w:rsid w:val="00FE4291"/>
    <w:rsid w:val="00FE42AC"/>
    <w:rsid w:val="00FE42EE"/>
    <w:rsid w:val="00FE44A4"/>
    <w:rsid w:val="00FE4BC7"/>
    <w:rsid w:val="00FE5555"/>
    <w:rsid w:val="00FE5AF9"/>
    <w:rsid w:val="00FE60FE"/>
    <w:rsid w:val="00FE62CB"/>
    <w:rsid w:val="00FE6450"/>
    <w:rsid w:val="00FE65B6"/>
    <w:rsid w:val="00FE6A98"/>
    <w:rsid w:val="00FE7709"/>
    <w:rsid w:val="00FF0E3E"/>
    <w:rsid w:val="00FF1ABE"/>
    <w:rsid w:val="00FF1ACB"/>
    <w:rsid w:val="00FF1EC0"/>
    <w:rsid w:val="00FF2520"/>
    <w:rsid w:val="00FF2618"/>
    <w:rsid w:val="00FF27D5"/>
    <w:rsid w:val="00FF2BB3"/>
    <w:rsid w:val="00FF30E0"/>
    <w:rsid w:val="00FF360E"/>
    <w:rsid w:val="00FF39AE"/>
    <w:rsid w:val="00FF41EB"/>
    <w:rsid w:val="00FF4DAA"/>
    <w:rsid w:val="00FF54FA"/>
    <w:rsid w:val="00FF57B8"/>
    <w:rsid w:val="00FF63A2"/>
    <w:rsid w:val="00FF64C9"/>
    <w:rsid w:val="00FF6735"/>
    <w:rsid w:val="00FF759C"/>
    <w:rsid w:val="00FF7B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022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A2A"/>
    <w:pPr>
      <w:spacing w:after="240" w:line="240" w:lineRule="auto"/>
      <w:jc w:val="both"/>
    </w:pPr>
    <w:rPr>
      <w:rFonts w:ascii="Calibri Light" w:eastAsia="Times New Roman" w:hAnsi="Calibri Light" w:cs="Times New Roman"/>
      <w:color w:val="000000" w:themeColor="text1"/>
      <w:szCs w:val="20"/>
      <w:lang w:eastAsia="en-AU"/>
    </w:rPr>
  </w:style>
  <w:style w:type="paragraph" w:styleId="Heading1">
    <w:name w:val="heading 1"/>
    <w:basedOn w:val="Normal"/>
    <w:next w:val="Normal"/>
    <w:link w:val="Heading1Char"/>
    <w:uiPriority w:val="2"/>
    <w:qFormat/>
    <w:rsid w:val="00BC33F1"/>
    <w:pPr>
      <w:keepNext/>
      <w:pBdr>
        <w:bottom w:val="single" w:sz="12" w:space="10" w:color="246373" w:themeColor="accent6" w:themeShade="BF"/>
      </w:pBdr>
      <w:tabs>
        <w:tab w:val="left" w:pos="567"/>
      </w:tabs>
      <w:spacing w:after="480"/>
      <w:ind w:left="567" w:hanging="567"/>
      <w:contextualSpacing/>
      <w:jc w:val="left"/>
      <w:outlineLvl w:val="0"/>
    </w:pPr>
    <w:rPr>
      <w:rFonts w:ascii="Calibri" w:eastAsiaTheme="majorEastAsia" w:hAnsi="Calibri" w:cstheme="majorBidi"/>
      <w:b/>
      <w:bCs/>
      <w:caps/>
      <w:color w:val="246373" w:themeColor="accent6" w:themeShade="BF"/>
      <w:spacing w:val="4"/>
      <w:sz w:val="40"/>
      <w:szCs w:val="28"/>
    </w:rPr>
  </w:style>
  <w:style w:type="paragraph" w:styleId="Heading2">
    <w:name w:val="heading 2"/>
    <w:basedOn w:val="Normal"/>
    <w:next w:val="Normal"/>
    <w:link w:val="Heading2Char"/>
    <w:uiPriority w:val="2"/>
    <w:qFormat/>
    <w:rsid w:val="00BF7D38"/>
    <w:pPr>
      <w:keepNext/>
      <w:spacing w:before="300" w:after="180"/>
      <w:outlineLvl w:val="1"/>
    </w:pPr>
    <w:rPr>
      <w:rFonts w:ascii="Calibri" w:eastAsiaTheme="majorEastAsia" w:hAnsi="Calibri" w:cstheme="majorBidi"/>
      <w:b/>
      <w:bCs/>
      <w:smallCaps/>
      <w:color w:val="005A70"/>
      <w:spacing w:val="4"/>
      <w:sz w:val="36"/>
      <w:szCs w:val="26"/>
    </w:rPr>
  </w:style>
  <w:style w:type="paragraph" w:styleId="Heading3">
    <w:name w:val="heading 3"/>
    <w:basedOn w:val="Normal"/>
    <w:next w:val="Normal"/>
    <w:link w:val="Heading3Char"/>
    <w:uiPriority w:val="9"/>
    <w:unhideWhenUsed/>
    <w:qFormat/>
    <w:rsid w:val="00023923"/>
    <w:pPr>
      <w:keepNext/>
      <w:spacing w:before="240" w:after="120"/>
      <w:outlineLvl w:val="2"/>
    </w:pPr>
    <w:rPr>
      <w:rFonts w:ascii="Calibri" w:eastAsiaTheme="majorEastAsia" w:hAnsi="Calibri" w:cstheme="majorBidi"/>
      <w:b/>
      <w:bCs/>
      <w:i/>
      <w:color w:val="246373" w:themeColor="accent6" w:themeShade="BF"/>
      <w:sz w:val="26"/>
      <w:szCs w:val="24"/>
    </w:rPr>
  </w:style>
  <w:style w:type="paragraph" w:styleId="Heading4">
    <w:name w:val="heading 4"/>
    <w:basedOn w:val="Normal"/>
    <w:next w:val="Normal"/>
    <w:link w:val="Heading4Char"/>
    <w:uiPriority w:val="9"/>
    <w:unhideWhenUsed/>
    <w:qFormat/>
    <w:rsid w:val="003E614C"/>
    <w:pPr>
      <w:keepNext/>
      <w:keepLines/>
      <w:spacing w:before="240" w:after="120"/>
      <w:outlineLvl w:val="3"/>
    </w:pPr>
    <w:rPr>
      <w:rFonts w:ascii="Calibri" w:eastAsiaTheme="majorEastAsia" w:hAnsi="Calibri" w:cstheme="majorBidi"/>
      <w:b/>
      <w:bCs/>
      <w:i/>
      <w:iCs/>
      <w:color w:val="246373" w:themeColor="accent6" w:themeShade="BF"/>
      <w:sz w:val="24"/>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Graphic">
    <w:name w:val="Chart Graphic"/>
    <w:basedOn w:val="Normal"/>
    <w:next w:val="Normal"/>
    <w:rsid w:val="00486637"/>
    <w:pPr>
      <w:keepNext/>
      <w:spacing w:after="0"/>
      <w:jc w:val="center"/>
    </w:pPr>
  </w:style>
  <w:style w:type="paragraph" w:customStyle="1" w:styleId="TableGraphic">
    <w:name w:val="Table Graphic"/>
    <w:basedOn w:val="Normal"/>
    <w:next w:val="Normal"/>
    <w:rsid w:val="00C911C1"/>
    <w:pPr>
      <w:spacing w:after="0"/>
      <w:ind w:right="-113"/>
    </w:pPr>
  </w:style>
  <w:style w:type="paragraph" w:customStyle="1" w:styleId="Bullet">
    <w:name w:val="Bullet"/>
    <w:aliases w:val="b,b1,b + line,level 1,Body,Bullet + line"/>
    <w:basedOn w:val="Normal"/>
    <w:link w:val="BulletChar"/>
    <w:qFormat/>
    <w:rsid w:val="00B523D1"/>
    <w:pPr>
      <w:numPr>
        <w:numId w:val="4"/>
      </w:numPr>
      <w:tabs>
        <w:tab w:val="clear" w:pos="425"/>
        <w:tab w:val="num" w:pos="567"/>
      </w:tabs>
      <w:ind w:left="567" w:hanging="567"/>
    </w:pPr>
  </w:style>
  <w:style w:type="paragraph" w:customStyle="1" w:styleId="Dash">
    <w:name w:val="Dash"/>
    <w:basedOn w:val="Normal"/>
    <w:link w:val="DashChar"/>
    <w:qFormat/>
    <w:rsid w:val="00001934"/>
    <w:pPr>
      <w:numPr>
        <w:ilvl w:val="1"/>
        <w:numId w:val="4"/>
      </w:numPr>
    </w:pPr>
  </w:style>
  <w:style w:type="paragraph" w:customStyle="1" w:styleId="DoubleDot">
    <w:name w:val="Double Dot"/>
    <w:basedOn w:val="Normal"/>
    <w:qFormat/>
    <w:rsid w:val="00001934"/>
    <w:pPr>
      <w:numPr>
        <w:ilvl w:val="2"/>
        <w:numId w:val="4"/>
      </w:numPr>
    </w:pPr>
  </w:style>
  <w:style w:type="character" w:customStyle="1" w:styleId="BulletChar">
    <w:name w:val="Bullet Char"/>
    <w:aliases w:val="b Char,b + line Char Char,b Char Char,Body Char,Bullet + line Char,b + line Char,b1 Char,level 1 Char"/>
    <w:basedOn w:val="DefaultParagraphFont"/>
    <w:link w:val="Bullet"/>
    <w:rsid w:val="00B523D1"/>
    <w:rPr>
      <w:rFonts w:ascii="Calibri Light" w:eastAsia="Times New Roman" w:hAnsi="Calibri Light" w:cs="Times New Roman"/>
      <w:color w:val="000000" w:themeColor="text1"/>
      <w:szCs w:val="20"/>
      <w:lang w:eastAsia="en-AU"/>
    </w:rPr>
  </w:style>
  <w:style w:type="paragraph" w:styleId="BalloonText">
    <w:name w:val="Balloon Text"/>
    <w:basedOn w:val="Normal"/>
    <w:link w:val="BalloonTextChar"/>
    <w:uiPriority w:val="99"/>
    <w:semiHidden/>
    <w:unhideWhenUsed/>
    <w:rsid w:val="00B81B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B07"/>
    <w:rPr>
      <w:rFonts w:ascii="Tahoma" w:eastAsia="Times New Roman" w:hAnsi="Tahoma" w:cs="Tahoma"/>
      <w:sz w:val="16"/>
      <w:szCs w:val="16"/>
      <w:lang w:eastAsia="en-AU"/>
    </w:rPr>
  </w:style>
  <w:style w:type="character" w:customStyle="1" w:styleId="DashChar">
    <w:name w:val="Dash Char"/>
    <w:basedOn w:val="DefaultParagraphFont"/>
    <w:link w:val="Dash"/>
    <w:rsid w:val="00B13CA5"/>
    <w:rPr>
      <w:rFonts w:ascii="Calibri Light" w:eastAsia="Times New Roman" w:hAnsi="Calibri Light" w:cs="Times New Roman"/>
      <w:color w:val="000000" w:themeColor="text1"/>
      <w:szCs w:val="20"/>
      <w:lang w:eastAsia="en-AU"/>
    </w:rPr>
  </w:style>
  <w:style w:type="table" w:styleId="TableGrid">
    <w:name w:val="Table Grid"/>
    <w:basedOn w:val="TableNormal"/>
    <w:uiPriority w:val="39"/>
    <w:rsid w:val="0053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E4C"/>
    <w:pPr>
      <w:tabs>
        <w:tab w:val="center" w:pos="4513"/>
        <w:tab w:val="right" w:pos="9026"/>
      </w:tabs>
      <w:spacing w:after="0"/>
      <w:jc w:val="right"/>
    </w:pPr>
    <w:rPr>
      <w:color w:val="246373" w:themeColor="accent6" w:themeShade="BF"/>
    </w:rPr>
  </w:style>
  <w:style w:type="character" w:customStyle="1" w:styleId="HeaderChar">
    <w:name w:val="Header Char"/>
    <w:basedOn w:val="DefaultParagraphFont"/>
    <w:link w:val="Header"/>
    <w:uiPriority w:val="99"/>
    <w:rsid w:val="00EA0E4C"/>
    <w:rPr>
      <w:rFonts w:ascii="Calibri Light" w:eastAsia="Times New Roman" w:hAnsi="Calibri Light" w:cs="Times New Roman"/>
      <w:color w:val="246373" w:themeColor="accent6" w:themeShade="BF"/>
      <w:szCs w:val="20"/>
      <w:lang w:eastAsia="en-AU"/>
    </w:rPr>
  </w:style>
  <w:style w:type="paragraph" w:styleId="Footer">
    <w:name w:val="footer"/>
    <w:basedOn w:val="Normal"/>
    <w:link w:val="FooterChar"/>
    <w:uiPriority w:val="99"/>
    <w:unhideWhenUsed/>
    <w:rsid w:val="0004370A"/>
    <w:pPr>
      <w:tabs>
        <w:tab w:val="center" w:pos="4513"/>
        <w:tab w:val="right" w:pos="9026"/>
      </w:tabs>
      <w:spacing w:after="0"/>
      <w:jc w:val="center"/>
    </w:pPr>
    <w:rPr>
      <w:noProof/>
    </w:rPr>
  </w:style>
  <w:style w:type="character" w:customStyle="1" w:styleId="FooterChar">
    <w:name w:val="Footer Char"/>
    <w:basedOn w:val="DefaultParagraphFont"/>
    <w:link w:val="Footer"/>
    <w:uiPriority w:val="99"/>
    <w:rsid w:val="0004370A"/>
    <w:rPr>
      <w:rFonts w:ascii="Calibri Light" w:eastAsia="Times New Roman" w:hAnsi="Calibri Light" w:cs="Times New Roman"/>
      <w:noProof/>
      <w:color w:val="000000" w:themeColor="text1"/>
      <w:szCs w:val="20"/>
      <w:lang w:eastAsia="en-AU"/>
    </w:rPr>
  </w:style>
  <w:style w:type="character" w:styleId="CommentReference">
    <w:name w:val="annotation reference"/>
    <w:basedOn w:val="DefaultParagraphFont"/>
    <w:uiPriority w:val="99"/>
    <w:semiHidden/>
    <w:unhideWhenUsed/>
    <w:rsid w:val="000148F9"/>
    <w:rPr>
      <w:sz w:val="16"/>
      <w:szCs w:val="16"/>
    </w:rPr>
  </w:style>
  <w:style w:type="paragraph" w:styleId="CommentText">
    <w:name w:val="annotation text"/>
    <w:basedOn w:val="Normal"/>
    <w:link w:val="CommentTextChar"/>
    <w:uiPriority w:val="99"/>
    <w:unhideWhenUsed/>
    <w:rsid w:val="000148F9"/>
    <w:rPr>
      <w:sz w:val="20"/>
    </w:rPr>
  </w:style>
  <w:style w:type="character" w:customStyle="1" w:styleId="CommentTextChar">
    <w:name w:val="Comment Text Char"/>
    <w:basedOn w:val="DefaultParagraphFont"/>
    <w:link w:val="CommentText"/>
    <w:uiPriority w:val="99"/>
    <w:rsid w:val="000148F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148F9"/>
    <w:rPr>
      <w:b/>
      <w:bCs/>
    </w:rPr>
  </w:style>
  <w:style w:type="character" w:customStyle="1" w:styleId="CommentSubjectChar">
    <w:name w:val="Comment Subject Char"/>
    <w:basedOn w:val="CommentTextChar"/>
    <w:link w:val="CommentSubject"/>
    <w:uiPriority w:val="99"/>
    <w:semiHidden/>
    <w:rsid w:val="000148F9"/>
    <w:rPr>
      <w:rFonts w:ascii="Times New Roman" w:eastAsia="Times New Roman" w:hAnsi="Times New Roman" w:cs="Times New Roman"/>
      <w:b/>
      <w:bCs/>
      <w:sz w:val="20"/>
      <w:szCs w:val="20"/>
      <w:lang w:eastAsia="en-AU"/>
    </w:rPr>
  </w:style>
  <w:style w:type="paragraph" w:styleId="ListParagraph">
    <w:name w:val="List Paragraph"/>
    <w:aliases w:val="List Paragraph1,List Paragraph11,Recommendation"/>
    <w:basedOn w:val="Normal"/>
    <w:link w:val="ListParagraphChar"/>
    <w:uiPriority w:val="34"/>
    <w:qFormat/>
    <w:rsid w:val="00142D7B"/>
    <w:pPr>
      <w:ind w:left="720"/>
      <w:contextualSpacing/>
    </w:pPr>
    <w:rPr>
      <w:rFonts w:asciiTheme="minorHAnsi" w:eastAsiaTheme="minorHAnsi" w:hAnsiTheme="minorHAnsi" w:cstheme="minorBidi"/>
      <w:szCs w:val="22"/>
      <w:lang w:eastAsia="en-US"/>
    </w:rPr>
  </w:style>
  <w:style w:type="paragraph" w:customStyle="1" w:styleId="Default">
    <w:name w:val="Default"/>
    <w:rsid w:val="00D2447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471B7D"/>
    <w:pPr>
      <w:spacing w:before="720"/>
      <w:jc w:val="center"/>
    </w:pPr>
    <w:rPr>
      <w:color w:val="246373"/>
      <w:sz w:val="56"/>
      <w:szCs w:val="56"/>
    </w:rPr>
  </w:style>
  <w:style w:type="character" w:customStyle="1" w:styleId="TitleChar">
    <w:name w:val="Title Char"/>
    <w:basedOn w:val="DefaultParagraphFont"/>
    <w:link w:val="Title"/>
    <w:uiPriority w:val="10"/>
    <w:rsid w:val="00471B7D"/>
    <w:rPr>
      <w:rFonts w:ascii="Calibri Light" w:eastAsia="Times New Roman" w:hAnsi="Calibri Light" w:cs="Times New Roman"/>
      <w:color w:val="246373"/>
      <w:sz w:val="56"/>
      <w:szCs w:val="56"/>
      <w:lang w:eastAsia="en-AU"/>
    </w:rPr>
  </w:style>
  <w:style w:type="character" w:customStyle="1" w:styleId="ListParagraphChar">
    <w:name w:val="List Paragraph Char"/>
    <w:aliases w:val="List Paragraph1 Char,List Paragraph11 Char,Recommendation Char"/>
    <w:basedOn w:val="DefaultParagraphFont"/>
    <w:link w:val="ListParagraph"/>
    <w:uiPriority w:val="34"/>
    <w:locked/>
    <w:rsid w:val="00142D7B"/>
    <w:rPr>
      <w:color w:val="000000" w:themeColor="text1"/>
    </w:rPr>
  </w:style>
  <w:style w:type="paragraph" w:styleId="NormalWeb">
    <w:name w:val="Normal (Web)"/>
    <w:basedOn w:val="Normal"/>
    <w:uiPriority w:val="99"/>
    <w:unhideWhenUsed/>
    <w:rsid w:val="00B42748"/>
    <w:pPr>
      <w:spacing w:before="180" w:after="180"/>
    </w:pPr>
    <w:rPr>
      <w:szCs w:val="24"/>
    </w:rPr>
  </w:style>
  <w:style w:type="character" w:styleId="BookTitle">
    <w:name w:val="Book Title"/>
    <w:uiPriority w:val="33"/>
    <w:qFormat/>
    <w:rsid w:val="006F7E25"/>
    <w:rPr>
      <w:i/>
      <w:iCs/>
      <w:smallCaps/>
      <w:spacing w:val="5"/>
    </w:rPr>
  </w:style>
  <w:style w:type="character" w:styleId="Hyperlink">
    <w:name w:val="Hyperlink"/>
    <w:basedOn w:val="DefaultParagraphFont"/>
    <w:uiPriority w:val="99"/>
    <w:unhideWhenUsed/>
    <w:rsid w:val="00AA64FA"/>
    <w:rPr>
      <w:b/>
      <w:color w:val="246373"/>
      <w:u w:val="none"/>
    </w:rPr>
  </w:style>
  <w:style w:type="paragraph" w:customStyle="1" w:styleId="bullet0">
    <w:name w:val="bullet"/>
    <w:basedOn w:val="Normal"/>
    <w:rsid w:val="00811C78"/>
    <w:pPr>
      <w:numPr>
        <w:numId w:val="1"/>
      </w:numPr>
      <w:spacing w:after="120"/>
    </w:pPr>
    <w:rPr>
      <w:rFonts w:eastAsiaTheme="minorHAnsi"/>
      <w:szCs w:val="24"/>
    </w:rPr>
  </w:style>
  <w:style w:type="character" w:customStyle="1" w:styleId="Heading1Char">
    <w:name w:val="Heading 1 Char"/>
    <w:basedOn w:val="DefaultParagraphFont"/>
    <w:link w:val="Heading1"/>
    <w:uiPriority w:val="2"/>
    <w:rsid w:val="00BC33F1"/>
    <w:rPr>
      <w:rFonts w:ascii="Calibri" w:eastAsiaTheme="majorEastAsia" w:hAnsi="Calibri" w:cstheme="majorBidi"/>
      <w:b/>
      <w:bCs/>
      <w:caps/>
      <w:color w:val="246373" w:themeColor="accent6" w:themeShade="BF"/>
      <w:spacing w:val="4"/>
      <w:sz w:val="40"/>
      <w:szCs w:val="28"/>
      <w:lang w:eastAsia="en-AU"/>
    </w:rPr>
  </w:style>
  <w:style w:type="character" w:customStyle="1" w:styleId="Heading2Char">
    <w:name w:val="Heading 2 Char"/>
    <w:basedOn w:val="DefaultParagraphFont"/>
    <w:link w:val="Heading2"/>
    <w:uiPriority w:val="2"/>
    <w:rsid w:val="00BF7D38"/>
    <w:rPr>
      <w:rFonts w:ascii="Calibri" w:eastAsiaTheme="majorEastAsia" w:hAnsi="Calibri" w:cstheme="majorBidi"/>
      <w:b/>
      <w:bCs/>
      <w:smallCaps/>
      <w:color w:val="005A70"/>
      <w:spacing w:val="4"/>
      <w:sz w:val="36"/>
      <w:szCs w:val="26"/>
      <w:lang w:eastAsia="en-AU"/>
    </w:rPr>
  </w:style>
  <w:style w:type="character" w:customStyle="1" w:styleId="Heading3Char">
    <w:name w:val="Heading 3 Char"/>
    <w:basedOn w:val="DefaultParagraphFont"/>
    <w:link w:val="Heading3"/>
    <w:uiPriority w:val="9"/>
    <w:rsid w:val="00023923"/>
    <w:rPr>
      <w:rFonts w:ascii="Calibri" w:eastAsiaTheme="majorEastAsia" w:hAnsi="Calibri" w:cstheme="majorBidi"/>
      <w:b/>
      <w:bCs/>
      <w:i/>
      <w:color w:val="246373" w:themeColor="accent6" w:themeShade="BF"/>
      <w:sz w:val="26"/>
      <w:szCs w:val="24"/>
      <w:lang w:eastAsia="en-AU"/>
    </w:rPr>
  </w:style>
  <w:style w:type="paragraph" w:styleId="TOCHeading">
    <w:name w:val="TOC Heading"/>
    <w:basedOn w:val="Heading1"/>
    <w:next w:val="Normal"/>
    <w:uiPriority w:val="39"/>
    <w:unhideWhenUsed/>
    <w:qFormat/>
    <w:rsid w:val="00BF7D38"/>
    <w:pPr>
      <w:contextualSpacing w:val="0"/>
      <w:outlineLvl w:val="9"/>
    </w:pPr>
    <w:rPr>
      <w:lang w:bidi="en-US"/>
    </w:rPr>
  </w:style>
  <w:style w:type="paragraph" w:styleId="TOC1">
    <w:name w:val="toc 1"/>
    <w:basedOn w:val="Normal"/>
    <w:next w:val="Normal"/>
    <w:autoRedefine/>
    <w:uiPriority w:val="39"/>
    <w:unhideWhenUsed/>
    <w:qFormat/>
    <w:rsid w:val="0046224F"/>
    <w:pPr>
      <w:tabs>
        <w:tab w:val="left" w:pos="284"/>
        <w:tab w:val="left" w:pos="993"/>
        <w:tab w:val="right" w:leader="dot" w:pos="9015"/>
      </w:tabs>
      <w:spacing w:before="160" w:after="80"/>
      <w:ind w:left="567" w:right="1088" w:hanging="567"/>
    </w:pPr>
    <w:rPr>
      <w:rFonts w:ascii="Calibri" w:hAnsi="Calibri"/>
      <w:b/>
      <w:noProof/>
      <w:color w:val="18424D" w:themeColor="accent6" w:themeShade="80"/>
      <w:szCs w:val="24"/>
    </w:rPr>
  </w:style>
  <w:style w:type="paragraph" w:styleId="TOC2">
    <w:name w:val="toc 2"/>
    <w:basedOn w:val="Normal"/>
    <w:next w:val="Normal"/>
    <w:autoRedefine/>
    <w:uiPriority w:val="39"/>
    <w:unhideWhenUsed/>
    <w:qFormat/>
    <w:rsid w:val="00A37598"/>
    <w:pPr>
      <w:tabs>
        <w:tab w:val="left" w:pos="284"/>
        <w:tab w:val="right" w:leader="dot" w:pos="9016"/>
      </w:tabs>
      <w:spacing w:before="60" w:after="60"/>
      <w:ind w:left="284"/>
    </w:pPr>
    <w:rPr>
      <w:rFonts w:ascii="Calibri" w:hAnsi="Calibri"/>
      <w:noProof/>
      <w:color w:val="18424D" w:themeColor="accent6" w:themeShade="80"/>
      <w:szCs w:val="24"/>
    </w:rPr>
  </w:style>
  <w:style w:type="paragraph" w:styleId="TOC3">
    <w:name w:val="toc 3"/>
    <w:basedOn w:val="Normal"/>
    <w:next w:val="Normal"/>
    <w:autoRedefine/>
    <w:uiPriority w:val="39"/>
    <w:unhideWhenUsed/>
    <w:qFormat/>
    <w:rsid w:val="00023923"/>
    <w:pPr>
      <w:tabs>
        <w:tab w:val="right" w:leader="dot" w:pos="9016"/>
      </w:tabs>
      <w:spacing w:before="20" w:after="20"/>
      <w:ind w:left="170"/>
    </w:pPr>
    <w:rPr>
      <w:szCs w:val="24"/>
    </w:rPr>
  </w:style>
  <w:style w:type="paragraph" w:styleId="FootnoteText">
    <w:name w:val="footnote text"/>
    <w:basedOn w:val="Normal"/>
    <w:link w:val="FootnoteTextChar"/>
    <w:uiPriority w:val="99"/>
    <w:rsid w:val="00143A4F"/>
    <w:pPr>
      <w:tabs>
        <w:tab w:val="left" w:pos="284"/>
      </w:tabs>
      <w:spacing w:after="0"/>
      <w:ind w:left="284" w:hanging="284"/>
    </w:pPr>
    <w:rPr>
      <w:sz w:val="18"/>
    </w:rPr>
  </w:style>
  <w:style w:type="character" w:customStyle="1" w:styleId="FootnoteTextChar">
    <w:name w:val="Footnote Text Char"/>
    <w:basedOn w:val="DefaultParagraphFont"/>
    <w:link w:val="FootnoteText"/>
    <w:uiPriority w:val="99"/>
    <w:rsid w:val="00143A4F"/>
    <w:rPr>
      <w:rFonts w:ascii="Calibri Light" w:eastAsia="Times New Roman" w:hAnsi="Calibri Light" w:cs="Times New Roman"/>
      <w:color w:val="000000" w:themeColor="text1"/>
      <w:sz w:val="18"/>
      <w:szCs w:val="20"/>
      <w:lang w:eastAsia="en-AU"/>
    </w:rPr>
  </w:style>
  <w:style w:type="character" w:styleId="FootnoteReference">
    <w:name w:val="footnote reference"/>
    <w:basedOn w:val="DefaultParagraphFont"/>
    <w:uiPriority w:val="99"/>
    <w:unhideWhenUsed/>
    <w:rsid w:val="00E92BB5"/>
    <w:rPr>
      <w:vertAlign w:val="superscript"/>
    </w:rPr>
  </w:style>
  <w:style w:type="character" w:customStyle="1" w:styleId="Heading4Char">
    <w:name w:val="Heading 4 Char"/>
    <w:basedOn w:val="DefaultParagraphFont"/>
    <w:link w:val="Heading4"/>
    <w:uiPriority w:val="9"/>
    <w:rsid w:val="003E614C"/>
    <w:rPr>
      <w:rFonts w:ascii="Calibri" w:eastAsiaTheme="majorEastAsia" w:hAnsi="Calibri" w:cstheme="majorBidi"/>
      <w:b/>
      <w:bCs/>
      <w:i/>
      <w:iCs/>
      <w:color w:val="246373" w:themeColor="accent6" w:themeShade="BF"/>
      <w:sz w:val="24"/>
      <w:szCs w:val="20"/>
      <w:lang w:eastAsia="en-AU"/>
    </w:rPr>
  </w:style>
  <w:style w:type="paragraph" w:customStyle="1" w:styleId="Figureheading">
    <w:name w:val="Figure heading"/>
    <w:basedOn w:val="Normal"/>
    <w:qFormat/>
    <w:rsid w:val="00BF0608"/>
    <w:pPr>
      <w:keepNext/>
      <w:tabs>
        <w:tab w:val="left" w:pos="993"/>
      </w:tabs>
      <w:spacing w:after="60"/>
      <w:ind w:left="992" w:hanging="992"/>
    </w:pPr>
    <w:rPr>
      <w:rFonts w:ascii="Calibri" w:hAnsi="Calibri"/>
      <w:b/>
      <w:caps/>
      <w:color w:val="246373" w:themeColor="accent6" w:themeShade="BF"/>
    </w:rPr>
  </w:style>
  <w:style w:type="paragraph" w:styleId="Quote">
    <w:name w:val="Quote"/>
    <w:basedOn w:val="Normal"/>
    <w:next w:val="Normal"/>
    <w:link w:val="QuoteChar"/>
    <w:uiPriority w:val="29"/>
    <w:qFormat/>
    <w:rsid w:val="003C5CD0"/>
    <w:pPr>
      <w:spacing w:before="120"/>
      <w:ind w:left="567" w:right="521"/>
    </w:pPr>
    <w:rPr>
      <w:rFonts w:eastAsiaTheme="minorHAnsi"/>
      <w:i/>
      <w:lang w:eastAsia="en-US"/>
    </w:rPr>
  </w:style>
  <w:style w:type="character" w:customStyle="1" w:styleId="QuoteChar">
    <w:name w:val="Quote Char"/>
    <w:basedOn w:val="DefaultParagraphFont"/>
    <w:link w:val="Quote"/>
    <w:uiPriority w:val="29"/>
    <w:rsid w:val="003C5CD0"/>
    <w:rPr>
      <w:rFonts w:ascii="Calibri Light" w:hAnsi="Calibri Light" w:cs="Times New Roman"/>
      <w:i/>
      <w:color w:val="000000" w:themeColor="text1"/>
      <w:szCs w:val="20"/>
    </w:rPr>
  </w:style>
  <w:style w:type="paragraph" w:customStyle="1" w:styleId="Tablecolumnheadingleft">
    <w:name w:val="Table column heading left"/>
    <w:basedOn w:val="Normal"/>
    <w:qFormat/>
    <w:rsid w:val="00142D7B"/>
    <w:pPr>
      <w:spacing w:before="60" w:after="60"/>
    </w:pPr>
    <w:rPr>
      <w:rFonts w:ascii="Calibri" w:hAnsi="Calibri"/>
      <w:b/>
      <w:sz w:val="20"/>
      <w:lang w:eastAsia="en-US"/>
    </w:rPr>
  </w:style>
  <w:style w:type="paragraph" w:customStyle="1" w:styleId="Tablecolumnheadingcentre">
    <w:name w:val="Table column heading centre"/>
    <w:basedOn w:val="Tablecolumnheadingleft"/>
    <w:qFormat/>
    <w:rsid w:val="00486637"/>
    <w:pPr>
      <w:jc w:val="center"/>
    </w:pPr>
    <w:rPr>
      <w:color w:val="auto"/>
    </w:rPr>
  </w:style>
  <w:style w:type="paragraph" w:customStyle="1" w:styleId="Tabletextleft">
    <w:name w:val="Table text left"/>
    <w:basedOn w:val="Normal"/>
    <w:qFormat/>
    <w:rsid w:val="003F36CE"/>
    <w:pPr>
      <w:spacing w:before="60" w:after="60"/>
    </w:pPr>
    <w:rPr>
      <w:sz w:val="20"/>
      <w:lang w:eastAsia="en-US"/>
    </w:rPr>
  </w:style>
  <w:style w:type="paragraph" w:customStyle="1" w:styleId="Tabletextright">
    <w:name w:val="Table text right"/>
    <w:basedOn w:val="Tabletextleft"/>
    <w:qFormat/>
    <w:rsid w:val="00D95CAC"/>
    <w:pPr>
      <w:ind w:right="259"/>
      <w:jc w:val="right"/>
    </w:pPr>
  </w:style>
  <w:style w:type="paragraph" w:customStyle="1" w:styleId="Tabletextcentred">
    <w:name w:val="Table text centred"/>
    <w:basedOn w:val="Tabletextleft"/>
    <w:qFormat/>
    <w:rsid w:val="003F005B"/>
    <w:pPr>
      <w:jc w:val="center"/>
    </w:pPr>
  </w:style>
  <w:style w:type="paragraph" w:customStyle="1" w:styleId="Singleparagraph">
    <w:name w:val="Single paragraph"/>
    <w:basedOn w:val="Normal"/>
    <w:qFormat/>
    <w:rsid w:val="00D95CAC"/>
    <w:pPr>
      <w:spacing w:after="0"/>
    </w:pPr>
  </w:style>
  <w:style w:type="paragraph" w:customStyle="1" w:styleId="Charttablenote">
    <w:name w:val="Chart table note"/>
    <w:basedOn w:val="Normal"/>
    <w:qFormat/>
    <w:rsid w:val="00825804"/>
    <w:pPr>
      <w:spacing w:after="0"/>
    </w:pPr>
    <w:rPr>
      <w:sz w:val="18"/>
    </w:rPr>
  </w:style>
  <w:style w:type="paragraph" w:customStyle="1" w:styleId="Numberedlist">
    <w:name w:val="Numbered list"/>
    <w:basedOn w:val="bullet0"/>
    <w:link w:val="NumberedlistChar"/>
    <w:qFormat/>
    <w:rsid w:val="00862B49"/>
    <w:pPr>
      <w:numPr>
        <w:numId w:val="2"/>
      </w:numPr>
    </w:pPr>
  </w:style>
  <w:style w:type="paragraph" w:styleId="Subtitle">
    <w:name w:val="Subtitle"/>
    <w:basedOn w:val="Title"/>
    <w:next w:val="Normal"/>
    <w:link w:val="SubtitleChar"/>
    <w:uiPriority w:val="11"/>
    <w:qFormat/>
    <w:rsid w:val="00D85841"/>
    <w:pPr>
      <w:spacing w:before="1080"/>
      <w:jc w:val="right"/>
    </w:pPr>
    <w:rPr>
      <w:sz w:val="48"/>
      <w:szCs w:val="48"/>
    </w:rPr>
  </w:style>
  <w:style w:type="character" w:customStyle="1" w:styleId="SubtitleChar">
    <w:name w:val="Subtitle Char"/>
    <w:basedOn w:val="DefaultParagraphFont"/>
    <w:link w:val="Subtitle"/>
    <w:uiPriority w:val="11"/>
    <w:rsid w:val="00D85841"/>
    <w:rPr>
      <w:rFonts w:ascii="Calibri Light" w:eastAsia="Times New Roman" w:hAnsi="Calibri Light" w:cs="Times New Roman"/>
      <w:color w:val="5F497A" w:themeColor="accent5" w:themeShade="BF"/>
      <w:sz w:val="48"/>
      <w:szCs w:val="48"/>
      <w:lang w:eastAsia="en-AU"/>
    </w:rPr>
  </w:style>
  <w:style w:type="character" w:customStyle="1" w:styleId="A5">
    <w:name w:val="A5"/>
    <w:uiPriority w:val="99"/>
    <w:rsid w:val="00983427"/>
    <w:rPr>
      <w:rFonts w:cs="Swiss 721 BT"/>
      <w:color w:val="000000"/>
      <w:sz w:val="20"/>
      <w:szCs w:val="20"/>
    </w:rPr>
  </w:style>
  <w:style w:type="paragraph" w:customStyle="1" w:styleId="Discussionheading">
    <w:name w:val="Discussion heading"/>
    <w:basedOn w:val="Heading3"/>
    <w:qFormat/>
    <w:rsid w:val="00B466CE"/>
    <w:pPr>
      <w:pBdr>
        <w:top w:val="single" w:sz="8" w:space="1" w:color="E5DFEC" w:themeColor="accent5" w:themeTint="33"/>
        <w:left w:val="single" w:sz="8" w:space="4" w:color="E5DFEC" w:themeColor="accent5" w:themeTint="33"/>
        <w:bottom w:val="single" w:sz="8" w:space="1" w:color="E5DFEC" w:themeColor="accent5" w:themeTint="33"/>
        <w:right w:val="single" w:sz="8" w:space="4" w:color="E5DFEC" w:themeColor="accent5" w:themeTint="33"/>
      </w:pBdr>
      <w:shd w:val="clear" w:color="auto" w:fill="F5F2F8"/>
    </w:pPr>
    <w:rPr>
      <w:color w:val="8064A2" w:themeColor="accent5"/>
    </w:rPr>
  </w:style>
  <w:style w:type="paragraph" w:customStyle="1" w:styleId="OutlineNumbered1">
    <w:name w:val="Outline Numbered 1"/>
    <w:basedOn w:val="Normal"/>
    <w:link w:val="OutlineNumbered1Char"/>
    <w:rsid w:val="00B523D1"/>
    <w:pPr>
      <w:numPr>
        <w:numId w:val="3"/>
      </w:numPr>
      <w:tabs>
        <w:tab w:val="clear" w:pos="1040"/>
        <w:tab w:val="num" w:pos="567"/>
      </w:tabs>
      <w:ind w:left="567" w:hanging="567"/>
    </w:pPr>
  </w:style>
  <w:style w:type="character" w:customStyle="1" w:styleId="OutlineNumbered1Char">
    <w:name w:val="Outline Numbered 1 Char"/>
    <w:basedOn w:val="DefaultParagraphFont"/>
    <w:link w:val="OutlineNumbered1"/>
    <w:rsid w:val="00B523D1"/>
    <w:rPr>
      <w:rFonts w:ascii="Calibri Light" w:eastAsia="Times New Roman" w:hAnsi="Calibri Light" w:cs="Times New Roman"/>
      <w:color w:val="000000" w:themeColor="text1"/>
      <w:szCs w:val="20"/>
      <w:lang w:eastAsia="en-AU"/>
    </w:rPr>
  </w:style>
  <w:style w:type="paragraph" w:customStyle="1" w:styleId="OutlineNumbered2">
    <w:name w:val="Outline Numbered 2"/>
    <w:basedOn w:val="Normal"/>
    <w:link w:val="OutlineNumbered2Char"/>
    <w:rsid w:val="00D22244"/>
    <w:pPr>
      <w:numPr>
        <w:ilvl w:val="1"/>
        <w:numId w:val="3"/>
      </w:numPr>
    </w:pPr>
  </w:style>
  <w:style w:type="character" w:customStyle="1" w:styleId="OutlineNumbered2Char">
    <w:name w:val="Outline Numbered 2 Char"/>
    <w:basedOn w:val="DefaultParagraphFont"/>
    <w:link w:val="OutlineNumbered2"/>
    <w:rsid w:val="00D22244"/>
    <w:rPr>
      <w:rFonts w:ascii="Calibri Light" w:eastAsia="Times New Roman" w:hAnsi="Calibri Light" w:cs="Times New Roman"/>
      <w:color w:val="000000" w:themeColor="text1"/>
      <w:szCs w:val="20"/>
      <w:lang w:eastAsia="en-AU"/>
    </w:rPr>
  </w:style>
  <w:style w:type="paragraph" w:customStyle="1" w:styleId="OutlineNumbered3">
    <w:name w:val="Outline Numbered 3"/>
    <w:basedOn w:val="Normal"/>
    <w:link w:val="OutlineNumbered3Char"/>
    <w:rsid w:val="00D22244"/>
    <w:pPr>
      <w:numPr>
        <w:ilvl w:val="2"/>
        <w:numId w:val="3"/>
      </w:numPr>
    </w:pPr>
  </w:style>
  <w:style w:type="character" w:customStyle="1" w:styleId="OutlineNumbered3Char">
    <w:name w:val="Outline Numbered 3 Char"/>
    <w:basedOn w:val="DefaultParagraphFont"/>
    <w:link w:val="OutlineNumbered3"/>
    <w:rsid w:val="00D22244"/>
    <w:rPr>
      <w:rFonts w:ascii="Calibri Light" w:eastAsia="Times New Roman" w:hAnsi="Calibri Light" w:cs="Times New Roman"/>
      <w:color w:val="000000" w:themeColor="text1"/>
      <w:szCs w:val="20"/>
      <w:lang w:eastAsia="en-AU"/>
    </w:rPr>
  </w:style>
  <w:style w:type="paragraph" w:styleId="Revision">
    <w:name w:val="Revision"/>
    <w:hidden/>
    <w:uiPriority w:val="99"/>
    <w:semiHidden/>
    <w:rsid w:val="005A7A99"/>
    <w:pPr>
      <w:spacing w:after="0" w:line="240" w:lineRule="auto"/>
    </w:pPr>
    <w:rPr>
      <w:rFonts w:ascii="Calibri Light" w:eastAsia="Times New Roman" w:hAnsi="Calibri Light" w:cs="Times New Roman"/>
      <w:color w:val="000000" w:themeColor="text1"/>
      <w:szCs w:val="20"/>
      <w:lang w:eastAsia="en-AU"/>
    </w:rPr>
  </w:style>
  <w:style w:type="table" w:styleId="LightGrid-Accent3">
    <w:name w:val="Light Grid Accent 3"/>
    <w:basedOn w:val="TableNormal"/>
    <w:uiPriority w:val="62"/>
    <w:rsid w:val="004602B6"/>
    <w:pPr>
      <w:spacing w:after="0" w:line="240" w:lineRule="auto"/>
    </w:pPr>
    <w:tblPr>
      <w:tblStyleRowBandSize w:val="1"/>
      <w:tblStyleColBandSize w:val="1"/>
      <w:tblInd w:w="0" w:type="nil"/>
      <w:tblBorders>
        <w:top w:val="single" w:sz="8" w:space="0" w:color="BCD5F0" w:themeColor="accent3"/>
        <w:left w:val="single" w:sz="8" w:space="0" w:color="BCD5F0" w:themeColor="accent3"/>
        <w:bottom w:val="single" w:sz="8" w:space="0" w:color="BCD5F0" w:themeColor="accent3"/>
        <w:right w:val="single" w:sz="8" w:space="0" w:color="BCD5F0" w:themeColor="accent3"/>
        <w:insideH w:val="single" w:sz="8" w:space="0" w:color="BCD5F0" w:themeColor="accent3"/>
        <w:insideV w:val="single" w:sz="8" w:space="0" w:color="BCD5F0"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BCD5F0" w:themeColor="accent3"/>
          <w:left w:val="single" w:sz="8" w:space="0" w:color="BCD5F0" w:themeColor="accent3"/>
          <w:bottom w:val="single" w:sz="18" w:space="0" w:color="BCD5F0" w:themeColor="accent3"/>
          <w:right w:val="single" w:sz="8" w:space="0" w:color="BCD5F0" w:themeColor="accent3"/>
          <w:insideH w:val="nil"/>
          <w:insideV w:val="single" w:sz="8" w:space="0" w:color="BCD5F0"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BCD5F0" w:themeColor="accent3"/>
          <w:left w:val="single" w:sz="8" w:space="0" w:color="BCD5F0" w:themeColor="accent3"/>
          <w:bottom w:val="single" w:sz="8" w:space="0" w:color="BCD5F0" w:themeColor="accent3"/>
          <w:right w:val="single" w:sz="8" w:space="0" w:color="BCD5F0" w:themeColor="accent3"/>
          <w:insideH w:val="nil"/>
          <w:insideV w:val="single" w:sz="8" w:space="0" w:color="BCD5F0"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tcPr>
    </w:tblStylePr>
    <w:tblStylePr w:type="band1Vert">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shd w:val="clear" w:color="auto" w:fill="EEF4FB" w:themeFill="accent3" w:themeFillTint="3F"/>
      </w:tcPr>
    </w:tblStylePr>
    <w:tblStylePr w:type="band1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insideV w:val="single" w:sz="8" w:space="0" w:color="BCD5F0" w:themeColor="accent3"/>
        </w:tcBorders>
        <w:shd w:val="clear" w:color="auto" w:fill="EEF4FB" w:themeFill="accent3" w:themeFillTint="3F"/>
      </w:tcPr>
    </w:tblStylePr>
    <w:tblStylePr w:type="band2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insideV w:val="single" w:sz="8" w:space="0" w:color="BCD5F0" w:themeColor="accent3"/>
        </w:tcBorders>
      </w:tcPr>
    </w:tblStylePr>
  </w:style>
  <w:style w:type="table" w:customStyle="1" w:styleId="DSSDatatablestyle">
    <w:name w:val="DSS Data table style"/>
    <w:basedOn w:val="TableNormal"/>
    <w:uiPriority w:val="99"/>
    <w:rsid w:val="0037647B"/>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EF0F3"/>
      </w:tcPr>
    </w:tblStylePr>
  </w:style>
  <w:style w:type="paragraph" w:customStyle="1" w:styleId="BoxHeading">
    <w:name w:val="Box Heading"/>
    <w:next w:val="Normal"/>
    <w:rsid w:val="00123277"/>
    <w:pPr>
      <w:keepNext/>
      <w:tabs>
        <w:tab w:val="num" w:pos="1474"/>
      </w:tabs>
      <w:spacing w:before="120" w:after="120" w:line="240" w:lineRule="auto"/>
      <w:ind w:left="1474" w:hanging="1474"/>
    </w:pPr>
    <w:rPr>
      <w:rFonts w:ascii="Arial" w:eastAsia="Times New Roman" w:hAnsi="Arial" w:cs="Times New Roman"/>
      <w:b/>
      <w:i/>
      <w:color w:val="246373"/>
      <w:sz w:val="23"/>
      <w:szCs w:val="24"/>
    </w:rPr>
  </w:style>
  <w:style w:type="paragraph" w:styleId="PlainText">
    <w:name w:val="Plain Text"/>
    <w:basedOn w:val="Normal"/>
    <w:link w:val="PlainTextChar"/>
    <w:uiPriority w:val="99"/>
    <w:unhideWhenUsed/>
    <w:rsid w:val="00606140"/>
    <w:pPr>
      <w:spacing w:after="0"/>
    </w:pPr>
    <w:rPr>
      <w:rFonts w:ascii="Calibri" w:eastAsiaTheme="minorHAnsi" w:hAnsi="Calibri" w:cs="Consolas"/>
      <w:color w:val="auto"/>
      <w:szCs w:val="21"/>
      <w:lang w:eastAsia="en-US"/>
    </w:rPr>
  </w:style>
  <w:style w:type="character" w:customStyle="1" w:styleId="PlainTextChar">
    <w:name w:val="Plain Text Char"/>
    <w:basedOn w:val="DefaultParagraphFont"/>
    <w:link w:val="PlainText"/>
    <w:uiPriority w:val="99"/>
    <w:rsid w:val="00606140"/>
    <w:rPr>
      <w:rFonts w:ascii="Calibri" w:hAnsi="Calibri" w:cs="Consolas"/>
      <w:szCs w:val="21"/>
    </w:rPr>
  </w:style>
  <w:style w:type="table" w:styleId="LightGrid">
    <w:name w:val="Light Grid"/>
    <w:basedOn w:val="TableNormal"/>
    <w:uiPriority w:val="62"/>
    <w:rsid w:val="006061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umberedlistChar">
    <w:name w:val="Numbered list Char"/>
    <w:basedOn w:val="DefaultParagraphFont"/>
    <w:link w:val="Numberedlist"/>
    <w:rsid w:val="00862B49"/>
    <w:rPr>
      <w:rFonts w:ascii="Calibri Light" w:hAnsi="Calibri Light" w:cs="Times New Roman"/>
      <w:color w:val="000000" w:themeColor="text1"/>
      <w:szCs w:val="24"/>
      <w:lang w:eastAsia="en-AU"/>
    </w:rPr>
  </w:style>
  <w:style w:type="character" w:styleId="FollowedHyperlink">
    <w:name w:val="FollowedHyperlink"/>
    <w:basedOn w:val="DefaultParagraphFont"/>
    <w:uiPriority w:val="99"/>
    <w:semiHidden/>
    <w:unhideWhenUsed/>
    <w:rsid w:val="008260E5"/>
    <w:rPr>
      <w:color w:val="800080" w:themeColor="followedHyperlink"/>
      <w:u w:val="single"/>
    </w:rPr>
  </w:style>
  <w:style w:type="paragraph" w:styleId="EndnoteText">
    <w:name w:val="endnote text"/>
    <w:basedOn w:val="Normal"/>
    <w:link w:val="EndnoteTextChar"/>
    <w:uiPriority w:val="99"/>
    <w:semiHidden/>
    <w:unhideWhenUsed/>
    <w:rsid w:val="003563DA"/>
    <w:pPr>
      <w:spacing w:after="0"/>
    </w:pPr>
    <w:rPr>
      <w:sz w:val="20"/>
    </w:rPr>
  </w:style>
  <w:style w:type="character" w:customStyle="1" w:styleId="EndnoteTextChar">
    <w:name w:val="Endnote Text Char"/>
    <w:basedOn w:val="DefaultParagraphFont"/>
    <w:link w:val="EndnoteText"/>
    <w:uiPriority w:val="99"/>
    <w:semiHidden/>
    <w:rsid w:val="003563DA"/>
    <w:rPr>
      <w:rFonts w:ascii="Calibri Light" w:eastAsia="Times New Roman" w:hAnsi="Calibri Light" w:cs="Times New Roman"/>
      <w:color w:val="000000" w:themeColor="text1"/>
      <w:sz w:val="20"/>
      <w:szCs w:val="20"/>
      <w:lang w:eastAsia="en-AU"/>
    </w:rPr>
  </w:style>
  <w:style w:type="character" w:styleId="EndnoteReference">
    <w:name w:val="endnote reference"/>
    <w:basedOn w:val="DefaultParagraphFont"/>
    <w:uiPriority w:val="99"/>
    <w:semiHidden/>
    <w:unhideWhenUsed/>
    <w:rsid w:val="003563DA"/>
    <w:rPr>
      <w:vertAlign w:val="superscript"/>
    </w:rPr>
  </w:style>
  <w:style w:type="paragraph" w:customStyle="1" w:styleId="BoxText">
    <w:name w:val="Box Text"/>
    <w:basedOn w:val="Normal"/>
    <w:rsid w:val="003F36CE"/>
    <w:pPr>
      <w:spacing w:before="120" w:after="120" w:line="280" w:lineRule="exact"/>
      <w:ind w:right="85"/>
    </w:pPr>
    <w:rPr>
      <w:rFonts w:ascii="Arial" w:hAnsi="Arial"/>
      <w:b/>
      <w:sz w:val="20"/>
    </w:rPr>
  </w:style>
  <w:style w:type="table" w:customStyle="1" w:styleId="RecommendationBox">
    <w:name w:val="RecommendationBox"/>
    <w:basedOn w:val="TableNormal"/>
    <w:uiPriority w:val="99"/>
    <w:rsid w:val="00662F85"/>
    <w:pPr>
      <w:spacing w:after="0" w:line="240" w:lineRule="auto"/>
    </w:pPr>
    <w:rPr>
      <w:rFonts w:ascii="Century Gothic" w:hAnsi="Century Gothic"/>
      <w:sz w:val="20"/>
    </w:rPr>
    <w:tblPr/>
  </w:style>
  <w:style w:type="numbering" w:customStyle="1" w:styleId="Style1">
    <w:name w:val="Style1"/>
    <w:uiPriority w:val="99"/>
    <w:rsid w:val="00637C6C"/>
    <w:pPr>
      <w:numPr>
        <w:numId w:val="5"/>
      </w:numPr>
    </w:pPr>
  </w:style>
  <w:style w:type="paragraph" w:customStyle="1" w:styleId="Heading1-Numbered">
    <w:name w:val="Heading 1 - Numbered"/>
    <w:basedOn w:val="Heading1"/>
    <w:rsid w:val="00637C6C"/>
    <w:pPr>
      <w:numPr>
        <w:numId w:val="6"/>
      </w:numPr>
    </w:pPr>
  </w:style>
  <w:style w:type="paragraph" w:customStyle="1" w:styleId="FigureGraphic">
    <w:name w:val="Figure Graphic"/>
    <w:basedOn w:val="ChartGraphic"/>
    <w:rsid w:val="003F005B"/>
    <w:pPr>
      <w:jc w:val="left"/>
    </w:pPr>
    <w:rPr>
      <w:noProof/>
    </w:rPr>
  </w:style>
  <w:style w:type="paragraph" w:customStyle="1" w:styleId="TableMainHeading">
    <w:name w:val="Table Main Heading"/>
    <w:basedOn w:val="Figureheading"/>
    <w:rsid w:val="00123277"/>
    <w:pPr>
      <w:spacing w:after="20"/>
    </w:pPr>
  </w:style>
  <w:style w:type="paragraph" w:customStyle="1" w:styleId="Tablecolumnheadingleft-white">
    <w:name w:val="Table column heading left - white"/>
    <w:basedOn w:val="Tablecolumnheadingleft"/>
    <w:rsid w:val="006701A2"/>
    <w:rPr>
      <w:rFonts w:eastAsiaTheme="minorHAnsi"/>
      <w:color w:val="FFFFFF" w:themeColor="background1"/>
      <w:sz w:val="22"/>
    </w:rPr>
  </w:style>
  <w:style w:type="paragraph" w:customStyle="1" w:styleId="Tablecolumnheadingcentre-white">
    <w:name w:val="Table column heading centre - white"/>
    <w:basedOn w:val="Tablecolumnheadingleft-white"/>
    <w:rsid w:val="003F005B"/>
    <w:pPr>
      <w:jc w:val="center"/>
    </w:pPr>
    <w:rPr>
      <w:bCs/>
    </w:rPr>
  </w:style>
  <w:style w:type="paragraph" w:customStyle="1" w:styleId="ChartMainheading">
    <w:name w:val="Chart Main heading"/>
    <w:basedOn w:val="Figureheading"/>
    <w:rsid w:val="00325FC4"/>
    <w:pPr>
      <w:spacing w:after="20"/>
      <w:ind w:left="0" w:firstLine="0"/>
      <w:jc w:val="center"/>
    </w:pPr>
  </w:style>
  <w:style w:type="paragraph" w:customStyle="1" w:styleId="BoxMainHeading-Outside">
    <w:name w:val="Box Main Heading - Outside"/>
    <w:basedOn w:val="Figureheading"/>
    <w:rsid w:val="00924CB8"/>
    <w:pPr>
      <w:tabs>
        <w:tab w:val="clear" w:pos="993"/>
        <w:tab w:val="left" w:pos="851"/>
      </w:tabs>
      <w:spacing w:after="40"/>
      <w:ind w:left="851" w:hanging="851"/>
    </w:pPr>
  </w:style>
  <w:style w:type="paragraph" w:customStyle="1" w:styleId="BoxText-UnBold">
    <w:name w:val="Box Text - UnBold"/>
    <w:basedOn w:val="BoxText"/>
    <w:rsid w:val="003F36CE"/>
    <w:rPr>
      <w:rFonts w:cs="Arial"/>
      <w:b w:val="0"/>
    </w:rPr>
  </w:style>
  <w:style w:type="paragraph" w:customStyle="1" w:styleId="BoxText-Bullet">
    <w:name w:val="Box Text - Bullet"/>
    <w:basedOn w:val="BoxText-UnBold"/>
    <w:rsid w:val="00924CB8"/>
    <w:pPr>
      <w:numPr>
        <w:numId w:val="7"/>
      </w:numPr>
    </w:pPr>
  </w:style>
  <w:style w:type="paragraph" w:customStyle="1" w:styleId="Tabletextleft-alpha">
    <w:name w:val="Table text left - alpha"/>
    <w:basedOn w:val="Tabletextleft"/>
    <w:rsid w:val="00B2546D"/>
    <w:pPr>
      <w:numPr>
        <w:numId w:val="8"/>
      </w:numPr>
    </w:pPr>
  </w:style>
  <w:style w:type="paragraph" w:customStyle="1" w:styleId="Tabletextleft-numbered">
    <w:name w:val="Table text left - numbered"/>
    <w:basedOn w:val="Tabletextleft"/>
    <w:rsid w:val="004A1591"/>
    <w:pPr>
      <w:numPr>
        <w:numId w:val="9"/>
      </w:numPr>
    </w:pPr>
  </w:style>
  <w:style w:type="paragraph" w:customStyle="1" w:styleId="Heading2-NoTOC">
    <w:name w:val="Heading 2 - No TOC"/>
    <w:basedOn w:val="Heading2"/>
    <w:rsid w:val="00511E43"/>
    <w:pPr>
      <w:outlineLvl w:val="9"/>
    </w:pPr>
  </w:style>
  <w:style w:type="paragraph" w:customStyle="1" w:styleId="FooterOdd">
    <w:name w:val="Footer Odd"/>
    <w:basedOn w:val="Footer"/>
    <w:rsid w:val="00736353"/>
    <w:pPr>
      <w:keepNext/>
      <w:tabs>
        <w:tab w:val="clear" w:pos="4513"/>
        <w:tab w:val="clear" w:pos="9026"/>
      </w:tabs>
      <w:jc w:val="right"/>
    </w:pPr>
    <w:rPr>
      <w:rFonts w:ascii="Century Gothic" w:hAnsi="Century Gothic"/>
      <w:noProof w:val="0"/>
      <w:color w:val="1F497D" w:themeColor="text2"/>
      <w:sz w:val="18"/>
    </w:rPr>
  </w:style>
  <w:style w:type="character" w:styleId="PageNumber">
    <w:name w:val="page number"/>
    <w:basedOn w:val="DefaultParagraphFont"/>
    <w:rsid w:val="00736353"/>
    <w:rPr>
      <w:rFonts w:ascii="Book Antiqua" w:hAnsi="Book Antiqua"/>
      <w:sz w:val="18"/>
    </w:rPr>
  </w:style>
  <w:style w:type="paragraph" w:customStyle="1" w:styleId="Tabletextleft-BoldItalics">
    <w:name w:val="Table text left - Bold Italics"/>
    <w:basedOn w:val="Tabletextleft"/>
    <w:rsid w:val="004714AF"/>
    <w:rPr>
      <w:b/>
      <w:i/>
    </w:rPr>
  </w:style>
  <w:style w:type="paragraph" w:styleId="ListBullet">
    <w:name w:val="List Bullet"/>
    <w:basedOn w:val="Normal"/>
    <w:qFormat/>
    <w:rsid w:val="009E0B58"/>
    <w:pPr>
      <w:numPr>
        <w:numId w:val="10"/>
      </w:numPr>
      <w:spacing w:before="60" w:after="60"/>
    </w:pPr>
    <w:rPr>
      <w:rFonts w:ascii="Arial" w:hAnsi="Arial"/>
      <w:color w:val="auto"/>
      <w:szCs w:val="24"/>
    </w:rPr>
  </w:style>
  <w:style w:type="paragraph" w:styleId="NoSpacing">
    <w:name w:val="No Spacing"/>
    <w:uiPriority w:val="1"/>
    <w:qFormat/>
    <w:rsid w:val="00AD16C6"/>
    <w:pPr>
      <w:spacing w:after="0" w:line="240" w:lineRule="auto"/>
    </w:pPr>
    <w:rPr>
      <w:rFonts w:ascii="Calibri Light" w:eastAsia="Times New Roman" w:hAnsi="Calibri Light" w:cs="Times New Roman"/>
      <w:color w:val="000000" w:themeColor="text1"/>
      <w:szCs w:val="20"/>
      <w:lang w:eastAsia="en-AU"/>
    </w:rPr>
  </w:style>
  <w:style w:type="table" w:styleId="LightList-Accent3">
    <w:name w:val="Light List Accent 3"/>
    <w:basedOn w:val="TableNormal"/>
    <w:uiPriority w:val="61"/>
    <w:rsid w:val="00622771"/>
    <w:pPr>
      <w:spacing w:after="0" w:line="240" w:lineRule="auto"/>
    </w:pPr>
    <w:tblPr>
      <w:tblStyleRowBandSize w:val="1"/>
      <w:tblStyleColBandSize w:val="1"/>
      <w:tblInd w:w="0" w:type="nil"/>
      <w:tblBorders>
        <w:top w:val="single" w:sz="8" w:space="0" w:color="BCD5F0" w:themeColor="accent3"/>
        <w:left w:val="single" w:sz="8" w:space="0" w:color="BCD5F0" w:themeColor="accent3"/>
        <w:bottom w:val="single" w:sz="8" w:space="0" w:color="BCD5F0" w:themeColor="accent3"/>
        <w:right w:val="single" w:sz="8" w:space="0" w:color="BCD5F0"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BCD5F0" w:themeFill="accent3"/>
      </w:tcPr>
    </w:tblStylePr>
    <w:tblStylePr w:type="lastRow">
      <w:pPr>
        <w:spacing w:beforeLines="0" w:before="0" w:beforeAutospacing="0" w:afterLines="0" w:after="0" w:afterAutospacing="0" w:line="240" w:lineRule="auto"/>
      </w:pPr>
      <w:rPr>
        <w:b/>
        <w:bCs/>
      </w:rPr>
      <w:tblPr/>
      <w:tcPr>
        <w:tcBorders>
          <w:top w:val="double" w:sz="6" w:space="0" w:color="BCD5F0" w:themeColor="accent3"/>
          <w:left w:val="single" w:sz="8" w:space="0" w:color="BCD5F0" w:themeColor="accent3"/>
          <w:bottom w:val="single" w:sz="8" w:space="0" w:color="BCD5F0" w:themeColor="accent3"/>
          <w:right w:val="single" w:sz="8" w:space="0" w:color="BCD5F0" w:themeColor="accent3"/>
        </w:tcBorders>
      </w:tcPr>
    </w:tblStylePr>
    <w:tblStylePr w:type="firstCol">
      <w:rPr>
        <w:b/>
        <w:bCs/>
      </w:rPr>
    </w:tblStylePr>
    <w:tblStylePr w:type="lastCol">
      <w:rPr>
        <w:b/>
        <w:bCs/>
      </w:rPr>
    </w:tblStylePr>
    <w:tblStylePr w:type="band1Vert">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tcPr>
    </w:tblStylePr>
    <w:tblStylePr w:type="band1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tcPr>
    </w:tblStylePr>
  </w:style>
  <w:style w:type="paragraph" w:customStyle="1" w:styleId="Normal-Recommendation">
    <w:name w:val="Normal - Recommendation"/>
    <w:basedOn w:val="BoxText"/>
    <w:rsid w:val="00BF7D38"/>
    <w:pPr>
      <w:spacing w:before="0" w:after="240" w:line="240" w:lineRule="auto"/>
    </w:pPr>
    <w:rPr>
      <w:rFonts w:ascii="Calibri" w:hAnsi="Calibri"/>
      <w:color w:val="246373" w:themeColor="accent6" w:themeShade="BF"/>
      <w:sz w:val="22"/>
      <w:lang w:eastAsia="en-US"/>
    </w:rPr>
  </w:style>
  <w:style w:type="paragraph" w:customStyle="1" w:styleId="Tabletextleft-Bullet">
    <w:name w:val="Table text left - Bullet"/>
    <w:basedOn w:val="Tabletextleft"/>
    <w:rsid w:val="006701A2"/>
    <w:pPr>
      <w:numPr>
        <w:numId w:val="15"/>
      </w:numPr>
      <w:tabs>
        <w:tab w:val="left" w:pos="284"/>
      </w:tabs>
      <w:ind w:left="284" w:right="57" w:hanging="284"/>
    </w:pPr>
  </w:style>
  <w:style w:type="paragraph" w:customStyle="1" w:styleId="Tabletextleft-Bold">
    <w:name w:val="Table text left - Bold"/>
    <w:basedOn w:val="Tabletextleft-BoldItalics"/>
    <w:rsid w:val="006701A2"/>
    <w:pPr>
      <w:jc w:val="left"/>
    </w:pPr>
    <w:rPr>
      <w:rFonts w:eastAsiaTheme="minorHAnsi"/>
      <w:i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A2A"/>
    <w:pPr>
      <w:spacing w:after="240" w:line="240" w:lineRule="auto"/>
      <w:jc w:val="both"/>
    </w:pPr>
    <w:rPr>
      <w:rFonts w:ascii="Calibri Light" w:eastAsia="Times New Roman" w:hAnsi="Calibri Light" w:cs="Times New Roman"/>
      <w:color w:val="000000" w:themeColor="text1"/>
      <w:szCs w:val="20"/>
      <w:lang w:eastAsia="en-AU"/>
    </w:rPr>
  </w:style>
  <w:style w:type="paragraph" w:styleId="Heading1">
    <w:name w:val="heading 1"/>
    <w:basedOn w:val="Normal"/>
    <w:next w:val="Normal"/>
    <w:link w:val="Heading1Char"/>
    <w:uiPriority w:val="2"/>
    <w:qFormat/>
    <w:rsid w:val="00BC33F1"/>
    <w:pPr>
      <w:keepNext/>
      <w:pBdr>
        <w:bottom w:val="single" w:sz="12" w:space="10" w:color="246373" w:themeColor="accent6" w:themeShade="BF"/>
      </w:pBdr>
      <w:tabs>
        <w:tab w:val="left" w:pos="567"/>
      </w:tabs>
      <w:spacing w:after="480"/>
      <w:ind w:left="567" w:hanging="567"/>
      <w:contextualSpacing/>
      <w:jc w:val="left"/>
      <w:outlineLvl w:val="0"/>
    </w:pPr>
    <w:rPr>
      <w:rFonts w:ascii="Calibri" w:eastAsiaTheme="majorEastAsia" w:hAnsi="Calibri" w:cstheme="majorBidi"/>
      <w:b/>
      <w:bCs/>
      <w:caps/>
      <w:color w:val="246373" w:themeColor="accent6" w:themeShade="BF"/>
      <w:spacing w:val="4"/>
      <w:sz w:val="40"/>
      <w:szCs w:val="28"/>
    </w:rPr>
  </w:style>
  <w:style w:type="paragraph" w:styleId="Heading2">
    <w:name w:val="heading 2"/>
    <w:basedOn w:val="Normal"/>
    <w:next w:val="Normal"/>
    <w:link w:val="Heading2Char"/>
    <w:uiPriority w:val="2"/>
    <w:qFormat/>
    <w:rsid w:val="00BF7D38"/>
    <w:pPr>
      <w:keepNext/>
      <w:spacing w:before="300" w:after="180"/>
      <w:outlineLvl w:val="1"/>
    </w:pPr>
    <w:rPr>
      <w:rFonts w:ascii="Calibri" w:eastAsiaTheme="majorEastAsia" w:hAnsi="Calibri" w:cstheme="majorBidi"/>
      <w:b/>
      <w:bCs/>
      <w:smallCaps/>
      <w:color w:val="005A70"/>
      <w:spacing w:val="4"/>
      <w:sz w:val="36"/>
      <w:szCs w:val="26"/>
    </w:rPr>
  </w:style>
  <w:style w:type="paragraph" w:styleId="Heading3">
    <w:name w:val="heading 3"/>
    <w:basedOn w:val="Normal"/>
    <w:next w:val="Normal"/>
    <w:link w:val="Heading3Char"/>
    <w:uiPriority w:val="9"/>
    <w:unhideWhenUsed/>
    <w:qFormat/>
    <w:rsid w:val="00023923"/>
    <w:pPr>
      <w:keepNext/>
      <w:spacing w:before="240" w:after="120"/>
      <w:outlineLvl w:val="2"/>
    </w:pPr>
    <w:rPr>
      <w:rFonts w:ascii="Calibri" w:eastAsiaTheme="majorEastAsia" w:hAnsi="Calibri" w:cstheme="majorBidi"/>
      <w:b/>
      <w:bCs/>
      <w:i/>
      <w:color w:val="246373" w:themeColor="accent6" w:themeShade="BF"/>
      <w:sz w:val="26"/>
      <w:szCs w:val="24"/>
    </w:rPr>
  </w:style>
  <w:style w:type="paragraph" w:styleId="Heading4">
    <w:name w:val="heading 4"/>
    <w:basedOn w:val="Normal"/>
    <w:next w:val="Normal"/>
    <w:link w:val="Heading4Char"/>
    <w:uiPriority w:val="9"/>
    <w:unhideWhenUsed/>
    <w:qFormat/>
    <w:rsid w:val="003E614C"/>
    <w:pPr>
      <w:keepNext/>
      <w:keepLines/>
      <w:spacing w:before="240" w:after="120"/>
      <w:outlineLvl w:val="3"/>
    </w:pPr>
    <w:rPr>
      <w:rFonts w:ascii="Calibri" w:eastAsiaTheme="majorEastAsia" w:hAnsi="Calibri" w:cstheme="majorBidi"/>
      <w:b/>
      <w:bCs/>
      <w:i/>
      <w:iCs/>
      <w:color w:val="246373" w:themeColor="accent6" w:themeShade="BF"/>
      <w:sz w:val="24"/>
    </w:rPr>
  </w:style>
  <w:style w:type="character" w:default="1" w:styleId="DefaultParagraphFont">
    <w:name w:val="Default Paragraph Font"/>
    <w:uiPriority w:val="1"/>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Graphic">
    <w:name w:val="Chart Graphic"/>
    <w:basedOn w:val="Normal"/>
    <w:next w:val="Normal"/>
    <w:rsid w:val="00486637"/>
    <w:pPr>
      <w:keepNext/>
      <w:spacing w:after="0"/>
      <w:jc w:val="center"/>
    </w:pPr>
  </w:style>
  <w:style w:type="paragraph" w:customStyle="1" w:styleId="TableGraphic">
    <w:name w:val="Table Graphic"/>
    <w:basedOn w:val="Normal"/>
    <w:next w:val="Normal"/>
    <w:rsid w:val="00C911C1"/>
    <w:pPr>
      <w:spacing w:after="0"/>
      <w:ind w:right="-113"/>
    </w:pPr>
  </w:style>
  <w:style w:type="paragraph" w:customStyle="1" w:styleId="Bullet">
    <w:name w:val="Bullet"/>
    <w:aliases w:val="b,b1,b + line,level 1,Body,Bullet + line"/>
    <w:basedOn w:val="Normal"/>
    <w:link w:val="BulletChar"/>
    <w:qFormat/>
    <w:rsid w:val="00B523D1"/>
    <w:pPr>
      <w:numPr>
        <w:numId w:val="4"/>
      </w:numPr>
      <w:tabs>
        <w:tab w:val="clear" w:pos="425"/>
        <w:tab w:val="num" w:pos="567"/>
      </w:tabs>
      <w:ind w:left="567" w:hanging="567"/>
    </w:pPr>
  </w:style>
  <w:style w:type="paragraph" w:customStyle="1" w:styleId="Dash">
    <w:name w:val="Dash"/>
    <w:basedOn w:val="Normal"/>
    <w:link w:val="DashChar"/>
    <w:qFormat/>
    <w:rsid w:val="00001934"/>
    <w:pPr>
      <w:numPr>
        <w:ilvl w:val="1"/>
        <w:numId w:val="4"/>
      </w:numPr>
    </w:pPr>
  </w:style>
  <w:style w:type="paragraph" w:customStyle="1" w:styleId="DoubleDot">
    <w:name w:val="Double Dot"/>
    <w:basedOn w:val="Normal"/>
    <w:qFormat/>
    <w:rsid w:val="00001934"/>
    <w:pPr>
      <w:numPr>
        <w:ilvl w:val="2"/>
        <w:numId w:val="4"/>
      </w:numPr>
    </w:pPr>
  </w:style>
  <w:style w:type="character" w:customStyle="1" w:styleId="BulletChar">
    <w:name w:val="Bullet Char"/>
    <w:aliases w:val="b Char,b + line Char Char,b Char Char,Body Char,Bullet + line Char,b + line Char,b1 Char,level 1 Char"/>
    <w:basedOn w:val="DefaultParagraphFont"/>
    <w:link w:val="Bullet"/>
    <w:rsid w:val="00B523D1"/>
    <w:rPr>
      <w:rFonts w:ascii="Calibri Light" w:eastAsia="Times New Roman" w:hAnsi="Calibri Light" w:cs="Times New Roman"/>
      <w:color w:val="000000" w:themeColor="text1"/>
      <w:szCs w:val="20"/>
      <w:lang w:eastAsia="en-AU"/>
    </w:rPr>
  </w:style>
  <w:style w:type="paragraph" w:styleId="BalloonText">
    <w:name w:val="Balloon Text"/>
    <w:basedOn w:val="Normal"/>
    <w:link w:val="BalloonTextChar"/>
    <w:uiPriority w:val="99"/>
    <w:semiHidden/>
    <w:unhideWhenUsed/>
    <w:rsid w:val="00B81B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B07"/>
    <w:rPr>
      <w:rFonts w:ascii="Tahoma" w:eastAsia="Times New Roman" w:hAnsi="Tahoma" w:cs="Tahoma"/>
      <w:sz w:val="16"/>
      <w:szCs w:val="16"/>
      <w:lang w:eastAsia="en-AU"/>
    </w:rPr>
  </w:style>
  <w:style w:type="character" w:customStyle="1" w:styleId="DashChar">
    <w:name w:val="Dash Char"/>
    <w:basedOn w:val="DefaultParagraphFont"/>
    <w:link w:val="Dash"/>
    <w:rsid w:val="00B13CA5"/>
    <w:rPr>
      <w:rFonts w:ascii="Calibri Light" w:eastAsia="Times New Roman" w:hAnsi="Calibri Light" w:cs="Times New Roman"/>
      <w:color w:val="000000" w:themeColor="text1"/>
      <w:szCs w:val="20"/>
      <w:lang w:eastAsia="en-AU"/>
    </w:rPr>
  </w:style>
  <w:style w:type="table" w:styleId="TableGrid">
    <w:name w:val="Table Grid"/>
    <w:basedOn w:val="TableNormal"/>
    <w:uiPriority w:val="39"/>
    <w:rsid w:val="0053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0E4C"/>
    <w:pPr>
      <w:tabs>
        <w:tab w:val="center" w:pos="4513"/>
        <w:tab w:val="right" w:pos="9026"/>
      </w:tabs>
      <w:spacing w:after="0"/>
      <w:jc w:val="right"/>
    </w:pPr>
    <w:rPr>
      <w:color w:val="246373" w:themeColor="accent6" w:themeShade="BF"/>
    </w:rPr>
  </w:style>
  <w:style w:type="character" w:customStyle="1" w:styleId="HeaderChar">
    <w:name w:val="Header Char"/>
    <w:basedOn w:val="DefaultParagraphFont"/>
    <w:link w:val="Header"/>
    <w:uiPriority w:val="99"/>
    <w:rsid w:val="00EA0E4C"/>
    <w:rPr>
      <w:rFonts w:ascii="Calibri Light" w:eastAsia="Times New Roman" w:hAnsi="Calibri Light" w:cs="Times New Roman"/>
      <w:color w:val="246373" w:themeColor="accent6" w:themeShade="BF"/>
      <w:szCs w:val="20"/>
      <w:lang w:eastAsia="en-AU"/>
    </w:rPr>
  </w:style>
  <w:style w:type="paragraph" w:styleId="Footer">
    <w:name w:val="footer"/>
    <w:basedOn w:val="Normal"/>
    <w:link w:val="FooterChar"/>
    <w:uiPriority w:val="99"/>
    <w:unhideWhenUsed/>
    <w:rsid w:val="0004370A"/>
    <w:pPr>
      <w:tabs>
        <w:tab w:val="center" w:pos="4513"/>
        <w:tab w:val="right" w:pos="9026"/>
      </w:tabs>
      <w:spacing w:after="0"/>
      <w:jc w:val="center"/>
    </w:pPr>
    <w:rPr>
      <w:noProof/>
    </w:rPr>
  </w:style>
  <w:style w:type="character" w:customStyle="1" w:styleId="FooterChar">
    <w:name w:val="Footer Char"/>
    <w:basedOn w:val="DefaultParagraphFont"/>
    <w:link w:val="Footer"/>
    <w:uiPriority w:val="99"/>
    <w:rsid w:val="0004370A"/>
    <w:rPr>
      <w:rFonts w:ascii="Calibri Light" w:eastAsia="Times New Roman" w:hAnsi="Calibri Light" w:cs="Times New Roman"/>
      <w:noProof/>
      <w:color w:val="000000" w:themeColor="text1"/>
      <w:szCs w:val="20"/>
      <w:lang w:eastAsia="en-AU"/>
    </w:rPr>
  </w:style>
  <w:style w:type="character" w:styleId="CommentReference">
    <w:name w:val="annotation reference"/>
    <w:basedOn w:val="DefaultParagraphFont"/>
    <w:uiPriority w:val="99"/>
    <w:semiHidden/>
    <w:unhideWhenUsed/>
    <w:rsid w:val="000148F9"/>
    <w:rPr>
      <w:sz w:val="16"/>
      <w:szCs w:val="16"/>
    </w:rPr>
  </w:style>
  <w:style w:type="paragraph" w:styleId="CommentText">
    <w:name w:val="annotation text"/>
    <w:basedOn w:val="Normal"/>
    <w:link w:val="CommentTextChar"/>
    <w:uiPriority w:val="99"/>
    <w:unhideWhenUsed/>
    <w:rsid w:val="000148F9"/>
    <w:rPr>
      <w:sz w:val="20"/>
    </w:rPr>
  </w:style>
  <w:style w:type="character" w:customStyle="1" w:styleId="CommentTextChar">
    <w:name w:val="Comment Text Char"/>
    <w:basedOn w:val="DefaultParagraphFont"/>
    <w:link w:val="CommentText"/>
    <w:uiPriority w:val="99"/>
    <w:rsid w:val="000148F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148F9"/>
    <w:rPr>
      <w:b/>
      <w:bCs/>
    </w:rPr>
  </w:style>
  <w:style w:type="character" w:customStyle="1" w:styleId="CommentSubjectChar">
    <w:name w:val="Comment Subject Char"/>
    <w:basedOn w:val="CommentTextChar"/>
    <w:link w:val="CommentSubject"/>
    <w:uiPriority w:val="99"/>
    <w:semiHidden/>
    <w:rsid w:val="000148F9"/>
    <w:rPr>
      <w:rFonts w:ascii="Times New Roman" w:eastAsia="Times New Roman" w:hAnsi="Times New Roman" w:cs="Times New Roman"/>
      <w:b/>
      <w:bCs/>
      <w:sz w:val="20"/>
      <w:szCs w:val="20"/>
      <w:lang w:eastAsia="en-AU"/>
    </w:rPr>
  </w:style>
  <w:style w:type="paragraph" w:styleId="ListParagraph">
    <w:name w:val="List Paragraph"/>
    <w:aliases w:val="List Paragraph1,List Paragraph11,Recommendation"/>
    <w:basedOn w:val="Normal"/>
    <w:link w:val="ListParagraphChar"/>
    <w:uiPriority w:val="34"/>
    <w:qFormat/>
    <w:rsid w:val="00142D7B"/>
    <w:pPr>
      <w:ind w:left="720"/>
      <w:contextualSpacing/>
    </w:pPr>
    <w:rPr>
      <w:rFonts w:asciiTheme="minorHAnsi" w:eastAsiaTheme="minorHAnsi" w:hAnsiTheme="minorHAnsi" w:cstheme="minorBidi"/>
      <w:szCs w:val="22"/>
      <w:lang w:eastAsia="en-US"/>
    </w:rPr>
  </w:style>
  <w:style w:type="paragraph" w:customStyle="1" w:styleId="Default">
    <w:name w:val="Default"/>
    <w:rsid w:val="00D24471"/>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471B7D"/>
    <w:pPr>
      <w:spacing w:before="720"/>
      <w:jc w:val="center"/>
    </w:pPr>
    <w:rPr>
      <w:color w:val="246373"/>
      <w:sz w:val="56"/>
      <w:szCs w:val="56"/>
    </w:rPr>
  </w:style>
  <w:style w:type="character" w:customStyle="1" w:styleId="TitleChar">
    <w:name w:val="Title Char"/>
    <w:basedOn w:val="DefaultParagraphFont"/>
    <w:link w:val="Title"/>
    <w:uiPriority w:val="10"/>
    <w:rsid w:val="00471B7D"/>
    <w:rPr>
      <w:rFonts w:ascii="Calibri Light" w:eastAsia="Times New Roman" w:hAnsi="Calibri Light" w:cs="Times New Roman"/>
      <w:color w:val="246373"/>
      <w:sz w:val="56"/>
      <w:szCs w:val="56"/>
      <w:lang w:eastAsia="en-AU"/>
    </w:rPr>
  </w:style>
  <w:style w:type="character" w:customStyle="1" w:styleId="ListParagraphChar">
    <w:name w:val="List Paragraph Char"/>
    <w:aliases w:val="List Paragraph1 Char,List Paragraph11 Char,Recommendation Char"/>
    <w:basedOn w:val="DefaultParagraphFont"/>
    <w:link w:val="ListParagraph"/>
    <w:uiPriority w:val="34"/>
    <w:locked/>
    <w:rsid w:val="00142D7B"/>
    <w:rPr>
      <w:color w:val="000000" w:themeColor="text1"/>
    </w:rPr>
  </w:style>
  <w:style w:type="paragraph" w:styleId="NormalWeb">
    <w:name w:val="Normal (Web)"/>
    <w:basedOn w:val="Normal"/>
    <w:uiPriority w:val="99"/>
    <w:unhideWhenUsed/>
    <w:rsid w:val="00B42748"/>
    <w:pPr>
      <w:spacing w:before="180" w:after="180"/>
    </w:pPr>
    <w:rPr>
      <w:szCs w:val="24"/>
    </w:rPr>
  </w:style>
  <w:style w:type="character" w:styleId="BookTitle">
    <w:name w:val="Book Title"/>
    <w:uiPriority w:val="33"/>
    <w:qFormat/>
    <w:rsid w:val="006F7E25"/>
    <w:rPr>
      <w:i/>
      <w:iCs/>
      <w:smallCaps/>
      <w:spacing w:val="5"/>
    </w:rPr>
  </w:style>
  <w:style w:type="character" w:styleId="Hyperlink">
    <w:name w:val="Hyperlink"/>
    <w:basedOn w:val="DefaultParagraphFont"/>
    <w:uiPriority w:val="99"/>
    <w:unhideWhenUsed/>
    <w:rsid w:val="00AA64FA"/>
    <w:rPr>
      <w:b/>
      <w:color w:val="246373"/>
      <w:u w:val="none"/>
    </w:rPr>
  </w:style>
  <w:style w:type="paragraph" w:customStyle="1" w:styleId="bullet0">
    <w:name w:val="bullet"/>
    <w:basedOn w:val="Normal"/>
    <w:rsid w:val="00811C78"/>
    <w:pPr>
      <w:numPr>
        <w:numId w:val="1"/>
      </w:numPr>
      <w:spacing w:after="120"/>
    </w:pPr>
    <w:rPr>
      <w:rFonts w:eastAsiaTheme="minorHAnsi"/>
      <w:szCs w:val="24"/>
    </w:rPr>
  </w:style>
  <w:style w:type="character" w:customStyle="1" w:styleId="Heading1Char">
    <w:name w:val="Heading 1 Char"/>
    <w:basedOn w:val="DefaultParagraphFont"/>
    <w:link w:val="Heading1"/>
    <w:uiPriority w:val="2"/>
    <w:rsid w:val="00BC33F1"/>
    <w:rPr>
      <w:rFonts w:ascii="Calibri" w:eastAsiaTheme="majorEastAsia" w:hAnsi="Calibri" w:cstheme="majorBidi"/>
      <w:b/>
      <w:bCs/>
      <w:caps/>
      <w:color w:val="246373" w:themeColor="accent6" w:themeShade="BF"/>
      <w:spacing w:val="4"/>
      <w:sz w:val="40"/>
      <w:szCs w:val="28"/>
      <w:lang w:eastAsia="en-AU"/>
    </w:rPr>
  </w:style>
  <w:style w:type="character" w:customStyle="1" w:styleId="Heading2Char">
    <w:name w:val="Heading 2 Char"/>
    <w:basedOn w:val="DefaultParagraphFont"/>
    <w:link w:val="Heading2"/>
    <w:uiPriority w:val="2"/>
    <w:rsid w:val="00BF7D38"/>
    <w:rPr>
      <w:rFonts w:ascii="Calibri" w:eastAsiaTheme="majorEastAsia" w:hAnsi="Calibri" w:cstheme="majorBidi"/>
      <w:b/>
      <w:bCs/>
      <w:smallCaps/>
      <w:color w:val="005A70"/>
      <w:spacing w:val="4"/>
      <w:sz w:val="36"/>
      <w:szCs w:val="26"/>
      <w:lang w:eastAsia="en-AU"/>
    </w:rPr>
  </w:style>
  <w:style w:type="character" w:customStyle="1" w:styleId="Heading3Char">
    <w:name w:val="Heading 3 Char"/>
    <w:basedOn w:val="DefaultParagraphFont"/>
    <w:link w:val="Heading3"/>
    <w:uiPriority w:val="9"/>
    <w:rsid w:val="00023923"/>
    <w:rPr>
      <w:rFonts w:ascii="Calibri" w:eastAsiaTheme="majorEastAsia" w:hAnsi="Calibri" w:cstheme="majorBidi"/>
      <w:b/>
      <w:bCs/>
      <w:i/>
      <w:color w:val="246373" w:themeColor="accent6" w:themeShade="BF"/>
      <w:sz w:val="26"/>
      <w:szCs w:val="24"/>
      <w:lang w:eastAsia="en-AU"/>
    </w:rPr>
  </w:style>
  <w:style w:type="paragraph" w:styleId="TOCHeading">
    <w:name w:val="TOC Heading"/>
    <w:basedOn w:val="Heading1"/>
    <w:next w:val="Normal"/>
    <w:uiPriority w:val="39"/>
    <w:unhideWhenUsed/>
    <w:qFormat/>
    <w:rsid w:val="00BF7D38"/>
    <w:pPr>
      <w:contextualSpacing w:val="0"/>
      <w:outlineLvl w:val="9"/>
    </w:pPr>
    <w:rPr>
      <w:lang w:bidi="en-US"/>
    </w:rPr>
  </w:style>
  <w:style w:type="paragraph" w:styleId="TOC1">
    <w:name w:val="toc 1"/>
    <w:basedOn w:val="Normal"/>
    <w:next w:val="Normal"/>
    <w:autoRedefine/>
    <w:uiPriority w:val="39"/>
    <w:unhideWhenUsed/>
    <w:qFormat/>
    <w:rsid w:val="0046224F"/>
    <w:pPr>
      <w:tabs>
        <w:tab w:val="left" w:pos="284"/>
        <w:tab w:val="left" w:pos="993"/>
        <w:tab w:val="right" w:leader="dot" w:pos="9015"/>
      </w:tabs>
      <w:spacing w:before="160" w:after="80"/>
      <w:ind w:left="567" w:right="1088" w:hanging="567"/>
    </w:pPr>
    <w:rPr>
      <w:rFonts w:ascii="Calibri" w:hAnsi="Calibri"/>
      <w:b/>
      <w:noProof/>
      <w:color w:val="18424D" w:themeColor="accent6" w:themeShade="80"/>
      <w:szCs w:val="24"/>
    </w:rPr>
  </w:style>
  <w:style w:type="paragraph" w:styleId="TOC2">
    <w:name w:val="toc 2"/>
    <w:basedOn w:val="Normal"/>
    <w:next w:val="Normal"/>
    <w:autoRedefine/>
    <w:uiPriority w:val="39"/>
    <w:unhideWhenUsed/>
    <w:qFormat/>
    <w:rsid w:val="00A37598"/>
    <w:pPr>
      <w:tabs>
        <w:tab w:val="left" w:pos="284"/>
        <w:tab w:val="right" w:leader="dot" w:pos="9016"/>
      </w:tabs>
      <w:spacing w:before="60" w:after="60"/>
      <w:ind w:left="284"/>
    </w:pPr>
    <w:rPr>
      <w:rFonts w:ascii="Calibri" w:hAnsi="Calibri"/>
      <w:noProof/>
      <w:color w:val="18424D" w:themeColor="accent6" w:themeShade="80"/>
      <w:szCs w:val="24"/>
    </w:rPr>
  </w:style>
  <w:style w:type="paragraph" w:styleId="TOC3">
    <w:name w:val="toc 3"/>
    <w:basedOn w:val="Normal"/>
    <w:next w:val="Normal"/>
    <w:autoRedefine/>
    <w:uiPriority w:val="39"/>
    <w:unhideWhenUsed/>
    <w:qFormat/>
    <w:rsid w:val="00023923"/>
    <w:pPr>
      <w:tabs>
        <w:tab w:val="right" w:leader="dot" w:pos="9016"/>
      </w:tabs>
      <w:spacing w:before="20" w:after="20"/>
      <w:ind w:left="170"/>
    </w:pPr>
    <w:rPr>
      <w:szCs w:val="24"/>
    </w:rPr>
  </w:style>
  <w:style w:type="paragraph" w:styleId="FootnoteText">
    <w:name w:val="footnote text"/>
    <w:basedOn w:val="Normal"/>
    <w:link w:val="FootnoteTextChar"/>
    <w:uiPriority w:val="99"/>
    <w:rsid w:val="00143A4F"/>
    <w:pPr>
      <w:tabs>
        <w:tab w:val="left" w:pos="284"/>
      </w:tabs>
      <w:spacing w:after="0"/>
      <w:ind w:left="284" w:hanging="284"/>
    </w:pPr>
    <w:rPr>
      <w:sz w:val="18"/>
    </w:rPr>
  </w:style>
  <w:style w:type="character" w:customStyle="1" w:styleId="FootnoteTextChar">
    <w:name w:val="Footnote Text Char"/>
    <w:basedOn w:val="DefaultParagraphFont"/>
    <w:link w:val="FootnoteText"/>
    <w:uiPriority w:val="99"/>
    <w:rsid w:val="00143A4F"/>
    <w:rPr>
      <w:rFonts w:ascii="Calibri Light" w:eastAsia="Times New Roman" w:hAnsi="Calibri Light" w:cs="Times New Roman"/>
      <w:color w:val="000000" w:themeColor="text1"/>
      <w:sz w:val="18"/>
      <w:szCs w:val="20"/>
      <w:lang w:eastAsia="en-AU"/>
    </w:rPr>
  </w:style>
  <w:style w:type="character" w:styleId="FootnoteReference">
    <w:name w:val="footnote reference"/>
    <w:basedOn w:val="DefaultParagraphFont"/>
    <w:uiPriority w:val="99"/>
    <w:unhideWhenUsed/>
    <w:rsid w:val="00E92BB5"/>
    <w:rPr>
      <w:vertAlign w:val="superscript"/>
    </w:rPr>
  </w:style>
  <w:style w:type="character" w:customStyle="1" w:styleId="Heading4Char">
    <w:name w:val="Heading 4 Char"/>
    <w:basedOn w:val="DefaultParagraphFont"/>
    <w:link w:val="Heading4"/>
    <w:uiPriority w:val="9"/>
    <w:rsid w:val="003E614C"/>
    <w:rPr>
      <w:rFonts w:ascii="Calibri" w:eastAsiaTheme="majorEastAsia" w:hAnsi="Calibri" w:cstheme="majorBidi"/>
      <w:b/>
      <w:bCs/>
      <w:i/>
      <w:iCs/>
      <w:color w:val="246373" w:themeColor="accent6" w:themeShade="BF"/>
      <w:sz w:val="24"/>
      <w:szCs w:val="20"/>
      <w:lang w:eastAsia="en-AU"/>
    </w:rPr>
  </w:style>
  <w:style w:type="paragraph" w:customStyle="1" w:styleId="Figureheading">
    <w:name w:val="Figure heading"/>
    <w:basedOn w:val="Normal"/>
    <w:qFormat/>
    <w:rsid w:val="00BF0608"/>
    <w:pPr>
      <w:keepNext/>
      <w:tabs>
        <w:tab w:val="left" w:pos="993"/>
      </w:tabs>
      <w:spacing w:after="60"/>
      <w:ind w:left="992" w:hanging="992"/>
    </w:pPr>
    <w:rPr>
      <w:rFonts w:ascii="Calibri" w:hAnsi="Calibri"/>
      <w:b/>
      <w:caps/>
      <w:color w:val="246373" w:themeColor="accent6" w:themeShade="BF"/>
    </w:rPr>
  </w:style>
  <w:style w:type="paragraph" w:styleId="Quote">
    <w:name w:val="Quote"/>
    <w:basedOn w:val="Normal"/>
    <w:next w:val="Normal"/>
    <w:link w:val="QuoteChar"/>
    <w:uiPriority w:val="29"/>
    <w:qFormat/>
    <w:rsid w:val="003C5CD0"/>
    <w:pPr>
      <w:spacing w:before="120"/>
      <w:ind w:left="567" w:right="521"/>
    </w:pPr>
    <w:rPr>
      <w:rFonts w:eastAsiaTheme="minorHAnsi"/>
      <w:i/>
      <w:lang w:eastAsia="en-US"/>
    </w:rPr>
  </w:style>
  <w:style w:type="character" w:customStyle="1" w:styleId="QuoteChar">
    <w:name w:val="Quote Char"/>
    <w:basedOn w:val="DefaultParagraphFont"/>
    <w:link w:val="Quote"/>
    <w:uiPriority w:val="29"/>
    <w:rsid w:val="003C5CD0"/>
    <w:rPr>
      <w:rFonts w:ascii="Calibri Light" w:hAnsi="Calibri Light" w:cs="Times New Roman"/>
      <w:i/>
      <w:color w:val="000000" w:themeColor="text1"/>
      <w:szCs w:val="20"/>
    </w:rPr>
  </w:style>
  <w:style w:type="paragraph" w:customStyle="1" w:styleId="Tablecolumnheadingleft">
    <w:name w:val="Table column heading left"/>
    <w:basedOn w:val="Normal"/>
    <w:qFormat/>
    <w:rsid w:val="00142D7B"/>
    <w:pPr>
      <w:spacing w:before="60" w:after="60"/>
    </w:pPr>
    <w:rPr>
      <w:rFonts w:ascii="Calibri" w:hAnsi="Calibri"/>
      <w:b/>
      <w:sz w:val="20"/>
      <w:lang w:eastAsia="en-US"/>
    </w:rPr>
  </w:style>
  <w:style w:type="paragraph" w:customStyle="1" w:styleId="Tablecolumnheadingcentre">
    <w:name w:val="Table column heading centre"/>
    <w:basedOn w:val="Tablecolumnheadingleft"/>
    <w:qFormat/>
    <w:rsid w:val="00486637"/>
    <w:pPr>
      <w:jc w:val="center"/>
    </w:pPr>
    <w:rPr>
      <w:color w:val="auto"/>
    </w:rPr>
  </w:style>
  <w:style w:type="paragraph" w:customStyle="1" w:styleId="Tabletextleft">
    <w:name w:val="Table text left"/>
    <w:basedOn w:val="Normal"/>
    <w:qFormat/>
    <w:rsid w:val="003F36CE"/>
    <w:pPr>
      <w:spacing w:before="60" w:after="60"/>
    </w:pPr>
    <w:rPr>
      <w:sz w:val="20"/>
      <w:lang w:eastAsia="en-US"/>
    </w:rPr>
  </w:style>
  <w:style w:type="paragraph" w:customStyle="1" w:styleId="Tabletextright">
    <w:name w:val="Table text right"/>
    <w:basedOn w:val="Tabletextleft"/>
    <w:qFormat/>
    <w:rsid w:val="00D95CAC"/>
    <w:pPr>
      <w:ind w:right="259"/>
      <w:jc w:val="right"/>
    </w:pPr>
  </w:style>
  <w:style w:type="paragraph" w:customStyle="1" w:styleId="Tabletextcentred">
    <w:name w:val="Table text centred"/>
    <w:basedOn w:val="Tabletextleft"/>
    <w:qFormat/>
    <w:rsid w:val="003F005B"/>
    <w:pPr>
      <w:jc w:val="center"/>
    </w:pPr>
  </w:style>
  <w:style w:type="paragraph" w:customStyle="1" w:styleId="Singleparagraph">
    <w:name w:val="Single paragraph"/>
    <w:basedOn w:val="Normal"/>
    <w:qFormat/>
    <w:rsid w:val="00D95CAC"/>
    <w:pPr>
      <w:spacing w:after="0"/>
    </w:pPr>
  </w:style>
  <w:style w:type="paragraph" w:customStyle="1" w:styleId="Charttablenote">
    <w:name w:val="Chart table note"/>
    <w:basedOn w:val="Normal"/>
    <w:qFormat/>
    <w:rsid w:val="00825804"/>
    <w:pPr>
      <w:spacing w:after="0"/>
    </w:pPr>
    <w:rPr>
      <w:sz w:val="18"/>
    </w:rPr>
  </w:style>
  <w:style w:type="paragraph" w:customStyle="1" w:styleId="Numberedlist">
    <w:name w:val="Numbered list"/>
    <w:basedOn w:val="bullet0"/>
    <w:link w:val="NumberedlistChar"/>
    <w:qFormat/>
    <w:rsid w:val="00862B49"/>
    <w:pPr>
      <w:numPr>
        <w:numId w:val="2"/>
      </w:numPr>
    </w:pPr>
  </w:style>
  <w:style w:type="paragraph" w:styleId="Subtitle">
    <w:name w:val="Subtitle"/>
    <w:basedOn w:val="Title"/>
    <w:next w:val="Normal"/>
    <w:link w:val="SubtitleChar"/>
    <w:uiPriority w:val="11"/>
    <w:qFormat/>
    <w:rsid w:val="00D85841"/>
    <w:pPr>
      <w:spacing w:before="1080"/>
      <w:jc w:val="right"/>
    </w:pPr>
    <w:rPr>
      <w:sz w:val="48"/>
      <w:szCs w:val="48"/>
    </w:rPr>
  </w:style>
  <w:style w:type="character" w:customStyle="1" w:styleId="SubtitleChar">
    <w:name w:val="Subtitle Char"/>
    <w:basedOn w:val="DefaultParagraphFont"/>
    <w:link w:val="Subtitle"/>
    <w:uiPriority w:val="11"/>
    <w:rsid w:val="00D85841"/>
    <w:rPr>
      <w:rFonts w:ascii="Calibri Light" w:eastAsia="Times New Roman" w:hAnsi="Calibri Light" w:cs="Times New Roman"/>
      <w:color w:val="5F497A" w:themeColor="accent5" w:themeShade="BF"/>
      <w:sz w:val="48"/>
      <w:szCs w:val="48"/>
      <w:lang w:eastAsia="en-AU"/>
    </w:rPr>
  </w:style>
  <w:style w:type="character" w:customStyle="1" w:styleId="A5">
    <w:name w:val="A5"/>
    <w:uiPriority w:val="99"/>
    <w:rsid w:val="00983427"/>
    <w:rPr>
      <w:rFonts w:cs="Swiss 721 BT"/>
      <w:color w:val="000000"/>
      <w:sz w:val="20"/>
      <w:szCs w:val="20"/>
    </w:rPr>
  </w:style>
  <w:style w:type="paragraph" w:customStyle="1" w:styleId="Discussionheading">
    <w:name w:val="Discussion heading"/>
    <w:basedOn w:val="Heading3"/>
    <w:qFormat/>
    <w:rsid w:val="00B466CE"/>
    <w:pPr>
      <w:pBdr>
        <w:top w:val="single" w:sz="8" w:space="1" w:color="E5DFEC" w:themeColor="accent5" w:themeTint="33"/>
        <w:left w:val="single" w:sz="8" w:space="4" w:color="E5DFEC" w:themeColor="accent5" w:themeTint="33"/>
        <w:bottom w:val="single" w:sz="8" w:space="1" w:color="E5DFEC" w:themeColor="accent5" w:themeTint="33"/>
        <w:right w:val="single" w:sz="8" w:space="4" w:color="E5DFEC" w:themeColor="accent5" w:themeTint="33"/>
      </w:pBdr>
      <w:shd w:val="clear" w:color="auto" w:fill="F5F2F8"/>
    </w:pPr>
    <w:rPr>
      <w:color w:val="8064A2" w:themeColor="accent5"/>
    </w:rPr>
  </w:style>
  <w:style w:type="paragraph" w:customStyle="1" w:styleId="OutlineNumbered1">
    <w:name w:val="Outline Numbered 1"/>
    <w:basedOn w:val="Normal"/>
    <w:link w:val="OutlineNumbered1Char"/>
    <w:rsid w:val="00B523D1"/>
    <w:pPr>
      <w:numPr>
        <w:numId w:val="3"/>
      </w:numPr>
      <w:tabs>
        <w:tab w:val="clear" w:pos="1040"/>
        <w:tab w:val="num" w:pos="567"/>
      </w:tabs>
      <w:ind w:left="567" w:hanging="567"/>
    </w:pPr>
  </w:style>
  <w:style w:type="character" w:customStyle="1" w:styleId="OutlineNumbered1Char">
    <w:name w:val="Outline Numbered 1 Char"/>
    <w:basedOn w:val="DefaultParagraphFont"/>
    <w:link w:val="OutlineNumbered1"/>
    <w:rsid w:val="00B523D1"/>
    <w:rPr>
      <w:rFonts w:ascii="Calibri Light" w:eastAsia="Times New Roman" w:hAnsi="Calibri Light" w:cs="Times New Roman"/>
      <w:color w:val="000000" w:themeColor="text1"/>
      <w:szCs w:val="20"/>
      <w:lang w:eastAsia="en-AU"/>
    </w:rPr>
  </w:style>
  <w:style w:type="paragraph" w:customStyle="1" w:styleId="OutlineNumbered2">
    <w:name w:val="Outline Numbered 2"/>
    <w:basedOn w:val="Normal"/>
    <w:link w:val="OutlineNumbered2Char"/>
    <w:rsid w:val="00D22244"/>
    <w:pPr>
      <w:numPr>
        <w:ilvl w:val="1"/>
        <w:numId w:val="3"/>
      </w:numPr>
    </w:pPr>
  </w:style>
  <w:style w:type="character" w:customStyle="1" w:styleId="OutlineNumbered2Char">
    <w:name w:val="Outline Numbered 2 Char"/>
    <w:basedOn w:val="DefaultParagraphFont"/>
    <w:link w:val="OutlineNumbered2"/>
    <w:rsid w:val="00D22244"/>
    <w:rPr>
      <w:rFonts w:ascii="Calibri Light" w:eastAsia="Times New Roman" w:hAnsi="Calibri Light" w:cs="Times New Roman"/>
      <w:color w:val="000000" w:themeColor="text1"/>
      <w:szCs w:val="20"/>
      <w:lang w:eastAsia="en-AU"/>
    </w:rPr>
  </w:style>
  <w:style w:type="paragraph" w:customStyle="1" w:styleId="OutlineNumbered3">
    <w:name w:val="Outline Numbered 3"/>
    <w:basedOn w:val="Normal"/>
    <w:link w:val="OutlineNumbered3Char"/>
    <w:rsid w:val="00D22244"/>
    <w:pPr>
      <w:numPr>
        <w:ilvl w:val="2"/>
        <w:numId w:val="3"/>
      </w:numPr>
    </w:pPr>
  </w:style>
  <w:style w:type="character" w:customStyle="1" w:styleId="OutlineNumbered3Char">
    <w:name w:val="Outline Numbered 3 Char"/>
    <w:basedOn w:val="DefaultParagraphFont"/>
    <w:link w:val="OutlineNumbered3"/>
    <w:rsid w:val="00D22244"/>
    <w:rPr>
      <w:rFonts w:ascii="Calibri Light" w:eastAsia="Times New Roman" w:hAnsi="Calibri Light" w:cs="Times New Roman"/>
      <w:color w:val="000000" w:themeColor="text1"/>
      <w:szCs w:val="20"/>
      <w:lang w:eastAsia="en-AU"/>
    </w:rPr>
  </w:style>
  <w:style w:type="paragraph" w:styleId="Revision">
    <w:name w:val="Revision"/>
    <w:hidden/>
    <w:uiPriority w:val="99"/>
    <w:semiHidden/>
    <w:rsid w:val="005A7A99"/>
    <w:pPr>
      <w:spacing w:after="0" w:line="240" w:lineRule="auto"/>
    </w:pPr>
    <w:rPr>
      <w:rFonts w:ascii="Calibri Light" w:eastAsia="Times New Roman" w:hAnsi="Calibri Light" w:cs="Times New Roman"/>
      <w:color w:val="000000" w:themeColor="text1"/>
      <w:szCs w:val="20"/>
      <w:lang w:eastAsia="en-AU"/>
    </w:rPr>
  </w:style>
  <w:style w:type="table" w:styleId="LightGrid-Accent3">
    <w:name w:val="Light Grid Accent 3"/>
    <w:basedOn w:val="TableNormal"/>
    <w:uiPriority w:val="62"/>
    <w:rsid w:val="004602B6"/>
    <w:pPr>
      <w:spacing w:after="0" w:line="240" w:lineRule="auto"/>
    </w:pPr>
    <w:tblPr>
      <w:tblStyleRowBandSize w:val="1"/>
      <w:tblStyleColBandSize w:val="1"/>
      <w:tblInd w:w="0" w:type="nil"/>
      <w:tblBorders>
        <w:top w:val="single" w:sz="8" w:space="0" w:color="BCD5F0" w:themeColor="accent3"/>
        <w:left w:val="single" w:sz="8" w:space="0" w:color="BCD5F0" w:themeColor="accent3"/>
        <w:bottom w:val="single" w:sz="8" w:space="0" w:color="BCD5F0" w:themeColor="accent3"/>
        <w:right w:val="single" w:sz="8" w:space="0" w:color="BCD5F0" w:themeColor="accent3"/>
        <w:insideH w:val="single" w:sz="8" w:space="0" w:color="BCD5F0" w:themeColor="accent3"/>
        <w:insideV w:val="single" w:sz="8" w:space="0" w:color="BCD5F0"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BCD5F0" w:themeColor="accent3"/>
          <w:left w:val="single" w:sz="8" w:space="0" w:color="BCD5F0" w:themeColor="accent3"/>
          <w:bottom w:val="single" w:sz="18" w:space="0" w:color="BCD5F0" w:themeColor="accent3"/>
          <w:right w:val="single" w:sz="8" w:space="0" w:color="BCD5F0" w:themeColor="accent3"/>
          <w:insideH w:val="nil"/>
          <w:insideV w:val="single" w:sz="8" w:space="0" w:color="BCD5F0"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BCD5F0" w:themeColor="accent3"/>
          <w:left w:val="single" w:sz="8" w:space="0" w:color="BCD5F0" w:themeColor="accent3"/>
          <w:bottom w:val="single" w:sz="8" w:space="0" w:color="BCD5F0" w:themeColor="accent3"/>
          <w:right w:val="single" w:sz="8" w:space="0" w:color="BCD5F0" w:themeColor="accent3"/>
          <w:insideH w:val="nil"/>
          <w:insideV w:val="single" w:sz="8" w:space="0" w:color="BCD5F0"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tcPr>
    </w:tblStylePr>
    <w:tblStylePr w:type="band1Vert">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shd w:val="clear" w:color="auto" w:fill="EEF4FB" w:themeFill="accent3" w:themeFillTint="3F"/>
      </w:tcPr>
    </w:tblStylePr>
    <w:tblStylePr w:type="band1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insideV w:val="single" w:sz="8" w:space="0" w:color="BCD5F0" w:themeColor="accent3"/>
        </w:tcBorders>
        <w:shd w:val="clear" w:color="auto" w:fill="EEF4FB" w:themeFill="accent3" w:themeFillTint="3F"/>
      </w:tcPr>
    </w:tblStylePr>
    <w:tblStylePr w:type="band2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insideV w:val="single" w:sz="8" w:space="0" w:color="BCD5F0" w:themeColor="accent3"/>
        </w:tcBorders>
      </w:tcPr>
    </w:tblStylePr>
  </w:style>
  <w:style w:type="table" w:customStyle="1" w:styleId="DSSDatatablestyle">
    <w:name w:val="DSS Data table style"/>
    <w:basedOn w:val="TableNormal"/>
    <w:uiPriority w:val="99"/>
    <w:rsid w:val="0037647B"/>
    <w:pPr>
      <w:spacing w:after="0" w:line="240" w:lineRule="auto"/>
    </w:pPr>
    <w:rPr>
      <w:rFonts w:ascii="Arial" w:hAnsi="Arial"/>
    </w:rPr>
    <w:tblPr>
      <w:tblStyleRowBandSize w:val="1"/>
      <w:tblInd w:w="113" w:type="dxa"/>
    </w:tblPr>
    <w:tblStylePr w:type="firstRow">
      <w:rPr>
        <w:rFonts w:ascii="Arial" w:hAnsi="Arial"/>
        <w:b/>
        <w:color w:val="FFFFFF" w:themeColor="background1"/>
        <w:sz w:val="22"/>
      </w:rPr>
      <w:tblPr/>
      <w:tcPr>
        <w:shd w:val="clear" w:color="auto" w:fill="500778"/>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EF0F3"/>
      </w:tcPr>
    </w:tblStylePr>
  </w:style>
  <w:style w:type="paragraph" w:customStyle="1" w:styleId="BoxHeading">
    <w:name w:val="Box Heading"/>
    <w:next w:val="Normal"/>
    <w:rsid w:val="00123277"/>
    <w:pPr>
      <w:keepNext/>
      <w:tabs>
        <w:tab w:val="num" w:pos="1474"/>
      </w:tabs>
      <w:spacing w:before="120" w:after="120" w:line="240" w:lineRule="auto"/>
      <w:ind w:left="1474" w:hanging="1474"/>
    </w:pPr>
    <w:rPr>
      <w:rFonts w:ascii="Arial" w:eastAsia="Times New Roman" w:hAnsi="Arial" w:cs="Times New Roman"/>
      <w:b/>
      <w:i/>
      <w:color w:val="246373"/>
      <w:sz w:val="23"/>
      <w:szCs w:val="24"/>
    </w:rPr>
  </w:style>
  <w:style w:type="paragraph" w:styleId="PlainText">
    <w:name w:val="Plain Text"/>
    <w:basedOn w:val="Normal"/>
    <w:link w:val="PlainTextChar"/>
    <w:uiPriority w:val="99"/>
    <w:unhideWhenUsed/>
    <w:rsid w:val="00606140"/>
    <w:pPr>
      <w:spacing w:after="0"/>
    </w:pPr>
    <w:rPr>
      <w:rFonts w:ascii="Calibri" w:eastAsiaTheme="minorHAnsi" w:hAnsi="Calibri" w:cs="Consolas"/>
      <w:color w:val="auto"/>
      <w:szCs w:val="21"/>
      <w:lang w:eastAsia="en-US"/>
    </w:rPr>
  </w:style>
  <w:style w:type="character" w:customStyle="1" w:styleId="PlainTextChar">
    <w:name w:val="Plain Text Char"/>
    <w:basedOn w:val="DefaultParagraphFont"/>
    <w:link w:val="PlainText"/>
    <w:uiPriority w:val="99"/>
    <w:rsid w:val="00606140"/>
    <w:rPr>
      <w:rFonts w:ascii="Calibri" w:hAnsi="Calibri" w:cs="Consolas"/>
      <w:szCs w:val="21"/>
    </w:rPr>
  </w:style>
  <w:style w:type="table" w:styleId="LightGrid">
    <w:name w:val="Light Grid"/>
    <w:basedOn w:val="TableNormal"/>
    <w:uiPriority w:val="62"/>
    <w:rsid w:val="006061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NumberedlistChar">
    <w:name w:val="Numbered list Char"/>
    <w:basedOn w:val="DefaultParagraphFont"/>
    <w:link w:val="Numberedlist"/>
    <w:rsid w:val="00862B49"/>
    <w:rPr>
      <w:rFonts w:ascii="Calibri Light" w:hAnsi="Calibri Light" w:cs="Times New Roman"/>
      <w:color w:val="000000" w:themeColor="text1"/>
      <w:szCs w:val="24"/>
      <w:lang w:eastAsia="en-AU"/>
    </w:rPr>
  </w:style>
  <w:style w:type="character" w:styleId="FollowedHyperlink">
    <w:name w:val="FollowedHyperlink"/>
    <w:basedOn w:val="DefaultParagraphFont"/>
    <w:uiPriority w:val="99"/>
    <w:semiHidden/>
    <w:unhideWhenUsed/>
    <w:rsid w:val="008260E5"/>
    <w:rPr>
      <w:color w:val="800080" w:themeColor="followedHyperlink"/>
      <w:u w:val="single"/>
    </w:rPr>
  </w:style>
  <w:style w:type="paragraph" w:styleId="EndnoteText">
    <w:name w:val="endnote text"/>
    <w:basedOn w:val="Normal"/>
    <w:link w:val="EndnoteTextChar"/>
    <w:uiPriority w:val="99"/>
    <w:semiHidden/>
    <w:unhideWhenUsed/>
    <w:rsid w:val="003563DA"/>
    <w:pPr>
      <w:spacing w:after="0"/>
    </w:pPr>
    <w:rPr>
      <w:sz w:val="20"/>
    </w:rPr>
  </w:style>
  <w:style w:type="character" w:customStyle="1" w:styleId="EndnoteTextChar">
    <w:name w:val="Endnote Text Char"/>
    <w:basedOn w:val="DefaultParagraphFont"/>
    <w:link w:val="EndnoteText"/>
    <w:uiPriority w:val="99"/>
    <w:semiHidden/>
    <w:rsid w:val="003563DA"/>
    <w:rPr>
      <w:rFonts w:ascii="Calibri Light" w:eastAsia="Times New Roman" w:hAnsi="Calibri Light" w:cs="Times New Roman"/>
      <w:color w:val="000000" w:themeColor="text1"/>
      <w:sz w:val="20"/>
      <w:szCs w:val="20"/>
      <w:lang w:eastAsia="en-AU"/>
    </w:rPr>
  </w:style>
  <w:style w:type="character" w:styleId="EndnoteReference">
    <w:name w:val="endnote reference"/>
    <w:basedOn w:val="DefaultParagraphFont"/>
    <w:uiPriority w:val="99"/>
    <w:semiHidden/>
    <w:unhideWhenUsed/>
    <w:rsid w:val="003563DA"/>
    <w:rPr>
      <w:vertAlign w:val="superscript"/>
    </w:rPr>
  </w:style>
  <w:style w:type="paragraph" w:customStyle="1" w:styleId="BoxText">
    <w:name w:val="Box Text"/>
    <w:basedOn w:val="Normal"/>
    <w:rsid w:val="003F36CE"/>
    <w:pPr>
      <w:spacing w:before="120" w:after="120" w:line="280" w:lineRule="exact"/>
      <w:ind w:right="85"/>
    </w:pPr>
    <w:rPr>
      <w:rFonts w:ascii="Arial" w:hAnsi="Arial"/>
      <w:b/>
      <w:sz w:val="20"/>
    </w:rPr>
  </w:style>
  <w:style w:type="table" w:customStyle="1" w:styleId="RecommendationBox">
    <w:name w:val="RecommendationBox"/>
    <w:basedOn w:val="TableNormal"/>
    <w:uiPriority w:val="99"/>
    <w:rsid w:val="00662F85"/>
    <w:pPr>
      <w:spacing w:after="0" w:line="240" w:lineRule="auto"/>
    </w:pPr>
    <w:rPr>
      <w:rFonts w:ascii="Century Gothic" w:hAnsi="Century Gothic"/>
      <w:sz w:val="20"/>
    </w:rPr>
    <w:tblPr/>
  </w:style>
  <w:style w:type="numbering" w:customStyle="1" w:styleId="Style1">
    <w:name w:val="Style1"/>
    <w:uiPriority w:val="99"/>
    <w:rsid w:val="00637C6C"/>
    <w:pPr>
      <w:numPr>
        <w:numId w:val="5"/>
      </w:numPr>
    </w:pPr>
  </w:style>
  <w:style w:type="paragraph" w:customStyle="1" w:styleId="Heading1-Numbered">
    <w:name w:val="Heading 1 - Numbered"/>
    <w:basedOn w:val="Heading1"/>
    <w:rsid w:val="00637C6C"/>
    <w:pPr>
      <w:numPr>
        <w:numId w:val="6"/>
      </w:numPr>
    </w:pPr>
  </w:style>
  <w:style w:type="paragraph" w:customStyle="1" w:styleId="FigureGraphic">
    <w:name w:val="Figure Graphic"/>
    <w:basedOn w:val="ChartGraphic"/>
    <w:rsid w:val="003F005B"/>
    <w:pPr>
      <w:jc w:val="left"/>
    </w:pPr>
    <w:rPr>
      <w:noProof/>
    </w:rPr>
  </w:style>
  <w:style w:type="paragraph" w:customStyle="1" w:styleId="TableMainHeading">
    <w:name w:val="Table Main Heading"/>
    <w:basedOn w:val="Figureheading"/>
    <w:rsid w:val="00123277"/>
    <w:pPr>
      <w:spacing w:after="20"/>
    </w:pPr>
  </w:style>
  <w:style w:type="paragraph" w:customStyle="1" w:styleId="Tablecolumnheadingleft-white">
    <w:name w:val="Table column heading left - white"/>
    <w:basedOn w:val="Tablecolumnheadingleft"/>
    <w:rsid w:val="006701A2"/>
    <w:rPr>
      <w:rFonts w:eastAsiaTheme="minorHAnsi"/>
      <w:color w:val="FFFFFF" w:themeColor="background1"/>
      <w:sz w:val="22"/>
    </w:rPr>
  </w:style>
  <w:style w:type="paragraph" w:customStyle="1" w:styleId="Tablecolumnheadingcentre-white">
    <w:name w:val="Table column heading centre - white"/>
    <w:basedOn w:val="Tablecolumnheadingleft-white"/>
    <w:rsid w:val="003F005B"/>
    <w:pPr>
      <w:jc w:val="center"/>
    </w:pPr>
    <w:rPr>
      <w:bCs/>
    </w:rPr>
  </w:style>
  <w:style w:type="paragraph" w:customStyle="1" w:styleId="ChartMainheading">
    <w:name w:val="Chart Main heading"/>
    <w:basedOn w:val="Figureheading"/>
    <w:rsid w:val="00325FC4"/>
    <w:pPr>
      <w:spacing w:after="20"/>
      <w:ind w:left="0" w:firstLine="0"/>
      <w:jc w:val="center"/>
    </w:pPr>
  </w:style>
  <w:style w:type="paragraph" w:customStyle="1" w:styleId="BoxMainHeading-Outside">
    <w:name w:val="Box Main Heading - Outside"/>
    <w:basedOn w:val="Figureheading"/>
    <w:rsid w:val="00924CB8"/>
    <w:pPr>
      <w:tabs>
        <w:tab w:val="clear" w:pos="993"/>
        <w:tab w:val="left" w:pos="851"/>
      </w:tabs>
      <w:spacing w:after="40"/>
      <w:ind w:left="851" w:hanging="851"/>
    </w:pPr>
  </w:style>
  <w:style w:type="paragraph" w:customStyle="1" w:styleId="BoxText-UnBold">
    <w:name w:val="Box Text - UnBold"/>
    <w:basedOn w:val="BoxText"/>
    <w:rsid w:val="003F36CE"/>
    <w:rPr>
      <w:rFonts w:cs="Arial"/>
      <w:b w:val="0"/>
    </w:rPr>
  </w:style>
  <w:style w:type="paragraph" w:customStyle="1" w:styleId="BoxText-Bullet">
    <w:name w:val="Box Text - Bullet"/>
    <w:basedOn w:val="BoxText-UnBold"/>
    <w:rsid w:val="00924CB8"/>
    <w:pPr>
      <w:numPr>
        <w:numId w:val="7"/>
      </w:numPr>
    </w:pPr>
  </w:style>
  <w:style w:type="paragraph" w:customStyle="1" w:styleId="Tabletextleft-alpha">
    <w:name w:val="Table text left - alpha"/>
    <w:basedOn w:val="Tabletextleft"/>
    <w:rsid w:val="00B2546D"/>
    <w:pPr>
      <w:numPr>
        <w:numId w:val="8"/>
      </w:numPr>
    </w:pPr>
  </w:style>
  <w:style w:type="paragraph" w:customStyle="1" w:styleId="Tabletextleft-numbered">
    <w:name w:val="Table text left - numbered"/>
    <w:basedOn w:val="Tabletextleft"/>
    <w:rsid w:val="004A1591"/>
    <w:pPr>
      <w:numPr>
        <w:numId w:val="9"/>
      </w:numPr>
    </w:pPr>
  </w:style>
  <w:style w:type="paragraph" w:customStyle="1" w:styleId="Heading2-NoTOC">
    <w:name w:val="Heading 2 - No TOC"/>
    <w:basedOn w:val="Heading2"/>
    <w:rsid w:val="00511E43"/>
    <w:pPr>
      <w:outlineLvl w:val="9"/>
    </w:pPr>
  </w:style>
  <w:style w:type="paragraph" w:customStyle="1" w:styleId="FooterOdd">
    <w:name w:val="Footer Odd"/>
    <w:basedOn w:val="Footer"/>
    <w:rsid w:val="00736353"/>
    <w:pPr>
      <w:keepNext/>
      <w:tabs>
        <w:tab w:val="clear" w:pos="4513"/>
        <w:tab w:val="clear" w:pos="9026"/>
      </w:tabs>
      <w:jc w:val="right"/>
    </w:pPr>
    <w:rPr>
      <w:rFonts w:ascii="Century Gothic" w:hAnsi="Century Gothic"/>
      <w:noProof w:val="0"/>
      <w:color w:val="1F497D" w:themeColor="text2"/>
      <w:sz w:val="18"/>
    </w:rPr>
  </w:style>
  <w:style w:type="character" w:styleId="PageNumber">
    <w:name w:val="page number"/>
    <w:basedOn w:val="DefaultParagraphFont"/>
    <w:rsid w:val="00736353"/>
    <w:rPr>
      <w:rFonts w:ascii="Book Antiqua" w:hAnsi="Book Antiqua"/>
      <w:sz w:val="18"/>
    </w:rPr>
  </w:style>
  <w:style w:type="paragraph" w:customStyle="1" w:styleId="Tabletextleft-BoldItalics">
    <w:name w:val="Table text left - Bold Italics"/>
    <w:basedOn w:val="Tabletextleft"/>
    <w:rsid w:val="004714AF"/>
    <w:rPr>
      <w:b/>
      <w:i/>
    </w:rPr>
  </w:style>
  <w:style w:type="paragraph" w:styleId="ListBullet">
    <w:name w:val="List Bullet"/>
    <w:basedOn w:val="Normal"/>
    <w:qFormat/>
    <w:rsid w:val="009E0B58"/>
    <w:pPr>
      <w:numPr>
        <w:numId w:val="10"/>
      </w:numPr>
      <w:spacing w:before="60" w:after="60"/>
    </w:pPr>
    <w:rPr>
      <w:rFonts w:ascii="Arial" w:hAnsi="Arial"/>
      <w:color w:val="auto"/>
      <w:szCs w:val="24"/>
    </w:rPr>
  </w:style>
  <w:style w:type="paragraph" w:styleId="NoSpacing">
    <w:name w:val="No Spacing"/>
    <w:uiPriority w:val="1"/>
    <w:qFormat/>
    <w:rsid w:val="00AD16C6"/>
    <w:pPr>
      <w:spacing w:after="0" w:line="240" w:lineRule="auto"/>
    </w:pPr>
    <w:rPr>
      <w:rFonts w:ascii="Calibri Light" w:eastAsia="Times New Roman" w:hAnsi="Calibri Light" w:cs="Times New Roman"/>
      <w:color w:val="000000" w:themeColor="text1"/>
      <w:szCs w:val="20"/>
      <w:lang w:eastAsia="en-AU"/>
    </w:rPr>
  </w:style>
  <w:style w:type="table" w:styleId="LightList-Accent3">
    <w:name w:val="Light List Accent 3"/>
    <w:basedOn w:val="TableNormal"/>
    <w:uiPriority w:val="61"/>
    <w:rsid w:val="00622771"/>
    <w:pPr>
      <w:spacing w:after="0" w:line="240" w:lineRule="auto"/>
    </w:pPr>
    <w:tblPr>
      <w:tblStyleRowBandSize w:val="1"/>
      <w:tblStyleColBandSize w:val="1"/>
      <w:tblInd w:w="0" w:type="nil"/>
      <w:tblBorders>
        <w:top w:val="single" w:sz="8" w:space="0" w:color="BCD5F0" w:themeColor="accent3"/>
        <w:left w:val="single" w:sz="8" w:space="0" w:color="BCD5F0" w:themeColor="accent3"/>
        <w:bottom w:val="single" w:sz="8" w:space="0" w:color="BCD5F0" w:themeColor="accent3"/>
        <w:right w:val="single" w:sz="8" w:space="0" w:color="BCD5F0"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BCD5F0" w:themeFill="accent3"/>
      </w:tcPr>
    </w:tblStylePr>
    <w:tblStylePr w:type="lastRow">
      <w:pPr>
        <w:spacing w:beforeLines="0" w:before="0" w:beforeAutospacing="0" w:afterLines="0" w:after="0" w:afterAutospacing="0" w:line="240" w:lineRule="auto"/>
      </w:pPr>
      <w:rPr>
        <w:b/>
        <w:bCs/>
      </w:rPr>
      <w:tblPr/>
      <w:tcPr>
        <w:tcBorders>
          <w:top w:val="double" w:sz="6" w:space="0" w:color="BCD5F0" w:themeColor="accent3"/>
          <w:left w:val="single" w:sz="8" w:space="0" w:color="BCD5F0" w:themeColor="accent3"/>
          <w:bottom w:val="single" w:sz="8" w:space="0" w:color="BCD5F0" w:themeColor="accent3"/>
          <w:right w:val="single" w:sz="8" w:space="0" w:color="BCD5F0" w:themeColor="accent3"/>
        </w:tcBorders>
      </w:tcPr>
    </w:tblStylePr>
    <w:tblStylePr w:type="firstCol">
      <w:rPr>
        <w:b/>
        <w:bCs/>
      </w:rPr>
    </w:tblStylePr>
    <w:tblStylePr w:type="lastCol">
      <w:rPr>
        <w:b/>
        <w:bCs/>
      </w:rPr>
    </w:tblStylePr>
    <w:tblStylePr w:type="band1Vert">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tcPr>
    </w:tblStylePr>
    <w:tblStylePr w:type="band1Horz">
      <w:tblPr/>
      <w:tcPr>
        <w:tcBorders>
          <w:top w:val="single" w:sz="8" w:space="0" w:color="BCD5F0" w:themeColor="accent3"/>
          <w:left w:val="single" w:sz="8" w:space="0" w:color="BCD5F0" w:themeColor="accent3"/>
          <w:bottom w:val="single" w:sz="8" w:space="0" w:color="BCD5F0" w:themeColor="accent3"/>
          <w:right w:val="single" w:sz="8" w:space="0" w:color="BCD5F0" w:themeColor="accent3"/>
        </w:tcBorders>
      </w:tcPr>
    </w:tblStylePr>
  </w:style>
  <w:style w:type="paragraph" w:customStyle="1" w:styleId="Normal-Recommendation">
    <w:name w:val="Normal - Recommendation"/>
    <w:basedOn w:val="BoxText"/>
    <w:rsid w:val="00BF7D38"/>
    <w:pPr>
      <w:spacing w:before="0" w:after="240" w:line="240" w:lineRule="auto"/>
    </w:pPr>
    <w:rPr>
      <w:rFonts w:ascii="Calibri" w:hAnsi="Calibri"/>
      <w:color w:val="246373" w:themeColor="accent6" w:themeShade="BF"/>
      <w:sz w:val="22"/>
      <w:lang w:eastAsia="en-US"/>
    </w:rPr>
  </w:style>
  <w:style w:type="paragraph" w:customStyle="1" w:styleId="Tabletextleft-Bullet">
    <w:name w:val="Table text left - Bullet"/>
    <w:basedOn w:val="Tabletextleft"/>
    <w:rsid w:val="006701A2"/>
    <w:pPr>
      <w:numPr>
        <w:numId w:val="15"/>
      </w:numPr>
      <w:tabs>
        <w:tab w:val="left" w:pos="284"/>
      </w:tabs>
      <w:ind w:left="284" w:right="57" w:hanging="284"/>
    </w:pPr>
  </w:style>
  <w:style w:type="paragraph" w:customStyle="1" w:styleId="Tabletextleft-Bold">
    <w:name w:val="Table text left - Bold"/>
    <w:basedOn w:val="Tabletextleft-BoldItalics"/>
    <w:rsid w:val="006701A2"/>
    <w:pPr>
      <w:jc w:val="left"/>
    </w:pPr>
    <w:rPr>
      <w:rFonts w:eastAsiaTheme="minorHAnsi"/>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609">
      <w:bodyDiv w:val="1"/>
      <w:marLeft w:val="0"/>
      <w:marRight w:val="0"/>
      <w:marTop w:val="0"/>
      <w:marBottom w:val="0"/>
      <w:divBdr>
        <w:top w:val="none" w:sz="0" w:space="0" w:color="auto"/>
        <w:left w:val="none" w:sz="0" w:space="0" w:color="auto"/>
        <w:bottom w:val="none" w:sz="0" w:space="0" w:color="auto"/>
        <w:right w:val="none" w:sz="0" w:space="0" w:color="auto"/>
      </w:divBdr>
    </w:div>
    <w:div w:id="28193123">
      <w:bodyDiv w:val="1"/>
      <w:marLeft w:val="0"/>
      <w:marRight w:val="0"/>
      <w:marTop w:val="0"/>
      <w:marBottom w:val="0"/>
      <w:divBdr>
        <w:top w:val="none" w:sz="0" w:space="0" w:color="auto"/>
        <w:left w:val="none" w:sz="0" w:space="0" w:color="auto"/>
        <w:bottom w:val="none" w:sz="0" w:space="0" w:color="auto"/>
        <w:right w:val="none" w:sz="0" w:space="0" w:color="auto"/>
      </w:divBdr>
    </w:div>
    <w:div w:id="33848387">
      <w:bodyDiv w:val="1"/>
      <w:marLeft w:val="0"/>
      <w:marRight w:val="0"/>
      <w:marTop w:val="0"/>
      <w:marBottom w:val="0"/>
      <w:divBdr>
        <w:top w:val="none" w:sz="0" w:space="0" w:color="auto"/>
        <w:left w:val="none" w:sz="0" w:space="0" w:color="auto"/>
        <w:bottom w:val="none" w:sz="0" w:space="0" w:color="auto"/>
        <w:right w:val="none" w:sz="0" w:space="0" w:color="auto"/>
      </w:divBdr>
    </w:div>
    <w:div w:id="86655188">
      <w:bodyDiv w:val="1"/>
      <w:marLeft w:val="0"/>
      <w:marRight w:val="0"/>
      <w:marTop w:val="0"/>
      <w:marBottom w:val="0"/>
      <w:divBdr>
        <w:top w:val="none" w:sz="0" w:space="0" w:color="auto"/>
        <w:left w:val="none" w:sz="0" w:space="0" w:color="auto"/>
        <w:bottom w:val="none" w:sz="0" w:space="0" w:color="auto"/>
        <w:right w:val="none" w:sz="0" w:space="0" w:color="auto"/>
      </w:divBdr>
    </w:div>
    <w:div w:id="98961891">
      <w:bodyDiv w:val="1"/>
      <w:marLeft w:val="0"/>
      <w:marRight w:val="0"/>
      <w:marTop w:val="0"/>
      <w:marBottom w:val="0"/>
      <w:divBdr>
        <w:top w:val="none" w:sz="0" w:space="0" w:color="auto"/>
        <w:left w:val="none" w:sz="0" w:space="0" w:color="auto"/>
        <w:bottom w:val="none" w:sz="0" w:space="0" w:color="auto"/>
        <w:right w:val="none" w:sz="0" w:space="0" w:color="auto"/>
      </w:divBdr>
    </w:div>
    <w:div w:id="102457700">
      <w:bodyDiv w:val="1"/>
      <w:marLeft w:val="0"/>
      <w:marRight w:val="0"/>
      <w:marTop w:val="0"/>
      <w:marBottom w:val="0"/>
      <w:divBdr>
        <w:top w:val="none" w:sz="0" w:space="0" w:color="auto"/>
        <w:left w:val="none" w:sz="0" w:space="0" w:color="auto"/>
        <w:bottom w:val="none" w:sz="0" w:space="0" w:color="auto"/>
        <w:right w:val="none" w:sz="0" w:space="0" w:color="auto"/>
      </w:divBdr>
    </w:div>
    <w:div w:id="103352958">
      <w:bodyDiv w:val="1"/>
      <w:marLeft w:val="0"/>
      <w:marRight w:val="0"/>
      <w:marTop w:val="0"/>
      <w:marBottom w:val="0"/>
      <w:divBdr>
        <w:top w:val="none" w:sz="0" w:space="0" w:color="auto"/>
        <w:left w:val="none" w:sz="0" w:space="0" w:color="auto"/>
        <w:bottom w:val="none" w:sz="0" w:space="0" w:color="auto"/>
        <w:right w:val="none" w:sz="0" w:space="0" w:color="auto"/>
      </w:divBdr>
    </w:div>
    <w:div w:id="116219507">
      <w:bodyDiv w:val="1"/>
      <w:marLeft w:val="0"/>
      <w:marRight w:val="0"/>
      <w:marTop w:val="0"/>
      <w:marBottom w:val="0"/>
      <w:divBdr>
        <w:top w:val="none" w:sz="0" w:space="0" w:color="auto"/>
        <w:left w:val="none" w:sz="0" w:space="0" w:color="auto"/>
        <w:bottom w:val="none" w:sz="0" w:space="0" w:color="auto"/>
        <w:right w:val="none" w:sz="0" w:space="0" w:color="auto"/>
      </w:divBdr>
    </w:div>
    <w:div w:id="131604115">
      <w:bodyDiv w:val="1"/>
      <w:marLeft w:val="0"/>
      <w:marRight w:val="0"/>
      <w:marTop w:val="0"/>
      <w:marBottom w:val="0"/>
      <w:divBdr>
        <w:top w:val="none" w:sz="0" w:space="0" w:color="auto"/>
        <w:left w:val="none" w:sz="0" w:space="0" w:color="auto"/>
        <w:bottom w:val="none" w:sz="0" w:space="0" w:color="auto"/>
        <w:right w:val="none" w:sz="0" w:space="0" w:color="auto"/>
      </w:divBdr>
    </w:div>
    <w:div w:id="146941417">
      <w:bodyDiv w:val="1"/>
      <w:marLeft w:val="0"/>
      <w:marRight w:val="0"/>
      <w:marTop w:val="0"/>
      <w:marBottom w:val="0"/>
      <w:divBdr>
        <w:top w:val="none" w:sz="0" w:space="0" w:color="auto"/>
        <w:left w:val="none" w:sz="0" w:space="0" w:color="auto"/>
        <w:bottom w:val="none" w:sz="0" w:space="0" w:color="auto"/>
        <w:right w:val="none" w:sz="0" w:space="0" w:color="auto"/>
      </w:divBdr>
    </w:div>
    <w:div w:id="161550109">
      <w:bodyDiv w:val="1"/>
      <w:marLeft w:val="0"/>
      <w:marRight w:val="0"/>
      <w:marTop w:val="0"/>
      <w:marBottom w:val="0"/>
      <w:divBdr>
        <w:top w:val="none" w:sz="0" w:space="0" w:color="auto"/>
        <w:left w:val="none" w:sz="0" w:space="0" w:color="auto"/>
        <w:bottom w:val="none" w:sz="0" w:space="0" w:color="auto"/>
        <w:right w:val="none" w:sz="0" w:space="0" w:color="auto"/>
      </w:divBdr>
    </w:div>
    <w:div w:id="166100937">
      <w:bodyDiv w:val="1"/>
      <w:marLeft w:val="0"/>
      <w:marRight w:val="0"/>
      <w:marTop w:val="0"/>
      <w:marBottom w:val="0"/>
      <w:divBdr>
        <w:top w:val="none" w:sz="0" w:space="0" w:color="auto"/>
        <w:left w:val="none" w:sz="0" w:space="0" w:color="auto"/>
        <w:bottom w:val="none" w:sz="0" w:space="0" w:color="auto"/>
        <w:right w:val="none" w:sz="0" w:space="0" w:color="auto"/>
      </w:divBdr>
      <w:divsChild>
        <w:div w:id="1570967673">
          <w:marLeft w:val="0"/>
          <w:marRight w:val="0"/>
          <w:marTop w:val="0"/>
          <w:marBottom w:val="0"/>
          <w:divBdr>
            <w:top w:val="none" w:sz="0" w:space="0" w:color="auto"/>
            <w:left w:val="none" w:sz="0" w:space="0" w:color="auto"/>
            <w:bottom w:val="none" w:sz="0" w:space="0" w:color="auto"/>
            <w:right w:val="none" w:sz="0" w:space="0" w:color="auto"/>
          </w:divBdr>
          <w:divsChild>
            <w:div w:id="1118179585">
              <w:marLeft w:val="0"/>
              <w:marRight w:val="0"/>
              <w:marTop w:val="0"/>
              <w:marBottom w:val="0"/>
              <w:divBdr>
                <w:top w:val="none" w:sz="0" w:space="0" w:color="auto"/>
                <w:left w:val="none" w:sz="0" w:space="0" w:color="auto"/>
                <w:bottom w:val="none" w:sz="0" w:space="0" w:color="auto"/>
                <w:right w:val="none" w:sz="0" w:space="0" w:color="auto"/>
              </w:divBdr>
              <w:divsChild>
                <w:div w:id="966202728">
                  <w:marLeft w:val="0"/>
                  <w:marRight w:val="0"/>
                  <w:marTop w:val="0"/>
                  <w:marBottom w:val="0"/>
                  <w:divBdr>
                    <w:top w:val="none" w:sz="0" w:space="0" w:color="auto"/>
                    <w:left w:val="none" w:sz="0" w:space="0" w:color="auto"/>
                    <w:bottom w:val="none" w:sz="0" w:space="0" w:color="auto"/>
                    <w:right w:val="none" w:sz="0" w:space="0" w:color="auto"/>
                  </w:divBdr>
                  <w:divsChild>
                    <w:div w:id="719741683">
                      <w:marLeft w:val="0"/>
                      <w:marRight w:val="0"/>
                      <w:marTop w:val="0"/>
                      <w:marBottom w:val="0"/>
                      <w:divBdr>
                        <w:top w:val="none" w:sz="0" w:space="0" w:color="auto"/>
                        <w:left w:val="none" w:sz="0" w:space="0" w:color="auto"/>
                        <w:bottom w:val="none" w:sz="0" w:space="0" w:color="auto"/>
                        <w:right w:val="none" w:sz="0" w:space="0" w:color="auto"/>
                      </w:divBdr>
                      <w:divsChild>
                        <w:div w:id="14153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344477">
      <w:bodyDiv w:val="1"/>
      <w:marLeft w:val="0"/>
      <w:marRight w:val="0"/>
      <w:marTop w:val="0"/>
      <w:marBottom w:val="0"/>
      <w:divBdr>
        <w:top w:val="none" w:sz="0" w:space="0" w:color="auto"/>
        <w:left w:val="none" w:sz="0" w:space="0" w:color="auto"/>
        <w:bottom w:val="none" w:sz="0" w:space="0" w:color="auto"/>
        <w:right w:val="none" w:sz="0" w:space="0" w:color="auto"/>
      </w:divBdr>
    </w:div>
    <w:div w:id="282151699">
      <w:bodyDiv w:val="1"/>
      <w:marLeft w:val="0"/>
      <w:marRight w:val="0"/>
      <w:marTop w:val="0"/>
      <w:marBottom w:val="0"/>
      <w:divBdr>
        <w:top w:val="none" w:sz="0" w:space="0" w:color="auto"/>
        <w:left w:val="none" w:sz="0" w:space="0" w:color="auto"/>
        <w:bottom w:val="none" w:sz="0" w:space="0" w:color="auto"/>
        <w:right w:val="none" w:sz="0" w:space="0" w:color="auto"/>
      </w:divBdr>
    </w:div>
    <w:div w:id="311493099">
      <w:bodyDiv w:val="1"/>
      <w:marLeft w:val="0"/>
      <w:marRight w:val="0"/>
      <w:marTop w:val="0"/>
      <w:marBottom w:val="0"/>
      <w:divBdr>
        <w:top w:val="none" w:sz="0" w:space="0" w:color="auto"/>
        <w:left w:val="none" w:sz="0" w:space="0" w:color="auto"/>
        <w:bottom w:val="none" w:sz="0" w:space="0" w:color="auto"/>
        <w:right w:val="none" w:sz="0" w:space="0" w:color="auto"/>
      </w:divBdr>
    </w:div>
    <w:div w:id="381487546">
      <w:bodyDiv w:val="1"/>
      <w:marLeft w:val="0"/>
      <w:marRight w:val="0"/>
      <w:marTop w:val="0"/>
      <w:marBottom w:val="0"/>
      <w:divBdr>
        <w:top w:val="none" w:sz="0" w:space="0" w:color="auto"/>
        <w:left w:val="none" w:sz="0" w:space="0" w:color="auto"/>
        <w:bottom w:val="none" w:sz="0" w:space="0" w:color="auto"/>
        <w:right w:val="none" w:sz="0" w:space="0" w:color="auto"/>
      </w:divBdr>
    </w:div>
    <w:div w:id="392122511">
      <w:bodyDiv w:val="1"/>
      <w:marLeft w:val="0"/>
      <w:marRight w:val="0"/>
      <w:marTop w:val="0"/>
      <w:marBottom w:val="0"/>
      <w:divBdr>
        <w:top w:val="none" w:sz="0" w:space="0" w:color="auto"/>
        <w:left w:val="none" w:sz="0" w:space="0" w:color="auto"/>
        <w:bottom w:val="none" w:sz="0" w:space="0" w:color="auto"/>
        <w:right w:val="none" w:sz="0" w:space="0" w:color="auto"/>
      </w:divBdr>
    </w:div>
    <w:div w:id="396977922">
      <w:bodyDiv w:val="1"/>
      <w:marLeft w:val="0"/>
      <w:marRight w:val="0"/>
      <w:marTop w:val="0"/>
      <w:marBottom w:val="0"/>
      <w:divBdr>
        <w:top w:val="none" w:sz="0" w:space="0" w:color="auto"/>
        <w:left w:val="none" w:sz="0" w:space="0" w:color="auto"/>
        <w:bottom w:val="none" w:sz="0" w:space="0" w:color="auto"/>
        <w:right w:val="none" w:sz="0" w:space="0" w:color="auto"/>
      </w:divBdr>
    </w:div>
    <w:div w:id="413013332">
      <w:bodyDiv w:val="1"/>
      <w:marLeft w:val="0"/>
      <w:marRight w:val="0"/>
      <w:marTop w:val="0"/>
      <w:marBottom w:val="0"/>
      <w:divBdr>
        <w:top w:val="none" w:sz="0" w:space="0" w:color="auto"/>
        <w:left w:val="none" w:sz="0" w:space="0" w:color="auto"/>
        <w:bottom w:val="none" w:sz="0" w:space="0" w:color="auto"/>
        <w:right w:val="none" w:sz="0" w:space="0" w:color="auto"/>
      </w:divBdr>
    </w:div>
    <w:div w:id="429932266">
      <w:bodyDiv w:val="1"/>
      <w:marLeft w:val="0"/>
      <w:marRight w:val="0"/>
      <w:marTop w:val="0"/>
      <w:marBottom w:val="0"/>
      <w:divBdr>
        <w:top w:val="none" w:sz="0" w:space="0" w:color="auto"/>
        <w:left w:val="none" w:sz="0" w:space="0" w:color="auto"/>
        <w:bottom w:val="none" w:sz="0" w:space="0" w:color="auto"/>
        <w:right w:val="none" w:sz="0" w:space="0" w:color="auto"/>
      </w:divBdr>
    </w:div>
    <w:div w:id="437331034">
      <w:bodyDiv w:val="1"/>
      <w:marLeft w:val="0"/>
      <w:marRight w:val="0"/>
      <w:marTop w:val="0"/>
      <w:marBottom w:val="0"/>
      <w:divBdr>
        <w:top w:val="none" w:sz="0" w:space="0" w:color="auto"/>
        <w:left w:val="none" w:sz="0" w:space="0" w:color="auto"/>
        <w:bottom w:val="none" w:sz="0" w:space="0" w:color="auto"/>
        <w:right w:val="none" w:sz="0" w:space="0" w:color="auto"/>
      </w:divBdr>
    </w:div>
    <w:div w:id="439497223">
      <w:bodyDiv w:val="1"/>
      <w:marLeft w:val="0"/>
      <w:marRight w:val="0"/>
      <w:marTop w:val="0"/>
      <w:marBottom w:val="0"/>
      <w:divBdr>
        <w:top w:val="none" w:sz="0" w:space="0" w:color="auto"/>
        <w:left w:val="none" w:sz="0" w:space="0" w:color="auto"/>
        <w:bottom w:val="none" w:sz="0" w:space="0" w:color="auto"/>
        <w:right w:val="none" w:sz="0" w:space="0" w:color="auto"/>
      </w:divBdr>
    </w:div>
    <w:div w:id="486550928">
      <w:bodyDiv w:val="1"/>
      <w:marLeft w:val="0"/>
      <w:marRight w:val="0"/>
      <w:marTop w:val="0"/>
      <w:marBottom w:val="0"/>
      <w:divBdr>
        <w:top w:val="none" w:sz="0" w:space="0" w:color="auto"/>
        <w:left w:val="none" w:sz="0" w:space="0" w:color="auto"/>
        <w:bottom w:val="none" w:sz="0" w:space="0" w:color="auto"/>
        <w:right w:val="none" w:sz="0" w:space="0" w:color="auto"/>
      </w:divBdr>
    </w:div>
    <w:div w:id="498930193">
      <w:bodyDiv w:val="1"/>
      <w:marLeft w:val="0"/>
      <w:marRight w:val="0"/>
      <w:marTop w:val="0"/>
      <w:marBottom w:val="0"/>
      <w:divBdr>
        <w:top w:val="none" w:sz="0" w:space="0" w:color="auto"/>
        <w:left w:val="none" w:sz="0" w:space="0" w:color="auto"/>
        <w:bottom w:val="none" w:sz="0" w:space="0" w:color="auto"/>
        <w:right w:val="none" w:sz="0" w:space="0" w:color="auto"/>
      </w:divBdr>
    </w:div>
    <w:div w:id="499464091">
      <w:bodyDiv w:val="1"/>
      <w:marLeft w:val="0"/>
      <w:marRight w:val="0"/>
      <w:marTop w:val="0"/>
      <w:marBottom w:val="0"/>
      <w:divBdr>
        <w:top w:val="none" w:sz="0" w:space="0" w:color="auto"/>
        <w:left w:val="none" w:sz="0" w:space="0" w:color="auto"/>
        <w:bottom w:val="none" w:sz="0" w:space="0" w:color="auto"/>
        <w:right w:val="none" w:sz="0" w:space="0" w:color="auto"/>
      </w:divBdr>
    </w:div>
    <w:div w:id="509150491">
      <w:bodyDiv w:val="1"/>
      <w:marLeft w:val="0"/>
      <w:marRight w:val="0"/>
      <w:marTop w:val="0"/>
      <w:marBottom w:val="0"/>
      <w:divBdr>
        <w:top w:val="none" w:sz="0" w:space="0" w:color="auto"/>
        <w:left w:val="none" w:sz="0" w:space="0" w:color="auto"/>
        <w:bottom w:val="none" w:sz="0" w:space="0" w:color="auto"/>
        <w:right w:val="none" w:sz="0" w:space="0" w:color="auto"/>
      </w:divBdr>
    </w:div>
    <w:div w:id="530730765">
      <w:bodyDiv w:val="1"/>
      <w:marLeft w:val="0"/>
      <w:marRight w:val="0"/>
      <w:marTop w:val="0"/>
      <w:marBottom w:val="0"/>
      <w:divBdr>
        <w:top w:val="none" w:sz="0" w:space="0" w:color="auto"/>
        <w:left w:val="none" w:sz="0" w:space="0" w:color="auto"/>
        <w:bottom w:val="none" w:sz="0" w:space="0" w:color="auto"/>
        <w:right w:val="none" w:sz="0" w:space="0" w:color="auto"/>
      </w:divBdr>
      <w:divsChild>
        <w:div w:id="1898126495">
          <w:marLeft w:val="0"/>
          <w:marRight w:val="0"/>
          <w:marTop w:val="0"/>
          <w:marBottom w:val="0"/>
          <w:divBdr>
            <w:top w:val="none" w:sz="0" w:space="0" w:color="auto"/>
            <w:left w:val="none" w:sz="0" w:space="0" w:color="auto"/>
            <w:bottom w:val="none" w:sz="0" w:space="0" w:color="auto"/>
            <w:right w:val="none" w:sz="0" w:space="0" w:color="auto"/>
          </w:divBdr>
          <w:divsChild>
            <w:div w:id="751002223">
              <w:marLeft w:val="0"/>
              <w:marRight w:val="0"/>
              <w:marTop w:val="0"/>
              <w:marBottom w:val="0"/>
              <w:divBdr>
                <w:top w:val="none" w:sz="0" w:space="0" w:color="auto"/>
                <w:left w:val="none" w:sz="0" w:space="0" w:color="auto"/>
                <w:bottom w:val="none" w:sz="0" w:space="0" w:color="auto"/>
                <w:right w:val="none" w:sz="0" w:space="0" w:color="auto"/>
              </w:divBdr>
              <w:divsChild>
                <w:div w:id="508719660">
                  <w:marLeft w:val="0"/>
                  <w:marRight w:val="0"/>
                  <w:marTop w:val="0"/>
                  <w:marBottom w:val="0"/>
                  <w:divBdr>
                    <w:top w:val="none" w:sz="0" w:space="0" w:color="auto"/>
                    <w:left w:val="none" w:sz="0" w:space="0" w:color="auto"/>
                    <w:bottom w:val="none" w:sz="0" w:space="0" w:color="auto"/>
                    <w:right w:val="none" w:sz="0" w:space="0" w:color="auto"/>
                  </w:divBdr>
                  <w:divsChild>
                    <w:div w:id="948124427">
                      <w:marLeft w:val="0"/>
                      <w:marRight w:val="0"/>
                      <w:marTop w:val="0"/>
                      <w:marBottom w:val="0"/>
                      <w:divBdr>
                        <w:top w:val="none" w:sz="0" w:space="0" w:color="auto"/>
                        <w:left w:val="none" w:sz="0" w:space="0" w:color="auto"/>
                        <w:bottom w:val="none" w:sz="0" w:space="0" w:color="auto"/>
                        <w:right w:val="none" w:sz="0" w:space="0" w:color="auto"/>
                      </w:divBdr>
                      <w:divsChild>
                        <w:div w:id="1463813692">
                          <w:marLeft w:val="0"/>
                          <w:marRight w:val="0"/>
                          <w:marTop w:val="0"/>
                          <w:marBottom w:val="0"/>
                          <w:divBdr>
                            <w:top w:val="none" w:sz="0" w:space="0" w:color="auto"/>
                            <w:left w:val="none" w:sz="0" w:space="0" w:color="auto"/>
                            <w:bottom w:val="none" w:sz="0" w:space="0" w:color="auto"/>
                            <w:right w:val="none" w:sz="0" w:space="0" w:color="auto"/>
                          </w:divBdr>
                          <w:divsChild>
                            <w:div w:id="871962137">
                              <w:marLeft w:val="0"/>
                              <w:marRight w:val="0"/>
                              <w:marTop w:val="0"/>
                              <w:marBottom w:val="0"/>
                              <w:divBdr>
                                <w:top w:val="none" w:sz="0" w:space="0" w:color="auto"/>
                                <w:left w:val="none" w:sz="0" w:space="0" w:color="auto"/>
                                <w:bottom w:val="none" w:sz="0" w:space="0" w:color="auto"/>
                                <w:right w:val="none" w:sz="0" w:space="0" w:color="auto"/>
                              </w:divBdr>
                              <w:divsChild>
                                <w:div w:id="367147410">
                                  <w:marLeft w:val="0"/>
                                  <w:marRight w:val="0"/>
                                  <w:marTop w:val="0"/>
                                  <w:marBottom w:val="0"/>
                                  <w:divBdr>
                                    <w:top w:val="none" w:sz="0" w:space="0" w:color="auto"/>
                                    <w:left w:val="none" w:sz="0" w:space="0" w:color="auto"/>
                                    <w:bottom w:val="none" w:sz="0" w:space="0" w:color="auto"/>
                                    <w:right w:val="none" w:sz="0" w:space="0" w:color="auto"/>
                                  </w:divBdr>
                                  <w:divsChild>
                                    <w:div w:id="296574439">
                                      <w:marLeft w:val="0"/>
                                      <w:marRight w:val="0"/>
                                      <w:marTop w:val="0"/>
                                      <w:marBottom w:val="0"/>
                                      <w:divBdr>
                                        <w:top w:val="none" w:sz="0" w:space="0" w:color="auto"/>
                                        <w:left w:val="none" w:sz="0" w:space="0" w:color="auto"/>
                                        <w:bottom w:val="none" w:sz="0" w:space="0" w:color="auto"/>
                                        <w:right w:val="none" w:sz="0" w:space="0" w:color="auto"/>
                                      </w:divBdr>
                                      <w:divsChild>
                                        <w:div w:id="348603514">
                                          <w:marLeft w:val="0"/>
                                          <w:marRight w:val="-14400"/>
                                          <w:marTop w:val="0"/>
                                          <w:marBottom w:val="0"/>
                                          <w:divBdr>
                                            <w:top w:val="none" w:sz="0" w:space="0" w:color="auto"/>
                                            <w:left w:val="none" w:sz="0" w:space="0" w:color="auto"/>
                                            <w:bottom w:val="none" w:sz="0" w:space="0" w:color="auto"/>
                                            <w:right w:val="none" w:sz="0" w:space="0" w:color="auto"/>
                                          </w:divBdr>
                                          <w:divsChild>
                                            <w:div w:id="1951467391">
                                              <w:marLeft w:val="0"/>
                                              <w:marRight w:val="0"/>
                                              <w:marTop w:val="0"/>
                                              <w:marBottom w:val="0"/>
                                              <w:divBdr>
                                                <w:top w:val="none" w:sz="0" w:space="0" w:color="auto"/>
                                                <w:left w:val="none" w:sz="0" w:space="0" w:color="auto"/>
                                                <w:bottom w:val="none" w:sz="0" w:space="0" w:color="auto"/>
                                                <w:right w:val="none" w:sz="0" w:space="0" w:color="auto"/>
                                              </w:divBdr>
                                              <w:divsChild>
                                                <w:div w:id="528379277">
                                                  <w:marLeft w:val="0"/>
                                                  <w:marRight w:val="0"/>
                                                  <w:marTop w:val="0"/>
                                                  <w:marBottom w:val="0"/>
                                                  <w:divBdr>
                                                    <w:top w:val="none" w:sz="0" w:space="0" w:color="auto"/>
                                                    <w:left w:val="none" w:sz="0" w:space="0" w:color="auto"/>
                                                    <w:bottom w:val="none" w:sz="0" w:space="0" w:color="auto"/>
                                                    <w:right w:val="none" w:sz="0" w:space="0" w:color="auto"/>
                                                  </w:divBdr>
                                                  <w:divsChild>
                                                    <w:div w:id="2048946972">
                                                      <w:marLeft w:val="0"/>
                                                      <w:marRight w:val="0"/>
                                                      <w:marTop w:val="0"/>
                                                      <w:marBottom w:val="360"/>
                                                      <w:divBdr>
                                                        <w:top w:val="none" w:sz="0" w:space="0" w:color="auto"/>
                                                        <w:left w:val="none" w:sz="0" w:space="0" w:color="auto"/>
                                                        <w:bottom w:val="none" w:sz="0" w:space="0" w:color="auto"/>
                                                        <w:right w:val="none" w:sz="0" w:space="0" w:color="auto"/>
                                                      </w:divBdr>
                                                      <w:divsChild>
                                                        <w:div w:id="63256907">
                                                          <w:marLeft w:val="0"/>
                                                          <w:marRight w:val="0"/>
                                                          <w:marTop w:val="0"/>
                                                          <w:marBottom w:val="0"/>
                                                          <w:divBdr>
                                                            <w:top w:val="none" w:sz="0" w:space="0" w:color="auto"/>
                                                            <w:left w:val="none" w:sz="0" w:space="0" w:color="auto"/>
                                                            <w:bottom w:val="none" w:sz="0" w:space="0" w:color="auto"/>
                                                            <w:right w:val="none" w:sz="0" w:space="0" w:color="auto"/>
                                                          </w:divBdr>
                                                          <w:divsChild>
                                                            <w:div w:id="107815898">
                                                              <w:marLeft w:val="0"/>
                                                              <w:marRight w:val="0"/>
                                                              <w:marTop w:val="0"/>
                                                              <w:marBottom w:val="0"/>
                                                              <w:divBdr>
                                                                <w:top w:val="none" w:sz="0" w:space="0" w:color="auto"/>
                                                                <w:left w:val="none" w:sz="0" w:space="0" w:color="auto"/>
                                                                <w:bottom w:val="none" w:sz="0" w:space="0" w:color="auto"/>
                                                                <w:right w:val="none" w:sz="0" w:space="0" w:color="auto"/>
                                                              </w:divBdr>
                                                              <w:divsChild>
                                                                <w:div w:id="1105542705">
                                                                  <w:marLeft w:val="0"/>
                                                                  <w:marRight w:val="0"/>
                                                                  <w:marTop w:val="0"/>
                                                                  <w:marBottom w:val="0"/>
                                                                  <w:divBdr>
                                                                    <w:top w:val="none" w:sz="0" w:space="0" w:color="auto"/>
                                                                    <w:left w:val="none" w:sz="0" w:space="0" w:color="auto"/>
                                                                    <w:bottom w:val="none" w:sz="0" w:space="0" w:color="auto"/>
                                                                    <w:right w:val="none" w:sz="0" w:space="0" w:color="auto"/>
                                                                  </w:divBdr>
                                                                  <w:divsChild>
                                                                    <w:div w:id="856194172">
                                                                      <w:marLeft w:val="0"/>
                                                                      <w:marRight w:val="0"/>
                                                                      <w:marTop w:val="0"/>
                                                                      <w:marBottom w:val="180"/>
                                                                      <w:divBdr>
                                                                        <w:top w:val="none" w:sz="0" w:space="0" w:color="auto"/>
                                                                        <w:left w:val="none" w:sz="0" w:space="0" w:color="auto"/>
                                                                        <w:bottom w:val="none" w:sz="0" w:space="0" w:color="auto"/>
                                                                        <w:right w:val="none" w:sz="0" w:space="0" w:color="auto"/>
                                                                      </w:divBdr>
                                                                      <w:divsChild>
                                                                        <w:div w:id="1360542699">
                                                                          <w:marLeft w:val="0"/>
                                                                          <w:marRight w:val="0"/>
                                                                          <w:marTop w:val="0"/>
                                                                          <w:marBottom w:val="0"/>
                                                                          <w:divBdr>
                                                                            <w:top w:val="none" w:sz="0" w:space="0" w:color="auto"/>
                                                                            <w:left w:val="none" w:sz="0" w:space="0" w:color="auto"/>
                                                                            <w:bottom w:val="none" w:sz="0" w:space="0" w:color="auto"/>
                                                                            <w:right w:val="none" w:sz="0" w:space="0" w:color="auto"/>
                                                                          </w:divBdr>
                                                                          <w:divsChild>
                                                                            <w:div w:id="789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1647599">
      <w:bodyDiv w:val="1"/>
      <w:marLeft w:val="0"/>
      <w:marRight w:val="0"/>
      <w:marTop w:val="0"/>
      <w:marBottom w:val="0"/>
      <w:divBdr>
        <w:top w:val="none" w:sz="0" w:space="0" w:color="auto"/>
        <w:left w:val="none" w:sz="0" w:space="0" w:color="auto"/>
        <w:bottom w:val="none" w:sz="0" w:space="0" w:color="auto"/>
        <w:right w:val="none" w:sz="0" w:space="0" w:color="auto"/>
      </w:divBdr>
    </w:div>
    <w:div w:id="546651145">
      <w:bodyDiv w:val="1"/>
      <w:marLeft w:val="0"/>
      <w:marRight w:val="0"/>
      <w:marTop w:val="0"/>
      <w:marBottom w:val="0"/>
      <w:divBdr>
        <w:top w:val="none" w:sz="0" w:space="0" w:color="auto"/>
        <w:left w:val="none" w:sz="0" w:space="0" w:color="auto"/>
        <w:bottom w:val="none" w:sz="0" w:space="0" w:color="auto"/>
        <w:right w:val="none" w:sz="0" w:space="0" w:color="auto"/>
      </w:divBdr>
    </w:div>
    <w:div w:id="550044342">
      <w:bodyDiv w:val="1"/>
      <w:marLeft w:val="0"/>
      <w:marRight w:val="0"/>
      <w:marTop w:val="0"/>
      <w:marBottom w:val="0"/>
      <w:divBdr>
        <w:top w:val="none" w:sz="0" w:space="0" w:color="auto"/>
        <w:left w:val="none" w:sz="0" w:space="0" w:color="auto"/>
        <w:bottom w:val="none" w:sz="0" w:space="0" w:color="auto"/>
        <w:right w:val="none" w:sz="0" w:space="0" w:color="auto"/>
      </w:divBdr>
    </w:div>
    <w:div w:id="551774932">
      <w:bodyDiv w:val="1"/>
      <w:marLeft w:val="0"/>
      <w:marRight w:val="0"/>
      <w:marTop w:val="0"/>
      <w:marBottom w:val="0"/>
      <w:divBdr>
        <w:top w:val="none" w:sz="0" w:space="0" w:color="auto"/>
        <w:left w:val="none" w:sz="0" w:space="0" w:color="auto"/>
        <w:bottom w:val="none" w:sz="0" w:space="0" w:color="auto"/>
        <w:right w:val="none" w:sz="0" w:space="0" w:color="auto"/>
      </w:divBdr>
    </w:div>
    <w:div w:id="566259956">
      <w:bodyDiv w:val="1"/>
      <w:marLeft w:val="0"/>
      <w:marRight w:val="0"/>
      <w:marTop w:val="0"/>
      <w:marBottom w:val="0"/>
      <w:divBdr>
        <w:top w:val="none" w:sz="0" w:space="0" w:color="auto"/>
        <w:left w:val="none" w:sz="0" w:space="0" w:color="auto"/>
        <w:bottom w:val="none" w:sz="0" w:space="0" w:color="auto"/>
        <w:right w:val="none" w:sz="0" w:space="0" w:color="auto"/>
      </w:divBdr>
    </w:div>
    <w:div w:id="568149082">
      <w:bodyDiv w:val="1"/>
      <w:marLeft w:val="0"/>
      <w:marRight w:val="0"/>
      <w:marTop w:val="0"/>
      <w:marBottom w:val="0"/>
      <w:divBdr>
        <w:top w:val="none" w:sz="0" w:space="0" w:color="auto"/>
        <w:left w:val="none" w:sz="0" w:space="0" w:color="auto"/>
        <w:bottom w:val="none" w:sz="0" w:space="0" w:color="auto"/>
        <w:right w:val="none" w:sz="0" w:space="0" w:color="auto"/>
      </w:divBdr>
    </w:div>
    <w:div w:id="573513728">
      <w:bodyDiv w:val="1"/>
      <w:marLeft w:val="0"/>
      <w:marRight w:val="0"/>
      <w:marTop w:val="0"/>
      <w:marBottom w:val="0"/>
      <w:divBdr>
        <w:top w:val="none" w:sz="0" w:space="0" w:color="auto"/>
        <w:left w:val="none" w:sz="0" w:space="0" w:color="auto"/>
        <w:bottom w:val="none" w:sz="0" w:space="0" w:color="auto"/>
        <w:right w:val="none" w:sz="0" w:space="0" w:color="auto"/>
      </w:divBdr>
    </w:div>
    <w:div w:id="593979509">
      <w:bodyDiv w:val="1"/>
      <w:marLeft w:val="0"/>
      <w:marRight w:val="0"/>
      <w:marTop w:val="0"/>
      <w:marBottom w:val="0"/>
      <w:divBdr>
        <w:top w:val="none" w:sz="0" w:space="0" w:color="auto"/>
        <w:left w:val="none" w:sz="0" w:space="0" w:color="auto"/>
        <w:bottom w:val="none" w:sz="0" w:space="0" w:color="auto"/>
        <w:right w:val="none" w:sz="0" w:space="0" w:color="auto"/>
      </w:divBdr>
    </w:div>
    <w:div w:id="601185621">
      <w:bodyDiv w:val="1"/>
      <w:marLeft w:val="0"/>
      <w:marRight w:val="0"/>
      <w:marTop w:val="0"/>
      <w:marBottom w:val="0"/>
      <w:divBdr>
        <w:top w:val="none" w:sz="0" w:space="0" w:color="auto"/>
        <w:left w:val="none" w:sz="0" w:space="0" w:color="auto"/>
        <w:bottom w:val="none" w:sz="0" w:space="0" w:color="auto"/>
        <w:right w:val="none" w:sz="0" w:space="0" w:color="auto"/>
      </w:divBdr>
    </w:div>
    <w:div w:id="622882469">
      <w:bodyDiv w:val="1"/>
      <w:marLeft w:val="0"/>
      <w:marRight w:val="0"/>
      <w:marTop w:val="0"/>
      <w:marBottom w:val="0"/>
      <w:divBdr>
        <w:top w:val="none" w:sz="0" w:space="0" w:color="auto"/>
        <w:left w:val="none" w:sz="0" w:space="0" w:color="auto"/>
        <w:bottom w:val="none" w:sz="0" w:space="0" w:color="auto"/>
        <w:right w:val="none" w:sz="0" w:space="0" w:color="auto"/>
      </w:divBdr>
    </w:div>
    <w:div w:id="637497144">
      <w:bodyDiv w:val="1"/>
      <w:marLeft w:val="0"/>
      <w:marRight w:val="0"/>
      <w:marTop w:val="0"/>
      <w:marBottom w:val="0"/>
      <w:divBdr>
        <w:top w:val="none" w:sz="0" w:space="0" w:color="auto"/>
        <w:left w:val="none" w:sz="0" w:space="0" w:color="auto"/>
        <w:bottom w:val="none" w:sz="0" w:space="0" w:color="auto"/>
        <w:right w:val="none" w:sz="0" w:space="0" w:color="auto"/>
      </w:divBdr>
    </w:div>
    <w:div w:id="647437665">
      <w:bodyDiv w:val="1"/>
      <w:marLeft w:val="0"/>
      <w:marRight w:val="0"/>
      <w:marTop w:val="0"/>
      <w:marBottom w:val="0"/>
      <w:divBdr>
        <w:top w:val="none" w:sz="0" w:space="0" w:color="auto"/>
        <w:left w:val="none" w:sz="0" w:space="0" w:color="auto"/>
        <w:bottom w:val="none" w:sz="0" w:space="0" w:color="auto"/>
        <w:right w:val="none" w:sz="0" w:space="0" w:color="auto"/>
      </w:divBdr>
    </w:div>
    <w:div w:id="674573792">
      <w:bodyDiv w:val="1"/>
      <w:marLeft w:val="0"/>
      <w:marRight w:val="0"/>
      <w:marTop w:val="0"/>
      <w:marBottom w:val="0"/>
      <w:divBdr>
        <w:top w:val="none" w:sz="0" w:space="0" w:color="auto"/>
        <w:left w:val="none" w:sz="0" w:space="0" w:color="auto"/>
        <w:bottom w:val="none" w:sz="0" w:space="0" w:color="auto"/>
        <w:right w:val="none" w:sz="0" w:space="0" w:color="auto"/>
      </w:divBdr>
    </w:div>
    <w:div w:id="698431196">
      <w:bodyDiv w:val="1"/>
      <w:marLeft w:val="0"/>
      <w:marRight w:val="0"/>
      <w:marTop w:val="0"/>
      <w:marBottom w:val="0"/>
      <w:divBdr>
        <w:top w:val="none" w:sz="0" w:space="0" w:color="auto"/>
        <w:left w:val="none" w:sz="0" w:space="0" w:color="auto"/>
        <w:bottom w:val="none" w:sz="0" w:space="0" w:color="auto"/>
        <w:right w:val="none" w:sz="0" w:space="0" w:color="auto"/>
      </w:divBdr>
    </w:div>
    <w:div w:id="698972982">
      <w:bodyDiv w:val="1"/>
      <w:marLeft w:val="0"/>
      <w:marRight w:val="0"/>
      <w:marTop w:val="0"/>
      <w:marBottom w:val="0"/>
      <w:divBdr>
        <w:top w:val="none" w:sz="0" w:space="0" w:color="auto"/>
        <w:left w:val="none" w:sz="0" w:space="0" w:color="auto"/>
        <w:bottom w:val="none" w:sz="0" w:space="0" w:color="auto"/>
        <w:right w:val="none" w:sz="0" w:space="0" w:color="auto"/>
      </w:divBdr>
    </w:div>
    <w:div w:id="702097348">
      <w:bodyDiv w:val="1"/>
      <w:marLeft w:val="0"/>
      <w:marRight w:val="0"/>
      <w:marTop w:val="0"/>
      <w:marBottom w:val="0"/>
      <w:divBdr>
        <w:top w:val="none" w:sz="0" w:space="0" w:color="auto"/>
        <w:left w:val="none" w:sz="0" w:space="0" w:color="auto"/>
        <w:bottom w:val="none" w:sz="0" w:space="0" w:color="auto"/>
        <w:right w:val="none" w:sz="0" w:space="0" w:color="auto"/>
      </w:divBdr>
    </w:div>
    <w:div w:id="726614402">
      <w:bodyDiv w:val="1"/>
      <w:marLeft w:val="0"/>
      <w:marRight w:val="0"/>
      <w:marTop w:val="0"/>
      <w:marBottom w:val="0"/>
      <w:divBdr>
        <w:top w:val="none" w:sz="0" w:space="0" w:color="auto"/>
        <w:left w:val="none" w:sz="0" w:space="0" w:color="auto"/>
        <w:bottom w:val="none" w:sz="0" w:space="0" w:color="auto"/>
        <w:right w:val="none" w:sz="0" w:space="0" w:color="auto"/>
      </w:divBdr>
    </w:div>
    <w:div w:id="756443664">
      <w:bodyDiv w:val="1"/>
      <w:marLeft w:val="0"/>
      <w:marRight w:val="0"/>
      <w:marTop w:val="0"/>
      <w:marBottom w:val="0"/>
      <w:divBdr>
        <w:top w:val="none" w:sz="0" w:space="0" w:color="auto"/>
        <w:left w:val="none" w:sz="0" w:space="0" w:color="auto"/>
        <w:bottom w:val="none" w:sz="0" w:space="0" w:color="auto"/>
        <w:right w:val="none" w:sz="0" w:space="0" w:color="auto"/>
      </w:divBdr>
    </w:div>
    <w:div w:id="758982628">
      <w:bodyDiv w:val="1"/>
      <w:marLeft w:val="0"/>
      <w:marRight w:val="0"/>
      <w:marTop w:val="0"/>
      <w:marBottom w:val="0"/>
      <w:divBdr>
        <w:top w:val="none" w:sz="0" w:space="0" w:color="auto"/>
        <w:left w:val="none" w:sz="0" w:space="0" w:color="auto"/>
        <w:bottom w:val="none" w:sz="0" w:space="0" w:color="auto"/>
        <w:right w:val="none" w:sz="0" w:space="0" w:color="auto"/>
      </w:divBdr>
    </w:div>
    <w:div w:id="800802248">
      <w:bodyDiv w:val="1"/>
      <w:marLeft w:val="0"/>
      <w:marRight w:val="0"/>
      <w:marTop w:val="0"/>
      <w:marBottom w:val="0"/>
      <w:divBdr>
        <w:top w:val="none" w:sz="0" w:space="0" w:color="auto"/>
        <w:left w:val="none" w:sz="0" w:space="0" w:color="auto"/>
        <w:bottom w:val="none" w:sz="0" w:space="0" w:color="auto"/>
        <w:right w:val="none" w:sz="0" w:space="0" w:color="auto"/>
      </w:divBdr>
    </w:div>
    <w:div w:id="808518316">
      <w:bodyDiv w:val="1"/>
      <w:marLeft w:val="0"/>
      <w:marRight w:val="0"/>
      <w:marTop w:val="0"/>
      <w:marBottom w:val="0"/>
      <w:divBdr>
        <w:top w:val="none" w:sz="0" w:space="0" w:color="auto"/>
        <w:left w:val="none" w:sz="0" w:space="0" w:color="auto"/>
        <w:bottom w:val="none" w:sz="0" w:space="0" w:color="auto"/>
        <w:right w:val="none" w:sz="0" w:space="0" w:color="auto"/>
      </w:divBdr>
    </w:div>
    <w:div w:id="821626419">
      <w:bodyDiv w:val="1"/>
      <w:marLeft w:val="0"/>
      <w:marRight w:val="0"/>
      <w:marTop w:val="0"/>
      <w:marBottom w:val="0"/>
      <w:divBdr>
        <w:top w:val="none" w:sz="0" w:space="0" w:color="auto"/>
        <w:left w:val="none" w:sz="0" w:space="0" w:color="auto"/>
        <w:bottom w:val="none" w:sz="0" w:space="0" w:color="auto"/>
        <w:right w:val="none" w:sz="0" w:space="0" w:color="auto"/>
      </w:divBdr>
    </w:div>
    <w:div w:id="823669157">
      <w:bodyDiv w:val="1"/>
      <w:marLeft w:val="0"/>
      <w:marRight w:val="0"/>
      <w:marTop w:val="0"/>
      <w:marBottom w:val="0"/>
      <w:divBdr>
        <w:top w:val="none" w:sz="0" w:space="0" w:color="auto"/>
        <w:left w:val="none" w:sz="0" w:space="0" w:color="auto"/>
        <w:bottom w:val="none" w:sz="0" w:space="0" w:color="auto"/>
        <w:right w:val="none" w:sz="0" w:space="0" w:color="auto"/>
      </w:divBdr>
    </w:div>
    <w:div w:id="825050021">
      <w:bodyDiv w:val="1"/>
      <w:marLeft w:val="0"/>
      <w:marRight w:val="0"/>
      <w:marTop w:val="0"/>
      <w:marBottom w:val="0"/>
      <w:divBdr>
        <w:top w:val="none" w:sz="0" w:space="0" w:color="auto"/>
        <w:left w:val="none" w:sz="0" w:space="0" w:color="auto"/>
        <w:bottom w:val="none" w:sz="0" w:space="0" w:color="auto"/>
        <w:right w:val="none" w:sz="0" w:space="0" w:color="auto"/>
      </w:divBdr>
    </w:div>
    <w:div w:id="831532135">
      <w:bodyDiv w:val="1"/>
      <w:marLeft w:val="0"/>
      <w:marRight w:val="0"/>
      <w:marTop w:val="0"/>
      <w:marBottom w:val="0"/>
      <w:divBdr>
        <w:top w:val="none" w:sz="0" w:space="0" w:color="auto"/>
        <w:left w:val="none" w:sz="0" w:space="0" w:color="auto"/>
        <w:bottom w:val="none" w:sz="0" w:space="0" w:color="auto"/>
        <w:right w:val="none" w:sz="0" w:space="0" w:color="auto"/>
      </w:divBdr>
    </w:div>
    <w:div w:id="850291206">
      <w:bodyDiv w:val="1"/>
      <w:marLeft w:val="0"/>
      <w:marRight w:val="0"/>
      <w:marTop w:val="0"/>
      <w:marBottom w:val="0"/>
      <w:divBdr>
        <w:top w:val="none" w:sz="0" w:space="0" w:color="auto"/>
        <w:left w:val="none" w:sz="0" w:space="0" w:color="auto"/>
        <w:bottom w:val="none" w:sz="0" w:space="0" w:color="auto"/>
        <w:right w:val="none" w:sz="0" w:space="0" w:color="auto"/>
      </w:divBdr>
    </w:div>
    <w:div w:id="862400457">
      <w:bodyDiv w:val="1"/>
      <w:marLeft w:val="0"/>
      <w:marRight w:val="0"/>
      <w:marTop w:val="0"/>
      <w:marBottom w:val="0"/>
      <w:divBdr>
        <w:top w:val="none" w:sz="0" w:space="0" w:color="auto"/>
        <w:left w:val="none" w:sz="0" w:space="0" w:color="auto"/>
        <w:bottom w:val="none" w:sz="0" w:space="0" w:color="auto"/>
        <w:right w:val="none" w:sz="0" w:space="0" w:color="auto"/>
      </w:divBdr>
    </w:div>
    <w:div w:id="888691810">
      <w:bodyDiv w:val="1"/>
      <w:marLeft w:val="0"/>
      <w:marRight w:val="0"/>
      <w:marTop w:val="0"/>
      <w:marBottom w:val="0"/>
      <w:divBdr>
        <w:top w:val="none" w:sz="0" w:space="0" w:color="auto"/>
        <w:left w:val="none" w:sz="0" w:space="0" w:color="auto"/>
        <w:bottom w:val="none" w:sz="0" w:space="0" w:color="auto"/>
        <w:right w:val="none" w:sz="0" w:space="0" w:color="auto"/>
      </w:divBdr>
    </w:div>
    <w:div w:id="903879021">
      <w:bodyDiv w:val="1"/>
      <w:marLeft w:val="0"/>
      <w:marRight w:val="0"/>
      <w:marTop w:val="0"/>
      <w:marBottom w:val="0"/>
      <w:divBdr>
        <w:top w:val="none" w:sz="0" w:space="0" w:color="auto"/>
        <w:left w:val="none" w:sz="0" w:space="0" w:color="auto"/>
        <w:bottom w:val="none" w:sz="0" w:space="0" w:color="auto"/>
        <w:right w:val="none" w:sz="0" w:space="0" w:color="auto"/>
      </w:divBdr>
    </w:div>
    <w:div w:id="911700456">
      <w:bodyDiv w:val="1"/>
      <w:marLeft w:val="0"/>
      <w:marRight w:val="0"/>
      <w:marTop w:val="0"/>
      <w:marBottom w:val="0"/>
      <w:divBdr>
        <w:top w:val="none" w:sz="0" w:space="0" w:color="auto"/>
        <w:left w:val="none" w:sz="0" w:space="0" w:color="auto"/>
        <w:bottom w:val="none" w:sz="0" w:space="0" w:color="auto"/>
        <w:right w:val="none" w:sz="0" w:space="0" w:color="auto"/>
      </w:divBdr>
    </w:div>
    <w:div w:id="912348707">
      <w:bodyDiv w:val="1"/>
      <w:marLeft w:val="0"/>
      <w:marRight w:val="0"/>
      <w:marTop w:val="0"/>
      <w:marBottom w:val="0"/>
      <w:divBdr>
        <w:top w:val="none" w:sz="0" w:space="0" w:color="auto"/>
        <w:left w:val="none" w:sz="0" w:space="0" w:color="auto"/>
        <w:bottom w:val="none" w:sz="0" w:space="0" w:color="auto"/>
        <w:right w:val="none" w:sz="0" w:space="0" w:color="auto"/>
      </w:divBdr>
    </w:div>
    <w:div w:id="927424040">
      <w:bodyDiv w:val="1"/>
      <w:marLeft w:val="0"/>
      <w:marRight w:val="0"/>
      <w:marTop w:val="0"/>
      <w:marBottom w:val="0"/>
      <w:divBdr>
        <w:top w:val="none" w:sz="0" w:space="0" w:color="auto"/>
        <w:left w:val="none" w:sz="0" w:space="0" w:color="auto"/>
        <w:bottom w:val="none" w:sz="0" w:space="0" w:color="auto"/>
        <w:right w:val="none" w:sz="0" w:space="0" w:color="auto"/>
      </w:divBdr>
    </w:div>
    <w:div w:id="938637461">
      <w:bodyDiv w:val="1"/>
      <w:marLeft w:val="0"/>
      <w:marRight w:val="0"/>
      <w:marTop w:val="0"/>
      <w:marBottom w:val="0"/>
      <w:divBdr>
        <w:top w:val="none" w:sz="0" w:space="0" w:color="auto"/>
        <w:left w:val="none" w:sz="0" w:space="0" w:color="auto"/>
        <w:bottom w:val="none" w:sz="0" w:space="0" w:color="auto"/>
        <w:right w:val="none" w:sz="0" w:space="0" w:color="auto"/>
      </w:divBdr>
    </w:div>
    <w:div w:id="939069604">
      <w:bodyDiv w:val="1"/>
      <w:marLeft w:val="0"/>
      <w:marRight w:val="0"/>
      <w:marTop w:val="0"/>
      <w:marBottom w:val="0"/>
      <w:divBdr>
        <w:top w:val="none" w:sz="0" w:space="0" w:color="auto"/>
        <w:left w:val="none" w:sz="0" w:space="0" w:color="auto"/>
        <w:bottom w:val="none" w:sz="0" w:space="0" w:color="auto"/>
        <w:right w:val="none" w:sz="0" w:space="0" w:color="auto"/>
      </w:divBdr>
    </w:div>
    <w:div w:id="966162398">
      <w:bodyDiv w:val="1"/>
      <w:marLeft w:val="0"/>
      <w:marRight w:val="0"/>
      <w:marTop w:val="0"/>
      <w:marBottom w:val="0"/>
      <w:divBdr>
        <w:top w:val="none" w:sz="0" w:space="0" w:color="auto"/>
        <w:left w:val="none" w:sz="0" w:space="0" w:color="auto"/>
        <w:bottom w:val="none" w:sz="0" w:space="0" w:color="auto"/>
        <w:right w:val="none" w:sz="0" w:space="0" w:color="auto"/>
      </w:divBdr>
    </w:div>
    <w:div w:id="1017461456">
      <w:bodyDiv w:val="1"/>
      <w:marLeft w:val="0"/>
      <w:marRight w:val="0"/>
      <w:marTop w:val="0"/>
      <w:marBottom w:val="0"/>
      <w:divBdr>
        <w:top w:val="none" w:sz="0" w:space="0" w:color="auto"/>
        <w:left w:val="none" w:sz="0" w:space="0" w:color="auto"/>
        <w:bottom w:val="none" w:sz="0" w:space="0" w:color="auto"/>
        <w:right w:val="none" w:sz="0" w:space="0" w:color="auto"/>
      </w:divBdr>
    </w:div>
    <w:div w:id="1087191027">
      <w:bodyDiv w:val="1"/>
      <w:marLeft w:val="0"/>
      <w:marRight w:val="0"/>
      <w:marTop w:val="0"/>
      <w:marBottom w:val="0"/>
      <w:divBdr>
        <w:top w:val="none" w:sz="0" w:space="0" w:color="auto"/>
        <w:left w:val="none" w:sz="0" w:space="0" w:color="auto"/>
        <w:bottom w:val="none" w:sz="0" w:space="0" w:color="auto"/>
        <w:right w:val="none" w:sz="0" w:space="0" w:color="auto"/>
      </w:divBdr>
    </w:div>
    <w:div w:id="1112824913">
      <w:bodyDiv w:val="1"/>
      <w:marLeft w:val="0"/>
      <w:marRight w:val="0"/>
      <w:marTop w:val="0"/>
      <w:marBottom w:val="0"/>
      <w:divBdr>
        <w:top w:val="none" w:sz="0" w:space="0" w:color="auto"/>
        <w:left w:val="none" w:sz="0" w:space="0" w:color="auto"/>
        <w:bottom w:val="none" w:sz="0" w:space="0" w:color="auto"/>
        <w:right w:val="none" w:sz="0" w:space="0" w:color="auto"/>
      </w:divBdr>
    </w:div>
    <w:div w:id="1124811941">
      <w:bodyDiv w:val="1"/>
      <w:marLeft w:val="0"/>
      <w:marRight w:val="0"/>
      <w:marTop w:val="0"/>
      <w:marBottom w:val="0"/>
      <w:divBdr>
        <w:top w:val="none" w:sz="0" w:space="0" w:color="auto"/>
        <w:left w:val="none" w:sz="0" w:space="0" w:color="auto"/>
        <w:bottom w:val="none" w:sz="0" w:space="0" w:color="auto"/>
        <w:right w:val="none" w:sz="0" w:space="0" w:color="auto"/>
      </w:divBdr>
    </w:div>
    <w:div w:id="1131166085">
      <w:bodyDiv w:val="1"/>
      <w:marLeft w:val="0"/>
      <w:marRight w:val="0"/>
      <w:marTop w:val="0"/>
      <w:marBottom w:val="0"/>
      <w:divBdr>
        <w:top w:val="none" w:sz="0" w:space="0" w:color="auto"/>
        <w:left w:val="none" w:sz="0" w:space="0" w:color="auto"/>
        <w:bottom w:val="none" w:sz="0" w:space="0" w:color="auto"/>
        <w:right w:val="none" w:sz="0" w:space="0" w:color="auto"/>
      </w:divBdr>
    </w:div>
    <w:div w:id="1132482793">
      <w:bodyDiv w:val="1"/>
      <w:marLeft w:val="0"/>
      <w:marRight w:val="0"/>
      <w:marTop w:val="0"/>
      <w:marBottom w:val="0"/>
      <w:divBdr>
        <w:top w:val="none" w:sz="0" w:space="0" w:color="auto"/>
        <w:left w:val="none" w:sz="0" w:space="0" w:color="auto"/>
        <w:bottom w:val="none" w:sz="0" w:space="0" w:color="auto"/>
        <w:right w:val="none" w:sz="0" w:space="0" w:color="auto"/>
      </w:divBdr>
    </w:div>
    <w:div w:id="1142964591">
      <w:bodyDiv w:val="1"/>
      <w:marLeft w:val="0"/>
      <w:marRight w:val="0"/>
      <w:marTop w:val="0"/>
      <w:marBottom w:val="0"/>
      <w:divBdr>
        <w:top w:val="none" w:sz="0" w:space="0" w:color="auto"/>
        <w:left w:val="none" w:sz="0" w:space="0" w:color="auto"/>
        <w:bottom w:val="none" w:sz="0" w:space="0" w:color="auto"/>
        <w:right w:val="none" w:sz="0" w:space="0" w:color="auto"/>
      </w:divBdr>
    </w:div>
    <w:div w:id="1143472894">
      <w:bodyDiv w:val="1"/>
      <w:marLeft w:val="0"/>
      <w:marRight w:val="0"/>
      <w:marTop w:val="0"/>
      <w:marBottom w:val="0"/>
      <w:divBdr>
        <w:top w:val="none" w:sz="0" w:space="0" w:color="auto"/>
        <w:left w:val="none" w:sz="0" w:space="0" w:color="auto"/>
        <w:bottom w:val="none" w:sz="0" w:space="0" w:color="auto"/>
        <w:right w:val="none" w:sz="0" w:space="0" w:color="auto"/>
      </w:divBdr>
    </w:div>
    <w:div w:id="1172524815">
      <w:bodyDiv w:val="1"/>
      <w:marLeft w:val="0"/>
      <w:marRight w:val="0"/>
      <w:marTop w:val="0"/>
      <w:marBottom w:val="0"/>
      <w:divBdr>
        <w:top w:val="none" w:sz="0" w:space="0" w:color="auto"/>
        <w:left w:val="none" w:sz="0" w:space="0" w:color="auto"/>
        <w:bottom w:val="none" w:sz="0" w:space="0" w:color="auto"/>
        <w:right w:val="none" w:sz="0" w:space="0" w:color="auto"/>
      </w:divBdr>
    </w:div>
    <w:div w:id="1180242157">
      <w:bodyDiv w:val="1"/>
      <w:marLeft w:val="0"/>
      <w:marRight w:val="0"/>
      <w:marTop w:val="0"/>
      <w:marBottom w:val="0"/>
      <w:divBdr>
        <w:top w:val="none" w:sz="0" w:space="0" w:color="auto"/>
        <w:left w:val="none" w:sz="0" w:space="0" w:color="auto"/>
        <w:bottom w:val="none" w:sz="0" w:space="0" w:color="auto"/>
        <w:right w:val="none" w:sz="0" w:space="0" w:color="auto"/>
      </w:divBdr>
    </w:div>
    <w:div w:id="1209680582">
      <w:bodyDiv w:val="1"/>
      <w:marLeft w:val="0"/>
      <w:marRight w:val="0"/>
      <w:marTop w:val="0"/>
      <w:marBottom w:val="0"/>
      <w:divBdr>
        <w:top w:val="none" w:sz="0" w:space="0" w:color="auto"/>
        <w:left w:val="none" w:sz="0" w:space="0" w:color="auto"/>
        <w:bottom w:val="none" w:sz="0" w:space="0" w:color="auto"/>
        <w:right w:val="none" w:sz="0" w:space="0" w:color="auto"/>
      </w:divBdr>
    </w:div>
    <w:div w:id="1210000383">
      <w:bodyDiv w:val="1"/>
      <w:marLeft w:val="0"/>
      <w:marRight w:val="0"/>
      <w:marTop w:val="0"/>
      <w:marBottom w:val="0"/>
      <w:divBdr>
        <w:top w:val="none" w:sz="0" w:space="0" w:color="auto"/>
        <w:left w:val="none" w:sz="0" w:space="0" w:color="auto"/>
        <w:bottom w:val="none" w:sz="0" w:space="0" w:color="auto"/>
        <w:right w:val="none" w:sz="0" w:space="0" w:color="auto"/>
      </w:divBdr>
    </w:div>
    <w:div w:id="1226573913">
      <w:bodyDiv w:val="1"/>
      <w:marLeft w:val="0"/>
      <w:marRight w:val="0"/>
      <w:marTop w:val="0"/>
      <w:marBottom w:val="0"/>
      <w:divBdr>
        <w:top w:val="none" w:sz="0" w:space="0" w:color="auto"/>
        <w:left w:val="none" w:sz="0" w:space="0" w:color="auto"/>
        <w:bottom w:val="none" w:sz="0" w:space="0" w:color="auto"/>
        <w:right w:val="none" w:sz="0" w:space="0" w:color="auto"/>
      </w:divBdr>
    </w:div>
    <w:div w:id="1260135714">
      <w:bodyDiv w:val="1"/>
      <w:marLeft w:val="0"/>
      <w:marRight w:val="0"/>
      <w:marTop w:val="0"/>
      <w:marBottom w:val="0"/>
      <w:divBdr>
        <w:top w:val="none" w:sz="0" w:space="0" w:color="auto"/>
        <w:left w:val="none" w:sz="0" w:space="0" w:color="auto"/>
        <w:bottom w:val="none" w:sz="0" w:space="0" w:color="auto"/>
        <w:right w:val="none" w:sz="0" w:space="0" w:color="auto"/>
      </w:divBdr>
    </w:div>
    <w:div w:id="1264192799">
      <w:bodyDiv w:val="1"/>
      <w:marLeft w:val="0"/>
      <w:marRight w:val="0"/>
      <w:marTop w:val="0"/>
      <w:marBottom w:val="0"/>
      <w:divBdr>
        <w:top w:val="none" w:sz="0" w:space="0" w:color="auto"/>
        <w:left w:val="none" w:sz="0" w:space="0" w:color="auto"/>
        <w:bottom w:val="none" w:sz="0" w:space="0" w:color="auto"/>
        <w:right w:val="none" w:sz="0" w:space="0" w:color="auto"/>
      </w:divBdr>
    </w:div>
    <w:div w:id="1275553108">
      <w:bodyDiv w:val="1"/>
      <w:marLeft w:val="0"/>
      <w:marRight w:val="0"/>
      <w:marTop w:val="0"/>
      <w:marBottom w:val="0"/>
      <w:divBdr>
        <w:top w:val="none" w:sz="0" w:space="0" w:color="auto"/>
        <w:left w:val="none" w:sz="0" w:space="0" w:color="auto"/>
        <w:bottom w:val="none" w:sz="0" w:space="0" w:color="auto"/>
        <w:right w:val="none" w:sz="0" w:space="0" w:color="auto"/>
      </w:divBdr>
    </w:div>
    <w:div w:id="1298029669">
      <w:bodyDiv w:val="1"/>
      <w:marLeft w:val="0"/>
      <w:marRight w:val="0"/>
      <w:marTop w:val="0"/>
      <w:marBottom w:val="0"/>
      <w:divBdr>
        <w:top w:val="none" w:sz="0" w:space="0" w:color="auto"/>
        <w:left w:val="none" w:sz="0" w:space="0" w:color="auto"/>
        <w:bottom w:val="none" w:sz="0" w:space="0" w:color="auto"/>
        <w:right w:val="none" w:sz="0" w:space="0" w:color="auto"/>
      </w:divBdr>
    </w:div>
    <w:div w:id="1305700819">
      <w:bodyDiv w:val="1"/>
      <w:marLeft w:val="0"/>
      <w:marRight w:val="0"/>
      <w:marTop w:val="0"/>
      <w:marBottom w:val="0"/>
      <w:divBdr>
        <w:top w:val="none" w:sz="0" w:space="0" w:color="auto"/>
        <w:left w:val="none" w:sz="0" w:space="0" w:color="auto"/>
        <w:bottom w:val="none" w:sz="0" w:space="0" w:color="auto"/>
        <w:right w:val="none" w:sz="0" w:space="0" w:color="auto"/>
      </w:divBdr>
    </w:div>
    <w:div w:id="1309631510">
      <w:bodyDiv w:val="1"/>
      <w:marLeft w:val="0"/>
      <w:marRight w:val="0"/>
      <w:marTop w:val="0"/>
      <w:marBottom w:val="0"/>
      <w:divBdr>
        <w:top w:val="none" w:sz="0" w:space="0" w:color="auto"/>
        <w:left w:val="none" w:sz="0" w:space="0" w:color="auto"/>
        <w:bottom w:val="none" w:sz="0" w:space="0" w:color="auto"/>
        <w:right w:val="none" w:sz="0" w:space="0" w:color="auto"/>
      </w:divBdr>
    </w:div>
    <w:div w:id="1319916720">
      <w:bodyDiv w:val="1"/>
      <w:marLeft w:val="0"/>
      <w:marRight w:val="0"/>
      <w:marTop w:val="0"/>
      <w:marBottom w:val="0"/>
      <w:divBdr>
        <w:top w:val="none" w:sz="0" w:space="0" w:color="auto"/>
        <w:left w:val="none" w:sz="0" w:space="0" w:color="auto"/>
        <w:bottom w:val="none" w:sz="0" w:space="0" w:color="auto"/>
        <w:right w:val="none" w:sz="0" w:space="0" w:color="auto"/>
      </w:divBdr>
    </w:div>
    <w:div w:id="1330670989">
      <w:bodyDiv w:val="1"/>
      <w:marLeft w:val="0"/>
      <w:marRight w:val="0"/>
      <w:marTop w:val="0"/>
      <w:marBottom w:val="0"/>
      <w:divBdr>
        <w:top w:val="none" w:sz="0" w:space="0" w:color="auto"/>
        <w:left w:val="none" w:sz="0" w:space="0" w:color="auto"/>
        <w:bottom w:val="none" w:sz="0" w:space="0" w:color="auto"/>
        <w:right w:val="none" w:sz="0" w:space="0" w:color="auto"/>
      </w:divBdr>
    </w:div>
    <w:div w:id="1337609566">
      <w:bodyDiv w:val="1"/>
      <w:marLeft w:val="0"/>
      <w:marRight w:val="0"/>
      <w:marTop w:val="0"/>
      <w:marBottom w:val="0"/>
      <w:divBdr>
        <w:top w:val="none" w:sz="0" w:space="0" w:color="auto"/>
        <w:left w:val="none" w:sz="0" w:space="0" w:color="auto"/>
        <w:bottom w:val="none" w:sz="0" w:space="0" w:color="auto"/>
        <w:right w:val="none" w:sz="0" w:space="0" w:color="auto"/>
      </w:divBdr>
    </w:div>
    <w:div w:id="1368680016">
      <w:bodyDiv w:val="1"/>
      <w:marLeft w:val="0"/>
      <w:marRight w:val="0"/>
      <w:marTop w:val="0"/>
      <w:marBottom w:val="0"/>
      <w:divBdr>
        <w:top w:val="none" w:sz="0" w:space="0" w:color="auto"/>
        <w:left w:val="none" w:sz="0" w:space="0" w:color="auto"/>
        <w:bottom w:val="none" w:sz="0" w:space="0" w:color="auto"/>
        <w:right w:val="none" w:sz="0" w:space="0" w:color="auto"/>
      </w:divBdr>
    </w:div>
    <w:div w:id="1383942558">
      <w:bodyDiv w:val="1"/>
      <w:marLeft w:val="0"/>
      <w:marRight w:val="0"/>
      <w:marTop w:val="0"/>
      <w:marBottom w:val="0"/>
      <w:divBdr>
        <w:top w:val="none" w:sz="0" w:space="0" w:color="auto"/>
        <w:left w:val="none" w:sz="0" w:space="0" w:color="auto"/>
        <w:bottom w:val="none" w:sz="0" w:space="0" w:color="auto"/>
        <w:right w:val="none" w:sz="0" w:space="0" w:color="auto"/>
      </w:divBdr>
    </w:div>
    <w:div w:id="1388913063">
      <w:bodyDiv w:val="1"/>
      <w:marLeft w:val="0"/>
      <w:marRight w:val="0"/>
      <w:marTop w:val="0"/>
      <w:marBottom w:val="0"/>
      <w:divBdr>
        <w:top w:val="none" w:sz="0" w:space="0" w:color="auto"/>
        <w:left w:val="none" w:sz="0" w:space="0" w:color="auto"/>
        <w:bottom w:val="none" w:sz="0" w:space="0" w:color="auto"/>
        <w:right w:val="none" w:sz="0" w:space="0" w:color="auto"/>
      </w:divBdr>
    </w:div>
    <w:div w:id="1390609282">
      <w:bodyDiv w:val="1"/>
      <w:marLeft w:val="0"/>
      <w:marRight w:val="0"/>
      <w:marTop w:val="0"/>
      <w:marBottom w:val="0"/>
      <w:divBdr>
        <w:top w:val="none" w:sz="0" w:space="0" w:color="auto"/>
        <w:left w:val="none" w:sz="0" w:space="0" w:color="auto"/>
        <w:bottom w:val="none" w:sz="0" w:space="0" w:color="auto"/>
        <w:right w:val="none" w:sz="0" w:space="0" w:color="auto"/>
      </w:divBdr>
    </w:div>
    <w:div w:id="1426682037">
      <w:bodyDiv w:val="1"/>
      <w:marLeft w:val="0"/>
      <w:marRight w:val="0"/>
      <w:marTop w:val="0"/>
      <w:marBottom w:val="0"/>
      <w:divBdr>
        <w:top w:val="none" w:sz="0" w:space="0" w:color="auto"/>
        <w:left w:val="none" w:sz="0" w:space="0" w:color="auto"/>
        <w:bottom w:val="none" w:sz="0" w:space="0" w:color="auto"/>
        <w:right w:val="none" w:sz="0" w:space="0" w:color="auto"/>
      </w:divBdr>
    </w:div>
    <w:div w:id="1434128748">
      <w:bodyDiv w:val="1"/>
      <w:marLeft w:val="0"/>
      <w:marRight w:val="0"/>
      <w:marTop w:val="0"/>
      <w:marBottom w:val="0"/>
      <w:divBdr>
        <w:top w:val="none" w:sz="0" w:space="0" w:color="auto"/>
        <w:left w:val="none" w:sz="0" w:space="0" w:color="auto"/>
        <w:bottom w:val="none" w:sz="0" w:space="0" w:color="auto"/>
        <w:right w:val="none" w:sz="0" w:space="0" w:color="auto"/>
      </w:divBdr>
    </w:div>
    <w:div w:id="1435176762">
      <w:bodyDiv w:val="1"/>
      <w:marLeft w:val="0"/>
      <w:marRight w:val="0"/>
      <w:marTop w:val="0"/>
      <w:marBottom w:val="0"/>
      <w:divBdr>
        <w:top w:val="none" w:sz="0" w:space="0" w:color="auto"/>
        <w:left w:val="none" w:sz="0" w:space="0" w:color="auto"/>
        <w:bottom w:val="none" w:sz="0" w:space="0" w:color="auto"/>
        <w:right w:val="none" w:sz="0" w:space="0" w:color="auto"/>
      </w:divBdr>
    </w:div>
    <w:div w:id="1460763757">
      <w:bodyDiv w:val="1"/>
      <w:marLeft w:val="0"/>
      <w:marRight w:val="0"/>
      <w:marTop w:val="0"/>
      <w:marBottom w:val="0"/>
      <w:divBdr>
        <w:top w:val="none" w:sz="0" w:space="0" w:color="auto"/>
        <w:left w:val="none" w:sz="0" w:space="0" w:color="auto"/>
        <w:bottom w:val="none" w:sz="0" w:space="0" w:color="auto"/>
        <w:right w:val="none" w:sz="0" w:space="0" w:color="auto"/>
      </w:divBdr>
    </w:div>
    <w:div w:id="1470051478">
      <w:bodyDiv w:val="1"/>
      <w:marLeft w:val="0"/>
      <w:marRight w:val="0"/>
      <w:marTop w:val="0"/>
      <w:marBottom w:val="0"/>
      <w:divBdr>
        <w:top w:val="none" w:sz="0" w:space="0" w:color="auto"/>
        <w:left w:val="none" w:sz="0" w:space="0" w:color="auto"/>
        <w:bottom w:val="none" w:sz="0" w:space="0" w:color="auto"/>
        <w:right w:val="none" w:sz="0" w:space="0" w:color="auto"/>
      </w:divBdr>
    </w:div>
    <w:div w:id="1498614797">
      <w:bodyDiv w:val="1"/>
      <w:marLeft w:val="0"/>
      <w:marRight w:val="0"/>
      <w:marTop w:val="0"/>
      <w:marBottom w:val="0"/>
      <w:divBdr>
        <w:top w:val="none" w:sz="0" w:space="0" w:color="auto"/>
        <w:left w:val="none" w:sz="0" w:space="0" w:color="auto"/>
        <w:bottom w:val="none" w:sz="0" w:space="0" w:color="auto"/>
        <w:right w:val="none" w:sz="0" w:space="0" w:color="auto"/>
      </w:divBdr>
    </w:div>
    <w:div w:id="1498619117">
      <w:bodyDiv w:val="1"/>
      <w:marLeft w:val="0"/>
      <w:marRight w:val="0"/>
      <w:marTop w:val="0"/>
      <w:marBottom w:val="0"/>
      <w:divBdr>
        <w:top w:val="none" w:sz="0" w:space="0" w:color="auto"/>
        <w:left w:val="none" w:sz="0" w:space="0" w:color="auto"/>
        <w:bottom w:val="none" w:sz="0" w:space="0" w:color="auto"/>
        <w:right w:val="none" w:sz="0" w:space="0" w:color="auto"/>
      </w:divBdr>
    </w:div>
    <w:div w:id="1516529385">
      <w:bodyDiv w:val="1"/>
      <w:marLeft w:val="0"/>
      <w:marRight w:val="0"/>
      <w:marTop w:val="0"/>
      <w:marBottom w:val="0"/>
      <w:divBdr>
        <w:top w:val="none" w:sz="0" w:space="0" w:color="auto"/>
        <w:left w:val="none" w:sz="0" w:space="0" w:color="auto"/>
        <w:bottom w:val="none" w:sz="0" w:space="0" w:color="auto"/>
        <w:right w:val="none" w:sz="0" w:space="0" w:color="auto"/>
      </w:divBdr>
    </w:div>
    <w:div w:id="1525751958">
      <w:bodyDiv w:val="1"/>
      <w:marLeft w:val="0"/>
      <w:marRight w:val="0"/>
      <w:marTop w:val="0"/>
      <w:marBottom w:val="0"/>
      <w:divBdr>
        <w:top w:val="none" w:sz="0" w:space="0" w:color="auto"/>
        <w:left w:val="none" w:sz="0" w:space="0" w:color="auto"/>
        <w:bottom w:val="none" w:sz="0" w:space="0" w:color="auto"/>
        <w:right w:val="none" w:sz="0" w:space="0" w:color="auto"/>
      </w:divBdr>
    </w:div>
    <w:div w:id="1527987861">
      <w:bodyDiv w:val="1"/>
      <w:marLeft w:val="0"/>
      <w:marRight w:val="0"/>
      <w:marTop w:val="0"/>
      <w:marBottom w:val="0"/>
      <w:divBdr>
        <w:top w:val="none" w:sz="0" w:space="0" w:color="auto"/>
        <w:left w:val="none" w:sz="0" w:space="0" w:color="auto"/>
        <w:bottom w:val="none" w:sz="0" w:space="0" w:color="auto"/>
        <w:right w:val="none" w:sz="0" w:space="0" w:color="auto"/>
      </w:divBdr>
    </w:div>
    <w:div w:id="1559130479">
      <w:bodyDiv w:val="1"/>
      <w:marLeft w:val="0"/>
      <w:marRight w:val="0"/>
      <w:marTop w:val="0"/>
      <w:marBottom w:val="0"/>
      <w:divBdr>
        <w:top w:val="none" w:sz="0" w:space="0" w:color="auto"/>
        <w:left w:val="none" w:sz="0" w:space="0" w:color="auto"/>
        <w:bottom w:val="none" w:sz="0" w:space="0" w:color="auto"/>
        <w:right w:val="none" w:sz="0" w:space="0" w:color="auto"/>
      </w:divBdr>
    </w:div>
    <w:div w:id="1583485537">
      <w:bodyDiv w:val="1"/>
      <w:marLeft w:val="0"/>
      <w:marRight w:val="0"/>
      <w:marTop w:val="0"/>
      <w:marBottom w:val="0"/>
      <w:divBdr>
        <w:top w:val="none" w:sz="0" w:space="0" w:color="auto"/>
        <w:left w:val="none" w:sz="0" w:space="0" w:color="auto"/>
        <w:bottom w:val="none" w:sz="0" w:space="0" w:color="auto"/>
        <w:right w:val="none" w:sz="0" w:space="0" w:color="auto"/>
      </w:divBdr>
    </w:div>
    <w:div w:id="1610236074">
      <w:bodyDiv w:val="1"/>
      <w:marLeft w:val="0"/>
      <w:marRight w:val="0"/>
      <w:marTop w:val="0"/>
      <w:marBottom w:val="0"/>
      <w:divBdr>
        <w:top w:val="none" w:sz="0" w:space="0" w:color="auto"/>
        <w:left w:val="none" w:sz="0" w:space="0" w:color="auto"/>
        <w:bottom w:val="none" w:sz="0" w:space="0" w:color="auto"/>
        <w:right w:val="none" w:sz="0" w:space="0" w:color="auto"/>
      </w:divBdr>
    </w:div>
    <w:div w:id="1619216404">
      <w:bodyDiv w:val="1"/>
      <w:marLeft w:val="0"/>
      <w:marRight w:val="0"/>
      <w:marTop w:val="0"/>
      <w:marBottom w:val="0"/>
      <w:divBdr>
        <w:top w:val="none" w:sz="0" w:space="0" w:color="auto"/>
        <w:left w:val="none" w:sz="0" w:space="0" w:color="auto"/>
        <w:bottom w:val="none" w:sz="0" w:space="0" w:color="auto"/>
        <w:right w:val="none" w:sz="0" w:space="0" w:color="auto"/>
      </w:divBdr>
    </w:div>
    <w:div w:id="1626159080">
      <w:bodyDiv w:val="1"/>
      <w:marLeft w:val="0"/>
      <w:marRight w:val="0"/>
      <w:marTop w:val="0"/>
      <w:marBottom w:val="0"/>
      <w:divBdr>
        <w:top w:val="none" w:sz="0" w:space="0" w:color="auto"/>
        <w:left w:val="none" w:sz="0" w:space="0" w:color="auto"/>
        <w:bottom w:val="none" w:sz="0" w:space="0" w:color="auto"/>
        <w:right w:val="none" w:sz="0" w:space="0" w:color="auto"/>
      </w:divBdr>
    </w:div>
    <w:div w:id="1636176376">
      <w:bodyDiv w:val="1"/>
      <w:marLeft w:val="0"/>
      <w:marRight w:val="0"/>
      <w:marTop w:val="0"/>
      <w:marBottom w:val="0"/>
      <w:divBdr>
        <w:top w:val="none" w:sz="0" w:space="0" w:color="auto"/>
        <w:left w:val="none" w:sz="0" w:space="0" w:color="auto"/>
        <w:bottom w:val="none" w:sz="0" w:space="0" w:color="auto"/>
        <w:right w:val="none" w:sz="0" w:space="0" w:color="auto"/>
      </w:divBdr>
    </w:div>
    <w:div w:id="1660574066">
      <w:bodyDiv w:val="1"/>
      <w:marLeft w:val="0"/>
      <w:marRight w:val="0"/>
      <w:marTop w:val="0"/>
      <w:marBottom w:val="0"/>
      <w:divBdr>
        <w:top w:val="none" w:sz="0" w:space="0" w:color="auto"/>
        <w:left w:val="none" w:sz="0" w:space="0" w:color="auto"/>
        <w:bottom w:val="none" w:sz="0" w:space="0" w:color="auto"/>
        <w:right w:val="none" w:sz="0" w:space="0" w:color="auto"/>
      </w:divBdr>
    </w:div>
    <w:div w:id="1667585714">
      <w:bodyDiv w:val="1"/>
      <w:marLeft w:val="0"/>
      <w:marRight w:val="0"/>
      <w:marTop w:val="0"/>
      <w:marBottom w:val="0"/>
      <w:divBdr>
        <w:top w:val="none" w:sz="0" w:space="0" w:color="auto"/>
        <w:left w:val="none" w:sz="0" w:space="0" w:color="auto"/>
        <w:bottom w:val="none" w:sz="0" w:space="0" w:color="auto"/>
        <w:right w:val="none" w:sz="0" w:space="0" w:color="auto"/>
      </w:divBdr>
    </w:div>
    <w:div w:id="1687947329">
      <w:bodyDiv w:val="1"/>
      <w:marLeft w:val="0"/>
      <w:marRight w:val="0"/>
      <w:marTop w:val="0"/>
      <w:marBottom w:val="0"/>
      <w:divBdr>
        <w:top w:val="none" w:sz="0" w:space="0" w:color="auto"/>
        <w:left w:val="none" w:sz="0" w:space="0" w:color="auto"/>
        <w:bottom w:val="none" w:sz="0" w:space="0" w:color="auto"/>
        <w:right w:val="none" w:sz="0" w:space="0" w:color="auto"/>
      </w:divBdr>
    </w:div>
    <w:div w:id="1696614569">
      <w:bodyDiv w:val="1"/>
      <w:marLeft w:val="0"/>
      <w:marRight w:val="0"/>
      <w:marTop w:val="0"/>
      <w:marBottom w:val="0"/>
      <w:divBdr>
        <w:top w:val="none" w:sz="0" w:space="0" w:color="auto"/>
        <w:left w:val="none" w:sz="0" w:space="0" w:color="auto"/>
        <w:bottom w:val="none" w:sz="0" w:space="0" w:color="auto"/>
        <w:right w:val="none" w:sz="0" w:space="0" w:color="auto"/>
      </w:divBdr>
    </w:div>
    <w:div w:id="1761678253">
      <w:bodyDiv w:val="1"/>
      <w:marLeft w:val="0"/>
      <w:marRight w:val="0"/>
      <w:marTop w:val="0"/>
      <w:marBottom w:val="0"/>
      <w:divBdr>
        <w:top w:val="none" w:sz="0" w:space="0" w:color="auto"/>
        <w:left w:val="none" w:sz="0" w:space="0" w:color="auto"/>
        <w:bottom w:val="none" w:sz="0" w:space="0" w:color="auto"/>
        <w:right w:val="none" w:sz="0" w:space="0" w:color="auto"/>
      </w:divBdr>
    </w:div>
    <w:div w:id="1803693601">
      <w:bodyDiv w:val="1"/>
      <w:marLeft w:val="0"/>
      <w:marRight w:val="0"/>
      <w:marTop w:val="0"/>
      <w:marBottom w:val="0"/>
      <w:divBdr>
        <w:top w:val="none" w:sz="0" w:space="0" w:color="auto"/>
        <w:left w:val="none" w:sz="0" w:space="0" w:color="auto"/>
        <w:bottom w:val="none" w:sz="0" w:space="0" w:color="auto"/>
        <w:right w:val="none" w:sz="0" w:space="0" w:color="auto"/>
      </w:divBdr>
    </w:div>
    <w:div w:id="1812552956">
      <w:bodyDiv w:val="1"/>
      <w:marLeft w:val="0"/>
      <w:marRight w:val="0"/>
      <w:marTop w:val="0"/>
      <w:marBottom w:val="0"/>
      <w:divBdr>
        <w:top w:val="none" w:sz="0" w:space="0" w:color="auto"/>
        <w:left w:val="none" w:sz="0" w:space="0" w:color="auto"/>
        <w:bottom w:val="none" w:sz="0" w:space="0" w:color="auto"/>
        <w:right w:val="none" w:sz="0" w:space="0" w:color="auto"/>
      </w:divBdr>
    </w:div>
    <w:div w:id="1845778962">
      <w:bodyDiv w:val="1"/>
      <w:marLeft w:val="0"/>
      <w:marRight w:val="0"/>
      <w:marTop w:val="0"/>
      <w:marBottom w:val="0"/>
      <w:divBdr>
        <w:top w:val="none" w:sz="0" w:space="0" w:color="auto"/>
        <w:left w:val="none" w:sz="0" w:space="0" w:color="auto"/>
        <w:bottom w:val="none" w:sz="0" w:space="0" w:color="auto"/>
        <w:right w:val="none" w:sz="0" w:space="0" w:color="auto"/>
      </w:divBdr>
    </w:div>
    <w:div w:id="1856455431">
      <w:bodyDiv w:val="1"/>
      <w:marLeft w:val="0"/>
      <w:marRight w:val="0"/>
      <w:marTop w:val="0"/>
      <w:marBottom w:val="0"/>
      <w:divBdr>
        <w:top w:val="none" w:sz="0" w:space="0" w:color="auto"/>
        <w:left w:val="none" w:sz="0" w:space="0" w:color="auto"/>
        <w:bottom w:val="none" w:sz="0" w:space="0" w:color="auto"/>
        <w:right w:val="none" w:sz="0" w:space="0" w:color="auto"/>
      </w:divBdr>
    </w:div>
    <w:div w:id="1892770588">
      <w:bodyDiv w:val="1"/>
      <w:marLeft w:val="0"/>
      <w:marRight w:val="0"/>
      <w:marTop w:val="0"/>
      <w:marBottom w:val="0"/>
      <w:divBdr>
        <w:top w:val="none" w:sz="0" w:space="0" w:color="auto"/>
        <w:left w:val="none" w:sz="0" w:space="0" w:color="auto"/>
        <w:bottom w:val="none" w:sz="0" w:space="0" w:color="auto"/>
        <w:right w:val="none" w:sz="0" w:space="0" w:color="auto"/>
      </w:divBdr>
    </w:div>
    <w:div w:id="1901356384">
      <w:bodyDiv w:val="1"/>
      <w:marLeft w:val="0"/>
      <w:marRight w:val="0"/>
      <w:marTop w:val="0"/>
      <w:marBottom w:val="0"/>
      <w:divBdr>
        <w:top w:val="none" w:sz="0" w:space="0" w:color="auto"/>
        <w:left w:val="none" w:sz="0" w:space="0" w:color="auto"/>
        <w:bottom w:val="none" w:sz="0" w:space="0" w:color="auto"/>
        <w:right w:val="none" w:sz="0" w:space="0" w:color="auto"/>
      </w:divBdr>
    </w:div>
    <w:div w:id="1960069313">
      <w:bodyDiv w:val="1"/>
      <w:marLeft w:val="0"/>
      <w:marRight w:val="0"/>
      <w:marTop w:val="0"/>
      <w:marBottom w:val="0"/>
      <w:divBdr>
        <w:top w:val="none" w:sz="0" w:space="0" w:color="auto"/>
        <w:left w:val="none" w:sz="0" w:space="0" w:color="auto"/>
        <w:bottom w:val="none" w:sz="0" w:space="0" w:color="auto"/>
        <w:right w:val="none" w:sz="0" w:space="0" w:color="auto"/>
      </w:divBdr>
    </w:div>
    <w:div w:id="1966882129">
      <w:bodyDiv w:val="1"/>
      <w:marLeft w:val="0"/>
      <w:marRight w:val="0"/>
      <w:marTop w:val="0"/>
      <w:marBottom w:val="0"/>
      <w:divBdr>
        <w:top w:val="none" w:sz="0" w:space="0" w:color="auto"/>
        <w:left w:val="none" w:sz="0" w:space="0" w:color="auto"/>
        <w:bottom w:val="none" w:sz="0" w:space="0" w:color="auto"/>
        <w:right w:val="none" w:sz="0" w:space="0" w:color="auto"/>
      </w:divBdr>
    </w:div>
    <w:div w:id="1989093544">
      <w:bodyDiv w:val="1"/>
      <w:marLeft w:val="0"/>
      <w:marRight w:val="0"/>
      <w:marTop w:val="0"/>
      <w:marBottom w:val="0"/>
      <w:divBdr>
        <w:top w:val="none" w:sz="0" w:space="0" w:color="auto"/>
        <w:left w:val="none" w:sz="0" w:space="0" w:color="auto"/>
        <w:bottom w:val="none" w:sz="0" w:space="0" w:color="auto"/>
        <w:right w:val="none" w:sz="0" w:space="0" w:color="auto"/>
      </w:divBdr>
    </w:div>
    <w:div w:id="2034258711">
      <w:bodyDiv w:val="1"/>
      <w:marLeft w:val="0"/>
      <w:marRight w:val="0"/>
      <w:marTop w:val="0"/>
      <w:marBottom w:val="0"/>
      <w:divBdr>
        <w:top w:val="none" w:sz="0" w:space="0" w:color="auto"/>
        <w:left w:val="none" w:sz="0" w:space="0" w:color="auto"/>
        <w:bottom w:val="none" w:sz="0" w:space="0" w:color="auto"/>
        <w:right w:val="none" w:sz="0" w:space="0" w:color="auto"/>
      </w:divBdr>
    </w:div>
    <w:div w:id="2035375991">
      <w:bodyDiv w:val="1"/>
      <w:marLeft w:val="0"/>
      <w:marRight w:val="0"/>
      <w:marTop w:val="0"/>
      <w:marBottom w:val="0"/>
      <w:divBdr>
        <w:top w:val="none" w:sz="0" w:space="0" w:color="auto"/>
        <w:left w:val="none" w:sz="0" w:space="0" w:color="auto"/>
        <w:bottom w:val="none" w:sz="0" w:space="0" w:color="auto"/>
        <w:right w:val="none" w:sz="0" w:space="0" w:color="auto"/>
      </w:divBdr>
    </w:div>
    <w:div w:id="2048601118">
      <w:bodyDiv w:val="1"/>
      <w:marLeft w:val="0"/>
      <w:marRight w:val="0"/>
      <w:marTop w:val="0"/>
      <w:marBottom w:val="0"/>
      <w:divBdr>
        <w:top w:val="none" w:sz="0" w:space="0" w:color="auto"/>
        <w:left w:val="none" w:sz="0" w:space="0" w:color="auto"/>
        <w:bottom w:val="none" w:sz="0" w:space="0" w:color="auto"/>
        <w:right w:val="none" w:sz="0" w:space="0" w:color="auto"/>
      </w:divBdr>
    </w:div>
    <w:div w:id="2067799065">
      <w:bodyDiv w:val="1"/>
      <w:marLeft w:val="0"/>
      <w:marRight w:val="0"/>
      <w:marTop w:val="0"/>
      <w:marBottom w:val="0"/>
      <w:divBdr>
        <w:top w:val="none" w:sz="0" w:space="0" w:color="auto"/>
        <w:left w:val="none" w:sz="0" w:space="0" w:color="auto"/>
        <w:bottom w:val="none" w:sz="0" w:space="0" w:color="auto"/>
        <w:right w:val="none" w:sz="0" w:space="0" w:color="auto"/>
      </w:divBdr>
    </w:div>
    <w:div w:id="2087605930">
      <w:bodyDiv w:val="1"/>
      <w:marLeft w:val="0"/>
      <w:marRight w:val="0"/>
      <w:marTop w:val="0"/>
      <w:marBottom w:val="0"/>
      <w:divBdr>
        <w:top w:val="none" w:sz="0" w:space="0" w:color="auto"/>
        <w:left w:val="none" w:sz="0" w:space="0" w:color="auto"/>
        <w:bottom w:val="none" w:sz="0" w:space="0" w:color="auto"/>
        <w:right w:val="none" w:sz="0" w:space="0" w:color="auto"/>
      </w:divBdr>
    </w:div>
    <w:div w:id="2090761696">
      <w:bodyDiv w:val="1"/>
      <w:marLeft w:val="0"/>
      <w:marRight w:val="0"/>
      <w:marTop w:val="0"/>
      <w:marBottom w:val="0"/>
      <w:divBdr>
        <w:top w:val="none" w:sz="0" w:space="0" w:color="auto"/>
        <w:left w:val="none" w:sz="0" w:space="0" w:color="auto"/>
        <w:bottom w:val="none" w:sz="0" w:space="0" w:color="auto"/>
        <w:right w:val="none" w:sz="0" w:space="0" w:color="auto"/>
      </w:divBdr>
    </w:div>
    <w:div w:id="2093503621">
      <w:bodyDiv w:val="1"/>
      <w:marLeft w:val="0"/>
      <w:marRight w:val="0"/>
      <w:marTop w:val="0"/>
      <w:marBottom w:val="0"/>
      <w:divBdr>
        <w:top w:val="none" w:sz="0" w:space="0" w:color="auto"/>
        <w:left w:val="none" w:sz="0" w:space="0" w:color="auto"/>
        <w:bottom w:val="none" w:sz="0" w:space="0" w:color="auto"/>
        <w:right w:val="none" w:sz="0" w:space="0" w:color="auto"/>
      </w:divBdr>
    </w:div>
    <w:div w:id="2105832292">
      <w:bodyDiv w:val="1"/>
      <w:marLeft w:val="0"/>
      <w:marRight w:val="0"/>
      <w:marTop w:val="0"/>
      <w:marBottom w:val="0"/>
      <w:divBdr>
        <w:top w:val="none" w:sz="0" w:space="0" w:color="auto"/>
        <w:left w:val="none" w:sz="0" w:space="0" w:color="auto"/>
        <w:bottom w:val="none" w:sz="0" w:space="0" w:color="auto"/>
        <w:right w:val="none" w:sz="0" w:space="0" w:color="auto"/>
      </w:divBdr>
    </w:div>
    <w:div w:id="2113741930">
      <w:bodyDiv w:val="1"/>
      <w:marLeft w:val="0"/>
      <w:marRight w:val="0"/>
      <w:marTop w:val="0"/>
      <w:marBottom w:val="0"/>
      <w:divBdr>
        <w:top w:val="none" w:sz="0" w:space="0" w:color="auto"/>
        <w:left w:val="none" w:sz="0" w:space="0" w:color="auto"/>
        <w:bottom w:val="none" w:sz="0" w:space="0" w:color="auto"/>
        <w:right w:val="none" w:sz="0" w:space="0" w:color="auto"/>
      </w:divBdr>
    </w:div>
    <w:div w:id="213609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creativecommons.org/licenses/by/3.0/au/legalcode" TargetMode="External"/><Relationship Id="rId26" Type="http://schemas.openxmlformats.org/officeDocument/2006/relationships/footer" Target="footer3.xml"/><Relationship Id="rId39" Type="http://schemas.openxmlformats.org/officeDocument/2006/relationships/hyperlink" Target="http://sjm.ministers.treasury.gov.au/media-release/005-2015/" TargetMode="External"/><Relationship Id="rId3" Type="http://schemas.openxmlformats.org/officeDocument/2006/relationships/customXml" Target="../customXml/item3.xml"/><Relationship Id="rId21" Type="http://schemas.openxmlformats.org/officeDocument/2006/relationships/hyperlink" Target="http://www.itsanhonour.gov.au" TargetMode="External"/><Relationship Id="rId34" Type="http://schemas.openxmlformats.org/officeDocument/2006/relationships/hyperlink" Target="https://www.gov.uk/government/publications/a-guide-to-regulation-of-registered-providers/a-guide-to-regulation-of-registered-providers" TargetMode="External"/><Relationship Id="rId42" Type="http://schemas.openxmlformats.org/officeDocument/2006/relationships/hyperlink" Target="http://www.treasury.gov.au/~/media/Treasury/Consultations%20and%20Reviews/Consultations/2016/CFFR%20Affordable%20Housing%20Working%20Group/Submissions/PDF/SGS_Economics_and_Planning.ashx" TargetMode="Externa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header" Target="header3.xml"/><Relationship Id="rId33" Type="http://schemas.openxmlformats.org/officeDocument/2006/relationships/hyperlink" Target="https://www.thfcorp.com/_uploads/downloads/InvestinginAffordableHousingdowngradefinal.pdf" TargetMode="External"/><Relationship Id="rId38" Type="http://schemas.openxmlformats.org/officeDocument/2006/relationships/hyperlink" Target="http://www.ahuri.edu.au/research/final-reports/268"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creativecommons.org/licenses/by/3.0/au/deed.en" TargetMode="External"/><Relationship Id="rId29" Type="http://schemas.openxmlformats.org/officeDocument/2006/relationships/footer" Target="footer5.xml"/><Relationship Id="rId41" Type="http://schemas.openxmlformats.org/officeDocument/2006/relationships/hyperlink" Target="http://www.nrsch.gov.au/__data/assets/file/0009/285849/Investor_FAQs.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file:///C:/Users/ahc/AppData/Local/Microsoft/Windows/Temporary%20Internet%20Files/Content.Outlook/5PA3QMZZ/Combine%20Result%201.docx" TargetMode="External"/><Relationship Id="rId37" Type="http://schemas.openxmlformats.org/officeDocument/2006/relationships/hyperlink" Target="https://www.ahuri.edu.au/__data/assets/pdf_file/0016/12832/Ready-for-growth-Inquiry-into-Australias-affordable-housing-industry-capacity-Visual-Report.pdf" TargetMode="External"/><Relationship Id="rId40" Type="http://schemas.openxmlformats.org/officeDocument/2006/relationships/hyperlink" Target="http://www.nrsch.gov.au/__data/assets/file/0005/410675/DOCUMENT-Report-NRSCH-Sector-snapshot-report-Mid-year-July-December....pdf" TargetMode="External"/><Relationship Id="rId45"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hyperlink" Target="http://www.ahuri.edu.au/research/final-reports/278" TargetMode="External"/><Relationship Id="rId10" Type="http://schemas.openxmlformats.org/officeDocument/2006/relationships/settings" Target="settings.xml"/><Relationship Id="rId19" Type="http://schemas.openxmlformats.org/officeDocument/2006/relationships/image" Target="media/image4.wmf"/><Relationship Id="rId31" Type="http://schemas.openxmlformats.org/officeDocument/2006/relationships/hyperlink" Target="file:///C:/Users/ahc/AppData/Local/Microsoft/Windows/Temporary%20Internet%20Files/Content.Outlook/5PA3QMZZ/Combine%20Result%201.docx" TargetMode="External"/><Relationship Id="rId44" Type="http://schemas.openxmlformats.org/officeDocument/2006/relationships/header" Target="header5.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yperlink" Target="mailto:medialiaison@treasury.gov.au" TargetMode="External"/><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hyperlink" Target="http://www.ahuri.edu.au/publications/projects/p53019" TargetMode="External"/><Relationship Id="rId43" Type="http://schemas.openxmlformats.org/officeDocument/2006/relationships/hyperlink" Target="http://www.treasury.gov.au/~/media/Treasury/Consultations%20and%20Reviews/Consultations/2016/CFFR%20Affordable%20Housing%20Working%20Group/Submissions/PDF/SVA_Macquarie.ash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mpPol response">
      <a:dk1>
        <a:sysClr val="windowText" lastClr="000000"/>
      </a:dk1>
      <a:lt1>
        <a:sysClr val="window" lastClr="FFFFFF"/>
      </a:lt1>
      <a:dk2>
        <a:srgbClr val="1F497D"/>
      </a:dk2>
      <a:lt2>
        <a:srgbClr val="EEECE1"/>
      </a:lt2>
      <a:accent1>
        <a:srgbClr val="134A6D"/>
      </a:accent1>
      <a:accent2>
        <a:srgbClr val="EB8712"/>
      </a:accent2>
      <a:accent3>
        <a:srgbClr val="BCD5F0"/>
      </a:accent3>
      <a:accent4>
        <a:srgbClr val="C00000"/>
      </a:accent4>
      <a:accent5>
        <a:srgbClr val="8064A2"/>
      </a:accent5>
      <a:accent6>
        <a:srgbClr val="31859B"/>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6EB3B15072AC1D409928D75C61018CC2" ma:contentTypeVersion="5599" ma:contentTypeDescription="" ma:contentTypeScope="" ma:versionID="6fe6108ffa1d122ed1feac47db662930">
  <xsd:schema xmlns:xsd="http://www.w3.org/2001/XMLSchema" xmlns:xs="http://www.w3.org/2001/XMLSchema" xmlns:p="http://schemas.microsoft.com/office/2006/metadata/properties" xmlns:ns1="http://schemas.microsoft.com/sharepoint/v3" xmlns:ns2="eb47d8b7-fefc-4923-b53c-9685ba6b7210" xmlns:ns4="http://schemas.microsoft.com/sharepoint/v4" targetNamespace="http://schemas.microsoft.com/office/2006/metadata/properties" ma:root="true" ma:fieldsID="edd0d4ed0cc81dc1c21159fec568cca6" ns1:_="" ns2:_="" ns4:_="">
    <xsd:import namespace="http://schemas.microsoft.com/sharepoint/v3"/>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TaxCatchAll xmlns="eb47d8b7-fefc-4923-b53c-9685ba6b7210">
      <Value>183</Value>
    </TaxCatchAll>
    <_dlc_DocId xmlns="eb47d8b7-fefc-4923-b53c-9685ba6b7210">2017CSSG-1551-1375</_dlc_DocId>
    <_dlc_DocIdUrl xmlns="eb47d8b7-fefc-4923-b53c-9685ba6b7210">
      <Url>http://tweb/sites/cssg/ped/pu/pt/_layouts/15/DocIdRedir.aspx?ID=2017CSSG-1551-1375</Url>
      <Description>2017CSSG-1551-1375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3E1C6-1719-47D9-897E-F36A39CB7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BF3CED-E395-4CB4-86AB-F4C99BF68A23}">
  <ds:schemaRefs>
    <ds:schemaRef ds:uri="http://schemas.microsoft.com/sharepoint/v3"/>
    <ds:schemaRef ds:uri="http://purl.org/dc/terms/"/>
    <ds:schemaRef ds:uri="http://schemas.microsoft.com/office/2006/documentManagement/types"/>
    <ds:schemaRef ds:uri="http://purl.org/dc/elements/1.1/"/>
    <ds:schemaRef ds:uri="http://schemas.microsoft.com/sharepoint/v4"/>
    <ds:schemaRef ds:uri="eb47d8b7-fefc-4923-b53c-9685ba6b7210"/>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840E5FF4-B5E1-4A95-83C1-2A5A400D0678}">
  <ds:schemaRefs>
    <ds:schemaRef ds:uri="http://schemas.microsoft.com/sharepoint/v3/contenttype/forms"/>
  </ds:schemaRefs>
</ds:datastoreItem>
</file>

<file path=customXml/itemProps4.xml><?xml version="1.0" encoding="utf-8"?>
<ds:datastoreItem xmlns:ds="http://schemas.openxmlformats.org/officeDocument/2006/customXml" ds:itemID="{40386A4A-273B-415C-A7F2-7166D365B210}">
  <ds:schemaRefs>
    <ds:schemaRef ds:uri="office.server.policy"/>
  </ds:schemaRefs>
</ds:datastoreItem>
</file>

<file path=customXml/itemProps5.xml><?xml version="1.0" encoding="utf-8"?>
<ds:datastoreItem xmlns:ds="http://schemas.openxmlformats.org/officeDocument/2006/customXml" ds:itemID="{23BAC453-E7CF-4C5F-9E7C-7148829B0EFB}">
  <ds:schemaRefs>
    <ds:schemaRef ds:uri="http://schemas.microsoft.com/sharepoint/events"/>
  </ds:schemaRefs>
</ds:datastoreItem>
</file>

<file path=customXml/itemProps6.xml><?xml version="1.0" encoding="utf-8"?>
<ds:datastoreItem xmlns:ds="http://schemas.openxmlformats.org/officeDocument/2006/customXml" ds:itemID="{D5C92E52-60ED-43E7-BF52-C13AD5C7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16120</Words>
  <Characters>91890</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2017-09-21T23:45:00Z</dcterms:created>
  <dcterms:modified xsi:type="dcterms:W3CDTF">2017-09-22T03:10:00Z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0x010100605AAC981168BE40A9BD548B81A50DF6006EB3B15072AC1D409928D75C61018CC2</vt:lpwstr>
  </property>
  <property fmtid="{D5CDD505-2E9C-101B-9397-08002B2CF9AE}" pid="3" name="TSYRecordClass">
    <vt:lpwstr>75</vt:lpwstr>
  </property>
  <property fmtid="{D5CDD505-2E9C-101B-9397-08002B2CF9AE}" pid="4" name="RecordPoint_WorkflowType">
    <vt:lpwstr>ActiveSubmitStub</vt:lpwstr>
  </property>
  <property fmtid="{D5CDD505-2E9C-101B-9397-08002B2CF9AE}" pid="5" name="RecordPoint_ActiveItemListId">
    <vt:lpwstr>{ae552c44-daad-439e-a48c-f25aaf725785}</vt:lpwstr>
  </property>
  <property fmtid="{D5CDD505-2E9C-101B-9397-08002B2CF9AE}" pid="6" name="RecordPoint_ActiveItemWebId">
    <vt:lpwstr>{e237d495-0881-4849-ae62-ddc8a8132df5}</vt:lpwstr>
  </property>
  <property fmtid="{D5CDD505-2E9C-101B-9397-08002B2CF9AE}" pid="7" name="RecordPoint_ActiveItemSiteId">
    <vt:lpwstr>{de902461-0703-410e-906b-a2e3a4f5dd57}</vt:lpwstr>
  </property>
  <property fmtid="{D5CDD505-2E9C-101B-9397-08002B2CF9AE}" pid="8" name="RecordPoint_SubmissionDate">
    <vt:lpwstr/>
  </property>
  <property fmtid="{D5CDD505-2E9C-101B-9397-08002B2CF9AE}" pid="9" name="RecordPoint_ActiveItemMoved">
    <vt:lpwstr/>
  </property>
  <property fmtid="{D5CDD505-2E9C-101B-9397-08002B2CF9AE}" pid="10" name="RecordPoint_RecordFormat">
    <vt:lpwstr/>
  </property>
  <property fmtid="{D5CDD505-2E9C-101B-9397-08002B2CF9AE}" pid="11" name="RecordPoint_ActiveItemUniqueId">
    <vt:lpwstr>{142c8df9-1dc6-4fcd-820f-44acc413ea1d}</vt:lpwstr>
  </property>
  <property fmtid="{D5CDD505-2E9C-101B-9397-08002B2CF9AE}" pid="12" name="_dlc_DocIdItemGuid">
    <vt:lpwstr>142c8df9-1dc6-4fcd-820f-44acc413ea1d</vt:lpwstr>
  </property>
  <property fmtid="{D5CDD505-2E9C-101B-9397-08002B2CF9AE}" pid="13" name="RecordPoint_RecordNumberSubmitted">
    <vt:lpwstr>R0001433757</vt:lpwstr>
  </property>
  <property fmtid="{D5CDD505-2E9C-101B-9397-08002B2CF9AE}" pid="14" name="RecordPoint_SubmissionCompleted">
    <vt:lpwstr>2017-09-22T13:10:57.8345418+10:00</vt:lpwstr>
  </property>
  <property fmtid="{D5CDD505-2E9C-101B-9397-08002B2CF9AE}" pid="15" name="_AdHocReviewCycleID">
    <vt:i4>479246600</vt:i4>
  </property>
  <property fmtid="{D5CDD505-2E9C-101B-9397-08002B2CF9AE}" pid="16" name="_NewReviewCycle">
    <vt:lpwstr/>
  </property>
  <property fmtid="{D5CDD505-2E9C-101B-9397-08002B2CF9AE}" pid="18" name="_PreviousAdHocReviewCycleID">
    <vt:i4>1005869849</vt:i4>
  </property>
</Properties>
</file>