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1AF" w:rsidRPr="0053629A" w:rsidRDefault="00E33FBE" w:rsidP="00105059">
      <w:pPr>
        <w:pStyle w:val="Heading1"/>
      </w:pPr>
      <w:bookmarkStart w:id="0" w:name="_GoBack"/>
      <w:bookmarkEnd w:id="0"/>
      <w:r w:rsidRPr="00A2389A">
        <w:t>SECTION 4:</w:t>
      </w:r>
      <w:r>
        <w:t xml:space="preserve"> </w:t>
      </w:r>
      <w:r w:rsidRPr="00A2389A">
        <w:t>CASE STUDIES</w:t>
      </w:r>
    </w:p>
    <w:p w:rsidR="00F96BF2" w:rsidRPr="0053629A" w:rsidRDefault="00F96BF2" w:rsidP="00105059">
      <w:pPr>
        <w:pStyle w:val="Heading2"/>
      </w:pPr>
      <w:r w:rsidRPr="0053629A">
        <w:t>4.1:</w:t>
      </w:r>
      <w:r w:rsidR="003E1304">
        <w:t xml:space="preserve"> </w:t>
      </w:r>
      <w:r w:rsidRPr="0053629A">
        <w:t>Introduction</w:t>
      </w:r>
    </w:p>
    <w:p w:rsidR="00E817A3" w:rsidRPr="00A2389A" w:rsidRDefault="00291524" w:rsidP="00105059">
      <w:r w:rsidRPr="00A2389A">
        <w:t xml:space="preserve">This section presents case studies of </w:t>
      </w:r>
      <w:r w:rsidR="009B2A90" w:rsidRPr="00A2389A">
        <w:t>Treasury</w:t>
      </w:r>
      <w:r w:rsidR="007609A4">
        <w:t>’</w:t>
      </w:r>
      <w:r w:rsidR="009B2A90" w:rsidRPr="00A2389A">
        <w:t xml:space="preserve">s </w:t>
      </w:r>
      <w:r w:rsidRPr="00A2389A">
        <w:t>forecasting performance</w:t>
      </w:r>
      <w:r w:rsidR="00682687" w:rsidRPr="00A2389A">
        <w:t>. The case studies</w:t>
      </w:r>
      <w:r w:rsidR="003E1304">
        <w:t xml:space="preserve"> </w:t>
      </w:r>
      <w:r w:rsidR="005B7744" w:rsidRPr="00A2389A">
        <w:t xml:space="preserve">relate to the most recent challenges confronting forecasters, namely </w:t>
      </w:r>
      <w:r w:rsidR="005B7744" w:rsidRPr="00D34E90">
        <w:t>M</w:t>
      </w:r>
      <w:r w:rsidRPr="00D34E90">
        <w:t xml:space="preserve">ining </w:t>
      </w:r>
      <w:r w:rsidR="005B7744" w:rsidRPr="00D34E90">
        <w:t>B</w:t>
      </w:r>
      <w:r w:rsidRPr="00D34E90">
        <w:t xml:space="preserve">oom </w:t>
      </w:r>
      <w:r w:rsidR="005B7744" w:rsidRPr="00D34E90">
        <w:t>M</w:t>
      </w:r>
      <w:r w:rsidRPr="00D34E90">
        <w:t>ark I</w:t>
      </w:r>
      <w:r w:rsidR="00885A9B" w:rsidRPr="00A2389A">
        <w:t xml:space="preserve"> </w:t>
      </w:r>
      <w:r w:rsidRPr="00A2389A">
        <w:t>(2003</w:t>
      </w:r>
      <w:r w:rsidR="009102D1">
        <w:noBreakHyphen/>
      </w:r>
      <w:r w:rsidRPr="00A2389A">
        <w:t xml:space="preserve">04 </w:t>
      </w:r>
      <w:r w:rsidR="00BB05A1" w:rsidRPr="00A2389A">
        <w:t>to</w:t>
      </w:r>
      <w:r w:rsidRPr="00A2389A">
        <w:t xml:space="preserve"> 2007</w:t>
      </w:r>
      <w:r w:rsidR="009102D1">
        <w:noBreakHyphen/>
      </w:r>
      <w:r w:rsidRPr="00A2389A">
        <w:t>08) and the global financial crisis (</w:t>
      </w:r>
      <w:r w:rsidRPr="00D34E90">
        <w:t>GFC</w:t>
      </w:r>
      <w:r w:rsidRPr="00A2389A">
        <w:t xml:space="preserve">) </w:t>
      </w:r>
      <w:r w:rsidR="00EB4BAC" w:rsidRPr="00A2389A">
        <w:t xml:space="preserve">and </w:t>
      </w:r>
      <w:r w:rsidR="005B7744" w:rsidRPr="00D34E90">
        <w:t>M</w:t>
      </w:r>
      <w:r w:rsidR="00EB4BAC" w:rsidRPr="00D34E90">
        <w:t xml:space="preserve">ining </w:t>
      </w:r>
      <w:r w:rsidR="005B7744" w:rsidRPr="00D34E90">
        <w:t>B</w:t>
      </w:r>
      <w:r w:rsidR="00EB4BAC" w:rsidRPr="00D34E90">
        <w:t xml:space="preserve">oom </w:t>
      </w:r>
      <w:r w:rsidR="005B7744" w:rsidRPr="00D34E90">
        <w:t>M</w:t>
      </w:r>
      <w:r w:rsidR="00EB4BAC" w:rsidRPr="00D34E90">
        <w:t>ark II</w:t>
      </w:r>
      <w:r w:rsidR="008B3F2E" w:rsidRPr="00A2389A">
        <w:t xml:space="preserve"> (</w:t>
      </w:r>
      <w:r w:rsidR="005B7744" w:rsidRPr="00A2389A">
        <w:t>2008</w:t>
      </w:r>
      <w:r w:rsidR="009102D1">
        <w:noBreakHyphen/>
      </w:r>
      <w:r w:rsidR="005B7744" w:rsidRPr="00A2389A">
        <w:t>09 to 2011</w:t>
      </w:r>
      <w:r w:rsidR="009102D1">
        <w:noBreakHyphen/>
      </w:r>
      <w:r w:rsidR="005B7744" w:rsidRPr="00A2389A">
        <w:t>12)</w:t>
      </w:r>
      <w:r w:rsidRPr="00A2389A">
        <w:t>.</w:t>
      </w:r>
    </w:p>
    <w:p w:rsidR="009B2A90" w:rsidRPr="00A2389A" w:rsidRDefault="009B2A90">
      <w:r w:rsidRPr="00A2389A">
        <w:t xml:space="preserve">Treasury underestimated the extent of the rise in the terms of trade during </w:t>
      </w:r>
      <w:r w:rsidR="000C4690" w:rsidRPr="00D34E90">
        <w:t>Mining Boom Mark I</w:t>
      </w:r>
      <w:r w:rsidRPr="0038647D">
        <w:t>,</w:t>
      </w:r>
      <w:r w:rsidRPr="00A2389A">
        <w:t xml:space="preserve"> which led to the underestimation of nominal economic outcomes and</w:t>
      </w:r>
      <w:r w:rsidR="00825584">
        <w:t>,</w:t>
      </w:r>
      <w:r w:rsidRPr="00A2389A">
        <w:t xml:space="preserve"> </w:t>
      </w:r>
      <w:r w:rsidR="00914B72">
        <w:t>in turn</w:t>
      </w:r>
      <w:r w:rsidR="00825584">
        <w:t>,</w:t>
      </w:r>
      <w:r w:rsidR="00914B72">
        <w:t xml:space="preserve"> </w:t>
      </w:r>
      <w:r w:rsidRPr="00A2389A">
        <w:t>taxation revenue</w:t>
      </w:r>
      <w:r w:rsidR="00825584">
        <w:t>,</w:t>
      </w:r>
      <w:r w:rsidR="00E13BE1">
        <w:t xml:space="preserve"> over the period</w:t>
      </w:r>
      <w:r w:rsidRPr="00A2389A">
        <w:t>.</w:t>
      </w:r>
      <w:r w:rsidR="003E1304">
        <w:t xml:space="preserve"> </w:t>
      </w:r>
      <w:r w:rsidR="008168B0" w:rsidRPr="00A2389A">
        <w:t xml:space="preserve">In contrast, during the </w:t>
      </w:r>
      <w:r w:rsidR="008168B0" w:rsidRPr="00D34E90">
        <w:t xml:space="preserve">GFC and </w:t>
      </w:r>
      <w:r w:rsidR="000C4690" w:rsidRPr="00D34E90">
        <w:t>Mining Boom Mark</w:t>
      </w:r>
      <w:r w:rsidR="00226F4E">
        <w:t> </w:t>
      </w:r>
      <w:r w:rsidR="008168B0" w:rsidRPr="00D34E90">
        <w:t>II</w:t>
      </w:r>
      <w:r w:rsidR="00E13BE1" w:rsidRPr="0038647D">
        <w:t>,</w:t>
      </w:r>
      <w:r w:rsidR="003E1304">
        <w:t xml:space="preserve"> </w:t>
      </w:r>
      <w:r w:rsidR="005038E8">
        <w:t xml:space="preserve">taxation </w:t>
      </w:r>
      <w:r w:rsidR="008168B0" w:rsidRPr="00A2389A">
        <w:t xml:space="preserve">revenue growth has generally been overestimated, </w:t>
      </w:r>
      <w:r w:rsidR="00CC02EB" w:rsidRPr="007F0AED">
        <w:t>with</w:t>
      </w:r>
      <w:r w:rsidR="008168B0" w:rsidRPr="0053629A">
        <w:t xml:space="preserve"> </w:t>
      </w:r>
      <w:r w:rsidR="00A96AC4">
        <w:t xml:space="preserve">taxation </w:t>
      </w:r>
      <w:r w:rsidR="008168B0" w:rsidRPr="0053629A">
        <w:t xml:space="preserve">receipts </w:t>
      </w:r>
      <w:r w:rsidR="00825584">
        <w:t xml:space="preserve">having </w:t>
      </w:r>
      <w:r w:rsidR="008168B0" w:rsidRPr="0053629A">
        <w:t>struggl</w:t>
      </w:r>
      <w:r w:rsidR="00825584">
        <w:t>ed</w:t>
      </w:r>
      <w:r w:rsidR="008168B0" w:rsidRPr="0053629A">
        <w:t xml:space="preserve"> to recover from their post</w:t>
      </w:r>
      <w:r w:rsidR="009102D1">
        <w:noBreakHyphen/>
      </w:r>
      <w:r w:rsidR="008168B0" w:rsidRPr="0053629A">
        <w:t>crisis lows</w:t>
      </w:r>
      <w:r w:rsidR="00E13BE1" w:rsidRPr="0053629A">
        <w:t>,</w:t>
      </w:r>
      <w:r w:rsidR="008168B0" w:rsidRPr="0053629A">
        <w:t xml:space="preserve"> </w:t>
      </w:r>
      <w:r w:rsidR="00CC02EB" w:rsidRPr="0053629A">
        <w:t xml:space="preserve">as </w:t>
      </w:r>
      <w:r w:rsidR="008168B0" w:rsidRPr="0053629A">
        <w:t>accumulated losses continu</w:t>
      </w:r>
      <w:r w:rsidR="00CC02EB" w:rsidRPr="0053629A">
        <w:t>e</w:t>
      </w:r>
      <w:r w:rsidR="0038647D">
        <w:t>d</w:t>
      </w:r>
      <w:r w:rsidR="008168B0" w:rsidRPr="0053629A">
        <w:t xml:space="preserve"> to flow through the tax system.</w:t>
      </w:r>
    </w:p>
    <w:p w:rsidR="000967AC" w:rsidRPr="00A2389A" w:rsidRDefault="008B3F2E">
      <w:r w:rsidRPr="00A2389A">
        <w:t>T</w:t>
      </w:r>
      <w:r w:rsidR="00F75E04" w:rsidRPr="00A2389A">
        <w:t xml:space="preserve">he </w:t>
      </w:r>
      <w:r w:rsidR="00E13BE1">
        <w:t xml:space="preserve">Budget </w:t>
      </w:r>
      <w:r w:rsidR="00F75E04" w:rsidRPr="00A2389A">
        <w:t>forecast error</w:t>
      </w:r>
      <w:r w:rsidR="00EC51A6">
        <w:t>s</w:t>
      </w:r>
      <w:r w:rsidR="003E1304">
        <w:t xml:space="preserve"> </w:t>
      </w:r>
      <w:r w:rsidR="0002191A">
        <w:t xml:space="preserve">(forecast minus actuals) </w:t>
      </w:r>
      <w:r w:rsidR="00E55F96">
        <w:rPr>
          <w:rFonts w:eastAsiaTheme="minorEastAsia"/>
        </w:rPr>
        <w:t>ov</w:t>
      </w:r>
      <w:r w:rsidR="00F75E04" w:rsidRPr="00A2389A">
        <w:t>er the</w:t>
      </w:r>
      <w:r w:rsidRPr="00A2389A">
        <w:t>se</w:t>
      </w:r>
      <w:r w:rsidR="00F75E04" w:rsidRPr="00A2389A">
        <w:t xml:space="preserve"> periods for nominal GDP and </w:t>
      </w:r>
      <w:r w:rsidR="00A96AC4">
        <w:t xml:space="preserve">taxation </w:t>
      </w:r>
      <w:r w:rsidR="00F75E04" w:rsidRPr="00A2389A">
        <w:t>revenue</w:t>
      </w:r>
      <w:r w:rsidRPr="00A2389A">
        <w:t xml:space="preserve"> </w:t>
      </w:r>
      <w:r w:rsidR="00E13BE1">
        <w:t xml:space="preserve">growth </w:t>
      </w:r>
      <w:r w:rsidRPr="00A2389A">
        <w:t>are shown in Figure 4.1</w:t>
      </w:r>
      <w:r w:rsidR="007E7C0D">
        <w:t>,</w:t>
      </w:r>
      <w:r w:rsidRPr="00A2389A">
        <w:t xml:space="preserve"> below</w:t>
      </w:r>
      <w:r w:rsidR="00F75E04" w:rsidRPr="00A2389A">
        <w:t>.</w:t>
      </w:r>
      <w:r w:rsidR="003E1304">
        <w:t xml:space="preserve"> </w:t>
      </w:r>
    </w:p>
    <w:p w:rsidR="00F066FA" w:rsidRDefault="00470462" w:rsidP="0053629A">
      <w:pPr>
        <w:pStyle w:val="ChartMainHeading"/>
        <w:spacing w:after="120"/>
      </w:pPr>
      <w:r w:rsidRPr="00105059">
        <w:t>Figure</w:t>
      </w:r>
      <w:r w:rsidR="00F066FA" w:rsidRPr="00105059">
        <w:t xml:space="preserve"> 4.1:</w:t>
      </w:r>
      <w:r w:rsidR="003E1304">
        <w:t xml:space="preserve"> </w:t>
      </w:r>
      <w:r w:rsidR="00E55F96" w:rsidRPr="00E55F96">
        <w:t xml:space="preserve">Budget Forecast Errors </w:t>
      </w:r>
      <w:r w:rsidR="00E55F96">
        <w:t>f</w:t>
      </w:r>
      <w:r w:rsidR="00E55F96" w:rsidRPr="00E55F96">
        <w:t>or Nominal G</w:t>
      </w:r>
      <w:r w:rsidR="00E55F96">
        <w:t>DP</w:t>
      </w:r>
      <w:r w:rsidR="00E55F96" w:rsidRPr="00E55F96">
        <w:t xml:space="preserve"> </w:t>
      </w:r>
      <w:r w:rsidR="00E55F96">
        <w:t>a</w:t>
      </w:r>
      <w:r w:rsidR="00E55F96" w:rsidRPr="00E55F96">
        <w:t>nd Taxation Revenue Growth</w:t>
      </w:r>
    </w:p>
    <w:p w:rsidR="00F066FA" w:rsidRDefault="00C91CD1" w:rsidP="00432C0D">
      <w:pPr>
        <w:pStyle w:val="ChartGraphic"/>
      </w:pPr>
      <w:r>
        <w:object w:dxaOrig="8735" w:dyaOrig="4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figure compares the budget forecast errors of non-farm nominal GDP growth and total tax revenue growth for each Budget year since 2003-04 and distinguishes between Mining Boom Mark I (2003-04 to 2007-08) and GFC and Mining Boom Mark II (2008-09 to 2011-12).&#10;" style="width:437.65pt;height:210.35pt" o:ole="">
            <v:imagedata r:id="rId9" o:title=""/>
          </v:shape>
          <o:OLEObject Type="Link" ProgID="Word.Document.12" ShapeID="_x0000_i1025" DrawAspect="Content" r:id="rId10" UpdateMode="Always">
            <o:LinkType>EnhancedMetaFile</o:LinkType>
            <o:LockedField>false</o:LockedField>
          </o:OLEObject>
        </w:object>
      </w:r>
    </w:p>
    <w:p w:rsidR="000967AC" w:rsidRPr="00105059" w:rsidRDefault="00395A51" w:rsidP="00432C0D">
      <w:pPr>
        <w:spacing w:after="360"/>
      </w:pPr>
      <w:r w:rsidRPr="00A2389A">
        <w:t xml:space="preserve">As part of </w:t>
      </w:r>
      <w:r w:rsidR="00130EA7" w:rsidRPr="00A2389A">
        <w:t>Treasury</w:t>
      </w:r>
      <w:r w:rsidR="007609A4">
        <w:t>’</w:t>
      </w:r>
      <w:r w:rsidR="00130EA7" w:rsidRPr="00A2389A">
        <w:t>s process</w:t>
      </w:r>
      <w:r w:rsidR="00E55F96">
        <w:t xml:space="preserve"> of </w:t>
      </w:r>
      <w:r w:rsidR="00E55F96" w:rsidRPr="00105059">
        <w:t>continuous internal evaluation</w:t>
      </w:r>
      <w:r w:rsidRPr="00A2389A">
        <w:t>, t</w:t>
      </w:r>
      <w:r w:rsidR="000967AC" w:rsidRPr="00A2389A">
        <w:t>he</w:t>
      </w:r>
      <w:r w:rsidR="00B626A5">
        <w:t>se</w:t>
      </w:r>
      <w:r w:rsidR="000967AC" w:rsidRPr="00A2389A">
        <w:t xml:space="preserve"> </w:t>
      </w:r>
      <w:r w:rsidR="005E5F04" w:rsidRPr="00A2389A">
        <w:t xml:space="preserve">forecasting </w:t>
      </w:r>
      <w:r w:rsidRPr="00A2389A">
        <w:t xml:space="preserve">errors </w:t>
      </w:r>
      <w:r w:rsidR="000C4690" w:rsidRPr="00A2389A">
        <w:t xml:space="preserve">have </w:t>
      </w:r>
      <w:r w:rsidR="00F066FA" w:rsidRPr="00A2389A">
        <w:t xml:space="preserve">resulted in </w:t>
      </w:r>
      <w:r w:rsidR="000967AC" w:rsidRPr="00A2389A">
        <w:t xml:space="preserve">several improvements </w:t>
      </w:r>
      <w:r w:rsidR="00D42146" w:rsidRPr="00A2389A">
        <w:t>to</w:t>
      </w:r>
      <w:r w:rsidR="00F20714" w:rsidRPr="00A2389A">
        <w:t xml:space="preserve"> </w:t>
      </w:r>
      <w:r w:rsidR="000967AC" w:rsidRPr="00A2389A">
        <w:t>economic and revenue forecasting methodology</w:t>
      </w:r>
      <w:r w:rsidR="003E1304">
        <w:t xml:space="preserve"> </w:t>
      </w:r>
      <w:r w:rsidR="00995CDD" w:rsidRPr="00A2389A">
        <w:t>and process</w:t>
      </w:r>
      <w:r w:rsidR="006B6369" w:rsidRPr="00A2389A">
        <w:t>.</w:t>
      </w:r>
      <w:r w:rsidR="006B6369" w:rsidRPr="00105059">
        <w:t xml:space="preserve"> </w:t>
      </w:r>
    </w:p>
    <w:p w:rsidR="00AC1B83" w:rsidRPr="0053629A" w:rsidRDefault="00845C8E" w:rsidP="00105059">
      <w:pPr>
        <w:pStyle w:val="Heading2"/>
      </w:pPr>
      <w:r w:rsidRPr="0053629A">
        <w:t>4.2</w:t>
      </w:r>
      <w:r w:rsidR="000C4690" w:rsidRPr="0053629A">
        <w:t>:</w:t>
      </w:r>
      <w:r w:rsidR="007709D6">
        <w:t xml:space="preserve"> </w:t>
      </w:r>
      <w:r w:rsidR="000C4690" w:rsidRPr="0053629A">
        <w:t>Mining Boom Mark I</w:t>
      </w:r>
    </w:p>
    <w:p w:rsidR="00EB5EBE" w:rsidRPr="00105059" w:rsidRDefault="00EB5EBE" w:rsidP="00105059">
      <w:pPr>
        <w:pStyle w:val="Heading3"/>
      </w:pPr>
      <w:r w:rsidRPr="00A2389A">
        <w:t>Summary</w:t>
      </w:r>
    </w:p>
    <w:p w:rsidR="00EB5EBE" w:rsidRPr="00A2389A" w:rsidRDefault="00EB5EBE" w:rsidP="00105059">
      <w:pPr>
        <w:pStyle w:val="BoxBullet"/>
      </w:pPr>
      <w:r w:rsidRPr="00A2389A">
        <w:t xml:space="preserve">In common with many other forecasters, Treasury underestimated the extent of the </w:t>
      </w:r>
      <w:r w:rsidR="00B82AF0">
        <w:t>rise in Australia</w:t>
      </w:r>
      <w:r w:rsidR="007609A4">
        <w:t>’</w:t>
      </w:r>
      <w:r w:rsidR="00B82AF0">
        <w:t xml:space="preserve">s </w:t>
      </w:r>
      <w:r w:rsidRPr="00A2389A">
        <w:t xml:space="preserve">terms of trade during </w:t>
      </w:r>
      <w:r w:rsidRPr="00D34E90">
        <w:t>Mining Boom Mark I</w:t>
      </w:r>
      <w:r w:rsidRPr="0038647D">
        <w:t>,</w:t>
      </w:r>
      <w:r w:rsidRPr="00A2389A">
        <w:t xml:space="preserve"> which led to </w:t>
      </w:r>
      <w:r w:rsidR="00401F7F">
        <w:t>the</w:t>
      </w:r>
      <w:r w:rsidRPr="00A2389A">
        <w:t xml:space="preserve"> underestimation of nominal economic outcomes.</w:t>
      </w:r>
      <w:r w:rsidR="0038647D">
        <w:t xml:space="preserve"> </w:t>
      </w:r>
      <w:r w:rsidRPr="00A2389A">
        <w:t>This reflected misjudgement of both demand and supply</w:t>
      </w:r>
      <w:r w:rsidR="009102D1">
        <w:noBreakHyphen/>
      </w:r>
      <w:r w:rsidRPr="00A2389A">
        <w:t>side developments</w:t>
      </w:r>
      <w:r w:rsidR="00645027">
        <w:t xml:space="preserve"> in the mining sector</w:t>
      </w:r>
      <w:r w:rsidRPr="00A2389A">
        <w:t>.</w:t>
      </w:r>
    </w:p>
    <w:p w:rsidR="00EB5EBE" w:rsidRPr="00A2389A" w:rsidRDefault="00EB5EBE" w:rsidP="00105059">
      <w:pPr>
        <w:pStyle w:val="BoxBullet"/>
      </w:pPr>
      <w:r w:rsidRPr="00A2389A">
        <w:t xml:space="preserve">On the demand side, economic </w:t>
      </w:r>
      <w:r w:rsidR="00B82AF0" w:rsidRPr="00A2389A">
        <w:t>growth in</w:t>
      </w:r>
      <w:r w:rsidRPr="00A2389A">
        <w:t xml:space="preserve"> China consistently exceeded forecasts over this period</w:t>
      </w:r>
      <w:r w:rsidR="00955011">
        <w:t>,</w:t>
      </w:r>
      <w:r w:rsidRPr="00A2389A">
        <w:t xml:space="preserve"> on average by around 2½ percentage points per annum. </w:t>
      </w:r>
      <w:r w:rsidR="005354F3">
        <w:t>As a result,</w:t>
      </w:r>
      <w:r w:rsidRPr="00A2389A">
        <w:t xml:space="preserve"> the demand for steel and</w:t>
      </w:r>
      <w:r w:rsidR="00ED21C7">
        <w:t>,</w:t>
      </w:r>
      <w:r w:rsidRPr="00A2389A">
        <w:t xml:space="preserve"> in turn</w:t>
      </w:r>
      <w:r w:rsidR="00ED21C7">
        <w:t>,</w:t>
      </w:r>
      <w:r w:rsidRPr="00A2389A">
        <w:t xml:space="preserve"> iron ore and metallurgical coal</w:t>
      </w:r>
      <w:r w:rsidR="00ED21C7">
        <w:t>,</w:t>
      </w:r>
      <w:r w:rsidRPr="00A2389A">
        <w:t xml:space="preserve"> </w:t>
      </w:r>
      <w:r w:rsidR="005354F3">
        <w:t xml:space="preserve">was </w:t>
      </w:r>
      <w:r w:rsidRPr="00A2389A">
        <w:t>underestimated.</w:t>
      </w:r>
    </w:p>
    <w:p w:rsidR="00EB5EBE" w:rsidRPr="00A22CB9" w:rsidRDefault="00EB5EBE" w:rsidP="0000158A">
      <w:pPr>
        <w:pStyle w:val="BoxBullet"/>
        <w:keepNext/>
      </w:pPr>
      <w:r w:rsidRPr="00A2389A">
        <w:t>Treasury also overestimated the speed at which global mining production would respond to the rise in mining output prices. Treasury</w:t>
      </w:r>
      <w:r w:rsidR="007609A4">
        <w:t>’</w:t>
      </w:r>
      <w:r w:rsidRPr="00A2389A">
        <w:t xml:space="preserve">s assessment was </w:t>
      </w:r>
      <w:r w:rsidR="001E36DC">
        <w:t xml:space="preserve">largely </w:t>
      </w:r>
      <w:r w:rsidRPr="00A2389A">
        <w:t>based on the mining companies</w:t>
      </w:r>
      <w:r w:rsidR="007609A4">
        <w:t>’</w:t>
      </w:r>
      <w:r w:rsidRPr="00A2389A">
        <w:t xml:space="preserve"> </w:t>
      </w:r>
      <w:r w:rsidR="008B35B6">
        <w:t>global</w:t>
      </w:r>
      <w:r w:rsidRPr="00A2389A">
        <w:t xml:space="preserve"> </w:t>
      </w:r>
      <w:r w:rsidRPr="00A2389A">
        <w:lastRenderedPageBreak/>
        <w:t>projections for production and export volumes</w:t>
      </w:r>
      <w:r w:rsidR="008B35B6">
        <w:t>,</w:t>
      </w:r>
      <w:r w:rsidRPr="00A2389A">
        <w:t xml:space="preserve"> which consistently</w:t>
      </w:r>
      <w:r w:rsidR="004C4387">
        <w:t xml:space="preserve"> exceeded actual outcomes</w:t>
      </w:r>
      <w:r w:rsidRPr="00A2389A">
        <w:t>. In Australia this partly reflected infrastructure bottlenecks and the impact of natural disasters.</w:t>
      </w:r>
    </w:p>
    <w:p w:rsidR="00EB5EBE" w:rsidRPr="00A2389A" w:rsidRDefault="00EB5EBE" w:rsidP="00105059">
      <w:pPr>
        <w:pStyle w:val="BoxBullet"/>
      </w:pPr>
      <w:r w:rsidRPr="00A2389A">
        <w:t>In response</w:t>
      </w:r>
      <w:r w:rsidR="005038E8">
        <w:t xml:space="preserve"> to these forecast errors</w:t>
      </w:r>
      <w:r w:rsidRPr="00A2389A">
        <w:t xml:space="preserve">, Treasury </w:t>
      </w:r>
      <w:r w:rsidR="005038E8">
        <w:t xml:space="preserve">has </w:t>
      </w:r>
      <w:r w:rsidR="0038647D">
        <w:t xml:space="preserve">progressed several initiatives designed to enhance </w:t>
      </w:r>
      <w:r w:rsidR="00442EC9">
        <w:t xml:space="preserve">its </w:t>
      </w:r>
      <w:r w:rsidRPr="00A2389A">
        <w:t xml:space="preserve">capability to forecast commodity prices and volumes. As part of the JEFG process, a balance of payments subcommittee has been established to </w:t>
      </w:r>
      <w:r w:rsidR="001E36DC">
        <w:t xml:space="preserve">focus specifically on </w:t>
      </w:r>
      <w:r w:rsidRPr="00A2389A">
        <w:t>the outlook for bulk commodities</w:t>
      </w:r>
      <w:r w:rsidR="001E36DC">
        <w:t>, comprising Treasury, the RBA, BREE and the ABS</w:t>
      </w:r>
      <w:r w:rsidRPr="00A2389A">
        <w:t>. Treasury</w:t>
      </w:r>
      <w:r w:rsidR="007609A4">
        <w:t>’</w:t>
      </w:r>
      <w:r w:rsidRPr="00A2389A">
        <w:t>s business liaison program has been refocused to place greater weight on the mining industry. A major project is also underway which uses detailed projections of commodity supply and demand to model the outlook for commodity prices through the medium</w:t>
      </w:r>
      <w:r w:rsidR="009102D1">
        <w:noBreakHyphen/>
      </w:r>
      <w:r w:rsidRPr="00A2389A">
        <w:t>term.</w:t>
      </w:r>
    </w:p>
    <w:p w:rsidR="00EB5EBE" w:rsidRPr="00A2389A" w:rsidRDefault="00A96AC4" w:rsidP="00105059">
      <w:pPr>
        <w:pStyle w:val="BoxBullet"/>
      </w:pPr>
      <w:r>
        <w:t xml:space="preserve">Taxation </w:t>
      </w:r>
      <w:r w:rsidR="00EB5EBE" w:rsidRPr="00A2389A">
        <w:t xml:space="preserve">revenue outcomes were also underestimated, largely </w:t>
      </w:r>
      <w:r w:rsidR="00B82AF0">
        <w:t xml:space="preserve">reflecting </w:t>
      </w:r>
      <w:r w:rsidR="00EB5EBE" w:rsidRPr="00A2389A">
        <w:t xml:space="preserve">the underestimation of the </w:t>
      </w:r>
      <w:r w:rsidR="005038E8">
        <w:t xml:space="preserve">strength of the </w:t>
      </w:r>
      <w:r w:rsidR="00EB5EBE" w:rsidRPr="00A2389A">
        <w:t>nominal economy</w:t>
      </w:r>
      <w:r w:rsidR="005038E8">
        <w:t xml:space="preserve"> during this period</w:t>
      </w:r>
      <w:r w:rsidR="00EB5EBE" w:rsidRPr="00A2389A">
        <w:t>.</w:t>
      </w:r>
      <w:r w:rsidR="003E1304">
        <w:t xml:space="preserve"> </w:t>
      </w:r>
      <w:r w:rsidR="00EB5EBE" w:rsidRPr="00A2389A">
        <w:t xml:space="preserve">Counterfactual analysis </w:t>
      </w:r>
      <w:r w:rsidR="005038E8">
        <w:t>finds</w:t>
      </w:r>
      <w:r w:rsidR="005038E8" w:rsidRPr="00A2389A">
        <w:t xml:space="preserve"> </w:t>
      </w:r>
      <w:r w:rsidR="00EB5EBE" w:rsidRPr="00A2389A">
        <w:t>that the revenue forecast errors would have been small if the actual economic outcomes had been known at the time that the revenue forecasts were being prepared.</w:t>
      </w:r>
    </w:p>
    <w:p w:rsidR="00EB5EBE" w:rsidRPr="0053629A" w:rsidRDefault="00EB5EBE" w:rsidP="00105059">
      <w:pPr>
        <w:pStyle w:val="BoxBullet"/>
      </w:pPr>
      <w:r w:rsidRPr="007F0AED">
        <w:t xml:space="preserve">Capital gains tax (CGT) was a major source of </w:t>
      </w:r>
      <w:r w:rsidR="007942C1" w:rsidRPr="0053629A">
        <w:t xml:space="preserve">forecast </w:t>
      </w:r>
      <w:r w:rsidRPr="0053629A">
        <w:t xml:space="preserve">error </w:t>
      </w:r>
      <w:r w:rsidR="00C903AA">
        <w:t>during Mining Boom Mark I</w:t>
      </w:r>
      <w:r w:rsidRPr="0053629A">
        <w:t xml:space="preserve">, </w:t>
      </w:r>
      <w:r w:rsidR="00C63AFE" w:rsidRPr="0053629A">
        <w:t xml:space="preserve">in large part, </w:t>
      </w:r>
      <w:r w:rsidR="00C903AA">
        <w:t xml:space="preserve">due to the </w:t>
      </w:r>
      <w:r w:rsidR="00C63AFE" w:rsidRPr="0053629A">
        <w:t xml:space="preserve">underestimation of </w:t>
      </w:r>
      <w:r w:rsidR="007942C1" w:rsidRPr="0053629A">
        <w:t xml:space="preserve">the sharp rise in </w:t>
      </w:r>
      <w:r w:rsidRPr="0053629A">
        <w:t xml:space="preserve">asset </w:t>
      </w:r>
      <w:r w:rsidR="00C63AFE" w:rsidRPr="0053629A">
        <w:t>price</w:t>
      </w:r>
      <w:r w:rsidR="007942C1" w:rsidRPr="0053629A">
        <w:t>s</w:t>
      </w:r>
      <w:r w:rsidR="00C903AA">
        <w:t xml:space="preserve"> over th</w:t>
      </w:r>
      <w:r w:rsidR="002C113D">
        <w:t>e</w:t>
      </w:r>
      <w:r w:rsidR="00C903AA">
        <w:t xml:space="preserve"> period</w:t>
      </w:r>
      <w:r w:rsidR="007709D6">
        <w:t xml:space="preserve">. </w:t>
      </w:r>
    </w:p>
    <w:p w:rsidR="00EB5EBE" w:rsidRPr="00A22CB9" w:rsidRDefault="00EB5EBE" w:rsidP="00105059">
      <w:pPr>
        <w:pStyle w:val="BoxBullet"/>
      </w:pPr>
      <w:r w:rsidRPr="00A22CB9">
        <w:t>In response</w:t>
      </w:r>
      <w:r w:rsidR="005038E8">
        <w:t xml:space="preserve"> to these forecast errors</w:t>
      </w:r>
      <w:r w:rsidRPr="00A22CB9">
        <w:t xml:space="preserve">, Treasury </w:t>
      </w:r>
      <w:r w:rsidR="005038E8">
        <w:t xml:space="preserve">overhauled </w:t>
      </w:r>
      <w:r w:rsidRPr="00A22CB9">
        <w:t xml:space="preserve">its forecasting models to take </w:t>
      </w:r>
      <w:r w:rsidR="00B626A5">
        <w:t xml:space="preserve">better </w:t>
      </w:r>
      <w:r w:rsidRPr="00A22CB9">
        <w:t xml:space="preserve">account of the volatile nature of </w:t>
      </w:r>
      <w:r w:rsidR="00C903AA">
        <w:t>this</w:t>
      </w:r>
      <w:r w:rsidRPr="00A22CB9">
        <w:t xml:space="preserve"> </w:t>
      </w:r>
      <w:r w:rsidR="00C903AA">
        <w:t xml:space="preserve">head of </w:t>
      </w:r>
      <w:r w:rsidRPr="00A22CB9">
        <w:t>revenue.</w:t>
      </w:r>
      <w:r w:rsidR="003E1304">
        <w:t xml:space="preserve"> </w:t>
      </w:r>
      <w:r w:rsidRPr="00A22CB9">
        <w:t xml:space="preserve">CGT is now explicitly forecast in a stock model </w:t>
      </w:r>
      <w:r w:rsidR="001710B9" w:rsidRPr="00A22CB9">
        <w:t>(rather than being grown in line with other heads of revenue)</w:t>
      </w:r>
      <w:r w:rsidR="001710B9">
        <w:t xml:space="preserve">, </w:t>
      </w:r>
      <w:r w:rsidRPr="00A22CB9">
        <w:t xml:space="preserve">which </w:t>
      </w:r>
      <w:r w:rsidR="005038E8">
        <w:t xml:space="preserve">better </w:t>
      </w:r>
      <w:r w:rsidRPr="00A22CB9">
        <w:t>allows for periods of rapid asset price growth and the accumulation of capital gains and losses.</w:t>
      </w:r>
    </w:p>
    <w:p w:rsidR="000F7EFC" w:rsidRPr="00105059" w:rsidRDefault="000F7EFC" w:rsidP="0053629A">
      <w:pPr>
        <w:pStyle w:val="Heading3"/>
      </w:pPr>
      <w:r w:rsidRPr="00105059">
        <w:t>Background</w:t>
      </w:r>
    </w:p>
    <w:p w:rsidR="00697FA3" w:rsidRPr="00A2389A" w:rsidRDefault="008168B0">
      <w:r w:rsidRPr="00A2389A">
        <w:t>The first phase of the m</w:t>
      </w:r>
      <w:r w:rsidR="000967AC" w:rsidRPr="00A2389A">
        <w:t xml:space="preserve">ining boom </w:t>
      </w:r>
      <w:r w:rsidR="00F86E34" w:rsidRPr="00A2389A">
        <w:t xml:space="preserve">spanned </w:t>
      </w:r>
      <w:r w:rsidR="007F6903">
        <w:t xml:space="preserve">the </w:t>
      </w:r>
      <w:r w:rsidR="007709D6">
        <w:t>five</w:t>
      </w:r>
      <w:r w:rsidR="009102D1">
        <w:noBreakHyphen/>
      </w:r>
      <w:r w:rsidR="00F86E34" w:rsidRPr="00A2389A">
        <w:t>year</w:t>
      </w:r>
      <w:r w:rsidR="007F6903">
        <w:t xml:space="preserve"> period to 2007</w:t>
      </w:r>
      <w:r w:rsidR="009102D1">
        <w:noBreakHyphen/>
      </w:r>
      <w:r w:rsidR="007F6903">
        <w:t>08</w:t>
      </w:r>
      <w:r w:rsidR="000967AC" w:rsidRPr="00A2389A">
        <w:t xml:space="preserve">, </w:t>
      </w:r>
      <w:r w:rsidR="00C903AA">
        <w:t>with</w:t>
      </w:r>
      <w:r w:rsidR="00BF0575" w:rsidRPr="00A2389A">
        <w:t xml:space="preserve"> </w:t>
      </w:r>
      <w:r w:rsidR="00BC1EF4" w:rsidRPr="00A2389A">
        <w:t>rapid rates of industrialisation in Asia, particularly in China, increas</w:t>
      </w:r>
      <w:r w:rsidR="00C903AA">
        <w:t>ing</w:t>
      </w:r>
      <w:r w:rsidR="00BC1EF4" w:rsidRPr="00A2389A">
        <w:t xml:space="preserve"> worldwide demand for natural resources and in turn, underpinn</w:t>
      </w:r>
      <w:r w:rsidR="00C903AA">
        <w:t>ing</w:t>
      </w:r>
      <w:r w:rsidR="00BC1EF4" w:rsidRPr="00A2389A">
        <w:t xml:space="preserve"> an investment boom and a sharp </w:t>
      </w:r>
      <w:r w:rsidR="00A16184" w:rsidRPr="00A2389A">
        <w:t xml:space="preserve">sustained </w:t>
      </w:r>
      <w:r w:rsidR="00BC1EF4" w:rsidRPr="00A2389A">
        <w:t>rise in output prices in the mining sector.</w:t>
      </w:r>
      <w:r w:rsidR="00BF0575" w:rsidRPr="00A2389A">
        <w:t xml:space="preserve"> As a result</w:t>
      </w:r>
      <w:r w:rsidR="00222E67">
        <w:t>,</w:t>
      </w:r>
      <w:r w:rsidR="00BF0575" w:rsidRPr="00A2389A">
        <w:t xml:space="preserve"> Australia</w:t>
      </w:r>
      <w:r w:rsidR="007609A4">
        <w:t>’</w:t>
      </w:r>
      <w:r w:rsidR="00BF0575" w:rsidRPr="00A2389A">
        <w:t>s terms of trade ro</w:t>
      </w:r>
      <w:r w:rsidR="00742155" w:rsidRPr="00A2389A">
        <w:t>se by almost 50</w:t>
      </w:r>
      <w:r w:rsidR="003E1304">
        <w:t xml:space="preserve"> </w:t>
      </w:r>
      <w:r w:rsidR="00742155" w:rsidRPr="00A2389A">
        <w:t xml:space="preserve">per cent from </w:t>
      </w:r>
      <w:r w:rsidR="00EB5EBE">
        <w:t>early</w:t>
      </w:r>
      <w:r w:rsidR="00742155" w:rsidRPr="00A2389A">
        <w:t xml:space="preserve"> 2004 until the </w:t>
      </w:r>
      <w:r w:rsidR="00EB5EBE">
        <w:t xml:space="preserve">onset of the </w:t>
      </w:r>
      <w:r w:rsidR="00742155" w:rsidRPr="00A2389A">
        <w:t>GFC</w:t>
      </w:r>
      <w:r w:rsidR="000A75D7" w:rsidRPr="00A2389A">
        <w:t xml:space="preserve"> in 2008</w:t>
      </w:r>
      <w:r w:rsidR="00BC1EF4" w:rsidRPr="00A2389A">
        <w:t xml:space="preserve">. </w:t>
      </w:r>
      <w:r w:rsidR="00742155" w:rsidRPr="00A2389A">
        <w:t>The economy began to approach capacity constraints around 2006 and 2007, with unemployment heading down towards 4 per cent</w:t>
      </w:r>
      <w:r w:rsidR="007709D6">
        <w:t xml:space="preserve"> — </w:t>
      </w:r>
      <w:r w:rsidR="00742155" w:rsidRPr="00A2389A">
        <w:t>a rate not seen since the early–1970s</w:t>
      </w:r>
      <w:r w:rsidRPr="00A2389A">
        <w:t>.</w:t>
      </w:r>
      <w:r w:rsidR="00BC1EF4" w:rsidRPr="00A2389A">
        <w:t xml:space="preserve"> </w:t>
      </w:r>
      <w:r w:rsidR="00742155" w:rsidRPr="00A2389A">
        <w:t>Monetary policy was tightened to address inflationary pressures</w:t>
      </w:r>
      <w:r w:rsidR="00A153DF" w:rsidRPr="00A2389A">
        <w:t>, with i</w:t>
      </w:r>
      <w:r w:rsidR="00742155" w:rsidRPr="00A2389A">
        <w:t>nflation peak</w:t>
      </w:r>
      <w:r w:rsidR="00A153DF" w:rsidRPr="00A2389A">
        <w:t>ing</w:t>
      </w:r>
      <w:r w:rsidR="00742155" w:rsidRPr="00A2389A">
        <w:t xml:space="preserve"> at 5 per cent in </w:t>
      </w:r>
      <w:r w:rsidR="00A153DF" w:rsidRPr="00A2389A">
        <w:t>mid</w:t>
      </w:r>
      <w:r w:rsidR="009102D1">
        <w:noBreakHyphen/>
      </w:r>
      <w:r w:rsidR="00742155" w:rsidRPr="00A2389A">
        <w:t>2008.</w:t>
      </w:r>
    </w:p>
    <w:p w:rsidR="000F7EFC" w:rsidRPr="00A2389A" w:rsidRDefault="00CC6D16" w:rsidP="00105059">
      <w:pPr>
        <w:pStyle w:val="Heading3"/>
      </w:pPr>
      <w:r>
        <w:t>Macroe</w:t>
      </w:r>
      <w:r w:rsidR="000F7EFC" w:rsidRPr="00A2389A">
        <w:t>conomic forecasting performance</w:t>
      </w:r>
    </w:p>
    <w:p w:rsidR="00786F76" w:rsidRPr="00A2389A" w:rsidRDefault="00356DF2" w:rsidP="00105059">
      <w:r>
        <w:t>In common with many other forecasters, a</w:t>
      </w:r>
      <w:r w:rsidR="00786F76" w:rsidRPr="00A2389A">
        <w:t xml:space="preserve"> feature of Treasury</w:t>
      </w:r>
      <w:r w:rsidR="007609A4">
        <w:t>’</w:t>
      </w:r>
      <w:r w:rsidR="00786F76" w:rsidRPr="00A2389A">
        <w:t xml:space="preserve">s </w:t>
      </w:r>
      <w:r w:rsidR="00CC6D16">
        <w:t>macro</w:t>
      </w:r>
      <w:r w:rsidR="00786F76" w:rsidRPr="00A2389A">
        <w:t xml:space="preserve">economic forecasts </w:t>
      </w:r>
      <w:r w:rsidR="00F2623C">
        <w:t>during</w:t>
      </w:r>
      <w:r w:rsidR="00F2623C" w:rsidRPr="00A2389A">
        <w:t xml:space="preserve"> </w:t>
      </w:r>
      <w:r w:rsidR="00F2623C" w:rsidRPr="00D34E90">
        <w:t>Mining Boom Mark I</w:t>
      </w:r>
      <w:r w:rsidR="00F2623C" w:rsidRPr="00A2389A">
        <w:t xml:space="preserve"> </w:t>
      </w:r>
      <w:r w:rsidR="00F2623C">
        <w:t>was</w:t>
      </w:r>
      <w:r w:rsidR="00786F76" w:rsidRPr="00A2389A">
        <w:t xml:space="preserve"> the underestimation of the </w:t>
      </w:r>
      <w:r>
        <w:t xml:space="preserve">sharp </w:t>
      </w:r>
      <w:r w:rsidR="00786F76" w:rsidRPr="00A2389A">
        <w:t xml:space="preserve">rise in </w:t>
      </w:r>
      <w:r w:rsidR="006235F2">
        <w:t>Australia</w:t>
      </w:r>
      <w:r w:rsidR="007609A4">
        <w:t>’</w:t>
      </w:r>
      <w:r w:rsidR="006235F2">
        <w:t>s</w:t>
      </w:r>
      <w:r w:rsidR="003E1304">
        <w:t xml:space="preserve"> </w:t>
      </w:r>
      <w:r w:rsidR="00786F76" w:rsidRPr="00A2389A">
        <w:t>terms of trade</w:t>
      </w:r>
      <w:r w:rsidR="001E36DC">
        <w:t>,</w:t>
      </w:r>
      <w:r w:rsidR="007709D6">
        <w:t xml:space="preserve"> </w:t>
      </w:r>
      <w:r w:rsidR="003A0E9F" w:rsidRPr="00A2389A">
        <w:t>and</w:t>
      </w:r>
      <w:r w:rsidR="00F2623C">
        <w:t xml:space="preserve"> in turn</w:t>
      </w:r>
      <w:r w:rsidR="003A0E9F" w:rsidRPr="00A2389A">
        <w:t xml:space="preserve"> nominal GDP growth</w:t>
      </w:r>
      <w:r w:rsidR="00226F4E">
        <w:t>, over th</w:t>
      </w:r>
      <w:r w:rsidR="005038E8">
        <w:t>e</w:t>
      </w:r>
      <w:r w:rsidR="00226F4E">
        <w:t xml:space="preserve"> period</w:t>
      </w:r>
      <w:r w:rsidR="00BF0575" w:rsidRPr="00A2389A">
        <w:t xml:space="preserve">. </w:t>
      </w:r>
      <w:r w:rsidR="007117FF" w:rsidRPr="00A2389A">
        <w:t>The main driver of the rise in the terms of trade</w:t>
      </w:r>
      <w:r w:rsidR="00F2623C">
        <w:t>,</w:t>
      </w:r>
      <w:r w:rsidR="007117FF" w:rsidRPr="00A2389A">
        <w:t xml:space="preserve"> and hence the main driver of Treasury</w:t>
      </w:r>
      <w:r w:rsidR="007609A4">
        <w:t>’</w:t>
      </w:r>
      <w:r w:rsidR="007117FF" w:rsidRPr="00A2389A">
        <w:t>s forecast error</w:t>
      </w:r>
      <w:r w:rsidR="00F2623C">
        <w:t>,</w:t>
      </w:r>
      <w:r w:rsidR="007117FF" w:rsidRPr="00A2389A">
        <w:t xml:space="preserve"> was </w:t>
      </w:r>
      <w:r>
        <w:t>a</w:t>
      </w:r>
      <w:r w:rsidR="007117FF" w:rsidRPr="00A2389A">
        <w:t xml:space="preserve"> sustained increase in iron ore and coal prices. </w:t>
      </w:r>
      <w:r w:rsidR="003A0E9F" w:rsidRPr="00A2389A">
        <w:t>Both demand and supply</w:t>
      </w:r>
      <w:r w:rsidR="009102D1">
        <w:noBreakHyphen/>
      </w:r>
      <w:r w:rsidR="003A0E9F" w:rsidRPr="00A2389A">
        <w:t>side surprises explain th</w:t>
      </w:r>
      <w:r w:rsidR="005038E8">
        <w:t>e forecast errors</w:t>
      </w:r>
      <w:r w:rsidR="003A0E9F" w:rsidRPr="00A2389A">
        <w:t xml:space="preserve">. </w:t>
      </w:r>
      <w:r w:rsidR="00BF0575" w:rsidRPr="00A2389A">
        <w:t>Figure</w:t>
      </w:r>
      <w:r w:rsidR="003E1304">
        <w:t xml:space="preserve"> </w:t>
      </w:r>
      <w:r w:rsidR="00BF0575" w:rsidRPr="00A2389A">
        <w:t>4.2</w:t>
      </w:r>
      <w:r w:rsidR="00AF3BC7" w:rsidRPr="00A2389A">
        <w:t xml:space="preserve"> highlights the consistent </w:t>
      </w:r>
      <w:r w:rsidR="00BF0575" w:rsidRPr="00A2389A">
        <w:t xml:space="preserve">underestimation of the rise in the terms of trade </w:t>
      </w:r>
      <w:r w:rsidR="007117FF" w:rsidRPr="00A2389A">
        <w:t>over</w:t>
      </w:r>
      <w:r w:rsidR="00BF0575" w:rsidRPr="00A2389A">
        <w:t xml:space="preserve"> </w:t>
      </w:r>
      <w:r w:rsidR="00AF3BC7" w:rsidRPr="00A2389A">
        <w:t>successive Budgets.</w:t>
      </w:r>
    </w:p>
    <w:p w:rsidR="00786F76" w:rsidRPr="00105059" w:rsidRDefault="00786F76" w:rsidP="0053629A">
      <w:pPr>
        <w:pStyle w:val="ChartMainHeading"/>
        <w:spacing w:after="120"/>
      </w:pPr>
      <w:r w:rsidRPr="00105059">
        <w:lastRenderedPageBreak/>
        <w:t xml:space="preserve">Figure </w:t>
      </w:r>
      <w:r w:rsidR="00BF0575" w:rsidRPr="00105059">
        <w:t>4.2</w:t>
      </w:r>
      <w:r w:rsidRPr="00105059">
        <w:t xml:space="preserve">: Budget </w:t>
      </w:r>
      <w:r w:rsidR="0002191A">
        <w:t>F</w:t>
      </w:r>
      <w:r w:rsidRPr="00105059">
        <w:t>orecasts</w:t>
      </w:r>
      <w:r w:rsidR="00B47C67" w:rsidRPr="003E1304">
        <w:t xml:space="preserve"> of Australia</w:t>
      </w:r>
      <w:r w:rsidR="007609A4">
        <w:t>’</w:t>
      </w:r>
      <w:r w:rsidR="00B47C67" w:rsidRPr="003E1304">
        <w:t xml:space="preserve">s </w:t>
      </w:r>
      <w:r w:rsidR="0002191A">
        <w:t>T</w:t>
      </w:r>
      <w:r w:rsidR="00B47C67" w:rsidRPr="003E1304">
        <w:t xml:space="preserve">erms of </w:t>
      </w:r>
      <w:r w:rsidR="0002191A">
        <w:t>T</w:t>
      </w:r>
      <w:r w:rsidR="00B47C67" w:rsidRPr="003E1304">
        <w:t>rade</w:t>
      </w:r>
    </w:p>
    <w:p w:rsidR="00786F76" w:rsidRPr="0053629A" w:rsidRDefault="00765F83" w:rsidP="00765F83">
      <w:pPr>
        <w:pStyle w:val="ChartGraphic"/>
      </w:pPr>
      <w:r>
        <w:rPr>
          <w:noProof/>
        </w:rPr>
        <w:fldChar w:fldCharType="begin" w:fldLock="1"/>
      </w:r>
      <w:r>
        <w:rPr>
          <w:noProof/>
        </w:rPr>
        <w:instrText xml:space="preserve"> LINK Excel.Sheet.8 "" "" \a \p </w:instrText>
      </w:r>
      <w:r>
        <w:rPr>
          <w:noProof/>
        </w:rPr>
        <w:fldChar w:fldCharType="separate"/>
      </w:r>
      <w:r w:rsidR="00401E4C">
        <w:rPr>
          <w:noProof/>
        </w:rPr>
        <w:object w:dxaOrig="8775" w:dyaOrig="3960">
          <v:shape id="_x0000_i1026" type="#_x0000_t75" alt="This figure plots Treasury’s Budget forecast level of Australia’s terms of trade against outcomes, beginning with the 2005-06 Budget.&#10;" style="width:438.9pt;height:198.45pt">
            <v:imagedata r:id="rId11" o:title=""/>
          </v:shape>
        </w:object>
      </w:r>
      <w:r>
        <w:rPr>
          <w:noProof/>
        </w:rPr>
        <w:fldChar w:fldCharType="end"/>
      </w:r>
    </w:p>
    <w:p w:rsidR="00786F76" w:rsidRDefault="0002191A" w:rsidP="00D34E90">
      <w:pPr>
        <w:pStyle w:val="ChartorTableNote"/>
        <w:spacing w:before="120"/>
        <w:rPr>
          <w:sz w:val="24"/>
          <w:szCs w:val="24"/>
        </w:rPr>
      </w:pPr>
      <w:r>
        <w:t>N</w:t>
      </w:r>
      <w:r w:rsidR="00697FA3" w:rsidRPr="0053629A">
        <w:t>ote:</w:t>
      </w:r>
      <w:r w:rsidR="00786F76" w:rsidRPr="0053629A">
        <w:t xml:space="preserve"> </w:t>
      </w:r>
      <w:r w:rsidR="00697FA3" w:rsidRPr="0053629A">
        <w:t xml:space="preserve">The </w:t>
      </w:r>
      <w:r w:rsidR="00825584">
        <w:t>figure</w:t>
      </w:r>
      <w:r w:rsidR="00697FA3" w:rsidRPr="0053629A">
        <w:t xml:space="preserve"> plots the forecast level of the terms of trade </w:t>
      </w:r>
      <w:r w:rsidR="005038E8">
        <w:t xml:space="preserve">against outcomes, with the forecast level </w:t>
      </w:r>
      <w:r w:rsidR="00697FA3" w:rsidRPr="0053629A">
        <w:t xml:space="preserve">derived from forecast growth rates </w:t>
      </w:r>
      <w:r w:rsidR="005038E8">
        <w:t xml:space="preserve">of the terms of trade </w:t>
      </w:r>
      <w:r w:rsidR="00697FA3" w:rsidRPr="0053629A">
        <w:t>from successive Budgets beginning with the 2005</w:t>
      </w:r>
      <w:r w:rsidR="009102D1">
        <w:noBreakHyphen/>
      </w:r>
      <w:r w:rsidR="00697FA3" w:rsidRPr="0053629A">
        <w:t>06 Budget</w:t>
      </w:r>
      <w:r w:rsidR="00697FA3" w:rsidRPr="0053629A">
        <w:rPr>
          <w:sz w:val="24"/>
          <w:szCs w:val="24"/>
        </w:rPr>
        <w:t>.</w:t>
      </w:r>
    </w:p>
    <w:p w:rsidR="00786F76" w:rsidRDefault="00AF3BC7" w:rsidP="00D34E90">
      <w:pPr>
        <w:spacing w:before="360" w:after="360"/>
      </w:pPr>
      <w:r w:rsidRPr="00A2389A">
        <w:t>On</w:t>
      </w:r>
      <w:r w:rsidR="00786F76" w:rsidRPr="00A2389A">
        <w:t xml:space="preserve"> the demand side</w:t>
      </w:r>
      <w:r w:rsidR="004B3A09" w:rsidRPr="00A2389A">
        <w:t>,</w:t>
      </w:r>
      <w:r w:rsidR="00786F76" w:rsidRPr="00A2389A">
        <w:t xml:space="preserve"> forecasters consistently underestimated economic growth in China and other emerging economies and hence </w:t>
      </w:r>
      <w:r w:rsidR="00653E58" w:rsidRPr="00A2389A">
        <w:t xml:space="preserve">underestimated </w:t>
      </w:r>
      <w:r w:rsidR="00786F76" w:rsidRPr="00A2389A">
        <w:t xml:space="preserve">the demand </w:t>
      </w:r>
      <w:r w:rsidR="00F55D2E" w:rsidRPr="00A2389A">
        <w:t xml:space="preserve">for steel and </w:t>
      </w:r>
      <w:r w:rsidR="00461983" w:rsidRPr="00A2389A">
        <w:t xml:space="preserve">in turn </w:t>
      </w:r>
      <w:r w:rsidR="00786F76" w:rsidRPr="00A2389A">
        <w:t xml:space="preserve">iron ore and metallurgical coal. This pattern </w:t>
      </w:r>
      <w:r w:rsidR="00EC04CC">
        <w:t>was observed</w:t>
      </w:r>
      <w:r w:rsidR="00786F76" w:rsidRPr="00A2389A">
        <w:t xml:space="preserve"> over </w:t>
      </w:r>
      <w:r w:rsidR="00F55D2E" w:rsidRPr="00A2389A">
        <w:t>the period of the first mining boom</w:t>
      </w:r>
      <w:r w:rsidR="000D078D">
        <w:t>,</w:t>
      </w:r>
      <w:r w:rsidR="00786F76" w:rsidRPr="00A2389A">
        <w:t xml:space="preserve"> with forecasts </w:t>
      </w:r>
      <w:r w:rsidR="00914B72">
        <w:t xml:space="preserve">of the Chinese economy </w:t>
      </w:r>
      <w:r w:rsidR="00786F76" w:rsidRPr="00A2389A">
        <w:t>only recently becoming more accurate.</w:t>
      </w:r>
      <w:r w:rsidR="00697FA3" w:rsidRPr="00A2389A">
        <w:t xml:space="preserve"> Over the period 2003 to</w:t>
      </w:r>
      <w:r w:rsidR="00523851" w:rsidRPr="00A2389A">
        <w:t xml:space="preserve"> 2007</w:t>
      </w:r>
      <w:r w:rsidR="000D078D">
        <w:t>,</w:t>
      </w:r>
      <w:r w:rsidR="00523851" w:rsidRPr="00A2389A">
        <w:t xml:space="preserve"> the </w:t>
      </w:r>
      <w:r w:rsidR="008E4B5E" w:rsidRPr="00A2389A">
        <w:t xml:space="preserve">average </w:t>
      </w:r>
      <w:r w:rsidR="00523851" w:rsidRPr="00A2389A">
        <w:t>forecast error was 2½ percentage points per annum</w:t>
      </w:r>
      <w:r w:rsidR="00470462" w:rsidRPr="00A2389A">
        <w:t>. Figure 4.3</w:t>
      </w:r>
      <w:r w:rsidR="00697FA3" w:rsidRPr="00A2389A">
        <w:t xml:space="preserve"> shows the Consensus</w:t>
      </w:r>
      <w:r w:rsidR="00062776">
        <w:t xml:space="preserve"> Economics</w:t>
      </w:r>
      <w:r w:rsidR="00697FA3" w:rsidRPr="00A2389A">
        <w:t xml:space="preserve"> </w:t>
      </w:r>
      <w:r w:rsidR="00461983" w:rsidRPr="00A2389A">
        <w:t>two</w:t>
      </w:r>
      <w:r w:rsidR="009102D1">
        <w:noBreakHyphen/>
      </w:r>
      <w:r w:rsidR="00461983" w:rsidRPr="00A2389A">
        <w:t xml:space="preserve">year </w:t>
      </w:r>
      <w:r w:rsidR="00697FA3" w:rsidRPr="00A2389A">
        <w:t>forecast</w:t>
      </w:r>
      <w:r w:rsidR="00461983" w:rsidRPr="00A2389A">
        <w:t>s</w:t>
      </w:r>
      <w:r w:rsidR="00697FA3" w:rsidRPr="00A2389A">
        <w:t xml:space="preserve"> for Chin</w:t>
      </w:r>
      <w:r w:rsidR="000D078D">
        <w:t>ese</w:t>
      </w:r>
      <w:r w:rsidR="00697FA3" w:rsidRPr="00A2389A">
        <w:t xml:space="preserve"> real GDP growth against outcome</w:t>
      </w:r>
      <w:r w:rsidR="009342CD">
        <w:t>s</w:t>
      </w:r>
      <w:r w:rsidR="00697FA3" w:rsidRPr="00A2389A">
        <w:t>.</w:t>
      </w:r>
    </w:p>
    <w:p w:rsidR="00BE3AB9" w:rsidRPr="00880F77" w:rsidRDefault="00786F76" w:rsidP="00D34E90">
      <w:pPr>
        <w:pStyle w:val="TableMainHeading"/>
        <w:spacing w:before="120" w:after="120"/>
        <w:jc w:val="center"/>
        <w:rPr>
          <w:noProof/>
        </w:rPr>
      </w:pPr>
      <w:r w:rsidRPr="00880F77">
        <w:rPr>
          <w:bCs/>
        </w:rPr>
        <w:t xml:space="preserve">Figure </w:t>
      </w:r>
      <w:r w:rsidR="00470462" w:rsidRPr="00880F77">
        <w:rPr>
          <w:bCs/>
        </w:rPr>
        <w:t>4.3</w:t>
      </w:r>
      <w:r w:rsidRPr="00880F77">
        <w:rPr>
          <w:bCs/>
        </w:rPr>
        <w:t xml:space="preserve">: Consensus Economics </w:t>
      </w:r>
      <w:r w:rsidR="0002191A" w:rsidRPr="00880F77">
        <w:rPr>
          <w:bCs/>
        </w:rPr>
        <w:t>T</w:t>
      </w:r>
      <w:r w:rsidR="006C43AD" w:rsidRPr="00880F77">
        <w:rPr>
          <w:bCs/>
        </w:rPr>
        <w:t>wo</w:t>
      </w:r>
      <w:r w:rsidR="009102D1">
        <w:rPr>
          <w:bCs/>
        </w:rPr>
        <w:noBreakHyphen/>
      </w:r>
      <w:r w:rsidR="006C43AD" w:rsidRPr="00880F77">
        <w:rPr>
          <w:bCs/>
        </w:rPr>
        <w:t xml:space="preserve">year </w:t>
      </w:r>
      <w:r w:rsidR="0002191A" w:rsidRPr="00880F77">
        <w:rPr>
          <w:bCs/>
        </w:rPr>
        <w:t>F</w:t>
      </w:r>
      <w:r w:rsidR="00461983" w:rsidRPr="00880F77">
        <w:rPr>
          <w:bCs/>
        </w:rPr>
        <w:t xml:space="preserve">orecasts for </w:t>
      </w:r>
      <w:r w:rsidRPr="00880F77">
        <w:rPr>
          <w:bCs/>
        </w:rPr>
        <w:t>Chin</w:t>
      </w:r>
      <w:r w:rsidR="00461983" w:rsidRPr="00880F77">
        <w:rPr>
          <w:bCs/>
        </w:rPr>
        <w:t>ese</w:t>
      </w:r>
      <w:r w:rsidR="003E1304" w:rsidRPr="00880F77">
        <w:t xml:space="preserve"> </w:t>
      </w:r>
      <w:r w:rsidR="00EF7BB5">
        <w:t>R</w:t>
      </w:r>
      <w:r w:rsidR="000D078D" w:rsidRPr="00880F77">
        <w:t xml:space="preserve">eal </w:t>
      </w:r>
      <w:r w:rsidRPr="00880F77">
        <w:rPr>
          <w:bCs/>
        </w:rPr>
        <w:t>GDP growth</w:t>
      </w:r>
    </w:p>
    <w:p w:rsidR="005D5067" w:rsidRPr="00105059" w:rsidRDefault="00C21C91">
      <w:pPr>
        <w:pStyle w:val="ChartGraphic"/>
        <w:rPr>
          <w:noProof/>
        </w:rPr>
      </w:pPr>
      <w:r>
        <w:rPr>
          <w:noProof/>
        </w:rPr>
        <w:fldChar w:fldCharType="begin" w:fldLock="1"/>
      </w:r>
      <w:r>
        <w:rPr>
          <w:noProof/>
        </w:rPr>
        <w:instrText xml:space="preserve"> LINK Excel.Sheet.12 "" "" \a \p </w:instrText>
      </w:r>
      <w:r>
        <w:rPr>
          <w:noProof/>
        </w:rPr>
        <w:fldChar w:fldCharType="separate"/>
      </w:r>
      <w:r w:rsidR="00401E4C">
        <w:rPr>
          <w:noProof/>
        </w:rPr>
        <w:object w:dxaOrig="8775" w:dyaOrig="3960">
          <v:shape id="_x0000_i1027" type="#_x0000_t75" alt="This figure shows the Consensus Economics two-year forecasts for Chinese real GDP growth against outcomes.&#10;" style="width:438.9pt;height:200.95pt;mso-position-vertical:absolute">
            <v:imagedata r:id="rId12" o:title=""/>
          </v:shape>
        </w:object>
      </w:r>
      <w:r>
        <w:rPr>
          <w:noProof/>
        </w:rPr>
        <w:fldChar w:fldCharType="end"/>
      </w:r>
    </w:p>
    <w:p w:rsidR="00B90641" w:rsidRDefault="00B90641" w:rsidP="00915C03">
      <w:pPr>
        <w:spacing w:before="120"/>
      </w:pPr>
      <w:r>
        <w:rPr>
          <w:rFonts w:ascii="TimesNewRomanPSMT" w:eastAsiaTheme="minorHAnsi" w:hAnsi="TimesNewRomanPSMT" w:cs="TimesNewRomanPSMT"/>
          <w:bCs w:val="0"/>
          <w:sz w:val="18"/>
          <w:szCs w:val="18"/>
          <w:lang w:eastAsia="en-US"/>
        </w:rPr>
        <w:t>Source: Consensus Economics and Treasury estimates</w:t>
      </w:r>
    </w:p>
    <w:p w:rsidR="00F12816" w:rsidRDefault="00697FA3" w:rsidP="00105059">
      <w:pPr>
        <w:spacing w:before="360"/>
      </w:pPr>
      <w:r w:rsidRPr="00A2389A">
        <w:t xml:space="preserve">On the </w:t>
      </w:r>
      <w:r w:rsidR="00786F76" w:rsidRPr="00A2389A">
        <w:t xml:space="preserve">supply </w:t>
      </w:r>
      <w:r w:rsidRPr="00A2389A">
        <w:t>side</w:t>
      </w:r>
      <w:r w:rsidR="004B3A09" w:rsidRPr="00A2389A">
        <w:t>,</w:t>
      </w:r>
      <w:r w:rsidRPr="00A2389A">
        <w:t xml:space="preserve"> despite strong growth in mining investment </w:t>
      </w:r>
      <w:r w:rsidR="00523851" w:rsidRPr="00A2389A">
        <w:t>in</w:t>
      </w:r>
      <w:r w:rsidRPr="00A2389A">
        <w:t xml:space="preserve"> response to the </w:t>
      </w:r>
      <w:r w:rsidR="00CA0B0A">
        <w:t xml:space="preserve">sharp </w:t>
      </w:r>
      <w:r w:rsidRPr="00A2389A">
        <w:t xml:space="preserve">rise in </w:t>
      </w:r>
      <w:r w:rsidR="00EC04CC">
        <w:t>commodity</w:t>
      </w:r>
      <w:r w:rsidR="000D078D">
        <w:t xml:space="preserve"> </w:t>
      </w:r>
      <w:r w:rsidR="00786F76" w:rsidRPr="00A2389A">
        <w:t>prices</w:t>
      </w:r>
      <w:r w:rsidR="004B3A09" w:rsidRPr="00A2389A">
        <w:t>,</w:t>
      </w:r>
      <w:r w:rsidR="00786F76" w:rsidRPr="00A2389A">
        <w:t xml:space="preserve"> </w:t>
      </w:r>
      <w:r w:rsidR="0048151E" w:rsidRPr="00A2389A">
        <w:t xml:space="preserve">growth in mining production and in turn </w:t>
      </w:r>
      <w:r w:rsidRPr="00A2389A">
        <w:t xml:space="preserve">export volumes </w:t>
      </w:r>
      <w:r w:rsidR="00EC04CC">
        <w:t>was</w:t>
      </w:r>
      <w:r w:rsidR="003E1304">
        <w:t xml:space="preserve"> </w:t>
      </w:r>
      <w:r w:rsidR="0048151E" w:rsidRPr="00A2389A">
        <w:t xml:space="preserve">consistently </w:t>
      </w:r>
      <w:r w:rsidRPr="00A2389A">
        <w:t>slow</w:t>
      </w:r>
      <w:r w:rsidR="0048151E" w:rsidRPr="00A2389A">
        <w:t>er than expected</w:t>
      </w:r>
      <w:r w:rsidRPr="00A2389A">
        <w:t>.</w:t>
      </w:r>
      <w:r w:rsidR="007756BE" w:rsidRPr="00A2389A">
        <w:t xml:space="preserve"> </w:t>
      </w:r>
      <w:r w:rsidR="000902B6" w:rsidRPr="00A2389A">
        <w:t>As early as the 2005</w:t>
      </w:r>
      <w:r w:rsidR="009102D1">
        <w:noBreakHyphen/>
      </w:r>
      <w:r w:rsidR="000902B6" w:rsidRPr="00A2389A">
        <w:t>06</w:t>
      </w:r>
      <w:r w:rsidR="00786F76" w:rsidRPr="00A2389A">
        <w:t xml:space="preserve"> Budget</w:t>
      </w:r>
      <w:r w:rsidR="00C66A58">
        <w:t>,</w:t>
      </w:r>
      <w:r w:rsidR="00653E58" w:rsidRPr="00A2389A">
        <w:t xml:space="preserve"> </w:t>
      </w:r>
      <w:r w:rsidR="00786F76" w:rsidRPr="00A2389A">
        <w:t xml:space="preserve">the expectation </w:t>
      </w:r>
      <w:r w:rsidR="00653E58" w:rsidRPr="00A2389A">
        <w:t xml:space="preserve">was </w:t>
      </w:r>
      <w:r w:rsidR="00786F76" w:rsidRPr="00A2389A">
        <w:t xml:space="preserve">that </w:t>
      </w:r>
      <w:r w:rsidRPr="00A2389A">
        <w:t xml:space="preserve">production </w:t>
      </w:r>
      <w:r w:rsidR="00786F76" w:rsidRPr="00A2389A">
        <w:t>would quickly catch</w:t>
      </w:r>
      <w:r w:rsidR="009102D1">
        <w:noBreakHyphen/>
      </w:r>
      <w:r w:rsidR="00786F76" w:rsidRPr="00A2389A">
        <w:t>up with forecast demand. The expect</w:t>
      </w:r>
      <w:r w:rsidR="00EC04CC">
        <w:t>ed</w:t>
      </w:r>
      <w:r w:rsidR="00786F76" w:rsidRPr="00A2389A">
        <w:t xml:space="preserve"> supply response w</w:t>
      </w:r>
      <w:r w:rsidR="00EC04CC">
        <w:t>as</w:t>
      </w:r>
      <w:r w:rsidR="00786F76" w:rsidRPr="00A2389A">
        <w:t xml:space="preserve"> based </w:t>
      </w:r>
      <w:r w:rsidR="00114F25">
        <w:t>on what was perceived at the time to be a conservative assessment of</w:t>
      </w:r>
      <w:r w:rsidR="00786F76" w:rsidRPr="00A2389A">
        <w:t xml:space="preserve"> mining companies</w:t>
      </w:r>
      <w:r w:rsidR="007609A4">
        <w:t>’</w:t>
      </w:r>
      <w:r w:rsidR="00786F76" w:rsidRPr="00A2389A">
        <w:t xml:space="preserve"> </w:t>
      </w:r>
      <w:r w:rsidR="00EC04CC">
        <w:t xml:space="preserve">global </w:t>
      </w:r>
      <w:r w:rsidR="00786F76" w:rsidRPr="00A2389A">
        <w:t>project</w:t>
      </w:r>
      <w:r w:rsidR="00EC04CC">
        <w:t>ions for</w:t>
      </w:r>
      <w:r w:rsidR="00786F76" w:rsidRPr="00A2389A">
        <w:t xml:space="preserve"> </w:t>
      </w:r>
      <w:r w:rsidR="000902B6" w:rsidRPr="00A2389A">
        <w:t>p</w:t>
      </w:r>
      <w:r w:rsidR="00786F76" w:rsidRPr="00A2389A">
        <w:t>roduction and export volume</w:t>
      </w:r>
      <w:r w:rsidR="00EC04CC">
        <w:t>s,</w:t>
      </w:r>
      <w:r w:rsidR="00786F76" w:rsidRPr="00A2389A">
        <w:t xml:space="preserve"> which consistently </w:t>
      </w:r>
      <w:r w:rsidR="004C4387">
        <w:t>exceeded actual outcomes</w:t>
      </w:r>
      <w:r w:rsidR="00653E58" w:rsidRPr="00A2389A">
        <w:t xml:space="preserve">. </w:t>
      </w:r>
      <w:r w:rsidR="00523851" w:rsidRPr="00A2389A">
        <w:t xml:space="preserve">In Australia this has partly reflected </w:t>
      </w:r>
      <w:r w:rsidR="00523851" w:rsidRPr="00A2389A">
        <w:lastRenderedPageBreak/>
        <w:t xml:space="preserve">infrastructure bottlenecks and the impact of natural disasters. </w:t>
      </w:r>
      <w:r w:rsidR="007709D6" w:rsidRPr="00A2389A">
        <w:t>Figure</w:t>
      </w:r>
      <w:r w:rsidR="007709D6">
        <w:t> </w:t>
      </w:r>
      <w:r w:rsidR="00470462" w:rsidRPr="00A2389A">
        <w:t>4.4</w:t>
      </w:r>
      <w:r w:rsidR="001019E2">
        <w:t xml:space="preserve"> shows that </w:t>
      </w:r>
      <w:r w:rsidR="00DE3334">
        <w:t>non</w:t>
      </w:r>
      <w:r w:rsidR="009102D1">
        <w:noBreakHyphen/>
      </w:r>
      <w:r w:rsidR="00DE3334">
        <w:t>rural commodity</w:t>
      </w:r>
      <w:r w:rsidR="003E1304">
        <w:t xml:space="preserve"> </w:t>
      </w:r>
      <w:r w:rsidR="000902B6" w:rsidRPr="00A2389A">
        <w:t>export volume</w:t>
      </w:r>
      <w:r w:rsidR="00786F76" w:rsidRPr="00A2389A">
        <w:t xml:space="preserve"> </w:t>
      </w:r>
      <w:r w:rsidR="00653E58" w:rsidRPr="00A2389A">
        <w:t xml:space="preserve">forecasts </w:t>
      </w:r>
      <w:r w:rsidR="00786F76" w:rsidRPr="00A2389A">
        <w:t>have been consistently overstated</w:t>
      </w:r>
      <w:r w:rsidR="00C66A58">
        <w:t>,</w:t>
      </w:r>
      <w:r w:rsidR="00786F76" w:rsidRPr="00A2389A">
        <w:t xml:space="preserve"> with the error largely due </w:t>
      </w:r>
      <w:r w:rsidR="00DE3334">
        <w:t xml:space="preserve">to </w:t>
      </w:r>
      <w:r w:rsidR="00786F76" w:rsidRPr="00A2389A">
        <w:t>overestimation of iron ore and coal export volumes.</w:t>
      </w:r>
    </w:p>
    <w:p w:rsidR="00253C25" w:rsidRPr="003E1304" w:rsidRDefault="00253C25" w:rsidP="0053629A">
      <w:pPr>
        <w:pStyle w:val="ChartMainHeading"/>
        <w:spacing w:after="120"/>
      </w:pPr>
      <w:r w:rsidRPr="003E1304">
        <w:t>Figure 4.4</w:t>
      </w:r>
      <w:r w:rsidR="0002191A" w:rsidRPr="003E1304">
        <w:t>:</w:t>
      </w:r>
      <w:r w:rsidR="0002191A">
        <w:t xml:space="preserve"> </w:t>
      </w:r>
      <w:r w:rsidR="0002191A" w:rsidRPr="003E1304">
        <w:t xml:space="preserve">Evolution </w:t>
      </w:r>
      <w:r w:rsidR="0002191A">
        <w:t>o</w:t>
      </w:r>
      <w:r w:rsidR="0002191A" w:rsidRPr="003E1304">
        <w:t>f Non</w:t>
      </w:r>
      <w:r w:rsidR="009102D1">
        <w:noBreakHyphen/>
      </w:r>
      <w:r w:rsidR="0002191A" w:rsidRPr="003E1304">
        <w:t xml:space="preserve">Rural Commodity Export Price </w:t>
      </w:r>
      <w:r w:rsidR="0002191A">
        <w:t>a</w:t>
      </w:r>
      <w:r w:rsidR="0002191A" w:rsidRPr="003E1304">
        <w:t xml:space="preserve">nd Volume </w:t>
      </w:r>
      <w:r w:rsidR="00A40255">
        <w:t xml:space="preserve">Growth </w:t>
      </w:r>
      <w:r w:rsidR="0002191A" w:rsidRPr="003E1304">
        <w:t>Forecasts</w:t>
      </w:r>
    </w:p>
    <w:tbl>
      <w:tblPr>
        <w:tblStyle w:val="TableGrid"/>
        <w:tblW w:w="0" w:type="auto"/>
        <w:tblLook w:val="04A0" w:firstRow="1" w:lastRow="0" w:firstColumn="1" w:lastColumn="0" w:noHBand="0" w:noVBand="1"/>
      </w:tblPr>
      <w:tblGrid>
        <w:gridCol w:w="4621"/>
        <w:gridCol w:w="4621"/>
      </w:tblGrid>
      <w:tr w:rsidR="00253C25" w:rsidRPr="000D0BA5" w:rsidTr="009B1FD6">
        <w:tc>
          <w:tcPr>
            <w:tcW w:w="4621" w:type="dxa"/>
            <w:shd w:val="clear" w:color="auto" w:fill="auto"/>
          </w:tcPr>
          <w:p w:rsidR="00253C25" w:rsidRPr="0053629A" w:rsidRDefault="00253C25" w:rsidP="0053629A">
            <w:pPr>
              <w:pStyle w:val="ChartSecondHeading"/>
              <w:spacing w:after="120"/>
              <w:rPr>
                <w:bCs/>
              </w:rPr>
            </w:pPr>
            <w:r w:rsidRPr="0053629A">
              <w:t>Non</w:t>
            </w:r>
            <w:r w:rsidR="009102D1">
              <w:noBreakHyphen/>
            </w:r>
            <w:r w:rsidRPr="0053629A">
              <w:t>rural commodity export prices</w:t>
            </w:r>
          </w:p>
        </w:tc>
        <w:tc>
          <w:tcPr>
            <w:tcW w:w="4621" w:type="dxa"/>
            <w:shd w:val="clear" w:color="auto" w:fill="auto"/>
          </w:tcPr>
          <w:p w:rsidR="00253C25" w:rsidRPr="0053629A" w:rsidRDefault="00253C25" w:rsidP="0053629A">
            <w:pPr>
              <w:pStyle w:val="ChartSecondHeading"/>
            </w:pPr>
            <w:r w:rsidRPr="0053629A">
              <w:t>Non</w:t>
            </w:r>
            <w:r w:rsidR="009102D1">
              <w:noBreakHyphen/>
            </w:r>
            <w:r w:rsidRPr="0053629A">
              <w:t>rural commodity export volume</w:t>
            </w:r>
            <w:r w:rsidR="000D0BA5" w:rsidRPr="00105059">
              <w:t>s</w:t>
            </w:r>
          </w:p>
        </w:tc>
      </w:tr>
      <w:tr w:rsidR="00253C25" w:rsidTr="009B1FD6">
        <w:tc>
          <w:tcPr>
            <w:tcW w:w="4621" w:type="dxa"/>
            <w:shd w:val="clear" w:color="auto" w:fill="auto"/>
          </w:tcPr>
          <w:p w:rsidR="00253C25" w:rsidRDefault="00BF3856" w:rsidP="0053629A">
            <w:pPr>
              <w:pStyle w:val="ChartGraphic"/>
              <w:rPr>
                <w:bCs/>
                <w:sz w:val="22"/>
              </w:rPr>
            </w:pPr>
            <w:r>
              <w:object w:dxaOrig="4516" w:dyaOrig="3961">
                <v:shape id="_x0000_i1028" type="#_x0000_t75" alt="This figure has two panels.  The left-hand panel shows the accuracy of Treasury’s non-rural commodity export price growth forecasts since 2003-04 by comparing the Budget forecast for the Budget year with the final published outcome.  The panel also shows the evolution of Treasury’s forecasts for each financial year." style="width:226pt;height:199.1pt;mso-position-horizontal:absolute;mso-position-vertical:absolute" o:ole="">
                  <v:imagedata r:id="rId13" o:title=""/>
                </v:shape>
                <o:OLEObject Type="Link" ProgID="Excel.Sheet.8" ShapeID="_x0000_i1028" DrawAspect="Content" r:id="rId14" UpdateMode="Always">
                  <o:LinkType>EnhancedMetaFile</o:LinkType>
                  <o:LockedField>false</o:LockedField>
                  <o:FieldCodes>\* MERGEFORMAT</o:FieldCodes>
                </o:OLEObject>
              </w:object>
            </w:r>
          </w:p>
        </w:tc>
        <w:tc>
          <w:tcPr>
            <w:tcW w:w="4621" w:type="dxa"/>
            <w:shd w:val="clear" w:color="auto" w:fill="auto"/>
          </w:tcPr>
          <w:p w:rsidR="00253C25" w:rsidRDefault="00BF3856" w:rsidP="00105059">
            <w:pPr>
              <w:pStyle w:val="ChartGraphic"/>
            </w:pPr>
            <w:r>
              <w:object w:dxaOrig="4516" w:dyaOrig="3961">
                <v:shape id="_x0000_i1029" type="#_x0000_t75" alt="The right-hand panel shows the accuracy of Treasury’s non-rural commodity export volume growth forecasts since 2003-04 by comparing the Budget forecast for the Budget year with the final published outcome.  The panel also shows the evolution of Treasury’s forecasts for each financial year.&#10;" style="width:226pt;height:199.1pt" o:ole="">
                  <v:imagedata r:id="rId15" o:title=""/>
                </v:shape>
                <o:OLEObject Type="Link" ProgID="Excel.Sheet.8" ShapeID="_x0000_i1029" DrawAspect="Content" r:id="rId16" UpdateMode="Always">
                  <o:LinkType>EnhancedMetaFile</o:LinkType>
                  <o:LockedField>false</o:LockedField>
                  <o:FieldCodes>\* MERGEFORMAT</o:FieldCodes>
                </o:OLEObject>
              </w:object>
            </w:r>
          </w:p>
        </w:tc>
      </w:tr>
    </w:tbl>
    <w:p w:rsidR="008E4B5E" w:rsidRPr="00A2389A" w:rsidRDefault="00786F76" w:rsidP="0002191A">
      <w:r w:rsidRPr="00A2389A">
        <w:t xml:space="preserve">As a result of this experience Treasury has progressed several </w:t>
      </w:r>
      <w:r w:rsidR="004B3A09" w:rsidRPr="00A2389A">
        <w:t xml:space="preserve">initiatives </w:t>
      </w:r>
      <w:r w:rsidRPr="00A2389A">
        <w:t xml:space="preserve">to build a deeper understanding of developments in China and other emerging </w:t>
      </w:r>
      <w:r w:rsidR="001E36DC">
        <w:t xml:space="preserve">market </w:t>
      </w:r>
      <w:r w:rsidRPr="00A2389A">
        <w:t>economies and the links these dev</w:t>
      </w:r>
      <w:r w:rsidR="0046512B" w:rsidRPr="00A2389A">
        <w:t xml:space="preserve">elopments have with Australia. </w:t>
      </w:r>
      <w:r w:rsidR="008E4B5E" w:rsidRPr="00A2389A">
        <w:t>In particular:</w:t>
      </w:r>
    </w:p>
    <w:p w:rsidR="008E4B5E" w:rsidRPr="00105059" w:rsidRDefault="007709D6" w:rsidP="0053629A">
      <w:pPr>
        <w:pStyle w:val="Bullet"/>
      </w:pPr>
      <w:r>
        <w:t>a</w:t>
      </w:r>
      <w:r w:rsidRPr="00105059">
        <w:t xml:space="preserve"> </w:t>
      </w:r>
      <w:r w:rsidR="00786F76" w:rsidRPr="00105059">
        <w:t>dedicate</w:t>
      </w:r>
      <w:r w:rsidR="00AF3BC7" w:rsidRPr="00105059">
        <w:t>d</w:t>
      </w:r>
      <w:r w:rsidR="00786F76" w:rsidRPr="00105059">
        <w:t xml:space="preserve"> unit </w:t>
      </w:r>
      <w:r w:rsidR="00E02E55">
        <w:t>h</w:t>
      </w:r>
      <w:r w:rsidR="00786F76" w:rsidRPr="00105059">
        <w:t xml:space="preserve">as </w:t>
      </w:r>
      <w:r w:rsidR="00E02E55">
        <w:t xml:space="preserve">been </w:t>
      </w:r>
      <w:r w:rsidR="00786F76" w:rsidRPr="00105059">
        <w:t xml:space="preserve">established </w:t>
      </w:r>
      <w:r w:rsidR="00E02E55">
        <w:t xml:space="preserve">within Treasury </w:t>
      </w:r>
      <w:r w:rsidR="00FB369C">
        <w:t xml:space="preserve">that </w:t>
      </w:r>
      <w:r w:rsidR="00653E58" w:rsidRPr="00105059">
        <w:t>focusse</w:t>
      </w:r>
      <w:r w:rsidR="00E02E55" w:rsidRPr="00105059">
        <w:t>s</w:t>
      </w:r>
      <w:r w:rsidR="00653E58" w:rsidRPr="00105059">
        <w:t xml:space="preserve"> on</w:t>
      </w:r>
      <w:r w:rsidR="00786F76" w:rsidRPr="00105059">
        <w:t xml:space="preserve"> the Chinese economy</w:t>
      </w:r>
      <w:r w:rsidR="00E02E55" w:rsidRPr="00105059">
        <w:t xml:space="preserve"> and Treasury representation in Asia has been enhanced by opening up a new post in India;</w:t>
      </w:r>
      <w:r w:rsidR="00786F76" w:rsidRPr="00105059">
        <w:t xml:space="preserve"> </w:t>
      </w:r>
    </w:p>
    <w:p w:rsidR="008E4B5E" w:rsidRPr="00105059" w:rsidRDefault="007709D6" w:rsidP="0053629A">
      <w:pPr>
        <w:pStyle w:val="Bullet"/>
      </w:pPr>
      <w:r>
        <w:t>t</w:t>
      </w:r>
      <w:r w:rsidRPr="00105059">
        <w:t xml:space="preserve">here </w:t>
      </w:r>
      <w:r w:rsidR="00786F76" w:rsidRPr="00105059">
        <w:t xml:space="preserve">has been a greater focus on developing </w:t>
      </w:r>
      <w:r w:rsidR="00653E58" w:rsidRPr="00105059">
        <w:t xml:space="preserve">resource </w:t>
      </w:r>
      <w:r w:rsidR="00786F76" w:rsidRPr="00105059">
        <w:t>industry contacts as part of Treasury</w:t>
      </w:r>
      <w:r w:rsidR="007609A4">
        <w:t>’</w:t>
      </w:r>
      <w:r w:rsidR="00786F76" w:rsidRPr="00105059">
        <w:t>s business liaison program</w:t>
      </w:r>
      <w:r w:rsidR="008E4B5E" w:rsidRPr="00105059">
        <w:t>;</w:t>
      </w:r>
      <w:r w:rsidR="00786F76" w:rsidRPr="00105059">
        <w:t xml:space="preserve"> </w:t>
      </w:r>
    </w:p>
    <w:p w:rsidR="008E4B5E" w:rsidRPr="00105059" w:rsidRDefault="001E11CA" w:rsidP="0053629A">
      <w:pPr>
        <w:pStyle w:val="Bullet"/>
      </w:pPr>
      <w:r>
        <w:t>a</w:t>
      </w:r>
      <w:r w:rsidR="007709D6" w:rsidRPr="00105059">
        <w:t xml:space="preserve"> </w:t>
      </w:r>
      <w:r w:rsidR="00786F76" w:rsidRPr="00105059">
        <w:t>BOP subcommittee meeting has been incorporated into the JEFG process</w:t>
      </w:r>
      <w:r w:rsidR="00832046" w:rsidRPr="00105059">
        <w:t>,</w:t>
      </w:r>
      <w:r w:rsidR="00786F76" w:rsidRPr="00105059">
        <w:t xml:space="preserve"> drawing </w:t>
      </w:r>
      <w:r w:rsidR="004563D8" w:rsidRPr="00105059">
        <w:t>upon the expertise of the Bureau of Resources and Energy Economics to forecast the outlook for bulk commodities</w:t>
      </w:r>
      <w:r w:rsidR="008E4B5E" w:rsidRPr="00105059">
        <w:t>;</w:t>
      </w:r>
      <w:r w:rsidR="00786F76" w:rsidRPr="00105059">
        <w:t xml:space="preserve"> </w:t>
      </w:r>
    </w:p>
    <w:p w:rsidR="008E4B5E" w:rsidRPr="00105059" w:rsidRDefault="007709D6" w:rsidP="0053629A">
      <w:pPr>
        <w:pStyle w:val="Bullet"/>
      </w:pPr>
      <w:r>
        <w:t>m</w:t>
      </w:r>
      <w:r w:rsidRPr="00105059">
        <w:t xml:space="preserve">ore </w:t>
      </w:r>
      <w:r w:rsidR="00786F76" w:rsidRPr="00105059">
        <w:t>resources have been devoted to forecasting non</w:t>
      </w:r>
      <w:r w:rsidR="009102D1">
        <w:noBreakHyphen/>
      </w:r>
      <w:r w:rsidR="00786F76" w:rsidRPr="00105059">
        <w:t>rural commodity production, export volumes and prices</w:t>
      </w:r>
      <w:r w:rsidR="00832046" w:rsidRPr="00105059">
        <w:t>; and</w:t>
      </w:r>
    </w:p>
    <w:p w:rsidR="00786F76" w:rsidRPr="00105059" w:rsidRDefault="007709D6" w:rsidP="0053629A">
      <w:pPr>
        <w:pStyle w:val="Bullet"/>
      </w:pPr>
      <w:r>
        <w:t>a</w:t>
      </w:r>
      <w:r w:rsidRPr="00105059">
        <w:t xml:space="preserve"> </w:t>
      </w:r>
      <w:r w:rsidR="00786F76" w:rsidRPr="00105059">
        <w:t>major project is currently underway using industry data to develop a methodology for projecting bulk non</w:t>
      </w:r>
      <w:r w:rsidR="009102D1">
        <w:noBreakHyphen/>
      </w:r>
      <w:r w:rsidR="00786F76" w:rsidRPr="00105059">
        <w:t>rural commodity export prices based on a medium</w:t>
      </w:r>
      <w:r w:rsidR="009102D1">
        <w:noBreakHyphen/>
      </w:r>
      <w:r w:rsidR="00786F76" w:rsidRPr="00105059">
        <w:t xml:space="preserve">term supply and demand framework, supplemented by a comparison with projections by BREE, Consensus and </w:t>
      </w:r>
      <w:r w:rsidR="001E36DC">
        <w:t>private sector providers</w:t>
      </w:r>
      <w:r w:rsidR="00786F76" w:rsidRPr="00105059">
        <w:t>.</w:t>
      </w:r>
      <w:r w:rsidR="003E1304">
        <w:t xml:space="preserve"> </w:t>
      </w:r>
    </w:p>
    <w:p w:rsidR="00014A5F" w:rsidRPr="00A2389A" w:rsidRDefault="00014A5F" w:rsidP="00105059">
      <w:pPr>
        <w:pStyle w:val="Heading3"/>
      </w:pPr>
      <w:r w:rsidRPr="00A2389A">
        <w:t>Revenue</w:t>
      </w:r>
      <w:r w:rsidR="005C49F5" w:rsidRPr="00A2389A">
        <w:t xml:space="preserve"> </w:t>
      </w:r>
      <w:r w:rsidR="0041414F" w:rsidRPr="00A2389A">
        <w:t>forecasting performance</w:t>
      </w:r>
    </w:p>
    <w:p w:rsidR="007E723B" w:rsidRPr="00A2389A" w:rsidRDefault="00940848" w:rsidP="00703E0B">
      <w:r>
        <w:t xml:space="preserve">As </w:t>
      </w:r>
      <w:r w:rsidR="00F45E5A">
        <w:t>observed with</w:t>
      </w:r>
      <w:r>
        <w:t xml:space="preserve"> </w:t>
      </w:r>
      <w:r w:rsidR="0008388B">
        <w:t>Treasury</w:t>
      </w:r>
      <w:r w:rsidR="007609A4">
        <w:t>’</w:t>
      </w:r>
      <w:r w:rsidR="0008388B" w:rsidRPr="00105059">
        <w:t xml:space="preserve">s </w:t>
      </w:r>
      <w:r w:rsidRPr="00105059">
        <w:t xml:space="preserve">nominal </w:t>
      </w:r>
      <w:r w:rsidR="00AD015A" w:rsidRPr="00105059">
        <w:t>econom</w:t>
      </w:r>
      <w:r w:rsidR="00E343ED" w:rsidRPr="00105059">
        <w:t>y</w:t>
      </w:r>
      <w:r w:rsidR="00AD015A" w:rsidRPr="00105059">
        <w:t xml:space="preserve"> growth</w:t>
      </w:r>
      <w:r w:rsidRPr="00105059">
        <w:t xml:space="preserve"> </w:t>
      </w:r>
      <w:r w:rsidR="00F45E5A" w:rsidRPr="00105059">
        <w:t>forecasts</w:t>
      </w:r>
      <w:r w:rsidRPr="00105059">
        <w:t>,</w:t>
      </w:r>
      <w:r w:rsidR="003E1304" w:rsidRPr="00105059">
        <w:t xml:space="preserve"> </w:t>
      </w:r>
      <w:r w:rsidR="00A96AC4">
        <w:t xml:space="preserve">taxation </w:t>
      </w:r>
      <w:r w:rsidR="00AD015A" w:rsidRPr="00A2389A">
        <w:t>revenue growth was also underestimated</w:t>
      </w:r>
      <w:r>
        <w:t xml:space="preserve"> during</w:t>
      </w:r>
      <w:r w:rsidRPr="00940848">
        <w:rPr>
          <w:i/>
        </w:rPr>
        <w:t xml:space="preserve"> </w:t>
      </w:r>
      <w:r w:rsidRPr="00D34E90">
        <w:t>Mining Boom Mark I</w:t>
      </w:r>
      <w:r w:rsidR="00AD015A" w:rsidRPr="003020CC">
        <w:t>.</w:t>
      </w:r>
      <w:r w:rsidR="00AD015A" w:rsidRPr="00A2389A">
        <w:t xml:space="preserve"> </w:t>
      </w:r>
      <w:r w:rsidR="00A6556E">
        <w:t>In particular, n</w:t>
      </w:r>
      <w:r w:rsidR="00F16784" w:rsidRPr="00A2389A">
        <w:t>ominal econom</w:t>
      </w:r>
      <w:r w:rsidR="00DF5DDB">
        <w:t>ic</w:t>
      </w:r>
      <w:r w:rsidR="00F16784" w:rsidRPr="00A2389A">
        <w:t xml:space="preserve"> </w:t>
      </w:r>
      <w:r w:rsidR="00531BE1" w:rsidRPr="00A2389A">
        <w:t xml:space="preserve">growth </w:t>
      </w:r>
      <w:r w:rsidR="00F16784" w:rsidRPr="00A2389A">
        <w:t>was under</w:t>
      </w:r>
      <w:r w:rsidR="00531BE1" w:rsidRPr="00A2389A">
        <w:t>estimated</w:t>
      </w:r>
      <w:r w:rsidR="00F16784" w:rsidRPr="00A2389A">
        <w:t xml:space="preserve"> by an average of 1.8 percentage points</w:t>
      </w:r>
      <w:r w:rsidR="00DF5DDB">
        <w:t xml:space="preserve"> per annum</w:t>
      </w:r>
      <w:r w:rsidR="00F16784" w:rsidRPr="00A2389A">
        <w:t xml:space="preserve">, </w:t>
      </w:r>
      <w:r w:rsidR="0045674A">
        <w:t xml:space="preserve">compared with </w:t>
      </w:r>
      <w:r w:rsidR="0045674A" w:rsidRPr="00A2389A">
        <w:t xml:space="preserve">an average </w:t>
      </w:r>
      <w:r w:rsidR="002C113D">
        <w:t xml:space="preserve">forecast error </w:t>
      </w:r>
      <w:r w:rsidR="0045674A" w:rsidRPr="00A2389A">
        <w:t>of 2.9 percentage points</w:t>
      </w:r>
      <w:r w:rsidR="0045674A" w:rsidRPr="0008388B">
        <w:t xml:space="preserve"> </w:t>
      </w:r>
      <w:r w:rsidR="0045674A">
        <w:t xml:space="preserve">for </w:t>
      </w:r>
      <w:r w:rsidR="00A96AC4">
        <w:t xml:space="preserve">taxation </w:t>
      </w:r>
      <w:r w:rsidR="00F16784" w:rsidRPr="00A2389A">
        <w:t xml:space="preserve">revenue </w:t>
      </w:r>
      <w:r w:rsidR="004F28AD" w:rsidRPr="00A2389A">
        <w:t xml:space="preserve">growth </w:t>
      </w:r>
      <w:r w:rsidR="0008388B">
        <w:t>(</w:t>
      </w:r>
      <w:r w:rsidR="0008388B" w:rsidRPr="00A2389A">
        <w:t>Figure 4.5</w:t>
      </w:r>
      <w:r w:rsidR="0008388B">
        <w:t>)</w:t>
      </w:r>
      <w:r w:rsidR="007E723B" w:rsidRPr="00A2389A">
        <w:t>.</w:t>
      </w:r>
    </w:p>
    <w:p w:rsidR="009D2ADF" w:rsidRPr="003C2595" w:rsidRDefault="00470462" w:rsidP="0053629A">
      <w:pPr>
        <w:pStyle w:val="ChartMainHeading"/>
        <w:spacing w:after="120"/>
      </w:pPr>
      <w:r w:rsidRPr="00105059">
        <w:lastRenderedPageBreak/>
        <w:t>Figure</w:t>
      </w:r>
      <w:r w:rsidR="009D2ADF" w:rsidRPr="00105059">
        <w:t xml:space="preserve"> </w:t>
      </w:r>
      <w:r w:rsidR="00BE0A56" w:rsidRPr="00105059">
        <w:t>4</w:t>
      </w:r>
      <w:r w:rsidRPr="00105059">
        <w:t>.5</w:t>
      </w:r>
      <w:r w:rsidR="009D2ADF" w:rsidRPr="00105059">
        <w:t>:</w:t>
      </w:r>
      <w:r w:rsidR="003E1304">
        <w:t xml:space="preserve"> </w:t>
      </w:r>
      <w:r w:rsidR="0095402E" w:rsidRPr="00105059">
        <w:t xml:space="preserve">Budget Forecast Errors </w:t>
      </w:r>
      <w:r w:rsidR="0095402E">
        <w:t>f</w:t>
      </w:r>
      <w:r w:rsidR="0095402E" w:rsidRPr="003E1304">
        <w:t>or</w:t>
      </w:r>
      <w:r w:rsidR="0095402E" w:rsidRPr="00105059">
        <w:t xml:space="preserve"> </w:t>
      </w:r>
      <w:r w:rsidR="001B1851">
        <w:t xml:space="preserve">Growth in </w:t>
      </w:r>
      <w:r w:rsidR="0095402E" w:rsidRPr="00105059">
        <w:t>Nominal G</w:t>
      </w:r>
      <w:r w:rsidR="0095402E">
        <w:t>DP</w:t>
      </w:r>
      <w:r w:rsidR="0095402E" w:rsidRPr="00105059">
        <w:t xml:space="preserve"> </w:t>
      </w:r>
      <w:r w:rsidR="0095402E">
        <w:t>a</w:t>
      </w:r>
      <w:r w:rsidR="0095402E" w:rsidRPr="00105059">
        <w:t>nd Tax</w:t>
      </w:r>
      <w:r w:rsidR="0095402E">
        <w:t>ation</w:t>
      </w:r>
      <w:r w:rsidR="0095402E" w:rsidRPr="00105059">
        <w:t xml:space="preserve"> Revenue</w:t>
      </w:r>
    </w:p>
    <w:p w:rsidR="006C7E2A" w:rsidRPr="00105059" w:rsidRDefault="00BF3856" w:rsidP="00105059">
      <w:pPr>
        <w:pStyle w:val="ChartGraphic"/>
      </w:pPr>
      <w:r w:rsidRPr="00105059">
        <w:object w:dxaOrig="8490" w:dyaOrig="3960">
          <v:shape id="_x0000_i1030" type="#_x0000_t75" alt="This figure shows the Budget forecast errors for growth in non-farm nominal GDP and tax revenue for the Budget year from 2003-04 to 2007-08.  The figure also shows the average forecast errors of nominal GDP growth and tax revenue growth from 2003-04 to 2007-08.&#10;" style="width:424.5pt;height:200.35pt" o:ole="">
            <v:imagedata r:id="rId17" o:title=""/>
          </v:shape>
          <o:OLEObject Type="Link" ProgID="Excel.Sheet.12" ShapeID="_x0000_i1030" DrawAspect="Content" r:id="rId18" UpdateMode="Always">
            <o:LinkType>Picture</o:LinkType>
            <o:LockedField/>
            <o:FieldCodes>\* MERGEFORMAT</o:FieldCodes>
          </o:OLEObject>
        </w:object>
      </w:r>
    </w:p>
    <w:p w:rsidR="00691767" w:rsidRDefault="0048151E" w:rsidP="00105059">
      <w:pPr>
        <w:spacing w:before="360"/>
      </w:pPr>
      <w:r w:rsidRPr="00A2389A">
        <w:t xml:space="preserve">In the case of </w:t>
      </w:r>
      <w:r w:rsidR="00FF483F" w:rsidRPr="00A2389A">
        <w:t>tax</w:t>
      </w:r>
      <w:r w:rsidR="00EB0A2B">
        <w:t>a</w:t>
      </w:r>
      <w:r w:rsidR="00FA10A7">
        <w:t>t</w:t>
      </w:r>
      <w:r w:rsidR="00EB0A2B">
        <w:t>ion</w:t>
      </w:r>
      <w:r w:rsidR="00FF483F" w:rsidRPr="00A2389A">
        <w:t xml:space="preserve"> revenue forecast errors</w:t>
      </w:r>
      <w:r w:rsidR="009A69C5" w:rsidRPr="00A2389A">
        <w:t xml:space="preserve">, it is </w:t>
      </w:r>
      <w:r w:rsidR="00A6556E">
        <w:t>useful</w:t>
      </w:r>
      <w:r w:rsidR="003E1304">
        <w:t xml:space="preserve"> </w:t>
      </w:r>
      <w:r w:rsidR="009A69C5" w:rsidRPr="00A2389A">
        <w:t xml:space="preserve">to distinguish between </w:t>
      </w:r>
      <w:r w:rsidR="0085522B">
        <w:t>those</w:t>
      </w:r>
      <w:r w:rsidR="007709D6">
        <w:t xml:space="preserve"> </w:t>
      </w:r>
      <w:r w:rsidR="009A69C5" w:rsidRPr="00A2389A">
        <w:t xml:space="preserve">that </w:t>
      </w:r>
      <w:r w:rsidR="003E45AC">
        <w:t>reflect</w:t>
      </w:r>
      <w:r w:rsidR="009A69C5" w:rsidRPr="00A2389A">
        <w:t xml:space="preserve"> </w:t>
      </w:r>
      <w:r w:rsidR="007C66FB">
        <w:t xml:space="preserve">errors in </w:t>
      </w:r>
      <w:r w:rsidR="003E45AC">
        <w:t xml:space="preserve">the </w:t>
      </w:r>
      <w:r w:rsidR="00CC6D16">
        <w:t>macro</w:t>
      </w:r>
      <w:r w:rsidR="009A69C5" w:rsidRPr="00A2389A">
        <w:t xml:space="preserve">economic </w:t>
      </w:r>
      <w:r w:rsidR="00F175F4">
        <w:t>forecasts</w:t>
      </w:r>
      <w:r w:rsidR="003E1304">
        <w:t xml:space="preserve"> </w:t>
      </w:r>
      <w:r w:rsidR="003E3423" w:rsidRPr="00A2389A">
        <w:t xml:space="preserve">and </w:t>
      </w:r>
      <w:r w:rsidR="00CC6D16">
        <w:t xml:space="preserve">those that reflect </w:t>
      </w:r>
      <w:r w:rsidR="009A69C5" w:rsidRPr="00A2389A">
        <w:t>other sources of error</w:t>
      </w:r>
      <w:r w:rsidR="00FF483F" w:rsidRPr="00A2389A">
        <w:t>.</w:t>
      </w:r>
      <w:r w:rsidR="003E1304">
        <w:t xml:space="preserve"> </w:t>
      </w:r>
      <w:r w:rsidR="00CC6D16">
        <w:t>The latter might</w:t>
      </w:r>
      <w:r w:rsidR="003E1304">
        <w:t xml:space="preserve"> </w:t>
      </w:r>
      <w:r w:rsidR="00FF483F" w:rsidRPr="00A2389A">
        <w:t xml:space="preserve">include: </w:t>
      </w:r>
    </w:p>
    <w:p w:rsidR="00691767" w:rsidRPr="00105059" w:rsidRDefault="00FF483F" w:rsidP="0053629A">
      <w:pPr>
        <w:pStyle w:val="Bullet"/>
      </w:pPr>
      <w:r w:rsidRPr="00105059">
        <w:t xml:space="preserve">error </w:t>
      </w:r>
      <w:r w:rsidR="005E23F5" w:rsidRPr="00105059">
        <w:t xml:space="preserve">in items that </w:t>
      </w:r>
      <w:r w:rsidR="00E343ED">
        <w:t xml:space="preserve">are </w:t>
      </w:r>
      <w:r w:rsidR="00BB1005">
        <w:t xml:space="preserve">within scope of the </w:t>
      </w:r>
      <w:r w:rsidR="005E23F5" w:rsidRPr="00105059">
        <w:t>tax base</w:t>
      </w:r>
      <w:r w:rsidR="004E70D7">
        <w:t>,</w:t>
      </w:r>
      <w:r w:rsidR="005E23F5" w:rsidRPr="00105059">
        <w:t xml:space="preserve"> but not the economic </w:t>
      </w:r>
      <w:r w:rsidR="007C66FB" w:rsidRPr="00105059">
        <w:t>base</w:t>
      </w:r>
      <w:r w:rsidR="00691767" w:rsidRPr="007709D6">
        <w:rPr>
          <w:rStyle w:val="FootnoteReference"/>
        </w:rPr>
        <w:footnoteReference w:id="1"/>
      </w:r>
      <w:r w:rsidRPr="00105059">
        <w:t xml:space="preserve">; </w:t>
      </w:r>
    </w:p>
    <w:p w:rsidR="00691767" w:rsidRPr="00105059" w:rsidRDefault="005E23F5" w:rsidP="0053629A">
      <w:pPr>
        <w:pStyle w:val="Bullet"/>
      </w:pPr>
      <w:r w:rsidRPr="00105059">
        <w:t>error in estimat</w:t>
      </w:r>
      <w:r w:rsidR="00012E3D">
        <w:t>es of</w:t>
      </w:r>
      <w:r w:rsidRPr="00105059">
        <w:t xml:space="preserve"> tax</w:t>
      </w:r>
      <w:r w:rsidR="00E343ED" w:rsidRPr="00105059">
        <w:t>ation</w:t>
      </w:r>
      <w:r w:rsidR="003E1304" w:rsidRPr="00105059">
        <w:t xml:space="preserve"> </w:t>
      </w:r>
      <w:r w:rsidRPr="00105059">
        <w:t>revenue elasticities</w:t>
      </w:r>
      <w:r w:rsidR="00691767" w:rsidRPr="007709D6">
        <w:rPr>
          <w:rStyle w:val="FootnoteReference"/>
        </w:rPr>
        <w:footnoteReference w:id="2"/>
      </w:r>
      <w:r w:rsidRPr="00105059">
        <w:t xml:space="preserve">; </w:t>
      </w:r>
    </w:p>
    <w:p w:rsidR="00691767" w:rsidRPr="00105059" w:rsidRDefault="00FF483F" w:rsidP="0053629A">
      <w:pPr>
        <w:pStyle w:val="Bullet"/>
      </w:pPr>
      <w:r w:rsidRPr="00105059">
        <w:t xml:space="preserve">error in </w:t>
      </w:r>
      <w:r w:rsidR="00E343ED" w:rsidRPr="00105059">
        <w:t xml:space="preserve">estimates of the timing of the receipt of </w:t>
      </w:r>
      <w:r w:rsidRPr="00105059">
        <w:t>tax</w:t>
      </w:r>
      <w:r w:rsidR="00E343ED" w:rsidRPr="00105059">
        <w:t>ation</w:t>
      </w:r>
      <w:r w:rsidRPr="00105059">
        <w:t xml:space="preserve"> revenue; and </w:t>
      </w:r>
    </w:p>
    <w:p w:rsidR="00D24FF9" w:rsidRPr="00105059" w:rsidRDefault="00FF483F" w:rsidP="0053629A">
      <w:pPr>
        <w:pStyle w:val="Bullet"/>
      </w:pPr>
      <w:r w:rsidRPr="00105059">
        <w:t>miscellaneous factors</w:t>
      </w:r>
      <w:r w:rsidR="00691767" w:rsidRPr="00105059">
        <w:t>,</w:t>
      </w:r>
      <w:r w:rsidRPr="00105059">
        <w:t xml:space="preserve"> such as </w:t>
      </w:r>
      <w:r w:rsidR="00691767">
        <w:t xml:space="preserve">errors in Budget policy costings, </w:t>
      </w:r>
      <w:r w:rsidRPr="00105059">
        <w:t>post</w:t>
      </w:r>
      <w:r w:rsidR="009102D1">
        <w:noBreakHyphen/>
      </w:r>
      <w:r w:rsidRPr="00105059">
        <w:t>Budget policy decisions and court decisions relating to tax law interpretation</w:t>
      </w:r>
      <w:r w:rsidR="009A69C5" w:rsidRPr="00105059">
        <w:t>.</w:t>
      </w:r>
    </w:p>
    <w:p w:rsidR="008A3724" w:rsidRPr="00A2389A" w:rsidRDefault="00FF483F" w:rsidP="00D61FAA">
      <w:r w:rsidRPr="00A2389A">
        <w:t xml:space="preserve">A </w:t>
      </w:r>
      <w:r w:rsidR="00D8536F" w:rsidRPr="00A2389A">
        <w:t>counterfactual</w:t>
      </w:r>
      <w:r w:rsidRPr="00A2389A">
        <w:t xml:space="preserve"> exercise has been </w:t>
      </w:r>
      <w:r w:rsidR="004B3A09" w:rsidRPr="00A2389A">
        <w:t>undertaken</w:t>
      </w:r>
      <w:r w:rsidRPr="00A2389A">
        <w:t xml:space="preserve"> to </w:t>
      </w:r>
      <w:r w:rsidR="001B2530">
        <w:t>decompose</w:t>
      </w:r>
      <w:r w:rsidRPr="00A2389A">
        <w:t xml:space="preserve"> </w:t>
      </w:r>
      <w:r w:rsidR="002C113D">
        <w:t xml:space="preserve">taxation </w:t>
      </w:r>
      <w:r w:rsidR="00752C0D" w:rsidRPr="00A2389A">
        <w:t xml:space="preserve">revenue </w:t>
      </w:r>
      <w:r w:rsidR="002C113D">
        <w:t xml:space="preserve">forecast </w:t>
      </w:r>
      <w:r w:rsidR="00752C0D" w:rsidRPr="00A2389A">
        <w:t xml:space="preserve">errors into </w:t>
      </w:r>
      <w:r w:rsidR="006934B4">
        <w:t xml:space="preserve">those that reflect </w:t>
      </w:r>
      <w:r w:rsidR="002C113D">
        <w:t>macro</w:t>
      </w:r>
      <w:r w:rsidR="00CC28AD" w:rsidRPr="00A2389A">
        <w:t>e</w:t>
      </w:r>
      <w:r w:rsidR="008168B0" w:rsidRPr="00A2389A">
        <w:t>conomic forecast</w:t>
      </w:r>
      <w:r w:rsidR="006934B4">
        <w:t xml:space="preserve"> error</w:t>
      </w:r>
      <w:r w:rsidR="00826A85">
        <w:t>s</w:t>
      </w:r>
      <w:r w:rsidR="003E45AC">
        <w:t xml:space="preserve"> </w:t>
      </w:r>
      <w:r w:rsidR="00752C0D" w:rsidRPr="00A2389A">
        <w:t xml:space="preserve">and </w:t>
      </w:r>
      <w:r w:rsidR="006934B4">
        <w:t xml:space="preserve">those that reflect </w:t>
      </w:r>
      <w:r w:rsidR="00752C0D" w:rsidRPr="00A2389A">
        <w:t>other sources of error</w:t>
      </w:r>
      <w:r w:rsidR="002C113D">
        <w:t>. The results of this exercise are detailed in Figure 4.6, below</w:t>
      </w:r>
      <w:r w:rsidR="00752C0D" w:rsidRPr="00A2389A">
        <w:t>.</w:t>
      </w:r>
      <w:r w:rsidR="003E1304">
        <w:t xml:space="preserve"> </w:t>
      </w:r>
      <w:r w:rsidR="007B4E5E" w:rsidRPr="00A2389A">
        <w:t xml:space="preserve">The </w:t>
      </w:r>
      <w:r w:rsidR="00470462" w:rsidRPr="00A2389A">
        <w:t>left</w:t>
      </w:r>
      <w:r w:rsidR="009102D1">
        <w:noBreakHyphen/>
      </w:r>
      <w:r w:rsidR="00470462" w:rsidRPr="00A2389A">
        <w:t xml:space="preserve">hand panel of </w:t>
      </w:r>
      <w:r w:rsidR="007709D6" w:rsidRPr="00A2389A">
        <w:t>Figure</w:t>
      </w:r>
      <w:r w:rsidR="007709D6">
        <w:t> </w:t>
      </w:r>
      <w:r w:rsidR="00470462" w:rsidRPr="00A2389A">
        <w:t>4.6</w:t>
      </w:r>
      <w:r w:rsidR="00752C0D" w:rsidRPr="00A2389A">
        <w:t xml:space="preserve"> shows </w:t>
      </w:r>
      <w:r w:rsidR="000474A0" w:rsidRPr="00A2389A">
        <w:t xml:space="preserve">the </w:t>
      </w:r>
      <w:r w:rsidR="00E02913" w:rsidRPr="00A2389A">
        <w:t xml:space="preserve">actual </w:t>
      </w:r>
      <w:r w:rsidR="000474A0" w:rsidRPr="00A2389A">
        <w:t xml:space="preserve">forecast errors over </w:t>
      </w:r>
      <w:r w:rsidR="007C66FB" w:rsidRPr="00D34E90">
        <w:t>M</w:t>
      </w:r>
      <w:r w:rsidR="000474A0" w:rsidRPr="00D34E90">
        <w:t xml:space="preserve">ining </w:t>
      </w:r>
      <w:r w:rsidR="007C66FB" w:rsidRPr="00D34E90">
        <w:t>B</w:t>
      </w:r>
      <w:r w:rsidR="000474A0" w:rsidRPr="00D34E90">
        <w:t xml:space="preserve">oom </w:t>
      </w:r>
      <w:r w:rsidR="007C66FB" w:rsidRPr="00D34E90">
        <w:t>M</w:t>
      </w:r>
      <w:r w:rsidR="000474A0" w:rsidRPr="00D34E90">
        <w:t>ark I</w:t>
      </w:r>
      <w:r w:rsidR="000474A0" w:rsidRPr="00A2389A">
        <w:t>.</w:t>
      </w:r>
      <w:r w:rsidR="003E1304">
        <w:t xml:space="preserve"> </w:t>
      </w:r>
      <w:r w:rsidR="00F15307" w:rsidRPr="00A2389A">
        <w:t xml:space="preserve">The </w:t>
      </w:r>
      <w:r w:rsidR="007B4E5E" w:rsidRPr="00A2389A">
        <w:t>right</w:t>
      </w:r>
      <w:r w:rsidR="009102D1">
        <w:noBreakHyphen/>
      </w:r>
      <w:r w:rsidR="007B4E5E" w:rsidRPr="00A2389A">
        <w:t xml:space="preserve">hand panel shows </w:t>
      </w:r>
      <w:r w:rsidR="004B782B">
        <w:t xml:space="preserve">the results of </w:t>
      </w:r>
      <w:r w:rsidR="001E6CAA">
        <w:t>a</w:t>
      </w:r>
      <w:r w:rsidR="004B782B">
        <w:t xml:space="preserve"> counterfactual exercise</w:t>
      </w:r>
      <w:r w:rsidR="001E6CAA">
        <w:t xml:space="preserve">, which </w:t>
      </w:r>
      <w:r w:rsidR="00770617">
        <w:t>estimates</w:t>
      </w:r>
      <w:r w:rsidR="004B782B">
        <w:t xml:space="preserve"> the </w:t>
      </w:r>
      <w:r w:rsidR="007B4E5E" w:rsidRPr="00A2389A">
        <w:t>reven</w:t>
      </w:r>
      <w:r w:rsidR="008168B0" w:rsidRPr="00A2389A">
        <w:t xml:space="preserve">ue </w:t>
      </w:r>
      <w:r w:rsidR="00770617">
        <w:t xml:space="preserve">forecast </w:t>
      </w:r>
      <w:r w:rsidR="008168B0" w:rsidRPr="00A2389A">
        <w:t xml:space="preserve">errors </w:t>
      </w:r>
      <w:r w:rsidR="001E6CAA">
        <w:t xml:space="preserve">that would have occurred </w:t>
      </w:r>
      <w:r w:rsidR="008168B0" w:rsidRPr="00A2389A">
        <w:t xml:space="preserve">if </w:t>
      </w:r>
      <w:r w:rsidR="001E6CAA">
        <w:t xml:space="preserve">actual </w:t>
      </w:r>
      <w:r w:rsidR="008168B0" w:rsidRPr="00A2389A">
        <w:t xml:space="preserve">economic </w:t>
      </w:r>
      <w:r w:rsidR="005710FD" w:rsidRPr="00A2389A">
        <w:t>outcome</w:t>
      </w:r>
      <w:r w:rsidR="008168B0" w:rsidRPr="00A2389A">
        <w:t>s</w:t>
      </w:r>
      <w:r w:rsidR="0016139E" w:rsidRPr="00A2389A">
        <w:t xml:space="preserve"> had been </w:t>
      </w:r>
      <w:r w:rsidR="00F12816" w:rsidRPr="00A2389A">
        <w:t>known</w:t>
      </w:r>
      <w:r w:rsidR="004B3A09" w:rsidRPr="00A2389A">
        <w:t xml:space="preserve"> at the time </w:t>
      </w:r>
      <w:r w:rsidR="005162B8">
        <w:t xml:space="preserve">that </w:t>
      </w:r>
      <w:r w:rsidR="004B3A09" w:rsidRPr="00A2389A">
        <w:t xml:space="preserve">the forecasts were </w:t>
      </w:r>
      <w:r w:rsidR="005162B8">
        <w:t>being prepared</w:t>
      </w:r>
      <w:r w:rsidR="00A81E03" w:rsidRPr="00A2389A">
        <w:t xml:space="preserve">. </w:t>
      </w:r>
      <w:r w:rsidR="001E6CAA">
        <w:t xml:space="preserve">The presence of </w:t>
      </w:r>
      <w:r w:rsidR="005D157F" w:rsidRPr="00A2389A">
        <w:t xml:space="preserve">significant revenue </w:t>
      </w:r>
      <w:r w:rsidR="001E6CAA">
        <w:t>forecast error</w:t>
      </w:r>
      <w:r w:rsidR="005D157F" w:rsidRPr="00A2389A">
        <w:t xml:space="preserve"> in the </w:t>
      </w:r>
      <w:r w:rsidR="006934B4">
        <w:t xml:space="preserve">counterfactual </w:t>
      </w:r>
      <w:r w:rsidR="005D157F" w:rsidRPr="00A2389A">
        <w:t>would suggest scope to improve revenue forecasting methodology.</w:t>
      </w:r>
    </w:p>
    <w:p w:rsidR="0048151E" w:rsidRPr="00A2389A" w:rsidRDefault="002C113D" w:rsidP="00D61FAA">
      <w:r>
        <w:t>T</w:t>
      </w:r>
      <w:r w:rsidR="0074118A" w:rsidRPr="00A2389A">
        <w:t xml:space="preserve">he counterfactual exercise assumes </w:t>
      </w:r>
      <w:r>
        <w:t xml:space="preserve">in particular </w:t>
      </w:r>
      <w:r w:rsidR="0074118A" w:rsidRPr="00A2389A">
        <w:t xml:space="preserve">that the outcomes for compensation of employees (the income tax withholding </w:t>
      </w:r>
      <w:r w:rsidR="005D157F">
        <w:t>economic base</w:t>
      </w:r>
      <w:r w:rsidR="0074118A" w:rsidRPr="00A2389A">
        <w:t xml:space="preserve">), consumption subject to GST (the GST </w:t>
      </w:r>
      <w:r w:rsidR="005D157F">
        <w:t>economic base</w:t>
      </w:r>
      <w:r w:rsidR="0074118A" w:rsidRPr="00A2389A">
        <w:t>) and gross operating surplus (</w:t>
      </w:r>
      <w:r w:rsidR="00E428AE" w:rsidRPr="00A2389A">
        <w:t xml:space="preserve">the </w:t>
      </w:r>
      <w:r w:rsidR="00E428AE">
        <w:t>corporate tax economic base)</w:t>
      </w:r>
      <w:r w:rsidR="0074118A" w:rsidRPr="00A2389A">
        <w:t xml:space="preserve"> </w:t>
      </w:r>
      <w:r w:rsidR="0025194E" w:rsidRPr="00A2389A">
        <w:t>are</w:t>
      </w:r>
      <w:r w:rsidR="0074118A" w:rsidRPr="00A2389A">
        <w:t xml:space="preserve"> known.</w:t>
      </w:r>
      <w:r w:rsidR="003E1304">
        <w:t xml:space="preserve"> </w:t>
      </w:r>
      <w:r w:rsidR="007102D8">
        <w:t xml:space="preserve">In the case of </w:t>
      </w:r>
      <w:r w:rsidR="0074118A" w:rsidRPr="00A2389A">
        <w:t xml:space="preserve">capital gains tax, it is assumed that </w:t>
      </w:r>
      <w:r w:rsidR="00B971DF">
        <w:t xml:space="preserve">actual </w:t>
      </w:r>
      <w:r w:rsidR="0074118A" w:rsidRPr="00A2389A">
        <w:t>asset price</w:t>
      </w:r>
      <w:r w:rsidR="00012E3D">
        <w:t xml:space="preserve"> outcome</w:t>
      </w:r>
      <w:r w:rsidR="0074118A" w:rsidRPr="00A2389A">
        <w:t>s are known</w:t>
      </w:r>
      <w:r w:rsidR="00012E3D">
        <w:t xml:space="preserve"> </w:t>
      </w:r>
      <w:r w:rsidR="00012E3D" w:rsidRPr="00A2389A">
        <w:t>(</w:t>
      </w:r>
      <w:r w:rsidR="00012E3D">
        <w:t xml:space="preserve">that is, share prices </w:t>
      </w:r>
      <w:r w:rsidR="00012E3D" w:rsidRPr="00A2389A">
        <w:t>and house prices)</w:t>
      </w:r>
      <w:r w:rsidR="0074118A" w:rsidRPr="00A2389A">
        <w:t>.</w:t>
      </w:r>
      <w:r w:rsidR="003E1304">
        <w:t xml:space="preserve"> </w:t>
      </w:r>
      <w:r w:rsidR="006827B1">
        <w:t>N</w:t>
      </w:r>
      <w:r w:rsidR="0074118A" w:rsidRPr="00A2389A">
        <w:t xml:space="preserve">ot all </w:t>
      </w:r>
      <w:r w:rsidR="006827B1">
        <w:t xml:space="preserve">heads of revenue </w:t>
      </w:r>
      <w:r w:rsidR="0074118A" w:rsidRPr="00A2389A">
        <w:t>have been included in this exercise</w:t>
      </w:r>
      <w:r w:rsidR="004B3A09" w:rsidRPr="00A2389A">
        <w:t xml:space="preserve">, </w:t>
      </w:r>
      <w:r w:rsidR="006827B1">
        <w:t>although</w:t>
      </w:r>
      <w:r w:rsidR="007709D6">
        <w:t xml:space="preserve"> </w:t>
      </w:r>
      <w:r w:rsidR="004B3A09" w:rsidRPr="00A2389A">
        <w:t>t</w:t>
      </w:r>
      <w:r w:rsidR="0074118A" w:rsidRPr="00A2389A">
        <w:t xml:space="preserve">he four </w:t>
      </w:r>
      <w:r w:rsidR="006827B1">
        <w:t>heads of revenue</w:t>
      </w:r>
      <w:r w:rsidR="0074118A" w:rsidRPr="00A2389A">
        <w:t xml:space="preserve"> </w:t>
      </w:r>
      <w:r w:rsidR="006827B1">
        <w:t xml:space="preserve">considered </w:t>
      </w:r>
      <w:r w:rsidR="0074118A" w:rsidRPr="00A2389A">
        <w:t>comprise around 85 per cent of tax</w:t>
      </w:r>
      <w:r w:rsidR="007102D8">
        <w:t>ation</w:t>
      </w:r>
      <w:r w:rsidR="0074118A" w:rsidRPr="00A2389A">
        <w:t xml:space="preserve"> revenue and </w:t>
      </w:r>
      <w:r w:rsidR="006F1BAC">
        <w:t xml:space="preserve">on average </w:t>
      </w:r>
      <w:r w:rsidR="007102D8">
        <w:t xml:space="preserve">account for </w:t>
      </w:r>
      <w:r w:rsidR="0074118A" w:rsidRPr="00A2389A">
        <w:t>around 80 per cent of the forecast error over the case study period.</w:t>
      </w:r>
      <w:r w:rsidR="003E1304">
        <w:t xml:space="preserve"> </w:t>
      </w:r>
    </w:p>
    <w:p w:rsidR="007B4E5E" w:rsidRDefault="00470462" w:rsidP="00C664F7">
      <w:pPr>
        <w:pStyle w:val="ChartMainHeading"/>
        <w:spacing w:after="120"/>
      </w:pPr>
      <w:r w:rsidRPr="0053629A">
        <w:lastRenderedPageBreak/>
        <w:t>Figure</w:t>
      </w:r>
      <w:r w:rsidR="008A3724" w:rsidRPr="0053629A">
        <w:t xml:space="preserve"> </w:t>
      </w:r>
      <w:r w:rsidRPr="0053629A">
        <w:t>4.6</w:t>
      </w:r>
      <w:r w:rsidR="008A3724" w:rsidRPr="0053629A">
        <w:t>:</w:t>
      </w:r>
      <w:r w:rsidR="003E1304">
        <w:t xml:space="preserve"> </w:t>
      </w:r>
      <w:r w:rsidR="0095402E" w:rsidRPr="00171C90">
        <w:t xml:space="preserve">Contribution </w:t>
      </w:r>
      <w:r w:rsidR="0095402E">
        <w:t>t</w:t>
      </w:r>
      <w:r w:rsidR="0095402E" w:rsidRPr="00171C90">
        <w:t xml:space="preserve">o </w:t>
      </w:r>
      <w:r w:rsidR="00F568FE">
        <w:t xml:space="preserve">Budget </w:t>
      </w:r>
      <w:r w:rsidR="0095402E" w:rsidRPr="00171C90">
        <w:t xml:space="preserve">Revenue </w:t>
      </w:r>
      <w:r w:rsidR="0095402E">
        <w:t xml:space="preserve">Forecast </w:t>
      </w:r>
      <w:r w:rsidR="0095402E" w:rsidRPr="00171C90">
        <w:t xml:space="preserve">Error </w:t>
      </w:r>
      <w:r w:rsidR="0095402E">
        <w:t>b</w:t>
      </w:r>
      <w:r w:rsidR="0095402E" w:rsidRPr="00171C90">
        <w:t xml:space="preserve">y Head </w:t>
      </w:r>
      <w:r w:rsidR="0095402E">
        <w:t>o</w:t>
      </w:r>
      <w:r w:rsidR="0095402E" w:rsidRPr="00171C90">
        <w:t>f Revenue</w:t>
      </w:r>
    </w:p>
    <w:tbl>
      <w:tblPr>
        <w:tblStyle w:val="TableGrid"/>
        <w:tblW w:w="0" w:type="auto"/>
        <w:tblLook w:val="04A0" w:firstRow="1" w:lastRow="0" w:firstColumn="1" w:lastColumn="0" w:noHBand="0" w:noVBand="1"/>
      </w:tblPr>
      <w:tblGrid>
        <w:gridCol w:w="4621"/>
        <w:gridCol w:w="4621"/>
      </w:tblGrid>
      <w:tr w:rsidR="006A2BA5" w:rsidTr="00632AFF">
        <w:tc>
          <w:tcPr>
            <w:tcW w:w="4621" w:type="dxa"/>
            <w:shd w:val="clear" w:color="auto" w:fill="auto"/>
          </w:tcPr>
          <w:p w:rsidR="006A2BA5" w:rsidRDefault="006A2BA5" w:rsidP="006A2BA5">
            <w:pPr>
              <w:pStyle w:val="ChartGraphic"/>
            </w:pPr>
            <w:r w:rsidRPr="0053629A">
              <w:t>Actual forecast errors</w:t>
            </w:r>
          </w:p>
        </w:tc>
        <w:tc>
          <w:tcPr>
            <w:tcW w:w="4621" w:type="dxa"/>
            <w:shd w:val="clear" w:color="auto" w:fill="auto"/>
          </w:tcPr>
          <w:p w:rsidR="006A2BA5" w:rsidRDefault="006A2BA5" w:rsidP="006A2BA5">
            <w:pPr>
              <w:pStyle w:val="ChartGraphic"/>
            </w:pPr>
            <w:r w:rsidRPr="0053629A">
              <w:t>Counterfactual forecast errors</w:t>
            </w:r>
          </w:p>
        </w:tc>
      </w:tr>
      <w:tr w:rsidR="006A2BA5" w:rsidTr="00632AFF">
        <w:tc>
          <w:tcPr>
            <w:tcW w:w="4621" w:type="dxa"/>
            <w:shd w:val="clear" w:color="auto" w:fill="auto"/>
          </w:tcPr>
          <w:p w:rsidR="006A2BA5" w:rsidRDefault="00BF3856" w:rsidP="00252A80">
            <w:pPr>
              <w:pStyle w:val="ChartGraphic"/>
            </w:pPr>
            <w:r>
              <w:object w:dxaOrig="4516" w:dyaOrig="4515">
                <v:shape id="_x0000_i1031" type="#_x0000_t75" alt="This figure has two panels.  The left-hand panel shows the contribution to budget taxation revenue forecast error by major heads of revenue (CGT, Income tax withholding, GST and Company Tax) from 2003-04 to 2007-08.&#10;" style="width:224.15pt;height:223.5pt" o:ole="">
                  <v:imagedata r:id="rId19" o:title=""/>
                </v:shape>
                <o:OLEObject Type="Link" ProgID="Excel.Sheet.12" ShapeID="_x0000_i1031" DrawAspect="Content" r:id="rId20" UpdateMode="Always">
                  <o:LinkType>EnhancedMetaFile</o:LinkType>
                  <o:LockedField/>
                </o:OLEObject>
              </w:object>
            </w:r>
          </w:p>
        </w:tc>
        <w:tc>
          <w:tcPr>
            <w:tcW w:w="4621" w:type="dxa"/>
            <w:shd w:val="clear" w:color="auto" w:fill="auto"/>
          </w:tcPr>
          <w:p w:rsidR="006A2BA5" w:rsidRDefault="00BF3856" w:rsidP="00632AFF">
            <w:pPr>
              <w:pStyle w:val="ChartGraphic"/>
            </w:pPr>
            <w:r>
              <w:object w:dxaOrig="4516" w:dyaOrig="4515">
                <v:shape id="_x0000_i1032" type="#_x0000_t75" alt="The right-hand panel shows the contribution to counterfactual forecast error by major head of revenue (CGT, Income tax withholding, GST and Company Tax) from 2003-04 to 2007-08.&#10;" style="width:224.15pt;height:223.5pt" o:ole="">
                  <v:imagedata r:id="rId21" o:title=""/>
                </v:shape>
                <o:OLEObject Type="Link" ProgID="Excel.Sheet.12" ShapeID="_x0000_i1032" DrawAspect="Content" r:id="rId22" UpdateMode="Always">
                  <o:LinkType>EnhancedMetaFile</o:LinkType>
                  <o:LockedField/>
                </o:OLEObject>
              </w:object>
            </w:r>
          </w:p>
        </w:tc>
      </w:tr>
    </w:tbl>
    <w:p w:rsidR="00B46503" w:rsidRPr="00A2389A" w:rsidRDefault="00A43266" w:rsidP="00D34E90">
      <w:pPr>
        <w:spacing w:before="120"/>
      </w:pPr>
      <w:r w:rsidRPr="00A2389A">
        <w:t xml:space="preserve">The </w:t>
      </w:r>
      <w:r w:rsidR="00D8536F" w:rsidRPr="00A2389A">
        <w:t>counterfactual</w:t>
      </w:r>
      <w:r w:rsidRPr="00A2389A">
        <w:t xml:space="preserve"> exercise </w:t>
      </w:r>
      <w:r w:rsidR="005A6456">
        <w:t>finds</w:t>
      </w:r>
      <w:r w:rsidR="003E1304">
        <w:t xml:space="preserve"> </w:t>
      </w:r>
      <w:r w:rsidRPr="00A2389A">
        <w:t xml:space="preserve">that most of the </w:t>
      </w:r>
      <w:r w:rsidR="007F2DF7">
        <w:t xml:space="preserve">taxation </w:t>
      </w:r>
      <w:r w:rsidR="00D24FF9" w:rsidRPr="00A2389A">
        <w:t xml:space="preserve">revenue forecasting error </w:t>
      </w:r>
      <w:r w:rsidR="00097F14">
        <w:t xml:space="preserve">during </w:t>
      </w:r>
      <w:r w:rsidR="00097F14" w:rsidRPr="00D34E90">
        <w:t>M</w:t>
      </w:r>
      <w:r w:rsidR="00D8244D" w:rsidRPr="00D34E90">
        <w:t xml:space="preserve">ining </w:t>
      </w:r>
      <w:r w:rsidR="00097F14" w:rsidRPr="00D34E90">
        <w:t>B</w:t>
      </w:r>
      <w:r w:rsidR="00D8244D" w:rsidRPr="00D34E90">
        <w:t xml:space="preserve">oom </w:t>
      </w:r>
      <w:r w:rsidR="00097F14" w:rsidRPr="00D34E90">
        <w:t>M</w:t>
      </w:r>
      <w:r w:rsidR="00D8244D" w:rsidRPr="00D34E90">
        <w:t>ark I</w:t>
      </w:r>
      <w:r w:rsidR="00D24FF9" w:rsidRPr="00A2389A">
        <w:t xml:space="preserve"> </w:t>
      </w:r>
      <w:r w:rsidR="00012E3D">
        <w:t>c</w:t>
      </w:r>
      <w:r w:rsidR="00825584">
        <w:t>an</w:t>
      </w:r>
      <w:r w:rsidR="00012E3D">
        <w:t xml:space="preserve"> be attributed</w:t>
      </w:r>
      <w:r w:rsidR="00D24FF9" w:rsidRPr="00A2389A">
        <w:t xml:space="preserve"> to e</w:t>
      </w:r>
      <w:r w:rsidR="007F2DF7">
        <w:t>rrors in the nominal economy forecasts</w:t>
      </w:r>
      <w:r w:rsidR="00D24FF9" w:rsidRPr="00A2389A">
        <w:t>.</w:t>
      </w:r>
      <w:r w:rsidR="003E1304">
        <w:t xml:space="preserve"> </w:t>
      </w:r>
      <w:r w:rsidR="0008707A" w:rsidRPr="00A2389A">
        <w:t xml:space="preserve">The average actual </w:t>
      </w:r>
      <w:r w:rsidR="007F2DF7">
        <w:t xml:space="preserve">revenue </w:t>
      </w:r>
      <w:r w:rsidR="0008707A" w:rsidRPr="00A2389A">
        <w:t xml:space="preserve">forecast error </w:t>
      </w:r>
      <w:r w:rsidR="007F2DF7">
        <w:t>during Mining Boom Mark I</w:t>
      </w:r>
      <w:r w:rsidR="0008707A" w:rsidRPr="00A2389A">
        <w:t xml:space="preserve"> was </w:t>
      </w:r>
      <w:r w:rsidR="002C113D">
        <w:t xml:space="preserve">(an underestimate of) </w:t>
      </w:r>
      <w:r w:rsidR="0008707A" w:rsidRPr="00A2389A">
        <w:t>$</w:t>
      </w:r>
      <w:r w:rsidR="00BA068D" w:rsidRPr="00A2389A">
        <w:t>6.2</w:t>
      </w:r>
      <w:r w:rsidR="0008707A" w:rsidRPr="00A2389A">
        <w:t xml:space="preserve"> billion, </w:t>
      </w:r>
      <w:r w:rsidR="007C5443">
        <w:t>whereas</w:t>
      </w:r>
      <w:r w:rsidR="007C5443" w:rsidRPr="00A2389A">
        <w:t xml:space="preserve"> </w:t>
      </w:r>
      <w:r w:rsidR="0008707A" w:rsidRPr="00A2389A">
        <w:t xml:space="preserve">the average </w:t>
      </w:r>
      <w:r w:rsidR="00707542">
        <w:t xml:space="preserve">estimated </w:t>
      </w:r>
      <w:r w:rsidR="0008707A" w:rsidRPr="00A2389A">
        <w:t xml:space="preserve">forecast error under the counterfactual exercise is </w:t>
      </w:r>
      <w:r w:rsidR="00BF1F45">
        <w:t xml:space="preserve">(an overestimate of) </w:t>
      </w:r>
      <w:r w:rsidR="0008707A" w:rsidRPr="00A2389A">
        <w:t>$</w:t>
      </w:r>
      <w:r w:rsidR="00BA068D" w:rsidRPr="00A2389A">
        <w:t>0.</w:t>
      </w:r>
      <w:r w:rsidR="00A74A74">
        <w:t>3</w:t>
      </w:r>
      <w:r w:rsidR="007F2DF7">
        <w:t> </w:t>
      </w:r>
      <w:r w:rsidR="0008707A" w:rsidRPr="00A2389A">
        <w:t>billion.</w:t>
      </w:r>
      <w:r w:rsidR="00C635DD" w:rsidRPr="00C635DD">
        <w:t xml:space="preserve"> </w:t>
      </w:r>
      <w:r w:rsidR="00C635DD">
        <w:t xml:space="preserve">This </w:t>
      </w:r>
      <w:r w:rsidR="00BF1F45">
        <w:t xml:space="preserve">suggests </w:t>
      </w:r>
      <w:r w:rsidR="00C635DD">
        <w:t>that the revenue forecast error reflects the</w:t>
      </w:r>
      <w:r w:rsidR="00C635DD" w:rsidRPr="00A2389A">
        <w:t xml:space="preserve"> underestimation of the strength of the </w:t>
      </w:r>
      <w:r w:rsidR="00C635DD">
        <w:t xml:space="preserve">nominal </w:t>
      </w:r>
      <w:r w:rsidR="00C635DD" w:rsidRPr="00A2389A">
        <w:t>economy</w:t>
      </w:r>
      <w:r w:rsidR="00C635DD">
        <w:t xml:space="preserve"> during </w:t>
      </w:r>
      <w:r w:rsidR="00C635DD" w:rsidRPr="005A7349">
        <w:t>Mining Boom Mark I,</w:t>
      </w:r>
      <w:r w:rsidR="00C635DD" w:rsidRPr="00A2389A">
        <w:t xml:space="preserve"> rather than any systematic tendency to underestimate revenue</w:t>
      </w:r>
      <w:r w:rsidR="007F2DF7">
        <w:t xml:space="preserve"> over this period</w:t>
      </w:r>
      <w:r w:rsidR="00C635DD" w:rsidRPr="00A2389A">
        <w:t>.</w:t>
      </w:r>
      <w:r w:rsidR="00BF3856" w:rsidRPr="00BF3856">
        <w:t xml:space="preserve"> </w:t>
      </w:r>
    </w:p>
    <w:p w:rsidR="008A3724" w:rsidRPr="00A2389A" w:rsidRDefault="00B46503" w:rsidP="00105059">
      <w:r w:rsidRPr="00A2389A">
        <w:t>The sections</w:t>
      </w:r>
      <w:r w:rsidR="00CB1B66">
        <w:t>,</w:t>
      </w:r>
      <w:r w:rsidRPr="00A2389A">
        <w:t xml:space="preserve"> below</w:t>
      </w:r>
      <w:r w:rsidR="00CB1B66">
        <w:t>,</w:t>
      </w:r>
      <w:r w:rsidRPr="00A2389A">
        <w:t xml:space="preserve"> discuss the errors in each of the </w:t>
      </w:r>
      <w:r w:rsidR="00E02913" w:rsidRPr="00A2389A">
        <w:t xml:space="preserve">major </w:t>
      </w:r>
      <w:r w:rsidRPr="00A2389A">
        <w:t>heads of revenue over this period</w:t>
      </w:r>
      <w:r w:rsidR="00CB1B66">
        <w:t>.</w:t>
      </w:r>
      <w:r w:rsidR="003E1304">
        <w:t xml:space="preserve"> </w:t>
      </w:r>
    </w:p>
    <w:p w:rsidR="006D1304" w:rsidRPr="0053629A" w:rsidRDefault="006D1304" w:rsidP="0053629A">
      <w:pPr>
        <w:pStyle w:val="Heading4"/>
      </w:pPr>
      <w:r w:rsidRPr="0053629A">
        <w:t>Income Tax Withholding</w:t>
      </w:r>
    </w:p>
    <w:p w:rsidR="00C31EC0" w:rsidRPr="00A2389A" w:rsidRDefault="009D046A" w:rsidP="00D61FAA">
      <w:r w:rsidRPr="00A2389A">
        <w:t>Income tax withholding is the largest tax revenue</w:t>
      </w:r>
      <w:r w:rsidR="00E62F1C">
        <w:t xml:space="preserve"> head</w:t>
      </w:r>
      <w:r w:rsidRPr="00A2389A">
        <w:t xml:space="preserve">, comprising over 45 per cent of total </w:t>
      </w:r>
      <w:r w:rsidR="00A96AC4">
        <w:t xml:space="preserve">taxation </w:t>
      </w:r>
      <w:r w:rsidRPr="00A2389A">
        <w:t>revenue.</w:t>
      </w:r>
      <w:r w:rsidR="003E1304">
        <w:t xml:space="preserve"> </w:t>
      </w:r>
      <w:r w:rsidR="005E3664" w:rsidRPr="00A2389A">
        <w:t xml:space="preserve">The relevant economic </w:t>
      </w:r>
      <w:r w:rsidR="00E62F1C">
        <w:t>base</w:t>
      </w:r>
      <w:r w:rsidR="00E62F1C" w:rsidRPr="00A2389A">
        <w:t xml:space="preserve"> </w:t>
      </w:r>
      <w:r w:rsidR="005E3664" w:rsidRPr="00A2389A">
        <w:t xml:space="preserve">for </w:t>
      </w:r>
      <w:r w:rsidR="00DF0471" w:rsidRPr="00A2389A">
        <w:t xml:space="preserve">income tax withholding is </w:t>
      </w:r>
      <w:r w:rsidR="00C31EC0" w:rsidRPr="00A2389A">
        <w:t>comp</w:t>
      </w:r>
      <w:r w:rsidR="00DF0471" w:rsidRPr="00A2389A">
        <w:t>ensation of employees</w:t>
      </w:r>
      <w:r w:rsidR="00E62F1C">
        <w:t xml:space="preserve">, which measures </w:t>
      </w:r>
      <w:r w:rsidR="00DF0471" w:rsidRPr="00A2389A">
        <w:t>the total wage bill of the economy</w:t>
      </w:r>
      <w:r w:rsidR="0055508D">
        <w:t xml:space="preserve"> (</w:t>
      </w:r>
      <w:r w:rsidR="00DF0471" w:rsidRPr="00A2389A">
        <w:t xml:space="preserve">and </w:t>
      </w:r>
      <w:r w:rsidR="002630D0" w:rsidRPr="00A2389A">
        <w:t xml:space="preserve">can be split into </w:t>
      </w:r>
      <w:r w:rsidR="00DF0471" w:rsidRPr="00A2389A">
        <w:t xml:space="preserve">the </w:t>
      </w:r>
      <w:r w:rsidR="00D542C4" w:rsidRPr="00A2389A">
        <w:t xml:space="preserve">total </w:t>
      </w:r>
      <w:r w:rsidR="00DF0471" w:rsidRPr="00A2389A">
        <w:t>number of employees multiplied by the average wage</w:t>
      </w:r>
      <w:r w:rsidR="0055508D">
        <w:t>)</w:t>
      </w:r>
      <w:r w:rsidR="00DF0471" w:rsidRPr="00A2389A">
        <w:t>.</w:t>
      </w:r>
      <w:r w:rsidR="003E1304">
        <w:t xml:space="preserve"> </w:t>
      </w:r>
      <w:r w:rsidR="00B46F3F" w:rsidRPr="00A2389A">
        <w:t xml:space="preserve">The correlation between </w:t>
      </w:r>
      <w:r w:rsidR="005038E8">
        <w:t xml:space="preserve">the </w:t>
      </w:r>
      <w:r w:rsidR="00B46F3F" w:rsidRPr="00A2389A">
        <w:t xml:space="preserve">growth in </w:t>
      </w:r>
      <w:r w:rsidR="005A19E8" w:rsidRPr="00A2389A">
        <w:t xml:space="preserve">income tax withholding and </w:t>
      </w:r>
      <w:r w:rsidR="005038E8">
        <w:t xml:space="preserve">the growth in </w:t>
      </w:r>
      <w:r w:rsidR="004F177E" w:rsidRPr="00A2389A">
        <w:t>compensation of employees</w:t>
      </w:r>
      <w:r w:rsidR="00B46F3F" w:rsidRPr="00A2389A">
        <w:t xml:space="preserve"> over the past decade </w:t>
      </w:r>
      <w:r w:rsidR="0077318B">
        <w:t>(2002</w:t>
      </w:r>
      <w:r w:rsidR="009102D1">
        <w:noBreakHyphen/>
      </w:r>
      <w:r w:rsidR="0077318B">
        <w:t>03 to 2011</w:t>
      </w:r>
      <w:r w:rsidR="009102D1">
        <w:noBreakHyphen/>
      </w:r>
      <w:r w:rsidR="0077318B">
        <w:t xml:space="preserve">12) </w:t>
      </w:r>
      <w:r w:rsidR="00B46F3F" w:rsidRPr="00A2389A">
        <w:t>has been 0.</w:t>
      </w:r>
      <w:r w:rsidR="004F177E" w:rsidRPr="00A2389A">
        <w:t xml:space="preserve">87, </w:t>
      </w:r>
      <w:r w:rsidR="00372420" w:rsidRPr="00A2389A">
        <w:t xml:space="preserve">indicating a </w:t>
      </w:r>
      <w:r w:rsidR="00EF7BB5">
        <w:t>good</w:t>
      </w:r>
      <w:r w:rsidR="00EF7BB5" w:rsidRPr="00A2389A">
        <w:t xml:space="preserve"> </w:t>
      </w:r>
      <w:r w:rsidR="00372420" w:rsidRPr="00A2389A">
        <w:t>relationship.</w:t>
      </w:r>
      <w:r w:rsidR="005A19E8" w:rsidRPr="00A2389A">
        <w:rPr>
          <w:vertAlign w:val="superscript"/>
        </w:rPr>
        <w:footnoteReference w:id="3"/>
      </w:r>
      <w:r w:rsidR="00372420" w:rsidRPr="00A2389A">
        <w:t xml:space="preserve"> </w:t>
      </w:r>
    </w:p>
    <w:p w:rsidR="00DF0471" w:rsidRPr="00A2389A" w:rsidRDefault="00470462" w:rsidP="00105059">
      <w:r w:rsidRPr="00A2389A">
        <w:t>Figure</w:t>
      </w:r>
      <w:r w:rsidR="00BE0A56" w:rsidRPr="00A2389A">
        <w:t xml:space="preserve"> 4</w:t>
      </w:r>
      <w:r w:rsidRPr="00A2389A">
        <w:t>.7</w:t>
      </w:r>
      <w:r w:rsidR="00DF0471" w:rsidRPr="00A2389A">
        <w:t xml:space="preserve"> below shows the forecast errors for compensation of employees</w:t>
      </w:r>
      <w:r w:rsidR="00D542C4" w:rsidRPr="00A2389A">
        <w:t xml:space="preserve"> </w:t>
      </w:r>
      <w:r w:rsidR="00FC36A4">
        <w:t xml:space="preserve">during </w:t>
      </w:r>
      <w:r w:rsidR="00FC36A4" w:rsidRPr="00D34E90">
        <w:t>M</w:t>
      </w:r>
      <w:r w:rsidR="005D7CB8" w:rsidRPr="00D34E90">
        <w:t xml:space="preserve">ining </w:t>
      </w:r>
      <w:r w:rsidR="00FC36A4" w:rsidRPr="00D34E90">
        <w:t>B</w:t>
      </w:r>
      <w:r w:rsidR="005D7CB8" w:rsidRPr="00D34E90">
        <w:t xml:space="preserve">oom </w:t>
      </w:r>
      <w:r w:rsidR="00FC36A4" w:rsidRPr="00D34E90">
        <w:t>M</w:t>
      </w:r>
      <w:r w:rsidR="005D7CB8" w:rsidRPr="00D34E90">
        <w:t>ark</w:t>
      </w:r>
      <w:r w:rsidR="001A51A6" w:rsidRPr="00D34E90">
        <w:t> </w:t>
      </w:r>
      <w:r w:rsidR="005D7CB8" w:rsidRPr="00D34E90">
        <w:t>I</w:t>
      </w:r>
      <w:r w:rsidR="00DF0471" w:rsidRPr="003020CC">
        <w:t>.</w:t>
      </w:r>
      <w:r w:rsidR="003E1304">
        <w:t xml:space="preserve"> </w:t>
      </w:r>
      <w:r w:rsidR="00DF0471" w:rsidRPr="00A2389A">
        <w:t xml:space="preserve">The strength </w:t>
      </w:r>
      <w:r w:rsidR="007B4ED7" w:rsidRPr="00A2389A">
        <w:t>in</w:t>
      </w:r>
      <w:r w:rsidR="00DF0471" w:rsidRPr="00A2389A">
        <w:t xml:space="preserve"> employment growth was cons</w:t>
      </w:r>
      <w:r w:rsidR="000676A2" w:rsidRPr="00A2389A">
        <w:t xml:space="preserve">istently underestimated during </w:t>
      </w:r>
      <w:r w:rsidR="005D7CB8" w:rsidRPr="00A2389A">
        <w:t>this period</w:t>
      </w:r>
      <w:r w:rsidR="000676A2" w:rsidRPr="00A2389A">
        <w:t xml:space="preserve">, </w:t>
      </w:r>
      <w:r w:rsidR="00FC36A4">
        <w:t>as was</w:t>
      </w:r>
      <w:r w:rsidR="003E1304">
        <w:t xml:space="preserve"> </w:t>
      </w:r>
      <w:r w:rsidR="00F12816" w:rsidRPr="00A2389A">
        <w:t xml:space="preserve">average </w:t>
      </w:r>
      <w:r w:rsidR="000676A2" w:rsidRPr="00A2389A">
        <w:t>wages growth</w:t>
      </w:r>
      <w:r w:rsidR="00FC36A4">
        <w:t>, albeit to a lesser extent</w:t>
      </w:r>
      <w:r w:rsidR="000676A2" w:rsidRPr="00A2389A">
        <w:t>.</w:t>
      </w:r>
      <w:r w:rsidR="00DF0471" w:rsidRPr="00A2389A">
        <w:t xml:space="preserve"> </w:t>
      </w:r>
      <w:r w:rsidR="008B2746">
        <w:t>T</w:t>
      </w:r>
      <w:r w:rsidR="008B2746" w:rsidRPr="00A2389A">
        <w:t xml:space="preserve">he forecast errors </w:t>
      </w:r>
      <w:r w:rsidR="008B2746">
        <w:t xml:space="preserve">are significantly </w:t>
      </w:r>
      <w:r w:rsidR="008B2746" w:rsidRPr="00A2389A">
        <w:t>reduce</w:t>
      </w:r>
      <w:r w:rsidR="008B2746">
        <w:t>d</w:t>
      </w:r>
      <w:r w:rsidR="008B2746" w:rsidRPr="00A2389A">
        <w:t xml:space="preserve"> </w:t>
      </w:r>
      <w:r w:rsidR="008B2746">
        <w:t>w</w:t>
      </w:r>
      <w:r w:rsidR="005E41E3" w:rsidRPr="00A2389A">
        <w:t xml:space="preserve">hen the </w:t>
      </w:r>
      <w:r w:rsidR="008B2746">
        <w:t xml:space="preserve">actual </w:t>
      </w:r>
      <w:r w:rsidR="005E41E3" w:rsidRPr="00A2389A">
        <w:t>employment and wages outcomes are applied to the income tax withholding model (as shown in the right</w:t>
      </w:r>
      <w:r w:rsidR="009102D1">
        <w:noBreakHyphen/>
      </w:r>
      <w:r w:rsidR="005E41E3" w:rsidRPr="00A2389A">
        <w:t>hand panel of Figure 4.6</w:t>
      </w:r>
      <w:r w:rsidR="00F86F4B">
        <w:t>,</w:t>
      </w:r>
      <w:r w:rsidR="005E41E3" w:rsidRPr="00A2389A">
        <w:t xml:space="preserve"> above), </w:t>
      </w:r>
      <w:r w:rsidR="00F86F4B">
        <w:t xml:space="preserve">indicating that </w:t>
      </w:r>
      <w:r w:rsidR="005E41E3" w:rsidRPr="00A2389A">
        <w:t>there was minimal forecasting error beyond the underestimation of the strength of the labour market over this period.</w:t>
      </w:r>
      <w:r w:rsidR="005E41E3">
        <w:t xml:space="preserve"> </w:t>
      </w:r>
    </w:p>
    <w:p w:rsidR="00F407E3" w:rsidRPr="0053629A" w:rsidRDefault="00470462" w:rsidP="0053629A">
      <w:pPr>
        <w:pStyle w:val="ChartMainHeading"/>
        <w:spacing w:after="120"/>
        <w:rPr>
          <w:rFonts w:eastAsiaTheme="minorHAnsi" w:cstheme="minorBidi"/>
          <w:lang w:eastAsia="en-US"/>
        </w:rPr>
      </w:pPr>
      <w:r w:rsidRPr="0053629A">
        <w:lastRenderedPageBreak/>
        <w:t>Figure</w:t>
      </w:r>
      <w:r w:rsidR="00BE0A56" w:rsidRPr="0053629A">
        <w:t xml:space="preserve"> 4</w:t>
      </w:r>
      <w:r w:rsidR="006D1304" w:rsidRPr="0053629A">
        <w:t>.</w:t>
      </w:r>
      <w:r w:rsidRPr="0053629A">
        <w:t>7</w:t>
      </w:r>
      <w:r w:rsidR="006D1304" w:rsidRPr="0053629A">
        <w:t>:</w:t>
      </w:r>
      <w:r w:rsidR="003E1304">
        <w:t xml:space="preserve"> </w:t>
      </w:r>
      <w:r w:rsidR="005E41E3" w:rsidRPr="00171C90">
        <w:t xml:space="preserve">Budget Forecast Errors </w:t>
      </w:r>
      <w:r w:rsidR="005E41E3">
        <w:t>f</w:t>
      </w:r>
      <w:r w:rsidR="005E41E3" w:rsidRPr="00171C90">
        <w:t xml:space="preserve">or </w:t>
      </w:r>
      <w:r w:rsidR="001F3817">
        <w:t xml:space="preserve">Growth in </w:t>
      </w:r>
      <w:r w:rsidR="005E41E3" w:rsidRPr="00171C90">
        <w:t xml:space="preserve">Compensation </w:t>
      </w:r>
      <w:r w:rsidR="00E1788D">
        <w:t>o</w:t>
      </w:r>
      <w:r w:rsidR="005E41E3" w:rsidRPr="00171C90">
        <w:t xml:space="preserve">f Employees </w:t>
      </w:r>
      <w:r w:rsidR="005E41E3">
        <w:t>a</w:t>
      </w:r>
      <w:r w:rsidR="005E41E3" w:rsidRPr="00171C90">
        <w:t>nd Income</w:t>
      </w:r>
      <w:r w:rsidR="005E41E3">
        <w:t> </w:t>
      </w:r>
      <w:r w:rsidR="005E41E3" w:rsidRPr="00171C90">
        <w:t>Tax</w:t>
      </w:r>
      <w:r w:rsidR="005E41E3">
        <w:t> </w:t>
      </w:r>
      <w:r w:rsidR="005E41E3" w:rsidRPr="00171C90">
        <w:t>Withholding</w:t>
      </w:r>
    </w:p>
    <w:p w:rsidR="005E41E3" w:rsidRDefault="00BF3856" w:rsidP="0053629A">
      <w:pPr>
        <w:pStyle w:val="ChartGraphic"/>
      </w:pPr>
      <w:r>
        <w:object w:dxaOrig="8790" w:dyaOrig="3960">
          <v:shape id="_x0000_i1033" type="#_x0000_t75" alt="This figure shows the Budget forecast errors in that Budget year for growth in compensation of employees (decomposed into employment error and wages error) and income tax withholding growth from 2003-04 to 2007-08.  The figure also shows the average compensation of employees growth error and average income tax withholding growth error for the period 2003-04 to 2007-08.&#10;" style="width:439.5pt;height:200.35pt" o:ole="">
            <v:imagedata r:id="rId23" o:title=""/>
          </v:shape>
          <o:OLEObject Type="Link" ProgID="Excel.Sheet.12" ShapeID="_x0000_i1033" DrawAspect="Content" r:id="rId24" UpdateMode="Always">
            <o:LinkType>Picture</o:LinkType>
            <o:LockedField/>
            <o:FieldCodes>\* MERGEFORMAT</o:FieldCodes>
          </o:OLEObject>
        </w:object>
      </w:r>
    </w:p>
    <w:p w:rsidR="006D1304" w:rsidRPr="00105059" w:rsidRDefault="006D1304" w:rsidP="005E41E3">
      <w:pPr>
        <w:pStyle w:val="ChartGraphic"/>
        <w:spacing w:after="240"/>
      </w:pPr>
    </w:p>
    <w:p w:rsidR="00E81048" w:rsidRPr="00D61FAA" w:rsidRDefault="00E81048" w:rsidP="0053629A">
      <w:pPr>
        <w:pStyle w:val="Heading4"/>
      </w:pPr>
      <w:r w:rsidRPr="00D61FAA">
        <w:t>Company tax</w:t>
      </w:r>
    </w:p>
    <w:p w:rsidR="00857D99" w:rsidRPr="00A2389A" w:rsidRDefault="00857D99" w:rsidP="00C23B41">
      <w:r w:rsidRPr="00A2389A">
        <w:t>Company tax is the second largest revenue</w:t>
      </w:r>
      <w:r w:rsidR="001F6C1E">
        <w:t xml:space="preserve"> head</w:t>
      </w:r>
      <w:r w:rsidRPr="00A2389A">
        <w:t>, comprising over 20 per cent of total revenue.</w:t>
      </w:r>
      <w:r w:rsidR="003E1304">
        <w:t xml:space="preserve"> </w:t>
      </w:r>
      <w:r w:rsidR="00F12816" w:rsidRPr="00A2389A">
        <w:t xml:space="preserve">The </w:t>
      </w:r>
      <w:r w:rsidR="008B2746">
        <w:t xml:space="preserve">main component of the </w:t>
      </w:r>
      <w:r w:rsidRPr="00A2389A">
        <w:t xml:space="preserve">economic </w:t>
      </w:r>
      <w:r w:rsidR="001F6C1E">
        <w:t>base</w:t>
      </w:r>
      <w:r w:rsidRPr="00A2389A">
        <w:t xml:space="preserve"> for company tax is gross operating surplus (GOS).</w:t>
      </w:r>
      <w:r w:rsidR="003E1304">
        <w:t xml:space="preserve"> </w:t>
      </w:r>
      <w:r w:rsidR="005D7CB8" w:rsidRPr="00A2389A">
        <w:t xml:space="preserve">The correlation between </w:t>
      </w:r>
      <w:r w:rsidR="005038E8">
        <w:t xml:space="preserve">the </w:t>
      </w:r>
      <w:r w:rsidR="005D7CB8" w:rsidRPr="00A2389A">
        <w:t xml:space="preserve">growth in </w:t>
      </w:r>
      <w:r w:rsidR="0081091D" w:rsidRPr="00A2389A">
        <w:t xml:space="preserve">company tax and </w:t>
      </w:r>
      <w:r w:rsidR="005038E8">
        <w:t xml:space="preserve">the growth in </w:t>
      </w:r>
      <w:r w:rsidR="0081091D" w:rsidRPr="00A2389A">
        <w:t>GOS</w:t>
      </w:r>
      <w:r w:rsidR="005D7CB8" w:rsidRPr="00A2389A">
        <w:t xml:space="preserve"> over the past decade has been 0.26, indicating that the relationship between the two series is not particularly strong.</w:t>
      </w:r>
      <w:r w:rsidR="003E1304">
        <w:t xml:space="preserve"> </w:t>
      </w:r>
      <w:r w:rsidR="005D7CB8" w:rsidRPr="00A2389A">
        <w:t xml:space="preserve">This is due to the </w:t>
      </w:r>
      <w:r w:rsidRPr="00A2389A">
        <w:t xml:space="preserve">conceptual differences between </w:t>
      </w:r>
      <w:r w:rsidR="0041550C">
        <w:t xml:space="preserve">corporate </w:t>
      </w:r>
      <w:r w:rsidR="00E307AF">
        <w:t xml:space="preserve">taxable income </w:t>
      </w:r>
      <w:r w:rsidRPr="00A2389A">
        <w:t xml:space="preserve">and GOS, </w:t>
      </w:r>
      <w:r w:rsidR="00E307AF">
        <w:t xml:space="preserve">and </w:t>
      </w:r>
      <w:r w:rsidR="0041550C">
        <w:t>the lag</w:t>
      </w:r>
      <w:r w:rsidR="0041550C" w:rsidRPr="00FA15F5">
        <w:t xml:space="preserve"> between </w:t>
      </w:r>
      <w:r w:rsidR="0041550C">
        <w:t xml:space="preserve">the </w:t>
      </w:r>
      <w:r w:rsidR="005038E8">
        <w:t xml:space="preserve">timing of the </w:t>
      </w:r>
      <w:r w:rsidR="0041550C" w:rsidRPr="00FA15F5">
        <w:t xml:space="preserve">economic activity and the associated </w:t>
      </w:r>
      <w:r w:rsidR="0041550C">
        <w:t xml:space="preserve">receipt of </w:t>
      </w:r>
      <w:r w:rsidR="0041550C" w:rsidRPr="00FA15F5">
        <w:t>tax</w:t>
      </w:r>
      <w:r w:rsidR="0041550C">
        <w:t>ation</w:t>
      </w:r>
      <w:r w:rsidR="0041550C" w:rsidRPr="00FA15F5">
        <w:t xml:space="preserve"> revenue</w:t>
      </w:r>
      <w:r w:rsidR="0041550C">
        <w:t xml:space="preserve">, </w:t>
      </w:r>
      <w:r w:rsidRPr="00A2389A">
        <w:t xml:space="preserve">which are discussed further in </w:t>
      </w:r>
      <w:r w:rsidR="0041550C">
        <w:t>S</w:t>
      </w:r>
      <w:r w:rsidRPr="00A2389A">
        <w:t xml:space="preserve">ection </w:t>
      </w:r>
      <w:r w:rsidR="005D7CB8" w:rsidRPr="00A2389A">
        <w:t>4.3</w:t>
      </w:r>
      <w:r w:rsidRPr="00A2389A">
        <w:t>.</w:t>
      </w:r>
    </w:p>
    <w:p w:rsidR="007E233D" w:rsidRPr="00A2389A" w:rsidRDefault="00470462" w:rsidP="00C23B41">
      <w:r w:rsidRPr="00A2389A">
        <w:t>Figure</w:t>
      </w:r>
      <w:r w:rsidR="007E233D" w:rsidRPr="00A2389A">
        <w:t xml:space="preserve"> 4.</w:t>
      </w:r>
      <w:r w:rsidRPr="00A2389A">
        <w:t>8</w:t>
      </w:r>
      <w:r w:rsidR="007E233D" w:rsidRPr="00A2389A">
        <w:t xml:space="preserve"> shows the </w:t>
      </w:r>
      <w:r w:rsidR="00301946">
        <w:t xml:space="preserve">Budget </w:t>
      </w:r>
      <w:r w:rsidR="007E233D" w:rsidRPr="00A2389A">
        <w:t xml:space="preserve">forecast errors for </w:t>
      </w:r>
      <w:r w:rsidR="0022575F" w:rsidRPr="00A2389A">
        <w:t>GOS and company tax</w:t>
      </w:r>
      <w:r w:rsidR="00E6340A">
        <w:t xml:space="preserve"> (excluding CGT)</w:t>
      </w:r>
      <w:r w:rsidR="0022575F" w:rsidRPr="00A2389A">
        <w:t>.</w:t>
      </w:r>
      <w:r w:rsidR="003E1304">
        <w:t xml:space="preserve"> </w:t>
      </w:r>
      <w:r w:rsidR="007E233D" w:rsidRPr="00A2389A">
        <w:t xml:space="preserve">The strength </w:t>
      </w:r>
      <w:r w:rsidR="00EB167D">
        <w:t>of</w:t>
      </w:r>
      <w:r w:rsidR="007E233D" w:rsidRPr="00A2389A">
        <w:t xml:space="preserve"> </w:t>
      </w:r>
      <w:r w:rsidR="0022575F" w:rsidRPr="00A2389A">
        <w:t xml:space="preserve">GOS </w:t>
      </w:r>
      <w:r w:rsidR="007E233D" w:rsidRPr="00A2389A">
        <w:t xml:space="preserve">was </w:t>
      </w:r>
      <w:r w:rsidR="0022575F" w:rsidRPr="00A2389A">
        <w:t>generally</w:t>
      </w:r>
      <w:r w:rsidR="007E233D" w:rsidRPr="00A2389A">
        <w:t xml:space="preserve"> underestimated during </w:t>
      </w:r>
      <w:r w:rsidR="00BC510C" w:rsidRPr="00D34E90">
        <w:t>M</w:t>
      </w:r>
      <w:r w:rsidR="007E233D" w:rsidRPr="00D34E90">
        <w:t xml:space="preserve">ining </w:t>
      </w:r>
      <w:r w:rsidR="00BC510C" w:rsidRPr="00D34E90">
        <w:t>B</w:t>
      </w:r>
      <w:r w:rsidR="007E233D" w:rsidRPr="00D34E90">
        <w:t xml:space="preserve">oom </w:t>
      </w:r>
      <w:r w:rsidR="00BC510C" w:rsidRPr="00D34E90">
        <w:t>M</w:t>
      </w:r>
      <w:r w:rsidR="007E233D" w:rsidRPr="00D34E90">
        <w:t>ark I</w:t>
      </w:r>
      <w:r w:rsidR="007E233D" w:rsidRPr="00A2389A">
        <w:t xml:space="preserve">, </w:t>
      </w:r>
      <w:r w:rsidR="0022575F" w:rsidRPr="00A2389A">
        <w:t xml:space="preserve">which </w:t>
      </w:r>
      <w:r w:rsidR="007E233D" w:rsidRPr="00A2389A">
        <w:t xml:space="preserve">led to </w:t>
      </w:r>
      <w:r w:rsidR="00962230">
        <w:t>the</w:t>
      </w:r>
      <w:r w:rsidR="007E233D" w:rsidRPr="00A2389A">
        <w:t xml:space="preserve"> underestimation of </w:t>
      </w:r>
      <w:r w:rsidR="0022575F" w:rsidRPr="00A2389A">
        <w:t>company tax</w:t>
      </w:r>
      <w:r w:rsidR="007E233D" w:rsidRPr="00A2389A">
        <w:t>.</w:t>
      </w:r>
      <w:r w:rsidR="003E1304">
        <w:t xml:space="preserve"> </w:t>
      </w:r>
    </w:p>
    <w:p w:rsidR="007E233D" w:rsidRPr="0053629A" w:rsidRDefault="00470462" w:rsidP="0053629A">
      <w:pPr>
        <w:pStyle w:val="ChartMainHeading"/>
        <w:spacing w:after="120"/>
        <w:rPr>
          <w:rFonts w:eastAsiaTheme="minorHAnsi" w:cstheme="minorBidi"/>
          <w:lang w:eastAsia="en-US"/>
        </w:rPr>
      </w:pPr>
      <w:r w:rsidRPr="0053629A">
        <w:t>Figure 4.8</w:t>
      </w:r>
      <w:r w:rsidR="007E233D" w:rsidRPr="0053629A">
        <w:t>:</w:t>
      </w:r>
      <w:r w:rsidR="007709D6">
        <w:t xml:space="preserve"> </w:t>
      </w:r>
      <w:r w:rsidR="00E1788D" w:rsidRPr="00171C90">
        <w:t xml:space="preserve">Budget Forecast Errors </w:t>
      </w:r>
      <w:r w:rsidR="00E1788D">
        <w:t>f</w:t>
      </w:r>
      <w:r w:rsidR="00E1788D" w:rsidRPr="00171C90">
        <w:t xml:space="preserve">or </w:t>
      </w:r>
      <w:r w:rsidR="001F3817">
        <w:t xml:space="preserve">Growth in </w:t>
      </w:r>
      <w:r w:rsidR="0077318B" w:rsidRPr="00171C90">
        <w:t>G</w:t>
      </w:r>
      <w:r w:rsidR="0077318B">
        <w:t>ross Operati</w:t>
      </w:r>
      <w:r w:rsidR="00094269">
        <w:t>ng</w:t>
      </w:r>
      <w:r w:rsidR="0077318B">
        <w:t xml:space="preserve"> Surplus</w:t>
      </w:r>
      <w:r w:rsidR="0077318B" w:rsidRPr="00171C90">
        <w:t xml:space="preserve"> </w:t>
      </w:r>
      <w:r w:rsidR="00E1788D">
        <w:t>a</w:t>
      </w:r>
      <w:r w:rsidR="00E1788D" w:rsidRPr="00171C90">
        <w:t>nd</w:t>
      </w:r>
      <w:r w:rsidR="007609A4">
        <w:t xml:space="preserve"> </w:t>
      </w:r>
      <w:r w:rsidR="007609A4" w:rsidRPr="00171C90">
        <w:t>Company</w:t>
      </w:r>
      <w:r w:rsidR="007609A4">
        <w:t xml:space="preserve"> </w:t>
      </w:r>
      <w:r w:rsidR="00E1788D" w:rsidRPr="00171C90">
        <w:t>Tax</w:t>
      </w:r>
    </w:p>
    <w:p w:rsidR="00857D99" w:rsidRPr="00105059" w:rsidRDefault="00BF3856" w:rsidP="00105059">
      <w:pPr>
        <w:pStyle w:val="ChartGraphic"/>
      </w:pPr>
      <w:r w:rsidRPr="00105059">
        <w:object w:dxaOrig="8775" w:dyaOrig="3960">
          <v:shape id="_x0000_i1034" type="#_x0000_t75" alt="This figure shows the Budget forecast errors in that Budget year for growth in Gross Operating Surplus and company tax growth from 2003-04 to 2007-08.  The figure also shows the average Gross Operating Surplus growth error and average company tax growth error for the period 2003-04 to 2007-08.&#10;" style="width:436.4pt;height:200.35pt;mso-position-horizontal:absolute" o:ole="">
            <v:imagedata r:id="rId25" o:title=""/>
          </v:shape>
          <o:OLEObject Type="Link" ProgID="Excel.Sheet.12" ShapeID="_x0000_i1034" DrawAspect="Content" r:id="rId26" UpdateMode="Always">
            <o:LinkType>Picture</o:LinkType>
            <o:LockedField/>
            <o:FieldCodes>\* MERGEFORMAT</o:FieldCodes>
          </o:OLEObject>
        </w:object>
      </w:r>
    </w:p>
    <w:p w:rsidR="00D67635" w:rsidRPr="00A2389A" w:rsidRDefault="008B2746" w:rsidP="00105059">
      <w:pPr>
        <w:spacing w:before="360"/>
      </w:pPr>
      <w:r>
        <w:t>T</w:t>
      </w:r>
      <w:r w:rsidRPr="00A2389A">
        <w:t xml:space="preserve">he </w:t>
      </w:r>
      <w:r>
        <w:t xml:space="preserve">company tax </w:t>
      </w:r>
      <w:r w:rsidRPr="00A2389A">
        <w:t xml:space="preserve">forecast errors </w:t>
      </w:r>
      <w:r>
        <w:t>are significantly reduced</w:t>
      </w:r>
      <w:r w:rsidRPr="00A2389A">
        <w:t xml:space="preserve"> </w:t>
      </w:r>
      <w:r>
        <w:t>w</w:t>
      </w:r>
      <w:r w:rsidR="006B37B8" w:rsidRPr="00A2389A">
        <w:t xml:space="preserve">hen the </w:t>
      </w:r>
      <w:r w:rsidR="00EB167D">
        <w:t xml:space="preserve">actual </w:t>
      </w:r>
      <w:r w:rsidR="006B37B8" w:rsidRPr="00A2389A">
        <w:t xml:space="preserve">GOS </w:t>
      </w:r>
      <w:r w:rsidR="00F12816" w:rsidRPr="00A2389A">
        <w:t xml:space="preserve">outcomes </w:t>
      </w:r>
      <w:r w:rsidR="006B37B8" w:rsidRPr="00A2389A">
        <w:t>are applied to the company tax model, (as shown in the right</w:t>
      </w:r>
      <w:r w:rsidR="009102D1">
        <w:noBreakHyphen/>
      </w:r>
      <w:r w:rsidR="00470462" w:rsidRPr="00A2389A">
        <w:t>hand panel of Figure 4.6</w:t>
      </w:r>
      <w:r>
        <w:t>,</w:t>
      </w:r>
      <w:r w:rsidR="006B37B8" w:rsidRPr="00A2389A">
        <w:t xml:space="preserve"> above</w:t>
      </w:r>
      <w:r w:rsidR="009A5DA1" w:rsidRPr="00A2389A">
        <w:t>)</w:t>
      </w:r>
      <w:r w:rsidR="006B37B8" w:rsidRPr="00A2389A">
        <w:t>.</w:t>
      </w:r>
    </w:p>
    <w:p w:rsidR="00E81048" w:rsidRPr="00D61FAA" w:rsidRDefault="00E81048" w:rsidP="0053629A">
      <w:pPr>
        <w:pStyle w:val="Heading4"/>
      </w:pPr>
      <w:r w:rsidRPr="00D61FAA">
        <w:lastRenderedPageBreak/>
        <w:t>G</w:t>
      </w:r>
      <w:r w:rsidR="00E6340A">
        <w:t>oods and Services Tax</w:t>
      </w:r>
    </w:p>
    <w:p w:rsidR="00F6173C" w:rsidRPr="00A2389A" w:rsidRDefault="00FB7A18" w:rsidP="00C23B41">
      <w:r>
        <w:t>The goods and services tax (GST)</w:t>
      </w:r>
      <w:r w:rsidR="00F6173C" w:rsidRPr="00A2389A">
        <w:t xml:space="preserve"> comprises around 15 per cent of total </w:t>
      </w:r>
      <w:r w:rsidR="00B338EE">
        <w:t xml:space="preserve">taxation </w:t>
      </w:r>
      <w:r w:rsidR="00F6173C" w:rsidRPr="00A2389A">
        <w:t>revenue.</w:t>
      </w:r>
      <w:r w:rsidR="003E1304">
        <w:t xml:space="preserve"> </w:t>
      </w:r>
      <w:r w:rsidR="00F6173C" w:rsidRPr="00A2389A">
        <w:t xml:space="preserve">The </w:t>
      </w:r>
      <w:r w:rsidR="00C547CF" w:rsidRPr="00A2389A">
        <w:t>primary</w:t>
      </w:r>
      <w:r w:rsidR="00F6173C" w:rsidRPr="00A2389A">
        <w:t xml:space="preserve"> economic </w:t>
      </w:r>
      <w:r w:rsidR="005925EA">
        <w:t>base</w:t>
      </w:r>
      <w:r w:rsidR="005925EA" w:rsidRPr="00A2389A">
        <w:t xml:space="preserve"> </w:t>
      </w:r>
      <w:r w:rsidR="00F6173C" w:rsidRPr="00A2389A">
        <w:t>for GST is consumption subject to GST.</w:t>
      </w:r>
      <w:r w:rsidR="003E1304">
        <w:t xml:space="preserve"> </w:t>
      </w:r>
      <w:r w:rsidR="00F6173C" w:rsidRPr="00A2389A">
        <w:t xml:space="preserve">The correlation between growth in GST and consumption subject to GST over the past decade has been 0.75, indicating a </w:t>
      </w:r>
      <w:r w:rsidR="001E11CA">
        <w:t>good</w:t>
      </w:r>
      <w:r w:rsidR="001E11CA" w:rsidRPr="00A2389A">
        <w:t xml:space="preserve"> </w:t>
      </w:r>
      <w:r w:rsidR="00F6173C" w:rsidRPr="00A2389A">
        <w:t>relationship between the two series</w:t>
      </w:r>
      <w:r w:rsidR="007709D6">
        <w:t xml:space="preserve">. </w:t>
      </w:r>
    </w:p>
    <w:p w:rsidR="00E81048" w:rsidRPr="00A2389A" w:rsidRDefault="00E81048" w:rsidP="00C23B41">
      <w:r w:rsidRPr="00A2389A">
        <w:t xml:space="preserve">GST was not a significant source of forecast error </w:t>
      </w:r>
      <w:r w:rsidR="005925EA">
        <w:t>during</w:t>
      </w:r>
      <w:r w:rsidRPr="00A2389A">
        <w:t xml:space="preserve"> </w:t>
      </w:r>
      <w:r w:rsidR="005925EA" w:rsidRPr="00D34E90">
        <w:t>M</w:t>
      </w:r>
      <w:r w:rsidRPr="00D34E90">
        <w:t xml:space="preserve">ining </w:t>
      </w:r>
      <w:r w:rsidR="005925EA" w:rsidRPr="00D34E90">
        <w:t>B</w:t>
      </w:r>
      <w:r w:rsidRPr="00D34E90">
        <w:t xml:space="preserve">oom </w:t>
      </w:r>
      <w:r w:rsidR="005925EA" w:rsidRPr="00D34E90">
        <w:t>M</w:t>
      </w:r>
      <w:r w:rsidRPr="00D34E90">
        <w:t>ark I</w:t>
      </w:r>
      <w:r w:rsidR="009C729C">
        <w:rPr>
          <w:i/>
        </w:rPr>
        <w:t>;</w:t>
      </w:r>
      <w:r w:rsidRPr="00A2389A">
        <w:t xml:space="preserve"> </w:t>
      </w:r>
      <w:r w:rsidR="00857D99" w:rsidRPr="00A2389A">
        <w:t>however</w:t>
      </w:r>
      <w:r w:rsidR="009C729C">
        <w:t>,</w:t>
      </w:r>
      <w:r w:rsidRPr="00A2389A">
        <w:t xml:space="preserve"> </w:t>
      </w:r>
      <w:r w:rsidR="005925EA">
        <w:t xml:space="preserve">the </w:t>
      </w:r>
      <w:r w:rsidR="00FB7A18">
        <w:t xml:space="preserve">head of </w:t>
      </w:r>
      <w:r w:rsidR="005925EA">
        <w:t>revenue was typically underestimated</w:t>
      </w:r>
      <w:r w:rsidR="00857D99" w:rsidRPr="00A2389A">
        <w:t xml:space="preserve"> (as shown in the </w:t>
      </w:r>
      <w:r w:rsidR="0081091D" w:rsidRPr="00A2389A">
        <w:t>left</w:t>
      </w:r>
      <w:r w:rsidR="009102D1">
        <w:noBreakHyphen/>
      </w:r>
      <w:r w:rsidR="00857D99" w:rsidRPr="00A2389A">
        <w:t xml:space="preserve">hand panel of </w:t>
      </w:r>
      <w:r w:rsidR="00470462" w:rsidRPr="00A2389A">
        <w:t>Figure 4.6</w:t>
      </w:r>
      <w:r w:rsidR="00FB7A18">
        <w:t>,</w:t>
      </w:r>
      <w:r w:rsidR="00857D99" w:rsidRPr="00A2389A">
        <w:t xml:space="preserve"> above)</w:t>
      </w:r>
      <w:r w:rsidRPr="00A2389A">
        <w:t>.</w:t>
      </w:r>
      <w:r w:rsidR="003E1304">
        <w:t xml:space="preserve"> </w:t>
      </w:r>
      <w:r w:rsidRPr="00A2389A">
        <w:t xml:space="preserve">When </w:t>
      </w:r>
      <w:r w:rsidR="00FB7A18">
        <w:t xml:space="preserve">actual outcomes for </w:t>
      </w:r>
      <w:r w:rsidRPr="00A2389A">
        <w:t xml:space="preserve">consumption subject to GST are applied to the GST model, the forecast errors </w:t>
      </w:r>
      <w:r w:rsidR="00FA1050">
        <w:t xml:space="preserve">are reduced </w:t>
      </w:r>
      <w:r w:rsidRPr="00A2389A">
        <w:t>(as shown in the right</w:t>
      </w:r>
      <w:r w:rsidR="009102D1">
        <w:noBreakHyphen/>
      </w:r>
      <w:r w:rsidRPr="00A2389A">
        <w:t xml:space="preserve">hand panel of </w:t>
      </w:r>
      <w:r w:rsidR="00470462" w:rsidRPr="00A2389A">
        <w:t>Figure 4.6</w:t>
      </w:r>
      <w:r w:rsidRPr="00A2389A">
        <w:t xml:space="preserve"> above) </w:t>
      </w:r>
      <w:r w:rsidR="00857D99" w:rsidRPr="00A2389A">
        <w:t>and display less bias</w:t>
      </w:r>
      <w:r w:rsidR="00F6173C" w:rsidRPr="00A2389A">
        <w:t>.</w:t>
      </w:r>
      <w:r w:rsidR="003E1304">
        <w:t xml:space="preserve"> </w:t>
      </w:r>
      <w:r w:rsidR="00F6173C" w:rsidRPr="00A2389A">
        <w:t xml:space="preserve">This </w:t>
      </w:r>
      <w:r w:rsidR="009C729C">
        <w:t>indicates</w:t>
      </w:r>
      <w:r w:rsidR="00F6173C" w:rsidRPr="00A2389A">
        <w:t xml:space="preserve"> </w:t>
      </w:r>
      <w:r w:rsidR="009C729C">
        <w:t xml:space="preserve">that </w:t>
      </w:r>
      <w:r w:rsidRPr="00A2389A">
        <w:t xml:space="preserve">there was minimal error </w:t>
      </w:r>
      <w:r w:rsidR="00F6173C" w:rsidRPr="00A2389A">
        <w:t xml:space="preserve">in the GST forecasts over this period </w:t>
      </w:r>
      <w:r w:rsidRPr="00A2389A">
        <w:t xml:space="preserve">beyond </w:t>
      </w:r>
      <w:r w:rsidR="00857D99" w:rsidRPr="00A2389A">
        <w:t xml:space="preserve">a slight </w:t>
      </w:r>
      <w:r w:rsidRPr="00A2389A">
        <w:t xml:space="preserve">underestimation of the strength of </w:t>
      </w:r>
      <w:r w:rsidR="00857D99" w:rsidRPr="00A2389A">
        <w:t>consumption</w:t>
      </w:r>
      <w:r w:rsidR="001E11CA">
        <w:t xml:space="preserve"> subject to GST</w:t>
      </w:r>
      <w:r w:rsidRPr="00A2389A">
        <w:t>.</w:t>
      </w:r>
      <w:r w:rsidR="003E1304">
        <w:t xml:space="preserve"> </w:t>
      </w:r>
    </w:p>
    <w:p w:rsidR="00FF2392" w:rsidRPr="00A2389A" w:rsidRDefault="00FF2392" w:rsidP="0053629A">
      <w:pPr>
        <w:pStyle w:val="Heading4"/>
      </w:pPr>
      <w:r w:rsidRPr="00A2389A">
        <w:t>Capital gains tax</w:t>
      </w:r>
    </w:p>
    <w:p w:rsidR="0078111A" w:rsidRPr="00A2389A" w:rsidRDefault="009D046A" w:rsidP="00C23B41">
      <w:r w:rsidRPr="00A2389A">
        <w:t>Capital gains tax</w:t>
      </w:r>
      <w:r w:rsidR="00AF29EC">
        <w:t xml:space="preserve"> (CGT)</w:t>
      </w:r>
      <w:r w:rsidRPr="00A2389A">
        <w:t xml:space="preserve"> is a relatively small, but very volatile, </w:t>
      </w:r>
      <w:r w:rsidR="00E067CD">
        <w:t>head</w:t>
      </w:r>
      <w:r w:rsidR="0091569C">
        <w:t xml:space="preserve"> of revenue</w:t>
      </w:r>
      <w:r w:rsidRPr="00A2389A">
        <w:t>.</w:t>
      </w:r>
      <w:r w:rsidR="003E1304">
        <w:t xml:space="preserve"> </w:t>
      </w:r>
      <w:r w:rsidR="002515C9" w:rsidRPr="00A2389A">
        <w:t>Th</w:t>
      </w:r>
      <w:r w:rsidR="0081758F">
        <w:t xml:space="preserve">is reflects </w:t>
      </w:r>
      <w:r w:rsidR="002515C9" w:rsidRPr="00A2389A">
        <w:t>volatility in asset prices</w:t>
      </w:r>
      <w:r w:rsidR="00EE749B">
        <w:t xml:space="preserve"> and </w:t>
      </w:r>
      <w:r w:rsidR="002515C9" w:rsidRPr="00A2389A">
        <w:t xml:space="preserve">variability </w:t>
      </w:r>
      <w:r w:rsidR="0091569C">
        <w:t xml:space="preserve">in </w:t>
      </w:r>
      <w:r w:rsidR="007F2DF7">
        <w:t xml:space="preserve">both </w:t>
      </w:r>
      <w:r w:rsidR="002515C9" w:rsidRPr="00A2389A">
        <w:t xml:space="preserve">realisation rates (since CGT is only payable when assets are sold) and </w:t>
      </w:r>
      <w:r w:rsidR="007F2DF7">
        <w:t xml:space="preserve">also </w:t>
      </w:r>
      <w:r w:rsidR="002515C9" w:rsidRPr="00A2389A">
        <w:t xml:space="preserve">the </w:t>
      </w:r>
      <w:r w:rsidR="00EE749B">
        <w:t xml:space="preserve">extent to which capital losses are offset against </w:t>
      </w:r>
      <w:r w:rsidR="002515C9" w:rsidRPr="00A2389A">
        <w:t>capital gains.</w:t>
      </w:r>
      <w:r w:rsidR="003E1304">
        <w:t xml:space="preserve"> </w:t>
      </w:r>
      <w:r w:rsidR="002515C9" w:rsidRPr="00A2389A">
        <w:t xml:space="preserve">Over the </w:t>
      </w:r>
      <w:r w:rsidR="0081758F">
        <w:t xml:space="preserve">period of the </w:t>
      </w:r>
      <w:r w:rsidR="002515C9" w:rsidRPr="00A2389A">
        <w:t xml:space="preserve">case study, the </w:t>
      </w:r>
      <w:r w:rsidR="0091569C">
        <w:t>annual</w:t>
      </w:r>
      <w:r w:rsidR="002515C9" w:rsidRPr="00A2389A">
        <w:t xml:space="preserve"> growth rate of CGT has varied from</w:t>
      </w:r>
      <w:r w:rsidR="005038E8">
        <w:t xml:space="preserve"> a rise of </w:t>
      </w:r>
      <w:r w:rsidR="002515C9" w:rsidRPr="00A2389A">
        <w:t>60 per cent in 2004</w:t>
      </w:r>
      <w:r w:rsidR="009102D1">
        <w:noBreakHyphen/>
      </w:r>
      <w:r w:rsidR="002515C9" w:rsidRPr="00A2389A">
        <w:t>05 to</w:t>
      </w:r>
      <w:r w:rsidR="00EB3F99" w:rsidRPr="00A2389A">
        <w:t xml:space="preserve"> </w:t>
      </w:r>
      <w:r w:rsidR="005038E8">
        <w:t xml:space="preserve">a fall of </w:t>
      </w:r>
      <w:r w:rsidR="002515C9" w:rsidRPr="00A2389A">
        <w:t>43</w:t>
      </w:r>
      <w:r w:rsidR="00FE56A6" w:rsidRPr="00A2389A">
        <w:t> </w:t>
      </w:r>
      <w:r w:rsidR="002515C9" w:rsidRPr="00A2389A">
        <w:t>per</w:t>
      </w:r>
      <w:r w:rsidR="00FE56A6" w:rsidRPr="00A2389A">
        <w:t> </w:t>
      </w:r>
      <w:r w:rsidR="002515C9" w:rsidRPr="00A2389A">
        <w:t>cent in 2009</w:t>
      </w:r>
      <w:r w:rsidR="009102D1">
        <w:noBreakHyphen/>
      </w:r>
      <w:r w:rsidR="002515C9" w:rsidRPr="00A2389A">
        <w:t>10, resulting in CGT being a large source of forecast error</w:t>
      </w:r>
      <w:r w:rsidRPr="00A2389A">
        <w:t>.</w:t>
      </w:r>
      <w:r w:rsidR="003E1304">
        <w:t xml:space="preserve"> </w:t>
      </w:r>
    </w:p>
    <w:p w:rsidR="00884205" w:rsidRPr="00A2389A" w:rsidRDefault="005E3664" w:rsidP="00C23B41">
      <w:r w:rsidRPr="00A2389A">
        <w:t xml:space="preserve">The stock of </w:t>
      </w:r>
      <w:r w:rsidR="009A5DA1" w:rsidRPr="00A2389A">
        <w:t xml:space="preserve">accrued </w:t>
      </w:r>
      <w:r w:rsidRPr="00A2389A">
        <w:t xml:space="preserve">capital gains accelerated rapidly </w:t>
      </w:r>
      <w:r w:rsidR="00E067CD">
        <w:t xml:space="preserve">during </w:t>
      </w:r>
      <w:r w:rsidR="00E067CD" w:rsidRPr="00D34E90">
        <w:t>M</w:t>
      </w:r>
      <w:r w:rsidRPr="00D34E90">
        <w:t xml:space="preserve">ining </w:t>
      </w:r>
      <w:r w:rsidR="00E067CD" w:rsidRPr="00D34E90">
        <w:t>B</w:t>
      </w:r>
      <w:r w:rsidRPr="00D34E90">
        <w:t xml:space="preserve">oom </w:t>
      </w:r>
      <w:r w:rsidR="00E067CD" w:rsidRPr="00D34E90">
        <w:t>M</w:t>
      </w:r>
      <w:r w:rsidRPr="00D34E90">
        <w:t>ark I</w:t>
      </w:r>
      <w:r w:rsidRPr="00A2389A">
        <w:t xml:space="preserve">, with asset values rising </w:t>
      </w:r>
      <w:r w:rsidR="0081758F">
        <w:t xml:space="preserve">at a </w:t>
      </w:r>
      <w:r w:rsidRPr="00A2389A">
        <w:t xml:space="preserve">historically </w:t>
      </w:r>
      <w:r w:rsidR="0081758F">
        <w:t>rapid rate</w:t>
      </w:r>
      <w:r w:rsidRPr="00A2389A">
        <w:t>.</w:t>
      </w:r>
      <w:r w:rsidR="003E1304">
        <w:t xml:space="preserve"> </w:t>
      </w:r>
      <w:r w:rsidR="0081758F">
        <w:t xml:space="preserve">Over this period, </w:t>
      </w:r>
      <w:r w:rsidR="00257A9A" w:rsidRPr="00A2389A">
        <w:t xml:space="preserve">CGT </w:t>
      </w:r>
      <w:r w:rsidR="00775866" w:rsidRPr="00A2389A">
        <w:t>was significantly under</w:t>
      </w:r>
      <w:r w:rsidR="00884205" w:rsidRPr="00A2389A">
        <w:t>estimated</w:t>
      </w:r>
      <w:r w:rsidR="000E0DED" w:rsidRPr="00A2389A">
        <w:t xml:space="preserve">, particularly </w:t>
      </w:r>
      <w:r w:rsidR="00775866" w:rsidRPr="00A2389A">
        <w:t>in</w:t>
      </w:r>
      <w:r w:rsidR="000E0DED" w:rsidRPr="00A2389A">
        <w:t xml:space="preserve"> 2005</w:t>
      </w:r>
      <w:r w:rsidR="009102D1">
        <w:noBreakHyphen/>
      </w:r>
      <w:r w:rsidR="000E0DED" w:rsidRPr="00A2389A">
        <w:t>06 and 2006</w:t>
      </w:r>
      <w:r w:rsidR="009102D1">
        <w:noBreakHyphen/>
      </w:r>
      <w:r w:rsidR="000E0DED" w:rsidRPr="00A2389A">
        <w:t>07</w:t>
      </w:r>
      <w:r w:rsidR="00F6173C" w:rsidRPr="00A2389A">
        <w:t xml:space="preserve"> (as shown in </w:t>
      </w:r>
      <w:r w:rsidR="00470462" w:rsidRPr="00A2389A">
        <w:t>the left</w:t>
      </w:r>
      <w:r w:rsidR="009102D1">
        <w:noBreakHyphen/>
      </w:r>
      <w:r w:rsidR="00470462" w:rsidRPr="00A2389A">
        <w:t>hand panel of Figure 4.6</w:t>
      </w:r>
      <w:r w:rsidR="009A5DA1" w:rsidRPr="00A2389A">
        <w:t>).</w:t>
      </w:r>
    </w:p>
    <w:p w:rsidR="00956F9A" w:rsidRPr="00A2389A" w:rsidRDefault="0081758F" w:rsidP="00C23B41">
      <w:r>
        <w:t>T</w:t>
      </w:r>
      <w:r w:rsidRPr="00A2389A">
        <w:t xml:space="preserve">he </w:t>
      </w:r>
      <w:r>
        <w:t xml:space="preserve">CGT </w:t>
      </w:r>
      <w:r w:rsidRPr="00A2389A">
        <w:t xml:space="preserve">forecast errors </w:t>
      </w:r>
      <w:r>
        <w:t xml:space="preserve">are significantly </w:t>
      </w:r>
      <w:r w:rsidRPr="00A2389A">
        <w:t>reduce</w:t>
      </w:r>
      <w:r>
        <w:t>d</w:t>
      </w:r>
      <w:r w:rsidRPr="00A2389A">
        <w:t xml:space="preserve"> </w:t>
      </w:r>
      <w:r>
        <w:t>w</w:t>
      </w:r>
      <w:r w:rsidR="00956F9A" w:rsidRPr="00A2389A">
        <w:t xml:space="preserve">hen </w:t>
      </w:r>
      <w:r w:rsidR="00B173E1" w:rsidRPr="00A2389A">
        <w:t>the actual outcomes</w:t>
      </w:r>
      <w:r w:rsidR="00956F9A" w:rsidRPr="00A2389A">
        <w:t xml:space="preserve"> </w:t>
      </w:r>
      <w:r w:rsidR="00B173E1" w:rsidRPr="00A2389A">
        <w:t xml:space="preserve">for </w:t>
      </w:r>
      <w:r>
        <w:t xml:space="preserve">equity </w:t>
      </w:r>
      <w:r w:rsidR="00B173E1" w:rsidRPr="00A2389A">
        <w:t xml:space="preserve">and house prices </w:t>
      </w:r>
      <w:r w:rsidR="00956F9A" w:rsidRPr="00A2389A">
        <w:t>are applied to the current CGT model, (as shown in the right</w:t>
      </w:r>
      <w:r w:rsidR="009102D1">
        <w:noBreakHyphen/>
      </w:r>
      <w:r w:rsidR="00956F9A" w:rsidRPr="00A2389A">
        <w:t xml:space="preserve">hand panel of </w:t>
      </w:r>
      <w:r w:rsidR="006B2F5A">
        <w:t>Figure</w:t>
      </w:r>
      <w:r w:rsidR="003E1304">
        <w:t xml:space="preserve"> </w:t>
      </w:r>
      <w:r w:rsidR="00956F9A" w:rsidRPr="00A2389A">
        <w:t>4.</w:t>
      </w:r>
      <w:r w:rsidR="006B2F5A">
        <w:t>6</w:t>
      </w:r>
      <w:r w:rsidR="006B2F5A" w:rsidRPr="00A2389A">
        <w:t xml:space="preserve"> </w:t>
      </w:r>
      <w:r w:rsidR="00956F9A" w:rsidRPr="00A2389A">
        <w:t>above)</w:t>
      </w:r>
      <w:r w:rsidR="00F6173C" w:rsidRPr="00A2389A">
        <w:t xml:space="preserve"> and the bias </w:t>
      </w:r>
      <w:r w:rsidR="007F2DF7">
        <w:t xml:space="preserve">in the forecast errors </w:t>
      </w:r>
      <w:r w:rsidR="00F6173C" w:rsidRPr="00A2389A">
        <w:t>disappears</w:t>
      </w:r>
      <w:r w:rsidR="00956F9A" w:rsidRPr="00A2389A">
        <w:t>.</w:t>
      </w:r>
      <w:r w:rsidR="003E1304">
        <w:t xml:space="preserve"> </w:t>
      </w:r>
      <w:r w:rsidR="00956F9A" w:rsidRPr="00A2389A">
        <w:t>Treasury does not forecast the</w:t>
      </w:r>
      <w:r w:rsidR="00B173E1" w:rsidRPr="00A2389A">
        <w:t>se</w:t>
      </w:r>
      <w:r w:rsidR="00956F9A" w:rsidRPr="00A2389A">
        <w:t xml:space="preserve"> </w:t>
      </w:r>
      <w:r w:rsidR="00B3052B">
        <w:t xml:space="preserve">asset </w:t>
      </w:r>
      <w:r w:rsidR="00956F9A" w:rsidRPr="00A2389A">
        <w:t>prices</w:t>
      </w:r>
      <w:r w:rsidR="0056387F">
        <w:t xml:space="preserve">, but instead </w:t>
      </w:r>
      <w:r w:rsidR="00B3052B">
        <w:t xml:space="preserve">adopts the technical assumption that </w:t>
      </w:r>
      <w:r w:rsidR="00956F9A" w:rsidRPr="00A2389A">
        <w:t>asset prices grow in line with nominal GDP</w:t>
      </w:r>
      <w:r w:rsidR="00B3052B">
        <w:t xml:space="preserve"> growth</w:t>
      </w:r>
      <w:r w:rsidR="00956F9A" w:rsidRPr="00A2389A">
        <w:t>.</w:t>
      </w:r>
      <w:r w:rsidR="003E1304">
        <w:t xml:space="preserve"> </w:t>
      </w:r>
      <w:r w:rsidR="005659B0">
        <w:t>The</w:t>
      </w:r>
      <w:r w:rsidR="00956F9A" w:rsidRPr="00A2389A">
        <w:t xml:space="preserve"> </w:t>
      </w:r>
      <w:r w:rsidR="00D8536F" w:rsidRPr="00A2389A">
        <w:t>counterfactual</w:t>
      </w:r>
      <w:r w:rsidR="00956F9A" w:rsidRPr="00A2389A">
        <w:t xml:space="preserve"> exercise shows that if </w:t>
      </w:r>
      <w:r w:rsidR="005659B0">
        <w:t>the technical assumption had accurately predicted asset prices</w:t>
      </w:r>
      <w:r w:rsidR="00956F9A" w:rsidRPr="00A2389A">
        <w:t xml:space="preserve">, the </w:t>
      </w:r>
      <w:r w:rsidR="00F6173C" w:rsidRPr="00A2389A">
        <w:t xml:space="preserve">current </w:t>
      </w:r>
      <w:r w:rsidR="00956F9A" w:rsidRPr="00A2389A">
        <w:t xml:space="preserve">CGT model would not </w:t>
      </w:r>
      <w:r w:rsidR="00B173E1" w:rsidRPr="00A2389A">
        <w:t xml:space="preserve">have </w:t>
      </w:r>
      <w:r w:rsidR="00956F9A" w:rsidRPr="00A2389A">
        <w:t xml:space="preserve">systematically underestimated revenue over this period. </w:t>
      </w:r>
    </w:p>
    <w:p w:rsidR="00A82F50" w:rsidRPr="00D61FAA" w:rsidRDefault="00A82F50" w:rsidP="0053629A">
      <w:pPr>
        <w:pStyle w:val="Heading4"/>
      </w:pPr>
      <w:r w:rsidRPr="00D61FAA">
        <w:t>Capital gains tax model improvements</w:t>
      </w:r>
    </w:p>
    <w:p w:rsidR="00A82F50" w:rsidRPr="00A2389A" w:rsidRDefault="00A82F50" w:rsidP="00C23B41">
      <w:r w:rsidRPr="00A2389A">
        <w:t xml:space="preserve">As a result of </w:t>
      </w:r>
      <w:r w:rsidR="00F35227">
        <w:t>Treasury</w:t>
      </w:r>
      <w:r w:rsidR="007609A4">
        <w:t>’</w:t>
      </w:r>
      <w:r w:rsidR="00F35227">
        <w:t xml:space="preserve">s </w:t>
      </w:r>
      <w:r w:rsidRPr="00A2389A">
        <w:t xml:space="preserve">forecasting experience during </w:t>
      </w:r>
      <w:r w:rsidR="00C057BF" w:rsidRPr="00D34E90">
        <w:t>Mining Boom Mark I</w:t>
      </w:r>
      <w:r w:rsidRPr="003020CC">
        <w:t>,</w:t>
      </w:r>
      <w:r w:rsidRPr="00A2389A">
        <w:t xml:space="preserve"> the CGT models have been </w:t>
      </w:r>
      <w:r w:rsidR="00F35227">
        <w:t>overhauled</w:t>
      </w:r>
      <w:r w:rsidRPr="00A2389A">
        <w:t>.</w:t>
      </w:r>
      <w:r w:rsidR="003E1304">
        <w:t xml:space="preserve"> </w:t>
      </w:r>
      <w:r w:rsidRPr="00A2389A">
        <w:t>The development has been an ongoing process, with the first improvements implemented in 2006</w:t>
      </w:r>
      <w:r w:rsidR="009102D1">
        <w:noBreakHyphen/>
      </w:r>
      <w:r w:rsidRPr="00A2389A">
        <w:t>07, following the sharp rise in CGT revenue in 2005</w:t>
      </w:r>
      <w:r w:rsidR="009102D1">
        <w:noBreakHyphen/>
      </w:r>
      <w:r w:rsidRPr="00A2389A">
        <w:t>06.</w:t>
      </w:r>
    </w:p>
    <w:p w:rsidR="00A82F50" w:rsidRPr="00A2389A" w:rsidRDefault="00A82F50" w:rsidP="00C23B41">
      <w:r w:rsidRPr="00A2389A">
        <w:t>There are three broad types of CGT taxpayers</w:t>
      </w:r>
      <w:r w:rsidR="007709D6">
        <w:t xml:space="preserve"> — </w:t>
      </w:r>
      <w:r w:rsidRPr="00A2389A">
        <w:t>individuals, companies and superannuation funds.</w:t>
      </w:r>
      <w:r w:rsidR="003E1304">
        <w:t xml:space="preserve"> </w:t>
      </w:r>
      <w:r w:rsidRPr="00A2389A">
        <w:t>The previous methodology did not separately model CGT for individuals and companies</w:t>
      </w:r>
      <w:r w:rsidR="00CB3804">
        <w:t xml:space="preserve">. It </w:t>
      </w:r>
      <w:r w:rsidRPr="00A2389A">
        <w:t>effectively assum</w:t>
      </w:r>
      <w:r w:rsidR="00CB3804">
        <w:t>ed</w:t>
      </w:r>
      <w:r w:rsidRPr="00A2389A">
        <w:t xml:space="preserve"> </w:t>
      </w:r>
      <w:r w:rsidR="00CB3804">
        <w:t xml:space="preserve">that </w:t>
      </w:r>
      <w:r w:rsidRPr="00A2389A">
        <w:t>CGT collections would grow in line with the associated taxpayer revenue stream</w:t>
      </w:r>
      <w:r w:rsidR="00CB3804">
        <w:t>; for example</w:t>
      </w:r>
      <w:r w:rsidRPr="00A2389A">
        <w:t xml:space="preserve"> CGT paid by companies would grow in line with company tax.</w:t>
      </w:r>
      <w:r w:rsidR="003E1304">
        <w:t xml:space="preserve"> </w:t>
      </w:r>
      <w:r w:rsidRPr="00A2389A">
        <w:t>CGT paid by superannuation funds was forecast using a simple model based on recent trends and judgement.</w:t>
      </w:r>
    </w:p>
    <w:p w:rsidR="00A82F50" w:rsidRPr="00A2389A" w:rsidRDefault="00A82F50" w:rsidP="00C23B41">
      <w:r w:rsidRPr="00A2389A">
        <w:t>The new CGT models are structured to mirror the balance sheet of relevant taxpayers, by tracking the stock of assets subject to CGT and their price movements.</w:t>
      </w:r>
      <w:r w:rsidR="003E1304">
        <w:t xml:space="preserve"> </w:t>
      </w:r>
      <w:r w:rsidR="00D538E7">
        <w:t>F</w:t>
      </w:r>
      <w:r w:rsidR="0039699C">
        <w:t>igure 4.2</w:t>
      </w:r>
      <w:r w:rsidR="0046134C">
        <w:t>5</w:t>
      </w:r>
      <w:r w:rsidR="00253C3E" w:rsidRPr="00A2389A">
        <w:t xml:space="preserve"> </w:t>
      </w:r>
      <w:r w:rsidR="00E46489">
        <w:t xml:space="preserve">(Appendix A) </w:t>
      </w:r>
      <w:r w:rsidRPr="00A2389A">
        <w:t>provides an overview of the model for CGT paid by superannuation funds</w:t>
      </w:r>
      <w:r w:rsidR="00B173E1" w:rsidRPr="00A2389A">
        <w:t xml:space="preserve">, </w:t>
      </w:r>
      <w:r w:rsidR="00F35227">
        <w:t xml:space="preserve">by way of an </w:t>
      </w:r>
      <w:r w:rsidR="00B173E1" w:rsidRPr="00A2389A">
        <w:t>example</w:t>
      </w:r>
      <w:r w:rsidRPr="00A2389A">
        <w:t>.</w:t>
      </w:r>
    </w:p>
    <w:p w:rsidR="00A82F50" w:rsidRPr="00A2389A" w:rsidRDefault="00A82F50" w:rsidP="00C23B41">
      <w:r w:rsidRPr="00A2389A">
        <w:t xml:space="preserve">The changes to the CGT modelling framework have </w:t>
      </w:r>
      <w:r w:rsidR="00470462" w:rsidRPr="00A2389A">
        <w:t>improved forecast performance. Figure</w:t>
      </w:r>
      <w:r w:rsidR="003E1304">
        <w:t xml:space="preserve"> </w:t>
      </w:r>
      <w:r w:rsidRPr="00A2389A">
        <w:t xml:space="preserve">4.9 shows the forecast errors for CGT over the recent period, compared with the errors that would have been generated using the </w:t>
      </w:r>
      <w:r w:rsidR="005659B0">
        <w:t>old</w:t>
      </w:r>
      <w:r w:rsidR="005659B0" w:rsidRPr="00A2389A">
        <w:t xml:space="preserve"> </w:t>
      </w:r>
      <w:r w:rsidRPr="00A2389A">
        <w:t>CGT forecasting methodology for individuals and companies (which was in place until 200</w:t>
      </w:r>
      <w:r w:rsidR="00C96FD2" w:rsidRPr="00A2389A">
        <w:t>6</w:t>
      </w:r>
      <w:r w:rsidR="009102D1">
        <w:noBreakHyphen/>
      </w:r>
      <w:r w:rsidRPr="00A2389A">
        <w:t>0</w:t>
      </w:r>
      <w:r w:rsidR="00C96FD2" w:rsidRPr="00A2389A">
        <w:t>7</w:t>
      </w:r>
      <w:r w:rsidRPr="00A2389A">
        <w:t>).</w:t>
      </w:r>
      <w:r w:rsidR="00F35227">
        <w:t xml:space="preserve"> </w:t>
      </w:r>
      <w:r w:rsidR="00F6173C" w:rsidRPr="00A2389A">
        <w:t xml:space="preserve">The average </w:t>
      </w:r>
      <w:r w:rsidR="007B4240" w:rsidRPr="00A2389A">
        <w:t xml:space="preserve">absolute </w:t>
      </w:r>
      <w:r w:rsidR="00F6173C" w:rsidRPr="00A2389A">
        <w:t xml:space="preserve">forecast error </w:t>
      </w:r>
      <w:r w:rsidR="006000E4">
        <w:t>for</w:t>
      </w:r>
      <w:r w:rsidR="00C96FD2" w:rsidRPr="00A2389A">
        <w:t xml:space="preserve"> CGT since 2006</w:t>
      </w:r>
      <w:r w:rsidR="009102D1">
        <w:noBreakHyphen/>
      </w:r>
      <w:r w:rsidR="00C96FD2" w:rsidRPr="00A2389A">
        <w:t>07 ha</w:t>
      </w:r>
      <w:r w:rsidR="00F6173C" w:rsidRPr="00A2389A">
        <w:t>s been $</w:t>
      </w:r>
      <w:r w:rsidR="00C96FD2" w:rsidRPr="00A2389A">
        <w:t>2.8</w:t>
      </w:r>
      <w:r w:rsidR="006000E4">
        <w:t> </w:t>
      </w:r>
      <w:r w:rsidR="00F6173C" w:rsidRPr="00A2389A">
        <w:t>billion</w:t>
      </w:r>
      <w:r w:rsidR="006000E4">
        <w:t xml:space="preserve"> </w:t>
      </w:r>
      <w:r w:rsidR="006000E4">
        <w:lastRenderedPageBreak/>
        <w:t>per annum</w:t>
      </w:r>
      <w:r w:rsidR="00F6173C" w:rsidRPr="00A2389A">
        <w:t>.</w:t>
      </w:r>
      <w:r w:rsidR="003E1304">
        <w:t xml:space="preserve"> </w:t>
      </w:r>
      <w:r w:rsidR="00F6173C" w:rsidRPr="00A2389A">
        <w:t xml:space="preserve">However, if the old methodology had been in place the average </w:t>
      </w:r>
      <w:r w:rsidR="007B4240" w:rsidRPr="00A2389A">
        <w:t xml:space="preserve">absolute </w:t>
      </w:r>
      <w:r w:rsidR="00F6173C" w:rsidRPr="00A2389A">
        <w:t xml:space="preserve">forecast error would have been much larger at </w:t>
      </w:r>
      <w:r w:rsidR="007B4240" w:rsidRPr="00A2389A">
        <w:t>$</w:t>
      </w:r>
      <w:r w:rsidR="00C96FD2" w:rsidRPr="00A2389A">
        <w:t>5.3</w:t>
      </w:r>
      <w:r w:rsidR="007B4240" w:rsidRPr="00A2389A">
        <w:t xml:space="preserve"> billion</w:t>
      </w:r>
      <w:r w:rsidR="006000E4">
        <w:t xml:space="preserve"> per annum</w:t>
      </w:r>
      <w:r w:rsidR="007B4240" w:rsidRPr="00A2389A">
        <w:t>.</w:t>
      </w:r>
      <w:r w:rsidRPr="00A2389A">
        <w:t xml:space="preserve"> </w:t>
      </w:r>
    </w:p>
    <w:p w:rsidR="00A82F50" w:rsidRPr="00105059" w:rsidRDefault="00470462" w:rsidP="0053629A">
      <w:pPr>
        <w:pStyle w:val="ChartMainHeading"/>
        <w:spacing w:after="120"/>
      </w:pPr>
      <w:r w:rsidRPr="00105059">
        <w:t>Figure</w:t>
      </w:r>
      <w:r w:rsidR="00A82F50" w:rsidRPr="00105059">
        <w:t xml:space="preserve"> 4.9:</w:t>
      </w:r>
      <w:r w:rsidR="003E1304">
        <w:t xml:space="preserve"> </w:t>
      </w:r>
      <w:r w:rsidR="00A82F50" w:rsidRPr="00105059">
        <w:t xml:space="preserve">Capital </w:t>
      </w:r>
      <w:r w:rsidR="00EF7BB5">
        <w:t>G</w:t>
      </w:r>
      <w:r w:rsidR="00A82F50" w:rsidRPr="00105059">
        <w:t xml:space="preserve">ains </w:t>
      </w:r>
      <w:r w:rsidR="00EF7BB5">
        <w:t>T</w:t>
      </w:r>
      <w:r w:rsidR="00A82F50" w:rsidRPr="00105059">
        <w:t xml:space="preserve">ax </w:t>
      </w:r>
      <w:r w:rsidR="00EF7BB5">
        <w:t>F</w:t>
      </w:r>
      <w:r w:rsidR="00A82F50" w:rsidRPr="00105059">
        <w:t xml:space="preserve">orecast </w:t>
      </w:r>
      <w:r w:rsidR="00EF7BB5">
        <w:t>E</w:t>
      </w:r>
      <w:r w:rsidR="00A82F50" w:rsidRPr="00105059">
        <w:t>rrors</w:t>
      </w:r>
    </w:p>
    <w:p w:rsidR="00A82F50" w:rsidRPr="00105059" w:rsidRDefault="00BF3856" w:rsidP="00A9633B">
      <w:pPr>
        <w:pStyle w:val="ChartGraphic"/>
      </w:pPr>
      <w:r>
        <w:object w:dxaOrig="8775" w:dyaOrig="3960">
          <v:shape id="_x0000_i1035" type="#_x0000_t75" alt="This figure compares capital gains tax forecast errors between 2003-04 and 2011-12 for both old and new methodologies.&#10;" style="width:436.4pt;height:198.45pt;mso-position-horizontal:absolute" o:ole="">
            <v:imagedata r:id="rId27" o:title=""/>
          </v:shape>
          <o:OLEObject Type="Link" ProgID="Excel.Sheet.12" ShapeID="_x0000_i1035" DrawAspect="Content" r:id="rId28" UpdateMode="Always">
            <o:LinkType>Picture</o:LinkType>
            <o:LockedField/>
          </o:OLEObject>
        </w:object>
      </w:r>
    </w:p>
    <w:p w:rsidR="002E3CCB" w:rsidRPr="0053629A" w:rsidRDefault="00845C8E" w:rsidP="00D34E90">
      <w:pPr>
        <w:pStyle w:val="Heading2"/>
        <w:spacing w:before="360"/>
      </w:pPr>
      <w:r w:rsidRPr="0053629A">
        <w:t>4.3</w:t>
      </w:r>
      <w:r w:rsidR="00F35227">
        <w:t>:</w:t>
      </w:r>
      <w:r w:rsidR="003E1304">
        <w:t xml:space="preserve"> </w:t>
      </w:r>
      <w:r w:rsidR="000457BC" w:rsidRPr="00A0554F">
        <w:t xml:space="preserve">Global </w:t>
      </w:r>
      <w:r w:rsidR="00F35227">
        <w:t>F</w:t>
      </w:r>
      <w:r w:rsidR="000457BC" w:rsidRPr="00A0554F">
        <w:t xml:space="preserve">inancial </w:t>
      </w:r>
      <w:r w:rsidR="00F35227">
        <w:t>C</w:t>
      </w:r>
      <w:r w:rsidR="000457BC" w:rsidRPr="00A0554F">
        <w:t xml:space="preserve">risis and </w:t>
      </w:r>
      <w:r w:rsidR="00F35227">
        <w:t>M</w:t>
      </w:r>
      <w:r w:rsidR="00F86E34" w:rsidRPr="00A0554F">
        <w:t xml:space="preserve">ining </w:t>
      </w:r>
      <w:r w:rsidR="00F35227">
        <w:t>B</w:t>
      </w:r>
      <w:r w:rsidR="00F86E34" w:rsidRPr="00A0554F">
        <w:t xml:space="preserve">oom </w:t>
      </w:r>
      <w:r w:rsidR="00F35227">
        <w:t>M</w:t>
      </w:r>
      <w:r w:rsidR="00F86E34" w:rsidRPr="00A0554F">
        <w:t>ark II</w:t>
      </w:r>
    </w:p>
    <w:p w:rsidR="00697FA3" w:rsidRPr="00A2389A" w:rsidRDefault="00DE220E" w:rsidP="00105059">
      <w:pPr>
        <w:pStyle w:val="Heading3"/>
      </w:pPr>
      <w:r w:rsidRPr="00A2389A">
        <w:t>Summary</w:t>
      </w:r>
    </w:p>
    <w:p w:rsidR="00DE220E" w:rsidRPr="00105059" w:rsidRDefault="00DE220E" w:rsidP="00105059">
      <w:pPr>
        <w:pStyle w:val="Bullet"/>
      </w:pPr>
      <w:r w:rsidRPr="00A2389A">
        <w:t xml:space="preserve">In common with many other forecasters, </w:t>
      </w:r>
      <w:r w:rsidR="00253E26" w:rsidRPr="009C19F0">
        <w:t>Treasury did not predict the degeneration of the US subprime crisis into the GFC in 2008</w:t>
      </w:r>
      <w:r w:rsidR="009102D1">
        <w:noBreakHyphen/>
      </w:r>
      <w:r w:rsidR="00253E26" w:rsidRPr="009C19F0">
        <w:t>09 and subsequently overestimated the impact of the crisis on economic growth in 2009</w:t>
      </w:r>
      <w:r w:rsidR="009102D1">
        <w:noBreakHyphen/>
      </w:r>
      <w:r w:rsidR="00253E26" w:rsidRPr="009C19F0">
        <w:t>10.</w:t>
      </w:r>
    </w:p>
    <w:p w:rsidR="003B659C" w:rsidRPr="009C19F0" w:rsidRDefault="003B659C" w:rsidP="003B659C">
      <w:pPr>
        <w:pStyle w:val="Bullet"/>
      </w:pPr>
      <w:r w:rsidRPr="009C19F0">
        <w:t>Treasury</w:t>
      </w:r>
      <w:r w:rsidR="007609A4">
        <w:t>’</w:t>
      </w:r>
      <w:r w:rsidRPr="009C19F0">
        <w:t>s forecasting error for economic growth in 2009</w:t>
      </w:r>
      <w:r w:rsidR="009102D1">
        <w:noBreakHyphen/>
      </w:r>
      <w:r w:rsidRPr="009C19F0">
        <w:t>10 largely reflected misjudgements of the efficacy of Australia</w:t>
      </w:r>
      <w:r w:rsidR="007609A4">
        <w:t>’</w:t>
      </w:r>
      <w:r w:rsidRPr="009C19F0">
        <w:t xml:space="preserve">s policy response and the relatively early, and strong, recovery in economic growth in most of our major trading partners throughout 2009. </w:t>
      </w:r>
    </w:p>
    <w:p w:rsidR="003219DD" w:rsidRPr="00105059" w:rsidRDefault="003219DD">
      <w:pPr>
        <w:pStyle w:val="Bullet"/>
      </w:pPr>
      <w:r w:rsidRPr="00105059">
        <w:t xml:space="preserve">One lesson from this experience </w:t>
      </w:r>
      <w:r w:rsidR="00F549A4" w:rsidRPr="00105059">
        <w:t>is</w:t>
      </w:r>
      <w:r w:rsidRPr="00105059">
        <w:t xml:space="preserve"> </w:t>
      </w:r>
      <w:r w:rsidR="00403862" w:rsidRPr="00105059">
        <w:t xml:space="preserve">the importance of </w:t>
      </w:r>
      <w:r w:rsidRPr="00105059">
        <w:t>having in</w:t>
      </w:r>
      <w:r w:rsidR="009102D1">
        <w:noBreakHyphen/>
      </w:r>
      <w:r w:rsidRPr="00105059">
        <w:t xml:space="preserve">house expertise </w:t>
      </w:r>
      <w:r w:rsidR="00403862" w:rsidRPr="00105059">
        <w:t xml:space="preserve">to </w:t>
      </w:r>
      <w:r w:rsidRPr="00105059">
        <w:t xml:space="preserve">understand the operation </w:t>
      </w:r>
      <w:r w:rsidR="00403862" w:rsidRPr="00105059">
        <w:t xml:space="preserve">of </w:t>
      </w:r>
      <w:r w:rsidRPr="00105059">
        <w:t xml:space="preserve">financial markets and </w:t>
      </w:r>
      <w:r w:rsidR="003470D8">
        <w:t>their</w:t>
      </w:r>
      <w:r w:rsidR="003E1304" w:rsidRPr="00105059">
        <w:t xml:space="preserve"> </w:t>
      </w:r>
      <w:r w:rsidRPr="00105059">
        <w:t>link</w:t>
      </w:r>
      <w:r w:rsidR="00F549A4" w:rsidRPr="00105059">
        <w:t>ages</w:t>
      </w:r>
      <w:r w:rsidRPr="00105059">
        <w:t xml:space="preserve"> with the real economy.</w:t>
      </w:r>
      <w:r w:rsidR="003E1304" w:rsidRPr="00105059">
        <w:t xml:space="preserve"> </w:t>
      </w:r>
      <w:r w:rsidRPr="00105059">
        <w:t xml:space="preserve">To this end the Treasury has </w:t>
      </w:r>
      <w:r w:rsidR="00BE76F8" w:rsidRPr="00105059">
        <w:t xml:space="preserve">employed </w:t>
      </w:r>
      <w:r w:rsidR="005769FB" w:rsidRPr="00105059">
        <w:t xml:space="preserve">a technical specialist </w:t>
      </w:r>
      <w:r w:rsidR="00BE76F8" w:rsidRPr="00105059">
        <w:t>with deep financial markets experience</w:t>
      </w:r>
      <w:r w:rsidR="003E1304" w:rsidRPr="00105059">
        <w:t xml:space="preserve"> </w:t>
      </w:r>
      <w:r w:rsidRPr="00105059">
        <w:t xml:space="preserve">and </w:t>
      </w:r>
      <w:r w:rsidR="00BE76F8" w:rsidRPr="00105059">
        <w:t xml:space="preserve">created </w:t>
      </w:r>
      <w:r w:rsidRPr="00105059">
        <w:t xml:space="preserve">a dedicated unit </w:t>
      </w:r>
      <w:r w:rsidR="00601340" w:rsidRPr="00105059">
        <w:t>for</w:t>
      </w:r>
      <w:r w:rsidRPr="00105059">
        <w:t xml:space="preserve"> this </w:t>
      </w:r>
      <w:r w:rsidR="00641F42">
        <w:t>purpose</w:t>
      </w:r>
      <w:r w:rsidRPr="00105059">
        <w:t>.</w:t>
      </w:r>
    </w:p>
    <w:p w:rsidR="006B6369" w:rsidRPr="006A6464" w:rsidRDefault="006B6369">
      <w:pPr>
        <w:pStyle w:val="Bullet"/>
      </w:pPr>
      <w:r w:rsidRPr="006A6464">
        <w:t>Tax</w:t>
      </w:r>
      <w:r w:rsidR="00253E26" w:rsidRPr="006A6464">
        <w:t>ation</w:t>
      </w:r>
      <w:r w:rsidRPr="006A6464">
        <w:t xml:space="preserve"> revenue outcomes were consistently overestimated during this period, despite the </w:t>
      </w:r>
      <w:r w:rsidR="00295B04" w:rsidRPr="006A6464">
        <w:t xml:space="preserve">nominal </w:t>
      </w:r>
      <w:r w:rsidRPr="006A6464">
        <w:t xml:space="preserve">economic </w:t>
      </w:r>
      <w:r w:rsidR="006D267A" w:rsidRPr="006A6464">
        <w:t xml:space="preserve">forecast </w:t>
      </w:r>
      <w:r w:rsidRPr="006A6464">
        <w:t>errors being close to zero on average.</w:t>
      </w:r>
      <w:r w:rsidR="003E1304" w:rsidRPr="006A6464">
        <w:t xml:space="preserve"> </w:t>
      </w:r>
      <w:r w:rsidRPr="006A6464">
        <w:t xml:space="preserve">Counterfactual analysis </w:t>
      </w:r>
      <w:r w:rsidR="00253E26" w:rsidRPr="006A6464">
        <w:t xml:space="preserve">finds </w:t>
      </w:r>
      <w:r w:rsidRPr="006A6464">
        <w:t xml:space="preserve">that </w:t>
      </w:r>
      <w:r w:rsidR="00641F42" w:rsidRPr="006A6464">
        <w:t xml:space="preserve">even if the economic outcomes had been known at the time the forecasts were being </w:t>
      </w:r>
      <w:r w:rsidR="007709D6" w:rsidRPr="006A6464">
        <w:t>prepared</w:t>
      </w:r>
      <w:r w:rsidR="00865E90">
        <w:t>,</w:t>
      </w:r>
      <w:r w:rsidR="00641F42" w:rsidRPr="006A6464">
        <w:t xml:space="preserve"> </w:t>
      </w:r>
      <w:r w:rsidRPr="006A6464">
        <w:t xml:space="preserve">revenue would still have been </w:t>
      </w:r>
      <w:r w:rsidR="001D691C" w:rsidRPr="006A6464">
        <w:t>overestimated</w:t>
      </w:r>
      <w:r w:rsidRPr="006A6464">
        <w:t>, primar</w:t>
      </w:r>
      <w:r w:rsidR="00253E26" w:rsidRPr="006A6464">
        <w:t>il</w:t>
      </w:r>
      <w:r w:rsidRPr="006A6464">
        <w:t xml:space="preserve">y </w:t>
      </w:r>
      <w:r w:rsidR="00253E26" w:rsidRPr="006A6464">
        <w:t xml:space="preserve">reflecting </w:t>
      </w:r>
      <w:r w:rsidRPr="006A6464">
        <w:t>company tax</w:t>
      </w:r>
      <w:r w:rsidR="00253E26" w:rsidRPr="006A6464">
        <w:t xml:space="preserve"> errors</w:t>
      </w:r>
      <w:r w:rsidRPr="006A6464">
        <w:t>.</w:t>
      </w:r>
    </w:p>
    <w:p w:rsidR="004368DA" w:rsidRPr="006A6464" w:rsidRDefault="004368DA" w:rsidP="004368DA">
      <w:pPr>
        <w:pStyle w:val="Bullet"/>
      </w:pPr>
      <w:r w:rsidRPr="006A6464">
        <w:t xml:space="preserve">In response to the perceived source of these </w:t>
      </w:r>
      <w:r w:rsidR="0087714C">
        <w:t xml:space="preserve">taxation revenue </w:t>
      </w:r>
      <w:r w:rsidRPr="006A6464">
        <w:t>forecasting errors, Treasury is currently developing a three sector company tax model that takes better account of the different characteristics of these sectors for taxation purposes, for example, the capital</w:t>
      </w:r>
      <w:r w:rsidR="009102D1">
        <w:noBreakHyphen/>
      </w:r>
      <w:r w:rsidRPr="006A6464">
        <w:t xml:space="preserve">intensive nature of the mining sector, and </w:t>
      </w:r>
      <w:r w:rsidR="000831FA" w:rsidRPr="009C19F0">
        <w:t xml:space="preserve">the </w:t>
      </w:r>
      <w:r w:rsidR="000831FA">
        <w:t xml:space="preserve">measurement of </w:t>
      </w:r>
      <w:r w:rsidR="000831FA" w:rsidRPr="009C19F0">
        <w:t>finance sect</w:t>
      </w:r>
      <w:r w:rsidR="000831FA">
        <w:t>or income in the National Accounts</w:t>
      </w:r>
      <w:r w:rsidRPr="006A6464">
        <w:t>.</w:t>
      </w:r>
    </w:p>
    <w:p w:rsidR="00F86E34" w:rsidRPr="00A2389A" w:rsidRDefault="000F7EFC" w:rsidP="0053629A">
      <w:pPr>
        <w:pStyle w:val="Heading3"/>
      </w:pPr>
      <w:r>
        <w:t>Background</w:t>
      </w:r>
    </w:p>
    <w:p w:rsidR="008A4661" w:rsidRPr="00F45FC9" w:rsidRDefault="008A4661" w:rsidP="00823606">
      <w:pPr>
        <w:rPr>
          <w:color w:val="000000"/>
          <w:lang w:val="en"/>
        </w:rPr>
      </w:pPr>
      <w:r w:rsidRPr="00F45FC9">
        <w:t>The world economy experienced a severe financial and economic shock in the second half of 2008. The Global Financial Crisis (GFC) began in 2007 with the US sub</w:t>
      </w:r>
      <w:r w:rsidR="009102D1">
        <w:noBreakHyphen/>
      </w:r>
      <w:r w:rsidRPr="00F45FC9">
        <w:t xml:space="preserve">prime crisis and the crisis intensified dramatically in September 2008 with the collapse of Lehman Brothers. During this period, financial conditions deteriorated rapidly, financial and real asset prices collapsed, and business and </w:t>
      </w:r>
      <w:r w:rsidRPr="00F45FC9">
        <w:lastRenderedPageBreak/>
        <w:t>consumer confidence fell steeply. The GFC saw the world economy change course sharply from a five</w:t>
      </w:r>
      <w:r w:rsidR="009102D1">
        <w:noBreakHyphen/>
      </w:r>
      <w:r w:rsidRPr="00F45FC9">
        <w:t>year period of above</w:t>
      </w:r>
      <w:r w:rsidR="009102D1">
        <w:noBreakHyphen/>
      </w:r>
      <w:r w:rsidRPr="00F45FC9">
        <w:t xml:space="preserve">trend growth to the deepest recession since the Great Depression. </w:t>
      </w:r>
    </w:p>
    <w:p w:rsidR="008A4661" w:rsidRPr="00F45FC9" w:rsidRDefault="008A4661">
      <w:r w:rsidRPr="00F45FC9">
        <w:t>The Australian economy performed better than other advanced economies during the GFC. Although financial conditions were stressed, the financial system held up remarkably well; the economy slowed, but did not fall into recession; and while unemployment rose, it did so by far less than in many other advanced economies. The strong performance of the Australian economy largely reflected the strength of the Australian financial system and public finances; the rapid deployment of fiscal stimulus measures; the first effects of a significant easing in monetary policy; and a pickup in demand from China which partly offset pronounced external weakness elsewhere. More broadly, it also reflected improved policy and institutional arrangements in Australia following a quarter century of reforms that have made the Australian economy much more resilient to external shocks.</w:t>
      </w:r>
      <w:r w:rsidRPr="00F45FC9">
        <w:rPr>
          <w:rStyle w:val="FootnoteReference"/>
          <w:szCs w:val="22"/>
        </w:rPr>
        <w:footnoteReference w:id="4"/>
      </w:r>
    </w:p>
    <w:p w:rsidR="006D267A" w:rsidRPr="00F45FC9" w:rsidRDefault="00CB0F7E">
      <w:r w:rsidRPr="00F45FC9">
        <w:t>As the impact of the GFC subsided, Australia</w:t>
      </w:r>
      <w:r w:rsidR="007609A4">
        <w:t>’</w:t>
      </w:r>
      <w:r w:rsidRPr="00F45FC9">
        <w:t>s terms of trade rebounded</w:t>
      </w:r>
      <w:r w:rsidR="005552A2">
        <w:t>,</w:t>
      </w:r>
      <w:r w:rsidRPr="00F45FC9">
        <w:t xml:space="preserve"> </w:t>
      </w:r>
      <w:r w:rsidR="005552A2">
        <w:t xml:space="preserve">with the emergence of a second phase of the mining boom, </w:t>
      </w:r>
      <w:r w:rsidRPr="00F45FC9">
        <w:t xml:space="preserve">and reached a new record high in </w:t>
      </w:r>
      <w:r>
        <w:t>late 2011</w:t>
      </w:r>
      <w:r w:rsidR="00823606">
        <w:t xml:space="preserve"> </w:t>
      </w:r>
      <w:r w:rsidR="007611E2" w:rsidRPr="00F45FC9">
        <w:t>(</w:t>
      </w:r>
      <w:r w:rsidR="007611E2" w:rsidRPr="00D34E90">
        <w:t>Mining Boom Mark</w:t>
      </w:r>
      <w:r w:rsidR="005552A2" w:rsidRPr="00D34E90">
        <w:t> </w:t>
      </w:r>
      <w:r w:rsidR="007611E2" w:rsidRPr="00D34E90">
        <w:t>II</w:t>
      </w:r>
      <w:r w:rsidR="007611E2" w:rsidRPr="003020CC">
        <w:t>)</w:t>
      </w:r>
      <w:r w:rsidR="006D267A" w:rsidRPr="00F45FC9">
        <w:t>.</w:t>
      </w:r>
      <w:r w:rsidR="00823606">
        <w:t xml:space="preserve"> </w:t>
      </w:r>
      <w:r w:rsidR="006D267A" w:rsidRPr="00F45FC9">
        <w:t xml:space="preserve">In contrast to </w:t>
      </w:r>
      <w:r w:rsidR="00CE40F2" w:rsidRPr="00D34E90">
        <w:t>M</w:t>
      </w:r>
      <w:r w:rsidR="006D267A" w:rsidRPr="00D34E90">
        <w:t xml:space="preserve">ining </w:t>
      </w:r>
      <w:r w:rsidR="00CE40F2" w:rsidRPr="00D34E90">
        <w:t>B</w:t>
      </w:r>
      <w:r w:rsidR="006D267A" w:rsidRPr="00D34E90">
        <w:t xml:space="preserve">oom </w:t>
      </w:r>
      <w:r w:rsidR="00CE40F2" w:rsidRPr="00D34E90">
        <w:t>M</w:t>
      </w:r>
      <w:r w:rsidR="006D267A" w:rsidRPr="00D34E90">
        <w:t>ark I</w:t>
      </w:r>
      <w:r w:rsidR="006D267A" w:rsidRPr="003020CC">
        <w:t>,</w:t>
      </w:r>
      <w:r w:rsidR="006D267A" w:rsidRPr="00F45FC9">
        <w:t xml:space="preserve"> the </w:t>
      </w:r>
      <w:r w:rsidR="007611E2" w:rsidRPr="00F45FC9">
        <w:t xml:space="preserve">second phase </w:t>
      </w:r>
      <w:r w:rsidR="006D267A" w:rsidRPr="00F45FC9">
        <w:t xml:space="preserve">occurred against a backdrop of global uncertainty and </w:t>
      </w:r>
      <w:r w:rsidR="001E40A1">
        <w:t xml:space="preserve">balance sheet consolidation by the corporate and household sectors, reflected </w:t>
      </w:r>
      <w:r w:rsidR="00535E96">
        <w:t>in</w:t>
      </w:r>
      <w:r w:rsidR="001E40A1">
        <w:t xml:space="preserve"> a significant decline in credit growth</w:t>
      </w:r>
      <w:r w:rsidR="006D267A" w:rsidRPr="00F45FC9">
        <w:t>.</w:t>
      </w:r>
      <w:r w:rsidR="003E1304" w:rsidRPr="00F45FC9">
        <w:t xml:space="preserve"> </w:t>
      </w:r>
      <w:r w:rsidR="006D267A" w:rsidRPr="00F45FC9">
        <w:t xml:space="preserve">Sectors aligned with mineral resources have grown strongly, while there </w:t>
      </w:r>
      <w:r w:rsidR="00947CFC">
        <w:t>has been</w:t>
      </w:r>
      <w:r w:rsidR="006D267A" w:rsidRPr="00F45FC9">
        <w:t xml:space="preserve"> pressure on some domestic manufacturing and trade</w:t>
      </w:r>
      <w:r w:rsidR="009102D1">
        <w:noBreakHyphen/>
      </w:r>
      <w:r w:rsidR="006D267A" w:rsidRPr="00F45FC9">
        <w:t>exposed sectors</w:t>
      </w:r>
      <w:r>
        <w:t xml:space="preserve"> from the high level of the Australian dollar</w:t>
      </w:r>
      <w:r w:rsidR="00745B8B">
        <w:t xml:space="preserve"> over this period</w:t>
      </w:r>
      <w:r w:rsidR="006D267A" w:rsidRPr="00F45FC9">
        <w:t xml:space="preserve">. </w:t>
      </w:r>
    </w:p>
    <w:p w:rsidR="005D593E" w:rsidRPr="00A2389A" w:rsidRDefault="005D593E" w:rsidP="00105059">
      <w:pPr>
        <w:pStyle w:val="Heading3"/>
      </w:pPr>
      <w:r w:rsidRPr="00A2389A">
        <w:t>Economic forecasting performance</w:t>
      </w:r>
    </w:p>
    <w:p w:rsidR="00F412FB" w:rsidRPr="00A2389A" w:rsidRDefault="00253E26" w:rsidP="00105059">
      <w:r w:rsidRPr="00A76EFF">
        <w:t>In common with other forecasters</w:t>
      </w:r>
      <w:r>
        <w:t>,</w:t>
      </w:r>
      <w:r w:rsidRPr="009C19F0">
        <w:t xml:space="preserve"> </w:t>
      </w:r>
      <w:r w:rsidR="00003140" w:rsidRPr="009C19F0">
        <w:t>Treasury did not predict the degeneration of the US subprime crisis into the GFC in 2008</w:t>
      </w:r>
      <w:r w:rsidR="009102D1">
        <w:noBreakHyphen/>
      </w:r>
      <w:r w:rsidR="00003140" w:rsidRPr="009C19F0">
        <w:t>09</w:t>
      </w:r>
      <w:r w:rsidR="00745B8B">
        <w:t xml:space="preserve"> and s</w:t>
      </w:r>
      <w:r w:rsidR="00003140" w:rsidRPr="009C19F0">
        <w:t>ubsequently</w:t>
      </w:r>
      <w:r w:rsidR="00F70182">
        <w:t xml:space="preserve"> </w:t>
      </w:r>
      <w:r w:rsidR="00003140" w:rsidRPr="009C19F0">
        <w:t xml:space="preserve">overestimated the impact of the crisis on </w:t>
      </w:r>
      <w:r w:rsidR="0093719E">
        <w:t xml:space="preserve">the nominal economy </w:t>
      </w:r>
      <w:r w:rsidR="00003140" w:rsidRPr="009C19F0">
        <w:t>in 2009</w:t>
      </w:r>
      <w:r w:rsidR="009102D1">
        <w:noBreakHyphen/>
      </w:r>
      <w:r w:rsidR="00003140" w:rsidRPr="009C19F0">
        <w:t>10</w:t>
      </w:r>
      <w:r w:rsidR="00DC3E91" w:rsidRPr="00A2389A">
        <w:t xml:space="preserve">. </w:t>
      </w:r>
    </w:p>
    <w:p w:rsidR="00D11544" w:rsidRPr="00A2389A" w:rsidRDefault="00786F76">
      <w:r w:rsidRPr="00A2389A">
        <w:t>The impact of the GFC on Australia was expected to be severe, with the 2009</w:t>
      </w:r>
      <w:r w:rsidR="009102D1">
        <w:noBreakHyphen/>
      </w:r>
      <w:r w:rsidRPr="00A2389A">
        <w:t>10 Budget, prepared in May 2009, the first in history to forecast a contr</w:t>
      </w:r>
      <w:r w:rsidR="0075410A" w:rsidRPr="00A2389A">
        <w:t xml:space="preserve">action in </w:t>
      </w:r>
      <w:r w:rsidR="00126E3B" w:rsidRPr="00A2389A">
        <w:t xml:space="preserve">both </w:t>
      </w:r>
      <w:r w:rsidR="0075410A" w:rsidRPr="00A2389A">
        <w:t xml:space="preserve">real and nominal GDP. </w:t>
      </w:r>
      <w:r w:rsidR="00D11544" w:rsidRPr="00A2389A">
        <w:t>Gruen (2010) note</w:t>
      </w:r>
      <w:r w:rsidR="00F615E1">
        <w:t xml:space="preserve">s that </w:t>
      </w:r>
      <w:r w:rsidR="0068063D">
        <w:t>at the time the 2009</w:t>
      </w:r>
      <w:r w:rsidR="009102D1">
        <w:noBreakHyphen/>
      </w:r>
      <w:r w:rsidR="0068063D">
        <w:t>10 Budget forecasts were being prep</w:t>
      </w:r>
      <w:r w:rsidR="00E602BF">
        <w:t xml:space="preserve">ared </w:t>
      </w:r>
      <w:r w:rsidR="00D11544" w:rsidRPr="00A2389A">
        <w:t>the international context was dire</w:t>
      </w:r>
      <w:r w:rsidR="00E602BF">
        <w:t>,</w:t>
      </w:r>
      <w:r w:rsidR="00D11544" w:rsidRPr="00A2389A">
        <w:t xml:space="preserve"> with </w:t>
      </w:r>
      <w:r w:rsidR="00E602BF">
        <w:t xml:space="preserve">forecasters making </w:t>
      </w:r>
      <w:r w:rsidR="00D11544" w:rsidRPr="00A2389A">
        <w:t>significant downgrades to g</w:t>
      </w:r>
      <w:r w:rsidR="00BD30C0" w:rsidRPr="00A2389A">
        <w:t xml:space="preserve">lobal growth and global trade. </w:t>
      </w:r>
      <w:r w:rsidR="00E602BF">
        <w:t>For example,</w:t>
      </w:r>
      <w:r w:rsidR="0093719E">
        <w:t xml:space="preserve"> </w:t>
      </w:r>
      <w:r w:rsidR="00E602BF">
        <w:t>a</w:t>
      </w:r>
      <w:r w:rsidRPr="00A2389A">
        <w:t>s the global outlook deteriorated, the IMF downgraded its forecasts for 2009 global GDP growth by 4.3 percentage points between October 2008 and April 2009. Over the same period, it downgraded its forecasts for advanced economy growth by 4.3 percentage points and for global trade volumes by over 15 percentage</w:t>
      </w:r>
      <w:r w:rsidR="00BD30C0" w:rsidRPr="00A2389A">
        <w:t xml:space="preserve"> points.</w:t>
      </w:r>
      <w:r w:rsidR="0093719E">
        <w:t xml:space="preserve"> </w:t>
      </w:r>
      <w:r w:rsidR="00E602BF">
        <w:t xml:space="preserve">In line with these forecasters, </w:t>
      </w:r>
      <w:r w:rsidR="00E52A4A" w:rsidRPr="00A2389A">
        <w:t xml:space="preserve">Treasury </w:t>
      </w:r>
      <w:r w:rsidR="00D11544" w:rsidRPr="00A2389A">
        <w:t xml:space="preserve">significantly downgraded </w:t>
      </w:r>
      <w:r w:rsidR="00E602BF">
        <w:t xml:space="preserve">its </w:t>
      </w:r>
      <w:r w:rsidR="0068063D">
        <w:t xml:space="preserve">forecasts for </w:t>
      </w:r>
      <w:r w:rsidR="00D11544" w:rsidRPr="00A2389A">
        <w:t xml:space="preserve">global growth and </w:t>
      </w:r>
      <w:r w:rsidR="00E52A4A" w:rsidRPr="00A2389A">
        <w:t xml:space="preserve">correspondingly </w:t>
      </w:r>
      <w:r w:rsidRPr="00A2389A">
        <w:t xml:space="preserve">Australian goods and services export volumes, </w:t>
      </w:r>
      <w:r w:rsidR="00E52A4A" w:rsidRPr="00A2389A">
        <w:t>using</w:t>
      </w:r>
      <w:r w:rsidR="00D11544" w:rsidRPr="00A2389A">
        <w:t xml:space="preserve"> the IMF and OECD forecasts from their inter</w:t>
      </w:r>
      <w:r w:rsidR="009102D1">
        <w:noBreakHyphen/>
      </w:r>
      <w:r w:rsidR="00D11544" w:rsidRPr="00A2389A">
        <w:t>country trade models</w:t>
      </w:r>
      <w:r w:rsidR="00E52A4A" w:rsidRPr="00A2389A">
        <w:t xml:space="preserve"> as a guide.</w:t>
      </w:r>
    </w:p>
    <w:p w:rsidR="00786F76" w:rsidRPr="00A2389A" w:rsidRDefault="00E52A4A">
      <w:r w:rsidRPr="00A2389A">
        <w:t>Domestic indicators were also blea</w:t>
      </w:r>
      <w:r w:rsidR="00BD30C0" w:rsidRPr="00A2389A">
        <w:t>k</w:t>
      </w:r>
      <w:r w:rsidR="00AC34EA">
        <w:t xml:space="preserve"> (</w:t>
      </w:r>
      <w:r w:rsidR="00BD30C0" w:rsidRPr="00A2389A">
        <w:t>Gruen</w:t>
      </w:r>
      <w:r w:rsidR="00AC34EA">
        <w:t xml:space="preserve">, </w:t>
      </w:r>
      <w:r w:rsidR="00BD30C0" w:rsidRPr="00A2389A">
        <w:t xml:space="preserve">2010). </w:t>
      </w:r>
      <w:r w:rsidR="00183B92">
        <w:t>At the time the 2009</w:t>
      </w:r>
      <w:r w:rsidR="009102D1">
        <w:noBreakHyphen/>
      </w:r>
      <w:r w:rsidR="00183B92">
        <w:t>10 Budget forecasts were being prepared, t</w:t>
      </w:r>
      <w:r w:rsidR="00786F76" w:rsidRPr="00A2389A">
        <w:t xml:space="preserve">he latest comprehensive reading on the economy, the December quarter 2008 National Accounts, </w:t>
      </w:r>
      <w:r w:rsidR="00AC34EA">
        <w:t xml:space="preserve">which was </w:t>
      </w:r>
      <w:r w:rsidR="00786F76" w:rsidRPr="00A2389A">
        <w:t>released in early March 2009, showed a contraction of 0.5 per cent. At the time, this was the weakest quarter</w:t>
      </w:r>
      <w:r w:rsidR="007709D6">
        <w:t xml:space="preserve"> — </w:t>
      </w:r>
      <w:r w:rsidR="00786F76" w:rsidRPr="00A2389A">
        <w:t>indeed the first negative quarter</w:t>
      </w:r>
      <w:r w:rsidR="007709D6">
        <w:t xml:space="preserve"> — </w:t>
      </w:r>
      <w:r w:rsidR="00786F76" w:rsidRPr="00A2389A">
        <w:t>since the December quarter 2000. With subsequent revisions to the National Accounts, that quarter now stands as the weakest since March 1983.</w:t>
      </w:r>
      <w:r w:rsidR="00BD30C0" w:rsidRPr="00A2389A">
        <w:t xml:space="preserve"> </w:t>
      </w:r>
      <w:r w:rsidR="00786F76" w:rsidRPr="00A2389A">
        <w:t xml:space="preserve">The unemployment rate had </w:t>
      </w:r>
      <w:r w:rsidR="00183B92">
        <w:t xml:space="preserve">also </w:t>
      </w:r>
      <w:r w:rsidR="00786F76" w:rsidRPr="00A2389A">
        <w:t xml:space="preserve">risen </w:t>
      </w:r>
      <w:r w:rsidR="00183B92">
        <w:t>sharply</w:t>
      </w:r>
      <w:r w:rsidR="00786F76" w:rsidRPr="00A2389A">
        <w:t xml:space="preserve"> from 4.1 per cent in </w:t>
      </w:r>
      <w:r w:rsidR="007709D6" w:rsidRPr="00A2389A">
        <w:t>August</w:t>
      </w:r>
      <w:r w:rsidR="007709D6">
        <w:t> </w:t>
      </w:r>
      <w:r w:rsidR="00786F76" w:rsidRPr="00A2389A">
        <w:t>2008 to 5.7 per cent in March 2009.</w:t>
      </w:r>
    </w:p>
    <w:p w:rsidR="00DE220E" w:rsidRPr="00813BBF" w:rsidRDefault="00786F76">
      <w:pPr>
        <w:rPr>
          <w:b/>
          <w:color w:val="000000"/>
          <w:kern w:val="28"/>
        </w:rPr>
      </w:pPr>
      <w:r w:rsidRPr="00A2389A">
        <w:t xml:space="preserve">By the time the Budget forecasts were finalised in April 2009, the average Consensus forecast was predicting </w:t>
      </w:r>
      <w:r w:rsidR="004B100A">
        <w:t xml:space="preserve">a contraction </w:t>
      </w:r>
      <w:r w:rsidR="003470D8">
        <w:t>in</w:t>
      </w:r>
      <w:r w:rsidR="004B100A">
        <w:t xml:space="preserve"> </w:t>
      </w:r>
      <w:r w:rsidRPr="00A2389A">
        <w:t>Australia</w:t>
      </w:r>
      <w:r w:rsidR="007609A4">
        <w:t>’</w:t>
      </w:r>
      <w:r w:rsidR="004B100A">
        <w:t>s</w:t>
      </w:r>
      <w:r w:rsidRPr="00A2389A">
        <w:t xml:space="preserve"> real </w:t>
      </w:r>
      <w:r w:rsidR="004B100A">
        <w:t xml:space="preserve">economy in 2009 </w:t>
      </w:r>
      <w:r w:rsidR="003470D8">
        <w:t>of</w:t>
      </w:r>
      <w:r w:rsidR="004B100A">
        <w:t xml:space="preserve"> </w:t>
      </w:r>
      <w:r w:rsidRPr="00A2389A">
        <w:t xml:space="preserve">around 0.6 per cent. </w:t>
      </w:r>
      <w:r w:rsidR="00B1488B" w:rsidRPr="00A2389A">
        <w:t>As Figure 4.10 shows, t</w:t>
      </w:r>
      <w:r w:rsidRPr="00A2389A">
        <w:t xml:space="preserve">he Budget forecast </w:t>
      </w:r>
      <w:r w:rsidR="004B100A">
        <w:t xml:space="preserve">for a contraction of </w:t>
      </w:r>
      <w:r w:rsidRPr="00A2389A">
        <w:t xml:space="preserve">0.9 per cent was around the </w:t>
      </w:r>
      <w:r w:rsidR="0068063D">
        <w:t xml:space="preserve">median </w:t>
      </w:r>
      <w:r w:rsidRPr="00A2389A">
        <w:t>of the range of forecasts surve</w:t>
      </w:r>
      <w:r w:rsidR="00E52A4A" w:rsidRPr="00A2389A">
        <w:t>yed by</w:t>
      </w:r>
      <w:r w:rsidR="00B1488B" w:rsidRPr="00A2389A">
        <w:t xml:space="preserve"> Consensus in mid</w:t>
      </w:r>
      <w:r w:rsidR="009102D1">
        <w:noBreakHyphen/>
      </w:r>
      <w:r w:rsidR="00B1488B" w:rsidRPr="00A2389A">
        <w:t>April</w:t>
      </w:r>
      <w:r w:rsidR="00E52A4A" w:rsidRPr="00A2389A">
        <w:t>.</w:t>
      </w:r>
    </w:p>
    <w:p w:rsidR="00786F76" w:rsidRDefault="00786F76" w:rsidP="0053629A">
      <w:pPr>
        <w:pStyle w:val="ChartMainHeading"/>
        <w:spacing w:after="120"/>
      </w:pPr>
      <w:r w:rsidRPr="00813BBF">
        <w:lastRenderedPageBreak/>
        <w:t xml:space="preserve">Figure </w:t>
      </w:r>
      <w:r w:rsidR="00470462" w:rsidRPr="00813BBF">
        <w:t>4.10</w:t>
      </w:r>
      <w:r w:rsidRPr="00813BBF">
        <w:t>:</w:t>
      </w:r>
      <w:r w:rsidR="003E1304">
        <w:t xml:space="preserve"> </w:t>
      </w:r>
      <w:r w:rsidRPr="00813BBF">
        <w:t>Forecasts for Australian real GDP growth in 2009, as at April 2009</w:t>
      </w:r>
    </w:p>
    <w:p w:rsidR="001D3E49" w:rsidRPr="001D3E49" w:rsidRDefault="00BF3856">
      <w:pPr>
        <w:pStyle w:val="ChartGraphic"/>
      </w:pPr>
      <w:r>
        <w:object w:dxaOrig="8775" w:dyaOrig="3961">
          <v:shape id="_x0000_i1036" type="#_x0000_t75" alt="This figure shows Treasury’s forecast of real GDP growth in 2009 and compares this with the range of forecasts surveyed by Consensus Economics in mid-April 2009 (including the median) and the final outcome for 2009-10.&#10;" style="width:438.9pt;height:198.45pt" o:ole="">
            <v:imagedata r:id="rId29" o:title=""/>
          </v:shape>
          <o:OLEObject Type="Link" ProgID="Excel.Sheet.8" ShapeID="_x0000_i1036" DrawAspect="Content" r:id="rId30" UpdateMode="Always">
            <o:LinkType>EnhancedMetaFile</o:LinkType>
            <o:LockedField/>
          </o:OLEObject>
        </w:object>
      </w:r>
    </w:p>
    <w:p w:rsidR="00786F76" w:rsidRPr="003E1304" w:rsidRDefault="00786F76" w:rsidP="00D34E90">
      <w:pPr>
        <w:pStyle w:val="ChartorTableNote"/>
        <w:spacing w:before="120"/>
      </w:pPr>
      <w:r w:rsidRPr="003E1304">
        <w:t>Source:</w:t>
      </w:r>
      <w:r w:rsidR="003E1304">
        <w:t xml:space="preserve"> </w:t>
      </w:r>
      <w:r w:rsidRPr="003E1304">
        <w:t>Consensus Economics (</w:t>
      </w:r>
      <w:r w:rsidR="001D2811">
        <w:t>S</w:t>
      </w:r>
      <w:r w:rsidRPr="003E1304">
        <w:t>urvey date 14 April 2009), Treasury (Budget, 11 May 2009).</w:t>
      </w:r>
    </w:p>
    <w:p w:rsidR="00786F76" w:rsidRPr="00A2389A" w:rsidRDefault="00E52A4A" w:rsidP="005B220C">
      <w:pPr>
        <w:spacing w:before="360"/>
      </w:pPr>
      <w:r w:rsidRPr="00A2389A">
        <w:t xml:space="preserve">Although the </w:t>
      </w:r>
      <w:r w:rsidR="005A350A" w:rsidRPr="00A2389A">
        <w:t xml:space="preserve">real </w:t>
      </w:r>
      <w:r w:rsidRPr="00A2389A">
        <w:t>economy did experience a significant slowdown</w:t>
      </w:r>
      <w:r w:rsidR="00513325">
        <w:t xml:space="preserve"> in 2009</w:t>
      </w:r>
      <w:r w:rsidR="009102D1">
        <w:noBreakHyphen/>
      </w:r>
      <w:r w:rsidR="00513325">
        <w:t>10</w:t>
      </w:r>
      <w:r w:rsidRPr="00A2389A">
        <w:t xml:space="preserve">, it </w:t>
      </w:r>
      <w:r w:rsidR="00786F76" w:rsidRPr="00A2389A">
        <w:t xml:space="preserve">performed significantly better than </w:t>
      </w:r>
      <w:r w:rsidR="00401A9A">
        <w:t xml:space="preserve">Treasury </w:t>
      </w:r>
      <w:r w:rsidR="00786F76" w:rsidRPr="00A2389A">
        <w:t>expected</w:t>
      </w:r>
      <w:r w:rsidR="00B4348B">
        <w:t xml:space="preserve">, </w:t>
      </w:r>
      <w:r w:rsidR="00676F99">
        <w:t>largely reflect</w:t>
      </w:r>
      <w:r w:rsidR="00B4348B">
        <w:t>ing</w:t>
      </w:r>
      <w:r w:rsidR="00676F99">
        <w:t xml:space="preserve"> misjudgements of the efficacy of </w:t>
      </w:r>
      <w:r w:rsidR="00676F99" w:rsidRPr="0025087E">
        <w:t>Australia</w:t>
      </w:r>
      <w:r w:rsidR="007609A4">
        <w:t>’</w:t>
      </w:r>
      <w:r w:rsidR="00676F99">
        <w:t xml:space="preserve">s </w:t>
      </w:r>
      <w:r w:rsidR="00676F99" w:rsidRPr="0025087E">
        <w:t xml:space="preserve">policy response </w:t>
      </w:r>
      <w:r w:rsidR="00676F99">
        <w:t xml:space="preserve">and </w:t>
      </w:r>
      <w:r w:rsidR="00676F99" w:rsidRPr="0025087E">
        <w:t xml:space="preserve">the relatively early, and strong, recovery in </w:t>
      </w:r>
      <w:r w:rsidR="00676F99">
        <w:t xml:space="preserve">economic </w:t>
      </w:r>
      <w:r w:rsidR="00676F99" w:rsidRPr="0025087E">
        <w:t>growth in most of our major trading partners throughout 2009</w:t>
      </w:r>
      <w:r w:rsidR="00676F99">
        <w:t>.</w:t>
      </w:r>
      <w:r w:rsidR="00676F99">
        <w:rPr>
          <w:rStyle w:val="FootnoteReference"/>
          <w:sz w:val="24"/>
          <w:szCs w:val="24"/>
        </w:rPr>
        <w:footnoteReference w:id="5"/>
      </w:r>
    </w:p>
    <w:p w:rsidR="005C2E5A" w:rsidRDefault="00513325" w:rsidP="005B220C">
      <w:r>
        <w:t xml:space="preserve">The largest contributions to the </w:t>
      </w:r>
      <w:r w:rsidR="00F13C7D">
        <w:t>2009</w:t>
      </w:r>
      <w:r w:rsidR="009102D1">
        <w:noBreakHyphen/>
      </w:r>
      <w:r w:rsidR="00F13C7D">
        <w:t>10 Budget forecast</w:t>
      </w:r>
      <w:r>
        <w:t xml:space="preserve"> error</w:t>
      </w:r>
      <w:r w:rsidR="005C2E5A">
        <w:t xml:space="preserve"> </w:t>
      </w:r>
      <w:r w:rsidR="00AC34EA">
        <w:t xml:space="preserve">for real GDP growth </w:t>
      </w:r>
      <w:r w:rsidR="00C364C7">
        <w:t xml:space="preserve">were </w:t>
      </w:r>
      <w:r>
        <w:t xml:space="preserve">from </w:t>
      </w:r>
      <w:r w:rsidR="005C2E5A">
        <w:t xml:space="preserve">household consumption, </w:t>
      </w:r>
      <w:r w:rsidR="0075410A" w:rsidRPr="00A2389A">
        <w:t>export</w:t>
      </w:r>
      <w:r w:rsidR="005C2E5A">
        <w:t>s</w:t>
      </w:r>
      <w:r w:rsidR="00651F62" w:rsidRPr="00651F62">
        <w:t xml:space="preserve"> </w:t>
      </w:r>
      <w:r w:rsidR="00651F62">
        <w:t>and business investment</w:t>
      </w:r>
      <w:r w:rsidR="00786F76" w:rsidRPr="00A2389A">
        <w:t xml:space="preserve">. </w:t>
      </w:r>
      <w:r w:rsidR="00393888">
        <w:t>Household consumption was forecast to decline moderately in 2009</w:t>
      </w:r>
      <w:r w:rsidR="009102D1">
        <w:noBreakHyphen/>
      </w:r>
      <w:r w:rsidR="00393888">
        <w:t>10</w:t>
      </w:r>
      <w:r w:rsidR="00191650">
        <w:t xml:space="preserve">. In the event, </w:t>
      </w:r>
      <w:r w:rsidR="00393888">
        <w:t xml:space="preserve">it grew </w:t>
      </w:r>
      <w:r w:rsidR="00191650">
        <w:t xml:space="preserve">by </w:t>
      </w:r>
      <w:r w:rsidR="00393888">
        <w:t>2.5 per cent. As noted in Gruen (2010)</w:t>
      </w:r>
      <w:r w:rsidR="00CE41C5">
        <w:t>,</w:t>
      </w:r>
      <w:r w:rsidR="00393888">
        <w:t xml:space="preserve"> expansionary monetary and fiscal policy appears to have been large enough and quick enough to convince consumers and businesses that the domestic slowdown would be relatively mild. In turn this supported confidence and led consumers and businesses to continue to spend.</w:t>
      </w:r>
      <w:r w:rsidR="00B4348B">
        <w:t xml:space="preserve"> </w:t>
      </w:r>
      <w:r w:rsidR="00B4348B" w:rsidRPr="009C19F0">
        <w:t>While the stimulus was explicitly factored into Treasury</w:t>
      </w:r>
      <w:r w:rsidR="007609A4">
        <w:t>’</w:t>
      </w:r>
      <w:r w:rsidR="00B4348B" w:rsidRPr="009C19F0">
        <w:t>s forecasts, it was also a contributing factor to the 2009</w:t>
      </w:r>
      <w:r w:rsidR="009102D1">
        <w:noBreakHyphen/>
      </w:r>
      <w:r w:rsidR="00B4348B" w:rsidRPr="009C19F0">
        <w:t>10 forecast errors.</w:t>
      </w:r>
    </w:p>
    <w:p w:rsidR="00D862CC" w:rsidRPr="00A2389A" w:rsidRDefault="00191650" w:rsidP="00D862CC">
      <w:r>
        <w:t>T</w:t>
      </w:r>
      <w:r w:rsidR="00786F76" w:rsidRPr="00A2389A">
        <w:t>he 2009</w:t>
      </w:r>
      <w:r w:rsidR="009102D1">
        <w:noBreakHyphen/>
      </w:r>
      <w:r w:rsidR="00786F76" w:rsidRPr="00A2389A">
        <w:t xml:space="preserve">10 Budget forecast </w:t>
      </w:r>
      <w:r w:rsidR="00513325">
        <w:t xml:space="preserve">exports to contract </w:t>
      </w:r>
      <w:r w:rsidR="009D144D">
        <w:t>sharply</w:t>
      </w:r>
      <w:r w:rsidR="00C364C7">
        <w:t>,</w:t>
      </w:r>
      <w:r w:rsidR="009D144D">
        <w:t xml:space="preserve"> </w:t>
      </w:r>
      <w:r w:rsidR="00C364C7">
        <w:t>by</w:t>
      </w:r>
      <w:r w:rsidR="00C364C7" w:rsidRPr="00A2389A">
        <w:t xml:space="preserve"> 4 per cent</w:t>
      </w:r>
      <w:r w:rsidR="00C364C7">
        <w:t xml:space="preserve">, </w:t>
      </w:r>
      <w:r w:rsidR="009D144D">
        <w:t>in 2009</w:t>
      </w:r>
      <w:r w:rsidR="009102D1">
        <w:noBreakHyphen/>
      </w:r>
      <w:r w:rsidR="009D144D">
        <w:t>10. In the event</w:t>
      </w:r>
      <w:r w:rsidR="00786F76" w:rsidRPr="00A2389A">
        <w:t xml:space="preserve">, the outcomes </w:t>
      </w:r>
      <w:r w:rsidR="00387216">
        <w:t>were</w:t>
      </w:r>
      <w:r w:rsidR="00786F76" w:rsidRPr="00A2389A">
        <w:t xml:space="preserve"> significantly better than forecast.</w:t>
      </w:r>
      <w:r w:rsidR="00C364C7">
        <w:t xml:space="preserve"> The</w:t>
      </w:r>
      <w:r w:rsidR="00D862CC" w:rsidRPr="00A2389A">
        <w:t xml:space="preserve"> </w:t>
      </w:r>
      <w:r w:rsidR="009D144D">
        <w:t xml:space="preserve">outlook </w:t>
      </w:r>
      <w:r w:rsidR="00D862CC" w:rsidRPr="00A2389A">
        <w:t>for export</w:t>
      </w:r>
      <w:r w:rsidR="009D144D">
        <w:t xml:space="preserve">s </w:t>
      </w:r>
      <w:r w:rsidR="00D862CC" w:rsidRPr="00A2389A">
        <w:t>w</w:t>
      </w:r>
      <w:r w:rsidR="009D144D">
        <w:t>as</w:t>
      </w:r>
      <w:r w:rsidR="00D862CC" w:rsidRPr="00A2389A">
        <w:t xml:space="preserve"> </w:t>
      </w:r>
      <w:r w:rsidR="009D144D">
        <w:t>heavily</w:t>
      </w:r>
      <w:r w:rsidR="00D862CC" w:rsidRPr="00A2389A">
        <w:t xml:space="preserve"> influenced by expert views on the scale of the </w:t>
      </w:r>
      <w:r w:rsidR="00C364C7">
        <w:t xml:space="preserve">global </w:t>
      </w:r>
      <w:r w:rsidR="00D862CC" w:rsidRPr="00A2389A">
        <w:t>downturn</w:t>
      </w:r>
      <w:r w:rsidR="00C364C7">
        <w:t xml:space="preserve"> at the time that the forecasts were being prepared.</w:t>
      </w:r>
      <w:r w:rsidR="00D862CC">
        <w:t xml:space="preserve"> </w:t>
      </w:r>
      <w:r w:rsidR="00D862CC" w:rsidRPr="00A2389A">
        <w:t>Within the export forecast error</w:t>
      </w:r>
      <w:r w:rsidR="00513325">
        <w:t>,</w:t>
      </w:r>
      <w:r w:rsidR="00D862CC" w:rsidRPr="00A2389A">
        <w:t xml:space="preserve"> the main contributi</w:t>
      </w:r>
      <w:r w:rsidR="00D862CC">
        <w:t>o</w:t>
      </w:r>
      <w:r w:rsidR="00D862CC" w:rsidRPr="00A2389A">
        <w:t xml:space="preserve">n was </w:t>
      </w:r>
      <w:r w:rsidR="00D862CC">
        <w:t xml:space="preserve">from </w:t>
      </w:r>
      <w:r w:rsidR="00D862CC" w:rsidRPr="00A2389A">
        <w:t>non</w:t>
      </w:r>
      <w:r w:rsidR="009102D1">
        <w:noBreakHyphen/>
      </w:r>
      <w:r w:rsidR="00D862CC" w:rsidRPr="00A2389A">
        <w:t xml:space="preserve">rural </w:t>
      </w:r>
      <w:r w:rsidR="001E40A1">
        <w:t xml:space="preserve">commodity </w:t>
      </w:r>
      <w:r w:rsidR="00D862CC" w:rsidRPr="00A2389A">
        <w:t xml:space="preserve">exports, with smaller contributions from exports </w:t>
      </w:r>
      <w:r w:rsidR="00513325">
        <w:t xml:space="preserve">of elaborately transformed manufactures </w:t>
      </w:r>
      <w:r w:rsidR="00D862CC" w:rsidRPr="00A2389A">
        <w:t xml:space="preserve">and other goods and services </w:t>
      </w:r>
      <w:r w:rsidR="00FA3141">
        <w:t>(</w:t>
      </w:r>
      <w:r w:rsidR="00ED26B7">
        <w:t xml:space="preserve">Figure </w:t>
      </w:r>
      <w:r w:rsidR="00FA3141">
        <w:t>4.11)</w:t>
      </w:r>
      <w:r w:rsidR="00D862CC" w:rsidRPr="00A2389A">
        <w:t>. Relative to the 2009</w:t>
      </w:r>
      <w:r w:rsidR="009102D1">
        <w:noBreakHyphen/>
      </w:r>
      <w:r w:rsidR="00D862CC" w:rsidRPr="00A2389A">
        <w:t>10 Budget forecasts, non</w:t>
      </w:r>
      <w:r w:rsidR="009102D1">
        <w:noBreakHyphen/>
      </w:r>
      <w:r w:rsidR="00D862CC" w:rsidRPr="00A2389A">
        <w:t>rural commodity exports performed significantly better than expected</w:t>
      </w:r>
      <w:r w:rsidR="00D862CC">
        <w:t xml:space="preserve">, with volumes </w:t>
      </w:r>
      <w:r w:rsidR="00D862CC" w:rsidRPr="00A2389A">
        <w:t>exceed</w:t>
      </w:r>
      <w:r w:rsidR="00D862CC">
        <w:t>ing</w:t>
      </w:r>
      <w:r w:rsidR="00D862CC" w:rsidRPr="00A2389A">
        <w:t xml:space="preserve"> forecasts by a significant margin.</w:t>
      </w:r>
    </w:p>
    <w:p w:rsidR="00786F76" w:rsidRPr="003C2595" w:rsidRDefault="005A350A" w:rsidP="0053629A">
      <w:pPr>
        <w:pStyle w:val="ChartMainHeading"/>
        <w:spacing w:after="120"/>
      </w:pPr>
      <w:r w:rsidRPr="003C2595">
        <w:lastRenderedPageBreak/>
        <w:t xml:space="preserve">Figure </w:t>
      </w:r>
      <w:r w:rsidR="00DE220E" w:rsidRPr="003C2595">
        <w:t>4.1</w:t>
      </w:r>
      <w:r w:rsidR="00DE3962">
        <w:t>1</w:t>
      </w:r>
      <w:r w:rsidR="00786F76" w:rsidRPr="003C2595">
        <w:t>:</w:t>
      </w:r>
      <w:r w:rsidR="007709D6">
        <w:t xml:space="preserve"> </w:t>
      </w:r>
      <w:r w:rsidR="002B4C63">
        <w:t xml:space="preserve">Contribution to </w:t>
      </w:r>
      <w:r w:rsidR="00787B07">
        <w:t xml:space="preserve">Budget Forecast Errors for Exports in </w:t>
      </w:r>
      <w:r w:rsidR="00786F76" w:rsidRPr="003C2595">
        <w:t>2009</w:t>
      </w:r>
      <w:r w:rsidR="009102D1">
        <w:noBreakHyphen/>
      </w:r>
      <w:r w:rsidR="00786F76" w:rsidRPr="003C2595">
        <w:t>10</w:t>
      </w:r>
      <w:r w:rsidR="00787B07">
        <w:t>,</w:t>
      </w:r>
      <w:r w:rsidR="00786F76" w:rsidRPr="003C2595">
        <w:t xml:space="preserve"> </w:t>
      </w:r>
      <w:r w:rsidR="00787B07">
        <w:t>by C</w:t>
      </w:r>
      <w:r w:rsidR="00BD30C0" w:rsidRPr="003C2595">
        <w:t>omponent</w:t>
      </w:r>
    </w:p>
    <w:p w:rsidR="00786F76" w:rsidRPr="003E1304" w:rsidRDefault="00BF3856">
      <w:pPr>
        <w:pStyle w:val="ChartGraphic"/>
      </w:pPr>
      <w:r>
        <w:object w:dxaOrig="8775" w:dyaOrig="3961">
          <v:shape id="_x0000_i1037" type="#_x0000_t75" alt="This figure shows the contribution to the Budget forecast error for exports in 2009-10 for the Budget year by type of export.&#10;" style="width:436.4pt;height:199.1pt;mso-position-horizontal:absolute" o:ole="">
            <v:imagedata r:id="rId31" o:title=""/>
          </v:shape>
          <o:OLEObject Type="Link" ProgID="Excel.Sheet.12" ShapeID="_x0000_i1037" DrawAspect="Content" r:id="rId32" UpdateMode="Always">
            <o:LinkType>EnhancedMetaFile</o:LinkType>
            <o:LockedField/>
          </o:OLEObject>
        </w:object>
      </w:r>
    </w:p>
    <w:p w:rsidR="00786F76" w:rsidRPr="00A2389A" w:rsidRDefault="00786F76" w:rsidP="002B4C63">
      <w:pPr>
        <w:spacing w:before="120"/>
      </w:pPr>
      <w:r w:rsidRPr="00A2389A">
        <w:t>T</w:t>
      </w:r>
      <w:r w:rsidR="00AC34EA">
        <w:t>he</w:t>
      </w:r>
      <w:r w:rsidRPr="00A2389A">
        <w:t xml:space="preserve"> better</w:t>
      </w:r>
      <w:r w:rsidR="009102D1">
        <w:noBreakHyphen/>
      </w:r>
      <w:r w:rsidRPr="00A2389A">
        <w:t>than</w:t>
      </w:r>
      <w:r w:rsidR="009102D1">
        <w:noBreakHyphen/>
      </w:r>
      <w:r w:rsidRPr="00A2389A">
        <w:t xml:space="preserve">expected outcome </w:t>
      </w:r>
      <w:r w:rsidR="00787B07">
        <w:t xml:space="preserve">for exports </w:t>
      </w:r>
      <w:r w:rsidRPr="00A2389A">
        <w:t xml:space="preserve">largely reflected the </w:t>
      </w:r>
      <w:r w:rsidR="00D3125D">
        <w:t>better</w:t>
      </w:r>
      <w:r w:rsidR="009102D1">
        <w:noBreakHyphen/>
      </w:r>
      <w:r w:rsidR="00D3125D">
        <w:t>than</w:t>
      </w:r>
      <w:r w:rsidR="009102D1">
        <w:noBreakHyphen/>
      </w:r>
      <w:r w:rsidR="00D3125D">
        <w:t xml:space="preserve">expected performance </w:t>
      </w:r>
      <w:r w:rsidR="00C364C7">
        <w:t xml:space="preserve">of </w:t>
      </w:r>
      <w:r w:rsidRPr="00A2389A">
        <w:t>non</w:t>
      </w:r>
      <w:r w:rsidR="009102D1">
        <w:noBreakHyphen/>
      </w:r>
      <w:r w:rsidRPr="00A2389A">
        <w:t>Japan Asia, particularly China. Chinese economic activity shifted into more commodity</w:t>
      </w:r>
      <w:r w:rsidR="009102D1">
        <w:noBreakHyphen/>
      </w:r>
      <w:r w:rsidRPr="00A2389A">
        <w:t>intensive sectors, particularly infrastructure spending associated with the Chinese government</w:t>
      </w:r>
      <w:r w:rsidR="007609A4">
        <w:t>’</w:t>
      </w:r>
      <w:r w:rsidRPr="00A2389A">
        <w:t xml:space="preserve">s stimulus packages. There was also substitution away from Chinese domestic production </w:t>
      </w:r>
      <w:r w:rsidR="00787B07">
        <w:t>and towards</w:t>
      </w:r>
      <w:r w:rsidRPr="00A2389A">
        <w:t xml:space="preserve"> imports</w:t>
      </w:r>
      <w:r w:rsidR="00787B07">
        <w:t>,</w:t>
      </w:r>
      <w:r w:rsidRPr="00A2389A">
        <w:t xml:space="preserve"> as lower commodity prices resulted in the closure of some relatively high</w:t>
      </w:r>
      <w:r w:rsidR="009102D1">
        <w:noBreakHyphen/>
      </w:r>
      <w:r w:rsidRPr="00A2389A">
        <w:t xml:space="preserve">cost Chinese production. </w:t>
      </w:r>
    </w:p>
    <w:p w:rsidR="00D862CC" w:rsidRDefault="00D862CC" w:rsidP="002B4C63">
      <w:r>
        <w:t xml:space="preserve">Business investment made the largest contribution to the </w:t>
      </w:r>
      <w:r w:rsidR="00191650">
        <w:t>2009</w:t>
      </w:r>
      <w:r w:rsidR="009102D1">
        <w:noBreakHyphen/>
      </w:r>
      <w:r w:rsidR="00191650">
        <w:t xml:space="preserve">10 Budget </w:t>
      </w:r>
      <w:r>
        <w:t>forecast error</w:t>
      </w:r>
      <w:r w:rsidR="00191650">
        <w:t xml:space="preserve">. Although, business investment </w:t>
      </w:r>
      <w:r>
        <w:t>contract</w:t>
      </w:r>
      <w:r w:rsidR="00191650">
        <w:t>ed</w:t>
      </w:r>
      <w:r>
        <w:t xml:space="preserve"> in 2009</w:t>
      </w:r>
      <w:r w:rsidR="009102D1">
        <w:noBreakHyphen/>
      </w:r>
      <w:r>
        <w:t>10, the actual contraction was considerably less than forecast. As Figure 4.1</w:t>
      </w:r>
      <w:r w:rsidR="00FA3141">
        <w:t>2</w:t>
      </w:r>
      <w:r>
        <w:t xml:space="preserve"> indicates, all components of business investment fell by less than expected, with machinery and equipment and non</w:t>
      </w:r>
      <w:r w:rsidR="009102D1">
        <w:noBreakHyphen/>
      </w:r>
      <w:r>
        <w:t xml:space="preserve">residential construction </w:t>
      </w:r>
      <w:r w:rsidR="00C364C7">
        <w:t>finding greater</w:t>
      </w:r>
      <w:r w:rsidR="009102D1">
        <w:noBreakHyphen/>
      </w:r>
      <w:r>
        <w:t>than</w:t>
      </w:r>
      <w:r w:rsidR="009102D1">
        <w:noBreakHyphen/>
      </w:r>
      <w:r>
        <w:t xml:space="preserve">expected </w:t>
      </w:r>
      <w:r w:rsidR="00C364C7">
        <w:t>support from the</w:t>
      </w:r>
      <w:r>
        <w:t xml:space="preserve"> macroeconomic stimulus</w:t>
      </w:r>
      <w:r w:rsidR="0087714C">
        <w:t>,</w:t>
      </w:r>
      <w:r>
        <w:t xml:space="preserve"> and engineering construction benefiting from </w:t>
      </w:r>
      <w:r w:rsidR="001E40A1">
        <w:t xml:space="preserve">a rebound in the outlook for resource commodities reflecting </w:t>
      </w:r>
      <w:r>
        <w:t>the stronger</w:t>
      </w:r>
      <w:r w:rsidR="009102D1">
        <w:noBreakHyphen/>
      </w:r>
      <w:r>
        <w:t>than</w:t>
      </w:r>
      <w:r w:rsidR="009102D1">
        <w:noBreakHyphen/>
      </w:r>
      <w:r>
        <w:t>expected growth performance of non</w:t>
      </w:r>
      <w:r w:rsidR="009102D1">
        <w:noBreakHyphen/>
      </w:r>
      <w:r>
        <w:t>Japan Asia, particularly China.</w:t>
      </w:r>
    </w:p>
    <w:p w:rsidR="00D862CC" w:rsidRDefault="00D862CC" w:rsidP="002B4C63">
      <w:pPr>
        <w:pStyle w:val="ChartMainHeading"/>
        <w:spacing w:after="0"/>
      </w:pPr>
      <w:r>
        <w:t>Figure 4.1</w:t>
      </w:r>
      <w:r w:rsidR="00DE3962">
        <w:t>2</w:t>
      </w:r>
      <w:r>
        <w:t>:</w:t>
      </w:r>
      <w:r w:rsidR="007709D6">
        <w:t xml:space="preserve"> </w:t>
      </w:r>
      <w:r w:rsidR="002B4C63">
        <w:t xml:space="preserve">Contribution to </w:t>
      </w:r>
      <w:r w:rsidR="00787B07">
        <w:t>Budget Forecast Errors fo</w:t>
      </w:r>
      <w:r w:rsidR="00DE3962">
        <w:t>r</w:t>
      </w:r>
      <w:r w:rsidR="00787B07">
        <w:t xml:space="preserve"> Business Investment in 2009</w:t>
      </w:r>
      <w:r w:rsidR="009102D1">
        <w:noBreakHyphen/>
      </w:r>
      <w:r w:rsidR="00787B07">
        <w:t xml:space="preserve">10, </w:t>
      </w:r>
      <w:r w:rsidR="002B4C63">
        <w:br/>
      </w:r>
      <w:r w:rsidR="00787B07">
        <w:t>by Component</w:t>
      </w:r>
    </w:p>
    <w:p w:rsidR="00D862CC" w:rsidRDefault="00CF415A" w:rsidP="00CF415A">
      <w:pPr>
        <w:pStyle w:val="ChartGraphic"/>
      </w:pPr>
      <w:r>
        <w:fldChar w:fldCharType="begin" w:fldLock="1"/>
      </w:r>
      <w:r>
        <w:instrText xml:space="preserve"> LINK Excel.Sheet.12 "" "" \a \p \* MERGEFORMAT </w:instrText>
      </w:r>
      <w:r>
        <w:fldChar w:fldCharType="separate"/>
      </w:r>
      <w:r w:rsidR="00401E4C">
        <w:object w:dxaOrig="8775" w:dyaOrig="3960">
          <v:shape id="_x0000_i1038" type="#_x0000_t75" alt="This figure shows the contribution to the Budget forecast error for business investment in 2009-10 for the Budget year by type of investment.&#10;" style="width:438.9pt;height:198.45pt">
            <v:imagedata r:id="rId33" o:title=""/>
          </v:shape>
        </w:object>
      </w:r>
      <w:r>
        <w:fldChar w:fldCharType="end"/>
      </w:r>
    </w:p>
    <w:p w:rsidR="00A840B0" w:rsidRPr="00105059" w:rsidRDefault="00A840B0" w:rsidP="00D34E90">
      <w:pPr>
        <w:spacing w:before="360"/>
      </w:pPr>
      <w:r>
        <w:t xml:space="preserve">One </w:t>
      </w:r>
      <w:r w:rsidRPr="00A2389A">
        <w:t xml:space="preserve">lesson from this experience was </w:t>
      </w:r>
      <w:r>
        <w:t xml:space="preserve">the importance of </w:t>
      </w:r>
      <w:r w:rsidRPr="00A2389A">
        <w:t>having in</w:t>
      </w:r>
      <w:r w:rsidR="009102D1">
        <w:noBreakHyphen/>
      </w:r>
      <w:r w:rsidRPr="00A2389A">
        <w:t xml:space="preserve">house expertise </w:t>
      </w:r>
      <w:r>
        <w:t>to</w:t>
      </w:r>
      <w:r w:rsidRPr="00A2389A">
        <w:t xml:space="preserve"> understand the operation </w:t>
      </w:r>
      <w:r>
        <w:t>of</w:t>
      </w:r>
      <w:r w:rsidRPr="00A2389A">
        <w:t xml:space="preserve"> financial markets</w:t>
      </w:r>
      <w:r w:rsidR="00FD06E1">
        <w:t>,</w:t>
      </w:r>
      <w:r w:rsidRPr="00A2389A">
        <w:t xml:space="preserve"> advances in financial market products and </w:t>
      </w:r>
      <w:r>
        <w:t xml:space="preserve">the </w:t>
      </w:r>
      <w:r w:rsidRPr="00A2389A">
        <w:t>link</w:t>
      </w:r>
      <w:r>
        <w:t xml:space="preserve">ages between </w:t>
      </w:r>
      <w:r>
        <w:lastRenderedPageBreak/>
        <w:t xml:space="preserve">financial markets and </w:t>
      </w:r>
      <w:r w:rsidRPr="00A2389A">
        <w:t>the real economy.</w:t>
      </w:r>
      <w:r>
        <w:t xml:space="preserve"> </w:t>
      </w:r>
      <w:r w:rsidRPr="00105059">
        <w:t>To this end</w:t>
      </w:r>
      <w:r>
        <w:t>,</w:t>
      </w:r>
      <w:r w:rsidRPr="00105059">
        <w:t xml:space="preserve"> Treasury has employed a technical specialist with deep financial markets experience and created a dedicated unit for this task.</w:t>
      </w:r>
    </w:p>
    <w:p w:rsidR="0005412C" w:rsidRDefault="00854B97" w:rsidP="00854B97">
      <w:r w:rsidRPr="009C19F0">
        <w:t>The Review observes that the large forecasting errors seen during the GFC highlight the fact that during such extreme events the evolution of the economy is fundamentally less predictable than at other times.</w:t>
      </w:r>
      <w:r>
        <w:t xml:space="preserve"> A</w:t>
      </w:r>
      <w:r w:rsidRPr="009C19F0">
        <w:t xml:space="preserve"> </w:t>
      </w:r>
      <w:r>
        <w:t xml:space="preserve">large </w:t>
      </w:r>
      <w:r w:rsidRPr="009C19F0">
        <w:t xml:space="preserve">number of official agencies overseas </w:t>
      </w:r>
      <w:r w:rsidR="00A840B0">
        <w:t xml:space="preserve">also </w:t>
      </w:r>
      <w:r w:rsidRPr="009C19F0">
        <w:t>had large forecasting errors during this period</w:t>
      </w:r>
      <w:r>
        <w:t xml:space="preserve"> (Figure 4.13)</w:t>
      </w:r>
      <w:r w:rsidRPr="009C19F0">
        <w:t xml:space="preserve">. That suggests a case for greater use of risk assessments around the central forecasts, rather than necessarily a major overhaul of forecasting procedures. </w:t>
      </w:r>
    </w:p>
    <w:p w:rsidR="00854B97" w:rsidRDefault="0005412C">
      <w:r w:rsidRPr="009C19F0">
        <w:t>This leads the Review to make the following recommendation</w:t>
      </w:r>
      <w:r w:rsidR="00F007D3">
        <w:t>:</w:t>
      </w:r>
      <w:r w:rsidRPr="009C19F0" w:rsidDel="006140AD">
        <w:t xml:space="preserve"> </w:t>
      </w:r>
    </w:p>
    <w:tbl>
      <w:tblPr>
        <w:tblW w:w="9072" w:type="dxa"/>
        <w:tblInd w:w="108" w:type="dxa"/>
        <w:shd w:val="clear" w:color="auto" w:fill="C6D9F1"/>
        <w:tblLook w:val="01E0" w:firstRow="1" w:lastRow="1" w:firstColumn="1" w:lastColumn="1" w:noHBand="0" w:noVBand="0"/>
      </w:tblPr>
      <w:tblGrid>
        <w:gridCol w:w="9072"/>
      </w:tblGrid>
      <w:tr w:rsidR="006140AD" w:rsidTr="007F2DF7">
        <w:tc>
          <w:tcPr>
            <w:tcW w:w="5000" w:type="pct"/>
            <w:shd w:val="clear" w:color="auto" w:fill="C6D9F1"/>
          </w:tcPr>
          <w:p w:rsidR="006140AD" w:rsidRDefault="006140AD" w:rsidP="00432C0D">
            <w:pPr>
              <w:pStyle w:val="BoxHeading"/>
              <w:spacing w:before="180"/>
              <w:rPr>
                <w:bCs/>
              </w:rPr>
            </w:pPr>
            <w:r w:rsidRPr="008870C7">
              <w:rPr>
                <w:u w:val="single"/>
              </w:rPr>
              <w:t>Recommendation</w:t>
            </w:r>
            <w:r>
              <w:rPr>
                <w:u w:val="single"/>
              </w:rPr>
              <w:t xml:space="preserve"> 8</w:t>
            </w:r>
            <w:r w:rsidRPr="009C19F0">
              <w:t>:</w:t>
            </w:r>
          </w:p>
          <w:p w:rsidR="006140AD" w:rsidRPr="008950C5" w:rsidRDefault="006140AD" w:rsidP="00432C0D">
            <w:pPr>
              <w:pStyle w:val="BoxText"/>
              <w:spacing w:before="120" w:after="180"/>
              <w:rPr>
                <w:bCs w:val="0"/>
              </w:rPr>
            </w:pPr>
            <w:r w:rsidRPr="009C19F0">
              <w:t>Scenario analysis is useful as a way of assessing the risks around the economic and revenue forecasts.</w:t>
            </w:r>
            <w:r>
              <w:t xml:space="preserve"> </w:t>
            </w:r>
            <w:r w:rsidRPr="009C19F0">
              <w:t>Simulation models have an important role to play in this regard and further development of Treasury</w:t>
            </w:r>
            <w:r>
              <w:t>’</w:t>
            </w:r>
            <w:r w:rsidRPr="009C19F0">
              <w:t>s suite of models may be required to deliver this capability, including in relation to the international economic outlook.</w:t>
            </w:r>
          </w:p>
        </w:tc>
      </w:tr>
    </w:tbl>
    <w:p w:rsidR="00786F76" w:rsidRPr="003C2595" w:rsidRDefault="00786F76" w:rsidP="00D34E90">
      <w:pPr>
        <w:pStyle w:val="FigureHeading"/>
        <w:spacing w:before="360" w:after="120"/>
      </w:pPr>
      <w:r w:rsidRPr="003C2595">
        <w:t xml:space="preserve">Figure </w:t>
      </w:r>
      <w:r w:rsidR="00DE220E" w:rsidRPr="003C2595">
        <w:t>4.1</w:t>
      </w:r>
      <w:r w:rsidR="00FA3141">
        <w:t>3</w:t>
      </w:r>
      <w:r w:rsidRPr="003C2595">
        <w:t>:</w:t>
      </w:r>
      <w:r w:rsidR="007709D6">
        <w:t xml:space="preserve"> </w:t>
      </w:r>
      <w:r w:rsidR="008C7D7C">
        <w:t>F</w:t>
      </w:r>
      <w:r w:rsidR="008C7D7C" w:rsidRPr="003C2595">
        <w:t xml:space="preserve">orecast Errors </w:t>
      </w:r>
      <w:r w:rsidR="008C7D7C">
        <w:t>f</w:t>
      </w:r>
      <w:r w:rsidR="008C7D7C" w:rsidRPr="003C2595">
        <w:t>or Real G</w:t>
      </w:r>
      <w:r w:rsidR="008C7D7C">
        <w:t>DP</w:t>
      </w:r>
      <w:r w:rsidR="008C7D7C" w:rsidRPr="003C2595">
        <w:t xml:space="preserve"> </w:t>
      </w:r>
      <w:r w:rsidR="008C7D7C">
        <w:t xml:space="preserve">Growth for Calendar Year </w:t>
      </w:r>
      <w:r w:rsidR="008C7D7C" w:rsidRPr="003C2595">
        <w:t>2009</w:t>
      </w:r>
      <w:r w:rsidR="0047237F">
        <w:t>,</w:t>
      </w:r>
      <w:r w:rsidR="008C7D7C">
        <w:t xml:space="preserve"> </w:t>
      </w:r>
      <w:r w:rsidR="0047237F">
        <w:t>b</w:t>
      </w:r>
      <w:r w:rsidR="008C7D7C" w:rsidRPr="003C2595">
        <w:t>y</w:t>
      </w:r>
      <w:r w:rsidR="006140AD">
        <w:t> </w:t>
      </w:r>
      <w:r w:rsidR="006140AD" w:rsidRPr="003C2595">
        <w:t>Selected</w:t>
      </w:r>
      <w:r w:rsidR="006140AD">
        <w:t> </w:t>
      </w:r>
      <w:r w:rsidR="008C7D7C">
        <w:t xml:space="preserve">Official </w:t>
      </w:r>
      <w:r w:rsidR="008C7D7C" w:rsidRPr="003C2595">
        <w:t>Agencies</w:t>
      </w:r>
      <w:r w:rsidR="008C7D7C">
        <w:t xml:space="preserve"> Overseas</w:t>
      </w:r>
    </w:p>
    <w:p w:rsidR="00786F76" w:rsidRPr="003C2595" w:rsidRDefault="00C91CD1">
      <w:pPr>
        <w:pStyle w:val="ChartGraphic"/>
      </w:pPr>
      <w:r>
        <w:object w:dxaOrig="8775" w:dyaOrig="3705">
          <v:shape id="_x0000_i1039" type="#_x0000_t75" alt="This figure compares Treasury’s forecast error with a range of selected overseas official agency forecast errors for real GDP growth for the calendar year 2009.&#10;" style="width:438.9pt;height:185.95pt" o:ole="">
            <v:imagedata r:id="rId34" o:title=""/>
          </v:shape>
          <o:OLEObject Type="Link" ProgID="Excel.Sheet.8" ShapeID="_x0000_i1039" DrawAspect="Content" r:id="rId35" UpdateMode="Always">
            <o:LinkType>EnhancedMetaFile</o:LinkType>
            <o:LockedField/>
          </o:OLEObject>
        </w:object>
      </w:r>
    </w:p>
    <w:p w:rsidR="00E4434B" w:rsidRPr="00A2389A" w:rsidRDefault="00E4434B" w:rsidP="00D34E90">
      <w:pPr>
        <w:pStyle w:val="Heading3"/>
        <w:spacing w:before="360"/>
      </w:pPr>
      <w:r w:rsidRPr="00A2389A">
        <w:t>Revenue</w:t>
      </w:r>
      <w:r w:rsidR="0041414F" w:rsidRPr="00A2389A">
        <w:t xml:space="preserve"> forecasting performance</w:t>
      </w:r>
    </w:p>
    <w:p w:rsidR="009E165B" w:rsidRPr="00A2389A" w:rsidRDefault="00A31737">
      <w:r w:rsidRPr="007F0AED">
        <w:t xml:space="preserve">The outcomes for the nominal economy and </w:t>
      </w:r>
      <w:r w:rsidR="00B97465" w:rsidRPr="00AB2E91">
        <w:t xml:space="preserve">taxation </w:t>
      </w:r>
      <w:r w:rsidRPr="00E27BBF">
        <w:t>revenue</w:t>
      </w:r>
      <w:r w:rsidR="00BE0A56" w:rsidRPr="007F0AED">
        <w:t xml:space="preserve"> </w:t>
      </w:r>
      <w:r w:rsidRPr="007F0AED">
        <w:t xml:space="preserve">diverged significantly </w:t>
      </w:r>
      <w:r w:rsidR="00B433A0" w:rsidRPr="007F0AED">
        <w:t xml:space="preserve">during </w:t>
      </w:r>
      <w:r w:rsidR="007B4ED7" w:rsidRPr="007F0AED">
        <w:t>the GFC</w:t>
      </w:r>
      <w:r w:rsidR="00452D83" w:rsidRPr="007F0AED">
        <w:t xml:space="preserve">, </w:t>
      </w:r>
      <w:r w:rsidR="00892F9C" w:rsidRPr="0053629A">
        <w:t xml:space="preserve">largely </w:t>
      </w:r>
      <w:r w:rsidR="00452D83" w:rsidRPr="007F0AED">
        <w:t xml:space="preserve">reflecting the impact of </w:t>
      </w:r>
      <w:r w:rsidR="00B97465" w:rsidRPr="00AB2E91">
        <w:t xml:space="preserve">accumulated </w:t>
      </w:r>
      <w:r w:rsidR="00452D83" w:rsidRPr="00E27BBF">
        <w:t>losses on taxable incomes</w:t>
      </w:r>
      <w:r w:rsidR="007B4ED7" w:rsidRPr="007F0AED">
        <w:t>.</w:t>
      </w:r>
      <w:r w:rsidR="00D542C4" w:rsidRPr="007F0AED">
        <w:t xml:space="preserve"> </w:t>
      </w:r>
      <w:r w:rsidR="00452D83" w:rsidRPr="007F0AED">
        <w:t>D</w:t>
      </w:r>
      <w:r w:rsidR="009E165B" w:rsidRPr="007F0AED">
        <w:t>uring</w:t>
      </w:r>
      <w:r w:rsidR="009E165B" w:rsidRPr="00A2389A">
        <w:t xml:space="preserve"> the GFC</w:t>
      </w:r>
      <w:r w:rsidR="00FB5B49">
        <w:t>,</w:t>
      </w:r>
      <w:r w:rsidR="009E165B" w:rsidRPr="00A2389A">
        <w:t xml:space="preserve"> </w:t>
      </w:r>
      <w:r w:rsidR="00A96AC4">
        <w:t xml:space="preserve">taxation </w:t>
      </w:r>
      <w:r w:rsidR="009E165B" w:rsidRPr="00A2389A">
        <w:t>revenue fell by 6¼ per cent over 2008</w:t>
      </w:r>
      <w:r w:rsidR="009102D1">
        <w:noBreakHyphen/>
      </w:r>
      <w:r w:rsidR="009E165B" w:rsidRPr="00A2389A">
        <w:t>09 and 2009</w:t>
      </w:r>
      <w:r w:rsidR="009102D1">
        <w:noBreakHyphen/>
      </w:r>
      <w:r w:rsidR="009E165B" w:rsidRPr="00A2389A">
        <w:t>10</w:t>
      </w:r>
      <w:r w:rsidR="00452D83">
        <w:t>, while</w:t>
      </w:r>
      <w:r w:rsidR="009E165B" w:rsidRPr="00A2389A">
        <w:t xml:space="preserve"> nominal GDP continued to grow in </w:t>
      </w:r>
      <w:r w:rsidR="0074118A" w:rsidRPr="00A2389A">
        <w:t>year</w:t>
      </w:r>
      <w:r w:rsidR="009102D1">
        <w:noBreakHyphen/>
      </w:r>
      <w:r w:rsidR="009E165B" w:rsidRPr="00A2389A">
        <w:t>average terms</w:t>
      </w:r>
      <w:r w:rsidR="00452D83">
        <w:t xml:space="preserve"> (Figure 4.1</w:t>
      </w:r>
      <w:r w:rsidR="009231AF">
        <w:t>4</w:t>
      </w:r>
      <w:r w:rsidR="00452D83">
        <w:t>)</w:t>
      </w:r>
      <w:r w:rsidR="009E165B" w:rsidRPr="00A2389A">
        <w:t>.</w:t>
      </w:r>
      <w:r w:rsidR="003E1304">
        <w:t xml:space="preserve"> </w:t>
      </w:r>
      <w:r w:rsidR="0016139E" w:rsidRPr="00A2389A">
        <w:t>This resulted in a large decline in the tax</w:t>
      </w:r>
      <w:r w:rsidR="009102D1">
        <w:noBreakHyphen/>
      </w:r>
      <w:r w:rsidR="0016139E" w:rsidRPr="00A2389A">
        <w:t>to</w:t>
      </w:r>
      <w:r w:rsidR="009102D1">
        <w:noBreakHyphen/>
      </w:r>
      <w:r w:rsidR="0016139E" w:rsidRPr="00A2389A">
        <w:t>GDP ratio.</w:t>
      </w:r>
    </w:p>
    <w:p w:rsidR="009E165B" w:rsidRPr="0053629A" w:rsidRDefault="004F4F39" w:rsidP="0053629A">
      <w:pPr>
        <w:pStyle w:val="ChartMainHeading"/>
        <w:spacing w:after="120"/>
        <w:rPr>
          <w:rFonts w:eastAsiaTheme="minorHAnsi" w:cstheme="minorBidi"/>
          <w:lang w:eastAsia="en-US"/>
        </w:rPr>
      </w:pPr>
      <w:r>
        <w:lastRenderedPageBreak/>
        <w:t>Figure</w:t>
      </w:r>
      <w:r w:rsidR="009E165B" w:rsidRPr="0053629A">
        <w:t xml:space="preserve"> 4.1</w:t>
      </w:r>
      <w:r w:rsidR="00FA3141">
        <w:t>4</w:t>
      </w:r>
      <w:r w:rsidR="009E165B" w:rsidRPr="0053629A">
        <w:t>:</w:t>
      </w:r>
      <w:r w:rsidR="003E1304">
        <w:t xml:space="preserve"> </w:t>
      </w:r>
      <w:r w:rsidR="009E165B" w:rsidRPr="0053629A">
        <w:t xml:space="preserve">Nominal GDP </w:t>
      </w:r>
      <w:r w:rsidR="002041F9">
        <w:t>G</w:t>
      </w:r>
      <w:r w:rsidR="009E165B" w:rsidRPr="0053629A">
        <w:t xml:space="preserve">rowth versus </w:t>
      </w:r>
      <w:r w:rsidR="002041F9">
        <w:t>Taxation</w:t>
      </w:r>
      <w:r w:rsidR="009E165B" w:rsidRPr="0053629A">
        <w:t xml:space="preserve"> </w:t>
      </w:r>
      <w:r w:rsidR="002041F9">
        <w:t>R</w:t>
      </w:r>
      <w:r w:rsidR="009E165B" w:rsidRPr="0053629A">
        <w:t xml:space="preserve">evenue </w:t>
      </w:r>
      <w:r w:rsidR="002041F9">
        <w:t>G</w:t>
      </w:r>
      <w:r w:rsidR="009E165B" w:rsidRPr="0053629A">
        <w:t>rowth</w:t>
      </w:r>
    </w:p>
    <w:p w:rsidR="009E165B" w:rsidRPr="003C2595" w:rsidRDefault="00C91CD1" w:rsidP="0060516A">
      <w:pPr>
        <w:pStyle w:val="ChartGraphic"/>
      </w:pPr>
      <w:r>
        <w:object w:dxaOrig="8775" w:dyaOrig="3961">
          <v:shape id="_x0000_i1040" type="#_x0000_t75" alt="This figure compares nominal GDP growth and total tax revenue growth for each Budget year since 2003-04 and distinguishes between Mining Boom Mark I (2003-04 to 2007-08) and GFC and Mining Boom Mark II (2008-09 to 2011-12).&#10;" style="width:436.4pt;height:199.1pt;mso-position-horizontal:absolute" o:ole="">
            <v:imagedata r:id="rId36" o:title=""/>
          </v:shape>
          <o:OLEObject Type="Link" ProgID="Excel.Sheet.12" ShapeID="_x0000_i1040" DrawAspect="Content" r:id="rId37" UpdateMode="Always">
            <o:LinkType>EnhancedMetaFile</o:LinkType>
            <o:LockedField/>
          </o:OLEObject>
        </w:object>
      </w:r>
    </w:p>
    <w:p w:rsidR="009E165B" w:rsidRPr="00A2389A" w:rsidRDefault="00401A9A" w:rsidP="00D34E90">
      <w:pPr>
        <w:spacing w:before="360"/>
      </w:pPr>
      <w:r>
        <w:t>Treasury’s</w:t>
      </w:r>
      <w:r w:rsidR="009E165B" w:rsidRPr="00A2389A">
        <w:t xml:space="preserve"> forecast errors </w:t>
      </w:r>
      <w:r w:rsidR="0016139E" w:rsidRPr="00A2389A">
        <w:t xml:space="preserve">for the nominal economy and </w:t>
      </w:r>
      <w:r w:rsidR="00A96AC4">
        <w:t xml:space="preserve">taxation </w:t>
      </w:r>
      <w:r w:rsidR="0016139E" w:rsidRPr="00A2389A">
        <w:t xml:space="preserve">revenue </w:t>
      </w:r>
      <w:r w:rsidR="009E165B" w:rsidRPr="00A2389A">
        <w:t>also diverged significantly</w:t>
      </w:r>
      <w:r w:rsidR="0016139E" w:rsidRPr="00A2389A">
        <w:t xml:space="preserve"> </w:t>
      </w:r>
      <w:r w:rsidR="00D709B1">
        <w:t xml:space="preserve">during </w:t>
      </w:r>
      <w:r w:rsidR="0016139E" w:rsidRPr="003020CC">
        <w:t xml:space="preserve">the </w:t>
      </w:r>
      <w:r w:rsidR="0016139E" w:rsidRPr="00D34E90">
        <w:t xml:space="preserve">GFC and </w:t>
      </w:r>
      <w:r w:rsidR="00D709B1" w:rsidRPr="00D34E90">
        <w:t>M</w:t>
      </w:r>
      <w:r w:rsidR="0016139E" w:rsidRPr="00D34E90">
        <w:t xml:space="preserve">ining </w:t>
      </w:r>
      <w:r w:rsidR="00D709B1" w:rsidRPr="00D34E90">
        <w:t>B</w:t>
      </w:r>
      <w:r w:rsidR="0016139E" w:rsidRPr="00D34E90">
        <w:t xml:space="preserve">oom </w:t>
      </w:r>
      <w:r w:rsidR="00D709B1" w:rsidRPr="00D34E90">
        <w:t>M</w:t>
      </w:r>
      <w:r w:rsidR="0016139E" w:rsidRPr="00D34E90">
        <w:t>ark II</w:t>
      </w:r>
      <w:r w:rsidR="00C96FD2" w:rsidRPr="00D34E90">
        <w:t>.</w:t>
      </w:r>
      <w:r w:rsidR="003E1304" w:rsidRPr="003020CC">
        <w:t xml:space="preserve"> </w:t>
      </w:r>
      <w:r w:rsidR="00C96FD2" w:rsidRPr="003020CC">
        <w:t>As</w:t>
      </w:r>
      <w:r w:rsidR="00C96FD2" w:rsidRPr="00A2389A">
        <w:t xml:space="preserve"> shown in </w:t>
      </w:r>
      <w:r w:rsidR="0003373C">
        <w:t>Figure</w:t>
      </w:r>
      <w:r w:rsidR="0003373C" w:rsidRPr="00A2389A">
        <w:t xml:space="preserve"> </w:t>
      </w:r>
      <w:r w:rsidR="00C96FD2" w:rsidRPr="00A2389A">
        <w:t>4.</w:t>
      </w:r>
      <w:r w:rsidR="0003373C">
        <w:t>1</w:t>
      </w:r>
      <w:r w:rsidR="009231AF">
        <w:t>5</w:t>
      </w:r>
      <w:r w:rsidR="00AA4C5F">
        <w:t>,</w:t>
      </w:r>
      <w:r w:rsidR="0003373C" w:rsidRPr="00A2389A">
        <w:t xml:space="preserve"> </w:t>
      </w:r>
      <w:r w:rsidR="00C96FD2" w:rsidRPr="00A2389A">
        <w:t>below, the Budget forecasts of nominal econom</w:t>
      </w:r>
      <w:r w:rsidR="00BF2A6A">
        <w:t>ic</w:t>
      </w:r>
      <w:r w:rsidR="00C96FD2" w:rsidRPr="00A2389A">
        <w:t xml:space="preserve"> growth were underestimated by an average of 0.1 percentage points over this period, while </w:t>
      </w:r>
      <w:r w:rsidR="00A96AC4">
        <w:t xml:space="preserve">taxation </w:t>
      </w:r>
      <w:r w:rsidR="00C96FD2" w:rsidRPr="00A2389A">
        <w:t xml:space="preserve">revenue growth was </w:t>
      </w:r>
      <w:r w:rsidR="0081091D" w:rsidRPr="00A2389A">
        <w:t>over</w:t>
      </w:r>
      <w:r w:rsidR="00C96FD2" w:rsidRPr="00A2389A">
        <w:t xml:space="preserve">estimated by an average of 4.0 percentage points. </w:t>
      </w:r>
    </w:p>
    <w:p w:rsidR="009E165B" w:rsidRPr="003C2595" w:rsidRDefault="004F4F39" w:rsidP="0053629A">
      <w:pPr>
        <w:pStyle w:val="ChartMainHeading"/>
        <w:spacing w:after="120"/>
      </w:pPr>
      <w:r>
        <w:t>Figure</w:t>
      </w:r>
      <w:r w:rsidR="00770F32">
        <w:t xml:space="preserve"> </w:t>
      </w:r>
      <w:r w:rsidR="009E165B" w:rsidRPr="003C2595">
        <w:t>4</w:t>
      </w:r>
      <w:r w:rsidR="00770F32">
        <w:t>.</w:t>
      </w:r>
      <w:r>
        <w:t>1</w:t>
      </w:r>
      <w:r w:rsidR="00FA3141">
        <w:t>5</w:t>
      </w:r>
      <w:r w:rsidR="009E165B" w:rsidRPr="003C2595">
        <w:t>:</w:t>
      </w:r>
      <w:r w:rsidR="007709D6">
        <w:t xml:space="preserve"> </w:t>
      </w:r>
      <w:r w:rsidR="009E165B" w:rsidRPr="003C2595">
        <w:t xml:space="preserve">Budget </w:t>
      </w:r>
      <w:r w:rsidR="00203966">
        <w:t>F</w:t>
      </w:r>
      <w:r w:rsidR="009E165B" w:rsidRPr="003C2595">
        <w:t xml:space="preserve">orecast </w:t>
      </w:r>
      <w:r w:rsidR="00203966">
        <w:t>E</w:t>
      </w:r>
      <w:r w:rsidR="009E165B" w:rsidRPr="003C2595">
        <w:t xml:space="preserve">rrors </w:t>
      </w:r>
      <w:r w:rsidR="00C57875">
        <w:t>for</w:t>
      </w:r>
      <w:r w:rsidR="009E165B" w:rsidRPr="003C2595">
        <w:t xml:space="preserve"> </w:t>
      </w:r>
      <w:r w:rsidR="00203966">
        <w:t>G</w:t>
      </w:r>
      <w:r w:rsidR="00C57875">
        <w:t xml:space="preserve">rowth in </w:t>
      </w:r>
      <w:r w:rsidR="00203966">
        <w:t>N</w:t>
      </w:r>
      <w:r w:rsidR="009E165B" w:rsidRPr="003C2595">
        <w:t xml:space="preserve">ominal GDP and </w:t>
      </w:r>
      <w:r w:rsidR="00203966">
        <w:t>T</w:t>
      </w:r>
      <w:r w:rsidR="009E165B" w:rsidRPr="003C2595">
        <w:t>a</w:t>
      </w:r>
      <w:r w:rsidR="00C57875">
        <w:t>xation</w:t>
      </w:r>
      <w:r w:rsidR="009E165B" w:rsidRPr="003C2595">
        <w:t xml:space="preserve"> </w:t>
      </w:r>
      <w:r w:rsidR="00203966">
        <w:t>R</w:t>
      </w:r>
      <w:r w:rsidR="009E165B" w:rsidRPr="003C2595">
        <w:t>evenue</w:t>
      </w:r>
    </w:p>
    <w:p w:rsidR="009E165B" w:rsidRPr="003C2595" w:rsidRDefault="00C91CD1" w:rsidP="0053629A">
      <w:pPr>
        <w:pStyle w:val="ChartGraphic"/>
      </w:pPr>
      <w:r w:rsidRPr="007A5D7D">
        <w:object w:dxaOrig="8775" w:dyaOrig="3960">
          <v:shape id="_x0000_i1041" type="#_x0000_t75" alt="This figure shows the Budget forecast errors in each Budget year for non-farm nominal GDP growth and taxation revenue growth from 2008-09 to 2011-12.  The figure also shows the average non-farm nominal GDP growth error and average taxation revenue growth error for the period 2008-09 to 2011-12.&#10;" style="width:436.4pt;height:198.45pt;mso-position-horizontal:absolute" o:ole="">
            <v:imagedata r:id="rId38" o:title=""/>
            <o:lock v:ext="edit" aspectratio="f"/>
          </v:shape>
          <o:OLEObject Type="Link" ProgID="Excel.Sheet.12" ShapeID="_x0000_i1041" DrawAspect="Content" r:id="rId39" UpdateMode="Always">
            <o:LinkType>Picture</o:LinkType>
            <o:LockedField>false</o:LockedField>
            <o:FieldCodes>\* MERGEFORMAT</o:FieldCodes>
          </o:OLEObject>
        </w:object>
      </w:r>
    </w:p>
    <w:p w:rsidR="00447AFE" w:rsidRDefault="00D24FF9" w:rsidP="00D34E90">
      <w:pPr>
        <w:spacing w:before="360"/>
      </w:pPr>
      <w:r w:rsidRPr="00A2389A">
        <w:t xml:space="preserve">The </w:t>
      </w:r>
      <w:r w:rsidR="00D8536F" w:rsidRPr="00A2389A">
        <w:t>counterfactual</w:t>
      </w:r>
      <w:r w:rsidR="00C45985" w:rsidRPr="00A2389A">
        <w:t xml:space="preserve"> exercise </w:t>
      </w:r>
      <w:r w:rsidR="00F568FE">
        <w:t xml:space="preserve">undertaken for </w:t>
      </w:r>
      <w:r w:rsidR="00F568FE" w:rsidRPr="00D34E90">
        <w:t>Mining Boom Mark I</w:t>
      </w:r>
      <w:r w:rsidR="00F568FE">
        <w:t xml:space="preserve"> </w:t>
      </w:r>
      <w:r w:rsidR="00C45985" w:rsidRPr="00A2389A">
        <w:t xml:space="preserve">has been repeated for this </w:t>
      </w:r>
      <w:r w:rsidR="00A258AD">
        <w:t>case study</w:t>
      </w:r>
      <w:r w:rsidR="005038E8">
        <w:t>, with the results detailed in Figure 4.16</w:t>
      </w:r>
      <w:r w:rsidR="0081091D" w:rsidRPr="00A2389A">
        <w:t>.</w:t>
      </w:r>
      <w:r w:rsidR="003E1304">
        <w:t xml:space="preserve"> </w:t>
      </w:r>
      <w:r w:rsidR="0081091D" w:rsidRPr="00A2389A">
        <w:t>The left</w:t>
      </w:r>
      <w:r w:rsidR="009102D1">
        <w:noBreakHyphen/>
      </w:r>
      <w:r w:rsidR="0081091D" w:rsidRPr="00A2389A">
        <w:t xml:space="preserve">hand panel of </w:t>
      </w:r>
      <w:r w:rsidR="0003373C">
        <w:t>Figure</w:t>
      </w:r>
      <w:r w:rsidR="0003373C" w:rsidRPr="00A2389A">
        <w:t xml:space="preserve"> </w:t>
      </w:r>
      <w:r w:rsidR="0081091D" w:rsidRPr="00A2389A">
        <w:t>4.</w:t>
      </w:r>
      <w:r w:rsidR="0003373C">
        <w:t>1</w:t>
      </w:r>
      <w:r w:rsidR="009231AF">
        <w:t>6</w:t>
      </w:r>
      <w:r w:rsidR="0081091D" w:rsidRPr="00A2389A">
        <w:t xml:space="preserve"> shows </w:t>
      </w:r>
      <w:r w:rsidR="00825584">
        <w:t xml:space="preserve">the </w:t>
      </w:r>
      <w:r w:rsidR="0081091D" w:rsidRPr="00A2389A">
        <w:t xml:space="preserve">actual </w:t>
      </w:r>
      <w:r w:rsidR="00F568FE">
        <w:t xml:space="preserve">revenue </w:t>
      </w:r>
      <w:r w:rsidR="0081091D" w:rsidRPr="00A2389A">
        <w:t>forecast errors and the right</w:t>
      </w:r>
      <w:r w:rsidR="009102D1">
        <w:noBreakHyphen/>
      </w:r>
      <w:r w:rsidR="0081091D" w:rsidRPr="00A2389A">
        <w:t xml:space="preserve">hand panel shows </w:t>
      </w:r>
      <w:r w:rsidR="00F2382C">
        <w:t xml:space="preserve">estimates of the forecast </w:t>
      </w:r>
      <w:r w:rsidR="0081091D" w:rsidRPr="00A2389A">
        <w:t xml:space="preserve">errors </w:t>
      </w:r>
      <w:r w:rsidR="00F2382C">
        <w:t xml:space="preserve">that would have occurred </w:t>
      </w:r>
      <w:r w:rsidR="0081091D" w:rsidRPr="00A2389A">
        <w:t>if economic outcomes had been known</w:t>
      </w:r>
      <w:r w:rsidR="00D709B1">
        <w:t xml:space="preserve"> at the time the forecasts were being prepared</w:t>
      </w:r>
      <w:r w:rsidR="0081091D" w:rsidRPr="00A2389A">
        <w:t>.</w:t>
      </w:r>
      <w:r w:rsidR="0095432F" w:rsidRPr="00A2389A">
        <w:t xml:space="preserve"> </w:t>
      </w:r>
      <w:r w:rsidR="00447AFE" w:rsidRPr="00A2389A">
        <w:t xml:space="preserve">The errors for most heads of revenue are </w:t>
      </w:r>
      <w:r w:rsidR="00447AFE">
        <w:t>reduced</w:t>
      </w:r>
      <w:r w:rsidR="00447AFE" w:rsidRPr="00A2389A">
        <w:t xml:space="preserve"> significantly in the counterfactual.</w:t>
      </w:r>
      <w:r w:rsidR="00447AFE">
        <w:t xml:space="preserve"> </w:t>
      </w:r>
      <w:r w:rsidR="00447AFE" w:rsidRPr="00A2389A">
        <w:t xml:space="preserve">However, in contrast to the </w:t>
      </w:r>
      <w:r w:rsidR="00447AFE" w:rsidRPr="00D34E90">
        <w:t>Mining Boom Mark I</w:t>
      </w:r>
      <w:r w:rsidR="00447AFE" w:rsidRPr="00A2389A">
        <w:t xml:space="preserve"> analysis, the overestimation bias in the revenue forecasts does not disappear in the counterfactual.</w:t>
      </w:r>
      <w:r w:rsidR="00447AFE">
        <w:t xml:space="preserve"> </w:t>
      </w:r>
      <w:r w:rsidR="00447AFE" w:rsidRPr="00A2389A">
        <w:t xml:space="preserve">This is due to company tax overestimation errors, which </w:t>
      </w:r>
      <w:r w:rsidR="00447AFE">
        <w:t xml:space="preserve">actually </w:t>
      </w:r>
      <w:r w:rsidR="00C8735D">
        <w:t xml:space="preserve">materially </w:t>
      </w:r>
      <w:r w:rsidR="00447AFE">
        <w:t xml:space="preserve">increase </w:t>
      </w:r>
      <w:r w:rsidR="00F568FE">
        <w:t>in the first two years of the counterfactual</w:t>
      </w:r>
      <w:r w:rsidR="007709D6">
        <w:t xml:space="preserve">. </w:t>
      </w:r>
      <w:r w:rsidR="00447AFE">
        <w:t>T</w:t>
      </w:r>
      <w:r w:rsidR="00447AFE" w:rsidRPr="00A2389A">
        <w:t>h</w:t>
      </w:r>
      <w:r w:rsidR="00447AFE">
        <w:t>is</w:t>
      </w:r>
      <w:r w:rsidR="00447AFE" w:rsidRPr="00A2389A">
        <w:t xml:space="preserve"> </w:t>
      </w:r>
      <w:r w:rsidR="00447AFE">
        <w:t xml:space="preserve">finding </w:t>
      </w:r>
      <w:r w:rsidR="00447AFE" w:rsidRPr="00A2389A">
        <w:t>will be examined in more detail</w:t>
      </w:r>
      <w:r w:rsidR="007270F7">
        <w:t>,</w:t>
      </w:r>
      <w:r w:rsidR="00447AFE" w:rsidRPr="00A2389A">
        <w:t xml:space="preserve"> below.</w:t>
      </w:r>
    </w:p>
    <w:p w:rsidR="00F568FE" w:rsidRPr="00F747AD" w:rsidRDefault="00F568FE" w:rsidP="00F568FE">
      <w:pPr>
        <w:pStyle w:val="ChartMainHeading"/>
        <w:spacing w:after="120"/>
        <w:rPr>
          <w:rFonts w:eastAsiaTheme="minorHAnsi" w:cstheme="minorBidi"/>
          <w:color w:val="auto"/>
          <w:lang w:eastAsia="en-US"/>
        </w:rPr>
      </w:pPr>
      <w:r w:rsidRPr="00F747AD">
        <w:lastRenderedPageBreak/>
        <w:t>Figure 4.</w:t>
      </w:r>
      <w:r>
        <w:t>1</w:t>
      </w:r>
      <w:r w:rsidRPr="00F747AD">
        <w:t>6:</w:t>
      </w:r>
      <w:r>
        <w:t xml:space="preserve"> </w:t>
      </w:r>
      <w:r w:rsidRPr="00171C90">
        <w:t xml:space="preserve">Contribution </w:t>
      </w:r>
      <w:r>
        <w:t>t</w:t>
      </w:r>
      <w:r w:rsidRPr="00171C90">
        <w:t xml:space="preserve">o </w:t>
      </w:r>
      <w:r>
        <w:t xml:space="preserve">Budget </w:t>
      </w:r>
      <w:r w:rsidRPr="00171C90">
        <w:t xml:space="preserve">Revenue </w:t>
      </w:r>
      <w:r>
        <w:t xml:space="preserve">Forecast </w:t>
      </w:r>
      <w:r w:rsidRPr="00171C90">
        <w:t xml:space="preserve">Error </w:t>
      </w:r>
      <w:r>
        <w:t>b</w:t>
      </w:r>
      <w:r w:rsidRPr="00171C90">
        <w:t xml:space="preserve">y Head </w:t>
      </w:r>
      <w:r>
        <w:t>o</w:t>
      </w:r>
      <w:r w:rsidRPr="00171C90">
        <w:t>f Revenue</w:t>
      </w:r>
    </w:p>
    <w:tbl>
      <w:tblPr>
        <w:tblStyle w:val="TableGrid"/>
        <w:tblW w:w="0" w:type="auto"/>
        <w:tblLook w:val="04A0" w:firstRow="1" w:lastRow="0" w:firstColumn="1" w:lastColumn="0" w:noHBand="0" w:noVBand="1"/>
      </w:tblPr>
      <w:tblGrid>
        <w:gridCol w:w="4621"/>
        <w:gridCol w:w="4621"/>
      </w:tblGrid>
      <w:tr w:rsidR="00F568FE" w:rsidTr="009B1FD6">
        <w:tc>
          <w:tcPr>
            <w:tcW w:w="4621" w:type="dxa"/>
            <w:shd w:val="clear" w:color="auto" w:fill="auto"/>
          </w:tcPr>
          <w:p w:rsidR="00F568FE" w:rsidRPr="0053629A" w:rsidRDefault="00F568FE">
            <w:pPr>
              <w:pStyle w:val="ChartMainHeading"/>
              <w:spacing w:after="120"/>
              <w:rPr>
                <w:b w:val="0"/>
                <w:sz w:val="22"/>
                <w:szCs w:val="22"/>
              </w:rPr>
            </w:pPr>
            <w:r w:rsidRPr="0053629A">
              <w:rPr>
                <w:b w:val="0"/>
                <w:sz w:val="22"/>
                <w:szCs w:val="22"/>
              </w:rPr>
              <w:t>Actual forecast errors</w:t>
            </w:r>
          </w:p>
        </w:tc>
        <w:tc>
          <w:tcPr>
            <w:tcW w:w="4621" w:type="dxa"/>
            <w:shd w:val="clear" w:color="auto" w:fill="auto"/>
          </w:tcPr>
          <w:p w:rsidR="00F568FE" w:rsidRPr="00AC34EA" w:rsidRDefault="00F568FE" w:rsidP="00F568FE">
            <w:pPr>
              <w:pStyle w:val="ChartMainHeading"/>
              <w:spacing w:after="120"/>
              <w:rPr>
                <w:sz w:val="22"/>
                <w:szCs w:val="22"/>
              </w:rPr>
            </w:pPr>
            <w:r w:rsidRPr="0053629A">
              <w:rPr>
                <w:b w:val="0"/>
                <w:sz w:val="22"/>
                <w:szCs w:val="22"/>
              </w:rPr>
              <w:t>Counterfactual forecast errors</w:t>
            </w:r>
          </w:p>
        </w:tc>
      </w:tr>
      <w:tr w:rsidR="00F568FE" w:rsidTr="009B1FD6">
        <w:tc>
          <w:tcPr>
            <w:tcW w:w="4621" w:type="dxa"/>
            <w:shd w:val="clear" w:color="auto" w:fill="auto"/>
          </w:tcPr>
          <w:p w:rsidR="00F568FE" w:rsidRDefault="00BF3856" w:rsidP="0065101B">
            <w:pPr>
              <w:pStyle w:val="ChartGraphic"/>
            </w:pPr>
            <w:r>
              <w:object w:dxaOrig="4516" w:dyaOrig="4515">
                <v:shape id="_x0000_i1042" type="#_x0000_t75" alt="This figure has two panels.  The left-hand panel shows the contribution to budget taxation revenue forecast error by major heads of revenue (CGT, Income tax withholding, GST and Company Tax) from 2008-09 to 2011-12.&#10;" style="width:224.15pt;height:223.5pt" o:ole="">
                  <v:imagedata r:id="rId40" o:title=""/>
                </v:shape>
                <o:OLEObject Type="Link" ProgID="Excel.Sheet.12" ShapeID="_x0000_i1042" DrawAspect="Content" r:id="rId41" UpdateMode="Always">
                  <o:LinkType>EnhancedMetaFile</o:LinkType>
                  <o:LockedField/>
                </o:OLEObject>
              </w:object>
            </w:r>
          </w:p>
        </w:tc>
        <w:tc>
          <w:tcPr>
            <w:tcW w:w="4621" w:type="dxa"/>
            <w:shd w:val="clear" w:color="auto" w:fill="auto"/>
          </w:tcPr>
          <w:p w:rsidR="00F568FE" w:rsidRDefault="00BF3856" w:rsidP="0065101B">
            <w:pPr>
              <w:pStyle w:val="ChartGraphic"/>
              <w:rPr>
                <w:bCs/>
              </w:rPr>
            </w:pPr>
            <w:r>
              <w:object w:dxaOrig="4516" w:dyaOrig="4530">
                <v:shape id="_x0000_i1043" type="#_x0000_t75" alt="The right-hand panel shows the contribution to counterfactual forecast error by major head of revenue (CGT, Income tax withholding, GST and Company Tax) from 2008-09 to 2011‑12.&#10;" style="width:224.15pt;height:226pt" o:ole="">
                  <v:imagedata r:id="rId42" o:title=""/>
                </v:shape>
                <o:OLEObject Type="Link" ProgID="Excel.Sheet.12" ShapeID="_x0000_i1043" DrawAspect="Content" r:id="rId43" UpdateMode="Always">
                  <o:LinkType>EnhancedMetaFile</o:LinkType>
                  <o:LockedField>false</o:LockedField>
                </o:OLEObject>
              </w:object>
            </w:r>
          </w:p>
        </w:tc>
      </w:tr>
    </w:tbl>
    <w:p w:rsidR="00F568FE" w:rsidRDefault="0022575F" w:rsidP="00D34E90">
      <w:pPr>
        <w:spacing w:before="120" w:after="0"/>
      </w:pPr>
      <w:r w:rsidRPr="00A2389A">
        <w:t>The sections</w:t>
      </w:r>
      <w:r w:rsidR="00BC5B77">
        <w:t>,</w:t>
      </w:r>
      <w:r w:rsidRPr="00A2389A">
        <w:t xml:space="preserve"> below</w:t>
      </w:r>
      <w:r w:rsidR="00BC5B77">
        <w:t>,</w:t>
      </w:r>
      <w:r w:rsidRPr="00A2389A">
        <w:t xml:space="preserve"> discuss the errors in each of the </w:t>
      </w:r>
      <w:r w:rsidR="00E35E28">
        <w:t xml:space="preserve">major </w:t>
      </w:r>
      <w:r w:rsidRPr="00A2389A">
        <w:t xml:space="preserve">heads of revenue </w:t>
      </w:r>
      <w:r w:rsidR="00BC5B77">
        <w:t xml:space="preserve">in turn </w:t>
      </w:r>
      <w:r w:rsidRPr="00A2389A">
        <w:t>over this period.</w:t>
      </w:r>
    </w:p>
    <w:p w:rsidR="0081091D" w:rsidRPr="00AB2E91" w:rsidRDefault="00297EE5" w:rsidP="00D34E90">
      <w:pPr>
        <w:pStyle w:val="Heading4"/>
        <w:spacing w:before="240"/>
      </w:pPr>
      <w:r w:rsidRPr="007F0AED">
        <w:t>Income Tax Withholding</w:t>
      </w:r>
    </w:p>
    <w:p w:rsidR="00BB018F" w:rsidRPr="00A2389A" w:rsidRDefault="00265F6E">
      <w:r w:rsidRPr="00A2389A">
        <w:t xml:space="preserve">Income tax withholding </w:t>
      </w:r>
      <w:r w:rsidR="000879E4" w:rsidRPr="00A2389A">
        <w:t xml:space="preserve">was a </w:t>
      </w:r>
      <w:r w:rsidR="00BB018F" w:rsidRPr="00A2389A">
        <w:t>relatively small</w:t>
      </w:r>
      <w:r w:rsidR="00C35B31" w:rsidRPr="00A2389A">
        <w:t xml:space="preserve"> source of error </w:t>
      </w:r>
      <w:r w:rsidR="00341B91">
        <w:t xml:space="preserve">during </w:t>
      </w:r>
      <w:r w:rsidR="00C35B31" w:rsidRPr="00A2389A">
        <w:t xml:space="preserve">the </w:t>
      </w:r>
      <w:r w:rsidRPr="00D34E90">
        <w:t xml:space="preserve">GFC and </w:t>
      </w:r>
      <w:r w:rsidR="007910CF" w:rsidRPr="00D34E90">
        <w:t>M</w:t>
      </w:r>
      <w:r w:rsidRPr="00D34E90">
        <w:t xml:space="preserve">ining </w:t>
      </w:r>
      <w:r w:rsidR="007910CF" w:rsidRPr="00D34E90">
        <w:t>B</w:t>
      </w:r>
      <w:r w:rsidRPr="00D34E90">
        <w:t xml:space="preserve">oom </w:t>
      </w:r>
      <w:r w:rsidR="007910CF" w:rsidRPr="00D34E90">
        <w:t>M</w:t>
      </w:r>
      <w:r w:rsidRPr="00D34E90">
        <w:t>ark</w:t>
      </w:r>
      <w:r w:rsidR="0076260C" w:rsidRPr="00D34E90">
        <w:t> </w:t>
      </w:r>
      <w:r w:rsidRPr="00D34E90">
        <w:t>II</w:t>
      </w:r>
      <w:r w:rsidRPr="00A2389A">
        <w:t>.</w:t>
      </w:r>
      <w:r w:rsidR="003E1304">
        <w:t xml:space="preserve"> </w:t>
      </w:r>
      <w:r w:rsidR="00BB018F" w:rsidRPr="00A2389A">
        <w:t xml:space="preserve">The average error over this period </w:t>
      </w:r>
      <w:r w:rsidR="007910CF">
        <w:t>for</w:t>
      </w:r>
      <w:r w:rsidR="00BB018F" w:rsidRPr="00A2389A">
        <w:t xml:space="preserve"> the forecasts </w:t>
      </w:r>
      <w:r w:rsidR="007910CF">
        <w:t>of</w:t>
      </w:r>
      <w:r w:rsidR="00BB018F" w:rsidRPr="00A2389A">
        <w:t xml:space="preserve"> </w:t>
      </w:r>
      <w:r w:rsidR="00EE4986">
        <w:t xml:space="preserve">both </w:t>
      </w:r>
      <w:r w:rsidR="00BB018F" w:rsidRPr="00A2389A">
        <w:t>income tax withholding and compensation of employees</w:t>
      </w:r>
      <w:r w:rsidR="00DE4821" w:rsidRPr="00A2389A">
        <w:t xml:space="preserve"> </w:t>
      </w:r>
      <w:r w:rsidR="00EE4986">
        <w:t>wa</w:t>
      </w:r>
      <w:r w:rsidR="00BB018F" w:rsidRPr="00A2389A">
        <w:t xml:space="preserve">s just </w:t>
      </w:r>
      <w:r w:rsidR="009102D1">
        <w:noBreakHyphen/>
      </w:r>
      <w:r w:rsidR="00BB018F" w:rsidRPr="00A2389A">
        <w:t>0.1 of a percentage point.</w:t>
      </w:r>
      <w:r w:rsidR="00B46054" w:rsidRPr="00B46054">
        <w:t xml:space="preserve"> </w:t>
      </w:r>
      <w:r w:rsidR="00B46054" w:rsidRPr="00A2389A">
        <w:t xml:space="preserve">When the </w:t>
      </w:r>
      <w:r w:rsidR="00C51A71">
        <w:t xml:space="preserve">actual outcomes for </w:t>
      </w:r>
      <w:r w:rsidR="00B46054" w:rsidRPr="00A2389A">
        <w:t xml:space="preserve">compensation of employees are applied to the income tax withholding model, the forecast errors </w:t>
      </w:r>
      <w:r w:rsidR="00C51A71">
        <w:t xml:space="preserve">for income tax withholding </w:t>
      </w:r>
      <w:r w:rsidR="00B46054">
        <w:t>are broadly unchanged</w:t>
      </w:r>
      <w:r w:rsidR="00B46054" w:rsidRPr="00A2389A">
        <w:t xml:space="preserve"> (as shown in the right</w:t>
      </w:r>
      <w:r w:rsidR="009102D1">
        <w:noBreakHyphen/>
      </w:r>
      <w:r w:rsidR="00B46054" w:rsidRPr="00A2389A">
        <w:t xml:space="preserve">hand panel of </w:t>
      </w:r>
      <w:r w:rsidR="00B46054">
        <w:t>Figure</w:t>
      </w:r>
      <w:r w:rsidR="00B46054" w:rsidRPr="00A2389A">
        <w:t xml:space="preserve"> 4.</w:t>
      </w:r>
      <w:r w:rsidR="00B46054">
        <w:t>16</w:t>
      </w:r>
      <w:r w:rsidR="00B46054" w:rsidRPr="00A2389A">
        <w:t>)</w:t>
      </w:r>
      <w:r w:rsidR="007709D6">
        <w:t xml:space="preserve">. </w:t>
      </w:r>
    </w:p>
    <w:p w:rsidR="00DE4821" w:rsidRPr="003C2595" w:rsidRDefault="004F4F39" w:rsidP="00DA3678">
      <w:pPr>
        <w:pStyle w:val="ChartMainHeading"/>
        <w:spacing w:after="0"/>
      </w:pPr>
      <w:r>
        <w:t>Figure</w:t>
      </w:r>
      <w:r w:rsidR="003B1A7E">
        <w:t xml:space="preserve"> </w:t>
      </w:r>
      <w:r w:rsidR="00DE4821" w:rsidRPr="003C2595">
        <w:t>4.</w:t>
      </w:r>
      <w:r>
        <w:t>1</w:t>
      </w:r>
      <w:r w:rsidR="00FA3141">
        <w:t>7</w:t>
      </w:r>
      <w:r w:rsidR="00C97F28" w:rsidRPr="003C2595">
        <w:t>:</w:t>
      </w:r>
      <w:r w:rsidR="007709D6">
        <w:t xml:space="preserve"> </w:t>
      </w:r>
      <w:r w:rsidR="00C97F28" w:rsidRPr="003C2595">
        <w:t xml:space="preserve">Budget Forecast Errors </w:t>
      </w:r>
      <w:r w:rsidR="00C97F28">
        <w:t xml:space="preserve">for Growth in </w:t>
      </w:r>
      <w:r w:rsidR="00C97F28" w:rsidRPr="003C2595">
        <w:t xml:space="preserve">Compensation </w:t>
      </w:r>
      <w:r w:rsidR="00C97F28">
        <w:t>o</w:t>
      </w:r>
      <w:r w:rsidR="00C97F28" w:rsidRPr="003C2595">
        <w:t xml:space="preserve">f Employees </w:t>
      </w:r>
      <w:r w:rsidR="00C97F28">
        <w:t>a</w:t>
      </w:r>
      <w:r w:rsidR="00C97F28" w:rsidRPr="003C2595">
        <w:t>nd Income</w:t>
      </w:r>
      <w:r w:rsidR="006140AD">
        <w:t> </w:t>
      </w:r>
      <w:r w:rsidR="00C97F28" w:rsidRPr="003C2595">
        <w:t>Tax Withholding</w:t>
      </w:r>
    </w:p>
    <w:p w:rsidR="00DE4821" w:rsidRDefault="006A6AC4" w:rsidP="006A5B18">
      <w:pPr>
        <w:pStyle w:val="ChartGraphic"/>
      </w:pPr>
      <w:r>
        <w:object w:dxaOrig="8775" w:dyaOrig="3961">
          <v:shape id="_x0000_i1044" type="#_x0000_t75" alt="This figure shows the Budget forecast errors in each Budget year for growth in compensation of employees (decomposed into employment error and wages error) and income tax withholding growth from 2008-09 to 2011-12.  The figure also shows the average compensation of employees growth error and average income tax withholding growth error for the period 2008-09 to 2011-12.&#10;" style="width:436.4pt;height:199.1pt;mso-position-horizontal:absolute" o:ole="">
            <v:imagedata r:id="rId44" o:title=""/>
          </v:shape>
          <o:OLEObject Type="Link" ProgID="Excel.Sheet.12" ShapeID="_x0000_i1044" DrawAspect="Content" r:id="rId45" UpdateMode="Always">
            <o:LinkType>EnhancedMetaFile</o:LinkType>
            <o:LockedField/>
          </o:OLEObject>
        </w:object>
      </w:r>
    </w:p>
    <w:p w:rsidR="0022575F" w:rsidRPr="00A2389A" w:rsidRDefault="0022575F" w:rsidP="00AF48B8">
      <w:pPr>
        <w:pStyle w:val="Heading4"/>
        <w:spacing w:before="240" w:after="120"/>
        <w:rPr>
          <w:szCs w:val="24"/>
        </w:rPr>
      </w:pPr>
      <w:r w:rsidRPr="00A2389A">
        <w:rPr>
          <w:szCs w:val="24"/>
        </w:rPr>
        <w:t xml:space="preserve">Company </w:t>
      </w:r>
      <w:r w:rsidR="00C97F28">
        <w:rPr>
          <w:szCs w:val="24"/>
        </w:rPr>
        <w:t>T</w:t>
      </w:r>
      <w:r w:rsidR="00BF3856">
        <w:rPr>
          <w:szCs w:val="24"/>
        </w:rPr>
        <w:t>ax</w:t>
      </w:r>
    </w:p>
    <w:p w:rsidR="004D23DD" w:rsidRPr="00A2389A" w:rsidRDefault="0022575F">
      <w:r w:rsidRPr="00A2389A">
        <w:t xml:space="preserve">Company tax </w:t>
      </w:r>
      <w:r w:rsidR="009E2348">
        <w:t>made the largest</w:t>
      </w:r>
      <w:r w:rsidRPr="00A2389A">
        <w:t xml:space="preserve"> contribut</w:t>
      </w:r>
      <w:r w:rsidR="009E2348">
        <w:t>ion</w:t>
      </w:r>
      <w:r w:rsidRPr="00A2389A">
        <w:t xml:space="preserve"> to the overall revenue forecast error in each of the years since the GFC (</w:t>
      </w:r>
      <w:r w:rsidR="007A0C03">
        <w:t xml:space="preserve">left hand panel of </w:t>
      </w:r>
      <w:r w:rsidR="00723CDD">
        <w:t>Figure</w:t>
      </w:r>
      <w:r w:rsidR="00723CDD" w:rsidRPr="00A2389A">
        <w:t xml:space="preserve"> </w:t>
      </w:r>
      <w:r w:rsidRPr="00A2389A">
        <w:t>4.</w:t>
      </w:r>
      <w:r w:rsidR="009231AF">
        <w:t>16</w:t>
      </w:r>
      <w:r w:rsidRPr="00A2389A">
        <w:t>).</w:t>
      </w:r>
      <w:r w:rsidR="003E1304">
        <w:t xml:space="preserve"> </w:t>
      </w:r>
      <w:r w:rsidRPr="00A2389A">
        <w:t xml:space="preserve">Company tax revenue is generally a significant source </w:t>
      </w:r>
      <w:r w:rsidRPr="00A2389A">
        <w:lastRenderedPageBreak/>
        <w:t xml:space="preserve">of forecast error as it is </w:t>
      </w:r>
      <w:r w:rsidR="00867709">
        <w:t xml:space="preserve">a </w:t>
      </w:r>
      <w:r w:rsidRPr="00A2389A">
        <w:t>relatively large</w:t>
      </w:r>
      <w:r w:rsidR="00867709">
        <w:t>,</w:t>
      </w:r>
      <w:r w:rsidRPr="00A2389A">
        <w:t xml:space="preserve"> and volatile</w:t>
      </w:r>
      <w:r w:rsidR="00867709">
        <w:t>, head of revenue</w:t>
      </w:r>
      <w:r w:rsidRPr="00A2389A">
        <w:t>.</w:t>
      </w:r>
      <w:r w:rsidR="003E1304">
        <w:t xml:space="preserve"> </w:t>
      </w:r>
      <w:r w:rsidRPr="00A2389A">
        <w:t>This section discusses some factors that made company tax revenue forecasting difficult over th</w:t>
      </w:r>
      <w:r w:rsidR="004D23DD" w:rsidRPr="00A2389A">
        <w:t xml:space="preserve">is </w:t>
      </w:r>
      <w:r w:rsidRPr="00A2389A">
        <w:t>period.</w:t>
      </w:r>
      <w:r w:rsidR="00C97F28">
        <w:t xml:space="preserve"> </w:t>
      </w:r>
      <w:r w:rsidR="00723CDD">
        <w:t>Figure</w:t>
      </w:r>
      <w:r w:rsidR="00723CDD" w:rsidRPr="00A2389A">
        <w:t xml:space="preserve"> </w:t>
      </w:r>
      <w:r w:rsidR="004D23DD" w:rsidRPr="00A2389A">
        <w:t>4.</w:t>
      </w:r>
      <w:r w:rsidR="00723CDD">
        <w:t>1</w:t>
      </w:r>
      <w:r w:rsidR="009231AF">
        <w:t>8</w:t>
      </w:r>
      <w:r w:rsidR="00EE4986">
        <w:t>,</w:t>
      </w:r>
      <w:r w:rsidR="00723CDD" w:rsidRPr="00A2389A">
        <w:t xml:space="preserve"> </w:t>
      </w:r>
      <w:r w:rsidR="004D23DD" w:rsidRPr="00A2389A">
        <w:t>below</w:t>
      </w:r>
      <w:r w:rsidR="00EE4986">
        <w:t>,</w:t>
      </w:r>
      <w:r w:rsidR="004D23DD" w:rsidRPr="00A2389A">
        <w:t xml:space="preserve"> shows the forecast errors for GOS and company tax </w:t>
      </w:r>
      <w:r w:rsidR="00E413FE">
        <w:t xml:space="preserve">during </w:t>
      </w:r>
      <w:r w:rsidR="004D23DD" w:rsidRPr="00A2389A">
        <w:t xml:space="preserve">the </w:t>
      </w:r>
      <w:r w:rsidR="004D23DD" w:rsidRPr="00D34E90">
        <w:t xml:space="preserve">GFC and </w:t>
      </w:r>
      <w:r w:rsidR="00CA328A" w:rsidRPr="00D34E90">
        <w:t>M</w:t>
      </w:r>
      <w:r w:rsidR="004D23DD" w:rsidRPr="00D34E90">
        <w:t xml:space="preserve">ining </w:t>
      </w:r>
      <w:r w:rsidR="00CA328A" w:rsidRPr="00D34E90">
        <w:t>B</w:t>
      </w:r>
      <w:r w:rsidR="004D23DD" w:rsidRPr="00D34E90">
        <w:t xml:space="preserve">oom </w:t>
      </w:r>
      <w:r w:rsidR="006140AD" w:rsidRPr="00D34E90">
        <w:t>Mark </w:t>
      </w:r>
      <w:r w:rsidR="004D23DD" w:rsidRPr="00D34E90">
        <w:t>II</w:t>
      </w:r>
      <w:r w:rsidR="004D23DD" w:rsidRPr="00A2389A">
        <w:t xml:space="preserve"> period.</w:t>
      </w:r>
      <w:r w:rsidR="003E1304">
        <w:t xml:space="preserve"> </w:t>
      </w:r>
      <w:r w:rsidR="004D23DD" w:rsidRPr="00A2389A">
        <w:t xml:space="preserve">GOS was underestimated by an average of 1.0 percentage points </w:t>
      </w:r>
      <w:r w:rsidR="009E2348">
        <w:t xml:space="preserve">per annum </w:t>
      </w:r>
      <w:r w:rsidR="004D23DD" w:rsidRPr="00A2389A">
        <w:t>over this period, whereas company tax was overestimated by an average of 12.2 percentage points</w:t>
      </w:r>
      <w:r w:rsidR="009E2348">
        <w:t xml:space="preserve"> per annum</w:t>
      </w:r>
      <w:r w:rsidR="004D23DD" w:rsidRPr="00A2389A">
        <w:t>.</w:t>
      </w:r>
    </w:p>
    <w:p w:rsidR="00F10406" w:rsidRPr="00DE3962" w:rsidRDefault="001826CF" w:rsidP="00DA3678">
      <w:pPr>
        <w:pStyle w:val="TableMainHeading"/>
        <w:spacing w:after="60"/>
        <w:jc w:val="center"/>
        <w:rPr>
          <w:szCs w:val="22"/>
        </w:rPr>
      </w:pPr>
      <w:r w:rsidRPr="0053629A">
        <w:rPr>
          <w:szCs w:val="22"/>
        </w:rPr>
        <w:t xml:space="preserve">Figure </w:t>
      </w:r>
      <w:r w:rsidR="00F10406" w:rsidRPr="00DE3962">
        <w:rPr>
          <w:szCs w:val="22"/>
        </w:rPr>
        <w:t>4.</w:t>
      </w:r>
      <w:r w:rsidRPr="0053629A">
        <w:rPr>
          <w:szCs w:val="22"/>
        </w:rPr>
        <w:t>1</w:t>
      </w:r>
      <w:r w:rsidR="00FA3141">
        <w:rPr>
          <w:szCs w:val="22"/>
        </w:rPr>
        <w:t>8</w:t>
      </w:r>
      <w:r w:rsidR="00F10406" w:rsidRPr="00DE3962">
        <w:rPr>
          <w:szCs w:val="22"/>
        </w:rPr>
        <w:t>:</w:t>
      </w:r>
      <w:r w:rsidR="007709D6">
        <w:rPr>
          <w:szCs w:val="22"/>
        </w:rPr>
        <w:t xml:space="preserve"> </w:t>
      </w:r>
      <w:r w:rsidR="00F10406" w:rsidRPr="00DE3962">
        <w:rPr>
          <w:szCs w:val="22"/>
        </w:rPr>
        <w:t xml:space="preserve">Budget </w:t>
      </w:r>
      <w:r w:rsidR="009E2348">
        <w:rPr>
          <w:szCs w:val="22"/>
        </w:rPr>
        <w:t>F</w:t>
      </w:r>
      <w:r w:rsidR="00F10406" w:rsidRPr="00DE3962">
        <w:rPr>
          <w:szCs w:val="22"/>
        </w:rPr>
        <w:t xml:space="preserve">orecast </w:t>
      </w:r>
      <w:r w:rsidR="009E2348">
        <w:rPr>
          <w:szCs w:val="22"/>
        </w:rPr>
        <w:t>E</w:t>
      </w:r>
      <w:r w:rsidR="00F10406" w:rsidRPr="00DE3962">
        <w:rPr>
          <w:szCs w:val="22"/>
        </w:rPr>
        <w:t xml:space="preserve">rrors </w:t>
      </w:r>
      <w:r w:rsidR="009E2348">
        <w:rPr>
          <w:szCs w:val="22"/>
        </w:rPr>
        <w:t xml:space="preserve">for Growth in </w:t>
      </w:r>
      <w:r w:rsidR="00F10406" w:rsidRPr="00DE3962">
        <w:rPr>
          <w:szCs w:val="22"/>
        </w:rPr>
        <w:t xml:space="preserve">GOS and </w:t>
      </w:r>
      <w:r w:rsidR="009E2348">
        <w:rPr>
          <w:szCs w:val="22"/>
        </w:rPr>
        <w:t>C</w:t>
      </w:r>
      <w:r w:rsidR="00F10406" w:rsidRPr="00DE3962">
        <w:rPr>
          <w:szCs w:val="22"/>
        </w:rPr>
        <w:t xml:space="preserve">ompany </w:t>
      </w:r>
      <w:r w:rsidR="009E2348">
        <w:rPr>
          <w:szCs w:val="22"/>
        </w:rPr>
        <w:t>T</w:t>
      </w:r>
      <w:r w:rsidR="00F10406" w:rsidRPr="00DE3962">
        <w:rPr>
          <w:szCs w:val="22"/>
        </w:rPr>
        <w:t>ax</w:t>
      </w:r>
    </w:p>
    <w:p w:rsidR="00F10406" w:rsidRPr="00A2389A" w:rsidRDefault="006A6AC4" w:rsidP="006A5B18">
      <w:pPr>
        <w:pStyle w:val="ChartGraphic"/>
      </w:pPr>
      <w:r>
        <w:object w:dxaOrig="8775" w:dyaOrig="3961">
          <v:shape id="_x0000_i1045" type="#_x0000_t75" alt="This figure shows the Budget forecast errors in each Budget year for Gross Operating Surplus growth and company tax revenue growth from 2008-09 to 2011-12.  The figure also shows the average Gross Operating Surplus growth error and average company taxation revenue growth error for the period 2008-09 to 2011-12.&#10;" style="width:436.4pt;height:199.1pt;mso-position-horizontal:absolute" o:ole="">
            <v:imagedata r:id="rId46" o:title=""/>
          </v:shape>
          <o:OLEObject Type="Link" ProgID="Excel.Sheet.12" ShapeID="_x0000_i1045" DrawAspect="Content" r:id="rId47" UpdateMode="Always">
            <o:LinkType>EnhancedMetaFile</o:LinkType>
            <o:LockedField/>
          </o:OLEObject>
        </w:object>
      </w:r>
    </w:p>
    <w:p w:rsidR="0022575F" w:rsidRPr="00A2389A" w:rsidRDefault="004D23DD" w:rsidP="00D34E90">
      <w:pPr>
        <w:spacing w:before="360"/>
      </w:pPr>
      <w:r w:rsidRPr="00A2389A">
        <w:t xml:space="preserve">The relationship between GOS and company tax is </w:t>
      </w:r>
      <w:r w:rsidR="00AB0479">
        <w:t>complex</w:t>
      </w:r>
      <w:r w:rsidRPr="00A2389A">
        <w:t>.</w:t>
      </w:r>
      <w:r w:rsidR="003E1304">
        <w:t xml:space="preserve"> </w:t>
      </w:r>
      <w:r w:rsidRPr="00A2389A">
        <w:t>First, t</w:t>
      </w:r>
      <w:r w:rsidR="0022575F" w:rsidRPr="00A2389A">
        <w:t>here are many conceptual differences between GOS and corporate taxable income</w:t>
      </w:r>
      <w:r w:rsidR="001146F9">
        <w:t>.</w:t>
      </w:r>
      <w:r w:rsidR="0022575F" w:rsidRPr="00A2389A">
        <w:t xml:space="preserve"> </w:t>
      </w:r>
      <w:r w:rsidR="001146F9" w:rsidRPr="00FA15F5">
        <w:t>For example, corporate GOS is measured before deducting depreciation charges and debt</w:t>
      </w:r>
      <w:r w:rsidR="009102D1">
        <w:noBreakHyphen/>
      </w:r>
      <w:r w:rsidR="001146F9" w:rsidRPr="00FA15F5">
        <w:t>servicing interest expenses, and excludes holding gains or losses in trading stock and realised capital gains or losses in the assets and liabilities of the corporate sector.</w:t>
      </w:r>
      <w:r w:rsidR="003E1304">
        <w:t xml:space="preserve"> </w:t>
      </w:r>
      <w:r w:rsidR="0022575F" w:rsidRPr="00A2389A">
        <w:t>These conceptual differences are taken into account when translating f</w:t>
      </w:r>
      <w:r w:rsidR="00B34F3F">
        <w:t xml:space="preserve">orecasts of </w:t>
      </w:r>
      <w:r w:rsidR="0022575F" w:rsidRPr="00A2389A">
        <w:t>GOS (blue bars in the left</w:t>
      </w:r>
      <w:r w:rsidR="009102D1">
        <w:noBreakHyphen/>
      </w:r>
      <w:r w:rsidR="0022575F" w:rsidRPr="00A2389A">
        <w:t xml:space="preserve">hand panel of </w:t>
      </w:r>
      <w:r w:rsidR="00723CDD">
        <w:t>Figure</w:t>
      </w:r>
      <w:r w:rsidR="00723CDD" w:rsidRPr="00A2389A">
        <w:t xml:space="preserve"> </w:t>
      </w:r>
      <w:r w:rsidR="0022575F" w:rsidRPr="00A2389A">
        <w:t>4.</w:t>
      </w:r>
      <w:r w:rsidR="00723CDD">
        <w:t>1</w:t>
      </w:r>
      <w:r w:rsidR="0094074F">
        <w:t>9</w:t>
      </w:r>
      <w:r w:rsidR="0022575F" w:rsidRPr="00A2389A">
        <w:t xml:space="preserve">) </w:t>
      </w:r>
      <w:r w:rsidR="00B34F3F">
        <w:t xml:space="preserve">into forecasts of </w:t>
      </w:r>
      <w:r w:rsidR="0022575F" w:rsidRPr="00A2389A">
        <w:t xml:space="preserve">company tax </w:t>
      </w:r>
      <w:r w:rsidR="00B34F3F">
        <w:t xml:space="preserve">on an </w:t>
      </w:r>
      <w:r w:rsidR="005710FD" w:rsidRPr="00A2389A">
        <w:t>income</w:t>
      </w:r>
      <w:r w:rsidR="009102D1">
        <w:noBreakHyphen/>
      </w:r>
      <w:r w:rsidR="005710FD" w:rsidRPr="00A2389A">
        <w:t>year</w:t>
      </w:r>
      <w:r w:rsidR="00B34F3F">
        <w:t xml:space="preserve"> basis</w:t>
      </w:r>
      <w:r w:rsidR="0022575F" w:rsidRPr="00A2389A">
        <w:t xml:space="preserve"> (red bars in the left</w:t>
      </w:r>
      <w:r w:rsidR="009102D1">
        <w:noBreakHyphen/>
      </w:r>
      <w:r w:rsidR="0022575F" w:rsidRPr="00A2389A">
        <w:t xml:space="preserve">hand panel of </w:t>
      </w:r>
      <w:r w:rsidR="00723CDD">
        <w:t>Figure</w:t>
      </w:r>
      <w:r w:rsidR="00723CDD" w:rsidRPr="00A2389A">
        <w:t xml:space="preserve"> </w:t>
      </w:r>
      <w:r w:rsidR="0022575F" w:rsidRPr="00A2389A">
        <w:t>4.</w:t>
      </w:r>
      <w:r w:rsidR="00723CDD">
        <w:t>1</w:t>
      </w:r>
      <w:r w:rsidR="00EE05B0">
        <w:t>9</w:t>
      </w:r>
      <w:r w:rsidR="00723CDD">
        <w:t>)</w:t>
      </w:r>
      <w:r w:rsidR="0022575F" w:rsidRPr="00A2389A">
        <w:t>.</w:t>
      </w:r>
    </w:p>
    <w:p w:rsidR="00D84C29" w:rsidRDefault="004D23DD">
      <w:r w:rsidRPr="00A2389A">
        <w:t>Second, t</w:t>
      </w:r>
      <w:r w:rsidR="0022575F" w:rsidRPr="00A2389A">
        <w:t xml:space="preserve">here are significant timing differences </w:t>
      </w:r>
      <w:r w:rsidR="00E413FE">
        <w:t xml:space="preserve">between these series </w:t>
      </w:r>
      <w:r w:rsidR="000760D8">
        <w:t xml:space="preserve">that reflect the lag </w:t>
      </w:r>
      <w:r w:rsidR="0022575F" w:rsidRPr="00A2389A">
        <w:t xml:space="preserve">between </w:t>
      </w:r>
      <w:r w:rsidR="000760D8">
        <w:t xml:space="preserve">the earning of </w:t>
      </w:r>
      <w:r w:rsidR="00E413FE">
        <w:t xml:space="preserve">economic </w:t>
      </w:r>
      <w:r w:rsidR="0022575F" w:rsidRPr="00A2389A">
        <w:t>profits and the receipt of the associated tax revenue.</w:t>
      </w:r>
      <w:r w:rsidR="003E1304">
        <w:t xml:space="preserve"> </w:t>
      </w:r>
      <w:r w:rsidRPr="00A2389A">
        <w:t xml:space="preserve">This means that company tax forecasts </w:t>
      </w:r>
      <w:r w:rsidR="000760D8">
        <w:t xml:space="preserve">on an income year basis </w:t>
      </w:r>
      <w:r w:rsidRPr="00A2389A">
        <w:t>(red bars in the left</w:t>
      </w:r>
      <w:r w:rsidR="009102D1">
        <w:noBreakHyphen/>
      </w:r>
      <w:r w:rsidRPr="00A2389A">
        <w:t xml:space="preserve">hand panel of </w:t>
      </w:r>
      <w:r w:rsidR="00723CDD">
        <w:t>Figure</w:t>
      </w:r>
      <w:r w:rsidR="00723CDD" w:rsidRPr="00A2389A">
        <w:t xml:space="preserve"> </w:t>
      </w:r>
      <w:r w:rsidRPr="00A2389A">
        <w:t>4.</w:t>
      </w:r>
      <w:r w:rsidR="00723CDD">
        <w:t>1</w:t>
      </w:r>
      <w:r w:rsidR="009231AF">
        <w:t>9</w:t>
      </w:r>
      <w:r w:rsidR="00E413FE">
        <w:t>,</w:t>
      </w:r>
      <w:r w:rsidR="00723CDD" w:rsidRPr="00A2389A">
        <w:t xml:space="preserve"> </w:t>
      </w:r>
      <w:r w:rsidRPr="00A2389A">
        <w:t xml:space="preserve">below) need to be translated into company tax forecasts </w:t>
      </w:r>
      <w:r w:rsidR="000760D8">
        <w:t xml:space="preserve">on a cash basis </w:t>
      </w:r>
      <w:r w:rsidRPr="00A2389A">
        <w:t xml:space="preserve">(red bars in the </w:t>
      </w:r>
      <w:r w:rsidR="00466622" w:rsidRPr="00A2389A">
        <w:t>right</w:t>
      </w:r>
      <w:r w:rsidR="009102D1">
        <w:noBreakHyphen/>
      </w:r>
      <w:r w:rsidRPr="00A2389A">
        <w:t xml:space="preserve">hand panel of </w:t>
      </w:r>
      <w:r w:rsidR="00866D4B">
        <w:t>Figure </w:t>
      </w:r>
      <w:r w:rsidRPr="00A2389A">
        <w:t>4.</w:t>
      </w:r>
      <w:r w:rsidR="00723CDD">
        <w:t>1</w:t>
      </w:r>
      <w:r w:rsidR="009231AF">
        <w:t>9</w:t>
      </w:r>
      <w:r w:rsidRPr="00A2389A">
        <w:t xml:space="preserve">), which introduces a </w:t>
      </w:r>
      <w:r w:rsidR="000760D8">
        <w:t>further</w:t>
      </w:r>
      <w:r w:rsidRPr="00A2389A">
        <w:t xml:space="preserve"> potential source of </w:t>
      </w:r>
      <w:r w:rsidR="00C67FAE" w:rsidRPr="00A2389A">
        <w:t>forecast</w:t>
      </w:r>
      <w:r w:rsidRPr="00A2389A">
        <w:t xml:space="preserve"> error. </w:t>
      </w:r>
    </w:p>
    <w:p w:rsidR="0022575F" w:rsidRPr="00A2389A" w:rsidRDefault="001146F9">
      <w:r>
        <w:t>F</w:t>
      </w:r>
      <w:r w:rsidR="00585395">
        <w:t>igure 4.2</w:t>
      </w:r>
      <w:r w:rsidR="009231AF">
        <w:t>4</w:t>
      </w:r>
      <w:r w:rsidR="0022575F" w:rsidRPr="00A2389A">
        <w:t xml:space="preserve"> </w:t>
      </w:r>
      <w:r w:rsidR="00C971F5">
        <w:t xml:space="preserve">in the appendix to </w:t>
      </w:r>
      <w:r w:rsidR="00FC5DF2">
        <w:t>this s</w:t>
      </w:r>
      <w:r w:rsidR="00D84C29">
        <w:t>ection</w:t>
      </w:r>
      <w:r w:rsidR="00C971F5">
        <w:t xml:space="preserve"> </w:t>
      </w:r>
      <w:r w:rsidR="0022575F" w:rsidRPr="00A2389A">
        <w:t xml:space="preserve">provides more detail about the </w:t>
      </w:r>
      <w:r w:rsidR="00D84C29">
        <w:t xml:space="preserve">company tax </w:t>
      </w:r>
      <w:r w:rsidR="0022575F" w:rsidRPr="00A2389A">
        <w:t>model.</w:t>
      </w:r>
      <w:r w:rsidR="003E1304">
        <w:t xml:space="preserve"> </w:t>
      </w:r>
    </w:p>
    <w:p w:rsidR="0022575F" w:rsidRPr="003C2595" w:rsidRDefault="001826CF" w:rsidP="0053629A">
      <w:pPr>
        <w:pStyle w:val="ChartMainHeading"/>
        <w:spacing w:after="120"/>
      </w:pPr>
      <w:r>
        <w:lastRenderedPageBreak/>
        <w:t xml:space="preserve">Figure </w:t>
      </w:r>
      <w:r w:rsidR="0022575F" w:rsidRPr="003C2595">
        <w:t>4.</w:t>
      </w:r>
      <w:r>
        <w:t>1</w:t>
      </w:r>
      <w:r w:rsidR="00FA3141">
        <w:t>9</w:t>
      </w:r>
      <w:r w:rsidR="0022575F" w:rsidRPr="003C2595">
        <w:t>:</w:t>
      </w:r>
      <w:r w:rsidR="007709D6">
        <w:t xml:space="preserve"> </w:t>
      </w:r>
      <w:r w:rsidR="0022575F" w:rsidRPr="003C2595">
        <w:t xml:space="preserve">Company </w:t>
      </w:r>
      <w:r w:rsidR="000C2185">
        <w:t>T</w:t>
      </w:r>
      <w:r w:rsidR="0022575F" w:rsidRPr="003C2595">
        <w:t xml:space="preserve">ax </w:t>
      </w:r>
      <w:r w:rsidR="000C2185">
        <w:t>G</w:t>
      </w:r>
      <w:r w:rsidR="0022575F" w:rsidRPr="003C2595">
        <w:t>rowth:</w:t>
      </w:r>
      <w:r w:rsidR="007709D6">
        <w:t xml:space="preserve"> </w:t>
      </w:r>
      <w:r w:rsidR="000C2185">
        <w:t>F</w:t>
      </w:r>
      <w:r w:rsidR="0022575F" w:rsidRPr="003C2595">
        <w:t xml:space="preserve">orecasts and </w:t>
      </w:r>
      <w:r w:rsidR="000C2185">
        <w:t>O</w:t>
      </w:r>
      <w:r w:rsidR="0022575F" w:rsidRPr="003C2595">
        <w:t>utcomes</w:t>
      </w:r>
      <w:r w:rsidR="007709D6">
        <w:t xml:space="preserve"> — </w:t>
      </w:r>
      <w:r w:rsidR="000C2185">
        <w:t>I</w:t>
      </w:r>
      <w:r w:rsidR="005710FD" w:rsidRPr="003C2595">
        <w:t>ncome</w:t>
      </w:r>
      <w:r w:rsidR="009102D1">
        <w:noBreakHyphen/>
      </w:r>
      <w:r w:rsidR="005710FD" w:rsidRPr="003C2595">
        <w:t>year</w:t>
      </w:r>
      <w:r w:rsidR="0022575F" w:rsidRPr="003C2595">
        <w:t xml:space="preserve"> and </w:t>
      </w:r>
      <w:r w:rsidR="000C2185">
        <w:t>C</w:t>
      </w:r>
      <w:r w:rsidR="0022575F" w:rsidRPr="003C2595">
        <w:t>ash</w:t>
      </w:r>
    </w:p>
    <w:tbl>
      <w:tblPr>
        <w:tblStyle w:val="TableGrid"/>
        <w:tblW w:w="0" w:type="auto"/>
        <w:tblLook w:val="04A0" w:firstRow="1" w:lastRow="0" w:firstColumn="1" w:lastColumn="0" w:noHBand="0" w:noVBand="1"/>
      </w:tblPr>
      <w:tblGrid>
        <w:gridCol w:w="4629"/>
        <w:gridCol w:w="4613"/>
      </w:tblGrid>
      <w:tr w:rsidR="006A5B18" w:rsidTr="001A176A">
        <w:tc>
          <w:tcPr>
            <w:tcW w:w="4733" w:type="dxa"/>
            <w:shd w:val="clear" w:color="auto" w:fill="auto"/>
          </w:tcPr>
          <w:p w:rsidR="006A5B18" w:rsidRDefault="006A6AC4" w:rsidP="001A176A">
            <w:pPr>
              <w:pStyle w:val="ChartGraphic"/>
            </w:pPr>
            <w:r>
              <w:object w:dxaOrig="4516" w:dyaOrig="4515">
                <v:shape id="_x0000_i1046" type="#_x0000_t75" alt="This figure has two panels.  The left-hand panel compares the Gross Operating Surplus growth forecast, company tax growth forecast (income-year), Gross Operating Surplus growth outcome and company tax growth outcome (income-year) in the Budget year from 2008-09 to 2011-12.&#10;" style="width:224.15pt;height:223.5pt" o:ole="">
                  <v:imagedata r:id="rId48" o:title=""/>
                </v:shape>
                <o:OLEObject Type="Link" ProgID="Excel.Sheet.12" ShapeID="_x0000_i1046" DrawAspect="Content" r:id="rId49" UpdateMode="Always">
                  <o:LinkType>EnhancedMetaFile</o:LinkType>
                  <o:LockedField/>
                </o:OLEObject>
              </w:object>
            </w:r>
          </w:p>
        </w:tc>
        <w:tc>
          <w:tcPr>
            <w:tcW w:w="4509" w:type="dxa"/>
            <w:shd w:val="clear" w:color="auto" w:fill="auto"/>
          </w:tcPr>
          <w:p w:rsidR="006A5B18" w:rsidRDefault="006A6AC4" w:rsidP="001A176A">
            <w:pPr>
              <w:pStyle w:val="ChartGraphic"/>
            </w:pPr>
            <w:r>
              <w:object w:dxaOrig="4485" w:dyaOrig="4515">
                <v:shape id="_x0000_i1047" type="#_x0000_t75" alt="The right-hand panel compares the company tax forecast (cash) and company tax outcome (cash) in the Budget year from 2008-09 to 2011-12.&#10;" style="width:223.5pt;height:223.5pt" o:ole="">
                  <v:imagedata r:id="rId50" o:title=""/>
                </v:shape>
                <o:OLEObject Type="Link" ProgID="Excel.Sheet.12" ShapeID="_x0000_i1047" DrawAspect="Content" r:id="rId51" UpdateMode="Always">
                  <o:LinkType>EnhancedMetaFile</o:LinkType>
                  <o:LockedField/>
                </o:OLEObject>
              </w:object>
            </w:r>
          </w:p>
        </w:tc>
      </w:tr>
    </w:tbl>
    <w:p w:rsidR="0022575F" w:rsidRPr="00DA3678" w:rsidRDefault="0022575F" w:rsidP="003020CC">
      <w:pPr>
        <w:pStyle w:val="ChartorTableNote"/>
      </w:pPr>
      <w:r w:rsidRPr="00DA3678">
        <w:t>Note:</w:t>
      </w:r>
      <w:r w:rsidR="003E1304" w:rsidRPr="00DA3678">
        <w:t xml:space="preserve"> </w:t>
      </w:r>
      <w:r w:rsidR="00BB4F6C" w:rsidRPr="00DA3678">
        <w:t>I</w:t>
      </w:r>
      <w:r w:rsidR="005710FD" w:rsidRPr="00DA3678">
        <w:t>ncome</w:t>
      </w:r>
      <w:r w:rsidR="009102D1">
        <w:noBreakHyphen/>
      </w:r>
      <w:r w:rsidR="005710FD" w:rsidRPr="00DA3678">
        <w:t>year</w:t>
      </w:r>
      <w:r w:rsidRPr="00DA3678">
        <w:t xml:space="preserve"> company tax outcomes for 2010</w:t>
      </w:r>
      <w:r w:rsidR="009102D1">
        <w:noBreakHyphen/>
      </w:r>
      <w:r w:rsidRPr="00DA3678">
        <w:t>11 or 2011</w:t>
      </w:r>
      <w:r w:rsidR="009102D1">
        <w:noBreakHyphen/>
      </w:r>
      <w:r w:rsidRPr="00DA3678">
        <w:t>12</w:t>
      </w:r>
      <w:r w:rsidR="00BB4F6C" w:rsidRPr="00DA3678">
        <w:t xml:space="preserve"> </w:t>
      </w:r>
      <w:r w:rsidR="00A6310E" w:rsidRPr="00DA3678">
        <w:t>are</w:t>
      </w:r>
      <w:r w:rsidR="00BB4F6C" w:rsidRPr="00DA3678">
        <w:t xml:space="preserve"> not yet available</w:t>
      </w:r>
      <w:r w:rsidR="002F4C80" w:rsidRPr="00DA3678">
        <w:t>.</w:t>
      </w:r>
      <w:r w:rsidR="003E1304" w:rsidRPr="00DA3678">
        <w:t xml:space="preserve"> </w:t>
      </w:r>
    </w:p>
    <w:p w:rsidR="00592584" w:rsidRPr="00A2389A" w:rsidRDefault="0022575F" w:rsidP="00A8609D">
      <w:pPr>
        <w:spacing w:before="240"/>
      </w:pPr>
      <w:r w:rsidRPr="00A2389A">
        <w:t xml:space="preserve">In </w:t>
      </w:r>
      <w:r w:rsidR="00592584" w:rsidRPr="00A2389A">
        <w:t xml:space="preserve">both </w:t>
      </w:r>
      <w:r w:rsidRPr="00A2389A">
        <w:t>2008</w:t>
      </w:r>
      <w:r w:rsidR="009102D1">
        <w:noBreakHyphen/>
      </w:r>
      <w:r w:rsidRPr="00A2389A">
        <w:t>09</w:t>
      </w:r>
      <w:r w:rsidR="00592584" w:rsidRPr="00A2389A">
        <w:t xml:space="preserve"> and 2009</w:t>
      </w:r>
      <w:r w:rsidR="009102D1">
        <w:noBreakHyphen/>
      </w:r>
      <w:r w:rsidR="00592584" w:rsidRPr="00A2389A">
        <w:t>10</w:t>
      </w:r>
      <w:r w:rsidRPr="00A2389A">
        <w:t xml:space="preserve">, the company tax forecast on an </w:t>
      </w:r>
      <w:r w:rsidR="005710FD" w:rsidRPr="00A2389A">
        <w:t>income</w:t>
      </w:r>
      <w:r w:rsidR="009102D1">
        <w:noBreakHyphen/>
      </w:r>
      <w:r w:rsidR="005710FD" w:rsidRPr="00A2389A">
        <w:t>year</w:t>
      </w:r>
      <w:r w:rsidRPr="00A2389A">
        <w:t xml:space="preserve"> basis was closely aligned with the GOS forecast</w:t>
      </w:r>
      <w:r w:rsidR="00592584" w:rsidRPr="00A2389A">
        <w:t xml:space="preserve"> (the red and blue bars in the left</w:t>
      </w:r>
      <w:r w:rsidR="009102D1">
        <w:noBreakHyphen/>
      </w:r>
      <w:r w:rsidR="00592584" w:rsidRPr="00A2389A">
        <w:t xml:space="preserve">hand panel of </w:t>
      </w:r>
      <w:r w:rsidR="002F4C80">
        <w:t>Figure</w:t>
      </w:r>
      <w:r w:rsidR="002F4C80" w:rsidRPr="00A2389A">
        <w:t xml:space="preserve"> </w:t>
      </w:r>
      <w:r w:rsidR="00592584" w:rsidRPr="00A2389A">
        <w:t>4.</w:t>
      </w:r>
      <w:r w:rsidR="002F4C80">
        <w:t>1</w:t>
      </w:r>
      <w:r w:rsidR="009231AF">
        <w:t>9</w:t>
      </w:r>
      <w:r w:rsidR="00592584" w:rsidRPr="00A2389A">
        <w:t>)</w:t>
      </w:r>
      <w:r w:rsidRPr="00A2389A">
        <w:t>.</w:t>
      </w:r>
      <w:r w:rsidR="003E1304">
        <w:t xml:space="preserve"> </w:t>
      </w:r>
      <w:r w:rsidR="00592584" w:rsidRPr="00A2389A">
        <w:t>However, the outcomes for the two series diverged significantly</w:t>
      </w:r>
      <w:r w:rsidR="00AA7EDD" w:rsidRPr="00A2389A">
        <w:t xml:space="preserve"> (the </w:t>
      </w:r>
      <w:r w:rsidR="00702BD0">
        <w:t>green</w:t>
      </w:r>
      <w:r w:rsidR="00702BD0" w:rsidRPr="00A2389A">
        <w:t xml:space="preserve"> </w:t>
      </w:r>
      <w:r w:rsidR="00AA7EDD" w:rsidRPr="00A2389A">
        <w:t>and blue dots in the left</w:t>
      </w:r>
      <w:r w:rsidR="009102D1">
        <w:noBreakHyphen/>
      </w:r>
      <w:r w:rsidR="00AA7EDD" w:rsidRPr="00A2389A">
        <w:t xml:space="preserve">hand panel of </w:t>
      </w:r>
      <w:r w:rsidR="002F4C80">
        <w:t>Figure</w:t>
      </w:r>
      <w:r w:rsidR="002F4C80" w:rsidRPr="00A2389A">
        <w:t xml:space="preserve"> </w:t>
      </w:r>
      <w:r w:rsidR="00AA7EDD" w:rsidRPr="00A2389A">
        <w:t>4.</w:t>
      </w:r>
      <w:r w:rsidR="002F4C80">
        <w:t>1</w:t>
      </w:r>
      <w:r w:rsidR="009231AF">
        <w:t>9</w:t>
      </w:r>
      <w:r w:rsidR="00AA7EDD" w:rsidRPr="00A2389A">
        <w:t>)</w:t>
      </w:r>
      <w:r w:rsidR="00592584" w:rsidRPr="00A2389A">
        <w:t>.</w:t>
      </w:r>
      <w:r w:rsidR="003E1304">
        <w:t xml:space="preserve"> </w:t>
      </w:r>
      <w:r w:rsidR="00592584" w:rsidRPr="00A2389A">
        <w:t>GOS grew in total by 13.9 per cent over these two years, whereas company tax (</w:t>
      </w:r>
      <w:r w:rsidR="005710FD" w:rsidRPr="00A2389A">
        <w:t>income</w:t>
      </w:r>
      <w:r w:rsidR="009102D1">
        <w:noBreakHyphen/>
      </w:r>
      <w:r w:rsidR="005710FD" w:rsidRPr="00A2389A">
        <w:t>year</w:t>
      </w:r>
      <w:r w:rsidR="00592584" w:rsidRPr="00A2389A">
        <w:t xml:space="preserve">) fell in total by </w:t>
      </w:r>
      <w:r w:rsidR="00685BDA" w:rsidRPr="00A2389A">
        <w:t>8.9</w:t>
      </w:r>
      <w:r w:rsidR="00592584" w:rsidRPr="00A2389A">
        <w:t xml:space="preserve"> per cent.</w:t>
      </w:r>
      <w:r w:rsidR="006A6AC4" w:rsidRPr="006A6AC4">
        <w:t xml:space="preserve"> </w:t>
      </w:r>
    </w:p>
    <w:p w:rsidR="0022575F" w:rsidRPr="00A2389A" w:rsidRDefault="00592584">
      <w:r w:rsidRPr="00A2389A">
        <w:t>A major c</w:t>
      </w:r>
      <w:r w:rsidR="0022575F" w:rsidRPr="00A2389A">
        <w:t>ontributing factor to the weak outcome for company tax w</w:t>
      </w:r>
      <w:r w:rsidRPr="00A2389A">
        <w:t>as</w:t>
      </w:r>
      <w:r w:rsidR="0022575F" w:rsidRPr="00A2389A">
        <w:t xml:space="preserve"> high depreciation deductions</w:t>
      </w:r>
      <w:r w:rsidR="00A6310E">
        <w:t xml:space="preserve"> (see </w:t>
      </w:r>
      <w:r w:rsidR="007931FA">
        <w:t>F</w:t>
      </w:r>
      <w:r w:rsidR="00A6310E">
        <w:t>igure 4.</w:t>
      </w:r>
      <w:r w:rsidR="009231AF">
        <w:t>20</w:t>
      </w:r>
      <w:r w:rsidR="003A4A2F">
        <w:t xml:space="preserve"> below</w:t>
      </w:r>
      <w:r w:rsidR="00A6310E">
        <w:t>)</w:t>
      </w:r>
      <w:r w:rsidR="0022575F" w:rsidRPr="00A2389A">
        <w:t xml:space="preserve">, relating to the </w:t>
      </w:r>
      <w:r w:rsidR="007931FA">
        <w:t>huge increase</w:t>
      </w:r>
      <w:r w:rsidR="0022575F" w:rsidRPr="00A2389A">
        <w:t xml:space="preserve"> in capital investment as part of the mining boom, and higher royalty expenses</w:t>
      </w:r>
      <w:r w:rsidR="00AA4C5F">
        <w:t xml:space="preserve"> (</w:t>
      </w:r>
      <w:r w:rsidR="0022575F" w:rsidRPr="00A2389A">
        <w:t>also related to increased mining activity</w:t>
      </w:r>
      <w:r w:rsidR="00AA4C5F">
        <w:t>)</w:t>
      </w:r>
      <w:r w:rsidR="0022575F" w:rsidRPr="00A2389A">
        <w:t>.</w:t>
      </w:r>
      <w:r w:rsidR="003E1304">
        <w:t xml:space="preserve"> </w:t>
      </w:r>
      <w:r w:rsidR="003F6665">
        <w:t xml:space="preserve">As mentioned, </w:t>
      </w:r>
      <w:r w:rsidR="004E2B6D">
        <w:t>GOS is measured gross of d</w:t>
      </w:r>
      <w:r w:rsidR="0022575F" w:rsidRPr="00A2389A">
        <w:t xml:space="preserve">epreciation </w:t>
      </w:r>
      <w:r w:rsidR="004E2B6D">
        <w:t>expenses. At</w:t>
      </w:r>
      <w:r w:rsidR="00AA7EDD" w:rsidRPr="00A2389A">
        <w:t xml:space="preserve"> the time</w:t>
      </w:r>
      <w:r w:rsidR="00F4724F">
        <w:t>,</w:t>
      </w:r>
      <w:r w:rsidR="00AA7EDD" w:rsidRPr="00A2389A">
        <w:t xml:space="preserve"> </w:t>
      </w:r>
      <w:r w:rsidR="004E2B6D">
        <w:t>depreciation expenses</w:t>
      </w:r>
      <w:r w:rsidR="003E1304">
        <w:t xml:space="preserve"> </w:t>
      </w:r>
      <w:r w:rsidR="00A63672" w:rsidRPr="00A2389A">
        <w:t xml:space="preserve">were </w:t>
      </w:r>
      <w:r w:rsidR="0022575F" w:rsidRPr="00A2389A">
        <w:t xml:space="preserve">forecast separately in the company tax model </w:t>
      </w:r>
      <w:r w:rsidR="00A63672" w:rsidRPr="00A2389A">
        <w:t xml:space="preserve">based on historical </w:t>
      </w:r>
      <w:r w:rsidR="004E2B6D">
        <w:t>trends</w:t>
      </w:r>
      <w:r w:rsidR="0022575F" w:rsidRPr="00A2389A">
        <w:t>.</w:t>
      </w:r>
      <w:r w:rsidR="003E1304">
        <w:t xml:space="preserve"> </w:t>
      </w:r>
      <w:r w:rsidR="0022575F" w:rsidRPr="00A2389A">
        <w:t xml:space="preserve">The methodology for forecasting depreciation deductions has been improved </w:t>
      </w:r>
      <w:r w:rsidR="00F4724F">
        <w:t xml:space="preserve">in light of </w:t>
      </w:r>
      <w:r w:rsidR="0022575F" w:rsidRPr="00A2389A">
        <w:t xml:space="preserve">this experience, and now utilises the investment forecasts produced by </w:t>
      </w:r>
      <w:r w:rsidR="003F1709">
        <w:t>the macroeconomic forecasters</w:t>
      </w:r>
      <w:r w:rsidR="0022575F" w:rsidRPr="00A2389A">
        <w:t>.</w:t>
      </w:r>
    </w:p>
    <w:p w:rsidR="00221331" w:rsidRDefault="001826CF" w:rsidP="00A8609D">
      <w:pPr>
        <w:pStyle w:val="ChartMainHeading"/>
        <w:keepNext w:val="0"/>
        <w:spacing w:after="120"/>
      </w:pPr>
      <w:r>
        <w:t>Figure</w:t>
      </w:r>
      <w:r w:rsidRPr="003C2595">
        <w:t xml:space="preserve"> </w:t>
      </w:r>
      <w:r w:rsidR="00221331" w:rsidRPr="003C2595">
        <w:t>4.</w:t>
      </w:r>
      <w:r w:rsidR="00FA3141">
        <w:t>20</w:t>
      </w:r>
      <w:r w:rsidR="00221331" w:rsidRPr="003C2595">
        <w:t>:</w:t>
      </w:r>
      <w:r w:rsidR="007709D6">
        <w:t xml:space="preserve"> </w:t>
      </w:r>
      <w:r w:rsidR="00F66887" w:rsidRPr="003C2595">
        <w:t xml:space="preserve">Depreciation </w:t>
      </w:r>
      <w:r w:rsidR="00F66887">
        <w:t>a</w:t>
      </w:r>
      <w:r w:rsidR="00F66887" w:rsidRPr="003C2595">
        <w:t>nd Other Investment</w:t>
      </w:r>
      <w:r w:rsidR="009102D1">
        <w:noBreakHyphen/>
      </w:r>
      <w:r w:rsidR="00F66887">
        <w:t>r</w:t>
      </w:r>
      <w:r w:rsidR="00F66887" w:rsidRPr="003C2595">
        <w:t>elated Deductions</w:t>
      </w:r>
    </w:p>
    <w:p w:rsidR="003C2595" w:rsidRDefault="006A6AC4" w:rsidP="00A8609D">
      <w:pPr>
        <w:pStyle w:val="ChartGraphic"/>
        <w:keepNext w:val="0"/>
      </w:pPr>
      <w:r>
        <w:object w:dxaOrig="8775" w:dyaOrig="3961">
          <v:shape id="_x0000_i1048" type="#_x0000_t75" alt="This figure shows depreciation and other investment-related deductions as a proportion of net taxable income from 1990-00 to 2009-10.&#10;" style="width:436.4pt;height:199.1pt;mso-position-horizontal:absolute" o:ole="">
            <v:imagedata r:id="rId52" o:title=""/>
          </v:shape>
          <o:OLEObject Type="Link" ProgID="Excel.Sheet.12" ShapeID="_x0000_i1048" DrawAspect="Content" r:id="rId53" UpdateMode="Always">
            <o:LinkType>Picture</o:LinkType>
            <o:LockedField/>
          </o:OLEObject>
        </w:object>
      </w:r>
    </w:p>
    <w:p w:rsidR="00CB5B42" w:rsidRPr="00A8609D" w:rsidRDefault="00CB5B42" w:rsidP="00A8609D">
      <w:pPr>
        <w:pStyle w:val="ChartorTableNote"/>
      </w:pPr>
      <w:r>
        <w:t xml:space="preserve">Note: </w:t>
      </w:r>
      <w:r w:rsidRPr="0053629A">
        <w:t xml:space="preserve">Deductions include depreciation, rents </w:t>
      </w:r>
      <w:r>
        <w:t>and</w:t>
      </w:r>
      <w:r w:rsidRPr="0053629A">
        <w:t xml:space="preserve"> royalties, research </w:t>
      </w:r>
      <w:r>
        <w:t>and</w:t>
      </w:r>
      <w:r w:rsidRPr="0053629A">
        <w:t xml:space="preserve"> development, mining exploration, capital expenditure, </w:t>
      </w:r>
      <w:r>
        <w:t>c</w:t>
      </w:r>
      <w:r w:rsidRPr="0053629A">
        <w:t>apital allowances and industry payments.</w:t>
      </w:r>
    </w:p>
    <w:p w:rsidR="0022575F" w:rsidRPr="00A2389A" w:rsidRDefault="0022575F" w:rsidP="00D34E90">
      <w:pPr>
        <w:spacing w:before="360"/>
      </w:pPr>
      <w:r w:rsidRPr="00A2389A">
        <w:lastRenderedPageBreak/>
        <w:t xml:space="preserve">In </w:t>
      </w:r>
      <w:r w:rsidR="00592584" w:rsidRPr="00A2389A">
        <w:t>addition, t</w:t>
      </w:r>
      <w:r w:rsidRPr="00A2389A">
        <w:t xml:space="preserve">he timing adjustments made to the </w:t>
      </w:r>
      <w:r w:rsidR="005710FD" w:rsidRPr="00A2389A">
        <w:t>income</w:t>
      </w:r>
      <w:r w:rsidR="009102D1">
        <w:noBreakHyphen/>
      </w:r>
      <w:r w:rsidR="005710FD" w:rsidRPr="00A2389A">
        <w:t>year</w:t>
      </w:r>
      <w:r w:rsidRPr="00A2389A">
        <w:t xml:space="preserve"> forecast for 2009</w:t>
      </w:r>
      <w:r w:rsidR="009102D1">
        <w:noBreakHyphen/>
      </w:r>
      <w:r w:rsidRPr="00A2389A">
        <w:t>10 proved to be inaccurate (as shown in the right</w:t>
      </w:r>
      <w:r w:rsidR="009102D1">
        <w:noBreakHyphen/>
      </w:r>
      <w:r w:rsidRPr="00A2389A">
        <w:t xml:space="preserve">hand panel of </w:t>
      </w:r>
      <w:r w:rsidR="002F4C80">
        <w:t>Figure</w:t>
      </w:r>
      <w:r w:rsidR="002F4C80" w:rsidRPr="00A2389A">
        <w:t xml:space="preserve"> </w:t>
      </w:r>
      <w:r w:rsidRPr="00A2389A">
        <w:t>4.</w:t>
      </w:r>
      <w:r w:rsidR="002F4C80">
        <w:t>1</w:t>
      </w:r>
      <w:r w:rsidR="009231AF">
        <w:t>9</w:t>
      </w:r>
      <w:r w:rsidRPr="00A2389A">
        <w:t>).</w:t>
      </w:r>
      <w:r w:rsidR="003E1304">
        <w:t xml:space="preserve"> </w:t>
      </w:r>
      <w:r w:rsidRPr="00A2389A">
        <w:t xml:space="preserve">Company tax was expected to fall by less on </w:t>
      </w:r>
      <w:r w:rsidR="009753CD">
        <w:t xml:space="preserve">a </w:t>
      </w:r>
      <w:r w:rsidR="009753CD" w:rsidRPr="00A2389A">
        <w:t>cash</w:t>
      </w:r>
      <w:r w:rsidR="00D906AC">
        <w:t>,</w:t>
      </w:r>
      <w:r w:rsidRPr="00A2389A">
        <w:t xml:space="preserve"> than </w:t>
      </w:r>
      <w:r w:rsidR="00F4724F">
        <w:t xml:space="preserve">on an </w:t>
      </w:r>
      <w:r w:rsidR="005710FD" w:rsidRPr="00A2389A">
        <w:t>income</w:t>
      </w:r>
      <w:r w:rsidR="009102D1">
        <w:noBreakHyphen/>
      </w:r>
      <w:r w:rsidR="005710FD" w:rsidRPr="00A2389A">
        <w:t>year</w:t>
      </w:r>
      <w:r w:rsidR="00D906AC">
        <w:t>,</w:t>
      </w:r>
      <w:r w:rsidRPr="00A2389A">
        <w:t xml:space="preserve"> basis, </w:t>
      </w:r>
      <w:r w:rsidR="00460AA4" w:rsidRPr="00A2389A">
        <w:t>due to backwards</w:t>
      </w:r>
      <w:r w:rsidR="009102D1">
        <w:noBreakHyphen/>
      </w:r>
      <w:r w:rsidR="00460AA4" w:rsidRPr="00A2389A">
        <w:t>looking elements in the company tax payment system</w:t>
      </w:r>
      <w:r w:rsidR="003F1709">
        <w:t>. In the event</w:t>
      </w:r>
      <w:r w:rsidR="00460AA4" w:rsidRPr="00A2389A">
        <w:t xml:space="preserve">, </w:t>
      </w:r>
      <w:r w:rsidR="003F1709">
        <w:t xml:space="preserve">company tax </w:t>
      </w:r>
      <w:r w:rsidRPr="00A2389A">
        <w:t>fell by around the same amount</w:t>
      </w:r>
      <w:r w:rsidR="003F1709">
        <w:t xml:space="preserve"> in 2009</w:t>
      </w:r>
      <w:r w:rsidR="009102D1">
        <w:noBreakHyphen/>
      </w:r>
      <w:r w:rsidR="003F1709">
        <w:t xml:space="preserve">10 on </w:t>
      </w:r>
      <w:r w:rsidR="00D906AC">
        <w:t xml:space="preserve">both </w:t>
      </w:r>
      <w:r w:rsidR="003F1709">
        <w:t>a cash and income year basis</w:t>
      </w:r>
      <w:r w:rsidRPr="00A2389A">
        <w:t>.</w:t>
      </w:r>
      <w:r w:rsidR="003E1304">
        <w:t xml:space="preserve"> </w:t>
      </w:r>
      <w:r w:rsidR="002C6A40">
        <w:t xml:space="preserve">In fact, the company tax forecast for </w:t>
      </w:r>
      <w:r w:rsidR="00CB2021">
        <w:t xml:space="preserve">the </w:t>
      </w:r>
      <w:r w:rsidR="002C6A40">
        <w:t>2009</w:t>
      </w:r>
      <w:r w:rsidR="009102D1">
        <w:noBreakHyphen/>
      </w:r>
      <w:r w:rsidR="002C6A40">
        <w:t xml:space="preserve">10 </w:t>
      </w:r>
      <w:r w:rsidR="00CB2021">
        <w:t>income</w:t>
      </w:r>
      <w:r w:rsidR="009102D1">
        <w:noBreakHyphen/>
      </w:r>
      <w:r w:rsidR="00CB2021">
        <w:t>year for</w:t>
      </w:r>
      <w:r w:rsidR="002C6A40">
        <w:t xml:space="preserve"> </w:t>
      </w:r>
      <w:r w:rsidR="00583EAC">
        <w:t xml:space="preserve">a fall of </w:t>
      </w:r>
      <w:r w:rsidR="002C6A40">
        <w:t>around 10 per cent turned out to be reasonably accurate</w:t>
      </w:r>
      <w:r w:rsidR="00190B1B">
        <w:t xml:space="preserve"> (left</w:t>
      </w:r>
      <w:r w:rsidR="009102D1">
        <w:noBreakHyphen/>
      </w:r>
      <w:r w:rsidR="00190B1B">
        <w:t>hand panel of Figure 4.1</w:t>
      </w:r>
      <w:r w:rsidR="0046134C">
        <w:t>9</w:t>
      </w:r>
      <w:r w:rsidR="00190B1B">
        <w:t>)</w:t>
      </w:r>
      <w:r w:rsidR="002C6A40">
        <w:t>, even though the cash forecasts for 2009</w:t>
      </w:r>
      <w:r w:rsidR="009102D1">
        <w:noBreakHyphen/>
      </w:r>
      <w:r w:rsidR="002C6A40">
        <w:t>10 and 2010</w:t>
      </w:r>
      <w:r w:rsidR="009102D1">
        <w:noBreakHyphen/>
      </w:r>
      <w:r w:rsidR="002C6A40">
        <w:t>11 were inaccurate</w:t>
      </w:r>
      <w:r w:rsidR="00950172">
        <w:t>. This</w:t>
      </w:r>
      <w:r w:rsidR="002C6A40">
        <w:t>, again</w:t>
      </w:r>
      <w:r w:rsidR="00950172">
        <w:t>,</w:t>
      </w:r>
      <w:r w:rsidR="002C6A40">
        <w:t xml:space="preserve"> indicat</w:t>
      </w:r>
      <w:r w:rsidR="00950172">
        <w:t>es</w:t>
      </w:r>
      <w:r w:rsidR="002C6A40">
        <w:t xml:space="preserve"> problems with the assumptions </w:t>
      </w:r>
      <w:r w:rsidR="00583EAC">
        <w:t xml:space="preserve">made in relation to </w:t>
      </w:r>
      <w:r w:rsidR="002C6A40">
        <w:t xml:space="preserve">the timing of </w:t>
      </w:r>
      <w:r w:rsidR="00624932">
        <w:t xml:space="preserve">cash </w:t>
      </w:r>
      <w:r w:rsidR="002C6A40">
        <w:t>payments</w:t>
      </w:r>
      <w:r w:rsidR="00624932">
        <w:t xml:space="preserve"> of company tax</w:t>
      </w:r>
      <w:r w:rsidR="002C6A40">
        <w:t xml:space="preserve">. </w:t>
      </w:r>
    </w:p>
    <w:p w:rsidR="0022575F" w:rsidRPr="00A2389A" w:rsidRDefault="0022575F">
      <w:r w:rsidRPr="00A2389A">
        <w:t>The majority of company tax is paid in quarterly instalments, based on an instalment rate derived from the most recently assessed tax return.</w:t>
      </w:r>
      <w:r w:rsidR="003E1304">
        <w:t xml:space="preserve"> </w:t>
      </w:r>
      <w:r w:rsidRPr="00A2389A">
        <w:t>This was expected to lead to overpayments of company tax on a cash basis in 2009</w:t>
      </w:r>
      <w:r w:rsidR="009102D1">
        <w:noBreakHyphen/>
      </w:r>
      <w:r w:rsidRPr="00A2389A">
        <w:t>10, since it was a year of declining taxable profits.</w:t>
      </w:r>
      <w:r w:rsidR="003E1304">
        <w:t xml:space="preserve"> </w:t>
      </w:r>
      <w:r w:rsidRPr="00A2389A">
        <w:t xml:space="preserve">However, </w:t>
      </w:r>
      <w:r w:rsidR="00AF1BF7">
        <w:t xml:space="preserve">as </w:t>
      </w:r>
      <w:r w:rsidRPr="00A2389A">
        <w:t xml:space="preserve">companies </w:t>
      </w:r>
      <w:r w:rsidR="00AF1BF7">
        <w:t xml:space="preserve">became aware </w:t>
      </w:r>
      <w:r w:rsidRPr="00A2389A">
        <w:t xml:space="preserve">that the quarterly instalment payments </w:t>
      </w:r>
      <w:r w:rsidR="00F4724F">
        <w:t xml:space="preserve">that </w:t>
      </w:r>
      <w:r w:rsidRPr="00A2389A">
        <w:t>they were making in 2009</w:t>
      </w:r>
      <w:r w:rsidR="009102D1">
        <w:noBreakHyphen/>
      </w:r>
      <w:r w:rsidRPr="00A2389A">
        <w:t>10 were likely to over</w:t>
      </w:r>
      <w:r w:rsidR="004E2B6D">
        <w:t>estimate</w:t>
      </w:r>
      <w:r w:rsidRPr="00A2389A">
        <w:t xml:space="preserve"> their </w:t>
      </w:r>
      <w:r w:rsidR="0074118A" w:rsidRPr="00A2389A">
        <w:t>yearly</w:t>
      </w:r>
      <w:r w:rsidRPr="00A2389A">
        <w:t xml:space="preserve"> tax liability, they elected to vary down their instalments payments (to a greater extent than was anticipated in the forecasts)</w:t>
      </w:r>
      <w:r w:rsidR="007709D6">
        <w:t xml:space="preserve">. </w:t>
      </w:r>
    </w:p>
    <w:p w:rsidR="00592584" w:rsidRPr="00A2389A" w:rsidRDefault="0022575F">
      <w:r w:rsidRPr="00A2389A">
        <w:t>Company tax revenue growth was also overestimated in 2010</w:t>
      </w:r>
      <w:r w:rsidR="009102D1">
        <w:noBreakHyphen/>
      </w:r>
      <w:r w:rsidRPr="00A2389A">
        <w:t xml:space="preserve">11 </w:t>
      </w:r>
      <w:r w:rsidR="00BC3EE8">
        <w:t xml:space="preserve">and, to a lesser extent, </w:t>
      </w:r>
      <w:r w:rsidRPr="00A2389A">
        <w:t>in 2011</w:t>
      </w:r>
      <w:r w:rsidR="009102D1">
        <w:noBreakHyphen/>
      </w:r>
      <w:r w:rsidRPr="00A2389A">
        <w:t xml:space="preserve">12. The reasons behind these forecast errors will be difficult to discern until </w:t>
      </w:r>
      <w:r w:rsidR="004B240D" w:rsidRPr="00A2389A">
        <w:t>tax return</w:t>
      </w:r>
      <w:r w:rsidRPr="00A2389A">
        <w:t xml:space="preserve"> data are available for these </w:t>
      </w:r>
      <w:r w:rsidR="00BC2B59" w:rsidRPr="00A2389A">
        <w:t xml:space="preserve">income </w:t>
      </w:r>
      <w:r w:rsidRPr="00A2389A">
        <w:t>years</w:t>
      </w:r>
      <w:r w:rsidRPr="00A2389A">
        <w:rPr>
          <w:vertAlign w:val="superscript"/>
        </w:rPr>
        <w:footnoteReference w:id="6"/>
      </w:r>
      <w:r w:rsidRPr="00A2389A">
        <w:t>.</w:t>
      </w:r>
      <w:r w:rsidR="003E1304">
        <w:t xml:space="preserve"> </w:t>
      </w:r>
      <w:r w:rsidRPr="00A2389A">
        <w:t xml:space="preserve">In both years, the company tax growth rates were adjusted upwards in translating from </w:t>
      </w:r>
      <w:r w:rsidR="005710FD" w:rsidRPr="00A2389A">
        <w:t>income</w:t>
      </w:r>
      <w:r w:rsidR="009102D1">
        <w:noBreakHyphen/>
      </w:r>
      <w:r w:rsidR="005710FD" w:rsidRPr="00A2389A">
        <w:t>year</w:t>
      </w:r>
      <w:r w:rsidRPr="00A2389A">
        <w:t xml:space="preserve"> to cash forecasts.</w:t>
      </w:r>
      <w:r w:rsidR="003E1304">
        <w:t xml:space="preserve"> </w:t>
      </w:r>
      <w:r w:rsidRPr="00A2389A">
        <w:t>This is based on the typical pattern of company tax payments after a downturn, where instalments rates are varied upwards as profits recover</w:t>
      </w:r>
      <w:r w:rsidRPr="00A2389A">
        <w:rPr>
          <w:vertAlign w:val="superscript"/>
        </w:rPr>
        <w:footnoteReference w:id="7"/>
      </w:r>
      <w:r w:rsidRPr="00A2389A">
        <w:t xml:space="preserve">. </w:t>
      </w:r>
    </w:p>
    <w:p w:rsidR="00016D82" w:rsidRPr="00A2389A" w:rsidRDefault="004B7DAD">
      <w:r>
        <w:t>The counterfactual exercise finds that</w:t>
      </w:r>
      <w:r w:rsidR="00014122" w:rsidRPr="00A2389A">
        <w:t xml:space="preserve"> the forecast errors do not improve </w:t>
      </w:r>
      <w:r>
        <w:t>w</w:t>
      </w:r>
      <w:r w:rsidRPr="00A2389A">
        <w:t xml:space="preserve">hen the GOS outcomes are applied to the current company tax model </w:t>
      </w:r>
      <w:r w:rsidR="00014122" w:rsidRPr="00A2389A">
        <w:t>(as shown in the right</w:t>
      </w:r>
      <w:r w:rsidR="009102D1">
        <w:noBreakHyphen/>
      </w:r>
      <w:r w:rsidR="00014122" w:rsidRPr="00A2389A">
        <w:t xml:space="preserve">hand panel of </w:t>
      </w:r>
      <w:r w:rsidR="002514B8">
        <w:t>Figure 4.1</w:t>
      </w:r>
      <w:r w:rsidR="009231AF">
        <w:t>6</w:t>
      </w:r>
      <w:r w:rsidR="00065DB6">
        <w:t>,</w:t>
      </w:r>
      <w:r w:rsidR="00014122" w:rsidRPr="00A2389A">
        <w:t xml:space="preserve"> above</w:t>
      </w:r>
      <w:r w:rsidR="007A7D0C">
        <w:t>)</w:t>
      </w:r>
      <w:r w:rsidR="00014122" w:rsidRPr="00A2389A">
        <w:t>.</w:t>
      </w:r>
      <w:r w:rsidR="003E1304">
        <w:t xml:space="preserve"> </w:t>
      </w:r>
      <w:r w:rsidR="00014122" w:rsidRPr="00A2389A">
        <w:t xml:space="preserve">In particular, the overestimation </w:t>
      </w:r>
      <w:r w:rsidR="00065DB6">
        <w:t xml:space="preserve">of company tax increases </w:t>
      </w:r>
      <w:r w:rsidR="00014122" w:rsidRPr="00A2389A">
        <w:t>in 2009</w:t>
      </w:r>
      <w:r w:rsidR="009102D1">
        <w:noBreakHyphen/>
      </w:r>
      <w:r w:rsidR="00014122" w:rsidRPr="00A2389A">
        <w:t>10</w:t>
      </w:r>
      <w:r w:rsidR="00065DB6">
        <w:t>,</w:t>
      </w:r>
      <w:r w:rsidR="00014122" w:rsidRPr="00A2389A">
        <w:t xml:space="preserve"> due to the </w:t>
      </w:r>
      <w:r w:rsidR="00BC2B59" w:rsidRPr="00A2389A">
        <w:t>G</w:t>
      </w:r>
      <w:r w:rsidR="00014122" w:rsidRPr="00A2389A">
        <w:t xml:space="preserve">OS outcome being significantly </w:t>
      </w:r>
      <w:r w:rsidR="004E2B6D">
        <w:t>higher</w:t>
      </w:r>
      <w:r w:rsidR="00014122" w:rsidRPr="00A2389A">
        <w:t xml:space="preserve"> than forecast, </w:t>
      </w:r>
      <w:r>
        <w:t xml:space="preserve">with </w:t>
      </w:r>
      <w:r w:rsidR="00014122" w:rsidRPr="00A2389A">
        <w:t>flow</w:t>
      </w:r>
      <w:r w:rsidR="009102D1">
        <w:noBreakHyphen/>
      </w:r>
      <w:r w:rsidR="00014122" w:rsidRPr="00A2389A">
        <w:t>on implications for the 2010</w:t>
      </w:r>
      <w:r w:rsidR="009102D1">
        <w:noBreakHyphen/>
      </w:r>
      <w:r w:rsidR="00014122" w:rsidRPr="00A2389A">
        <w:t xml:space="preserve">11 </w:t>
      </w:r>
      <w:r>
        <w:t xml:space="preserve">forecast </w:t>
      </w:r>
      <w:r w:rsidR="00014122" w:rsidRPr="00A2389A">
        <w:t>error, due to the lags in the company tax payment system.</w:t>
      </w:r>
    </w:p>
    <w:p w:rsidR="00016D82" w:rsidRPr="00A2389A" w:rsidRDefault="009231AF">
      <w:r>
        <w:t>F</w:t>
      </w:r>
      <w:r w:rsidR="000B0CEF">
        <w:t>igure</w:t>
      </w:r>
      <w:r w:rsidR="00016D82" w:rsidRPr="00A2389A">
        <w:t xml:space="preserve"> </w:t>
      </w:r>
      <w:r w:rsidR="00702BD0">
        <w:t>4.</w:t>
      </w:r>
      <w:r>
        <w:t xml:space="preserve">21, </w:t>
      </w:r>
      <w:r w:rsidR="00016D82" w:rsidRPr="00A2389A">
        <w:t>below</w:t>
      </w:r>
      <w:r w:rsidR="00B93E5D">
        <w:t>,</w:t>
      </w:r>
      <w:r w:rsidR="00016D82" w:rsidRPr="00A2389A">
        <w:t xml:space="preserve"> shows the historical mismatch between </w:t>
      </w:r>
      <w:r w:rsidR="004B7DAD">
        <w:t xml:space="preserve">estimates of </w:t>
      </w:r>
      <w:r w:rsidR="004B7DAD" w:rsidRPr="00A2389A">
        <w:t>company tax (income</w:t>
      </w:r>
      <w:r w:rsidR="009102D1">
        <w:noBreakHyphen/>
      </w:r>
      <w:r w:rsidR="004B7DAD" w:rsidRPr="00A2389A">
        <w:t xml:space="preserve">year) </w:t>
      </w:r>
      <w:r w:rsidR="004B7DAD">
        <w:t xml:space="preserve">based upon </w:t>
      </w:r>
      <w:r w:rsidR="004B7DAD" w:rsidRPr="00A2389A">
        <w:t xml:space="preserve">GOS </w:t>
      </w:r>
      <w:r w:rsidR="004B7DAD">
        <w:t xml:space="preserve">and </w:t>
      </w:r>
      <w:r w:rsidR="00016D82" w:rsidRPr="00A2389A">
        <w:t>actual company tax (income</w:t>
      </w:r>
      <w:r w:rsidR="009102D1">
        <w:noBreakHyphen/>
      </w:r>
      <w:r w:rsidR="00016D82" w:rsidRPr="00A2389A">
        <w:t>year) outcomes</w:t>
      </w:r>
      <w:r w:rsidR="00EE7AA3" w:rsidRPr="00A2389A">
        <w:t>.</w:t>
      </w:r>
      <w:r w:rsidR="003E1304">
        <w:t xml:space="preserve"> </w:t>
      </w:r>
      <w:r w:rsidR="00EE7AA3" w:rsidRPr="00A2389A">
        <w:t xml:space="preserve">This shows that even when all of the economic and tax schedule data are known, it is not possible to </w:t>
      </w:r>
      <w:r w:rsidR="004B7DAD">
        <w:t xml:space="preserve">completely </w:t>
      </w:r>
      <w:r w:rsidR="00EE7AA3" w:rsidRPr="00A2389A">
        <w:t>reconcile the actual company tax outcomes with GOS.</w:t>
      </w:r>
      <w:r w:rsidR="004B7DAD" w:rsidRPr="004B7DAD">
        <w:t xml:space="preserve"> </w:t>
      </w:r>
      <w:r w:rsidR="004B7DAD">
        <w:t>That said, the relationship was stable over the five</w:t>
      </w:r>
      <w:r w:rsidR="009102D1">
        <w:noBreakHyphen/>
      </w:r>
      <w:r w:rsidR="004B7DAD">
        <w:t>year period between 2003</w:t>
      </w:r>
      <w:r w:rsidR="009102D1">
        <w:noBreakHyphen/>
      </w:r>
      <w:r w:rsidR="004B7DAD">
        <w:t>04 and 2007</w:t>
      </w:r>
      <w:r w:rsidR="009102D1">
        <w:noBreakHyphen/>
      </w:r>
      <w:r w:rsidR="004B7DAD">
        <w:t xml:space="preserve">08. In recent years the relationship appears to have deteriorated. </w:t>
      </w:r>
    </w:p>
    <w:p w:rsidR="00223F7E" w:rsidRPr="003C2595" w:rsidRDefault="001826CF" w:rsidP="00A8609D">
      <w:pPr>
        <w:pStyle w:val="ChartMainHeading"/>
        <w:keepNext w:val="0"/>
        <w:spacing w:after="0"/>
      </w:pPr>
      <w:r>
        <w:t>Figure</w:t>
      </w:r>
      <w:r w:rsidRPr="003C2595">
        <w:t xml:space="preserve"> </w:t>
      </w:r>
      <w:r w:rsidR="00223F7E" w:rsidRPr="003C2595">
        <w:t>4.</w:t>
      </w:r>
      <w:r>
        <w:t>2</w:t>
      </w:r>
      <w:r w:rsidR="00FA3141">
        <w:t>1</w:t>
      </w:r>
      <w:r w:rsidR="00223F7E" w:rsidRPr="003C2595">
        <w:t>:</w:t>
      </w:r>
      <w:r w:rsidR="003E1304">
        <w:t xml:space="preserve"> </w:t>
      </w:r>
      <w:r w:rsidR="00F66887" w:rsidRPr="003C2595">
        <w:t xml:space="preserve">Actual Company Tax Collections </w:t>
      </w:r>
      <w:r w:rsidR="00F66887">
        <w:t>v</w:t>
      </w:r>
      <w:r w:rsidR="00F66887" w:rsidRPr="003C2595">
        <w:t xml:space="preserve">ersus Company Tax Calculated </w:t>
      </w:r>
      <w:r w:rsidR="00F66887">
        <w:t>f</w:t>
      </w:r>
      <w:r w:rsidR="00F66887" w:rsidRPr="003C2595">
        <w:t>rom G</w:t>
      </w:r>
      <w:r w:rsidR="00F66887">
        <w:t>OS</w:t>
      </w:r>
    </w:p>
    <w:p w:rsidR="00223F7E" w:rsidRDefault="006A6AC4" w:rsidP="00A8609D">
      <w:pPr>
        <w:pStyle w:val="ChartGraphic"/>
        <w:keepNext w:val="0"/>
      </w:pPr>
      <w:r>
        <w:object w:dxaOrig="8775" w:dyaOrig="3961">
          <v:shape id="_x0000_i1049" type="#_x0000_t75" alt="This figure shows the ratio between actual company tax collections and company tax calculated from Gross Operating Surplus.&#10;" style="width:436.4pt;height:199.1pt;mso-position-horizontal:absolute" o:ole="">
            <v:imagedata r:id="rId54" o:title=""/>
          </v:shape>
          <o:OLEObject Type="Link" ProgID="Excel.Sheet.12" ShapeID="_x0000_i1049" DrawAspect="Content" r:id="rId55" UpdateMode="Always">
            <o:LinkType>EnhancedMetaFile</o:LinkType>
            <o:LockedField/>
          </o:OLEObject>
        </w:object>
      </w:r>
    </w:p>
    <w:p w:rsidR="00CB5B42" w:rsidRPr="00A8609D" w:rsidRDefault="00CB5B42" w:rsidP="00A8609D">
      <w:pPr>
        <w:pStyle w:val="ChartorTableNote"/>
      </w:pPr>
      <w:r>
        <w:t>Note: The ratio is set equal to one in 2003</w:t>
      </w:r>
      <w:r w:rsidR="009102D1">
        <w:noBreakHyphen/>
      </w:r>
      <w:r>
        <w:t>04.</w:t>
      </w:r>
    </w:p>
    <w:p w:rsidR="007257C6" w:rsidRPr="00A2389A" w:rsidRDefault="00BC2B59" w:rsidP="00D34E90">
      <w:pPr>
        <w:spacing w:before="360"/>
      </w:pPr>
      <w:r w:rsidRPr="00A2389A">
        <w:lastRenderedPageBreak/>
        <w:t xml:space="preserve">It is possible that future revisions to the GOS outcomes may </w:t>
      </w:r>
      <w:r w:rsidR="00BB4F6C">
        <w:t xml:space="preserve">improve </w:t>
      </w:r>
      <w:r w:rsidRPr="00A2389A">
        <w:t>the relationship between GOS and company tax</w:t>
      </w:r>
      <w:r w:rsidR="00BB4F6C">
        <w:t xml:space="preserve"> in rece</w:t>
      </w:r>
      <w:r w:rsidR="00130DED">
        <w:t>n</w:t>
      </w:r>
      <w:r w:rsidR="00BB4F6C">
        <w:t>t years</w:t>
      </w:r>
      <w:r w:rsidRPr="00A2389A">
        <w:t>.</w:t>
      </w:r>
      <w:r w:rsidR="003E1304">
        <w:t xml:space="preserve"> </w:t>
      </w:r>
      <w:r w:rsidR="00460AA4" w:rsidRPr="00A2389A">
        <w:t xml:space="preserve">In the past, </w:t>
      </w:r>
      <w:r w:rsidR="007257C6" w:rsidRPr="00A2389A">
        <w:t xml:space="preserve">GOS </w:t>
      </w:r>
      <w:r w:rsidR="00460AA4" w:rsidRPr="00A2389A">
        <w:t xml:space="preserve">has </w:t>
      </w:r>
      <w:r w:rsidR="00EF1E65" w:rsidRPr="00A2389A">
        <w:t>be</w:t>
      </w:r>
      <w:r w:rsidR="00460AA4" w:rsidRPr="00A2389A">
        <w:t>en</w:t>
      </w:r>
      <w:r w:rsidR="007257C6" w:rsidRPr="00A2389A">
        <w:t xml:space="preserve"> revised</w:t>
      </w:r>
      <w:r w:rsidR="00EF1E65" w:rsidRPr="00A2389A">
        <w:t xml:space="preserve"> </w:t>
      </w:r>
      <w:r w:rsidR="00460AA4" w:rsidRPr="00A2389A">
        <w:t>significantly</w:t>
      </w:r>
      <w:r w:rsidR="00477D78">
        <w:t>:</w:t>
      </w:r>
      <w:r w:rsidR="00EF1E65" w:rsidRPr="00A2389A">
        <w:t xml:space="preserve"> for example, the outcome for </w:t>
      </w:r>
      <w:r w:rsidR="00477D78">
        <w:t xml:space="preserve">growth in GOS in </w:t>
      </w:r>
      <w:r w:rsidR="00EF1E65" w:rsidRPr="00A2389A">
        <w:t>2008</w:t>
      </w:r>
      <w:r w:rsidR="009102D1">
        <w:noBreakHyphen/>
      </w:r>
      <w:r w:rsidR="00EF1E65" w:rsidRPr="00A2389A">
        <w:t xml:space="preserve">09 </w:t>
      </w:r>
      <w:r w:rsidR="00065DB6">
        <w:t>was</w:t>
      </w:r>
      <w:r w:rsidR="00EF1E65" w:rsidRPr="00A2389A">
        <w:t xml:space="preserve"> revised </w:t>
      </w:r>
      <w:r w:rsidR="00477D78">
        <w:t xml:space="preserve">upwards </w:t>
      </w:r>
      <w:r w:rsidR="00EF1E65" w:rsidRPr="00A2389A">
        <w:t>from 6.8</w:t>
      </w:r>
      <w:r w:rsidR="003E1304">
        <w:t xml:space="preserve"> </w:t>
      </w:r>
      <w:r w:rsidR="00EF1E65" w:rsidRPr="00A2389A">
        <w:t>per</w:t>
      </w:r>
      <w:r w:rsidR="003E1304">
        <w:t xml:space="preserve"> </w:t>
      </w:r>
      <w:r w:rsidR="00EF1E65" w:rsidRPr="00A2389A">
        <w:t>cent</w:t>
      </w:r>
      <w:r w:rsidR="00BB4F6C">
        <w:t>,</w:t>
      </w:r>
      <w:r w:rsidR="00EF1E65" w:rsidRPr="00A2389A">
        <w:t xml:space="preserve"> as first published</w:t>
      </w:r>
      <w:r w:rsidR="00BB4F6C">
        <w:t>,</w:t>
      </w:r>
      <w:r w:rsidR="00EF1E65" w:rsidRPr="00A2389A">
        <w:t xml:space="preserve"> to 14.2 per cent (as at the June 2012 National Accounts).</w:t>
      </w:r>
      <w:r w:rsidR="003E1304">
        <w:t xml:space="preserve"> </w:t>
      </w:r>
      <w:r w:rsidR="00DF739A">
        <w:t>As they stand</w:t>
      </w:r>
      <w:r w:rsidR="004B7DAD">
        <w:t>,</w:t>
      </w:r>
      <w:r w:rsidR="00DF739A">
        <w:t xml:space="preserve"> the current GOS outcomes for 2008</w:t>
      </w:r>
      <w:r w:rsidR="009102D1">
        <w:noBreakHyphen/>
      </w:r>
      <w:r w:rsidR="00DF739A">
        <w:t>09 and 2009</w:t>
      </w:r>
      <w:r w:rsidR="009102D1">
        <w:noBreakHyphen/>
      </w:r>
      <w:r w:rsidR="00DF739A">
        <w:t>10 are particularly difficult to reconcile with the company tax outcomes through the GFC.</w:t>
      </w:r>
    </w:p>
    <w:p w:rsidR="00477D78" w:rsidRDefault="00014122">
      <w:r w:rsidRPr="00A2389A">
        <w:t xml:space="preserve">Significant work has been </w:t>
      </w:r>
      <w:r w:rsidR="00477D78">
        <w:t xml:space="preserve">undertaken </w:t>
      </w:r>
      <w:r w:rsidRPr="00A2389A">
        <w:t>to improv</w:t>
      </w:r>
      <w:r w:rsidR="008B15A7">
        <w:t>e</w:t>
      </w:r>
      <w:r w:rsidRPr="00A2389A">
        <w:t xml:space="preserve"> the company tax model </w:t>
      </w:r>
      <w:r w:rsidR="007E7AA4">
        <w:t>in response to</w:t>
      </w:r>
      <w:r w:rsidRPr="00A2389A">
        <w:t xml:space="preserve"> the </w:t>
      </w:r>
      <w:r w:rsidR="00FF5284">
        <w:t>forecast errors that have been observed in recent years</w:t>
      </w:r>
      <w:r w:rsidRPr="00A2389A">
        <w:t>.</w:t>
      </w:r>
      <w:r w:rsidR="003E1304">
        <w:t xml:space="preserve"> </w:t>
      </w:r>
      <w:r w:rsidRPr="00A2389A">
        <w:t xml:space="preserve">In particular, Treasury is developing a three sector company tax model </w:t>
      </w:r>
      <w:r w:rsidR="00C67FAE" w:rsidRPr="00A2389A">
        <w:t xml:space="preserve">which splits the economy into mining, finance </w:t>
      </w:r>
      <w:r w:rsidR="006140AD">
        <w:t>and</w:t>
      </w:r>
      <w:r w:rsidR="006140AD" w:rsidRPr="00A2389A">
        <w:t xml:space="preserve"> </w:t>
      </w:r>
      <w:r w:rsidR="00C67FAE" w:rsidRPr="00A2389A">
        <w:t>insurance and other sectors.</w:t>
      </w:r>
      <w:r w:rsidR="003E1304">
        <w:t xml:space="preserve"> </w:t>
      </w:r>
      <w:r w:rsidR="00477D78">
        <w:t>This should allow the model to take better account of the different characteristics of the</w:t>
      </w:r>
      <w:r w:rsidR="00FF5284">
        <w:t>se</w:t>
      </w:r>
      <w:r w:rsidR="00477D78">
        <w:t xml:space="preserve"> sectors</w:t>
      </w:r>
      <w:r w:rsidR="008B15A7">
        <w:t xml:space="preserve">, such as: </w:t>
      </w:r>
    </w:p>
    <w:p w:rsidR="00477D78" w:rsidRDefault="00C67FAE" w:rsidP="0053629A">
      <w:pPr>
        <w:pStyle w:val="Bullet"/>
      </w:pPr>
      <w:r w:rsidRPr="00A2389A">
        <w:t>the greater role of the mining sector in the Australian economy</w:t>
      </w:r>
      <w:r w:rsidR="00477D78">
        <w:t xml:space="preserve"> and</w:t>
      </w:r>
      <w:r w:rsidRPr="00A2389A">
        <w:t xml:space="preserve"> </w:t>
      </w:r>
      <w:r w:rsidR="007E7AA4">
        <w:t xml:space="preserve">its </w:t>
      </w:r>
      <w:r w:rsidRPr="00A2389A">
        <w:t>capital</w:t>
      </w:r>
      <w:r w:rsidR="009102D1">
        <w:noBreakHyphen/>
      </w:r>
      <w:r w:rsidRPr="00A2389A">
        <w:t xml:space="preserve">intensive </w:t>
      </w:r>
      <w:r w:rsidR="008B15A7">
        <w:t>nature</w:t>
      </w:r>
      <w:r w:rsidR="00477D78">
        <w:t>;</w:t>
      </w:r>
    </w:p>
    <w:p w:rsidR="00477D78" w:rsidRDefault="00723363" w:rsidP="0053629A">
      <w:pPr>
        <w:pStyle w:val="Bullet"/>
      </w:pPr>
      <w:r>
        <w:t>the measurement of the income of the finance sector in the National Accounts</w:t>
      </w:r>
      <w:r w:rsidR="00FF5284">
        <w:t>; and</w:t>
      </w:r>
    </w:p>
    <w:p w:rsidR="003A3922" w:rsidRPr="00A2389A" w:rsidRDefault="009753CD" w:rsidP="0053629A">
      <w:pPr>
        <w:pStyle w:val="Bullet"/>
      </w:pPr>
      <w:r w:rsidRPr="00715B53">
        <w:t xml:space="preserve">substituted accounting periods, </w:t>
      </w:r>
      <w:r w:rsidR="00FF5284">
        <w:t xml:space="preserve">which </w:t>
      </w:r>
      <w:r w:rsidRPr="00715B53">
        <w:t>makes it more difficult to accurately estimate the timing of the receipt of cash payments of corporate tax.</w:t>
      </w:r>
      <w:r w:rsidR="003E1304">
        <w:t xml:space="preserve"> </w:t>
      </w:r>
      <w:r w:rsidR="00FF5284">
        <w:t>I</w:t>
      </w:r>
      <w:r w:rsidR="00FF5284" w:rsidRPr="00715B53">
        <w:t xml:space="preserve">n particular </w:t>
      </w:r>
      <w:r w:rsidR="007E7AA4">
        <w:t xml:space="preserve">many </w:t>
      </w:r>
      <w:r w:rsidR="00FF5284" w:rsidRPr="00715B53">
        <w:t xml:space="preserve">large financial companies operate on an accounting year ending in September and </w:t>
      </w:r>
      <w:r w:rsidR="007E7AA4">
        <w:t xml:space="preserve">many </w:t>
      </w:r>
      <w:r w:rsidR="00FF5284" w:rsidRPr="00715B53">
        <w:t xml:space="preserve">large mining companies </w:t>
      </w:r>
      <w:r w:rsidR="007E7AA4">
        <w:t xml:space="preserve">operate on an </w:t>
      </w:r>
      <w:r w:rsidR="00FF5284" w:rsidRPr="00715B53">
        <w:t>accounting year end</w:t>
      </w:r>
      <w:r w:rsidR="007E7AA4">
        <w:t>ing</w:t>
      </w:r>
      <w:r w:rsidR="00FF5284" w:rsidRPr="00715B53">
        <w:t xml:space="preserve"> in December.</w:t>
      </w:r>
    </w:p>
    <w:p w:rsidR="006140AD" w:rsidRDefault="003A3922" w:rsidP="00D34E90">
      <w:pPr>
        <w:pStyle w:val="Bullet"/>
        <w:numPr>
          <w:ilvl w:val="0"/>
          <w:numId w:val="0"/>
        </w:numPr>
      </w:pPr>
      <w:r w:rsidRPr="009C19F0">
        <w:t xml:space="preserve">Notwithstanding these developments, </w:t>
      </w:r>
      <w:r w:rsidR="009F2B5D">
        <w:t>due to</w:t>
      </w:r>
      <w:r w:rsidRPr="009C19F0">
        <w:t xml:space="preserve"> the difficulty </w:t>
      </w:r>
      <w:r w:rsidR="00A9256B">
        <w:t xml:space="preserve">that </w:t>
      </w:r>
      <w:r w:rsidRPr="009C19F0">
        <w:t>Treasury has had forecasting revenue</w:t>
      </w:r>
      <w:r>
        <w:t>,</w:t>
      </w:r>
      <w:r w:rsidRPr="009C19F0">
        <w:t xml:space="preserve"> in particular company tax revenue, the Review recommends that:</w:t>
      </w:r>
    </w:p>
    <w:tbl>
      <w:tblPr>
        <w:tblW w:w="9072" w:type="dxa"/>
        <w:tblInd w:w="108" w:type="dxa"/>
        <w:shd w:val="clear" w:color="auto" w:fill="C6D9F1"/>
        <w:tblLook w:val="01E0" w:firstRow="1" w:lastRow="1" w:firstColumn="1" w:lastColumn="1" w:noHBand="0" w:noVBand="0"/>
      </w:tblPr>
      <w:tblGrid>
        <w:gridCol w:w="9072"/>
      </w:tblGrid>
      <w:tr w:rsidR="006140AD" w:rsidTr="007F2DF7">
        <w:tc>
          <w:tcPr>
            <w:tcW w:w="5000" w:type="pct"/>
            <w:shd w:val="clear" w:color="auto" w:fill="C6D9F1"/>
          </w:tcPr>
          <w:p w:rsidR="006140AD" w:rsidRDefault="006140AD" w:rsidP="00432C0D">
            <w:pPr>
              <w:pStyle w:val="BoxHeading"/>
              <w:spacing w:before="180"/>
              <w:rPr>
                <w:bCs/>
              </w:rPr>
            </w:pPr>
            <w:r w:rsidRPr="008870C7">
              <w:rPr>
                <w:u w:val="single"/>
              </w:rPr>
              <w:t>Recommendation</w:t>
            </w:r>
            <w:r>
              <w:rPr>
                <w:u w:val="single"/>
              </w:rPr>
              <w:t xml:space="preserve"> 9</w:t>
            </w:r>
            <w:r w:rsidRPr="009C19F0">
              <w:t>:</w:t>
            </w:r>
          </w:p>
          <w:p w:rsidR="006140AD" w:rsidRPr="008950C5" w:rsidRDefault="006140AD" w:rsidP="00432C0D">
            <w:pPr>
              <w:pStyle w:val="BoxText"/>
              <w:spacing w:before="120" w:after="180"/>
              <w:rPr>
                <w:bCs w:val="0"/>
              </w:rPr>
            </w:pPr>
            <w:r w:rsidRPr="009C19F0">
              <w:t>Treasury should give further consideration to the appropriate balance between the top</w:t>
            </w:r>
            <w:r w:rsidR="009102D1">
              <w:noBreakHyphen/>
            </w:r>
            <w:r w:rsidRPr="009C19F0">
              <w:t>down versus bottom</w:t>
            </w:r>
            <w:r w:rsidR="009102D1">
              <w:noBreakHyphen/>
            </w:r>
            <w:r w:rsidRPr="009C19F0">
              <w:t>up approaches to forecasting revenue.</w:t>
            </w:r>
          </w:p>
        </w:tc>
      </w:tr>
    </w:tbl>
    <w:p w:rsidR="006140AD" w:rsidRPr="00A8609D" w:rsidRDefault="006140AD" w:rsidP="00D34E90">
      <w:pPr>
        <w:pStyle w:val="Bullet"/>
        <w:numPr>
          <w:ilvl w:val="0"/>
          <w:numId w:val="0"/>
        </w:numPr>
        <w:rPr>
          <w:sz w:val="2"/>
          <w:szCs w:val="2"/>
        </w:rPr>
      </w:pPr>
    </w:p>
    <w:tbl>
      <w:tblPr>
        <w:tblW w:w="9072" w:type="dxa"/>
        <w:tblInd w:w="108" w:type="dxa"/>
        <w:shd w:val="clear" w:color="auto" w:fill="C6D9F1"/>
        <w:tblLook w:val="01E0" w:firstRow="1" w:lastRow="1" w:firstColumn="1" w:lastColumn="1" w:noHBand="0" w:noVBand="0"/>
      </w:tblPr>
      <w:tblGrid>
        <w:gridCol w:w="9072"/>
      </w:tblGrid>
      <w:tr w:rsidR="006140AD" w:rsidTr="007F2DF7">
        <w:tc>
          <w:tcPr>
            <w:tcW w:w="5000" w:type="pct"/>
            <w:shd w:val="clear" w:color="auto" w:fill="C6D9F1"/>
          </w:tcPr>
          <w:p w:rsidR="006140AD" w:rsidRDefault="006140AD" w:rsidP="00432C0D">
            <w:pPr>
              <w:pStyle w:val="BoxHeading"/>
              <w:spacing w:before="180"/>
              <w:rPr>
                <w:bCs/>
              </w:rPr>
            </w:pPr>
            <w:r w:rsidRPr="008870C7">
              <w:rPr>
                <w:u w:val="single"/>
              </w:rPr>
              <w:t>Recommendation</w:t>
            </w:r>
            <w:r>
              <w:rPr>
                <w:u w:val="single"/>
              </w:rPr>
              <w:t xml:space="preserve"> 10</w:t>
            </w:r>
            <w:r w:rsidRPr="009C19F0">
              <w:t>:</w:t>
            </w:r>
          </w:p>
          <w:p w:rsidR="006140AD" w:rsidRPr="008950C5" w:rsidRDefault="006140AD" w:rsidP="00432C0D">
            <w:pPr>
              <w:pStyle w:val="BoxText"/>
              <w:spacing w:before="120" w:after="180"/>
              <w:rPr>
                <w:bCs w:val="0"/>
              </w:rPr>
            </w:pPr>
            <w:r w:rsidRPr="009C19F0">
              <w:t>Treasury</w:t>
            </w:r>
            <w:r>
              <w:t>, in conjunction with the ABS as necessary,</w:t>
            </w:r>
            <w:r w:rsidRPr="009C19F0">
              <w:t xml:space="preserve"> should explore further ways of improving the current methodology for forecasting corporate tax, and also consider alternatives to the current methodology, which could perhaps be used to complement existing approaches</w:t>
            </w:r>
            <w:r>
              <w:t>.</w:t>
            </w:r>
          </w:p>
        </w:tc>
      </w:tr>
    </w:tbl>
    <w:p w:rsidR="0022575F" w:rsidRPr="00A2389A" w:rsidRDefault="0022575F" w:rsidP="00D34E90">
      <w:pPr>
        <w:pStyle w:val="Heading4"/>
        <w:spacing w:before="360"/>
      </w:pPr>
      <w:r w:rsidRPr="00A2389A">
        <w:t>GST</w:t>
      </w:r>
    </w:p>
    <w:p w:rsidR="00FA06F5" w:rsidRPr="00A2389A" w:rsidRDefault="0022575F" w:rsidP="0053629A">
      <w:r w:rsidRPr="00A2389A">
        <w:t xml:space="preserve">During the GFC period, the outcomes for GST revenue diverged significantly from the outcomes for its main economic </w:t>
      </w:r>
      <w:r w:rsidR="00170681">
        <w:t>base</w:t>
      </w:r>
      <w:r w:rsidRPr="00A2389A">
        <w:t xml:space="preserve"> (consumption subject to GST), which presented challenges for forecasting.</w:t>
      </w:r>
      <w:r w:rsidR="00170681">
        <w:t xml:space="preserve"> </w:t>
      </w:r>
      <w:r w:rsidRPr="00A2389A">
        <w:t>GST revenue fell in 2008</w:t>
      </w:r>
      <w:r w:rsidR="009102D1">
        <w:noBreakHyphen/>
      </w:r>
      <w:r w:rsidRPr="00A2389A">
        <w:t xml:space="preserve">09, following the onset of the GFC (the </w:t>
      </w:r>
      <w:r w:rsidR="00702BD0">
        <w:t xml:space="preserve">light blue </w:t>
      </w:r>
      <w:r w:rsidRPr="00A2389A">
        <w:t xml:space="preserve">line in </w:t>
      </w:r>
      <w:r w:rsidR="00130DED">
        <w:t>Figure</w:t>
      </w:r>
      <w:r w:rsidR="00130DED" w:rsidRPr="00A2389A">
        <w:t xml:space="preserve"> </w:t>
      </w:r>
      <w:r w:rsidRPr="00A2389A">
        <w:t>4.</w:t>
      </w:r>
      <w:r w:rsidR="00130DED">
        <w:t>2</w:t>
      </w:r>
      <w:r w:rsidR="00702BD0">
        <w:t>2</w:t>
      </w:r>
      <w:r w:rsidRPr="00A2389A">
        <w:t xml:space="preserve">). At the time, </w:t>
      </w:r>
      <w:r w:rsidR="00D07E39" w:rsidRPr="00A2389A">
        <w:t xml:space="preserve">growth in </w:t>
      </w:r>
      <w:r w:rsidRPr="00A2389A">
        <w:t>consumption subject to GST fell only marginally (the blue line).</w:t>
      </w:r>
      <w:r w:rsidR="003E1304">
        <w:t xml:space="preserve"> </w:t>
      </w:r>
      <w:r w:rsidR="008359B1" w:rsidRPr="00A2389A">
        <w:t>Th</w:t>
      </w:r>
      <w:r w:rsidRPr="00A2389A">
        <w:t>is series has since been revised (the red line) and now better tracks GST revenue growth during 2008</w:t>
      </w:r>
      <w:r w:rsidR="009102D1">
        <w:noBreakHyphen/>
      </w:r>
      <w:r w:rsidRPr="00A2389A">
        <w:t xml:space="preserve">09. </w:t>
      </w:r>
      <w:r w:rsidR="00FA06F5" w:rsidRPr="00A2389A">
        <w:t>However, a large discrepancy opened up again in 2011</w:t>
      </w:r>
      <w:r w:rsidR="009102D1">
        <w:noBreakHyphen/>
      </w:r>
      <w:r w:rsidR="00FA06F5" w:rsidRPr="00A2389A">
        <w:t xml:space="preserve">12 between GST revenue and consumption subject to GST growth, with the National Accounts data again indicating a stronger economy than </w:t>
      </w:r>
      <w:r w:rsidR="00FA06F5">
        <w:t xml:space="preserve">would be suggested by </w:t>
      </w:r>
      <w:r w:rsidR="00FA06F5" w:rsidRPr="00A2389A">
        <w:t>the GST revenue data.</w:t>
      </w:r>
      <w:r w:rsidR="00FA06F5">
        <w:t xml:space="preserve"> </w:t>
      </w:r>
    </w:p>
    <w:p w:rsidR="0022575F" w:rsidRPr="003C2595" w:rsidRDefault="001826CF" w:rsidP="006A6464">
      <w:pPr>
        <w:pStyle w:val="ChartMainHeading"/>
        <w:spacing w:after="120"/>
      </w:pPr>
      <w:r>
        <w:lastRenderedPageBreak/>
        <w:t>Figure</w:t>
      </w:r>
      <w:r w:rsidRPr="003C2595">
        <w:t xml:space="preserve"> </w:t>
      </w:r>
      <w:r w:rsidR="0022575F" w:rsidRPr="003C2595">
        <w:t>4.</w:t>
      </w:r>
      <w:r>
        <w:t>2</w:t>
      </w:r>
      <w:r w:rsidR="00FA3141">
        <w:t>2</w:t>
      </w:r>
      <w:r w:rsidR="0022575F" w:rsidRPr="003C2595">
        <w:t>:</w:t>
      </w:r>
      <w:r w:rsidR="007709D6">
        <w:t xml:space="preserve"> </w:t>
      </w:r>
      <w:r w:rsidR="0022575F" w:rsidRPr="003C2595">
        <w:t xml:space="preserve">GST and </w:t>
      </w:r>
      <w:r w:rsidR="00CE1D84">
        <w:t>C</w:t>
      </w:r>
      <w:r w:rsidR="00CE1D84" w:rsidRPr="003C2595">
        <w:t xml:space="preserve">onsumption </w:t>
      </w:r>
      <w:r w:rsidR="00CE1D84">
        <w:t>S</w:t>
      </w:r>
      <w:r w:rsidR="00CE1D84" w:rsidRPr="003C2595">
        <w:t xml:space="preserve">ubject </w:t>
      </w:r>
      <w:r w:rsidR="0022575F" w:rsidRPr="003C2595">
        <w:t>to GST</w:t>
      </w:r>
    </w:p>
    <w:p w:rsidR="0022575F" w:rsidRPr="003C2595" w:rsidRDefault="006A6AC4" w:rsidP="001A176A">
      <w:pPr>
        <w:pStyle w:val="ChartGraphic"/>
      </w:pPr>
      <w:r>
        <w:object w:dxaOrig="8775" w:dyaOrig="3961">
          <v:shape id="_x0000_i1050" type="#_x0000_t75" alt="This figure charts the growth of: GST revenue, Consumption subject to GST (as reported in the December 2009 National Accounts) and Consumption subject to GST (as reported in June 2012 National Accounts)&#10;" style="width:436.4pt;height:199.1pt;mso-position-horizontal:absolute" o:ole="">
            <v:imagedata r:id="rId56" o:title=""/>
          </v:shape>
          <o:OLEObject Type="Link" ProgID="Excel.Sheet.12" ShapeID="_x0000_i1050" DrawAspect="Content" r:id="rId57" UpdateMode="Always">
            <o:LinkType>EnhancedMetaFile</o:LinkType>
            <o:LockedField>false</o:LockedField>
          </o:OLEObject>
        </w:object>
      </w:r>
    </w:p>
    <w:p w:rsidR="0022575F" w:rsidRPr="00A2389A" w:rsidRDefault="00592584" w:rsidP="00D34E90">
      <w:pPr>
        <w:spacing w:before="360"/>
      </w:pPr>
      <w:r w:rsidRPr="00A2389A">
        <w:t xml:space="preserve">When the consumption subject to GST </w:t>
      </w:r>
      <w:r w:rsidR="008359B1" w:rsidRPr="00A2389A">
        <w:t>outcomes</w:t>
      </w:r>
      <w:r w:rsidRPr="00A2389A">
        <w:t xml:space="preserve"> are applied to the GST model, the forecast errors reduce significantly (as shown in the right</w:t>
      </w:r>
      <w:r w:rsidR="009102D1">
        <w:noBreakHyphen/>
      </w:r>
      <w:r w:rsidRPr="00A2389A">
        <w:t xml:space="preserve">hand panel of </w:t>
      </w:r>
      <w:r w:rsidR="00130DED">
        <w:t>Figure</w:t>
      </w:r>
      <w:r w:rsidR="00130DED" w:rsidRPr="00A2389A">
        <w:t xml:space="preserve"> </w:t>
      </w:r>
      <w:r w:rsidRPr="00A2389A">
        <w:t>4.</w:t>
      </w:r>
      <w:r w:rsidR="00130DED">
        <w:t>1</w:t>
      </w:r>
      <w:r w:rsidR="009231AF">
        <w:t>6</w:t>
      </w:r>
      <w:r w:rsidRPr="00A2389A">
        <w:t xml:space="preserve"> above, the </w:t>
      </w:r>
      <w:r w:rsidR="00611EFE">
        <w:t xml:space="preserve">green </w:t>
      </w:r>
      <w:r w:rsidRPr="00A2389A">
        <w:t>bars), except in 2011</w:t>
      </w:r>
      <w:r w:rsidR="009102D1">
        <w:noBreakHyphen/>
      </w:r>
      <w:r w:rsidRPr="00A2389A">
        <w:t>12.</w:t>
      </w:r>
      <w:r w:rsidR="003E1304">
        <w:t xml:space="preserve"> </w:t>
      </w:r>
      <w:r w:rsidRPr="00A2389A">
        <w:t xml:space="preserve">The consumption subject to GST </w:t>
      </w:r>
      <w:r w:rsidR="008359B1" w:rsidRPr="00A2389A">
        <w:t>outcome</w:t>
      </w:r>
      <w:r w:rsidRPr="00A2389A">
        <w:t xml:space="preserve"> </w:t>
      </w:r>
      <w:r w:rsidR="008359B1" w:rsidRPr="00A2389A">
        <w:t>for 2011</w:t>
      </w:r>
      <w:r w:rsidR="009102D1">
        <w:noBreakHyphen/>
      </w:r>
      <w:r w:rsidR="008359B1" w:rsidRPr="00A2389A">
        <w:t xml:space="preserve">12 </w:t>
      </w:r>
      <w:r w:rsidR="00BF2D13" w:rsidRPr="00A2389A">
        <w:t>may</w:t>
      </w:r>
      <w:r w:rsidRPr="00A2389A">
        <w:t xml:space="preserve"> be revised in the future, as the ABS reconciles the National Accounts consumption data with the ATO tax collections data</w:t>
      </w:r>
      <w:r w:rsidR="007709D6">
        <w:t xml:space="preserve">. </w:t>
      </w:r>
    </w:p>
    <w:p w:rsidR="00297EE5" w:rsidRPr="00A2389A" w:rsidRDefault="00297EE5" w:rsidP="0053629A">
      <w:pPr>
        <w:pStyle w:val="Heading4"/>
      </w:pPr>
      <w:r w:rsidRPr="00A2389A">
        <w:t>Capital gains tax</w:t>
      </w:r>
    </w:p>
    <w:p w:rsidR="00297EE5" w:rsidRPr="00A2389A" w:rsidRDefault="0086164F" w:rsidP="003C2595">
      <w:r>
        <w:t>The</w:t>
      </w:r>
      <w:r w:rsidR="00297EE5" w:rsidRPr="00A2389A">
        <w:t xml:space="preserve"> extent of the run</w:t>
      </w:r>
      <w:r w:rsidR="009102D1">
        <w:noBreakHyphen/>
      </w:r>
      <w:r w:rsidR="00297EE5" w:rsidRPr="00A2389A">
        <w:t xml:space="preserve">up in CGT revenue during </w:t>
      </w:r>
      <w:r w:rsidR="00FB5B49" w:rsidRPr="00432C0D">
        <w:t>M</w:t>
      </w:r>
      <w:r w:rsidR="00297EE5" w:rsidRPr="00432C0D">
        <w:t xml:space="preserve">ining </w:t>
      </w:r>
      <w:r w:rsidR="00FB5B49" w:rsidRPr="00432C0D">
        <w:t>B</w:t>
      </w:r>
      <w:r w:rsidR="00297EE5" w:rsidRPr="00432C0D">
        <w:t xml:space="preserve">oom </w:t>
      </w:r>
      <w:r w:rsidR="00FB5B49" w:rsidRPr="00432C0D">
        <w:t>M</w:t>
      </w:r>
      <w:r w:rsidR="00297EE5" w:rsidRPr="00432C0D">
        <w:t>ark I</w:t>
      </w:r>
      <w:r w:rsidR="00297EE5" w:rsidRPr="0046134C">
        <w:t xml:space="preserve"> was</w:t>
      </w:r>
      <w:r w:rsidR="00297EE5" w:rsidRPr="00A2389A">
        <w:t xml:space="preserve"> unanticipated, </w:t>
      </w:r>
      <w:r>
        <w:t xml:space="preserve">as </w:t>
      </w:r>
      <w:r w:rsidR="00297EE5" w:rsidRPr="00A2389A">
        <w:t>was the extent of the drop</w:t>
      </w:r>
      <w:r w:rsidR="009102D1">
        <w:noBreakHyphen/>
      </w:r>
      <w:r w:rsidR="00297EE5" w:rsidRPr="00A2389A">
        <w:t>off following the GFC.</w:t>
      </w:r>
      <w:r w:rsidR="003E1304">
        <w:t xml:space="preserve"> </w:t>
      </w:r>
      <w:r w:rsidR="00297EE5" w:rsidRPr="00A2389A">
        <w:t xml:space="preserve">As shown in </w:t>
      </w:r>
      <w:r w:rsidR="00130DED">
        <w:t>Figure</w:t>
      </w:r>
      <w:r w:rsidR="00130DED" w:rsidRPr="00A2389A">
        <w:t xml:space="preserve"> </w:t>
      </w:r>
      <w:r w:rsidR="00297EE5" w:rsidRPr="00A2389A">
        <w:t>4.</w:t>
      </w:r>
      <w:r w:rsidR="00130DED">
        <w:t>2</w:t>
      </w:r>
      <w:r w:rsidR="009231AF">
        <w:t>3</w:t>
      </w:r>
      <w:r w:rsidR="00130DED" w:rsidRPr="00A2389A">
        <w:t xml:space="preserve"> </w:t>
      </w:r>
      <w:r w:rsidR="00297EE5" w:rsidRPr="00A2389A">
        <w:t>below, CGT peaked as a share of revenue in 2007</w:t>
      </w:r>
      <w:r w:rsidR="009102D1">
        <w:noBreakHyphen/>
      </w:r>
      <w:r w:rsidR="00297EE5" w:rsidRPr="00A2389A">
        <w:t>08</w:t>
      </w:r>
      <w:r>
        <w:t xml:space="preserve"> at</w:t>
      </w:r>
      <w:r w:rsidR="00297EE5" w:rsidRPr="00A2389A">
        <w:t xml:space="preserve"> 6.3 per cent of revenue in that year.</w:t>
      </w:r>
      <w:r w:rsidR="003E1304">
        <w:t xml:space="preserve"> </w:t>
      </w:r>
      <w:r w:rsidR="00297EE5" w:rsidRPr="00A2389A">
        <w:t>The stock market began to decline in December 2007</w:t>
      </w:r>
      <w:r w:rsidR="00460AA4" w:rsidRPr="00A2389A">
        <w:t xml:space="preserve"> and by 2010</w:t>
      </w:r>
      <w:r w:rsidR="009102D1">
        <w:noBreakHyphen/>
      </w:r>
      <w:r w:rsidR="00460AA4" w:rsidRPr="00A2389A">
        <w:t xml:space="preserve">11 </w:t>
      </w:r>
      <w:r w:rsidR="00297EE5" w:rsidRPr="00A2389A">
        <w:t xml:space="preserve">CGT comprised only 2.3 per cent of </w:t>
      </w:r>
      <w:r w:rsidR="00F86590">
        <w:t>taxation</w:t>
      </w:r>
      <w:r w:rsidR="00297EE5" w:rsidRPr="00A2389A">
        <w:t xml:space="preserve"> revenue.</w:t>
      </w:r>
    </w:p>
    <w:p w:rsidR="00297EE5" w:rsidRPr="003C2595" w:rsidRDefault="001826CF" w:rsidP="006A6464">
      <w:pPr>
        <w:pStyle w:val="ChartMainHeading"/>
        <w:spacing w:after="120"/>
      </w:pPr>
      <w:r>
        <w:t>Figure</w:t>
      </w:r>
      <w:r w:rsidRPr="003C2595">
        <w:t xml:space="preserve"> </w:t>
      </w:r>
      <w:r w:rsidR="00297EE5" w:rsidRPr="003C2595">
        <w:t>4.</w:t>
      </w:r>
      <w:r>
        <w:t>2</w:t>
      </w:r>
      <w:r w:rsidR="00FA3141">
        <w:t>3</w:t>
      </w:r>
      <w:r w:rsidR="00297EE5" w:rsidRPr="003C2595">
        <w:t>:</w:t>
      </w:r>
      <w:r w:rsidR="007709D6">
        <w:t xml:space="preserve"> </w:t>
      </w:r>
      <w:r w:rsidR="00297EE5" w:rsidRPr="003C2595">
        <w:t xml:space="preserve">Evolution of </w:t>
      </w:r>
      <w:r w:rsidR="0092610D">
        <w:t>C</w:t>
      </w:r>
      <w:r w:rsidR="00297EE5" w:rsidRPr="003C2595">
        <w:t xml:space="preserve">apital </w:t>
      </w:r>
      <w:r w:rsidR="0092610D">
        <w:t>G</w:t>
      </w:r>
      <w:r w:rsidR="00297EE5" w:rsidRPr="003C2595">
        <w:t xml:space="preserve">ains </w:t>
      </w:r>
      <w:r w:rsidR="0092610D">
        <w:t>T</w:t>
      </w:r>
      <w:r w:rsidR="00297EE5" w:rsidRPr="003C2595">
        <w:t xml:space="preserve">ax </w:t>
      </w:r>
      <w:r w:rsidR="0092610D">
        <w:t>F</w:t>
      </w:r>
      <w:r w:rsidR="00297EE5" w:rsidRPr="003C2595">
        <w:t xml:space="preserve">orecasts (as a </w:t>
      </w:r>
      <w:r w:rsidR="0092610D">
        <w:t>P</w:t>
      </w:r>
      <w:r w:rsidR="00297EE5" w:rsidRPr="003C2595">
        <w:t xml:space="preserve">ercentage of </w:t>
      </w:r>
      <w:r w:rsidR="0092610D">
        <w:t>T</w:t>
      </w:r>
      <w:r w:rsidR="00297EE5" w:rsidRPr="003C2595">
        <w:t>ax</w:t>
      </w:r>
      <w:r w:rsidR="0092610D">
        <w:t>ation</w:t>
      </w:r>
      <w:r w:rsidR="00297EE5" w:rsidRPr="003C2595">
        <w:t xml:space="preserve"> </w:t>
      </w:r>
      <w:r w:rsidR="0092610D">
        <w:t>R</w:t>
      </w:r>
      <w:r w:rsidR="00297EE5" w:rsidRPr="003C2595">
        <w:t>evenue)</w:t>
      </w:r>
    </w:p>
    <w:p w:rsidR="00297EE5" w:rsidRPr="003C2595" w:rsidRDefault="006A6AC4" w:rsidP="000C7622">
      <w:pPr>
        <w:pStyle w:val="ChartGraphic"/>
      </w:pPr>
      <w:r>
        <w:object w:dxaOrig="8775" w:dyaOrig="3961">
          <v:shape id="_x0000_i1051" type="#_x0000_t75" alt="This figure shows the evolution of capital gains tax forecasts as a percentage of taxation revenue.&#10;" style="width:436.4pt;height:199.1pt;mso-position-horizontal:absolute" o:ole="">
            <v:imagedata r:id="rId58" o:title=""/>
          </v:shape>
          <o:OLEObject Type="Link" ProgID="Excel.Sheet.12" ShapeID="_x0000_i1051" DrawAspect="Content" r:id="rId59" UpdateMode="Always">
            <o:LinkType>EnhancedMetaFile</o:LinkType>
            <o:LockedField/>
          </o:OLEObject>
        </w:object>
      </w:r>
    </w:p>
    <w:p w:rsidR="007F309E" w:rsidRDefault="007F309E" w:rsidP="00D34E90">
      <w:pPr>
        <w:spacing w:before="360"/>
      </w:pPr>
      <w:r>
        <w:br w:type="page"/>
      </w:r>
    </w:p>
    <w:p w:rsidR="00A02C1E" w:rsidRDefault="00F53F94" w:rsidP="00D34E90">
      <w:pPr>
        <w:spacing w:before="360"/>
      </w:pPr>
      <w:r>
        <w:lastRenderedPageBreak/>
        <w:t>T</w:t>
      </w:r>
      <w:r w:rsidR="00026168" w:rsidRPr="00A2389A">
        <w:t xml:space="preserve">he </w:t>
      </w:r>
      <w:r>
        <w:t xml:space="preserve">CGT </w:t>
      </w:r>
      <w:r w:rsidR="00026168" w:rsidRPr="00A2389A">
        <w:t xml:space="preserve">forecast errors reduce significantly </w:t>
      </w:r>
      <w:r>
        <w:t>w</w:t>
      </w:r>
      <w:r w:rsidRPr="00A2389A">
        <w:t xml:space="preserve">hen </w:t>
      </w:r>
      <w:r>
        <w:t xml:space="preserve">actual </w:t>
      </w:r>
      <w:r w:rsidRPr="00A2389A">
        <w:t xml:space="preserve">asset price outcomes are applied to the current model, </w:t>
      </w:r>
      <w:r w:rsidR="00026168" w:rsidRPr="00A2389A">
        <w:t>(as shown in the right</w:t>
      </w:r>
      <w:r w:rsidR="009102D1">
        <w:noBreakHyphen/>
      </w:r>
      <w:r w:rsidR="00026168" w:rsidRPr="00A2389A">
        <w:t xml:space="preserve">hand panel of </w:t>
      </w:r>
      <w:r w:rsidR="00796A9A">
        <w:t>Figure</w:t>
      </w:r>
      <w:r w:rsidR="00796A9A" w:rsidRPr="00A2389A">
        <w:t xml:space="preserve"> </w:t>
      </w:r>
      <w:r w:rsidR="00026168" w:rsidRPr="00A2389A">
        <w:t>4.</w:t>
      </w:r>
      <w:r w:rsidR="00796A9A">
        <w:t>1</w:t>
      </w:r>
      <w:r w:rsidR="009231AF">
        <w:t>6</w:t>
      </w:r>
      <w:r w:rsidR="00026168" w:rsidRPr="00A2389A">
        <w:t xml:space="preserve">, the </w:t>
      </w:r>
      <w:r w:rsidR="0078409C">
        <w:t>light blue</w:t>
      </w:r>
      <w:r w:rsidR="00026168" w:rsidRPr="00A2389A">
        <w:t xml:space="preserve"> bars</w:t>
      </w:r>
      <w:r w:rsidR="00460AA4" w:rsidRPr="00A2389A">
        <w:t>), indicating that if asset prices had been known</w:t>
      </w:r>
      <w:r>
        <w:t xml:space="preserve"> at the time the forecasts were being prepared</w:t>
      </w:r>
      <w:r w:rsidR="00460AA4" w:rsidRPr="00A2389A">
        <w:t>, the current CGT model would not have generally overestimated revenue over this period.</w:t>
      </w:r>
    </w:p>
    <w:p w:rsidR="003A3922" w:rsidRDefault="003A3922" w:rsidP="00D34E90">
      <w:r>
        <w:t xml:space="preserve">This observation leads </w:t>
      </w:r>
      <w:r w:rsidRPr="009C19F0">
        <w:t xml:space="preserve">the Review </w:t>
      </w:r>
      <w:r>
        <w:t xml:space="preserve">to </w:t>
      </w:r>
      <w:r w:rsidRPr="009C19F0">
        <w:t>recommend that</w:t>
      </w:r>
      <w:r w:rsidR="003020CC">
        <w:t>:</w:t>
      </w:r>
    </w:p>
    <w:tbl>
      <w:tblPr>
        <w:tblW w:w="9072" w:type="dxa"/>
        <w:tblInd w:w="108" w:type="dxa"/>
        <w:shd w:val="clear" w:color="auto" w:fill="C6D9F1"/>
        <w:tblLook w:val="01E0" w:firstRow="1" w:lastRow="1" w:firstColumn="1" w:lastColumn="1" w:noHBand="0" w:noVBand="0"/>
      </w:tblPr>
      <w:tblGrid>
        <w:gridCol w:w="9072"/>
      </w:tblGrid>
      <w:tr w:rsidR="006140AD" w:rsidTr="007F2DF7">
        <w:tc>
          <w:tcPr>
            <w:tcW w:w="5000" w:type="pct"/>
            <w:shd w:val="clear" w:color="auto" w:fill="C6D9F1"/>
          </w:tcPr>
          <w:p w:rsidR="006140AD" w:rsidRDefault="006140AD" w:rsidP="00432C0D">
            <w:pPr>
              <w:pStyle w:val="BoxHeading"/>
              <w:spacing w:before="180"/>
              <w:rPr>
                <w:bCs/>
              </w:rPr>
            </w:pPr>
            <w:r w:rsidRPr="00D34E90">
              <w:rPr>
                <w:u w:val="single"/>
              </w:rPr>
              <w:t>Recommendation 11</w:t>
            </w:r>
            <w:r>
              <w:t>:</w:t>
            </w:r>
          </w:p>
          <w:p w:rsidR="006140AD" w:rsidRPr="009C77B6" w:rsidRDefault="006140AD" w:rsidP="00432C0D">
            <w:pPr>
              <w:spacing w:before="120" w:after="180"/>
              <w:rPr>
                <w:bCs w:val="0"/>
              </w:rPr>
            </w:pPr>
            <w:r>
              <w:t>The technical specialist with deep financial market experience employed by Treasury should be tasked with improving the accuracy of the technical assumptions for equity and housing prices that are used to generate the capital gains tax revenue forecasts.</w:t>
            </w:r>
          </w:p>
        </w:tc>
      </w:tr>
    </w:tbl>
    <w:p w:rsidR="00B71BED" w:rsidRDefault="00B71BED" w:rsidP="00D34E90"/>
    <w:p w:rsidR="00847433" w:rsidRPr="00A2389A" w:rsidRDefault="00847433" w:rsidP="0053629A">
      <w:pPr>
        <w:spacing w:line="240" w:lineRule="auto"/>
        <w:rPr>
          <w:sz w:val="24"/>
          <w:szCs w:val="24"/>
        </w:rPr>
        <w:sectPr w:rsidR="00847433" w:rsidRPr="00A2389A" w:rsidSect="006B0A17">
          <w:headerReference w:type="even" r:id="rId60"/>
          <w:headerReference w:type="default" r:id="rId61"/>
          <w:footerReference w:type="even" r:id="rId62"/>
          <w:footerReference w:type="default" r:id="rId63"/>
          <w:footerReference w:type="first" r:id="rId64"/>
          <w:pgSz w:w="11906" w:h="16838"/>
          <w:pgMar w:top="1440" w:right="1440" w:bottom="1440" w:left="1440" w:header="708" w:footer="708" w:gutter="0"/>
          <w:pgNumType w:start="43"/>
          <w:cols w:space="708"/>
          <w:titlePg/>
          <w:docGrid w:linePitch="360"/>
        </w:sectPr>
      </w:pPr>
    </w:p>
    <w:p w:rsidR="006331AF" w:rsidRPr="0053629A" w:rsidRDefault="007A7FC3" w:rsidP="00040D53">
      <w:pPr>
        <w:pStyle w:val="Heading2"/>
      </w:pPr>
      <w:r w:rsidRPr="007A7FC3">
        <w:lastRenderedPageBreak/>
        <w:t>APPENDIX A: REVENUE FORECASTING MODELS</w:t>
      </w:r>
    </w:p>
    <w:p w:rsidR="00F309F2" w:rsidRPr="00395124" w:rsidRDefault="00F309F2" w:rsidP="00040D53">
      <w:pPr>
        <w:pStyle w:val="Heading3"/>
      </w:pPr>
      <w:r w:rsidRPr="00395124">
        <w:t xml:space="preserve">Current </w:t>
      </w:r>
      <w:r w:rsidR="00373C19">
        <w:t>C</w:t>
      </w:r>
      <w:r w:rsidRPr="00395124">
        <w:t xml:space="preserve">ompany </w:t>
      </w:r>
      <w:r w:rsidR="00373C19">
        <w:t>T</w:t>
      </w:r>
      <w:r w:rsidRPr="00395124">
        <w:t xml:space="preserve">ax </w:t>
      </w:r>
      <w:r w:rsidR="00373C19">
        <w:t>M</w:t>
      </w:r>
      <w:r w:rsidRPr="00395124">
        <w:t>odel</w:t>
      </w:r>
      <w:r w:rsidR="00796A9A">
        <w:t xml:space="preserve"> </w:t>
      </w:r>
      <w:r w:rsidR="003B10D1">
        <w:t>(Figure 4.2</w:t>
      </w:r>
      <w:r w:rsidR="009231AF">
        <w:t>4</w:t>
      </w:r>
      <w:r w:rsidR="003B10D1">
        <w:t>)</w:t>
      </w:r>
    </w:p>
    <w:p w:rsidR="00AA222C" w:rsidRPr="00A2389A" w:rsidRDefault="00AA222C" w:rsidP="00395124">
      <w:r w:rsidRPr="00A2389A">
        <w:t>Of the National Accounts variables forecast by DED, company tax is most closely related to gross operating surplus (GOS), which is a measure of company profits.</w:t>
      </w:r>
      <w:r w:rsidR="003E1304">
        <w:t xml:space="preserve"> </w:t>
      </w:r>
      <w:r w:rsidRPr="00A2389A">
        <w:t>However, the relationship is far from simple.</w:t>
      </w:r>
      <w:r w:rsidR="003E1304">
        <w:t xml:space="preserve"> </w:t>
      </w:r>
      <w:r w:rsidRPr="00A2389A">
        <w:t>There are many conceptual differences between GOS and corporate taxable income, including depreciation, the treatment of losses, net interest income and capital allowances.</w:t>
      </w:r>
      <w:r w:rsidR="003E1304">
        <w:t xml:space="preserve"> </w:t>
      </w:r>
      <w:r w:rsidRPr="00A2389A">
        <w:t>There are also significant timing differences between profits being earned and the receipt of the associated tax revenue.</w:t>
      </w:r>
      <w:r w:rsidR="003E1304">
        <w:t xml:space="preserve"> </w:t>
      </w:r>
      <w:r w:rsidRPr="00A2389A">
        <w:t>As a rule</w:t>
      </w:r>
      <w:r w:rsidR="009102D1">
        <w:noBreakHyphen/>
      </w:r>
      <w:r w:rsidRPr="00A2389A">
        <w:t>of</w:t>
      </w:r>
      <w:r w:rsidR="009102D1">
        <w:noBreakHyphen/>
      </w:r>
      <w:r w:rsidRPr="00A2389A">
        <w:t>thumb, around 60 per cent of company tax is received in the year the profit is generated, with the remaining 40 per cent received in the following year.</w:t>
      </w:r>
      <w:r w:rsidR="003E1304">
        <w:t xml:space="preserve"> </w:t>
      </w:r>
      <w:r w:rsidRPr="00A2389A">
        <w:t>This means that at times when profits are varying significantly from year</w:t>
      </w:r>
      <w:r w:rsidR="009102D1">
        <w:noBreakHyphen/>
      </w:r>
      <w:r w:rsidRPr="00A2389A">
        <w:t>to</w:t>
      </w:r>
      <w:r w:rsidR="009102D1">
        <w:noBreakHyphen/>
      </w:r>
      <w:r w:rsidRPr="00A2389A">
        <w:t>year, as occurred over the GFC period, incorrect assumptions around timing can be a major source of forecast error.</w:t>
      </w:r>
      <w:r w:rsidR="003E1304">
        <w:t xml:space="preserve"> </w:t>
      </w:r>
    </w:p>
    <w:p w:rsidR="00AA222C" w:rsidRPr="00A2389A" w:rsidRDefault="00AA222C">
      <w:r w:rsidRPr="00A2389A">
        <w:t>Part A</w:t>
      </w:r>
      <w:r w:rsidR="00565908">
        <w:t>,</w:t>
      </w:r>
      <w:r w:rsidRPr="00A2389A">
        <w:t xml:space="preserve"> of </w:t>
      </w:r>
      <w:r w:rsidR="003B10D1">
        <w:t>Figure 4.2</w:t>
      </w:r>
      <w:r w:rsidR="0078409C">
        <w:t>4</w:t>
      </w:r>
      <w:r w:rsidR="00565908">
        <w:t>,</w:t>
      </w:r>
      <w:r w:rsidR="003B10D1">
        <w:t xml:space="preserve"> below</w:t>
      </w:r>
      <w:r w:rsidR="00565908">
        <w:t>,</w:t>
      </w:r>
      <w:r w:rsidRPr="00A2389A">
        <w:t xml:space="preserve"> shows the steps undertaken to translate from GOS (economic income on a National Accounts basis) to gross operating profit/loss subject to tax (economic income on a tax basis).</w:t>
      </w:r>
      <w:r w:rsidR="003E1304">
        <w:t xml:space="preserve"> </w:t>
      </w:r>
      <w:r w:rsidRPr="00A2389A">
        <w:t xml:space="preserve">Part B shows how deductions and other items are subtracted, and the average tax rate is applied, to generate company tax on an </w:t>
      </w:r>
      <w:r w:rsidR="005710FD" w:rsidRPr="00A2389A">
        <w:t>income</w:t>
      </w:r>
      <w:r w:rsidR="009102D1">
        <w:noBreakHyphen/>
      </w:r>
      <w:r w:rsidR="005710FD" w:rsidRPr="00A2389A">
        <w:t>year</w:t>
      </w:r>
      <w:r w:rsidRPr="00A2389A">
        <w:t xml:space="preserve"> basis (the forecasts for which are shown in the left</w:t>
      </w:r>
      <w:r w:rsidR="009102D1">
        <w:noBreakHyphen/>
      </w:r>
      <w:r w:rsidRPr="00A2389A">
        <w:t xml:space="preserve">hand panel of </w:t>
      </w:r>
      <w:r w:rsidR="003B10D1">
        <w:t>Figure 4.1</w:t>
      </w:r>
      <w:r w:rsidR="0078409C">
        <w:t>9</w:t>
      </w:r>
      <w:r w:rsidRPr="00A2389A">
        <w:t xml:space="preserve">, the </w:t>
      </w:r>
      <w:r w:rsidR="0078409C">
        <w:t>b</w:t>
      </w:r>
      <w:r w:rsidRPr="00A2389A">
        <w:t>lue bars).</w:t>
      </w:r>
      <w:r w:rsidR="003E1304">
        <w:t xml:space="preserve"> </w:t>
      </w:r>
      <w:r w:rsidRPr="00A2389A">
        <w:t>Part C shows how timing adjustments are applied, and government policy measures are taken into account, to generate company tax on a cash basis (the forecasts for which are shown in the right</w:t>
      </w:r>
      <w:r w:rsidR="009102D1">
        <w:noBreakHyphen/>
      </w:r>
      <w:r w:rsidRPr="00A2389A">
        <w:t xml:space="preserve">hand panel of </w:t>
      </w:r>
      <w:r w:rsidR="003B10D1">
        <w:t>Figure 4.1</w:t>
      </w:r>
      <w:r w:rsidR="0078409C">
        <w:t>9</w:t>
      </w:r>
      <w:r w:rsidRPr="00A2389A">
        <w:t xml:space="preserve">, the </w:t>
      </w:r>
      <w:r w:rsidR="003B10D1">
        <w:t>red</w:t>
      </w:r>
      <w:r w:rsidRPr="00A2389A">
        <w:t xml:space="preserve"> bars).</w:t>
      </w:r>
    </w:p>
    <w:p w:rsidR="00AB2E91" w:rsidRPr="00395124" w:rsidRDefault="00373C19" w:rsidP="00040D53">
      <w:pPr>
        <w:pStyle w:val="Heading3"/>
      </w:pPr>
      <w:r w:rsidRPr="00395124">
        <w:t>Capital Gains Tax Forecasting Model</w:t>
      </w:r>
      <w:r>
        <w:t xml:space="preserve"> — </w:t>
      </w:r>
      <w:r w:rsidRPr="00395124">
        <w:t>Superannuation Funds</w:t>
      </w:r>
      <w:r>
        <w:t xml:space="preserve"> </w:t>
      </w:r>
      <w:r w:rsidR="00AB2E91">
        <w:t>(Figure 4.25)</w:t>
      </w:r>
    </w:p>
    <w:p w:rsidR="00AB2E91" w:rsidRPr="00A2389A" w:rsidRDefault="00AB2E91" w:rsidP="00AB2E91">
      <w:r w:rsidRPr="00A2389A">
        <w:t>Broadly, the first step in forecasting CGT payable by superannuation funds is to estimate the stock of unrealised gains and losses, as at the end of the previous year.</w:t>
      </w:r>
      <w:r>
        <w:t xml:space="preserve"> </w:t>
      </w:r>
      <w:r w:rsidRPr="00A2389A">
        <w:t>Unpublished APRA and ATO data are used to assist in this process.</w:t>
      </w:r>
      <w:r>
        <w:t xml:space="preserve"> </w:t>
      </w:r>
      <w:r w:rsidRPr="00A2389A">
        <w:t>Since these data are generally released with a lag, modelled estimates of capital gains and losses are used to build the stock from the last available data point.</w:t>
      </w:r>
    </w:p>
    <w:p w:rsidR="00AB2E91" w:rsidRPr="00A2389A" w:rsidRDefault="00AB2E91" w:rsidP="00AB2E91">
      <w:r w:rsidRPr="00A2389A">
        <w:t>The second step is to forecast the current year capital gains.</w:t>
      </w:r>
      <w:r>
        <w:t xml:space="preserve"> </w:t>
      </w:r>
      <w:r w:rsidRPr="00A2389A">
        <w:t>Unpublished APRA data is used to estimate the</w:t>
      </w:r>
      <w:r>
        <w:t xml:space="preserve"> level and</w:t>
      </w:r>
      <w:r w:rsidRPr="00A2389A">
        <w:t xml:space="preserve"> mix of assets held by superannuation funds, and data on year</w:t>
      </w:r>
      <w:r w:rsidR="009102D1">
        <w:noBreakHyphen/>
      </w:r>
      <w:r w:rsidRPr="00A2389A">
        <w:t>to</w:t>
      </w:r>
      <w:r w:rsidR="009102D1">
        <w:noBreakHyphen/>
      </w:r>
      <w:r w:rsidRPr="00A2389A">
        <w:t>date price movements in the ASX 200 and house prices are used to calculate asset price growth in the current year.</w:t>
      </w:r>
      <w:r>
        <w:t xml:space="preserve"> </w:t>
      </w:r>
      <w:r w:rsidRPr="00A2389A">
        <w:t>Beyond the current year, all asset prices are assumed to grow in line with nominal GDP.</w:t>
      </w:r>
      <w:r>
        <w:t xml:space="preserve"> </w:t>
      </w:r>
      <w:r w:rsidRPr="00A2389A">
        <w:t>Current year losses are assumed to be a certain fraction of current year gains, based on recent historical averages.</w:t>
      </w:r>
    </w:p>
    <w:p w:rsidR="00AB2E91" w:rsidRPr="00A2389A" w:rsidRDefault="00AB2E91" w:rsidP="00AB2E91">
      <w:r w:rsidRPr="00A2389A">
        <w:t>A realisation rate is then applied to the capital gains (and an application rate to the losses), to account for the fact that the assets may not be sold in the current year and that losses from previous years may be applied to the current year.</w:t>
      </w:r>
      <w:r>
        <w:t xml:space="preserve"> </w:t>
      </w:r>
      <w:r w:rsidRPr="00A2389A">
        <w:t>The realisation rate is based on recent historical averages, unpublished data from the ATO and judgement.</w:t>
      </w:r>
    </w:p>
    <w:p w:rsidR="00AA222C" w:rsidRDefault="00AB2E91" w:rsidP="00AB2E91">
      <w:r w:rsidRPr="00A2389A">
        <w:t xml:space="preserve">The final steps are to apply the CGT discount, and then multiply the net capital gain by the effective tax rate (15 per cent in the case of superannuation funds) to calculate a CGT forecast. </w:t>
      </w:r>
    </w:p>
    <w:p w:rsidR="00627C0C" w:rsidRDefault="00AB2E91" w:rsidP="00C664F7">
      <w:pPr>
        <w:pStyle w:val="FigureHeading"/>
      </w:pPr>
      <w:r>
        <w:lastRenderedPageBreak/>
        <w:t>Figure 4.24:</w:t>
      </w:r>
      <w:r w:rsidR="007709D6">
        <w:t xml:space="preserve"> </w:t>
      </w:r>
      <w:r w:rsidRPr="00395124">
        <w:t xml:space="preserve">Current </w:t>
      </w:r>
      <w:r>
        <w:t>C</w:t>
      </w:r>
      <w:r w:rsidRPr="00395124">
        <w:t xml:space="preserve">ompany </w:t>
      </w:r>
      <w:r>
        <w:t>T</w:t>
      </w:r>
      <w:r w:rsidRPr="00395124">
        <w:t xml:space="preserve">ax </w:t>
      </w:r>
      <w:r>
        <w:t>M</w:t>
      </w:r>
      <w:r w:rsidRPr="00395124">
        <w:t>odel</w:t>
      </w:r>
    </w:p>
    <w:p w:rsidR="00627C0C" w:rsidRPr="00627C0C" w:rsidRDefault="00627C0C" w:rsidP="00432C0D">
      <w:pPr>
        <w:pStyle w:val="Figuregraphic"/>
      </w:pPr>
      <w:r w:rsidRPr="00432C0D">
        <w:rPr>
          <w:noProof/>
        </w:rPr>
        <w:drawing>
          <wp:inline distT="0" distB="0" distL="0" distR="0" wp14:anchorId="47E49410" wp14:editId="27110753">
            <wp:extent cx="7303325" cy="5440341"/>
            <wp:effectExtent l="0" t="0" r="0" b="8255"/>
            <wp:docPr id="56" name="Picture 56" descr="This figure shows the current company tax forecasting framework. &#10;&#10;Part A, of Figure 4.24, below, shows the steps undertaken to translate from GOS (economic income on a National Accounts basis) to gross operating profit/loss subject to tax (economic income on a tax basis). &#10;&#10;Part B shows how deductions and other items are subtracted, and the average tax rate is applied, to generate company tax on an income-year basis (the forecasts for which are shown in the left-hand panel of Figure 4.19, the blue bars). Part C shows how timing adjustments are applied, and government policy measures are taken into account, to generate company tax on a cash basis (the forecasts for which are shown in the right-hand panel of Figure 4.19, the red bars)." title="Figure 4.24: Current Company Tax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309031" cy="5444591"/>
                    </a:xfrm>
                    <a:prstGeom prst="rect">
                      <a:avLst/>
                    </a:prstGeom>
                    <a:noFill/>
                  </pic:spPr>
                </pic:pic>
              </a:graphicData>
            </a:graphic>
          </wp:inline>
        </w:drawing>
      </w:r>
    </w:p>
    <w:p w:rsidR="006331AF" w:rsidRDefault="00AB2E91" w:rsidP="00D34E90">
      <w:pPr>
        <w:pStyle w:val="FigureHeading"/>
        <w:spacing w:after="480"/>
      </w:pPr>
      <w:r>
        <w:lastRenderedPageBreak/>
        <w:t>Figure 4.25:</w:t>
      </w:r>
      <w:r w:rsidR="007709D6">
        <w:t xml:space="preserve"> </w:t>
      </w:r>
      <w:r w:rsidRPr="00395124">
        <w:t xml:space="preserve">Capital Gains Tax </w:t>
      </w:r>
      <w:r>
        <w:t>F</w:t>
      </w:r>
      <w:r w:rsidRPr="00395124">
        <w:t xml:space="preserve">orecasting </w:t>
      </w:r>
      <w:r>
        <w:t>M</w:t>
      </w:r>
      <w:r w:rsidRPr="00395124">
        <w:t>odel</w:t>
      </w:r>
      <w:r w:rsidR="007709D6">
        <w:t xml:space="preserve"> — </w:t>
      </w:r>
      <w:r>
        <w:t>S</w:t>
      </w:r>
      <w:r w:rsidRPr="00395124">
        <w:t xml:space="preserve">uperannuation </w:t>
      </w:r>
      <w:r>
        <w:t>F</w:t>
      </w:r>
      <w:r w:rsidRPr="00395124">
        <w:t>unds</w:t>
      </w:r>
      <w:r>
        <w:t xml:space="preserve"> </w:t>
      </w:r>
    </w:p>
    <w:p w:rsidR="00402442" w:rsidRPr="00402442" w:rsidRDefault="005535B6" w:rsidP="009C0000">
      <w:pPr>
        <w:pStyle w:val="Figuregraphic"/>
      </w:pPr>
      <w:r w:rsidRPr="00432C0D">
        <w:rPr>
          <w:noProof/>
        </w:rPr>
        <w:drawing>
          <wp:inline distT="0" distB="0" distL="0" distR="0" wp14:anchorId="5352D477" wp14:editId="2BADC6DA">
            <wp:extent cx="8510905" cy="4377055"/>
            <wp:effectExtent l="0" t="0" r="4445" b="4445"/>
            <wp:docPr id="57" name="Picture 57" descr="This figure outlines the Capital Gains Tax forecasting methodology for Superannuation funds.&#10;" title="Figure 4.25: Capital Gains Tax Forecasting Model — Superannuation F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510905" cy="4377055"/>
                    </a:xfrm>
                    <a:prstGeom prst="rect">
                      <a:avLst/>
                    </a:prstGeom>
                    <a:noFill/>
                  </pic:spPr>
                </pic:pic>
              </a:graphicData>
            </a:graphic>
          </wp:inline>
        </w:drawing>
      </w:r>
    </w:p>
    <w:sectPr w:rsidR="00402442" w:rsidRPr="00402442" w:rsidSect="009B1FD6">
      <w:headerReference w:type="default" r:id="rId67"/>
      <w:footerReference w:type="default" r:id="rId6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B72" w:rsidRDefault="00914B72" w:rsidP="00537180">
      <w:pPr>
        <w:spacing w:after="0" w:line="240" w:lineRule="auto"/>
      </w:pPr>
      <w:r>
        <w:separator/>
      </w:r>
    </w:p>
  </w:endnote>
  <w:endnote w:type="continuationSeparator" w:id="0">
    <w:p w:rsidR="00914B72" w:rsidRDefault="00914B72" w:rsidP="0053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87714"/>
      <w:docPartObj>
        <w:docPartGallery w:val="Page Numbers (Bottom of Page)"/>
        <w:docPartUnique/>
      </w:docPartObj>
    </w:sdtPr>
    <w:sdtEndPr>
      <w:rPr>
        <w:noProof/>
        <w:sz w:val="22"/>
        <w:szCs w:val="22"/>
      </w:rPr>
    </w:sdtEndPr>
    <w:sdtContent>
      <w:p w:rsidR="00914B72" w:rsidRDefault="00914B72" w:rsidP="006B0A17">
        <w:pPr>
          <w:pStyle w:val="FooterEven"/>
          <w:rPr>
            <w:noProof/>
          </w:rPr>
        </w:pPr>
        <w:r>
          <w:fldChar w:fldCharType="begin"/>
        </w:r>
        <w:r>
          <w:instrText xml:space="preserve"> PAGE   \* MERGEFORMAT </w:instrText>
        </w:r>
        <w:r>
          <w:fldChar w:fldCharType="separate"/>
        </w:r>
        <w:r w:rsidR="00401E4C">
          <w:rPr>
            <w:noProof/>
          </w:rPr>
          <w:t>54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663345"/>
      <w:docPartObj>
        <w:docPartGallery w:val="Page Numbers (Bottom of Page)"/>
        <w:docPartUnique/>
      </w:docPartObj>
    </w:sdtPr>
    <w:sdtEndPr>
      <w:rPr>
        <w:noProof/>
        <w:sz w:val="22"/>
        <w:szCs w:val="22"/>
      </w:rPr>
    </w:sdtEndPr>
    <w:sdtContent>
      <w:sdt>
        <w:sdtPr>
          <w:id w:val="-545918069"/>
          <w:docPartObj>
            <w:docPartGallery w:val="Page Numbers (Bottom of Page)"/>
            <w:docPartUnique/>
          </w:docPartObj>
        </w:sdtPr>
        <w:sdtEndPr>
          <w:rPr>
            <w:noProof/>
            <w:sz w:val="22"/>
            <w:szCs w:val="22"/>
          </w:rPr>
        </w:sdtEndPr>
        <w:sdtContent>
          <w:p w:rsidR="00914B72" w:rsidRPr="006B0A17" w:rsidRDefault="00914B72" w:rsidP="006B0A17">
            <w:pPr>
              <w:pStyle w:val="Footer"/>
              <w:jc w:val="right"/>
              <w:rPr>
                <w:noProof/>
              </w:rPr>
            </w:pPr>
            <w:r>
              <w:fldChar w:fldCharType="begin"/>
            </w:r>
            <w:r>
              <w:instrText xml:space="preserve"> PAGE   \* MERGEFORMAT </w:instrText>
            </w:r>
            <w:r>
              <w:fldChar w:fldCharType="separate"/>
            </w:r>
            <w:r w:rsidR="00401E4C">
              <w:rPr>
                <w:noProof/>
              </w:rPr>
              <w:t>63</w:t>
            </w:r>
            <w:r>
              <w:rPr>
                <w:noProof/>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64142"/>
      <w:docPartObj>
        <w:docPartGallery w:val="Page Numbers (Bottom of Page)"/>
        <w:docPartUnique/>
      </w:docPartObj>
    </w:sdtPr>
    <w:sdtEndPr>
      <w:rPr>
        <w:noProof/>
        <w:sz w:val="22"/>
        <w:szCs w:val="22"/>
      </w:rPr>
    </w:sdtEndPr>
    <w:sdtContent>
      <w:p w:rsidR="00914B72" w:rsidRPr="006B0A17" w:rsidRDefault="00914B72" w:rsidP="006B0A17">
        <w:pPr>
          <w:pStyle w:val="FooterOdd"/>
          <w:rPr>
            <w:noProof/>
            <w:szCs w:val="20"/>
          </w:rPr>
        </w:pPr>
        <w:r>
          <w:fldChar w:fldCharType="begin"/>
        </w:r>
        <w:r>
          <w:instrText xml:space="preserve"> PAGE   \* MERGEFORMAT </w:instrText>
        </w:r>
        <w:r>
          <w:fldChar w:fldCharType="separate"/>
        </w:r>
        <w:r w:rsidR="00401E4C">
          <w:rPr>
            <w:noProof/>
          </w:rPr>
          <w:t>43</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441520"/>
      <w:docPartObj>
        <w:docPartGallery w:val="Page Numbers (Bottom of Page)"/>
        <w:docPartUnique/>
      </w:docPartObj>
    </w:sdtPr>
    <w:sdtEndPr>
      <w:rPr>
        <w:noProof/>
      </w:rPr>
    </w:sdtEndPr>
    <w:sdtContent>
      <w:p w:rsidR="00914B72" w:rsidRDefault="00914B72" w:rsidP="006B0A17">
        <w:pPr>
          <w:pStyle w:val="Footer"/>
          <w:jc w:val="right"/>
        </w:pPr>
        <w:r>
          <w:fldChar w:fldCharType="begin"/>
        </w:r>
        <w:r>
          <w:instrText xml:space="preserve"> PAGE   \* MERGEFORMAT </w:instrText>
        </w:r>
        <w:r>
          <w:fldChar w:fldCharType="separate"/>
        </w:r>
        <w:r w:rsidR="00401E4C">
          <w:rPr>
            <w:noProof/>
          </w:rPr>
          <w:t>65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B72" w:rsidRDefault="00914B72" w:rsidP="00537180">
      <w:pPr>
        <w:spacing w:after="0" w:line="240" w:lineRule="auto"/>
      </w:pPr>
      <w:r>
        <w:separator/>
      </w:r>
    </w:p>
  </w:footnote>
  <w:footnote w:type="continuationSeparator" w:id="0">
    <w:p w:rsidR="00914B72" w:rsidRDefault="00914B72" w:rsidP="00537180">
      <w:pPr>
        <w:spacing w:after="0" w:line="240" w:lineRule="auto"/>
      </w:pPr>
      <w:r>
        <w:continuationSeparator/>
      </w:r>
    </w:p>
  </w:footnote>
  <w:footnote w:id="1">
    <w:p w:rsidR="00914B72" w:rsidRPr="00432C0D" w:rsidRDefault="00914B72">
      <w:pPr>
        <w:pStyle w:val="FootnoteText"/>
        <w:rPr>
          <w:rFonts w:ascii="Times New Roman" w:hAnsi="Times New Roman"/>
        </w:rPr>
      </w:pPr>
      <w:r w:rsidRPr="00432C0D">
        <w:rPr>
          <w:rStyle w:val="FootnoteReference"/>
          <w:rFonts w:ascii="Times New Roman" w:hAnsi="Times New Roman"/>
          <w:vertAlign w:val="baseline"/>
        </w:rPr>
        <w:footnoteRef/>
      </w:r>
      <w:r w:rsidRPr="00432C0D">
        <w:rPr>
          <w:rFonts w:ascii="Times New Roman" w:hAnsi="Times New Roman"/>
        </w:rPr>
        <w:t xml:space="preserve"> For example, the company tax base includes deductions for depreciation and current year losses, which are not part of gross operating surplus (the associated economic base).</w:t>
      </w:r>
    </w:p>
  </w:footnote>
  <w:footnote w:id="2">
    <w:p w:rsidR="00914B72" w:rsidRPr="00432C0D" w:rsidRDefault="00914B72">
      <w:pPr>
        <w:pStyle w:val="FootnoteText"/>
        <w:rPr>
          <w:rFonts w:ascii="Times New Roman" w:hAnsi="Times New Roman"/>
        </w:rPr>
      </w:pPr>
      <w:r w:rsidRPr="00432C0D">
        <w:rPr>
          <w:rStyle w:val="FootnoteReference"/>
          <w:rFonts w:ascii="Times New Roman" w:hAnsi="Times New Roman"/>
          <w:vertAlign w:val="baseline"/>
        </w:rPr>
        <w:footnoteRef/>
      </w:r>
      <w:r w:rsidRPr="00432C0D">
        <w:rPr>
          <w:rFonts w:ascii="Times New Roman" w:hAnsi="Times New Roman"/>
        </w:rPr>
        <w:t xml:space="preserve"> This is largely an issue for income tax withholding. In contrast, the elasticities of the other heads of revenue to their taxable bases should be one, by definition, as they have flat tax rates.</w:t>
      </w:r>
    </w:p>
  </w:footnote>
  <w:footnote w:id="3">
    <w:p w:rsidR="00914B72" w:rsidRPr="00DA3678" w:rsidRDefault="00914B72">
      <w:pPr>
        <w:pStyle w:val="FootnoteText"/>
        <w:rPr>
          <w:rFonts w:ascii="Times New Roman" w:hAnsi="Times New Roman"/>
        </w:rPr>
      </w:pPr>
      <w:r w:rsidRPr="007609A4">
        <w:rPr>
          <w:rStyle w:val="FootnoteReference"/>
          <w:rFonts w:ascii="Times New Roman" w:hAnsi="Times New Roman"/>
          <w:vertAlign w:val="baseline"/>
        </w:rPr>
        <w:footnoteRef/>
      </w:r>
      <w:r w:rsidRPr="00DA3678">
        <w:rPr>
          <w:rFonts w:ascii="Times New Roman" w:hAnsi="Times New Roman"/>
        </w:rPr>
        <w:t xml:space="preserve"> The correlation coefficient has been calculated after adjusting income tax withholding for tax policy changes (largely personal income tax cuts). Tax policy changes are costed and taken into account separately in the forecasting process.</w:t>
      </w:r>
    </w:p>
  </w:footnote>
  <w:footnote w:id="4">
    <w:p w:rsidR="00914B72" w:rsidRPr="002914FA" w:rsidRDefault="00914B72" w:rsidP="008A4661">
      <w:pPr>
        <w:pStyle w:val="FootnoteText"/>
        <w:rPr>
          <w:rFonts w:ascii="Times New Roman" w:hAnsi="Times New Roman"/>
        </w:rPr>
      </w:pPr>
      <w:r w:rsidRPr="00EB419C">
        <w:rPr>
          <w:rStyle w:val="FootnoteReference"/>
          <w:rFonts w:ascii="Times New Roman" w:hAnsi="Times New Roman"/>
          <w:vertAlign w:val="baseline"/>
        </w:rPr>
        <w:footnoteRef/>
      </w:r>
      <w:r w:rsidRPr="002914FA">
        <w:rPr>
          <w:rFonts w:ascii="Times New Roman" w:hAnsi="Times New Roman"/>
        </w:rPr>
        <w:t xml:space="preserve"> McDonald, T, and Morling, S, 2011, </w:t>
      </w:r>
      <w:r>
        <w:rPr>
          <w:rFonts w:ascii="Times New Roman" w:hAnsi="Times New Roman"/>
        </w:rPr>
        <w:t>‘</w:t>
      </w:r>
      <w:r w:rsidRPr="0053629A">
        <w:rPr>
          <w:rFonts w:ascii="Times New Roman" w:hAnsi="Times New Roman"/>
        </w:rPr>
        <w:t>The Australian Economy and the Global Downturn, Part 1: Reasons for resilience</w:t>
      </w:r>
      <w:r>
        <w:rPr>
          <w:rFonts w:ascii="Times New Roman" w:hAnsi="Times New Roman"/>
        </w:rPr>
        <w:t>’</w:t>
      </w:r>
      <w:r w:rsidRPr="002914FA">
        <w:rPr>
          <w:rFonts w:ascii="Times New Roman" w:hAnsi="Times New Roman"/>
        </w:rPr>
        <w:t xml:space="preserve">, </w:t>
      </w:r>
      <w:r w:rsidRPr="0053629A">
        <w:rPr>
          <w:rFonts w:ascii="Times New Roman" w:hAnsi="Times New Roman"/>
          <w:i/>
        </w:rPr>
        <w:t>Economic Roundup</w:t>
      </w:r>
      <w:r w:rsidRPr="002914FA">
        <w:rPr>
          <w:rFonts w:ascii="Times New Roman" w:hAnsi="Times New Roman"/>
        </w:rPr>
        <w:t>, Issue 2, pp 1-31.</w:t>
      </w:r>
    </w:p>
  </w:footnote>
  <w:footnote w:id="5">
    <w:p w:rsidR="00914B72" w:rsidRPr="002914FA" w:rsidRDefault="00914B72" w:rsidP="00676F99">
      <w:pPr>
        <w:pStyle w:val="FootnoteText"/>
        <w:rPr>
          <w:rFonts w:ascii="Times New Roman" w:hAnsi="Times New Roman"/>
        </w:rPr>
      </w:pPr>
      <w:r w:rsidRPr="009C77B6">
        <w:rPr>
          <w:rStyle w:val="FootnoteReference"/>
          <w:rFonts w:ascii="Times New Roman" w:hAnsi="Times New Roman"/>
          <w:vertAlign w:val="baseline"/>
        </w:rPr>
        <w:footnoteRef/>
      </w:r>
      <w:r w:rsidRPr="002914FA">
        <w:rPr>
          <w:rFonts w:ascii="Times New Roman" w:hAnsi="Times New Roman"/>
        </w:rPr>
        <w:t xml:space="preserve"> Gruen, D,</w:t>
      </w:r>
      <w:r w:rsidRPr="0089645F">
        <w:rPr>
          <w:rFonts w:ascii="Times New Roman" w:hAnsi="Times New Roman"/>
        </w:rPr>
        <w:t xml:space="preserve"> </w:t>
      </w:r>
      <w:r w:rsidRPr="00B012E5">
        <w:rPr>
          <w:rFonts w:ascii="Times New Roman" w:hAnsi="Times New Roman"/>
        </w:rPr>
        <w:t>and Stephan, D</w:t>
      </w:r>
      <w:r w:rsidRPr="002914FA">
        <w:rPr>
          <w:rFonts w:ascii="Times New Roman" w:hAnsi="Times New Roman"/>
        </w:rPr>
        <w:t xml:space="preserve"> (2010), </w:t>
      </w:r>
      <w:r>
        <w:rPr>
          <w:rFonts w:ascii="Times New Roman" w:hAnsi="Times New Roman"/>
        </w:rPr>
        <w:t>‘</w:t>
      </w:r>
      <w:r w:rsidRPr="00D34E90">
        <w:rPr>
          <w:rFonts w:ascii="Times New Roman" w:hAnsi="Times New Roman"/>
        </w:rPr>
        <w:t>Forecasting in the Eye of the Storm’</w:t>
      </w:r>
      <w:r w:rsidRPr="002914FA">
        <w:rPr>
          <w:rFonts w:ascii="Times New Roman" w:hAnsi="Times New Roman"/>
        </w:rPr>
        <w:t xml:space="preserve">, </w:t>
      </w:r>
      <w:r w:rsidRPr="00D34E90">
        <w:rPr>
          <w:rFonts w:ascii="Times New Roman" w:hAnsi="Times New Roman"/>
          <w:i/>
        </w:rPr>
        <w:t>Address to the NSW Economic Society</w:t>
      </w:r>
      <w:r w:rsidRPr="002914FA">
        <w:rPr>
          <w:rFonts w:ascii="Times New Roman" w:hAnsi="Times New Roman"/>
        </w:rPr>
        <w:t>, 4 June.</w:t>
      </w:r>
    </w:p>
  </w:footnote>
  <w:footnote w:id="6">
    <w:p w:rsidR="00914B72" w:rsidRPr="0053629A" w:rsidRDefault="00914B72" w:rsidP="0022575F">
      <w:pPr>
        <w:pStyle w:val="FootnoteText"/>
        <w:rPr>
          <w:rFonts w:ascii="Times New Roman" w:hAnsi="Times New Roman"/>
        </w:rPr>
      </w:pPr>
      <w:r w:rsidRPr="009C77B6">
        <w:rPr>
          <w:rStyle w:val="FootnoteReference"/>
          <w:rFonts w:ascii="Times New Roman" w:hAnsi="Times New Roman"/>
          <w:vertAlign w:val="baseline"/>
        </w:rPr>
        <w:footnoteRef/>
      </w:r>
      <w:r w:rsidRPr="006140AD">
        <w:rPr>
          <w:rFonts w:ascii="Times New Roman" w:hAnsi="Times New Roman"/>
        </w:rPr>
        <w:t xml:space="preserve"> </w:t>
      </w:r>
      <w:r w:rsidRPr="0053629A">
        <w:rPr>
          <w:rFonts w:ascii="Times New Roman" w:hAnsi="Times New Roman"/>
        </w:rPr>
        <w:t xml:space="preserve">The </w:t>
      </w:r>
      <w:r w:rsidRPr="00FF5284">
        <w:rPr>
          <w:rFonts w:ascii="Times New Roman" w:hAnsi="Times New Roman"/>
        </w:rPr>
        <w:t>T</w:t>
      </w:r>
      <w:r w:rsidRPr="0053629A">
        <w:rPr>
          <w:rFonts w:ascii="Times New Roman" w:hAnsi="Times New Roman"/>
        </w:rPr>
        <w:t xml:space="preserve">axation </w:t>
      </w:r>
      <w:r w:rsidRPr="00FF5284">
        <w:rPr>
          <w:rFonts w:ascii="Times New Roman" w:hAnsi="Times New Roman"/>
        </w:rPr>
        <w:t>S</w:t>
      </w:r>
      <w:r w:rsidRPr="0053629A">
        <w:rPr>
          <w:rFonts w:ascii="Times New Roman" w:hAnsi="Times New Roman"/>
        </w:rPr>
        <w:t>tatistics are released with a significant lag, with the 2009-10 edition being released on 1 May 2012.</w:t>
      </w:r>
    </w:p>
  </w:footnote>
  <w:footnote w:id="7">
    <w:p w:rsidR="00914B72" w:rsidRPr="0053629A" w:rsidRDefault="00914B72" w:rsidP="0022575F">
      <w:pPr>
        <w:pStyle w:val="FootnoteText"/>
        <w:rPr>
          <w:rFonts w:ascii="Times New Roman" w:hAnsi="Times New Roman"/>
        </w:rPr>
      </w:pPr>
      <w:r w:rsidRPr="009C77B6">
        <w:rPr>
          <w:rStyle w:val="FootnoteReference"/>
          <w:rFonts w:ascii="Times New Roman" w:hAnsi="Times New Roman"/>
          <w:vertAlign w:val="baseline"/>
        </w:rPr>
        <w:footnoteRef/>
      </w:r>
      <w:r w:rsidRPr="0053629A">
        <w:rPr>
          <w:rFonts w:ascii="Times New Roman" w:hAnsi="Times New Roman"/>
        </w:rPr>
        <w:t xml:space="preserve"> See </w:t>
      </w:r>
      <w:r w:rsidRPr="00FF5284">
        <w:rPr>
          <w:rFonts w:ascii="Times New Roman" w:hAnsi="Times New Roman"/>
        </w:rPr>
        <w:t xml:space="preserve">the box on </w:t>
      </w:r>
      <w:r w:rsidRPr="0053629A">
        <w:rPr>
          <w:rFonts w:ascii="Times New Roman" w:hAnsi="Times New Roman"/>
        </w:rPr>
        <w:t xml:space="preserve">page 5-22 of the 2012-13 Budget </w:t>
      </w:r>
      <w:r w:rsidRPr="00FF5284">
        <w:rPr>
          <w:rFonts w:ascii="Times New Roman" w:hAnsi="Times New Roman"/>
        </w:rPr>
        <w:t xml:space="preserve">Paper No 1 </w:t>
      </w:r>
      <w:r w:rsidRPr="0053629A">
        <w:rPr>
          <w:rFonts w:ascii="Times New Roman" w:hAnsi="Times New Roman"/>
        </w:rPr>
        <w:t>for further discussion of this issue.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72" w:rsidRDefault="00914B72" w:rsidP="006B0A17">
    <w:pPr>
      <w:pStyle w:val="HeaderEven"/>
    </w:pPr>
    <w:r w:rsidRPr="006B0A17">
      <w:t>Review of Treasury Macroeconomic and Revenue Forecasting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72" w:rsidRDefault="00914B72">
    <w:pPr>
      <w:pStyle w:val="Header"/>
    </w:pPr>
    <w:r>
      <w:t>Section 4: Case Studies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B72" w:rsidRDefault="00914B72" w:rsidP="006B0A17">
    <w:pPr>
      <w:pStyle w:val="Header"/>
    </w:pPr>
    <w:r>
      <w:t>Section 4: Case Studies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D80064"/>
    <w:lvl w:ilvl="0">
      <w:start w:val="1"/>
      <w:numFmt w:val="decimal"/>
      <w:lvlText w:val="%1."/>
      <w:lvlJc w:val="left"/>
      <w:pPr>
        <w:tabs>
          <w:tab w:val="num" w:pos="1492"/>
        </w:tabs>
        <w:ind w:left="1492" w:hanging="360"/>
      </w:pPr>
    </w:lvl>
  </w:abstractNum>
  <w:abstractNum w:abstractNumId="1">
    <w:nsid w:val="FFFFFF7D"/>
    <w:multiLevelType w:val="singleLevel"/>
    <w:tmpl w:val="79C864B6"/>
    <w:lvl w:ilvl="0">
      <w:start w:val="1"/>
      <w:numFmt w:val="decimal"/>
      <w:lvlText w:val="%1."/>
      <w:lvlJc w:val="left"/>
      <w:pPr>
        <w:tabs>
          <w:tab w:val="num" w:pos="1209"/>
        </w:tabs>
        <w:ind w:left="1209" w:hanging="360"/>
      </w:pPr>
    </w:lvl>
  </w:abstractNum>
  <w:abstractNum w:abstractNumId="2">
    <w:nsid w:val="FFFFFF7E"/>
    <w:multiLevelType w:val="singleLevel"/>
    <w:tmpl w:val="B4187A74"/>
    <w:lvl w:ilvl="0">
      <w:start w:val="1"/>
      <w:numFmt w:val="decimal"/>
      <w:lvlText w:val="%1."/>
      <w:lvlJc w:val="left"/>
      <w:pPr>
        <w:tabs>
          <w:tab w:val="num" w:pos="926"/>
        </w:tabs>
        <w:ind w:left="926" w:hanging="360"/>
      </w:pPr>
    </w:lvl>
  </w:abstractNum>
  <w:abstractNum w:abstractNumId="3">
    <w:nsid w:val="FFFFFF7F"/>
    <w:multiLevelType w:val="singleLevel"/>
    <w:tmpl w:val="6EBC7A48"/>
    <w:lvl w:ilvl="0">
      <w:start w:val="1"/>
      <w:numFmt w:val="decimal"/>
      <w:lvlText w:val="%1."/>
      <w:lvlJc w:val="left"/>
      <w:pPr>
        <w:tabs>
          <w:tab w:val="num" w:pos="643"/>
        </w:tabs>
        <w:ind w:left="643" w:hanging="360"/>
      </w:pPr>
    </w:lvl>
  </w:abstractNum>
  <w:abstractNum w:abstractNumId="4">
    <w:nsid w:val="FFFFFF80"/>
    <w:multiLevelType w:val="singleLevel"/>
    <w:tmpl w:val="D0BE831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1687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230FB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8EAB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934ECC4"/>
    <w:lvl w:ilvl="0">
      <w:start w:val="1"/>
      <w:numFmt w:val="decimal"/>
      <w:lvlText w:val="%1."/>
      <w:lvlJc w:val="left"/>
      <w:pPr>
        <w:tabs>
          <w:tab w:val="num" w:pos="360"/>
        </w:tabs>
        <w:ind w:left="360" w:hanging="360"/>
      </w:pPr>
    </w:lvl>
  </w:abstractNum>
  <w:abstractNum w:abstractNumId="9">
    <w:nsid w:val="FFFFFF89"/>
    <w:multiLevelType w:val="singleLevel"/>
    <w:tmpl w:val="E79AAE6A"/>
    <w:lvl w:ilvl="0">
      <w:start w:val="1"/>
      <w:numFmt w:val="bullet"/>
      <w:lvlText w:val=""/>
      <w:lvlJc w:val="left"/>
      <w:pPr>
        <w:tabs>
          <w:tab w:val="num" w:pos="360"/>
        </w:tabs>
        <w:ind w:left="360" w:hanging="360"/>
      </w:pPr>
      <w:rPr>
        <w:rFonts w:ascii="Symbol" w:hAnsi="Symbol" w:hint="default"/>
      </w:rPr>
    </w:lvl>
  </w:abstractNum>
  <w:abstractNum w:abstractNumId="10">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ED3FC7"/>
    <w:multiLevelType w:val="multilevel"/>
    <w:tmpl w:val="38CE910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6CC4E5D"/>
    <w:multiLevelType w:val="multilevel"/>
    <w:tmpl w:val="D10E9CF6"/>
    <w:numStyleLink w:val="OneLevelList"/>
  </w:abstractNum>
  <w:abstractNum w:abstractNumId="15">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7">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F332216"/>
    <w:multiLevelType w:val="multilevel"/>
    <w:tmpl w:val="073E4A8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1">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23">
    <w:nsid w:val="308C2710"/>
    <w:multiLevelType w:val="multilevel"/>
    <w:tmpl w:val="09A2073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25">
    <w:nsid w:val="3238442C"/>
    <w:multiLevelType w:val="multilevel"/>
    <w:tmpl w:val="4DAA0B3E"/>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50388C"/>
    <w:multiLevelType w:val="multilevel"/>
    <w:tmpl w:val="DE12158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45B0A7E"/>
    <w:multiLevelType w:val="multilevel"/>
    <w:tmpl w:val="EDEE4FB6"/>
    <w:numStyleLink w:val="RecommendationBulletList"/>
  </w:abstractNum>
  <w:abstractNum w:abstractNumId="29">
    <w:nsid w:val="483E25F6"/>
    <w:multiLevelType w:val="multilevel"/>
    <w:tmpl w:val="2D022FDA"/>
    <w:styleLink w:val="AlphaParagraphList"/>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31">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10D2021"/>
    <w:multiLevelType w:val="multilevel"/>
    <w:tmpl w:val="72F8140E"/>
    <w:numStyleLink w:val="OutlineList"/>
  </w:abstractNum>
  <w:abstractNum w:abstractNumId="33">
    <w:nsid w:val="535357C1"/>
    <w:multiLevelType w:val="singleLevel"/>
    <w:tmpl w:val="D5D83936"/>
    <w:lvl w:ilvl="0">
      <w:start w:val="1"/>
      <w:numFmt w:val="lowerLetter"/>
      <w:lvlRestart w:val="0"/>
      <w:lvlText w:val="(%1)"/>
      <w:lvlJc w:val="left"/>
      <w:pPr>
        <w:tabs>
          <w:tab w:val="num" w:pos="283"/>
        </w:tabs>
        <w:ind w:left="283" w:hanging="283"/>
      </w:pPr>
      <w:rPr>
        <w:rFonts w:ascii="Arial" w:hAnsi="Arial" w:cs="Arial"/>
        <w:b w:val="0"/>
        <w:i w:val="0"/>
        <w:sz w:val="16"/>
      </w:rPr>
    </w:lvl>
  </w:abstractNum>
  <w:abstractNum w:abstractNumId="34">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5F73129"/>
    <w:multiLevelType w:val="multilevel"/>
    <w:tmpl w:val="D9A8A212"/>
    <w:numStyleLink w:val="RomanNumeralList"/>
  </w:abstractNum>
  <w:abstractNum w:abstractNumId="36">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7">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8">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30A1F63"/>
    <w:multiLevelType w:val="multilevel"/>
    <w:tmpl w:val="987A276C"/>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7ECA6F13"/>
    <w:multiLevelType w:val="hybridMultilevel"/>
    <w:tmpl w:val="F7308C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40"/>
  </w:num>
  <w:num w:numId="2">
    <w:abstractNumId w:val="33"/>
    <w:lvlOverride w:ilvl="0">
      <w:startOverride w:val="1"/>
    </w:lvlOverride>
  </w:num>
  <w:num w:numId="3">
    <w:abstractNumId w:val="18"/>
  </w:num>
  <w:num w:numId="4">
    <w:abstractNumId w:val="27"/>
  </w:num>
  <w:num w:numId="5">
    <w:abstractNumId w:val="40"/>
  </w:num>
  <w:num w:numId="6">
    <w:abstractNumId w:val="40"/>
  </w:num>
  <w:num w:numId="7">
    <w:abstractNumId w:val="40"/>
  </w:num>
  <w:num w:numId="8">
    <w:abstractNumId w:val="40"/>
  </w:num>
  <w:num w:numId="9">
    <w:abstractNumId w:val="40"/>
  </w:num>
  <w:num w:numId="10">
    <w:abstractNumId w:val="40"/>
  </w:num>
  <w:num w:numId="11">
    <w:abstractNumId w:val="40"/>
  </w:num>
  <w:num w:numId="12">
    <w:abstractNumId w:val="43"/>
  </w:num>
  <w:num w:numId="13">
    <w:abstractNumId w:val="31"/>
  </w:num>
  <w:num w:numId="14">
    <w:abstractNumId w:val="22"/>
  </w:num>
  <w:num w:numId="15">
    <w:abstractNumId w:val="36"/>
  </w:num>
  <w:num w:numId="16">
    <w:abstractNumId w:val="30"/>
  </w:num>
  <w:num w:numId="17">
    <w:abstractNumId w:val="20"/>
  </w:num>
  <w:num w:numId="18">
    <w:abstractNumId w:val="39"/>
  </w:num>
  <w:num w:numId="19">
    <w:abstractNumId w:val="16"/>
  </w:num>
  <w:num w:numId="20">
    <w:abstractNumId w:val="24"/>
  </w:num>
  <w:num w:numId="21">
    <w:abstractNumId w:val="37"/>
  </w:num>
  <w:num w:numId="22">
    <w:abstractNumId w:val="21"/>
  </w:num>
  <w:num w:numId="23">
    <w:abstractNumId w:val="41"/>
  </w:num>
  <w:num w:numId="24">
    <w:abstractNumId w:val="38"/>
  </w:num>
  <w:num w:numId="25">
    <w:abstractNumId w:val="23"/>
  </w:num>
  <w:num w:numId="26">
    <w:abstractNumId w:val="11"/>
  </w:num>
  <w:num w:numId="27">
    <w:abstractNumId w:val="15"/>
  </w:num>
  <w:num w:numId="28">
    <w:abstractNumId w:val="29"/>
  </w:num>
  <w:num w:numId="29">
    <w:abstractNumId w:val="10"/>
  </w:num>
  <w:num w:numId="30">
    <w:abstractNumId w:val="26"/>
  </w:num>
  <w:num w:numId="31">
    <w:abstractNumId w:val="13"/>
  </w:num>
  <w:num w:numId="32">
    <w:abstractNumId w:val="17"/>
  </w:num>
  <w:num w:numId="33">
    <w:abstractNumId w:val="12"/>
  </w:num>
  <w:num w:numId="34">
    <w:abstractNumId w:val="14"/>
  </w:num>
  <w:num w:numId="35">
    <w:abstractNumId w:val="32"/>
  </w:num>
  <w:num w:numId="36">
    <w:abstractNumId w:val="28"/>
  </w:num>
  <w:num w:numId="37">
    <w:abstractNumId w:val="35"/>
  </w:num>
  <w:num w:numId="38">
    <w:abstractNumId w:val="25"/>
  </w:num>
  <w:num w:numId="39">
    <w:abstractNumId w:val="34"/>
  </w:num>
  <w:num w:numId="40">
    <w:abstractNumId w:val="19"/>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9"/>
  </w:num>
  <w:num w:numId="44">
    <w:abstractNumId w:val="7"/>
  </w:num>
  <w:num w:numId="45">
    <w:abstractNumId w:val="6"/>
  </w:num>
  <w:num w:numId="46">
    <w:abstractNumId w:val="5"/>
  </w:num>
  <w:num w:numId="47">
    <w:abstractNumId w:val="4"/>
  </w:num>
  <w:num w:numId="48">
    <w:abstractNumId w:val="8"/>
  </w:num>
  <w:num w:numId="49">
    <w:abstractNumId w:val="3"/>
  </w:num>
  <w:num w:numId="50">
    <w:abstractNumId w:val="2"/>
  </w:num>
  <w:num w:numId="51">
    <w:abstractNumId w:val="1"/>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567"/>
  <w:evenAndOddHeaders/>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DED"/>
    <w:rsid w:val="0000158A"/>
    <w:rsid w:val="00002174"/>
    <w:rsid w:val="00002AC9"/>
    <w:rsid w:val="00003140"/>
    <w:rsid w:val="00004F22"/>
    <w:rsid w:val="0000754C"/>
    <w:rsid w:val="000102BA"/>
    <w:rsid w:val="00011F9A"/>
    <w:rsid w:val="00012E3D"/>
    <w:rsid w:val="00014122"/>
    <w:rsid w:val="00014A5F"/>
    <w:rsid w:val="000152C9"/>
    <w:rsid w:val="00015B7D"/>
    <w:rsid w:val="00016539"/>
    <w:rsid w:val="0001671B"/>
    <w:rsid w:val="000167FE"/>
    <w:rsid w:val="00016D82"/>
    <w:rsid w:val="00017F9C"/>
    <w:rsid w:val="00021273"/>
    <w:rsid w:val="0002191A"/>
    <w:rsid w:val="00023476"/>
    <w:rsid w:val="00024529"/>
    <w:rsid w:val="000254B4"/>
    <w:rsid w:val="00026168"/>
    <w:rsid w:val="00026A5C"/>
    <w:rsid w:val="00030577"/>
    <w:rsid w:val="00032D7A"/>
    <w:rsid w:val="0003373C"/>
    <w:rsid w:val="00033D12"/>
    <w:rsid w:val="000362A6"/>
    <w:rsid w:val="00040D53"/>
    <w:rsid w:val="000434E8"/>
    <w:rsid w:val="000441C9"/>
    <w:rsid w:val="000457BC"/>
    <w:rsid w:val="000474A0"/>
    <w:rsid w:val="0005412C"/>
    <w:rsid w:val="00054F1E"/>
    <w:rsid w:val="00055A39"/>
    <w:rsid w:val="00056F0E"/>
    <w:rsid w:val="00062776"/>
    <w:rsid w:val="000649E4"/>
    <w:rsid w:val="00065953"/>
    <w:rsid w:val="00065DB6"/>
    <w:rsid w:val="000676A2"/>
    <w:rsid w:val="00070ACC"/>
    <w:rsid w:val="000711D6"/>
    <w:rsid w:val="00075DA7"/>
    <w:rsid w:val="000760D8"/>
    <w:rsid w:val="000767EF"/>
    <w:rsid w:val="00077F17"/>
    <w:rsid w:val="00082B75"/>
    <w:rsid w:val="000831FA"/>
    <w:rsid w:val="0008388B"/>
    <w:rsid w:val="00084E16"/>
    <w:rsid w:val="0008707A"/>
    <w:rsid w:val="000879E4"/>
    <w:rsid w:val="000902B6"/>
    <w:rsid w:val="00093723"/>
    <w:rsid w:val="00094269"/>
    <w:rsid w:val="00095337"/>
    <w:rsid w:val="000967AC"/>
    <w:rsid w:val="00097F14"/>
    <w:rsid w:val="000A10B1"/>
    <w:rsid w:val="000A12B0"/>
    <w:rsid w:val="000A2D6A"/>
    <w:rsid w:val="000A303A"/>
    <w:rsid w:val="000A5648"/>
    <w:rsid w:val="000A75D7"/>
    <w:rsid w:val="000B0CEF"/>
    <w:rsid w:val="000C06CB"/>
    <w:rsid w:val="000C2185"/>
    <w:rsid w:val="000C377A"/>
    <w:rsid w:val="000C4690"/>
    <w:rsid w:val="000C4B44"/>
    <w:rsid w:val="000C7622"/>
    <w:rsid w:val="000C7E44"/>
    <w:rsid w:val="000D03DE"/>
    <w:rsid w:val="000D078D"/>
    <w:rsid w:val="000D0BA5"/>
    <w:rsid w:val="000D11DF"/>
    <w:rsid w:val="000D1B7F"/>
    <w:rsid w:val="000D45F0"/>
    <w:rsid w:val="000D6D7E"/>
    <w:rsid w:val="000E0DED"/>
    <w:rsid w:val="000E4DD0"/>
    <w:rsid w:val="000F3BBB"/>
    <w:rsid w:val="000F7EFC"/>
    <w:rsid w:val="001019E2"/>
    <w:rsid w:val="00105059"/>
    <w:rsid w:val="00106CA2"/>
    <w:rsid w:val="00107B64"/>
    <w:rsid w:val="001146F9"/>
    <w:rsid w:val="00114936"/>
    <w:rsid w:val="00114F25"/>
    <w:rsid w:val="00121846"/>
    <w:rsid w:val="00122D00"/>
    <w:rsid w:val="001266AA"/>
    <w:rsid w:val="00126E3B"/>
    <w:rsid w:val="0013065E"/>
    <w:rsid w:val="00130DED"/>
    <w:rsid w:val="00130EA7"/>
    <w:rsid w:val="00133ACE"/>
    <w:rsid w:val="00134350"/>
    <w:rsid w:val="00136FE6"/>
    <w:rsid w:val="00137F0B"/>
    <w:rsid w:val="00145D15"/>
    <w:rsid w:val="00151820"/>
    <w:rsid w:val="001542D9"/>
    <w:rsid w:val="00157601"/>
    <w:rsid w:val="0016139E"/>
    <w:rsid w:val="00163F55"/>
    <w:rsid w:val="0016546B"/>
    <w:rsid w:val="0016600E"/>
    <w:rsid w:val="00170681"/>
    <w:rsid w:val="0017074E"/>
    <w:rsid w:val="001710B9"/>
    <w:rsid w:val="00171C5E"/>
    <w:rsid w:val="00171C90"/>
    <w:rsid w:val="00172B0D"/>
    <w:rsid w:val="00172DA1"/>
    <w:rsid w:val="00173419"/>
    <w:rsid w:val="00174A54"/>
    <w:rsid w:val="001826CF"/>
    <w:rsid w:val="00183B92"/>
    <w:rsid w:val="00190B1B"/>
    <w:rsid w:val="00191650"/>
    <w:rsid w:val="00192893"/>
    <w:rsid w:val="0019437C"/>
    <w:rsid w:val="0019485B"/>
    <w:rsid w:val="00197787"/>
    <w:rsid w:val="001A176A"/>
    <w:rsid w:val="001A1C5A"/>
    <w:rsid w:val="001A51A6"/>
    <w:rsid w:val="001A51F8"/>
    <w:rsid w:val="001A62C9"/>
    <w:rsid w:val="001A6CC3"/>
    <w:rsid w:val="001A72B0"/>
    <w:rsid w:val="001B1851"/>
    <w:rsid w:val="001B2530"/>
    <w:rsid w:val="001B28D1"/>
    <w:rsid w:val="001B36A7"/>
    <w:rsid w:val="001B45D9"/>
    <w:rsid w:val="001B5324"/>
    <w:rsid w:val="001C0B95"/>
    <w:rsid w:val="001C0C5E"/>
    <w:rsid w:val="001D2811"/>
    <w:rsid w:val="001D2FD1"/>
    <w:rsid w:val="001D3E49"/>
    <w:rsid w:val="001D5162"/>
    <w:rsid w:val="001D691C"/>
    <w:rsid w:val="001E11CA"/>
    <w:rsid w:val="001E36DC"/>
    <w:rsid w:val="001E40A1"/>
    <w:rsid w:val="001E5AB7"/>
    <w:rsid w:val="001E6097"/>
    <w:rsid w:val="001E6CAA"/>
    <w:rsid w:val="001F0317"/>
    <w:rsid w:val="001F116B"/>
    <w:rsid w:val="001F130B"/>
    <w:rsid w:val="001F1A04"/>
    <w:rsid w:val="001F2CBF"/>
    <w:rsid w:val="001F3817"/>
    <w:rsid w:val="001F5570"/>
    <w:rsid w:val="001F5A2B"/>
    <w:rsid w:val="001F6C1E"/>
    <w:rsid w:val="001F7205"/>
    <w:rsid w:val="002022CB"/>
    <w:rsid w:val="00203452"/>
    <w:rsid w:val="00203966"/>
    <w:rsid w:val="002041F9"/>
    <w:rsid w:val="00204D8E"/>
    <w:rsid w:val="0021019B"/>
    <w:rsid w:val="002112A7"/>
    <w:rsid w:val="0021223C"/>
    <w:rsid w:val="00220D86"/>
    <w:rsid w:val="00221331"/>
    <w:rsid w:val="00221B74"/>
    <w:rsid w:val="00222E67"/>
    <w:rsid w:val="00223F7E"/>
    <w:rsid w:val="00224248"/>
    <w:rsid w:val="0022575F"/>
    <w:rsid w:val="00226910"/>
    <w:rsid w:val="00226A30"/>
    <w:rsid w:val="00226F4E"/>
    <w:rsid w:val="002341B4"/>
    <w:rsid w:val="002358C5"/>
    <w:rsid w:val="0023590B"/>
    <w:rsid w:val="00236FC3"/>
    <w:rsid w:val="002372D0"/>
    <w:rsid w:val="002445E4"/>
    <w:rsid w:val="00244AD3"/>
    <w:rsid w:val="00244EAC"/>
    <w:rsid w:val="00245773"/>
    <w:rsid w:val="002514B8"/>
    <w:rsid w:val="002515C9"/>
    <w:rsid w:val="0025194E"/>
    <w:rsid w:val="00252A80"/>
    <w:rsid w:val="00253C25"/>
    <w:rsid w:val="00253C3E"/>
    <w:rsid w:val="00253E26"/>
    <w:rsid w:val="00255872"/>
    <w:rsid w:val="00256491"/>
    <w:rsid w:val="002576AE"/>
    <w:rsid w:val="00257A9A"/>
    <w:rsid w:val="0026020B"/>
    <w:rsid w:val="00260F9C"/>
    <w:rsid w:val="00261401"/>
    <w:rsid w:val="002630D0"/>
    <w:rsid w:val="00265F6E"/>
    <w:rsid w:val="002669B0"/>
    <w:rsid w:val="00275A57"/>
    <w:rsid w:val="00275E19"/>
    <w:rsid w:val="00281A29"/>
    <w:rsid w:val="00281C61"/>
    <w:rsid w:val="002854BF"/>
    <w:rsid w:val="00290BA0"/>
    <w:rsid w:val="00291524"/>
    <w:rsid w:val="00292D1F"/>
    <w:rsid w:val="00293206"/>
    <w:rsid w:val="00294DF1"/>
    <w:rsid w:val="00295B04"/>
    <w:rsid w:val="00297C64"/>
    <w:rsid w:val="00297EE5"/>
    <w:rsid w:val="002A011B"/>
    <w:rsid w:val="002A2970"/>
    <w:rsid w:val="002A349D"/>
    <w:rsid w:val="002A543F"/>
    <w:rsid w:val="002A748B"/>
    <w:rsid w:val="002B1FA1"/>
    <w:rsid w:val="002B2C21"/>
    <w:rsid w:val="002B4C63"/>
    <w:rsid w:val="002B4EB6"/>
    <w:rsid w:val="002B55AE"/>
    <w:rsid w:val="002C113D"/>
    <w:rsid w:val="002C1C65"/>
    <w:rsid w:val="002C313E"/>
    <w:rsid w:val="002C35CE"/>
    <w:rsid w:val="002C5C2B"/>
    <w:rsid w:val="002C6A40"/>
    <w:rsid w:val="002C7476"/>
    <w:rsid w:val="002D0759"/>
    <w:rsid w:val="002D13ED"/>
    <w:rsid w:val="002D1C19"/>
    <w:rsid w:val="002D2453"/>
    <w:rsid w:val="002E1B42"/>
    <w:rsid w:val="002E1C59"/>
    <w:rsid w:val="002E3CCB"/>
    <w:rsid w:val="002E51E9"/>
    <w:rsid w:val="002F124C"/>
    <w:rsid w:val="002F2DC7"/>
    <w:rsid w:val="002F330A"/>
    <w:rsid w:val="002F4C80"/>
    <w:rsid w:val="002F795F"/>
    <w:rsid w:val="00301946"/>
    <w:rsid w:val="003020CC"/>
    <w:rsid w:val="00302317"/>
    <w:rsid w:val="0030727C"/>
    <w:rsid w:val="003112E5"/>
    <w:rsid w:val="003113D9"/>
    <w:rsid w:val="003121B2"/>
    <w:rsid w:val="003121F0"/>
    <w:rsid w:val="003157CC"/>
    <w:rsid w:val="00315885"/>
    <w:rsid w:val="0031734F"/>
    <w:rsid w:val="003173A6"/>
    <w:rsid w:val="00320866"/>
    <w:rsid w:val="00320B6B"/>
    <w:rsid w:val="003219DD"/>
    <w:rsid w:val="00322E25"/>
    <w:rsid w:val="00322FF2"/>
    <w:rsid w:val="003253D5"/>
    <w:rsid w:val="0033660E"/>
    <w:rsid w:val="00337949"/>
    <w:rsid w:val="00337E21"/>
    <w:rsid w:val="003419CA"/>
    <w:rsid w:val="00341B91"/>
    <w:rsid w:val="00342F17"/>
    <w:rsid w:val="00343A20"/>
    <w:rsid w:val="003470D8"/>
    <w:rsid w:val="00350C35"/>
    <w:rsid w:val="00355591"/>
    <w:rsid w:val="00356DF2"/>
    <w:rsid w:val="003639B8"/>
    <w:rsid w:val="003703C6"/>
    <w:rsid w:val="00372420"/>
    <w:rsid w:val="00373C19"/>
    <w:rsid w:val="00376C85"/>
    <w:rsid w:val="0038647D"/>
    <w:rsid w:val="00387216"/>
    <w:rsid w:val="00387953"/>
    <w:rsid w:val="00393397"/>
    <w:rsid w:val="00393888"/>
    <w:rsid w:val="00394918"/>
    <w:rsid w:val="00395124"/>
    <w:rsid w:val="00395A51"/>
    <w:rsid w:val="0039699C"/>
    <w:rsid w:val="003A0E9F"/>
    <w:rsid w:val="003A2677"/>
    <w:rsid w:val="003A2ADC"/>
    <w:rsid w:val="003A2F24"/>
    <w:rsid w:val="003A3922"/>
    <w:rsid w:val="003A4A2F"/>
    <w:rsid w:val="003A7E06"/>
    <w:rsid w:val="003B0E06"/>
    <w:rsid w:val="003B10D1"/>
    <w:rsid w:val="003B1A7E"/>
    <w:rsid w:val="003B25F2"/>
    <w:rsid w:val="003B49BB"/>
    <w:rsid w:val="003B659C"/>
    <w:rsid w:val="003B6FD3"/>
    <w:rsid w:val="003B721D"/>
    <w:rsid w:val="003B7AD1"/>
    <w:rsid w:val="003C2595"/>
    <w:rsid w:val="003C31AE"/>
    <w:rsid w:val="003C5118"/>
    <w:rsid w:val="003D069E"/>
    <w:rsid w:val="003D20F3"/>
    <w:rsid w:val="003D2C47"/>
    <w:rsid w:val="003D4DC6"/>
    <w:rsid w:val="003D7602"/>
    <w:rsid w:val="003E1304"/>
    <w:rsid w:val="003E20C1"/>
    <w:rsid w:val="003E2319"/>
    <w:rsid w:val="003E3423"/>
    <w:rsid w:val="003E45AC"/>
    <w:rsid w:val="003F1709"/>
    <w:rsid w:val="003F177D"/>
    <w:rsid w:val="003F6665"/>
    <w:rsid w:val="00400511"/>
    <w:rsid w:val="00400B8F"/>
    <w:rsid w:val="00401A9A"/>
    <w:rsid w:val="00401E4C"/>
    <w:rsid w:val="00401F7F"/>
    <w:rsid w:val="00402442"/>
    <w:rsid w:val="00403862"/>
    <w:rsid w:val="00405BF7"/>
    <w:rsid w:val="0041414F"/>
    <w:rsid w:val="0041550C"/>
    <w:rsid w:val="004159EB"/>
    <w:rsid w:val="00415A9A"/>
    <w:rsid w:val="0041607E"/>
    <w:rsid w:val="00422CA2"/>
    <w:rsid w:val="00424BA9"/>
    <w:rsid w:val="00425E64"/>
    <w:rsid w:val="00430BB9"/>
    <w:rsid w:val="00430FAC"/>
    <w:rsid w:val="00431285"/>
    <w:rsid w:val="00432C0D"/>
    <w:rsid w:val="00433813"/>
    <w:rsid w:val="00433A0C"/>
    <w:rsid w:val="004368DA"/>
    <w:rsid w:val="004413D0"/>
    <w:rsid w:val="00442EC9"/>
    <w:rsid w:val="00444662"/>
    <w:rsid w:val="00444E7A"/>
    <w:rsid w:val="00447AFE"/>
    <w:rsid w:val="00450B73"/>
    <w:rsid w:val="00452D83"/>
    <w:rsid w:val="004563D8"/>
    <w:rsid w:val="0045674A"/>
    <w:rsid w:val="00456BCE"/>
    <w:rsid w:val="00460AA4"/>
    <w:rsid w:val="0046134C"/>
    <w:rsid w:val="00461614"/>
    <w:rsid w:val="00461983"/>
    <w:rsid w:val="0046512B"/>
    <w:rsid w:val="004662BE"/>
    <w:rsid w:val="00466613"/>
    <w:rsid w:val="00466622"/>
    <w:rsid w:val="00466EFA"/>
    <w:rsid w:val="0046780D"/>
    <w:rsid w:val="00470462"/>
    <w:rsid w:val="0047237F"/>
    <w:rsid w:val="00473388"/>
    <w:rsid w:val="00473D61"/>
    <w:rsid w:val="0047550F"/>
    <w:rsid w:val="00476490"/>
    <w:rsid w:val="00477D78"/>
    <w:rsid w:val="00477F16"/>
    <w:rsid w:val="0048151E"/>
    <w:rsid w:val="00485CF7"/>
    <w:rsid w:val="004864C8"/>
    <w:rsid w:val="00486F08"/>
    <w:rsid w:val="0049029E"/>
    <w:rsid w:val="00493F83"/>
    <w:rsid w:val="004950F5"/>
    <w:rsid w:val="00496250"/>
    <w:rsid w:val="004972EB"/>
    <w:rsid w:val="004A2CB3"/>
    <w:rsid w:val="004A37EC"/>
    <w:rsid w:val="004B100A"/>
    <w:rsid w:val="004B240D"/>
    <w:rsid w:val="004B3A09"/>
    <w:rsid w:val="004B4F17"/>
    <w:rsid w:val="004B782B"/>
    <w:rsid w:val="004B7DAD"/>
    <w:rsid w:val="004C4387"/>
    <w:rsid w:val="004C4405"/>
    <w:rsid w:val="004C4735"/>
    <w:rsid w:val="004C47B0"/>
    <w:rsid w:val="004C665B"/>
    <w:rsid w:val="004D23DD"/>
    <w:rsid w:val="004D4DCA"/>
    <w:rsid w:val="004D5DCF"/>
    <w:rsid w:val="004E2B6D"/>
    <w:rsid w:val="004E3868"/>
    <w:rsid w:val="004E594B"/>
    <w:rsid w:val="004E70D7"/>
    <w:rsid w:val="004F177E"/>
    <w:rsid w:val="004F228C"/>
    <w:rsid w:val="004F28AD"/>
    <w:rsid w:val="004F2997"/>
    <w:rsid w:val="004F4F39"/>
    <w:rsid w:val="004F69B4"/>
    <w:rsid w:val="005016AD"/>
    <w:rsid w:val="005038E8"/>
    <w:rsid w:val="005054D0"/>
    <w:rsid w:val="00512639"/>
    <w:rsid w:val="00513325"/>
    <w:rsid w:val="005162B8"/>
    <w:rsid w:val="005178A7"/>
    <w:rsid w:val="005203CE"/>
    <w:rsid w:val="00520C8F"/>
    <w:rsid w:val="00523851"/>
    <w:rsid w:val="00531023"/>
    <w:rsid w:val="00531519"/>
    <w:rsid w:val="00531BE1"/>
    <w:rsid w:val="00533597"/>
    <w:rsid w:val="005351CB"/>
    <w:rsid w:val="005354F3"/>
    <w:rsid w:val="00535E96"/>
    <w:rsid w:val="0053629A"/>
    <w:rsid w:val="00537180"/>
    <w:rsid w:val="0054539B"/>
    <w:rsid w:val="0054559D"/>
    <w:rsid w:val="00547BCB"/>
    <w:rsid w:val="005534BB"/>
    <w:rsid w:val="005535B6"/>
    <w:rsid w:val="0055508D"/>
    <w:rsid w:val="005552A2"/>
    <w:rsid w:val="00555479"/>
    <w:rsid w:val="00555649"/>
    <w:rsid w:val="005617F0"/>
    <w:rsid w:val="0056387F"/>
    <w:rsid w:val="00565908"/>
    <w:rsid w:val="005659B0"/>
    <w:rsid w:val="0056724B"/>
    <w:rsid w:val="005710FD"/>
    <w:rsid w:val="0057125B"/>
    <w:rsid w:val="00571B3C"/>
    <w:rsid w:val="00571D5F"/>
    <w:rsid w:val="00571DD6"/>
    <w:rsid w:val="005724EA"/>
    <w:rsid w:val="00573F46"/>
    <w:rsid w:val="00574837"/>
    <w:rsid w:val="005769FB"/>
    <w:rsid w:val="00580291"/>
    <w:rsid w:val="0058112F"/>
    <w:rsid w:val="0058301D"/>
    <w:rsid w:val="005836F7"/>
    <w:rsid w:val="00583EAC"/>
    <w:rsid w:val="00585395"/>
    <w:rsid w:val="005862C7"/>
    <w:rsid w:val="0058652D"/>
    <w:rsid w:val="00587B05"/>
    <w:rsid w:val="0059118D"/>
    <w:rsid w:val="00592104"/>
    <w:rsid w:val="00592584"/>
    <w:rsid w:val="005925EA"/>
    <w:rsid w:val="00594340"/>
    <w:rsid w:val="00594418"/>
    <w:rsid w:val="005A19E8"/>
    <w:rsid w:val="005A350A"/>
    <w:rsid w:val="005A3F3A"/>
    <w:rsid w:val="005A459B"/>
    <w:rsid w:val="005A5B0F"/>
    <w:rsid w:val="005A6456"/>
    <w:rsid w:val="005A6EFC"/>
    <w:rsid w:val="005B220C"/>
    <w:rsid w:val="005B249F"/>
    <w:rsid w:val="005B4E44"/>
    <w:rsid w:val="005B7580"/>
    <w:rsid w:val="005B7744"/>
    <w:rsid w:val="005C11AD"/>
    <w:rsid w:val="005C273C"/>
    <w:rsid w:val="005C2BBF"/>
    <w:rsid w:val="005C2E5A"/>
    <w:rsid w:val="005C309A"/>
    <w:rsid w:val="005C49F5"/>
    <w:rsid w:val="005C4E86"/>
    <w:rsid w:val="005C7C78"/>
    <w:rsid w:val="005D157F"/>
    <w:rsid w:val="005D2840"/>
    <w:rsid w:val="005D465A"/>
    <w:rsid w:val="005D47AE"/>
    <w:rsid w:val="005D4C7E"/>
    <w:rsid w:val="005D5067"/>
    <w:rsid w:val="005D593E"/>
    <w:rsid w:val="005D64B9"/>
    <w:rsid w:val="005D6778"/>
    <w:rsid w:val="005D6C1F"/>
    <w:rsid w:val="005D7CB8"/>
    <w:rsid w:val="005D7F8F"/>
    <w:rsid w:val="005E23F5"/>
    <w:rsid w:val="005E265C"/>
    <w:rsid w:val="005E3664"/>
    <w:rsid w:val="005E3A6D"/>
    <w:rsid w:val="005E41E3"/>
    <w:rsid w:val="005E556E"/>
    <w:rsid w:val="005E5F04"/>
    <w:rsid w:val="005E7050"/>
    <w:rsid w:val="005F2EB9"/>
    <w:rsid w:val="005F7B2E"/>
    <w:rsid w:val="006000E4"/>
    <w:rsid w:val="00600C24"/>
    <w:rsid w:val="00601340"/>
    <w:rsid w:val="00601BA8"/>
    <w:rsid w:val="006036AB"/>
    <w:rsid w:val="00603EA1"/>
    <w:rsid w:val="0060430D"/>
    <w:rsid w:val="0060516A"/>
    <w:rsid w:val="00605D5A"/>
    <w:rsid w:val="00606E21"/>
    <w:rsid w:val="00611EFE"/>
    <w:rsid w:val="006124BB"/>
    <w:rsid w:val="006140AD"/>
    <w:rsid w:val="00615AA2"/>
    <w:rsid w:val="00616F95"/>
    <w:rsid w:val="006235F2"/>
    <w:rsid w:val="00624932"/>
    <w:rsid w:val="00625A84"/>
    <w:rsid w:val="006269F7"/>
    <w:rsid w:val="00627C0C"/>
    <w:rsid w:val="00632AFF"/>
    <w:rsid w:val="006331AF"/>
    <w:rsid w:val="0063409F"/>
    <w:rsid w:val="00634C0B"/>
    <w:rsid w:val="00641F42"/>
    <w:rsid w:val="006424E7"/>
    <w:rsid w:val="006434CD"/>
    <w:rsid w:val="00644789"/>
    <w:rsid w:val="00645027"/>
    <w:rsid w:val="00645103"/>
    <w:rsid w:val="0065101B"/>
    <w:rsid w:val="00651F62"/>
    <w:rsid w:val="006524FB"/>
    <w:rsid w:val="00653185"/>
    <w:rsid w:val="00653E58"/>
    <w:rsid w:val="00660E8D"/>
    <w:rsid w:val="00661F0E"/>
    <w:rsid w:val="00662C50"/>
    <w:rsid w:val="00664D89"/>
    <w:rsid w:val="00666CE2"/>
    <w:rsid w:val="006703B3"/>
    <w:rsid w:val="006707EB"/>
    <w:rsid w:val="00676F99"/>
    <w:rsid w:val="0068063D"/>
    <w:rsid w:val="00682687"/>
    <w:rsid w:val="006827B1"/>
    <w:rsid w:val="00683298"/>
    <w:rsid w:val="006840F5"/>
    <w:rsid w:val="006856D5"/>
    <w:rsid w:val="00685BDA"/>
    <w:rsid w:val="00690280"/>
    <w:rsid w:val="00691767"/>
    <w:rsid w:val="0069192C"/>
    <w:rsid w:val="006921CF"/>
    <w:rsid w:val="00692A52"/>
    <w:rsid w:val="006934B4"/>
    <w:rsid w:val="0069687B"/>
    <w:rsid w:val="00696C43"/>
    <w:rsid w:val="00697FA3"/>
    <w:rsid w:val="006A239A"/>
    <w:rsid w:val="006A2BA5"/>
    <w:rsid w:val="006A3991"/>
    <w:rsid w:val="006A5B18"/>
    <w:rsid w:val="006A6464"/>
    <w:rsid w:val="006A6AC4"/>
    <w:rsid w:val="006B0A17"/>
    <w:rsid w:val="006B1D7A"/>
    <w:rsid w:val="006B278F"/>
    <w:rsid w:val="006B2F5A"/>
    <w:rsid w:val="006B302A"/>
    <w:rsid w:val="006B37B8"/>
    <w:rsid w:val="006B390B"/>
    <w:rsid w:val="006B40F5"/>
    <w:rsid w:val="006B6369"/>
    <w:rsid w:val="006B6AA7"/>
    <w:rsid w:val="006C2016"/>
    <w:rsid w:val="006C2F9C"/>
    <w:rsid w:val="006C43AD"/>
    <w:rsid w:val="006C5212"/>
    <w:rsid w:val="006C54F7"/>
    <w:rsid w:val="006C7E2A"/>
    <w:rsid w:val="006D1304"/>
    <w:rsid w:val="006D2133"/>
    <w:rsid w:val="006D267A"/>
    <w:rsid w:val="006D3962"/>
    <w:rsid w:val="006D46E9"/>
    <w:rsid w:val="006D4CC5"/>
    <w:rsid w:val="006D5371"/>
    <w:rsid w:val="006D693B"/>
    <w:rsid w:val="006E1C3A"/>
    <w:rsid w:val="006E282D"/>
    <w:rsid w:val="006F0FFD"/>
    <w:rsid w:val="006F12AA"/>
    <w:rsid w:val="006F1BAC"/>
    <w:rsid w:val="006F3F5C"/>
    <w:rsid w:val="006F5DE5"/>
    <w:rsid w:val="006F6E18"/>
    <w:rsid w:val="006F7D6B"/>
    <w:rsid w:val="0070038E"/>
    <w:rsid w:val="00702BD0"/>
    <w:rsid w:val="00703E0B"/>
    <w:rsid w:val="00707542"/>
    <w:rsid w:val="00707CE7"/>
    <w:rsid w:val="00710104"/>
    <w:rsid w:val="007102D8"/>
    <w:rsid w:val="007117FF"/>
    <w:rsid w:val="00712625"/>
    <w:rsid w:val="007126C1"/>
    <w:rsid w:val="00713243"/>
    <w:rsid w:val="007133E2"/>
    <w:rsid w:val="00713608"/>
    <w:rsid w:val="0071440E"/>
    <w:rsid w:val="00714BF6"/>
    <w:rsid w:val="00723363"/>
    <w:rsid w:val="00723CDD"/>
    <w:rsid w:val="007257C6"/>
    <w:rsid w:val="007270F7"/>
    <w:rsid w:val="0072756D"/>
    <w:rsid w:val="00727BF9"/>
    <w:rsid w:val="00730F76"/>
    <w:rsid w:val="00734284"/>
    <w:rsid w:val="00741082"/>
    <w:rsid w:val="0074118A"/>
    <w:rsid w:val="00742155"/>
    <w:rsid w:val="00745B8B"/>
    <w:rsid w:val="00747E28"/>
    <w:rsid w:val="00750056"/>
    <w:rsid w:val="007509CA"/>
    <w:rsid w:val="007517B6"/>
    <w:rsid w:val="00752C0D"/>
    <w:rsid w:val="00752ED4"/>
    <w:rsid w:val="0075410A"/>
    <w:rsid w:val="00754E76"/>
    <w:rsid w:val="00756524"/>
    <w:rsid w:val="007609A4"/>
    <w:rsid w:val="007611E2"/>
    <w:rsid w:val="00762170"/>
    <w:rsid w:val="0076260C"/>
    <w:rsid w:val="00763E5F"/>
    <w:rsid w:val="00765F83"/>
    <w:rsid w:val="00766B3A"/>
    <w:rsid w:val="00767F17"/>
    <w:rsid w:val="00770617"/>
    <w:rsid w:val="007709D6"/>
    <w:rsid w:val="00770F32"/>
    <w:rsid w:val="007718E0"/>
    <w:rsid w:val="00771F55"/>
    <w:rsid w:val="007729B0"/>
    <w:rsid w:val="00772F42"/>
    <w:rsid w:val="0077318B"/>
    <w:rsid w:val="007741A1"/>
    <w:rsid w:val="00774C52"/>
    <w:rsid w:val="007756BE"/>
    <w:rsid w:val="00775866"/>
    <w:rsid w:val="0077596F"/>
    <w:rsid w:val="0078111A"/>
    <w:rsid w:val="0078409C"/>
    <w:rsid w:val="0078422F"/>
    <w:rsid w:val="00786F76"/>
    <w:rsid w:val="00787B07"/>
    <w:rsid w:val="00787B17"/>
    <w:rsid w:val="007910CF"/>
    <w:rsid w:val="007912EA"/>
    <w:rsid w:val="0079161B"/>
    <w:rsid w:val="00792BF4"/>
    <w:rsid w:val="007931FA"/>
    <w:rsid w:val="007942C1"/>
    <w:rsid w:val="00795C27"/>
    <w:rsid w:val="00796A9A"/>
    <w:rsid w:val="007979EB"/>
    <w:rsid w:val="007A01D2"/>
    <w:rsid w:val="007A0C03"/>
    <w:rsid w:val="007A136C"/>
    <w:rsid w:val="007A5987"/>
    <w:rsid w:val="007A5D7D"/>
    <w:rsid w:val="007A7D0C"/>
    <w:rsid w:val="007A7FC3"/>
    <w:rsid w:val="007B062A"/>
    <w:rsid w:val="007B3CA6"/>
    <w:rsid w:val="007B4240"/>
    <w:rsid w:val="007B4E5E"/>
    <w:rsid w:val="007B4ED7"/>
    <w:rsid w:val="007B538A"/>
    <w:rsid w:val="007C01E2"/>
    <w:rsid w:val="007C189B"/>
    <w:rsid w:val="007C328A"/>
    <w:rsid w:val="007C3D63"/>
    <w:rsid w:val="007C404D"/>
    <w:rsid w:val="007C5240"/>
    <w:rsid w:val="007C5443"/>
    <w:rsid w:val="007C66FB"/>
    <w:rsid w:val="007C681F"/>
    <w:rsid w:val="007C7532"/>
    <w:rsid w:val="007C7C47"/>
    <w:rsid w:val="007D66B9"/>
    <w:rsid w:val="007E1248"/>
    <w:rsid w:val="007E1728"/>
    <w:rsid w:val="007E233D"/>
    <w:rsid w:val="007E4B6E"/>
    <w:rsid w:val="007E6999"/>
    <w:rsid w:val="007E723B"/>
    <w:rsid w:val="007E75A9"/>
    <w:rsid w:val="007E7AA4"/>
    <w:rsid w:val="007E7C0D"/>
    <w:rsid w:val="007F0AED"/>
    <w:rsid w:val="007F14FD"/>
    <w:rsid w:val="007F1C89"/>
    <w:rsid w:val="007F2DF7"/>
    <w:rsid w:val="007F309E"/>
    <w:rsid w:val="007F4201"/>
    <w:rsid w:val="007F5B78"/>
    <w:rsid w:val="007F6903"/>
    <w:rsid w:val="007F6AFC"/>
    <w:rsid w:val="007F6BAB"/>
    <w:rsid w:val="00800521"/>
    <w:rsid w:val="00800AB1"/>
    <w:rsid w:val="008038B0"/>
    <w:rsid w:val="0081091D"/>
    <w:rsid w:val="00812A5C"/>
    <w:rsid w:val="00813BBF"/>
    <w:rsid w:val="0081458F"/>
    <w:rsid w:val="008145B5"/>
    <w:rsid w:val="008168B0"/>
    <w:rsid w:val="0081758F"/>
    <w:rsid w:val="008175AA"/>
    <w:rsid w:val="008206A2"/>
    <w:rsid w:val="008229A4"/>
    <w:rsid w:val="00823411"/>
    <w:rsid w:val="00823606"/>
    <w:rsid w:val="00825584"/>
    <w:rsid w:val="008266D3"/>
    <w:rsid w:val="00826A85"/>
    <w:rsid w:val="00826BDE"/>
    <w:rsid w:val="008316DB"/>
    <w:rsid w:val="00832046"/>
    <w:rsid w:val="008359B1"/>
    <w:rsid w:val="0083793E"/>
    <w:rsid w:val="00842F74"/>
    <w:rsid w:val="0084504F"/>
    <w:rsid w:val="00845C8E"/>
    <w:rsid w:val="00847433"/>
    <w:rsid w:val="00853632"/>
    <w:rsid w:val="00854B97"/>
    <w:rsid w:val="0085522B"/>
    <w:rsid w:val="008570F4"/>
    <w:rsid w:val="00857D99"/>
    <w:rsid w:val="00860550"/>
    <w:rsid w:val="0086164F"/>
    <w:rsid w:val="00863748"/>
    <w:rsid w:val="00863D2F"/>
    <w:rsid w:val="00865E90"/>
    <w:rsid w:val="00866D4B"/>
    <w:rsid w:val="00867353"/>
    <w:rsid w:val="00867709"/>
    <w:rsid w:val="0087714C"/>
    <w:rsid w:val="008771E2"/>
    <w:rsid w:val="00880F77"/>
    <w:rsid w:val="0088347A"/>
    <w:rsid w:val="00884205"/>
    <w:rsid w:val="00885A9B"/>
    <w:rsid w:val="00892F9C"/>
    <w:rsid w:val="0089460D"/>
    <w:rsid w:val="008959BA"/>
    <w:rsid w:val="008A3724"/>
    <w:rsid w:val="008A393E"/>
    <w:rsid w:val="008A4661"/>
    <w:rsid w:val="008A4DC2"/>
    <w:rsid w:val="008A5D92"/>
    <w:rsid w:val="008A713A"/>
    <w:rsid w:val="008A7A37"/>
    <w:rsid w:val="008B15A7"/>
    <w:rsid w:val="008B1C82"/>
    <w:rsid w:val="008B1E94"/>
    <w:rsid w:val="008B2746"/>
    <w:rsid w:val="008B35B6"/>
    <w:rsid w:val="008B3F2E"/>
    <w:rsid w:val="008B4A86"/>
    <w:rsid w:val="008C2B5A"/>
    <w:rsid w:val="008C6C7F"/>
    <w:rsid w:val="008C7D7C"/>
    <w:rsid w:val="008D084F"/>
    <w:rsid w:val="008D2320"/>
    <w:rsid w:val="008E06EE"/>
    <w:rsid w:val="008E0E89"/>
    <w:rsid w:val="008E109E"/>
    <w:rsid w:val="008E162C"/>
    <w:rsid w:val="008E4B5E"/>
    <w:rsid w:val="008E6AF6"/>
    <w:rsid w:val="008E7D21"/>
    <w:rsid w:val="008F01B0"/>
    <w:rsid w:val="008F0E06"/>
    <w:rsid w:val="008F3D29"/>
    <w:rsid w:val="008F3E22"/>
    <w:rsid w:val="00904B53"/>
    <w:rsid w:val="009102D1"/>
    <w:rsid w:val="00910979"/>
    <w:rsid w:val="00913D2C"/>
    <w:rsid w:val="00914082"/>
    <w:rsid w:val="00914B72"/>
    <w:rsid w:val="0091569C"/>
    <w:rsid w:val="00915C03"/>
    <w:rsid w:val="00915FD1"/>
    <w:rsid w:val="00921E21"/>
    <w:rsid w:val="009231AF"/>
    <w:rsid w:val="00924BBE"/>
    <w:rsid w:val="0092610D"/>
    <w:rsid w:val="00926AA2"/>
    <w:rsid w:val="0093113C"/>
    <w:rsid w:val="009342CD"/>
    <w:rsid w:val="0093719E"/>
    <w:rsid w:val="00937F10"/>
    <w:rsid w:val="0094074F"/>
    <w:rsid w:val="00940848"/>
    <w:rsid w:val="009420CB"/>
    <w:rsid w:val="00943551"/>
    <w:rsid w:val="00947CFC"/>
    <w:rsid w:val="00950172"/>
    <w:rsid w:val="00952AD2"/>
    <w:rsid w:val="00953233"/>
    <w:rsid w:val="0095352C"/>
    <w:rsid w:val="0095402E"/>
    <w:rsid w:val="0095432F"/>
    <w:rsid w:val="00955011"/>
    <w:rsid w:val="00955F29"/>
    <w:rsid w:val="00956F9A"/>
    <w:rsid w:val="0096074E"/>
    <w:rsid w:val="00961456"/>
    <w:rsid w:val="00962230"/>
    <w:rsid w:val="0096524E"/>
    <w:rsid w:val="00967953"/>
    <w:rsid w:val="009753CD"/>
    <w:rsid w:val="00975FB6"/>
    <w:rsid w:val="009801D8"/>
    <w:rsid w:val="00980DBE"/>
    <w:rsid w:val="00983953"/>
    <w:rsid w:val="009844ED"/>
    <w:rsid w:val="00995CDD"/>
    <w:rsid w:val="009A3E4D"/>
    <w:rsid w:val="009A4B8A"/>
    <w:rsid w:val="009A5DA1"/>
    <w:rsid w:val="009A64BB"/>
    <w:rsid w:val="009A69C5"/>
    <w:rsid w:val="009B1FD6"/>
    <w:rsid w:val="009B2993"/>
    <w:rsid w:val="009B2A90"/>
    <w:rsid w:val="009B5884"/>
    <w:rsid w:val="009B6EAA"/>
    <w:rsid w:val="009C0000"/>
    <w:rsid w:val="009C07F6"/>
    <w:rsid w:val="009C149B"/>
    <w:rsid w:val="009C1DA1"/>
    <w:rsid w:val="009C456E"/>
    <w:rsid w:val="009C6074"/>
    <w:rsid w:val="009C729C"/>
    <w:rsid w:val="009C77B6"/>
    <w:rsid w:val="009D046A"/>
    <w:rsid w:val="009D0684"/>
    <w:rsid w:val="009D144D"/>
    <w:rsid w:val="009D2ADF"/>
    <w:rsid w:val="009D36F3"/>
    <w:rsid w:val="009D4CE4"/>
    <w:rsid w:val="009D601E"/>
    <w:rsid w:val="009D78AB"/>
    <w:rsid w:val="009E0335"/>
    <w:rsid w:val="009E1606"/>
    <w:rsid w:val="009E165B"/>
    <w:rsid w:val="009E2348"/>
    <w:rsid w:val="009E286F"/>
    <w:rsid w:val="009E6577"/>
    <w:rsid w:val="009E67BE"/>
    <w:rsid w:val="009E68E5"/>
    <w:rsid w:val="009E6D78"/>
    <w:rsid w:val="009F1226"/>
    <w:rsid w:val="009F2B5D"/>
    <w:rsid w:val="009F33D7"/>
    <w:rsid w:val="00A028CA"/>
    <w:rsid w:val="00A02C1E"/>
    <w:rsid w:val="00A04ED7"/>
    <w:rsid w:val="00A0554F"/>
    <w:rsid w:val="00A060DA"/>
    <w:rsid w:val="00A06DF3"/>
    <w:rsid w:val="00A100F5"/>
    <w:rsid w:val="00A10937"/>
    <w:rsid w:val="00A1166C"/>
    <w:rsid w:val="00A1300B"/>
    <w:rsid w:val="00A153DF"/>
    <w:rsid w:val="00A15871"/>
    <w:rsid w:val="00A16184"/>
    <w:rsid w:val="00A171D2"/>
    <w:rsid w:val="00A21584"/>
    <w:rsid w:val="00A21EA1"/>
    <w:rsid w:val="00A21F59"/>
    <w:rsid w:val="00A2389A"/>
    <w:rsid w:val="00A240F8"/>
    <w:rsid w:val="00A258AD"/>
    <w:rsid w:val="00A31737"/>
    <w:rsid w:val="00A3179E"/>
    <w:rsid w:val="00A32597"/>
    <w:rsid w:val="00A34112"/>
    <w:rsid w:val="00A34C46"/>
    <w:rsid w:val="00A355F9"/>
    <w:rsid w:val="00A4003C"/>
    <w:rsid w:val="00A40255"/>
    <w:rsid w:val="00A43266"/>
    <w:rsid w:val="00A443AB"/>
    <w:rsid w:val="00A62741"/>
    <w:rsid w:val="00A62B79"/>
    <w:rsid w:val="00A6310E"/>
    <w:rsid w:val="00A63672"/>
    <w:rsid w:val="00A6556E"/>
    <w:rsid w:val="00A66578"/>
    <w:rsid w:val="00A67F25"/>
    <w:rsid w:val="00A726CB"/>
    <w:rsid w:val="00A727D5"/>
    <w:rsid w:val="00A73380"/>
    <w:rsid w:val="00A73D85"/>
    <w:rsid w:val="00A73FF2"/>
    <w:rsid w:val="00A74A74"/>
    <w:rsid w:val="00A7641F"/>
    <w:rsid w:val="00A80061"/>
    <w:rsid w:val="00A80EAB"/>
    <w:rsid w:val="00A81E03"/>
    <w:rsid w:val="00A82C77"/>
    <w:rsid w:val="00A82F50"/>
    <w:rsid w:val="00A840B0"/>
    <w:rsid w:val="00A8609D"/>
    <w:rsid w:val="00A90404"/>
    <w:rsid w:val="00A9256B"/>
    <w:rsid w:val="00A9633B"/>
    <w:rsid w:val="00A96AC4"/>
    <w:rsid w:val="00A975D5"/>
    <w:rsid w:val="00AA222C"/>
    <w:rsid w:val="00AA2CAE"/>
    <w:rsid w:val="00AA36D9"/>
    <w:rsid w:val="00AA3745"/>
    <w:rsid w:val="00AA4C5F"/>
    <w:rsid w:val="00AA61DA"/>
    <w:rsid w:val="00AA7EDD"/>
    <w:rsid w:val="00AB0479"/>
    <w:rsid w:val="00AB2E91"/>
    <w:rsid w:val="00AB516A"/>
    <w:rsid w:val="00AB57EF"/>
    <w:rsid w:val="00AC1B83"/>
    <w:rsid w:val="00AC34EA"/>
    <w:rsid w:val="00AC387D"/>
    <w:rsid w:val="00AC56A4"/>
    <w:rsid w:val="00AC65CF"/>
    <w:rsid w:val="00AD015A"/>
    <w:rsid w:val="00AD19D8"/>
    <w:rsid w:val="00AD1B70"/>
    <w:rsid w:val="00AD2817"/>
    <w:rsid w:val="00AD42F7"/>
    <w:rsid w:val="00AD5A93"/>
    <w:rsid w:val="00AE167D"/>
    <w:rsid w:val="00AE1DE0"/>
    <w:rsid w:val="00AE28AD"/>
    <w:rsid w:val="00AE28FC"/>
    <w:rsid w:val="00AE4F97"/>
    <w:rsid w:val="00AF1BF7"/>
    <w:rsid w:val="00AF26CE"/>
    <w:rsid w:val="00AF29EC"/>
    <w:rsid w:val="00AF3BC7"/>
    <w:rsid w:val="00AF40EE"/>
    <w:rsid w:val="00AF48B8"/>
    <w:rsid w:val="00AF7161"/>
    <w:rsid w:val="00B04129"/>
    <w:rsid w:val="00B05FF2"/>
    <w:rsid w:val="00B124BB"/>
    <w:rsid w:val="00B1488B"/>
    <w:rsid w:val="00B15B27"/>
    <w:rsid w:val="00B169D4"/>
    <w:rsid w:val="00B173E1"/>
    <w:rsid w:val="00B23F8F"/>
    <w:rsid w:val="00B2495D"/>
    <w:rsid w:val="00B25AC2"/>
    <w:rsid w:val="00B26116"/>
    <w:rsid w:val="00B3052B"/>
    <w:rsid w:val="00B3088D"/>
    <w:rsid w:val="00B32726"/>
    <w:rsid w:val="00B33480"/>
    <w:rsid w:val="00B338EE"/>
    <w:rsid w:val="00B34F3F"/>
    <w:rsid w:val="00B36F4D"/>
    <w:rsid w:val="00B37592"/>
    <w:rsid w:val="00B37BDD"/>
    <w:rsid w:val="00B40C1F"/>
    <w:rsid w:val="00B40D61"/>
    <w:rsid w:val="00B4218F"/>
    <w:rsid w:val="00B433A0"/>
    <w:rsid w:val="00B4348B"/>
    <w:rsid w:val="00B43D1F"/>
    <w:rsid w:val="00B43EDE"/>
    <w:rsid w:val="00B46054"/>
    <w:rsid w:val="00B46503"/>
    <w:rsid w:val="00B46F3F"/>
    <w:rsid w:val="00B47C67"/>
    <w:rsid w:val="00B502F7"/>
    <w:rsid w:val="00B5169D"/>
    <w:rsid w:val="00B5640F"/>
    <w:rsid w:val="00B5712A"/>
    <w:rsid w:val="00B60941"/>
    <w:rsid w:val="00B60D32"/>
    <w:rsid w:val="00B626A5"/>
    <w:rsid w:val="00B6294E"/>
    <w:rsid w:val="00B62FD0"/>
    <w:rsid w:val="00B63220"/>
    <w:rsid w:val="00B63870"/>
    <w:rsid w:val="00B65395"/>
    <w:rsid w:val="00B658C3"/>
    <w:rsid w:val="00B67AEB"/>
    <w:rsid w:val="00B71159"/>
    <w:rsid w:val="00B71BED"/>
    <w:rsid w:val="00B72107"/>
    <w:rsid w:val="00B80AE6"/>
    <w:rsid w:val="00B82AF0"/>
    <w:rsid w:val="00B834D9"/>
    <w:rsid w:val="00B83531"/>
    <w:rsid w:val="00B83E45"/>
    <w:rsid w:val="00B8429A"/>
    <w:rsid w:val="00B87B7D"/>
    <w:rsid w:val="00B90641"/>
    <w:rsid w:val="00B93CC8"/>
    <w:rsid w:val="00B93E5D"/>
    <w:rsid w:val="00B951F2"/>
    <w:rsid w:val="00B9645E"/>
    <w:rsid w:val="00B96DD9"/>
    <w:rsid w:val="00B971DF"/>
    <w:rsid w:val="00B97465"/>
    <w:rsid w:val="00BA068D"/>
    <w:rsid w:val="00BA093D"/>
    <w:rsid w:val="00BB0151"/>
    <w:rsid w:val="00BB018F"/>
    <w:rsid w:val="00BB05A1"/>
    <w:rsid w:val="00BB1005"/>
    <w:rsid w:val="00BB28E9"/>
    <w:rsid w:val="00BB4F6C"/>
    <w:rsid w:val="00BB5B7C"/>
    <w:rsid w:val="00BC0846"/>
    <w:rsid w:val="00BC1EF4"/>
    <w:rsid w:val="00BC2B59"/>
    <w:rsid w:val="00BC3AB9"/>
    <w:rsid w:val="00BC3EE8"/>
    <w:rsid w:val="00BC48CE"/>
    <w:rsid w:val="00BC510C"/>
    <w:rsid w:val="00BC5B77"/>
    <w:rsid w:val="00BC6B7B"/>
    <w:rsid w:val="00BD30C0"/>
    <w:rsid w:val="00BD4CF7"/>
    <w:rsid w:val="00BD619B"/>
    <w:rsid w:val="00BE0A56"/>
    <w:rsid w:val="00BE1836"/>
    <w:rsid w:val="00BE2FB3"/>
    <w:rsid w:val="00BE3AB9"/>
    <w:rsid w:val="00BE57D8"/>
    <w:rsid w:val="00BE66E2"/>
    <w:rsid w:val="00BE7337"/>
    <w:rsid w:val="00BE76F8"/>
    <w:rsid w:val="00BF0575"/>
    <w:rsid w:val="00BF1002"/>
    <w:rsid w:val="00BF1F45"/>
    <w:rsid w:val="00BF2A6A"/>
    <w:rsid w:val="00BF2D13"/>
    <w:rsid w:val="00BF3856"/>
    <w:rsid w:val="00C0370C"/>
    <w:rsid w:val="00C03C94"/>
    <w:rsid w:val="00C057BF"/>
    <w:rsid w:val="00C07E08"/>
    <w:rsid w:val="00C1088B"/>
    <w:rsid w:val="00C1148A"/>
    <w:rsid w:val="00C12BC8"/>
    <w:rsid w:val="00C139E3"/>
    <w:rsid w:val="00C2013A"/>
    <w:rsid w:val="00C21C91"/>
    <w:rsid w:val="00C23B41"/>
    <w:rsid w:val="00C317CC"/>
    <w:rsid w:val="00C31EC0"/>
    <w:rsid w:val="00C327AA"/>
    <w:rsid w:val="00C32E14"/>
    <w:rsid w:val="00C34357"/>
    <w:rsid w:val="00C34E3B"/>
    <w:rsid w:val="00C35B31"/>
    <w:rsid w:val="00C364C7"/>
    <w:rsid w:val="00C40062"/>
    <w:rsid w:val="00C45985"/>
    <w:rsid w:val="00C50BF4"/>
    <w:rsid w:val="00C51A71"/>
    <w:rsid w:val="00C51FF7"/>
    <w:rsid w:val="00C547CF"/>
    <w:rsid w:val="00C55157"/>
    <w:rsid w:val="00C57875"/>
    <w:rsid w:val="00C57ED3"/>
    <w:rsid w:val="00C635DD"/>
    <w:rsid w:val="00C63AFE"/>
    <w:rsid w:val="00C664F7"/>
    <w:rsid w:val="00C66A58"/>
    <w:rsid w:val="00C67FAE"/>
    <w:rsid w:val="00C71720"/>
    <w:rsid w:val="00C72A5E"/>
    <w:rsid w:val="00C767AE"/>
    <w:rsid w:val="00C80A0B"/>
    <w:rsid w:val="00C81D63"/>
    <w:rsid w:val="00C83B65"/>
    <w:rsid w:val="00C83BDB"/>
    <w:rsid w:val="00C83F5E"/>
    <w:rsid w:val="00C84597"/>
    <w:rsid w:val="00C864A0"/>
    <w:rsid w:val="00C8735D"/>
    <w:rsid w:val="00C903AA"/>
    <w:rsid w:val="00C91CD1"/>
    <w:rsid w:val="00C93A2D"/>
    <w:rsid w:val="00C94B63"/>
    <w:rsid w:val="00C95711"/>
    <w:rsid w:val="00C96FD2"/>
    <w:rsid w:val="00C971F5"/>
    <w:rsid w:val="00C97F28"/>
    <w:rsid w:val="00CA047C"/>
    <w:rsid w:val="00CA0B0A"/>
    <w:rsid w:val="00CA2EAC"/>
    <w:rsid w:val="00CA328A"/>
    <w:rsid w:val="00CA69C8"/>
    <w:rsid w:val="00CB0651"/>
    <w:rsid w:val="00CB0F7E"/>
    <w:rsid w:val="00CB1B66"/>
    <w:rsid w:val="00CB2021"/>
    <w:rsid w:val="00CB3804"/>
    <w:rsid w:val="00CB4496"/>
    <w:rsid w:val="00CB5B42"/>
    <w:rsid w:val="00CC02EB"/>
    <w:rsid w:val="00CC2094"/>
    <w:rsid w:val="00CC28AD"/>
    <w:rsid w:val="00CC2AF2"/>
    <w:rsid w:val="00CC3DF0"/>
    <w:rsid w:val="00CC431D"/>
    <w:rsid w:val="00CC56A4"/>
    <w:rsid w:val="00CC63C7"/>
    <w:rsid w:val="00CC6D16"/>
    <w:rsid w:val="00CC7E4C"/>
    <w:rsid w:val="00CD02C7"/>
    <w:rsid w:val="00CD2011"/>
    <w:rsid w:val="00CD510E"/>
    <w:rsid w:val="00CD55AA"/>
    <w:rsid w:val="00CD6BC7"/>
    <w:rsid w:val="00CE0CA1"/>
    <w:rsid w:val="00CE1D84"/>
    <w:rsid w:val="00CE40F2"/>
    <w:rsid w:val="00CE41C5"/>
    <w:rsid w:val="00CE5EE9"/>
    <w:rsid w:val="00CF0CA5"/>
    <w:rsid w:val="00CF415A"/>
    <w:rsid w:val="00D018E0"/>
    <w:rsid w:val="00D0251C"/>
    <w:rsid w:val="00D036A8"/>
    <w:rsid w:val="00D075BC"/>
    <w:rsid w:val="00D07E39"/>
    <w:rsid w:val="00D11544"/>
    <w:rsid w:val="00D1531D"/>
    <w:rsid w:val="00D21DF8"/>
    <w:rsid w:val="00D21E24"/>
    <w:rsid w:val="00D24FF9"/>
    <w:rsid w:val="00D27934"/>
    <w:rsid w:val="00D3125D"/>
    <w:rsid w:val="00D3145C"/>
    <w:rsid w:val="00D31888"/>
    <w:rsid w:val="00D32BF8"/>
    <w:rsid w:val="00D34E90"/>
    <w:rsid w:val="00D35A31"/>
    <w:rsid w:val="00D35FE4"/>
    <w:rsid w:val="00D42146"/>
    <w:rsid w:val="00D43EFA"/>
    <w:rsid w:val="00D514BA"/>
    <w:rsid w:val="00D538E7"/>
    <w:rsid w:val="00D542C4"/>
    <w:rsid w:val="00D54E1B"/>
    <w:rsid w:val="00D57416"/>
    <w:rsid w:val="00D61D2C"/>
    <w:rsid w:val="00D61FAA"/>
    <w:rsid w:val="00D6301D"/>
    <w:rsid w:val="00D65253"/>
    <w:rsid w:val="00D67635"/>
    <w:rsid w:val="00D709B1"/>
    <w:rsid w:val="00D71F23"/>
    <w:rsid w:val="00D73666"/>
    <w:rsid w:val="00D7419B"/>
    <w:rsid w:val="00D74B07"/>
    <w:rsid w:val="00D74EEA"/>
    <w:rsid w:val="00D76A89"/>
    <w:rsid w:val="00D77342"/>
    <w:rsid w:val="00D8055E"/>
    <w:rsid w:val="00D8244D"/>
    <w:rsid w:val="00D84C29"/>
    <w:rsid w:val="00D8536F"/>
    <w:rsid w:val="00D862CC"/>
    <w:rsid w:val="00D906AC"/>
    <w:rsid w:val="00D90B22"/>
    <w:rsid w:val="00D917D2"/>
    <w:rsid w:val="00D93E71"/>
    <w:rsid w:val="00D94975"/>
    <w:rsid w:val="00DA3678"/>
    <w:rsid w:val="00DA4854"/>
    <w:rsid w:val="00DA7661"/>
    <w:rsid w:val="00DA7AA3"/>
    <w:rsid w:val="00DB0B97"/>
    <w:rsid w:val="00DB0D1B"/>
    <w:rsid w:val="00DC205C"/>
    <w:rsid w:val="00DC3E91"/>
    <w:rsid w:val="00DC77CB"/>
    <w:rsid w:val="00DD297C"/>
    <w:rsid w:val="00DD482C"/>
    <w:rsid w:val="00DD5D16"/>
    <w:rsid w:val="00DE016D"/>
    <w:rsid w:val="00DE04D3"/>
    <w:rsid w:val="00DE220E"/>
    <w:rsid w:val="00DE2E37"/>
    <w:rsid w:val="00DE3334"/>
    <w:rsid w:val="00DE3962"/>
    <w:rsid w:val="00DE4821"/>
    <w:rsid w:val="00DE4835"/>
    <w:rsid w:val="00DF0471"/>
    <w:rsid w:val="00DF5669"/>
    <w:rsid w:val="00DF5DDB"/>
    <w:rsid w:val="00DF739A"/>
    <w:rsid w:val="00E02913"/>
    <w:rsid w:val="00E02E55"/>
    <w:rsid w:val="00E03D20"/>
    <w:rsid w:val="00E0521A"/>
    <w:rsid w:val="00E067CD"/>
    <w:rsid w:val="00E117EF"/>
    <w:rsid w:val="00E120D2"/>
    <w:rsid w:val="00E12724"/>
    <w:rsid w:val="00E13BE1"/>
    <w:rsid w:val="00E149D1"/>
    <w:rsid w:val="00E1554F"/>
    <w:rsid w:val="00E15BE6"/>
    <w:rsid w:val="00E1788D"/>
    <w:rsid w:val="00E26CE9"/>
    <w:rsid w:val="00E27BBF"/>
    <w:rsid w:val="00E307AF"/>
    <w:rsid w:val="00E33253"/>
    <w:rsid w:val="00E33FBE"/>
    <w:rsid w:val="00E343ED"/>
    <w:rsid w:val="00E3580F"/>
    <w:rsid w:val="00E35E28"/>
    <w:rsid w:val="00E375D2"/>
    <w:rsid w:val="00E407DF"/>
    <w:rsid w:val="00E413FE"/>
    <w:rsid w:val="00E428AE"/>
    <w:rsid w:val="00E442FA"/>
    <w:rsid w:val="00E4434B"/>
    <w:rsid w:val="00E46489"/>
    <w:rsid w:val="00E52A4A"/>
    <w:rsid w:val="00E52D22"/>
    <w:rsid w:val="00E55F96"/>
    <w:rsid w:val="00E56FE2"/>
    <w:rsid w:val="00E602BF"/>
    <w:rsid w:val="00E6222E"/>
    <w:rsid w:val="00E62F1C"/>
    <w:rsid w:val="00E6340A"/>
    <w:rsid w:val="00E72FAA"/>
    <w:rsid w:val="00E73307"/>
    <w:rsid w:val="00E73450"/>
    <w:rsid w:val="00E7457E"/>
    <w:rsid w:val="00E7762A"/>
    <w:rsid w:val="00E804F1"/>
    <w:rsid w:val="00E81048"/>
    <w:rsid w:val="00E817A3"/>
    <w:rsid w:val="00E83B3E"/>
    <w:rsid w:val="00E8615A"/>
    <w:rsid w:val="00E9144C"/>
    <w:rsid w:val="00E91BA5"/>
    <w:rsid w:val="00E923A1"/>
    <w:rsid w:val="00E94D84"/>
    <w:rsid w:val="00E963B8"/>
    <w:rsid w:val="00EA0511"/>
    <w:rsid w:val="00EA321B"/>
    <w:rsid w:val="00EA6BC8"/>
    <w:rsid w:val="00EB0A2B"/>
    <w:rsid w:val="00EB15CA"/>
    <w:rsid w:val="00EB167D"/>
    <w:rsid w:val="00EB1767"/>
    <w:rsid w:val="00EB187F"/>
    <w:rsid w:val="00EB1BBD"/>
    <w:rsid w:val="00EB2ECD"/>
    <w:rsid w:val="00EB3F99"/>
    <w:rsid w:val="00EB419C"/>
    <w:rsid w:val="00EB478F"/>
    <w:rsid w:val="00EB4BAC"/>
    <w:rsid w:val="00EB5EBE"/>
    <w:rsid w:val="00EB5EEF"/>
    <w:rsid w:val="00EC04CC"/>
    <w:rsid w:val="00EC51A6"/>
    <w:rsid w:val="00EC51D3"/>
    <w:rsid w:val="00EC6BD2"/>
    <w:rsid w:val="00ED0063"/>
    <w:rsid w:val="00ED21C7"/>
    <w:rsid w:val="00ED26B7"/>
    <w:rsid w:val="00ED6B81"/>
    <w:rsid w:val="00ED726C"/>
    <w:rsid w:val="00ED7F59"/>
    <w:rsid w:val="00EE05B0"/>
    <w:rsid w:val="00EE07D9"/>
    <w:rsid w:val="00EE0DC8"/>
    <w:rsid w:val="00EE218A"/>
    <w:rsid w:val="00EE23BF"/>
    <w:rsid w:val="00EE4986"/>
    <w:rsid w:val="00EE749B"/>
    <w:rsid w:val="00EE7AA3"/>
    <w:rsid w:val="00EF075B"/>
    <w:rsid w:val="00EF1E65"/>
    <w:rsid w:val="00EF3672"/>
    <w:rsid w:val="00EF3E2C"/>
    <w:rsid w:val="00EF4CCA"/>
    <w:rsid w:val="00EF74F3"/>
    <w:rsid w:val="00EF7BB5"/>
    <w:rsid w:val="00F007D3"/>
    <w:rsid w:val="00F03184"/>
    <w:rsid w:val="00F03DBC"/>
    <w:rsid w:val="00F066FA"/>
    <w:rsid w:val="00F10406"/>
    <w:rsid w:val="00F10794"/>
    <w:rsid w:val="00F11B2D"/>
    <w:rsid w:val="00F12816"/>
    <w:rsid w:val="00F13C7D"/>
    <w:rsid w:val="00F15307"/>
    <w:rsid w:val="00F16784"/>
    <w:rsid w:val="00F172F2"/>
    <w:rsid w:val="00F175F4"/>
    <w:rsid w:val="00F20714"/>
    <w:rsid w:val="00F20C65"/>
    <w:rsid w:val="00F2382C"/>
    <w:rsid w:val="00F248A7"/>
    <w:rsid w:val="00F256F8"/>
    <w:rsid w:val="00F2623C"/>
    <w:rsid w:val="00F26A2C"/>
    <w:rsid w:val="00F309F2"/>
    <w:rsid w:val="00F31280"/>
    <w:rsid w:val="00F31726"/>
    <w:rsid w:val="00F35227"/>
    <w:rsid w:val="00F37B55"/>
    <w:rsid w:val="00F407E3"/>
    <w:rsid w:val="00F412FB"/>
    <w:rsid w:val="00F45E5A"/>
    <w:rsid w:val="00F45FC9"/>
    <w:rsid w:val="00F4724F"/>
    <w:rsid w:val="00F51934"/>
    <w:rsid w:val="00F524CB"/>
    <w:rsid w:val="00F52B10"/>
    <w:rsid w:val="00F53F94"/>
    <w:rsid w:val="00F549A4"/>
    <w:rsid w:val="00F55D2E"/>
    <w:rsid w:val="00F568FE"/>
    <w:rsid w:val="00F608A4"/>
    <w:rsid w:val="00F615E1"/>
    <w:rsid w:val="00F6173C"/>
    <w:rsid w:val="00F62EE4"/>
    <w:rsid w:val="00F63F89"/>
    <w:rsid w:val="00F66169"/>
    <w:rsid w:val="00F66887"/>
    <w:rsid w:val="00F70182"/>
    <w:rsid w:val="00F71722"/>
    <w:rsid w:val="00F71AE6"/>
    <w:rsid w:val="00F74BFC"/>
    <w:rsid w:val="00F75E04"/>
    <w:rsid w:val="00F777B6"/>
    <w:rsid w:val="00F82099"/>
    <w:rsid w:val="00F853CE"/>
    <w:rsid w:val="00F86590"/>
    <w:rsid w:val="00F86729"/>
    <w:rsid w:val="00F86E34"/>
    <w:rsid w:val="00F86F4B"/>
    <w:rsid w:val="00F90BC1"/>
    <w:rsid w:val="00F916DD"/>
    <w:rsid w:val="00F92A27"/>
    <w:rsid w:val="00F96BF2"/>
    <w:rsid w:val="00F96D14"/>
    <w:rsid w:val="00FA06F5"/>
    <w:rsid w:val="00FA1050"/>
    <w:rsid w:val="00FA10A7"/>
    <w:rsid w:val="00FA256C"/>
    <w:rsid w:val="00FA2705"/>
    <w:rsid w:val="00FA3141"/>
    <w:rsid w:val="00FA3ACC"/>
    <w:rsid w:val="00FA55AD"/>
    <w:rsid w:val="00FA5883"/>
    <w:rsid w:val="00FB3582"/>
    <w:rsid w:val="00FB369C"/>
    <w:rsid w:val="00FB43ED"/>
    <w:rsid w:val="00FB5B49"/>
    <w:rsid w:val="00FB7A18"/>
    <w:rsid w:val="00FC0184"/>
    <w:rsid w:val="00FC36A4"/>
    <w:rsid w:val="00FC5139"/>
    <w:rsid w:val="00FC54D2"/>
    <w:rsid w:val="00FC5DF2"/>
    <w:rsid w:val="00FD018B"/>
    <w:rsid w:val="00FD044E"/>
    <w:rsid w:val="00FD06E1"/>
    <w:rsid w:val="00FD0FBD"/>
    <w:rsid w:val="00FD3FB3"/>
    <w:rsid w:val="00FD5BD9"/>
    <w:rsid w:val="00FD7CD7"/>
    <w:rsid w:val="00FE35A8"/>
    <w:rsid w:val="00FE56A6"/>
    <w:rsid w:val="00FE686A"/>
    <w:rsid w:val="00FF0D45"/>
    <w:rsid w:val="00FF2392"/>
    <w:rsid w:val="00FF47C7"/>
    <w:rsid w:val="00FF483F"/>
    <w:rsid w:val="00FF5284"/>
    <w:rsid w:val="00FF6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10"/>
    <w:pPr>
      <w:spacing w:after="240" w:line="260" w:lineRule="exact"/>
      <w:jc w:val="both"/>
    </w:pPr>
    <w:rPr>
      <w:rFonts w:ascii="Times New Roman" w:eastAsia="Times New Roman" w:hAnsi="Times New Roman" w:cs="Times New Roman"/>
      <w:bCs/>
      <w:szCs w:val="20"/>
      <w:lang w:eastAsia="en-AU"/>
    </w:rPr>
  </w:style>
  <w:style w:type="paragraph" w:styleId="Heading1">
    <w:name w:val="heading 1"/>
    <w:basedOn w:val="HeadingBase"/>
    <w:next w:val="Normal"/>
    <w:link w:val="Heading1Char"/>
    <w:qFormat/>
    <w:rsid w:val="00937F10"/>
    <w:pPr>
      <w:spacing w:after="360"/>
      <w:outlineLvl w:val="0"/>
    </w:pPr>
    <w:rPr>
      <w:b/>
      <w:bCs/>
      <w:kern w:val="32"/>
      <w:sz w:val="24"/>
      <w:szCs w:val="24"/>
    </w:rPr>
  </w:style>
  <w:style w:type="paragraph" w:styleId="Heading2">
    <w:name w:val="heading 2"/>
    <w:basedOn w:val="HeadingBase"/>
    <w:next w:val="Normal"/>
    <w:link w:val="Heading2Char"/>
    <w:qFormat/>
    <w:rsid w:val="00937F10"/>
    <w:pPr>
      <w:spacing w:after="240"/>
      <w:outlineLvl w:val="1"/>
    </w:pPr>
    <w:rPr>
      <w:b/>
      <w:bCs/>
      <w:iCs/>
      <w:sz w:val="24"/>
      <w:szCs w:val="24"/>
    </w:rPr>
  </w:style>
  <w:style w:type="paragraph" w:styleId="Heading3">
    <w:name w:val="heading 3"/>
    <w:basedOn w:val="HeadingBase"/>
    <w:next w:val="Normal"/>
    <w:link w:val="Heading3Char"/>
    <w:qFormat/>
    <w:rsid w:val="00937F10"/>
    <w:pPr>
      <w:spacing w:after="240"/>
      <w:outlineLvl w:val="2"/>
    </w:pPr>
    <w:rPr>
      <w:b/>
      <w:bCs/>
      <w:sz w:val="22"/>
      <w:szCs w:val="22"/>
    </w:rPr>
  </w:style>
  <w:style w:type="paragraph" w:styleId="Heading4">
    <w:name w:val="heading 4"/>
    <w:basedOn w:val="HeadingBase"/>
    <w:next w:val="Normal"/>
    <w:link w:val="Heading4Char"/>
    <w:qFormat/>
    <w:rsid w:val="00937F10"/>
    <w:pPr>
      <w:spacing w:after="240"/>
      <w:outlineLvl w:val="3"/>
    </w:pPr>
    <w:rPr>
      <w:bCs/>
      <w:sz w:val="22"/>
      <w:szCs w:val="22"/>
    </w:rPr>
  </w:style>
  <w:style w:type="paragraph" w:styleId="Heading5">
    <w:name w:val="heading 5"/>
    <w:basedOn w:val="HeadingBase"/>
    <w:next w:val="Normal"/>
    <w:link w:val="Heading5Char"/>
    <w:qFormat/>
    <w:rsid w:val="00937F10"/>
    <w:pPr>
      <w:spacing w:after="120"/>
      <w:outlineLvl w:val="4"/>
    </w:pPr>
    <w:rPr>
      <w:b/>
      <w:bCs/>
      <w:iCs/>
    </w:rPr>
  </w:style>
  <w:style w:type="paragraph" w:styleId="Heading6">
    <w:name w:val="heading 6"/>
    <w:basedOn w:val="HeadingBase"/>
    <w:next w:val="Normal"/>
    <w:link w:val="Heading6Char"/>
    <w:qFormat/>
    <w:rsid w:val="00937F10"/>
    <w:pPr>
      <w:spacing w:after="120"/>
      <w:outlineLvl w:val="5"/>
    </w:pPr>
    <w:rPr>
      <w:bCs/>
      <w:szCs w:val="22"/>
    </w:rPr>
  </w:style>
  <w:style w:type="paragraph" w:styleId="Heading7">
    <w:name w:val="heading 7"/>
    <w:basedOn w:val="HeadingBase"/>
    <w:next w:val="Normal"/>
    <w:link w:val="Heading7Char"/>
    <w:qFormat/>
    <w:rsid w:val="00937F10"/>
    <w:pPr>
      <w:spacing w:after="120"/>
      <w:outlineLvl w:val="6"/>
    </w:pPr>
    <w:rPr>
      <w:szCs w:val="24"/>
    </w:rPr>
  </w:style>
  <w:style w:type="paragraph" w:styleId="Heading8">
    <w:name w:val="heading 8"/>
    <w:basedOn w:val="HeadingBase"/>
    <w:next w:val="Normal"/>
    <w:link w:val="Heading8Char"/>
    <w:qFormat/>
    <w:rsid w:val="00937F10"/>
    <w:pPr>
      <w:spacing w:after="120"/>
      <w:outlineLvl w:val="7"/>
    </w:pPr>
    <w:rPr>
      <w:iCs/>
      <w:szCs w:val="24"/>
    </w:rPr>
  </w:style>
  <w:style w:type="paragraph" w:styleId="Heading9">
    <w:name w:val="heading 9"/>
    <w:basedOn w:val="HeadingBase"/>
    <w:next w:val="Normal"/>
    <w:link w:val="Heading9Char"/>
    <w:qFormat/>
    <w:rsid w:val="00937F10"/>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
    <w:basedOn w:val="Normal"/>
    <w:link w:val="BulletChar"/>
    <w:rsid w:val="00937F10"/>
    <w:pPr>
      <w:numPr>
        <w:numId w:val="25"/>
      </w:numPr>
      <w:tabs>
        <w:tab w:val="clear" w:pos="283"/>
        <w:tab w:val="num" w:pos="567"/>
      </w:tabs>
      <w:ind w:left="567" w:hanging="567"/>
    </w:pPr>
  </w:style>
  <w:style w:type="character" w:customStyle="1" w:styleId="BulletChar">
    <w:name w:val="Bullet Char"/>
    <w:basedOn w:val="DefaultParagraphFont"/>
    <w:link w:val="Bullet"/>
    <w:rsid w:val="00795C27"/>
    <w:rPr>
      <w:rFonts w:ascii="Times New Roman" w:eastAsia="Times New Roman" w:hAnsi="Times New Roman" w:cs="Times New Roman"/>
      <w:bCs/>
      <w:szCs w:val="20"/>
      <w:lang w:eastAsia="en-AU"/>
    </w:rPr>
  </w:style>
  <w:style w:type="paragraph" w:customStyle="1" w:styleId="Dash">
    <w:name w:val="Dash"/>
    <w:basedOn w:val="Normal"/>
    <w:link w:val="DashChar"/>
    <w:rsid w:val="00937F10"/>
    <w:pPr>
      <w:numPr>
        <w:ilvl w:val="1"/>
        <w:numId w:val="25"/>
      </w:numPr>
    </w:pPr>
  </w:style>
  <w:style w:type="character" w:customStyle="1" w:styleId="DashChar">
    <w:name w:val="Dash Char"/>
    <w:basedOn w:val="DefaultParagraphFont"/>
    <w:link w:val="Dash"/>
    <w:rsid w:val="00795C27"/>
    <w:rPr>
      <w:rFonts w:ascii="Times New Roman" w:eastAsia="Times New Roman" w:hAnsi="Times New Roman" w:cs="Times New Roman"/>
      <w:bCs/>
      <w:szCs w:val="20"/>
      <w:lang w:eastAsia="en-AU"/>
    </w:rPr>
  </w:style>
  <w:style w:type="paragraph" w:customStyle="1" w:styleId="DoubleDot">
    <w:name w:val="Double Dot"/>
    <w:basedOn w:val="Normal"/>
    <w:link w:val="DoubleDotChar"/>
    <w:rsid w:val="00937F10"/>
    <w:pPr>
      <w:numPr>
        <w:ilvl w:val="2"/>
        <w:numId w:val="25"/>
      </w:numPr>
    </w:pPr>
  </w:style>
  <w:style w:type="character" w:customStyle="1" w:styleId="DoubleDotChar">
    <w:name w:val="Double Dot Char"/>
    <w:basedOn w:val="DefaultParagraphFont"/>
    <w:link w:val="DoubleDot"/>
    <w:rsid w:val="00795C27"/>
    <w:rPr>
      <w:rFonts w:ascii="Times New Roman" w:eastAsia="Times New Roman" w:hAnsi="Times New Roman" w:cs="Times New Roman"/>
      <w:bCs/>
      <w:szCs w:val="20"/>
      <w:lang w:eastAsia="en-AU"/>
    </w:rPr>
  </w:style>
  <w:style w:type="paragraph" w:styleId="BalloonText">
    <w:name w:val="Balloon Text"/>
    <w:basedOn w:val="Normal"/>
    <w:link w:val="BalloonTextChar"/>
    <w:semiHidden/>
    <w:rsid w:val="00937F10"/>
    <w:rPr>
      <w:rFonts w:ascii="Tahoma" w:hAnsi="Tahoma" w:cs="Tahoma"/>
      <w:sz w:val="16"/>
      <w:szCs w:val="16"/>
    </w:rPr>
  </w:style>
  <w:style w:type="character" w:customStyle="1" w:styleId="BalloonTextChar">
    <w:name w:val="Balloon Text Char"/>
    <w:basedOn w:val="DefaultParagraphFont"/>
    <w:link w:val="BalloonText"/>
    <w:semiHidden/>
    <w:rsid w:val="00937F10"/>
    <w:rPr>
      <w:rFonts w:ascii="Tahoma" w:eastAsia="Times New Roman" w:hAnsi="Tahoma" w:cs="Tahoma"/>
      <w:bCs/>
      <w:sz w:val="16"/>
      <w:szCs w:val="16"/>
      <w:lang w:eastAsia="en-AU"/>
    </w:rPr>
  </w:style>
  <w:style w:type="paragraph" w:customStyle="1" w:styleId="ChartandTableFootnoteAlpha">
    <w:name w:val="Chart and Table Footnote Alpha"/>
    <w:basedOn w:val="ChartorTableNote"/>
    <w:rsid w:val="00937F10"/>
  </w:style>
  <w:style w:type="paragraph" w:customStyle="1" w:styleId="TableMainHeading">
    <w:name w:val="Table Main Heading"/>
    <w:basedOn w:val="Normal"/>
    <w:next w:val="TableGraphic"/>
    <w:rsid w:val="00937F10"/>
    <w:pPr>
      <w:keepNext/>
    </w:pPr>
    <w:rPr>
      <w:b/>
      <w:bCs w:val="0"/>
      <w:color w:val="0000FF"/>
    </w:rPr>
  </w:style>
  <w:style w:type="character" w:customStyle="1" w:styleId="Heading3Char">
    <w:name w:val="Heading 3 Char"/>
    <w:basedOn w:val="DefaultParagraphFont"/>
    <w:link w:val="Heading3"/>
    <w:rsid w:val="00937F10"/>
    <w:rPr>
      <w:rFonts w:ascii="Times New Roman" w:eastAsia="Times New Roman" w:hAnsi="Times New Roman" w:cs="Times New Roman"/>
      <w:b/>
      <w:bCs/>
      <w:color w:val="0000FF"/>
      <w:lang w:eastAsia="en-AU"/>
    </w:rPr>
  </w:style>
  <w:style w:type="paragraph" w:styleId="NormalWeb">
    <w:name w:val="Normal (Web)"/>
    <w:basedOn w:val="Normal"/>
    <w:uiPriority w:val="99"/>
    <w:rsid w:val="00937F10"/>
    <w:pPr>
      <w:spacing w:line="312" w:lineRule="atLeast"/>
    </w:pPr>
    <w:rPr>
      <w:sz w:val="24"/>
      <w:szCs w:val="24"/>
    </w:rPr>
  </w:style>
  <w:style w:type="paragraph" w:styleId="Header">
    <w:name w:val="header"/>
    <w:basedOn w:val="HeadingBase"/>
    <w:link w:val="HeaderChar"/>
    <w:rsid w:val="006B0A17"/>
    <w:pPr>
      <w:spacing w:before="120"/>
      <w:jc w:val="right"/>
    </w:pPr>
    <w:rPr>
      <w:color w:val="000000" w:themeColor="text1"/>
      <w:sz w:val="18"/>
    </w:rPr>
  </w:style>
  <w:style w:type="character" w:customStyle="1" w:styleId="HeaderChar">
    <w:name w:val="Header Char"/>
    <w:basedOn w:val="DefaultParagraphFont"/>
    <w:link w:val="Header"/>
    <w:rsid w:val="006B0A17"/>
    <w:rPr>
      <w:rFonts w:ascii="Times New Roman" w:eastAsia="Times New Roman" w:hAnsi="Times New Roman" w:cs="Times New Roman"/>
      <w:color w:val="000000" w:themeColor="text1"/>
      <w:sz w:val="18"/>
      <w:szCs w:val="20"/>
      <w:lang w:eastAsia="en-AU"/>
    </w:rPr>
  </w:style>
  <w:style w:type="paragraph" w:styleId="Footer">
    <w:name w:val="footer"/>
    <w:basedOn w:val="HeadingBase"/>
    <w:link w:val="FooterChar"/>
    <w:uiPriority w:val="99"/>
    <w:rsid w:val="00937F10"/>
    <w:rPr>
      <w:color w:val="auto"/>
      <w:sz w:val="18"/>
    </w:rPr>
  </w:style>
  <w:style w:type="character" w:customStyle="1" w:styleId="FooterChar">
    <w:name w:val="Footer Char"/>
    <w:basedOn w:val="DefaultParagraphFont"/>
    <w:link w:val="Footer"/>
    <w:uiPriority w:val="99"/>
    <w:rsid w:val="00937F10"/>
    <w:rPr>
      <w:rFonts w:ascii="Times New Roman" w:eastAsia="Times New Roman" w:hAnsi="Times New Roman" w:cs="Times New Roman"/>
      <w:sz w:val="18"/>
      <w:szCs w:val="20"/>
      <w:lang w:eastAsia="en-AU"/>
    </w:rPr>
  </w:style>
  <w:style w:type="paragraph" w:customStyle="1" w:styleId="TableGraphic">
    <w:name w:val="Table Graphic"/>
    <w:basedOn w:val="HeadingBase"/>
    <w:next w:val="Normal"/>
    <w:rsid w:val="00937F10"/>
  </w:style>
  <w:style w:type="character" w:styleId="CommentReference">
    <w:name w:val="annotation reference"/>
    <w:basedOn w:val="DefaultParagraphFont"/>
    <w:semiHidden/>
    <w:rsid w:val="00937F10"/>
    <w:rPr>
      <w:sz w:val="16"/>
      <w:szCs w:val="16"/>
    </w:rPr>
  </w:style>
  <w:style w:type="paragraph" w:styleId="CommentText">
    <w:name w:val="annotation text"/>
    <w:basedOn w:val="Normal"/>
    <w:link w:val="CommentTextChar"/>
    <w:semiHidden/>
    <w:rsid w:val="00937F10"/>
  </w:style>
  <w:style w:type="character" w:customStyle="1" w:styleId="CommentTextChar">
    <w:name w:val="Comment Text Char"/>
    <w:basedOn w:val="DefaultParagraphFont"/>
    <w:link w:val="CommentText"/>
    <w:semiHidden/>
    <w:rsid w:val="00937F10"/>
    <w:rPr>
      <w:rFonts w:ascii="Times New Roman" w:eastAsia="Times New Roman" w:hAnsi="Times New Roman" w:cs="Times New Roman"/>
      <w:bCs/>
      <w:szCs w:val="20"/>
      <w:lang w:eastAsia="en-AU"/>
    </w:rPr>
  </w:style>
  <w:style w:type="paragraph" w:styleId="CommentSubject">
    <w:name w:val="annotation subject"/>
    <w:basedOn w:val="CommentText"/>
    <w:next w:val="CommentText"/>
    <w:link w:val="CommentSubjectChar"/>
    <w:semiHidden/>
    <w:rsid w:val="00937F10"/>
    <w:rPr>
      <w:b/>
      <w:bCs w:val="0"/>
    </w:rPr>
  </w:style>
  <w:style w:type="character" w:customStyle="1" w:styleId="CommentSubjectChar">
    <w:name w:val="Comment Subject Char"/>
    <w:basedOn w:val="CommentTextChar"/>
    <w:link w:val="CommentSubject"/>
    <w:semiHidden/>
    <w:rsid w:val="00937F10"/>
    <w:rPr>
      <w:rFonts w:ascii="Times New Roman" w:eastAsia="Times New Roman" w:hAnsi="Times New Roman" w:cs="Times New Roman"/>
      <w:b/>
      <w:bCs w:val="0"/>
      <w:szCs w:val="20"/>
      <w:lang w:eastAsia="en-AU"/>
    </w:rPr>
  </w:style>
  <w:style w:type="paragraph" w:styleId="FootnoteText">
    <w:name w:val="footnote text"/>
    <w:basedOn w:val="Normal"/>
    <w:link w:val="FootnoteTextChar"/>
    <w:rsid w:val="00937F10"/>
    <w:pPr>
      <w:spacing w:after="0" w:line="240" w:lineRule="auto"/>
    </w:pPr>
    <w:rPr>
      <w:rFonts w:ascii="Calibri" w:hAnsi="Calibri"/>
      <w:color w:val="000000" w:themeColor="text1"/>
      <w:sz w:val="18"/>
      <w:szCs w:val="18"/>
    </w:rPr>
  </w:style>
  <w:style w:type="character" w:customStyle="1" w:styleId="FootnoteTextChar">
    <w:name w:val="Footnote Text Char"/>
    <w:basedOn w:val="DefaultParagraphFont"/>
    <w:link w:val="FootnoteText"/>
    <w:rsid w:val="00937F10"/>
    <w:rPr>
      <w:rFonts w:ascii="Calibri" w:eastAsia="Times New Roman" w:hAnsi="Calibri" w:cs="Times New Roman"/>
      <w:bCs/>
      <w:color w:val="000000" w:themeColor="text1"/>
      <w:sz w:val="18"/>
      <w:szCs w:val="18"/>
      <w:lang w:eastAsia="en-AU"/>
    </w:rPr>
  </w:style>
  <w:style w:type="character" w:styleId="FootnoteReference">
    <w:name w:val="footnote reference"/>
    <w:basedOn w:val="DefaultParagraphFont"/>
    <w:rsid w:val="00937F10"/>
    <w:rPr>
      <w:vertAlign w:val="superscript"/>
    </w:rPr>
  </w:style>
  <w:style w:type="paragraph" w:customStyle="1" w:styleId="SingleParagraph">
    <w:name w:val="Single Paragraph"/>
    <w:basedOn w:val="Normal"/>
    <w:rsid w:val="00937F10"/>
    <w:pPr>
      <w:spacing w:after="0"/>
    </w:pPr>
  </w:style>
  <w:style w:type="character" w:customStyle="1" w:styleId="Heading2Char">
    <w:name w:val="Heading 2 Char"/>
    <w:basedOn w:val="DefaultParagraphFont"/>
    <w:link w:val="Heading2"/>
    <w:rsid w:val="00937F10"/>
    <w:rPr>
      <w:rFonts w:ascii="Times New Roman" w:eastAsia="Times New Roman" w:hAnsi="Times New Roman" w:cs="Times New Roman"/>
      <w:b/>
      <w:bCs/>
      <w:iCs/>
      <w:color w:val="0000FF"/>
      <w:sz w:val="24"/>
      <w:szCs w:val="24"/>
      <w:lang w:eastAsia="en-AU"/>
    </w:rPr>
  </w:style>
  <w:style w:type="paragraph" w:customStyle="1" w:styleId="ChartorTableNote">
    <w:name w:val="Chart or Table Note"/>
    <w:basedOn w:val="FootnoteText"/>
    <w:next w:val="Normal"/>
    <w:link w:val="ChartorTableNoteChar"/>
    <w:rsid w:val="00937F10"/>
    <w:rPr>
      <w:rFonts w:ascii="Times New Roman" w:hAnsi="Times New Roman"/>
    </w:rPr>
  </w:style>
  <w:style w:type="character" w:customStyle="1" w:styleId="ChartorTableNoteChar">
    <w:name w:val="Chart or Table Note Char"/>
    <w:basedOn w:val="DefaultParagraphFont"/>
    <w:link w:val="ChartorTableNote"/>
    <w:rsid w:val="00786F76"/>
    <w:rPr>
      <w:rFonts w:ascii="Times New Roman" w:eastAsia="Times New Roman" w:hAnsi="Times New Roman" w:cs="Times New Roman"/>
      <w:bCs/>
      <w:color w:val="000000" w:themeColor="text1"/>
      <w:sz w:val="18"/>
      <w:szCs w:val="18"/>
      <w:lang w:eastAsia="en-AU"/>
    </w:rPr>
  </w:style>
  <w:style w:type="paragraph" w:styleId="Revision">
    <w:name w:val="Revision"/>
    <w:hidden/>
    <w:uiPriority w:val="99"/>
    <w:semiHidden/>
    <w:rsid w:val="001A1C5A"/>
    <w:pPr>
      <w:spacing w:after="0" w:line="240" w:lineRule="auto"/>
    </w:pPr>
  </w:style>
  <w:style w:type="table" w:styleId="TableGrid">
    <w:name w:val="Table Grid"/>
    <w:basedOn w:val="TableNormal"/>
    <w:rsid w:val="00937F10"/>
    <w:pPr>
      <w:spacing w:after="240" w:line="260" w:lineRule="exact"/>
      <w:jc w:val="both"/>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cPr>
      <w:shd w:val="clear" w:color="auto" w:fill="E6E6E6"/>
    </w:tcPr>
  </w:style>
  <w:style w:type="character" w:customStyle="1" w:styleId="Heading1Char">
    <w:name w:val="Heading 1 Char"/>
    <w:basedOn w:val="DefaultParagraphFont"/>
    <w:link w:val="Heading1"/>
    <w:rsid w:val="00937F10"/>
    <w:rPr>
      <w:rFonts w:ascii="Times New Roman" w:eastAsia="Times New Roman" w:hAnsi="Times New Roman" w:cs="Times New Roman"/>
      <w:b/>
      <w:bCs/>
      <w:color w:val="0000FF"/>
      <w:kern w:val="32"/>
      <w:sz w:val="24"/>
      <w:szCs w:val="24"/>
      <w:lang w:eastAsia="en-AU"/>
    </w:rPr>
  </w:style>
  <w:style w:type="character" w:customStyle="1" w:styleId="Heading4Char">
    <w:name w:val="Heading 4 Char"/>
    <w:basedOn w:val="DefaultParagraphFont"/>
    <w:link w:val="Heading4"/>
    <w:rsid w:val="00937F10"/>
    <w:rPr>
      <w:rFonts w:ascii="Times New Roman" w:eastAsia="Times New Roman" w:hAnsi="Times New Roman" w:cs="Times New Roman"/>
      <w:bCs/>
      <w:color w:val="0000FF"/>
      <w:lang w:eastAsia="en-AU"/>
    </w:rPr>
  </w:style>
  <w:style w:type="character" w:customStyle="1" w:styleId="Heading5Char">
    <w:name w:val="Heading 5 Char"/>
    <w:basedOn w:val="DefaultParagraphFont"/>
    <w:link w:val="Heading5"/>
    <w:rsid w:val="00937F10"/>
    <w:rPr>
      <w:rFonts w:ascii="Times New Roman" w:eastAsia="Times New Roman" w:hAnsi="Times New Roman" w:cs="Times New Roman"/>
      <w:b/>
      <w:bCs/>
      <w:iCs/>
      <w:color w:val="0000FF"/>
      <w:sz w:val="20"/>
      <w:szCs w:val="20"/>
      <w:lang w:eastAsia="en-AU"/>
    </w:rPr>
  </w:style>
  <w:style w:type="character" w:customStyle="1" w:styleId="Heading6Char">
    <w:name w:val="Heading 6 Char"/>
    <w:basedOn w:val="DefaultParagraphFont"/>
    <w:link w:val="Heading6"/>
    <w:rsid w:val="00937F10"/>
    <w:rPr>
      <w:rFonts w:ascii="Times New Roman" w:eastAsia="Times New Roman" w:hAnsi="Times New Roman" w:cs="Times New Roman"/>
      <w:bCs/>
      <w:color w:val="0000FF"/>
      <w:sz w:val="20"/>
      <w:lang w:eastAsia="en-AU"/>
    </w:rPr>
  </w:style>
  <w:style w:type="character" w:customStyle="1" w:styleId="Heading7Char">
    <w:name w:val="Heading 7 Char"/>
    <w:basedOn w:val="DefaultParagraphFont"/>
    <w:link w:val="Heading7"/>
    <w:rsid w:val="00937F10"/>
    <w:rPr>
      <w:rFonts w:ascii="Times New Roman" w:eastAsia="Times New Roman" w:hAnsi="Times New Roman" w:cs="Times New Roman"/>
      <w:color w:val="0000FF"/>
      <w:sz w:val="20"/>
      <w:szCs w:val="24"/>
      <w:lang w:eastAsia="en-AU"/>
    </w:rPr>
  </w:style>
  <w:style w:type="character" w:customStyle="1" w:styleId="Heading8Char">
    <w:name w:val="Heading 8 Char"/>
    <w:basedOn w:val="DefaultParagraphFont"/>
    <w:link w:val="Heading8"/>
    <w:rsid w:val="00937F10"/>
    <w:rPr>
      <w:rFonts w:ascii="Times New Roman" w:eastAsia="Times New Roman" w:hAnsi="Times New Roman" w:cs="Times New Roman"/>
      <w:iCs/>
      <w:color w:val="0000FF"/>
      <w:sz w:val="20"/>
      <w:szCs w:val="24"/>
      <w:lang w:eastAsia="en-AU"/>
    </w:rPr>
  </w:style>
  <w:style w:type="character" w:customStyle="1" w:styleId="Heading9Char">
    <w:name w:val="Heading 9 Char"/>
    <w:basedOn w:val="DefaultParagraphFont"/>
    <w:link w:val="Heading9"/>
    <w:rsid w:val="00937F10"/>
    <w:rPr>
      <w:rFonts w:ascii="Times New Roman" w:eastAsia="Times New Roman" w:hAnsi="Times New Roman" w:cs="Arial"/>
      <w:color w:val="0000FF"/>
      <w:sz w:val="20"/>
      <w:lang w:eastAsia="en-AU"/>
    </w:rPr>
  </w:style>
  <w:style w:type="paragraph" w:customStyle="1" w:styleId="HeadingBase">
    <w:name w:val="Heading Base"/>
    <w:next w:val="Normal"/>
    <w:rsid w:val="00937F10"/>
    <w:pPr>
      <w:keepNext/>
      <w:spacing w:after="0" w:line="240" w:lineRule="auto"/>
    </w:pPr>
    <w:rPr>
      <w:rFonts w:ascii="Times New Roman" w:eastAsia="Times New Roman" w:hAnsi="Times New Roman" w:cs="Times New Roman"/>
      <w:color w:val="0000FF"/>
      <w:sz w:val="20"/>
      <w:szCs w:val="20"/>
      <w:lang w:eastAsia="en-AU"/>
    </w:rPr>
  </w:style>
  <w:style w:type="paragraph" w:customStyle="1" w:styleId="ChartGraphic">
    <w:name w:val="Chart Graphic"/>
    <w:basedOn w:val="HeadingBase"/>
    <w:next w:val="Normal"/>
    <w:rsid w:val="00937F10"/>
    <w:pPr>
      <w:jc w:val="center"/>
    </w:pPr>
  </w:style>
  <w:style w:type="paragraph" w:customStyle="1" w:styleId="BoxTextBase">
    <w:name w:val="Box Text Base"/>
    <w:basedOn w:val="Normal"/>
    <w:rsid w:val="00937F10"/>
  </w:style>
  <w:style w:type="paragraph" w:customStyle="1" w:styleId="BoxBullet">
    <w:name w:val="Box Bullet"/>
    <w:basedOn w:val="BoxTextBase"/>
    <w:rsid w:val="00937F10"/>
    <w:pPr>
      <w:numPr>
        <w:numId w:val="26"/>
      </w:numPr>
      <w:ind w:left="284" w:hanging="284"/>
    </w:pPr>
  </w:style>
  <w:style w:type="paragraph" w:customStyle="1" w:styleId="BoxDash">
    <w:name w:val="Box Dash"/>
    <w:basedOn w:val="Normal"/>
    <w:rsid w:val="00937F10"/>
    <w:pPr>
      <w:numPr>
        <w:ilvl w:val="1"/>
        <w:numId w:val="26"/>
      </w:numPr>
    </w:pPr>
  </w:style>
  <w:style w:type="paragraph" w:customStyle="1" w:styleId="BoxDoubleDot">
    <w:name w:val="Box Double Dot"/>
    <w:basedOn w:val="BoxTextBase"/>
    <w:rsid w:val="00937F10"/>
    <w:pPr>
      <w:numPr>
        <w:ilvl w:val="2"/>
        <w:numId w:val="26"/>
      </w:numPr>
    </w:pPr>
  </w:style>
  <w:style w:type="paragraph" w:customStyle="1" w:styleId="BoxHeading">
    <w:name w:val="Box Heading"/>
    <w:basedOn w:val="HeadingBase"/>
    <w:next w:val="Normal"/>
    <w:rsid w:val="00937F10"/>
    <w:pPr>
      <w:spacing w:before="240" w:after="120"/>
    </w:pPr>
    <w:rPr>
      <w:b/>
      <w:sz w:val="22"/>
    </w:rPr>
  </w:style>
  <w:style w:type="paragraph" w:customStyle="1" w:styleId="BoxText">
    <w:name w:val="Box Text"/>
    <w:basedOn w:val="BoxTextBase"/>
    <w:rsid w:val="00937F10"/>
  </w:style>
  <w:style w:type="paragraph" w:styleId="NormalIndent">
    <w:name w:val="Normal Indent"/>
    <w:basedOn w:val="Normal"/>
    <w:rsid w:val="00937F10"/>
    <w:pPr>
      <w:ind w:left="567"/>
    </w:pPr>
  </w:style>
  <w:style w:type="paragraph" w:customStyle="1" w:styleId="ChartMainHeading">
    <w:name w:val="Chart Main Heading"/>
    <w:basedOn w:val="Normal"/>
    <w:next w:val="ChartGraphic"/>
    <w:rsid w:val="00937F10"/>
    <w:pPr>
      <w:keepNext/>
      <w:jc w:val="center"/>
    </w:pPr>
    <w:rPr>
      <w:b/>
      <w:bCs w:val="0"/>
      <w:color w:val="0000FF"/>
    </w:rPr>
  </w:style>
  <w:style w:type="paragraph" w:customStyle="1" w:styleId="ChartSecondHeading">
    <w:name w:val="Chart Second Heading"/>
    <w:basedOn w:val="HeadingBase"/>
    <w:next w:val="ChartGraphic"/>
    <w:rsid w:val="00937F10"/>
    <w:pPr>
      <w:spacing w:after="20"/>
      <w:jc w:val="center"/>
    </w:pPr>
  </w:style>
  <w:style w:type="paragraph" w:customStyle="1" w:styleId="Classification">
    <w:name w:val="Classification"/>
    <w:basedOn w:val="HeadingBase"/>
    <w:next w:val="Footer"/>
    <w:rsid w:val="00937F10"/>
    <w:pPr>
      <w:spacing w:after="120"/>
      <w:jc w:val="center"/>
    </w:pPr>
    <w:rPr>
      <w:b/>
      <w:smallCaps/>
    </w:rPr>
  </w:style>
  <w:style w:type="paragraph" w:customStyle="1" w:styleId="ContentsHeading">
    <w:name w:val="Contents Heading"/>
    <w:basedOn w:val="HeadingBase"/>
    <w:next w:val="Normal"/>
    <w:rsid w:val="00937F10"/>
    <w:pPr>
      <w:spacing w:after="360"/>
    </w:pPr>
    <w:rPr>
      <w:sz w:val="36"/>
      <w:szCs w:val="36"/>
    </w:rPr>
  </w:style>
  <w:style w:type="paragraph" w:customStyle="1" w:styleId="CoverTitleSub">
    <w:name w:val="Cover Title Sub"/>
    <w:basedOn w:val="HeadingBase"/>
    <w:rsid w:val="00937F10"/>
    <w:pPr>
      <w:spacing w:after="360"/>
      <w:jc w:val="center"/>
    </w:pPr>
    <w:rPr>
      <w:sz w:val="36"/>
    </w:rPr>
  </w:style>
  <w:style w:type="paragraph" w:customStyle="1" w:styleId="Covertitlelevel3">
    <w:name w:val="Cover title level 3"/>
    <w:basedOn w:val="CoverTitleSub"/>
    <w:rsid w:val="00937F10"/>
    <w:pPr>
      <w:spacing w:after="120"/>
    </w:pPr>
    <w:rPr>
      <w:sz w:val="28"/>
      <w:szCs w:val="28"/>
    </w:rPr>
  </w:style>
  <w:style w:type="paragraph" w:customStyle="1" w:styleId="CoverTitleMain">
    <w:name w:val="Cover Title Main"/>
    <w:basedOn w:val="HeadingBase"/>
    <w:next w:val="Normal"/>
    <w:rsid w:val="00937F10"/>
    <w:pPr>
      <w:spacing w:after="480"/>
      <w:jc w:val="center"/>
    </w:pPr>
    <w:rPr>
      <w:b/>
      <w:sz w:val="48"/>
    </w:rPr>
  </w:style>
  <w:style w:type="paragraph" w:customStyle="1" w:styleId="Figuregraphic">
    <w:name w:val="Figure graphic"/>
    <w:basedOn w:val="Normal"/>
    <w:rsid w:val="00937F10"/>
    <w:pPr>
      <w:spacing w:line="240" w:lineRule="auto"/>
      <w:jc w:val="center"/>
    </w:pPr>
  </w:style>
  <w:style w:type="paragraph" w:customStyle="1" w:styleId="FigureHeading">
    <w:name w:val="Figure Heading"/>
    <w:basedOn w:val="HeadingBase"/>
    <w:next w:val="Figuregraphic"/>
    <w:rsid w:val="00937F10"/>
    <w:pPr>
      <w:spacing w:after="20"/>
      <w:jc w:val="center"/>
    </w:pPr>
    <w:rPr>
      <w:b/>
      <w:sz w:val="22"/>
      <w:szCs w:val="22"/>
    </w:rPr>
  </w:style>
  <w:style w:type="paragraph" w:customStyle="1" w:styleId="FigureSecondHeading">
    <w:name w:val="Figure Second Heading"/>
    <w:basedOn w:val="HeadingBase"/>
    <w:next w:val="Figuregraphic"/>
    <w:rsid w:val="00937F10"/>
    <w:pPr>
      <w:spacing w:after="20"/>
      <w:jc w:val="center"/>
    </w:pPr>
  </w:style>
  <w:style w:type="paragraph" w:customStyle="1" w:styleId="FooterCentered">
    <w:name w:val="Footer Centered"/>
    <w:basedOn w:val="FooterOdd"/>
    <w:rsid w:val="00937F10"/>
    <w:pPr>
      <w:jc w:val="center"/>
    </w:pPr>
  </w:style>
  <w:style w:type="paragraph" w:customStyle="1" w:styleId="FooterEven">
    <w:name w:val="Footer Even"/>
    <w:basedOn w:val="FooterCentered"/>
    <w:rsid w:val="00937F10"/>
    <w:pPr>
      <w:jc w:val="left"/>
    </w:pPr>
  </w:style>
  <w:style w:type="paragraph" w:customStyle="1" w:styleId="FooterOdd">
    <w:name w:val="Footer Odd"/>
    <w:basedOn w:val="Footer"/>
    <w:rsid w:val="00937F10"/>
    <w:pPr>
      <w:jc w:val="right"/>
    </w:pPr>
    <w:rPr>
      <w:szCs w:val="18"/>
    </w:rPr>
  </w:style>
  <w:style w:type="character" w:customStyle="1" w:styleId="FramedFooter">
    <w:name w:val="Framed Footer"/>
    <w:rsid w:val="00937F10"/>
    <w:rPr>
      <w:rFonts w:ascii="Calibri" w:hAnsi="Calibri"/>
      <w:sz w:val="18"/>
    </w:rPr>
  </w:style>
  <w:style w:type="character" w:customStyle="1" w:styleId="FramedHeader">
    <w:name w:val="Framed Header"/>
    <w:basedOn w:val="DefaultParagraphFont"/>
    <w:rsid w:val="00937F10"/>
    <w:rPr>
      <w:rFonts w:ascii="Times New Roman" w:hAnsi="Times New Roman"/>
      <w:dstrike w:val="0"/>
      <w:color w:val="auto"/>
      <w:sz w:val="18"/>
      <w:vertAlign w:val="baseline"/>
    </w:rPr>
  </w:style>
  <w:style w:type="paragraph" w:customStyle="1" w:styleId="HeaderEven">
    <w:name w:val="Header Even"/>
    <w:basedOn w:val="Header"/>
    <w:rsid w:val="006B0A17"/>
    <w:pPr>
      <w:tabs>
        <w:tab w:val="left" w:pos="2337"/>
      </w:tabs>
      <w:jc w:val="left"/>
    </w:pPr>
    <w:rPr>
      <w:szCs w:val="18"/>
    </w:rPr>
  </w:style>
  <w:style w:type="paragraph" w:customStyle="1" w:styleId="HeaderOdd">
    <w:name w:val="Header Odd"/>
    <w:basedOn w:val="Header"/>
    <w:rsid w:val="006B0A17"/>
    <w:rPr>
      <w:szCs w:val="18"/>
    </w:rPr>
  </w:style>
  <w:style w:type="character" w:styleId="Hyperlink">
    <w:name w:val="Hyperlink"/>
    <w:basedOn w:val="DefaultParagraphFont"/>
    <w:rsid w:val="00937F10"/>
    <w:rPr>
      <w:color w:val="auto"/>
      <w:u w:val="none"/>
    </w:rPr>
  </w:style>
  <w:style w:type="character" w:customStyle="1" w:styleId="italic">
    <w:name w:val="italic"/>
    <w:basedOn w:val="DefaultParagraphFont"/>
    <w:rsid w:val="00937F10"/>
    <w:rPr>
      <w:i/>
    </w:rPr>
  </w:style>
  <w:style w:type="paragraph" w:customStyle="1" w:styleId="NormalIndentItalics">
    <w:name w:val="Normal Indent Italics"/>
    <w:basedOn w:val="NormalIndent"/>
    <w:rsid w:val="00937F10"/>
    <w:rPr>
      <w:i/>
    </w:rPr>
  </w:style>
  <w:style w:type="paragraph" w:customStyle="1" w:styleId="OutlineNumbered1">
    <w:name w:val="Outline Numbered 1"/>
    <w:basedOn w:val="Normal"/>
    <w:rsid w:val="00937F10"/>
    <w:pPr>
      <w:numPr>
        <w:numId w:val="35"/>
      </w:numPr>
    </w:pPr>
  </w:style>
  <w:style w:type="paragraph" w:customStyle="1" w:styleId="OneLevelNumberedParagraph">
    <w:name w:val="One Level Numbered Paragraph"/>
    <w:basedOn w:val="Normal"/>
    <w:rsid w:val="00937F10"/>
    <w:pPr>
      <w:numPr>
        <w:numId w:val="34"/>
      </w:numPr>
    </w:pPr>
  </w:style>
  <w:style w:type="paragraph" w:customStyle="1" w:styleId="OutlineNumbered2">
    <w:name w:val="Outline Numbered 2"/>
    <w:basedOn w:val="Normal"/>
    <w:rsid w:val="00937F10"/>
    <w:pPr>
      <w:numPr>
        <w:ilvl w:val="1"/>
        <w:numId w:val="35"/>
      </w:numPr>
    </w:pPr>
  </w:style>
  <w:style w:type="paragraph" w:customStyle="1" w:styleId="OutlineNumbered3">
    <w:name w:val="Outline Numbered 3"/>
    <w:basedOn w:val="Normal"/>
    <w:rsid w:val="00937F10"/>
    <w:pPr>
      <w:numPr>
        <w:ilvl w:val="2"/>
        <w:numId w:val="35"/>
      </w:numPr>
    </w:pPr>
  </w:style>
  <w:style w:type="character" w:styleId="PageNumber">
    <w:name w:val="page number"/>
    <w:basedOn w:val="DefaultParagraphFont"/>
    <w:rsid w:val="00937F10"/>
  </w:style>
  <w:style w:type="paragraph" w:customStyle="1" w:styleId="Principle">
    <w:name w:val="Principle"/>
    <w:basedOn w:val="Normal"/>
    <w:rsid w:val="00937F10"/>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937F10"/>
    <w:rPr>
      <w:i/>
    </w:rPr>
  </w:style>
  <w:style w:type="paragraph" w:customStyle="1" w:styleId="RecommendationBullet">
    <w:name w:val="Recommendation Bullet"/>
    <w:basedOn w:val="RecommendationTextBase"/>
    <w:rsid w:val="00937F10"/>
    <w:pPr>
      <w:numPr>
        <w:numId w:val="36"/>
      </w:numPr>
    </w:pPr>
  </w:style>
  <w:style w:type="paragraph" w:customStyle="1" w:styleId="RecommendationDash">
    <w:name w:val="Recommendation Dash"/>
    <w:basedOn w:val="RecommendationTextBase"/>
    <w:rsid w:val="00937F10"/>
    <w:pPr>
      <w:numPr>
        <w:ilvl w:val="1"/>
        <w:numId w:val="36"/>
      </w:numPr>
    </w:pPr>
  </w:style>
  <w:style w:type="paragraph" w:customStyle="1" w:styleId="RecommendationDoubleDot">
    <w:name w:val="Recommendation Double Dot"/>
    <w:basedOn w:val="RecommendationTextBase"/>
    <w:rsid w:val="00937F10"/>
    <w:pPr>
      <w:numPr>
        <w:ilvl w:val="2"/>
        <w:numId w:val="36"/>
      </w:numPr>
    </w:pPr>
  </w:style>
  <w:style w:type="paragraph" w:customStyle="1" w:styleId="RecommendationHeading">
    <w:name w:val="Recommendation Heading"/>
    <w:basedOn w:val="HeadingBase"/>
    <w:next w:val="Normal"/>
    <w:rsid w:val="00937F10"/>
    <w:pPr>
      <w:spacing w:before="120" w:after="240"/>
    </w:pPr>
    <w:rPr>
      <w:b/>
      <w:sz w:val="22"/>
    </w:rPr>
  </w:style>
  <w:style w:type="paragraph" w:customStyle="1" w:styleId="RecommendationText">
    <w:name w:val="Recommendation Text"/>
    <w:basedOn w:val="RecommendationTextBase"/>
    <w:rsid w:val="00937F10"/>
  </w:style>
  <w:style w:type="paragraph" w:customStyle="1" w:styleId="Romannumeral">
    <w:name w:val="Roman numeral"/>
    <w:basedOn w:val="Normal"/>
    <w:rsid w:val="00937F10"/>
    <w:pPr>
      <w:numPr>
        <w:numId w:val="37"/>
      </w:numPr>
    </w:pPr>
  </w:style>
  <w:style w:type="paragraph" w:customStyle="1" w:styleId="SingleParagraphIndent">
    <w:name w:val="Single Paragraph Indent"/>
    <w:basedOn w:val="SingleParagraph"/>
    <w:rsid w:val="00937F10"/>
    <w:pPr>
      <w:ind w:left="567"/>
    </w:pPr>
  </w:style>
  <w:style w:type="paragraph" w:customStyle="1" w:styleId="TableSecondHeading">
    <w:name w:val="Table Second Heading"/>
    <w:basedOn w:val="HeadingBase"/>
    <w:next w:val="TableGraphic"/>
    <w:rsid w:val="00937F10"/>
    <w:pPr>
      <w:spacing w:after="20"/>
    </w:pPr>
  </w:style>
  <w:style w:type="paragraph" w:customStyle="1" w:styleId="TableTextBase">
    <w:name w:val="Table Text Base"/>
    <w:rsid w:val="00937F10"/>
    <w:pPr>
      <w:spacing w:before="40" w:after="40" w:line="240" w:lineRule="auto"/>
    </w:pPr>
    <w:rPr>
      <w:rFonts w:ascii="Arial" w:eastAsia="Times New Roman" w:hAnsi="Arial" w:cs="Times New Roman"/>
      <w:color w:val="0000FF"/>
      <w:sz w:val="16"/>
      <w:szCs w:val="20"/>
      <w:lang w:eastAsia="en-AU"/>
    </w:rPr>
  </w:style>
  <w:style w:type="paragraph" w:customStyle="1" w:styleId="TableColumnHeadingCentred">
    <w:name w:val="Table Column Heading Centred"/>
    <w:basedOn w:val="TableColumnHeadingBase"/>
    <w:rsid w:val="00937F10"/>
    <w:pPr>
      <w:jc w:val="center"/>
    </w:pPr>
  </w:style>
  <w:style w:type="paragraph" w:customStyle="1" w:styleId="TableColumnHeadingBase">
    <w:name w:val="Table Column Heading Base"/>
    <w:basedOn w:val="Normal"/>
    <w:rsid w:val="00937F10"/>
    <w:pPr>
      <w:spacing w:before="40" w:after="40" w:line="240" w:lineRule="auto"/>
    </w:pPr>
    <w:rPr>
      <w:rFonts w:ascii="Arial" w:hAnsi="Arial"/>
      <w:b/>
      <w:sz w:val="16"/>
    </w:rPr>
  </w:style>
  <w:style w:type="paragraph" w:customStyle="1" w:styleId="TableColumnHeadingLeft">
    <w:name w:val="Table Column Heading Left"/>
    <w:basedOn w:val="TableColumnHeadingBase"/>
    <w:rsid w:val="00937F10"/>
    <w:rPr>
      <w:rFonts w:ascii="Calibri" w:hAnsi="Calibri"/>
      <w:sz w:val="18"/>
    </w:rPr>
  </w:style>
  <w:style w:type="paragraph" w:customStyle="1" w:styleId="TableColumnHeadingRight">
    <w:name w:val="Table Column Heading Right"/>
    <w:basedOn w:val="TableColumnHeadingBase"/>
    <w:rsid w:val="00937F10"/>
    <w:pPr>
      <w:jc w:val="right"/>
    </w:pPr>
  </w:style>
  <w:style w:type="paragraph" w:customStyle="1" w:styleId="TableMainHeadingContd">
    <w:name w:val="Table Main Heading Contd"/>
    <w:basedOn w:val="HeadingBase"/>
    <w:next w:val="TableGraphic"/>
    <w:rsid w:val="00937F10"/>
    <w:pPr>
      <w:pageBreakBefore/>
      <w:spacing w:after="20"/>
    </w:pPr>
    <w:rPr>
      <w:b/>
      <w:sz w:val="22"/>
    </w:rPr>
  </w:style>
  <w:style w:type="paragraph" w:customStyle="1" w:styleId="TableTextCentered">
    <w:name w:val="Table Text Centered"/>
    <w:basedOn w:val="TableTextBase"/>
    <w:rsid w:val="00937F10"/>
    <w:pPr>
      <w:jc w:val="center"/>
    </w:pPr>
  </w:style>
  <w:style w:type="paragraph" w:customStyle="1" w:styleId="TableTextIndented">
    <w:name w:val="Table Text Indented"/>
    <w:basedOn w:val="TableTextBase"/>
    <w:rsid w:val="00937F10"/>
    <w:pPr>
      <w:ind w:left="284"/>
    </w:pPr>
  </w:style>
  <w:style w:type="paragraph" w:customStyle="1" w:styleId="TableTextLeft">
    <w:name w:val="Table Text Left"/>
    <w:basedOn w:val="TableTextBase"/>
    <w:rsid w:val="00937F10"/>
  </w:style>
  <w:style w:type="paragraph" w:customStyle="1" w:styleId="TableTextRight">
    <w:name w:val="Table Text Right"/>
    <w:basedOn w:val="TableTextBase"/>
    <w:rsid w:val="00937F10"/>
    <w:pPr>
      <w:jc w:val="right"/>
    </w:pPr>
  </w:style>
  <w:style w:type="paragraph" w:styleId="TOC1">
    <w:name w:val="toc 1"/>
    <w:basedOn w:val="HeadingBase"/>
    <w:next w:val="Normal"/>
    <w:rsid w:val="00937F10"/>
    <w:pPr>
      <w:tabs>
        <w:tab w:val="right" w:leader="dot" w:pos="9072"/>
      </w:tabs>
      <w:spacing w:before="180"/>
      <w:ind w:right="851"/>
    </w:pPr>
    <w:rPr>
      <w:b/>
      <w:sz w:val="22"/>
      <w:szCs w:val="22"/>
    </w:rPr>
  </w:style>
  <w:style w:type="paragraph" w:styleId="TOC2">
    <w:name w:val="toc 2"/>
    <w:basedOn w:val="HeadingBase"/>
    <w:next w:val="Normal"/>
    <w:rsid w:val="00937F10"/>
    <w:pPr>
      <w:tabs>
        <w:tab w:val="right" w:leader="dot" w:pos="9072"/>
      </w:tabs>
      <w:spacing w:before="40" w:after="20"/>
      <w:ind w:right="851"/>
    </w:pPr>
    <w:rPr>
      <w:sz w:val="22"/>
    </w:rPr>
  </w:style>
  <w:style w:type="paragraph" w:styleId="TOC3">
    <w:name w:val="toc 3"/>
    <w:basedOn w:val="Normal"/>
    <w:next w:val="Normal"/>
    <w:rsid w:val="00937F10"/>
    <w:pPr>
      <w:tabs>
        <w:tab w:val="right" w:leader="dot" w:pos="9072"/>
      </w:tabs>
      <w:spacing w:before="20" w:after="0" w:line="240" w:lineRule="auto"/>
      <w:ind w:left="284" w:right="851"/>
    </w:pPr>
  </w:style>
  <w:style w:type="paragraph" w:styleId="TOC4">
    <w:name w:val="toc 4"/>
    <w:basedOn w:val="Normal"/>
    <w:next w:val="Normal"/>
    <w:rsid w:val="00937F10"/>
    <w:pPr>
      <w:tabs>
        <w:tab w:val="right" w:leader="dot" w:pos="9072"/>
      </w:tabs>
      <w:spacing w:after="0" w:line="240" w:lineRule="auto"/>
      <w:ind w:left="284" w:right="851"/>
    </w:pPr>
  </w:style>
  <w:style w:type="paragraph" w:styleId="BodyTextIndent2">
    <w:name w:val="Body Text Indent 2"/>
    <w:basedOn w:val="Normal"/>
    <w:link w:val="BodyTextIndent2Char"/>
    <w:rsid w:val="00937F10"/>
    <w:pPr>
      <w:spacing w:line="480" w:lineRule="auto"/>
      <w:ind w:left="283"/>
    </w:pPr>
  </w:style>
  <w:style w:type="character" w:customStyle="1" w:styleId="BodyTextIndent2Char">
    <w:name w:val="Body Text Indent 2 Char"/>
    <w:basedOn w:val="DefaultParagraphFont"/>
    <w:link w:val="BodyTextIndent2"/>
    <w:rsid w:val="00937F10"/>
    <w:rPr>
      <w:rFonts w:ascii="Times New Roman" w:eastAsia="Times New Roman" w:hAnsi="Times New Roman" w:cs="Times New Roman"/>
      <w:bCs/>
      <w:szCs w:val="20"/>
      <w:lang w:eastAsia="en-AU"/>
    </w:rPr>
  </w:style>
  <w:style w:type="paragraph" w:styleId="Caption">
    <w:name w:val="caption"/>
    <w:basedOn w:val="Normal"/>
    <w:next w:val="Normal"/>
    <w:qFormat/>
    <w:rsid w:val="00937F10"/>
    <w:rPr>
      <w:b/>
      <w:bCs w:val="0"/>
    </w:rPr>
  </w:style>
  <w:style w:type="paragraph" w:styleId="DocumentMap">
    <w:name w:val="Document Map"/>
    <w:basedOn w:val="Normal"/>
    <w:link w:val="DocumentMapChar"/>
    <w:semiHidden/>
    <w:rsid w:val="00937F10"/>
    <w:pPr>
      <w:shd w:val="clear" w:color="auto" w:fill="00CCFF"/>
    </w:pPr>
    <w:rPr>
      <w:rFonts w:ascii="Tahoma" w:hAnsi="Tahoma" w:cs="Tahoma"/>
    </w:rPr>
  </w:style>
  <w:style w:type="character" w:customStyle="1" w:styleId="DocumentMapChar">
    <w:name w:val="Document Map Char"/>
    <w:basedOn w:val="DefaultParagraphFont"/>
    <w:link w:val="DocumentMap"/>
    <w:semiHidden/>
    <w:rsid w:val="00937F10"/>
    <w:rPr>
      <w:rFonts w:ascii="Tahoma" w:eastAsia="Times New Roman" w:hAnsi="Tahoma" w:cs="Tahoma"/>
      <w:bCs/>
      <w:szCs w:val="20"/>
      <w:shd w:val="clear" w:color="auto" w:fill="00CCFF"/>
      <w:lang w:eastAsia="en-AU"/>
    </w:rPr>
  </w:style>
  <w:style w:type="character" w:styleId="EndnoteReference">
    <w:name w:val="endnote reference"/>
    <w:basedOn w:val="DefaultParagraphFont"/>
    <w:semiHidden/>
    <w:rsid w:val="00937F10"/>
    <w:rPr>
      <w:vertAlign w:val="superscript"/>
    </w:rPr>
  </w:style>
  <w:style w:type="paragraph" w:styleId="EndnoteText">
    <w:name w:val="endnote text"/>
    <w:basedOn w:val="Normal"/>
    <w:link w:val="EndnoteTextChar"/>
    <w:semiHidden/>
    <w:rsid w:val="00937F10"/>
  </w:style>
  <w:style w:type="character" w:customStyle="1" w:styleId="EndnoteTextChar">
    <w:name w:val="Endnote Text Char"/>
    <w:basedOn w:val="DefaultParagraphFont"/>
    <w:link w:val="EndnoteText"/>
    <w:semiHidden/>
    <w:rsid w:val="00937F10"/>
    <w:rPr>
      <w:rFonts w:ascii="Times New Roman" w:eastAsia="Times New Roman" w:hAnsi="Times New Roman" w:cs="Times New Roman"/>
      <w:bCs/>
      <w:szCs w:val="20"/>
      <w:lang w:eastAsia="en-AU"/>
    </w:rPr>
  </w:style>
  <w:style w:type="character" w:styleId="FollowedHyperlink">
    <w:name w:val="FollowedHyperlink"/>
    <w:basedOn w:val="DefaultParagraphFont"/>
    <w:rsid w:val="00937F10"/>
    <w:rPr>
      <w:color w:val="auto"/>
      <w:u w:val="none"/>
    </w:rPr>
  </w:style>
  <w:style w:type="paragraph" w:styleId="Index1">
    <w:name w:val="index 1"/>
    <w:basedOn w:val="Normal"/>
    <w:next w:val="Normal"/>
    <w:autoRedefine/>
    <w:semiHidden/>
    <w:rsid w:val="00937F10"/>
    <w:pPr>
      <w:ind w:left="200" w:hanging="200"/>
    </w:pPr>
  </w:style>
  <w:style w:type="paragraph" w:styleId="Index2">
    <w:name w:val="index 2"/>
    <w:basedOn w:val="Normal"/>
    <w:next w:val="Normal"/>
    <w:autoRedefine/>
    <w:semiHidden/>
    <w:rsid w:val="00937F10"/>
    <w:pPr>
      <w:ind w:left="400" w:hanging="200"/>
    </w:pPr>
  </w:style>
  <w:style w:type="paragraph" w:styleId="Index3">
    <w:name w:val="index 3"/>
    <w:basedOn w:val="Normal"/>
    <w:next w:val="Normal"/>
    <w:autoRedefine/>
    <w:semiHidden/>
    <w:rsid w:val="00937F10"/>
    <w:pPr>
      <w:ind w:left="600" w:hanging="200"/>
    </w:pPr>
  </w:style>
  <w:style w:type="paragraph" w:styleId="Index4">
    <w:name w:val="index 4"/>
    <w:basedOn w:val="Normal"/>
    <w:next w:val="Normal"/>
    <w:autoRedefine/>
    <w:semiHidden/>
    <w:rsid w:val="00937F10"/>
    <w:pPr>
      <w:ind w:left="800" w:hanging="200"/>
    </w:pPr>
  </w:style>
  <w:style w:type="paragraph" w:styleId="Index5">
    <w:name w:val="index 5"/>
    <w:basedOn w:val="Normal"/>
    <w:next w:val="Normal"/>
    <w:autoRedefine/>
    <w:semiHidden/>
    <w:rsid w:val="00937F10"/>
    <w:pPr>
      <w:ind w:left="1000" w:hanging="200"/>
    </w:pPr>
  </w:style>
  <w:style w:type="paragraph" w:styleId="Index6">
    <w:name w:val="index 6"/>
    <w:basedOn w:val="Normal"/>
    <w:next w:val="Normal"/>
    <w:autoRedefine/>
    <w:semiHidden/>
    <w:rsid w:val="00937F10"/>
    <w:pPr>
      <w:ind w:left="1200" w:hanging="200"/>
    </w:pPr>
  </w:style>
  <w:style w:type="paragraph" w:styleId="Index7">
    <w:name w:val="index 7"/>
    <w:basedOn w:val="Normal"/>
    <w:next w:val="Normal"/>
    <w:autoRedefine/>
    <w:semiHidden/>
    <w:rsid w:val="00937F10"/>
    <w:pPr>
      <w:ind w:left="1400" w:hanging="200"/>
    </w:pPr>
  </w:style>
  <w:style w:type="paragraph" w:styleId="Index8">
    <w:name w:val="index 8"/>
    <w:basedOn w:val="Normal"/>
    <w:next w:val="Normal"/>
    <w:autoRedefine/>
    <w:semiHidden/>
    <w:rsid w:val="00937F10"/>
    <w:pPr>
      <w:ind w:left="1600" w:hanging="200"/>
    </w:pPr>
  </w:style>
  <w:style w:type="paragraph" w:styleId="Index9">
    <w:name w:val="index 9"/>
    <w:basedOn w:val="Normal"/>
    <w:next w:val="Normal"/>
    <w:autoRedefine/>
    <w:semiHidden/>
    <w:rsid w:val="00937F10"/>
    <w:pPr>
      <w:ind w:left="1800" w:hanging="200"/>
    </w:pPr>
  </w:style>
  <w:style w:type="paragraph" w:styleId="IndexHeading">
    <w:name w:val="index heading"/>
    <w:basedOn w:val="Normal"/>
    <w:next w:val="Index1"/>
    <w:semiHidden/>
    <w:rsid w:val="00937F10"/>
    <w:rPr>
      <w:rFonts w:ascii="Arial" w:hAnsi="Arial" w:cs="Arial"/>
      <w:b/>
      <w:bCs w:val="0"/>
    </w:rPr>
  </w:style>
  <w:style w:type="paragraph" w:styleId="MacroText">
    <w:name w:val="macro"/>
    <w:link w:val="MacroTextChar"/>
    <w:semiHidden/>
    <w:rsid w:val="00937F1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937F10"/>
    <w:rPr>
      <w:rFonts w:ascii="Courier New" w:eastAsia="Times New Roman" w:hAnsi="Courier New" w:cs="Courier New"/>
      <w:color w:val="000000"/>
      <w:sz w:val="20"/>
      <w:szCs w:val="20"/>
      <w:lang w:eastAsia="en-AU"/>
    </w:rPr>
  </w:style>
  <w:style w:type="numbering" w:customStyle="1" w:styleId="OutlineList">
    <w:name w:val="OutlineList"/>
    <w:uiPriority w:val="99"/>
    <w:rsid w:val="00937F10"/>
    <w:pPr>
      <w:numPr>
        <w:numId w:val="31"/>
      </w:numPr>
    </w:pPr>
  </w:style>
  <w:style w:type="paragraph" w:customStyle="1" w:styleId="PictureCentred">
    <w:name w:val="Picture Centred"/>
    <w:basedOn w:val="Normal"/>
    <w:rsid w:val="00937F10"/>
    <w:pPr>
      <w:spacing w:line="240" w:lineRule="atLeast"/>
      <w:jc w:val="center"/>
    </w:pPr>
  </w:style>
  <w:style w:type="paragraph" w:customStyle="1" w:styleId="PictureLeft">
    <w:name w:val="Picture Left"/>
    <w:basedOn w:val="PictureCentred"/>
    <w:rsid w:val="00937F10"/>
    <w:pPr>
      <w:jc w:val="left"/>
    </w:pPr>
  </w:style>
  <w:style w:type="paragraph" w:customStyle="1" w:styleId="PictureIndent">
    <w:name w:val="Picture Indent"/>
    <w:basedOn w:val="PictureLeft"/>
    <w:rsid w:val="00937F10"/>
    <w:pPr>
      <w:ind w:left="284"/>
    </w:pPr>
  </w:style>
  <w:style w:type="paragraph" w:styleId="TableofAuthorities">
    <w:name w:val="table of authorities"/>
    <w:basedOn w:val="Normal"/>
    <w:next w:val="Normal"/>
    <w:rsid w:val="00937F10"/>
    <w:pPr>
      <w:ind w:left="200" w:hanging="200"/>
    </w:pPr>
  </w:style>
  <w:style w:type="paragraph" w:styleId="TableofFigures">
    <w:name w:val="table of figures"/>
    <w:basedOn w:val="Normal"/>
    <w:next w:val="Normal"/>
    <w:rsid w:val="00937F10"/>
  </w:style>
  <w:style w:type="paragraph" w:styleId="TOAHeading">
    <w:name w:val="toa heading"/>
    <w:basedOn w:val="Normal"/>
    <w:next w:val="Normal"/>
    <w:semiHidden/>
    <w:rsid w:val="00937F10"/>
    <w:rPr>
      <w:rFonts w:ascii="Arial" w:hAnsi="Arial" w:cs="Arial"/>
      <w:b/>
      <w:bCs w:val="0"/>
      <w:sz w:val="24"/>
      <w:szCs w:val="24"/>
    </w:rPr>
  </w:style>
  <w:style w:type="paragraph" w:styleId="TOC5">
    <w:name w:val="toc 5"/>
    <w:basedOn w:val="Normal"/>
    <w:next w:val="Normal"/>
    <w:autoRedefine/>
    <w:semiHidden/>
    <w:rsid w:val="00937F10"/>
    <w:pPr>
      <w:ind w:left="800"/>
    </w:pPr>
  </w:style>
  <w:style w:type="paragraph" w:styleId="TOC6">
    <w:name w:val="toc 6"/>
    <w:basedOn w:val="Normal"/>
    <w:next w:val="Normal"/>
    <w:autoRedefine/>
    <w:semiHidden/>
    <w:rsid w:val="00937F10"/>
    <w:pPr>
      <w:ind w:left="1000"/>
    </w:pPr>
  </w:style>
  <w:style w:type="paragraph" w:styleId="TOC7">
    <w:name w:val="toc 7"/>
    <w:basedOn w:val="Normal"/>
    <w:next w:val="Normal"/>
    <w:autoRedefine/>
    <w:semiHidden/>
    <w:rsid w:val="00937F10"/>
    <w:pPr>
      <w:ind w:left="1200"/>
    </w:pPr>
  </w:style>
  <w:style w:type="paragraph" w:styleId="TOC8">
    <w:name w:val="toc 8"/>
    <w:basedOn w:val="Normal"/>
    <w:next w:val="Normal"/>
    <w:autoRedefine/>
    <w:semiHidden/>
    <w:rsid w:val="00937F10"/>
    <w:pPr>
      <w:ind w:left="1400"/>
    </w:pPr>
  </w:style>
  <w:style w:type="paragraph" w:styleId="TOC9">
    <w:name w:val="toc 9"/>
    <w:basedOn w:val="Normal"/>
    <w:next w:val="Normal"/>
    <w:autoRedefine/>
    <w:semiHidden/>
    <w:rsid w:val="00937F10"/>
    <w:pPr>
      <w:ind w:left="1600"/>
    </w:pPr>
  </w:style>
  <w:style w:type="numbering" w:customStyle="1" w:styleId="BulletedList">
    <w:name w:val="Bulleted List"/>
    <w:uiPriority w:val="99"/>
    <w:rsid w:val="00937F10"/>
    <w:pPr>
      <w:numPr>
        <w:numId w:val="25"/>
      </w:numPr>
    </w:pPr>
  </w:style>
  <w:style w:type="numbering" w:customStyle="1" w:styleId="BoxBulletedList">
    <w:name w:val="Box Bulleted List"/>
    <w:uiPriority w:val="99"/>
    <w:rsid w:val="00937F10"/>
    <w:pPr>
      <w:numPr>
        <w:numId w:val="26"/>
      </w:numPr>
    </w:pPr>
  </w:style>
  <w:style w:type="numbering" w:customStyle="1" w:styleId="AlphaParagraphList">
    <w:name w:val="Alpha Paragraph List"/>
    <w:uiPriority w:val="99"/>
    <w:rsid w:val="00937F10"/>
    <w:pPr>
      <w:numPr>
        <w:numId w:val="28"/>
      </w:numPr>
    </w:pPr>
  </w:style>
  <w:style w:type="numbering" w:customStyle="1" w:styleId="OneLevelList">
    <w:name w:val="OneLevelList"/>
    <w:uiPriority w:val="99"/>
    <w:rsid w:val="00937F10"/>
    <w:pPr>
      <w:numPr>
        <w:numId w:val="30"/>
      </w:numPr>
    </w:pPr>
  </w:style>
  <w:style w:type="numbering" w:customStyle="1" w:styleId="RecommendationBulletList">
    <w:name w:val="RecommendationBulletList"/>
    <w:uiPriority w:val="99"/>
    <w:rsid w:val="00937F10"/>
    <w:pPr>
      <w:numPr>
        <w:numId w:val="32"/>
      </w:numPr>
    </w:pPr>
  </w:style>
  <w:style w:type="numbering" w:customStyle="1" w:styleId="RomanNumeralList">
    <w:name w:val="RomanNumeralList"/>
    <w:uiPriority w:val="99"/>
    <w:rsid w:val="00937F10"/>
    <w:pPr>
      <w:numPr>
        <w:numId w:val="33"/>
      </w:numPr>
    </w:pPr>
  </w:style>
  <w:style w:type="numbering" w:customStyle="1" w:styleId="ChartandTableFootnoteAlphaList">
    <w:name w:val="ChartandTableFootnoteAlphaList"/>
    <w:uiPriority w:val="99"/>
    <w:rsid w:val="00937F10"/>
    <w:pPr>
      <w:numPr>
        <w:numId w:val="38"/>
      </w:numPr>
    </w:pPr>
  </w:style>
  <w:style w:type="paragraph" w:customStyle="1" w:styleId="TableTextBullet">
    <w:name w:val="Table Text Bullet"/>
    <w:basedOn w:val="TableTextBase"/>
    <w:rsid w:val="00937F10"/>
    <w:pPr>
      <w:numPr>
        <w:numId w:val="40"/>
      </w:numPr>
    </w:pPr>
  </w:style>
  <w:style w:type="numbering" w:customStyle="1" w:styleId="TableTestBulletList">
    <w:name w:val="Table Test Bullet List"/>
    <w:uiPriority w:val="99"/>
    <w:rsid w:val="00937F10"/>
    <w:pPr>
      <w:numPr>
        <w:numId w:val="39"/>
      </w:numPr>
    </w:pPr>
  </w:style>
  <w:style w:type="numbering" w:customStyle="1" w:styleId="TableTextBulletList">
    <w:name w:val="Table Text Bullet List"/>
    <w:uiPriority w:val="99"/>
    <w:rsid w:val="00937F10"/>
    <w:pPr>
      <w:numPr>
        <w:numId w:val="40"/>
      </w:numPr>
    </w:pPr>
  </w:style>
  <w:style w:type="paragraph" w:customStyle="1" w:styleId="StyleTableTextBulletLinespacingExactly13pt">
    <w:name w:val="Style Table Text Bullet + Line spacing:  Exactly 13 pt"/>
    <w:basedOn w:val="TableTextBullet"/>
    <w:rsid w:val="00937F10"/>
    <w:pPr>
      <w:numPr>
        <w:numId w:val="0"/>
      </w:numPr>
      <w:spacing w:after="80" w:line="260" w:lineRule="exact"/>
    </w:pPr>
  </w:style>
  <w:style w:type="paragraph" w:styleId="ListParagraph">
    <w:name w:val="List Paragraph"/>
    <w:basedOn w:val="Normal"/>
    <w:uiPriority w:val="34"/>
    <w:qFormat/>
    <w:rsid w:val="00937F10"/>
    <w:pPr>
      <w:spacing w:after="0" w:line="240" w:lineRule="auto"/>
      <w:ind w:left="720"/>
    </w:pPr>
    <w:rPr>
      <w:rFonts w:ascii="Calibri" w:eastAsiaTheme="minorHAnsi" w:hAnsi="Calibri" w:cs="Calibri"/>
      <w:szCs w:val="22"/>
      <w:lang w:eastAsia="en-US"/>
    </w:rPr>
  </w:style>
  <w:style w:type="paragraph" w:customStyle="1" w:styleId="Reference">
    <w:name w:val="Reference"/>
    <w:basedOn w:val="Normal"/>
    <w:qFormat/>
    <w:rsid w:val="00937F10"/>
    <w:rPr>
      <w:sz w:val="20"/>
    </w:rPr>
  </w:style>
  <w:style w:type="paragraph" w:customStyle="1" w:styleId="rightFooter">
    <w:name w:val="right Footer"/>
    <w:basedOn w:val="Footer"/>
    <w:rsid w:val="00937F10"/>
  </w:style>
  <w:style w:type="paragraph" w:customStyle="1" w:styleId="Footerright">
    <w:name w:val="Footer right"/>
    <w:basedOn w:val="FooterCentered"/>
    <w:rsid w:val="00937F10"/>
    <w:pPr>
      <w:jc w:val="right"/>
    </w:pPr>
  </w:style>
  <w:style w:type="paragraph" w:customStyle="1" w:styleId="Chaptertitle">
    <w:name w:val="Chapter title"/>
    <w:basedOn w:val="Heading1"/>
    <w:rsid w:val="00937F10"/>
    <w:pPr>
      <w:spacing w:before="50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10"/>
    <w:pPr>
      <w:spacing w:after="240" w:line="260" w:lineRule="exact"/>
      <w:jc w:val="both"/>
    </w:pPr>
    <w:rPr>
      <w:rFonts w:ascii="Times New Roman" w:eastAsia="Times New Roman" w:hAnsi="Times New Roman" w:cs="Times New Roman"/>
      <w:bCs/>
      <w:szCs w:val="20"/>
      <w:lang w:eastAsia="en-AU"/>
    </w:rPr>
  </w:style>
  <w:style w:type="paragraph" w:styleId="Heading1">
    <w:name w:val="heading 1"/>
    <w:basedOn w:val="HeadingBase"/>
    <w:next w:val="Normal"/>
    <w:link w:val="Heading1Char"/>
    <w:qFormat/>
    <w:rsid w:val="00937F10"/>
    <w:pPr>
      <w:spacing w:after="360"/>
      <w:outlineLvl w:val="0"/>
    </w:pPr>
    <w:rPr>
      <w:b/>
      <w:bCs/>
      <w:kern w:val="32"/>
      <w:sz w:val="24"/>
      <w:szCs w:val="24"/>
    </w:rPr>
  </w:style>
  <w:style w:type="paragraph" w:styleId="Heading2">
    <w:name w:val="heading 2"/>
    <w:basedOn w:val="HeadingBase"/>
    <w:next w:val="Normal"/>
    <w:link w:val="Heading2Char"/>
    <w:qFormat/>
    <w:rsid w:val="00937F10"/>
    <w:pPr>
      <w:spacing w:after="240"/>
      <w:outlineLvl w:val="1"/>
    </w:pPr>
    <w:rPr>
      <w:b/>
      <w:bCs/>
      <w:iCs/>
      <w:sz w:val="24"/>
      <w:szCs w:val="24"/>
    </w:rPr>
  </w:style>
  <w:style w:type="paragraph" w:styleId="Heading3">
    <w:name w:val="heading 3"/>
    <w:basedOn w:val="HeadingBase"/>
    <w:next w:val="Normal"/>
    <w:link w:val="Heading3Char"/>
    <w:qFormat/>
    <w:rsid w:val="00937F10"/>
    <w:pPr>
      <w:spacing w:after="240"/>
      <w:outlineLvl w:val="2"/>
    </w:pPr>
    <w:rPr>
      <w:b/>
      <w:bCs/>
      <w:sz w:val="22"/>
      <w:szCs w:val="22"/>
    </w:rPr>
  </w:style>
  <w:style w:type="paragraph" w:styleId="Heading4">
    <w:name w:val="heading 4"/>
    <w:basedOn w:val="HeadingBase"/>
    <w:next w:val="Normal"/>
    <w:link w:val="Heading4Char"/>
    <w:qFormat/>
    <w:rsid w:val="00937F10"/>
    <w:pPr>
      <w:spacing w:after="240"/>
      <w:outlineLvl w:val="3"/>
    </w:pPr>
    <w:rPr>
      <w:bCs/>
      <w:sz w:val="22"/>
      <w:szCs w:val="22"/>
    </w:rPr>
  </w:style>
  <w:style w:type="paragraph" w:styleId="Heading5">
    <w:name w:val="heading 5"/>
    <w:basedOn w:val="HeadingBase"/>
    <w:next w:val="Normal"/>
    <w:link w:val="Heading5Char"/>
    <w:qFormat/>
    <w:rsid w:val="00937F10"/>
    <w:pPr>
      <w:spacing w:after="120"/>
      <w:outlineLvl w:val="4"/>
    </w:pPr>
    <w:rPr>
      <w:b/>
      <w:bCs/>
      <w:iCs/>
    </w:rPr>
  </w:style>
  <w:style w:type="paragraph" w:styleId="Heading6">
    <w:name w:val="heading 6"/>
    <w:basedOn w:val="HeadingBase"/>
    <w:next w:val="Normal"/>
    <w:link w:val="Heading6Char"/>
    <w:qFormat/>
    <w:rsid w:val="00937F10"/>
    <w:pPr>
      <w:spacing w:after="120"/>
      <w:outlineLvl w:val="5"/>
    </w:pPr>
    <w:rPr>
      <w:bCs/>
      <w:szCs w:val="22"/>
    </w:rPr>
  </w:style>
  <w:style w:type="paragraph" w:styleId="Heading7">
    <w:name w:val="heading 7"/>
    <w:basedOn w:val="HeadingBase"/>
    <w:next w:val="Normal"/>
    <w:link w:val="Heading7Char"/>
    <w:qFormat/>
    <w:rsid w:val="00937F10"/>
    <w:pPr>
      <w:spacing w:after="120"/>
      <w:outlineLvl w:val="6"/>
    </w:pPr>
    <w:rPr>
      <w:szCs w:val="24"/>
    </w:rPr>
  </w:style>
  <w:style w:type="paragraph" w:styleId="Heading8">
    <w:name w:val="heading 8"/>
    <w:basedOn w:val="HeadingBase"/>
    <w:next w:val="Normal"/>
    <w:link w:val="Heading8Char"/>
    <w:qFormat/>
    <w:rsid w:val="00937F10"/>
    <w:pPr>
      <w:spacing w:after="120"/>
      <w:outlineLvl w:val="7"/>
    </w:pPr>
    <w:rPr>
      <w:iCs/>
      <w:szCs w:val="24"/>
    </w:rPr>
  </w:style>
  <w:style w:type="paragraph" w:styleId="Heading9">
    <w:name w:val="heading 9"/>
    <w:basedOn w:val="HeadingBase"/>
    <w:next w:val="Normal"/>
    <w:link w:val="Heading9Char"/>
    <w:qFormat/>
    <w:rsid w:val="00937F10"/>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
    <w:basedOn w:val="Normal"/>
    <w:link w:val="BulletChar"/>
    <w:rsid w:val="00937F10"/>
    <w:pPr>
      <w:numPr>
        <w:numId w:val="25"/>
      </w:numPr>
      <w:tabs>
        <w:tab w:val="clear" w:pos="283"/>
        <w:tab w:val="num" w:pos="567"/>
      </w:tabs>
      <w:ind w:left="567" w:hanging="567"/>
    </w:pPr>
  </w:style>
  <w:style w:type="character" w:customStyle="1" w:styleId="BulletChar">
    <w:name w:val="Bullet Char"/>
    <w:basedOn w:val="DefaultParagraphFont"/>
    <w:link w:val="Bullet"/>
    <w:rsid w:val="00795C27"/>
    <w:rPr>
      <w:rFonts w:ascii="Times New Roman" w:eastAsia="Times New Roman" w:hAnsi="Times New Roman" w:cs="Times New Roman"/>
      <w:bCs/>
      <w:szCs w:val="20"/>
      <w:lang w:eastAsia="en-AU"/>
    </w:rPr>
  </w:style>
  <w:style w:type="paragraph" w:customStyle="1" w:styleId="Dash">
    <w:name w:val="Dash"/>
    <w:basedOn w:val="Normal"/>
    <w:link w:val="DashChar"/>
    <w:rsid w:val="00937F10"/>
    <w:pPr>
      <w:numPr>
        <w:ilvl w:val="1"/>
        <w:numId w:val="25"/>
      </w:numPr>
    </w:pPr>
  </w:style>
  <w:style w:type="character" w:customStyle="1" w:styleId="DashChar">
    <w:name w:val="Dash Char"/>
    <w:basedOn w:val="DefaultParagraphFont"/>
    <w:link w:val="Dash"/>
    <w:rsid w:val="00795C27"/>
    <w:rPr>
      <w:rFonts w:ascii="Times New Roman" w:eastAsia="Times New Roman" w:hAnsi="Times New Roman" w:cs="Times New Roman"/>
      <w:bCs/>
      <w:szCs w:val="20"/>
      <w:lang w:eastAsia="en-AU"/>
    </w:rPr>
  </w:style>
  <w:style w:type="paragraph" w:customStyle="1" w:styleId="DoubleDot">
    <w:name w:val="Double Dot"/>
    <w:basedOn w:val="Normal"/>
    <w:link w:val="DoubleDotChar"/>
    <w:rsid w:val="00937F10"/>
    <w:pPr>
      <w:numPr>
        <w:ilvl w:val="2"/>
        <w:numId w:val="25"/>
      </w:numPr>
    </w:pPr>
  </w:style>
  <w:style w:type="character" w:customStyle="1" w:styleId="DoubleDotChar">
    <w:name w:val="Double Dot Char"/>
    <w:basedOn w:val="DefaultParagraphFont"/>
    <w:link w:val="DoubleDot"/>
    <w:rsid w:val="00795C27"/>
    <w:rPr>
      <w:rFonts w:ascii="Times New Roman" w:eastAsia="Times New Roman" w:hAnsi="Times New Roman" w:cs="Times New Roman"/>
      <w:bCs/>
      <w:szCs w:val="20"/>
      <w:lang w:eastAsia="en-AU"/>
    </w:rPr>
  </w:style>
  <w:style w:type="paragraph" w:styleId="BalloonText">
    <w:name w:val="Balloon Text"/>
    <w:basedOn w:val="Normal"/>
    <w:link w:val="BalloonTextChar"/>
    <w:semiHidden/>
    <w:rsid w:val="00937F10"/>
    <w:rPr>
      <w:rFonts w:ascii="Tahoma" w:hAnsi="Tahoma" w:cs="Tahoma"/>
      <w:sz w:val="16"/>
      <w:szCs w:val="16"/>
    </w:rPr>
  </w:style>
  <w:style w:type="character" w:customStyle="1" w:styleId="BalloonTextChar">
    <w:name w:val="Balloon Text Char"/>
    <w:basedOn w:val="DefaultParagraphFont"/>
    <w:link w:val="BalloonText"/>
    <w:semiHidden/>
    <w:rsid w:val="00937F10"/>
    <w:rPr>
      <w:rFonts w:ascii="Tahoma" w:eastAsia="Times New Roman" w:hAnsi="Tahoma" w:cs="Tahoma"/>
      <w:bCs/>
      <w:sz w:val="16"/>
      <w:szCs w:val="16"/>
      <w:lang w:eastAsia="en-AU"/>
    </w:rPr>
  </w:style>
  <w:style w:type="paragraph" w:customStyle="1" w:styleId="ChartandTableFootnoteAlpha">
    <w:name w:val="Chart and Table Footnote Alpha"/>
    <w:basedOn w:val="ChartorTableNote"/>
    <w:rsid w:val="00937F10"/>
  </w:style>
  <w:style w:type="paragraph" w:customStyle="1" w:styleId="TableMainHeading">
    <w:name w:val="Table Main Heading"/>
    <w:basedOn w:val="Normal"/>
    <w:next w:val="TableGraphic"/>
    <w:rsid w:val="00937F10"/>
    <w:pPr>
      <w:keepNext/>
    </w:pPr>
    <w:rPr>
      <w:b/>
      <w:bCs w:val="0"/>
      <w:color w:val="0000FF"/>
    </w:rPr>
  </w:style>
  <w:style w:type="character" w:customStyle="1" w:styleId="Heading3Char">
    <w:name w:val="Heading 3 Char"/>
    <w:basedOn w:val="DefaultParagraphFont"/>
    <w:link w:val="Heading3"/>
    <w:rsid w:val="00937F10"/>
    <w:rPr>
      <w:rFonts w:ascii="Times New Roman" w:eastAsia="Times New Roman" w:hAnsi="Times New Roman" w:cs="Times New Roman"/>
      <w:b/>
      <w:bCs/>
      <w:color w:val="0000FF"/>
      <w:lang w:eastAsia="en-AU"/>
    </w:rPr>
  </w:style>
  <w:style w:type="paragraph" w:styleId="NormalWeb">
    <w:name w:val="Normal (Web)"/>
    <w:basedOn w:val="Normal"/>
    <w:uiPriority w:val="99"/>
    <w:rsid w:val="00937F10"/>
    <w:pPr>
      <w:spacing w:line="312" w:lineRule="atLeast"/>
    </w:pPr>
    <w:rPr>
      <w:sz w:val="24"/>
      <w:szCs w:val="24"/>
    </w:rPr>
  </w:style>
  <w:style w:type="paragraph" w:styleId="Header">
    <w:name w:val="header"/>
    <w:basedOn w:val="HeadingBase"/>
    <w:link w:val="HeaderChar"/>
    <w:rsid w:val="006B0A17"/>
    <w:pPr>
      <w:spacing w:before="120"/>
      <w:jc w:val="right"/>
    </w:pPr>
    <w:rPr>
      <w:color w:val="000000" w:themeColor="text1"/>
      <w:sz w:val="18"/>
    </w:rPr>
  </w:style>
  <w:style w:type="character" w:customStyle="1" w:styleId="HeaderChar">
    <w:name w:val="Header Char"/>
    <w:basedOn w:val="DefaultParagraphFont"/>
    <w:link w:val="Header"/>
    <w:rsid w:val="006B0A17"/>
    <w:rPr>
      <w:rFonts w:ascii="Times New Roman" w:eastAsia="Times New Roman" w:hAnsi="Times New Roman" w:cs="Times New Roman"/>
      <w:color w:val="000000" w:themeColor="text1"/>
      <w:sz w:val="18"/>
      <w:szCs w:val="20"/>
      <w:lang w:eastAsia="en-AU"/>
    </w:rPr>
  </w:style>
  <w:style w:type="paragraph" w:styleId="Footer">
    <w:name w:val="footer"/>
    <w:basedOn w:val="HeadingBase"/>
    <w:link w:val="FooterChar"/>
    <w:uiPriority w:val="99"/>
    <w:rsid w:val="00937F10"/>
    <w:rPr>
      <w:color w:val="auto"/>
      <w:sz w:val="18"/>
    </w:rPr>
  </w:style>
  <w:style w:type="character" w:customStyle="1" w:styleId="FooterChar">
    <w:name w:val="Footer Char"/>
    <w:basedOn w:val="DefaultParagraphFont"/>
    <w:link w:val="Footer"/>
    <w:uiPriority w:val="99"/>
    <w:rsid w:val="00937F10"/>
    <w:rPr>
      <w:rFonts w:ascii="Times New Roman" w:eastAsia="Times New Roman" w:hAnsi="Times New Roman" w:cs="Times New Roman"/>
      <w:sz w:val="18"/>
      <w:szCs w:val="20"/>
      <w:lang w:eastAsia="en-AU"/>
    </w:rPr>
  </w:style>
  <w:style w:type="paragraph" w:customStyle="1" w:styleId="TableGraphic">
    <w:name w:val="Table Graphic"/>
    <w:basedOn w:val="HeadingBase"/>
    <w:next w:val="Normal"/>
    <w:rsid w:val="00937F10"/>
  </w:style>
  <w:style w:type="character" w:styleId="CommentReference">
    <w:name w:val="annotation reference"/>
    <w:basedOn w:val="DefaultParagraphFont"/>
    <w:semiHidden/>
    <w:rsid w:val="00937F10"/>
    <w:rPr>
      <w:sz w:val="16"/>
      <w:szCs w:val="16"/>
    </w:rPr>
  </w:style>
  <w:style w:type="paragraph" w:styleId="CommentText">
    <w:name w:val="annotation text"/>
    <w:basedOn w:val="Normal"/>
    <w:link w:val="CommentTextChar"/>
    <w:semiHidden/>
    <w:rsid w:val="00937F10"/>
  </w:style>
  <w:style w:type="character" w:customStyle="1" w:styleId="CommentTextChar">
    <w:name w:val="Comment Text Char"/>
    <w:basedOn w:val="DefaultParagraphFont"/>
    <w:link w:val="CommentText"/>
    <w:semiHidden/>
    <w:rsid w:val="00937F10"/>
    <w:rPr>
      <w:rFonts w:ascii="Times New Roman" w:eastAsia="Times New Roman" w:hAnsi="Times New Roman" w:cs="Times New Roman"/>
      <w:bCs/>
      <w:szCs w:val="20"/>
      <w:lang w:eastAsia="en-AU"/>
    </w:rPr>
  </w:style>
  <w:style w:type="paragraph" w:styleId="CommentSubject">
    <w:name w:val="annotation subject"/>
    <w:basedOn w:val="CommentText"/>
    <w:next w:val="CommentText"/>
    <w:link w:val="CommentSubjectChar"/>
    <w:semiHidden/>
    <w:rsid w:val="00937F10"/>
    <w:rPr>
      <w:b/>
      <w:bCs w:val="0"/>
    </w:rPr>
  </w:style>
  <w:style w:type="character" w:customStyle="1" w:styleId="CommentSubjectChar">
    <w:name w:val="Comment Subject Char"/>
    <w:basedOn w:val="CommentTextChar"/>
    <w:link w:val="CommentSubject"/>
    <w:semiHidden/>
    <w:rsid w:val="00937F10"/>
    <w:rPr>
      <w:rFonts w:ascii="Times New Roman" w:eastAsia="Times New Roman" w:hAnsi="Times New Roman" w:cs="Times New Roman"/>
      <w:b/>
      <w:bCs w:val="0"/>
      <w:szCs w:val="20"/>
      <w:lang w:eastAsia="en-AU"/>
    </w:rPr>
  </w:style>
  <w:style w:type="paragraph" w:styleId="FootnoteText">
    <w:name w:val="footnote text"/>
    <w:basedOn w:val="Normal"/>
    <w:link w:val="FootnoteTextChar"/>
    <w:rsid w:val="00937F10"/>
    <w:pPr>
      <w:spacing w:after="0" w:line="240" w:lineRule="auto"/>
    </w:pPr>
    <w:rPr>
      <w:rFonts w:ascii="Calibri" w:hAnsi="Calibri"/>
      <w:color w:val="000000" w:themeColor="text1"/>
      <w:sz w:val="18"/>
      <w:szCs w:val="18"/>
    </w:rPr>
  </w:style>
  <w:style w:type="character" w:customStyle="1" w:styleId="FootnoteTextChar">
    <w:name w:val="Footnote Text Char"/>
    <w:basedOn w:val="DefaultParagraphFont"/>
    <w:link w:val="FootnoteText"/>
    <w:rsid w:val="00937F10"/>
    <w:rPr>
      <w:rFonts w:ascii="Calibri" w:eastAsia="Times New Roman" w:hAnsi="Calibri" w:cs="Times New Roman"/>
      <w:bCs/>
      <w:color w:val="000000" w:themeColor="text1"/>
      <w:sz w:val="18"/>
      <w:szCs w:val="18"/>
      <w:lang w:eastAsia="en-AU"/>
    </w:rPr>
  </w:style>
  <w:style w:type="character" w:styleId="FootnoteReference">
    <w:name w:val="footnote reference"/>
    <w:basedOn w:val="DefaultParagraphFont"/>
    <w:rsid w:val="00937F10"/>
    <w:rPr>
      <w:vertAlign w:val="superscript"/>
    </w:rPr>
  </w:style>
  <w:style w:type="paragraph" w:customStyle="1" w:styleId="SingleParagraph">
    <w:name w:val="Single Paragraph"/>
    <w:basedOn w:val="Normal"/>
    <w:rsid w:val="00937F10"/>
    <w:pPr>
      <w:spacing w:after="0"/>
    </w:pPr>
  </w:style>
  <w:style w:type="character" w:customStyle="1" w:styleId="Heading2Char">
    <w:name w:val="Heading 2 Char"/>
    <w:basedOn w:val="DefaultParagraphFont"/>
    <w:link w:val="Heading2"/>
    <w:rsid w:val="00937F10"/>
    <w:rPr>
      <w:rFonts w:ascii="Times New Roman" w:eastAsia="Times New Roman" w:hAnsi="Times New Roman" w:cs="Times New Roman"/>
      <w:b/>
      <w:bCs/>
      <w:iCs/>
      <w:color w:val="0000FF"/>
      <w:sz w:val="24"/>
      <w:szCs w:val="24"/>
      <w:lang w:eastAsia="en-AU"/>
    </w:rPr>
  </w:style>
  <w:style w:type="paragraph" w:customStyle="1" w:styleId="ChartorTableNote">
    <w:name w:val="Chart or Table Note"/>
    <w:basedOn w:val="FootnoteText"/>
    <w:next w:val="Normal"/>
    <w:link w:val="ChartorTableNoteChar"/>
    <w:rsid w:val="00937F10"/>
    <w:rPr>
      <w:rFonts w:ascii="Times New Roman" w:hAnsi="Times New Roman"/>
    </w:rPr>
  </w:style>
  <w:style w:type="character" w:customStyle="1" w:styleId="ChartorTableNoteChar">
    <w:name w:val="Chart or Table Note Char"/>
    <w:basedOn w:val="DefaultParagraphFont"/>
    <w:link w:val="ChartorTableNote"/>
    <w:rsid w:val="00786F76"/>
    <w:rPr>
      <w:rFonts w:ascii="Times New Roman" w:eastAsia="Times New Roman" w:hAnsi="Times New Roman" w:cs="Times New Roman"/>
      <w:bCs/>
      <w:color w:val="000000" w:themeColor="text1"/>
      <w:sz w:val="18"/>
      <w:szCs w:val="18"/>
      <w:lang w:eastAsia="en-AU"/>
    </w:rPr>
  </w:style>
  <w:style w:type="paragraph" w:styleId="Revision">
    <w:name w:val="Revision"/>
    <w:hidden/>
    <w:uiPriority w:val="99"/>
    <w:semiHidden/>
    <w:rsid w:val="001A1C5A"/>
    <w:pPr>
      <w:spacing w:after="0" w:line="240" w:lineRule="auto"/>
    </w:pPr>
  </w:style>
  <w:style w:type="table" w:styleId="TableGrid">
    <w:name w:val="Table Grid"/>
    <w:basedOn w:val="TableNormal"/>
    <w:rsid w:val="00937F10"/>
    <w:pPr>
      <w:spacing w:after="240" w:line="260" w:lineRule="exact"/>
      <w:jc w:val="both"/>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cPr>
      <w:shd w:val="clear" w:color="auto" w:fill="E6E6E6"/>
    </w:tcPr>
  </w:style>
  <w:style w:type="character" w:customStyle="1" w:styleId="Heading1Char">
    <w:name w:val="Heading 1 Char"/>
    <w:basedOn w:val="DefaultParagraphFont"/>
    <w:link w:val="Heading1"/>
    <w:rsid w:val="00937F10"/>
    <w:rPr>
      <w:rFonts w:ascii="Times New Roman" w:eastAsia="Times New Roman" w:hAnsi="Times New Roman" w:cs="Times New Roman"/>
      <w:b/>
      <w:bCs/>
      <w:color w:val="0000FF"/>
      <w:kern w:val="32"/>
      <w:sz w:val="24"/>
      <w:szCs w:val="24"/>
      <w:lang w:eastAsia="en-AU"/>
    </w:rPr>
  </w:style>
  <w:style w:type="character" w:customStyle="1" w:styleId="Heading4Char">
    <w:name w:val="Heading 4 Char"/>
    <w:basedOn w:val="DefaultParagraphFont"/>
    <w:link w:val="Heading4"/>
    <w:rsid w:val="00937F10"/>
    <w:rPr>
      <w:rFonts w:ascii="Times New Roman" w:eastAsia="Times New Roman" w:hAnsi="Times New Roman" w:cs="Times New Roman"/>
      <w:bCs/>
      <w:color w:val="0000FF"/>
      <w:lang w:eastAsia="en-AU"/>
    </w:rPr>
  </w:style>
  <w:style w:type="character" w:customStyle="1" w:styleId="Heading5Char">
    <w:name w:val="Heading 5 Char"/>
    <w:basedOn w:val="DefaultParagraphFont"/>
    <w:link w:val="Heading5"/>
    <w:rsid w:val="00937F10"/>
    <w:rPr>
      <w:rFonts w:ascii="Times New Roman" w:eastAsia="Times New Roman" w:hAnsi="Times New Roman" w:cs="Times New Roman"/>
      <w:b/>
      <w:bCs/>
      <w:iCs/>
      <w:color w:val="0000FF"/>
      <w:sz w:val="20"/>
      <w:szCs w:val="20"/>
      <w:lang w:eastAsia="en-AU"/>
    </w:rPr>
  </w:style>
  <w:style w:type="character" w:customStyle="1" w:styleId="Heading6Char">
    <w:name w:val="Heading 6 Char"/>
    <w:basedOn w:val="DefaultParagraphFont"/>
    <w:link w:val="Heading6"/>
    <w:rsid w:val="00937F10"/>
    <w:rPr>
      <w:rFonts w:ascii="Times New Roman" w:eastAsia="Times New Roman" w:hAnsi="Times New Roman" w:cs="Times New Roman"/>
      <w:bCs/>
      <w:color w:val="0000FF"/>
      <w:sz w:val="20"/>
      <w:lang w:eastAsia="en-AU"/>
    </w:rPr>
  </w:style>
  <w:style w:type="character" w:customStyle="1" w:styleId="Heading7Char">
    <w:name w:val="Heading 7 Char"/>
    <w:basedOn w:val="DefaultParagraphFont"/>
    <w:link w:val="Heading7"/>
    <w:rsid w:val="00937F10"/>
    <w:rPr>
      <w:rFonts w:ascii="Times New Roman" w:eastAsia="Times New Roman" w:hAnsi="Times New Roman" w:cs="Times New Roman"/>
      <w:color w:val="0000FF"/>
      <w:sz w:val="20"/>
      <w:szCs w:val="24"/>
      <w:lang w:eastAsia="en-AU"/>
    </w:rPr>
  </w:style>
  <w:style w:type="character" w:customStyle="1" w:styleId="Heading8Char">
    <w:name w:val="Heading 8 Char"/>
    <w:basedOn w:val="DefaultParagraphFont"/>
    <w:link w:val="Heading8"/>
    <w:rsid w:val="00937F10"/>
    <w:rPr>
      <w:rFonts w:ascii="Times New Roman" w:eastAsia="Times New Roman" w:hAnsi="Times New Roman" w:cs="Times New Roman"/>
      <w:iCs/>
      <w:color w:val="0000FF"/>
      <w:sz w:val="20"/>
      <w:szCs w:val="24"/>
      <w:lang w:eastAsia="en-AU"/>
    </w:rPr>
  </w:style>
  <w:style w:type="character" w:customStyle="1" w:styleId="Heading9Char">
    <w:name w:val="Heading 9 Char"/>
    <w:basedOn w:val="DefaultParagraphFont"/>
    <w:link w:val="Heading9"/>
    <w:rsid w:val="00937F10"/>
    <w:rPr>
      <w:rFonts w:ascii="Times New Roman" w:eastAsia="Times New Roman" w:hAnsi="Times New Roman" w:cs="Arial"/>
      <w:color w:val="0000FF"/>
      <w:sz w:val="20"/>
      <w:lang w:eastAsia="en-AU"/>
    </w:rPr>
  </w:style>
  <w:style w:type="paragraph" w:customStyle="1" w:styleId="HeadingBase">
    <w:name w:val="Heading Base"/>
    <w:next w:val="Normal"/>
    <w:rsid w:val="00937F10"/>
    <w:pPr>
      <w:keepNext/>
      <w:spacing w:after="0" w:line="240" w:lineRule="auto"/>
    </w:pPr>
    <w:rPr>
      <w:rFonts w:ascii="Times New Roman" w:eastAsia="Times New Roman" w:hAnsi="Times New Roman" w:cs="Times New Roman"/>
      <w:color w:val="0000FF"/>
      <w:sz w:val="20"/>
      <w:szCs w:val="20"/>
      <w:lang w:eastAsia="en-AU"/>
    </w:rPr>
  </w:style>
  <w:style w:type="paragraph" w:customStyle="1" w:styleId="ChartGraphic">
    <w:name w:val="Chart Graphic"/>
    <w:basedOn w:val="HeadingBase"/>
    <w:next w:val="Normal"/>
    <w:rsid w:val="00937F10"/>
    <w:pPr>
      <w:jc w:val="center"/>
    </w:pPr>
  </w:style>
  <w:style w:type="paragraph" w:customStyle="1" w:styleId="BoxTextBase">
    <w:name w:val="Box Text Base"/>
    <w:basedOn w:val="Normal"/>
    <w:rsid w:val="00937F10"/>
  </w:style>
  <w:style w:type="paragraph" w:customStyle="1" w:styleId="BoxBullet">
    <w:name w:val="Box Bullet"/>
    <w:basedOn w:val="BoxTextBase"/>
    <w:rsid w:val="00937F10"/>
    <w:pPr>
      <w:numPr>
        <w:numId w:val="26"/>
      </w:numPr>
      <w:ind w:left="284" w:hanging="284"/>
    </w:pPr>
  </w:style>
  <w:style w:type="paragraph" w:customStyle="1" w:styleId="BoxDash">
    <w:name w:val="Box Dash"/>
    <w:basedOn w:val="Normal"/>
    <w:rsid w:val="00937F10"/>
    <w:pPr>
      <w:numPr>
        <w:ilvl w:val="1"/>
        <w:numId w:val="26"/>
      </w:numPr>
    </w:pPr>
  </w:style>
  <w:style w:type="paragraph" w:customStyle="1" w:styleId="BoxDoubleDot">
    <w:name w:val="Box Double Dot"/>
    <w:basedOn w:val="BoxTextBase"/>
    <w:rsid w:val="00937F10"/>
    <w:pPr>
      <w:numPr>
        <w:ilvl w:val="2"/>
        <w:numId w:val="26"/>
      </w:numPr>
    </w:pPr>
  </w:style>
  <w:style w:type="paragraph" w:customStyle="1" w:styleId="BoxHeading">
    <w:name w:val="Box Heading"/>
    <w:basedOn w:val="HeadingBase"/>
    <w:next w:val="Normal"/>
    <w:rsid w:val="00937F10"/>
    <w:pPr>
      <w:spacing w:before="240" w:after="120"/>
    </w:pPr>
    <w:rPr>
      <w:b/>
      <w:sz w:val="22"/>
    </w:rPr>
  </w:style>
  <w:style w:type="paragraph" w:customStyle="1" w:styleId="BoxText">
    <w:name w:val="Box Text"/>
    <w:basedOn w:val="BoxTextBase"/>
    <w:rsid w:val="00937F10"/>
  </w:style>
  <w:style w:type="paragraph" w:styleId="NormalIndent">
    <w:name w:val="Normal Indent"/>
    <w:basedOn w:val="Normal"/>
    <w:rsid w:val="00937F10"/>
    <w:pPr>
      <w:ind w:left="567"/>
    </w:pPr>
  </w:style>
  <w:style w:type="paragraph" w:customStyle="1" w:styleId="ChartMainHeading">
    <w:name w:val="Chart Main Heading"/>
    <w:basedOn w:val="Normal"/>
    <w:next w:val="ChartGraphic"/>
    <w:rsid w:val="00937F10"/>
    <w:pPr>
      <w:keepNext/>
      <w:jc w:val="center"/>
    </w:pPr>
    <w:rPr>
      <w:b/>
      <w:bCs w:val="0"/>
      <w:color w:val="0000FF"/>
    </w:rPr>
  </w:style>
  <w:style w:type="paragraph" w:customStyle="1" w:styleId="ChartSecondHeading">
    <w:name w:val="Chart Second Heading"/>
    <w:basedOn w:val="HeadingBase"/>
    <w:next w:val="ChartGraphic"/>
    <w:rsid w:val="00937F10"/>
    <w:pPr>
      <w:spacing w:after="20"/>
      <w:jc w:val="center"/>
    </w:pPr>
  </w:style>
  <w:style w:type="paragraph" w:customStyle="1" w:styleId="Classification">
    <w:name w:val="Classification"/>
    <w:basedOn w:val="HeadingBase"/>
    <w:next w:val="Footer"/>
    <w:rsid w:val="00937F10"/>
    <w:pPr>
      <w:spacing w:after="120"/>
      <w:jc w:val="center"/>
    </w:pPr>
    <w:rPr>
      <w:b/>
      <w:smallCaps/>
    </w:rPr>
  </w:style>
  <w:style w:type="paragraph" w:customStyle="1" w:styleId="ContentsHeading">
    <w:name w:val="Contents Heading"/>
    <w:basedOn w:val="HeadingBase"/>
    <w:next w:val="Normal"/>
    <w:rsid w:val="00937F10"/>
    <w:pPr>
      <w:spacing w:after="360"/>
    </w:pPr>
    <w:rPr>
      <w:sz w:val="36"/>
      <w:szCs w:val="36"/>
    </w:rPr>
  </w:style>
  <w:style w:type="paragraph" w:customStyle="1" w:styleId="CoverTitleSub">
    <w:name w:val="Cover Title Sub"/>
    <w:basedOn w:val="HeadingBase"/>
    <w:rsid w:val="00937F10"/>
    <w:pPr>
      <w:spacing w:after="360"/>
      <w:jc w:val="center"/>
    </w:pPr>
    <w:rPr>
      <w:sz w:val="36"/>
    </w:rPr>
  </w:style>
  <w:style w:type="paragraph" w:customStyle="1" w:styleId="Covertitlelevel3">
    <w:name w:val="Cover title level 3"/>
    <w:basedOn w:val="CoverTitleSub"/>
    <w:rsid w:val="00937F10"/>
    <w:pPr>
      <w:spacing w:after="120"/>
    </w:pPr>
    <w:rPr>
      <w:sz w:val="28"/>
      <w:szCs w:val="28"/>
    </w:rPr>
  </w:style>
  <w:style w:type="paragraph" w:customStyle="1" w:styleId="CoverTitleMain">
    <w:name w:val="Cover Title Main"/>
    <w:basedOn w:val="HeadingBase"/>
    <w:next w:val="Normal"/>
    <w:rsid w:val="00937F10"/>
    <w:pPr>
      <w:spacing w:after="480"/>
      <w:jc w:val="center"/>
    </w:pPr>
    <w:rPr>
      <w:b/>
      <w:sz w:val="48"/>
    </w:rPr>
  </w:style>
  <w:style w:type="paragraph" w:customStyle="1" w:styleId="Figuregraphic">
    <w:name w:val="Figure graphic"/>
    <w:basedOn w:val="Normal"/>
    <w:rsid w:val="00937F10"/>
    <w:pPr>
      <w:spacing w:line="240" w:lineRule="auto"/>
      <w:jc w:val="center"/>
    </w:pPr>
  </w:style>
  <w:style w:type="paragraph" w:customStyle="1" w:styleId="FigureHeading">
    <w:name w:val="Figure Heading"/>
    <w:basedOn w:val="HeadingBase"/>
    <w:next w:val="Figuregraphic"/>
    <w:rsid w:val="00937F10"/>
    <w:pPr>
      <w:spacing w:after="20"/>
      <w:jc w:val="center"/>
    </w:pPr>
    <w:rPr>
      <w:b/>
      <w:sz w:val="22"/>
      <w:szCs w:val="22"/>
    </w:rPr>
  </w:style>
  <w:style w:type="paragraph" w:customStyle="1" w:styleId="FigureSecondHeading">
    <w:name w:val="Figure Second Heading"/>
    <w:basedOn w:val="HeadingBase"/>
    <w:next w:val="Figuregraphic"/>
    <w:rsid w:val="00937F10"/>
    <w:pPr>
      <w:spacing w:after="20"/>
      <w:jc w:val="center"/>
    </w:pPr>
  </w:style>
  <w:style w:type="paragraph" w:customStyle="1" w:styleId="FooterCentered">
    <w:name w:val="Footer Centered"/>
    <w:basedOn w:val="FooterOdd"/>
    <w:rsid w:val="00937F10"/>
    <w:pPr>
      <w:jc w:val="center"/>
    </w:pPr>
  </w:style>
  <w:style w:type="paragraph" w:customStyle="1" w:styleId="FooterEven">
    <w:name w:val="Footer Even"/>
    <w:basedOn w:val="FooterCentered"/>
    <w:rsid w:val="00937F10"/>
    <w:pPr>
      <w:jc w:val="left"/>
    </w:pPr>
  </w:style>
  <w:style w:type="paragraph" w:customStyle="1" w:styleId="FooterOdd">
    <w:name w:val="Footer Odd"/>
    <w:basedOn w:val="Footer"/>
    <w:rsid w:val="00937F10"/>
    <w:pPr>
      <w:jc w:val="right"/>
    </w:pPr>
    <w:rPr>
      <w:szCs w:val="18"/>
    </w:rPr>
  </w:style>
  <w:style w:type="character" w:customStyle="1" w:styleId="FramedFooter">
    <w:name w:val="Framed Footer"/>
    <w:rsid w:val="00937F10"/>
    <w:rPr>
      <w:rFonts w:ascii="Calibri" w:hAnsi="Calibri"/>
      <w:sz w:val="18"/>
    </w:rPr>
  </w:style>
  <w:style w:type="character" w:customStyle="1" w:styleId="FramedHeader">
    <w:name w:val="Framed Header"/>
    <w:basedOn w:val="DefaultParagraphFont"/>
    <w:rsid w:val="00937F10"/>
    <w:rPr>
      <w:rFonts w:ascii="Times New Roman" w:hAnsi="Times New Roman"/>
      <w:dstrike w:val="0"/>
      <w:color w:val="auto"/>
      <w:sz w:val="18"/>
      <w:vertAlign w:val="baseline"/>
    </w:rPr>
  </w:style>
  <w:style w:type="paragraph" w:customStyle="1" w:styleId="HeaderEven">
    <w:name w:val="Header Even"/>
    <w:basedOn w:val="Header"/>
    <w:rsid w:val="006B0A17"/>
    <w:pPr>
      <w:tabs>
        <w:tab w:val="left" w:pos="2337"/>
      </w:tabs>
      <w:jc w:val="left"/>
    </w:pPr>
    <w:rPr>
      <w:szCs w:val="18"/>
    </w:rPr>
  </w:style>
  <w:style w:type="paragraph" w:customStyle="1" w:styleId="HeaderOdd">
    <w:name w:val="Header Odd"/>
    <w:basedOn w:val="Header"/>
    <w:rsid w:val="006B0A17"/>
    <w:rPr>
      <w:szCs w:val="18"/>
    </w:rPr>
  </w:style>
  <w:style w:type="character" w:styleId="Hyperlink">
    <w:name w:val="Hyperlink"/>
    <w:basedOn w:val="DefaultParagraphFont"/>
    <w:rsid w:val="00937F10"/>
    <w:rPr>
      <w:color w:val="auto"/>
      <w:u w:val="none"/>
    </w:rPr>
  </w:style>
  <w:style w:type="character" w:customStyle="1" w:styleId="italic">
    <w:name w:val="italic"/>
    <w:basedOn w:val="DefaultParagraphFont"/>
    <w:rsid w:val="00937F10"/>
    <w:rPr>
      <w:i/>
    </w:rPr>
  </w:style>
  <w:style w:type="paragraph" w:customStyle="1" w:styleId="NormalIndentItalics">
    <w:name w:val="Normal Indent Italics"/>
    <w:basedOn w:val="NormalIndent"/>
    <w:rsid w:val="00937F10"/>
    <w:rPr>
      <w:i/>
    </w:rPr>
  </w:style>
  <w:style w:type="paragraph" w:customStyle="1" w:styleId="OutlineNumbered1">
    <w:name w:val="Outline Numbered 1"/>
    <w:basedOn w:val="Normal"/>
    <w:rsid w:val="00937F10"/>
    <w:pPr>
      <w:numPr>
        <w:numId w:val="35"/>
      </w:numPr>
    </w:pPr>
  </w:style>
  <w:style w:type="paragraph" w:customStyle="1" w:styleId="OneLevelNumberedParagraph">
    <w:name w:val="One Level Numbered Paragraph"/>
    <w:basedOn w:val="Normal"/>
    <w:rsid w:val="00937F10"/>
    <w:pPr>
      <w:numPr>
        <w:numId w:val="34"/>
      </w:numPr>
    </w:pPr>
  </w:style>
  <w:style w:type="paragraph" w:customStyle="1" w:styleId="OutlineNumbered2">
    <w:name w:val="Outline Numbered 2"/>
    <w:basedOn w:val="Normal"/>
    <w:rsid w:val="00937F10"/>
    <w:pPr>
      <w:numPr>
        <w:ilvl w:val="1"/>
        <w:numId w:val="35"/>
      </w:numPr>
    </w:pPr>
  </w:style>
  <w:style w:type="paragraph" w:customStyle="1" w:styleId="OutlineNumbered3">
    <w:name w:val="Outline Numbered 3"/>
    <w:basedOn w:val="Normal"/>
    <w:rsid w:val="00937F10"/>
    <w:pPr>
      <w:numPr>
        <w:ilvl w:val="2"/>
        <w:numId w:val="35"/>
      </w:numPr>
    </w:pPr>
  </w:style>
  <w:style w:type="character" w:styleId="PageNumber">
    <w:name w:val="page number"/>
    <w:basedOn w:val="DefaultParagraphFont"/>
    <w:rsid w:val="00937F10"/>
  </w:style>
  <w:style w:type="paragraph" w:customStyle="1" w:styleId="Principle">
    <w:name w:val="Principle"/>
    <w:basedOn w:val="Normal"/>
    <w:rsid w:val="00937F10"/>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937F10"/>
    <w:rPr>
      <w:i/>
    </w:rPr>
  </w:style>
  <w:style w:type="paragraph" w:customStyle="1" w:styleId="RecommendationBullet">
    <w:name w:val="Recommendation Bullet"/>
    <w:basedOn w:val="RecommendationTextBase"/>
    <w:rsid w:val="00937F10"/>
    <w:pPr>
      <w:numPr>
        <w:numId w:val="36"/>
      </w:numPr>
    </w:pPr>
  </w:style>
  <w:style w:type="paragraph" w:customStyle="1" w:styleId="RecommendationDash">
    <w:name w:val="Recommendation Dash"/>
    <w:basedOn w:val="RecommendationTextBase"/>
    <w:rsid w:val="00937F10"/>
    <w:pPr>
      <w:numPr>
        <w:ilvl w:val="1"/>
        <w:numId w:val="36"/>
      </w:numPr>
    </w:pPr>
  </w:style>
  <w:style w:type="paragraph" w:customStyle="1" w:styleId="RecommendationDoubleDot">
    <w:name w:val="Recommendation Double Dot"/>
    <w:basedOn w:val="RecommendationTextBase"/>
    <w:rsid w:val="00937F10"/>
    <w:pPr>
      <w:numPr>
        <w:ilvl w:val="2"/>
        <w:numId w:val="36"/>
      </w:numPr>
    </w:pPr>
  </w:style>
  <w:style w:type="paragraph" w:customStyle="1" w:styleId="RecommendationHeading">
    <w:name w:val="Recommendation Heading"/>
    <w:basedOn w:val="HeadingBase"/>
    <w:next w:val="Normal"/>
    <w:rsid w:val="00937F10"/>
    <w:pPr>
      <w:spacing w:before="120" w:after="240"/>
    </w:pPr>
    <w:rPr>
      <w:b/>
      <w:sz w:val="22"/>
    </w:rPr>
  </w:style>
  <w:style w:type="paragraph" w:customStyle="1" w:styleId="RecommendationText">
    <w:name w:val="Recommendation Text"/>
    <w:basedOn w:val="RecommendationTextBase"/>
    <w:rsid w:val="00937F10"/>
  </w:style>
  <w:style w:type="paragraph" w:customStyle="1" w:styleId="Romannumeral">
    <w:name w:val="Roman numeral"/>
    <w:basedOn w:val="Normal"/>
    <w:rsid w:val="00937F10"/>
    <w:pPr>
      <w:numPr>
        <w:numId w:val="37"/>
      </w:numPr>
    </w:pPr>
  </w:style>
  <w:style w:type="paragraph" w:customStyle="1" w:styleId="SingleParagraphIndent">
    <w:name w:val="Single Paragraph Indent"/>
    <w:basedOn w:val="SingleParagraph"/>
    <w:rsid w:val="00937F10"/>
    <w:pPr>
      <w:ind w:left="567"/>
    </w:pPr>
  </w:style>
  <w:style w:type="paragraph" w:customStyle="1" w:styleId="TableSecondHeading">
    <w:name w:val="Table Second Heading"/>
    <w:basedOn w:val="HeadingBase"/>
    <w:next w:val="TableGraphic"/>
    <w:rsid w:val="00937F10"/>
    <w:pPr>
      <w:spacing w:after="20"/>
    </w:pPr>
  </w:style>
  <w:style w:type="paragraph" w:customStyle="1" w:styleId="TableTextBase">
    <w:name w:val="Table Text Base"/>
    <w:rsid w:val="00937F10"/>
    <w:pPr>
      <w:spacing w:before="40" w:after="40" w:line="240" w:lineRule="auto"/>
    </w:pPr>
    <w:rPr>
      <w:rFonts w:ascii="Arial" w:eastAsia="Times New Roman" w:hAnsi="Arial" w:cs="Times New Roman"/>
      <w:color w:val="0000FF"/>
      <w:sz w:val="16"/>
      <w:szCs w:val="20"/>
      <w:lang w:eastAsia="en-AU"/>
    </w:rPr>
  </w:style>
  <w:style w:type="paragraph" w:customStyle="1" w:styleId="TableColumnHeadingCentred">
    <w:name w:val="Table Column Heading Centred"/>
    <w:basedOn w:val="TableColumnHeadingBase"/>
    <w:rsid w:val="00937F10"/>
    <w:pPr>
      <w:jc w:val="center"/>
    </w:pPr>
  </w:style>
  <w:style w:type="paragraph" w:customStyle="1" w:styleId="TableColumnHeadingBase">
    <w:name w:val="Table Column Heading Base"/>
    <w:basedOn w:val="Normal"/>
    <w:rsid w:val="00937F10"/>
    <w:pPr>
      <w:spacing w:before="40" w:after="40" w:line="240" w:lineRule="auto"/>
    </w:pPr>
    <w:rPr>
      <w:rFonts w:ascii="Arial" w:hAnsi="Arial"/>
      <w:b/>
      <w:sz w:val="16"/>
    </w:rPr>
  </w:style>
  <w:style w:type="paragraph" w:customStyle="1" w:styleId="TableColumnHeadingLeft">
    <w:name w:val="Table Column Heading Left"/>
    <w:basedOn w:val="TableColumnHeadingBase"/>
    <w:rsid w:val="00937F10"/>
    <w:rPr>
      <w:rFonts w:ascii="Calibri" w:hAnsi="Calibri"/>
      <w:sz w:val="18"/>
    </w:rPr>
  </w:style>
  <w:style w:type="paragraph" w:customStyle="1" w:styleId="TableColumnHeadingRight">
    <w:name w:val="Table Column Heading Right"/>
    <w:basedOn w:val="TableColumnHeadingBase"/>
    <w:rsid w:val="00937F10"/>
    <w:pPr>
      <w:jc w:val="right"/>
    </w:pPr>
  </w:style>
  <w:style w:type="paragraph" w:customStyle="1" w:styleId="TableMainHeadingContd">
    <w:name w:val="Table Main Heading Contd"/>
    <w:basedOn w:val="HeadingBase"/>
    <w:next w:val="TableGraphic"/>
    <w:rsid w:val="00937F10"/>
    <w:pPr>
      <w:pageBreakBefore/>
      <w:spacing w:after="20"/>
    </w:pPr>
    <w:rPr>
      <w:b/>
      <w:sz w:val="22"/>
    </w:rPr>
  </w:style>
  <w:style w:type="paragraph" w:customStyle="1" w:styleId="TableTextCentered">
    <w:name w:val="Table Text Centered"/>
    <w:basedOn w:val="TableTextBase"/>
    <w:rsid w:val="00937F10"/>
    <w:pPr>
      <w:jc w:val="center"/>
    </w:pPr>
  </w:style>
  <w:style w:type="paragraph" w:customStyle="1" w:styleId="TableTextIndented">
    <w:name w:val="Table Text Indented"/>
    <w:basedOn w:val="TableTextBase"/>
    <w:rsid w:val="00937F10"/>
    <w:pPr>
      <w:ind w:left="284"/>
    </w:pPr>
  </w:style>
  <w:style w:type="paragraph" w:customStyle="1" w:styleId="TableTextLeft">
    <w:name w:val="Table Text Left"/>
    <w:basedOn w:val="TableTextBase"/>
    <w:rsid w:val="00937F10"/>
  </w:style>
  <w:style w:type="paragraph" w:customStyle="1" w:styleId="TableTextRight">
    <w:name w:val="Table Text Right"/>
    <w:basedOn w:val="TableTextBase"/>
    <w:rsid w:val="00937F10"/>
    <w:pPr>
      <w:jc w:val="right"/>
    </w:pPr>
  </w:style>
  <w:style w:type="paragraph" w:styleId="TOC1">
    <w:name w:val="toc 1"/>
    <w:basedOn w:val="HeadingBase"/>
    <w:next w:val="Normal"/>
    <w:rsid w:val="00937F10"/>
    <w:pPr>
      <w:tabs>
        <w:tab w:val="right" w:leader="dot" w:pos="9072"/>
      </w:tabs>
      <w:spacing w:before="180"/>
      <w:ind w:right="851"/>
    </w:pPr>
    <w:rPr>
      <w:b/>
      <w:sz w:val="22"/>
      <w:szCs w:val="22"/>
    </w:rPr>
  </w:style>
  <w:style w:type="paragraph" w:styleId="TOC2">
    <w:name w:val="toc 2"/>
    <w:basedOn w:val="HeadingBase"/>
    <w:next w:val="Normal"/>
    <w:rsid w:val="00937F10"/>
    <w:pPr>
      <w:tabs>
        <w:tab w:val="right" w:leader="dot" w:pos="9072"/>
      </w:tabs>
      <w:spacing w:before="40" w:after="20"/>
      <w:ind w:right="851"/>
    </w:pPr>
    <w:rPr>
      <w:sz w:val="22"/>
    </w:rPr>
  </w:style>
  <w:style w:type="paragraph" w:styleId="TOC3">
    <w:name w:val="toc 3"/>
    <w:basedOn w:val="Normal"/>
    <w:next w:val="Normal"/>
    <w:rsid w:val="00937F10"/>
    <w:pPr>
      <w:tabs>
        <w:tab w:val="right" w:leader="dot" w:pos="9072"/>
      </w:tabs>
      <w:spacing w:before="20" w:after="0" w:line="240" w:lineRule="auto"/>
      <w:ind w:left="284" w:right="851"/>
    </w:pPr>
  </w:style>
  <w:style w:type="paragraph" w:styleId="TOC4">
    <w:name w:val="toc 4"/>
    <w:basedOn w:val="Normal"/>
    <w:next w:val="Normal"/>
    <w:rsid w:val="00937F10"/>
    <w:pPr>
      <w:tabs>
        <w:tab w:val="right" w:leader="dot" w:pos="9072"/>
      </w:tabs>
      <w:spacing w:after="0" w:line="240" w:lineRule="auto"/>
      <w:ind w:left="284" w:right="851"/>
    </w:pPr>
  </w:style>
  <w:style w:type="paragraph" w:styleId="BodyTextIndent2">
    <w:name w:val="Body Text Indent 2"/>
    <w:basedOn w:val="Normal"/>
    <w:link w:val="BodyTextIndent2Char"/>
    <w:rsid w:val="00937F10"/>
    <w:pPr>
      <w:spacing w:line="480" w:lineRule="auto"/>
      <w:ind w:left="283"/>
    </w:pPr>
  </w:style>
  <w:style w:type="character" w:customStyle="1" w:styleId="BodyTextIndent2Char">
    <w:name w:val="Body Text Indent 2 Char"/>
    <w:basedOn w:val="DefaultParagraphFont"/>
    <w:link w:val="BodyTextIndent2"/>
    <w:rsid w:val="00937F10"/>
    <w:rPr>
      <w:rFonts w:ascii="Times New Roman" w:eastAsia="Times New Roman" w:hAnsi="Times New Roman" w:cs="Times New Roman"/>
      <w:bCs/>
      <w:szCs w:val="20"/>
      <w:lang w:eastAsia="en-AU"/>
    </w:rPr>
  </w:style>
  <w:style w:type="paragraph" w:styleId="Caption">
    <w:name w:val="caption"/>
    <w:basedOn w:val="Normal"/>
    <w:next w:val="Normal"/>
    <w:qFormat/>
    <w:rsid w:val="00937F10"/>
    <w:rPr>
      <w:b/>
      <w:bCs w:val="0"/>
    </w:rPr>
  </w:style>
  <w:style w:type="paragraph" w:styleId="DocumentMap">
    <w:name w:val="Document Map"/>
    <w:basedOn w:val="Normal"/>
    <w:link w:val="DocumentMapChar"/>
    <w:semiHidden/>
    <w:rsid w:val="00937F10"/>
    <w:pPr>
      <w:shd w:val="clear" w:color="auto" w:fill="00CCFF"/>
    </w:pPr>
    <w:rPr>
      <w:rFonts w:ascii="Tahoma" w:hAnsi="Tahoma" w:cs="Tahoma"/>
    </w:rPr>
  </w:style>
  <w:style w:type="character" w:customStyle="1" w:styleId="DocumentMapChar">
    <w:name w:val="Document Map Char"/>
    <w:basedOn w:val="DefaultParagraphFont"/>
    <w:link w:val="DocumentMap"/>
    <w:semiHidden/>
    <w:rsid w:val="00937F10"/>
    <w:rPr>
      <w:rFonts w:ascii="Tahoma" w:eastAsia="Times New Roman" w:hAnsi="Tahoma" w:cs="Tahoma"/>
      <w:bCs/>
      <w:szCs w:val="20"/>
      <w:shd w:val="clear" w:color="auto" w:fill="00CCFF"/>
      <w:lang w:eastAsia="en-AU"/>
    </w:rPr>
  </w:style>
  <w:style w:type="character" w:styleId="EndnoteReference">
    <w:name w:val="endnote reference"/>
    <w:basedOn w:val="DefaultParagraphFont"/>
    <w:semiHidden/>
    <w:rsid w:val="00937F10"/>
    <w:rPr>
      <w:vertAlign w:val="superscript"/>
    </w:rPr>
  </w:style>
  <w:style w:type="paragraph" w:styleId="EndnoteText">
    <w:name w:val="endnote text"/>
    <w:basedOn w:val="Normal"/>
    <w:link w:val="EndnoteTextChar"/>
    <w:semiHidden/>
    <w:rsid w:val="00937F10"/>
  </w:style>
  <w:style w:type="character" w:customStyle="1" w:styleId="EndnoteTextChar">
    <w:name w:val="Endnote Text Char"/>
    <w:basedOn w:val="DefaultParagraphFont"/>
    <w:link w:val="EndnoteText"/>
    <w:semiHidden/>
    <w:rsid w:val="00937F10"/>
    <w:rPr>
      <w:rFonts w:ascii="Times New Roman" w:eastAsia="Times New Roman" w:hAnsi="Times New Roman" w:cs="Times New Roman"/>
      <w:bCs/>
      <w:szCs w:val="20"/>
      <w:lang w:eastAsia="en-AU"/>
    </w:rPr>
  </w:style>
  <w:style w:type="character" w:styleId="FollowedHyperlink">
    <w:name w:val="FollowedHyperlink"/>
    <w:basedOn w:val="DefaultParagraphFont"/>
    <w:rsid w:val="00937F10"/>
    <w:rPr>
      <w:color w:val="auto"/>
      <w:u w:val="none"/>
    </w:rPr>
  </w:style>
  <w:style w:type="paragraph" w:styleId="Index1">
    <w:name w:val="index 1"/>
    <w:basedOn w:val="Normal"/>
    <w:next w:val="Normal"/>
    <w:autoRedefine/>
    <w:semiHidden/>
    <w:rsid w:val="00937F10"/>
    <w:pPr>
      <w:ind w:left="200" w:hanging="200"/>
    </w:pPr>
  </w:style>
  <w:style w:type="paragraph" w:styleId="Index2">
    <w:name w:val="index 2"/>
    <w:basedOn w:val="Normal"/>
    <w:next w:val="Normal"/>
    <w:autoRedefine/>
    <w:semiHidden/>
    <w:rsid w:val="00937F10"/>
    <w:pPr>
      <w:ind w:left="400" w:hanging="200"/>
    </w:pPr>
  </w:style>
  <w:style w:type="paragraph" w:styleId="Index3">
    <w:name w:val="index 3"/>
    <w:basedOn w:val="Normal"/>
    <w:next w:val="Normal"/>
    <w:autoRedefine/>
    <w:semiHidden/>
    <w:rsid w:val="00937F10"/>
    <w:pPr>
      <w:ind w:left="600" w:hanging="200"/>
    </w:pPr>
  </w:style>
  <w:style w:type="paragraph" w:styleId="Index4">
    <w:name w:val="index 4"/>
    <w:basedOn w:val="Normal"/>
    <w:next w:val="Normal"/>
    <w:autoRedefine/>
    <w:semiHidden/>
    <w:rsid w:val="00937F10"/>
    <w:pPr>
      <w:ind w:left="800" w:hanging="200"/>
    </w:pPr>
  </w:style>
  <w:style w:type="paragraph" w:styleId="Index5">
    <w:name w:val="index 5"/>
    <w:basedOn w:val="Normal"/>
    <w:next w:val="Normal"/>
    <w:autoRedefine/>
    <w:semiHidden/>
    <w:rsid w:val="00937F10"/>
    <w:pPr>
      <w:ind w:left="1000" w:hanging="200"/>
    </w:pPr>
  </w:style>
  <w:style w:type="paragraph" w:styleId="Index6">
    <w:name w:val="index 6"/>
    <w:basedOn w:val="Normal"/>
    <w:next w:val="Normal"/>
    <w:autoRedefine/>
    <w:semiHidden/>
    <w:rsid w:val="00937F10"/>
    <w:pPr>
      <w:ind w:left="1200" w:hanging="200"/>
    </w:pPr>
  </w:style>
  <w:style w:type="paragraph" w:styleId="Index7">
    <w:name w:val="index 7"/>
    <w:basedOn w:val="Normal"/>
    <w:next w:val="Normal"/>
    <w:autoRedefine/>
    <w:semiHidden/>
    <w:rsid w:val="00937F10"/>
    <w:pPr>
      <w:ind w:left="1400" w:hanging="200"/>
    </w:pPr>
  </w:style>
  <w:style w:type="paragraph" w:styleId="Index8">
    <w:name w:val="index 8"/>
    <w:basedOn w:val="Normal"/>
    <w:next w:val="Normal"/>
    <w:autoRedefine/>
    <w:semiHidden/>
    <w:rsid w:val="00937F10"/>
    <w:pPr>
      <w:ind w:left="1600" w:hanging="200"/>
    </w:pPr>
  </w:style>
  <w:style w:type="paragraph" w:styleId="Index9">
    <w:name w:val="index 9"/>
    <w:basedOn w:val="Normal"/>
    <w:next w:val="Normal"/>
    <w:autoRedefine/>
    <w:semiHidden/>
    <w:rsid w:val="00937F10"/>
    <w:pPr>
      <w:ind w:left="1800" w:hanging="200"/>
    </w:pPr>
  </w:style>
  <w:style w:type="paragraph" w:styleId="IndexHeading">
    <w:name w:val="index heading"/>
    <w:basedOn w:val="Normal"/>
    <w:next w:val="Index1"/>
    <w:semiHidden/>
    <w:rsid w:val="00937F10"/>
    <w:rPr>
      <w:rFonts w:ascii="Arial" w:hAnsi="Arial" w:cs="Arial"/>
      <w:b/>
      <w:bCs w:val="0"/>
    </w:rPr>
  </w:style>
  <w:style w:type="paragraph" w:styleId="MacroText">
    <w:name w:val="macro"/>
    <w:link w:val="MacroTextChar"/>
    <w:semiHidden/>
    <w:rsid w:val="00937F1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937F10"/>
    <w:rPr>
      <w:rFonts w:ascii="Courier New" w:eastAsia="Times New Roman" w:hAnsi="Courier New" w:cs="Courier New"/>
      <w:color w:val="000000"/>
      <w:sz w:val="20"/>
      <w:szCs w:val="20"/>
      <w:lang w:eastAsia="en-AU"/>
    </w:rPr>
  </w:style>
  <w:style w:type="numbering" w:customStyle="1" w:styleId="OutlineList">
    <w:name w:val="OutlineList"/>
    <w:uiPriority w:val="99"/>
    <w:rsid w:val="00937F10"/>
    <w:pPr>
      <w:numPr>
        <w:numId w:val="31"/>
      </w:numPr>
    </w:pPr>
  </w:style>
  <w:style w:type="paragraph" w:customStyle="1" w:styleId="PictureCentred">
    <w:name w:val="Picture Centred"/>
    <w:basedOn w:val="Normal"/>
    <w:rsid w:val="00937F10"/>
    <w:pPr>
      <w:spacing w:line="240" w:lineRule="atLeast"/>
      <w:jc w:val="center"/>
    </w:pPr>
  </w:style>
  <w:style w:type="paragraph" w:customStyle="1" w:styleId="PictureLeft">
    <w:name w:val="Picture Left"/>
    <w:basedOn w:val="PictureCentred"/>
    <w:rsid w:val="00937F10"/>
    <w:pPr>
      <w:jc w:val="left"/>
    </w:pPr>
  </w:style>
  <w:style w:type="paragraph" w:customStyle="1" w:styleId="PictureIndent">
    <w:name w:val="Picture Indent"/>
    <w:basedOn w:val="PictureLeft"/>
    <w:rsid w:val="00937F10"/>
    <w:pPr>
      <w:ind w:left="284"/>
    </w:pPr>
  </w:style>
  <w:style w:type="paragraph" w:styleId="TableofAuthorities">
    <w:name w:val="table of authorities"/>
    <w:basedOn w:val="Normal"/>
    <w:next w:val="Normal"/>
    <w:rsid w:val="00937F10"/>
    <w:pPr>
      <w:ind w:left="200" w:hanging="200"/>
    </w:pPr>
  </w:style>
  <w:style w:type="paragraph" w:styleId="TableofFigures">
    <w:name w:val="table of figures"/>
    <w:basedOn w:val="Normal"/>
    <w:next w:val="Normal"/>
    <w:rsid w:val="00937F10"/>
  </w:style>
  <w:style w:type="paragraph" w:styleId="TOAHeading">
    <w:name w:val="toa heading"/>
    <w:basedOn w:val="Normal"/>
    <w:next w:val="Normal"/>
    <w:semiHidden/>
    <w:rsid w:val="00937F10"/>
    <w:rPr>
      <w:rFonts w:ascii="Arial" w:hAnsi="Arial" w:cs="Arial"/>
      <w:b/>
      <w:bCs w:val="0"/>
      <w:sz w:val="24"/>
      <w:szCs w:val="24"/>
    </w:rPr>
  </w:style>
  <w:style w:type="paragraph" w:styleId="TOC5">
    <w:name w:val="toc 5"/>
    <w:basedOn w:val="Normal"/>
    <w:next w:val="Normal"/>
    <w:autoRedefine/>
    <w:semiHidden/>
    <w:rsid w:val="00937F10"/>
    <w:pPr>
      <w:ind w:left="800"/>
    </w:pPr>
  </w:style>
  <w:style w:type="paragraph" w:styleId="TOC6">
    <w:name w:val="toc 6"/>
    <w:basedOn w:val="Normal"/>
    <w:next w:val="Normal"/>
    <w:autoRedefine/>
    <w:semiHidden/>
    <w:rsid w:val="00937F10"/>
    <w:pPr>
      <w:ind w:left="1000"/>
    </w:pPr>
  </w:style>
  <w:style w:type="paragraph" w:styleId="TOC7">
    <w:name w:val="toc 7"/>
    <w:basedOn w:val="Normal"/>
    <w:next w:val="Normal"/>
    <w:autoRedefine/>
    <w:semiHidden/>
    <w:rsid w:val="00937F10"/>
    <w:pPr>
      <w:ind w:left="1200"/>
    </w:pPr>
  </w:style>
  <w:style w:type="paragraph" w:styleId="TOC8">
    <w:name w:val="toc 8"/>
    <w:basedOn w:val="Normal"/>
    <w:next w:val="Normal"/>
    <w:autoRedefine/>
    <w:semiHidden/>
    <w:rsid w:val="00937F10"/>
    <w:pPr>
      <w:ind w:left="1400"/>
    </w:pPr>
  </w:style>
  <w:style w:type="paragraph" w:styleId="TOC9">
    <w:name w:val="toc 9"/>
    <w:basedOn w:val="Normal"/>
    <w:next w:val="Normal"/>
    <w:autoRedefine/>
    <w:semiHidden/>
    <w:rsid w:val="00937F10"/>
    <w:pPr>
      <w:ind w:left="1600"/>
    </w:pPr>
  </w:style>
  <w:style w:type="numbering" w:customStyle="1" w:styleId="BulletedList">
    <w:name w:val="Bulleted List"/>
    <w:uiPriority w:val="99"/>
    <w:rsid w:val="00937F10"/>
    <w:pPr>
      <w:numPr>
        <w:numId w:val="25"/>
      </w:numPr>
    </w:pPr>
  </w:style>
  <w:style w:type="numbering" w:customStyle="1" w:styleId="BoxBulletedList">
    <w:name w:val="Box Bulleted List"/>
    <w:uiPriority w:val="99"/>
    <w:rsid w:val="00937F10"/>
    <w:pPr>
      <w:numPr>
        <w:numId w:val="26"/>
      </w:numPr>
    </w:pPr>
  </w:style>
  <w:style w:type="numbering" w:customStyle="1" w:styleId="AlphaParagraphList">
    <w:name w:val="Alpha Paragraph List"/>
    <w:uiPriority w:val="99"/>
    <w:rsid w:val="00937F10"/>
    <w:pPr>
      <w:numPr>
        <w:numId w:val="28"/>
      </w:numPr>
    </w:pPr>
  </w:style>
  <w:style w:type="numbering" w:customStyle="1" w:styleId="OneLevelList">
    <w:name w:val="OneLevelList"/>
    <w:uiPriority w:val="99"/>
    <w:rsid w:val="00937F10"/>
    <w:pPr>
      <w:numPr>
        <w:numId w:val="30"/>
      </w:numPr>
    </w:pPr>
  </w:style>
  <w:style w:type="numbering" w:customStyle="1" w:styleId="RecommendationBulletList">
    <w:name w:val="RecommendationBulletList"/>
    <w:uiPriority w:val="99"/>
    <w:rsid w:val="00937F10"/>
    <w:pPr>
      <w:numPr>
        <w:numId w:val="32"/>
      </w:numPr>
    </w:pPr>
  </w:style>
  <w:style w:type="numbering" w:customStyle="1" w:styleId="RomanNumeralList">
    <w:name w:val="RomanNumeralList"/>
    <w:uiPriority w:val="99"/>
    <w:rsid w:val="00937F10"/>
    <w:pPr>
      <w:numPr>
        <w:numId w:val="33"/>
      </w:numPr>
    </w:pPr>
  </w:style>
  <w:style w:type="numbering" w:customStyle="1" w:styleId="ChartandTableFootnoteAlphaList">
    <w:name w:val="ChartandTableFootnoteAlphaList"/>
    <w:uiPriority w:val="99"/>
    <w:rsid w:val="00937F10"/>
    <w:pPr>
      <w:numPr>
        <w:numId w:val="38"/>
      </w:numPr>
    </w:pPr>
  </w:style>
  <w:style w:type="paragraph" w:customStyle="1" w:styleId="TableTextBullet">
    <w:name w:val="Table Text Bullet"/>
    <w:basedOn w:val="TableTextBase"/>
    <w:rsid w:val="00937F10"/>
    <w:pPr>
      <w:numPr>
        <w:numId w:val="40"/>
      </w:numPr>
    </w:pPr>
  </w:style>
  <w:style w:type="numbering" w:customStyle="1" w:styleId="TableTestBulletList">
    <w:name w:val="Table Test Bullet List"/>
    <w:uiPriority w:val="99"/>
    <w:rsid w:val="00937F10"/>
    <w:pPr>
      <w:numPr>
        <w:numId w:val="39"/>
      </w:numPr>
    </w:pPr>
  </w:style>
  <w:style w:type="numbering" w:customStyle="1" w:styleId="TableTextBulletList">
    <w:name w:val="Table Text Bullet List"/>
    <w:uiPriority w:val="99"/>
    <w:rsid w:val="00937F10"/>
    <w:pPr>
      <w:numPr>
        <w:numId w:val="40"/>
      </w:numPr>
    </w:pPr>
  </w:style>
  <w:style w:type="paragraph" w:customStyle="1" w:styleId="StyleTableTextBulletLinespacingExactly13pt">
    <w:name w:val="Style Table Text Bullet + Line spacing:  Exactly 13 pt"/>
    <w:basedOn w:val="TableTextBullet"/>
    <w:rsid w:val="00937F10"/>
    <w:pPr>
      <w:numPr>
        <w:numId w:val="0"/>
      </w:numPr>
      <w:spacing w:after="80" w:line="260" w:lineRule="exact"/>
    </w:pPr>
  </w:style>
  <w:style w:type="paragraph" w:styleId="ListParagraph">
    <w:name w:val="List Paragraph"/>
    <w:basedOn w:val="Normal"/>
    <w:uiPriority w:val="34"/>
    <w:qFormat/>
    <w:rsid w:val="00937F10"/>
    <w:pPr>
      <w:spacing w:after="0" w:line="240" w:lineRule="auto"/>
      <w:ind w:left="720"/>
    </w:pPr>
    <w:rPr>
      <w:rFonts w:ascii="Calibri" w:eastAsiaTheme="minorHAnsi" w:hAnsi="Calibri" w:cs="Calibri"/>
      <w:szCs w:val="22"/>
      <w:lang w:eastAsia="en-US"/>
    </w:rPr>
  </w:style>
  <w:style w:type="paragraph" w:customStyle="1" w:styleId="Reference">
    <w:name w:val="Reference"/>
    <w:basedOn w:val="Normal"/>
    <w:qFormat/>
    <w:rsid w:val="00937F10"/>
    <w:rPr>
      <w:sz w:val="20"/>
    </w:rPr>
  </w:style>
  <w:style w:type="paragraph" w:customStyle="1" w:styleId="rightFooter">
    <w:name w:val="right Footer"/>
    <w:basedOn w:val="Footer"/>
    <w:rsid w:val="00937F10"/>
  </w:style>
  <w:style w:type="paragraph" w:customStyle="1" w:styleId="Footerright">
    <w:name w:val="Footer right"/>
    <w:basedOn w:val="FooterCentered"/>
    <w:rsid w:val="00937F10"/>
    <w:pPr>
      <w:jc w:val="right"/>
    </w:pPr>
  </w:style>
  <w:style w:type="paragraph" w:customStyle="1" w:styleId="Chaptertitle">
    <w:name w:val="Chapter title"/>
    <w:basedOn w:val="Heading1"/>
    <w:rsid w:val="00937F10"/>
    <w:pPr>
      <w:spacing w:before="5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23441">
      <w:bodyDiv w:val="1"/>
      <w:marLeft w:val="0"/>
      <w:marRight w:val="0"/>
      <w:marTop w:val="0"/>
      <w:marBottom w:val="0"/>
      <w:divBdr>
        <w:top w:val="none" w:sz="0" w:space="0" w:color="auto"/>
        <w:left w:val="none" w:sz="0" w:space="0" w:color="auto"/>
        <w:bottom w:val="none" w:sz="0" w:space="0" w:color="auto"/>
        <w:right w:val="none" w:sz="0" w:space="0" w:color="auto"/>
      </w:divBdr>
    </w:div>
    <w:div w:id="306280374">
      <w:bodyDiv w:val="1"/>
      <w:marLeft w:val="0"/>
      <w:marRight w:val="0"/>
      <w:marTop w:val="0"/>
      <w:marBottom w:val="0"/>
      <w:divBdr>
        <w:top w:val="none" w:sz="0" w:space="0" w:color="auto"/>
        <w:left w:val="none" w:sz="0" w:space="0" w:color="auto"/>
        <w:bottom w:val="none" w:sz="0" w:space="0" w:color="auto"/>
        <w:right w:val="none" w:sz="0" w:space="0" w:color="auto"/>
      </w:divBdr>
    </w:div>
    <w:div w:id="489061814">
      <w:bodyDiv w:val="1"/>
      <w:marLeft w:val="0"/>
      <w:marRight w:val="0"/>
      <w:marTop w:val="0"/>
      <w:marBottom w:val="0"/>
      <w:divBdr>
        <w:top w:val="none" w:sz="0" w:space="0" w:color="auto"/>
        <w:left w:val="none" w:sz="0" w:space="0" w:color="auto"/>
        <w:bottom w:val="none" w:sz="0" w:space="0" w:color="auto"/>
        <w:right w:val="none" w:sz="0" w:space="0" w:color="auto"/>
      </w:divBdr>
    </w:div>
    <w:div w:id="926767712">
      <w:bodyDiv w:val="1"/>
      <w:marLeft w:val="0"/>
      <w:marRight w:val="0"/>
      <w:marTop w:val="0"/>
      <w:marBottom w:val="0"/>
      <w:divBdr>
        <w:top w:val="none" w:sz="0" w:space="0" w:color="auto"/>
        <w:left w:val="none" w:sz="0" w:space="0" w:color="auto"/>
        <w:bottom w:val="none" w:sz="0" w:space="0" w:color="auto"/>
        <w:right w:val="none" w:sz="0" w:space="0" w:color="auto"/>
      </w:divBdr>
      <w:divsChild>
        <w:div w:id="987826718">
          <w:marLeft w:val="0"/>
          <w:marRight w:val="0"/>
          <w:marTop w:val="0"/>
          <w:marBottom w:val="0"/>
          <w:divBdr>
            <w:top w:val="none" w:sz="0" w:space="0" w:color="auto"/>
            <w:left w:val="none" w:sz="0" w:space="0" w:color="auto"/>
            <w:bottom w:val="none" w:sz="0" w:space="0" w:color="auto"/>
            <w:right w:val="none" w:sz="0" w:space="0" w:color="auto"/>
          </w:divBdr>
          <w:divsChild>
            <w:div w:id="283586738">
              <w:marLeft w:val="0"/>
              <w:marRight w:val="0"/>
              <w:marTop w:val="0"/>
              <w:marBottom w:val="0"/>
              <w:divBdr>
                <w:top w:val="none" w:sz="0" w:space="0" w:color="auto"/>
                <w:left w:val="none" w:sz="0" w:space="0" w:color="auto"/>
                <w:bottom w:val="none" w:sz="0" w:space="0" w:color="auto"/>
                <w:right w:val="none" w:sz="0" w:space="0" w:color="auto"/>
              </w:divBdr>
              <w:divsChild>
                <w:div w:id="1248077357">
                  <w:marLeft w:val="15"/>
                  <w:marRight w:val="15"/>
                  <w:marTop w:val="0"/>
                  <w:marBottom w:val="0"/>
                  <w:divBdr>
                    <w:top w:val="single" w:sz="6" w:space="0" w:color="FFFFFF"/>
                    <w:left w:val="single" w:sz="6" w:space="0" w:color="FFFFFF"/>
                    <w:bottom w:val="single" w:sz="6" w:space="11" w:color="FFFFFF"/>
                    <w:right w:val="single" w:sz="6" w:space="0" w:color="FFFFFF"/>
                  </w:divBdr>
                  <w:divsChild>
                    <w:div w:id="642081687">
                      <w:marLeft w:val="300"/>
                      <w:marRight w:val="300"/>
                      <w:marTop w:val="300"/>
                      <w:marBottom w:val="0"/>
                      <w:divBdr>
                        <w:top w:val="none" w:sz="0" w:space="0" w:color="auto"/>
                        <w:left w:val="none" w:sz="0" w:space="0" w:color="auto"/>
                        <w:bottom w:val="none" w:sz="0" w:space="0" w:color="auto"/>
                        <w:right w:val="none" w:sz="0" w:space="0" w:color="auto"/>
                      </w:divBdr>
                      <w:divsChild>
                        <w:div w:id="75909967">
                          <w:marLeft w:val="0"/>
                          <w:marRight w:val="0"/>
                          <w:marTop w:val="0"/>
                          <w:marBottom w:val="0"/>
                          <w:divBdr>
                            <w:top w:val="none" w:sz="0" w:space="0" w:color="auto"/>
                            <w:left w:val="none" w:sz="0" w:space="0" w:color="auto"/>
                            <w:bottom w:val="none" w:sz="0" w:space="0" w:color="auto"/>
                            <w:right w:val="none" w:sz="0" w:space="0" w:color="auto"/>
                          </w:divBdr>
                          <w:divsChild>
                            <w:div w:id="1673216188">
                              <w:marLeft w:val="0"/>
                              <w:marRight w:val="0"/>
                              <w:marTop w:val="0"/>
                              <w:marBottom w:val="15"/>
                              <w:divBdr>
                                <w:top w:val="single" w:sz="6" w:space="12" w:color="C8C8C8"/>
                                <w:left w:val="single" w:sz="6" w:space="15" w:color="C8C8C8"/>
                                <w:bottom w:val="single" w:sz="6" w:space="0" w:color="C8C8C8"/>
                                <w:right w:val="single" w:sz="6" w:space="15" w:color="C8C8C8"/>
                              </w:divBdr>
                            </w:div>
                          </w:divsChild>
                        </w:div>
                      </w:divsChild>
                    </w:div>
                  </w:divsChild>
                </w:div>
              </w:divsChild>
            </w:div>
          </w:divsChild>
        </w:div>
      </w:divsChild>
    </w:div>
    <w:div w:id="947733634">
      <w:bodyDiv w:val="1"/>
      <w:marLeft w:val="0"/>
      <w:marRight w:val="0"/>
      <w:marTop w:val="0"/>
      <w:marBottom w:val="0"/>
      <w:divBdr>
        <w:top w:val="none" w:sz="0" w:space="0" w:color="auto"/>
        <w:left w:val="none" w:sz="0" w:space="0" w:color="auto"/>
        <w:bottom w:val="none" w:sz="0" w:space="0" w:color="auto"/>
        <w:right w:val="none" w:sz="0" w:space="0" w:color="auto"/>
      </w:divBdr>
    </w:div>
    <w:div w:id="1215853112">
      <w:bodyDiv w:val="1"/>
      <w:marLeft w:val="0"/>
      <w:marRight w:val="0"/>
      <w:marTop w:val="0"/>
      <w:marBottom w:val="0"/>
      <w:divBdr>
        <w:top w:val="none" w:sz="0" w:space="0" w:color="auto"/>
        <w:left w:val="none" w:sz="0" w:space="0" w:color="auto"/>
        <w:bottom w:val="none" w:sz="0" w:space="0" w:color="auto"/>
        <w:right w:val="none" w:sz="0" w:space="0" w:color="auto"/>
      </w:divBdr>
    </w:div>
    <w:div w:id="1385300419">
      <w:bodyDiv w:val="1"/>
      <w:marLeft w:val="0"/>
      <w:marRight w:val="0"/>
      <w:marTop w:val="0"/>
      <w:marBottom w:val="0"/>
      <w:divBdr>
        <w:top w:val="none" w:sz="0" w:space="0" w:color="auto"/>
        <w:left w:val="none" w:sz="0" w:space="0" w:color="auto"/>
        <w:bottom w:val="none" w:sz="0" w:space="0" w:color="auto"/>
        <w:right w:val="none" w:sz="0" w:space="0" w:color="auto"/>
      </w:divBdr>
      <w:divsChild>
        <w:div w:id="545142743">
          <w:marLeft w:val="0"/>
          <w:marRight w:val="0"/>
          <w:marTop w:val="0"/>
          <w:marBottom w:val="0"/>
          <w:divBdr>
            <w:top w:val="none" w:sz="0" w:space="0" w:color="auto"/>
            <w:left w:val="none" w:sz="0" w:space="0" w:color="auto"/>
            <w:bottom w:val="none" w:sz="0" w:space="0" w:color="auto"/>
            <w:right w:val="none" w:sz="0" w:space="0" w:color="auto"/>
          </w:divBdr>
          <w:divsChild>
            <w:div w:id="2013725884">
              <w:marLeft w:val="0"/>
              <w:marRight w:val="0"/>
              <w:marTop w:val="0"/>
              <w:marBottom w:val="0"/>
              <w:divBdr>
                <w:top w:val="none" w:sz="0" w:space="0" w:color="auto"/>
                <w:left w:val="none" w:sz="0" w:space="0" w:color="auto"/>
                <w:bottom w:val="none" w:sz="0" w:space="0" w:color="auto"/>
                <w:right w:val="none" w:sz="0" w:space="0" w:color="auto"/>
              </w:divBdr>
              <w:divsChild>
                <w:div w:id="1191190597">
                  <w:marLeft w:val="0"/>
                  <w:marRight w:val="0"/>
                  <w:marTop w:val="0"/>
                  <w:marBottom w:val="0"/>
                  <w:divBdr>
                    <w:top w:val="none" w:sz="0" w:space="0" w:color="auto"/>
                    <w:left w:val="none" w:sz="0" w:space="0" w:color="auto"/>
                    <w:bottom w:val="none" w:sz="0" w:space="0" w:color="auto"/>
                    <w:right w:val="none" w:sz="0" w:space="0" w:color="auto"/>
                  </w:divBdr>
                  <w:divsChild>
                    <w:div w:id="41524846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file:///\\romulus\priv_info$\Forecasting%20Review\Report%20Charts%20&amp;%20Tables\Revenue%20forecasting%20analysis\120727%20section%205%20charts.xlsx!param%20&amp;%20HoR!%5b120727%20section%205%20charts.xlsx%5dparam%20&amp;%20HoR%20Chart%201" TargetMode="External"/><Relationship Id="rId26" Type="http://schemas.openxmlformats.org/officeDocument/2006/relationships/oleObject" Target="file:///\\romulus\priv_info$\Forecasting%20Review\Report%20Charts%20&amp;%20Tables\Revenue%20forecasting%20analysis\120727%20section%205%20charts.xlsx!param%20&amp;%20HoR!%5b120727%20section%205%20charts.xlsx%5dparam%20&amp;%20HoR%20Chart%208" TargetMode="External"/><Relationship Id="rId39" Type="http://schemas.openxmlformats.org/officeDocument/2006/relationships/oleObject" Target="file:///\\romulus\priv_info$\Forecasting%20Review\Report%20Charts%20&amp;%20Tables\Revenue%20forecasting%20analysis\120727%20section%205%20charts.xlsx!param%20&amp;%20HoR!%5b120727%20section%205%20charts.xlsx%5dparam%20&amp;%20HoR%20Chart%206" TargetMode="External"/><Relationship Id="rId21" Type="http://schemas.openxmlformats.org/officeDocument/2006/relationships/image" Target="media/image8.emf"/><Relationship Id="rId34" Type="http://schemas.openxmlformats.org/officeDocument/2006/relationships/image" Target="media/image15.emf"/><Relationship Id="rId42" Type="http://schemas.openxmlformats.org/officeDocument/2006/relationships/image" Target="media/image19.emf"/><Relationship Id="rId47" Type="http://schemas.openxmlformats.org/officeDocument/2006/relationships/oleObject" Target="file:///\\romulus\priv_info$\Forecasting%20Review\Report%20Charts%20&amp;%20Tables\Revenue%20forecasting%20analysis\120727%20section%205%20charts.xlsx!param%20&amp;%20HoR!%5b120727%20section%205%20charts.xlsx%5dparam%20&amp;%20HoR%20Chart%209" TargetMode="External"/><Relationship Id="rId50" Type="http://schemas.openxmlformats.org/officeDocument/2006/relationships/image" Target="media/image23.emf"/><Relationship Id="rId55" Type="http://schemas.openxmlformats.org/officeDocument/2006/relationships/oleObject" Target="file:///\\romulus\priv_info$\Forecasting%20Review\Report%20Charts%20&amp;%20Tables\Revenue%20forecasting%20analysis\Company%20data%20-%20GOS%20v%20Tax%20Stats.xlsx!Sheet1!%5bCompany%20data%20-%20GOS%20v%20Tax%20Stats.xlsx%5dSheet1%20Chart%201" TargetMode="External"/><Relationship Id="rId63" Type="http://schemas.openxmlformats.org/officeDocument/2006/relationships/footer" Target="footer2.xml"/><Relationship Id="rId68"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file:///\\romulus\priv_info$\Forecasting%20Review\Report%20Charts%20&amp;%20Tables\Nominal%20Economy%20Attachment\Case%20study%20-%20ToT\120814%20analysis%20-%20XNF.xls!CHART!%5b120814%20analysis%20-%20XNF.xls%5dCHART%20Chart%203" TargetMode="Externa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file:///\\romulus\priv_info$\Forecasting%20Review\Report%20Charts%20&amp;%20Tables\Revenue%20forecasting%20analysis\120814%20section%205%20chart%20-%20coe.xlsx!param%20&amp;%20HoR!%5b120814%20section%205%20chart%20-%20coe.xlsx%5dparam%20&amp;%20HoR%20Chart%208" TargetMode="External"/><Relationship Id="rId32" Type="http://schemas.openxmlformats.org/officeDocument/2006/relationships/oleObject" Target="file:///\\romulus\ECD_PRO$\BRIEFING\NAFF\Data%20requests\2012\Sep%20qtr\Forecast%20review\Decomposition%20of%202009-10%20Export%20Volume%20Forecasts%20-%20ctg.xlsx!Export%20Forecasts!%5bDecomposition%20of%202009-10%20Export%20Volume%20Forecasts%20-%20ctg.xlsx%5dExport%20Forecasts%20Chart%201" TargetMode="External"/><Relationship Id="rId37" Type="http://schemas.openxmlformats.org/officeDocument/2006/relationships/oleObject" Target="file:///\\romulus\priv_info$\Forecasting%20Review\Report%20Charts%20&amp;%20Tables\Revenue%20forecasting%20analysis\120702%20params%20and%20HoR.xlsx!More%20Charts!%5b120702%20params%20and%20HoR.xlsx%5dMore%20Charts%20Chart%206" TargetMode="External"/><Relationship Id="rId40" Type="http://schemas.openxmlformats.org/officeDocument/2006/relationships/image" Target="media/image18.emf"/><Relationship Id="rId45" Type="http://schemas.openxmlformats.org/officeDocument/2006/relationships/oleObject" Target="file:///\\romulus\priv_info$\Forecasting%20Review\Report%20Charts%20&amp;%20Tables\Revenue%20forecasting%20analysis\120814%20section%205%20chart%20-%20coe.xlsx!param%20&amp;%20HoR!%5b120814%20section%205%20chart%20-%20coe.xlsx%5dparam%20&amp;%20HoR%20Chart%202" TargetMode="External"/><Relationship Id="rId53" Type="http://schemas.openxmlformats.org/officeDocument/2006/relationships/oleObject" Target="file:///\\romulus\priv_info$\Forecasting%20Review\Report%20Charts%20&amp;%20Tables\Revenue%20forecasting%20analysis\Counterfactual%20Scenario\Coy%20misses.xlsx!Sheet1!%5bCoy%20misses.xlsx%5dSheet1%20Chart%205" TargetMode="External"/><Relationship Id="rId58" Type="http://schemas.openxmlformats.org/officeDocument/2006/relationships/image" Target="media/image27.emf"/><Relationship Id="rId66" Type="http://schemas.openxmlformats.org/officeDocument/2006/relationships/image" Target="media/image29.png"/><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wmf"/><Relationship Id="rId28" Type="http://schemas.openxmlformats.org/officeDocument/2006/relationships/oleObject" Target="file:///\\romulus\priv_info$\Forecasting%20Review\Report%20Charts%20&amp;%20Tables\Revenue%20forecasting%20analysis\120702%20params%20and%20HoR.xlsx!More%20Charts!%5b120702%20params%20and%20HoR.xlsx%5dMore%20Charts%20Chart%204" TargetMode="External"/><Relationship Id="rId36" Type="http://schemas.openxmlformats.org/officeDocument/2006/relationships/image" Target="media/image16.emf"/><Relationship Id="rId49" Type="http://schemas.openxmlformats.org/officeDocument/2006/relationships/oleObject" Target="file:///\\romulus\priv_info$\Forecasting%20Review\Report%20Charts%20&amp;%20Tables\Revenue%20forecasting%20analysis\120807%20forecasting%20review%20coy%20true%20accruals.xlsx!Report%20Chart!%5b120807%20forecasting%20review%20coy%20true%20accruals.xlsx%5dReport%20Chart%20Chart%201" TargetMode="External"/><Relationship Id="rId57" Type="http://schemas.openxmlformats.org/officeDocument/2006/relationships/oleObject" Target="file:///\\romulus\priv_info$\Forecasting%20Review\Report%20Charts%20&amp;%20Tables\Revenue%20forecasting%20analysis\120718%20GST%20and%20consumption.xlsx!GST!%5b120718%20GST%20and%20consumption.xlsx%5dGST%20Chart%201" TargetMode="External"/><Relationship Id="rId61" Type="http://schemas.openxmlformats.org/officeDocument/2006/relationships/header" Target="header2.xml"/><Relationship Id="rId10" Type="http://schemas.openxmlformats.org/officeDocument/2006/relationships/oleObject" Target="file:///\\romulus\priv_info$\Forecasting%20Review\Draft%20Report\2012%20FR%20-%20Section%204%20-%20Case%20study%20-%20penultimate.docx!OLE_LINK1" TargetMode="External"/><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image" Target="media/image20.emf"/><Relationship Id="rId52" Type="http://schemas.openxmlformats.org/officeDocument/2006/relationships/image" Target="media/image24.emf"/><Relationship Id="rId60" Type="http://schemas.openxmlformats.org/officeDocument/2006/relationships/header" Target="header1.xml"/><Relationship Id="rId65" Type="http://schemas.openxmlformats.org/officeDocument/2006/relationships/image" Target="media/image28.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file:///\\romulus\priv_info$\Forecasting%20Review\Report%20Charts%20&amp;%20Tables\Nominal%20Economy%20Attachment\Case%20study%20-%20ToT\120814%20analysis%20-%20PXNF.xls!CHART!%5b120814%20analysis%20-%20PXNF.xls%5dCHART%20Chart%203" TargetMode="External"/><Relationship Id="rId22" Type="http://schemas.openxmlformats.org/officeDocument/2006/relationships/oleObject" Target="file:///\\romulus\priv_info$\Forecasting%20Review\Report%20Charts%20&amp;%20Tables\Revenue%20forecasting%20analysis\Counterfactual%20Scenario\Rule%20of%20Thumb%20-%20consolidated%20results.xlsx!All!%5bRule%20of%20Thumb%20-%20consolidated%20results.xlsx%5dAll%20Chart%202" TargetMode="External"/><Relationship Id="rId27" Type="http://schemas.openxmlformats.org/officeDocument/2006/relationships/image" Target="media/image11.wmf"/><Relationship Id="rId30" Type="http://schemas.openxmlformats.org/officeDocument/2006/relationships/oleObject" Target="file:///\\romulus\priv_info$\Forecasting%20Review\Report%20Charts%20&amp;%20Tables\Nominal%20Economy%20Attachment\Chart%206%20and%207%20-%20Australia%20Consensus%20Forecasts%20-%202009.xls!Charts!%5bChart%206%20and%207%20-%20Australia%20Consensus%20Forecasts%20-%202009.xls%5dCharts%20Chart%208" TargetMode="External"/><Relationship Id="rId35" Type="http://schemas.openxmlformats.org/officeDocument/2006/relationships/oleObject" Target="file:///\\romulus\priv_info$\Forecasting%20Review\Report%20Charts%20&amp;%20Tables\Nominal%20Economy%20Attachment\Consensus%20-%20Australia.xls!Budget%20Forecasts%20-%20World!%5bConsensus%20-%20Australia.xls%5dBudget%20Forecasts%20-%20World%20Chart%205" TargetMode="External"/><Relationship Id="rId43" Type="http://schemas.openxmlformats.org/officeDocument/2006/relationships/oleObject" Target="file:///\\romulus\priv_info$\Forecasting%20Review\Report%20Charts%20&amp;%20Tables\Revenue%20forecasting%20analysis\Counterfactual%20Scenario\Rule%20of%20Thumb%20-%20consolidated%20results.xlsx!All!%5bRule%20of%20Thumb%20-%20consolidated%20results.xlsx%5dAll%20Chart%205" TargetMode="External"/><Relationship Id="rId48" Type="http://schemas.openxmlformats.org/officeDocument/2006/relationships/image" Target="media/image22.emf"/><Relationship Id="rId56" Type="http://schemas.openxmlformats.org/officeDocument/2006/relationships/image" Target="media/image26.emf"/><Relationship Id="rId64" Type="http://schemas.openxmlformats.org/officeDocument/2006/relationships/footer" Target="footer3.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file:///\\romulus\priv_info$\Forecasting%20Review\Report%20Charts%20&amp;%20Tables\Revenue%20forecasting%20analysis\120807%20forecasting%20review%20coy%20true%20accruals.xlsx!Report%20Chart!%5b120807%20forecasting%20review%20coy%20true%20accruals.xlsx%5dReport%20Chart%20Chart%202" TargetMode="Externa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emf"/><Relationship Id="rId38" Type="http://schemas.openxmlformats.org/officeDocument/2006/relationships/image" Target="media/image17.wmf"/><Relationship Id="rId46" Type="http://schemas.openxmlformats.org/officeDocument/2006/relationships/image" Target="media/image21.emf"/><Relationship Id="rId59" Type="http://schemas.openxmlformats.org/officeDocument/2006/relationships/oleObject" Target="file:///\\romulus\priv_info$\Forecasting%20Review\Report%20Charts%20&amp;%20Tables\Revenue%20forecasting%20analysis\120806%20Section%205%20CGT%20history%20estimate%20(chart%20only).xlsx!Charts!%5b120806%20Section%205%20CGT%20history%20estimate%20(chart%20only).xlsx%5dCharts%20Chart%202-1" TargetMode="External"/><Relationship Id="rId67" Type="http://schemas.openxmlformats.org/officeDocument/2006/relationships/header" Target="header3.xml"/><Relationship Id="rId20" Type="http://schemas.openxmlformats.org/officeDocument/2006/relationships/oleObject" Target="file:///\\romulus\priv_info$\Forecasting%20Review\Report%20Charts%20&amp;%20Tables\Revenue%20forecasting%20analysis\Counterfactual%20Scenario\Rule%20of%20Thumb%20-%20consolidated%20results.xlsx!All!%5bRule%20of%20Thumb%20-%20consolidated%20results.xlsx%5dAll%20Chart%201" TargetMode="External"/><Relationship Id="rId41" Type="http://schemas.openxmlformats.org/officeDocument/2006/relationships/oleObject" Target="file:///\\romulus\priv_info$\Forecasting%20Review\Report%20Charts%20&amp;%20Tables\Revenue%20forecasting%20analysis\Counterfactual%20Scenario\Rule%20of%20Thumb%20-%20consolidated%20results.xlsx!All!%5bRule%20of%20Thumb%20-%20consolidated%20results.xlsx%5dAll%20Chart%203" TargetMode="External"/><Relationship Id="rId54" Type="http://schemas.openxmlformats.org/officeDocument/2006/relationships/image" Target="media/image25.emf"/><Relationship Id="rId62" Type="http://schemas.openxmlformats.org/officeDocument/2006/relationships/footer" Target="footer1.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Janelles Tsy Corp">
      <a:dk1>
        <a:sysClr val="windowText" lastClr="000000"/>
      </a:dk1>
      <a:lt1>
        <a:sysClr val="window" lastClr="FFFFFF"/>
      </a:lt1>
      <a:dk2>
        <a:srgbClr val="1F497D"/>
      </a:dk2>
      <a:lt2>
        <a:srgbClr val="EEECE1"/>
      </a:lt2>
      <a:accent1>
        <a:srgbClr val="0000FF"/>
      </a:accent1>
      <a:accent2>
        <a:srgbClr val="FF0000"/>
      </a:accent2>
      <a:accent3>
        <a:srgbClr val="808080"/>
      </a:accent3>
      <a:accent4>
        <a:srgbClr val="008000"/>
      </a:accent4>
      <a:accent5>
        <a:srgbClr val="800080"/>
      </a:accent5>
      <a:accent6>
        <a:srgbClr val="FD9900"/>
      </a:accent6>
      <a:hlink>
        <a:srgbClr val="B2B2B2"/>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56A8-1C21-4320-879E-D29AD764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6296</TotalTime>
  <Pages>24</Pages>
  <Words>7886</Words>
  <Characters>42666</Characters>
  <Application>Microsoft Office Word</Application>
  <DocSecurity>0</DocSecurity>
  <Lines>646</Lines>
  <Paragraphs>223</Paragraphs>
  <ScaleCrop>false</ScaleCrop>
  <HeadingPairs>
    <vt:vector size="2" baseType="variant">
      <vt:variant>
        <vt:lpstr>Title</vt:lpstr>
      </vt:variant>
      <vt:variant>
        <vt:i4>1</vt:i4>
      </vt:variant>
    </vt:vector>
  </HeadingPairs>
  <TitlesOfParts>
    <vt:vector size="1" baseType="lpstr">
      <vt:lpstr>Review of Treasury Macroeconomic and Revenue Forecasting</vt:lpstr>
    </vt:vector>
  </TitlesOfParts>
  <Company>Australian Government - The Treasury</Company>
  <LinksUpToDate>false</LinksUpToDate>
  <CharactersWithSpaces>50329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Treasury Macroeconomic and Revenue Forecasting</dc:title>
  <dc:subject/>
  <dc:creator/>
  <cp:keywords/>
  <dc:description/>
  <cp:lastModifiedBy>Schumann, Vicky</cp:lastModifiedBy>
  <cp:revision>956</cp:revision>
  <cp:lastPrinted>2012-12-07T05:43:00Z</cp:lastPrinted>
  <dcterms:created xsi:type="dcterms:W3CDTF">2012-08-15T04:52:00Z</dcterms:created>
  <dcterms:modified xsi:type="dcterms:W3CDTF">2013-02-21T00:31:00Z</dcterms:modified>
</cp:coreProperties>
</file>